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15" w:rsidRDefault="00965015" w:rsidP="00BA6535">
      <w:pPr>
        <w:jc w:val="center"/>
        <w:rPr>
          <w:b/>
        </w:rPr>
      </w:pPr>
    </w:p>
    <w:p w:rsidR="00BA6535" w:rsidRPr="002826D6" w:rsidRDefault="00F94EF3" w:rsidP="002826D6">
      <w:pPr>
        <w:jc w:val="center"/>
        <w:rPr>
          <w:b/>
        </w:rPr>
      </w:pPr>
      <w:r w:rsidRPr="00F94EF3">
        <w:rPr>
          <w:b/>
        </w:rPr>
        <w:t>DRH Response to OMB Comments Dated 10/31/2012</w:t>
      </w:r>
      <w:r w:rsidR="002826D6">
        <w:rPr>
          <w:b/>
        </w:rPr>
        <w:t xml:space="preserve"> – Revised 02/25/2013</w:t>
      </w:r>
    </w:p>
    <w:p w:rsidR="00DC2EB5" w:rsidRPr="00BE5166" w:rsidRDefault="00DC2EB5" w:rsidP="00DC2EB5">
      <w:pPr>
        <w:pStyle w:val="ListParagraph"/>
        <w:numPr>
          <w:ilvl w:val="0"/>
          <w:numId w:val="1"/>
        </w:numPr>
        <w:rPr>
          <w:b/>
        </w:rPr>
      </w:pPr>
      <w:r w:rsidRPr="00BE5166">
        <w:rPr>
          <w:b/>
        </w:rPr>
        <w:t xml:space="preserve">The title of this ICR - Evaluation of U.S. Family Planning Guidelines - Phase II – does not appear to accurately reflect the information being collected.  Please clarify how the methods and instruments proposed will serve to evaluate the guidelines. For example, in the Provider Survey, only the last 3 questions mention the US MEC and it is unclear how these questions will help CDC understand how, and to what extent, the guidelines have been used thus far. </w:t>
      </w:r>
      <w:r w:rsidR="00D63859" w:rsidRPr="00BE5166">
        <w:rPr>
          <w:b/>
        </w:rPr>
        <w:t xml:space="preserve">  </w:t>
      </w:r>
    </w:p>
    <w:p w:rsidR="005E67F8" w:rsidRDefault="005A479C" w:rsidP="005A479C">
      <w:pPr>
        <w:ind w:left="360"/>
        <w:rPr>
          <w:rFonts w:cstheme="minorHAnsi"/>
          <w:color w:val="244061" w:themeColor="accent1" w:themeShade="80"/>
        </w:rPr>
      </w:pPr>
      <w:r>
        <w:rPr>
          <w:color w:val="244061" w:themeColor="accent1" w:themeShade="80"/>
        </w:rPr>
        <w:br/>
      </w:r>
      <w:r w:rsidR="00601F75" w:rsidRPr="006745A7">
        <w:rPr>
          <w:color w:val="244061" w:themeColor="accent1" w:themeShade="80"/>
        </w:rPr>
        <w:t xml:space="preserve">Every question on each survey was carefully selected to serve either as an evaluation measure </w:t>
      </w:r>
      <w:r w:rsidR="006745A7" w:rsidRPr="006745A7">
        <w:rPr>
          <w:color w:val="244061" w:themeColor="accent1" w:themeShade="80"/>
        </w:rPr>
        <w:t xml:space="preserve">relevant to one or more of the three U.S. family planning guidelines (i.e., 2010 </w:t>
      </w:r>
      <w:r w:rsidR="006745A7" w:rsidRPr="006745A7">
        <w:rPr>
          <w:i/>
          <w:color w:val="244061" w:themeColor="accent1" w:themeShade="80"/>
        </w:rPr>
        <w:t>U.S. Medical Eligibility Criteria for Contraceptive Use</w:t>
      </w:r>
      <w:r w:rsidR="006745A7" w:rsidRPr="006745A7">
        <w:rPr>
          <w:color w:val="244061" w:themeColor="accent1" w:themeShade="80"/>
        </w:rPr>
        <w:t xml:space="preserve">, </w:t>
      </w:r>
      <w:r w:rsidR="00FE6DDA">
        <w:rPr>
          <w:color w:val="244061" w:themeColor="accent1" w:themeShade="80"/>
        </w:rPr>
        <w:t xml:space="preserve">the forthcoming </w:t>
      </w:r>
      <w:r w:rsidR="006745A7" w:rsidRPr="006745A7">
        <w:rPr>
          <w:color w:val="244061" w:themeColor="accent1" w:themeShade="80"/>
        </w:rPr>
        <w:t xml:space="preserve">2013 </w:t>
      </w:r>
      <w:r w:rsidR="006745A7" w:rsidRPr="006745A7">
        <w:rPr>
          <w:i/>
          <w:color w:val="244061" w:themeColor="accent1" w:themeShade="80"/>
        </w:rPr>
        <w:t>U.S. Selected Practice Recommendations for Contraceptive Use</w:t>
      </w:r>
      <w:r w:rsidR="006745A7" w:rsidRPr="006745A7">
        <w:rPr>
          <w:color w:val="244061" w:themeColor="accent1" w:themeShade="80"/>
        </w:rPr>
        <w:t>, or</w:t>
      </w:r>
      <w:r w:rsidR="00FE6DDA">
        <w:rPr>
          <w:color w:val="244061" w:themeColor="accent1" w:themeShade="80"/>
        </w:rPr>
        <w:t xml:space="preserve"> the forthcoming</w:t>
      </w:r>
      <w:r w:rsidR="006745A7" w:rsidRPr="006745A7">
        <w:rPr>
          <w:color w:val="244061" w:themeColor="accent1" w:themeShade="80"/>
        </w:rPr>
        <w:t xml:space="preserve"> 2013 </w:t>
      </w:r>
      <w:r w:rsidR="006745A7" w:rsidRPr="006745A7">
        <w:rPr>
          <w:rFonts w:cstheme="minorHAnsi"/>
          <w:i/>
          <w:color w:val="244061" w:themeColor="accent1" w:themeShade="80"/>
        </w:rPr>
        <w:t xml:space="preserve">Guidance for Providing </w:t>
      </w:r>
      <w:r>
        <w:rPr>
          <w:rFonts w:cstheme="minorHAnsi"/>
          <w:i/>
          <w:color w:val="244061" w:themeColor="accent1" w:themeShade="80"/>
        </w:rPr>
        <w:t>Quality Family Planning Services)</w:t>
      </w:r>
      <w:r>
        <w:rPr>
          <w:rFonts w:cstheme="minorHAnsi"/>
          <w:color w:val="244061" w:themeColor="accent1" w:themeShade="80"/>
        </w:rPr>
        <w:t xml:space="preserve">, </w:t>
      </w:r>
      <w:r w:rsidR="005E67F8">
        <w:rPr>
          <w:rFonts w:cstheme="minorHAnsi"/>
          <w:color w:val="244061" w:themeColor="accent1" w:themeShade="80"/>
        </w:rPr>
        <w:t xml:space="preserve">or to measure characteristics of respondents, which will be used to better understand the extent to which the currently available guidance is being used, and to target dissemination efforts.  </w:t>
      </w:r>
    </w:p>
    <w:p w:rsidR="00FE6DDA" w:rsidRDefault="003905C2" w:rsidP="005A479C">
      <w:pPr>
        <w:ind w:left="360"/>
        <w:rPr>
          <w:rFonts w:cstheme="minorHAnsi"/>
          <w:color w:val="17365D" w:themeColor="text2" w:themeShade="BF"/>
        </w:rPr>
      </w:pPr>
      <w:r w:rsidRPr="00ED13B1">
        <w:rPr>
          <w:rFonts w:cstheme="minorHAnsi"/>
          <w:color w:val="17365D" w:themeColor="text2" w:themeShade="BF"/>
        </w:rPr>
        <w:t xml:space="preserve">Although a specific family planning guideline may not be explicitly mentioned in each of the questions, as </w:t>
      </w:r>
      <w:r w:rsidR="00E233A0" w:rsidRPr="00ED13B1">
        <w:rPr>
          <w:rFonts w:cstheme="minorHAnsi"/>
          <w:color w:val="17365D" w:themeColor="text2" w:themeShade="BF"/>
        </w:rPr>
        <w:t xml:space="preserve">noted by </w:t>
      </w:r>
      <w:r w:rsidRPr="00ED13B1">
        <w:rPr>
          <w:rFonts w:cstheme="minorHAnsi"/>
          <w:color w:val="17365D" w:themeColor="text2" w:themeShade="BF"/>
        </w:rPr>
        <w:t>the reviewer</w:t>
      </w:r>
      <w:r w:rsidR="007351EC">
        <w:rPr>
          <w:rFonts w:cstheme="minorHAnsi"/>
          <w:color w:val="17365D" w:themeColor="text2" w:themeShade="BF"/>
        </w:rPr>
        <w:t xml:space="preserve"> (except for the last 3 questions on the Phase II provider survey)</w:t>
      </w:r>
      <w:r w:rsidRPr="00ED13B1">
        <w:rPr>
          <w:rFonts w:cstheme="minorHAnsi"/>
          <w:color w:val="17365D" w:themeColor="text2" w:themeShade="BF"/>
        </w:rPr>
        <w:t>, the ques</w:t>
      </w:r>
      <w:r w:rsidR="00CC5172" w:rsidRPr="00ED13B1">
        <w:rPr>
          <w:rFonts w:cstheme="minorHAnsi"/>
          <w:color w:val="17365D" w:themeColor="text2" w:themeShade="BF"/>
        </w:rPr>
        <w:t>tions measure</w:t>
      </w:r>
      <w:r w:rsidR="00E233A0" w:rsidRPr="00ED13B1">
        <w:rPr>
          <w:rFonts w:cstheme="minorHAnsi"/>
          <w:color w:val="17365D" w:themeColor="text2" w:themeShade="BF"/>
        </w:rPr>
        <w:t xml:space="preserve"> content addressed in </w:t>
      </w:r>
      <w:r w:rsidR="00CC5172" w:rsidRPr="00ED13B1">
        <w:rPr>
          <w:rFonts w:cstheme="minorHAnsi"/>
          <w:color w:val="17365D" w:themeColor="text2" w:themeShade="BF"/>
        </w:rPr>
        <w:t>one</w:t>
      </w:r>
      <w:r w:rsidR="00E233A0" w:rsidRPr="00ED13B1">
        <w:rPr>
          <w:rFonts w:cstheme="minorHAnsi"/>
          <w:color w:val="17365D" w:themeColor="text2" w:themeShade="BF"/>
        </w:rPr>
        <w:t xml:space="preserve"> or more of the guidance documents.  </w:t>
      </w:r>
    </w:p>
    <w:p w:rsidR="005153B7" w:rsidRDefault="00E233A0" w:rsidP="005A479C">
      <w:pPr>
        <w:ind w:left="360"/>
        <w:rPr>
          <w:rFonts w:cstheme="minorHAnsi"/>
          <w:color w:val="17365D" w:themeColor="text2" w:themeShade="BF"/>
        </w:rPr>
      </w:pPr>
      <w:r w:rsidRPr="00ED13B1">
        <w:rPr>
          <w:rFonts w:cstheme="minorHAnsi"/>
          <w:color w:val="17365D" w:themeColor="text2" w:themeShade="BF"/>
        </w:rPr>
        <w:t xml:space="preserve">For example, the 2010 </w:t>
      </w:r>
      <w:r w:rsidRPr="00ED13B1">
        <w:rPr>
          <w:i/>
          <w:color w:val="17365D" w:themeColor="text2" w:themeShade="BF"/>
        </w:rPr>
        <w:t xml:space="preserve">U.S. Medical Eligibility Criteria for Contraceptive Use </w:t>
      </w:r>
      <w:r w:rsidRPr="00ED13B1">
        <w:rPr>
          <w:rFonts w:cstheme="minorHAnsi"/>
          <w:color w:val="17365D" w:themeColor="text2" w:themeShade="BF"/>
        </w:rPr>
        <w:t>includes evidence-based recommendations for the safe use of contraceptive methods for women and men with specific characteristics and medical conditions.  Examples of recommendations inc</w:t>
      </w:r>
      <w:r w:rsidR="008D5C16" w:rsidRPr="00ED13B1">
        <w:rPr>
          <w:rFonts w:cstheme="minorHAnsi"/>
          <w:color w:val="17365D" w:themeColor="text2" w:themeShade="BF"/>
        </w:rPr>
        <w:t xml:space="preserve">luded in this guidance </w:t>
      </w:r>
      <w:r w:rsidR="007351EC">
        <w:rPr>
          <w:rFonts w:cstheme="minorHAnsi"/>
          <w:color w:val="17365D" w:themeColor="text2" w:themeShade="BF"/>
        </w:rPr>
        <w:t>are</w:t>
      </w:r>
      <w:r w:rsidR="008D5C16" w:rsidRPr="00ED13B1">
        <w:rPr>
          <w:rFonts w:cstheme="minorHAnsi"/>
          <w:color w:val="17365D" w:themeColor="text2" w:themeShade="BF"/>
        </w:rPr>
        <w:t xml:space="preserve"> the safety and effectiveness of intrauterine devices for adolescents and nulliparous women</w:t>
      </w:r>
      <w:r w:rsidR="00ED13B1" w:rsidRPr="00ED13B1">
        <w:rPr>
          <w:rFonts w:cstheme="minorHAnsi"/>
          <w:color w:val="17365D" w:themeColor="text2" w:themeShade="BF"/>
        </w:rPr>
        <w:t>, the safety an</w:t>
      </w:r>
      <w:r w:rsidR="007351EC">
        <w:rPr>
          <w:rFonts w:cstheme="minorHAnsi"/>
          <w:color w:val="17365D" w:themeColor="text2" w:themeShade="BF"/>
        </w:rPr>
        <w:t xml:space="preserve">d effectiveness of injectables </w:t>
      </w:r>
      <w:r w:rsidR="00ED13B1" w:rsidRPr="00ED13B1">
        <w:rPr>
          <w:rFonts w:cstheme="minorHAnsi"/>
          <w:color w:val="17365D" w:themeColor="text2" w:themeShade="BF"/>
        </w:rPr>
        <w:t>for adolescents, and the safety and effectiveness of combined hormonal contraceptives for women with bariatric surgery via restrictive procedures, but not for those with bariatric surgery via malabsorptive procedures.</w:t>
      </w:r>
      <w:r w:rsidR="007351EC">
        <w:rPr>
          <w:rFonts w:cstheme="minorHAnsi"/>
          <w:color w:val="17365D" w:themeColor="text2" w:themeShade="BF"/>
        </w:rPr>
        <w:t xml:space="preserve">  </w:t>
      </w:r>
    </w:p>
    <w:p w:rsidR="00601F75" w:rsidRDefault="007351EC" w:rsidP="005A479C">
      <w:pPr>
        <w:ind w:left="360"/>
        <w:rPr>
          <w:rFonts w:cstheme="minorHAnsi"/>
          <w:color w:val="17365D" w:themeColor="text2" w:themeShade="BF"/>
        </w:rPr>
      </w:pPr>
      <w:r>
        <w:rPr>
          <w:rFonts w:cstheme="minorHAnsi"/>
          <w:color w:val="17365D" w:themeColor="text2" w:themeShade="BF"/>
        </w:rPr>
        <w:t>Thus</w:t>
      </w:r>
      <w:r w:rsidR="00BA6535">
        <w:rPr>
          <w:rFonts w:cstheme="minorHAnsi"/>
          <w:color w:val="17365D" w:themeColor="text2" w:themeShade="BF"/>
        </w:rPr>
        <w:t>,</w:t>
      </w:r>
      <w:r>
        <w:rPr>
          <w:rFonts w:cstheme="minorHAnsi"/>
          <w:color w:val="17365D" w:themeColor="text2" w:themeShade="BF"/>
        </w:rPr>
        <w:t xml:space="preserve"> questions on the </w:t>
      </w:r>
      <w:r w:rsidR="00BA6535">
        <w:rPr>
          <w:rFonts w:cstheme="minorHAnsi"/>
          <w:color w:val="17365D" w:themeColor="text2" w:themeShade="BF"/>
        </w:rPr>
        <w:t xml:space="preserve">Phase II </w:t>
      </w:r>
      <w:r>
        <w:rPr>
          <w:rFonts w:cstheme="minorHAnsi"/>
          <w:color w:val="17365D" w:themeColor="text2" w:themeShade="BF"/>
        </w:rPr>
        <w:t xml:space="preserve">provider survey that seek information on provider attitudes and practices related to these recommendations </w:t>
      </w:r>
      <w:r w:rsidR="00BA6535">
        <w:rPr>
          <w:rFonts w:cstheme="minorHAnsi"/>
          <w:color w:val="17365D" w:themeColor="text2" w:themeShade="BF"/>
        </w:rPr>
        <w:t xml:space="preserve">(i.e., survey numbers 13, 14, 15, 18, 19, and 20 ) </w:t>
      </w:r>
      <w:r>
        <w:rPr>
          <w:rFonts w:cstheme="minorHAnsi"/>
          <w:color w:val="17365D" w:themeColor="text2" w:themeShade="BF"/>
        </w:rPr>
        <w:t xml:space="preserve">serve to evaluate </w:t>
      </w:r>
      <w:r w:rsidR="00BA6535">
        <w:rPr>
          <w:rFonts w:cstheme="minorHAnsi"/>
          <w:color w:val="17365D" w:themeColor="text2" w:themeShade="BF"/>
        </w:rPr>
        <w:t xml:space="preserve">the diffusion, uptake and impact of the </w:t>
      </w:r>
      <w:r w:rsidR="00BA6535" w:rsidRPr="00ED13B1">
        <w:rPr>
          <w:i/>
          <w:color w:val="17365D" w:themeColor="text2" w:themeShade="BF"/>
        </w:rPr>
        <w:t>U.S. Medical Eligibility Criteria for Contraceptive Use</w:t>
      </w:r>
      <w:r w:rsidR="00BA6535">
        <w:rPr>
          <w:i/>
          <w:color w:val="17365D" w:themeColor="text2" w:themeShade="BF"/>
        </w:rPr>
        <w:t xml:space="preserve"> </w:t>
      </w:r>
      <w:r w:rsidR="00BA6535">
        <w:rPr>
          <w:color w:val="17365D" w:themeColor="text2" w:themeShade="BF"/>
        </w:rPr>
        <w:t>on provider attitudes and practices.</w:t>
      </w:r>
      <w:r>
        <w:rPr>
          <w:rFonts w:cstheme="minorHAnsi"/>
          <w:color w:val="17365D" w:themeColor="text2" w:themeShade="BF"/>
        </w:rPr>
        <w:t xml:space="preserve"> </w:t>
      </w:r>
    </w:p>
    <w:p w:rsidR="002A3813" w:rsidRDefault="005153B7" w:rsidP="005A479C">
      <w:pPr>
        <w:ind w:left="360"/>
        <w:rPr>
          <w:rFonts w:cstheme="minorHAnsi"/>
          <w:color w:val="17365D" w:themeColor="text2" w:themeShade="BF"/>
        </w:rPr>
        <w:sectPr w:rsidR="002A3813" w:rsidSect="00965015">
          <w:pgSz w:w="12240" w:h="15840"/>
          <w:pgMar w:top="1440" w:right="1440" w:bottom="1440" w:left="1440" w:header="720" w:footer="720" w:gutter="0"/>
          <w:cols w:space="720"/>
          <w:docGrid w:linePitch="360"/>
        </w:sectPr>
      </w:pPr>
      <w:r>
        <w:rPr>
          <w:rFonts w:cstheme="minorHAnsi"/>
          <w:color w:val="17365D" w:themeColor="text2" w:themeShade="BF"/>
        </w:rPr>
        <w:t xml:space="preserve">To help clarify how the survey questions will assist CDC’s Division of Reproductive Health </w:t>
      </w:r>
      <w:r w:rsidR="002A3813">
        <w:rPr>
          <w:rFonts w:cstheme="minorHAnsi"/>
          <w:color w:val="17365D" w:themeColor="text2" w:themeShade="BF"/>
        </w:rPr>
        <w:t xml:space="preserve">and the Office of Population Affairs </w:t>
      </w:r>
      <w:r>
        <w:rPr>
          <w:rFonts w:cstheme="minorHAnsi"/>
          <w:color w:val="17365D" w:themeColor="text2" w:themeShade="BF"/>
        </w:rPr>
        <w:t xml:space="preserve">to evaluate the 3 sets of U.S. family planning guidelines discussed in our information collection request, Table 1 summarizes the various constructs included in our </w:t>
      </w:r>
      <w:r w:rsidR="00D926D6">
        <w:rPr>
          <w:rFonts w:cstheme="minorHAnsi"/>
          <w:color w:val="17365D" w:themeColor="text2" w:themeShade="BF"/>
        </w:rPr>
        <w:t>instruments, the survey number on each survey that measures the construct (if applicable), as well as the U.S. family planning guideline</w:t>
      </w:r>
      <w:r w:rsidR="00782DFD">
        <w:rPr>
          <w:rFonts w:cstheme="minorHAnsi"/>
          <w:color w:val="17365D" w:themeColor="text2" w:themeShade="BF"/>
        </w:rPr>
        <w:t>(s)</w:t>
      </w:r>
      <w:r w:rsidR="00D926D6">
        <w:rPr>
          <w:rFonts w:cstheme="minorHAnsi"/>
          <w:color w:val="17365D" w:themeColor="text2" w:themeShade="BF"/>
        </w:rPr>
        <w:t xml:space="preserve"> that the</w:t>
      </w:r>
      <w:r w:rsidR="002A3813">
        <w:rPr>
          <w:rFonts w:cstheme="minorHAnsi"/>
          <w:color w:val="17365D" w:themeColor="text2" w:themeShade="BF"/>
        </w:rPr>
        <w:t xml:space="preserve"> survey </w:t>
      </w:r>
      <w:r w:rsidR="006F7FCC">
        <w:rPr>
          <w:rFonts w:cstheme="minorHAnsi"/>
          <w:color w:val="17365D" w:themeColor="text2" w:themeShade="BF"/>
        </w:rPr>
        <w:t>construct</w:t>
      </w:r>
      <w:r w:rsidR="002A3813">
        <w:rPr>
          <w:rFonts w:cstheme="minorHAnsi"/>
          <w:color w:val="17365D" w:themeColor="text2" w:themeShade="BF"/>
        </w:rPr>
        <w:t xml:space="preserve"> serves as an evaluation measure.  </w:t>
      </w:r>
    </w:p>
    <w:p w:rsidR="002A3813" w:rsidRPr="002A3813" w:rsidRDefault="002A3813" w:rsidP="00F33A98">
      <w:pPr>
        <w:spacing w:after="0"/>
        <w:rPr>
          <w:b/>
        </w:rPr>
      </w:pPr>
      <w:r w:rsidRPr="002A3813">
        <w:rPr>
          <w:b/>
        </w:rPr>
        <w:lastRenderedPageBreak/>
        <w:t>Table 1.  Summary</w:t>
      </w:r>
      <w:r w:rsidR="00F33A98">
        <w:rPr>
          <w:b/>
        </w:rPr>
        <w:t xml:space="preserve"> of survey c</w:t>
      </w:r>
      <w:r>
        <w:rPr>
          <w:b/>
        </w:rPr>
        <w:t>onstructs</w:t>
      </w:r>
      <w:r w:rsidR="00F33A98">
        <w:rPr>
          <w:b/>
        </w:rPr>
        <w:t>, survey numbers measuring each construct, and relevant U.S. family planning guidance document</w:t>
      </w:r>
    </w:p>
    <w:tbl>
      <w:tblPr>
        <w:tblStyle w:val="TableGrid"/>
        <w:tblW w:w="135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515"/>
        <w:gridCol w:w="1515"/>
        <w:gridCol w:w="1515"/>
        <w:gridCol w:w="1515"/>
        <w:gridCol w:w="1515"/>
        <w:gridCol w:w="1515"/>
      </w:tblGrid>
      <w:tr w:rsidR="002A3813" w:rsidTr="002A3813">
        <w:trPr>
          <w:trHeight w:val="521"/>
          <w:tblHeader/>
        </w:trPr>
        <w:tc>
          <w:tcPr>
            <w:tcW w:w="4410" w:type="dxa"/>
            <w:vMerge w:val="restart"/>
            <w:tcBorders>
              <w:top w:val="single" w:sz="4" w:space="0" w:color="auto"/>
              <w:left w:val="single" w:sz="12" w:space="0" w:color="auto"/>
              <w:bottom w:val="single" w:sz="12" w:space="0" w:color="auto"/>
              <w:right w:val="single" w:sz="12" w:space="0" w:color="auto"/>
            </w:tcBorders>
            <w:vAlign w:val="center"/>
          </w:tcPr>
          <w:p w:rsidR="002A3813" w:rsidRPr="00986DCC" w:rsidRDefault="002A3813" w:rsidP="00F33A98">
            <w:pPr>
              <w:rPr>
                <w:b/>
              </w:rPr>
            </w:pPr>
            <w:r w:rsidRPr="00986DCC">
              <w:rPr>
                <w:b/>
              </w:rPr>
              <w:t>Survey Construct</w:t>
            </w:r>
          </w:p>
        </w:tc>
        <w:tc>
          <w:tcPr>
            <w:tcW w:w="4545" w:type="dxa"/>
            <w:gridSpan w:val="3"/>
            <w:tcBorders>
              <w:top w:val="single" w:sz="4" w:space="0" w:color="auto"/>
              <w:left w:val="single" w:sz="12" w:space="0" w:color="auto"/>
              <w:bottom w:val="single" w:sz="12" w:space="0" w:color="auto"/>
              <w:right w:val="single" w:sz="12" w:space="0" w:color="auto"/>
            </w:tcBorders>
            <w:vAlign w:val="center"/>
          </w:tcPr>
          <w:p w:rsidR="002A3813" w:rsidRPr="008A5DEA" w:rsidRDefault="002A3813" w:rsidP="00F33A98">
            <w:pPr>
              <w:jc w:val="center"/>
              <w:rPr>
                <w:b/>
              </w:rPr>
            </w:pPr>
            <w:r>
              <w:rPr>
                <w:b/>
              </w:rPr>
              <w:t>Survey Number</w:t>
            </w:r>
          </w:p>
        </w:tc>
        <w:tc>
          <w:tcPr>
            <w:tcW w:w="4545" w:type="dxa"/>
            <w:gridSpan w:val="3"/>
            <w:tcBorders>
              <w:top w:val="single" w:sz="4" w:space="0" w:color="auto"/>
              <w:left w:val="single" w:sz="12" w:space="0" w:color="auto"/>
              <w:bottom w:val="single" w:sz="12" w:space="0" w:color="auto"/>
              <w:right w:val="single" w:sz="12" w:space="0" w:color="auto"/>
            </w:tcBorders>
            <w:vAlign w:val="center"/>
          </w:tcPr>
          <w:p w:rsidR="002A3813" w:rsidRPr="008A5DEA" w:rsidRDefault="002A3813" w:rsidP="00F33A98">
            <w:pPr>
              <w:jc w:val="center"/>
              <w:rPr>
                <w:b/>
              </w:rPr>
            </w:pPr>
            <w:r>
              <w:rPr>
                <w:b/>
              </w:rPr>
              <w:t>Evaluation Measure for:</w:t>
            </w:r>
          </w:p>
        </w:tc>
      </w:tr>
      <w:tr w:rsidR="002A3813" w:rsidTr="002A3813">
        <w:trPr>
          <w:trHeight w:val="521"/>
          <w:tblHeader/>
        </w:trPr>
        <w:tc>
          <w:tcPr>
            <w:tcW w:w="4410" w:type="dxa"/>
            <w:vMerge/>
            <w:tcBorders>
              <w:left w:val="single" w:sz="12" w:space="0" w:color="auto"/>
              <w:bottom w:val="single" w:sz="12" w:space="0" w:color="auto"/>
              <w:right w:val="single" w:sz="12" w:space="0" w:color="auto"/>
            </w:tcBorders>
          </w:tcPr>
          <w:p w:rsidR="002A3813" w:rsidRDefault="002A3813" w:rsidP="002A3813"/>
        </w:tc>
        <w:tc>
          <w:tcPr>
            <w:tcW w:w="1515" w:type="dxa"/>
            <w:tcBorders>
              <w:top w:val="single" w:sz="12" w:space="0" w:color="auto"/>
              <w:left w:val="single" w:sz="12" w:space="0" w:color="auto"/>
              <w:bottom w:val="single" w:sz="12" w:space="0" w:color="auto"/>
              <w:right w:val="single" w:sz="12" w:space="0" w:color="auto"/>
            </w:tcBorders>
            <w:vAlign w:val="center"/>
          </w:tcPr>
          <w:p w:rsidR="002A3813" w:rsidRPr="008A5DEA" w:rsidRDefault="002A3813" w:rsidP="002A3813">
            <w:pPr>
              <w:jc w:val="center"/>
              <w:rPr>
                <w:b/>
              </w:rPr>
            </w:pPr>
            <w:r w:rsidRPr="008A5DEA">
              <w:rPr>
                <w:b/>
              </w:rPr>
              <w:t>Phase 1 Provider Survey</w:t>
            </w:r>
          </w:p>
        </w:tc>
        <w:tc>
          <w:tcPr>
            <w:tcW w:w="1515" w:type="dxa"/>
            <w:tcBorders>
              <w:top w:val="single" w:sz="12" w:space="0" w:color="auto"/>
              <w:left w:val="single" w:sz="12" w:space="0" w:color="auto"/>
              <w:bottom w:val="single" w:sz="12" w:space="0" w:color="auto"/>
              <w:right w:val="single" w:sz="12" w:space="0" w:color="auto"/>
            </w:tcBorders>
            <w:vAlign w:val="center"/>
          </w:tcPr>
          <w:p w:rsidR="002A3813" w:rsidRPr="008A5DEA" w:rsidRDefault="002A3813" w:rsidP="002A3813">
            <w:pPr>
              <w:jc w:val="center"/>
              <w:rPr>
                <w:b/>
              </w:rPr>
            </w:pPr>
            <w:r>
              <w:rPr>
                <w:b/>
              </w:rPr>
              <w:t>Phase 2</w:t>
            </w:r>
            <w:r w:rsidRPr="008A5DEA">
              <w:rPr>
                <w:b/>
              </w:rPr>
              <w:t xml:space="preserve"> Provider Survey</w:t>
            </w:r>
          </w:p>
        </w:tc>
        <w:tc>
          <w:tcPr>
            <w:tcW w:w="1515" w:type="dxa"/>
            <w:tcBorders>
              <w:top w:val="single" w:sz="12" w:space="0" w:color="auto"/>
              <w:left w:val="single" w:sz="12" w:space="0" w:color="auto"/>
              <w:bottom w:val="single" w:sz="12" w:space="0" w:color="auto"/>
              <w:right w:val="single" w:sz="12" w:space="0" w:color="auto"/>
            </w:tcBorders>
            <w:vAlign w:val="center"/>
          </w:tcPr>
          <w:p w:rsidR="002A3813" w:rsidRPr="008A5DEA" w:rsidRDefault="002A3813" w:rsidP="002A3813">
            <w:pPr>
              <w:jc w:val="center"/>
              <w:rPr>
                <w:b/>
              </w:rPr>
            </w:pPr>
            <w:r>
              <w:rPr>
                <w:b/>
              </w:rPr>
              <w:t>Phase 2</w:t>
            </w:r>
            <w:r w:rsidRPr="008A5DEA">
              <w:rPr>
                <w:b/>
              </w:rPr>
              <w:t xml:space="preserve"> </w:t>
            </w:r>
            <w:r>
              <w:rPr>
                <w:b/>
              </w:rPr>
              <w:t>Administrator</w:t>
            </w:r>
            <w:r w:rsidRPr="008A5DEA">
              <w:rPr>
                <w:b/>
              </w:rPr>
              <w:t xml:space="preserve"> Survey</w:t>
            </w:r>
          </w:p>
        </w:tc>
        <w:tc>
          <w:tcPr>
            <w:tcW w:w="1515" w:type="dxa"/>
            <w:tcBorders>
              <w:top w:val="single" w:sz="12" w:space="0" w:color="auto"/>
              <w:left w:val="single" w:sz="12" w:space="0" w:color="auto"/>
              <w:bottom w:val="single" w:sz="12" w:space="0" w:color="auto"/>
              <w:right w:val="single" w:sz="12" w:space="0" w:color="auto"/>
            </w:tcBorders>
            <w:vAlign w:val="center"/>
          </w:tcPr>
          <w:p w:rsidR="002A3813" w:rsidRPr="008A5DEA" w:rsidRDefault="002A3813" w:rsidP="002A3813">
            <w:pPr>
              <w:jc w:val="center"/>
              <w:rPr>
                <w:b/>
              </w:rPr>
            </w:pPr>
            <w:r>
              <w:rPr>
                <w:b/>
              </w:rPr>
              <w:t>2010 US MEC*</w:t>
            </w:r>
          </w:p>
        </w:tc>
        <w:tc>
          <w:tcPr>
            <w:tcW w:w="1515" w:type="dxa"/>
            <w:tcBorders>
              <w:top w:val="single" w:sz="12" w:space="0" w:color="auto"/>
              <w:left w:val="single" w:sz="12" w:space="0" w:color="auto"/>
              <w:bottom w:val="single" w:sz="12" w:space="0" w:color="auto"/>
              <w:right w:val="single" w:sz="12" w:space="0" w:color="auto"/>
            </w:tcBorders>
            <w:vAlign w:val="center"/>
          </w:tcPr>
          <w:p w:rsidR="002A3813" w:rsidRPr="008A5DEA" w:rsidRDefault="002A3813" w:rsidP="002A3813">
            <w:pPr>
              <w:jc w:val="center"/>
              <w:rPr>
                <w:b/>
              </w:rPr>
            </w:pPr>
            <w:r>
              <w:rPr>
                <w:b/>
              </w:rPr>
              <w:t>2013 US SPR*</w:t>
            </w:r>
          </w:p>
        </w:tc>
        <w:tc>
          <w:tcPr>
            <w:tcW w:w="1515" w:type="dxa"/>
            <w:tcBorders>
              <w:top w:val="single" w:sz="12" w:space="0" w:color="auto"/>
              <w:left w:val="single" w:sz="12" w:space="0" w:color="auto"/>
              <w:bottom w:val="single" w:sz="12" w:space="0" w:color="auto"/>
              <w:right w:val="single" w:sz="12" w:space="0" w:color="auto"/>
            </w:tcBorders>
            <w:vAlign w:val="center"/>
          </w:tcPr>
          <w:p w:rsidR="002A3813" w:rsidRPr="008A5DEA" w:rsidRDefault="002A3813" w:rsidP="002A3813">
            <w:pPr>
              <w:jc w:val="center"/>
              <w:rPr>
                <w:b/>
              </w:rPr>
            </w:pPr>
            <w:r>
              <w:rPr>
                <w:b/>
              </w:rPr>
              <w:t>2013 QFPS*</w:t>
            </w:r>
          </w:p>
        </w:tc>
      </w:tr>
      <w:tr w:rsidR="002A3813" w:rsidTr="002A3813">
        <w:tc>
          <w:tcPr>
            <w:tcW w:w="4410" w:type="dxa"/>
            <w:tcBorders>
              <w:top w:val="single" w:sz="12" w:space="0" w:color="auto"/>
              <w:left w:val="single" w:sz="12" w:space="0" w:color="auto"/>
              <w:right w:val="single" w:sz="12" w:space="0" w:color="auto"/>
            </w:tcBorders>
            <w:shd w:val="clear" w:color="auto" w:fill="D9D9D9" w:themeFill="background1" w:themeFillShade="D9"/>
          </w:tcPr>
          <w:p w:rsidR="002A3813" w:rsidRPr="00986DCC" w:rsidRDefault="002A3813" w:rsidP="00C73ADE">
            <w:pPr>
              <w:rPr>
                <w:i/>
              </w:rPr>
            </w:pPr>
            <w:r w:rsidRPr="00986DCC">
              <w:rPr>
                <w:i/>
              </w:rPr>
              <w:t xml:space="preserve">Safety Attitudes </w:t>
            </w: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COCs for women with certain characteristics</w:t>
            </w:r>
          </w:p>
        </w:tc>
        <w:tc>
          <w:tcPr>
            <w:tcW w:w="1515" w:type="dxa"/>
            <w:tcBorders>
              <w:left w:val="single" w:sz="12" w:space="0" w:color="auto"/>
              <w:right w:val="single" w:sz="12" w:space="0" w:color="auto"/>
            </w:tcBorders>
          </w:tcPr>
          <w:p w:rsidR="002A3813" w:rsidRDefault="002A3813" w:rsidP="002A3813">
            <w:pPr>
              <w:jc w:val="center"/>
            </w:pPr>
            <w:r>
              <w:t>15</w:t>
            </w:r>
          </w:p>
        </w:tc>
        <w:tc>
          <w:tcPr>
            <w:tcW w:w="1515" w:type="dxa"/>
            <w:tcBorders>
              <w:left w:val="single" w:sz="12" w:space="0" w:color="auto"/>
              <w:right w:val="single" w:sz="12" w:space="0" w:color="auto"/>
            </w:tcBorders>
          </w:tcPr>
          <w:p w:rsidR="002A3813" w:rsidRDefault="002A3813" w:rsidP="002A3813">
            <w:pPr>
              <w:jc w:val="center"/>
            </w:pPr>
            <w:r>
              <w:t>13</w:t>
            </w:r>
            <w:r w:rsidR="00C73ADE">
              <w:t>, 14</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r>
      <w:tr w:rsidR="002A3813" w:rsidTr="002A3813">
        <w:tc>
          <w:tcPr>
            <w:tcW w:w="4410" w:type="dxa"/>
            <w:tcBorders>
              <w:left w:val="single" w:sz="12" w:space="0" w:color="auto"/>
              <w:right w:val="single" w:sz="12" w:space="0" w:color="auto"/>
            </w:tcBorders>
          </w:tcPr>
          <w:p w:rsidR="002A3813" w:rsidRDefault="002A3813" w:rsidP="002A3813">
            <w:r>
              <w:t>IUDs for women with certain characteristics</w:t>
            </w:r>
          </w:p>
        </w:tc>
        <w:tc>
          <w:tcPr>
            <w:tcW w:w="1515" w:type="dxa"/>
            <w:tcBorders>
              <w:left w:val="single" w:sz="12" w:space="0" w:color="auto"/>
              <w:right w:val="single" w:sz="12" w:space="0" w:color="auto"/>
            </w:tcBorders>
          </w:tcPr>
          <w:p w:rsidR="002A3813" w:rsidRDefault="002A3813" w:rsidP="002A3813">
            <w:pPr>
              <w:jc w:val="center"/>
            </w:pPr>
            <w:r>
              <w:t>16, 17</w:t>
            </w:r>
          </w:p>
        </w:tc>
        <w:tc>
          <w:tcPr>
            <w:tcW w:w="1515" w:type="dxa"/>
            <w:tcBorders>
              <w:left w:val="single" w:sz="12" w:space="0" w:color="auto"/>
              <w:right w:val="single" w:sz="12" w:space="0" w:color="auto"/>
            </w:tcBorders>
          </w:tcPr>
          <w:p w:rsidR="002A3813" w:rsidRDefault="003A2139" w:rsidP="002A3813">
            <w:pPr>
              <w:jc w:val="center"/>
            </w:pPr>
            <w:r>
              <w:t>15</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DMPA for women with certain characteristics</w:t>
            </w:r>
          </w:p>
        </w:tc>
        <w:tc>
          <w:tcPr>
            <w:tcW w:w="1515" w:type="dxa"/>
            <w:tcBorders>
              <w:left w:val="single" w:sz="12" w:space="0" w:color="auto"/>
              <w:right w:val="single" w:sz="12" w:space="0" w:color="auto"/>
            </w:tcBorders>
          </w:tcPr>
          <w:p w:rsidR="002A3813" w:rsidRDefault="002A3813" w:rsidP="002A3813">
            <w:pPr>
              <w:jc w:val="center"/>
            </w:pPr>
            <w:r>
              <w:t>18</w:t>
            </w:r>
          </w:p>
        </w:tc>
        <w:tc>
          <w:tcPr>
            <w:tcW w:w="1515" w:type="dxa"/>
            <w:tcBorders>
              <w:left w:val="single" w:sz="12" w:space="0" w:color="auto"/>
              <w:right w:val="single" w:sz="12" w:space="0" w:color="auto"/>
            </w:tcBorders>
          </w:tcPr>
          <w:p w:rsidR="002A3813" w:rsidRDefault="003A2139" w:rsidP="002A3813">
            <w:pPr>
              <w:jc w:val="center"/>
            </w:pPr>
            <w:r>
              <w:t>16</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r>
      <w:tr w:rsidR="002A3813" w:rsidTr="002A3813">
        <w:tc>
          <w:tcPr>
            <w:tcW w:w="4410" w:type="dxa"/>
            <w:tcBorders>
              <w:left w:val="single" w:sz="12" w:space="0" w:color="auto"/>
              <w:right w:val="single" w:sz="12" w:space="0" w:color="auto"/>
            </w:tcBorders>
          </w:tcPr>
          <w:p w:rsidR="002A3813" w:rsidRDefault="002A3813" w:rsidP="002A3813">
            <w:r>
              <w:t xml:space="preserve">‘Quick Start’ for COCs </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17</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‘Quick Start’ for DMPA</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17</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rsidRPr="00F25A8D">
              <w:t>X</w:t>
            </w:r>
          </w:p>
        </w:tc>
        <w:tc>
          <w:tcPr>
            <w:tcW w:w="1515" w:type="dxa"/>
            <w:tcBorders>
              <w:left w:val="single" w:sz="12" w:space="0" w:color="auto"/>
              <w:right w:val="single" w:sz="12" w:space="0" w:color="auto"/>
            </w:tcBorders>
          </w:tcPr>
          <w:p w:rsidR="002A3813" w:rsidRDefault="002A3813" w:rsidP="002A3813">
            <w:pPr>
              <w:jc w:val="center"/>
            </w:pPr>
            <w:r w:rsidRPr="00F25A8D">
              <w:t>X</w:t>
            </w:r>
          </w:p>
        </w:tc>
      </w:tr>
      <w:tr w:rsidR="002A3813" w:rsidTr="002A3813">
        <w:tc>
          <w:tcPr>
            <w:tcW w:w="4410" w:type="dxa"/>
            <w:tcBorders>
              <w:left w:val="single" w:sz="12" w:space="0" w:color="auto"/>
              <w:right w:val="single" w:sz="12" w:space="0" w:color="auto"/>
            </w:tcBorders>
          </w:tcPr>
          <w:p w:rsidR="002A3813" w:rsidRDefault="002A3813" w:rsidP="002A3813">
            <w:r>
              <w:t>‘Quick Start’ for implants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17</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rsidRPr="00F25A8D">
              <w:t>X</w:t>
            </w:r>
          </w:p>
        </w:tc>
        <w:tc>
          <w:tcPr>
            <w:tcW w:w="1515" w:type="dxa"/>
            <w:tcBorders>
              <w:left w:val="single" w:sz="12" w:space="0" w:color="auto"/>
              <w:right w:val="single" w:sz="12" w:space="0" w:color="auto"/>
            </w:tcBorders>
          </w:tcPr>
          <w:p w:rsidR="002A3813" w:rsidRDefault="002A3813" w:rsidP="002A3813">
            <w:pPr>
              <w:jc w:val="center"/>
            </w:pPr>
            <w:r w:rsidRPr="00F25A8D">
              <w:t>X</w:t>
            </w:r>
          </w:p>
        </w:tc>
      </w:tr>
      <w:tr w:rsidR="002A3813" w:rsidTr="002A3813">
        <w:tc>
          <w:tcPr>
            <w:tcW w:w="4410" w:type="dxa"/>
            <w:tcBorders>
              <w:left w:val="single" w:sz="12" w:space="0" w:color="auto"/>
              <w:right w:val="single" w:sz="12" w:space="0" w:color="auto"/>
            </w:tcBorders>
          </w:tcPr>
          <w:p w:rsidR="002A3813" w:rsidRDefault="002A3813" w:rsidP="002A3813">
            <w:r>
              <w:t>‘Quick Start’ for IUDS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17</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rsidRPr="00F25A8D">
              <w:t>X</w:t>
            </w:r>
          </w:p>
        </w:tc>
        <w:tc>
          <w:tcPr>
            <w:tcW w:w="1515" w:type="dxa"/>
            <w:tcBorders>
              <w:left w:val="single" w:sz="12" w:space="0" w:color="auto"/>
              <w:right w:val="single" w:sz="12" w:space="0" w:color="auto"/>
            </w:tcBorders>
          </w:tcPr>
          <w:p w:rsidR="002A3813" w:rsidRDefault="002A3813" w:rsidP="002A3813">
            <w:pPr>
              <w:jc w:val="center"/>
            </w:pPr>
            <w:r w:rsidRPr="00F25A8D">
              <w:t>X</w:t>
            </w:r>
          </w:p>
        </w:tc>
      </w:tr>
      <w:tr w:rsidR="002A3813" w:rsidTr="002A3813">
        <w:tc>
          <w:tcPr>
            <w:tcW w:w="4410" w:type="dxa"/>
            <w:tcBorders>
              <w:left w:val="single" w:sz="12" w:space="0" w:color="auto"/>
              <w:right w:val="single" w:sz="12" w:space="0" w:color="auto"/>
            </w:tcBorders>
            <w:shd w:val="clear" w:color="auto" w:fill="D9D9D9" w:themeFill="background1" w:themeFillShade="D9"/>
          </w:tcPr>
          <w:p w:rsidR="002A3813" w:rsidRPr="00986DCC" w:rsidRDefault="002A3813" w:rsidP="002A3813">
            <w:pPr>
              <w:rPr>
                <w:i/>
              </w:rPr>
            </w:pPr>
            <w:r w:rsidRPr="00986DCC">
              <w:rPr>
                <w:i/>
              </w:rPr>
              <w:t>Practices</w:t>
            </w: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DMPA for adolescents</w:t>
            </w:r>
          </w:p>
        </w:tc>
        <w:tc>
          <w:tcPr>
            <w:tcW w:w="1515" w:type="dxa"/>
            <w:tcBorders>
              <w:left w:val="single" w:sz="12" w:space="0" w:color="auto"/>
              <w:right w:val="single" w:sz="12" w:space="0" w:color="auto"/>
            </w:tcBorders>
          </w:tcPr>
          <w:p w:rsidR="002A3813" w:rsidRDefault="002A3813" w:rsidP="002A3813">
            <w:pPr>
              <w:jc w:val="center"/>
            </w:pPr>
            <w:r>
              <w:t>19</w:t>
            </w:r>
          </w:p>
        </w:tc>
        <w:tc>
          <w:tcPr>
            <w:tcW w:w="1515" w:type="dxa"/>
            <w:tcBorders>
              <w:left w:val="single" w:sz="12" w:space="0" w:color="auto"/>
              <w:right w:val="single" w:sz="12" w:space="0" w:color="auto"/>
            </w:tcBorders>
          </w:tcPr>
          <w:p w:rsidR="002A3813" w:rsidRDefault="003A2139" w:rsidP="002A3813">
            <w:pPr>
              <w:jc w:val="center"/>
            </w:pPr>
            <w:r>
              <w:t>19</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r>
      <w:tr w:rsidR="002A3813" w:rsidTr="002A3813">
        <w:tc>
          <w:tcPr>
            <w:tcW w:w="4410" w:type="dxa"/>
            <w:tcBorders>
              <w:left w:val="single" w:sz="12" w:space="0" w:color="auto"/>
              <w:right w:val="single" w:sz="12" w:space="0" w:color="auto"/>
            </w:tcBorders>
          </w:tcPr>
          <w:p w:rsidR="002A3813" w:rsidRDefault="002A3813" w:rsidP="002A3813">
            <w:r>
              <w:t>COC for postpartum women</w:t>
            </w:r>
          </w:p>
        </w:tc>
        <w:tc>
          <w:tcPr>
            <w:tcW w:w="1515" w:type="dxa"/>
            <w:tcBorders>
              <w:left w:val="single" w:sz="12" w:space="0" w:color="auto"/>
              <w:right w:val="single" w:sz="12" w:space="0" w:color="auto"/>
            </w:tcBorders>
          </w:tcPr>
          <w:p w:rsidR="002A3813" w:rsidRDefault="002A3813" w:rsidP="002A3813">
            <w:pPr>
              <w:jc w:val="center"/>
            </w:pPr>
            <w:r>
              <w:t>20</w:t>
            </w:r>
          </w:p>
        </w:tc>
        <w:tc>
          <w:tcPr>
            <w:tcW w:w="1515" w:type="dxa"/>
            <w:tcBorders>
              <w:left w:val="single" w:sz="12" w:space="0" w:color="auto"/>
              <w:right w:val="single" w:sz="12" w:space="0" w:color="auto"/>
            </w:tcBorders>
          </w:tcPr>
          <w:p w:rsidR="002A3813" w:rsidRDefault="003A2139" w:rsidP="002A3813">
            <w:pPr>
              <w:jc w:val="center"/>
            </w:pPr>
            <w:r>
              <w:t>20</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r>
      <w:tr w:rsidR="002A3813" w:rsidTr="002A3813">
        <w:tc>
          <w:tcPr>
            <w:tcW w:w="4410" w:type="dxa"/>
            <w:tcBorders>
              <w:left w:val="single" w:sz="12" w:space="0" w:color="auto"/>
              <w:right w:val="single" w:sz="12" w:space="0" w:color="auto"/>
            </w:tcBorders>
          </w:tcPr>
          <w:p w:rsidR="002A3813" w:rsidRDefault="002A3813" w:rsidP="002A3813">
            <w:r>
              <w:t>IUDs for nulliparous women</w:t>
            </w:r>
          </w:p>
        </w:tc>
        <w:tc>
          <w:tcPr>
            <w:tcW w:w="1515" w:type="dxa"/>
            <w:tcBorders>
              <w:left w:val="single" w:sz="12" w:space="0" w:color="auto"/>
              <w:right w:val="single" w:sz="12" w:space="0" w:color="auto"/>
            </w:tcBorders>
          </w:tcPr>
          <w:p w:rsidR="002A3813" w:rsidRDefault="002A3813" w:rsidP="002A3813">
            <w:pPr>
              <w:jc w:val="center"/>
            </w:pPr>
            <w:r>
              <w:t>21, 22</w:t>
            </w:r>
          </w:p>
        </w:tc>
        <w:tc>
          <w:tcPr>
            <w:tcW w:w="1515" w:type="dxa"/>
            <w:tcBorders>
              <w:left w:val="single" w:sz="12" w:space="0" w:color="auto"/>
              <w:right w:val="single" w:sz="12" w:space="0" w:color="auto"/>
            </w:tcBorders>
          </w:tcPr>
          <w:p w:rsidR="002A3813" w:rsidRDefault="003A2139" w:rsidP="002A3813">
            <w:pPr>
              <w:jc w:val="center"/>
            </w:pPr>
            <w:r>
              <w:t>21</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 xml:space="preserve">‘Quick Start’ for COCs </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23</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 xml:space="preserve">‘Quick Start’ for DMPA </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24</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Contraceptive counseling practices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18</w:t>
            </w:r>
          </w:p>
        </w:tc>
        <w:tc>
          <w:tcPr>
            <w:tcW w:w="1515" w:type="dxa"/>
            <w:tcBorders>
              <w:left w:val="single" w:sz="12" w:space="0" w:color="auto"/>
              <w:right w:val="single" w:sz="12" w:space="0" w:color="auto"/>
            </w:tcBorders>
          </w:tcPr>
          <w:p w:rsidR="002A3813" w:rsidRDefault="002A3813" w:rsidP="002A3813">
            <w:pPr>
              <w:jc w:val="center"/>
            </w:pPr>
            <w:r>
              <w:t>13</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 xml:space="preserve">Required exams and tests </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22</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Recommended follow up</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25</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w:t>
            </w:r>
          </w:p>
        </w:tc>
      </w:tr>
      <w:tr w:rsidR="002A3813" w:rsidTr="002A3813">
        <w:tc>
          <w:tcPr>
            <w:tcW w:w="4410" w:type="dxa"/>
            <w:tcBorders>
              <w:left w:val="single" w:sz="12" w:space="0" w:color="auto"/>
              <w:right w:val="single" w:sz="12" w:space="0" w:color="auto"/>
            </w:tcBorders>
          </w:tcPr>
          <w:p w:rsidR="002A3813" w:rsidRDefault="002A3813" w:rsidP="002A3813">
            <w:r>
              <w:t xml:space="preserve">Emergency contraception </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26</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Dispensing year’s supply of pills at 1 visit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27</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Contraceptive method availability</w:t>
            </w:r>
          </w:p>
        </w:tc>
        <w:tc>
          <w:tcPr>
            <w:tcW w:w="1515" w:type="dxa"/>
            <w:tcBorders>
              <w:left w:val="single" w:sz="12" w:space="0" w:color="auto"/>
              <w:right w:val="single" w:sz="12" w:space="0" w:color="auto"/>
            </w:tcBorders>
          </w:tcPr>
          <w:p w:rsidR="002A3813" w:rsidRDefault="002A3813" w:rsidP="002A3813">
            <w:pPr>
              <w:jc w:val="center"/>
            </w:pPr>
            <w:r>
              <w:t>14</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9</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Cervical cancer screening</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3A2139" w:rsidP="002A3813">
            <w:pPr>
              <w:jc w:val="center"/>
            </w:pPr>
            <w:r>
              <w:t>29, 30</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Family planning services provided</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10</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Referral practices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11</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Preconception care services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12</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shd w:val="clear" w:color="auto" w:fill="D9D9D9" w:themeFill="background1" w:themeFillShade="D9"/>
          </w:tcPr>
          <w:p w:rsidR="002A3813" w:rsidRPr="00986DCC" w:rsidRDefault="002A3813" w:rsidP="002A3813">
            <w:pPr>
              <w:rPr>
                <w:i/>
              </w:rPr>
            </w:pPr>
            <w:r>
              <w:rPr>
                <w:i/>
              </w:rPr>
              <w:t>Sources of Information/Tools</w:t>
            </w: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Preferred provider tools</w:t>
            </w:r>
          </w:p>
        </w:tc>
        <w:tc>
          <w:tcPr>
            <w:tcW w:w="1515" w:type="dxa"/>
            <w:tcBorders>
              <w:left w:val="single" w:sz="12" w:space="0" w:color="auto"/>
              <w:right w:val="single" w:sz="12" w:space="0" w:color="auto"/>
            </w:tcBorders>
          </w:tcPr>
          <w:p w:rsidR="002A3813" w:rsidRDefault="002A3813" w:rsidP="002A3813">
            <w:pPr>
              <w:jc w:val="center"/>
            </w:pPr>
            <w:r>
              <w:t>23</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Preferred continuing education sources</w:t>
            </w:r>
          </w:p>
        </w:tc>
        <w:tc>
          <w:tcPr>
            <w:tcW w:w="1515" w:type="dxa"/>
            <w:tcBorders>
              <w:left w:val="single" w:sz="12" w:space="0" w:color="auto"/>
              <w:right w:val="single" w:sz="12" w:space="0" w:color="auto"/>
            </w:tcBorders>
          </w:tcPr>
          <w:p w:rsidR="002A3813" w:rsidRDefault="002A3813" w:rsidP="002A3813">
            <w:pPr>
              <w:jc w:val="center"/>
            </w:pPr>
            <w:r>
              <w:t>24</w:t>
            </w:r>
          </w:p>
        </w:tc>
        <w:tc>
          <w:tcPr>
            <w:tcW w:w="1515" w:type="dxa"/>
            <w:tcBorders>
              <w:left w:val="single" w:sz="12" w:space="0" w:color="auto"/>
              <w:right w:val="single" w:sz="12" w:space="0" w:color="auto"/>
            </w:tcBorders>
          </w:tcPr>
          <w:p w:rsidR="002A3813" w:rsidRDefault="003A2139" w:rsidP="002A3813">
            <w:pPr>
              <w:jc w:val="center"/>
            </w:pPr>
            <w:r>
              <w:t>28</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shd w:val="clear" w:color="auto" w:fill="D9D9D9" w:themeFill="background1" w:themeFillShade="D9"/>
          </w:tcPr>
          <w:p w:rsidR="002A3813" w:rsidRPr="00986DCC" w:rsidRDefault="002A3813" w:rsidP="002A3813">
            <w:pPr>
              <w:rPr>
                <w:i/>
              </w:rPr>
            </w:pPr>
            <w:r>
              <w:rPr>
                <w:i/>
              </w:rPr>
              <w:t>Awareness of Guidelines</w:t>
            </w: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r>
      <w:tr w:rsidR="002A3813" w:rsidTr="00C73ADE">
        <w:tc>
          <w:tcPr>
            <w:tcW w:w="4410" w:type="dxa"/>
            <w:tcBorders>
              <w:left w:val="single" w:sz="12" w:space="0" w:color="auto"/>
              <w:right w:val="single" w:sz="12" w:space="0" w:color="auto"/>
            </w:tcBorders>
          </w:tcPr>
          <w:p w:rsidR="002A3813" w:rsidRDefault="002A3813" w:rsidP="002A3813">
            <w:r>
              <w:t>Awareness of US MEC</w:t>
            </w:r>
            <w:r w:rsidR="00784CD5">
              <w:t>, US SPR, or QFPS</w:t>
            </w:r>
          </w:p>
        </w:tc>
        <w:tc>
          <w:tcPr>
            <w:tcW w:w="1515" w:type="dxa"/>
            <w:tcBorders>
              <w:left w:val="single" w:sz="12" w:space="0" w:color="auto"/>
              <w:right w:val="single" w:sz="12" w:space="0" w:color="auto"/>
            </w:tcBorders>
          </w:tcPr>
          <w:p w:rsidR="002A3813" w:rsidRDefault="002A3813" w:rsidP="002A3813">
            <w:pPr>
              <w:jc w:val="center"/>
            </w:pPr>
            <w:r>
              <w:t>25</w:t>
            </w:r>
          </w:p>
        </w:tc>
        <w:tc>
          <w:tcPr>
            <w:tcW w:w="1515" w:type="dxa"/>
            <w:tcBorders>
              <w:left w:val="single" w:sz="12" w:space="0" w:color="auto"/>
              <w:right w:val="single" w:sz="12" w:space="0" w:color="auto"/>
            </w:tcBorders>
          </w:tcPr>
          <w:p w:rsidR="002A3813" w:rsidRDefault="003A2139" w:rsidP="002A3813">
            <w:pPr>
              <w:jc w:val="center"/>
            </w:pPr>
            <w:r>
              <w:t>31</w:t>
            </w:r>
          </w:p>
        </w:tc>
        <w:tc>
          <w:tcPr>
            <w:tcW w:w="1515" w:type="dxa"/>
            <w:tcBorders>
              <w:left w:val="single" w:sz="12" w:space="0" w:color="auto"/>
              <w:right w:val="single" w:sz="12" w:space="0" w:color="auto"/>
            </w:tcBorders>
          </w:tcPr>
          <w:p w:rsidR="002A3813" w:rsidRDefault="00784CD5" w:rsidP="002A3813">
            <w:pPr>
              <w:jc w:val="center"/>
            </w:pPr>
            <w:r>
              <w:t>25</w:t>
            </w:r>
          </w:p>
        </w:tc>
        <w:tc>
          <w:tcPr>
            <w:tcW w:w="1515" w:type="dxa"/>
            <w:tcBorders>
              <w:left w:val="single" w:sz="12" w:space="0" w:color="auto"/>
              <w:right w:val="single" w:sz="12" w:space="0" w:color="auto"/>
            </w:tcBorders>
          </w:tcPr>
          <w:p w:rsidR="002A3813" w:rsidRDefault="002A3813" w:rsidP="002A3813">
            <w:pPr>
              <w:jc w:val="center"/>
            </w:pPr>
            <w:r>
              <w:t>X</w:t>
            </w:r>
          </w:p>
        </w:tc>
        <w:tc>
          <w:tcPr>
            <w:tcW w:w="1515" w:type="dxa"/>
            <w:tcBorders>
              <w:left w:val="single" w:sz="12" w:space="0" w:color="auto"/>
              <w:right w:val="single" w:sz="12" w:space="0" w:color="auto"/>
            </w:tcBorders>
          </w:tcPr>
          <w:p w:rsidR="002A3813" w:rsidRDefault="00784CD5" w:rsidP="002A3813">
            <w:pPr>
              <w:jc w:val="center"/>
            </w:pPr>
            <w:r>
              <w:t>X</w:t>
            </w:r>
          </w:p>
        </w:tc>
        <w:tc>
          <w:tcPr>
            <w:tcW w:w="1515" w:type="dxa"/>
            <w:tcBorders>
              <w:left w:val="single" w:sz="12" w:space="0" w:color="auto"/>
              <w:right w:val="single" w:sz="12" w:space="0" w:color="auto"/>
            </w:tcBorders>
          </w:tcPr>
          <w:p w:rsidR="002A3813" w:rsidRDefault="00784CD5" w:rsidP="002A3813">
            <w:pPr>
              <w:jc w:val="center"/>
            </w:pPr>
            <w:r>
              <w:t>X</w:t>
            </w:r>
          </w:p>
        </w:tc>
      </w:tr>
      <w:tr w:rsidR="002A3813" w:rsidTr="00C73ADE">
        <w:tc>
          <w:tcPr>
            <w:tcW w:w="4410" w:type="dxa"/>
            <w:tcBorders>
              <w:left w:val="single" w:sz="12" w:space="0" w:color="auto"/>
              <w:bottom w:val="single" w:sz="4" w:space="0" w:color="auto"/>
              <w:right w:val="single" w:sz="12" w:space="0" w:color="auto"/>
            </w:tcBorders>
          </w:tcPr>
          <w:p w:rsidR="002A3813" w:rsidRDefault="002A3813" w:rsidP="002A3813">
            <w:bookmarkStart w:id="0" w:name="_GoBack"/>
            <w:r>
              <w:t>Awareness of US MEC provider tools</w:t>
            </w:r>
          </w:p>
        </w:tc>
        <w:tc>
          <w:tcPr>
            <w:tcW w:w="1515" w:type="dxa"/>
            <w:tcBorders>
              <w:left w:val="single" w:sz="12" w:space="0" w:color="auto"/>
              <w:bottom w:val="single" w:sz="4" w:space="0" w:color="auto"/>
              <w:right w:val="single" w:sz="12" w:space="0" w:color="auto"/>
            </w:tcBorders>
          </w:tcPr>
          <w:p w:rsidR="002A3813" w:rsidRDefault="002A3813" w:rsidP="002A3813">
            <w:pPr>
              <w:jc w:val="center"/>
            </w:pPr>
            <w:r>
              <w:t>--</w:t>
            </w:r>
          </w:p>
        </w:tc>
        <w:tc>
          <w:tcPr>
            <w:tcW w:w="1515" w:type="dxa"/>
            <w:tcBorders>
              <w:left w:val="single" w:sz="12" w:space="0" w:color="auto"/>
              <w:bottom w:val="single" w:sz="4" w:space="0" w:color="auto"/>
              <w:right w:val="single" w:sz="12" w:space="0" w:color="auto"/>
            </w:tcBorders>
          </w:tcPr>
          <w:p w:rsidR="002A3813" w:rsidRDefault="003A2139" w:rsidP="002A3813">
            <w:pPr>
              <w:jc w:val="center"/>
            </w:pPr>
            <w:r>
              <w:t>32</w:t>
            </w:r>
          </w:p>
        </w:tc>
        <w:tc>
          <w:tcPr>
            <w:tcW w:w="1515" w:type="dxa"/>
            <w:tcBorders>
              <w:left w:val="single" w:sz="12" w:space="0" w:color="auto"/>
              <w:bottom w:val="single" w:sz="4" w:space="0" w:color="auto"/>
              <w:right w:val="single" w:sz="12" w:space="0" w:color="auto"/>
            </w:tcBorders>
          </w:tcPr>
          <w:p w:rsidR="002A3813" w:rsidRDefault="002A3813" w:rsidP="002A3813">
            <w:pPr>
              <w:jc w:val="center"/>
            </w:pPr>
            <w:r>
              <w:t>--</w:t>
            </w:r>
          </w:p>
        </w:tc>
        <w:tc>
          <w:tcPr>
            <w:tcW w:w="1515" w:type="dxa"/>
            <w:tcBorders>
              <w:left w:val="single" w:sz="12" w:space="0" w:color="auto"/>
              <w:bottom w:val="single" w:sz="4" w:space="0" w:color="auto"/>
              <w:right w:val="single" w:sz="12" w:space="0" w:color="auto"/>
            </w:tcBorders>
          </w:tcPr>
          <w:p w:rsidR="002A3813" w:rsidRDefault="002A3813" w:rsidP="002A3813">
            <w:pPr>
              <w:jc w:val="center"/>
            </w:pPr>
            <w:r>
              <w:t>X</w:t>
            </w:r>
          </w:p>
        </w:tc>
        <w:tc>
          <w:tcPr>
            <w:tcW w:w="1515" w:type="dxa"/>
            <w:tcBorders>
              <w:left w:val="single" w:sz="12" w:space="0" w:color="auto"/>
              <w:bottom w:val="single" w:sz="4" w:space="0" w:color="auto"/>
              <w:right w:val="single" w:sz="12" w:space="0" w:color="auto"/>
            </w:tcBorders>
          </w:tcPr>
          <w:p w:rsidR="002A3813" w:rsidRDefault="002A3813" w:rsidP="002A3813">
            <w:pPr>
              <w:jc w:val="center"/>
            </w:pPr>
            <w:r>
              <w:t>--</w:t>
            </w:r>
          </w:p>
        </w:tc>
        <w:tc>
          <w:tcPr>
            <w:tcW w:w="1515" w:type="dxa"/>
            <w:tcBorders>
              <w:left w:val="single" w:sz="12" w:space="0" w:color="auto"/>
              <w:bottom w:val="single" w:sz="4" w:space="0" w:color="auto"/>
              <w:right w:val="single" w:sz="12" w:space="0" w:color="auto"/>
            </w:tcBorders>
          </w:tcPr>
          <w:p w:rsidR="002A3813" w:rsidRDefault="002A3813" w:rsidP="002A3813">
            <w:pPr>
              <w:jc w:val="center"/>
            </w:pPr>
            <w:r>
              <w:t>--</w:t>
            </w:r>
          </w:p>
        </w:tc>
      </w:tr>
      <w:bookmarkEnd w:id="0"/>
      <w:tr w:rsidR="002A3813" w:rsidTr="00C73ADE">
        <w:tc>
          <w:tcPr>
            <w:tcW w:w="4410" w:type="dxa"/>
            <w:tcBorders>
              <w:top w:val="single" w:sz="4" w:space="0" w:color="auto"/>
              <w:left w:val="single" w:sz="12" w:space="0" w:color="auto"/>
              <w:right w:val="single" w:sz="12" w:space="0" w:color="auto"/>
            </w:tcBorders>
          </w:tcPr>
          <w:p w:rsidR="002A3813" w:rsidRDefault="002A3813" w:rsidP="002A3813">
            <w:r>
              <w:lastRenderedPageBreak/>
              <w:t>Recommended new topics</w:t>
            </w:r>
          </w:p>
        </w:tc>
        <w:tc>
          <w:tcPr>
            <w:tcW w:w="1515" w:type="dxa"/>
            <w:tcBorders>
              <w:top w:val="single" w:sz="4" w:space="0" w:color="auto"/>
              <w:left w:val="single" w:sz="12" w:space="0" w:color="auto"/>
              <w:right w:val="single" w:sz="12" w:space="0" w:color="auto"/>
            </w:tcBorders>
          </w:tcPr>
          <w:p w:rsidR="002A3813" w:rsidRDefault="002A3813" w:rsidP="002A3813">
            <w:pPr>
              <w:jc w:val="center"/>
            </w:pPr>
            <w:r>
              <w:t>--</w:t>
            </w:r>
          </w:p>
        </w:tc>
        <w:tc>
          <w:tcPr>
            <w:tcW w:w="1515" w:type="dxa"/>
            <w:tcBorders>
              <w:top w:val="single" w:sz="4" w:space="0" w:color="auto"/>
              <w:left w:val="single" w:sz="12" w:space="0" w:color="auto"/>
              <w:right w:val="single" w:sz="12" w:space="0" w:color="auto"/>
            </w:tcBorders>
          </w:tcPr>
          <w:p w:rsidR="002A3813" w:rsidRDefault="003A2139" w:rsidP="002A3813">
            <w:pPr>
              <w:jc w:val="center"/>
            </w:pPr>
            <w:r>
              <w:t>33</w:t>
            </w:r>
          </w:p>
        </w:tc>
        <w:tc>
          <w:tcPr>
            <w:tcW w:w="1515" w:type="dxa"/>
            <w:tcBorders>
              <w:top w:val="single" w:sz="4" w:space="0" w:color="auto"/>
              <w:left w:val="single" w:sz="12" w:space="0" w:color="auto"/>
              <w:right w:val="single" w:sz="12" w:space="0" w:color="auto"/>
            </w:tcBorders>
          </w:tcPr>
          <w:p w:rsidR="002A3813" w:rsidRDefault="002A3813" w:rsidP="002A3813">
            <w:pPr>
              <w:jc w:val="center"/>
            </w:pPr>
            <w:r>
              <w:t>--</w:t>
            </w:r>
          </w:p>
        </w:tc>
        <w:tc>
          <w:tcPr>
            <w:tcW w:w="1515" w:type="dxa"/>
            <w:tcBorders>
              <w:top w:val="single" w:sz="4" w:space="0" w:color="auto"/>
              <w:left w:val="single" w:sz="12" w:space="0" w:color="auto"/>
              <w:right w:val="single" w:sz="12" w:space="0" w:color="auto"/>
            </w:tcBorders>
          </w:tcPr>
          <w:p w:rsidR="002A3813" w:rsidRDefault="002A3813" w:rsidP="002A3813">
            <w:pPr>
              <w:jc w:val="center"/>
            </w:pPr>
            <w:r>
              <w:t>X</w:t>
            </w:r>
          </w:p>
        </w:tc>
        <w:tc>
          <w:tcPr>
            <w:tcW w:w="1515" w:type="dxa"/>
            <w:tcBorders>
              <w:top w:val="single" w:sz="4" w:space="0" w:color="auto"/>
              <w:left w:val="single" w:sz="12" w:space="0" w:color="auto"/>
              <w:right w:val="single" w:sz="12" w:space="0" w:color="auto"/>
            </w:tcBorders>
          </w:tcPr>
          <w:p w:rsidR="002A3813" w:rsidRDefault="002A3813" w:rsidP="002A3813">
            <w:pPr>
              <w:jc w:val="center"/>
            </w:pPr>
            <w:r>
              <w:t>--</w:t>
            </w:r>
          </w:p>
        </w:tc>
        <w:tc>
          <w:tcPr>
            <w:tcW w:w="1515" w:type="dxa"/>
            <w:tcBorders>
              <w:top w:val="single" w:sz="4" w:space="0" w:color="auto"/>
              <w:left w:val="single" w:sz="12" w:space="0" w:color="auto"/>
              <w:right w:val="single" w:sz="12" w:space="0" w:color="auto"/>
            </w:tcBorders>
          </w:tcPr>
          <w:p w:rsidR="002A3813" w:rsidRDefault="002A3813" w:rsidP="002A3813">
            <w:pPr>
              <w:jc w:val="center"/>
            </w:pPr>
            <w:r>
              <w:t>--</w:t>
            </w:r>
          </w:p>
        </w:tc>
      </w:tr>
      <w:tr w:rsidR="002A3813" w:rsidRPr="00480B83" w:rsidTr="002A3813">
        <w:tc>
          <w:tcPr>
            <w:tcW w:w="4410" w:type="dxa"/>
            <w:tcBorders>
              <w:left w:val="single" w:sz="12" w:space="0" w:color="auto"/>
              <w:right w:val="single" w:sz="12" w:space="0" w:color="auto"/>
            </w:tcBorders>
            <w:shd w:val="clear" w:color="auto" w:fill="D9D9D9" w:themeFill="background1" w:themeFillShade="D9"/>
          </w:tcPr>
          <w:p w:rsidR="002A3813" w:rsidRPr="00480B83" w:rsidRDefault="002A3813" w:rsidP="002A3813">
            <w:pPr>
              <w:rPr>
                <w:i/>
              </w:rPr>
            </w:pPr>
            <w:r w:rsidRPr="00480B83">
              <w:rPr>
                <w:i/>
              </w:rPr>
              <w:t>Health center systems and programs</w:t>
            </w:r>
          </w:p>
        </w:tc>
        <w:tc>
          <w:tcPr>
            <w:tcW w:w="1515" w:type="dxa"/>
            <w:tcBorders>
              <w:left w:val="single" w:sz="12" w:space="0" w:color="auto"/>
              <w:right w:val="single" w:sz="12" w:space="0" w:color="auto"/>
            </w:tcBorders>
            <w:shd w:val="clear" w:color="auto" w:fill="D9D9D9" w:themeFill="background1" w:themeFillShade="D9"/>
          </w:tcPr>
          <w:p w:rsidR="002A3813" w:rsidRPr="00480B83" w:rsidRDefault="002A3813" w:rsidP="002A3813">
            <w:pPr>
              <w:jc w:val="center"/>
              <w:rPr>
                <w:i/>
              </w:rPr>
            </w:pPr>
          </w:p>
        </w:tc>
        <w:tc>
          <w:tcPr>
            <w:tcW w:w="1515" w:type="dxa"/>
            <w:tcBorders>
              <w:left w:val="single" w:sz="12" w:space="0" w:color="auto"/>
              <w:right w:val="single" w:sz="12" w:space="0" w:color="auto"/>
            </w:tcBorders>
            <w:shd w:val="clear" w:color="auto" w:fill="D9D9D9" w:themeFill="background1" w:themeFillShade="D9"/>
          </w:tcPr>
          <w:p w:rsidR="002A3813" w:rsidRPr="00480B83" w:rsidRDefault="002A3813" w:rsidP="002A3813">
            <w:pPr>
              <w:jc w:val="center"/>
              <w:rPr>
                <w:i/>
              </w:rPr>
            </w:pPr>
          </w:p>
        </w:tc>
        <w:tc>
          <w:tcPr>
            <w:tcW w:w="1515" w:type="dxa"/>
            <w:tcBorders>
              <w:left w:val="single" w:sz="12" w:space="0" w:color="auto"/>
              <w:right w:val="single" w:sz="12" w:space="0" w:color="auto"/>
            </w:tcBorders>
            <w:shd w:val="clear" w:color="auto" w:fill="D9D9D9" w:themeFill="background1" w:themeFillShade="D9"/>
          </w:tcPr>
          <w:p w:rsidR="002A3813" w:rsidRPr="00480B83" w:rsidRDefault="002A3813" w:rsidP="002A3813">
            <w:pPr>
              <w:jc w:val="center"/>
              <w:rPr>
                <w:i/>
              </w:rPr>
            </w:pPr>
          </w:p>
        </w:tc>
        <w:tc>
          <w:tcPr>
            <w:tcW w:w="1515" w:type="dxa"/>
            <w:tcBorders>
              <w:left w:val="single" w:sz="12" w:space="0" w:color="auto"/>
              <w:right w:val="single" w:sz="12" w:space="0" w:color="auto"/>
            </w:tcBorders>
            <w:shd w:val="clear" w:color="auto" w:fill="D9D9D9" w:themeFill="background1" w:themeFillShade="D9"/>
          </w:tcPr>
          <w:p w:rsidR="002A3813" w:rsidRPr="00480B83" w:rsidRDefault="002A3813" w:rsidP="002A3813">
            <w:pPr>
              <w:jc w:val="center"/>
              <w:rPr>
                <w:i/>
              </w:rPr>
            </w:pPr>
          </w:p>
        </w:tc>
        <w:tc>
          <w:tcPr>
            <w:tcW w:w="1515" w:type="dxa"/>
            <w:tcBorders>
              <w:left w:val="single" w:sz="12" w:space="0" w:color="auto"/>
              <w:right w:val="single" w:sz="12" w:space="0" w:color="auto"/>
            </w:tcBorders>
            <w:shd w:val="clear" w:color="auto" w:fill="D9D9D9" w:themeFill="background1" w:themeFillShade="D9"/>
          </w:tcPr>
          <w:p w:rsidR="002A3813" w:rsidRPr="00480B83" w:rsidRDefault="002A3813" w:rsidP="002A3813">
            <w:pPr>
              <w:jc w:val="center"/>
              <w:rPr>
                <w:i/>
              </w:rPr>
            </w:pPr>
          </w:p>
        </w:tc>
        <w:tc>
          <w:tcPr>
            <w:tcW w:w="1515" w:type="dxa"/>
            <w:tcBorders>
              <w:left w:val="single" w:sz="12" w:space="0" w:color="auto"/>
              <w:right w:val="single" w:sz="12" w:space="0" w:color="auto"/>
            </w:tcBorders>
            <w:shd w:val="clear" w:color="auto" w:fill="D9D9D9" w:themeFill="background1" w:themeFillShade="D9"/>
          </w:tcPr>
          <w:p w:rsidR="002A3813" w:rsidRPr="00480B83" w:rsidRDefault="002A3813" w:rsidP="002A3813">
            <w:pPr>
              <w:jc w:val="center"/>
              <w:rPr>
                <w:i/>
              </w:rPr>
            </w:pPr>
          </w:p>
        </w:tc>
      </w:tr>
      <w:tr w:rsidR="002A3813" w:rsidTr="002A3813">
        <w:tc>
          <w:tcPr>
            <w:tcW w:w="4410" w:type="dxa"/>
            <w:tcBorders>
              <w:left w:val="single" w:sz="12" w:space="0" w:color="auto"/>
              <w:right w:val="single" w:sz="12" w:space="0" w:color="auto"/>
            </w:tcBorders>
          </w:tcPr>
          <w:p w:rsidR="002A3813" w:rsidRDefault="002A3813" w:rsidP="002A3813">
            <w:r>
              <w:t>Hours of services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14</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Educational materials provided</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14</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Adolescent services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14,15</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Information technology</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16</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Community education programs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17, 18</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Quality improvement systems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19, 20</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Referral arrangements and networks</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21</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tcPr>
          <w:p w:rsidR="002A3813" w:rsidRDefault="002A3813" w:rsidP="002A3813">
            <w:r>
              <w:t>Staff training</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22</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X</w:t>
            </w:r>
          </w:p>
        </w:tc>
      </w:tr>
      <w:tr w:rsidR="002A3813" w:rsidTr="002A3813">
        <w:tc>
          <w:tcPr>
            <w:tcW w:w="4410" w:type="dxa"/>
            <w:tcBorders>
              <w:left w:val="single" w:sz="12" w:space="0" w:color="auto"/>
              <w:right w:val="single" w:sz="12" w:space="0" w:color="auto"/>
            </w:tcBorders>
            <w:shd w:val="clear" w:color="auto" w:fill="D9D9D9" w:themeFill="background1" w:themeFillShade="D9"/>
          </w:tcPr>
          <w:p w:rsidR="002A3813" w:rsidRPr="00986DCC" w:rsidRDefault="002A3813" w:rsidP="002A3813">
            <w:pPr>
              <w:rPr>
                <w:i/>
              </w:rPr>
            </w:pPr>
            <w:r>
              <w:rPr>
                <w:i/>
              </w:rPr>
              <w:t>Demographics/Training</w:t>
            </w: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bottom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bottom w:val="single" w:sz="12" w:space="0" w:color="auto"/>
              <w:right w:val="single" w:sz="12" w:space="0" w:color="auto"/>
            </w:tcBorders>
            <w:shd w:val="clear" w:color="auto" w:fill="D9D9D9" w:themeFill="background1" w:themeFillShade="D9"/>
          </w:tcPr>
          <w:p w:rsidR="002A3813" w:rsidRDefault="002A3813" w:rsidP="002A3813">
            <w:pPr>
              <w:jc w:val="center"/>
            </w:pPr>
          </w:p>
        </w:tc>
        <w:tc>
          <w:tcPr>
            <w:tcW w:w="1515" w:type="dxa"/>
            <w:tcBorders>
              <w:left w:val="single" w:sz="12" w:space="0" w:color="auto"/>
              <w:bottom w:val="single" w:sz="12" w:space="0" w:color="auto"/>
              <w:right w:val="single" w:sz="12" w:space="0" w:color="auto"/>
            </w:tcBorders>
            <w:shd w:val="clear" w:color="auto" w:fill="D9D9D9" w:themeFill="background1" w:themeFillShade="D9"/>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Role</w:t>
            </w:r>
          </w:p>
        </w:tc>
        <w:tc>
          <w:tcPr>
            <w:tcW w:w="1515" w:type="dxa"/>
            <w:tcBorders>
              <w:left w:val="single" w:sz="12" w:space="0" w:color="auto"/>
              <w:right w:val="single" w:sz="12" w:space="0" w:color="auto"/>
            </w:tcBorders>
          </w:tcPr>
          <w:p w:rsidR="002A3813" w:rsidRDefault="002A3813" w:rsidP="002A3813">
            <w:pPr>
              <w:jc w:val="center"/>
            </w:pPr>
            <w:r>
              <w:t>1</w:t>
            </w:r>
          </w:p>
        </w:tc>
        <w:tc>
          <w:tcPr>
            <w:tcW w:w="1515" w:type="dxa"/>
            <w:tcBorders>
              <w:left w:val="single" w:sz="12" w:space="0" w:color="auto"/>
              <w:right w:val="single" w:sz="12" w:space="0" w:color="auto"/>
            </w:tcBorders>
          </w:tcPr>
          <w:p w:rsidR="002A3813" w:rsidRDefault="002A3813" w:rsidP="002A3813">
            <w:pPr>
              <w:jc w:val="center"/>
            </w:pPr>
            <w:r>
              <w:t>6</w:t>
            </w:r>
          </w:p>
        </w:tc>
        <w:tc>
          <w:tcPr>
            <w:tcW w:w="1515" w:type="dxa"/>
            <w:tcBorders>
              <w:left w:val="single" w:sz="12" w:space="0" w:color="auto"/>
              <w:right w:val="single" w:sz="12" w:space="0" w:color="auto"/>
            </w:tcBorders>
          </w:tcPr>
          <w:p w:rsidR="002A3813" w:rsidRDefault="002A3813" w:rsidP="002A3813">
            <w:pPr>
              <w:jc w:val="center"/>
            </w:pPr>
            <w:r>
              <w:t>23, 24</w:t>
            </w:r>
          </w:p>
        </w:tc>
        <w:tc>
          <w:tcPr>
            <w:tcW w:w="4545" w:type="dxa"/>
            <w:gridSpan w:val="3"/>
            <w:vMerge w:val="restart"/>
            <w:tcBorders>
              <w:top w:val="single" w:sz="12" w:space="0" w:color="auto"/>
              <w:left w:val="single" w:sz="12" w:space="0" w:color="auto"/>
              <w:bottom w:val="single" w:sz="12" w:space="0" w:color="auto"/>
              <w:right w:val="single" w:sz="12" w:space="0" w:color="auto"/>
            </w:tcBorders>
            <w:vAlign w:val="center"/>
          </w:tcPr>
          <w:p w:rsidR="002A3813" w:rsidRDefault="002A3813" w:rsidP="002A3813">
            <w:pPr>
              <w:jc w:val="center"/>
            </w:pPr>
            <w:r>
              <w:t xml:space="preserve">Not specific evaluation measures, </w:t>
            </w:r>
          </w:p>
          <w:p w:rsidR="005E67F8" w:rsidRDefault="002A3813" w:rsidP="005E67F8">
            <w:pPr>
              <w:jc w:val="center"/>
            </w:pPr>
            <w:r>
              <w:t xml:space="preserve">but </w:t>
            </w:r>
            <w:r w:rsidR="005E67F8">
              <w:t>used to better understand use of guidelines and to target dissemination efforts.</w:t>
            </w:r>
          </w:p>
          <w:p w:rsidR="005E67F8" w:rsidRDefault="005E67F8"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Clinical focus</w:t>
            </w:r>
          </w:p>
        </w:tc>
        <w:tc>
          <w:tcPr>
            <w:tcW w:w="1515" w:type="dxa"/>
            <w:tcBorders>
              <w:left w:val="single" w:sz="12" w:space="0" w:color="auto"/>
              <w:right w:val="single" w:sz="12" w:space="0" w:color="auto"/>
            </w:tcBorders>
          </w:tcPr>
          <w:p w:rsidR="002A3813" w:rsidRDefault="002A3813" w:rsidP="002A3813">
            <w:pPr>
              <w:jc w:val="center"/>
            </w:pPr>
            <w:r>
              <w:t>2</w:t>
            </w:r>
          </w:p>
        </w:tc>
        <w:tc>
          <w:tcPr>
            <w:tcW w:w="1515" w:type="dxa"/>
            <w:tcBorders>
              <w:left w:val="single" w:sz="12" w:space="0" w:color="auto"/>
              <w:right w:val="single" w:sz="12" w:space="0" w:color="auto"/>
            </w:tcBorders>
          </w:tcPr>
          <w:p w:rsidR="002A3813" w:rsidRDefault="002A3813" w:rsidP="002A3813">
            <w:pPr>
              <w:jc w:val="center"/>
            </w:pPr>
            <w:r>
              <w:t>7</w:t>
            </w:r>
          </w:p>
        </w:tc>
        <w:tc>
          <w:tcPr>
            <w:tcW w:w="1515" w:type="dxa"/>
            <w:tcBorders>
              <w:left w:val="single" w:sz="12" w:space="0" w:color="auto"/>
              <w:right w:val="single" w:sz="12" w:space="0" w:color="auto"/>
            </w:tcBorders>
          </w:tcPr>
          <w:p w:rsidR="002A3813" w:rsidRDefault="002A3813" w:rsidP="002A3813">
            <w:pPr>
              <w:jc w:val="center"/>
            </w:pPr>
            <w:r>
              <w:t>2</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Funding sources</w:t>
            </w:r>
          </w:p>
        </w:tc>
        <w:tc>
          <w:tcPr>
            <w:tcW w:w="1515" w:type="dxa"/>
            <w:tcBorders>
              <w:left w:val="single" w:sz="12" w:space="0" w:color="auto"/>
              <w:right w:val="single" w:sz="12" w:space="0" w:color="auto"/>
            </w:tcBorders>
          </w:tcPr>
          <w:p w:rsidR="002A3813" w:rsidRDefault="002A3813" w:rsidP="002A3813">
            <w:pPr>
              <w:jc w:val="center"/>
            </w:pPr>
            <w:r>
              <w:t>3</w:t>
            </w:r>
          </w:p>
        </w:tc>
        <w:tc>
          <w:tcPr>
            <w:tcW w:w="1515" w:type="dxa"/>
            <w:tcBorders>
              <w:left w:val="single" w:sz="12" w:space="0" w:color="auto"/>
              <w:right w:val="single" w:sz="12" w:space="0" w:color="auto"/>
            </w:tcBorders>
          </w:tcPr>
          <w:p w:rsidR="002A3813" w:rsidRDefault="002A3813" w:rsidP="002A3813">
            <w:pPr>
              <w:jc w:val="center"/>
            </w:pPr>
            <w:r>
              <w:t>2</w:t>
            </w:r>
          </w:p>
        </w:tc>
        <w:tc>
          <w:tcPr>
            <w:tcW w:w="1515" w:type="dxa"/>
            <w:tcBorders>
              <w:left w:val="single" w:sz="12" w:space="0" w:color="auto"/>
              <w:right w:val="single" w:sz="12" w:space="0" w:color="auto"/>
            </w:tcBorders>
          </w:tcPr>
          <w:p w:rsidR="002A3813" w:rsidRDefault="002A3813" w:rsidP="002A3813">
            <w:pPr>
              <w:jc w:val="center"/>
            </w:pPr>
            <w: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Setting</w:t>
            </w:r>
          </w:p>
        </w:tc>
        <w:tc>
          <w:tcPr>
            <w:tcW w:w="1515" w:type="dxa"/>
            <w:tcBorders>
              <w:left w:val="single" w:sz="12" w:space="0" w:color="auto"/>
              <w:right w:val="single" w:sz="12" w:space="0" w:color="auto"/>
            </w:tcBorders>
          </w:tcPr>
          <w:p w:rsidR="002A3813" w:rsidRDefault="002A3813" w:rsidP="002A3813">
            <w:pPr>
              <w:jc w:val="center"/>
            </w:pPr>
            <w:r>
              <w:t>4</w:t>
            </w:r>
          </w:p>
        </w:tc>
        <w:tc>
          <w:tcPr>
            <w:tcW w:w="1515" w:type="dxa"/>
            <w:tcBorders>
              <w:left w:val="single" w:sz="12" w:space="0" w:color="auto"/>
              <w:right w:val="single" w:sz="12" w:space="0" w:color="auto"/>
            </w:tcBorders>
          </w:tcPr>
          <w:p w:rsidR="002A3813" w:rsidRDefault="002A3813" w:rsidP="002A3813">
            <w:pPr>
              <w:jc w:val="center"/>
            </w:pPr>
            <w:r>
              <w:t>1</w:t>
            </w:r>
          </w:p>
        </w:tc>
        <w:tc>
          <w:tcPr>
            <w:tcW w:w="1515" w:type="dxa"/>
            <w:tcBorders>
              <w:left w:val="single" w:sz="12" w:space="0" w:color="auto"/>
              <w:right w:val="single" w:sz="12" w:space="0" w:color="auto"/>
            </w:tcBorders>
          </w:tcPr>
          <w:p w:rsidR="002A3813" w:rsidRDefault="002A3813" w:rsidP="002A3813">
            <w:pPr>
              <w:jc w:val="center"/>
            </w:pPr>
            <w:r>
              <w:t>1, 4</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State</w:t>
            </w:r>
          </w:p>
        </w:tc>
        <w:tc>
          <w:tcPr>
            <w:tcW w:w="1515" w:type="dxa"/>
            <w:tcBorders>
              <w:left w:val="single" w:sz="12" w:space="0" w:color="auto"/>
              <w:right w:val="single" w:sz="12" w:space="0" w:color="auto"/>
            </w:tcBorders>
          </w:tcPr>
          <w:p w:rsidR="002A3813" w:rsidRDefault="002A3813" w:rsidP="002A3813">
            <w:pPr>
              <w:jc w:val="center"/>
            </w:pPr>
            <w:r>
              <w:t>5</w:t>
            </w:r>
          </w:p>
        </w:tc>
        <w:tc>
          <w:tcPr>
            <w:tcW w:w="1515" w:type="dxa"/>
            <w:tcBorders>
              <w:left w:val="single" w:sz="12" w:space="0" w:color="auto"/>
              <w:right w:val="single" w:sz="12" w:space="0" w:color="auto"/>
            </w:tcBorders>
          </w:tcPr>
          <w:p w:rsidR="002A3813" w:rsidRDefault="002A3813" w:rsidP="002A3813">
            <w:pPr>
              <w:jc w:val="center"/>
            </w:pPr>
            <w:r>
              <w:t>3</w:t>
            </w:r>
          </w:p>
        </w:tc>
        <w:tc>
          <w:tcPr>
            <w:tcW w:w="1515" w:type="dxa"/>
            <w:tcBorders>
              <w:left w:val="single" w:sz="12" w:space="0" w:color="auto"/>
              <w:right w:val="single" w:sz="12" w:space="0" w:color="auto"/>
            </w:tcBorders>
          </w:tcPr>
          <w:p w:rsidR="002A3813" w:rsidRDefault="002A3813" w:rsidP="002A3813">
            <w:pPr>
              <w:jc w:val="center"/>
            </w:pPr>
            <w:r>
              <w:t>3</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 of clients</w:t>
            </w:r>
          </w:p>
        </w:tc>
        <w:tc>
          <w:tcPr>
            <w:tcW w:w="1515" w:type="dxa"/>
            <w:tcBorders>
              <w:left w:val="single" w:sz="12" w:space="0" w:color="auto"/>
              <w:right w:val="single" w:sz="12" w:space="0" w:color="auto"/>
            </w:tcBorders>
          </w:tcPr>
          <w:p w:rsidR="002A3813" w:rsidRDefault="002A3813" w:rsidP="002A3813">
            <w:pPr>
              <w:jc w:val="center"/>
            </w:pPr>
            <w:r>
              <w:t>8</w:t>
            </w:r>
          </w:p>
        </w:tc>
        <w:tc>
          <w:tcPr>
            <w:tcW w:w="1515" w:type="dxa"/>
            <w:tcBorders>
              <w:left w:val="single" w:sz="12" w:space="0" w:color="auto"/>
              <w:right w:val="single" w:sz="12" w:space="0" w:color="auto"/>
            </w:tcBorders>
          </w:tcPr>
          <w:p w:rsidR="002A3813" w:rsidRDefault="002A3813" w:rsidP="002A3813">
            <w:pPr>
              <w:jc w:val="center"/>
            </w:pPr>
            <w:r>
              <w:t>9</w:t>
            </w:r>
          </w:p>
        </w:tc>
        <w:tc>
          <w:tcPr>
            <w:tcW w:w="1515" w:type="dxa"/>
            <w:tcBorders>
              <w:left w:val="single" w:sz="12" w:space="0" w:color="auto"/>
              <w:right w:val="single" w:sz="12" w:space="0" w:color="auto"/>
            </w:tcBorders>
          </w:tcPr>
          <w:p w:rsidR="002A3813" w:rsidRDefault="002A3813" w:rsidP="002A3813">
            <w:pPr>
              <w:jc w:val="center"/>
            </w:pPr>
            <w:r>
              <w:t>5</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 provide family planning services</w:t>
            </w:r>
          </w:p>
        </w:tc>
        <w:tc>
          <w:tcPr>
            <w:tcW w:w="1515" w:type="dxa"/>
            <w:tcBorders>
              <w:left w:val="single" w:sz="12" w:space="0" w:color="auto"/>
              <w:right w:val="single" w:sz="12" w:space="0" w:color="auto"/>
            </w:tcBorders>
          </w:tcPr>
          <w:p w:rsidR="002A3813" w:rsidRDefault="002A3813" w:rsidP="002A3813">
            <w:pPr>
              <w:jc w:val="center"/>
            </w:pPr>
            <w:r>
              <w:t>9</w:t>
            </w:r>
          </w:p>
        </w:tc>
        <w:tc>
          <w:tcPr>
            <w:tcW w:w="1515" w:type="dxa"/>
            <w:tcBorders>
              <w:left w:val="single" w:sz="12" w:space="0" w:color="auto"/>
              <w:right w:val="single" w:sz="12" w:space="0" w:color="auto"/>
            </w:tcBorders>
          </w:tcPr>
          <w:p w:rsidR="002A3813" w:rsidRDefault="002A3813" w:rsidP="002A3813">
            <w:pPr>
              <w:jc w:val="center"/>
            </w:pPr>
            <w:r>
              <w:t>10</w:t>
            </w:r>
          </w:p>
        </w:tc>
        <w:tc>
          <w:tcPr>
            <w:tcW w:w="1515" w:type="dxa"/>
            <w:tcBorders>
              <w:left w:val="single" w:sz="12" w:space="0" w:color="auto"/>
              <w:right w:val="single" w:sz="12" w:space="0" w:color="auto"/>
            </w:tcBorders>
          </w:tcPr>
          <w:p w:rsidR="002A3813" w:rsidRDefault="002A3813" w:rsidP="002A3813">
            <w:pPr>
              <w:jc w:val="center"/>
            </w:pPr>
            <w:r>
              <w:t>6</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Time spent on family planning</w:t>
            </w:r>
          </w:p>
        </w:tc>
        <w:tc>
          <w:tcPr>
            <w:tcW w:w="1515" w:type="dxa"/>
            <w:tcBorders>
              <w:left w:val="single" w:sz="12" w:space="0" w:color="auto"/>
              <w:right w:val="single" w:sz="12" w:space="0" w:color="auto"/>
            </w:tcBorders>
          </w:tcPr>
          <w:p w:rsidR="002A3813" w:rsidRDefault="002A3813" w:rsidP="002A3813">
            <w:pPr>
              <w:jc w:val="center"/>
            </w:pPr>
            <w:r>
              <w:t>10</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Gender</w:t>
            </w:r>
          </w:p>
        </w:tc>
        <w:tc>
          <w:tcPr>
            <w:tcW w:w="1515" w:type="dxa"/>
            <w:tcBorders>
              <w:left w:val="single" w:sz="12" w:space="0" w:color="auto"/>
              <w:right w:val="single" w:sz="12" w:space="0" w:color="auto"/>
            </w:tcBorders>
          </w:tcPr>
          <w:p w:rsidR="002A3813" w:rsidRDefault="002A3813" w:rsidP="002A3813">
            <w:pPr>
              <w:jc w:val="center"/>
            </w:pPr>
            <w:r>
              <w:t>11</w:t>
            </w:r>
          </w:p>
        </w:tc>
        <w:tc>
          <w:tcPr>
            <w:tcW w:w="1515" w:type="dxa"/>
            <w:tcBorders>
              <w:left w:val="single" w:sz="12" w:space="0" w:color="auto"/>
              <w:right w:val="single" w:sz="12" w:space="0" w:color="auto"/>
            </w:tcBorders>
          </w:tcPr>
          <w:p w:rsidR="002A3813" w:rsidRDefault="002A3813" w:rsidP="002A3813">
            <w:pPr>
              <w:jc w:val="center"/>
            </w:pPr>
            <w:r>
              <w:t>5</w:t>
            </w:r>
          </w:p>
        </w:tc>
        <w:tc>
          <w:tcPr>
            <w:tcW w:w="1515" w:type="dxa"/>
            <w:tcBorders>
              <w:left w:val="single" w:sz="12" w:space="0" w:color="auto"/>
              <w:right w:val="single" w:sz="12" w:space="0" w:color="auto"/>
            </w:tcBorders>
          </w:tcPr>
          <w:p w:rsidR="002A3813" w:rsidRDefault="002A3813" w:rsidP="002A3813">
            <w:pPr>
              <w:jc w:val="center"/>
            </w:pPr>
            <w: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 providers in practice/clinic</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4</w:t>
            </w:r>
          </w:p>
        </w:tc>
        <w:tc>
          <w:tcPr>
            <w:tcW w:w="1515" w:type="dxa"/>
            <w:tcBorders>
              <w:left w:val="single" w:sz="12" w:space="0" w:color="auto"/>
              <w:right w:val="single" w:sz="12" w:space="0" w:color="auto"/>
            </w:tcBorders>
          </w:tcPr>
          <w:p w:rsidR="002A3813" w:rsidRDefault="002A3813" w:rsidP="002A3813">
            <w:pPr>
              <w:jc w:val="center"/>
            </w:pPr>
            <w: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Patient characteristics</w:t>
            </w:r>
          </w:p>
        </w:tc>
        <w:tc>
          <w:tcPr>
            <w:tcW w:w="1515" w:type="dxa"/>
            <w:tcBorders>
              <w:left w:val="single" w:sz="12" w:space="0" w:color="auto"/>
              <w:right w:val="single" w:sz="12" w:space="0" w:color="auto"/>
            </w:tcBorders>
          </w:tcPr>
          <w:p w:rsidR="002A3813" w:rsidRDefault="002A3813" w:rsidP="002A3813">
            <w:pPr>
              <w:jc w:val="center"/>
            </w:pPr>
            <w:r>
              <w:t>13</w:t>
            </w:r>
          </w:p>
        </w:tc>
        <w:tc>
          <w:tcPr>
            <w:tcW w:w="1515" w:type="dxa"/>
            <w:tcBorders>
              <w:left w:val="single" w:sz="12" w:space="0" w:color="auto"/>
              <w:right w:val="single" w:sz="12" w:space="0" w:color="auto"/>
            </w:tcBorders>
          </w:tcPr>
          <w:p w:rsidR="002A3813" w:rsidRDefault="002A3813" w:rsidP="002A3813">
            <w:pPr>
              <w:jc w:val="center"/>
            </w:pPr>
            <w:r>
              <w:t>12</w:t>
            </w:r>
          </w:p>
        </w:tc>
        <w:tc>
          <w:tcPr>
            <w:tcW w:w="1515" w:type="dxa"/>
            <w:tcBorders>
              <w:left w:val="single" w:sz="12" w:space="0" w:color="auto"/>
              <w:right w:val="single" w:sz="12" w:space="0" w:color="auto"/>
            </w:tcBorders>
          </w:tcPr>
          <w:p w:rsidR="002A3813" w:rsidRDefault="002A3813" w:rsidP="002A3813">
            <w:pPr>
              <w:jc w:val="center"/>
            </w:pPr>
            <w:r>
              <w:t>7</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 days formal family planning training</w:t>
            </w:r>
          </w:p>
        </w:tc>
        <w:tc>
          <w:tcPr>
            <w:tcW w:w="1515" w:type="dxa"/>
            <w:tcBorders>
              <w:left w:val="single" w:sz="12" w:space="0" w:color="auto"/>
              <w:right w:val="single" w:sz="12" w:space="0" w:color="auto"/>
            </w:tcBorders>
          </w:tcPr>
          <w:p w:rsidR="002A3813" w:rsidRDefault="002A3813" w:rsidP="002A3813">
            <w:pPr>
              <w:jc w:val="center"/>
            </w:pPr>
            <w:r>
              <w:t>6</w:t>
            </w:r>
          </w:p>
        </w:tc>
        <w:tc>
          <w:tcPr>
            <w:tcW w:w="1515" w:type="dxa"/>
            <w:tcBorders>
              <w:left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right w:val="single" w:sz="12" w:space="0" w:color="auto"/>
            </w:tcBorders>
          </w:tcPr>
          <w:p w:rsidR="002A3813" w:rsidRDefault="002A3813" w:rsidP="002A3813">
            <w:pPr>
              <w:jc w:val="center"/>
            </w:pPr>
            <w: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Years since last formal training</w:t>
            </w:r>
          </w:p>
        </w:tc>
        <w:tc>
          <w:tcPr>
            <w:tcW w:w="1515" w:type="dxa"/>
            <w:tcBorders>
              <w:left w:val="single" w:sz="12" w:space="0" w:color="auto"/>
              <w:right w:val="single" w:sz="12" w:space="0" w:color="auto"/>
            </w:tcBorders>
          </w:tcPr>
          <w:p w:rsidR="002A3813" w:rsidRDefault="002A3813" w:rsidP="002A3813">
            <w:pPr>
              <w:jc w:val="center"/>
            </w:pPr>
            <w:r>
              <w:t>7</w:t>
            </w:r>
          </w:p>
        </w:tc>
        <w:tc>
          <w:tcPr>
            <w:tcW w:w="1515" w:type="dxa"/>
            <w:tcBorders>
              <w:left w:val="single" w:sz="12" w:space="0" w:color="auto"/>
              <w:right w:val="single" w:sz="12" w:space="0" w:color="auto"/>
            </w:tcBorders>
          </w:tcPr>
          <w:p w:rsidR="002A3813" w:rsidRDefault="002A3813" w:rsidP="002A3813">
            <w:pPr>
              <w:jc w:val="center"/>
            </w:pPr>
            <w:r>
              <w:t>8</w:t>
            </w:r>
          </w:p>
        </w:tc>
        <w:tc>
          <w:tcPr>
            <w:tcW w:w="1515" w:type="dxa"/>
            <w:tcBorders>
              <w:left w:val="single" w:sz="12" w:space="0" w:color="auto"/>
              <w:right w:val="single" w:sz="12" w:space="0" w:color="auto"/>
            </w:tcBorders>
          </w:tcPr>
          <w:p w:rsidR="002A3813" w:rsidRDefault="002A3813" w:rsidP="002A3813">
            <w:pPr>
              <w:jc w:val="center"/>
            </w:pPr>
            <w: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right w:val="single" w:sz="12" w:space="0" w:color="auto"/>
            </w:tcBorders>
          </w:tcPr>
          <w:p w:rsidR="002A3813" w:rsidRDefault="002A3813" w:rsidP="002A3813">
            <w:r>
              <w:t>Trained in LARC insertion</w:t>
            </w:r>
          </w:p>
        </w:tc>
        <w:tc>
          <w:tcPr>
            <w:tcW w:w="1515" w:type="dxa"/>
            <w:tcBorders>
              <w:left w:val="single" w:sz="12" w:space="0" w:color="auto"/>
              <w:right w:val="single" w:sz="12" w:space="0" w:color="auto"/>
            </w:tcBorders>
          </w:tcPr>
          <w:p w:rsidR="002A3813" w:rsidRDefault="002A3813" w:rsidP="002A3813">
            <w:pPr>
              <w:jc w:val="center"/>
            </w:pPr>
            <w:r>
              <w:t>12</w:t>
            </w:r>
          </w:p>
        </w:tc>
        <w:tc>
          <w:tcPr>
            <w:tcW w:w="1515" w:type="dxa"/>
            <w:tcBorders>
              <w:left w:val="single" w:sz="12" w:space="0" w:color="auto"/>
              <w:right w:val="single" w:sz="12" w:space="0" w:color="auto"/>
            </w:tcBorders>
          </w:tcPr>
          <w:p w:rsidR="002A3813" w:rsidRDefault="002A3813" w:rsidP="002A3813">
            <w:pPr>
              <w:jc w:val="center"/>
            </w:pPr>
            <w:r>
              <w:t>11</w:t>
            </w:r>
          </w:p>
        </w:tc>
        <w:tc>
          <w:tcPr>
            <w:tcW w:w="1515" w:type="dxa"/>
            <w:tcBorders>
              <w:left w:val="single" w:sz="12" w:space="0" w:color="auto"/>
              <w:right w:val="single" w:sz="12" w:space="0" w:color="auto"/>
            </w:tcBorders>
          </w:tcPr>
          <w:p w:rsidR="002A3813" w:rsidRDefault="002A3813" w:rsidP="002A3813">
            <w:pPr>
              <w:jc w:val="center"/>
            </w:pPr>
            <w:r>
              <w:t>22</w:t>
            </w:r>
          </w:p>
        </w:tc>
        <w:tc>
          <w:tcPr>
            <w:tcW w:w="4545" w:type="dxa"/>
            <w:gridSpan w:val="3"/>
            <w:vMerge/>
            <w:tcBorders>
              <w:top w:val="single" w:sz="12" w:space="0" w:color="auto"/>
              <w:left w:val="single" w:sz="12" w:space="0" w:color="auto"/>
              <w:right w:val="single" w:sz="12" w:space="0" w:color="auto"/>
            </w:tcBorders>
          </w:tcPr>
          <w:p w:rsidR="002A3813" w:rsidRDefault="002A3813" w:rsidP="002A3813">
            <w:pPr>
              <w:jc w:val="center"/>
            </w:pPr>
          </w:p>
        </w:tc>
      </w:tr>
      <w:tr w:rsidR="002A3813" w:rsidTr="002A3813">
        <w:tc>
          <w:tcPr>
            <w:tcW w:w="4410" w:type="dxa"/>
            <w:tcBorders>
              <w:left w:val="single" w:sz="12" w:space="0" w:color="auto"/>
              <w:bottom w:val="single" w:sz="12" w:space="0" w:color="auto"/>
              <w:right w:val="single" w:sz="12" w:space="0" w:color="auto"/>
            </w:tcBorders>
          </w:tcPr>
          <w:p w:rsidR="002A3813" w:rsidRDefault="002A3813" w:rsidP="002A3813">
            <w:r>
              <w:t>Health care network linkages</w:t>
            </w:r>
          </w:p>
        </w:tc>
        <w:tc>
          <w:tcPr>
            <w:tcW w:w="1515" w:type="dxa"/>
            <w:tcBorders>
              <w:left w:val="single" w:sz="12" w:space="0" w:color="auto"/>
              <w:bottom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bottom w:val="single" w:sz="12" w:space="0" w:color="auto"/>
              <w:right w:val="single" w:sz="12" w:space="0" w:color="auto"/>
            </w:tcBorders>
          </w:tcPr>
          <w:p w:rsidR="002A3813" w:rsidRDefault="002A3813" w:rsidP="002A3813">
            <w:pPr>
              <w:jc w:val="center"/>
            </w:pPr>
            <w:r>
              <w:t>--</w:t>
            </w:r>
          </w:p>
        </w:tc>
        <w:tc>
          <w:tcPr>
            <w:tcW w:w="1515" w:type="dxa"/>
            <w:tcBorders>
              <w:left w:val="single" w:sz="12" w:space="0" w:color="auto"/>
              <w:bottom w:val="single" w:sz="12" w:space="0" w:color="auto"/>
              <w:right w:val="single" w:sz="12" w:space="0" w:color="auto"/>
            </w:tcBorders>
          </w:tcPr>
          <w:p w:rsidR="002A3813" w:rsidRDefault="002A3813" w:rsidP="002A3813">
            <w:pPr>
              <w:jc w:val="center"/>
            </w:pPr>
            <w:r>
              <w:t>8</w:t>
            </w:r>
          </w:p>
        </w:tc>
        <w:tc>
          <w:tcPr>
            <w:tcW w:w="4545" w:type="dxa"/>
            <w:gridSpan w:val="3"/>
            <w:tcBorders>
              <w:left w:val="single" w:sz="12" w:space="0" w:color="auto"/>
              <w:bottom w:val="single" w:sz="12" w:space="0" w:color="auto"/>
              <w:right w:val="single" w:sz="12" w:space="0" w:color="auto"/>
            </w:tcBorders>
          </w:tcPr>
          <w:p w:rsidR="002A3813" w:rsidRDefault="002A3813" w:rsidP="002A3813">
            <w:pPr>
              <w:jc w:val="center"/>
            </w:pPr>
          </w:p>
        </w:tc>
      </w:tr>
    </w:tbl>
    <w:p w:rsidR="00F33A98" w:rsidRDefault="002A3813" w:rsidP="00F94EF3">
      <w:pPr>
        <w:sectPr w:rsidR="00F33A98" w:rsidSect="002A3813">
          <w:pgSz w:w="15840" w:h="12240" w:orient="landscape"/>
          <w:pgMar w:top="1152" w:right="1152" w:bottom="1152" w:left="1152" w:header="720" w:footer="720" w:gutter="0"/>
          <w:cols w:space="720"/>
          <w:docGrid w:linePitch="360"/>
        </w:sectPr>
      </w:pPr>
      <w:r>
        <w:t>*US</w:t>
      </w:r>
      <w:r w:rsidR="00782DFD">
        <w:t xml:space="preserve"> </w:t>
      </w:r>
      <w:r>
        <w:t>MEC=</w:t>
      </w:r>
      <w:r w:rsidRPr="00147A14">
        <w:rPr>
          <w:i/>
        </w:rPr>
        <w:t>U.S. Medical Eligibility Criteria for Contraceptive Use</w:t>
      </w:r>
      <w:r>
        <w:t>; US</w:t>
      </w:r>
      <w:r w:rsidR="00782DFD">
        <w:t xml:space="preserve"> </w:t>
      </w:r>
      <w:r>
        <w:t>SPR=</w:t>
      </w:r>
      <w:r w:rsidRPr="00147A14">
        <w:rPr>
          <w:i/>
        </w:rPr>
        <w:t>U.S. Selected Practice Recommendations for Contraceptive Use</w:t>
      </w:r>
      <w:r>
        <w:t>; QFPS=</w:t>
      </w:r>
      <w:r w:rsidRPr="00147A14">
        <w:rPr>
          <w:i/>
        </w:rPr>
        <w:t>Guidance for Providing Quality Family Planning Services</w:t>
      </w:r>
      <w:r>
        <w:t xml:space="preserve"> (revised Title X programmatic guidelines)</w:t>
      </w:r>
      <w:r w:rsidR="00782DFD">
        <w:t>.</w:t>
      </w:r>
    </w:p>
    <w:p w:rsidR="00D63859" w:rsidRDefault="00D63859" w:rsidP="00D63859">
      <w:pPr>
        <w:pStyle w:val="ListParagraph"/>
        <w:ind w:left="360"/>
      </w:pPr>
    </w:p>
    <w:p w:rsidR="00DC2EB5" w:rsidRPr="00BE5166" w:rsidRDefault="00DC2EB5" w:rsidP="00F94EF3">
      <w:pPr>
        <w:pStyle w:val="ListParagraph"/>
        <w:numPr>
          <w:ilvl w:val="0"/>
          <w:numId w:val="1"/>
        </w:numPr>
        <w:rPr>
          <w:b/>
        </w:rPr>
      </w:pPr>
      <w:r w:rsidRPr="00BE5166">
        <w:rPr>
          <w:b/>
        </w:rPr>
        <w:t>Please provide some more background on Phase I and how the methods and instruments proposed in the Phase II ICR map on to the earlier approval (we searched for the earlier approval in the system but the OMB control number given was 0920-0008 – Emergency Epidemic Investigations; would the program confirm that 0920-0008 is the correct OMB number?).</w:t>
      </w:r>
    </w:p>
    <w:p w:rsidR="009801B0" w:rsidRDefault="00253808" w:rsidP="009801B0">
      <w:pPr>
        <w:ind w:left="360"/>
        <w:rPr>
          <w:color w:val="17365D" w:themeColor="text2" w:themeShade="BF"/>
        </w:rPr>
      </w:pPr>
      <w:r>
        <w:rPr>
          <w:color w:val="244061" w:themeColor="accent1" w:themeShade="80"/>
        </w:rPr>
        <w:br/>
      </w:r>
      <w:r w:rsidR="002C7176" w:rsidRPr="007C1C33">
        <w:rPr>
          <w:color w:val="17365D" w:themeColor="text2" w:themeShade="BF"/>
        </w:rPr>
        <w:t xml:space="preserve">Our Phase 1 data collection </w:t>
      </w:r>
      <w:r w:rsidR="00502796" w:rsidRPr="007C1C33">
        <w:rPr>
          <w:color w:val="17365D" w:themeColor="text2" w:themeShade="BF"/>
        </w:rPr>
        <w:t xml:space="preserve">efforts </w:t>
      </w:r>
      <w:r w:rsidR="00AA19F9" w:rsidRPr="007C1C33">
        <w:rPr>
          <w:color w:val="17365D" w:themeColor="text2" w:themeShade="BF"/>
        </w:rPr>
        <w:t xml:space="preserve">are described in detail in the PDF attachment titled “SOW_Final_Phase 1” including background, purpose, and scope of work.  Briefly, Phase 1 consisted of a mailed survey to a sample of 4,000 private- and public-sector family planning providers in the United States.  </w:t>
      </w:r>
      <w:r w:rsidR="007C1C33" w:rsidRPr="007C1C33">
        <w:rPr>
          <w:color w:val="17365D" w:themeColor="text2" w:themeShade="BF"/>
        </w:rPr>
        <w:t xml:space="preserve">Private-sector providers </w:t>
      </w:r>
      <w:r w:rsidR="00AA19F9" w:rsidRPr="007C1C33">
        <w:rPr>
          <w:color w:val="17365D" w:themeColor="text2" w:themeShade="BF"/>
        </w:rPr>
        <w:t>include</w:t>
      </w:r>
      <w:r w:rsidR="007C1C33" w:rsidRPr="007C1C33">
        <w:rPr>
          <w:color w:val="17365D" w:themeColor="text2" w:themeShade="BF"/>
        </w:rPr>
        <w:t>d</w:t>
      </w:r>
      <w:r w:rsidR="00AA19F9" w:rsidRPr="007C1C33">
        <w:rPr>
          <w:color w:val="17365D" w:themeColor="text2" w:themeShade="BF"/>
        </w:rPr>
        <w:t xml:space="preserve"> office-based physicians (</w:t>
      </w:r>
      <w:r w:rsidR="00284D4F">
        <w:rPr>
          <w:color w:val="17365D" w:themeColor="text2" w:themeShade="BF"/>
        </w:rPr>
        <w:t xml:space="preserve">obstetrician/gynecologists, </w:t>
      </w:r>
      <w:r w:rsidR="00AA19F9" w:rsidRPr="007C1C33">
        <w:rPr>
          <w:color w:val="17365D" w:themeColor="text2" w:themeShade="BF"/>
        </w:rPr>
        <w:t xml:space="preserve">family practice physicians, and pediatricians specializing in adolescent medicine) sampled from the </w:t>
      </w:r>
      <w:r w:rsidR="00284D4F">
        <w:rPr>
          <w:color w:val="17365D" w:themeColor="text2" w:themeShade="BF"/>
        </w:rPr>
        <w:t>American Medical Association (AMA)</w:t>
      </w:r>
      <w:r w:rsidR="00AA19F9" w:rsidRPr="007C1C33">
        <w:rPr>
          <w:color w:val="17365D" w:themeColor="text2" w:themeShade="BF"/>
        </w:rPr>
        <w:t xml:space="preserve"> Physician Masterfile. Public-sector providers include</w:t>
      </w:r>
      <w:r w:rsidR="007C1C33" w:rsidRPr="007C1C33">
        <w:rPr>
          <w:color w:val="17365D" w:themeColor="text2" w:themeShade="BF"/>
        </w:rPr>
        <w:t>d</w:t>
      </w:r>
      <w:r w:rsidR="00AA19F9" w:rsidRPr="007C1C33">
        <w:rPr>
          <w:color w:val="17365D" w:themeColor="text2" w:themeShade="BF"/>
        </w:rPr>
        <w:t xml:space="preserve"> practitioners providing services at Title X-supported clinics, sampled from the Off</w:t>
      </w:r>
      <w:r w:rsidR="0055075B">
        <w:rPr>
          <w:color w:val="17365D" w:themeColor="text2" w:themeShade="BF"/>
        </w:rPr>
        <w:t xml:space="preserve">ice of Population Affairs </w:t>
      </w:r>
      <w:r w:rsidR="00AA19F9" w:rsidRPr="007C1C33">
        <w:rPr>
          <w:color w:val="17365D" w:themeColor="text2" w:themeShade="BF"/>
        </w:rPr>
        <w:t xml:space="preserve">directory.  Anticipating non-response, a reminder postcard </w:t>
      </w:r>
      <w:r w:rsidR="007C1C33" w:rsidRPr="007C1C33">
        <w:rPr>
          <w:color w:val="17365D" w:themeColor="text2" w:themeShade="BF"/>
        </w:rPr>
        <w:t xml:space="preserve">was </w:t>
      </w:r>
      <w:r w:rsidR="00AA19F9" w:rsidRPr="007C1C33">
        <w:rPr>
          <w:color w:val="17365D" w:themeColor="text2" w:themeShade="BF"/>
        </w:rPr>
        <w:t>sent to those</w:t>
      </w:r>
      <w:r w:rsidR="007C1C33" w:rsidRPr="007C1C33">
        <w:rPr>
          <w:color w:val="17365D" w:themeColor="text2" w:themeShade="BF"/>
        </w:rPr>
        <w:t xml:space="preserve"> who had </w:t>
      </w:r>
      <w:r w:rsidR="00AA19F9" w:rsidRPr="007C1C33">
        <w:rPr>
          <w:color w:val="17365D" w:themeColor="text2" w:themeShade="BF"/>
        </w:rPr>
        <w:t xml:space="preserve">not responded to the first mailing after ~2 weeks.  A second copy of the survey </w:t>
      </w:r>
      <w:r w:rsidR="007C1C33" w:rsidRPr="007C1C33">
        <w:rPr>
          <w:color w:val="17365D" w:themeColor="text2" w:themeShade="BF"/>
        </w:rPr>
        <w:t xml:space="preserve">was </w:t>
      </w:r>
      <w:r w:rsidR="00AA19F9" w:rsidRPr="007C1C33">
        <w:rPr>
          <w:color w:val="17365D" w:themeColor="text2" w:themeShade="BF"/>
        </w:rPr>
        <w:t>sent to those</w:t>
      </w:r>
      <w:r w:rsidR="007C1C33" w:rsidRPr="007C1C33">
        <w:rPr>
          <w:color w:val="17365D" w:themeColor="text2" w:themeShade="BF"/>
        </w:rPr>
        <w:t xml:space="preserve"> who had </w:t>
      </w:r>
      <w:r w:rsidR="00AA19F9" w:rsidRPr="007C1C33">
        <w:rPr>
          <w:color w:val="17365D" w:themeColor="text2" w:themeShade="BF"/>
        </w:rPr>
        <w:t>not responded to the first survey or reminder postcard after ~2 weeks.  Phone calls</w:t>
      </w:r>
      <w:r w:rsidR="007C1C33" w:rsidRPr="007C1C33">
        <w:rPr>
          <w:color w:val="17365D" w:themeColor="text2" w:themeShade="BF"/>
        </w:rPr>
        <w:t xml:space="preserve"> were </w:t>
      </w:r>
      <w:r w:rsidR="00AA19F9" w:rsidRPr="007C1C33">
        <w:rPr>
          <w:color w:val="17365D" w:themeColor="text2" w:themeShade="BF"/>
        </w:rPr>
        <w:t>made to those that</w:t>
      </w:r>
      <w:r w:rsidR="007C1C33" w:rsidRPr="007C1C33">
        <w:rPr>
          <w:color w:val="17365D" w:themeColor="text2" w:themeShade="BF"/>
        </w:rPr>
        <w:t xml:space="preserve"> had not </w:t>
      </w:r>
      <w:r w:rsidR="00AA19F9" w:rsidRPr="007C1C33">
        <w:rPr>
          <w:color w:val="17365D" w:themeColor="text2" w:themeShade="BF"/>
        </w:rPr>
        <w:t>responded to any of the contact attempts</w:t>
      </w:r>
      <w:r w:rsidR="007C1C33" w:rsidRPr="007C1C33">
        <w:rPr>
          <w:color w:val="17365D" w:themeColor="text2" w:themeShade="BF"/>
        </w:rPr>
        <w:t xml:space="preserve"> </w:t>
      </w:r>
      <w:r w:rsidR="00AA19F9" w:rsidRPr="007C1C33">
        <w:rPr>
          <w:color w:val="17365D" w:themeColor="text2" w:themeShade="BF"/>
        </w:rPr>
        <w:t xml:space="preserve">to encourage participation.  </w:t>
      </w:r>
    </w:p>
    <w:p w:rsidR="00AA19F9" w:rsidRPr="00C15691" w:rsidRDefault="009A1538" w:rsidP="00612B30">
      <w:pPr>
        <w:ind w:left="360"/>
      </w:pPr>
      <w:r>
        <w:rPr>
          <w:color w:val="17365D" w:themeColor="text2" w:themeShade="BF"/>
        </w:rPr>
        <w:t>Methods described in our Phase II information collection request are similar to those implemented in Phase 1, with a few additions (e.g., expanded type of respondents</w:t>
      </w:r>
      <w:r w:rsidR="007825D4">
        <w:rPr>
          <w:color w:val="17365D" w:themeColor="text2" w:themeShade="BF"/>
        </w:rPr>
        <w:t xml:space="preserve"> to include providers in non-Title X publicly funded health centers and administrators of publicly funded health centers, </w:t>
      </w:r>
      <w:r>
        <w:rPr>
          <w:color w:val="17365D" w:themeColor="text2" w:themeShade="BF"/>
        </w:rPr>
        <w:t>online data collection</w:t>
      </w:r>
      <w:r w:rsidR="007825D4">
        <w:rPr>
          <w:color w:val="17365D" w:themeColor="text2" w:themeShade="BF"/>
        </w:rPr>
        <w:t xml:space="preserve"> option).  Table 1 above shows how the instruments complement one another</w:t>
      </w:r>
      <w:r w:rsidR="00612B30">
        <w:rPr>
          <w:color w:val="17365D" w:themeColor="text2" w:themeShade="BF"/>
        </w:rPr>
        <w:t xml:space="preserve"> between and within phases.</w:t>
      </w:r>
    </w:p>
    <w:p w:rsidR="009E205B" w:rsidRPr="00DB3087" w:rsidRDefault="00612B30" w:rsidP="00612B30">
      <w:pPr>
        <w:ind w:left="360"/>
        <w:rPr>
          <w:color w:val="17365D" w:themeColor="text2" w:themeShade="BF"/>
        </w:rPr>
      </w:pPr>
      <w:r w:rsidRPr="00DB3087">
        <w:rPr>
          <w:color w:val="17365D" w:themeColor="text2" w:themeShade="BF"/>
        </w:rPr>
        <w:t xml:space="preserve">Our Phase I data collection effort was approved by CDC’s Epidemic Intelligence Service office on December 3, 2009 as EPI-AID 2010-024: </w:t>
      </w:r>
      <w:r w:rsidR="009E205B" w:rsidRPr="00DB3087">
        <w:rPr>
          <w:i/>
          <w:color w:val="17365D" w:themeColor="text2" w:themeShade="BF"/>
        </w:rPr>
        <w:t>Surveillance of U.S. Family Planning Providers’ Use of Contraception Guidelines and Practices Related to Contraceptive Use for Women with Specific Characteristics or Medical Conditions</w:t>
      </w:r>
      <w:r w:rsidRPr="00DB3087">
        <w:rPr>
          <w:color w:val="17365D" w:themeColor="text2" w:themeShade="BF"/>
        </w:rPr>
        <w:t xml:space="preserve">. </w:t>
      </w:r>
      <w:r w:rsidR="00DB3087" w:rsidRPr="00DB3087">
        <w:rPr>
          <w:color w:val="17365D" w:themeColor="text2" w:themeShade="BF"/>
        </w:rPr>
        <w:t xml:space="preserve"> As such, the data collection was covered </w:t>
      </w:r>
      <w:r w:rsidR="00DB3087" w:rsidRPr="0070065D">
        <w:rPr>
          <w:color w:val="17365D" w:themeColor="text2" w:themeShade="BF"/>
        </w:rPr>
        <w:t>under OMB No. 0920-0</w:t>
      </w:r>
      <w:r w:rsidR="00ED62E7" w:rsidRPr="0070065D">
        <w:rPr>
          <w:color w:val="17365D" w:themeColor="text2" w:themeShade="BF"/>
        </w:rPr>
        <w:t>0</w:t>
      </w:r>
      <w:r w:rsidR="00DB3087" w:rsidRPr="0070065D">
        <w:rPr>
          <w:color w:val="17365D" w:themeColor="text2" w:themeShade="BF"/>
        </w:rPr>
        <w:t>08 for emergency</w:t>
      </w:r>
      <w:r w:rsidR="00DB3087" w:rsidRPr="00DB3087">
        <w:rPr>
          <w:color w:val="17365D" w:themeColor="text2" w:themeShade="BF"/>
        </w:rPr>
        <w:t xml:space="preserve"> epidemic investigations.</w:t>
      </w:r>
      <w:r w:rsidR="00DB3087">
        <w:rPr>
          <w:color w:val="17365D" w:themeColor="text2" w:themeShade="BF"/>
        </w:rPr>
        <w:t xml:space="preserve">  Data collection began December 7, 2009 and ended March 5, 2010.  Please see PDF attachment</w:t>
      </w:r>
      <w:r w:rsidR="00474A0F">
        <w:rPr>
          <w:color w:val="17365D" w:themeColor="text2" w:themeShade="BF"/>
        </w:rPr>
        <w:t>s</w:t>
      </w:r>
      <w:r w:rsidR="00DB3087">
        <w:rPr>
          <w:color w:val="17365D" w:themeColor="text2" w:themeShade="BF"/>
        </w:rPr>
        <w:t xml:space="preserve"> titled “Emergency Epidemic Investigation OMB Form_EPI-AID 2010-24” </w:t>
      </w:r>
      <w:r w:rsidR="00474A0F">
        <w:rPr>
          <w:color w:val="17365D" w:themeColor="text2" w:themeShade="BF"/>
        </w:rPr>
        <w:t xml:space="preserve">and “Call for EPI-AID_Phase 1” </w:t>
      </w:r>
      <w:r w:rsidR="00DB3087">
        <w:rPr>
          <w:color w:val="17365D" w:themeColor="text2" w:themeShade="BF"/>
        </w:rPr>
        <w:t>for more details.</w:t>
      </w:r>
    </w:p>
    <w:p w:rsidR="00DC2EB5" w:rsidRPr="00BE5166" w:rsidRDefault="00DC2EB5" w:rsidP="00DC2EB5">
      <w:pPr>
        <w:pStyle w:val="ListParagraph"/>
        <w:numPr>
          <w:ilvl w:val="0"/>
          <w:numId w:val="1"/>
        </w:numPr>
        <w:rPr>
          <w:b/>
        </w:rPr>
      </w:pPr>
      <w:r w:rsidRPr="00BE5166">
        <w:rPr>
          <w:b/>
        </w:rPr>
        <w:t>Please provide additional detail on and timing related to the guidance mentioned in the Private and Public Sector Cover Letters (C1 and C2): “The information gathered will be used to develop educational materials and tools for providers related to family planning service provision, and to help plan for the implementation of forthcoming national guidance on the provision of quality family planning services.”  Part A mentions that materials are likely to be released in late 2012 or early 2013; is that still the case? It would be helpful to understand which survey questions are intended to relate to the impact of the US MEC and which questions are intended to inform the forthcoming guidance documents.</w:t>
      </w:r>
    </w:p>
    <w:p w:rsidR="00563115" w:rsidRDefault="00563115" w:rsidP="00563115">
      <w:pPr>
        <w:ind w:left="360"/>
        <w:rPr>
          <w:color w:val="17365D" w:themeColor="text2" w:themeShade="BF"/>
        </w:rPr>
      </w:pPr>
      <w:r>
        <w:rPr>
          <w:color w:val="17365D" w:themeColor="text2" w:themeShade="BF"/>
        </w:rPr>
        <w:br/>
        <w:t xml:space="preserve">Both forthcoming family planning guidance </w:t>
      </w:r>
      <w:r w:rsidR="00BE5166">
        <w:rPr>
          <w:color w:val="17365D" w:themeColor="text2" w:themeShade="BF"/>
        </w:rPr>
        <w:t>documents (</w:t>
      </w:r>
      <w:r>
        <w:rPr>
          <w:color w:val="17365D" w:themeColor="text2" w:themeShade="BF"/>
        </w:rPr>
        <w:t xml:space="preserve">i.e., </w:t>
      </w:r>
      <w:r w:rsidRPr="006745A7">
        <w:rPr>
          <w:i/>
          <w:color w:val="244061" w:themeColor="accent1" w:themeShade="80"/>
        </w:rPr>
        <w:t>U.S. Selected Practice Recommendations for Contraceptive Use</w:t>
      </w:r>
      <w:r>
        <w:rPr>
          <w:color w:val="244061" w:themeColor="accent1" w:themeShade="80"/>
        </w:rPr>
        <w:t xml:space="preserve"> and </w:t>
      </w:r>
      <w:r w:rsidRPr="006745A7">
        <w:rPr>
          <w:rFonts w:cstheme="minorHAnsi"/>
          <w:i/>
          <w:color w:val="244061" w:themeColor="accent1" w:themeShade="80"/>
        </w:rPr>
        <w:t xml:space="preserve">Guidance for Providing </w:t>
      </w:r>
      <w:r>
        <w:rPr>
          <w:rFonts w:cstheme="minorHAnsi"/>
          <w:i/>
          <w:color w:val="244061" w:themeColor="accent1" w:themeShade="80"/>
        </w:rPr>
        <w:t>Quality Family Planning Services)</w:t>
      </w:r>
      <w:r>
        <w:rPr>
          <w:color w:val="17365D" w:themeColor="text2" w:themeShade="BF"/>
        </w:rPr>
        <w:t xml:space="preserve"> are currently in CDC clearance.  </w:t>
      </w:r>
      <w:r w:rsidRPr="00817EBC">
        <w:rPr>
          <w:b/>
          <w:color w:val="17365D" w:themeColor="text2" w:themeShade="BF"/>
        </w:rPr>
        <w:t>We expect that both documents will be release</w:t>
      </w:r>
      <w:r w:rsidR="006F7FCC" w:rsidRPr="00817EBC">
        <w:rPr>
          <w:b/>
          <w:color w:val="17365D" w:themeColor="text2" w:themeShade="BF"/>
        </w:rPr>
        <w:t>d</w:t>
      </w:r>
      <w:r w:rsidRPr="00817EBC">
        <w:rPr>
          <w:b/>
          <w:color w:val="17365D" w:themeColor="text2" w:themeShade="BF"/>
        </w:rPr>
        <w:t xml:space="preserve"> in early 2013</w:t>
      </w:r>
      <w:r>
        <w:rPr>
          <w:color w:val="17365D" w:themeColor="text2" w:themeShade="BF"/>
        </w:rPr>
        <w:t>.</w:t>
      </w:r>
    </w:p>
    <w:p w:rsidR="00563115" w:rsidRDefault="00563115" w:rsidP="00563115">
      <w:pPr>
        <w:ind w:left="360"/>
      </w:pPr>
      <w:r>
        <w:rPr>
          <w:color w:val="17365D" w:themeColor="text2" w:themeShade="BF"/>
        </w:rPr>
        <w:t>To help the reviewer understand which survey questions are intended to be evaluation measures for the U.S. MEC</w:t>
      </w:r>
      <w:r w:rsidR="008E3A00">
        <w:rPr>
          <w:color w:val="17365D" w:themeColor="text2" w:themeShade="BF"/>
        </w:rPr>
        <w:t xml:space="preserve"> </w:t>
      </w:r>
      <w:r w:rsidR="00BE5166">
        <w:rPr>
          <w:color w:val="17365D" w:themeColor="text2" w:themeShade="BF"/>
        </w:rPr>
        <w:t>versus the</w:t>
      </w:r>
      <w:r w:rsidR="008E3A00">
        <w:rPr>
          <w:color w:val="17365D" w:themeColor="text2" w:themeShade="BF"/>
        </w:rPr>
        <w:t xml:space="preserve"> forthcoming family planning guidance documents, please see Table 1 above.</w:t>
      </w:r>
    </w:p>
    <w:p w:rsidR="00563115" w:rsidRDefault="00563115" w:rsidP="00DC2EB5"/>
    <w:p w:rsidR="00563115" w:rsidRDefault="00563115" w:rsidP="00DC2EB5"/>
    <w:p w:rsidR="00DC2EB5" w:rsidRPr="00BE5166" w:rsidRDefault="00DC2EB5" w:rsidP="00DC2EB5">
      <w:pPr>
        <w:pStyle w:val="ListParagraph"/>
        <w:numPr>
          <w:ilvl w:val="0"/>
          <w:numId w:val="1"/>
        </w:numPr>
        <w:rPr>
          <w:b/>
        </w:rPr>
      </w:pPr>
      <w:r w:rsidRPr="00BE5166">
        <w:rPr>
          <w:b/>
        </w:rPr>
        <w:t>Screenshots of surveys available online must be provided.</w:t>
      </w:r>
    </w:p>
    <w:p w:rsidR="00265AD2" w:rsidRDefault="00265AD2" w:rsidP="00265AD2">
      <w:pPr>
        <w:pStyle w:val="ListParagraph"/>
      </w:pPr>
    </w:p>
    <w:p w:rsidR="00DC2EB5" w:rsidRDefault="008E3A00" w:rsidP="00250AFB">
      <w:pPr>
        <w:ind w:left="360"/>
      </w:pPr>
      <w:r>
        <w:rPr>
          <w:color w:val="17365D" w:themeColor="text2" w:themeShade="BF"/>
        </w:rPr>
        <w:t xml:space="preserve">Screen shots of both Phase II survey instruments are attached.  These screen shots </w:t>
      </w:r>
      <w:r w:rsidR="00250AFB">
        <w:rPr>
          <w:color w:val="17365D" w:themeColor="text2" w:themeShade="BF"/>
        </w:rPr>
        <w:t xml:space="preserve">are in draft form and have not yet been finalized.  </w:t>
      </w:r>
    </w:p>
    <w:p w:rsidR="00DC2EB5" w:rsidRPr="00BE5166" w:rsidRDefault="00DC2EB5" w:rsidP="00DC2EB5">
      <w:pPr>
        <w:pStyle w:val="ListParagraph"/>
        <w:numPr>
          <w:ilvl w:val="0"/>
          <w:numId w:val="1"/>
        </w:numPr>
        <w:rPr>
          <w:b/>
        </w:rPr>
      </w:pPr>
      <w:r w:rsidRPr="00BE5166">
        <w:rPr>
          <w:b/>
        </w:rPr>
        <w:t>Please delete the following bullet from the Administrator Survey Cover Sheet (E2):</w:t>
      </w:r>
      <w:r w:rsidR="00250AFB" w:rsidRPr="00BE5166">
        <w:rPr>
          <w:b/>
        </w:rPr>
        <w:t xml:space="preserve"> “Your complete answers are essential to helping us support publicly-funded family planning service providers in the future.”</w:t>
      </w:r>
    </w:p>
    <w:p w:rsidR="00250AFB" w:rsidRDefault="00250AFB" w:rsidP="00250AFB">
      <w:pPr>
        <w:ind w:left="360"/>
      </w:pPr>
      <w:r>
        <w:rPr>
          <w:color w:val="17365D" w:themeColor="text2" w:themeShade="BF"/>
        </w:rPr>
        <w:br/>
        <w:t>The bullet has been deleted from E2.  Please see revised version.</w:t>
      </w:r>
    </w:p>
    <w:p w:rsidR="00DC2EB5" w:rsidRPr="00BE5166" w:rsidRDefault="00DC2EB5" w:rsidP="00DC2EB5">
      <w:pPr>
        <w:pStyle w:val="ListParagraph"/>
        <w:numPr>
          <w:ilvl w:val="0"/>
          <w:numId w:val="1"/>
        </w:numPr>
        <w:rPr>
          <w:b/>
        </w:rPr>
      </w:pPr>
      <w:r w:rsidRPr="00BE5166">
        <w:rPr>
          <w:b/>
        </w:rPr>
        <w:t xml:space="preserve">Are the proposed samples intended to be nationally representative? </w:t>
      </w:r>
    </w:p>
    <w:p w:rsidR="00E264D5" w:rsidRDefault="001B2812" w:rsidP="00006F89">
      <w:pPr>
        <w:ind w:left="360"/>
        <w:rPr>
          <w:rFonts w:cstheme="minorHAnsi"/>
          <w:color w:val="17365D" w:themeColor="text2" w:themeShade="BF"/>
        </w:rPr>
      </w:pPr>
      <w:r>
        <w:br/>
      </w:r>
      <w:r w:rsidR="00E264D5" w:rsidRPr="00BE5166">
        <w:rPr>
          <w:rFonts w:cstheme="minorHAnsi"/>
          <w:color w:val="17365D" w:themeColor="text2" w:themeShade="BF"/>
        </w:rPr>
        <w:t>Yes, t</w:t>
      </w:r>
      <w:r w:rsidRPr="00BE5166">
        <w:rPr>
          <w:rFonts w:cstheme="minorHAnsi"/>
          <w:color w:val="17365D" w:themeColor="text2" w:themeShade="BF"/>
        </w:rPr>
        <w:t xml:space="preserve">he proposed samples are intended to be nationally representative. </w:t>
      </w:r>
      <w:r w:rsidR="00006F89">
        <w:rPr>
          <w:rFonts w:cstheme="minorHAnsi"/>
          <w:color w:val="17365D" w:themeColor="text2" w:themeShade="BF"/>
        </w:rPr>
        <w:t xml:space="preserve">The sample frames </w:t>
      </w:r>
      <w:r w:rsidR="00284D4F">
        <w:rPr>
          <w:rFonts w:cstheme="minorHAnsi"/>
          <w:color w:val="17365D" w:themeColor="text2" w:themeShade="BF"/>
        </w:rPr>
        <w:t>will</w:t>
      </w:r>
      <w:r w:rsidR="00006F89">
        <w:rPr>
          <w:rFonts w:cstheme="minorHAnsi"/>
          <w:color w:val="17365D" w:themeColor="text2" w:themeShade="BF"/>
        </w:rPr>
        <w:t xml:space="preserve"> represent a complete census of the target </w:t>
      </w:r>
      <w:r w:rsidR="00A03D40">
        <w:rPr>
          <w:rFonts w:cstheme="minorHAnsi"/>
          <w:color w:val="17365D" w:themeColor="text2" w:themeShade="BF"/>
        </w:rPr>
        <w:t>samples</w:t>
      </w:r>
      <w:r w:rsidR="00006F89">
        <w:rPr>
          <w:rFonts w:cstheme="minorHAnsi"/>
          <w:color w:val="17365D" w:themeColor="text2" w:themeShade="BF"/>
        </w:rPr>
        <w:t>.  For example</w:t>
      </w:r>
      <w:r w:rsidR="00A03D40">
        <w:rPr>
          <w:rFonts w:cstheme="minorHAnsi"/>
          <w:color w:val="17365D" w:themeColor="text2" w:themeShade="BF"/>
        </w:rPr>
        <w:t>, t</w:t>
      </w:r>
      <w:r w:rsidR="00006F89">
        <w:rPr>
          <w:rFonts w:cstheme="minorHAnsi"/>
          <w:color w:val="17365D" w:themeColor="text2" w:themeShade="BF"/>
        </w:rPr>
        <w:t xml:space="preserve">o sample private-sector physicians specializing in obstetrics and gynecology, family medicine, and adolescent medicine (specialties that provide the bulk of family planning services in the United States), we will use the </w:t>
      </w:r>
      <w:r w:rsidR="00284D4F">
        <w:rPr>
          <w:rFonts w:cstheme="minorHAnsi"/>
          <w:color w:val="17365D" w:themeColor="text2" w:themeShade="BF"/>
        </w:rPr>
        <w:t xml:space="preserve">AMA </w:t>
      </w:r>
      <w:r w:rsidR="00E264D5" w:rsidRPr="00BE5166">
        <w:rPr>
          <w:rFonts w:cstheme="minorHAnsi"/>
          <w:color w:val="17365D" w:themeColor="text2" w:themeShade="BF"/>
        </w:rPr>
        <w:t xml:space="preserve">Physician Masterfile, which includes information on </w:t>
      </w:r>
      <w:r w:rsidR="00284D4F">
        <w:rPr>
          <w:rFonts w:cstheme="minorHAnsi"/>
          <w:color w:val="17365D" w:themeColor="text2" w:themeShade="BF"/>
        </w:rPr>
        <w:t>AMA</w:t>
      </w:r>
      <w:r w:rsidR="00E264D5" w:rsidRPr="00BE5166">
        <w:rPr>
          <w:rFonts w:cstheme="minorHAnsi"/>
          <w:color w:val="17365D" w:themeColor="text2" w:themeShade="BF"/>
        </w:rPr>
        <w:t xml:space="preserve"> member and nonmember board-certified physicians residing in the United States and United States territories. </w:t>
      </w:r>
      <w:r w:rsidR="00C13FA9">
        <w:rPr>
          <w:rFonts w:cstheme="minorHAnsi"/>
          <w:color w:val="17365D" w:themeColor="text2" w:themeShade="BF"/>
        </w:rPr>
        <w:t>To sample public-sector family planning providers and health center administrators, we will use the Guttmacher Institute Database of Publicly-funded Family Planning Health Centers, which is regularly updated and maintained by the Guttmacher Institute.  After data collection, to ensure that the data are nationally representative</w:t>
      </w:r>
      <w:r w:rsidR="00515341">
        <w:rPr>
          <w:rFonts w:cstheme="minorHAnsi"/>
          <w:color w:val="17365D" w:themeColor="text2" w:themeShade="BF"/>
        </w:rPr>
        <w:t>, data will be weighted to account for the probability of selection into the sample, as well as nonresponse bias.</w:t>
      </w:r>
      <w:r w:rsidR="00C13FA9">
        <w:rPr>
          <w:rFonts w:cstheme="minorHAnsi"/>
          <w:color w:val="17365D" w:themeColor="text2" w:themeShade="BF"/>
        </w:rPr>
        <w:t xml:space="preserve">  </w:t>
      </w:r>
      <w:r w:rsidR="00971F48">
        <w:rPr>
          <w:rFonts w:cstheme="minorHAnsi"/>
          <w:color w:val="17365D" w:themeColor="text2" w:themeShade="BF"/>
        </w:rPr>
        <w:t xml:space="preserve">  This information has been added to section B1.</w:t>
      </w:r>
    </w:p>
    <w:p w:rsidR="00DC2EB5" w:rsidRPr="00515341" w:rsidRDefault="00DC2EB5" w:rsidP="00DC2EB5">
      <w:pPr>
        <w:pStyle w:val="ListParagraph"/>
        <w:numPr>
          <w:ilvl w:val="0"/>
          <w:numId w:val="1"/>
        </w:numPr>
        <w:rPr>
          <w:b/>
        </w:rPr>
      </w:pPr>
      <w:r w:rsidRPr="00515341">
        <w:rPr>
          <w:b/>
        </w:rPr>
        <w:t>Please provide additional information in Part B about planned non-response bias analyses.</w:t>
      </w:r>
    </w:p>
    <w:p w:rsidR="00515341" w:rsidRDefault="00515341" w:rsidP="00515341">
      <w:pPr>
        <w:ind w:left="360"/>
        <w:rPr>
          <w:rFonts w:cstheme="minorHAnsi"/>
          <w:color w:val="17365D" w:themeColor="text2" w:themeShade="BF"/>
        </w:rPr>
      </w:pPr>
      <w:r>
        <w:rPr>
          <w:rFonts w:cstheme="minorHAnsi"/>
          <w:color w:val="17365D" w:themeColor="text2" w:themeShade="BF"/>
        </w:rPr>
        <w:br/>
        <w:t>As stated above, in analyses, data will be weighted to account for the probability of selection into the sample, as well as nonresponse bias.</w:t>
      </w:r>
    </w:p>
    <w:p w:rsidR="00515341" w:rsidRDefault="00904F42" w:rsidP="00515341">
      <w:pPr>
        <w:ind w:left="360"/>
        <w:rPr>
          <w:rFonts w:cstheme="minorHAnsi"/>
          <w:color w:val="17365D" w:themeColor="text2" w:themeShade="BF"/>
        </w:rPr>
      </w:pPr>
      <w:r>
        <w:rPr>
          <w:rFonts w:cstheme="minorHAnsi"/>
          <w:color w:val="17365D" w:themeColor="text2" w:themeShade="BF"/>
        </w:rPr>
        <w:t xml:space="preserve">In addition, </w:t>
      </w:r>
      <w:r w:rsidR="00515341">
        <w:rPr>
          <w:rFonts w:cstheme="minorHAnsi"/>
          <w:color w:val="17365D" w:themeColor="text2" w:themeShade="BF"/>
        </w:rPr>
        <w:t xml:space="preserve">we will know </w:t>
      </w:r>
      <w:r>
        <w:rPr>
          <w:rFonts w:cstheme="minorHAnsi"/>
          <w:color w:val="17365D" w:themeColor="text2" w:themeShade="BF"/>
        </w:rPr>
        <w:t>basic</w:t>
      </w:r>
      <w:r w:rsidR="00515341">
        <w:rPr>
          <w:rFonts w:cstheme="minorHAnsi"/>
          <w:color w:val="17365D" w:themeColor="text2" w:themeShade="BF"/>
        </w:rPr>
        <w:t xml:space="preserve"> information about each of the sampled physicians and health centers, which </w:t>
      </w:r>
      <w:r w:rsidR="000B0860">
        <w:rPr>
          <w:rFonts w:cstheme="minorHAnsi"/>
          <w:color w:val="17365D" w:themeColor="text2" w:themeShade="BF"/>
        </w:rPr>
        <w:t>will</w:t>
      </w:r>
      <w:r w:rsidR="00515341">
        <w:rPr>
          <w:rFonts w:cstheme="minorHAnsi"/>
          <w:color w:val="17365D" w:themeColor="text2" w:themeShade="BF"/>
        </w:rPr>
        <w:t xml:space="preserve"> be analyzed to understand </w:t>
      </w:r>
      <w:r>
        <w:rPr>
          <w:rFonts w:cstheme="minorHAnsi"/>
          <w:color w:val="17365D" w:themeColor="text2" w:themeShade="BF"/>
        </w:rPr>
        <w:t>general</w:t>
      </w:r>
      <w:r w:rsidR="00515341">
        <w:rPr>
          <w:rFonts w:cstheme="minorHAnsi"/>
          <w:color w:val="17365D" w:themeColor="text2" w:themeShade="BF"/>
        </w:rPr>
        <w:t xml:space="preserve"> differences between respondents and non-respondents.  For example, for the publicly</w:t>
      </w:r>
      <w:r>
        <w:rPr>
          <w:rFonts w:cstheme="minorHAnsi"/>
          <w:color w:val="17365D" w:themeColor="text2" w:themeShade="BF"/>
        </w:rPr>
        <w:t>-</w:t>
      </w:r>
      <w:r w:rsidR="00515341">
        <w:rPr>
          <w:rFonts w:cstheme="minorHAnsi"/>
          <w:color w:val="17365D" w:themeColor="text2" w:themeShade="BF"/>
        </w:rPr>
        <w:t xml:space="preserve">funded family planning health centers, we will know the type of health center (e.g., Planned Parenthood, hospital, community health center).  For physicians, we will know </w:t>
      </w:r>
      <w:r>
        <w:rPr>
          <w:rFonts w:cstheme="minorHAnsi"/>
          <w:color w:val="17365D" w:themeColor="text2" w:themeShade="BF"/>
        </w:rPr>
        <w:t xml:space="preserve">background information such as </w:t>
      </w:r>
      <w:r w:rsidR="00270934">
        <w:rPr>
          <w:rFonts w:cstheme="minorHAnsi"/>
          <w:color w:val="17365D" w:themeColor="text2" w:themeShade="BF"/>
        </w:rPr>
        <w:t xml:space="preserve">specialty, </w:t>
      </w:r>
      <w:r w:rsidR="00515341">
        <w:rPr>
          <w:rFonts w:cstheme="minorHAnsi"/>
          <w:color w:val="17365D" w:themeColor="text2" w:themeShade="BF"/>
        </w:rPr>
        <w:t>gender,</w:t>
      </w:r>
      <w:r>
        <w:rPr>
          <w:rFonts w:cstheme="minorHAnsi"/>
          <w:color w:val="17365D" w:themeColor="text2" w:themeShade="BF"/>
        </w:rPr>
        <w:t xml:space="preserve"> and graduation year from medical school.</w:t>
      </w:r>
      <w:r w:rsidR="00515341">
        <w:rPr>
          <w:rFonts w:cstheme="minorHAnsi"/>
          <w:color w:val="17365D" w:themeColor="text2" w:themeShade="BF"/>
        </w:rPr>
        <w:t xml:space="preserve"> </w:t>
      </w:r>
      <w:r w:rsidR="00971F48">
        <w:rPr>
          <w:rFonts w:cstheme="minorHAnsi"/>
          <w:color w:val="17365D" w:themeColor="text2" w:themeShade="BF"/>
        </w:rPr>
        <w:t xml:space="preserve"> </w:t>
      </w:r>
    </w:p>
    <w:p w:rsidR="00971F48" w:rsidRDefault="00971F48" w:rsidP="00515341">
      <w:pPr>
        <w:ind w:left="360"/>
      </w:pPr>
      <w:r>
        <w:rPr>
          <w:rFonts w:cstheme="minorHAnsi"/>
          <w:color w:val="17365D" w:themeColor="text2" w:themeShade="BF"/>
        </w:rPr>
        <w:t>This information has been added to section B3.</w:t>
      </w:r>
    </w:p>
    <w:p w:rsidR="003C3434" w:rsidRDefault="003C3434" w:rsidP="00265AD2"/>
    <w:p w:rsidR="00B17E66" w:rsidRDefault="00B17E66"/>
    <w:sectPr w:rsidR="00B17E66" w:rsidSect="00F33A9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B7E"/>
    <w:multiLevelType w:val="hybridMultilevel"/>
    <w:tmpl w:val="BD8E7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7837B0"/>
    <w:multiLevelType w:val="hybridMultilevel"/>
    <w:tmpl w:val="87984C96"/>
    <w:lvl w:ilvl="0" w:tplc="0310FA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6E532A"/>
    <w:multiLevelType w:val="hybridMultilevel"/>
    <w:tmpl w:val="74FA1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B5"/>
    <w:rsid w:val="00006F89"/>
    <w:rsid w:val="000B0860"/>
    <w:rsid w:val="001B2812"/>
    <w:rsid w:val="00250AFB"/>
    <w:rsid w:val="00253808"/>
    <w:rsid w:val="00265AD2"/>
    <w:rsid w:val="00270934"/>
    <w:rsid w:val="002826D6"/>
    <w:rsid w:val="00284D4F"/>
    <w:rsid w:val="002A1BAF"/>
    <w:rsid w:val="002A3813"/>
    <w:rsid w:val="002C7176"/>
    <w:rsid w:val="00366FE5"/>
    <w:rsid w:val="00386B7B"/>
    <w:rsid w:val="003905C2"/>
    <w:rsid w:val="003A2139"/>
    <w:rsid w:val="003C3434"/>
    <w:rsid w:val="00474A0F"/>
    <w:rsid w:val="004B4395"/>
    <w:rsid w:val="00502796"/>
    <w:rsid w:val="00515341"/>
    <w:rsid w:val="005153B7"/>
    <w:rsid w:val="0055075B"/>
    <w:rsid w:val="00563115"/>
    <w:rsid w:val="005A479C"/>
    <w:rsid w:val="005E67F8"/>
    <w:rsid w:val="00601F75"/>
    <w:rsid w:val="00603B20"/>
    <w:rsid w:val="00612B30"/>
    <w:rsid w:val="00630E56"/>
    <w:rsid w:val="00650580"/>
    <w:rsid w:val="006745A7"/>
    <w:rsid w:val="00680E4E"/>
    <w:rsid w:val="006E1A4B"/>
    <w:rsid w:val="006F7FCC"/>
    <w:rsid w:val="0070065D"/>
    <w:rsid w:val="007351EC"/>
    <w:rsid w:val="007825D4"/>
    <w:rsid w:val="00782DFD"/>
    <w:rsid w:val="00784CD5"/>
    <w:rsid w:val="007C1C33"/>
    <w:rsid w:val="007D4C09"/>
    <w:rsid w:val="00817EBC"/>
    <w:rsid w:val="008D5C16"/>
    <w:rsid w:val="008E3A00"/>
    <w:rsid w:val="00904F42"/>
    <w:rsid w:val="00965015"/>
    <w:rsid w:val="00971F48"/>
    <w:rsid w:val="009801B0"/>
    <w:rsid w:val="009A1538"/>
    <w:rsid w:val="009E205B"/>
    <w:rsid w:val="00A03D40"/>
    <w:rsid w:val="00AA19F9"/>
    <w:rsid w:val="00B17E66"/>
    <w:rsid w:val="00B45F63"/>
    <w:rsid w:val="00BA0AF5"/>
    <w:rsid w:val="00BA6535"/>
    <w:rsid w:val="00BC0433"/>
    <w:rsid w:val="00BE5166"/>
    <w:rsid w:val="00C13FA9"/>
    <w:rsid w:val="00C5106B"/>
    <w:rsid w:val="00C73ADE"/>
    <w:rsid w:val="00CC5172"/>
    <w:rsid w:val="00D2397F"/>
    <w:rsid w:val="00D31707"/>
    <w:rsid w:val="00D63859"/>
    <w:rsid w:val="00D926D6"/>
    <w:rsid w:val="00DB3087"/>
    <w:rsid w:val="00DC2EB5"/>
    <w:rsid w:val="00E233A0"/>
    <w:rsid w:val="00E264D5"/>
    <w:rsid w:val="00ED13B1"/>
    <w:rsid w:val="00ED62E7"/>
    <w:rsid w:val="00F33A98"/>
    <w:rsid w:val="00F94EF3"/>
    <w:rsid w:val="00FE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B5"/>
    <w:pPr>
      <w:spacing w:after="0" w:line="240" w:lineRule="auto"/>
      <w:ind w:left="720"/>
    </w:pPr>
    <w:rPr>
      <w:rFonts w:ascii="Calibri" w:hAnsi="Calibri" w:cs="Calibri"/>
    </w:rPr>
  </w:style>
  <w:style w:type="table" w:styleId="TableGrid">
    <w:name w:val="Table Grid"/>
    <w:basedOn w:val="TableNormal"/>
    <w:uiPriority w:val="59"/>
    <w:rsid w:val="00D92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808"/>
    <w:rPr>
      <w:rFonts w:ascii="Tahoma" w:hAnsi="Tahoma" w:cs="Tahoma"/>
      <w:sz w:val="16"/>
      <w:szCs w:val="16"/>
    </w:rPr>
  </w:style>
  <w:style w:type="character" w:styleId="CommentReference">
    <w:name w:val="annotation reference"/>
    <w:basedOn w:val="DefaultParagraphFont"/>
    <w:uiPriority w:val="99"/>
    <w:semiHidden/>
    <w:unhideWhenUsed/>
    <w:rsid w:val="0070065D"/>
    <w:rPr>
      <w:sz w:val="16"/>
      <w:szCs w:val="16"/>
    </w:rPr>
  </w:style>
  <w:style w:type="paragraph" w:styleId="CommentText">
    <w:name w:val="annotation text"/>
    <w:basedOn w:val="Normal"/>
    <w:link w:val="CommentTextChar"/>
    <w:uiPriority w:val="99"/>
    <w:semiHidden/>
    <w:unhideWhenUsed/>
    <w:rsid w:val="0070065D"/>
    <w:pPr>
      <w:spacing w:line="240" w:lineRule="auto"/>
    </w:pPr>
    <w:rPr>
      <w:sz w:val="20"/>
      <w:szCs w:val="20"/>
    </w:rPr>
  </w:style>
  <w:style w:type="character" w:customStyle="1" w:styleId="CommentTextChar">
    <w:name w:val="Comment Text Char"/>
    <w:basedOn w:val="DefaultParagraphFont"/>
    <w:link w:val="CommentText"/>
    <w:uiPriority w:val="99"/>
    <w:semiHidden/>
    <w:rsid w:val="0070065D"/>
    <w:rPr>
      <w:sz w:val="20"/>
      <w:szCs w:val="20"/>
    </w:rPr>
  </w:style>
  <w:style w:type="paragraph" w:styleId="CommentSubject">
    <w:name w:val="annotation subject"/>
    <w:basedOn w:val="CommentText"/>
    <w:next w:val="CommentText"/>
    <w:link w:val="CommentSubjectChar"/>
    <w:uiPriority w:val="99"/>
    <w:semiHidden/>
    <w:unhideWhenUsed/>
    <w:rsid w:val="0070065D"/>
    <w:rPr>
      <w:b/>
      <w:bCs/>
    </w:rPr>
  </w:style>
  <w:style w:type="character" w:customStyle="1" w:styleId="CommentSubjectChar">
    <w:name w:val="Comment Subject Char"/>
    <w:basedOn w:val="CommentTextChar"/>
    <w:link w:val="CommentSubject"/>
    <w:uiPriority w:val="99"/>
    <w:semiHidden/>
    <w:rsid w:val="007006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B5"/>
    <w:pPr>
      <w:spacing w:after="0" w:line="240" w:lineRule="auto"/>
      <w:ind w:left="720"/>
    </w:pPr>
    <w:rPr>
      <w:rFonts w:ascii="Calibri" w:hAnsi="Calibri" w:cs="Calibri"/>
    </w:rPr>
  </w:style>
  <w:style w:type="table" w:styleId="TableGrid">
    <w:name w:val="Table Grid"/>
    <w:basedOn w:val="TableNormal"/>
    <w:uiPriority w:val="59"/>
    <w:rsid w:val="00D92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808"/>
    <w:rPr>
      <w:rFonts w:ascii="Tahoma" w:hAnsi="Tahoma" w:cs="Tahoma"/>
      <w:sz w:val="16"/>
      <w:szCs w:val="16"/>
    </w:rPr>
  </w:style>
  <w:style w:type="character" w:styleId="CommentReference">
    <w:name w:val="annotation reference"/>
    <w:basedOn w:val="DefaultParagraphFont"/>
    <w:uiPriority w:val="99"/>
    <w:semiHidden/>
    <w:unhideWhenUsed/>
    <w:rsid w:val="0070065D"/>
    <w:rPr>
      <w:sz w:val="16"/>
      <w:szCs w:val="16"/>
    </w:rPr>
  </w:style>
  <w:style w:type="paragraph" w:styleId="CommentText">
    <w:name w:val="annotation text"/>
    <w:basedOn w:val="Normal"/>
    <w:link w:val="CommentTextChar"/>
    <w:uiPriority w:val="99"/>
    <w:semiHidden/>
    <w:unhideWhenUsed/>
    <w:rsid w:val="0070065D"/>
    <w:pPr>
      <w:spacing w:line="240" w:lineRule="auto"/>
    </w:pPr>
    <w:rPr>
      <w:sz w:val="20"/>
      <w:szCs w:val="20"/>
    </w:rPr>
  </w:style>
  <w:style w:type="character" w:customStyle="1" w:styleId="CommentTextChar">
    <w:name w:val="Comment Text Char"/>
    <w:basedOn w:val="DefaultParagraphFont"/>
    <w:link w:val="CommentText"/>
    <w:uiPriority w:val="99"/>
    <w:semiHidden/>
    <w:rsid w:val="0070065D"/>
    <w:rPr>
      <w:sz w:val="20"/>
      <w:szCs w:val="20"/>
    </w:rPr>
  </w:style>
  <w:style w:type="paragraph" w:styleId="CommentSubject">
    <w:name w:val="annotation subject"/>
    <w:basedOn w:val="CommentText"/>
    <w:next w:val="CommentText"/>
    <w:link w:val="CommentSubjectChar"/>
    <w:uiPriority w:val="99"/>
    <w:semiHidden/>
    <w:unhideWhenUsed/>
    <w:rsid w:val="0070065D"/>
    <w:rPr>
      <w:b/>
      <w:bCs/>
    </w:rPr>
  </w:style>
  <w:style w:type="character" w:customStyle="1" w:styleId="CommentSubjectChar">
    <w:name w:val="Comment Subject Char"/>
    <w:basedOn w:val="CommentTextChar"/>
    <w:link w:val="CommentSubject"/>
    <w:uiPriority w:val="99"/>
    <w:semiHidden/>
    <w:rsid w:val="007006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156104">
      <w:bodyDiv w:val="1"/>
      <w:marLeft w:val="0"/>
      <w:marRight w:val="0"/>
      <w:marTop w:val="0"/>
      <w:marBottom w:val="0"/>
      <w:divBdr>
        <w:top w:val="none" w:sz="0" w:space="0" w:color="auto"/>
        <w:left w:val="none" w:sz="0" w:space="0" w:color="auto"/>
        <w:bottom w:val="none" w:sz="0" w:space="0" w:color="auto"/>
        <w:right w:val="none" w:sz="0" w:space="0" w:color="auto"/>
      </w:divBdr>
    </w:div>
    <w:div w:id="919026884">
      <w:bodyDiv w:val="1"/>
      <w:marLeft w:val="0"/>
      <w:marRight w:val="0"/>
      <w:marTop w:val="0"/>
      <w:marBottom w:val="0"/>
      <w:divBdr>
        <w:top w:val="none" w:sz="0" w:space="0" w:color="auto"/>
        <w:left w:val="none" w:sz="0" w:space="0" w:color="auto"/>
        <w:bottom w:val="none" w:sz="0" w:space="0" w:color="auto"/>
        <w:right w:val="none" w:sz="0" w:space="0" w:color="auto"/>
      </w:divBdr>
    </w:div>
    <w:div w:id="1654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Zapata</dc:creator>
  <cp:lastModifiedBy>Lauren Zapata</cp:lastModifiedBy>
  <cp:revision>2</cp:revision>
  <dcterms:created xsi:type="dcterms:W3CDTF">2013-02-25T17:08:00Z</dcterms:created>
  <dcterms:modified xsi:type="dcterms:W3CDTF">2013-02-25T17:08:00Z</dcterms:modified>
</cp:coreProperties>
</file>