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EB6" w:rsidRDefault="000D4E3F" w:rsidP="00EE23FD">
      <w:pPr>
        <w:framePr w:w="11520" w:h="1570" w:hRule="exact" w:hSpace="90" w:vSpace="90" w:wrap="auto" w:vAnchor="page" w:hAnchor="page" w:x="316" w:y="976"/>
        <w:pBdr>
          <w:top w:val="single" w:sz="6" w:space="0" w:color="FFFFFF"/>
          <w:left w:val="single" w:sz="6" w:space="0" w:color="FFFFFF"/>
          <w:bottom w:val="single" w:sz="6" w:space="0" w:color="FFFFFF"/>
          <w:right w:val="single" w:sz="6" w:space="0" w:color="FFFFFF"/>
        </w:pBdr>
      </w:pPr>
      <w:r>
        <w:rPr>
          <w:noProof/>
        </w:rPr>
        <w:drawing>
          <wp:inline distT="0" distB="0" distL="0" distR="0">
            <wp:extent cx="7315200" cy="10001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293" t="-111" r="-293" b="-111"/>
                    <a:stretch>
                      <a:fillRect/>
                    </a:stretch>
                  </pic:blipFill>
                  <pic:spPr bwMode="auto">
                    <a:xfrm>
                      <a:off x="0" y="0"/>
                      <a:ext cx="7315200" cy="1000125"/>
                    </a:xfrm>
                    <a:prstGeom prst="rect">
                      <a:avLst/>
                    </a:prstGeom>
                    <a:noFill/>
                    <a:ln w="9525">
                      <a:noFill/>
                      <a:miter lim="800000"/>
                      <a:headEnd/>
                      <a:tailEnd/>
                    </a:ln>
                  </pic:spPr>
                </pic:pic>
              </a:graphicData>
            </a:graphic>
          </wp:inline>
        </w:drawing>
      </w:r>
    </w:p>
    <w:p w:rsidR="00EE23FD" w:rsidRDefault="00EE23FD" w:rsidP="001E76BF">
      <w:pPr>
        <w:rPr>
          <w:sz w:val="24"/>
        </w:rPr>
      </w:pPr>
    </w:p>
    <w:p w:rsidR="00EE23FD" w:rsidRDefault="00EE23FD" w:rsidP="001E76BF">
      <w:pPr>
        <w:rPr>
          <w:sz w:val="24"/>
        </w:rPr>
      </w:pPr>
    </w:p>
    <w:p w:rsidR="001E76BF" w:rsidRPr="001E76BF" w:rsidRDefault="00B52B9B" w:rsidP="001E76BF">
      <w:pPr>
        <w:rPr>
          <w:color w:val="FF0000"/>
          <w:sz w:val="24"/>
          <w:szCs w:val="24"/>
        </w:rPr>
      </w:pPr>
      <w:r w:rsidRPr="00B15522">
        <w:rPr>
          <w:sz w:val="24"/>
        </w:rPr>
        <w:t>Date</w:t>
      </w:r>
      <w:r w:rsidR="00DE5042" w:rsidRPr="00B15522">
        <w:rPr>
          <w:sz w:val="24"/>
        </w:rPr>
        <w:t>:</w:t>
      </w:r>
      <w:r w:rsidR="00DE5042">
        <w:rPr>
          <w:sz w:val="24"/>
        </w:rPr>
        <w:tab/>
      </w:r>
      <w:r w:rsidR="00DE5042">
        <w:rPr>
          <w:sz w:val="24"/>
        </w:rPr>
        <w:tab/>
      </w:r>
      <w:r w:rsidR="00B15522">
        <w:rPr>
          <w:sz w:val="24"/>
        </w:rPr>
        <w:t>January 23, 2013</w:t>
      </w:r>
    </w:p>
    <w:p w:rsidR="00B52B9B" w:rsidRDefault="00B52B9B">
      <w:pPr>
        <w:rPr>
          <w:sz w:val="24"/>
        </w:rPr>
      </w:pPr>
    </w:p>
    <w:p w:rsidR="00B52B9B" w:rsidRDefault="00B52B9B">
      <w:pPr>
        <w:tabs>
          <w:tab w:val="left" w:pos="720"/>
          <w:tab w:val="left" w:pos="1440"/>
        </w:tabs>
        <w:ind w:left="1440" w:hanging="1440"/>
        <w:rPr>
          <w:sz w:val="24"/>
        </w:rPr>
      </w:pPr>
      <w:r>
        <w:rPr>
          <w:sz w:val="24"/>
        </w:rPr>
        <w:t>TO:</w:t>
      </w:r>
      <w:r>
        <w:rPr>
          <w:sz w:val="24"/>
        </w:rPr>
        <w:tab/>
      </w:r>
      <w:r>
        <w:rPr>
          <w:sz w:val="24"/>
        </w:rPr>
        <w:tab/>
        <w:t>Office of Management and Budget (OMB)</w:t>
      </w:r>
    </w:p>
    <w:p w:rsidR="00C94A7A" w:rsidRDefault="00C94A7A">
      <w:pPr>
        <w:tabs>
          <w:tab w:val="left" w:pos="720"/>
          <w:tab w:val="left" w:pos="1440"/>
        </w:tabs>
        <w:ind w:left="1440" w:hanging="1440"/>
        <w:rPr>
          <w:sz w:val="24"/>
        </w:rPr>
      </w:pPr>
    </w:p>
    <w:p w:rsidR="00B348B3" w:rsidRDefault="00B52B9B" w:rsidP="000E07F2">
      <w:pPr>
        <w:rPr>
          <w:sz w:val="24"/>
          <w:szCs w:val="24"/>
        </w:rPr>
      </w:pPr>
      <w:r>
        <w:rPr>
          <w:sz w:val="24"/>
        </w:rPr>
        <w:t>Through:</w:t>
      </w:r>
      <w:r>
        <w:rPr>
          <w:sz w:val="24"/>
        </w:rPr>
        <w:tab/>
      </w:r>
      <w:proofErr w:type="spellStart"/>
      <w:r w:rsidR="0030133B">
        <w:rPr>
          <w:sz w:val="24"/>
        </w:rPr>
        <w:t>Seleda</w:t>
      </w:r>
      <w:proofErr w:type="spellEnd"/>
      <w:r w:rsidR="0030133B">
        <w:rPr>
          <w:sz w:val="24"/>
        </w:rPr>
        <w:t xml:space="preserve"> </w:t>
      </w:r>
      <w:r w:rsidR="00DE5042">
        <w:rPr>
          <w:sz w:val="24"/>
        </w:rPr>
        <w:t>Perryman</w:t>
      </w:r>
      <w:r>
        <w:rPr>
          <w:sz w:val="24"/>
        </w:rPr>
        <w:t xml:space="preserve">, </w:t>
      </w:r>
      <w:r w:rsidR="00B348B3">
        <w:rPr>
          <w:sz w:val="24"/>
          <w:szCs w:val="24"/>
        </w:rPr>
        <w:t>Report Clearance Officer</w:t>
      </w:r>
      <w:r w:rsidR="000E07F2">
        <w:rPr>
          <w:sz w:val="24"/>
          <w:szCs w:val="24"/>
        </w:rPr>
        <w:t xml:space="preserve">, </w:t>
      </w:r>
      <w:proofErr w:type="gramStart"/>
      <w:r w:rsidR="000E07F2">
        <w:rPr>
          <w:sz w:val="24"/>
          <w:szCs w:val="24"/>
        </w:rPr>
        <w:t>NIH</w:t>
      </w:r>
      <w:proofErr w:type="gramEnd"/>
    </w:p>
    <w:p w:rsidR="00B52B9B" w:rsidRDefault="00B52B9B">
      <w:pPr>
        <w:rPr>
          <w:sz w:val="24"/>
        </w:rPr>
      </w:pPr>
      <w:r>
        <w:rPr>
          <w:sz w:val="24"/>
        </w:rPr>
        <w:tab/>
      </w:r>
      <w:r>
        <w:rPr>
          <w:sz w:val="24"/>
        </w:rPr>
        <w:tab/>
      </w:r>
      <w:r w:rsidR="0030133B">
        <w:rPr>
          <w:sz w:val="24"/>
        </w:rPr>
        <w:t xml:space="preserve">Vivian Horovitch-Kelley, </w:t>
      </w:r>
      <w:smartTag w:uri="urn:schemas-microsoft-com:office:smarttags" w:element="stockticker">
        <w:r w:rsidR="00B348B3">
          <w:rPr>
            <w:sz w:val="24"/>
          </w:rPr>
          <w:t>NCI</w:t>
        </w:r>
      </w:smartTag>
      <w:r w:rsidR="00B348B3">
        <w:rPr>
          <w:sz w:val="24"/>
        </w:rPr>
        <w:t xml:space="preserve"> </w:t>
      </w:r>
      <w:r w:rsidR="0030133B">
        <w:rPr>
          <w:sz w:val="24"/>
        </w:rPr>
        <w:t xml:space="preserve">OMB </w:t>
      </w:r>
      <w:r>
        <w:rPr>
          <w:sz w:val="24"/>
        </w:rPr>
        <w:t>Project Clearance Liaison</w:t>
      </w:r>
      <w:r w:rsidR="00E72E68">
        <w:rPr>
          <w:sz w:val="24"/>
        </w:rPr>
        <w:t xml:space="preserve">, </w:t>
      </w:r>
      <w:r w:rsidR="000E07F2">
        <w:rPr>
          <w:sz w:val="24"/>
        </w:rPr>
        <w:t>NCI</w:t>
      </w:r>
    </w:p>
    <w:p w:rsidR="00B52B9B" w:rsidRDefault="00B52B9B">
      <w:pPr>
        <w:rPr>
          <w:sz w:val="24"/>
        </w:rPr>
      </w:pPr>
    </w:p>
    <w:p w:rsidR="00C32266" w:rsidRDefault="00B52B9B" w:rsidP="00C32266">
      <w:pPr>
        <w:pStyle w:val="Heading"/>
        <w:spacing w:before="0" w:after="0"/>
      </w:pPr>
      <w:r>
        <w:t>FROM:</w:t>
      </w:r>
      <w:r>
        <w:tab/>
      </w:r>
      <w:r w:rsidR="00C32266">
        <w:t>Bradford Hesse</w:t>
      </w:r>
      <w:r w:rsidR="00C32266" w:rsidRPr="002A5106">
        <w:t xml:space="preserve">, </w:t>
      </w:r>
      <w:r w:rsidR="00C32266">
        <w:t xml:space="preserve">Project Officer, </w:t>
      </w:r>
    </w:p>
    <w:p w:rsidR="00C32266" w:rsidRPr="00C64179" w:rsidRDefault="00C32266" w:rsidP="00C32266">
      <w:pPr>
        <w:pStyle w:val="Heading"/>
        <w:spacing w:before="0" w:after="0"/>
      </w:pPr>
      <w:r>
        <w:rPr>
          <w:b/>
        </w:rPr>
        <w:tab/>
      </w:r>
      <w:r w:rsidRPr="00C64179">
        <w:t xml:space="preserve">Health Information National Trends Survey </w:t>
      </w:r>
      <w:r>
        <w:t xml:space="preserve">4 </w:t>
      </w:r>
      <w:r w:rsidRPr="00C64179">
        <w:t>(HINTS</w:t>
      </w:r>
      <w:r>
        <w:t xml:space="preserve"> 4</w:t>
      </w:r>
      <w:r w:rsidRPr="00C64179">
        <w:t>),</w:t>
      </w:r>
    </w:p>
    <w:p w:rsidR="00C32266" w:rsidRDefault="00C32266" w:rsidP="00C32266">
      <w:pPr>
        <w:pStyle w:val="Heading"/>
        <w:spacing w:before="0" w:after="0"/>
        <w:ind w:firstLine="0"/>
      </w:pPr>
      <w:r w:rsidRPr="002A5106">
        <w:t xml:space="preserve">Division of Cancer Control and Population Sciences, </w:t>
      </w:r>
    </w:p>
    <w:p w:rsidR="00C32266" w:rsidRDefault="00C32266" w:rsidP="00C32266">
      <w:pPr>
        <w:pStyle w:val="Heading"/>
        <w:spacing w:before="0" w:after="0"/>
        <w:ind w:firstLine="0"/>
      </w:pPr>
      <w:r w:rsidRPr="002A5106">
        <w:t>National Cancer Institute/NIH</w:t>
      </w:r>
    </w:p>
    <w:p w:rsidR="00B52B9B" w:rsidRDefault="00B52B9B" w:rsidP="00C32266">
      <w:pPr>
        <w:rPr>
          <w:sz w:val="24"/>
        </w:rPr>
      </w:pPr>
    </w:p>
    <w:p w:rsidR="00C7422D" w:rsidRPr="00C7422D" w:rsidRDefault="00B52B9B">
      <w:pPr>
        <w:rPr>
          <w:i/>
          <w:sz w:val="24"/>
          <w:szCs w:val="24"/>
        </w:rPr>
      </w:pPr>
      <w:r>
        <w:rPr>
          <w:sz w:val="24"/>
        </w:rPr>
        <w:t>SUBJECT:</w:t>
      </w:r>
      <w:r>
        <w:rPr>
          <w:sz w:val="24"/>
        </w:rPr>
        <w:tab/>
      </w:r>
      <w:r w:rsidR="00C32266" w:rsidRPr="00C7422D">
        <w:rPr>
          <w:i/>
          <w:sz w:val="24"/>
          <w:szCs w:val="24"/>
        </w:rPr>
        <w:t>Health Information National Trends Survey 4 (HINTS 4)</w:t>
      </w:r>
      <w:r w:rsidR="00C7422D" w:rsidRPr="00C7422D">
        <w:rPr>
          <w:i/>
          <w:sz w:val="24"/>
          <w:szCs w:val="24"/>
        </w:rPr>
        <w:t>,</w:t>
      </w:r>
    </w:p>
    <w:p w:rsidR="00B52B9B" w:rsidRPr="00C7422D" w:rsidRDefault="00C7422D" w:rsidP="00C7422D">
      <w:pPr>
        <w:ind w:left="720" w:firstLine="720"/>
        <w:rPr>
          <w:i/>
          <w:sz w:val="24"/>
          <w:szCs w:val="24"/>
        </w:rPr>
      </w:pPr>
      <w:bookmarkStart w:id="0" w:name="_GoBack"/>
      <w:bookmarkEnd w:id="0"/>
      <w:r w:rsidRPr="00C7422D">
        <w:rPr>
          <w:i/>
          <w:sz w:val="24"/>
          <w:szCs w:val="24"/>
        </w:rPr>
        <w:t xml:space="preserve"> </w:t>
      </w:r>
      <w:r w:rsidRPr="00C7422D">
        <w:rPr>
          <w:sz w:val="24"/>
          <w:szCs w:val="24"/>
        </w:rPr>
        <w:t>OMB No. 0925-0538, exp. 10/31/14</w:t>
      </w:r>
    </w:p>
    <w:p w:rsidR="00FD6F07" w:rsidRDefault="00FD6F07" w:rsidP="00FD6F07">
      <w:pPr>
        <w:widowControl/>
        <w:spacing w:after="200" w:line="276" w:lineRule="auto"/>
        <w:rPr>
          <w:rFonts w:eastAsia="Calibri"/>
          <w:sz w:val="24"/>
          <w:szCs w:val="22"/>
        </w:rPr>
      </w:pPr>
    </w:p>
    <w:p w:rsidR="007C751D" w:rsidRDefault="007C751D" w:rsidP="00FD6F07">
      <w:pPr>
        <w:widowControl/>
        <w:spacing w:after="200" w:line="276" w:lineRule="auto"/>
        <w:rPr>
          <w:rFonts w:eastAsia="Calibri"/>
          <w:sz w:val="24"/>
          <w:szCs w:val="22"/>
        </w:rPr>
      </w:pPr>
      <w:r>
        <w:rPr>
          <w:rFonts w:eastAsia="Calibri"/>
          <w:sz w:val="24"/>
          <w:szCs w:val="22"/>
        </w:rPr>
        <w:t>P</w:t>
      </w:r>
      <w:r w:rsidR="00FD6F07" w:rsidRPr="00FD6F07">
        <w:rPr>
          <w:rFonts w:eastAsia="Calibri"/>
          <w:sz w:val="24"/>
          <w:szCs w:val="22"/>
        </w:rPr>
        <w:t>er our telephone conference call on January 9, 2013, attached pl</w:t>
      </w:r>
      <w:r w:rsidR="00C24D06">
        <w:rPr>
          <w:rFonts w:eastAsia="Calibri"/>
          <w:sz w:val="24"/>
          <w:szCs w:val="22"/>
        </w:rPr>
        <w:t>ease find further information</w:t>
      </w:r>
      <w:r w:rsidR="00FD6F07" w:rsidRPr="00FD6F07">
        <w:rPr>
          <w:rFonts w:eastAsia="Calibri"/>
          <w:sz w:val="24"/>
          <w:szCs w:val="22"/>
        </w:rPr>
        <w:t xml:space="preserve"> </w:t>
      </w:r>
      <w:r w:rsidR="00C24D06">
        <w:rPr>
          <w:rFonts w:eastAsia="Calibri"/>
          <w:sz w:val="24"/>
          <w:szCs w:val="22"/>
        </w:rPr>
        <w:t xml:space="preserve">about the proposed HINTS-FDA instrument.  </w:t>
      </w:r>
      <w:r>
        <w:rPr>
          <w:rFonts w:eastAsia="Calibri"/>
          <w:sz w:val="24"/>
          <w:szCs w:val="22"/>
        </w:rPr>
        <w:t xml:space="preserve">As you will recall, </w:t>
      </w:r>
      <w:r w:rsidR="00943DEA">
        <w:rPr>
          <w:rFonts w:eastAsia="Calibri"/>
          <w:sz w:val="24"/>
          <w:szCs w:val="22"/>
        </w:rPr>
        <w:t xml:space="preserve">the January conference call was in response to a </w:t>
      </w:r>
      <w:r>
        <w:rPr>
          <w:rFonts w:eastAsia="Calibri"/>
          <w:sz w:val="24"/>
          <w:szCs w:val="22"/>
        </w:rPr>
        <w:t xml:space="preserve">memo </w:t>
      </w:r>
      <w:r w:rsidR="00943DEA">
        <w:rPr>
          <w:rFonts w:eastAsia="Calibri"/>
          <w:sz w:val="24"/>
          <w:szCs w:val="22"/>
        </w:rPr>
        <w:t xml:space="preserve">submitted by NCI </w:t>
      </w:r>
      <w:r>
        <w:rPr>
          <w:rFonts w:eastAsia="Calibri"/>
          <w:sz w:val="24"/>
          <w:szCs w:val="22"/>
        </w:rPr>
        <w:t xml:space="preserve">on November 27, 2012 requesting guidance from OMB about adding the FDA cycle of data collection to the HINTS submission.  The memo can be found in </w:t>
      </w:r>
      <w:r w:rsidRPr="00354AA7">
        <w:rPr>
          <w:rFonts w:eastAsia="Calibri"/>
          <w:sz w:val="24"/>
          <w:szCs w:val="22"/>
        </w:rPr>
        <w:t>Attachment A.</w:t>
      </w:r>
      <w:r w:rsidR="007A64F8" w:rsidRPr="00354AA7">
        <w:rPr>
          <w:rFonts w:eastAsia="Calibri"/>
          <w:sz w:val="24"/>
          <w:szCs w:val="22"/>
        </w:rPr>
        <w:t xml:space="preserve">  During</w:t>
      </w:r>
      <w:r w:rsidR="007A64F8">
        <w:rPr>
          <w:rFonts w:eastAsia="Calibri"/>
          <w:sz w:val="24"/>
          <w:szCs w:val="22"/>
        </w:rPr>
        <w:t xml:space="preserve"> the </w:t>
      </w:r>
      <w:r w:rsidR="000D4E3F">
        <w:rPr>
          <w:rFonts w:eastAsia="Calibri"/>
          <w:sz w:val="24"/>
          <w:szCs w:val="22"/>
        </w:rPr>
        <w:t xml:space="preserve">January 9 </w:t>
      </w:r>
      <w:r w:rsidR="007A64F8">
        <w:rPr>
          <w:rFonts w:eastAsia="Calibri"/>
          <w:sz w:val="24"/>
          <w:szCs w:val="22"/>
        </w:rPr>
        <w:t>conference call, OMB requested further information about the HINTS-FDA survey items</w:t>
      </w:r>
      <w:r w:rsidR="00B566DF">
        <w:rPr>
          <w:rFonts w:eastAsia="Calibri"/>
          <w:sz w:val="24"/>
          <w:szCs w:val="22"/>
        </w:rPr>
        <w:t>, and specifically to understand the distinctiveness of HINTS-FDA content when compared to other surveillance sources</w:t>
      </w:r>
      <w:r w:rsidR="007A64F8">
        <w:rPr>
          <w:rFonts w:eastAsia="Calibri"/>
          <w:sz w:val="24"/>
          <w:szCs w:val="22"/>
        </w:rPr>
        <w:t>.</w:t>
      </w:r>
    </w:p>
    <w:p w:rsidR="000857D6" w:rsidRPr="000857D6" w:rsidRDefault="000857D6" w:rsidP="00FD6F07">
      <w:pPr>
        <w:widowControl/>
        <w:spacing w:after="200" w:line="276" w:lineRule="auto"/>
        <w:rPr>
          <w:rFonts w:eastAsia="Calibri"/>
          <w:b/>
          <w:i/>
          <w:sz w:val="24"/>
          <w:szCs w:val="22"/>
        </w:rPr>
      </w:pPr>
      <w:r w:rsidRPr="000857D6">
        <w:rPr>
          <w:rFonts w:eastAsia="Calibri"/>
          <w:b/>
          <w:i/>
          <w:sz w:val="24"/>
          <w:szCs w:val="22"/>
        </w:rPr>
        <w:t>Background Information</w:t>
      </w:r>
    </w:p>
    <w:p w:rsidR="007C751D" w:rsidRDefault="009B1CD0" w:rsidP="007C751D">
      <w:pPr>
        <w:widowControl/>
        <w:spacing w:after="200" w:line="276" w:lineRule="auto"/>
        <w:rPr>
          <w:rFonts w:eastAsia="Calibri"/>
          <w:sz w:val="24"/>
          <w:szCs w:val="22"/>
        </w:rPr>
      </w:pPr>
      <w:r>
        <w:rPr>
          <w:rFonts w:eastAsia="Calibri"/>
          <w:sz w:val="24"/>
          <w:szCs w:val="22"/>
        </w:rPr>
        <w:t>As with all cycles of HINTS data collection, approximately 50% of the instrument will be made up of standard HINTS questions on health communications and information-seeking behaviors in addition to a standardized demographics section.  The other 50% of the instrument varies each cycle.  We believe that this is one of the unique advantages that data collection through HINTS offers:  the ability to associate varying measures of attitudes and behaviors with health communication factors that are not collected elsewhere.  The same will be true of the proposed HINTS</w:t>
      </w:r>
      <w:r w:rsidR="000D4E3F">
        <w:rPr>
          <w:rFonts w:eastAsia="Calibri"/>
          <w:sz w:val="24"/>
          <w:szCs w:val="22"/>
        </w:rPr>
        <w:t>-FDA</w:t>
      </w:r>
      <w:r>
        <w:rPr>
          <w:rFonts w:eastAsia="Calibri"/>
          <w:sz w:val="24"/>
          <w:szCs w:val="22"/>
        </w:rPr>
        <w:t xml:space="preserve"> instrument.  We anticipate that approximately 50% of the HINTS-FDA instrument will consist of the standard HINTS questions.  The remainder of this memo will focus on the 50% of the instrument that will be new to the HINTS-FDA instrument.</w:t>
      </w:r>
    </w:p>
    <w:p w:rsidR="007C751D" w:rsidRDefault="009B1CD0" w:rsidP="009B1CD0">
      <w:pPr>
        <w:widowControl/>
        <w:spacing w:after="200" w:line="276" w:lineRule="auto"/>
        <w:rPr>
          <w:rFonts w:eastAsia="Calibri"/>
          <w:sz w:val="24"/>
          <w:szCs w:val="22"/>
        </w:rPr>
      </w:pPr>
      <w:r>
        <w:rPr>
          <w:rFonts w:eastAsia="Calibri"/>
          <w:sz w:val="24"/>
          <w:szCs w:val="22"/>
        </w:rPr>
        <w:t xml:space="preserve">The majority </w:t>
      </w:r>
      <w:r w:rsidR="00FD6F07" w:rsidRPr="00FD6F07">
        <w:rPr>
          <w:rFonts w:eastAsia="Calibri"/>
          <w:sz w:val="24"/>
          <w:szCs w:val="22"/>
        </w:rPr>
        <w:t xml:space="preserve">of the </w:t>
      </w:r>
      <w:r w:rsidR="007C751D">
        <w:rPr>
          <w:rFonts w:eastAsia="Calibri"/>
          <w:sz w:val="24"/>
          <w:szCs w:val="22"/>
        </w:rPr>
        <w:t>FDA</w:t>
      </w:r>
      <w:r w:rsidR="00C24D06">
        <w:rPr>
          <w:rFonts w:eastAsia="Calibri"/>
          <w:sz w:val="24"/>
          <w:szCs w:val="22"/>
        </w:rPr>
        <w:t xml:space="preserve"> </w:t>
      </w:r>
      <w:r>
        <w:rPr>
          <w:rFonts w:eastAsia="Calibri"/>
          <w:sz w:val="24"/>
          <w:szCs w:val="22"/>
        </w:rPr>
        <w:t xml:space="preserve">portion of the HINTS </w:t>
      </w:r>
      <w:r w:rsidR="00C24D06">
        <w:rPr>
          <w:rFonts w:eastAsia="Calibri"/>
          <w:sz w:val="24"/>
          <w:szCs w:val="22"/>
        </w:rPr>
        <w:t xml:space="preserve">instrument </w:t>
      </w:r>
      <w:r w:rsidR="00FD6F07" w:rsidRPr="00FD6F07">
        <w:rPr>
          <w:rFonts w:eastAsia="Calibri"/>
          <w:sz w:val="24"/>
          <w:szCs w:val="22"/>
        </w:rPr>
        <w:t>will be focused on questions to info</w:t>
      </w:r>
      <w:r w:rsidR="0085117C">
        <w:rPr>
          <w:rFonts w:eastAsia="Calibri"/>
          <w:sz w:val="24"/>
          <w:szCs w:val="22"/>
        </w:rPr>
        <w:t>rm FDA’s regulatory authority on</w:t>
      </w:r>
      <w:r w:rsidR="00FD6F07" w:rsidRPr="00FD6F07">
        <w:rPr>
          <w:rFonts w:eastAsia="Calibri"/>
          <w:sz w:val="24"/>
          <w:szCs w:val="22"/>
        </w:rPr>
        <w:t xml:space="preserve"> tobacco, including tobacc</w:t>
      </w:r>
      <w:r w:rsidR="007C751D">
        <w:rPr>
          <w:rFonts w:eastAsia="Calibri"/>
          <w:sz w:val="24"/>
          <w:szCs w:val="22"/>
        </w:rPr>
        <w:t xml:space="preserve">o prevention campaign planning.  </w:t>
      </w:r>
      <w:r>
        <w:rPr>
          <w:rFonts w:eastAsia="Calibri"/>
          <w:sz w:val="24"/>
          <w:szCs w:val="22"/>
        </w:rPr>
        <w:t xml:space="preserve">Our understanding is that OMB would like further justification for these items and is not </w:t>
      </w:r>
      <w:r>
        <w:rPr>
          <w:rFonts w:eastAsia="Calibri"/>
          <w:sz w:val="24"/>
          <w:szCs w:val="22"/>
        </w:rPr>
        <w:lastRenderedPageBreak/>
        <w:t xml:space="preserve">concerned about the </w:t>
      </w:r>
      <w:r w:rsidR="007C751D" w:rsidRPr="007C751D">
        <w:rPr>
          <w:rFonts w:eastAsia="Calibri"/>
          <w:sz w:val="24"/>
          <w:szCs w:val="22"/>
        </w:rPr>
        <w:t>items supplied by FDA’s Office of the Commissioner (medical products and devices) or FDA’s Center for Food Science and Nutrition (supplemen</w:t>
      </w:r>
      <w:r>
        <w:rPr>
          <w:rFonts w:eastAsia="Calibri"/>
          <w:sz w:val="24"/>
          <w:szCs w:val="22"/>
        </w:rPr>
        <w:t>t labeling). Therefore, the medical pro</w:t>
      </w:r>
      <w:r w:rsidR="00797E11">
        <w:rPr>
          <w:rFonts w:eastAsia="Calibri"/>
          <w:sz w:val="24"/>
          <w:szCs w:val="22"/>
        </w:rPr>
        <w:t>duct</w:t>
      </w:r>
      <w:r>
        <w:rPr>
          <w:rFonts w:eastAsia="Calibri"/>
          <w:sz w:val="24"/>
          <w:szCs w:val="22"/>
        </w:rPr>
        <w:t xml:space="preserve"> and supplement labeling questions are not addressed in this memo</w:t>
      </w:r>
      <w:r w:rsidR="000D4E3F">
        <w:rPr>
          <w:rFonts w:eastAsia="Calibri"/>
          <w:sz w:val="24"/>
          <w:szCs w:val="22"/>
        </w:rPr>
        <w:t xml:space="preserve"> or the accompanying attachments</w:t>
      </w:r>
      <w:r>
        <w:rPr>
          <w:rFonts w:eastAsia="Calibri"/>
          <w:sz w:val="24"/>
          <w:szCs w:val="22"/>
        </w:rPr>
        <w:t>.</w:t>
      </w:r>
    </w:p>
    <w:p w:rsidR="000857D6" w:rsidRPr="000857D6" w:rsidRDefault="000857D6" w:rsidP="009B1CD0">
      <w:pPr>
        <w:widowControl/>
        <w:spacing w:after="200" w:line="276" w:lineRule="auto"/>
        <w:rPr>
          <w:rFonts w:eastAsia="Calibri"/>
          <w:b/>
          <w:i/>
          <w:sz w:val="24"/>
          <w:szCs w:val="22"/>
        </w:rPr>
      </w:pPr>
      <w:r w:rsidRPr="000857D6">
        <w:rPr>
          <w:rFonts w:eastAsia="Calibri"/>
          <w:b/>
          <w:i/>
          <w:sz w:val="24"/>
          <w:szCs w:val="22"/>
        </w:rPr>
        <w:t>Notes about Justification Table</w:t>
      </w:r>
      <w:r>
        <w:rPr>
          <w:rFonts w:eastAsia="Calibri"/>
          <w:b/>
          <w:i/>
          <w:sz w:val="24"/>
          <w:szCs w:val="22"/>
        </w:rPr>
        <w:t xml:space="preserve"> (Attachment B)</w:t>
      </w:r>
    </w:p>
    <w:p w:rsidR="00797E11" w:rsidRDefault="00797E11" w:rsidP="007C751D">
      <w:pPr>
        <w:widowControl/>
        <w:spacing w:after="200" w:line="276" w:lineRule="auto"/>
        <w:rPr>
          <w:rFonts w:eastAsia="Calibri"/>
          <w:sz w:val="24"/>
          <w:szCs w:val="22"/>
        </w:rPr>
      </w:pPr>
      <w:r w:rsidRPr="00354AA7">
        <w:rPr>
          <w:rFonts w:eastAsia="Calibri"/>
          <w:sz w:val="24"/>
          <w:szCs w:val="22"/>
        </w:rPr>
        <w:t>Attachment B provides</w:t>
      </w:r>
      <w:r>
        <w:rPr>
          <w:rFonts w:eastAsia="Calibri"/>
          <w:sz w:val="24"/>
          <w:szCs w:val="22"/>
        </w:rPr>
        <w:t xml:space="preserve"> detailed information about the tobacco questions proposed for HINTS</w:t>
      </w:r>
      <w:r w:rsidR="000D4E3F">
        <w:rPr>
          <w:rFonts w:eastAsia="Calibri"/>
          <w:sz w:val="24"/>
          <w:szCs w:val="22"/>
        </w:rPr>
        <w:t>-FDA</w:t>
      </w:r>
      <w:r>
        <w:rPr>
          <w:rFonts w:eastAsia="Calibri"/>
          <w:sz w:val="24"/>
          <w:szCs w:val="22"/>
        </w:rPr>
        <w:t>.  The spreadsheet contains:</w:t>
      </w:r>
    </w:p>
    <w:p w:rsidR="00797E11" w:rsidRDefault="000D4E3F" w:rsidP="00797E11">
      <w:pPr>
        <w:widowControl/>
        <w:numPr>
          <w:ilvl w:val="0"/>
          <w:numId w:val="12"/>
        </w:numPr>
        <w:spacing w:after="200" w:line="276" w:lineRule="auto"/>
        <w:ind w:left="720" w:hanging="360"/>
        <w:rPr>
          <w:rFonts w:eastAsia="Calibri"/>
          <w:sz w:val="24"/>
          <w:szCs w:val="22"/>
        </w:rPr>
      </w:pPr>
      <w:r>
        <w:rPr>
          <w:rFonts w:eastAsia="Calibri"/>
          <w:sz w:val="24"/>
          <w:szCs w:val="22"/>
        </w:rPr>
        <w:t>Tab A, which</w:t>
      </w:r>
      <w:r w:rsidR="007C751D" w:rsidRPr="007C751D">
        <w:rPr>
          <w:rFonts w:eastAsia="Calibri"/>
          <w:sz w:val="24"/>
          <w:szCs w:val="22"/>
        </w:rPr>
        <w:t xml:space="preserve"> outlines the broad constructs being explored with the HINTS-FDA instrument, and whether those constructs are assessed on other federal surveys, </w:t>
      </w:r>
      <w:r w:rsidR="00797E11">
        <w:rPr>
          <w:rFonts w:eastAsia="Calibri"/>
          <w:sz w:val="24"/>
          <w:szCs w:val="22"/>
        </w:rPr>
        <w:t>and</w:t>
      </w:r>
    </w:p>
    <w:p w:rsidR="007C751D" w:rsidRPr="00797E11" w:rsidRDefault="000D4E3F" w:rsidP="00797E11">
      <w:pPr>
        <w:widowControl/>
        <w:numPr>
          <w:ilvl w:val="0"/>
          <w:numId w:val="12"/>
        </w:numPr>
        <w:spacing w:after="200" w:line="276" w:lineRule="auto"/>
        <w:ind w:left="720" w:hanging="360"/>
        <w:rPr>
          <w:rFonts w:eastAsia="Calibri"/>
          <w:sz w:val="24"/>
          <w:szCs w:val="22"/>
        </w:rPr>
      </w:pPr>
      <w:r>
        <w:rPr>
          <w:rFonts w:eastAsia="Calibri"/>
          <w:sz w:val="24"/>
          <w:szCs w:val="22"/>
        </w:rPr>
        <w:t>Tab B, which</w:t>
      </w:r>
      <w:r w:rsidR="007C751D" w:rsidRPr="00797E11">
        <w:rPr>
          <w:rFonts w:eastAsia="Calibri"/>
          <w:sz w:val="24"/>
          <w:szCs w:val="22"/>
        </w:rPr>
        <w:t xml:space="preserve"> lists every tobacco item that is planned for the HINTS-FDA cycle, with a justification for why it is being asked and how it will be used in analysis, as well as whether it is duplicative of items on other federal surveys.</w:t>
      </w:r>
    </w:p>
    <w:p w:rsidR="007C751D" w:rsidRPr="007C751D" w:rsidRDefault="007C751D" w:rsidP="007C751D">
      <w:pPr>
        <w:widowControl/>
        <w:spacing w:after="200" w:line="276" w:lineRule="auto"/>
        <w:rPr>
          <w:rFonts w:eastAsia="Calibri"/>
          <w:sz w:val="24"/>
          <w:szCs w:val="22"/>
        </w:rPr>
      </w:pPr>
      <w:r w:rsidRPr="007C751D">
        <w:rPr>
          <w:rFonts w:eastAsia="Calibri"/>
          <w:sz w:val="24"/>
          <w:szCs w:val="22"/>
        </w:rPr>
        <w:t xml:space="preserve">Of note, since </w:t>
      </w:r>
      <w:r w:rsidR="00797E11">
        <w:rPr>
          <w:rFonts w:eastAsia="Calibri"/>
          <w:sz w:val="24"/>
          <w:szCs w:val="22"/>
        </w:rPr>
        <w:t xml:space="preserve">the time </w:t>
      </w:r>
      <w:r w:rsidRPr="007C751D">
        <w:rPr>
          <w:rFonts w:eastAsia="Calibri"/>
          <w:sz w:val="24"/>
          <w:szCs w:val="22"/>
        </w:rPr>
        <w:t xml:space="preserve">OMB received the original memo from NCI, the HINTS-FDA instrument has been reduced quite a bit. The following topics/constructs and items have since been excluded and therefore are not included </w:t>
      </w:r>
      <w:r w:rsidR="00797E11">
        <w:rPr>
          <w:rFonts w:eastAsia="Calibri"/>
          <w:sz w:val="24"/>
          <w:szCs w:val="22"/>
        </w:rPr>
        <w:t>in Attachment B:</w:t>
      </w:r>
    </w:p>
    <w:p w:rsidR="007C751D" w:rsidRPr="007C751D" w:rsidRDefault="007C751D" w:rsidP="007C751D">
      <w:pPr>
        <w:widowControl/>
        <w:numPr>
          <w:ilvl w:val="0"/>
          <w:numId w:val="10"/>
        </w:numPr>
        <w:spacing w:after="200" w:line="276" w:lineRule="auto"/>
        <w:contextualSpacing/>
        <w:rPr>
          <w:rFonts w:eastAsia="Calibri"/>
          <w:sz w:val="24"/>
          <w:szCs w:val="22"/>
        </w:rPr>
      </w:pPr>
      <w:r w:rsidRPr="007C751D">
        <w:rPr>
          <w:rFonts w:eastAsia="Calibri"/>
          <w:sz w:val="24"/>
          <w:szCs w:val="22"/>
        </w:rPr>
        <w:t>Graphic Warning Labels sectio</w:t>
      </w:r>
      <w:r w:rsidR="00797E11">
        <w:rPr>
          <w:rFonts w:eastAsia="Calibri"/>
          <w:sz w:val="24"/>
          <w:szCs w:val="22"/>
        </w:rPr>
        <w:t xml:space="preserve">n completely </w:t>
      </w:r>
      <w:r w:rsidRPr="007C751D">
        <w:rPr>
          <w:rFonts w:eastAsia="Calibri"/>
          <w:sz w:val="24"/>
          <w:szCs w:val="22"/>
        </w:rPr>
        <w:t>eliminated</w:t>
      </w:r>
      <w:r w:rsidR="00797E11">
        <w:rPr>
          <w:rFonts w:eastAsia="Calibri"/>
          <w:sz w:val="24"/>
          <w:szCs w:val="22"/>
        </w:rPr>
        <w:t>;</w:t>
      </w:r>
    </w:p>
    <w:p w:rsidR="007C751D" w:rsidRPr="00797E11" w:rsidRDefault="007C751D" w:rsidP="00797E11">
      <w:pPr>
        <w:widowControl/>
        <w:numPr>
          <w:ilvl w:val="0"/>
          <w:numId w:val="10"/>
        </w:numPr>
        <w:spacing w:after="200" w:line="276" w:lineRule="auto"/>
        <w:contextualSpacing/>
        <w:rPr>
          <w:rFonts w:eastAsia="Calibri"/>
          <w:sz w:val="24"/>
          <w:szCs w:val="22"/>
        </w:rPr>
      </w:pPr>
      <w:r w:rsidRPr="007C751D">
        <w:rPr>
          <w:rFonts w:eastAsia="Calibri"/>
          <w:sz w:val="24"/>
          <w:szCs w:val="22"/>
        </w:rPr>
        <w:t>Addiction items in</w:t>
      </w:r>
      <w:r w:rsidR="00797E11">
        <w:rPr>
          <w:rFonts w:eastAsia="Calibri"/>
          <w:sz w:val="24"/>
          <w:szCs w:val="22"/>
        </w:rPr>
        <w:t xml:space="preserve"> tobacco use phenotypes section </w:t>
      </w:r>
      <w:r w:rsidRPr="00797E11">
        <w:rPr>
          <w:rFonts w:eastAsia="Calibri"/>
          <w:sz w:val="24"/>
          <w:szCs w:val="22"/>
        </w:rPr>
        <w:t>reduced from 22 to 4 items</w:t>
      </w:r>
      <w:r w:rsidR="00797E11">
        <w:rPr>
          <w:rFonts w:eastAsia="Calibri"/>
          <w:sz w:val="24"/>
          <w:szCs w:val="22"/>
        </w:rPr>
        <w:t>;</w:t>
      </w:r>
    </w:p>
    <w:p w:rsidR="007C751D" w:rsidRPr="007C751D" w:rsidRDefault="007C751D" w:rsidP="007C751D">
      <w:pPr>
        <w:widowControl/>
        <w:numPr>
          <w:ilvl w:val="0"/>
          <w:numId w:val="10"/>
        </w:numPr>
        <w:spacing w:after="200" w:line="276" w:lineRule="auto"/>
        <w:contextualSpacing/>
        <w:rPr>
          <w:rFonts w:eastAsia="Calibri"/>
          <w:sz w:val="24"/>
          <w:szCs w:val="22"/>
        </w:rPr>
      </w:pPr>
      <w:r w:rsidRPr="007C751D">
        <w:rPr>
          <w:rFonts w:eastAsia="Calibri"/>
          <w:sz w:val="24"/>
          <w:szCs w:val="22"/>
        </w:rPr>
        <w:t xml:space="preserve">Attitudes toward source attribution for tobacco control messaging and </w:t>
      </w:r>
      <w:r w:rsidR="00797E11">
        <w:rPr>
          <w:rFonts w:eastAsia="Calibri"/>
          <w:sz w:val="24"/>
          <w:szCs w:val="22"/>
        </w:rPr>
        <w:t>a</w:t>
      </w:r>
      <w:r w:rsidRPr="007C751D">
        <w:rPr>
          <w:rFonts w:eastAsia="Calibri"/>
          <w:sz w:val="24"/>
          <w:szCs w:val="22"/>
        </w:rPr>
        <w:t>ttitudes and beliefs about product regulation sections merged, 2 items total</w:t>
      </w:r>
      <w:r w:rsidR="00797E11">
        <w:rPr>
          <w:rFonts w:eastAsia="Calibri"/>
          <w:sz w:val="24"/>
          <w:szCs w:val="22"/>
        </w:rPr>
        <w:t>; and</w:t>
      </w:r>
    </w:p>
    <w:p w:rsidR="007C751D" w:rsidRDefault="007C751D" w:rsidP="007C751D">
      <w:pPr>
        <w:widowControl/>
        <w:numPr>
          <w:ilvl w:val="0"/>
          <w:numId w:val="10"/>
        </w:numPr>
        <w:spacing w:after="200" w:line="276" w:lineRule="auto"/>
        <w:contextualSpacing/>
        <w:rPr>
          <w:rFonts w:eastAsia="Calibri"/>
          <w:sz w:val="24"/>
          <w:szCs w:val="22"/>
        </w:rPr>
      </w:pPr>
      <w:r w:rsidRPr="007C751D">
        <w:rPr>
          <w:rFonts w:eastAsia="Calibri"/>
          <w:sz w:val="24"/>
          <w:szCs w:val="22"/>
        </w:rPr>
        <w:t>A number of items that were duplicative in the instrument but located in different sections attached to the original memo have been combined/eliminated (i.e., asking how many cigarettes are smoked per day was originally assessed with two questions, one in the addiction section and another in the phenotypes section, one of those items has been eliminated)</w:t>
      </w:r>
      <w:r w:rsidR="00797E11">
        <w:rPr>
          <w:rFonts w:eastAsia="Calibri"/>
          <w:sz w:val="24"/>
          <w:szCs w:val="22"/>
        </w:rPr>
        <w:t>.</w:t>
      </w:r>
    </w:p>
    <w:p w:rsidR="00797E11" w:rsidRPr="007C751D" w:rsidRDefault="00797E11" w:rsidP="00797E11">
      <w:pPr>
        <w:widowControl/>
        <w:spacing w:after="200" w:line="276" w:lineRule="auto"/>
        <w:ind w:left="720"/>
        <w:contextualSpacing/>
        <w:rPr>
          <w:rFonts w:eastAsia="Calibri"/>
          <w:sz w:val="24"/>
          <w:szCs w:val="22"/>
        </w:rPr>
      </w:pPr>
    </w:p>
    <w:p w:rsidR="007C751D" w:rsidRPr="007C751D" w:rsidRDefault="007C751D" w:rsidP="007C751D">
      <w:pPr>
        <w:widowControl/>
        <w:spacing w:after="200" w:line="276" w:lineRule="auto"/>
        <w:rPr>
          <w:rFonts w:eastAsia="Calibri"/>
          <w:sz w:val="24"/>
          <w:szCs w:val="22"/>
        </w:rPr>
      </w:pPr>
      <w:r w:rsidRPr="007C751D">
        <w:rPr>
          <w:rFonts w:eastAsia="Calibri"/>
          <w:sz w:val="24"/>
          <w:szCs w:val="22"/>
        </w:rPr>
        <w:t xml:space="preserve">The attached spreadsheet outlines overlap between items in HINTS-FDA and other national surveys. We have indicated where those surveys have overlapping </w:t>
      </w:r>
      <w:r w:rsidR="000D4E3F">
        <w:rPr>
          <w:rFonts w:eastAsia="Calibri"/>
          <w:sz w:val="24"/>
          <w:szCs w:val="22"/>
        </w:rPr>
        <w:t>constructs/topic</w:t>
      </w:r>
      <w:r w:rsidR="000D4E3F" w:rsidRPr="007C751D">
        <w:rPr>
          <w:rFonts w:eastAsia="Calibri"/>
          <w:sz w:val="24"/>
          <w:szCs w:val="22"/>
        </w:rPr>
        <w:t xml:space="preserve"> </w:t>
      </w:r>
      <w:r w:rsidRPr="007C751D">
        <w:rPr>
          <w:rFonts w:eastAsia="Calibri"/>
          <w:sz w:val="24"/>
          <w:szCs w:val="22"/>
        </w:rPr>
        <w:t>areas</w:t>
      </w:r>
      <w:r w:rsidR="00F341F1">
        <w:rPr>
          <w:rFonts w:eastAsia="Calibri"/>
          <w:sz w:val="24"/>
          <w:szCs w:val="22"/>
        </w:rPr>
        <w:t xml:space="preserve"> (Tab A),</w:t>
      </w:r>
      <w:r w:rsidRPr="007C751D">
        <w:rPr>
          <w:rFonts w:eastAsia="Calibri"/>
          <w:sz w:val="24"/>
          <w:szCs w:val="22"/>
        </w:rPr>
        <w:t xml:space="preserve"> and then indicated </w:t>
      </w:r>
      <w:r w:rsidR="00F341F1">
        <w:rPr>
          <w:rFonts w:eastAsia="Calibri"/>
          <w:sz w:val="24"/>
          <w:szCs w:val="22"/>
        </w:rPr>
        <w:t xml:space="preserve">overlap and analysis plan </w:t>
      </w:r>
      <w:r w:rsidRPr="007C751D">
        <w:rPr>
          <w:rFonts w:eastAsia="Calibri"/>
          <w:sz w:val="24"/>
          <w:szCs w:val="22"/>
        </w:rPr>
        <w:t>in more detail at the item level</w:t>
      </w:r>
      <w:r w:rsidR="00F341F1">
        <w:rPr>
          <w:rFonts w:eastAsia="Calibri"/>
          <w:sz w:val="24"/>
          <w:szCs w:val="22"/>
        </w:rPr>
        <w:t xml:space="preserve"> (Tab B)</w:t>
      </w:r>
      <w:r w:rsidRPr="007C751D">
        <w:rPr>
          <w:rFonts w:eastAsia="Calibri"/>
          <w:sz w:val="24"/>
          <w:szCs w:val="22"/>
        </w:rPr>
        <w:t xml:space="preserve">. A HINTS-FDA item that is “Included” in another survey indicates that that item (or the item with only very minor changes, such as changing a word or the phrasing of the item) appears in </w:t>
      </w:r>
      <w:r w:rsidR="00F341F1">
        <w:rPr>
          <w:rFonts w:eastAsia="Calibri"/>
          <w:sz w:val="24"/>
          <w:szCs w:val="22"/>
        </w:rPr>
        <w:t>another federal</w:t>
      </w:r>
      <w:r w:rsidRPr="007C751D">
        <w:rPr>
          <w:rFonts w:eastAsia="Calibri"/>
          <w:sz w:val="24"/>
          <w:szCs w:val="22"/>
        </w:rPr>
        <w:t xml:space="preserve"> survey. A HINTS-FDA item that is “Similar” to an item in another survey indicates that that item appears in a highly edited or changed form, although the items measure approximately the same thing. In this case</w:t>
      </w:r>
      <w:r w:rsidR="00F341F1">
        <w:rPr>
          <w:rFonts w:eastAsia="Calibri"/>
          <w:sz w:val="24"/>
          <w:szCs w:val="22"/>
        </w:rPr>
        <w:t>, for example,</w:t>
      </w:r>
      <w:r w:rsidRPr="007C751D">
        <w:rPr>
          <w:rFonts w:eastAsia="Calibri"/>
          <w:sz w:val="24"/>
          <w:szCs w:val="22"/>
        </w:rPr>
        <w:t xml:space="preserve"> the timeframe of the item may be different (e.g., ever used X vs. used X in the last 12 months), or may ask about only a subset of tobacco products used in the HINTS-FDA item. A HINTS-FDA item that is “Indirect” indicates that that the item in the other survey could be used to determine a response to the HINTS-FDA item (e.g., if a HINTS-FDA item asks if someone has ever heard of a certain tobacco product the other survey may ask if the respondent has ever used that product, therefore we could infer that if someone </w:t>
      </w:r>
      <w:r w:rsidRPr="007C751D">
        <w:rPr>
          <w:rFonts w:eastAsia="Calibri"/>
          <w:sz w:val="24"/>
          <w:szCs w:val="22"/>
        </w:rPr>
        <w:lastRenderedPageBreak/>
        <w:t xml:space="preserve">has used a product they are aware of it. These “Indirect” items are not seen as being fully comparable to the HINTS-FDA items in terms of measurement </w:t>
      </w:r>
      <w:r w:rsidR="00F341F1">
        <w:rPr>
          <w:rFonts w:eastAsia="Calibri"/>
          <w:sz w:val="24"/>
          <w:szCs w:val="22"/>
        </w:rPr>
        <w:t>objectives</w:t>
      </w:r>
      <w:r w:rsidRPr="007C751D">
        <w:rPr>
          <w:rFonts w:eastAsia="Calibri"/>
          <w:sz w:val="24"/>
          <w:szCs w:val="22"/>
        </w:rPr>
        <w:t>, however for the sake of inclusive</w:t>
      </w:r>
      <w:r w:rsidR="00797E11">
        <w:rPr>
          <w:rFonts w:eastAsia="Calibri"/>
          <w:sz w:val="24"/>
          <w:szCs w:val="22"/>
        </w:rPr>
        <w:t>ness we have indicated them in the</w:t>
      </w:r>
      <w:r w:rsidRPr="007C751D">
        <w:rPr>
          <w:rFonts w:eastAsia="Calibri"/>
          <w:sz w:val="24"/>
          <w:szCs w:val="22"/>
        </w:rPr>
        <w:t xml:space="preserve"> spreadsheet.</w:t>
      </w:r>
      <w:r w:rsidR="000D6065">
        <w:rPr>
          <w:rFonts w:eastAsia="Calibri"/>
          <w:sz w:val="24"/>
          <w:szCs w:val="22"/>
        </w:rPr>
        <w:t xml:space="preserve"> Among items proposed for HINTS-FDA in column M of Tab B, we have indicated items that have been previously fielded as part of HINTS “</w:t>
      </w:r>
      <w:r w:rsidR="000D6065" w:rsidRPr="000D6065">
        <w:rPr>
          <w:rFonts w:eastAsia="Calibri"/>
          <w:sz w:val="24"/>
          <w:szCs w:val="22"/>
        </w:rPr>
        <w:t>Previously included in HINTS '03, 05, 07 or '12</w:t>
      </w:r>
      <w:r w:rsidR="000D6065">
        <w:rPr>
          <w:rFonts w:eastAsia="Calibri"/>
          <w:sz w:val="24"/>
          <w:szCs w:val="22"/>
        </w:rPr>
        <w:t>”, items previously fielded as part of HINTS that have been slightly modified to be relevant to tobacco “Modified version of item previo</w:t>
      </w:r>
      <w:r w:rsidR="000D6065" w:rsidRPr="000D6065">
        <w:rPr>
          <w:rFonts w:eastAsia="Calibri"/>
          <w:sz w:val="24"/>
          <w:szCs w:val="22"/>
        </w:rPr>
        <w:t>u</w:t>
      </w:r>
      <w:r w:rsidR="000D6065">
        <w:rPr>
          <w:rFonts w:eastAsia="Calibri"/>
          <w:sz w:val="24"/>
          <w:szCs w:val="22"/>
        </w:rPr>
        <w:t>s</w:t>
      </w:r>
      <w:r w:rsidR="000D6065" w:rsidRPr="000D6065">
        <w:rPr>
          <w:rFonts w:eastAsia="Calibri"/>
          <w:sz w:val="24"/>
          <w:szCs w:val="22"/>
        </w:rPr>
        <w:t>ly included in HINTS '03, 05, 07 or '12</w:t>
      </w:r>
      <w:r w:rsidR="000D6065">
        <w:rPr>
          <w:rFonts w:eastAsia="Calibri"/>
          <w:sz w:val="24"/>
          <w:szCs w:val="22"/>
        </w:rPr>
        <w:t>” and those items that are new to HINTS proposed to be fielded as part of HINTS-FDA “</w:t>
      </w:r>
      <w:r w:rsidR="000D6065" w:rsidRPr="000D6065">
        <w:rPr>
          <w:rFonts w:eastAsia="Calibri"/>
          <w:sz w:val="24"/>
          <w:szCs w:val="22"/>
        </w:rPr>
        <w:t>New item proposed for HINTS-FDA</w:t>
      </w:r>
      <w:r w:rsidR="000D6065">
        <w:rPr>
          <w:rFonts w:eastAsia="Calibri"/>
          <w:sz w:val="24"/>
          <w:szCs w:val="22"/>
        </w:rPr>
        <w:t>”.</w:t>
      </w:r>
    </w:p>
    <w:p w:rsidR="007C751D" w:rsidRPr="000857D6" w:rsidRDefault="007E4797" w:rsidP="007C751D">
      <w:pPr>
        <w:widowControl/>
        <w:spacing w:after="200" w:line="276" w:lineRule="auto"/>
        <w:rPr>
          <w:rFonts w:eastAsia="Calibri"/>
          <w:b/>
          <w:i/>
          <w:sz w:val="24"/>
          <w:szCs w:val="22"/>
        </w:rPr>
      </w:pPr>
      <w:r>
        <w:rPr>
          <w:rFonts w:eastAsia="Calibri"/>
          <w:b/>
          <w:i/>
          <w:sz w:val="24"/>
          <w:szCs w:val="22"/>
        </w:rPr>
        <w:t>Similarities and Differences Between HINTS</w:t>
      </w:r>
      <w:r w:rsidR="00F341F1">
        <w:rPr>
          <w:rFonts w:eastAsia="Calibri"/>
          <w:b/>
          <w:i/>
          <w:sz w:val="24"/>
          <w:szCs w:val="22"/>
        </w:rPr>
        <w:t>-FDA</w:t>
      </w:r>
      <w:r>
        <w:rPr>
          <w:rFonts w:eastAsia="Calibri"/>
          <w:b/>
          <w:i/>
          <w:sz w:val="24"/>
          <w:szCs w:val="22"/>
        </w:rPr>
        <w:t xml:space="preserve"> and other Surveys</w:t>
      </w:r>
    </w:p>
    <w:p w:rsidR="007C751D" w:rsidRPr="007C751D" w:rsidRDefault="007C751D" w:rsidP="007C751D">
      <w:pPr>
        <w:widowControl/>
        <w:spacing w:after="200" w:line="276" w:lineRule="auto"/>
        <w:rPr>
          <w:rFonts w:eastAsia="Calibri"/>
          <w:sz w:val="24"/>
          <w:szCs w:val="22"/>
        </w:rPr>
      </w:pPr>
      <w:r w:rsidRPr="007C751D">
        <w:rPr>
          <w:rFonts w:eastAsia="Calibri"/>
          <w:sz w:val="24"/>
          <w:szCs w:val="22"/>
        </w:rPr>
        <w:t xml:space="preserve">Although many other national surveys use a number of the items </w:t>
      </w:r>
      <w:r w:rsidR="00F341F1">
        <w:rPr>
          <w:rFonts w:eastAsia="Calibri"/>
          <w:sz w:val="24"/>
          <w:szCs w:val="22"/>
        </w:rPr>
        <w:t xml:space="preserve">being proposed for </w:t>
      </w:r>
      <w:r w:rsidRPr="007C751D">
        <w:rPr>
          <w:rFonts w:eastAsia="Calibri"/>
          <w:sz w:val="24"/>
          <w:szCs w:val="22"/>
        </w:rPr>
        <w:t>HINTS-FDA</w:t>
      </w:r>
      <w:r w:rsidR="00F341F1">
        <w:rPr>
          <w:rFonts w:eastAsia="Calibri"/>
          <w:sz w:val="24"/>
          <w:szCs w:val="22"/>
        </w:rPr>
        <w:t>,</w:t>
      </w:r>
      <w:r w:rsidRPr="007C751D">
        <w:rPr>
          <w:rFonts w:eastAsia="Calibri"/>
          <w:sz w:val="24"/>
          <w:szCs w:val="22"/>
        </w:rPr>
        <w:t xml:space="preserve"> there are a number of key differences to note as they relate to respondent burden.</w:t>
      </w:r>
    </w:p>
    <w:p w:rsidR="007C751D" w:rsidRDefault="007C751D" w:rsidP="007C751D">
      <w:pPr>
        <w:widowControl/>
        <w:numPr>
          <w:ilvl w:val="0"/>
          <w:numId w:val="11"/>
        </w:numPr>
        <w:spacing w:after="200" w:line="276" w:lineRule="auto"/>
        <w:contextualSpacing/>
        <w:rPr>
          <w:rFonts w:eastAsia="Calibri"/>
          <w:sz w:val="24"/>
          <w:szCs w:val="22"/>
        </w:rPr>
      </w:pPr>
      <w:r w:rsidRPr="007C751D">
        <w:rPr>
          <w:rFonts w:eastAsia="Calibri"/>
          <w:sz w:val="24"/>
          <w:szCs w:val="22"/>
        </w:rPr>
        <w:t xml:space="preserve">HINTS-FDA is only administered to adults whereas a number of other surveys (NYTS, PATH, MTF, YRBS, and NSDUH) include youth samples or are only administered to youth samples. </w:t>
      </w:r>
    </w:p>
    <w:p w:rsidR="00797E11" w:rsidRPr="007C751D" w:rsidRDefault="00797E11" w:rsidP="00797E11">
      <w:pPr>
        <w:widowControl/>
        <w:spacing w:after="200" w:line="276" w:lineRule="auto"/>
        <w:ind w:left="720"/>
        <w:contextualSpacing/>
        <w:rPr>
          <w:rFonts w:eastAsia="Calibri"/>
          <w:sz w:val="24"/>
          <w:szCs w:val="22"/>
        </w:rPr>
      </w:pPr>
    </w:p>
    <w:p w:rsidR="007C751D" w:rsidRDefault="007C751D" w:rsidP="007C751D">
      <w:pPr>
        <w:widowControl/>
        <w:numPr>
          <w:ilvl w:val="0"/>
          <w:numId w:val="11"/>
        </w:numPr>
        <w:spacing w:after="200" w:line="276" w:lineRule="auto"/>
        <w:contextualSpacing/>
        <w:rPr>
          <w:rFonts w:eastAsia="Calibri"/>
          <w:sz w:val="24"/>
          <w:szCs w:val="22"/>
        </w:rPr>
      </w:pPr>
      <w:r w:rsidRPr="007C751D">
        <w:rPr>
          <w:rFonts w:eastAsia="Calibri"/>
          <w:sz w:val="24"/>
          <w:szCs w:val="22"/>
        </w:rPr>
        <w:t>The tobacco use phenotype questions section has the largest overlap with other national surveys as would be expected. Notably, this section on HINTS-FDA does not serve the same purpose as it does on other surveys. Those surveys use the information to establish prevalence estimates, track patterns of use, and monitor the impact of policies on use. In HINTS-FDA these items, of which we use a restricted set of commonly-accepted and used measures of tobacco use, serve to segment the respondents and look at associations between tobacco use and the other sections of HINT</w:t>
      </w:r>
      <w:r w:rsidR="00F341F1">
        <w:rPr>
          <w:rFonts w:eastAsia="Calibri"/>
          <w:sz w:val="24"/>
          <w:szCs w:val="22"/>
        </w:rPr>
        <w:t>S</w:t>
      </w:r>
      <w:r w:rsidRPr="007C751D">
        <w:rPr>
          <w:rFonts w:eastAsia="Calibri"/>
          <w:sz w:val="24"/>
          <w:szCs w:val="22"/>
        </w:rPr>
        <w:t>-FDA that do not appear on other surveys, mainly media use and exposure and communication items. For example</w:t>
      </w:r>
      <w:r w:rsidR="00F341F1">
        <w:rPr>
          <w:rFonts w:eastAsia="Calibri"/>
          <w:sz w:val="24"/>
          <w:szCs w:val="22"/>
        </w:rPr>
        <w:t>,</w:t>
      </w:r>
      <w:r w:rsidRPr="007C751D">
        <w:rPr>
          <w:rFonts w:eastAsia="Calibri"/>
          <w:sz w:val="24"/>
          <w:szCs w:val="22"/>
        </w:rPr>
        <w:t xml:space="preserve"> an analysis on HINTS-FDA might explore th</w:t>
      </w:r>
      <w:r w:rsidR="00797E11">
        <w:rPr>
          <w:rFonts w:eastAsia="Calibri"/>
          <w:sz w:val="24"/>
          <w:szCs w:val="22"/>
        </w:rPr>
        <w:t>e following research question</w:t>
      </w:r>
      <w:r w:rsidRPr="007C751D">
        <w:rPr>
          <w:rFonts w:eastAsia="Calibri"/>
          <w:sz w:val="24"/>
          <w:szCs w:val="22"/>
        </w:rPr>
        <w:t xml:space="preserve">: “Do current cigarette smokers differ in their trust of tobacco health information from various sources compared to non-smokers and/or current </w:t>
      </w:r>
      <w:r w:rsidR="00797E11">
        <w:rPr>
          <w:rFonts w:eastAsia="Calibri"/>
          <w:sz w:val="24"/>
          <w:szCs w:val="22"/>
        </w:rPr>
        <w:t xml:space="preserve">users of other tobacco products? </w:t>
      </w:r>
      <w:r w:rsidRPr="007C751D">
        <w:rPr>
          <w:rFonts w:eastAsia="Calibri"/>
          <w:sz w:val="24"/>
          <w:szCs w:val="22"/>
        </w:rPr>
        <w:t xml:space="preserve"> How is that association influenced by health information seeking behavior about tobacco?</w:t>
      </w:r>
      <w:r w:rsidR="00797E11">
        <w:rPr>
          <w:rFonts w:eastAsia="Calibri"/>
          <w:sz w:val="24"/>
          <w:szCs w:val="22"/>
        </w:rPr>
        <w:t>”</w:t>
      </w:r>
      <w:r w:rsidRPr="007C751D">
        <w:rPr>
          <w:rFonts w:eastAsia="Calibri"/>
          <w:sz w:val="24"/>
          <w:szCs w:val="22"/>
        </w:rPr>
        <w:t xml:space="preserve"> </w:t>
      </w:r>
      <w:r w:rsidR="000D6065">
        <w:rPr>
          <w:rFonts w:eastAsia="Calibri"/>
          <w:sz w:val="24"/>
          <w:szCs w:val="22"/>
        </w:rPr>
        <w:t>Although</w:t>
      </w:r>
      <w:r w:rsidRPr="007C751D">
        <w:rPr>
          <w:rFonts w:eastAsia="Calibri"/>
          <w:sz w:val="24"/>
          <w:szCs w:val="22"/>
        </w:rPr>
        <w:t xml:space="preserve"> some of these items are duplicated on other national surveys, their inclusion with the other </w:t>
      </w:r>
      <w:r w:rsidR="000B24DA">
        <w:rPr>
          <w:rFonts w:eastAsia="Calibri"/>
          <w:sz w:val="24"/>
          <w:szCs w:val="22"/>
        </w:rPr>
        <w:t xml:space="preserve">communication-specific </w:t>
      </w:r>
      <w:r w:rsidRPr="007C751D">
        <w:rPr>
          <w:rFonts w:eastAsia="Calibri"/>
          <w:sz w:val="24"/>
          <w:szCs w:val="22"/>
        </w:rPr>
        <w:t>HINTS-FDA constructs is necessary because those analyses must use constructs from the same dataset.</w:t>
      </w:r>
    </w:p>
    <w:p w:rsidR="00797E11" w:rsidRPr="007C751D" w:rsidRDefault="00797E11" w:rsidP="00797E11">
      <w:pPr>
        <w:widowControl/>
        <w:spacing w:after="200" w:line="276" w:lineRule="auto"/>
        <w:ind w:left="720"/>
        <w:contextualSpacing/>
        <w:rPr>
          <w:rFonts w:eastAsia="Calibri"/>
          <w:sz w:val="24"/>
          <w:szCs w:val="22"/>
        </w:rPr>
      </w:pPr>
    </w:p>
    <w:p w:rsidR="007C751D" w:rsidRDefault="007C751D" w:rsidP="007C751D">
      <w:pPr>
        <w:widowControl/>
        <w:numPr>
          <w:ilvl w:val="0"/>
          <w:numId w:val="11"/>
        </w:numPr>
        <w:spacing w:after="200" w:line="276" w:lineRule="auto"/>
        <w:contextualSpacing/>
        <w:rPr>
          <w:rFonts w:eastAsia="Calibri"/>
          <w:sz w:val="24"/>
          <w:szCs w:val="22"/>
        </w:rPr>
      </w:pPr>
      <w:r w:rsidRPr="007C751D">
        <w:rPr>
          <w:rFonts w:eastAsia="Calibri"/>
          <w:sz w:val="24"/>
          <w:szCs w:val="22"/>
        </w:rPr>
        <w:t xml:space="preserve">Although other surveys do include a few communication questions, they mainly focus on </w:t>
      </w:r>
      <w:r w:rsidR="00797E11">
        <w:rPr>
          <w:rFonts w:eastAsia="Calibri"/>
          <w:sz w:val="24"/>
          <w:szCs w:val="22"/>
        </w:rPr>
        <w:t xml:space="preserve">the </w:t>
      </w:r>
      <w:r w:rsidRPr="007C751D">
        <w:rPr>
          <w:rFonts w:eastAsia="Calibri"/>
          <w:sz w:val="24"/>
          <w:szCs w:val="22"/>
        </w:rPr>
        <w:t xml:space="preserve">amount of use of various forms of media (e.g. hours spent watching TV), but do not focus on trust </w:t>
      </w:r>
      <w:r w:rsidR="000B24DA">
        <w:rPr>
          <w:rFonts w:eastAsia="Calibri"/>
          <w:sz w:val="24"/>
          <w:szCs w:val="22"/>
        </w:rPr>
        <w:t xml:space="preserve">in </w:t>
      </w:r>
      <w:r w:rsidRPr="007C751D">
        <w:rPr>
          <w:rFonts w:eastAsia="Calibri"/>
          <w:sz w:val="24"/>
          <w:szCs w:val="22"/>
        </w:rPr>
        <w:t>health information from those sources</w:t>
      </w:r>
      <w:r w:rsidR="000B24DA">
        <w:rPr>
          <w:rFonts w:eastAsia="Calibri"/>
          <w:sz w:val="24"/>
          <w:szCs w:val="22"/>
        </w:rPr>
        <w:t>, or other communication-related questions that are unique to HINTS.</w:t>
      </w:r>
      <w:r w:rsidRPr="007C751D">
        <w:rPr>
          <w:rFonts w:eastAsia="Calibri"/>
          <w:sz w:val="24"/>
          <w:szCs w:val="22"/>
        </w:rPr>
        <w:t>.</w:t>
      </w:r>
    </w:p>
    <w:p w:rsidR="00797E11" w:rsidRPr="007C751D" w:rsidRDefault="00797E11" w:rsidP="00797E11">
      <w:pPr>
        <w:widowControl/>
        <w:spacing w:after="200" w:line="276" w:lineRule="auto"/>
        <w:contextualSpacing/>
        <w:rPr>
          <w:rFonts w:eastAsia="Calibri"/>
          <w:sz w:val="24"/>
          <w:szCs w:val="22"/>
        </w:rPr>
      </w:pPr>
    </w:p>
    <w:p w:rsidR="007C751D" w:rsidRDefault="007C751D" w:rsidP="007C751D">
      <w:pPr>
        <w:widowControl/>
        <w:numPr>
          <w:ilvl w:val="0"/>
          <w:numId w:val="11"/>
        </w:numPr>
        <w:spacing w:after="200" w:line="276" w:lineRule="auto"/>
        <w:contextualSpacing/>
        <w:rPr>
          <w:rFonts w:eastAsia="Calibri"/>
          <w:sz w:val="24"/>
          <w:szCs w:val="22"/>
        </w:rPr>
      </w:pPr>
      <w:r w:rsidRPr="007C751D">
        <w:rPr>
          <w:rFonts w:eastAsia="Calibri"/>
          <w:sz w:val="24"/>
          <w:szCs w:val="22"/>
        </w:rPr>
        <w:t>Similarly, for exposure</w:t>
      </w:r>
      <w:r w:rsidR="000B24DA">
        <w:rPr>
          <w:rFonts w:eastAsia="Calibri"/>
          <w:sz w:val="24"/>
          <w:szCs w:val="22"/>
        </w:rPr>
        <w:t xml:space="preserve"> questions</w:t>
      </w:r>
      <w:r w:rsidRPr="007C751D">
        <w:rPr>
          <w:rFonts w:eastAsia="Calibri"/>
          <w:sz w:val="24"/>
          <w:szCs w:val="22"/>
        </w:rPr>
        <w:t xml:space="preserve"> </w:t>
      </w:r>
      <w:r w:rsidR="000B24DA">
        <w:rPr>
          <w:rFonts w:eastAsia="Calibri"/>
          <w:sz w:val="24"/>
          <w:szCs w:val="22"/>
        </w:rPr>
        <w:t>(</w:t>
      </w:r>
      <w:r w:rsidRPr="007C751D">
        <w:rPr>
          <w:rFonts w:eastAsia="Calibri"/>
          <w:sz w:val="24"/>
          <w:szCs w:val="22"/>
        </w:rPr>
        <w:t>Tobacco Message Exposure Source/Frequency/Reaction</w:t>
      </w:r>
      <w:r w:rsidR="000B24DA">
        <w:rPr>
          <w:rFonts w:eastAsia="Calibri"/>
          <w:sz w:val="24"/>
          <w:szCs w:val="22"/>
        </w:rPr>
        <w:t>)</w:t>
      </w:r>
      <w:r w:rsidRPr="007C751D">
        <w:rPr>
          <w:rFonts w:eastAsia="Calibri"/>
          <w:sz w:val="24"/>
          <w:szCs w:val="22"/>
        </w:rPr>
        <w:t xml:space="preserve">, other surveys that include similar items tend to focus on direct promotion by tobacco companies (e.g., getting coupons in the mail), but do not go into the same level of detail that HINTS-FDA will on the type of message, the channel </w:t>
      </w:r>
      <w:r w:rsidRPr="007C751D">
        <w:rPr>
          <w:rFonts w:eastAsia="Calibri"/>
          <w:sz w:val="24"/>
          <w:szCs w:val="22"/>
        </w:rPr>
        <w:lastRenderedPageBreak/>
        <w:t xml:space="preserve">through which it was observed and the frequency of noticing the message. This level of detail is critical </w:t>
      </w:r>
      <w:r w:rsidR="000D6065">
        <w:rPr>
          <w:rFonts w:eastAsia="Calibri"/>
          <w:sz w:val="24"/>
          <w:szCs w:val="22"/>
        </w:rPr>
        <w:t>for</w:t>
      </w:r>
      <w:r w:rsidR="000D6065" w:rsidRPr="007C751D">
        <w:rPr>
          <w:rFonts w:eastAsia="Calibri"/>
          <w:sz w:val="24"/>
          <w:szCs w:val="22"/>
        </w:rPr>
        <w:t xml:space="preserve"> </w:t>
      </w:r>
      <w:r w:rsidRPr="007C751D">
        <w:rPr>
          <w:rFonts w:eastAsia="Calibri"/>
          <w:sz w:val="24"/>
          <w:szCs w:val="22"/>
        </w:rPr>
        <w:t>HINTS-FDA to inform CTP’s communications efforts as CTP is actively planning a number of media campaigns and other communication efforts.</w:t>
      </w:r>
    </w:p>
    <w:p w:rsidR="00797E11" w:rsidRPr="007C751D" w:rsidRDefault="00797E11" w:rsidP="00797E11">
      <w:pPr>
        <w:widowControl/>
        <w:spacing w:after="200" w:line="276" w:lineRule="auto"/>
        <w:contextualSpacing/>
        <w:rPr>
          <w:rFonts w:eastAsia="Calibri"/>
          <w:sz w:val="24"/>
          <w:szCs w:val="22"/>
        </w:rPr>
      </w:pPr>
    </w:p>
    <w:p w:rsidR="000857D6" w:rsidRDefault="000857D6" w:rsidP="006D2D12">
      <w:pPr>
        <w:widowControl/>
        <w:spacing w:after="200" w:line="276" w:lineRule="auto"/>
        <w:ind w:left="720"/>
        <w:contextualSpacing/>
        <w:rPr>
          <w:rFonts w:eastAsia="Calibri"/>
          <w:b/>
          <w:sz w:val="24"/>
          <w:szCs w:val="22"/>
          <w:u w:val="single"/>
        </w:rPr>
      </w:pPr>
    </w:p>
    <w:p w:rsidR="000857D6" w:rsidRPr="000857D6" w:rsidRDefault="000857D6" w:rsidP="000857D6">
      <w:pPr>
        <w:widowControl/>
        <w:spacing w:after="200" w:line="276" w:lineRule="auto"/>
        <w:rPr>
          <w:rFonts w:eastAsia="Calibri"/>
          <w:b/>
          <w:i/>
          <w:sz w:val="24"/>
          <w:szCs w:val="22"/>
        </w:rPr>
      </w:pPr>
      <w:r w:rsidRPr="000857D6">
        <w:rPr>
          <w:rFonts w:eastAsia="Calibri"/>
          <w:b/>
          <w:i/>
          <w:sz w:val="24"/>
          <w:szCs w:val="22"/>
        </w:rPr>
        <w:t>Request to OMB</w:t>
      </w:r>
    </w:p>
    <w:p w:rsidR="000857D6" w:rsidRDefault="006F4CD8" w:rsidP="000857D6">
      <w:pPr>
        <w:widowControl/>
        <w:spacing w:after="200" w:line="276" w:lineRule="auto"/>
        <w:contextualSpacing/>
        <w:rPr>
          <w:sz w:val="24"/>
          <w:szCs w:val="24"/>
        </w:rPr>
      </w:pPr>
      <w:r>
        <w:rPr>
          <w:sz w:val="24"/>
          <w:szCs w:val="24"/>
        </w:rPr>
        <w:t xml:space="preserve">We hope this </w:t>
      </w:r>
      <w:r w:rsidR="00A170EC">
        <w:rPr>
          <w:sz w:val="24"/>
          <w:szCs w:val="24"/>
        </w:rPr>
        <w:t>response clarifies</w:t>
      </w:r>
      <w:r>
        <w:rPr>
          <w:sz w:val="24"/>
          <w:szCs w:val="24"/>
        </w:rPr>
        <w:t xml:space="preserve"> both the unique nature of the proposed HINTS-FDA instrument and the </w:t>
      </w:r>
      <w:r w:rsidR="00A170EC">
        <w:rPr>
          <w:sz w:val="24"/>
          <w:szCs w:val="24"/>
        </w:rPr>
        <w:t xml:space="preserve">additional </w:t>
      </w:r>
      <w:r>
        <w:rPr>
          <w:sz w:val="24"/>
          <w:szCs w:val="24"/>
        </w:rPr>
        <w:t xml:space="preserve">HINTS-FDA data collection cycle’s place within the overall HINTS program.  </w:t>
      </w:r>
      <w:r w:rsidR="001A16DD">
        <w:rPr>
          <w:sz w:val="24"/>
          <w:szCs w:val="24"/>
        </w:rPr>
        <w:t>NCI requests guidance from OMB on how to proceed in adding the HINTS-FDA cycle to the current HINTS submission.  As noted in the previous memo (Atta</w:t>
      </w:r>
      <w:r w:rsidR="007A64F8">
        <w:rPr>
          <w:sz w:val="24"/>
          <w:szCs w:val="24"/>
        </w:rPr>
        <w:t xml:space="preserve">chment A), we would need to change the overall burden </w:t>
      </w:r>
      <w:r>
        <w:rPr>
          <w:sz w:val="24"/>
          <w:szCs w:val="24"/>
        </w:rPr>
        <w:t>estimate and are unsure whether this is considered a substantive or non</w:t>
      </w:r>
      <w:r w:rsidR="000D6065">
        <w:rPr>
          <w:sz w:val="24"/>
          <w:szCs w:val="24"/>
        </w:rPr>
        <w:t>-</w:t>
      </w:r>
      <w:r>
        <w:rPr>
          <w:sz w:val="24"/>
          <w:szCs w:val="24"/>
        </w:rPr>
        <w:t>substantive change request.</w:t>
      </w:r>
      <w:r w:rsidR="007A64F8">
        <w:rPr>
          <w:sz w:val="24"/>
          <w:szCs w:val="24"/>
        </w:rPr>
        <w:t xml:space="preserve">  We welcome further discussions with OMB on this matter.</w:t>
      </w:r>
    </w:p>
    <w:p w:rsidR="007A64F8" w:rsidRDefault="007A64F8" w:rsidP="000857D6">
      <w:pPr>
        <w:widowControl/>
        <w:spacing w:after="200" w:line="276" w:lineRule="auto"/>
        <w:contextualSpacing/>
        <w:rPr>
          <w:sz w:val="24"/>
          <w:szCs w:val="24"/>
        </w:rPr>
      </w:pPr>
    </w:p>
    <w:p w:rsidR="00505838" w:rsidRDefault="00505838" w:rsidP="000857D6">
      <w:pPr>
        <w:widowControl/>
        <w:spacing w:after="200" w:line="276" w:lineRule="auto"/>
        <w:contextualSpacing/>
        <w:rPr>
          <w:sz w:val="24"/>
          <w:szCs w:val="24"/>
        </w:rPr>
      </w:pPr>
    </w:p>
    <w:p w:rsidR="00505838" w:rsidRDefault="00505838" w:rsidP="000857D6">
      <w:pPr>
        <w:widowControl/>
        <w:spacing w:after="200" w:line="276" w:lineRule="auto"/>
        <w:contextualSpacing/>
        <w:rPr>
          <w:sz w:val="24"/>
          <w:szCs w:val="24"/>
        </w:rPr>
      </w:pPr>
    </w:p>
    <w:p w:rsidR="00505838" w:rsidRDefault="00505838" w:rsidP="000857D6">
      <w:pPr>
        <w:widowControl/>
        <w:spacing w:after="200" w:line="276" w:lineRule="auto"/>
        <w:contextualSpacing/>
        <w:rPr>
          <w:sz w:val="24"/>
          <w:szCs w:val="24"/>
        </w:rPr>
      </w:pPr>
    </w:p>
    <w:p w:rsidR="00505838" w:rsidRPr="00505838" w:rsidRDefault="00505838" w:rsidP="000857D6">
      <w:pPr>
        <w:widowControl/>
        <w:spacing w:after="200" w:line="276" w:lineRule="auto"/>
        <w:contextualSpacing/>
        <w:rPr>
          <w:b/>
          <w:i/>
          <w:sz w:val="24"/>
          <w:szCs w:val="24"/>
        </w:rPr>
      </w:pPr>
      <w:r w:rsidRPr="00505838">
        <w:rPr>
          <w:b/>
          <w:i/>
          <w:sz w:val="24"/>
          <w:szCs w:val="24"/>
        </w:rPr>
        <w:t>Attachments:</w:t>
      </w:r>
    </w:p>
    <w:p w:rsidR="00505838" w:rsidRDefault="00505838" w:rsidP="000857D6">
      <w:pPr>
        <w:widowControl/>
        <w:spacing w:after="200" w:line="276" w:lineRule="auto"/>
        <w:contextualSpacing/>
        <w:rPr>
          <w:sz w:val="24"/>
          <w:szCs w:val="24"/>
        </w:rPr>
      </w:pPr>
    </w:p>
    <w:p w:rsidR="00505838" w:rsidRDefault="00505838" w:rsidP="000857D6">
      <w:pPr>
        <w:widowControl/>
        <w:spacing w:after="200" w:line="276" w:lineRule="auto"/>
        <w:contextualSpacing/>
        <w:rPr>
          <w:sz w:val="24"/>
          <w:szCs w:val="24"/>
        </w:rPr>
      </w:pPr>
      <w:r>
        <w:rPr>
          <w:sz w:val="24"/>
          <w:szCs w:val="24"/>
        </w:rPr>
        <w:t>Attachment A:  Memo from NCI to OMB dated November 27, 2012</w:t>
      </w:r>
    </w:p>
    <w:p w:rsidR="00505838" w:rsidRDefault="00505838" w:rsidP="000857D6">
      <w:pPr>
        <w:widowControl/>
        <w:spacing w:after="200" w:line="276" w:lineRule="auto"/>
        <w:contextualSpacing/>
        <w:rPr>
          <w:sz w:val="24"/>
          <w:szCs w:val="24"/>
        </w:rPr>
      </w:pPr>
      <w:r>
        <w:rPr>
          <w:sz w:val="24"/>
          <w:szCs w:val="24"/>
        </w:rPr>
        <w:t>Attachment B:  Justification tables for HINTS-FDA survey items</w:t>
      </w:r>
    </w:p>
    <w:p w:rsidR="00505838" w:rsidRPr="00C7422D" w:rsidRDefault="00505838" w:rsidP="000857D6">
      <w:pPr>
        <w:widowControl/>
        <w:spacing w:after="200" w:line="276" w:lineRule="auto"/>
        <w:contextualSpacing/>
        <w:rPr>
          <w:sz w:val="24"/>
          <w:szCs w:val="24"/>
        </w:rPr>
      </w:pPr>
    </w:p>
    <w:sectPr w:rsidR="00505838" w:rsidRPr="00C7422D" w:rsidSect="00E17B32">
      <w:footerReference w:type="default" r:id="rId10"/>
      <w:footnotePr>
        <w:numRestart w:val="eachSect"/>
      </w:footnotePr>
      <w:endnotePr>
        <w:numFmt w:val="decimal"/>
      </w:endnotePr>
      <w:type w:val="continuous"/>
      <w:pgSz w:w="12240" w:h="15840"/>
      <w:pgMar w:top="1296"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3D3" w:rsidRDefault="009B63D3">
      <w:r>
        <w:separator/>
      </w:r>
    </w:p>
  </w:endnote>
  <w:endnote w:type="continuationSeparator" w:id="0">
    <w:p w:rsidR="009B63D3" w:rsidRDefault="009B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1F1" w:rsidRDefault="009057E9">
    <w:pPr>
      <w:pStyle w:val="Footer"/>
      <w:jc w:val="center"/>
    </w:pPr>
    <w:r>
      <w:fldChar w:fldCharType="begin"/>
    </w:r>
    <w:r w:rsidR="00BC7CAD">
      <w:instrText xml:space="preserve"> PAGE   \* MERGEFORMAT </w:instrText>
    </w:r>
    <w:r>
      <w:fldChar w:fldCharType="separate"/>
    </w:r>
    <w:r w:rsidR="00B15522">
      <w:rPr>
        <w:noProof/>
      </w:rPr>
      <w:t>2</w:t>
    </w:r>
    <w:r>
      <w:rPr>
        <w:noProof/>
      </w:rPr>
      <w:fldChar w:fldCharType="end"/>
    </w:r>
  </w:p>
  <w:p w:rsidR="00F341F1" w:rsidRDefault="00F341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3D3" w:rsidRDefault="009B63D3">
      <w:r>
        <w:separator/>
      </w:r>
    </w:p>
  </w:footnote>
  <w:footnote w:type="continuationSeparator" w:id="0">
    <w:p w:rsidR="009B63D3" w:rsidRDefault="009B63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51D9"/>
    <w:multiLevelType w:val="hybridMultilevel"/>
    <w:tmpl w:val="3F1C762A"/>
    <w:lvl w:ilvl="0" w:tplc="A4A03E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2B36F3"/>
    <w:multiLevelType w:val="hybridMultilevel"/>
    <w:tmpl w:val="41BC39B0"/>
    <w:lvl w:ilvl="0" w:tplc="2E20CF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E4DF7"/>
    <w:multiLevelType w:val="hybridMultilevel"/>
    <w:tmpl w:val="96941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D742A4"/>
    <w:multiLevelType w:val="hybridMultilevel"/>
    <w:tmpl w:val="A802B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7D652A"/>
    <w:multiLevelType w:val="hybridMultilevel"/>
    <w:tmpl w:val="7018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8152BC"/>
    <w:multiLevelType w:val="hybridMultilevel"/>
    <w:tmpl w:val="577CA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8002E7"/>
    <w:multiLevelType w:val="hybridMultilevel"/>
    <w:tmpl w:val="87683278"/>
    <w:lvl w:ilvl="0" w:tplc="738C4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1D918A0"/>
    <w:multiLevelType w:val="hybridMultilevel"/>
    <w:tmpl w:val="EBE2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B4672F"/>
    <w:multiLevelType w:val="hybridMultilevel"/>
    <w:tmpl w:val="628AB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3A5A71"/>
    <w:multiLevelType w:val="hybridMultilevel"/>
    <w:tmpl w:val="F2869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F63363"/>
    <w:multiLevelType w:val="hybridMultilevel"/>
    <w:tmpl w:val="3CB8B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770469"/>
    <w:multiLevelType w:val="hybridMultilevel"/>
    <w:tmpl w:val="3F1C762A"/>
    <w:lvl w:ilvl="0" w:tplc="A4A03E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9"/>
  </w:num>
  <w:num w:numId="5">
    <w:abstractNumId w:val="5"/>
  </w:num>
  <w:num w:numId="6">
    <w:abstractNumId w:val="8"/>
  </w:num>
  <w:num w:numId="7">
    <w:abstractNumId w:val="11"/>
  </w:num>
  <w:num w:numId="8">
    <w:abstractNumId w:val="2"/>
  </w:num>
  <w:num w:numId="9">
    <w:abstractNumId w:val="7"/>
  </w:num>
  <w:num w:numId="10">
    <w:abstractNumId w:val="3"/>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5361"/>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B9B"/>
    <w:rsid w:val="0000511B"/>
    <w:rsid w:val="00005C44"/>
    <w:rsid w:val="0007164B"/>
    <w:rsid w:val="000857D6"/>
    <w:rsid w:val="000B24DA"/>
    <w:rsid w:val="000C2B5C"/>
    <w:rsid w:val="000D33DC"/>
    <w:rsid w:val="000D4E3F"/>
    <w:rsid w:val="000D6065"/>
    <w:rsid w:val="000E07F2"/>
    <w:rsid w:val="000E4890"/>
    <w:rsid w:val="00157824"/>
    <w:rsid w:val="00174E91"/>
    <w:rsid w:val="00181630"/>
    <w:rsid w:val="001A16DD"/>
    <w:rsid w:val="001C3F7A"/>
    <w:rsid w:val="001C504B"/>
    <w:rsid w:val="001E489E"/>
    <w:rsid w:val="001E76BF"/>
    <w:rsid w:val="0020794B"/>
    <w:rsid w:val="00253791"/>
    <w:rsid w:val="00282AF0"/>
    <w:rsid w:val="0030133B"/>
    <w:rsid w:val="00302A26"/>
    <w:rsid w:val="00347C07"/>
    <w:rsid w:val="00354AA7"/>
    <w:rsid w:val="00375813"/>
    <w:rsid w:val="003C5AE7"/>
    <w:rsid w:val="003D3AE8"/>
    <w:rsid w:val="003E63D3"/>
    <w:rsid w:val="003F21A6"/>
    <w:rsid w:val="00400D69"/>
    <w:rsid w:val="00424B05"/>
    <w:rsid w:val="00424F80"/>
    <w:rsid w:val="00505838"/>
    <w:rsid w:val="00512A73"/>
    <w:rsid w:val="0053786A"/>
    <w:rsid w:val="00576D85"/>
    <w:rsid w:val="00581426"/>
    <w:rsid w:val="005820B9"/>
    <w:rsid w:val="005A65A4"/>
    <w:rsid w:val="006369DB"/>
    <w:rsid w:val="00641945"/>
    <w:rsid w:val="00651E4B"/>
    <w:rsid w:val="00664F62"/>
    <w:rsid w:val="00670F79"/>
    <w:rsid w:val="006D2D12"/>
    <w:rsid w:val="006D64BF"/>
    <w:rsid w:val="006F4CD8"/>
    <w:rsid w:val="00716E05"/>
    <w:rsid w:val="007267E6"/>
    <w:rsid w:val="00732637"/>
    <w:rsid w:val="0073719C"/>
    <w:rsid w:val="007861A9"/>
    <w:rsid w:val="00797E11"/>
    <w:rsid w:val="007A58C7"/>
    <w:rsid w:val="007A64F8"/>
    <w:rsid w:val="007C751D"/>
    <w:rsid w:val="007D48B2"/>
    <w:rsid w:val="007E4797"/>
    <w:rsid w:val="008142B9"/>
    <w:rsid w:val="008230AB"/>
    <w:rsid w:val="00824D7F"/>
    <w:rsid w:val="0085117C"/>
    <w:rsid w:val="008855EE"/>
    <w:rsid w:val="008B612E"/>
    <w:rsid w:val="008C33C4"/>
    <w:rsid w:val="008C375B"/>
    <w:rsid w:val="008F4082"/>
    <w:rsid w:val="009057E9"/>
    <w:rsid w:val="009106C4"/>
    <w:rsid w:val="00943DEA"/>
    <w:rsid w:val="009464D3"/>
    <w:rsid w:val="00996516"/>
    <w:rsid w:val="009B1CD0"/>
    <w:rsid w:val="009B2293"/>
    <w:rsid w:val="009B63D3"/>
    <w:rsid w:val="009F16C1"/>
    <w:rsid w:val="00A170EC"/>
    <w:rsid w:val="00A7221E"/>
    <w:rsid w:val="00A938C5"/>
    <w:rsid w:val="00AD48D7"/>
    <w:rsid w:val="00B15522"/>
    <w:rsid w:val="00B348B3"/>
    <w:rsid w:val="00B52B9B"/>
    <w:rsid w:val="00B566DF"/>
    <w:rsid w:val="00B671FD"/>
    <w:rsid w:val="00B85210"/>
    <w:rsid w:val="00B95C07"/>
    <w:rsid w:val="00BA41A8"/>
    <w:rsid w:val="00BB5EB6"/>
    <w:rsid w:val="00BC5036"/>
    <w:rsid w:val="00BC7CAD"/>
    <w:rsid w:val="00BD16E6"/>
    <w:rsid w:val="00BD2A93"/>
    <w:rsid w:val="00BE47E9"/>
    <w:rsid w:val="00C064FE"/>
    <w:rsid w:val="00C24D06"/>
    <w:rsid w:val="00C32266"/>
    <w:rsid w:val="00C34004"/>
    <w:rsid w:val="00C379F7"/>
    <w:rsid w:val="00C61FFD"/>
    <w:rsid w:val="00C6413E"/>
    <w:rsid w:val="00C66485"/>
    <w:rsid w:val="00C7422D"/>
    <w:rsid w:val="00C94A7A"/>
    <w:rsid w:val="00C97C9B"/>
    <w:rsid w:val="00CA040A"/>
    <w:rsid w:val="00CA3CE6"/>
    <w:rsid w:val="00CB0FE9"/>
    <w:rsid w:val="00CD318B"/>
    <w:rsid w:val="00CE17C5"/>
    <w:rsid w:val="00D16D3F"/>
    <w:rsid w:val="00DC2DCE"/>
    <w:rsid w:val="00DD63CC"/>
    <w:rsid w:val="00DE149B"/>
    <w:rsid w:val="00DE5042"/>
    <w:rsid w:val="00E14150"/>
    <w:rsid w:val="00E17B32"/>
    <w:rsid w:val="00E46729"/>
    <w:rsid w:val="00E57411"/>
    <w:rsid w:val="00E72E68"/>
    <w:rsid w:val="00EC010B"/>
    <w:rsid w:val="00EC19AF"/>
    <w:rsid w:val="00EE23FD"/>
    <w:rsid w:val="00F10BE6"/>
    <w:rsid w:val="00F341F1"/>
    <w:rsid w:val="00FC12AF"/>
    <w:rsid w:val="00FD6F07"/>
    <w:rsid w:val="00FF4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Header">
    <w:name w:val="header"/>
    <w:basedOn w:val="Normal"/>
    <w:rsid w:val="000C2B5C"/>
    <w:pPr>
      <w:tabs>
        <w:tab w:val="center" w:pos="4320"/>
        <w:tab w:val="right" w:pos="8640"/>
      </w:tabs>
    </w:pPr>
  </w:style>
  <w:style w:type="paragraph" w:styleId="Footer">
    <w:name w:val="footer"/>
    <w:basedOn w:val="Normal"/>
    <w:link w:val="FooterChar"/>
    <w:uiPriority w:val="99"/>
    <w:rsid w:val="000C2B5C"/>
    <w:pPr>
      <w:tabs>
        <w:tab w:val="center" w:pos="4320"/>
        <w:tab w:val="right" w:pos="8640"/>
      </w:tabs>
    </w:pPr>
  </w:style>
  <w:style w:type="paragraph" w:customStyle="1" w:styleId="Default">
    <w:name w:val="Default"/>
    <w:rsid w:val="001C3F7A"/>
    <w:pPr>
      <w:autoSpaceDE w:val="0"/>
      <w:autoSpaceDN w:val="0"/>
      <w:adjustRightInd w:val="0"/>
    </w:pPr>
    <w:rPr>
      <w:rFonts w:ascii="Arial MT" w:hAnsi="Arial MT" w:cs="Arial MT"/>
      <w:color w:val="000000"/>
      <w:sz w:val="24"/>
      <w:szCs w:val="24"/>
    </w:rPr>
  </w:style>
  <w:style w:type="paragraph" w:styleId="BodyTextIndent2">
    <w:name w:val="Body Text Indent 2"/>
    <w:basedOn w:val="Normal"/>
    <w:link w:val="BodyTextIndent2Char"/>
    <w:rsid w:val="001C3F7A"/>
    <w:pPr>
      <w:spacing w:line="480" w:lineRule="auto"/>
      <w:ind w:firstLine="720"/>
    </w:pPr>
    <w:rPr>
      <w:snapToGrid w:val="0"/>
      <w:color w:val="000000"/>
      <w:sz w:val="22"/>
    </w:rPr>
  </w:style>
  <w:style w:type="character" w:customStyle="1" w:styleId="BodyTextIndent2Char">
    <w:name w:val="Body Text Indent 2 Char"/>
    <w:link w:val="BodyTextIndent2"/>
    <w:rsid w:val="001C3F7A"/>
    <w:rPr>
      <w:snapToGrid w:val="0"/>
      <w:color w:val="000000"/>
      <w:sz w:val="22"/>
    </w:rPr>
  </w:style>
  <w:style w:type="paragraph" w:customStyle="1" w:styleId="Heading">
    <w:name w:val="Heading"/>
    <w:basedOn w:val="Normal"/>
    <w:qFormat/>
    <w:rsid w:val="00C32266"/>
    <w:pPr>
      <w:widowControl/>
      <w:spacing w:before="240" w:after="240"/>
      <w:ind w:left="1440" w:hanging="1440"/>
    </w:pPr>
    <w:rPr>
      <w:sz w:val="24"/>
      <w:szCs w:val="24"/>
    </w:rPr>
  </w:style>
  <w:style w:type="paragraph" w:styleId="FootnoteText">
    <w:name w:val="footnote text"/>
    <w:aliases w:val="F1"/>
    <w:link w:val="FootnoteTextChar"/>
    <w:semiHidden/>
    <w:rsid w:val="007267E6"/>
    <w:pPr>
      <w:tabs>
        <w:tab w:val="left" w:pos="120"/>
      </w:tabs>
      <w:spacing w:before="120" w:line="200" w:lineRule="atLeast"/>
      <w:ind w:left="115" w:hanging="115"/>
      <w:jc w:val="both"/>
    </w:pPr>
    <w:rPr>
      <w:sz w:val="16"/>
    </w:rPr>
  </w:style>
  <w:style w:type="character" w:customStyle="1" w:styleId="FootnoteTextChar">
    <w:name w:val="Footnote Text Char"/>
    <w:aliases w:val="F1 Char"/>
    <w:link w:val="FootnoteText"/>
    <w:semiHidden/>
    <w:rsid w:val="007267E6"/>
    <w:rPr>
      <w:sz w:val="16"/>
      <w:lang w:val="en-US" w:eastAsia="en-US" w:bidi="ar-SA"/>
    </w:rPr>
  </w:style>
  <w:style w:type="paragraph" w:customStyle="1" w:styleId="P1-StandPara">
    <w:name w:val="P1-Stand Para"/>
    <w:link w:val="P1-StandParaChar"/>
    <w:rsid w:val="00C66485"/>
    <w:pPr>
      <w:spacing w:line="360" w:lineRule="atLeast"/>
      <w:jc w:val="both"/>
    </w:pPr>
    <w:rPr>
      <w:sz w:val="22"/>
    </w:rPr>
  </w:style>
  <w:style w:type="character" w:customStyle="1" w:styleId="P1-StandParaChar">
    <w:name w:val="P1-Stand Para Char"/>
    <w:link w:val="P1-StandPara"/>
    <w:rsid w:val="00C66485"/>
    <w:rPr>
      <w:sz w:val="22"/>
      <w:lang w:bidi="ar-SA"/>
    </w:rPr>
  </w:style>
  <w:style w:type="character" w:customStyle="1" w:styleId="FooterChar">
    <w:name w:val="Footer Char"/>
    <w:link w:val="Footer"/>
    <w:uiPriority w:val="99"/>
    <w:rsid w:val="00732637"/>
  </w:style>
  <w:style w:type="paragraph" w:styleId="ListParagraph">
    <w:name w:val="List Paragraph"/>
    <w:basedOn w:val="Normal"/>
    <w:uiPriority w:val="34"/>
    <w:qFormat/>
    <w:rsid w:val="001E489E"/>
    <w:pPr>
      <w:ind w:left="720"/>
    </w:pPr>
  </w:style>
  <w:style w:type="character" w:styleId="CommentReference">
    <w:name w:val="annotation reference"/>
    <w:uiPriority w:val="99"/>
    <w:semiHidden/>
    <w:unhideWhenUsed/>
    <w:rsid w:val="00B95C07"/>
    <w:rPr>
      <w:sz w:val="16"/>
      <w:szCs w:val="16"/>
    </w:rPr>
  </w:style>
  <w:style w:type="paragraph" w:styleId="CommentText">
    <w:name w:val="annotation text"/>
    <w:basedOn w:val="Normal"/>
    <w:link w:val="CommentTextChar"/>
    <w:uiPriority w:val="99"/>
    <w:semiHidden/>
    <w:unhideWhenUsed/>
    <w:rsid w:val="00B95C07"/>
  </w:style>
  <w:style w:type="character" w:customStyle="1" w:styleId="CommentTextChar">
    <w:name w:val="Comment Text Char"/>
    <w:basedOn w:val="DefaultParagraphFont"/>
    <w:link w:val="CommentText"/>
    <w:uiPriority w:val="99"/>
    <w:semiHidden/>
    <w:rsid w:val="00B95C07"/>
  </w:style>
  <w:style w:type="paragraph" w:styleId="CommentSubject">
    <w:name w:val="annotation subject"/>
    <w:basedOn w:val="CommentText"/>
    <w:next w:val="CommentText"/>
    <w:link w:val="CommentSubjectChar"/>
    <w:uiPriority w:val="99"/>
    <w:semiHidden/>
    <w:unhideWhenUsed/>
    <w:rsid w:val="00B95C07"/>
    <w:rPr>
      <w:b/>
      <w:bCs/>
    </w:rPr>
  </w:style>
  <w:style w:type="character" w:customStyle="1" w:styleId="CommentSubjectChar">
    <w:name w:val="Comment Subject Char"/>
    <w:link w:val="CommentSubject"/>
    <w:uiPriority w:val="99"/>
    <w:semiHidden/>
    <w:rsid w:val="00B95C07"/>
    <w:rPr>
      <w:b/>
      <w:bCs/>
    </w:rPr>
  </w:style>
  <w:style w:type="paragraph" w:styleId="BalloonText">
    <w:name w:val="Balloon Text"/>
    <w:basedOn w:val="Normal"/>
    <w:link w:val="BalloonTextChar"/>
    <w:uiPriority w:val="99"/>
    <w:semiHidden/>
    <w:unhideWhenUsed/>
    <w:rsid w:val="00B95C07"/>
    <w:rPr>
      <w:rFonts w:ascii="Tahoma" w:hAnsi="Tahoma" w:cs="Tahoma"/>
      <w:sz w:val="16"/>
      <w:szCs w:val="16"/>
    </w:rPr>
  </w:style>
  <w:style w:type="character" w:customStyle="1" w:styleId="BalloonTextChar">
    <w:name w:val="Balloon Text Char"/>
    <w:link w:val="BalloonText"/>
    <w:uiPriority w:val="99"/>
    <w:semiHidden/>
    <w:rsid w:val="00B95C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Header">
    <w:name w:val="header"/>
    <w:basedOn w:val="Normal"/>
    <w:rsid w:val="000C2B5C"/>
    <w:pPr>
      <w:tabs>
        <w:tab w:val="center" w:pos="4320"/>
        <w:tab w:val="right" w:pos="8640"/>
      </w:tabs>
    </w:pPr>
  </w:style>
  <w:style w:type="paragraph" w:styleId="Footer">
    <w:name w:val="footer"/>
    <w:basedOn w:val="Normal"/>
    <w:link w:val="FooterChar"/>
    <w:uiPriority w:val="99"/>
    <w:rsid w:val="000C2B5C"/>
    <w:pPr>
      <w:tabs>
        <w:tab w:val="center" w:pos="4320"/>
        <w:tab w:val="right" w:pos="8640"/>
      </w:tabs>
    </w:pPr>
  </w:style>
  <w:style w:type="paragraph" w:customStyle="1" w:styleId="Default">
    <w:name w:val="Default"/>
    <w:rsid w:val="001C3F7A"/>
    <w:pPr>
      <w:autoSpaceDE w:val="0"/>
      <w:autoSpaceDN w:val="0"/>
      <w:adjustRightInd w:val="0"/>
    </w:pPr>
    <w:rPr>
      <w:rFonts w:ascii="Arial MT" w:hAnsi="Arial MT" w:cs="Arial MT"/>
      <w:color w:val="000000"/>
      <w:sz w:val="24"/>
      <w:szCs w:val="24"/>
    </w:rPr>
  </w:style>
  <w:style w:type="paragraph" w:styleId="BodyTextIndent2">
    <w:name w:val="Body Text Indent 2"/>
    <w:basedOn w:val="Normal"/>
    <w:link w:val="BodyTextIndent2Char"/>
    <w:rsid w:val="001C3F7A"/>
    <w:pPr>
      <w:spacing w:line="480" w:lineRule="auto"/>
      <w:ind w:firstLine="720"/>
    </w:pPr>
    <w:rPr>
      <w:snapToGrid w:val="0"/>
      <w:color w:val="000000"/>
      <w:sz w:val="22"/>
    </w:rPr>
  </w:style>
  <w:style w:type="character" w:customStyle="1" w:styleId="BodyTextIndent2Char">
    <w:name w:val="Body Text Indent 2 Char"/>
    <w:link w:val="BodyTextIndent2"/>
    <w:rsid w:val="001C3F7A"/>
    <w:rPr>
      <w:snapToGrid w:val="0"/>
      <w:color w:val="000000"/>
      <w:sz w:val="22"/>
    </w:rPr>
  </w:style>
  <w:style w:type="paragraph" w:customStyle="1" w:styleId="Heading">
    <w:name w:val="Heading"/>
    <w:basedOn w:val="Normal"/>
    <w:qFormat/>
    <w:rsid w:val="00C32266"/>
    <w:pPr>
      <w:widowControl/>
      <w:spacing w:before="240" w:after="240"/>
      <w:ind w:left="1440" w:hanging="1440"/>
    </w:pPr>
    <w:rPr>
      <w:sz w:val="24"/>
      <w:szCs w:val="24"/>
    </w:rPr>
  </w:style>
  <w:style w:type="paragraph" w:styleId="FootnoteText">
    <w:name w:val="footnote text"/>
    <w:aliases w:val="F1"/>
    <w:link w:val="FootnoteTextChar"/>
    <w:semiHidden/>
    <w:rsid w:val="007267E6"/>
    <w:pPr>
      <w:tabs>
        <w:tab w:val="left" w:pos="120"/>
      </w:tabs>
      <w:spacing w:before="120" w:line="200" w:lineRule="atLeast"/>
      <w:ind w:left="115" w:hanging="115"/>
      <w:jc w:val="both"/>
    </w:pPr>
    <w:rPr>
      <w:sz w:val="16"/>
    </w:rPr>
  </w:style>
  <w:style w:type="character" w:customStyle="1" w:styleId="FootnoteTextChar">
    <w:name w:val="Footnote Text Char"/>
    <w:aliases w:val="F1 Char"/>
    <w:link w:val="FootnoteText"/>
    <w:semiHidden/>
    <w:rsid w:val="007267E6"/>
    <w:rPr>
      <w:sz w:val="16"/>
      <w:lang w:val="en-US" w:eastAsia="en-US" w:bidi="ar-SA"/>
    </w:rPr>
  </w:style>
  <w:style w:type="paragraph" w:customStyle="1" w:styleId="P1-StandPara">
    <w:name w:val="P1-Stand Para"/>
    <w:link w:val="P1-StandParaChar"/>
    <w:rsid w:val="00C66485"/>
    <w:pPr>
      <w:spacing w:line="360" w:lineRule="atLeast"/>
      <w:jc w:val="both"/>
    </w:pPr>
    <w:rPr>
      <w:sz w:val="22"/>
    </w:rPr>
  </w:style>
  <w:style w:type="character" w:customStyle="1" w:styleId="P1-StandParaChar">
    <w:name w:val="P1-Stand Para Char"/>
    <w:link w:val="P1-StandPara"/>
    <w:rsid w:val="00C66485"/>
    <w:rPr>
      <w:sz w:val="22"/>
      <w:lang w:bidi="ar-SA"/>
    </w:rPr>
  </w:style>
  <w:style w:type="character" w:customStyle="1" w:styleId="FooterChar">
    <w:name w:val="Footer Char"/>
    <w:link w:val="Footer"/>
    <w:uiPriority w:val="99"/>
    <w:rsid w:val="00732637"/>
  </w:style>
  <w:style w:type="paragraph" w:styleId="ListParagraph">
    <w:name w:val="List Paragraph"/>
    <w:basedOn w:val="Normal"/>
    <w:uiPriority w:val="34"/>
    <w:qFormat/>
    <w:rsid w:val="001E489E"/>
    <w:pPr>
      <w:ind w:left="720"/>
    </w:pPr>
  </w:style>
  <w:style w:type="character" w:styleId="CommentReference">
    <w:name w:val="annotation reference"/>
    <w:uiPriority w:val="99"/>
    <w:semiHidden/>
    <w:unhideWhenUsed/>
    <w:rsid w:val="00B95C07"/>
    <w:rPr>
      <w:sz w:val="16"/>
      <w:szCs w:val="16"/>
    </w:rPr>
  </w:style>
  <w:style w:type="paragraph" w:styleId="CommentText">
    <w:name w:val="annotation text"/>
    <w:basedOn w:val="Normal"/>
    <w:link w:val="CommentTextChar"/>
    <w:uiPriority w:val="99"/>
    <w:semiHidden/>
    <w:unhideWhenUsed/>
    <w:rsid w:val="00B95C07"/>
  </w:style>
  <w:style w:type="character" w:customStyle="1" w:styleId="CommentTextChar">
    <w:name w:val="Comment Text Char"/>
    <w:basedOn w:val="DefaultParagraphFont"/>
    <w:link w:val="CommentText"/>
    <w:uiPriority w:val="99"/>
    <w:semiHidden/>
    <w:rsid w:val="00B95C07"/>
  </w:style>
  <w:style w:type="paragraph" w:styleId="CommentSubject">
    <w:name w:val="annotation subject"/>
    <w:basedOn w:val="CommentText"/>
    <w:next w:val="CommentText"/>
    <w:link w:val="CommentSubjectChar"/>
    <w:uiPriority w:val="99"/>
    <w:semiHidden/>
    <w:unhideWhenUsed/>
    <w:rsid w:val="00B95C07"/>
    <w:rPr>
      <w:b/>
      <w:bCs/>
    </w:rPr>
  </w:style>
  <w:style w:type="character" w:customStyle="1" w:styleId="CommentSubjectChar">
    <w:name w:val="Comment Subject Char"/>
    <w:link w:val="CommentSubject"/>
    <w:uiPriority w:val="99"/>
    <w:semiHidden/>
    <w:rsid w:val="00B95C07"/>
    <w:rPr>
      <w:b/>
      <w:bCs/>
    </w:rPr>
  </w:style>
  <w:style w:type="paragraph" w:styleId="BalloonText">
    <w:name w:val="Balloon Text"/>
    <w:basedOn w:val="Normal"/>
    <w:link w:val="BalloonTextChar"/>
    <w:uiPriority w:val="99"/>
    <w:semiHidden/>
    <w:unhideWhenUsed/>
    <w:rsid w:val="00B95C07"/>
    <w:rPr>
      <w:rFonts w:ascii="Tahoma" w:hAnsi="Tahoma" w:cs="Tahoma"/>
      <w:sz w:val="16"/>
      <w:szCs w:val="16"/>
    </w:rPr>
  </w:style>
  <w:style w:type="character" w:customStyle="1" w:styleId="BalloonTextChar">
    <w:name w:val="Balloon Text Char"/>
    <w:link w:val="BalloonText"/>
    <w:uiPriority w:val="99"/>
    <w:semiHidden/>
    <w:rsid w:val="00B95C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73186-699F-4712-B754-17FAF9F11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3ECF1DF1.dotm</Template>
  <TotalTime>1</TotalTime>
  <Pages>4</Pages>
  <Words>1429</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Example of (Optional) Cover Memorandum</vt:lpstr>
    </vt:vector>
  </TitlesOfParts>
  <Company>OIT/NIH</Company>
  <LinksUpToDate>false</LinksUpToDate>
  <CharactersWithSpaces>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(Optional) Cover Memorandum</dc:title>
  <dc:subject>Example of (Optional) Cover Memorandum</dc:subject>
  <dc:creator>BrierlyE</dc:creator>
  <cp:keywords>Example of (Optional) Cover Memorandum</cp:keywords>
  <cp:lastModifiedBy>Terisa Davis</cp:lastModifiedBy>
  <cp:revision>3</cp:revision>
  <cp:lastPrinted>2012-11-26T14:53:00Z</cp:lastPrinted>
  <dcterms:created xsi:type="dcterms:W3CDTF">2013-01-23T13:39:00Z</dcterms:created>
  <dcterms:modified xsi:type="dcterms:W3CDTF">2013-01-23T13:40:00Z</dcterms:modified>
</cp:coreProperties>
</file>