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69" w:rsidRPr="009F3499" w:rsidRDefault="00474B69">
      <w:pPr>
        <w:jc w:val="center"/>
        <w:rPr>
          <w:b/>
          <w:bCs/>
        </w:rPr>
      </w:pPr>
      <w:r w:rsidRPr="009F3499">
        <w:rPr>
          <w:b/>
          <w:bCs/>
        </w:rPr>
        <w:t>Substance Abuse Prevention and Treatment Block Gra</w:t>
      </w:r>
      <w:r w:rsidR="000257D9">
        <w:rPr>
          <w:b/>
          <w:bCs/>
        </w:rPr>
        <w:t>nt</w:t>
      </w:r>
      <w:r w:rsidR="000257D9">
        <w:rPr>
          <w:b/>
          <w:bCs/>
        </w:rPr>
        <w:br/>
      </w:r>
      <w:proofErr w:type="spellStart"/>
      <w:r w:rsidR="000257D9">
        <w:rPr>
          <w:b/>
          <w:bCs/>
        </w:rPr>
        <w:t>Synar</w:t>
      </w:r>
      <w:proofErr w:type="spellEnd"/>
      <w:r w:rsidR="000257D9">
        <w:rPr>
          <w:b/>
          <w:bCs/>
        </w:rPr>
        <w:t xml:space="preserve"> Report Format, FFY 2014-2016</w:t>
      </w:r>
      <w:r w:rsidRPr="009F3499">
        <w:rPr>
          <w:b/>
          <w:bCs/>
        </w:rPr>
        <w:br/>
      </w:r>
    </w:p>
    <w:p w:rsidR="00474B69" w:rsidRPr="009F3499" w:rsidRDefault="00474B69"/>
    <w:p w:rsidR="00474B69" w:rsidRPr="009F3499" w:rsidRDefault="00474B69">
      <w:pPr>
        <w:spacing w:line="480" w:lineRule="auto"/>
        <w:jc w:val="center"/>
        <w:rPr>
          <w:b/>
          <w:bCs/>
        </w:rPr>
      </w:pPr>
      <w:r w:rsidRPr="009F3499">
        <w:rPr>
          <w:b/>
          <w:bCs/>
        </w:rPr>
        <w:t xml:space="preserve">SUPPORTING STATEMENT </w:t>
      </w:r>
    </w:p>
    <w:p w:rsidR="00474B69" w:rsidRPr="009F3499" w:rsidRDefault="00474B69" w:rsidP="000257D9">
      <w:pPr>
        <w:spacing w:line="480" w:lineRule="auto"/>
        <w:rPr>
          <w:b/>
          <w:bCs/>
        </w:rPr>
      </w:pPr>
      <w:r w:rsidRPr="009F3499">
        <w:rPr>
          <w:b/>
          <w:bCs/>
        </w:rPr>
        <w:t>A.  JUSTIFICATION</w:t>
      </w:r>
    </w:p>
    <w:p w:rsidR="00474B69" w:rsidRPr="009F3499" w:rsidRDefault="00474B69"/>
    <w:p w:rsidR="00474B69" w:rsidRPr="009F3499" w:rsidRDefault="00474B69"/>
    <w:p w:rsidR="00474B69" w:rsidRPr="009F3499" w:rsidRDefault="00474B69" w:rsidP="00474B69">
      <w:pPr>
        <w:ind w:left="72"/>
        <w:rPr>
          <w:b/>
          <w:bCs/>
        </w:rPr>
      </w:pPr>
      <w:r w:rsidRPr="009F3499">
        <w:rPr>
          <w:b/>
          <w:bCs/>
        </w:rPr>
        <w:t xml:space="preserve">1. </w:t>
      </w:r>
      <w:r w:rsidRPr="009F3499">
        <w:rPr>
          <w:b/>
          <w:bCs/>
        </w:rPr>
        <w:tab/>
      </w:r>
      <w:r w:rsidRPr="009F3499">
        <w:rPr>
          <w:b/>
          <w:bCs/>
          <w:u w:val="single"/>
        </w:rPr>
        <w:t>Circumstances of Information Collection</w:t>
      </w:r>
    </w:p>
    <w:p w:rsidR="00474B69" w:rsidRPr="009F3499" w:rsidRDefault="00474B69" w:rsidP="00474B69"/>
    <w:p w:rsidR="00474B69" w:rsidRPr="009F3499" w:rsidRDefault="00474B69" w:rsidP="00474B69">
      <w:r w:rsidRPr="009F3499">
        <w:t xml:space="preserve">This is a request for approval of revisions to the current </w:t>
      </w:r>
      <w:proofErr w:type="spellStart"/>
      <w:r w:rsidRPr="009F3499">
        <w:t>Synar</w:t>
      </w:r>
      <w:proofErr w:type="spellEnd"/>
      <w:r w:rsidRPr="009F3499">
        <w:t xml:space="preserve"> report format that implements requirements in the Final Rule (45 CFR Part 96) for the S</w:t>
      </w:r>
      <w:r>
        <w:t xml:space="preserve">ubstance </w:t>
      </w:r>
      <w:r w:rsidRPr="009F3499">
        <w:t>A</w:t>
      </w:r>
      <w:r>
        <w:t xml:space="preserve">buse </w:t>
      </w:r>
      <w:r w:rsidRPr="009F3499">
        <w:t>P</w:t>
      </w:r>
      <w:r>
        <w:t xml:space="preserve">revention and </w:t>
      </w:r>
      <w:r w:rsidRPr="009F3499">
        <w:t>T</w:t>
      </w:r>
      <w:r w:rsidR="0097357E">
        <w:t xml:space="preserve">reatment </w:t>
      </w:r>
      <w:r w:rsidRPr="009F3499">
        <w:t>Block Grant</w:t>
      </w:r>
      <w:r w:rsidR="0097357E">
        <w:t xml:space="preserve"> (SABG)</w:t>
      </w:r>
      <w:r w:rsidRPr="009F3499">
        <w:t xml:space="preserve">, regarding the sale or distribution of tobacco products to individuals under age eighteen, as authorized by Section 1926 of the Public Health Service (PHS) Act [42 USC 300x-26].  </w:t>
      </w:r>
      <w:r>
        <w:rPr>
          <w:bCs/>
        </w:rPr>
        <w:t>This collection is approved under OMB No</w:t>
      </w:r>
      <w:r w:rsidR="000257D9">
        <w:rPr>
          <w:bCs/>
        </w:rPr>
        <w:t>. 0930-0222, which expires on 05/31/2013</w:t>
      </w:r>
      <w:r>
        <w:rPr>
          <w:bCs/>
        </w:rPr>
        <w:t xml:space="preserve">. </w:t>
      </w:r>
      <w:r w:rsidRPr="009F3499">
        <w:t xml:space="preserve">The annual </w:t>
      </w:r>
      <w:proofErr w:type="spellStart"/>
      <w:r w:rsidRPr="009F3499">
        <w:t>Synar</w:t>
      </w:r>
      <w:proofErr w:type="spellEnd"/>
      <w:r w:rsidRPr="009F3499">
        <w:t xml:space="preserve"> report is </w:t>
      </w:r>
      <w:r w:rsidR="000257D9">
        <w:t>due by regulation</w:t>
      </w:r>
      <w:r w:rsidRPr="009F3499">
        <w:t xml:space="preserve"> not lat</w:t>
      </w:r>
      <w:r w:rsidR="000257D9">
        <w:t xml:space="preserve">er than December 31 of the </w:t>
      </w:r>
      <w:r w:rsidRPr="009F3499">
        <w:t>fiscal year</w:t>
      </w:r>
      <w:r w:rsidR="0097357E">
        <w:t xml:space="preserve"> for which the state is requesting SABG </w:t>
      </w:r>
      <w:r w:rsidR="000257D9">
        <w:t>funding</w:t>
      </w:r>
      <w:r w:rsidRPr="009F3499">
        <w:t xml:space="preserve">.  </w:t>
      </w:r>
    </w:p>
    <w:p w:rsidR="00474B69" w:rsidRPr="009F3499" w:rsidRDefault="00474B69" w:rsidP="00474B69">
      <w:pPr>
        <w:spacing w:before="288"/>
        <w:ind w:right="72"/>
      </w:pPr>
      <w:r w:rsidRPr="009F3499">
        <w:t xml:space="preserve">States applying for </w:t>
      </w:r>
      <w:r w:rsidR="0097357E">
        <w:t xml:space="preserve">SABG </w:t>
      </w:r>
      <w:r w:rsidRPr="009F3499">
        <w:t>fun</w:t>
      </w:r>
      <w:r>
        <w:t xml:space="preserve">ding are required to submit an Annual </w:t>
      </w:r>
      <w:proofErr w:type="spellStart"/>
      <w:r>
        <w:t>Synar</w:t>
      </w:r>
      <w:proofErr w:type="spellEnd"/>
      <w:r>
        <w:t xml:space="preserve"> R</w:t>
      </w:r>
      <w:r w:rsidRPr="009F3499">
        <w:t>eport to the Secretary describing their progress in complying with section 1926 of the PHS Act</w:t>
      </w:r>
      <w:r>
        <w:t xml:space="preserve"> </w:t>
      </w:r>
      <w:r w:rsidRPr="009F3499">
        <w:t>(</w:t>
      </w:r>
      <w:r w:rsidRPr="009F3499">
        <w:rPr>
          <w:u w:val="single"/>
        </w:rPr>
        <w:t>See</w:t>
      </w:r>
      <w:r w:rsidRPr="009F3499">
        <w:t xml:space="preserve"> 42 U.S.C. 300x-26 and 45 C.F.R. 96.130)</w:t>
      </w:r>
      <w:r>
        <w:t xml:space="preserve">. </w:t>
      </w:r>
      <w:r w:rsidRPr="009F3499">
        <w:t>Section 1926 of the Public Health Service Act stipulates that funding agreements for alcohol and drug abuse programs for fiscal year 1994 and subsequent fiscal years require</w:t>
      </w:r>
      <w:r w:rsidR="0097357E">
        <w:t xml:space="preserve"> s</w:t>
      </w:r>
      <w:r w:rsidRPr="009F3499">
        <w:t>tates to have in effect a law providing that it is unlawful for any manufacturer, retailer, or distributor of tobacco products to sell or distribute any such product to any individual under the age of 18.</w:t>
      </w:r>
    </w:p>
    <w:p w:rsidR="00474B69" w:rsidRPr="009F3499" w:rsidRDefault="00474B69" w:rsidP="00474B69"/>
    <w:p w:rsidR="00474B69" w:rsidRPr="009F3499" w:rsidRDefault="00474B69" w:rsidP="00474B69">
      <w:pPr>
        <w:ind w:right="72"/>
      </w:pPr>
      <w:r w:rsidRPr="009F3499">
        <w:t>Sect</w:t>
      </w:r>
      <w:r w:rsidR="0097357E">
        <w:t>ion 1926 further requires that s</w:t>
      </w:r>
      <w:r w:rsidRPr="009F3499">
        <w:t>tates conduc</w:t>
      </w:r>
      <w:r w:rsidR="0097357E">
        <w:t>t annual</w:t>
      </w:r>
      <w:r w:rsidRPr="009F3499">
        <w:t>, random, unannounced inspections to e</w:t>
      </w:r>
      <w:r>
        <w:t xml:space="preserve">nsure compliance with the law; </w:t>
      </w:r>
      <w:r w:rsidR="0097357E">
        <w:t>that the s</w:t>
      </w:r>
      <w:r w:rsidRPr="009F3499">
        <w:t>tate submit annually a report describing the results of the inspections, and the</w:t>
      </w:r>
      <w:r w:rsidR="0097357E">
        <w:t xml:space="preserve"> activities carried out by the s</w:t>
      </w:r>
      <w:r w:rsidRPr="009F3499">
        <w:t>tate to enforce the</w:t>
      </w:r>
      <w:r w:rsidR="0097357E">
        <w:t xml:space="preserve"> required law, the success the s</w:t>
      </w:r>
      <w:r w:rsidRPr="009F3499">
        <w:t>tate has achieved in reducing the availability of tobacco products to individuals under the age of 18, and the st</w:t>
      </w:r>
      <w:r w:rsidR="0097357E">
        <w:t>rategies to be utilized by the s</w:t>
      </w:r>
      <w:r w:rsidRPr="009F3499">
        <w:t>tate for enforcing such law during the fiscal year for which the grant is sought</w:t>
      </w:r>
      <w:r w:rsidR="0097357E">
        <w:t>.  Before making an award to a s</w:t>
      </w:r>
      <w:r w:rsidRPr="009F3499">
        <w:t>tate under the Block Grant, the Secretary must</w:t>
      </w:r>
      <w:r w:rsidR="0097357E">
        <w:t xml:space="preserve"> make a determination that the s</w:t>
      </w:r>
      <w:r w:rsidRPr="009F3499">
        <w:t xml:space="preserve">tate has maintained compliance with the regulations.  If a </w:t>
      </w:r>
      <w:r w:rsidR="0097357E">
        <w:t>determination is made that the s</w:t>
      </w:r>
      <w:r w:rsidRPr="009F3499">
        <w:t xml:space="preserve">tate is not in compliance, penalties shall be applied. The penalty for failure to comply with the </w:t>
      </w:r>
      <w:proofErr w:type="spellStart"/>
      <w:r w:rsidRPr="009F3499">
        <w:t>Synar</w:t>
      </w:r>
      <w:proofErr w:type="spellEnd"/>
      <w:r w:rsidRPr="009F3499">
        <w:t xml:space="preserve"> requirements is a reduction of 40</w:t>
      </w:r>
      <w:r w:rsidR="0097357E">
        <w:t xml:space="preserve"> percent of the SABG</w:t>
      </w:r>
      <w:r w:rsidRPr="009F3499">
        <w:t xml:space="preserve"> award.</w:t>
      </w:r>
    </w:p>
    <w:p w:rsidR="00474B69" w:rsidRPr="009F3499" w:rsidRDefault="00474B69" w:rsidP="00474B69"/>
    <w:p w:rsidR="00474B69" w:rsidRPr="009F3499" w:rsidRDefault="0097357E" w:rsidP="00474B69">
      <w:pPr>
        <w:ind w:right="72"/>
      </w:pPr>
      <w:r>
        <w:t>Respondents include the 50 s</w:t>
      </w:r>
      <w:r w:rsidR="00474B69" w:rsidRPr="009F3499">
        <w:t xml:space="preserve">tates, the </w:t>
      </w:r>
      <w:smartTag w:uri="urn:schemas-microsoft-com:office:smarttags" w:element="State">
        <w:r w:rsidR="00474B69" w:rsidRPr="009F3499">
          <w:t>District of Columbia</w:t>
        </w:r>
      </w:smartTag>
      <w:r w:rsidR="00474B69" w:rsidRPr="009F3499">
        <w:t xml:space="preserve">, the </w:t>
      </w:r>
      <w:smartTag w:uri="urn:schemas-microsoft-com:office:smarttags" w:element="PlaceType">
        <w:r w:rsidR="00474B69" w:rsidRPr="009F3499">
          <w:t>Commonwealth</w:t>
        </w:r>
      </w:smartTag>
      <w:r w:rsidR="00474B69" w:rsidRPr="009F3499">
        <w:t xml:space="preserve"> of </w:t>
      </w:r>
      <w:smartTag w:uri="urn:schemas-microsoft-com:office:smarttags" w:element="PlaceName">
        <w:r w:rsidR="00474B69" w:rsidRPr="009F3499">
          <w:t>Puerto Rico</w:t>
        </w:r>
      </w:smartTag>
      <w:r w:rsidR="00474B69" w:rsidRPr="009F3499">
        <w:t xml:space="preserve">, the U.S. Virgin Islands, </w:t>
      </w:r>
      <w:smartTag w:uri="urn:schemas-microsoft-com:office:smarttags" w:element="City">
        <w:r w:rsidR="00474B69" w:rsidRPr="009F3499">
          <w:t>Guam</w:t>
        </w:r>
      </w:smartTag>
      <w:r w:rsidR="00474B69" w:rsidRPr="009F3499">
        <w:t xml:space="preserve">, </w:t>
      </w:r>
      <w:smartTag w:uri="urn:schemas-microsoft-com:office:smarttags" w:element="State">
        <w:r w:rsidR="00474B69" w:rsidRPr="009F3499">
          <w:t>American Samoa</w:t>
        </w:r>
      </w:smartTag>
      <w:r w:rsidR="00474B69" w:rsidRPr="009F3499">
        <w:t xml:space="preserve">, the Commonwealth of the Northern Mariana Islands, </w:t>
      </w:r>
      <w:smartTag w:uri="urn:schemas-microsoft-com:office:smarttags" w:element="country-region">
        <w:r w:rsidR="00474B69" w:rsidRPr="009F3499">
          <w:t>Palau</w:t>
        </w:r>
      </w:smartTag>
      <w:r w:rsidR="00474B69" w:rsidRPr="009F3499">
        <w:t xml:space="preserve">, </w:t>
      </w:r>
      <w:smartTag w:uri="urn:schemas-microsoft-com:office:smarttags" w:element="country-region">
        <w:r w:rsidR="00474B69" w:rsidRPr="009F3499">
          <w:t>Micronesia</w:t>
        </w:r>
      </w:smartTag>
      <w:r w:rsidR="00474B69" w:rsidRPr="009F3499">
        <w:t xml:space="preserve">, and the </w:t>
      </w:r>
      <w:smartTag w:uri="urn:schemas-microsoft-com:office:smarttags" w:element="place">
        <w:smartTag w:uri="urn:schemas-microsoft-com:office:smarttags" w:element="country-region">
          <w:r w:rsidR="00474B69" w:rsidRPr="009F3499">
            <w:t>Marshall Islands</w:t>
          </w:r>
        </w:smartTag>
      </w:smartTag>
      <w:r w:rsidR="00474B69" w:rsidRPr="009F3499">
        <w:t>.</w:t>
      </w:r>
    </w:p>
    <w:p w:rsidR="00474B69" w:rsidRPr="009F3499" w:rsidRDefault="00474B69" w:rsidP="00474B69"/>
    <w:p w:rsidR="00474B69" w:rsidRPr="009F3499" w:rsidRDefault="00474B69" w:rsidP="00474B69">
      <w:r w:rsidRPr="009F3499">
        <w:t xml:space="preserve">The Annual </w:t>
      </w:r>
      <w:proofErr w:type="spellStart"/>
      <w:r w:rsidRPr="009F3499">
        <w:t>Synar</w:t>
      </w:r>
      <w:proofErr w:type="spellEnd"/>
      <w:r w:rsidRPr="009F3499">
        <w:t xml:space="preserve"> Report application includes the format and instructions to implement the tobacco reporting requirements. SAMHSA is requesting a 3-year approval revising the </w:t>
      </w:r>
      <w:r>
        <w:t xml:space="preserve">Annual </w:t>
      </w:r>
      <w:proofErr w:type="spellStart"/>
      <w:r>
        <w:t>Synar</w:t>
      </w:r>
      <w:proofErr w:type="spellEnd"/>
      <w:r>
        <w:t xml:space="preserve"> R</w:t>
      </w:r>
      <w:r w:rsidRPr="009F3499">
        <w:t xml:space="preserve">eport format for Federal Fiscal Years (FFY) </w:t>
      </w:r>
      <w:r w:rsidR="000257D9">
        <w:t>2014-2016</w:t>
      </w:r>
      <w:r w:rsidRPr="009F3499">
        <w:t>.</w:t>
      </w:r>
    </w:p>
    <w:p w:rsidR="00474B69" w:rsidRPr="009F3499" w:rsidRDefault="00474B69" w:rsidP="00474B69"/>
    <w:p w:rsidR="00474B69" w:rsidRPr="009F3499" w:rsidRDefault="00474B69" w:rsidP="00474B69">
      <w:r w:rsidRPr="009F3499">
        <w:t xml:space="preserve">The changes to the Annual </w:t>
      </w:r>
      <w:proofErr w:type="spellStart"/>
      <w:r>
        <w:t>Synar</w:t>
      </w:r>
      <w:proofErr w:type="spellEnd"/>
      <w:r>
        <w:t xml:space="preserve"> </w:t>
      </w:r>
      <w:r w:rsidRPr="009F3499">
        <w:t xml:space="preserve">Report are described in item A.2 below.  </w:t>
      </w:r>
      <w:r w:rsidRPr="00520D73">
        <w:rPr>
          <w:b/>
        </w:rPr>
        <w:t>The report format is not changing significantly. Any changes in either formatting or content are being made to simplify the re</w:t>
      </w:r>
      <w:r w:rsidR="0097357E" w:rsidRPr="00520D73">
        <w:rPr>
          <w:b/>
        </w:rPr>
        <w:t>porting process for the s</w:t>
      </w:r>
      <w:r w:rsidRPr="00520D73">
        <w:rPr>
          <w:b/>
        </w:rPr>
        <w:t xml:space="preserve">tates and to </w:t>
      </w:r>
      <w:r w:rsidR="0097357E" w:rsidRPr="00520D73">
        <w:rPr>
          <w:b/>
        </w:rPr>
        <w:t>clarify the information as the s</w:t>
      </w:r>
      <w:r w:rsidRPr="00520D73">
        <w:rPr>
          <w:b/>
        </w:rPr>
        <w:t>tates report it</w:t>
      </w:r>
      <w:r w:rsidR="00520D73" w:rsidRPr="00520D73">
        <w:rPr>
          <w:b/>
        </w:rPr>
        <w:t xml:space="preserve"> (see Section 2)</w:t>
      </w:r>
      <w:r w:rsidRPr="00520D73">
        <w:rPr>
          <w:b/>
        </w:rPr>
        <w:t xml:space="preserve">; both outcomes will facilitate consistent, credible, and efficient monitoring </w:t>
      </w:r>
      <w:r w:rsidR="0097357E" w:rsidRPr="00520D73">
        <w:rPr>
          <w:b/>
        </w:rPr>
        <w:t xml:space="preserve">of </w:t>
      </w:r>
      <w:proofErr w:type="spellStart"/>
      <w:r w:rsidR="0097357E" w:rsidRPr="00520D73">
        <w:rPr>
          <w:b/>
        </w:rPr>
        <w:t>Synar</w:t>
      </w:r>
      <w:proofErr w:type="spellEnd"/>
      <w:r w:rsidR="0097357E" w:rsidRPr="00520D73">
        <w:rPr>
          <w:b/>
        </w:rPr>
        <w:t xml:space="preserve"> compliance across the s</w:t>
      </w:r>
      <w:r w:rsidRPr="00520D73">
        <w:rPr>
          <w:b/>
        </w:rPr>
        <w:t>tates.</w:t>
      </w:r>
      <w:r w:rsidR="00520D73" w:rsidRPr="00520D73">
        <w:rPr>
          <w:b/>
        </w:rPr>
        <w:t xml:space="preserve"> These changes do not affect the burden estimate (see Section 15).</w:t>
      </w:r>
      <w:r w:rsidR="00224FE0" w:rsidRPr="00520D73">
        <w:rPr>
          <w:b/>
        </w:rPr>
        <w:t xml:space="preserve"> </w:t>
      </w:r>
      <w:r w:rsidRPr="00520D73">
        <w:rPr>
          <w:b/>
        </w:rPr>
        <w:t xml:space="preserve"> </w:t>
      </w:r>
      <w:r w:rsidRPr="009F3499">
        <w:t>All of the information required in the new report format is already being</w:t>
      </w:r>
      <w:r w:rsidR="0097357E">
        <w:t xml:space="preserve"> collected and reported by the s</w:t>
      </w:r>
      <w:r w:rsidRPr="009F3499">
        <w:t>tates.  A copy of t</w:t>
      </w:r>
      <w:r>
        <w:t xml:space="preserve">he proposed Annual </w:t>
      </w:r>
      <w:proofErr w:type="spellStart"/>
      <w:r>
        <w:t>Synar</w:t>
      </w:r>
      <w:proofErr w:type="spellEnd"/>
      <w:r>
        <w:t xml:space="preserve"> R</w:t>
      </w:r>
      <w:r w:rsidRPr="009F3499">
        <w:t xml:space="preserve">eport format and accompanying materials for FY </w:t>
      </w:r>
      <w:r w:rsidR="000257D9">
        <w:rPr>
          <w:b/>
          <w:bCs/>
        </w:rPr>
        <w:t>2014-2016</w:t>
      </w:r>
      <w:r w:rsidRPr="009F3499">
        <w:rPr>
          <w:b/>
          <w:bCs/>
        </w:rPr>
        <w:t xml:space="preserve"> </w:t>
      </w:r>
      <w:r w:rsidRPr="009F3499">
        <w:t xml:space="preserve">is in Attachment </w:t>
      </w:r>
      <w:r w:rsidRPr="009F3499">
        <w:rPr>
          <w:b/>
        </w:rPr>
        <w:t>B</w:t>
      </w:r>
      <w:r>
        <w:t>.</w:t>
      </w:r>
    </w:p>
    <w:p w:rsidR="00474B69" w:rsidRDefault="00474B69" w:rsidP="00474B69"/>
    <w:p w:rsidR="00224FE0" w:rsidRPr="009F3499" w:rsidRDefault="00224FE0" w:rsidP="00474B69"/>
    <w:p w:rsidR="00474B69" w:rsidRPr="009F3499" w:rsidRDefault="00474B69" w:rsidP="00474B69">
      <w:pPr>
        <w:tabs>
          <w:tab w:val="left" w:pos="648"/>
        </w:tabs>
        <w:rPr>
          <w:b/>
          <w:bCs/>
        </w:rPr>
      </w:pPr>
      <w:r w:rsidRPr="009F3499">
        <w:rPr>
          <w:b/>
        </w:rPr>
        <w:t>2.</w:t>
      </w:r>
      <w:r w:rsidRPr="009F3499">
        <w:tab/>
      </w:r>
      <w:r w:rsidRPr="009F3499">
        <w:rPr>
          <w:b/>
          <w:bCs/>
          <w:u w:val="single"/>
        </w:rPr>
        <w:t xml:space="preserve">Purpose and </w:t>
      </w:r>
      <w:r w:rsidRPr="009F3499">
        <w:rPr>
          <w:b/>
          <w:u w:val="single"/>
        </w:rPr>
        <w:t>Use</w:t>
      </w:r>
      <w:r w:rsidRPr="009F3499">
        <w:rPr>
          <w:u w:val="single"/>
        </w:rPr>
        <w:t xml:space="preserve"> </w:t>
      </w:r>
      <w:r w:rsidRPr="009F3499">
        <w:rPr>
          <w:b/>
          <w:bCs/>
          <w:u w:val="single"/>
        </w:rPr>
        <w:t>of Information</w:t>
      </w:r>
    </w:p>
    <w:p w:rsidR="00474B69" w:rsidRPr="009F3499" w:rsidRDefault="00474B69" w:rsidP="00474B69"/>
    <w:p w:rsidR="00474B69" w:rsidRPr="009F3499" w:rsidRDefault="00474B69" w:rsidP="00474B69">
      <w:pPr>
        <w:spacing w:after="288"/>
      </w:pPr>
      <w:r w:rsidRPr="009F3499">
        <w:t>Section 1926(b) (2) (</w:t>
      </w:r>
      <w:r w:rsidR="0097357E">
        <w:t>B) of the PHS Act requires the s</w:t>
      </w:r>
      <w:r w:rsidRPr="009F3499">
        <w:t>tates to annually submit to the Secretary a report describing the strategies and</w:t>
      </w:r>
      <w:r w:rsidR="0097357E">
        <w:t xml:space="preserve"> activities carried out by the s</w:t>
      </w:r>
      <w:r w:rsidRPr="009F3499">
        <w:t xml:space="preserve">tate to enforce youth access to tobacco laws during the fiscal year for which the </w:t>
      </w:r>
      <w:r w:rsidR="0097357E">
        <w:t>state is seeking SABG</w:t>
      </w:r>
      <w:r w:rsidRPr="009F3499">
        <w:t xml:space="preserve"> funds,</w:t>
      </w:r>
      <w:r w:rsidR="0097357E">
        <w:t xml:space="preserve"> and the extent of success the s</w:t>
      </w:r>
      <w:r w:rsidRPr="009F3499">
        <w:t>tate has achieved in reducing the availability of tobacco products to minors.  In accordance wit</w:t>
      </w:r>
      <w:r w:rsidR="0097357E">
        <w:t>h the tobacco regulations, the s</w:t>
      </w:r>
      <w:r w:rsidRPr="009F3499">
        <w:t xml:space="preserve">tates are required to provide detailed information on progress made in enforcing youth tobacco access laws (Annual </w:t>
      </w:r>
      <w:proofErr w:type="spellStart"/>
      <w:r w:rsidRPr="009F3499">
        <w:t>Synar</w:t>
      </w:r>
      <w:proofErr w:type="spellEnd"/>
      <w:r w:rsidRPr="009F3499">
        <w:t xml:space="preserve"> Report, Section I FFY Compliance Progress) and future plans to ensure compliance with the </w:t>
      </w:r>
      <w:proofErr w:type="spellStart"/>
      <w:r w:rsidRPr="009F3499">
        <w:t>Synar</w:t>
      </w:r>
      <w:proofErr w:type="spellEnd"/>
      <w:r w:rsidRPr="009F3499">
        <w:t xml:space="preserve"> requirements to reduce youth tobacco access rates (Annual </w:t>
      </w:r>
      <w:proofErr w:type="spellStart"/>
      <w:r w:rsidRPr="009F3499">
        <w:t>Synar</w:t>
      </w:r>
      <w:proofErr w:type="spellEnd"/>
      <w:r w:rsidRPr="009F3499">
        <w:t xml:space="preserve"> Report, Section II, FFY Intended Use Plan). These data are required by 42 U.S.C. 300x-26 and will be use</w:t>
      </w:r>
      <w:r w:rsidR="0097357E">
        <w:t>d by the Secretary to evaluate s</w:t>
      </w:r>
      <w:r w:rsidRPr="009F3499">
        <w:t>tate compliance with the statute.  Part of the mission of the Center for Substance Abuse Prevention (CSA</w:t>
      </w:r>
      <w:r>
        <w:t>P)</w:t>
      </w:r>
      <w:r w:rsidR="0097357E">
        <w:t xml:space="preserve"> is to assist s</w:t>
      </w:r>
      <w:r w:rsidRPr="009F3499">
        <w:t xml:space="preserve">tates by supporting </w:t>
      </w:r>
      <w:proofErr w:type="spellStart"/>
      <w:r w:rsidRPr="009F3499">
        <w:t>Synar</w:t>
      </w:r>
      <w:proofErr w:type="spellEnd"/>
      <w:r w:rsidRPr="009F3499">
        <w:t xml:space="preserve"> activities and providing technical assistance helpful in determining the type of enforcement measures and control strategies that are most effective. This information is helpful to CSAP in improving technical assistance resources and expertise on enforcement efforts and tobacco control program</w:t>
      </w:r>
      <w:r w:rsidR="0097357E">
        <w:t xml:space="preserve"> support activities, including state </w:t>
      </w:r>
      <w:proofErr w:type="spellStart"/>
      <w:r w:rsidR="0097357E">
        <w:t>Synar</w:t>
      </w:r>
      <w:proofErr w:type="spellEnd"/>
      <w:r w:rsidR="0097357E">
        <w:t xml:space="preserve"> p</w:t>
      </w:r>
      <w:r w:rsidRPr="009F3499">
        <w:t>rogram support services through an enhanced technical assistance program involving conferences and workshops, development of training materials and guidance documents, and on-site technical assistance consultation.  Unde</w:t>
      </w:r>
      <w:r w:rsidR="0097357E">
        <w:t>r the provisions of the law, a state may receive its SABG</w:t>
      </w:r>
      <w:r>
        <w:t xml:space="preserve"> </w:t>
      </w:r>
      <w:r w:rsidR="0097357E">
        <w:t>allotment only after the s</w:t>
      </w:r>
      <w:r w:rsidRPr="009F3499">
        <w:t xml:space="preserve">tate has been found in compliance with the </w:t>
      </w:r>
      <w:proofErr w:type="spellStart"/>
      <w:r w:rsidRPr="009F3499">
        <w:t>Synar</w:t>
      </w:r>
      <w:proofErr w:type="spellEnd"/>
      <w:r w:rsidRPr="009F3499">
        <w:t xml:space="preserve"> regulation requirements.</w:t>
      </w:r>
    </w:p>
    <w:p w:rsidR="00474B69" w:rsidRDefault="00474B69" w:rsidP="00474B69">
      <w:r w:rsidRPr="009F3499">
        <w:t xml:space="preserve">The revisions to the </w:t>
      </w:r>
      <w:r>
        <w:t xml:space="preserve">Annual </w:t>
      </w:r>
      <w:proofErr w:type="spellStart"/>
      <w:r>
        <w:t>Synar</w:t>
      </w:r>
      <w:proofErr w:type="spellEnd"/>
      <w:r>
        <w:t xml:space="preserve"> R</w:t>
      </w:r>
      <w:r w:rsidRPr="009F3499">
        <w:t xml:space="preserve">eport format do not change the scope of the </w:t>
      </w:r>
      <w:proofErr w:type="spellStart"/>
      <w:r w:rsidRPr="009F3499">
        <w:t>Synar</w:t>
      </w:r>
      <w:proofErr w:type="spellEnd"/>
      <w:r w:rsidRPr="009F3499">
        <w:t xml:space="preserve"> reporting requirement.</w:t>
      </w:r>
      <w:r>
        <w:t xml:space="preserve"> </w:t>
      </w:r>
      <w:r w:rsidRPr="009F3499">
        <w:t>Any changes in either formatting or content have been made to simplify</w:t>
      </w:r>
      <w:r w:rsidR="0097357E">
        <w:t xml:space="preserve"> the reporting process for the s</w:t>
      </w:r>
      <w:r w:rsidRPr="009F3499">
        <w:t xml:space="preserve">tates and to </w:t>
      </w:r>
      <w:r w:rsidR="0097357E">
        <w:t>clarify the information as the s</w:t>
      </w:r>
      <w:r w:rsidRPr="009F3499">
        <w:t xml:space="preserve">tates report it; both outcomes will facilitate consistent, credible, and efficient monitoring </w:t>
      </w:r>
      <w:r w:rsidR="0097357E">
        <w:t xml:space="preserve">of </w:t>
      </w:r>
      <w:proofErr w:type="spellStart"/>
      <w:r w:rsidR="0097357E">
        <w:t>Synar</w:t>
      </w:r>
      <w:proofErr w:type="spellEnd"/>
      <w:r w:rsidR="0097357E">
        <w:t xml:space="preserve"> compliance across the s</w:t>
      </w:r>
      <w:r w:rsidRPr="009F3499">
        <w:t>tates.  All of the information required in the new report format is already being</w:t>
      </w:r>
      <w:r w:rsidR="0097357E">
        <w:t xml:space="preserve"> collected and reported by the s</w:t>
      </w:r>
      <w:r w:rsidRPr="009F3499">
        <w:t>tate.</w:t>
      </w:r>
    </w:p>
    <w:p w:rsidR="005F2644" w:rsidRDefault="005F2644" w:rsidP="00474B69"/>
    <w:p w:rsidR="00474B69" w:rsidRPr="00224FE0" w:rsidRDefault="005F2644" w:rsidP="00474B69">
      <w:pPr>
        <w:spacing w:before="288"/>
        <w:rPr>
          <w:b/>
        </w:rPr>
      </w:pPr>
      <w:r w:rsidRPr="00224FE0">
        <w:rPr>
          <w:b/>
          <w:u w:val="single"/>
        </w:rPr>
        <w:t>C</w:t>
      </w:r>
      <w:r w:rsidR="000257D9" w:rsidRPr="00224FE0">
        <w:rPr>
          <w:b/>
          <w:u w:val="single"/>
        </w:rPr>
        <w:t xml:space="preserve">larification </w:t>
      </w:r>
      <w:r w:rsidR="00224FE0" w:rsidRPr="00224FE0">
        <w:rPr>
          <w:b/>
          <w:u w:val="single"/>
        </w:rPr>
        <w:t>C</w:t>
      </w:r>
      <w:r w:rsidR="00474B69" w:rsidRPr="00224FE0">
        <w:rPr>
          <w:b/>
          <w:u w:val="single"/>
        </w:rPr>
        <w:t>hanges</w:t>
      </w:r>
    </w:p>
    <w:p w:rsidR="00474B69" w:rsidRPr="009F3499" w:rsidRDefault="00474B69" w:rsidP="00474B69"/>
    <w:p w:rsidR="00474B69" w:rsidRDefault="00474B69" w:rsidP="00474B69">
      <w:r w:rsidRPr="005F2644">
        <w:t>To decrease the need for supplemental questions and reporting, additional instructio</w:t>
      </w:r>
      <w:r w:rsidR="005F2644" w:rsidRPr="005F2644">
        <w:t xml:space="preserve">n has been included in </w:t>
      </w:r>
      <w:r w:rsidRPr="005F2644">
        <w:t xml:space="preserve">4 portions of the report.  </w:t>
      </w:r>
    </w:p>
    <w:p w:rsidR="005F2644" w:rsidRDefault="005F2644" w:rsidP="00474B69"/>
    <w:p w:rsidR="005F2644" w:rsidRDefault="005F2644" w:rsidP="00474B69">
      <w:r w:rsidRPr="005F2644">
        <w:rPr>
          <w:b/>
        </w:rPr>
        <w:lastRenderedPageBreak/>
        <w:t>In Section I (Compliance Progress)</w:t>
      </w:r>
      <w:r w:rsidRPr="005F2644">
        <w:t>,</w:t>
      </w:r>
      <w:r>
        <w:t xml:space="preserve"> the following clarification changes are being made with respect to the Annual </w:t>
      </w:r>
      <w:proofErr w:type="spellStart"/>
      <w:r>
        <w:t>Synar</w:t>
      </w:r>
      <w:proofErr w:type="spellEnd"/>
      <w:r>
        <w:t xml:space="preserve"> Report:</w:t>
      </w:r>
    </w:p>
    <w:p w:rsidR="005F2644" w:rsidRDefault="005F2644" w:rsidP="00474B69"/>
    <w:p w:rsidR="005F2644" w:rsidRDefault="005F2644" w:rsidP="00474B69">
      <w:r w:rsidRPr="005F2644">
        <w:rPr>
          <w:i/>
        </w:rPr>
        <w:t>Question 1c: Changes to State law</w:t>
      </w:r>
      <w:r>
        <w:t xml:space="preserve"> – This question, which was formerly Ques</w:t>
      </w:r>
      <w:r w:rsidR="0097357E">
        <w:t>tion 1d, asks about changes to s</w:t>
      </w:r>
      <w:r>
        <w:t>tate youth access to tobacco laws and has been edited to in</w:t>
      </w:r>
      <w:r w:rsidR="0097357E">
        <w:t>clude an option for changes to s</w:t>
      </w:r>
      <w:r>
        <w:t>tate law concerning vending machines. The former Question 1c, which contained detailed information about types of changes to vending machine laws has been eliminated due to the fact that the Family Smoking Prevention and Tobacco Control Act</w:t>
      </w:r>
      <w:r w:rsidR="00B9375B">
        <w:t xml:space="preserve">, which gives the Food and Drug Administration (FDA) the authority to regulate tobacco products, </w:t>
      </w:r>
      <w:r>
        <w:t>banned vending machines in youth accessible locations as of June 2010</w:t>
      </w:r>
      <w:r w:rsidR="0097357E">
        <w:t>, making it unlikely that s</w:t>
      </w:r>
      <w:r w:rsidR="00F946E1">
        <w:t>tates that have not done</w:t>
      </w:r>
      <w:r w:rsidR="0097357E">
        <w:t xml:space="preserve"> so already will enact similar s</w:t>
      </w:r>
      <w:r w:rsidR="00F946E1">
        <w:t>tate laws</w:t>
      </w:r>
      <w:r w:rsidR="0097357E">
        <w:t>. However, there are three U.S. j</w:t>
      </w:r>
      <w:r>
        <w:t>urisdictions not subjec</w:t>
      </w:r>
      <w:r w:rsidR="0097357E">
        <w:t>t to f</w:t>
      </w:r>
      <w:r w:rsidR="00F946E1">
        <w:t>ederal law that may still enact vending machine restrictions and can report this information in the new Question 1c.</w:t>
      </w:r>
    </w:p>
    <w:p w:rsidR="00736745" w:rsidRDefault="00736745" w:rsidP="00474B69"/>
    <w:p w:rsidR="00736745" w:rsidRDefault="00736745" w:rsidP="00474B69">
      <w:r>
        <w:rPr>
          <w:i/>
        </w:rPr>
        <w:t xml:space="preserve">Questions 5a, 5b, and 5d: Enforcement Agencies, Evidence of Enforcement and  Frequency of Enforcement </w:t>
      </w:r>
      <w:r>
        <w:t>– These questions have been clarified so it is clear tha</w:t>
      </w:r>
      <w:r w:rsidR="0097357E">
        <w:t>t they refer to enforcement of s</w:t>
      </w:r>
      <w:r>
        <w:t>t</w:t>
      </w:r>
      <w:r w:rsidR="0097357E">
        <w:t>ate youth access laws, and not f</w:t>
      </w:r>
      <w:r>
        <w:t>ederal youth access laws.</w:t>
      </w:r>
    </w:p>
    <w:p w:rsidR="00736745" w:rsidRDefault="00736745" w:rsidP="00474B69"/>
    <w:p w:rsidR="00736745" w:rsidRDefault="00736745" w:rsidP="00474B69">
      <w:r w:rsidRPr="00736745">
        <w:rPr>
          <w:b/>
        </w:rPr>
        <w:t>In Section II (Intended Use)</w:t>
      </w:r>
      <w:r w:rsidRPr="00736745">
        <w:t>,</w:t>
      </w:r>
      <w:r>
        <w:t xml:space="preserve"> the following clarification change is being made:</w:t>
      </w:r>
    </w:p>
    <w:p w:rsidR="00736745" w:rsidRDefault="00736745" w:rsidP="00474B69"/>
    <w:p w:rsidR="00736745" w:rsidRDefault="00736745" w:rsidP="00474B69">
      <w:r w:rsidRPr="00736745">
        <w:rPr>
          <w:i/>
        </w:rPr>
        <w:t>Question 3</w:t>
      </w:r>
      <w:r>
        <w:rPr>
          <w:i/>
        </w:rPr>
        <w:t xml:space="preserve"> – State Challenges</w:t>
      </w:r>
      <w:r w:rsidRPr="00736745">
        <w:rPr>
          <w:i/>
        </w:rPr>
        <w:t>:</w:t>
      </w:r>
      <w:r>
        <w:rPr>
          <w:i/>
        </w:rPr>
        <w:t xml:space="preserve"> </w:t>
      </w:r>
      <w:r w:rsidR="00AF234B">
        <w:t>This question includes two</w:t>
      </w:r>
      <w:r>
        <w:t xml:space="preserve"> new response option</w:t>
      </w:r>
      <w:r w:rsidR="00AF234B">
        <w:t>s</w:t>
      </w:r>
      <w:r>
        <w:t xml:space="preserve"> (“Issues regarding the age balance of youth inspectors”</w:t>
      </w:r>
      <w:r w:rsidR="00AF234B">
        <w:t xml:space="preserve"> and “Issues regarding the gender balance of youth inspectors”</w:t>
      </w:r>
      <w:r>
        <w:t>) s</w:t>
      </w:r>
      <w:r w:rsidR="00AF234B">
        <w:t>ince these are</w:t>
      </w:r>
      <w:r w:rsidR="0097357E">
        <w:t xml:space="preserve"> common challenge reported by s</w:t>
      </w:r>
      <w:r>
        <w:t>tates.</w:t>
      </w:r>
      <w:r w:rsidR="00876769">
        <w:t xml:space="preserve"> While CSAP had originally recommended adding one new response option, the recommended response option was split into two based on feedback received during the sixty day comment period. </w:t>
      </w:r>
    </w:p>
    <w:p w:rsidR="00736745" w:rsidRDefault="00736745" w:rsidP="00474B69"/>
    <w:p w:rsidR="00736745" w:rsidRDefault="00736745" w:rsidP="00474B69">
      <w:r>
        <w:rPr>
          <w:b/>
        </w:rPr>
        <w:t>In Appendix B (</w:t>
      </w:r>
      <w:proofErr w:type="spellStart"/>
      <w:r>
        <w:rPr>
          <w:b/>
        </w:rPr>
        <w:t>Synar</w:t>
      </w:r>
      <w:proofErr w:type="spellEnd"/>
      <w:r>
        <w:rPr>
          <w:b/>
        </w:rPr>
        <w:t xml:space="preserve"> Survey Sampling Methodology), </w:t>
      </w:r>
      <w:r>
        <w:t>the following clarification is being made:</w:t>
      </w:r>
    </w:p>
    <w:p w:rsidR="00736745" w:rsidRDefault="00736745" w:rsidP="00474B69"/>
    <w:p w:rsidR="009F69A8" w:rsidRDefault="00736745" w:rsidP="00474B69">
      <w:r>
        <w:rPr>
          <w:i/>
        </w:rPr>
        <w:t xml:space="preserve">Question 4 – Vending machine inclusion in </w:t>
      </w:r>
      <w:proofErr w:type="spellStart"/>
      <w:r>
        <w:rPr>
          <w:i/>
        </w:rPr>
        <w:t>Synar</w:t>
      </w:r>
      <w:proofErr w:type="spellEnd"/>
      <w:r>
        <w:rPr>
          <w:i/>
        </w:rPr>
        <w:t xml:space="preserve"> Survey</w:t>
      </w:r>
      <w:r w:rsidR="00B07380">
        <w:rPr>
          <w:i/>
        </w:rPr>
        <w:t xml:space="preserve"> – </w:t>
      </w:r>
      <w:r w:rsidR="00B07380">
        <w:t xml:space="preserve">This question, which asks if vending machines are included in the </w:t>
      </w:r>
      <w:proofErr w:type="spellStart"/>
      <w:r w:rsidR="00B07380">
        <w:t>Synar</w:t>
      </w:r>
      <w:proofErr w:type="spellEnd"/>
      <w:r w:rsidR="00B07380">
        <w:t xml:space="preserve"> survey and the reasons for their elimination if they are not included, includes a new response option (“State has a contract with the FDA and is actively enforcing the vending machine requirements of the Family Smoking Prevention and Tobacco Control Act”). This </w:t>
      </w:r>
      <w:r w:rsidR="0097357E">
        <w:t>new option is included because f</w:t>
      </w:r>
      <w:r w:rsidR="00B07380">
        <w:t xml:space="preserve">ederal law bans vending machines in </w:t>
      </w:r>
      <w:r w:rsidR="0097357E">
        <w:t>youth accessible locations and s</w:t>
      </w:r>
      <w:r w:rsidR="00B07380">
        <w:t xml:space="preserve">tates that are contracted with the FDA to enforce this provision are not required to include vending machines in their </w:t>
      </w:r>
      <w:proofErr w:type="spellStart"/>
      <w:r w:rsidR="00B07380">
        <w:t>Synar</w:t>
      </w:r>
      <w:proofErr w:type="spellEnd"/>
      <w:r w:rsidR="00B07380">
        <w:t xml:space="preserve"> surveys.</w:t>
      </w:r>
    </w:p>
    <w:p w:rsidR="009F69A8" w:rsidRDefault="009F69A8" w:rsidP="00474B69"/>
    <w:p w:rsidR="009F69A8" w:rsidRDefault="009F69A8" w:rsidP="00474B69">
      <w:r>
        <w:rPr>
          <w:b/>
        </w:rPr>
        <w:t>In Appendix C (</w:t>
      </w:r>
      <w:proofErr w:type="spellStart"/>
      <w:r>
        <w:rPr>
          <w:b/>
        </w:rPr>
        <w:t>Synar</w:t>
      </w:r>
      <w:proofErr w:type="spellEnd"/>
      <w:r>
        <w:rPr>
          <w:b/>
        </w:rPr>
        <w:t xml:space="preserve"> Survey Inspection Protocol), </w:t>
      </w:r>
      <w:r>
        <w:t>the following change is being made:</w:t>
      </w:r>
    </w:p>
    <w:p w:rsidR="009F69A8" w:rsidRDefault="009F69A8" w:rsidP="00474B69"/>
    <w:p w:rsidR="00736745" w:rsidRDefault="009F69A8" w:rsidP="00474B69">
      <w:pPr>
        <w:rPr>
          <w:i/>
        </w:rPr>
      </w:pPr>
      <w:r>
        <w:rPr>
          <w:i/>
        </w:rPr>
        <w:t xml:space="preserve">Question 1 – </w:t>
      </w:r>
      <w:proofErr w:type="spellStart"/>
      <w:r>
        <w:rPr>
          <w:i/>
        </w:rPr>
        <w:t>Synar</w:t>
      </w:r>
      <w:proofErr w:type="spellEnd"/>
      <w:r>
        <w:rPr>
          <w:i/>
        </w:rPr>
        <w:t xml:space="preserve"> Survey Protocol – </w:t>
      </w:r>
      <w:r>
        <w:t>This question, w</w:t>
      </w:r>
      <w:r w:rsidR="0097357E">
        <w:t>hich asks about aspects of the s</w:t>
      </w:r>
      <w:r>
        <w:t xml:space="preserve">tate’s </w:t>
      </w:r>
      <w:proofErr w:type="spellStart"/>
      <w:r>
        <w:t>Synar</w:t>
      </w:r>
      <w:proofErr w:type="spellEnd"/>
      <w:r>
        <w:t xml:space="preserve"> survey protocol (including whether buys are consummated or unconsummated, whether youth inspectors carry identification, whether adult inspectors enter the outlet with the youth, and whether youth inspectors are compensated), has been edited to remove the option for “Not sp</w:t>
      </w:r>
      <w:r w:rsidR="0097357E">
        <w:t>ecified in protocol” since all s</w:t>
      </w:r>
      <w:r>
        <w:t xml:space="preserve">tates are required to submit </w:t>
      </w:r>
      <w:proofErr w:type="spellStart"/>
      <w:r>
        <w:t>Synar</w:t>
      </w:r>
      <w:proofErr w:type="spellEnd"/>
      <w:r>
        <w:t xml:space="preserve"> protocols that include these items. A</w:t>
      </w:r>
      <w:r w:rsidR="0097357E">
        <w:t>dditionally, a requirement for s</w:t>
      </w:r>
      <w:r>
        <w:t>tates to provide a narrative explanati</w:t>
      </w:r>
      <w:r w:rsidR="0097357E">
        <w:t>on has been included for those s</w:t>
      </w:r>
      <w:r>
        <w:t xml:space="preserve">tates who choose the response option “Permitted under specified circumstances.”  </w:t>
      </w:r>
      <w:r w:rsidR="00736745" w:rsidRPr="00736745">
        <w:rPr>
          <w:i/>
        </w:rPr>
        <w:t xml:space="preserve"> </w:t>
      </w:r>
    </w:p>
    <w:p w:rsidR="00224FE0" w:rsidRPr="009F3499" w:rsidRDefault="00224FE0" w:rsidP="00474B69"/>
    <w:p w:rsidR="00474B69" w:rsidRPr="00224FE0" w:rsidRDefault="00224FE0" w:rsidP="00474B69">
      <w:pPr>
        <w:rPr>
          <w:b/>
        </w:rPr>
      </w:pPr>
      <w:r w:rsidRPr="00224FE0">
        <w:rPr>
          <w:b/>
          <w:u w:val="single"/>
        </w:rPr>
        <w:t>Content C</w:t>
      </w:r>
      <w:r w:rsidR="00474B69" w:rsidRPr="00224FE0">
        <w:rPr>
          <w:b/>
          <w:u w:val="single"/>
        </w:rPr>
        <w:t>hanges</w:t>
      </w:r>
    </w:p>
    <w:p w:rsidR="00474B69" w:rsidRPr="009F3499" w:rsidRDefault="00474B69" w:rsidP="00474B69"/>
    <w:p w:rsidR="00224FE0" w:rsidRDefault="00224FE0" w:rsidP="00224FE0">
      <w:r w:rsidRPr="009F3499">
        <w:t xml:space="preserve">The content of the </w:t>
      </w:r>
      <w:proofErr w:type="spellStart"/>
      <w:r w:rsidRPr="009F3499">
        <w:t>Synar</w:t>
      </w:r>
      <w:proofErr w:type="spellEnd"/>
      <w:r w:rsidRPr="009F3499">
        <w:t xml:space="preserve"> Report has changed little.  The content changes that have been made address the need to 1) clarify the intent of information requested via the addit</w:t>
      </w:r>
      <w:r>
        <w:t xml:space="preserve">ion of clarifying questions, 2) reduce the need for </w:t>
      </w:r>
      <w:r w:rsidRPr="009F3499">
        <w:t>State Project Officer</w:t>
      </w:r>
      <w:r>
        <w:t>s</w:t>
      </w:r>
      <w:r w:rsidRPr="009F3499">
        <w:t xml:space="preserve"> </w:t>
      </w:r>
      <w:r>
        <w:t xml:space="preserve">to ask additional </w:t>
      </w:r>
      <w:r w:rsidRPr="009F3499">
        <w:t>questions to supplement the originally submitted Report.  These additions and changes are essential to SAMHSA'</w:t>
      </w:r>
      <w:r>
        <w:t>s ability to adequately assess state and j</w:t>
      </w:r>
      <w:r w:rsidRPr="009F3499">
        <w:t>urisdictional complia</w:t>
      </w:r>
      <w:r>
        <w:t xml:space="preserve">nce with the </w:t>
      </w:r>
      <w:proofErr w:type="spellStart"/>
      <w:r>
        <w:t>Synar</w:t>
      </w:r>
      <w:proofErr w:type="spellEnd"/>
      <w:r>
        <w:t xml:space="preserve"> regulation.</w:t>
      </w:r>
    </w:p>
    <w:p w:rsidR="00600253" w:rsidRPr="009F3499" w:rsidRDefault="00600253" w:rsidP="00474B69"/>
    <w:p w:rsidR="00474B69" w:rsidRPr="00B9375B" w:rsidRDefault="00C279CD" w:rsidP="00474B69">
      <w:r>
        <w:rPr>
          <w:b/>
          <w:bCs/>
        </w:rPr>
        <w:t>I</w:t>
      </w:r>
      <w:r w:rsidR="00474B69" w:rsidRPr="00B9375B">
        <w:rPr>
          <w:b/>
          <w:bCs/>
        </w:rPr>
        <w:t>n Section I (Compliance Progress)</w:t>
      </w:r>
      <w:r w:rsidR="00474B69" w:rsidRPr="00B9375B">
        <w:rPr>
          <w:bCs/>
        </w:rPr>
        <w:t>,</w:t>
      </w:r>
      <w:r w:rsidR="00474B69" w:rsidRPr="00B9375B">
        <w:rPr>
          <w:b/>
          <w:bCs/>
        </w:rPr>
        <w:t xml:space="preserve"> </w:t>
      </w:r>
      <w:r w:rsidR="00474B69" w:rsidRPr="00B9375B">
        <w:t xml:space="preserve">the following changes are being made with respect to the Annual </w:t>
      </w:r>
      <w:proofErr w:type="spellStart"/>
      <w:r w:rsidR="00474B69" w:rsidRPr="00B9375B">
        <w:t>Synar</w:t>
      </w:r>
      <w:proofErr w:type="spellEnd"/>
      <w:r w:rsidR="00474B69" w:rsidRPr="00B9375B">
        <w:t xml:space="preserve"> Report:</w:t>
      </w:r>
    </w:p>
    <w:p w:rsidR="00474B69" w:rsidRPr="00B9375B" w:rsidRDefault="00474B69" w:rsidP="00474B69"/>
    <w:p w:rsidR="00474B69" w:rsidRPr="00B9375B" w:rsidRDefault="00B9375B" w:rsidP="00474B69">
      <w:r w:rsidRPr="00B9375B">
        <w:rPr>
          <w:i/>
          <w:iCs/>
        </w:rPr>
        <w:t>Questions 4d-g</w:t>
      </w:r>
      <w:r w:rsidR="00474B69" w:rsidRPr="00B9375B">
        <w:rPr>
          <w:i/>
          <w:iCs/>
        </w:rPr>
        <w:t xml:space="preserve"> –</w:t>
      </w:r>
      <w:r w:rsidRPr="00B9375B">
        <w:rPr>
          <w:i/>
          <w:iCs/>
        </w:rPr>
        <w:t xml:space="preserve"> Coordination with Agency that Receives the FDA State Enforcement Contract –</w:t>
      </w:r>
      <w:r w:rsidR="00474B69" w:rsidRPr="00B9375B">
        <w:rPr>
          <w:iCs/>
        </w:rPr>
        <w:t xml:space="preserve"> </w:t>
      </w:r>
      <w:r w:rsidRPr="00B9375B">
        <w:rPr>
          <w:iCs/>
        </w:rPr>
        <w:t>These</w:t>
      </w:r>
      <w:r w:rsidR="0097357E">
        <w:rPr>
          <w:iCs/>
        </w:rPr>
        <w:t xml:space="preserve"> close-ended questions ask the s</w:t>
      </w:r>
      <w:r w:rsidRPr="00B9375B">
        <w:rPr>
          <w:iCs/>
        </w:rPr>
        <w:t>tate to list the agency that is under cont</w:t>
      </w:r>
      <w:r w:rsidR="0097357E">
        <w:rPr>
          <w:iCs/>
        </w:rPr>
        <w:t>ract to the FDA to enforce f</w:t>
      </w:r>
      <w:r w:rsidRPr="00B9375B">
        <w:rPr>
          <w:iCs/>
        </w:rPr>
        <w:t>ederal youth access laws, to describ</w:t>
      </w:r>
      <w:r w:rsidR="0097357E">
        <w:rPr>
          <w:iCs/>
        </w:rPr>
        <w:t>e the relationship between the s</w:t>
      </w:r>
      <w:r w:rsidRPr="00B9375B">
        <w:rPr>
          <w:iCs/>
        </w:rPr>
        <w:t xml:space="preserve">tate’s </w:t>
      </w:r>
      <w:proofErr w:type="spellStart"/>
      <w:r w:rsidRPr="00B9375B">
        <w:rPr>
          <w:iCs/>
        </w:rPr>
        <w:t>Synar</w:t>
      </w:r>
      <w:proofErr w:type="spellEnd"/>
      <w:r w:rsidRPr="00B9375B">
        <w:rPr>
          <w:iCs/>
        </w:rPr>
        <w:t xml:space="preserve"> program and this </w:t>
      </w:r>
      <w:r w:rsidR="0097357E">
        <w:rPr>
          <w:iCs/>
        </w:rPr>
        <w:t>agency, and to identify if the s</w:t>
      </w:r>
      <w:r w:rsidRPr="00B9375B">
        <w:rPr>
          <w:iCs/>
        </w:rPr>
        <w:t xml:space="preserve">tate uses data from the FDA enforcement inspections for the </w:t>
      </w:r>
      <w:proofErr w:type="spellStart"/>
      <w:r w:rsidRPr="00B9375B">
        <w:rPr>
          <w:iCs/>
        </w:rPr>
        <w:t>Synar</w:t>
      </w:r>
      <w:proofErr w:type="spellEnd"/>
      <w:r w:rsidRPr="00B9375B">
        <w:rPr>
          <w:iCs/>
        </w:rPr>
        <w:t xml:space="preserve"> survey. They have been added to replace the previously open-ended Question 5g, which required a narrative response. These cl</w:t>
      </w:r>
      <w:r w:rsidR="0097357E">
        <w:rPr>
          <w:iCs/>
        </w:rPr>
        <w:t>ose-ended questions will focus s</w:t>
      </w:r>
      <w:r w:rsidRPr="00B9375B">
        <w:rPr>
          <w:iCs/>
        </w:rPr>
        <w:t xml:space="preserve">tate responses. </w:t>
      </w:r>
    </w:p>
    <w:p w:rsidR="00474B69" w:rsidRPr="000257D9" w:rsidRDefault="00474B69" w:rsidP="00474B69">
      <w:pPr>
        <w:rPr>
          <w:highlight w:val="yellow"/>
        </w:rPr>
      </w:pPr>
    </w:p>
    <w:p w:rsidR="00D37DD4" w:rsidRDefault="00D37DD4" w:rsidP="00D37DD4">
      <w:r>
        <w:rPr>
          <w:b/>
        </w:rPr>
        <w:t>In Appendix B (</w:t>
      </w:r>
      <w:proofErr w:type="spellStart"/>
      <w:r>
        <w:rPr>
          <w:b/>
        </w:rPr>
        <w:t>Synar</w:t>
      </w:r>
      <w:proofErr w:type="spellEnd"/>
      <w:r>
        <w:rPr>
          <w:b/>
        </w:rPr>
        <w:t xml:space="preserve"> Survey Sampling Methodology), </w:t>
      </w:r>
      <w:r>
        <w:t>the following changes are being made:</w:t>
      </w:r>
    </w:p>
    <w:p w:rsidR="00D37DD4" w:rsidRDefault="00D37DD4" w:rsidP="00D37DD4"/>
    <w:p w:rsidR="00D37DD4" w:rsidRDefault="00D37DD4" w:rsidP="00D37DD4">
      <w:r>
        <w:rPr>
          <w:i/>
        </w:rPr>
        <w:t xml:space="preserve">Questions 9a-b </w:t>
      </w:r>
      <w:r w:rsidR="00F25870">
        <w:rPr>
          <w:i/>
        </w:rPr>
        <w:t>–</w:t>
      </w:r>
      <w:r>
        <w:rPr>
          <w:i/>
        </w:rPr>
        <w:t xml:space="preserve"> </w:t>
      </w:r>
      <w:proofErr w:type="spellStart"/>
      <w:r w:rsidR="00F25870">
        <w:rPr>
          <w:i/>
        </w:rPr>
        <w:t>Synar</w:t>
      </w:r>
      <w:proofErr w:type="spellEnd"/>
      <w:r w:rsidR="00F25870">
        <w:rPr>
          <w:i/>
        </w:rPr>
        <w:t xml:space="preserve"> Survey Estimation System Sample Size (SSES) Calculator – </w:t>
      </w:r>
      <w:r w:rsidR="00F25870">
        <w:t>The</w:t>
      </w:r>
      <w:r w:rsidR="0097357E">
        <w:t>se questions, which ask if the s</w:t>
      </w:r>
      <w:r w:rsidR="00F25870">
        <w:t>tate used the SSES sample size calculat</w:t>
      </w:r>
      <w:r w:rsidR="0097357E">
        <w:t>or and if so, if they used the state or stratum level c</w:t>
      </w:r>
      <w:r w:rsidR="00F25870">
        <w:t>alculator, will eliminate the need for State Project Officers to ask these clarifying questions during the review process. This revision also</w:t>
      </w:r>
      <w:r w:rsidR="0097357E">
        <w:t xml:space="preserve"> eliminates the need for those s</w:t>
      </w:r>
      <w:r w:rsidR="00F25870">
        <w:t>tates who use the SSES sample size calculator to manually list the sample size formulas.</w:t>
      </w:r>
    </w:p>
    <w:p w:rsidR="00F25870" w:rsidRDefault="00F25870" w:rsidP="00D37DD4"/>
    <w:p w:rsidR="00F25870" w:rsidRPr="00F25870" w:rsidRDefault="00F25870" w:rsidP="00D37DD4">
      <w:r w:rsidRPr="00F25870">
        <w:rPr>
          <w:i/>
        </w:rPr>
        <w:t xml:space="preserve">Question 10b – Stratum Level Information </w:t>
      </w:r>
      <w:r>
        <w:rPr>
          <w:i/>
        </w:rPr>
        <w:t>–</w:t>
      </w:r>
      <w:r w:rsidRPr="00F25870">
        <w:rPr>
          <w:i/>
        </w:rPr>
        <w:t xml:space="preserve"> </w:t>
      </w:r>
      <w:r w:rsidR="0097357E">
        <w:t>This question, which asks s</w:t>
      </w:r>
      <w:r>
        <w:t>tates who used the stratum level calculator to provide the stratum level inform</w:t>
      </w:r>
      <w:r w:rsidR="0097357E">
        <w:t>ation, eliminates the need for S</w:t>
      </w:r>
      <w:r>
        <w:t>tate Project Officers to ask this clarifying question during the review process.</w:t>
      </w:r>
    </w:p>
    <w:p w:rsidR="0003549E" w:rsidRPr="000257D9" w:rsidRDefault="0003549E" w:rsidP="00474B69">
      <w:pPr>
        <w:rPr>
          <w:highlight w:val="yellow"/>
        </w:rPr>
      </w:pPr>
    </w:p>
    <w:p w:rsidR="00F25870" w:rsidRDefault="00F25870" w:rsidP="00F25870">
      <w:r>
        <w:rPr>
          <w:b/>
        </w:rPr>
        <w:t>In Appendix C (</w:t>
      </w:r>
      <w:proofErr w:type="spellStart"/>
      <w:r>
        <w:rPr>
          <w:b/>
        </w:rPr>
        <w:t>Synar</w:t>
      </w:r>
      <w:proofErr w:type="spellEnd"/>
      <w:r>
        <w:rPr>
          <w:b/>
        </w:rPr>
        <w:t xml:space="preserve"> Survey Inspection Protocol), </w:t>
      </w:r>
      <w:r>
        <w:t>the following change is being made:</w:t>
      </w:r>
    </w:p>
    <w:p w:rsidR="001B6764" w:rsidRDefault="001B6764" w:rsidP="00F25870"/>
    <w:p w:rsidR="001B6764" w:rsidRPr="001B6764" w:rsidRDefault="001B6764" w:rsidP="00F25870">
      <w:r>
        <w:rPr>
          <w:i/>
        </w:rPr>
        <w:t xml:space="preserve">Questions 4a-b – Type of Tobacco Products – </w:t>
      </w:r>
      <w:r w:rsidR="0097357E">
        <w:t>These questions, which ask the s</w:t>
      </w:r>
      <w:r>
        <w:t xml:space="preserve">tate to define the type of tobacco products requested during </w:t>
      </w:r>
      <w:proofErr w:type="spellStart"/>
      <w:r>
        <w:t>Synar</w:t>
      </w:r>
      <w:proofErr w:type="spellEnd"/>
      <w:r>
        <w:t xml:space="preserve"> inspections and to describe the protocol for tobacco type selection, have been added to Appendix C.</w:t>
      </w:r>
      <w:r w:rsidRPr="001B6764">
        <w:t xml:space="preserve"> </w:t>
      </w:r>
      <w:r w:rsidR="0097357E">
        <w:t>They have</w:t>
      </w:r>
      <w:r>
        <w:t xml:space="preserve"> been added to provid</w:t>
      </w:r>
      <w:r w:rsidR="0097357E">
        <w:t>e additional information about s</w:t>
      </w:r>
      <w:r>
        <w:t xml:space="preserve">tate </w:t>
      </w:r>
      <w:proofErr w:type="spellStart"/>
      <w:r>
        <w:t>Synar</w:t>
      </w:r>
      <w:proofErr w:type="spellEnd"/>
      <w:r>
        <w:t xml:space="preserve"> protocols, which is frequently requested by partner agencies and can also be used to target technical assistance.</w:t>
      </w:r>
    </w:p>
    <w:p w:rsidR="00474B69" w:rsidRPr="000257D9" w:rsidRDefault="00474B69" w:rsidP="00474B69">
      <w:pPr>
        <w:rPr>
          <w:highlight w:val="yellow"/>
        </w:rPr>
      </w:pPr>
    </w:p>
    <w:p w:rsidR="00474B69" w:rsidRPr="00D85F38" w:rsidRDefault="00474B69" w:rsidP="00474B69">
      <w:pPr>
        <w:spacing w:before="108"/>
      </w:pPr>
      <w:r w:rsidRPr="005F2644">
        <w:rPr>
          <w:bCs/>
        </w:rPr>
        <w:t xml:space="preserve">There are no changes to </w:t>
      </w:r>
      <w:r w:rsidR="005F2644" w:rsidRPr="005F2644">
        <w:rPr>
          <w:bCs/>
        </w:rPr>
        <w:t xml:space="preserve">Forms 1-5 or Appendix </w:t>
      </w:r>
      <w:r w:rsidR="000B6D3E" w:rsidRPr="005F2644">
        <w:rPr>
          <w:bCs/>
        </w:rPr>
        <w:t>D</w:t>
      </w:r>
      <w:r w:rsidRPr="005F2644">
        <w:rPr>
          <w:bCs/>
        </w:rPr>
        <w:t>.</w:t>
      </w:r>
      <w:r w:rsidRPr="00D85F38">
        <w:rPr>
          <w:bCs/>
        </w:rPr>
        <w:t xml:space="preserve"> </w:t>
      </w:r>
    </w:p>
    <w:p w:rsidR="0097357E" w:rsidRPr="009F3499" w:rsidRDefault="0097357E" w:rsidP="00474B69"/>
    <w:p w:rsidR="00474B69" w:rsidRPr="00224FE0" w:rsidRDefault="00474B69" w:rsidP="00224FE0">
      <w:pPr>
        <w:spacing w:before="324"/>
        <w:ind w:firstLine="72"/>
        <w:rPr>
          <w:b/>
          <w:bCs/>
        </w:rPr>
      </w:pPr>
      <w:r w:rsidRPr="00224FE0">
        <w:rPr>
          <w:b/>
        </w:rPr>
        <w:t>3.</w:t>
      </w:r>
      <w:r w:rsidRPr="00224FE0">
        <w:rPr>
          <w:b/>
        </w:rPr>
        <w:tab/>
      </w:r>
      <w:r w:rsidRPr="00224FE0">
        <w:rPr>
          <w:b/>
          <w:bCs/>
          <w:u w:val="single"/>
        </w:rPr>
        <w:t>Use of Information Technology</w:t>
      </w:r>
    </w:p>
    <w:p w:rsidR="00474B69" w:rsidRPr="009F3499" w:rsidRDefault="00474B69" w:rsidP="00474B69"/>
    <w:p w:rsidR="00474B69" w:rsidRDefault="00474B69" w:rsidP="00474B69">
      <w:pPr>
        <w:spacing w:after="324"/>
        <w:ind w:left="72"/>
      </w:pPr>
      <w:r w:rsidRPr="009F3499">
        <w:t>The informati</w:t>
      </w:r>
      <w:r w:rsidR="0097357E">
        <w:t>on collected and maintained by states and U.S. j</w:t>
      </w:r>
      <w:r w:rsidRPr="009F3499">
        <w:t>urisdictions represents an amount</w:t>
      </w:r>
      <w:r w:rsidR="0097357E">
        <w:t xml:space="preserve"> </w:t>
      </w:r>
      <w:r w:rsidR="0097357E">
        <w:lastRenderedPageBreak/>
        <w:t>of data necessary to evaluate s</w:t>
      </w:r>
      <w:r w:rsidRPr="009F3499">
        <w:t xml:space="preserve">tate compliance with the </w:t>
      </w:r>
      <w:proofErr w:type="spellStart"/>
      <w:r w:rsidRPr="009F3499">
        <w:t>Synar</w:t>
      </w:r>
      <w:proofErr w:type="spellEnd"/>
      <w:r w:rsidRPr="009F3499">
        <w:t xml:space="preserve"> legislation and </w:t>
      </w:r>
      <w:r>
        <w:t>it</w:t>
      </w:r>
      <w:r w:rsidRPr="009F3499">
        <w:t>s</w:t>
      </w:r>
      <w:r>
        <w:t xml:space="preserve"> implementing regulation</w:t>
      </w:r>
      <w:r w:rsidRPr="009F3499">
        <w:t xml:space="preserve">. </w:t>
      </w:r>
      <w:r w:rsidR="000257D9">
        <w:t xml:space="preserve">Since the FFY 2009 application </w:t>
      </w:r>
      <w:r w:rsidR="0097357E">
        <w:t>year, states and j</w:t>
      </w:r>
      <w:r>
        <w:t xml:space="preserve">urisdictions have been required to submit their Annual </w:t>
      </w:r>
      <w:proofErr w:type="spellStart"/>
      <w:r>
        <w:t>Synar</w:t>
      </w:r>
      <w:proofErr w:type="spellEnd"/>
      <w:r>
        <w:t xml:space="preserve"> Reports online using SAMHSA’s </w:t>
      </w:r>
      <w:r w:rsidRPr="009F3499">
        <w:t>electronic</w:t>
      </w:r>
      <w:r>
        <w:t xml:space="preserve"> Web</w:t>
      </w:r>
      <w:r w:rsidRPr="009F3499">
        <w:t xml:space="preserve"> Block Grant Application System (</w:t>
      </w:r>
      <w:proofErr w:type="spellStart"/>
      <w:r>
        <w:t>Web</w:t>
      </w:r>
      <w:r w:rsidRPr="009F3499">
        <w:t>BGAS</w:t>
      </w:r>
      <w:proofErr w:type="spellEnd"/>
      <w:r w:rsidR="0097357E">
        <w:t>). States and j</w:t>
      </w:r>
      <w:r>
        <w:t>urisdictions are also required to provide one</w:t>
      </w:r>
      <w:r w:rsidRPr="009F3499">
        <w:t xml:space="preserve"> hard copy of the ASR complete with the </w:t>
      </w:r>
      <w:r w:rsidR="0097357E">
        <w:t xml:space="preserve">signature of the Governor </w:t>
      </w:r>
      <w:r w:rsidRPr="009F3499">
        <w:t xml:space="preserve">or his </w:t>
      </w:r>
      <w:r w:rsidR="0097357E">
        <w:t xml:space="preserve">or her </w:t>
      </w:r>
      <w:r w:rsidRPr="009F3499">
        <w:t>designee to SAM</w:t>
      </w:r>
      <w:r w:rsidR="000257D9">
        <w:t>HSA's Office of Financial Resources</w:t>
      </w:r>
      <w:r w:rsidRPr="009F3499">
        <w:t xml:space="preserve">, Division of Grants Management. </w:t>
      </w:r>
    </w:p>
    <w:p w:rsidR="00474B69" w:rsidRPr="009F3499" w:rsidRDefault="00474B69" w:rsidP="00474B69">
      <w:pPr>
        <w:tabs>
          <w:tab w:val="left" w:pos="684"/>
        </w:tabs>
        <w:ind w:left="72"/>
        <w:rPr>
          <w:b/>
          <w:bCs/>
        </w:rPr>
      </w:pPr>
      <w:r w:rsidRPr="009F3499">
        <w:rPr>
          <w:b/>
          <w:bCs/>
        </w:rPr>
        <w:t>4.</w:t>
      </w:r>
      <w:r w:rsidRPr="009F3499">
        <w:rPr>
          <w:b/>
          <w:bCs/>
        </w:rPr>
        <w:tab/>
      </w:r>
      <w:r w:rsidRPr="009F3499">
        <w:rPr>
          <w:b/>
          <w:bCs/>
          <w:u w:val="single"/>
        </w:rPr>
        <w:t>Efforts to Identify Duplication</w:t>
      </w:r>
    </w:p>
    <w:p w:rsidR="00474B69" w:rsidRPr="009F3499" w:rsidRDefault="00474B69" w:rsidP="00474B69"/>
    <w:p w:rsidR="00474B69" w:rsidRPr="009F3499" w:rsidRDefault="00474B69" w:rsidP="00474B69">
      <w:pPr>
        <w:ind w:left="72"/>
      </w:pPr>
      <w:r w:rsidRPr="009F3499">
        <w:t>There has been and continues to be extensive consul</w:t>
      </w:r>
      <w:r w:rsidR="0097357E">
        <w:t>tation with representatives of state s</w:t>
      </w:r>
      <w:r w:rsidRPr="009F3499">
        <w:t>ubstance abuse agencies, and no duplication of information collection has been identified. The reporting requirements are narrative and statistic</w:t>
      </w:r>
      <w:r w:rsidR="0097357E">
        <w:t>al in nature and describe each s</w:t>
      </w:r>
      <w:r w:rsidRPr="009F3499">
        <w:t>tate's progress in achieving the g</w:t>
      </w:r>
      <w:r w:rsidR="0097357E">
        <w:t>oals of previous fiscal year’s s</w:t>
      </w:r>
      <w:r w:rsidRPr="009F3499">
        <w:t>tate plan and the proposed activities and services for</w:t>
      </w:r>
      <w:r w:rsidR="0097357E">
        <w:t xml:space="preserve"> the fiscal year for which the s</w:t>
      </w:r>
      <w:r w:rsidRPr="009F3499">
        <w:t>tate is applying.</w:t>
      </w:r>
    </w:p>
    <w:p w:rsidR="00474B69" w:rsidRPr="009F3499" w:rsidRDefault="00474B69" w:rsidP="00474B69">
      <w:pPr>
        <w:spacing w:before="360"/>
        <w:ind w:left="36"/>
        <w:rPr>
          <w:b/>
          <w:bCs/>
        </w:rPr>
      </w:pPr>
      <w:r w:rsidRPr="009F3499">
        <w:rPr>
          <w:b/>
          <w:iCs/>
        </w:rPr>
        <w:t>5</w:t>
      </w:r>
      <w:r>
        <w:rPr>
          <w:b/>
          <w:iCs/>
        </w:rPr>
        <w:t>.</w:t>
      </w:r>
      <w:r w:rsidRPr="009F3499">
        <w:rPr>
          <w:b/>
          <w:iCs/>
        </w:rPr>
        <w:tab/>
      </w:r>
      <w:r w:rsidRPr="009F3499">
        <w:rPr>
          <w:b/>
          <w:bCs/>
          <w:u w:val="single"/>
        </w:rPr>
        <w:t>Involvement of Small Entities</w:t>
      </w:r>
    </w:p>
    <w:p w:rsidR="00474B69" w:rsidRPr="009F3499" w:rsidRDefault="00474B69" w:rsidP="00474B69">
      <w:pPr>
        <w:tabs>
          <w:tab w:val="left" w:pos="3024"/>
        </w:tabs>
        <w:spacing w:before="180"/>
      </w:pPr>
      <w:r w:rsidRPr="009F3499">
        <w:t xml:space="preserve">The annual </w:t>
      </w:r>
      <w:proofErr w:type="spellStart"/>
      <w:r w:rsidRPr="009F3499">
        <w:t>Synar</w:t>
      </w:r>
      <w:proofErr w:type="spellEnd"/>
      <w:r w:rsidRPr="009F3499">
        <w:t xml:space="preserve"> report is prepared</w:t>
      </w:r>
      <w:r>
        <w:t xml:space="preserve"> </w:t>
      </w:r>
      <w:r w:rsidR="0097357E">
        <w:t>and submitted by s</w:t>
      </w:r>
      <w:r w:rsidRPr="009F3499">
        <w:t>tate agencies and does not directly affect small entities.</w:t>
      </w:r>
    </w:p>
    <w:p w:rsidR="00474B69" w:rsidRDefault="00474B69" w:rsidP="00474B69">
      <w:pPr>
        <w:tabs>
          <w:tab w:val="left" w:pos="648"/>
        </w:tabs>
      </w:pPr>
    </w:p>
    <w:p w:rsidR="00474B69" w:rsidRPr="009F3499" w:rsidRDefault="00474B69" w:rsidP="00474B69">
      <w:pPr>
        <w:tabs>
          <w:tab w:val="left" w:pos="648"/>
        </w:tabs>
        <w:rPr>
          <w:b/>
          <w:bCs/>
          <w:u w:val="single"/>
        </w:rPr>
      </w:pPr>
      <w:r w:rsidRPr="009F3499">
        <w:rPr>
          <w:b/>
        </w:rPr>
        <w:t>6.</w:t>
      </w:r>
      <w:r>
        <w:tab/>
      </w:r>
      <w:r w:rsidRPr="009F3499">
        <w:rPr>
          <w:b/>
          <w:bCs/>
          <w:u w:val="single"/>
        </w:rPr>
        <w:t>Consequences If Information Collected Less Frequently</w:t>
      </w:r>
    </w:p>
    <w:p w:rsidR="00474B69" w:rsidRPr="009F3499" w:rsidRDefault="00474B69" w:rsidP="000257D9">
      <w:pPr>
        <w:tabs>
          <w:tab w:val="left" w:pos="648"/>
        </w:tabs>
        <w:rPr>
          <w:b/>
          <w:bCs/>
        </w:rPr>
      </w:pPr>
    </w:p>
    <w:p w:rsidR="00474B69" w:rsidRPr="009F3499" w:rsidRDefault="0097357E" w:rsidP="00474B69">
      <w:pPr>
        <w:ind w:left="36"/>
      </w:pPr>
      <w:r>
        <w:t xml:space="preserve">The </w:t>
      </w:r>
      <w:proofErr w:type="spellStart"/>
      <w:r>
        <w:t>Synar</w:t>
      </w:r>
      <w:proofErr w:type="spellEnd"/>
      <w:r>
        <w:t xml:space="preserve"> statute requires s</w:t>
      </w:r>
      <w:r w:rsidR="00474B69" w:rsidRPr="009F3499">
        <w:t>tates to submit to the Secretary an annual report describing the strategies and</w:t>
      </w:r>
      <w:r>
        <w:t xml:space="preserve"> activities carried out by the s</w:t>
      </w:r>
      <w:r w:rsidR="00474B69" w:rsidRPr="009F3499">
        <w:t>tate to enforce yout</w:t>
      </w:r>
      <w:r w:rsidR="00474B69">
        <w:t>h access to tobacco laws during</w:t>
      </w:r>
      <w:r>
        <w:t xml:space="preserve"> the fiscal year for which the state is seeking SABG</w:t>
      </w:r>
      <w:r w:rsidR="00474B69" w:rsidRPr="009F3499">
        <w:t xml:space="preserve"> funds. Less frequent reporting would be in violation of the statute and would also result in difficulty linking activi</w:t>
      </w:r>
      <w:r>
        <w:t>ties with fiscal year funding, f</w:t>
      </w:r>
      <w:r w:rsidR="00474B69" w:rsidRPr="009F3499">
        <w:t xml:space="preserve">ederal reporting requirements for annual and triennial reports to Congress, as well as intervening requirements for legislative testimony before Congress covering specific </w:t>
      </w:r>
      <w:proofErr w:type="spellStart"/>
      <w:r w:rsidR="00474B69" w:rsidRPr="009F3499">
        <w:t>Synar</w:t>
      </w:r>
      <w:proofErr w:type="spellEnd"/>
      <w:r w:rsidR="00474B69" w:rsidRPr="009F3499">
        <w:t xml:space="preserve">-related issues, </w:t>
      </w:r>
      <w:r w:rsidR="00474B69">
        <w:t xml:space="preserve">and so </w:t>
      </w:r>
      <w:r w:rsidR="00474B69" w:rsidRPr="009F3499">
        <w:t>require the availability of up-to-date information.</w:t>
      </w:r>
    </w:p>
    <w:p w:rsidR="00474B69" w:rsidRPr="00277F86" w:rsidRDefault="00474B69" w:rsidP="00474B69">
      <w:pPr>
        <w:ind w:left="-270"/>
        <w:rPr>
          <w:b/>
          <w:u w:val="single"/>
        </w:rPr>
      </w:pPr>
    </w:p>
    <w:p w:rsidR="00474B69" w:rsidRPr="009F3499" w:rsidRDefault="00474B69" w:rsidP="00474B69">
      <w:pPr>
        <w:tabs>
          <w:tab w:val="right" w:pos="-360"/>
        </w:tabs>
        <w:ind w:left="630" w:hanging="630"/>
        <w:rPr>
          <w:b/>
          <w:u w:val="single"/>
        </w:rPr>
      </w:pPr>
      <w:r>
        <w:rPr>
          <w:b/>
        </w:rPr>
        <w:t>7.</w:t>
      </w:r>
      <w:r w:rsidRPr="00636003">
        <w:rPr>
          <w:b/>
        </w:rPr>
        <w:tab/>
      </w:r>
      <w:r w:rsidRPr="009F3499">
        <w:rPr>
          <w:b/>
          <w:u w:val="single"/>
        </w:rPr>
        <w:t>Consistency with the Guideline in 5 CFR 1320.5(d) (2)</w:t>
      </w:r>
    </w:p>
    <w:p w:rsidR="00474B69" w:rsidRPr="009F3499" w:rsidRDefault="00474B69" w:rsidP="00474B69">
      <w:pPr>
        <w:ind w:left="36"/>
      </w:pPr>
    </w:p>
    <w:p w:rsidR="00474B69" w:rsidRPr="009F3499" w:rsidRDefault="00474B69" w:rsidP="00474B69">
      <w:pPr>
        <w:ind w:left="36"/>
      </w:pPr>
      <w:r w:rsidRPr="009F3499">
        <w:t>This information collection activity fully complies with 5 CFR 1320.5(d) (2).</w:t>
      </w:r>
    </w:p>
    <w:p w:rsidR="00474B69" w:rsidRPr="009F3499" w:rsidRDefault="00474B69" w:rsidP="00474B69">
      <w:pPr>
        <w:ind w:left="36"/>
        <w:rPr>
          <w:b/>
          <w:bCs/>
        </w:rPr>
      </w:pPr>
    </w:p>
    <w:p w:rsidR="00474B69" w:rsidRPr="009F3499" w:rsidRDefault="00474B69" w:rsidP="00474B69">
      <w:pPr>
        <w:ind w:left="36"/>
        <w:rPr>
          <w:b/>
          <w:bCs/>
        </w:rPr>
      </w:pPr>
      <w:r w:rsidRPr="009F3499">
        <w:rPr>
          <w:b/>
          <w:bCs/>
        </w:rPr>
        <w:t>8.</w:t>
      </w:r>
      <w:r w:rsidRPr="009F3499">
        <w:rPr>
          <w:b/>
          <w:bCs/>
        </w:rPr>
        <w:tab/>
      </w:r>
      <w:r w:rsidRPr="009F3499">
        <w:rPr>
          <w:b/>
          <w:bCs/>
          <w:u w:val="single"/>
        </w:rPr>
        <w:t>Consultation Outside the Agency</w:t>
      </w:r>
    </w:p>
    <w:p w:rsidR="004F4570" w:rsidRDefault="004F4570" w:rsidP="004F4570"/>
    <w:p w:rsidR="004F4570" w:rsidRPr="00AF234B" w:rsidRDefault="004F4570" w:rsidP="004F4570">
      <w:r w:rsidRPr="00AF234B">
        <w:t xml:space="preserve">A Federal Register notice soliciting public comment on this collection of information was published </w:t>
      </w:r>
      <w:r w:rsidR="00AF234B" w:rsidRPr="00AF234B">
        <w:t>on December 4, 2012 (Vol. 77, pages 71805-71807</w:t>
      </w:r>
      <w:r w:rsidRPr="00AF234B">
        <w:t xml:space="preserve">) and </w:t>
      </w:r>
      <w:r w:rsidR="000840D9">
        <w:t xml:space="preserve">two </w:t>
      </w:r>
      <w:r w:rsidR="0037025C" w:rsidRPr="00AF234B">
        <w:t>comment</w:t>
      </w:r>
      <w:r w:rsidR="000840D9">
        <w:t>s were</w:t>
      </w:r>
      <w:r w:rsidRPr="00AF234B">
        <w:t xml:space="preserve"> received (Attachment C).  </w:t>
      </w:r>
      <w:r w:rsidR="000840D9">
        <w:t xml:space="preserve">One respondent stated that they had reviewed the Federal Register notice and had nothing to add. </w:t>
      </w:r>
      <w:r w:rsidR="0037025C" w:rsidRPr="00AF234B">
        <w:t xml:space="preserve">The </w:t>
      </w:r>
      <w:r w:rsidR="000840D9">
        <w:t xml:space="preserve">second </w:t>
      </w:r>
      <w:r w:rsidRPr="00AF234B">
        <w:t xml:space="preserve">respondent suggested that </w:t>
      </w:r>
      <w:r w:rsidR="0037025C" w:rsidRPr="00AF234B">
        <w:t xml:space="preserve">one of the response options to Question 3 of Section II be split into </w:t>
      </w:r>
      <w:r w:rsidR="00AF234B" w:rsidRPr="00AF234B">
        <w:t xml:space="preserve">two. </w:t>
      </w:r>
      <w:r w:rsidR="0037025C" w:rsidRPr="00AF234B">
        <w:t xml:space="preserve"> </w:t>
      </w:r>
      <w:r w:rsidR="00AF234B" w:rsidRPr="00AF234B">
        <w:t xml:space="preserve">This change has been made. </w:t>
      </w:r>
      <w:r w:rsidRPr="00AF234B">
        <w:t xml:space="preserve"> </w:t>
      </w:r>
    </w:p>
    <w:p w:rsidR="00474B69" w:rsidRPr="009F3499" w:rsidRDefault="00474B69" w:rsidP="00474B69">
      <w:pPr>
        <w:ind w:right="72"/>
      </w:pPr>
    </w:p>
    <w:p w:rsidR="00474B69" w:rsidRPr="009F3499" w:rsidRDefault="00474B69" w:rsidP="00474B69">
      <w:pPr>
        <w:ind w:left="43"/>
        <w:rPr>
          <w:b/>
          <w:u w:val="single"/>
        </w:rPr>
      </w:pPr>
      <w:r w:rsidRPr="00277F86">
        <w:rPr>
          <w:b/>
        </w:rPr>
        <w:t>9.</w:t>
      </w:r>
      <w:r w:rsidRPr="009F3499">
        <w:tab/>
      </w:r>
      <w:r w:rsidRPr="009F3499">
        <w:rPr>
          <w:b/>
          <w:u w:val="single"/>
        </w:rPr>
        <w:t>Payment to Respondents</w:t>
      </w:r>
    </w:p>
    <w:p w:rsidR="00474B69" w:rsidRDefault="00474B69" w:rsidP="00474B69">
      <w:pPr>
        <w:ind w:left="43"/>
      </w:pPr>
    </w:p>
    <w:p w:rsidR="00474B69" w:rsidRPr="009F3499" w:rsidRDefault="00474B69" w:rsidP="00474B69">
      <w:pPr>
        <w:ind w:left="43"/>
      </w:pPr>
      <w:r w:rsidRPr="009F3499">
        <w:t>Respondents do not receive payment.</w:t>
      </w:r>
    </w:p>
    <w:p w:rsidR="00474B69" w:rsidRDefault="00474B69" w:rsidP="00474B69">
      <w:pPr>
        <w:ind w:left="43"/>
        <w:rPr>
          <w:b/>
          <w:bCs/>
        </w:rPr>
      </w:pPr>
    </w:p>
    <w:p w:rsidR="00E07652" w:rsidRDefault="00E07652" w:rsidP="00474B69">
      <w:pPr>
        <w:ind w:left="43"/>
        <w:rPr>
          <w:b/>
          <w:bCs/>
        </w:rPr>
      </w:pPr>
    </w:p>
    <w:p w:rsidR="00E07652" w:rsidRDefault="00E07652" w:rsidP="00474B69">
      <w:pPr>
        <w:ind w:left="43"/>
        <w:rPr>
          <w:b/>
          <w:bCs/>
        </w:rPr>
      </w:pPr>
    </w:p>
    <w:p w:rsidR="00474B69" w:rsidRPr="009F3499" w:rsidRDefault="00474B69" w:rsidP="00474B69">
      <w:pPr>
        <w:ind w:left="43"/>
        <w:rPr>
          <w:b/>
          <w:bCs/>
        </w:rPr>
      </w:pPr>
      <w:r w:rsidRPr="009F3499">
        <w:rPr>
          <w:b/>
          <w:bCs/>
        </w:rPr>
        <w:t>10.</w:t>
      </w:r>
      <w:r w:rsidRPr="009F3499">
        <w:rPr>
          <w:b/>
          <w:bCs/>
        </w:rPr>
        <w:tab/>
      </w:r>
      <w:r w:rsidRPr="009F3499">
        <w:rPr>
          <w:b/>
          <w:bCs/>
          <w:u w:val="single"/>
        </w:rPr>
        <w:t>Assurance of Confidentiality</w:t>
      </w:r>
    </w:p>
    <w:p w:rsidR="00474B69" w:rsidRPr="009F3499" w:rsidRDefault="00474B69" w:rsidP="00474B69"/>
    <w:p w:rsidR="00474B69" w:rsidRPr="009F3499" w:rsidRDefault="00474B69" w:rsidP="00474B69">
      <w:pPr>
        <w:ind w:right="72"/>
      </w:pPr>
      <w:r>
        <w:t xml:space="preserve">The </w:t>
      </w:r>
      <w:r w:rsidR="0097357E">
        <w:t>s</w:t>
      </w:r>
      <w:r w:rsidRPr="009F3499">
        <w:t xml:space="preserve">tate plan </w:t>
      </w:r>
      <w:r>
        <w:t xml:space="preserve">is made </w:t>
      </w:r>
      <w:r w:rsidR="0097357E">
        <w:t>public within the s</w:t>
      </w:r>
      <w:r w:rsidRPr="009F3499">
        <w:t xml:space="preserve">tate in such </w:t>
      </w:r>
      <w:r>
        <w:t xml:space="preserve">a </w:t>
      </w:r>
      <w:r w:rsidRPr="009F3499">
        <w:t xml:space="preserve">manner as to facilitate comment </w:t>
      </w:r>
      <w:r w:rsidR="0097357E">
        <w:t>from any person (including any f</w:t>
      </w:r>
      <w:r w:rsidRPr="009F3499">
        <w:t>ederal or other public agency) prior to its su</w:t>
      </w:r>
      <w:r w:rsidR="000257D9">
        <w:t xml:space="preserve">bmission and </w:t>
      </w:r>
      <w:r>
        <w:t>copies of the</w:t>
      </w:r>
      <w:r w:rsidRPr="009F3499">
        <w:t xml:space="preserve"> annual </w:t>
      </w:r>
      <w:r w:rsidRPr="004110BB">
        <w:rPr>
          <w:iCs/>
        </w:rPr>
        <w:t xml:space="preserve">report </w:t>
      </w:r>
      <w:r w:rsidR="000257D9">
        <w:rPr>
          <w:iCs/>
        </w:rPr>
        <w:t xml:space="preserve">must </w:t>
      </w:r>
      <w:r w:rsidRPr="004110BB">
        <w:rPr>
          <w:iCs/>
        </w:rPr>
        <w:t>be</w:t>
      </w:r>
      <w:r w:rsidRPr="009F3499">
        <w:rPr>
          <w:i/>
          <w:iCs/>
        </w:rPr>
        <w:t xml:space="preserve"> </w:t>
      </w:r>
      <w:r w:rsidRPr="004110BB">
        <w:rPr>
          <w:iCs/>
        </w:rPr>
        <w:t>ma</w:t>
      </w:r>
      <w:r w:rsidRPr="004110BB">
        <w:t>de</w:t>
      </w:r>
      <w:r w:rsidRPr="009F3499">
        <w:t xml:space="preserve"> available upon request to any interested person (including any public agency).</w:t>
      </w:r>
    </w:p>
    <w:p w:rsidR="00474B69" w:rsidRPr="009F3499" w:rsidRDefault="00474B69" w:rsidP="00474B69">
      <w:pPr>
        <w:rPr>
          <w:b/>
          <w:bCs/>
        </w:rPr>
      </w:pPr>
    </w:p>
    <w:p w:rsidR="00474B69" w:rsidRPr="009F3499" w:rsidRDefault="00474B69" w:rsidP="00474B69">
      <w:pPr>
        <w:rPr>
          <w:b/>
          <w:bCs/>
        </w:rPr>
      </w:pPr>
      <w:r w:rsidRPr="009F3499">
        <w:rPr>
          <w:b/>
          <w:bCs/>
        </w:rPr>
        <w:t>1l.</w:t>
      </w:r>
      <w:r w:rsidRPr="009F3499">
        <w:rPr>
          <w:b/>
          <w:bCs/>
        </w:rPr>
        <w:tab/>
      </w:r>
      <w:r w:rsidRPr="009F3499">
        <w:rPr>
          <w:b/>
          <w:bCs/>
          <w:u w:val="single"/>
        </w:rPr>
        <w:t>Questions of a Sensitive Nature</w:t>
      </w:r>
    </w:p>
    <w:p w:rsidR="00474B69" w:rsidRPr="009F3499" w:rsidRDefault="00474B69" w:rsidP="00474B69">
      <w:pPr>
        <w:ind w:right="1368"/>
      </w:pPr>
    </w:p>
    <w:p w:rsidR="00474B69" w:rsidRPr="009F3499" w:rsidRDefault="00474B69" w:rsidP="00474B69">
      <w:pPr>
        <w:ind w:right="1368"/>
      </w:pPr>
      <w:r w:rsidRPr="009F3499">
        <w:t xml:space="preserve">The </w:t>
      </w:r>
      <w:proofErr w:type="spellStart"/>
      <w:r w:rsidRPr="009F3499">
        <w:t>Synar</w:t>
      </w:r>
      <w:proofErr w:type="spellEnd"/>
      <w:r w:rsidRPr="009F3499">
        <w:t xml:space="preserve"> reporting requirements do not solicit information of a sensitive nature. </w:t>
      </w:r>
    </w:p>
    <w:p w:rsidR="00474B69" w:rsidRPr="009F3499" w:rsidRDefault="00474B69" w:rsidP="00474B69">
      <w:pPr>
        <w:ind w:right="1368"/>
      </w:pPr>
    </w:p>
    <w:p w:rsidR="00474B69" w:rsidRPr="009F3499" w:rsidRDefault="00474B69" w:rsidP="00474B69">
      <w:pPr>
        <w:ind w:right="1368"/>
        <w:rPr>
          <w:b/>
          <w:bCs/>
        </w:rPr>
      </w:pPr>
      <w:r w:rsidRPr="009F3499">
        <w:rPr>
          <w:b/>
          <w:bCs/>
        </w:rPr>
        <w:t xml:space="preserve">12. </w:t>
      </w:r>
      <w:r>
        <w:rPr>
          <w:b/>
          <w:bCs/>
        </w:rPr>
        <w:tab/>
      </w:r>
      <w:r w:rsidRPr="009F3499">
        <w:rPr>
          <w:b/>
          <w:bCs/>
          <w:u w:val="single"/>
        </w:rPr>
        <w:t>Estimates of Annualized Hour Burden</w:t>
      </w:r>
    </w:p>
    <w:p w:rsidR="00474B69" w:rsidRDefault="00474B69" w:rsidP="00474B69">
      <w:pPr>
        <w:spacing w:before="216" w:after="144"/>
      </w:pPr>
      <w:r>
        <w:t xml:space="preserve">The burden estimated for </w:t>
      </w:r>
      <w:r w:rsidRPr="009F3499">
        <w:t xml:space="preserve">reporting </w:t>
      </w:r>
      <w:r>
        <w:t xml:space="preserve">on </w:t>
      </w:r>
      <w:proofErr w:type="spellStart"/>
      <w:r>
        <w:t>Synar</w:t>
      </w:r>
      <w:proofErr w:type="spellEnd"/>
      <w:r>
        <w:t xml:space="preserve"> </w:t>
      </w:r>
      <w:r w:rsidRPr="009F3499">
        <w:t xml:space="preserve">activities is </w:t>
      </w:r>
      <w:r>
        <w:t>based, in part, on dis</w:t>
      </w:r>
      <w:r w:rsidRPr="009F3499">
        <w:t>cussions with select</w:t>
      </w:r>
      <w:r>
        <w:t xml:space="preserve"> </w:t>
      </w:r>
      <w:r w:rsidR="0097357E">
        <w:t>state d</w:t>
      </w:r>
      <w:r w:rsidRPr="009F3499">
        <w:t xml:space="preserve">irectors responsible </w:t>
      </w:r>
      <w:r>
        <w:t>for</w:t>
      </w:r>
      <w:r w:rsidRPr="009F3499">
        <w:t xml:space="preserve"> these activities and represents the total hours to assemble, format, and</w:t>
      </w:r>
      <w:r>
        <w:t xml:space="preserve"> </w:t>
      </w:r>
      <w:r w:rsidRPr="009F3499">
        <w:t xml:space="preserve">produce </w:t>
      </w:r>
      <w:r>
        <w:t xml:space="preserve">the  </w:t>
      </w:r>
      <w:proofErr w:type="spellStart"/>
      <w:r>
        <w:t>Synar</w:t>
      </w:r>
      <w:proofErr w:type="spellEnd"/>
      <w:r>
        <w:t xml:space="preserve"> report in </w:t>
      </w:r>
      <w:r w:rsidRPr="009F3499">
        <w:t xml:space="preserve">accordance with the requirements </w:t>
      </w:r>
      <w:r>
        <w:t xml:space="preserve">of the </w:t>
      </w:r>
      <w:r w:rsidRPr="009F3499">
        <w:t>statute (</w:t>
      </w:r>
      <w:r>
        <w:t>sec. 1932 of the PHS Act) and regulation</w:t>
      </w:r>
      <w:r w:rsidRPr="009F3499">
        <w:t xml:space="preserve"> (45 CFR Part 96)</w:t>
      </w:r>
      <w:r w:rsidR="0097357E">
        <w:t>. CSAP estimates the burden to s</w:t>
      </w:r>
      <w:r>
        <w:t>t</w:t>
      </w:r>
      <w:r w:rsidRPr="009F3499">
        <w:t>ates i</w:t>
      </w:r>
      <w:r>
        <w:t xml:space="preserve">s </w:t>
      </w:r>
      <w:r w:rsidRPr="009F3499">
        <w:t xml:space="preserve">approximately </w:t>
      </w:r>
      <w:r>
        <w:t xml:space="preserve">1,062 hours.  </w:t>
      </w:r>
      <w:r w:rsidRPr="009F3499">
        <w:t>This estimate was derived based on discussions with CSAP staff experienced in estimating</w:t>
      </w:r>
      <w:r>
        <w:t xml:space="preserve"> </w:t>
      </w:r>
      <w:r w:rsidRPr="009F3499">
        <w:t>time burdens for similar data</w:t>
      </w:r>
      <w:r w:rsidR="0097357E">
        <w:t xml:space="preserve"> reporting activities and with s</w:t>
      </w:r>
      <w:r w:rsidRPr="009F3499">
        <w:t>tate program coordinators responsible for</w:t>
      </w:r>
      <w:r>
        <w:t xml:space="preserve"> </w:t>
      </w:r>
      <w:r w:rsidRPr="009F3499">
        <w:t xml:space="preserve">preparing the annual </w:t>
      </w:r>
      <w:proofErr w:type="spellStart"/>
      <w:r w:rsidRPr="009F3499">
        <w:t>Sy</w:t>
      </w:r>
      <w:r>
        <w:t>n</w:t>
      </w:r>
      <w:r w:rsidRPr="009F3499">
        <w:t>ar</w:t>
      </w:r>
      <w:proofErr w:type="spellEnd"/>
      <w:r w:rsidRPr="009F3499">
        <w:t xml:space="preserve"> report. The estimate includes data collection and r</w:t>
      </w:r>
      <w:r>
        <w:t>e</w:t>
      </w:r>
      <w:r w:rsidRPr="009F3499">
        <w:t>porting, and</w:t>
      </w:r>
      <w:r>
        <w:t xml:space="preserve"> </w:t>
      </w:r>
      <w:r w:rsidRPr="009F3499">
        <w:t>preparation and completion of the narrative information, including data analysis and calculation of</w:t>
      </w:r>
      <w:r>
        <w:t xml:space="preserve"> </w:t>
      </w:r>
      <w:r w:rsidRPr="009F3499">
        <w:t>sample survey resu</w:t>
      </w:r>
      <w:r>
        <w:t xml:space="preserve">lts.  </w:t>
      </w:r>
      <w:r w:rsidRPr="009F3499">
        <w:t xml:space="preserve">It is important to note that the time frame for completing the annual </w:t>
      </w:r>
      <w:proofErr w:type="spellStart"/>
      <w:r w:rsidRPr="009F3499">
        <w:t>Synar</w:t>
      </w:r>
      <w:proofErr w:type="spellEnd"/>
      <w:r>
        <w:t xml:space="preserve"> </w:t>
      </w:r>
      <w:r w:rsidRPr="009F3499">
        <w:t>rep</w:t>
      </w:r>
      <w:r w:rsidR="0097357E">
        <w:t>ort varies from state to s</w:t>
      </w:r>
      <w:r w:rsidRPr="009F3499">
        <w:t>tat</w:t>
      </w:r>
      <w:r w:rsidR="0097357E">
        <w:t>e depending on the size of the s</w:t>
      </w:r>
      <w:r w:rsidRPr="009F3499">
        <w:t>tate and its tobacco outlet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33"/>
        <w:gridCol w:w="1365"/>
        <w:gridCol w:w="1357"/>
        <w:gridCol w:w="1150"/>
        <w:gridCol w:w="1180"/>
        <w:gridCol w:w="1076"/>
        <w:gridCol w:w="971"/>
        <w:gridCol w:w="1144"/>
      </w:tblGrid>
      <w:tr w:rsidR="00224FE0" w:rsidTr="00224FE0">
        <w:tc>
          <w:tcPr>
            <w:tcW w:w="1342" w:type="dxa"/>
          </w:tcPr>
          <w:p w:rsidR="00224FE0" w:rsidRPr="00A80D2A" w:rsidRDefault="00224FE0" w:rsidP="00474B69">
            <w:pPr>
              <w:spacing w:before="216" w:after="144"/>
            </w:pPr>
            <w:r w:rsidRPr="00A80D2A">
              <w:t>45 CFR citation</w:t>
            </w:r>
          </w:p>
        </w:tc>
        <w:tc>
          <w:tcPr>
            <w:tcW w:w="1366" w:type="dxa"/>
          </w:tcPr>
          <w:p w:rsidR="00224FE0" w:rsidRPr="00A80D2A" w:rsidRDefault="00224FE0" w:rsidP="00474B69">
            <w:pPr>
              <w:spacing w:before="216" w:after="144"/>
            </w:pPr>
            <w:r w:rsidRPr="00A80D2A">
              <w:t>Numbers of respondents</w:t>
            </w:r>
          </w:p>
        </w:tc>
        <w:tc>
          <w:tcPr>
            <w:tcW w:w="1360" w:type="dxa"/>
          </w:tcPr>
          <w:p w:rsidR="00224FE0" w:rsidRPr="00A80D2A" w:rsidRDefault="00224FE0" w:rsidP="00474B69">
            <w:pPr>
              <w:spacing w:before="216" w:after="144"/>
            </w:pPr>
            <w:r w:rsidRPr="00A80D2A">
              <w:t>Responses per Respondent</w:t>
            </w:r>
          </w:p>
        </w:tc>
        <w:tc>
          <w:tcPr>
            <w:tcW w:w="855" w:type="dxa"/>
          </w:tcPr>
          <w:p w:rsidR="00224FE0" w:rsidRPr="00A80D2A" w:rsidRDefault="00224FE0" w:rsidP="00474B69">
            <w:pPr>
              <w:spacing w:before="216" w:after="144"/>
            </w:pPr>
            <w:r>
              <w:t>Total number of responses</w:t>
            </w:r>
          </w:p>
        </w:tc>
        <w:tc>
          <w:tcPr>
            <w:tcW w:w="1228" w:type="dxa"/>
          </w:tcPr>
          <w:p w:rsidR="00224FE0" w:rsidRPr="00A80D2A" w:rsidRDefault="00224FE0" w:rsidP="00474B69">
            <w:pPr>
              <w:spacing w:before="216" w:after="144"/>
            </w:pPr>
            <w:r w:rsidRPr="00A80D2A">
              <w:t>Hours per response</w:t>
            </w:r>
          </w:p>
        </w:tc>
        <w:tc>
          <w:tcPr>
            <w:tcW w:w="1151" w:type="dxa"/>
          </w:tcPr>
          <w:p w:rsidR="00224FE0" w:rsidRPr="00A80D2A" w:rsidRDefault="00224FE0" w:rsidP="00474B69">
            <w:pPr>
              <w:spacing w:before="216" w:after="144"/>
            </w:pPr>
            <w:r w:rsidRPr="00A80D2A">
              <w:t>Total burden</w:t>
            </w:r>
          </w:p>
        </w:tc>
        <w:tc>
          <w:tcPr>
            <w:tcW w:w="1073" w:type="dxa"/>
          </w:tcPr>
          <w:p w:rsidR="00224FE0" w:rsidRPr="00A80D2A" w:rsidRDefault="00224FE0" w:rsidP="00474B69">
            <w:pPr>
              <w:spacing w:before="216" w:after="144"/>
            </w:pPr>
            <w:r w:rsidRPr="00A80D2A">
              <w:t>Cost per Hour</w:t>
            </w:r>
          </w:p>
        </w:tc>
        <w:tc>
          <w:tcPr>
            <w:tcW w:w="1201" w:type="dxa"/>
          </w:tcPr>
          <w:p w:rsidR="00224FE0" w:rsidRPr="00A80D2A" w:rsidRDefault="00224FE0" w:rsidP="00474B69">
            <w:pPr>
              <w:spacing w:before="216" w:after="144"/>
            </w:pPr>
            <w:r w:rsidRPr="00A80D2A">
              <w:t>Total Cost</w:t>
            </w:r>
          </w:p>
        </w:tc>
      </w:tr>
      <w:tr w:rsidR="00224FE0" w:rsidTr="00224FE0">
        <w:tc>
          <w:tcPr>
            <w:tcW w:w="1342" w:type="dxa"/>
          </w:tcPr>
          <w:p w:rsidR="00224FE0" w:rsidRDefault="00224FE0" w:rsidP="00474B69">
            <w:pPr>
              <w:spacing w:before="216" w:after="144"/>
            </w:pPr>
            <w:r>
              <w:t>Annual report (Section I – States and Territories) 96.130(e) (1-3)</w:t>
            </w:r>
          </w:p>
        </w:tc>
        <w:tc>
          <w:tcPr>
            <w:tcW w:w="1366" w:type="dxa"/>
          </w:tcPr>
          <w:p w:rsidR="00224FE0" w:rsidRDefault="00224FE0" w:rsidP="00474B69">
            <w:pPr>
              <w:spacing w:before="216" w:after="144"/>
            </w:pPr>
            <w:r>
              <w:t>59</w:t>
            </w:r>
          </w:p>
        </w:tc>
        <w:tc>
          <w:tcPr>
            <w:tcW w:w="1360" w:type="dxa"/>
          </w:tcPr>
          <w:p w:rsidR="00224FE0" w:rsidRDefault="00224FE0" w:rsidP="00474B69">
            <w:pPr>
              <w:spacing w:before="216" w:after="144"/>
            </w:pPr>
            <w:r>
              <w:t>1</w:t>
            </w:r>
          </w:p>
        </w:tc>
        <w:tc>
          <w:tcPr>
            <w:tcW w:w="855" w:type="dxa"/>
          </w:tcPr>
          <w:p w:rsidR="00224FE0" w:rsidRDefault="00224FE0" w:rsidP="00474B69">
            <w:pPr>
              <w:spacing w:before="216" w:after="144"/>
            </w:pPr>
            <w:r>
              <w:t>59</w:t>
            </w:r>
          </w:p>
        </w:tc>
        <w:tc>
          <w:tcPr>
            <w:tcW w:w="1228" w:type="dxa"/>
          </w:tcPr>
          <w:p w:rsidR="00224FE0" w:rsidRDefault="00224FE0" w:rsidP="00474B69">
            <w:pPr>
              <w:spacing w:before="216" w:after="144"/>
            </w:pPr>
            <w:r>
              <w:t>15</w:t>
            </w:r>
          </w:p>
        </w:tc>
        <w:tc>
          <w:tcPr>
            <w:tcW w:w="1151" w:type="dxa"/>
          </w:tcPr>
          <w:p w:rsidR="00224FE0" w:rsidRDefault="00224FE0" w:rsidP="00474B69">
            <w:pPr>
              <w:spacing w:before="216" w:after="144"/>
            </w:pPr>
            <w:r>
              <w:t>885</w:t>
            </w:r>
          </w:p>
        </w:tc>
        <w:tc>
          <w:tcPr>
            <w:tcW w:w="1073" w:type="dxa"/>
          </w:tcPr>
          <w:p w:rsidR="00224FE0" w:rsidRDefault="00224FE0" w:rsidP="00474B69">
            <w:pPr>
              <w:spacing w:before="216" w:after="144"/>
            </w:pPr>
            <w:r>
              <w:t>$25</w:t>
            </w:r>
          </w:p>
        </w:tc>
        <w:tc>
          <w:tcPr>
            <w:tcW w:w="1201" w:type="dxa"/>
          </w:tcPr>
          <w:p w:rsidR="00224FE0" w:rsidRDefault="00224FE0" w:rsidP="00474B69">
            <w:pPr>
              <w:spacing w:before="216" w:after="144"/>
            </w:pPr>
            <w:r>
              <w:t>$22,125</w:t>
            </w:r>
          </w:p>
        </w:tc>
      </w:tr>
      <w:tr w:rsidR="00224FE0" w:rsidTr="00224FE0">
        <w:tc>
          <w:tcPr>
            <w:tcW w:w="1342" w:type="dxa"/>
          </w:tcPr>
          <w:p w:rsidR="00224FE0" w:rsidRDefault="00224FE0" w:rsidP="00474B69">
            <w:pPr>
              <w:spacing w:before="216" w:after="144"/>
            </w:pPr>
            <w:r>
              <w:t xml:space="preserve">State Plan (Section II– States and Territories) </w:t>
            </w:r>
            <w:r>
              <w:lastRenderedPageBreak/>
              <w:t>96.130(e) (4, 5); 196.130(g)</w:t>
            </w:r>
          </w:p>
        </w:tc>
        <w:tc>
          <w:tcPr>
            <w:tcW w:w="1366" w:type="dxa"/>
          </w:tcPr>
          <w:p w:rsidR="00224FE0" w:rsidRDefault="00224FE0" w:rsidP="00474B69">
            <w:pPr>
              <w:spacing w:before="216" w:after="144"/>
            </w:pPr>
            <w:r>
              <w:lastRenderedPageBreak/>
              <w:t>59</w:t>
            </w:r>
          </w:p>
        </w:tc>
        <w:tc>
          <w:tcPr>
            <w:tcW w:w="1360" w:type="dxa"/>
          </w:tcPr>
          <w:p w:rsidR="00224FE0" w:rsidRDefault="00224FE0" w:rsidP="00474B69">
            <w:pPr>
              <w:spacing w:before="216" w:after="144"/>
            </w:pPr>
            <w:r>
              <w:t>1</w:t>
            </w:r>
          </w:p>
        </w:tc>
        <w:tc>
          <w:tcPr>
            <w:tcW w:w="855" w:type="dxa"/>
          </w:tcPr>
          <w:p w:rsidR="00224FE0" w:rsidRDefault="00224FE0" w:rsidP="00474B69">
            <w:pPr>
              <w:spacing w:before="216" w:after="144"/>
            </w:pPr>
            <w:r>
              <w:t>59</w:t>
            </w:r>
          </w:p>
        </w:tc>
        <w:tc>
          <w:tcPr>
            <w:tcW w:w="1228" w:type="dxa"/>
          </w:tcPr>
          <w:p w:rsidR="00224FE0" w:rsidRDefault="00224FE0" w:rsidP="00474B69">
            <w:pPr>
              <w:spacing w:before="216" w:after="144"/>
            </w:pPr>
            <w:r>
              <w:t>3</w:t>
            </w:r>
          </w:p>
        </w:tc>
        <w:tc>
          <w:tcPr>
            <w:tcW w:w="1151" w:type="dxa"/>
          </w:tcPr>
          <w:p w:rsidR="00224FE0" w:rsidRDefault="00224FE0" w:rsidP="00474B69">
            <w:pPr>
              <w:spacing w:before="216" w:after="144"/>
            </w:pPr>
            <w:r>
              <w:t>177</w:t>
            </w:r>
          </w:p>
        </w:tc>
        <w:tc>
          <w:tcPr>
            <w:tcW w:w="1073" w:type="dxa"/>
          </w:tcPr>
          <w:p w:rsidR="00224FE0" w:rsidRDefault="00224FE0" w:rsidP="00474B69">
            <w:pPr>
              <w:spacing w:before="216" w:after="144"/>
            </w:pPr>
            <w:r>
              <w:t>$25</w:t>
            </w:r>
          </w:p>
        </w:tc>
        <w:tc>
          <w:tcPr>
            <w:tcW w:w="1201" w:type="dxa"/>
          </w:tcPr>
          <w:p w:rsidR="00224FE0" w:rsidRDefault="00224FE0" w:rsidP="00474B69">
            <w:pPr>
              <w:spacing w:before="216" w:after="144"/>
            </w:pPr>
            <w:r>
              <w:t>$4,425</w:t>
            </w:r>
          </w:p>
        </w:tc>
      </w:tr>
      <w:tr w:rsidR="00224FE0" w:rsidTr="00224FE0">
        <w:tc>
          <w:tcPr>
            <w:tcW w:w="1342" w:type="dxa"/>
          </w:tcPr>
          <w:p w:rsidR="00224FE0" w:rsidRDefault="00224FE0" w:rsidP="00474B69">
            <w:pPr>
              <w:spacing w:before="216" w:after="144"/>
            </w:pPr>
            <w:r>
              <w:lastRenderedPageBreak/>
              <w:t>Total</w:t>
            </w:r>
          </w:p>
        </w:tc>
        <w:tc>
          <w:tcPr>
            <w:tcW w:w="1366" w:type="dxa"/>
          </w:tcPr>
          <w:p w:rsidR="00224FE0" w:rsidRDefault="00224FE0" w:rsidP="00474B69">
            <w:pPr>
              <w:spacing w:before="216" w:after="144"/>
            </w:pPr>
            <w:r>
              <w:t>59</w:t>
            </w:r>
          </w:p>
        </w:tc>
        <w:tc>
          <w:tcPr>
            <w:tcW w:w="1360" w:type="dxa"/>
          </w:tcPr>
          <w:p w:rsidR="00224FE0" w:rsidRDefault="00224FE0" w:rsidP="00474B69">
            <w:pPr>
              <w:spacing w:before="216" w:after="144"/>
            </w:pPr>
          </w:p>
        </w:tc>
        <w:tc>
          <w:tcPr>
            <w:tcW w:w="855" w:type="dxa"/>
          </w:tcPr>
          <w:p w:rsidR="00224FE0" w:rsidRDefault="00224FE0" w:rsidP="00474B69">
            <w:pPr>
              <w:spacing w:before="216" w:after="144"/>
            </w:pPr>
          </w:p>
        </w:tc>
        <w:tc>
          <w:tcPr>
            <w:tcW w:w="1228" w:type="dxa"/>
          </w:tcPr>
          <w:p w:rsidR="00224FE0" w:rsidRDefault="00224FE0" w:rsidP="00474B69">
            <w:pPr>
              <w:spacing w:before="216" w:after="144"/>
            </w:pPr>
          </w:p>
        </w:tc>
        <w:tc>
          <w:tcPr>
            <w:tcW w:w="1151" w:type="dxa"/>
          </w:tcPr>
          <w:p w:rsidR="00224FE0" w:rsidRDefault="00224FE0" w:rsidP="00474B69">
            <w:pPr>
              <w:spacing w:before="216" w:after="144"/>
            </w:pPr>
            <w:r>
              <w:t>1,062</w:t>
            </w:r>
          </w:p>
        </w:tc>
        <w:tc>
          <w:tcPr>
            <w:tcW w:w="1073" w:type="dxa"/>
          </w:tcPr>
          <w:p w:rsidR="00224FE0" w:rsidRDefault="00224FE0" w:rsidP="00474B69">
            <w:pPr>
              <w:spacing w:before="216" w:after="144"/>
            </w:pPr>
          </w:p>
        </w:tc>
        <w:tc>
          <w:tcPr>
            <w:tcW w:w="1201" w:type="dxa"/>
          </w:tcPr>
          <w:p w:rsidR="00224FE0" w:rsidRDefault="00224FE0" w:rsidP="00474B69">
            <w:pPr>
              <w:spacing w:before="216" w:after="144"/>
            </w:pPr>
            <w:r>
              <w:t>$26,550</w:t>
            </w:r>
          </w:p>
        </w:tc>
      </w:tr>
    </w:tbl>
    <w:p w:rsidR="00474B69" w:rsidRDefault="00474B69" w:rsidP="00474B69">
      <w:pPr>
        <w:rPr>
          <w:vertAlign w:val="subscript"/>
        </w:rPr>
      </w:pPr>
      <w:r>
        <w:rPr>
          <w:vertAlign w:val="subscript"/>
        </w:rPr>
        <w:t>1 Red Lake Indian Tribe is not subject to tobacco requirements.</w:t>
      </w:r>
    </w:p>
    <w:p w:rsidR="00474B69" w:rsidRDefault="00474B69" w:rsidP="00474B69">
      <w:pPr>
        <w:ind w:right="72"/>
        <w:rPr>
          <w:vertAlign w:val="subscript"/>
        </w:rPr>
      </w:pPr>
      <w:r>
        <w:rPr>
          <w:vertAlign w:val="subscript"/>
        </w:rPr>
        <w:t>2 The estimated hourly cost is based on a composite estimate of professional and support per hour cost.</w:t>
      </w:r>
      <w:r w:rsidR="0097357E">
        <w:rPr>
          <w:vertAlign w:val="subscript"/>
        </w:rPr>
        <w:t xml:space="preserve">  There is wide variation from state to s</w:t>
      </w:r>
      <w:r>
        <w:rPr>
          <w:vertAlign w:val="subscript"/>
        </w:rPr>
        <w:t xml:space="preserve">tate. </w:t>
      </w:r>
    </w:p>
    <w:p w:rsidR="00474B69" w:rsidRPr="009F3499" w:rsidRDefault="00474B69" w:rsidP="00474B69">
      <w:pPr>
        <w:ind w:right="72"/>
      </w:pPr>
    </w:p>
    <w:p w:rsidR="00474B69" w:rsidRPr="009F3499" w:rsidRDefault="00474B69" w:rsidP="00474B69">
      <w:pPr>
        <w:ind w:left="36"/>
        <w:rPr>
          <w:b/>
          <w:bCs/>
        </w:rPr>
      </w:pPr>
      <w:r w:rsidRPr="009F3499">
        <w:rPr>
          <w:b/>
          <w:bCs/>
          <w:iCs/>
        </w:rPr>
        <w:t>13.</w:t>
      </w:r>
      <w:r w:rsidRPr="009F3499">
        <w:rPr>
          <w:b/>
          <w:bCs/>
          <w:iCs/>
        </w:rPr>
        <w:tab/>
      </w:r>
      <w:r w:rsidRPr="009F3499">
        <w:rPr>
          <w:b/>
          <w:bCs/>
          <w:u w:val="single"/>
        </w:rPr>
        <w:t xml:space="preserve">Estimates of Annualized Cost Burden </w:t>
      </w:r>
      <w:r>
        <w:rPr>
          <w:b/>
          <w:bCs/>
          <w:u w:val="single"/>
        </w:rPr>
        <w:t>t</w:t>
      </w:r>
      <w:r w:rsidRPr="009F3499">
        <w:rPr>
          <w:b/>
          <w:bCs/>
          <w:u w:val="single"/>
        </w:rPr>
        <w:t>o Respondents</w:t>
      </w:r>
    </w:p>
    <w:p w:rsidR="00474B69" w:rsidRPr="009F3499" w:rsidRDefault="00474B69" w:rsidP="00610DF0">
      <w:pPr>
        <w:tabs>
          <w:tab w:val="left" w:pos="1692"/>
        </w:tabs>
        <w:spacing w:before="252"/>
        <w:ind w:left="36"/>
      </w:pPr>
      <w:r w:rsidRPr="009F3499">
        <w:t>There are no capital or start up cost</w:t>
      </w:r>
      <w:r>
        <w:t>s</w:t>
      </w:r>
      <w:r w:rsidRPr="009F3499">
        <w:t xml:space="preserve"> associated with </w:t>
      </w:r>
      <w:r w:rsidR="00610DF0">
        <w:t xml:space="preserve">the </w:t>
      </w:r>
      <w:r w:rsidRPr="009F3499">
        <w:t>an</w:t>
      </w:r>
      <w:r w:rsidR="0097357E">
        <w:t xml:space="preserve">nual </w:t>
      </w:r>
      <w:proofErr w:type="spellStart"/>
      <w:r w:rsidR="0097357E">
        <w:t>Synar</w:t>
      </w:r>
      <w:proofErr w:type="spellEnd"/>
      <w:r w:rsidR="0097357E">
        <w:t xml:space="preserve"> report.  Similarly, s</w:t>
      </w:r>
      <w:r w:rsidRPr="009F3499">
        <w:t>tates incur</w:t>
      </w:r>
      <w:r w:rsidR="00610DF0">
        <w:t xml:space="preserve"> </w:t>
      </w:r>
      <w:r w:rsidRPr="009F3499">
        <w:t xml:space="preserve">only minimal uncompensated costs in order to complete the annual </w:t>
      </w:r>
      <w:proofErr w:type="spellStart"/>
      <w:r w:rsidRPr="009F3499">
        <w:t>Synar</w:t>
      </w:r>
      <w:proofErr w:type="spellEnd"/>
      <w:r w:rsidRPr="009F3499">
        <w:t xml:space="preserve"> inspections reported to the Secretary.</w:t>
      </w:r>
    </w:p>
    <w:p w:rsidR="00474B69" w:rsidRPr="009F3499" w:rsidRDefault="00474B69" w:rsidP="00474B69">
      <w:pPr>
        <w:tabs>
          <w:tab w:val="left" w:pos="684"/>
        </w:tabs>
        <w:spacing w:before="252"/>
        <w:ind w:left="36"/>
        <w:rPr>
          <w:b/>
          <w:bCs/>
        </w:rPr>
      </w:pPr>
      <w:r w:rsidRPr="009F3499">
        <w:rPr>
          <w:b/>
          <w:bCs/>
        </w:rPr>
        <w:t>14.</w:t>
      </w:r>
      <w:r w:rsidRPr="009F3499">
        <w:rPr>
          <w:b/>
          <w:bCs/>
        </w:rPr>
        <w:tab/>
      </w:r>
      <w:r w:rsidRPr="009F3499">
        <w:rPr>
          <w:b/>
          <w:bCs/>
          <w:u w:val="single"/>
        </w:rPr>
        <w:t>Estimates of Annualized Cost to the Government</w:t>
      </w:r>
    </w:p>
    <w:p w:rsidR="00474B69" w:rsidRPr="00610DF0" w:rsidRDefault="00474B69" w:rsidP="00610DF0">
      <w:pPr>
        <w:spacing w:before="252"/>
      </w:pPr>
      <w:r w:rsidRPr="009F3499">
        <w:t>The total average annual cos</w:t>
      </w:r>
      <w:r w:rsidR="0097357E">
        <w:t>t to the federal g</w:t>
      </w:r>
      <w:r w:rsidRPr="009F3499">
        <w:t>ove</w:t>
      </w:r>
      <w:r w:rsidR="0097357E">
        <w:t>rnment of the annual review of s</w:t>
      </w:r>
      <w:r w:rsidRPr="009F3499">
        <w:t xml:space="preserve">tate </w:t>
      </w:r>
      <w:proofErr w:type="spellStart"/>
      <w:r w:rsidRPr="009F3499">
        <w:t>Synar</w:t>
      </w:r>
      <w:proofErr w:type="spellEnd"/>
      <w:r w:rsidRPr="009F3499">
        <w:t xml:space="preserve"> reports </w:t>
      </w:r>
      <w:r w:rsidR="00BF7CEF">
        <w:t xml:space="preserve">is estimated to be $220,000.  </w:t>
      </w:r>
      <w:r w:rsidRPr="009F3499">
        <w:t>This includes staff costs associated with rev</w:t>
      </w:r>
      <w:r w:rsidR="0097357E">
        <w:t>iewing s</w:t>
      </w:r>
      <w:r w:rsidR="00BF7CEF">
        <w:t xml:space="preserve">tate reports </w:t>
      </w:r>
      <w:r w:rsidRPr="009F3499">
        <w:t>for completeness and c</w:t>
      </w:r>
      <w:r w:rsidR="00BF7CEF">
        <w:t>ompliance</w:t>
      </w:r>
      <w:r w:rsidRPr="009F3499">
        <w:t>, written correspondence, and other administrative activities</w:t>
      </w:r>
      <w:r w:rsidR="00BF7CEF">
        <w:t xml:space="preserve">, as well as contract costs for statistical review of state survey results. </w:t>
      </w:r>
    </w:p>
    <w:p w:rsidR="00474B69" w:rsidRPr="009F3499" w:rsidRDefault="00474B69" w:rsidP="00474B69">
      <w:pPr>
        <w:tabs>
          <w:tab w:val="left" w:pos="648"/>
        </w:tabs>
        <w:spacing w:before="216"/>
        <w:rPr>
          <w:b/>
          <w:bCs/>
        </w:rPr>
      </w:pPr>
      <w:r w:rsidRPr="009F3499">
        <w:rPr>
          <w:b/>
          <w:bCs/>
          <w:iCs/>
        </w:rPr>
        <w:t>15.</w:t>
      </w:r>
      <w:r w:rsidRPr="009F3499">
        <w:rPr>
          <w:b/>
          <w:bCs/>
          <w:i/>
          <w:iCs/>
        </w:rPr>
        <w:tab/>
      </w:r>
      <w:r w:rsidRPr="009F3499">
        <w:rPr>
          <w:b/>
          <w:bCs/>
          <w:u w:val="single"/>
        </w:rPr>
        <w:t>Changes in Burden</w:t>
      </w:r>
    </w:p>
    <w:p w:rsidR="00474B69" w:rsidRPr="009F3499" w:rsidRDefault="00474B69" w:rsidP="00474B69">
      <w:pPr>
        <w:spacing w:before="216" w:after="252"/>
      </w:pPr>
      <w:r w:rsidRPr="009F3499">
        <w:t>There is no burden hour change.</w:t>
      </w:r>
    </w:p>
    <w:p w:rsidR="00474B69" w:rsidRPr="009F3499" w:rsidRDefault="00474B69" w:rsidP="00474B69">
      <w:pPr>
        <w:tabs>
          <w:tab w:val="left" w:pos="648"/>
        </w:tabs>
        <w:ind w:left="72"/>
        <w:rPr>
          <w:b/>
          <w:bCs/>
        </w:rPr>
      </w:pPr>
      <w:r w:rsidRPr="009F3499">
        <w:rPr>
          <w:b/>
          <w:bCs/>
        </w:rPr>
        <w:t>16.</w:t>
      </w:r>
      <w:r w:rsidRPr="009F3499">
        <w:rPr>
          <w:b/>
          <w:bCs/>
        </w:rPr>
        <w:tab/>
      </w:r>
      <w:r w:rsidRPr="009F3499">
        <w:rPr>
          <w:b/>
          <w:bCs/>
          <w:u w:val="single"/>
        </w:rPr>
        <w:t>Time Schedule, Publication, and Analysis Plans</w:t>
      </w:r>
    </w:p>
    <w:p w:rsidR="00474B69" w:rsidRPr="009F3499" w:rsidRDefault="00474B69" w:rsidP="00474B69"/>
    <w:p w:rsidR="00474B69" w:rsidRPr="009F3499" w:rsidRDefault="00474B69" w:rsidP="00474B69">
      <w:r w:rsidRPr="009F3499">
        <w:t>Section l926(b)(2)(</w:t>
      </w:r>
      <w:r w:rsidR="0097357E">
        <w:t>B) of the PHS Act requires the s</w:t>
      </w:r>
      <w:r w:rsidRPr="009F3499">
        <w:t xml:space="preserve">tates to submit to the Secretary annually a </w:t>
      </w:r>
      <w:proofErr w:type="spellStart"/>
      <w:r w:rsidRPr="009F3499">
        <w:t>Synar</w:t>
      </w:r>
      <w:proofErr w:type="spellEnd"/>
      <w:r w:rsidRPr="009F3499">
        <w:t xml:space="preserve"> report describing the strategies and</w:t>
      </w:r>
      <w:r w:rsidR="005F522E">
        <w:t xml:space="preserve"> activities carried out by the s</w:t>
      </w:r>
      <w:r w:rsidRPr="009F3499">
        <w:t>tate to enforce its tobacco access laws during the fiscal year for whi</w:t>
      </w:r>
      <w:r w:rsidR="005F522E">
        <w:t>ch the s</w:t>
      </w:r>
      <w:r w:rsidRPr="009F3499">
        <w:t>ta</w:t>
      </w:r>
      <w:r w:rsidR="005F522E">
        <w:t>te is seeking a SABG</w:t>
      </w:r>
      <w:r w:rsidRPr="009F3499">
        <w:t xml:space="preserve">. Following is a typical schedule of activities following receipt of the annual </w:t>
      </w:r>
      <w:proofErr w:type="spellStart"/>
      <w:r w:rsidRPr="009F3499">
        <w:t>Synar</w:t>
      </w:r>
      <w:proofErr w:type="spellEnd"/>
      <w:r w:rsidRPr="009F3499">
        <w:t xml:space="preserve"> report:</w:t>
      </w:r>
    </w:p>
    <w:p w:rsidR="00474B69" w:rsidRPr="009F3499" w:rsidRDefault="00474B69" w:rsidP="00474B69"/>
    <w:p w:rsidR="00474B69" w:rsidRPr="009F3499" w:rsidRDefault="00474B69" w:rsidP="00474B69">
      <w:pPr>
        <w:rPr>
          <w:u w:val="single"/>
        </w:rPr>
      </w:pPr>
      <w:r w:rsidRPr="009F3499">
        <w:tab/>
      </w:r>
      <w:r w:rsidRPr="009F3499">
        <w:rPr>
          <w:u w:val="single"/>
        </w:rPr>
        <w:t>Activity</w:t>
      </w:r>
      <w:r w:rsidRPr="009F3499">
        <w:rPr>
          <w:u w:val="single"/>
        </w:rPr>
        <w:tab/>
      </w:r>
      <w:r w:rsidRPr="009F3499">
        <w:rPr>
          <w:u w:val="single"/>
        </w:rPr>
        <w:tab/>
      </w:r>
      <w:r w:rsidRPr="009F3499">
        <w:rPr>
          <w:u w:val="single"/>
        </w:rPr>
        <w:tab/>
      </w:r>
      <w:r w:rsidRPr="009F3499">
        <w:rPr>
          <w:u w:val="single"/>
        </w:rPr>
        <w:tab/>
      </w:r>
      <w:r w:rsidRPr="009F3499">
        <w:rPr>
          <w:u w:val="single"/>
        </w:rPr>
        <w:tab/>
      </w:r>
      <w:r w:rsidR="00C74D5C">
        <w:rPr>
          <w:u w:val="single"/>
        </w:rPr>
        <w:tab/>
      </w:r>
      <w:r w:rsidRPr="009F3499">
        <w:rPr>
          <w:u w:val="single"/>
        </w:rPr>
        <w:t>Timeframe</w:t>
      </w:r>
    </w:p>
    <w:p w:rsidR="00C74D5C" w:rsidRPr="00321DA0" w:rsidRDefault="00C74D5C" w:rsidP="00474B69">
      <w:r w:rsidRPr="00321DA0">
        <w:t>Complete early alert (review for regulatory compliance)</w:t>
      </w:r>
      <w:r w:rsidRPr="00321DA0">
        <w:tab/>
        <w:t>Within 8 working days of receipt</w:t>
      </w:r>
    </w:p>
    <w:p w:rsidR="00C74D5C" w:rsidRPr="00321DA0" w:rsidRDefault="00C74D5C" w:rsidP="00474B69">
      <w:r w:rsidRPr="00321DA0">
        <w:t xml:space="preserve">Complete initial review and draft revision request </w:t>
      </w:r>
      <w:r w:rsidRPr="00321DA0">
        <w:tab/>
      </w:r>
      <w:r w:rsidRPr="00321DA0">
        <w:tab/>
        <w:t>Within 30 working days of receipt</w:t>
      </w:r>
    </w:p>
    <w:p w:rsidR="00474B69" w:rsidRPr="00321DA0" w:rsidRDefault="00474B69" w:rsidP="00474B69">
      <w:r w:rsidRPr="00321DA0">
        <w:t xml:space="preserve">Process report approval for </w:t>
      </w:r>
      <w:r w:rsidR="005F522E">
        <w:t>SABG</w:t>
      </w:r>
      <w:r w:rsidRPr="00321DA0">
        <w:t xml:space="preserve"> award</w:t>
      </w:r>
      <w:r w:rsidRPr="00321DA0">
        <w:tab/>
        <w:t xml:space="preserve"> </w:t>
      </w:r>
      <w:r w:rsidR="00C74D5C" w:rsidRPr="00321DA0">
        <w:tab/>
      </w:r>
      <w:r w:rsidR="00C74D5C" w:rsidRPr="00321DA0">
        <w:tab/>
      </w:r>
      <w:r w:rsidRPr="00321DA0">
        <w:t>1 week</w:t>
      </w:r>
      <w:r w:rsidR="00C74D5C" w:rsidRPr="00321DA0">
        <w:t xml:space="preserve"> after Project Officer approval</w:t>
      </w:r>
    </w:p>
    <w:p w:rsidR="00474B69" w:rsidRPr="009F3499" w:rsidRDefault="00474B69" w:rsidP="00474B69"/>
    <w:p w:rsidR="00474B69" w:rsidRPr="009F3499" w:rsidRDefault="005F522E" w:rsidP="00474B69">
      <w:pPr>
        <w:ind w:right="72"/>
      </w:pPr>
      <w:r>
        <w:t>Data from the s</w:t>
      </w:r>
      <w:r w:rsidR="00474B69" w:rsidRPr="009F3499">
        <w:t xml:space="preserve">tates' </w:t>
      </w:r>
      <w:proofErr w:type="spellStart"/>
      <w:r w:rsidR="00474B69" w:rsidRPr="009F3499">
        <w:t>Synar</w:t>
      </w:r>
      <w:proofErr w:type="spellEnd"/>
      <w:r w:rsidR="00474B69" w:rsidRPr="009F3499">
        <w:t xml:space="preserve"> </w:t>
      </w:r>
      <w:r>
        <w:t>report will be accessed by the federal g</w:t>
      </w:r>
      <w:r w:rsidR="00474B69" w:rsidRPr="009F3499">
        <w:t>overnment to meet the requirement to submit an annual report</w:t>
      </w:r>
      <w:r>
        <w:t xml:space="preserve"> to the Secretary on the </w:t>
      </w:r>
      <w:proofErr w:type="spellStart"/>
      <w:r>
        <w:t>Synar</w:t>
      </w:r>
      <w:proofErr w:type="spellEnd"/>
      <w:r>
        <w:t xml:space="preserve"> activities of the s</w:t>
      </w:r>
      <w:r w:rsidR="00474B69" w:rsidRPr="009F3499">
        <w:t xml:space="preserve">tates and their progress in meeting overall compliance with the </w:t>
      </w:r>
      <w:proofErr w:type="spellStart"/>
      <w:r w:rsidR="00474B69" w:rsidRPr="009F3499">
        <w:t>Synar</w:t>
      </w:r>
      <w:proofErr w:type="spellEnd"/>
      <w:r w:rsidR="00474B69" w:rsidRPr="009F3499">
        <w:t xml:space="preserve"> requirements. Information will also be used for a wide variety of other oversight, administrative, and statistical purpose</w:t>
      </w:r>
      <w:r w:rsidR="00474B69">
        <w:t>s</w:t>
      </w:r>
      <w:r>
        <w:t xml:space="preserve"> of the federal government, s</w:t>
      </w:r>
      <w:r w:rsidR="00474B69" w:rsidRPr="009F3499">
        <w:t>tate governments, and Congress. Data will be tabulated and analyzed using standard descriptive and statistical analytic techniques and will be published through the reports noted above, as well as through the publication of special analytic studies.</w:t>
      </w:r>
    </w:p>
    <w:p w:rsidR="00474B69" w:rsidRPr="009F3499" w:rsidRDefault="00474B69" w:rsidP="00474B69"/>
    <w:p w:rsidR="00474B69" w:rsidRDefault="00474B69" w:rsidP="00474B69">
      <w:pPr>
        <w:numPr>
          <w:ilvl w:val="0"/>
          <w:numId w:val="2"/>
        </w:numPr>
        <w:rPr>
          <w:b/>
          <w:bCs/>
          <w:u w:val="single"/>
        </w:rPr>
      </w:pPr>
      <w:r w:rsidRPr="009F3499">
        <w:rPr>
          <w:b/>
          <w:bCs/>
          <w:u w:val="single"/>
        </w:rPr>
        <w:lastRenderedPageBreak/>
        <w:t>Display of Expiration Date</w:t>
      </w:r>
    </w:p>
    <w:p w:rsidR="00474B69" w:rsidRPr="009F3499" w:rsidRDefault="00474B69" w:rsidP="00474B69">
      <w:pPr>
        <w:tabs>
          <w:tab w:val="left" w:pos="612"/>
        </w:tabs>
        <w:ind w:left="36"/>
        <w:rPr>
          <w:b/>
          <w:bCs/>
        </w:rPr>
      </w:pPr>
    </w:p>
    <w:p w:rsidR="00474B69" w:rsidRPr="009F3499" w:rsidRDefault="00474B69" w:rsidP="00474B69">
      <w:pPr>
        <w:ind w:right="1656"/>
      </w:pPr>
      <w:r w:rsidRPr="009F3499">
        <w:t xml:space="preserve">The </w:t>
      </w:r>
      <w:proofErr w:type="spellStart"/>
      <w:r w:rsidRPr="009F3499">
        <w:t>Synar</w:t>
      </w:r>
      <w:proofErr w:type="spellEnd"/>
      <w:r w:rsidRPr="009F3499">
        <w:t xml:space="preserve"> report format will display the expiration date.</w:t>
      </w:r>
    </w:p>
    <w:p w:rsidR="00474B69" w:rsidRDefault="00474B69" w:rsidP="00474B69">
      <w:pPr>
        <w:ind w:right="1656"/>
        <w:rPr>
          <w:b/>
        </w:rPr>
      </w:pPr>
    </w:p>
    <w:p w:rsidR="0074481C" w:rsidRDefault="0074481C" w:rsidP="00474B69">
      <w:pPr>
        <w:ind w:right="1656"/>
        <w:rPr>
          <w:b/>
        </w:rPr>
      </w:pPr>
    </w:p>
    <w:p w:rsidR="00474B69" w:rsidRPr="009F3499" w:rsidRDefault="00474B69" w:rsidP="00474B69">
      <w:pPr>
        <w:ind w:right="1656"/>
        <w:rPr>
          <w:b/>
          <w:bCs/>
          <w:u w:val="single"/>
        </w:rPr>
      </w:pPr>
      <w:r w:rsidRPr="009F3499">
        <w:rPr>
          <w:b/>
        </w:rPr>
        <w:t>18.</w:t>
      </w:r>
      <w:r w:rsidRPr="009F3499">
        <w:tab/>
      </w:r>
      <w:r w:rsidRPr="009F3499">
        <w:rPr>
          <w:b/>
          <w:bCs/>
          <w:u w:val="single"/>
        </w:rPr>
        <w:t>Exceptions to the Certification Statement</w:t>
      </w:r>
    </w:p>
    <w:p w:rsidR="00474B69" w:rsidRPr="009F3499" w:rsidRDefault="00474B69" w:rsidP="00474B69">
      <w:pPr>
        <w:ind w:right="1656"/>
        <w:rPr>
          <w:b/>
          <w:bCs/>
        </w:rPr>
      </w:pPr>
    </w:p>
    <w:p w:rsidR="00474B69" w:rsidRPr="009F3499" w:rsidRDefault="00474B69" w:rsidP="00474B69">
      <w:r w:rsidRPr="009F3499">
        <w:t>This collection of information involves no exceptions to the Certification for Paperwork Reduction Act submissions.</w:t>
      </w:r>
    </w:p>
    <w:p w:rsidR="00610DF0" w:rsidRDefault="00610DF0" w:rsidP="00474B69">
      <w:pPr>
        <w:jc w:val="center"/>
        <w:rPr>
          <w:b/>
          <w:bCs/>
        </w:rPr>
      </w:pPr>
    </w:p>
    <w:p w:rsidR="00610DF0" w:rsidRDefault="00610DF0" w:rsidP="00610DF0">
      <w:pPr>
        <w:rPr>
          <w:b/>
          <w:bCs/>
        </w:rPr>
      </w:pPr>
      <w:r>
        <w:rPr>
          <w:b/>
          <w:bCs/>
        </w:rPr>
        <w:t>B.  COLLECTION OF INFORMATION EMPLOYING STATISTICAL METHODS</w:t>
      </w:r>
    </w:p>
    <w:p w:rsidR="00610DF0" w:rsidRDefault="00610DF0" w:rsidP="00610DF0">
      <w:pPr>
        <w:rPr>
          <w:b/>
          <w:bCs/>
        </w:rPr>
      </w:pPr>
    </w:p>
    <w:p w:rsidR="00474B69" w:rsidRDefault="00610DF0" w:rsidP="00610DF0">
      <w:pPr>
        <w:rPr>
          <w:b/>
          <w:bCs/>
        </w:rPr>
      </w:pPr>
      <w:r>
        <w:rPr>
          <w:bCs/>
        </w:rPr>
        <w:t>This information collection does not involve statistical methods.</w:t>
      </w:r>
      <w:r w:rsidR="00474B69">
        <w:rPr>
          <w:b/>
          <w:bCs/>
        </w:rPr>
        <w:br w:type="page"/>
      </w:r>
      <w:r w:rsidR="00474B69" w:rsidRPr="009F3499">
        <w:rPr>
          <w:b/>
          <w:bCs/>
        </w:rPr>
        <w:lastRenderedPageBreak/>
        <w:t>List of Attachments</w:t>
      </w:r>
    </w:p>
    <w:p w:rsidR="00474B69" w:rsidRDefault="00474B69" w:rsidP="00474B69">
      <w:pPr>
        <w:jc w:val="center"/>
        <w:rPr>
          <w:b/>
          <w:bCs/>
        </w:rPr>
      </w:pPr>
    </w:p>
    <w:p w:rsidR="00474B69" w:rsidRPr="009F3499" w:rsidRDefault="00474B69" w:rsidP="00474B69">
      <w:pPr>
        <w:tabs>
          <w:tab w:val="left" w:pos="2988"/>
        </w:tabs>
        <w:spacing w:before="504"/>
      </w:pPr>
      <w:r w:rsidRPr="009F3499">
        <w:rPr>
          <w:u w:val="single"/>
        </w:rPr>
        <w:t>Attachment</w:t>
      </w:r>
      <w:r w:rsidRPr="009F3499">
        <w:tab/>
      </w:r>
      <w:r w:rsidRPr="009F3499">
        <w:rPr>
          <w:u w:val="single"/>
        </w:rPr>
        <w:t>Description</w:t>
      </w:r>
    </w:p>
    <w:p w:rsidR="00474B69" w:rsidRDefault="00474B69" w:rsidP="00474B69"/>
    <w:p w:rsidR="00474B69" w:rsidRPr="009F3499" w:rsidRDefault="00610DF0" w:rsidP="00474B69">
      <w:pPr>
        <w:tabs>
          <w:tab w:val="left" w:pos="1116"/>
        </w:tabs>
      </w:pPr>
      <w:r>
        <w:t>A</w:t>
      </w:r>
      <w:r w:rsidR="00474B69">
        <w:tab/>
      </w:r>
      <w:r>
        <w:t>FFY 2014-2016</w:t>
      </w:r>
      <w:r w:rsidR="00474B69" w:rsidRPr="009F3499">
        <w:t xml:space="preserve"> Annual </w:t>
      </w:r>
      <w:proofErr w:type="spellStart"/>
      <w:r w:rsidR="00474B69" w:rsidRPr="009F3499">
        <w:t>Synar</w:t>
      </w:r>
      <w:proofErr w:type="spellEnd"/>
      <w:r w:rsidR="00474B69" w:rsidRPr="009F3499">
        <w:t xml:space="preserve"> Report Format </w:t>
      </w:r>
    </w:p>
    <w:p w:rsidR="00474B69" w:rsidRDefault="00474B69" w:rsidP="00474B69">
      <w:pPr>
        <w:tabs>
          <w:tab w:val="left" w:pos="1116"/>
        </w:tabs>
      </w:pPr>
    </w:p>
    <w:p w:rsidR="00474B69" w:rsidRDefault="00610DF0" w:rsidP="00474B69">
      <w:pPr>
        <w:tabs>
          <w:tab w:val="left" w:pos="1152"/>
        </w:tabs>
        <w:ind w:left="1152" w:right="720" w:hanging="1152"/>
      </w:pPr>
      <w:r>
        <w:t>B</w:t>
      </w:r>
      <w:r w:rsidR="00474B69">
        <w:tab/>
        <w:t>I</w:t>
      </w:r>
      <w:r w:rsidR="00474B69" w:rsidRPr="009F3499">
        <w:t xml:space="preserve">nstructions to States for Completing the Annual </w:t>
      </w:r>
      <w:proofErr w:type="spellStart"/>
      <w:r w:rsidR="00474B69" w:rsidRPr="009F3499">
        <w:t>Sy</w:t>
      </w:r>
      <w:r w:rsidR="00BB6D1A">
        <w:t>nar</w:t>
      </w:r>
      <w:proofErr w:type="spellEnd"/>
      <w:r w:rsidR="00BB6D1A">
        <w:t xml:space="preserve"> Report Questionnaire </w:t>
      </w:r>
    </w:p>
    <w:p w:rsidR="00E07652" w:rsidRDefault="00E07652" w:rsidP="00474B69">
      <w:pPr>
        <w:tabs>
          <w:tab w:val="left" w:pos="1152"/>
        </w:tabs>
        <w:ind w:left="1152" w:right="720" w:hanging="1152"/>
      </w:pPr>
    </w:p>
    <w:p w:rsidR="00E07652" w:rsidRPr="009F3499" w:rsidRDefault="00E07652" w:rsidP="00474B69">
      <w:pPr>
        <w:tabs>
          <w:tab w:val="left" w:pos="1152"/>
        </w:tabs>
        <w:ind w:left="1152" w:right="720" w:hanging="1152"/>
      </w:pPr>
      <w:r>
        <w:t>C</w:t>
      </w:r>
      <w:r>
        <w:tab/>
        <w:t>Public Comment</w:t>
      </w:r>
    </w:p>
    <w:p w:rsidR="00474B69" w:rsidRPr="009F3499" w:rsidRDefault="00474B69" w:rsidP="00474B69"/>
    <w:sectPr w:rsidR="00474B69" w:rsidRPr="009F3499" w:rsidSect="00474B69">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FE0" w:rsidRDefault="00224FE0" w:rsidP="00474B69">
      <w:pPr>
        <w:pStyle w:val="Header"/>
      </w:pPr>
      <w:r>
        <w:separator/>
      </w:r>
    </w:p>
  </w:endnote>
  <w:endnote w:type="continuationSeparator" w:id="0">
    <w:p w:rsidR="00224FE0" w:rsidRDefault="00224FE0" w:rsidP="00474B69">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E0" w:rsidRDefault="009C1350" w:rsidP="00474B69">
    <w:pPr>
      <w:pStyle w:val="Footer"/>
      <w:framePr w:wrap="around" w:vAnchor="text" w:hAnchor="margin" w:xAlign="center" w:y="1"/>
      <w:rPr>
        <w:rStyle w:val="PageNumber"/>
      </w:rPr>
    </w:pPr>
    <w:r>
      <w:rPr>
        <w:rStyle w:val="PageNumber"/>
      </w:rPr>
      <w:fldChar w:fldCharType="begin"/>
    </w:r>
    <w:r w:rsidR="00224FE0">
      <w:rPr>
        <w:rStyle w:val="PageNumber"/>
      </w:rPr>
      <w:instrText xml:space="preserve">PAGE  </w:instrText>
    </w:r>
    <w:r>
      <w:rPr>
        <w:rStyle w:val="PageNumber"/>
      </w:rPr>
      <w:fldChar w:fldCharType="end"/>
    </w:r>
  </w:p>
  <w:p w:rsidR="00224FE0" w:rsidRDefault="00224F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E0" w:rsidRDefault="009C1350" w:rsidP="00474B69">
    <w:pPr>
      <w:pStyle w:val="Footer"/>
      <w:framePr w:wrap="around" w:vAnchor="text" w:hAnchor="margin" w:xAlign="center" w:y="1"/>
      <w:rPr>
        <w:rStyle w:val="PageNumber"/>
      </w:rPr>
    </w:pPr>
    <w:r>
      <w:rPr>
        <w:rStyle w:val="PageNumber"/>
      </w:rPr>
      <w:fldChar w:fldCharType="begin"/>
    </w:r>
    <w:r w:rsidR="00224FE0">
      <w:rPr>
        <w:rStyle w:val="PageNumber"/>
      </w:rPr>
      <w:instrText xml:space="preserve">PAGE  </w:instrText>
    </w:r>
    <w:r>
      <w:rPr>
        <w:rStyle w:val="PageNumber"/>
      </w:rPr>
      <w:fldChar w:fldCharType="separate"/>
    </w:r>
    <w:r w:rsidR="00BF7CEF">
      <w:rPr>
        <w:rStyle w:val="PageNumber"/>
        <w:noProof/>
      </w:rPr>
      <w:t>7</w:t>
    </w:r>
    <w:r>
      <w:rPr>
        <w:rStyle w:val="PageNumber"/>
      </w:rPr>
      <w:fldChar w:fldCharType="end"/>
    </w:r>
  </w:p>
  <w:p w:rsidR="00224FE0" w:rsidRDefault="00224FE0">
    <w:pPr>
      <w:pStyle w:val="Footer"/>
    </w:pPr>
    <w:r>
      <w:tab/>
    </w: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FE0" w:rsidRDefault="00224FE0" w:rsidP="00474B69">
      <w:pPr>
        <w:pStyle w:val="Header"/>
      </w:pPr>
      <w:r>
        <w:separator/>
      </w:r>
    </w:p>
  </w:footnote>
  <w:footnote w:type="continuationSeparator" w:id="0">
    <w:p w:rsidR="00224FE0" w:rsidRDefault="00224FE0" w:rsidP="00474B69">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6A67"/>
    <w:multiLevelType w:val="hybridMultilevel"/>
    <w:tmpl w:val="FEDAA9F4"/>
    <w:lvl w:ilvl="0" w:tplc="B6E858EE">
      <w:start w:val="17"/>
      <w:numFmt w:val="decimal"/>
      <w:lvlText w:val="%1."/>
      <w:lvlJc w:val="left"/>
      <w:pPr>
        <w:tabs>
          <w:tab w:val="num" w:pos="621"/>
        </w:tabs>
        <w:ind w:left="621" w:hanging="585"/>
      </w:pPr>
      <w:rPr>
        <w:rFonts w:cs="Times New Roman" w:hint="default"/>
        <w:u w:val="none"/>
      </w:rPr>
    </w:lvl>
    <w:lvl w:ilvl="1" w:tplc="04090019" w:tentative="1">
      <w:start w:val="1"/>
      <w:numFmt w:val="lowerLetter"/>
      <w:lvlText w:val="%2."/>
      <w:lvlJc w:val="left"/>
      <w:pPr>
        <w:tabs>
          <w:tab w:val="num" w:pos="1116"/>
        </w:tabs>
        <w:ind w:left="1116" w:hanging="360"/>
      </w:pPr>
      <w:rPr>
        <w:rFonts w:cs="Times New Roman"/>
      </w:rPr>
    </w:lvl>
    <w:lvl w:ilvl="2" w:tplc="0409001B" w:tentative="1">
      <w:start w:val="1"/>
      <w:numFmt w:val="lowerRoman"/>
      <w:lvlText w:val="%3."/>
      <w:lvlJc w:val="right"/>
      <w:pPr>
        <w:tabs>
          <w:tab w:val="num" w:pos="1836"/>
        </w:tabs>
        <w:ind w:left="1836" w:hanging="180"/>
      </w:pPr>
      <w:rPr>
        <w:rFonts w:cs="Times New Roman"/>
      </w:rPr>
    </w:lvl>
    <w:lvl w:ilvl="3" w:tplc="0409000F" w:tentative="1">
      <w:start w:val="1"/>
      <w:numFmt w:val="decimal"/>
      <w:lvlText w:val="%4."/>
      <w:lvlJc w:val="left"/>
      <w:pPr>
        <w:tabs>
          <w:tab w:val="num" w:pos="2556"/>
        </w:tabs>
        <w:ind w:left="2556" w:hanging="360"/>
      </w:pPr>
      <w:rPr>
        <w:rFonts w:cs="Times New Roman"/>
      </w:rPr>
    </w:lvl>
    <w:lvl w:ilvl="4" w:tplc="04090019" w:tentative="1">
      <w:start w:val="1"/>
      <w:numFmt w:val="lowerLetter"/>
      <w:lvlText w:val="%5."/>
      <w:lvlJc w:val="left"/>
      <w:pPr>
        <w:tabs>
          <w:tab w:val="num" w:pos="3276"/>
        </w:tabs>
        <w:ind w:left="3276" w:hanging="360"/>
      </w:pPr>
      <w:rPr>
        <w:rFonts w:cs="Times New Roman"/>
      </w:rPr>
    </w:lvl>
    <w:lvl w:ilvl="5" w:tplc="0409001B" w:tentative="1">
      <w:start w:val="1"/>
      <w:numFmt w:val="lowerRoman"/>
      <w:lvlText w:val="%6."/>
      <w:lvlJc w:val="right"/>
      <w:pPr>
        <w:tabs>
          <w:tab w:val="num" w:pos="3996"/>
        </w:tabs>
        <w:ind w:left="3996" w:hanging="180"/>
      </w:pPr>
      <w:rPr>
        <w:rFonts w:cs="Times New Roman"/>
      </w:rPr>
    </w:lvl>
    <w:lvl w:ilvl="6" w:tplc="0409000F" w:tentative="1">
      <w:start w:val="1"/>
      <w:numFmt w:val="decimal"/>
      <w:lvlText w:val="%7."/>
      <w:lvlJc w:val="left"/>
      <w:pPr>
        <w:tabs>
          <w:tab w:val="num" w:pos="4716"/>
        </w:tabs>
        <w:ind w:left="4716" w:hanging="360"/>
      </w:pPr>
      <w:rPr>
        <w:rFonts w:cs="Times New Roman"/>
      </w:rPr>
    </w:lvl>
    <w:lvl w:ilvl="7" w:tplc="04090019" w:tentative="1">
      <w:start w:val="1"/>
      <w:numFmt w:val="lowerLetter"/>
      <w:lvlText w:val="%8."/>
      <w:lvlJc w:val="left"/>
      <w:pPr>
        <w:tabs>
          <w:tab w:val="num" w:pos="5436"/>
        </w:tabs>
        <w:ind w:left="5436" w:hanging="360"/>
      </w:pPr>
      <w:rPr>
        <w:rFonts w:cs="Times New Roman"/>
      </w:rPr>
    </w:lvl>
    <w:lvl w:ilvl="8" w:tplc="0409001B" w:tentative="1">
      <w:start w:val="1"/>
      <w:numFmt w:val="lowerRoman"/>
      <w:lvlText w:val="%9."/>
      <w:lvlJc w:val="right"/>
      <w:pPr>
        <w:tabs>
          <w:tab w:val="num" w:pos="6156"/>
        </w:tabs>
        <w:ind w:left="6156" w:hanging="180"/>
      </w:pPr>
      <w:rPr>
        <w:rFonts w:cs="Times New Roman"/>
      </w:rPr>
    </w:lvl>
  </w:abstractNum>
  <w:abstractNum w:abstractNumId="1">
    <w:nsid w:val="30B41BB2"/>
    <w:multiLevelType w:val="hybridMultilevel"/>
    <w:tmpl w:val="FD9E29CC"/>
    <w:lvl w:ilvl="0" w:tplc="35E4DDE4">
      <w:start w:val="6"/>
      <w:numFmt w:val="decimal"/>
      <w:lvlText w:val="%1."/>
      <w:lvlJc w:val="left"/>
      <w:pPr>
        <w:tabs>
          <w:tab w:val="num" w:pos="651"/>
        </w:tabs>
        <w:ind w:left="651" w:hanging="615"/>
      </w:pPr>
      <w:rPr>
        <w:rFonts w:cs="Times New Roman" w:hint="default"/>
        <w:u w:val="none"/>
      </w:rPr>
    </w:lvl>
    <w:lvl w:ilvl="1" w:tplc="04090019" w:tentative="1">
      <w:start w:val="1"/>
      <w:numFmt w:val="lowerLetter"/>
      <w:lvlText w:val="%2."/>
      <w:lvlJc w:val="left"/>
      <w:pPr>
        <w:tabs>
          <w:tab w:val="num" w:pos="1116"/>
        </w:tabs>
        <w:ind w:left="1116" w:hanging="360"/>
      </w:pPr>
      <w:rPr>
        <w:rFonts w:cs="Times New Roman"/>
      </w:rPr>
    </w:lvl>
    <w:lvl w:ilvl="2" w:tplc="0409001B" w:tentative="1">
      <w:start w:val="1"/>
      <w:numFmt w:val="lowerRoman"/>
      <w:lvlText w:val="%3."/>
      <w:lvlJc w:val="right"/>
      <w:pPr>
        <w:tabs>
          <w:tab w:val="num" w:pos="1836"/>
        </w:tabs>
        <w:ind w:left="1836" w:hanging="180"/>
      </w:pPr>
      <w:rPr>
        <w:rFonts w:cs="Times New Roman"/>
      </w:rPr>
    </w:lvl>
    <w:lvl w:ilvl="3" w:tplc="0409000F" w:tentative="1">
      <w:start w:val="1"/>
      <w:numFmt w:val="decimal"/>
      <w:lvlText w:val="%4."/>
      <w:lvlJc w:val="left"/>
      <w:pPr>
        <w:tabs>
          <w:tab w:val="num" w:pos="2556"/>
        </w:tabs>
        <w:ind w:left="2556" w:hanging="360"/>
      </w:pPr>
      <w:rPr>
        <w:rFonts w:cs="Times New Roman"/>
      </w:rPr>
    </w:lvl>
    <w:lvl w:ilvl="4" w:tplc="04090019" w:tentative="1">
      <w:start w:val="1"/>
      <w:numFmt w:val="lowerLetter"/>
      <w:lvlText w:val="%5."/>
      <w:lvlJc w:val="left"/>
      <w:pPr>
        <w:tabs>
          <w:tab w:val="num" w:pos="3276"/>
        </w:tabs>
        <w:ind w:left="3276" w:hanging="360"/>
      </w:pPr>
      <w:rPr>
        <w:rFonts w:cs="Times New Roman"/>
      </w:rPr>
    </w:lvl>
    <w:lvl w:ilvl="5" w:tplc="0409001B" w:tentative="1">
      <w:start w:val="1"/>
      <w:numFmt w:val="lowerRoman"/>
      <w:lvlText w:val="%6."/>
      <w:lvlJc w:val="right"/>
      <w:pPr>
        <w:tabs>
          <w:tab w:val="num" w:pos="3996"/>
        </w:tabs>
        <w:ind w:left="3996" w:hanging="180"/>
      </w:pPr>
      <w:rPr>
        <w:rFonts w:cs="Times New Roman"/>
      </w:rPr>
    </w:lvl>
    <w:lvl w:ilvl="6" w:tplc="0409000F" w:tentative="1">
      <w:start w:val="1"/>
      <w:numFmt w:val="decimal"/>
      <w:lvlText w:val="%7."/>
      <w:lvlJc w:val="left"/>
      <w:pPr>
        <w:tabs>
          <w:tab w:val="num" w:pos="4716"/>
        </w:tabs>
        <w:ind w:left="4716" w:hanging="360"/>
      </w:pPr>
      <w:rPr>
        <w:rFonts w:cs="Times New Roman"/>
      </w:rPr>
    </w:lvl>
    <w:lvl w:ilvl="7" w:tplc="04090019" w:tentative="1">
      <w:start w:val="1"/>
      <w:numFmt w:val="lowerLetter"/>
      <w:lvlText w:val="%8."/>
      <w:lvlJc w:val="left"/>
      <w:pPr>
        <w:tabs>
          <w:tab w:val="num" w:pos="5436"/>
        </w:tabs>
        <w:ind w:left="5436" w:hanging="360"/>
      </w:pPr>
      <w:rPr>
        <w:rFonts w:cs="Times New Roman"/>
      </w:rPr>
    </w:lvl>
    <w:lvl w:ilvl="8" w:tplc="0409001B" w:tentative="1">
      <w:start w:val="1"/>
      <w:numFmt w:val="lowerRoman"/>
      <w:lvlText w:val="%9."/>
      <w:lvlJc w:val="right"/>
      <w:pPr>
        <w:tabs>
          <w:tab w:val="num" w:pos="6156"/>
        </w:tabs>
        <w:ind w:left="6156" w:hanging="180"/>
      </w:pPr>
      <w:rPr>
        <w:rFonts w:cs="Times New Roman"/>
      </w:rPr>
    </w:lvl>
  </w:abstractNum>
  <w:abstractNum w:abstractNumId="2">
    <w:nsid w:val="3559468F"/>
    <w:multiLevelType w:val="hybridMultilevel"/>
    <w:tmpl w:val="FBDA679E"/>
    <w:lvl w:ilvl="0" w:tplc="B81A51BC">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07CE4"/>
    <w:rsid w:val="000257D9"/>
    <w:rsid w:val="0003549E"/>
    <w:rsid w:val="000840D9"/>
    <w:rsid w:val="000B6D3E"/>
    <w:rsid w:val="00147ED5"/>
    <w:rsid w:val="001653D1"/>
    <w:rsid w:val="001B6764"/>
    <w:rsid w:val="00224FE0"/>
    <w:rsid w:val="00321DA0"/>
    <w:rsid w:val="00347D48"/>
    <w:rsid w:val="0037025C"/>
    <w:rsid w:val="003723C3"/>
    <w:rsid w:val="003A200A"/>
    <w:rsid w:val="003B5086"/>
    <w:rsid w:val="00474B69"/>
    <w:rsid w:val="004A7058"/>
    <w:rsid w:val="004F4570"/>
    <w:rsid w:val="00513C5F"/>
    <w:rsid w:val="00520D73"/>
    <w:rsid w:val="00543B5F"/>
    <w:rsid w:val="005F2644"/>
    <w:rsid w:val="005F522E"/>
    <w:rsid w:val="00600253"/>
    <w:rsid w:val="00610DF0"/>
    <w:rsid w:val="006614F0"/>
    <w:rsid w:val="006B36D7"/>
    <w:rsid w:val="006E4E65"/>
    <w:rsid w:val="00736745"/>
    <w:rsid w:val="0074481C"/>
    <w:rsid w:val="00761CEC"/>
    <w:rsid w:val="007645B9"/>
    <w:rsid w:val="007837A7"/>
    <w:rsid w:val="007A1CFA"/>
    <w:rsid w:val="007D2D25"/>
    <w:rsid w:val="007F5C3E"/>
    <w:rsid w:val="008000CD"/>
    <w:rsid w:val="0082332E"/>
    <w:rsid w:val="00876769"/>
    <w:rsid w:val="00884872"/>
    <w:rsid w:val="0097357E"/>
    <w:rsid w:val="009C1350"/>
    <w:rsid w:val="009F69A8"/>
    <w:rsid w:val="00A07AB4"/>
    <w:rsid w:val="00A13F92"/>
    <w:rsid w:val="00A97134"/>
    <w:rsid w:val="00AF234B"/>
    <w:rsid w:val="00B07380"/>
    <w:rsid w:val="00B162B5"/>
    <w:rsid w:val="00B9375B"/>
    <w:rsid w:val="00BB6D1A"/>
    <w:rsid w:val="00BF7CEF"/>
    <w:rsid w:val="00C279CD"/>
    <w:rsid w:val="00C469FF"/>
    <w:rsid w:val="00C74D5C"/>
    <w:rsid w:val="00C86BE5"/>
    <w:rsid w:val="00D33295"/>
    <w:rsid w:val="00D37DD4"/>
    <w:rsid w:val="00E07652"/>
    <w:rsid w:val="00F07CE4"/>
    <w:rsid w:val="00F15E8B"/>
    <w:rsid w:val="00F25870"/>
    <w:rsid w:val="00F47125"/>
    <w:rsid w:val="00F946E1"/>
    <w:rsid w:val="00FA6673"/>
    <w:rsid w:val="00FC0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0CD"/>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1106"/>
    <w:pPr>
      <w:tabs>
        <w:tab w:val="center" w:pos="4320"/>
        <w:tab w:val="right" w:pos="8640"/>
      </w:tabs>
    </w:pPr>
  </w:style>
  <w:style w:type="paragraph" w:styleId="Footer">
    <w:name w:val="footer"/>
    <w:basedOn w:val="Normal"/>
    <w:rsid w:val="009E1106"/>
    <w:pPr>
      <w:tabs>
        <w:tab w:val="center" w:pos="4320"/>
        <w:tab w:val="right" w:pos="8640"/>
      </w:tabs>
    </w:pPr>
  </w:style>
  <w:style w:type="table" w:styleId="TableGrid">
    <w:name w:val="Table Grid"/>
    <w:basedOn w:val="TableNormal"/>
    <w:rsid w:val="00D037C4"/>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C26F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Pages>
  <Words>2927</Words>
  <Characters>16159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Substance Abuse Prevention and Treatment Block Grant</vt:lpstr>
    </vt:vector>
  </TitlesOfParts>
  <Company/>
  <LinksUpToDate>false</LinksUpToDate>
  <CharactersWithSpaces>19048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Prevention and Treatment Block Grant</dc:title>
  <dc:subject/>
  <dc:creator>SKING</dc:creator>
  <cp:keywords/>
  <dc:description/>
  <cp:lastModifiedBy>Susan.Marsiglia</cp:lastModifiedBy>
  <cp:revision>2</cp:revision>
  <dcterms:created xsi:type="dcterms:W3CDTF">2013-04-30T21:05:00Z</dcterms:created>
  <dcterms:modified xsi:type="dcterms:W3CDTF">2013-04-30T21:05:00Z</dcterms:modified>
</cp:coreProperties>
</file>