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FDC" w:rsidRPr="007B7C06" w:rsidRDefault="007B2FDC">
      <w:pPr>
        <w:rPr>
          <w:rFonts w:asciiTheme="minorHAnsi" w:hAnsiTheme="minorHAnsi"/>
        </w:rPr>
      </w:pPr>
      <w:r w:rsidRPr="007B7C0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9B1C52" wp14:editId="429A74A5">
                <wp:simplePos x="0" y="0"/>
                <wp:positionH relativeFrom="column">
                  <wp:posOffset>-52070</wp:posOffset>
                </wp:positionH>
                <wp:positionV relativeFrom="paragraph">
                  <wp:posOffset>-694690</wp:posOffset>
                </wp:positionV>
                <wp:extent cx="4114800" cy="822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D58" w:rsidRPr="007B7C06" w:rsidRDefault="005B1D58">
                            <w:pPr>
                              <w:rPr>
                                <w:rFonts w:asciiTheme="minorHAnsi" w:hAnsiTheme="minorHAnsi"/>
                                <w:i/>
                                <w:sz w:val="1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00"/>
                              </w:rPr>
                              <w:t>M</w:t>
                            </w:r>
                            <w:r w:rsidRPr="007B7C06">
                              <w:rPr>
                                <w:rFonts w:asciiTheme="minorHAnsi" w:hAnsiTheme="minorHAnsi"/>
                                <w:i/>
                                <w:sz w:val="100"/>
                              </w:rPr>
                              <w:t>emorandum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-54.7pt;width:324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N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" o:allowincell="f" stroked="f">
                <v:textbox>
                  <w:txbxContent>
                    <w:p w:rsidR="005B1D58" w:rsidRPr="007B7C06" w:rsidRDefault="005B1D58">
                      <w:pPr>
                        <w:rPr>
                          <w:rFonts w:asciiTheme="minorHAnsi" w:hAnsiTheme="minorHAnsi"/>
                          <w:i/>
                          <w:sz w:val="100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100"/>
                        </w:rPr>
                        <w:t>M</w:t>
                      </w:r>
                      <w:r w:rsidRPr="007B7C06">
                        <w:rPr>
                          <w:rFonts w:asciiTheme="minorHAnsi" w:hAnsiTheme="minorHAnsi"/>
                          <w:i/>
                          <w:sz w:val="100"/>
                        </w:rPr>
                        <w:t>emorandum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</w:tblGrid>
      <w:tr w:rsidR="007B2FDC" w:rsidRPr="007B7C06">
        <w:tc>
          <w:tcPr>
            <w:tcW w:w="6840" w:type="dxa"/>
          </w:tcPr>
          <w:p w:rsidR="007B2FDC" w:rsidRPr="007B7C06" w:rsidRDefault="00635A91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/>
                <w:b/>
                <w:sz w:val="30"/>
              </w:rPr>
              <w:t>Social and Economic Policy</w:t>
            </w:r>
          </w:p>
        </w:tc>
      </w:tr>
    </w:tbl>
    <w:p w:rsidR="007B2FDC" w:rsidRPr="007B7C06" w:rsidRDefault="007B2FDC">
      <w:pPr>
        <w:rPr>
          <w:rFonts w:asciiTheme="minorHAnsi" w:hAnsiTheme="minorHAnsi"/>
        </w:rPr>
      </w:pPr>
    </w:p>
    <w:tbl>
      <w:tblPr>
        <w:tblW w:w="9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7722"/>
      </w:tblGrid>
      <w:tr w:rsidR="007B2FDC" w:rsidRPr="007B7C06" w:rsidTr="00165891"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7722" w:type="dxa"/>
          </w:tcPr>
          <w:p w:rsidR="007B2FDC" w:rsidRPr="007B7C06" w:rsidRDefault="00416376" w:rsidP="003F48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April</w:t>
            </w:r>
            <w:r w:rsidR="00337C1A" w:rsidRPr="007B7C06">
              <w:rPr>
                <w:rFonts w:asciiTheme="minorHAnsi" w:hAnsiTheme="minorHAnsi"/>
              </w:rPr>
              <w:t xml:space="preserve"> </w:t>
            </w:r>
            <w:r w:rsidR="003F4845">
              <w:rPr>
                <w:rFonts w:asciiTheme="minorHAnsi" w:hAnsiTheme="minorHAnsi"/>
              </w:rPr>
              <w:t>24</w:t>
            </w:r>
            <w:r w:rsidR="00337C1A" w:rsidRPr="007B7C06">
              <w:rPr>
                <w:rFonts w:asciiTheme="minorHAnsi" w:hAnsiTheme="minorHAnsi"/>
              </w:rPr>
              <w:t>, 2014</w:t>
            </w:r>
          </w:p>
        </w:tc>
      </w:tr>
      <w:tr w:rsidR="007B2FDC" w:rsidRPr="007B7C06" w:rsidTr="00165891">
        <w:trPr>
          <w:gridAfter w:val="1"/>
          <w:wAfter w:w="7722" w:type="dxa"/>
          <w:cantSplit/>
        </w:trPr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</w:p>
        </w:tc>
      </w:tr>
      <w:tr w:rsidR="007B2FDC" w:rsidRPr="007B7C06" w:rsidTr="00165891"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/>
                <w:b/>
              </w:rPr>
              <w:t>To</w:t>
            </w:r>
          </w:p>
        </w:tc>
        <w:tc>
          <w:tcPr>
            <w:tcW w:w="7722" w:type="dxa"/>
          </w:tcPr>
          <w:p w:rsidR="007B2FDC" w:rsidRPr="007B7C06" w:rsidRDefault="00635A91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 w:cs="Calibri"/>
              </w:rPr>
              <w:t>Jonathan Simonetta, DOL</w:t>
            </w:r>
          </w:p>
        </w:tc>
      </w:tr>
      <w:tr w:rsidR="007B2FDC" w:rsidRPr="007B7C06" w:rsidTr="00165891">
        <w:trPr>
          <w:gridAfter w:val="1"/>
          <w:wAfter w:w="7722" w:type="dxa"/>
          <w:cantSplit/>
        </w:trPr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</w:p>
        </w:tc>
      </w:tr>
      <w:tr w:rsidR="007B2FDC" w:rsidRPr="007B7C06" w:rsidTr="00165891"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/>
                <w:b/>
              </w:rPr>
              <w:t>From</w:t>
            </w:r>
          </w:p>
        </w:tc>
        <w:tc>
          <w:tcPr>
            <w:tcW w:w="7722" w:type="dxa"/>
          </w:tcPr>
          <w:p w:rsidR="007B2FDC" w:rsidRPr="007B7C06" w:rsidRDefault="00635A91" w:rsidP="003F4845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 w:cs="Calibri"/>
              </w:rPr>
              <w:t xml:space="preserve">Jacob Klerman, </w:t>
            </w:r>
            <w:r w:rsidR="00337C1A" w:rsidRPr="007B7C06">
              <w:rPr>
                <w:rFonts w:asciiTheme="minorHAnsi" w:hAnsiTheme="minorHAnsi" w:cs="Calibri"/>
              </w:rPr>
              <w:t xml:space="preserve">Alyssa Pozniak, </w:t>
            </w:r>
            <w:r w:rsidR="00416376">
              <w:rPr>
                <w:rFonts w:asciiTheme="minorHAnsi" w:hAnsiTheme="minorHAnsi" w:cs="Calibri"/>
              </w:rPr>
              <w:t xml:space="preserve">Krista Olson, </w:t>
            </w:r>
            <w:r w:rsidR="003F4845">
              <w:rPr>
                <w:rFonts w:asciiTheme="minorHAnsi" w:hAnsiTheme="minorHAnsi" w:cs="Calibri"/>
              </w:rPr>
              <w:t>Abt and Kelly Daley and Julie Pacer, Abt SRBI</w:t>
            </w:r>
          </w:p>
        </w:tc>
      </w:tr>
      <w:tr w:rsidR="007B2FDC" w:rsidRPr="007B7C06" w:rsidTr="00165891">
        <w:trPr>
          <w:gridAfter w:val="1"/>
          <w:wAfter w:w="7722" w:type="dxa"/>
          <w:cantSplit/>
        </w:trPr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</w:p>
        </w:tc>
      </w:tr>
      <w:tr w:rsidR="007B2FDC" w:rsidRPr="007B7C06" w:rsidTr="00165891">
        <w:tc>
          <w:tcPr>
            <w:tcW w:w="1296" w:type="dxa"/>
          </w:tcPr>
          <w:p w:rsidR="007B2FDC" w:rsidRPr="007B7C06" w:rsidRDefault="007B2FDC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7722" w:type="dxa"/>
          </w:tcPr>
          <w:p w:rsidR="007B2FDC" w:rsidRPr="007B7C06" w:rsidRDefault="00635A91" w:rsidP="00337C1A">
            <w:pPr>
              <w:rPr>
                <w:rFonts w:asciiTheme="minorHAnsi" w:hAnsiTheme="minorHAnsi"/>
                <w:b/>
              </w:rPr>
            </w:pPr>
            <w:r w:rsidRPr="007B7C06">
              <w:rPr>
                <w:rFonts w:asciiTheme="minorHAnsi" w:hAnsiTheme="minorHAnsi" w:cs="Calibri"/>
              </w:rPr>
              <w:t xml:space="preserve">Abt’s Response to </w:t>
            </w:r>
            <w:r w:rsidR="00337C1A" w:rsidRPr="007B7C06">
              <w:rPr>
                <w:rFonts w:asciiTheme="minorHAnsi" w:hAnsiTheme="minorHAnsi" w:cs="Calibri"/>
              </w:rPr>
              <w:t xml:space="preserve">OMB’s </w:t>
            </w:r>
            <w:r w:rsidR="003F4845">
              <w:rPr>
                <w:rFonts w:asciiTheme="minorHAnsi" w:hAnsiTheme="minorHAnsi" w:cs="Calibri"/>
              </w:rPr>
              <w:t xml:space="preserve">4/21/14 </w:t>
            </w:r>
            <w:r w:rsidRPr="007B7C06">
              <w:rPr>
                <w:rFonts w:asciiTheme="minorHAnsi" w:hAnsiTheme="minorHAnsi" w:cs="Calibri"/>
              </w:rPr>
              <w:t>Comments</w:t>
            </w:r>
          </w:p>
        </w:tc>
      </w:tr>
    </w:tbl>
    <w:p w:rsidR="007B2FDC" w:rsidRDefault="007B2FDC">
      <w:pPr>
        <w:pBdr>
          <w:bottom w:val="single" w:sz="6" w:space="1" w:color="auto"/>
        </w:pBdr>
        <w:rPr>
          <w:rFonts w:asciiTheme="minorHAnsi" w:hAnsiTheme="minorHAnsi"/>
        </w:rPr>
      </w:pPr>
    </w:p>
    <w:p w:rsidR="009419A4" w:rsidRPr="007B7C06" w:rsidRDefault="009419A4">
      <w:pPr>
        <w:rPr>
          <w:rFonts w:asciiTheme="minorHAnsi" w:hAnsiTheme="minorHAnsi"/>
        </w:rPr>
      </w:pPr>
    </w:p>
    <w:p w:rsidR="002E23C0" w:rsidRDefault="0055048C" w:rsidP="005644AC">
      <w:pPr>
        <w:spacing w:after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Thank you for forwarding the </w:t>
      </w:r>
      <w:r w:rsidR="00E950F7">
        <w:rPr>
          <w:rFonts w:asciiTheme="minorHAnsi" w:hAnsiTheme="minorHAnsi"/>
        </w:rPr>
        <w:t>additional</w:t>
      </w:r>
      <w:r>
        <w:rPr>
          <w:rFonts w:asciiTheme="minorHAnsi" w:hAnsiTheme="minorHAnsi"/>
        </w:rPr>
        <w:t xml:space="preserve"> set of comments prep</w:t>
      </w:r>
      <w:r w:rsidR="007D7DFF">
        <w:rPr>
          <w:rFonts w:asciiTheme="minorHAnsi" w:hAnsiTheme="minorHAnsi"/>
        </w:rPr>
        <w:t xml:space="preserve">ared by OMB </w:t>
      </w:r>
      <w:r w:rsidR="002E23C0">
        <w:rPr>
          <w:rFonts w:asciiTheme="minorHAnsi" w:hAnsiTheme="minorHAnsi"/>
        </w:rPr>
        <w:t>in</w:t>
      </w:r>
      <w:r w:rsidR="007D7DFF">
        <w:rPr>
          <w:rFonts w:asciiTheme="minorHAnsi" w:hAnsiTheme="minorHAnsi"/>
        </w:rPr>
        <w:t xml:space="preserve"> their </w:t>
      </w:r>
      <w:r w:rsidR="009419A4">
        <w:rPr>
          <w:rFonts w:asciiTheme="minorHAnsi" w:hAnsiTheme="minorHAnsi"/>
        </w:rPr>
        <w:t>continued review</w:t>
      </w:r>
      <w:r>
        <w:rPr>
          <w:rFonts w:asciiTheme="minorHAnsi" w:hAnsiTheme="minorHAnsi"/>
        </w:rPr>
        <w:t xml:space="preserve"> of the </w:t>
      </w:r>
      <w:r w:rsidR="0020202E" w:rsidRPr="0020202E">
        <w:rPr>
          <w:rFonts w:asciiTheme="minorHAnsi" w:hAnsiTheme="minorHAnsi"/>
        </w:rPr>
        <w:t>WORKER CLASSIFICATION SURVEY</w:t>
      </w:r>
      <w:r>
        <w:rPr>
          <w:rFonts w:asciiTheme="minorHAnsi" w:hAnsiTheme="minorHAnsi"/>
        </w:rPr>
        <w:t xml:space="preserve">.  </w:t>
      </w:r>
      <w:r w:rsidR="003E7372">
        <w:rPr>
          <w:rFonts w:asciiTheme="minorHAnsi" w:hAnsiTheme="minorHAnsi"/>
        </w:rPr>
        <w:t>As you requested, we have prepared the following memo with our response.</w:t>
      </w:r>
    </w:p>
    <w:p w:rsidR="00D52EEA" w:rsidRDefault="00385F96" w:rsidP="005644AC">
      <w:pPr>
        <w:spacing w:after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416376">
        <w:rPr>
          <w:rFonts w:asciiTheme="minorHAnsi" w:hAnsiTheme="minorHAnsi"/>
        </w:rPr>
        <w:t>OMB</w:t>
      </w:r>
      <w:r>
        <w:rPr>
          <w:rFonts w:asciiTheme="minorHAnsi" w:hAnsiTheme="minorHAnsi"/>
        </w:rPr>
        <w:t xml:space="preserve"> requested </w:t>
      </w:r>
      <w:r w:rsidR="00EE13C1">
        <w:rPr>
          <w:rFonts w:asciiTheme="minorHAnsi" w:hAnsiTheme="minorHAnsi"/>
        </w:rPr>
        <w:t xml:space="preserve">that </w:t>
      </w:r>
      <w:r>
        <w:rPr>
          <w:rFonts w:asciiTheme="minorHAnsi" w:hAnsiTheme="minorHAnsi"/>
        </w:rPr>
        <w:t xml:space="preserve">additional industry and occupation </w:t>
      </w:r>
      <w:r w:rsidR="00EE13C1">
        <w:rPr>
          <w:rFonts w:asciiTheme="minorHAnsi" w:hAnsiTheme="minorHAnsi"/>
        </w:rPr>
        <w:t>categories</w:t>
      </w:r>
      <w:r>
        <w:rPr>
          <w:rFonts w:asciiTheme="minorHAnsi" w:hAnsiTheme="minorHAnsi"/>
        </w:rPr>
        <w:t xml:space="preserve"> </w:t>
      </w:r>
      <w:r w:rsidR="00EE13C1">
        <w:rPr>
          <w:rFonts w:asciiTheme="minorHAnsi" w:hAnsiTheme="minorHAnsi"/>
        </w:rPr>
        <w:t xml:space="preserve">be </w:t>
      </w:r>
      <w:r>
        <w:rPr>
          <w:rFonts w:asciiTheme="minorHAnsi" w:hAnsiTheme="minorHAnsi"/>
        </w:rPr>
        <w:t>added to the coding scheme</w:t>
      </w:r>
      <w:r w:rsidR="00EE13C1">
        <w:rPr>
          <w:rFonts w:asciiTheme="minorHAnsi" w:hAnsiTheme="minorHAnsi"/>
        </w:rPr>
        <w:t xml:space="preserve">.  </w:t>
      </w:r>
      <w:r w:rsidR="002E23C0">
        <w:rPr>
          <w:rFonts w:asciiTheme="minorHAnsi" w:hAnsiTheme="minorHAnsi"/>
        </w:rPr>
        <w:t>T</w:t>
      </w:r>
      <w:r w:rsidR="00EE13C1">
        <w:rPr>
          <w:rFonts w:asciiTheme="minorHAnsi" w:hAnsiTheme="minorHAnsi"/>
        </w:rPr>
        <w:t xml:space="preserve">hese changes </w:t>
      </w:r>
      <w:r w:rsidR="002E23C0">
        <w:rPr>
          <w:rFonts w:asciiTheme="minorHAnsi" w:hAnsiTheme="minorHAnsi"/>
        </w:rPr>
        <w:t xml:space="preserve">affect </w:t>
      </w:r>
      <w:r w:rsidR="00EE13C1">
        <w:rPr>
          <w:rFonts w:asciiTheme="minorHAnsi" w:hAnsiTheme="minorHAnsi"/>
        </w:rPr>
        <w:t>t</w:t>
      </w:r>
      <w:r w:rsidR="002E23C0">
        <w:rPr>
          <w:rFonts w:asciiTheme="minorHAnsi" w:hAnsiTheme="minorHAnsi"/>
        </w:rPr>
        <w:t>wo</w:t>
      </w:r>
      <w:r w:rsidR="00EE13C1">
        <w:rPr>
          <w:rFonts w:asciiTheme="minorHAnsi" w:hAnsiTheme="minorHAnsi"/>
        </w:rPr>
        <w:t xml:space="preserve"> survey questions: QINDUSTRY_CODE and QOCCUP_CODE</w:t>
      </w:r>
      <w:r>
        <w:rPr>
          <w:rFonts w:asciiTheme="minorHAnsi" w:hAnsiTheme="minorHAnsi"/>
        </w:rPr>
        <w:t xml:space="preserve">.  </w:t>
      </w:r>
      <w:r w:rsidR="00416376">
        <w:rPr>
          <w:rFonts w:asciiTheme="minorHAnsi" w:hAnsiTheme="minorHAnsi"/>
        </w:rPr>
        <w:t xml:space="preserve"> Abt will </w:t>
      </w:r>
      <w:r w:rsidR="007D7DFF">
        <w:rPr>
          <w:rFonts w:asciiTheme="minorHAnsi" w:hAnsiTheme="minorHAnsi"/>
        </w:rPr>
        <w:t xml:space="preserve">make the </w:t>
      </w:r>
      <w:r w:rsidR="002E23C0">
        <w:rPr>
          <w:rFonts w:asciiTheme="minorHAnsi" w:hAnsiTheme="minorHAnsi"/>
        </w:rPr>
        <w:t xml:space="preserve">suggested </w:t>
      </w:r>
      <w:r w:rsidR="007D7DFF">
        <w:rPr>
          <w:rFonts w:asciiTheme="minorHAnsi" w:hAnsiTheme="minorHAnsi"/>
        </w:rPr>
        <w:t>changes in the coding scheme</w:t>
      </w:r>
      <w:r w:rsidR="003F4845">
        <w:rPr>
          <w:rFonts w:asciiTheme="minorHAnsi" w:hAnsiTheme="minorHAnsi"/>
        </w:rPr>
        <w:t xml:space="preserve">; that is, we will have </w:t>
      </w:r>
      <w:r w:rsidR="00EE13C1">
        <w:rPr>
          <w:rFonts w:asciiTheme="minorHAnsi" w:hAnsiTheme="minorHAnsi"/>
        </w:rPr>
        <w:t>1</w:t>
      </w:r>
      <w:r w:rsidR="003F4845">
        <w:rPr>
          <w:rFonts w:asciiTheme="minorHAnsi" w:hAnsiTheme="minorHAnsi"/>
        </w:rPr>
        <w:t>7</w:t>
      </w:r>
      <w:r w:rsidR="00EE13C1">
        <w:rPr>
          <w:rFonts w:asciiTheme="minorHAnsi" w:hAnsiTheme="minorHAnsi"/>
        </w:rPr>
        <w:t xml:space="preserve"> categories </w:t>
      </w:r>
      <w:r w:rsidR="009419A4">
        <w:rPr>
          <w:rFonts w:asciiTheme="minorHAnsi" w:hAnsiTheme="minorHAnsi"/>
        </w:rPr>
        <w:t>instead</w:t>
      </w:r>
      <w:r w:rsidR="003F4845">
        <w:rPr>
          <w:rFonts w:asciiTheme="minorHAnsi" w:hAnsiTheme="minorHAnsi"/>
        </w:rPr>
        <w:t xml:space="preserve"> of 12 </w:t>
      </w:r>
      <w:r w:rsidR="00EE13C1">
        <w:rPr>
          <w:rFonts w:asciiTheme="minorHAnsi" w:hAnsiTheme="minorHAnsi"/>
        </w:rPr>
        <w:t>categories for industry</w:t>
      </w:r>
      <w:r w:rsidR="003F4845">
        <w:rPr>
          <w:rFonts w:asciiTheme="minorHAnsi" w:hAnsiTheme="minorHAnsi"/>
        </w:rPr>
        <w:t xml:space="preserve"> (QINDUSTRY_CODE), and </w:t>
      </w:r>
      <w:r w:rsidR="00EE13C1">
        <w:rPr>
          <w:rFonts w:asciiTheme="minorHAnsi" w:hAnsiTheme="minorHAnsi"/>
        </w:rPr>
        <w:t>27 categories</w:t>
      </w:r>
      <w:r w:rsidR="003F4845">
        <w:rPr>
          <w:rFonts w:asciiTheme="minorHAnsi" w:hAnsiTheme="minorHAnsi"/>
        </w:rPr>
        <w:t xml:space="preserve"> instead of 24 categories for occupation (QOCCUP_CODE)</w:t>
      </w:r>
      <w:r w:rsidR="007D7DFF">
        <w:rPr>
          <w:rFonts w:asciiTheme="minorHAnsi" w:hAnsiTheme="minorHAnsi"/>
        </w:rPr>
        <w:t xml:space="preserve">.  </w:t>
      </w:r>
      <w:r w:rsidR="005644AC">
        <w:rPr>
          <w:rFonts w:asciiTheme="minorHAnsi" w:hAnsiTheme="minorHAnsi"/>
        </w:rPr>
        <w:t xml:space="preserve">The </w:t>
      </w:r>
      <w:r w:rsidR="009419A4">
        <w:rPr>
          <w:rFonts w:asciiTheme="minorHAnsi" w:hAnsiTheme="minorHAnsi"/>
        </w:rPr>
        <w:t xml:space="preserve">OMB-suggested </w:t>
      </w:r>
      <w:r w:rsidR="005644AC">
        <w:rPr>
          <w:rFonts w:asciiTheme="minorHAnsi" w:hAnsiTheme="minorHAnsi"/>
        </w:rPr>
        <w:t xml:space="preserve">categories for Industry and Occupation </w:t>
      </w:r>
      <w:r w:rsidR="009419A4">
        <w:rPr>
          <w:rFonts w:asciiTheme="minorHAnsi" w:hAnsiTheme="minorHAnsi"/>
        </w:rPr>
        <w:t xml:space="preserve">that we will use in the survey are presented </w:t>
      </w:r>
      <w:r w:rsidR="003F4845">
        <w:rPr>
          <w:rFonts w:asciiTheme="minorHAnsi" w:hAnsiTheme="minorHAnsi"/>
        </w:rPr>
        <w:t>Tables 1 and 2, respectively</w:t>
      </w:r>
      <w:r w:rsidR="005644AC">
        <w:rPr>
          <w:rFonts w:asciiTheme="minorHAnsi" w:hAnsiTheme="minorHAnsi"/>
        </w:rPr>
        <w:t>.</w:t>
      </w:r>
      <w:r w:rsidR="00E950F7">
        <w:rPr>
          <w:rFonts w:asciiTheme="minorHAnsi" w:hAnsiTheme="minorHAnsi"/>
        </w:rPr>
        <w:t xml:space="preserve">   </w:t>
      </w:r>
    </w:p>
    <w:p w:rsidR="0061157D" w:rsidRDefault="00407204" w:rsidP="005644AC">
      <w:pPr>
        <w:spacing w:after="18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1157D">
        <w:rPr>
          <w:rFonts w:asciiTheme="minorHAnsi" w:hAnsiTheme="minorHAnsi"/>
        </w:rPr>
        <w:t xml:space="preserve">omplying with OMB’s proposed changes to the industry and occupation codes will result in a small increase in the budget.  </w:t>
      </w:r>
      <w:r w:rsidR="00812081">
        <w:rPr>
          <w:rFonts w:asciiTheme="minorHAnsi" w:hAnsiTheme="minorHAnsi"/>
        </w:rPr>
        <w:t xml:space="preserve">The interviewer </w:t>
      </w:r>
      <w:r w:rsidR="0061157D">
        <w:rPr>
          <w:rFonts w:asciiTheme="minorHAnsi" w:hAnsiTheme="minorHAnsi"/>
        </w:rPr>
        <w:t xml:space="preserve"> training </w:t>
      </w:r>
      <w:r w:rsidR="00812081">
        <w:rPr>
          <w:rFonts w:asciiTheme="minorHAnsi" w:hAnsiTheme="minorHAnsi"/>
        </w:rPr>
        <w:t xml:space="preserve">provided by Abt SRBI </w:t>
      </w:r>
      <w:r w:rsidR="0061157D">
        <w:rPr>
          <w:rFonts w:asciiTheme="minorHAnsi" w:hAnsiTheme="minorHAnsi"/>
        </w:rPr>
        <w:t>will be slightly longer and some interviews will be longer to better probe for the specified industries and occupations</w:t>
      </w:r>
      <w:r>
        <w:rPr>
          <w:rFonts w:asciiTheme="minorHAnsi" w:hAnsiTheme="minorHAnsi"/>
        </w:rPr>
        <w:t xml:space="preserve"> Nonetheless, it is important to note that our overall approach to the coding operation will remain unchanged. Specifically, t</w:t>
      </w:r>
      <w:r w:rsidRPr="00E950F7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interviewer will record the respondent’s answer verbatim and also apply a code for both </w:t>
      </w:r>
      <w:r w:rsidRPr="00E950F7">
        <w:rPr>
          <w:rFonts w:asciiTheme="minorHAnsi" w:hAnsiTheme="minorHAnsi"/>
        </w:rPr>
        <w:t>industry and occupation</w:t>
      </w:r>
      <w:r>
        <w:rPr>
          <w:rFonts w:asciiTheme="minorHAnsi" w:hAnsiTheme="minorHAnsi"/>
        </w:rPr>
        <w:t xml:space="preserve">.  This remains consistent with our earlier discussions where we agreed that it would not be a prudent use of project resources to engage a professional coding operation. Given the (apparently) low prevalence of </w:t>
      </w:r>
      <w:r w:rsidR="00812081">
        <w:rPr>
          <w:rFonts w:asciiTheme="minorHAnsi" w:hAnsiTheme="minorHAnsi"/>
        </w:rPr>
        <w:t xml:space="preserve">worker </w:t>
      </w:r>
      <w:r>
        <w:rPr>
          <w:rFonts w:asciiTheme="minorHAnsi" w:hAnsiTheme="minorHAnsi"/>
        </w:rPr>
        <w:t>misclassification</w:t>
      </w:r>
      <w:r w:rsidR="0081208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it </w:t>
      </w:r>
      <w:r w:rsidR="00812081">
        <w:rPr>
          <w:rFonts w:asciiTheme="minorHAnsi" w:hAnsiTheme="minorHAnsi"/>
        </w:rPr>
        <w:t xml:space="preserve">appears </w:t>
      </w:r>
      <w:r>
        <w:rPr>
          <w:rFonts w:asciiTheme="minorHAnsi" w:hAnsiTheme="minorHAnsi"/>
        </w:rPr>
        <w:t xml:space="preserve">unlikely that we will have adequate statistical power to detect anything but the largest plausible </w:t>
      </w:r>
      <w:r w:rsidR="00812081" w:rsidRPr="00E950F7">
        <w:rPr>
          <w:rFonts w:asciiTheme="minorHAnsi" w:hAnsiTheme="minorHAnsi"/>
        </w:rPr>
        <w:t xml:space="preserve">differences </w:t>
      </w:r>
      <w:r w:rsidR="00812081">
        <w:rPr>
          <w:rFonts w:asciiTheme="minorHAnsi" w:hAnsiTheme="minorHAnsi"/>
        </w:rPr>
        <w:t>across</w:t>
      </w:r>
      <w:r w:rsidR="00812081" w:rsidRPr="00E950F7">
        <w:rPr>
          <w:rFonts w:asciiTheme="minorHAnsi" w:hAnsiTheme="minorHAnsi"/>
        </w:rPr>
        <w:t xml:space="preserve"> industry, occupation, or other subgroup</w:t>
      </w:r>
      <w:r w:rsidR="00812081">
        <w:rPr>
          <w:rFonts w:asciiTheme="minorHAnsi" w:hAnsiTheme="minorHAnsi"/>
        </w:rPr>
        <w:t xml:space="preserve"> classifications (see also 2/27</w:t>
      </w:r>
      <w:r w:rsidR="004C2375">
        <w:rPr>
          <w:rFonts w:asciiTheme="minorHAnsi" w:hAnsiTheme="minorHAnsi"/>
        </w:rPr>
        <w:t>/14</w:t>
      </w:r>
      <w:r w:rsidR="00812081">
        <w:rPr>
          <w:rFonts w:asciiTheme="minorHAnsi" w:hAnsiTheme="minorHAnsi"/>
        </w:rPr>
        <w:t xml:space="preserve"> </w:t>
      </w:r>
      <w:r w:rsidR="00812081" w:rsidRPr="00E950F7">
        <w:rPr>
          <w:rFonts w:asciiTheme="minorHAnsi" w:hAnsiTheme="minorHAnsi"/>
        </w:rPr>
        <w:t>memo</w:t>
      </w:r>
      <w:r w:rsidR="00812081">
        <w:rPr>
          <w:rFonts w:asciiTheme="minorHAnsi" w:hAnsiTheme="minorHAnsi"/>
        </w:rPr>
        <w:t xml:space="preserve">).Finally, the Public Use File delivered to DOL will include the verbatim responses although any identifying information about individuals or firms will be removed. </w:t>
      </w:r>
    </w:p>
    <w:p w:rsidR="0061157D" w:rsidRDefault="0061157D" w:rsidP="005644AC">
      <w:pPr>
        <w:spacing w:after="180"/>
        <w:rPr>
          <w:rFonts w:asciiTheme="minorHAnsi" w:hAnsiTheme="minorHAnsi"/>
        </w:rPr>
      </w:pPr>
    </w:p>
    <w:p w:rsidR="002E23C0" w:rsidRDefault="002E23C0" w:rsidP="005644AC">
      <w:pPr>
        <w:spacing w:after="180"/>
        <w:rPr>
          <w:rFonts w:asciiTheme="minorHAnsi" w:hAnsiTheme="minorHAnsi"/>
        </w:rPr>
      </w:pPr>
    </w:p>
    <w:p w:rsidR="009419A4" w:rsidRDefault="009419A4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5644AC" w:rsidRPr="00D8699B" w:rsidRDefault="003F4845" w:rsidP="003F4845">
      <w:pPr>
        <w:rPr>
          <w:rFonts w:asciiTheme="minorHAnsi" w:hAnsiTheme="minorHAnsi"/>
          <w:b/>
        </w:rPr>
      </w:pPr>
      <w:r w:rsidRPr="00D8699B">
        <w:rPr>
          <w:rFonts w:asciiTheme="minorHAnsi" w:hAnsiTheme="minorHAnsi"/>
          <w:b/>
        </w:rPr>
        <w:lastRenderedPageBreak/>
        <w:t>Table 1.  Revised Industry categories for the worker classification survey.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"/>
        <w:gridCol w:w="4672"/>
        <w:gridCol w:w="2262"/>
        <w:gridCol w:w="1454"/>
      </w:tblGrid>
      <w:tr w:rsidR="003F4845" w:rsidRPr="005644AC" w:rsidTr="003F4845">
        <w:trPr>
          <w:trHeight w:val="206"/>
          <w:tblHeader/>
        </w:trPr>
        <w:tc>
          <w:tcPr>
            <w:tcW w:w="2902" w:type="pct"/>
            <w:gridSpan w:val="2"/>
            <w:tcBorders>
              <w:top w:val="single" w:sz="4" w:space="0" w:color="auto"/>
            </w:tcBorders>
            <w:noWrap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Survey Variable: </w:t>
            </w:r>
            <w:r w:rsidRPr="005644AC">
              <w:rPr>
                <w:rFonts w:asciiTheme="minorHAnsi" w:hAnsiTheme="minorHAnsi"/>
                <w:b/>
                <w:bCs/>
              </w:rPr>
              <w:t>QINDUSTRY_CODE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b/>
                <w:bCs/>
              </w:rPr>
            </w:pPr>
            <w:r w:rsidRPr="005644AC">
              <w:rPr>
                <w:rFonts w:asciiTheme="minorHAnsi" w:hAnsiTheme="minorHAnsi"/>
                <w:b/>
                <w:bCs/>
              </w:rPr>
              <w:t>Census Industry 2012</w:t>
            </w:r>
          </w:p>
        </w:tc>
        <w:tc>
          <w:tcPr>
            <w:tcW w:w="821" w:type="pct"/>
            <w:tcBorders>
              <w:top w:val="single" w:sz="4" w:space="0" w:color="auto"/>
            </w:tcBorders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b/>
                <w:bCs/>
              </w:rPr>
            </w:pPr>
            <w:r w:rsidRPr="005644AC">
              <w:rPr>
                <w:rFonts w:asciiTheme="minorHAnsi" w:hAnsiTheme="minorHAnsi"/>
                <w:b/>
                <w:bCs/>
              </w:rPr>
              <w:t>NAICS 2012</w:t>
            </w:r>
          </w:p>
        </w:tc>
      </w:tr>
      <w:tr w:rsidR="003F4845" w:rsidRPr="005644AC" w:rsidTr="003F4845">
        <w:trPr>
          <w:trHeight w:val="233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Construction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0770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23</w:t>
            </w:r>
          </w:p>
        </w:tc>
      </w:tr>
      <w:tr w:rsidR="003F4845" w:rsidRPr="005644AC" w:rsidTr="003F4845">
        <w:trPr>
          <w:trHeight w:val="728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2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Computer and electronic product manufacturing (e.g., computers, video equipment, navigational instruments)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3365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334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3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Business to business electronic markets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Part of 4585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42511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4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Electronics stores (e.g., selling computers, games, cameras)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4795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443142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Internet publishing and broadcasting and web search portals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6672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51913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Telecommunications (e.g., carriers, satellite, resellers)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6680, 6690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517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Computer systems design and related services (e.g., information technology)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7380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5415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Management, scientific, and technical consulting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7390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5416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9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Transportation (e.g., air, bus service, pipeline, postal service)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6070-6380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48-492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10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 xml:space="preserve">Services to buildings and dwellings (e.g., cleaning, except related to construction) 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7690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5617 exc. 56173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11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 xml:space="preserve">Landscaping services 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7770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56173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12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Home health care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8170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6216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13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Child day care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8470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6244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14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Private household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9290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814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15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 xml:space="preserve">Food services and drinking places 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8680-8690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722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16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Personal care services (e.g., Barber shops, Beauty salons, Nail salons)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8970-8990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8121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17</w:t>
            </w: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b/>
                <w:bCs/>
              </w:rPr>
            </w:pPr>
            <w:r w:rsidRPr="005644AC">
              <w:rPr>
                <w:rFonts w:asciiTheme="minorHAnsi" w:hAnsiTheme="minorHAnsi"/>
                <w:b/>
                <w:bCs/>
              </w:rPr>
              <w:t xml:space="preserve">OTHER  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 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Agriculture, Forestry, Fishing, and Hunting, and Mining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0170-0490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11-21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Utilities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0570-0690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22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manufacturing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1070-3990 exc. 3365-3390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31-33 exc. 334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wholesale trade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4070-4590 exc. Part 4585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42 ex. 42511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retail trade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4670-5790 exc. 4795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44-45 exc. 443142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Warehousing and Storage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6390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493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information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6470-6780 exc. 6672, 6680-6690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51 exc. 51913, 517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Finance and Insurance, Real Estate, and Rental and Leasing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6870-7190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52-53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 xml:space="preserve">Other Professional, Scientific, and Technical Services 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7270-7490 exc. 7380, 7390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54 exc. 5415, 5416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Management of companies and enterprises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7570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55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administrative and support and waste management and remediation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7580-7790, exc. 7690, 7770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56 exc. 5617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Educational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7860-7890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61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health care and social assistance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7970-8470 exc. 8170, 8470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62 exc. 6216, 6244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Arts, entertainment, and recreation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8560-8590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71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accommodation and food services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8660-8670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72 exc. 722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All other services and Public administration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8770-9590 exc. 8970-8990, 9290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81-92 exc. 8121, 814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</w:p>
        </w:tc>
        <w:tc>
          <w:tcPr>
            <w:tcW w:w="2638" w:type="pct"/>
            <w:hideMark/>
          </w:tcPr>
          <w:p w:rsidR="003F4845" w:rsidRPr="005644AC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Military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9670-9870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928110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98</w:t>
            </w:r>
          </w:p>
        </w:tc>
        <w:tc>
          <w:tcPr>
            <w:tcW w:w="2638" w:type="pct"/>
            <w:noWrap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DK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  <w:i/>
                <w:iCs/>
              </w:rPr>
            </w:pPr>
            <w:r w:rsidRPr="005644AC">
              <w:rPr>
                <w:rFonts w:asciiTheme="minorHAnsi" w:hAnsiTheme="minorHAnsi"/>
                <w:i/>
                <w:iCs/>
              </w:rPr>
              <w:t> </w:t>
            </w:r>
          </w:p>
        </w:tc>
      </w:tr>
      <w:tr w:rsidR="003F4845" w:rsidRPr="005644AC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99</w:t>
            </w:r>
          </w:p>
        </w:tc>
        <w:tc>
          <w:tcPr>
            <w:tcW w:w="2638" w:type="pct"/>
            <w:noWrap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REF</w:t>
            </w:r>
          </w:p>
        </w:tc>
        <w:tc>
          <w:tcPr>
            <w:tcW w:w="1277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 </w:t>
            </w:r>
          </w:p>
        </w:tc>
        <w:tc>
          <w:tcPr>
            <w:tcW w:w="821" w:type="pct"/>
            <w:hideMark/>
          </w:tcPr>
          <w:p w:rsidR="003F4845" w:rsidRPr="005644AC" w:rsidRDefault="003F4845" w:rsidP="003F4845">
            <w:pPr>
              <w:rPr>
                <w:rFonts w:asciiTheme="minorHAnsi" w:hAnsiTheme="minorHAnsi"/>
              </w:rPr>
            </w:pPr>
            <w:r w:rsidRPr="005644AC">
              <w:rPr>
                <w:rFonts w:asciiTheme="minorHAnsi" w:hAnsiTheme="minorHAnsi"/>
              </w:rPr>
              <w:t> </w:t>
            </w:r>
          </w:p>
        </w:tc>
      </w:tr>
    </w:tbl>
    <w:p w:rsidR="005644AC" w:rsidRDefault="005644AC" w:rsidP="00C71FA0">
      <w:pPr>
        <w:spacing w:after="180"/>
        <w:rPr>
          <w:rFonts w:asciiTheme="minorHAnsi" w:hAnsiTheme="minorHAnsi"/>
        </w:rPr>
      </w:pPr>
    </w:p>
    <w:p w:rsidR="003F4845" w:rsidRDefault="003F4845" w:rsidP="00C71FA0">
      <w:pPr>
        <w:spacing w:after="180"/>
        <w:rPr>
          <w:rFonts w:asciiTheme="minorHAnsi" w:hAnsiTheme="minorHAnsi"/>
        </w:rPr>
      </w:pPr>
    </w:p>
    <w:p w:rsidR="003F4845" w:rsidRPr="009419A4" w:rsidRDefault="003F4845" w:rsidP="003F4845">
      <w:pPr>
        <w:rPr>
          <w:rFonts w:asciiTheme="minorHAnsi" w:hAnsiTheme="minorHAnsi"/>
          <w:b/>
        </w:rPr>
      </w:pPr>
      <w:r w:rsidRPr="009419A4">
        <w:rPr>
          <w:rFonts w:asciiTheme="minorHAnsi" w:hAnsiTheme="minorHAnsi"/>
          <w:b/>
        </w:rPr>
        <w:t>Table 2.  Revised Occupation categories for the worker classification survey.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"/>
        <w:gridCol w:w="5663"/>
        <w:gridCol w:w="1436"/>
        <w:gridCol w:w="1289"/>
      </w:tblGrid>
      <w:tr w:rsidR="003F4845" w:rsidRPr="003F4845" w:rsidTr="003F4845">
        <w:trPr>
          <w:trHeight w:val="20"/>
          <w:tblHeader/>
        </w:trPr>
        <w:tc>
          <w:tcPr>
            <w:tcW w:w="3461" w:type="pct"/>
            <w:gridSpan w:val="2"/>
            <w:tcBorders>
              <w:top w:val="single" w:sz="4" w:space="0" w:color="auto"/>
            </w:tcBorders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b/>
                <w:bCs/>
                <w:szCs w:val="22"/>
              </w:rPr>
              <w:t>QOCCUP_CODE</w:t>
            </w:r>
            <w:r w:rsidRPr="003F4845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</w:tcBorders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3F4845">
              <w:rPr>
                <w:rFonts w:asciiTheme="minorHAnsi" w:hAnsiTheme="minorHAnsi"/>
                <w:b/>
                <w:bCs/>
                <w:szCs w:val="22"/>
              </w:rPr>
              <w:t>Census Code</w:t>
            </w:r>
          </w:p>
        </w:tc>
        <w:tc>
          <w:tcPr>
            <w:tcW w:w="728" w:type="pct"/>
            <w:tcBorders>
              <w:top w:val="single" w:sz="4" w:space="0" w:color="auto"/>
            </w:tcBorders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3F4845">
              <w:rPr>
                <w:rFonts w:asciiTheme="minorHAnsi" w:hAnsiTheme="minorHAnsi"/>
                <w:b/>
                <w:bCs/>
                <w:szCs w:val="22"/>
              </w:rPr>
              <w:t>SOC 2010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Business and financial operations (e.g., agents, claims adjusters, human resources workers, fundraisers)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0500-0950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13-0000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Computer and mathematical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1000-1240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15-0000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Architecture and engineering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1300-1560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17-0000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Life, physical, and social science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1600-1965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19-0000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Postsecondary teachers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2200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25-1000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Preschool and kindergarten teachers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2300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25-2010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7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Elementary, middle school, and secondary school teachers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2310, 2320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25-2020--25-2030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Special education teachers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2330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25-2050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Other teachers and instructors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2340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25-3000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Teacher assistants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25-9041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Arts, design, entertainment, sports, and media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2600-2960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27-0000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Nursing, psychiatric, and home health aides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3600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31-1010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Massage therapists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3630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31-9011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Security guards and gaming surveillance officers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3930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33-9030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Food preparation and serving related occupations (e.g., cooks, bartenders, waiters)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4000-4160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35-000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Building grounds cleaning and maintenance occupations (e.g., janitors, maids, grounds maintenance, indoor landscaper)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4200-4250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37-000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Barbers, Hairdressers, cosmetologists, miscellaneous personal appearance, first line supervisors of personal service workers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4320, 4500-4520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39-1021, 39-5011--39-5090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Childcare workers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4600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39-9011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Financial clerks (e.g., bill collectors, billing clerk,, bookkeeping clerk,)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5100-5130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43-3000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Farming, fishing and forestry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6005-6130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45-0000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Construction occupations (e.g., carpenter, carpet installer, first-line supervisor of construction trades)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6200-6765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47-1011--47-4090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Extraction occupations (e.g., earth drillers, rotary drill operators)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6800-6940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47-5000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23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Telecommunications line installers and repairers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7420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49-9052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24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All other installation, maintenance, and repair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7000-7630 exc. 7420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49-0000 exc. 49-9052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25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Taxi drivers and chauffeurs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9140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53-3041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26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Laborers and material movers, by Hand (e.g., cleaners of vehicles, freight movers, machine feeders, packagers)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9610-9640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53-7060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27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3F4845">
              <w:rPr>
                <w:rFonts w:asciiTheme="minorHAnsi" w:hAnsiTheme="minorHAnsi"/>
                <w:b/>
                <w:bCs/>
                <w:szCs w:val="22"/>
              </w:rPr>
              <w:t>OTHER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 xml:space="preserve">Management occupations (e.g., CEO, financial managers, education administrators, computer and information systems managers) 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0010-0430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11-0000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Community and Social Service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2000-2060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21-0000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Legal occupations (e.g., lawyers, paralegals)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2100-2160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23-0000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education, training, and library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2400-2440, 2550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25-4000, 25-9000 exc. 25-9041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 xml:space="preserve">Healthcare </w:t>
            </w:r>
            <w:r w:rsidR="009419A4" w:rsidRPr="003F4845">
              <w:rPr>
                <w:rFonts w:asciiTheme="minorHAnsi" w:hAnsiTheme="minorHAnsi"/>
                <w:i/>
                <w:iCs/>
              </w:rPr>
              <w:t>practitioners</w:t>
            </w:r>
            <w:r w:rsidRPr="003F4845">
              <w:rPr>
                <w:rFonts w:asciiTheme="minorHAnsi" w:hAnsiTheme="minorHAnsi"/>
                <w:i/>
                <w:iCs/>
              </w:rPr>
              <w:t xml:space="preserve"> and technical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3000-3540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29-0000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Healthcare support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3600-3655, exc. 3600, 3630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31-0000 exc. 31-1010, 31-9011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 xml:space="preserve">All other protective service occupations 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3700-3955 exc. 3930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33-0000 exc. 33-9030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personal care and service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4300-4650, exc. 4320, 4500-4520, 4600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39-0000, exc. 39-1021, 39-5011--39-5090, 39-9011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 xml:space="preserve">Sales and related occupations 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4700-4965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41-0000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noWrap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Office and administrative support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5000-5940, exc. 5100-5130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43-0000, exc. 43-3000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Production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7700-8965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51-0000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Transportation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9000-9420, exc. 9140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53-1000--53-6000 exc. 53-3041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All other Material moving occupations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9500-9750, ex. 9610-9640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53-7000 exc. 53-7060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ind w:left="144"/>
              <w:rPr>
                <w:rFonts w:asciiTheme="minorHAnsi" w:hAnsiTheme="minorHAnsi"/>
                <w:i/>
                <w:iCs/>
              </w:rPr>
            </w:pPr>
            <w:r w:rsidRPr="003F4845">
              <w:rPr>
                <w:rFonts w:asciiTheme="minorHAnsi" w:hAnsiTheme="minorHAnsi"/>
                <w:i/>
                <w:iCs/>
              </w:rPr>
              <w:t>Military specific occupations (e.g., armored assault vehicle officers)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9800-9830</w:t>
            </w: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i/>
                <w:iCs/>
                <w:szCs w:val="22"/>
              </w:rPr>
            </w:pPr>
            <w:r w:rsidRPr="003F4845">
              <w:rPr>
                <w:rFonts w:asciiTheme="minorHAnsi" w:hAnsiTheme="minorHAnsi"/>
                <w:i/>
                <w:iCs/>
                <w:szCs w:val="22"/>
              </w:rPr>
              <w:t>55-0000</w:t>
            </w: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98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DK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</w:tr>
      <w:tr w:rsidR="003F4845" w:rsidRPr="003F4845" w:rsidTr="003F4845">
        <w:trPr>
          <w:trHeight w:val="20"/>
        </w:trPr>
        <w:tc>
          <w:tcPr>
            <w:tcW w:w="264" w:type="pct"/>
            <w:noWrap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99</w:t>
            </w:r>
          </w:p>
        </w:tc>
        <w:tc>
          <w:tcPr>
            <w:tcW w:w="3197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  <w:r w:rsidRPr="003F4845">
              <w:rPr>
                <w:rFonts w:asciiTheme="minorHAnsi" w:hAnsiTheme="minorHAnsi"/>
                <w:szCs w:val="22"/>
              </w:rPr>
              <w:t>REF</w:t>
            </w:r>
          </w:p>
        </w:tc>
        <w:tc>
          <w:tcPr>
            <w:tcW w:w="811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28" w:type="pct"/>
            <w:hideMark/>
          </w:tcPr>
          <w:p w:rsidR="003F4845" w:rsidRPr="003F4845" w:rsidRDefault="003F4845" w:rsidP="003F4845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7D7DFF" w:rsidRDefault="007D7DFF" w:rsidP="00C71FA0">
      <w:pPr>
        <w:spacing w:after="180"/>
        <w:rPr>
          <w:color w:val="1F497D"/>
        </w:rPr>
      </w:pPr>
    </w:p>
    <w:sectPr w:rsidR="007D7DF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576" w:left="216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FA" w:rsidRDefault="00F02BFA">
      <w:r>
        <w:separator/>
      </w:r>
    </w:p>
  </w:endnote>
  <w:endnote w:type="continuationSeparator" w:id="0">
    <w:p w:rsidR="00F02BFA" w:rsidRDefault="00F0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8" w:rsidRDefault="005B1D5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C81">
      <w:rPr>
        <w:rStyle w:val="PageNumber"/>
        <w:noProof/>
      </w:rPr>
      <w:t>2</w:t>
    </w:r>
    <w:r>
      <w:rPr>
        <w:rStyle w:val="PageNumber"/>
      </w:rPr>
      <w:fldChar w:fldCharType="end"/>
    </w:r>
  </w:p>
  <w:p w:rsidR="005B1D58" w:rsidRDefault="005B1D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8" w:rsidRDefault="005B1D58">
    <w:pPr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FA" w:rsidRDefault="00F02BFA">
      <w:r>
        <w:separator/>
      </w:r>
    </w:p>
  </w:footnote>
  <w:footnote w:type="continuationSeparator" w:id="0">
    <w:p w:rsidR="00F02BFA" w:rsidRDefault="00F0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8" w:rsidRDefault="005B1D58"/>
  <w:p w:rsidR="005B1D58" w:rsidRDefault="005B1D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8" w:rsidRDefault="005B1D5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219924" wp14:editId="3EFCD8F0">
          <wp:simplePos x="0" y="0"/>
          <wp:positionH relativeFrom="page">
            <wp:posOffset>6035040</wp:posOffset>
          </wp:positionH>
          <wp:positionV relativeFrom="page">
            <wp:posOffset>344170</wp:posOffset>
          </wp:positionV>
          <wp:extent cx="1105535" cy="1097280"/>
          <wp:effectExtent l="0" t="0" r="0" b="7620"/>
          <wp:wrapTight wrapText="bothSides">
            <wp:wrapPolygon edited="0">
              <wp:start x="9305" y="0"/>
              <wp:lineTo x="6700" y="0"/>
              <wp:lineTo x="372" y="4500"/>
              <wp:lineTo x="0" y="7125"/>
              <wp:lineTo x="0" y="14250"/>
              <wp:lineTo x="1489" y="18000"/>
              <wp:lineTo x="2233" y="19125"/>
              <wp:lineTo x="7072" y="21375"/>
              <wp:lineTo x="9305" y="21375"/>
              <wp:lineTo x="11910" y="21375"/>
              <wp:lineTo x="14144" y="21375"/>
              <wp:lineTo x="19354" y="19125"/>
              <wp:lineTo x="21215" y="13875"/>
              <wp:lineTo x="21215" y="7125"/>
              <wp:lineTo x="20843" y="4500"/>
              <wp:lineTo x="14516" y="0"/>
              <wp:lineTo x="11910" y="0"/>
              <wp:lineTo x="930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705"/>
    <w:multiLevelType w:val="hybridMultilevel"/>
    <w:tmpl w:val="13F04E62"/>
    <w:lvl w:ilvl="0" w:tplc="D97297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5F7E"/>
    <w:multiLevelType w:val="singleLevel"/>
    <w:tmpl w:val="8A2067C4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D154147"/>
    <w:multiLevelType w:val="singleLevel"/>
    <w:tmpl w:val="5294725A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57456EA"/>
    <w:multiLevelType w:val="singleLevel"/>
    <w:tmpl w:val="BE94DE2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3D995532"/>
    <w:multiLevelType w:val="hybridMultilevel"/>
    <w:tmpl w:val="B394AADC"/>
    <w:lvl w:ilvl="0" w:tplc="94529C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34F96"/>
    <w:multiLevelType w:val="hybridMultilevel"/>
    <w:tmpl w:val="7BF27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01A6"/>
    <w:multiLevelType w:val="hybridMultilevel"/>
    <w:tmpl w:val="DA0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E370F"/>
    <w:multiLevelType w:val="singleLevel"/>
    <w:tmpl w:val="DFE01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74E00A67"/>
    <w:multiLevelType w:val="singleLevel"/>
    <w:tmpl w:val="D32837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91"/>
    <w:rsid w:val="00021556"/>
    <w:rsid w:val="0002489E"/>
    <w:rsid w:val="000304D6"/>
    <w:rsid w:val="00055CEA"/>
    <w:rsid w:val="00087059"/>
    <w:rsid w:val="000976BE"/>
    <w:rsid w:val="000E333D"/>
    <w:rsid w:val="001302A7"/>
    <w:rsid w:val="001364A5"/>
    <w:rsid w:val="00165891"/>
    <w:rsid w:val="00166321"/>
    <w:rsid w:val="00171F01"/>
    <w:rsid w:val="00184A4A"/>
    <w:rsid w:val="00185AD3"/>
    <w:rsid w:val="001C68B0"/>
    <w:rsid w:val="0020202E"/>
    <w:rsid w:val="0024614F"/>
    <w:rsid w:val="002843E3"/>
    <w:rsid w:val="00294228"/>
    <w:rsid w:val="002A5A41"/>
    <w:rsid w:val="002C21E8"/>
    <w:rsid w:val="002D0E44"/>
    <w:rsid w:val="002E23C0"/>
    <w:rsid w:val="002E2690"/>
    <w:rsid w:val="002E79BA"/>
    <w:rsid w:val="0033154F"/>
    <w:rsid w:val="00337C1A"/>
    <w:rsid w:val="00344011"/>
    <w:rsid w:val="0035650B"/>
    <w:rsid w:val="00361C0E"/>
    <w:rsid w:val="00385F96"/>
    <w:rsid w:val="003936AC"/>
    <w:rsid w:val="003E4BC1"/>
    <w:rsid w:val="003E7372"/>
    <w:rsid w:val="003F4845"/>
    <w:rsid w:val="003F71B3"/>
    <w:rsid w:val="00407204"/>
    <w:rsid w:val="00416376"/>
    <w:rsid w:val="00433D81"/>
    <w:rsid w:val="004950FD"/>
    <w:rsid w:val="004C10BE"/>
    <w:rsid w:val="004C2375"/>
    <w:rsid w:val="004D4059"/>
    <w:rsid w:val="004F15DA"/>
    <w:rsid w:val="004F76B6"/>
    <w:rsid w:val="00510E06"/>
    <w:rsid w:val="00533AA0"/>
    <w:rsid w:val="005408AD"/>
    <w:rsid w:val="00545CEC"/>
    <w:rsid w:val="0055048C"/>
    <w:rsid w:val="005644AC"/>
    <w:rsid w:val="005A1C36"/>
    <w:rsid w:val="005B1D58"/>
    <w:rsid w:val="005D7457"/>
    <w:rsid w:val="005E5C72"/>
    <w:rsid w:val="0061157D"/>
    <w:rsid w:val="006212C4"/>
    <w:rsid w:val="00635A91"/>
    <w:rsid w:val="00660955"/>
    <w:rsid w:val="0068527E"/>
    <w:rsid w:val="00687AF5"/>
    <w:rsid w:val="00695CA0"/>
    <w:rsid w:val="00697B1E"/>
    <w:rsid w:val="006D3FF2"/>
    <w:rsid w:val="0070033D"/>
    <w:rsid w:val="007072E6"/>
    <w:rsid w:val="00714DA1"/>
    <w:rsid w:val="00724C81"/>
    <w:rsid w:val="00733920"/>
    <w:rsid w:val="00791705"/>
    <w:rsid w:val="007A3120"/>
    <w:rsid w:val="007B2FDC"/>
    <w:rsid w:val="007B7C06"/>
    <w:rsid w:val="007C3390"/>
    <w:rsid w:val="007D7DFF"/>
    <w:rsid w:val="007E1555"/>
    <w:rsid w:val="0080173F"/>
    <w:rsid w:val="00812081"/>
    <w:rsid w:val="00814501"/>
    <w:rsid w:val="00823213"/>
    <w:rsid w:val="00827069"/>
    <w:rsid w:val="00837ACE"/>
    <w:rsid w:val="00865027"/>
    <w:rsid w:val="00885AAA"/>
    <w:rsid w:val="008878CB"/>
    <w:rsid w:val="008B678F"/>
    <w:rsid w:val="008D6EF8"/>
    <w:rsid w:val="008F661E"/>
    <w:rsid w:val="0090086C"/>
    <w:rsid w:val="009126E1"/>
    <w:rsid w:val="00913B71"/>
    <w:rsid w:val="00931F1B"/>
    <w:rsid w:val="009419A4"/>
    <w:rsid w:val="0095059A"/>
    <w:rsid w:val="00973E9F"/>
    <w:rsid w:val="00974A4A"/>
    <w:rsid w:val="00976CD5"/>
    <w:rsid w:val="009B5AD3"/>
    <w:rsid w:val="009C60B6"/>
    <w:rsid w:val="009E0DDD"/>
    <w:rsid w:val="00A00D17"/>
    <w:rsid w:val="00A5647D"/>
    <w:rsid w:val="00A70C39"/>
    <w:rsid w:val="00A80935"/>
    <w:rsid w:val="00A84C06"/>
    <w:rsid w:val="00AC0E09"/>
    <w:rsid w:val="00AC535D"/>
    <w:rsid w:val="00AF6562"/>
    <w:rsid w:val="00B22B1B"/>
    <w:rsid w:val="00B90B55"/>
    <w:rsid w:val="00BD068C"/>
    <w:rsid w:val="00BD0C27"/>
    <w:rsid w:val="00BF42A0"/>
    <w:rsid w:val="00C25E78"/>
    <w:rsid w:val="00C34BAA"/>
    <w:rsid w:val="00C53D85"/>
    <w:rsid w:val="00C71FA0"/>
    <w:rsid w:val="00C8304C"/>
    <w:rsid w:val="00D0769F"/>
    <w:rsid w:val="00D15A0D"/>
    <w:rsid w:val="00D22E78"/>
    <w:rsid w:val="00D32889"/>
    <w:rsid w:val="00D4592A"/>
    <w:rsid w:val="00D52EEA"/>
    <w:rsid w:val="00D61F84"/>
    <w:rsid w:val="00D724E5"/>
    <w:rsid w:val="00D74E05"/>
    <w:rsid w:val="00D85A95"/>
    <w:rsid w:val="00D8699B"/>
    <w:rsid w:val="00DF7A45"/>
    <w:rsid w:val="00E1049F"/>
    <w:rsid w:val="00E10E9A"/>
    <w:rsid w:val="00E17ED3"/>
    <w:rsid w:val="00E3230B"/>
    <w:rsid w:val="00E52B02"/>
    <w:rsid w:val="00E57372"/>
    <w:rsid w:val="00E9019D"/>
    <w:rsid w:val="00E950F7"/>
    <w:rsid w:val="00ED0426"/>
    <w:rsid w:val="00EE13C1"/>
    <w:rsid w:val="00EE5B8E"/>
    <w:rsid w:val="00EE73BD"/>
    <w:rsid w:val="00F02BFA"/>
    <w:rsid w:val="00F05E9B"/>
    <w:rsid w:val="00F24925"/>
    <w:rsid w:val="00F52556"/>
    <w:rsid w:val="00F80AB7"/>
    <w:rsid w:val="00F93B49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2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link w:val="HeaderChar"/>
    <w:rsid w:val="007B2FDC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rFonts w:ascii="Arial" w:hAnsi="Arial"/>
      <w:dstrike w:val="0"/>
      <w:color w:val="auto"/>
      <w:sz w:val="20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"/>
      </w:numPr>
      <w:spacing w:after="240"/>
    </w:pPr>
  </w:style>
  <w:style w:type="character" w:customStyle="1" w:styleId="HeaderChar">
    <w:name w:val="Header Char"/>
    <w:basedOn w:val="DefaultParagraphFont"/>
    <w:link w:val="Header"/>
    <w:rsid w:val="007B2FDC"/>
    <w:rPr>
      <w:sz w:val="22"/>
    </w:rPr>
  </w:style>
  <w:style w:type="paragraph" w:customStyle="1" w:styleId="AbtHeadD">
    <w:name w:val="AbtHead D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outlineLvl w:val="3"/>
    </w:pPr>
    <w:rPr>
      <w:b/>
      <w:i/>
    </w:rPr>
  </w:style>
  <w:style w:type="paragraph" w:customStyle="1" w:styleId="Table">
    <w:name w:val="Table"/>
    <w:basedOn w:val="Normal"/>
    <w:pPr>
      <w:tabs>
        <w:tab w:val="left" w:pos="360"/>
        <w:tab w:val="left" w:pos="720"/>
        <w:tab w:val="left" w:pos="1440"/>
      </w:tabs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25E78"/>
    <w:rPr>
      <w:color w:val="80808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odyText">
    <w:name w:val="Body Text"/>
    <w:basedOn w:val="Normal"/>
    <w:pPr>
      <w:tabs>
        <w:tab w:val="left" w:pos="720"/>
        <w:tab w:val="left" w:pos="1080"/>
        <w:tab w:val="left" w:pos="1440"/>
        <w:tab w:val="left" w:pos="1800"/>
      </w:tabs>
    </w:pPr>
  </w:style>
  <w:style w:type="paragraph" w:customStyle="1" w:styleId="Numbers">
    <w:name w:val="Numbers"/>
    <w:basedOn w:val="BodyText"/>
    <w:pPr>
      <w:numPr>
        <w:numId w:val="5"/>
      </w:numPr>
    </w:pPr>
  </w:style>
  <w:style w:type="paragraph" w:customStyle="1" w:styleId="Bullets">
    <w:name w:val="Bullets"/>
    <w:basedOn w:val="BodyText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25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CommentText">
    <w:name w:val="annotation text"/>
    <w:basedOn w:val="Normal"/>
    <w:link w:val="CommentTextChar"/>
    <w:rsid w:val="004D40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059"/>
  </w:style>
  <w:style w:type="paragraph" w:styleId="CommentSubject">
    <w:name w:val="annotation subject"/>
    <w:basedOn w:val="CommentText"/>
    <w:next w:val="CommentText"/>
    <w:link w:val="CommentSubjectChar"/>
    <w:rsid w:val="004D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059"/>
    <w:rPr>
      <w:b/>
      <w:bCs/>
    </w:rPr>
  </w:style>
  <w:style w:type="paragraph" w:styleId="Revision">
    <w:name w:val="Revision"/>
    <w:hidden/>
    <w:uiPriority w:val="99"/>
    <w:semiHidden/>
    <w:rsid w:val="004D4059"/>
    <w:rPr>
      <w:sz w:val="22"/>
    </w:rPr>
  </w:style>
  <w:style w:type="table" w:styleId="TableGrid">
    <w:name w:val="Table Grid"/>
    <w:basedOn w:val="TableNormal"/>
    <w:rsid w:val="00564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2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link w:val="HeaderChar"/>
    <w:rsid w:val="007B2FDC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rFonts w:ascii="Arial" w:hAnsi="Arial"/>
      <w:dstrike w:val="0"/>
      <w:color w:val="auto"/>
      <w:sz w:val="20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"/>
      </w:numPr>
      <w:spacing w:after="240"/>
    </w:pPr>
  </w:style>
  <w:style w:type="character" w:customStyle="1" w:styleId="HeaderChar">
    <w:name w:val="Header Char"/>
    <w:basedOn w:val="DefaultParagraphFont"/>
    <w:link w:val="Header"/>
    <w:rsid w:val="007B2FDC"/>
    <w:rPr>
      <w:sz w:val="22"/>
    </w:rPr>
  </w:style>
  <w:style w:type="paragraph" w:customStyle="1" w:styleId="AbtHeadD">
    <w:name w:val="AbtHead D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outlineLvl w:val="3"/>
    </w:pPr>
    <w:rPr>
      <w:b/>
      <w:i/>
    </w:rPr>
  </w:style>
  <w:style w:type="paragraph" w:customStyle="1" w:styleId="Table">
    <w:name w:val="Table"/>
    <w:basedOn w:val="Normal"/>
    <w:pPr>
      <w:tabs>
        <w:tab w:val="left" w:pos="360"/>
        <w:tab w:val="left" w:pos="720"/>
        <w:tab w:val="left" w:pos="1440"/>
      </w:tabs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25E78"/>
    <w:rPr>
      <w:color w:val="80808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odyText">
    <w:name w:val="Body Text"/>
    <w:basedOn w:val="Normal"/>
    <w:pPr>
      <w:tabs>
        <w:tab w:val="left" w:pos="720"/>
        <w:tab w:val="left" w:pos="1080"/>
        <w:tab w:val="left" w:pos="1440"/>
        <w:tab w:val="left" w:pos="1800"/>
      </w:tabs>
    </w:pPr>
  </w:style>
  <w:style w:type="paragraph" w:customStyle="1" w:styleId="Numbers">
    <w:name w:val="Numbers"/>
    <w:basedOn w:val="BodyText"/>
    <w:pPr>
      <w:numPr>
        <w:numId w:val="5"/>
      </w:numPr>
    </w:pPr>
  </w:style>
  <w:style w:type="paragraph" w:customStyle="1" w:styleId="Bullets">
    <w:name w:val="Bullets"/>
    <w:basedOn w:val="BodyText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25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CommentText">
    <w:name w:val="annotation text"/>
    <w:basedOn w:val="Normal"/>
    <w:link w:val="CommentTextChar"/>
    <w:rsid w:val="004D40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059"/>
  </w:style>
  <w:style w:type="paragraph" w:styleId="CommentSubject">
    <w:name w:val="annotation subject"/>
    <w:basedOn w:val="CommentText"/>
    <w:next w:val="CommentText"/>
    <w:link w:val="CommentSubjectChar"/>
    <w:rsid w:val="004D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059"/>
    <w:rPr>
      <w:b/>
      <w:bCs/>
    </w:rPr>
  </w:style>
  <w:style w:type="paragraph" w:styleId="Revision">
    <w:name w:val="Revision"/>
    <w:hidden/>
    <w:uiPriority w:val="99"/>
    <w:semiHidden/>
    <w:rsid w:val="004D4059"/>
    <w:rPr>
      <w:sz w:val="22"/>
    </w:rPr>
  </w:style>
  <w:style w:type="table" w:styleId="TableGrid">
    <w:name w:val="Table Grid"/>
    <w:basedOn w:val="TableNormal"/>
    <w:rsid w:val="00564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Memorandu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Memorandum Template</Template>
  <TotalTime>0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Memorandum Template</vt:lpstr>
    </vt:vector>
  </TitlesOfParts>
  <Company>Abt Associates Inc.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Memorandum Template</dc:title>
  <dc:creator>Jan Nicholson</dc:creator>
  <cp:keywords>Memorandum Templates</cp:keywords>
  <cp:lastModifiedBy>rwaterma</cp:lastModifiedBy>
  <cp:revision>2</cp:revision>
  <cp:lastPrinted>2014-04-23T16:53:00Z</cp:lastPrinted>
  <dcterms:created xsi:type="dcterms:W3CDTF">2014-05-07T12:00:00Z</dcterms:created>
  <dcterms:modified xsi:type="dcterms:W3CDTF">2014-05-07T12:00:00Z</dcterms:modified>
  <cp:category>Templates</cp:category>
</cp:coreProperties>
</file>