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8C" w:rsidRPr="00E5144F" w:rsidRDefault="00A85E8C" w:rsidP="00E5144F">
      <w:pPr>
        <w:pStyle w:val="Title1"/>
      </w:pPr>
      <w:r w:rsidRPr="00E5144F">
        <w:t xml:space="preserve">Supporting Statement for </w:t>
      </w:r>
      <w:r w:rsidR="00537253" w:rsidRPr="00E5144F">
        <w:t>PRA</w:t>
      </w:r>
      <w:r w:rsidRPr="00E5144F">
        <w:t xml:space="preserve"> Submission</w:t>
      </w:r>
    </w:p>
    <w:p w:rsidR="00AF3AA0" w:rsidRPr="008F1669" w:rsidRDefault="00A85E8C" w:rsidP="008F1669">
      <w:pPr>
        <w:pStyle w:val="Title1"/>
      </w:pPr>
      <w:r w:rsidRPr="008F1669">
        <w:t>Chemical-terrorism Vulnerability Information</w:t>
      </w:r>
    </w:p>
    <w:p w:rsidR="00A85E8C" w:rsidRPr="008F1669" w:rsidRDefault="00A85E8C" w:rsidP="008F1669">
      <w:pPr>
        <w:pStyle w:val="Title1"/>
      </w:pPr>
      <w:r w:rsidRPr="008F1669">
        <w:t>OMB C</w:t>
      </w:r>
      <w:r w:rsidR="00E44302">
        <w:t>ontrol</w:t>
      </w:r>
      <w:r w:rsidRPr="008F1669">
        <w:t xml:space="preserve"> N</w:t>
      </w:r>
      <w:r w:rsidR="00E44302">
        <w:t>umber</w:t>
      </w:r>
      <w:r w:rsidRPr="008F1669">
        <w:t xml:space="preserve"> </w:t>
      </w:r>
      <w:r w:rsidR="00AC3AAF">
        <w:t>1670</w:t>
      </w:r>
      <w:r w:rsidRPr="008F1669">
        <w:t>-</w:t>
      </w:r>
      <w:r w:rsidR="00E44302">
        <w:t>0015</w:t>
      </w:r>
    </w:p>
    <w:p w:rsidR="00A85E8C" w:rsidRPr="00537253" w:rsidRDefault="00A50315" w:rsidP="00537253">
      <w:r>
        <w:pict>
          <v:rect id="_x0000_i1025" style="width:0;height:1.5pt" o:hralign="center" o:hrstd="t" o:hr="t" fillcolor="#aca899" stroked="f"/>
        </w:pict>
      </w:r>
    </w:p>
    <w:p w:rsidR="00EF45CC" w:rsidRPr="004E25BA" w:rsidRDefault="00EF45CC" w:rsidP="00E5144F">
      <w:pPr>
        <w:pStyle w:val="Heading1"/>
      </w:pPr>
      <w:r w:rsidRPr="004E25BA">
        <w:t>A.</w:t>
      </w:r>
      <w:r w:rsidR="00537253">
        <w:tab/>
      </w:r>
      <w:r w:rsidRPr="00E5144F">
        <w:t>JUSTIFICATION</w:t>
      </w:r>
    </w:p>
    <w:p w:rsidR="00EF45CC" w:rsidRPr="002E0DA6" w:rsidRDefault="00BB37B9" w:rsidP="00A306F1">
      <w:pPr>
        <w:pStyle w:val="Heading2"/>
      </w:pPr>
      <w:r w:rsidRPr="002E0DA6">
        <w:t>Circumstances that make the collection of information necessary</w:t>
      </w:r>
    </w:p>
    <w:p w:rsidR="006212DE" w:rsidRPr="00537253" w:rsidRDefault="006212DE" w:rsidP="00537253">
      <w:r w:rsidRPr="00537253">
        <w:t xml:space="preserve">On October 4, 2006, the President signed the Department of Homeland Security Appropriations Act of 2007 (the Act), Public Law 109-295. Section 550 of the Act provides the Department of Homeland Security with the authority to regulate the security of high-risk chemical facilities. </w:t>
      </w:r>
    </w:p>
    <w:p w:rsidR="006212DE" w:rsidRPr="00537253" w:rsidRDefault="006212DE" w:rsidP="00537253"/>
    <w:p w:rsidR="006212DE" w:rsidRPr="00537253" w:rsidRDefault="006212DE" w:rsidP="00537253">
      <w:r w:rsidRPr="00537253">
        <w:t xml:space="preserve">The Chemical Facility Anti-Terrorism Standards (CFATS), 6 CFR Part 27, are the Department’s regulations under Section 550 governing security at high-risk chemical facilities. CFATS represents a national-level effort to minimize terrorism risk to such facilities. Its design and implementation balance maintaining economic vitality with securing facilities and their surrounding communities. The regulations were designed, in collaboration with the private sector and other stakeholders, to take advantage of protective measures already in place and to allow facilities to employ a wide range of tailored measures to satisfy the regulations’ Risk-Based Performance Standards (RBPS). </w:t>
      </w:r>
    </w:p>
    <w:p w:rsidR="00C464EB" w:rsidRDefault="006212DE" w:rsidP="00537253">
      <w:r w:rsidRPr="00537253">
        <w:t>CFATS also establishes, in 6 CFR § 27.400, the requirements that covered persons must follow to safeguard certain documents and other information developed under the regulations. This information is identified as "Chemical-terrorism Vulnerability Information” (CVI) and by law receives protection from public disclosure and misuse</w:t>
      </w:r>
      <w:r w:rsidR="00DA41ED">
        <w:t>.</w:t>
      </w:r>
    </w:p>
    <w:p w:rsidR="00DA41ED" w:rsidRDefault="00DA41ED" w:rsidP="00537253"/>
    <w:p w:rsidR="00DA41ED" w:rsidRPr="004D181B" w:rsidRDefault="00DA41ED" w:rsidP="00DA41ED">
      <w:pPr>
        <w:rPr>
          <w:b/>
        </w:rPr>
      </w:pPr>
      <w:r w:rsidRPr="004D181B">
        <w:rPr>
          <w:b/>
        </w:rPr>
        <w:t>History of the Collection</w:t>
      </w:r>
    </w:p>
    <w:p w:rsidR="00DA41ED" w:rsidRPr="000B39A5" w:rsidRDefault="000B39A5" w:rsidP="000B39A5">
      <w:r>
        <w:t xml:space="preserve">In January 2010, the department submitted </w:t>
      </w:r>
      <w:r w:rsidR="00DA41ED" w:rsidRPr="000B39A5">
        <w:t>an IC</w:t>
      </w:r>
      <w:r w:rsidRPr="000B39A5">
        <w:t>R</w:t>
      </w:r>
      <w:r w:rsidR="00DA41ED" w:rsidRPr="000B39A5">
        <w:t xml:space="preserve"> for </w:t>
      </w:r>
      <w:r w:rsidR="00F13258" w:rsidRPr="000B39A5">
        <w:t>six</w:t>
      </w:r>
      <w:r w:rsidR="00DA41ED" w:rsidRPr="000B39A5">
        <w:t xml:space="preserve"> instruments. The request was approved on March 23, 2010 and the collection is set to expire on March 31, 2013.</w:t>
      </w:r>
    </w:p>
    <w:p w:rsidR="00DA41ED" w:rsidRPr="00F202F1" w:rsidRDefault="00DA41ED" w:rsidP="00DA41ED">
      <w:pPr>
        <w:pStyle w:val="Heading3"/>
      </w:pPr>
      <w:r>
        <w:t xml:space="preserve">Reason for </w:t>
      </w:r>
      <w:r w:rsidR="00370726">
        <w:t>Extension</w:t>
      </w:r>
    </w:p>
    <w:p w:rsidR="00DA41ED" w:rsidRPr="00537253" w:rsidRDefault="00DA41ED" w:rsidP="00537253">
      <w:r>
        <w:t xml:space="preserve">This request is submitted to </w:t>
      </w:r>
      <w:r w:rsidR="00370726">
        <w:t>extend</w:t>
      </w:r>
      <w:r>
        <w:t xml:space="preserve"> a collection which is currently approved but not yet expired. This </w:t>
      </w:r>
      <w:r w:rsidR="00370726">
        <w:t>extension</w:t>
      </w:r>
      <w:r>
        <w:t xml:space="preserve"> modifies the burden on some of the instruments based upon </w:t>
      </w:r>
      <w:r w:rsidR="00370726">
        <w:t xml:space="preserve">actual </w:t>
      </w:r>
      <w:r>
        <w:t xml:space="preserve">historical data </w:t>
      </w:r>
      <w:r w:rsidR="00370726">
        <w:t>collected between</w:t>
      </w:r>
      <w:r>
        <w:t xml:space="preserve"> January 2009 </w:t>
      </w:r>
      <w:r w:rsidR="00370726">
        <w:t>and</w:t>
      </w:r>
      <w:r>
        <w:t xml:space="preserve"> December 2011.</w:t>
      </w:r>
    </w:p>
    <w:p w:rsidR="00C464EB" w:rsidRPr="002E0DA6" w:rsidRDefault="00BB37B9" w:rsidP="00A306F1">
      <w:pPr>
        <w:pStyle w:val="Heading2"/>
      </w:pPr>
      <w:r w:rsidRPr="002E0DA6">
        <w:t>By whom, how, and for what purpose the information is to be used</w:t>
      </w:r>
    </w:p>
    <w:p w:rsidR="004E25BA" w:rsidRDefault="0046760E" w:rsidP="00537253">
      <w:r w:rsidRPr="00576A37">
        <w:t xml:space="preserve">There are </w:t>
      </w:r>
      <w:r w:rsidR="000B39A5">
        <w:t xml:space="preserve">six </w:t>
      </w:r>
      <w:r w:rsidR="009B7466" w:rsidRPr="00576A37">
        <w:t>instruments</w:t>
      </w:r>
      <w:r w:rsidR="002E0DA6" w:rsidRPr="00576A37">
        <w:t xml:space="preserve"> in this collection.  </w:t>
      </w:r>
      <w:r w:rsidR="00AE17B0">
        <w:t>These</w:t>
      </w:r>
      <w:r w:rsidR="00AE17B0" w:rsidRPr="00576A37">
        <w:t xml:space="preserve"> instruments</w:t>
      </w:r>
      <w:r w:rsidRPr="00576A37">
        <w:t xml:space="preserve"> will be used to</w:t>
      </w:r>
      <w:r w:rsidR="009B7466" w:rsidRPr="00576A37">
        <w:t xml:space="preserve"> </w:t>
      </w:r>
      <w:r w:rsidR="005D0DC9">
        <w:t xml:space="preserve">manage the CVI program in </w:t>
      </w:r>
      <w:r w:rsidR="005D0DC9" w:rsidRPr="00537253">
        <w:t>support</w:t>
      </w:r>
      <w:r w:rsidR="005D0DC9">
        <w:t xml:space="preserve"> of CFATS</w:t>
      </w:r>
      <w:r w:rsidR="009B7466" w:rsidRPr="00576A37">
        <w:t>.  The instruments that comprise this collection are as follows</w:t>
      </w:r>
      <w:r w:rsidR="00A862DC">
        <w:t>:</w:t>
      </w:r>
    </w:p>
    <w:p w:rsidR="00337753" w:rsidRPr="00352156" w:rsidRDefault="00337753" w:rsidP="00352156">
      <w:pPr>
        <w:pStyle w:val="Heading3"/>
      </w:pPr>
      <w:r w:rsidRPr="00352156">
        <w:t>Chemical-terrorism Vulnerability Information (CVI) Authorization</w:t>
      </w:r>
    </w:p>
    <w:p w:rsidR="00337753" w:rsidRDefault="00337753" w:rsidP="00337753">
      <w:pPr>
        <w:widowControl w:val="0"/>
        <w:tabs>
          <w:tab w:val="right" w:pos="9360"/>
        </w:tabs>
      </w:pPr>
      <w:r>
        <w:t>Chemical-terrorism Vulnerability In</w:t>
      </w:r>
      <w:r w:rsidR="00DA41ED">
        <w:t>formation (CVI) is a Sensitive b</w:t>
      </w:r>
      <w:r>
        <w:t xml:space="preserve">ut Unclassified </w:t>
      </w:r>
      <w:r>
        <w:lastRenderedPageBreak/>
        <w:t>designation authorized under P.L. 109-295 and implemented in 6 CFR 27.400.  CVI came into existence on June 8, 2007, when 6 CFR Part 27 became effective.  It is essential to provide training in order to protect the sensitive data that will be provided to the government.</w:t>
      </w:r>
    </w:p>
    <w:p w:rsidR="00337753" w:rsidRDefault="00337753" w:rsidP="00337753">
      <w:pPr>
        <w:widowControl w:val="0"/>
        <w:tabs>
          <w:tab w:val="right" w:pos="9360"/>
        </w:tabs>
      </w:pPr>
    </w:p>
    <w:p w:rsidR="00337753" w:rsidRDefault="00337753" w:rsidP="00337753">
      <w:pPr>
        <w:widowControl w:val="0"/>
        <w:tabs>
          <w:tab w:val="right" w:pos="9360"/>
        </w:tabs>
      </w:pPr>
      <w:r>
        <w:t>Pursuant to 6 CFR 27.400(e) (3), the Department may “make an individual’s access to CVI contingent upon … procedures and requirements for safeguarding CVI that are satisfactory to the Department.”  Using this authority the department requires individuals to undergo CVI training.  Specifically, the Department trains individuals on the appropriate maintenance, safeguarding, marking, disclosure, and destruction of CVI.  The primary audiences for the training are (1) individuals employed or contracted by chemical facilities, and (2) Federal, State, local employees and contractors.</w:t>
      </w:r>
    </w:p>
    <w:p w:rsidR="00337753" w:rsidRDefault="00337753" w:rsidP="00337753">
      <w:pPr>
        <w:widowControl w:val="0"/>
        <w:tabs>
          <w:tab w:val="right" w:pos="9360"/>
        </w:tabs>
      </w:pPr>
    </w:p>
    <w:p w:rsidR="00337753" w:rsidRPr="00142B0E" w:rsidRDefault="00337753" w:rsidP="00337753">
      <w:pPr>
        <w:widowControl w:val="0"/>
        <w:tabs>
          <w:tab w:val="right" w:pos="9360"/>
        </w:tabs>
      </w:pPr>
      <w:r>
        <w:t xml:space="preserve">To obtain CVI authorization, an individual must check several CVI affirmation statements, complete a web-based CVI authorized user application, and provide responses to several </w:t>
      </w:r>
      <w:r w:rsidR="00157957">
        <w:t>identity</w:t>
      </w:r>
      <w:r>
        <w:t xml:space="preserve"> verification questions.  Upon completion of the application, the system transmits the individual’s information to the Department.  The </w:t>
      </w:r>
      <w:r w:rsidRPr="000B39A5">
        <w:t>Department maintains a record for those individuals that has completed this training and provides a unique authorized user number to access CVI.  Authorizatio</w:t>
      </w:r>
      <w:r w:rsidRPr="00142B0E">
        <w:t>n for access to CVI does not constitute “need to know.”  The concept for need to know is addressed in the CVI Training and is based upon 6 CFR 27.400(e).</w:t>
      </w:r>
    </w:p>
    <w:p w:rsidR="00337753" w:rsidRPr="00142B0E" w:rsidRDefault="00337753" w:rsidP="00337753">
      <w:pPr>
        <w:widowControl w:val="0"/>
        <w:tabs>
          <w:tab w:val="right" w:pos="9360"/>
        </w:tabs>
      </w:pPr>
    </w:p>
    <w:p w:rsidR="00342141" w:rsidRPr="00342141" w:rsidRDefault="00342141" w:rsidP="00342141">
      <w:pPr>
        <w:pStyle w:val="Heading3"/>
      </w:pPr>
      <w:r w:rsidRPr="000068C3">
        <w:t>Determination of CVI</w:t>
      </w:r>
    </w:p>
    <w:p w:rsidR="005D0DC9" w:rsidRDefault="004E25BA" w:rsidP="00537253">
      <w:r w:rsidRPr="00AE17B0">
        <w:t>Pursuant to 6 CFR § 27.400(b)(1)-(8), a</w:t>
      </w:r>
      <w:r w:rsidR="009B7466" w:rsidRPr="00AE17B0">
        <w:t xml:space="preserve"> high risk facility will use this instrument </w:t>
      </w:r>
      <w:r w:rsidR="00C464EB" w:rsidRPr="00AE17B0">
        <w:t xml:space="preserve">in the event a facility develops information that could, in the facility's judgment, compromise the facility’s </w:t>
      </w:r>
      <w:r w:rsidR="00C464EB" w:rsidRPr="00537253">
        <w:t>security</w:t>
      </w:r>
      <w:r w:rsidR="00C464EB" w:rsidRPr="00AE17B0">
        <w:t xml:space="preserve"> if publicly disclosed and </w:t>
      </w:r>
      <w:r w:rsidR="00AE17B0">
        <w:t xml:space="preserve">this information </w:t>
      </w:r>
      <w:r w:rsidR="00AE17B0" w:rsidRPr="00AE17B0">
        <w:t xml:space="preserve">is not currently considered </w:t>
      </w:r>
      <w:r w:rsidR="00C464EB" w:rsidRPr="00AE17B0">
        <w:t>CVI</w:t>
      </w:r>
      <w:r w:rsidR="000140EF" w:rsidRPr="00AE17B0">
        <w:t xml:space="preserve">. </w:t>
      </w:r>
      <w:r w:rsidR="00C464EB" w:rsidRPr="00AE17B0">
        <w:t xml:space="preserve"> </w:t>
      </w:r>
      <w:r w:rsidRPr="00AE17B0">
        <w:t>DHS will communicate its final determination to the appropriate individual at the requesting facility.  DHS will maintain a record of each request</w:t>
      </w:r>
      <w:r w:rsidR="00AE17B0">
        <w:t>.</w:t>
      </w:r>
    </w:p>
    <w:p w:rsidR="005D0DC9" w:rsidRPr="00E5144F" w:rsidRDefault="005D0DC9" w:rsidP="00E5144F"/>
    <w:p w:rsidR="00FA0CDA" w:rsidRPr="00E5144F" w:rsidRDefault="005D0DC9" w:rsidP="00E5144F">
      <w:r w:rsidRPr="00E5144F">
        <w:t xml:space="preserve">The information collected by this instrument </w:t>
      </w:r>
      <w:r w:rsidR="00AC3AAF">
        <w:t xml:space="preserve">will generally be electronic but </w:t>
      </w:r>
      <w:r w:rsidRPr="00E5144F">
        <w:t xml:space="preserve">may take </w:t>
      </w:r>
      <w:r w:rsidR="00AC3AAF">
        <w:t>other</w:t>
      </w:r>
      <w:r w:rsidR="00AC3AAF" w:rsidRPr="00E5144F">
        <w:t xml:space="preserve"> </w:t>
      </w:r>
      <w:r w:rsidRPr="00E5144F">
        <w:t>form</w:t>
      </w:r>
      <w:r w:rsidR="00AC3AAF">
        <w:t>s</w:t>
      </w:r>
      <w:r w:rsidRPr="00E5144F">
        <w:t xml:space="preserve"> (e.g. paper, electronic, audio, video…) and content.  </w:t>
      </w:r>
    </w:p>
    <w:p w:rsidR="00342141" w:rsidRDefault="00342141" w:rsidP="00342141">
      <w:pPr>
        <w:pStyle w:val="Heading3"/>
      </w:pPr>
      <w:r w:rsidRPr="000068C3">
        <w:t xml:space="preserve">Determination of a </w:t>
      </w:r>
      <w:r w:rsidR="00370726">
        <w:t>“</w:t>
      </w:r>
      <w:r w:rsidR="00370726" w:rsidRPr="000068C3">
        <w:t>Need to Know</w:t>
      </w:r>
      <w:r w:rsidR="00370726">
        <w:t>” by a</w:t>
      </w:r>
      <w:r w:rsidR="00370726" w:rsidRPr="00537253" w:rsidDel="00342141">
        <w:t xml:space="preserve"> </w:t>
      </w:r>
      <w:r w:rsidR="00370726">
        <w:t>Public Official</w:t>
      </w:r>
    </w:p>
    <w:p w:rsidR="00E5144F" w:rsidRDefault="004E25BA" w:rsidP="00E5144F">
      <w:r w:rsidRPr="00046079">
        <w:t xml:space="preserve">Pursuant to 6 CFR § 27.400(e),  this instrument will be used by </w:t>
      </w:r>
      <w:r w:rsidR="00CB43E9" w:rsidRPr="00046079">
        <w:t>a public official</w:t>
      </w:r>
      <w:r w:rsidR="005D0DC9" w:rsidRPr="00046079">
        <w:t>, or by an</w:t>
      </w:r>
      <w:r w:rsidR="005D0DC9">
        <w:t>y other</w:t>
      </w:r>
      <w:r w:rsidR="005D0DC9" w:rsidRPr="00046079">
        <w:t xml:space="preserve"> CVI Authorized User,</w:t>
      </w:r>
      <w:r w:rsidR="00CB43E9" w:rsidRPr="00046079">
        <w:t xml:space="preserve"> to </w:t>
      </w:r>
      <w:r w:rsidR="005D0DC9">
        <w:t xml:space="preserve">request </w:t>
      </w:r>
      <w:r w:rsidR="00CB43E9" w:rsidRPr="00046079">
        <w:t xml:space="preserve">a determination </w:t>
      </w:r>
      <w:r w:rsidR="005D0DC9">
        <w:t xml:space="preserve">by DHS </w:t>
      </w:r>
      <w:r w:rsidR="00CB43E9" w:rsidRPr="00046079">
        <w:t xml:space="preserve">that he/she </w:t>
      </w:r>
      <w:r w:rsidR="00CB43E9" w:rsidRPr="00E5144F">
        <w:t>has</w:t>
      </w:r>
      <w:r w:rsidR="00CB43E9" w:rsidRPr="00046079">
        <w:t xml:space="preserve"> a need to know specific CVI prior to requesting access to, or disclosure of CVI from a </w:t>
      </w:r>
      <w:r w:rsidR="00AE17B0">
        <w:t xml:space="preserve">high risk </w:t>
      </w:r>
      <w:r w:rsidR="00CB43E9" w:rsidRPr="00046079">
        <w:t>facility.</w:t>
      </w:r>
    </w:p>
    <w:p w:rsidR="002E0DA6" w:rsidRDefault="002E0DA6" w:rsidP="00E5144F"/>
    <w:p w:rsidR="00AC3AAF" w:rsidRDefault="00AC3AAF" w:rsidP="00AC3AAF">
      <w:r w:rsidRPr="00E5144F">
        <w:t xml:space="preserve">The information collected by this instrument </w:t>
      </w:r>
      <w:r>
        <w:t xml:space="preserve">will generally be electronic but </w:t>
      </w:r>
      <w:r w:rsidRPr="00E5144F">
        <w:t xml:space="preserve">may take </w:t>
      </w:r>
      <w:r>
        <w:t>other</w:t>
      </w:r>
      <w:r w:rsidRPr="00E5144F">
        <w:t xml:space="preserve"> form</w:t>
      </w:r>
      <w:r>
        <w:t>s</w:t>
      </w:r>
      <w:r w:rsidRPr="00E5144F">
        <w:t xml:space="preserve"> (e.g. paper, electronic, audio, video…)</w:t>
      </w:r>
      <w:r>
        <w:t xml:space="preserve">.  </w:t>
      </w:r>
    </w:p>
    <w:p w:rsidR="00342141" w:rsidRDefault="00370726" w:rsidP="00342141">
      <w:pPr>
        <w:pStyle w:val="Heading3"/>
      </w:pPr>
      <w:r>
        <w:lastRenderedPageBreak/>
        <w:t>Disclosure</w:t>
      </w:r>
      <w:r w:rsidR="00342141" w:rsidRPr="000068C3">
        <w:t xml:space="preserve"> of CVI</w:t>
      </w:r>
      <w:r w:rsidR="00342141" w:rsidRPr="00537253" w:rsidDel="00342141">
        <w:t xml:space="preserve"> </w:t>
      </w:r>
      <w:r>
        <w:t>Information</w:t>
      </w:r>
    </w:p>
    <w:p w:rsidR="001C28C2" w:rsidRDefault="00971C43" w:rsidP="00E5144F">
      <w:r w:rsidRPr="002E0DA6">
        <w:t xml:space="preserve">Pursuant to 6 CFR Part 27 under 6 CFR § 27.400(d) this </w:t>
      </w:r>
      <w:r w:rsidRPr="00E5144F">
        <w:t>instrument</w:t>
      </w:r>
      <w:r w:rsidRPr="002E0DA6">
        <w:t xml:space="preserve"> will be used by a CVI Authorized User </w:t>
      </w:r>
      <w:r w:rsidR="00046079" w:rsidRPr="002E0DA6">
        <w:t xml:space="preserve">to notify DHS of any unauthorized release of CVI.  </w:t>
      </w:r>
      <w:r w:rsidR="00A862DC">
        <w:t>T</w:t>
      </w:r>
      <w:r w:rsidR="00046079" w:rsidRPr="002E0DA6">
        <w:t>his instrument will ensure that appropriate mitigation actions are taken to protect the information disclosed.</w:t>
      </w:r>
    </w:p>
    <w:p w:rsidR="001C28C2" w:rsidRPr="00E5144F" w:rsidRDefault="001C28C2" w:rsidP="00E5144F"/>
    <w:p w:rsidR="00AC3AAF" w:rsidRPr="00E5144F" w:rsidRDefault="00AC3AAF" w:rsidP="00E5144F">
      <w:r w:rsidRPr="00E5144F">
        <w:t xml:space="preserve">The information collected by this instrument </w:t>
      </w:r>
      <w:r>
        <w:t xml:space="preserve">will generally be electronic but </w:t>
      </w:r>
      <w:r w:rsidRPr="00E5144F">
        <w:t xml:space="preserve">may take </w:t>
      </w:r>
      <w:r>
        <w:t>other</w:t>
      </w:r>
      <w:r w:rsidRPr="00E5144F">
        <w:t xml:space="preserve"> form</w:t>
      </w:r>
      <w:r>
        <w:t>s</w:t>
      </w:r>
      <w:r w:rsidRPr="00E5144F">
        <w:t xml:space="preserve"> (e.g. paper, electronic, audio, video…)</w:t>
      </w:r>
      <w:r>
        <w:t xml:space="preserve">.  </w:t>
      </w:r>
    </w:p>
    <w:p w:rsidR="00342141" w:rsidRDefault="00342141" w:rsidP="00342141">
      <w:pPr>
        <w:pStyle w:val="Heading3"/>
      </w:pPr>
      <w:r w:rsidRPr="000068C3">
        <w:t xml:space="preserve">Notification of </w:t>
      </w:r>
      <w:r w:rsidR="00370726">
        <w:t>Emergency or</w:t>
      </w:r>
      <w:r>
        <w:t xml:space="preserve"> E</w:t>
      </w:r>
      <w:r w:rsidRPr="000068C3">
        <w:t>xigent Circumstances</w:t>
      </w:r>
    </w:p>
    <w:p w:rsidR="001C28C2" w:rsidRPr="00E5144F" w:rsidRDefault="00C86D30" w:rsidP="00E5144F">
      <w:r w:rsidRPr="00E5144F">
        <w:t>Pursuant to 6 CFR Part 27,  this instrument will be used by a CVI Authorized User in the event CVI is disclosed under emergency and exigent circumstances without standard precaution. Notifying DHS will ensure appropriate mitigation actions to take place to protect the disclosure of CVI.</w:t>
      </w:r>
    </w:p>
    <w:p w:rsidR="001C28C2" w:rsidRPr="00E5144F" w:rsidRDefault="001C28C2" w:rsidP="00E5144F"/>
    <w:p w:rsidR="001C28C2" w:rsidRPr="00E5144F" w:rsidRDefault="00AC3AAF" w:rsidP="00E5144F">
      <w:r w:rsidRPr="00E5144F">
        <w:t xml:space="preserve">The information collected by this instrument </w:t>
      </w:r>
      <w:r>
        <w:t xml:space="preserve">will generally be electronic but </w:t>
      </w:r>
      <w:r w:rsidRPr="00E5144F">
        <w:t xml:space="preserve">may take </w:t>
      </w:r>
      <w:r>
        <w:t>other</w:t>
      </w:r>
      <w:r w:rsidRPr="00E5144F">
        <w:t xml:space="preserve"> form</w:t>
      </w:r>
      <w:r>
        <w:t>s</w:t>
      </w:r>
      <w:r w:rsidRPr="00E5144F">
        <w:t xml:space="preserve"> (e.g. paper, electronic, audio, video…)</w:t>
      </w:r>
      <w:r>
        <w:t xml:space="preserve">.  Further, the nature of the </w:t>
      </w:r>
      <w:r w:rsidRPr="00E5144F">
        <w:t>content collect</w:t>
      </w:r>
      <w:r>
        <w:t>ed</w:t>
      </w:r>
      <w:r w:rsidRPr="00E5144F">
        <w:t xml:space="preserve"> under this instrument is unpredictable</w:t>
      </w:r>
      <w:r>
        <w:t xml:space="preserve">.  </w:t>
      </w:r>
      <w:bookmarkStart w:id="0" w:name="_GoBack"/>
      <w:bookmarkEnd w:id="0"/>
    </w:p>
    <w:p w:rsidR="00342141" w:rsidRDefault="00342141" w:rsidP="00342141">
      <w:pPr>
        <w:pStyle w:val="Heading3"/>
      </w:pPr>
      <w:r w:rsidRPr="000068C3">
        <w:t>Tracking Log</w:t>
      </w:r>
      <w:r w:rsidR="00370726">
        <w:t xml:space="preserve"> for CVI Received</w:t>
      </w:r>
    </w:p>
    <w:p w:rsidR="008E1161" w:rsidRPr="00E5144F" w:rsidRDefault="00046079" w:rsidP="00E5144F">
      <w:r w:rsidRPr="00E5144F">
        <w:t xml:space="preserve">This instrument will be used </w:t>
      </w:r>
      <w:r w:rsidR="00D60DE9" w:rsidRPr="00E5144F">
        <w:t xml:space="preserve">to record </w:t>
      </w:r>
      <w:r w:rsidR="00FD3CF5" w:rsidRPr="00E5144F">
        <w:t xml:space="preserve">relevant </w:t>
      </w:r>
      <w:r w:rsidR="00D60DE9" w:rsidRPr="00E5144F">
        <w:t>in</w:t>
      </w:r>
      <w:r w:rsidR="008E1161" w:rsidRPr="00E5144F">
        <w:t xml:space="preserve">formation about </w:t>
      </w:r>
      <w:r w:rsidR="00FD3CF5" w:rsidRPr="00E5144F">
        <w:t xml:space="preserve">how, when, who, and to whom </w:t>
      </w:r>
      <w:r w:rsidR="008E1161" w:rsidRPr="00E5144F">
        <w:t xml:space="preserve">CVI that has been </w:t>
      </w:r>
      <w:r w:rsidR="00FD3CF5" w:rsidRPr="00E5144F">
        <w:t>shared</w:t>
      </w:r>
      <w:r w:rsidRPr="00E5144F">
        <w:t>.</w:t>
      </w:r>
    </w:p>
    <w:p w:rsidR="00730F3B" w:rsidRPr="00E5144F" w:rsidRDefault="00730F3B" w:rsidP="00E5144F"/>
    <w:p w:rsidR="00FD3CF5" w:rsidRPr="00E5144F" w:rsidRDefault="00FD3CF5" w:rsidP="00E5144F">
      <w:r w:rsidRPr="00E5144F">
        <w:t>The information collected by this instrument</w:t>
      </w:r>
      <w:r w:rsidR="00AC3AAF">
        <w:t xml:space="preserve"> </w:t>
      </w:r>
      <w:r w:rsidRPr="00E5144F">
        <w:t xml:space="preserve">may </w:t>
      </w:r>
      <w:r w:rsidR="00AC3AAF">
        <w:t xml:space="preserve">be </w:t>
      </w:r>
      <w:r w:rsidRPr="00E5144F">
        <w:t>paper</w:t>
      </w:r>
      <w:r w:rsidR="00AC3AAF">
        <w:t xml:space="preserve"> or</w:t>
      </w:r>
      <w:r w:rsidR="00AC3AAF" w:rsidRPr="00E5144F">
        <w:t xml:space="preserve"> </w:t>
      </w:r>
      <w:r w:rsidRPr="00E5144F">
        <w:t>electronic.  Attached is a standard DHS form that identifies key data that should be necessary for adequate CVI tracking.</w:t>
      </w:r>
    </w:p>
    <w:p w:rsidR="00730F3B" w:rsidRPr="00537253" w:rsidRDefault="00730F3B" w:rsidP="00A306F1">
      <w:pPr>
        <w:pStyle w:val="Heading2"/>
      </w:pPr>
      <w:r w:rsidRPr="00537253">
        <w:t>Consideration of the use of improved information technology</w:t>
      </w:r>
    </w:p>
    <w:p w:rsidR="003163B5" w:rsidRDefault="00FD3CF5" w:rsidP="000B39A5">
      <w:r w:rsidRPr="00537253">
        <w:t>Although most, but not all, of the instruments allow for the collection of data in multiple mediums</w:t>
      </w:r>
      <w:r w:rsidR="00CC7E3F" w:rsidRPr="00537253">
        <w:t xml:space="preserve"> it is the intention of DHS to reduce t</w:t>
      </w:r>
      <w:r w:rsidR="003163B5" w:rsidRPr="00537253">
        <w:t>he overall paperwo</w:t>
      </w:r>
      <w:r w:rsidR="00AE17B0" w:rsidRPr="00537253">
        <w:t xml:space="preserve">rk burden associated with this </w:t>
      </w:r>
      <w:r w:rsidR="003163B5" w:rsidRPr="00537253">
        <w:t xml:space="preserve">collection </w:t>
      </w:r>
      <w:r w:rsidR="00CC7E3F" w:rsidRPr="00537253">
        <w:t xml:space="preserve">through the use </w:t>
      </w:r>
      <w:r w:rsidR="003163B5" w:rsidRPr="00537253">
        <w:t>web-enabled interface</w:t>
      </w:r>
      <w:r w:rsidR="00CC7E3F" w:rsidRPr="00537253">
        <w:t>s as the primary data collection process</w:t>
      </w:r>
      <w:r w:rsidR="003163B5" w:rsidRPr="00537253">
        <w:t>.</w:t>
      </w:r>
    </w:p>
    <w:p w:rsidR="00203DE7" w:rsidRDefault="00203DE7" w:rsidP="00537253"/>
    <w:p w:rsidR="00203DE7" w:rsidRPr="000068C3" w:rsidRDefault="000068C3" w:rsidP="00537253">
      <w:pPr>
        <w:rPr>
          <w:b/>
        </w:rPr>
      </w:pPr>
      <w:r w:rsidRPr="000068C3">
        <w:rPr>
          <w:b/>
        </w:rPr>
        <w:t>Table 1: M</w:t>
      </w:r>
      <w:r w:rsidR="00F701ED">
        <w:rPr>
          <w:b/>
        </w:rPr>
        <w:t>edium</w:t>
      </w:r>
      <w:r w:rsidRPr="000068C3">
        <w:rPr>
          <w:b/>
        </w:rPr>
        <w:t xml:space="preserve"> Information Is Collected In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4680"/>
      </w:tblGrid>
      <w:tr w:rsidR="00203DE7" w:rsidRPr="00F7015B" w:rsidTr="00BB5015">
        <w:trPr>
          <w:cantSplit/>
        </w:trPr>
        <w:tc>
          <w:tcPr>
            <w:tcW w:w="3780" w:type="dxa"/>
            <w:vAlign w:val="center"/>
          </w:tcPr>
          <w:p w:rsidR="00203DE7" w:rsidRPr="00BB5015" w:rsidRDefault="00203DE7" w:rsidP="00872877">
            <w:pPr>
              <w:rPr>
                <w:b/>
              </w:rPr>
            </w:pPr>
            <w:r w:rsidRPr="00BB5015">
              <w:rPr>
                <w:b/>
              </w:rPr>
              <w:t>Name of Instrument</w:t>
            </w:r>
          </w:p>
        </w:tc>
        <w:tc>
          <w:tcPr>
            <w:tcW w:w="4680" w:type="dxa"/>
            <w:vAlign w:val="center"/>
          </w:tcPr>
          <w:p w:rsidR="00203DE7" w:rsidRPr="00BB5015" w:rsidRDefault="00203DE7" w:rsidP="00872877">
            <w:pPr>
              <w:rPr>
                <w:b/>
                <w:highlight w:val="yellow"/>
              </w:rPr>
            </w:pPr>
            <w:r w:rsidRPr="00BB5015">
              <w:rPr>
                <w:b/>
              </w:rPr>
              <w:t>M</w:t>
            </w:r>
            <w:r w:rsidR="00F701ED" w:rsidRPr="00BB5015">
              <w:rPr>
                <w:b/>
              </w:rPr>
              <w:t>edium</w:t>
            </w:r>
            <w:r w:rsidRPr="00BB5015">
              <w:rPr>
                <w:b/>
              </w:rPr>
              <w:t xml:space="preserve"> Collect</w:t>
            </w:r>
            <w:r w:rsidR="00F701ED" w:rsidRPr="00BB5015">
              <w:rPr>
                <w:b/>
              </w:rPr>
              <w:t>ion</w:t>
            </w:r>
          </w:p>
        </w:tc>
      </w:tr>
      <w:tr w:rsidR="00203DE7" w:rsidRPr="00F7015B" w:rsidTr="00BB5015">
        <w:trPr>
          <w:cantSplit/>
        </w:trPr>
        <w:tc>
          <w:tcPr>
            <w:tcW w:w="3780" w:type="dxa"/>
            <w:tcBorders>
              <w:top w:val="single" w:sz="4" w:space="0" w:color="auto"/>
              <w:bottom w:val="single" w:sz="4" w:space="0" w:color="auto"/>
              <w:right w:val="single" w:sz="4" w:space="0" w:color="auto"/>
            </w:tcBorders>
            <w:vAlign w:val="center"/>
          </w:tcPr>
          <w:p w:rsidR="00203DE7" w:rsidRPr="00BB5015" w:rsidRDefault="00352156" w:rsidP="00370726">
            <w:pPr>
              <w:rPr>
                <w:sz w:val="22"/>
                <w:szCs w:val="22"/>
              </w:rPr>
            </w:pPr>
            <w:r w:rsidRPr="00BB5015">
              <w:rPr>
                <w:sz w:val="22"/>
                <w:szCs w:val="22"/>
              </w:rPr>
              <w:t>CVI Authorization</w:t>
            </w:r>
          </w:p>
        </w:tc>
        <w:tc>
          <w:tcPr>
            <w:tcW w:w="4680" w:type="dxa"/>
            <w:tcBorders>
              <w:top w:val="single" w:sz="4" w:space="0" w:color="auto"/>
              <w:left w:val="single" w:sz="4" w:space="0" w:color="auto"/>
              <w:bottom w:val="single" w:sz="4" w:space="0" w:color="auto"/>
              <w:right w:val="single" w:sz="4" w:space="0" w:color="auto"/>
            </w:tcBorders>
            <w:vAlign w:val="center"/>
          </w:tcPr>
          <w:p w:rsidR="00203DE7" w:rsidRPr="00BB5015" w:rsidRDefault="00352156" w:rsidP="00872877">
            <w:pPr>
              <w:rPr>
                <w:sz w:val="22"/>
                <w:szCs w:val="22"/>
              </w:rPr>
            </w:pPr>
            <w:r w:rsidRPr="00BB5015">
              <w:rPr>
                <w:sz w:val="22"/>
                <w:szCs w:val="22"/>
              </w:rPr>
              <w:t xml:space="preserve">The information </w:t>
            </w:r>
            <w:r w:rsidR="00C856AD" w:rsidRPr="00BB5015">
              <w:rPr>
                <w:sz w:val="22"/>
                <w:szCs w:val="22"/>
              </w:rPr>
              <w:t xml:space="preserve">is </w:t>
            </w:r>
            <w:r w:rsidRPr="00BB5015">
              <w:rPr>
                <w:sz w:val="22"/>
                <w:szCs w:val="22"/>
              </w:rPr>
              <w:t>collected electronic</w:t>
            </w:r>
            <w:r w:rsidR="00C856AD" w:rsidRPr="00BB5015">
              <w:rPr>
                <w:sz w:val="22"/>
                <w:szCs w:val="22"/>
              </w:rPr>
              <w:t>ally by this instrument</w:t>
            </w:r>
            <w:r w:rsidRPr="00BB5015">
              <w:rPr>
                <w:sz w:val="22"/>
                <w:szCs w:val="22"/>
              </w:rPr>
              <w:t xml:space="preserve">.  </w:t>
            </w:r>
          </w:p>
        </w:tc>
      </w:tr>
      <w:tr w:rsidR="00BE2192" w:rsidRPr="00F7015B" w:rsidTr="00BB5015">
        <w:trPr>
          <w:cantSplit/>
        </w:trPr>
        <w:tc>
          <w:tcPr>
            <w:tcW w:w="3780" w:type="dxa"/>
            <w:tcBorders>
              <w:top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 xml:space="preserve">Determination of CVI </w:t>
            </w:r>
          </w:p>
        </w:tc>
        <w:tc>
          <w:tcPr>
            <w:tcW w:w="4680" w:type="dxa"/>
            <w:tcBorders>
              <w:top w:val="single" w:sz="4" w:space="0" w:color="auto"/>
              <w:left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 xml:space="preserve">The information collected by this instrument will generally be electronic but may take other forms (e.g. paper, electronic, audio, video…) and content.  </w:t>
            </w:r>
          </w:p>
        </w:tc>
      </w:tr>
      <w:tr w:rsidR="00BE2192" w:rsidRPr="00F7015B" w:rsidTr="00BB5015">
        <w:trPr>
          <w:cantSplit/>
        </w:trPr>
        <w:tc>
          <w:tcPr>
            <w:tcW w:w="3780" w:type="dxa"/>
            <w:tcBorders>
              <w:top w:val="single" w:sz="4" w:space="0" w:color="auto"/>
              <w:bottom w:val="single" w:sz="4" w:space="0" w:color="auto"/>
              <w:right w:val="single" w:sz="4" w:space="0" w:color="auto"/>
            </w:tcBorders>
            <w:vAlign w:val="center"/>
          </w:tcPr>
          <w:p w:rsidR="00BE2192" w:rsidRPr="00BB5015" w:rsidRDefault="00BE2192" w:rsidP="00370726">
            <w:pPr>
              <w:rPr>
                <w:sz w:val="22"/>
                <w:szCs w:val="22"/>
              </w:rPr>
            </w:pPr>
            <w:r w:rsidRPr="00BB5015">
              <w:rPr>
                <w:sz w:val="22"/>
                <w:szCs w:val="22"/>
              </w:rPr>
              <w:lastRenderedPageBreak/>
              <w:t xml:space="preserve">Determination of a </w:t>
            </w:r>
            <w:r w:rsidR="00370726">
              <w:rPr>
                <w:sz w:val="22"/>
                <w:szCs w:val="22"/>
              </w:rPr>
              <w:t>“</w:t>
            </w:r>
            <w:r w:rsidR="00370726" w:rsidRPr="00BB5015">
              <w:rPr>
                <w:sz w:val="22"/>
                <w:szCs w:val="22"/>
              </w:rPr>
              <w:t>Need to Know</w:t>
            </w:r>
            <w:r w:rsidR="00370726">
              <w:rPr>
                <w:sz w:val="22"/>
                <w:szCs w:val="22"/>
              </w:rPr>
              <w:t>” by a</w:t>
            </w:r>
            <w:r w:rsidR="00370726" w:rsidRPr="00BB5015">
              <w:rPr>
                <w:sz w:val="22"/>
                <w:szCs w:val="22"/>
              </w:rPr>
              <w:t xml:space="preserve"> </w:t>
            </w:r>
            <w:r w:rsidR="005D5B01" w:rsidRPr="00BB5015">
              <w:rPr>
                <w:sz w:val="22"/>
                <w:szCs w:val="22"/>
              </w:rPr>
              <w:t>Public Official</w:t>
            </w:r>
          </w:p>
        </w:tc>
        <w:tc>
          <w:tcPr>
            <w:tcW w:w="4680" w:type="dxa"/>
            <w:tcBorders>
              <w:top w:val="single" w:sz="4" w:space="0" w:color="auto"/>
              <w:left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The information collected by this instrument will generally be electronic but may take other forms (e.g. paper, electronic, audio, video…).</w:t>
            </w:r>
          </w:p>
        </w:tc>
      </w:tr>
      <w:tr w:rsidR="00BE2192" w:rsidRPr="00F7015B" w:rsidTr="00BB5015">
        <w:trPr>
          <w:cantSplit/>
        </w:trPr>
        <w:tc>
          <w:tcPr>
            <w:tcW w:w="3780" w:type="dxa"/>
            <w:tcBorders>
              <w:top w:val="single" w:sz="4" w:space="0" w:color="auto"/>
              <w:bottom w:val="single" w:sz="4" w:space="0" w:color="auto"/>
              <w:right w:val="single" w:sz="4" w:space="0" w:color="auto"/>
            </w:tcBorders>
            <w:vAlign w:val="center"/>
          </w:tcPr>
          <w:p w:rsidR="00BE2192" w:rsidRPr="00BB5015" w:rsidRDefault="00370726" w:rsidP="00872877">
            <w:pPr>
              <w:rPr>
                <w:sz w:val="22"/>
                <w:szCs w:val="22"/>
              </w:rPr>
            </w:pPr>
            <w:r>
              <w:rPr>
                <w:sz w:val="22"/>
                <w:szCs w:val="22"/>
              </w:rPr>
              <w:t>Disclosure</w:t>
            </w:r>
            <w:r w:rsidR="00BE2192" w:rsidRPr="00BB5015">
              <w:rPr>
                <w:sz w:val="22"/>
                <w:szCs w:val="22"/>
              </w:rPr>
              <w:t xml:space="preserve"> of CVI</w:t>
            </w:r>
          </w:p>
        </w:tc>
        <w:tc>
          <w:tcPr>
            <w:tcW w:w="4680" w:type="dxa"/>
            <w:tcBorders>
              <w:top w:val="single" w:sz="4" w:space="0" w:color="auto"/>
              <w:left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The information collected by this instrument will generally be electronic but may take other forms (e.g. paper, electronic, audio, video…).</w:t>
            </w:r>
          </w:p>
        </w:tc>
      </w:tr>
      <w:tr w:rsidR="00BE2192" w:rsidRPr="00F7015B" w:rsidTr="00BB5015">
        <w:trPr>
          <w:cantSplit/>
        </w:trPr>
        <w:tc>
          <w:tcPr>
            <w:tcW w:w="3780" w:type="dxa"/>
            <w:tcBorders>
              <w:top w:val="single" w:sz="4" w:space="0" w:color="auto"/>
              <w:bottom w:val="single" w:sz="4" w:space="0" w:color="auto"/>
              <w:right w:val="single" w:sz="4" w:space="0" w:color="auto"/>
            </w:tcBorders>
            <w:vAlign w:val="center"/>
          </w:tcPr>
          <w:p w:rsidR="00BE2192" w:rsidRPr="00BB5015" w:rsidRDefault="00BE2192" w:rsidP="00370726">
            <w:pPr>
              <w:rPr>
                <w:sz w:val="22"/>
                <w:szCs w:val="22"/>
              </w:rPr>
            </w:pPr>
            <w:r w:rsidRPr="00BB5015">
              <w:rPr>
                <w:sz w:val="22"/>
                <w:szCs w:val="22"/>
              </w:rPr>
              <w:t xml:space="preserve">Notification of </w:t>
            </w:r>
            <w:r w:rsidR="00370726">
              <w:rPr>
                <w:sz w:val="22"/>
                <w:szCs w:val="22"/>
              </w:rPr>
              <w:t>Emergency or</w:t>
            </w:r>
            <w:r w:rsidR="00342141" w:rsidRPr="00BB5015">
              <w:rPr>
                <w:sz w:val="22"/>
                <w:szCs w:val="22"/>
              </w:rPr>
              <w:t xml:space="preserve"> E</w:t>
            </w:r>
            <w:r w:rsidRPr="00BB5015">
              <w:rPr>
                <w:sz w:val="22"/>
                <w:szCs w:val="22"/>
              </w:rPr>
              <w:t>xigent Circumstances</w:t>
            </w:r>
          </w:p>
        </w:tc>
        <w:tc>
          <w:tcPr>
            <w:tcW w:w="4680" w:type="dxa"/>
            <w:tcBorders>
              <w:top w:val="single" w:sz="4" w:space="0" w:color="auto"/>
              <w:left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 xml:space="preserve">The information collected by this instrument will generally be electronic but may take other forms (e.g. paper, electronic, audio, video…).  </w:t>
            </w:r>
          </w:p>
        </w:tc>
      </w:tr>
      <w:tr w:rsidR="00BE2192" w:rsidRPr="00F7015B" w:rsidTr="00BB5015">
        <w:trPr>
          <w:cantSplit/>
        </w:trPr>
        <w:tc>
          <w:tcPr>
            <w:tcW w:w="3780" w:type="dxa"/>
            <w:tcBorders>
              <w:top w:val="single" w:sz="4" w:space="0" w:color="auto"/>
              <w:bottom w:val="single" w:sz="4" w:space="0" w:color="auto"/>
              <w:right w:val="single" w:sz="4" w:space="0" w:color="auto"/>
            </w:tcBorders>
            <w:vAlign w:val="center"/>
          </w:tcPr>
          <w:p w:rsidR="00BE2192" w:rsidRPr="00BB5015" w:rsidRDefault="00BE2192" w:rsidP="00872877">
            <w:pPr>
              <w:rPr>
                <w:sz w:val="22"/>
                <w:szCs w:val="22"/>
              </w:rPr>
            </w:pPr>
            <w:r w:rsidRPr="00BB5015">
              <w:rPr>
                <w:sz w:val="22"/>
                <w:szCs w:val="22"/>
              </w:rPr>
              <w:t>Tracking Log</w:t>
            </w:r>
            <w:r w:rsidR="00370726">
              <w:rPr>
                <w:sz w:val="22"/>
                <w:szCs w:val="22"/>
              </w:rPr>
              <w:t xml:space="preserve"> of CVI Received</w:t>
            </w:r>
          </w:p>
        </w:tc>
        <w:tc>
          <w:tcPr>
            <w:tcW w:w="4680" w:type="dxa"/>
            <w:tcBorders>
              <w:top w:val="single" w:sz="4" w:space="0" w:color="auto"/>
              <w:left w:val="single" w:sz="4" w:space="0" w:color="auto"/>
              <w:bottom w:val="single" w:sz="4" w:space="0" w:color="auto"/>
              <w:right w:val="single" w:sz="4" w:space="0" w:color="auto"/>
            </w:tcBorders>
            <w:vAlign w:val="center"/>
          </w:tcPr>
          <w:p w:rsidR="00BE2192" w:rsidRPr="00BB5015" w:rsidRDefault="000068C3" w:rsidP="00872877">
            <w:pPr>
              <w:rPr>
                <w:sz w:val="22"/>
                <w:szCs w:val="22"/>
              </w:rPr>
            </w:pPr>
            <w:r w:rsidRPr="00BB5015">
              <w:rPr>
                <w:sz w:val="22"/>
                <w:szCs w:val="22"/>
              </w:rPr>
              <w:t xml:space="preserve">The information collected by this instrument may be paper or electronic.  </w:t>
            </w:r>
          </w:p>
        </w:tc>
      </w:tr>
    </w:tbl>
    <w:p w:rsidR="003163B5" w:rsidRPr="00537253" w:rsidRDefault="003163B5" w:rsidP="00A306F1">
      <w:pPr>
        <w:pStyle w:val="Heading2"/>
      </w:pPr>
      <w:r w:rsidRPr="00537253">
        <w:t>Efforts to identify duplication</w:t>
      </w:r>
    </w:p>
    <w:p w:rsidR="004314E0" w:rsidRPr="00537253" w:rsidRDefault="007F016B" w:rsidP="00E5144F">
      <w:r w:rsidRPr="007F016B">
        <w:t xml:space="preserve">CVI is a unique </w:t>
      </w:r>
      <w:r w:rsidR="00CC7E3F">
        <w:t xml:space="preserve">information </w:t>
      </w:r>
      <w:r w:rsidR="004314E0">
        <w:t>protection hand</w:t>
      </w:r>
      <w:r w:rsidR="00CC7E3F">
        <w:t xml:space="preserve">ling </w:t>
      </w:r>
      <w:r w:rsidRPr="007F016B">
        <w:t xml:space="preserve">program </w:t>
      </w:r>
      <w:r w:rsidR="004314E0" w:rsidRPr="00E5144F">
        <w:t>authorized</w:t>
      </w:r>
      <w:r w:rsidR="004314E0">
        <w:t xml:space="preserve"> by C</w:t>
      </w:r>
      <w:r w:rsidRPr="007F016B">
        <w:t>ongress</w:t>
      </w:r>
      <w:r w:rsidR="004314E0">
        <w:t xml:space="preserve"> in P.L. 109-295</w:t>
      </w:r>
      <w:r w:rsidRPr="007F016B">
        <w:t xml:space="preserve">.  </w:t>
      </w:r>
      <w:r w:rsidR="004314E0">
        <w:t>As a unique program it does not duplicate any current collection activities.</w:t>
      </w:r>
    </w:p>
    <w:p w:rsidR="008E1B20" w:rsidRPr="00537253" w:rsidRDefault="00BB37B9" w:rsidP="00A306F1">
      <w:pPr>
        <w:pStyle w:val="Heading2"/>
      </w:pPr>
      <w:r w:rsidRPr="00537253">
        <w:t>Methods to minimize the burden to small businesses if involved</w:t>
      </w:r>
    </w:p>
    <w:p w:rsidR="002E0DA6" w:rsidRDefault="00303076" w:rsidP="00E5144F">
      <w:r w:rsidRPr="002E0DA6">
        <w:t>No</w:t>
      </w:r>
      <w:r w:rsidR="007F016B" w:rsidRPr="002E0DA6">
        <w:t xml:space="preserve"> unique</w:t>
      </w:r>
      <w:r w:rsidRPr="002E0DA6">
        <w:t xml:space="preserve"> methods will be used to </w:t>
      </w:r>
      <w:r w:rsidRPr="00E5144F">
        <w:t>minimize</w:t>
      </w:r>
      <w:r w:rsidRPr="002E0DA6">
        <w:t xml:space="preserve"> the burden</w:t>
      </w:r>
      <w:r w:rsidR="007F016B" w:rsidRPr="002E0DA6">
        <w:t xml:space="preserve"> to small businesses</w:t>
      </w:r>
      <w:r w:rsidRPr="002E0DA6">
        <w:t>.</w:t>
      </w:r>
    </w:p>
    <w:p w:rsidR="003A5C5A" w:rsidRPr="00537253" w:rsidRDefault="00815E51" w:rsidP="00A306F1">
      <w:pPr>
        <w:pStyle w:val="Heading2"/>
      </w:pPr>
      <w:r w:rsidRPr="00537253">
        <w:t>Consequences to the Federal program if collection were conducted less frequently.</w:t>
      </w:r>
    </w:p>
    <w:p w:rsidR="003C1F87" w:rsidRPr="00E5144F" w:rsidRDefault="003C1F87" w:rsidP="00E5144F">
      <w:r w:rsidRPr="00E5144F">
        <w:t>The frequency of collection under is regulation dictated by the 6 CFR 27.400.</w:t>
      </w:r>
      <w:r w:rsidR="00115D63" w:rsidRPr="00E5144F">
        <w:t xml:space="preserve">  Reporting less frequently will substantially reduce the ability of </w:t>
      </w:r>
      <w:r w:rsidRPr="00E5144F">
        <w:t xml:space="preserve">the CVI program </w:t>
      </w:r>
      <w:r w:rsidR="00115D63" w:rsidRPr="00E5144F">
        <w:t xml:space="preserve">to </w:t>
      </w:r>
      <w:r w:rsidRPr="00E5144F">
        <w:t>ensure the smooth h</w:t>
      </w:r>
      <w:r w:rsidR="00764675" w:rsidRPr="00E5144F">
        <w:t>andling</w:t>
      </w:r>
      <w:r w:rsidR="006F6FDF" w:rsidRPr="00E5144F">
        <w:t xml:space="preserve"> and safeguard</w:t>
      </w:r>
      <w:r w:rsidR="00764675" w:rsidRPr="00E5144F">
        <w:t xml:space="preserve">ing </w:t>
      </w:r>
      <w:r w:rsidR="006F6FDF" w:rsidRPr="00E5144F">
        <w:t>CVI</w:t>
      </w:r>
      <w:r w:rsidRPr="00E5144F">
        <w:t>.  CVI</w:t>
      </w:r>
      <w:r w:rsidR="006F6FDF" w:rsidRPr="00E5144F">
        <w:t xml:space="preserve"> is </w:t>
      </w:r>
      <w:r w:rsidRPr="00E5144F">
        <w:t xml:space="preserve">essential </w:t>
      </w:r>
      <w:r w:rsidR="006F6FDF" w:rsidRPr="00E5144F">
        <w:t xml:space="preserve">to implementing and regulating </w:t>
      </w:r>
      <w:r w:rsidR="00FC1908" w:rsidRPr="00E5144F">
        <w:t>the Chemical Facility Anti-Terrorism Standards (CFATS), 6 CFR Part 27.</w:t>
      </w:r>
      <w:r w:rsidR="00764675" w:rsidRPr="00E5144F">
        <w:t xml:space="preserve">  I</w:t>
      </w:r>
      <w:r w:rsidR="006F6FDF" w:rsidRPr="00E5144F">
        <w:t xml:space="preserve">mproper handling or disclosure of CVI could </w:t>
      </w:r>
      <w:r w:rsidRPr="00E5144F">
        <w:t xml:space="preserve">release sensitive information to individuals and groups seeking information that would assist in the successful attack on a high-risk </w:t>
      </w:r>
      <w:r w:rsidR="00537253" w:rsidRPr="00E5144F">
        <w:t>chemical</w:t>
      </w:r>
      <w:r w:rsidRPr="00E5144F">
        <w:t xml:space="preserve"> facility.</w:t>
      </w:r>
    </w:p>
    <w:p w:rsidR="00815E51" w:rsidRPr="00537253" w:rsidRDefault="00303076" w:rsidP="00A306F1">
      <w:pPr>
        <w:pStyle w:val="Heading2"/>
      </w:pPr>
      <w:r w:rsidRPr="00537253">
        <w:t>Explain any special circumstances that would cause the information collection to be conducted in a manner inconsistent with guidelines.</w:t>
      </w:r>
    </w:p>
    <w:p w:rsidR="00FC1908" w:rsidRPr="007F016B" w:rsidRDefault="00F675B0" w:rsidP="00115D63">
      <w:r w:rsidRPr="00115D63">
        <w:t>There</w:t>
      </w:r>
      <w:r w:rsidRPr="007F016B">
        <w:t xml:space="preserve"> are no special circumstances that would cause the information collected to be conducted in a manner inconsistent with guidelines.</w:t>
      </w:r>
    </w:p>
    <w:p w:rsidR="00303076" w:rsidRPr="00115D63" w:rsidRDefault="00303076" w:rsidP="00A306F1">
      <w:pPr>
        <w:pStyle w:val="Heading2"/>
      </w:pPr>
      <w:r w:rsidRPr="00115D63">
        <w:t>Consultation</w:t>
      </w:r>
    </w:p>
    <w:p w:rsidR="00680618" w:rsidRDefault="00157957" w:rsidP="0068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60 Day Comment Period: </w:t>
      </w:r>
      <w:r w:rsidRPr="00C27F9D">
        <w:t xml:space="preserve">A 60-day public notice for comments was published in the </w:t>
      </w:r>
      <w:r w:rsidRPr="00C27F9D">
        <w:rPr>
          <w:bCs/>
        </w:rPr>
        <w:t>Federal Register</w:t>
      </w:r>
      <w:r w:rsidRPr="00C27F9D">
        <w:rPr>
          <w:b/>
          <w:bCs/>
        </w:rPr>
        <w:t xml:space="preserve"> </w:t>
      </w:r>
      <w:r w:rsidRPr="00C27F9D">
        <w:t xml:space="preserve">on </w:t>
      </w:r>
      <w:r w:rsidR="00570A9F">
        <w:t>December 17</w:t>
      </w:r>
      <w:r w:rsidR="00B65953">
        <w:t>, 2012</w:t>
      </w:r>
      <w:r w:rsidRPr="00C27F9D">
        <w:t xml:space="preserve"> at 7</w:t>
      </w:r>
      <w:r w:rsidR="00570A9F">
        <w:t>7</w:t>
      </w:r>
      <w:r w:rsidRPr="00C27F9D">
        <w:t xml:space="preserve"> FR </w:t>
      </w:r>
      <w:r w:rsidR="00570A9F">
        <w:t>74685</w:t>
      </w:r>
      <w:r w:rsidR="00570A9F">
        <w:rPr>
          <w:rStyle w:val="FootnoteReference"/>
        </w:rPr>
        <w:footnoteReference w:id="1"/>
      </w:r>
      <w:r w:rsidRPr="00C27F9D">
        <w:t>.</w:t>
      </w:r>
      <w:r w:rsidR="00381DA2">
        <w:t xml:space="preserve"> </w:t>
      </w:r>
      <w:r w:rsidRPr="00C27F9D">
        <w:t xml:space="preserve"> </w:t>
      </w:r>
      <w:r w:rsidR="00570A9F">
        <w:t xml:space="preserve">One relevant </w:t>
      </w:r>
      <w:r w:rsidRPr="00C27F9D">
        <w:t>comment w</w:t>
      </w:r>
      <w:r w:rsidR="00570A9F">
        <w:t>as</w:t>
      </w:r>
      <w:r w:rsidRPr="00C27F9D">
        <w:t xml:space="preserve"> </w:t>
      </w:r>
      <w:r w:rsidRPr="00C27F9D">
        <w:lastRenderedPageBreak/>
        <w:t>received</w:t>
      </w:r>
      <w:r w:rsidR="00570A9F">
        <w:t xml:space="preserve"> </w:t>
      </w:r>
      <w:r w:rsidR="00680618">
        <w:t xml:space="preserve">and suggested </w:t>
      </w:r>
      <w:r w:rsidR="00680618" w:rsidRPr="00685A70">
        <w:t xml:space="preserve">the Department incorrectly calculated the burden estimates associated with the instrument </w:t>
      </w:r>
      <w:r w:rsidR="00680618">
        <w:t>“</w:t>
      </w:r>
      <w:r w:rsidR="00680618" w:rsidRPr="00685A70">
        <w:t>Chemical-terrorism Vulnerability Information Tracking Log.</w:t>
      </w:r>
      <w:r w:rsidR="00680618">
        <w:t>”</w:t>
      </w:r>
      <w:r w:rsidR="00680618" w:rsidRPr="00685A70">
        <w:t xml:space="preserve"> </w:t>
      </w:r>
    </w:p>
    <w:p w:rsidR="00680618" w:rsidRDefault="00680618" w:rsidP="0068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7957" w:rsidRDefault="00680618" w:rsidP="0068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w:t>
      </w:r>
      <w:r w:rsidRPr="00685A70">
        <w:t>he commenter assumed that the number of responses per respondent for th</w:t>
      </w:r>
      <w:r>
        <w:t>e</w:t>
      </w:r>
      <w:r w:rsidRPr="00685A70">
        <w:t xml:space="preserve"> instrument was one</w:t>
      </w:r>
      <w:r>
        <w:t xml:space="preserve">.  However, the Department estimated </w:t>
      </w:r>
      <w:r w:rsidRPr="00685A70">
        <w:t xml:space="preserve">that each respondent will on average respond 12 times but </w:t>
      </w:r>
      <w:r>
        <w:t xml:space="preserve">had </w:t>
      </w:r>
      <w:r w:rsidRPr="00685A70">
        <w:t xml:space="preserve">not made </w:t>
      </w:r>
      <w:r>
        <w:t xml:space="preserve">the assumption </w:t>
      </w:r>
      <w:r w:rsidRPr="00685A70">
        <w:t>explicit.</w:t>
      </w:r>
      <w:r>
        <w:t xml:space="preserve">  The Department made this assumption explicit in the 30 day notice.</w:t>
      </w:r>
    </w:p>
    <w:p w:rsidR="00680618" w:rsidRDefault="00680618" w:rsidP="00157957"/>
    <w:p w:rsidR="00157957" w:rsidRPr="00115D63" w:rsidRDefault="00157957" w:rsidP="00157957">
      <w:r>
        <w:t xml:space="preserve">30 Day Comment Period: </w:t>
      </w:r>
      <w:r w:rsidRPr="00C27F9D">
        <w:t xml:space="preserve">A 30-day public notice for comments was published in the Federal Register on </w:t>
      </w:r>
      <w:r w:rsidR="00CE1A55">
        <w:t>March 18</w:t>
      </w:r>
      <w:r w:rsidRPr="00C27F9D">
        <w:t>, 20</w:t>
      </w:r>
      <w:r w:rsidR="00B65953">
        <w:t>1</w:t>
      </w:r>
      <w:r w:rsidR="00413B6E">
        <w:t>3</w:t>
      </w:r>
      <w:r w:rsidRPr="00C27F9D">
        <w:t xml:space="preserve"> at </w:t>
      </w:r>
      <w:r w:rsidR="00CE1A55">
        <w:t>78 FR 16698</w:t>
      </w:r>
      <w:r w:rsidRPr="00C27F9D">
        <w:t>.</w:t>
      </w:r>
      <w:r w:rsidR="00680618">
        <w:rPr>
          <w:rStyle w:val="FootnoteReference"/>
        </w:rPr>
        <w:footnoteReference w:id="2"/>
      </w:r>
    </w:p>
    <w:p w:rsidR="00303076" w:rsidRPr="00537253" w:rsidRDefault="00303076" w:rsidP="00A306F1">
      <w:pPr>
        <w:pStyle w:val="Heading2"/>
      </w:pPr>
      <w:r w:rsidRPr="00537253">
        <w:t>Explain any decision to provide any payment or gift to respondents.</w:t>
      </w:r>
    </w:p>
    <w:p w:rsidR="00115D63" w:rsidRPr="00537253" w:rsidRDefault="00303076" w:rsidP="00537253">
      <w:r w:rsidRPr="00537253">
        <w:t>No payment or gift of any kind is provided.</w:t>
      </w:r>
    </w:p>
    <w:p w:rsidR="002D3E25" w:rsidRPr="00537253" w:rsidRDefault="00303076" w:rsidP="00A306F1">
      <w:pPr>
        <w:pStyle w:val="Heading2"/>
      </w:pPr>
      <w:r w:rsidRPr="00537253">
        <w:t>Describe any assurance of confidentiality provided to respondents.</w:t>
      </w:r>
    </w:p>
    <w:p w:rsidR="00AC3AAF" w:rsidRDefault="00680618" w:rsidP="00AC3AAF">
      <w:pPr>
        <w:widowControl w:val="0"/>
        <w:tabs>
          <w:tab w:val="right" w:pos="9360"/>
        </w:tabs>
      </w:pPr>
      <w:r>
        <w:t xml:space="preserve">There is no assurance confidentiality provided to the respondents.  However, some information may be protected under </w:t>
      </w:r>
      <w:r w:rsidR="00AC3AAF">
        <w:t xml:space="preserve">Chemical-terrorism Vulnerability Information (CVI) is a new Sensitive </w:t>
      </w:r>
      <w:r w:rsidR="00862486">
        <w:t>b</w:t>
      </w:r>
      <w:r w:rsidR="00AC3AAF">
        <w:t xml:space="preserve">ut Unclassified designation authorized under P.L. 109-295 and implemented in 6 CFR 27.400.  </w:t>
      </w:r>
    </w:p>
    <w:p w:rsidR="00AC3AAF" w:rsidRDefault="00AC3AAF" w:rsidP="00AC3AAF">
      <w:pPr>
        <w:widowControl w:val="0"/>
        <w:tabs>
          <w:tab w:val="right" w:pos="9360"/>
        </w:tabs>
      </w:pPr>
    </w:p>
    <w:p w:rsidR="00AC3AAF" w:rsidRPr="003533DE" w:rsidRDefault="00AC3AAF" w:rsidP="00AC3AAF">
      <w:pPr>
        <w:widowControl w:val="0"/>
        <w:tabs>
          <w:tab w:val="right" w:pos="9360"/>
        </w:tabs>
      </w:pPr>
      <w:r w:rsidRPr="003533DE">
        <w:t>P.L. 109-295 further clarifies that CVI “in any proceeding to enforce this section, vulnerability assessments, site security plans, and other information submitted to or obtained by the Secretary under this section, and related vulnerability or security information, shall be treated as if the information were classified material.”</w:t>
      </w:r>
    </w:p>
    <w:p w:rsidR="00AC3AAF" w:rsidRDefault="00AC3AAF" w:rsidP="00115D63"/>
    <w:p w:rsidR="002D3E25" w:rsidRPr="00115D63" w:rsidRDefault="002D3E25" w:rsidP="00115D63">
      <w:r w:rsidRPr="00115D63">
        <w:t>Notwithstanding the Freedom of Information Act (5 U.S.C. 552), the Privacy Act (5 U.S.C. 552a), and other laws, in accordance with Sec. 550(c) and 6 CFR § 27.400(g), records containing CVI are not available for public inspection or copying, nor does the Department release such records to persons without a need to know.</w:t>
      </w:r>
    </w:p>
    <w:p w:rsidR="00115D63" w:rsidRPr="00115D63" w:rsidRDefault="00115D63" w:rsidP="00115D63"/>
    <w:p w:rsidR="00115D63" w:rsidRPr="00115D63" w:rsidRDefault="002D3E25" w:rsidP="00115D63">
      <w:r w:rsidRPr="00115D63">
        <w:t>If a record contains both information that may not be disclosed under Section 550(c) of Public Law 109-295 and information that may be disclosed, the latter information may be provided in response to a FOIA request, provided that the record is not otherwise exempt from disclosure under FOIA and that it is practical to redact the protected CVI from the requested record.</w:t>
      </w:r>
    </w:p>
    <w:p w:rsidR="002D3E25" w:rsidRDefault="00BB37B9" w:rsidP="00A306F1">
      <w:pPr>
        <w:pStyle w:val="Heading2"/>
      </w:pPr>
      <w:r w:rsidRPr="00537253">
        <w:t>Additional justification for any questions of a sensitive nature</w:t>
      </w:r>
    </w:p>
    <w:p w:rsidR="00815E51" w:rsidRPr="00537253" w:rsidRDefault="00537253" w:rsidP="00537253">
      <w:r w:rsidRPr="00537253">
        <w:t xml:space="preserve">There are </w:t>
      </w:r>
      <w:r w:rsidR="002D3E25" w:rsidRPr="00537253">
        <w:t>no questions of sensitive nature</w:t>
      </w:r>
      <w:r w:rsidRPr="00537253">
        <w:t xml:space="preserve"> in this collection</w:t>
      </w:r>
      <w:r w:rsidR="002D3E25" w:rsidRPr="00537253">
        <w:t>.</w:t>
      </w:r>
    </w:p>
    <w:p w:rsidR="002D3E25" w:rsidRDefault="00BB37B9" w:rsidP="00A306F1">
      <w:pPr>
        <w:pStyle w:val="Heading2"/>
      </w:pPr>
      <w:r w:rsidRPr="00537253">
        <w:lastRenderedPageBreak/>
        <w:t>Estimates of reporting and recordkeeping hour and cost burdens of the collection of information</w:t>
      </w:r>
    </w:p>
    <w:p w:rsidR="008A6995" w:rsidRDefault="00A306F1" w:rsidP="008A6995">
      <w:r>
        <w:t xml:space="preserve">The </w:t>
      </w:r>
      <w:r w:rsidR="00BF5151">
        <w:t xml:space="preserve">annual </w:t>
      </w:r>
      <w:r>
        <w:t xml:space="preserve">total estimate for reporting, recordkeeping and cost burden under this collection </w:t>
      </w:r>
      <w:r w:rsidRPr="00FA79A6">
        <w:t>is $</w:t>
      </w:r>
      <w:r w:rsidR="00673ED1" w:rsidRPr="00673ED1">
        <w:t>5,484,650</w:t>
      </w:r>
      <w:r w:rsidRPr="00FA79A6">
        <w:t>.  Individual</w:t>
      </w:r>
      <w:r>
        <w:t xml:space="preserve"> burden e</w:t>
      </w:r>
      <w:r w:rsidR="008A6995">
        <w:t>stimates vary by instrument</w:t>
      </w:r>
      <w:r>
        <w:t xml:space="preserve"> and are</w:t>
      </w:r>
      <w:r w:rsidR="008A6995">
        <w:t xml:space="preserve"> summarized in the table below:</w:t>
      </w:r>
    </w:p>
    <w:p w:rsidR="00F701ED" w:rsidRDefault="00F701ED" w:rsidP="008A6995"/>
    <w:p w:rsidR="008A6995" w:rsidRDefault="00F701ED" w:rsidP="008A6995">
      <w:pPr>
        <w:rPr>
          <w:b/>
        </w:rPr>
      </w:pPr>
      <w:r w:rsidRPr="00D4315F">
        <w:rPr>
          <w:b/>
        </w:rPr>
        <w:t xml:space="preserve">Table 2: </w:t>
      </w:r>
      <w:r w:rsidR="00677FF9" w:rsidRPr="00D4315F">
        <w:rPr>
          <w:b/>
        </w:rPr>
        <w:t>Instrument Burden</w:t>
      </w:r>
      <w:r w:rsidR="00D4315F" w:rsidRPr="00D4315F">
        <w:rPr>
          <w:b/>
        </w:rPr>
        <w:t xml:space="preserve"> Estimate </w:t>
      </w:r>
    </w:p>
    <w:p w:rsidR="00A83B70" w:rsidRDefault="00A83B70" w:rsidP="00A83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A83B70" w:rsidTr="00413B6E">
        <w:tc>
          <w:tcPr>
            <w:tcW w:w="1596" w:type="dxa"/>
            <w:vAlign w:val="center"/>
          </w:tcPr>
          <w:p w:rsidR="00A83B70" w:rsidRPr="00A83B70" w:rsidRDefault="00A83B70" w:rsidP="00413B6E">
            <w:pPr>
              <w:tabs>
                <w:tab w:val="center" w:pos="4320"/>
                <w:tab w:val="right" w:pos="8640"/>
              </w:tabs>
              <w:jc w:val="center"/>
              <w:rPr>
                <w:sz w:val="20"/>
                <w:szCs w:val="20"/>
              </w:rPr>
            </w:pPr>
            <w:r w:rsidRPr="00A83B70">
              <w:rPr>
                <w:rFonts w:eastAsia="Calibri" w:cs="Arial"/>
                <w:b/>
                <w:bCs/>
                <w:sz w:val="20"/>
                <w:szCs w:val="20"/>
              </w:rPr>
              <w:t>Instrument</w:t>
            </w:r>
          </w:p>
        </w:tc>
        <w:tc>
          <w:tcPr>
            <w:tcW w:w="1596" w:type="dxa"/>
            <w:vAlign w:val="center"/>
          </w:tcPr>
          <w:p w:rsidR="00A83B70" w:rsidRPr="00A83B70" w:rsidRDefault="00A83B70" w:rsidP="00413B6E">
            <w:pPr>
              <w:tabs>
                <w:tab w:val="center" w:pos="4320"/>
                <w:tab w:val="right" w:pos="8640"/>
              </w:tabs>
              <w:jc w:val="center"/>
              <w:rPr>
                <w:sz w:val="20"/>
                <w:szCs w:val="20"/>
              </w:rPr>
            </w:pPr>
            <w:r w:rsidRPr="00A83B70">
              <w:rPr>
                <w:rFonts w:eastAsia="Calibri" w:cs="Arial"/>
                <w:b/>
                <w:bCs/>
                <w:sz w:val="20"/>
                <w:szCs w:val="20"/>
              </w:rPr>
              <w:t># of Respondents</w:t>
            </w:r>
          </w:p>
        </w:tc>
        <w:tc>
          <w:tcPr>
            <w:tcW w:w="1596" w:type="dxa"/>
            <w:vAlign w:val="center"/>
          </w:tcPr>
          <w:p w:rsidR="00A83B70" w:rsidRPr="00A83B70" w:rsidRDefault="00A83B70" w:rsidP="00413B6E">
            <w:pPr>
              <w:tabs>
                <w:tab w:val="center" w:pos="4320"/>
                <w:tab w:val="right" w:pos="8640"/>
              </w:tabs>
              <w:jc w:val="center"/>
              <w:rPr>
                <w:sz w:val="20"/>
                <w:szCs w:val="20"/>
              </w:rPr>
            </w:pPr>
            <w:r w:rsidRPr="00A83B70">
              <w:rPr>
                <w:rFonts w:eastAsia="Calibri" w:cs="Arial"/>
                <w:b/>
                <w:bCs/>
                <w:sz w:val="20"/>
                <w:szCs w:val="20"/>
              </w:rPr>
              <w:t>Responses per respondent</w:t>
            </w:r>
          </w:p>
        </w:tc>
        <w:tc>
          <w:tcPr>
            <w:tcW w:w="1596" w:type="dxa"/>
            <w:vAlign w:val="center"/>
          </w:tcPr>
          <w:p w:rsidR="00A83B70" w:rsidRPr="00A83B70" w:rsidRDefault="00A83B70" w:rsidP="00413B6E">
            <w:pPr>
              <w:tabs>
                <w:tab w:val="center" w:pos="4320"/>
                <w:tab w:val="right" w:pos="8640"/>
              </w:tabs>
              <w:jc w:val="center"/>
              <w:rPr>
                <w:rFonts w:cs="Arial"/>
                <w:b/>
                <w:bCs/>
                <w:sz w:val="20"/>
                <w:szCs w:val="20"/>
              </w:rPr>
            </w:pPr>
            <w:r w:rsidRPr="00A83B70">
              <w:rPr>
                <w:rFonts w:cs="Arial"/>
                <w:b/>
                <w:bCs/>
                <w:sz w:val="20"/>
                <w:szCs w:val="20"/>
              </w:rPr>
              <w:t xml:space="preserve">Average Burden per Response </w:t>
            </w:r>
            <w:r w:rsidRPr="00A83B70">
              <w:rPr>
                <w:rFonts w:eastAsia="Calibri" w:cs="Arial"/>
                <w:b/>
                <w:bCs/>
                <w:sz w:val="20"/>
                <w:szCs w:val="20"/>
              </w:rPr>
              <w:t>(in hours)</w:t>
            </w:r>
          </w:p>
        </w:tc>
        <w:tc>
          <w:tcPr>
            <w:tcW w:w="1596" w:type="dxa"/>
            <w:vAlign w:val="center"/>
          </w:tcPr>
          <w:p w:rsidR="00A83B70" w:rsidRPr="00A83B70" w:rsidRDefault="00A83B70" w:rsidP="00413B6E">
            <w:pPr>
              <w:tabs>
                <w:tab w:val="center" w:pos="4320"/>
                <w:tab w:val="right" w:pos="8640"/>
              </w:tabs>
              <w:jc w:val="center"/>
              <w:rPr>
                <w:sz w:val="20"/>
                <w:szCs w:val="20"/>
              </w:rPr>
            </w:pPr>
            <w:r w:rsidRPr="00A83B70">
              <w:rPr>
                <w:rFonts w:eastAsia="Calibri" w:cs="Arial"/>
                <w:b/>
                <w:bCs/>
                <w:sz w:val="20"/>
                <w:szCs w:val="20"/>
              </w:rPr>
              <w:t>Total Annual Burden</w:t>
            </w:r>
            <w:r>
              <w:rPr>
                <w:rFonts w:eastAsia="Calibri" w:cs="Arial"/>
                <w:b/>
                <w:bCs/>
                <w:sz w:val="20"/>
                <w:szCs w:val="20"/>
              </w:rPr>
              <w:t xml:space="preserve"> (in hours)</w:t>
            </w:r>
          </w:p>
        </w:tc>
        <w:tc>
          <w:tcPr>
            <w:tcW w:w="1596" w:type="dxa"/>
            <w:vAlign w:val="center"/>
          </w:tcPr>
          <w:p w:rsidR="00A83B70" w:rsidRPr="00A83B70" w:rsidRDefault="00A83B70" w:rsidP="00413B6E">
            <w:pPr>
              <w:tabs>
                <w:tab w:val="center" w:pos="4320"/>
                <w:tab w:val="right" w:pos="8640"/>
              </w:tabs>
              <w:jc w:val="center"/>
              <w:rPr>
                <w:b/>
                <w:sz w:val="20"/>
                <w:szCs w:val="20"/>
              </w:rPr>
            </w:pPr>
            <w:r w:rsidRPr="00A83B70">
              <w:rPr>
                <w:b/>
                <w:sz w:val="20"/>
                <w:szCs w:val="20"/>
              </w:rPr>
              <w:t>Total Annual Burden (in dollars)</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CVI Authorization</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30,000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w:t>
            </w:r>
          </w:p>
        </w:tc>
        <w:tc>
          <w:tcPr>
            <w:tcW w:w="1596" w:type="dxa"/>
            <w:vAlign w:val="center"/>
          </w:tcPr>
          <w:p w:rsidR="00A83B70" w:rsidRPr="00A83B70" w:rsidRDefault="00A83B70" w:rsidP="00142B0E">
            <w:pPr>
              <w:tabs>
                <w:tab w:val="center" w:pos="4320"/>
                <w:tab w:val="right" w:pos="8640"/>
              </w:tabs>
              <w:jc w:val="center"/>
              <w:rPr>
                <w:rFonts w:cs="Arial"/>
                <w:bCs/>
                <w:sz w:val="20"/>
                <w:szCs w:val="20"/>
              </w:rPr>
            </w:pPr>
            <w:r>
              <w:rPr>
                <w:rFonts w:cs="Arial"/>
                <w:bCs/>
                <w:sz w:val="20"/>
                <w:szCs w:val="20"/>
              </w:rPr>
              <w:t>1</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30,000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2,580,000</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Determination of CVI</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300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0.25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75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6,450</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Determination of a Need to Know</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14,200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0.25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3,550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305,300</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Disclosure of CVI</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300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0.25</w:t>
            </w:r>
          </w:p>
        </w:tc>
        <w:tc>
          <w:tcPr>
            <w:tcW w:w="1596" w:type="dxa"/>
            <w:vAlign w:val="center"/>
          </w:tcPr>
          <w:p w:rsidR="00A83B70" w:rsidRPr="00A83B70" w:rsidRDefault="00570A9F" w:rsidP="00142B0E">
            <w:pPr>
              <w:tabs>
                <w:tab w:val="center" w:pos="4320"/>
                <w:tab w:val="right" w:pos="8640"/>
              </w:tabs>
              <w:jc w:val="center"/>
              <w:rPr>
                <w:sz w:val="20"/>
                <w:szCs w:val="20"/>
              </w:rPr>
            </w:pPr>
            <w:r>
              <w:rPr>
                <w:sz w:val="20"/>
                <w:szCs w:val="20"/>
              </w:rPr>
              <w:t>75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6,450</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 xml:space="preserve">Notification of </w:t>
            </w:r>
            <w:r w:rsidRPr="00A83B70">
              <w:rPr>
                <w:rFonts w:cs="Arial"/>
                <w:sz w:val="20"/>
                <w:szCs w:val="20"/>
              </w:rPr>
              <w:t>E</w:t>
            </w:r>
            <w:r w:rsidRPr="00A83B70">
              <w:rPr>
                <w:rFonts w:eastAsia="Calibri" w:cs="Arial"/>
                <w:sz w:val="20"/>
                <w:szCs w:val="20"/>
              </w:rPr>
              <w:t xml:space="preserve">mergency </w:t>
            </w:r>
            <w:r w:rsidRPr="00A83B70">
              <w:rPr>
                <w:rFonts w:cs="Arial"/>
                <w:sz w:val="20"/>
                <w:szCs w:val="20"/>
              </w:rPr>
              <w:t>or E</w:t>
            </w:r>
            <w:r w:rsidRPr="00A83B70">
              <w:rPr>
                <w:rFonts w:eastAsia="Calibri" w:cs="Arial"/>
                <w:sz w:val="20"/>
                <w:szCs w:val="20"/>
              </w:rPr>
              <w:t>xi</w:t>
            </w:r>
            <w:r w:rsidRPr="00A83B70">
              <w:rPr>
                <w:rFonts w:cs="Arial"/>
                <w:sz w:val="20"/>
                <w:szCs w:val="20"/>
              </w:rPr>
              <w:t xml:space="preserve">gent </w:t>
            </w:r>
            <w:r w:rsidRPr="00A83B70">
              <w:rPr>
                <w:rFonts w:eastAsia="Calibri" w:cs="Arial"/>
                <w:sz w:val="20"/>
                <w:szCs w:val="20"/>
              </w:rPr>
              <w:t>Circumstances</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300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0.25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75</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6,450</w:t>
            </w:r>
          </w:p>
        </w:tc>
      </w:tr>
      <w:tr w:rsidR="00A83B70" w:rsidTr="00142B0E">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cs="Arial"/>
                <w:sz w:val="20"/>
                <w:szCs w:val="20"/>
              </w:rPr>
              <w:t>CVI Tracking Log</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30,000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12</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0.08</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sz w:val="20"/>
                <w:szCs w:val="20"/>
              </w:rPr>
              <w:t>30,000</w:t>
            </w:r>
          </w:p>
        </w:tc>
        <w:tc>
          <w:tcPr>
            <w:tcW w:w="1596" w:type="dxa"/>
            <w:vAlign w:val="center"/>
          </w:tcPr>
          <w:p w:rsidR="00A83B70" w:rsidRPr="00A83B70" w:rsidRDefault="00A83B70" w:rsidP="00142B0E">
            <w:pPr>
              <w:tabs>
                <w:tab w:val="center" w:pos="4320"/>
                <w:tab w:val="right" w:pos="8640"/>
              </w:tabs>
              <w:jc w:val="center"/>
              <w:rPr>
                <w:sz w:val="20"/>
                <w:szCs w:val="20"/>
              </w:rPr>
            </w:pPr>
            <w:r w:rsidRPr="00A83B70">
              <w:rPr>
                <w:rFonts w:eastAsia="Calibri"/>
                <w:sz w:val="20"/>
                <w:szCs w:val="20"/>
              </w:rPr>
              <w:t>2,580,000</w:t>
            </w:r>
          </w:p>
        </w:tc>
      </w:tr>
    </w:tbl>
    <w:p w:rsidR="00E5144F" w:rsidRDefault="00E5144F" w:rsidP="00A306F1">
      <w:pPr>
        <w:pStyle w:val="Heading2"/>
      </w:pPr>
      <w:r>
        <w:t>Estimates of annualized capital and start-up costs</w:t>
      </w:r>
    </w:p>
    <w:p w:rsidR="00E5144F" w:rsidRPr="00E5144F" w:rsidRDefault="00BB37B9" w:rsidP="00E5144F">
      <w:r>
        <w:t>There are no annualized capital or start-up costs for respondents due to this collection.</w:t>
      </w:r>
    </w:p>
    <w:p w:rsidR="00E5144F" w:rsidRDefault="00E5144F" w:rsidP="00A306F1">
      <w:pPr>
        <w:pStyle w:val="Heading2"/>
      </w:pPr>
      <w:r>
        <w:t>Estimates of annualized Federal Government costs</w:t>
      </w:r>
    </w:p>
    <w:p w:rsidR="00FA79A6" w:rsidRPr="00DD0CE4" w:rsidRDefault="00FA79A6" w:rsidP="00FA79A6">
      <w:r w:rsidRPr="00E5768E">
        <w:t xml:space="preserve">Federal government costs </w:t>
      </w:r>
      <w:r>
        <w:t>can be divided between the cost</w:t>
      </w:r>
      <w:r w:rsidRPr="00E5768E">
        <w:t xml:space="preserve"> associated with collection of information and </w:t>
      </w:r>
      <w:r>
        <w:t xml:space="preserve">the cost </w:t>
      </w:r>
      <w:r w:rsidRPr="00E5768E">
        <w:t xml:space="preserve">associated </w:t>
      </w:r>
      <w:r>
        <w:t>with managing and responding to the submitted data</w:t>
      </w:r>
      <w:r w:rsidRPr="00257C13">
        <w:t>.</w:t>
      </w:r>
      <w:r>
        <w:t xml:space="preserve">  The cost</w:t>
      </w:r>
      <w:r w:rsidRPr="00DD0CE4">
        <w:t xml:space="preserve"> associated with </w:t>
      </w:r>
      <w:r>
        <w:t xml:space="preserve">collecting the information is essentially the cost of operating and maintaining the collection instruments within CSAT.  The annual Operating and Maintenance (O&amp;M) costs for the instruments with CSAT are estimated at $0.4M.  The cost </w:t>
      </w:r>
      <w:r w:rsidRPr="00E5768E">
        <w:t xml:space="preserve">associated </w:t>
      </w:r>
      <w:r>
        <w:t>with managing and responding to the submitted data the management is equivalent to the cost of employing two government employees at the GS-14 level.</w:t>
      </w:r>
    </w:p>
    <w:p w:rsidR="00FA79A6" w:rsidRPr="00F7015B" w:rsidRDefault="00FA79A6" w:rsidP="00FA79A6"/>
    <w:p w:rsidR="00FA79A6" w:rsidRPr="00D4315F" w:rsidRDefault="00FA79A6" w:rsidP="00FA79A6">
      <w:pPr>
        <w:rPr>
          <w:b/>
        </w:rPr>
      </w:pPr>
      <w:r w:rsidRPr="00D4315F">
        <w:rPr>
          <w:b/>
        </w:rPr>
        <w:t xml:space="preserve">Table </w:t>
      </w:r>
      <w:r w:rsidR="00D4315F" w:rsidRPr="00D4315F">
        <w:rPr>
          <w:b/>
        </w:rPr>
        <w:t>3</w:t>
      </w:r>
      <w:r w:rsidRPr="00D4315F">
        <w:rPr>
          <w:b/>
        </w:rPr>
        <w:t>: Estimates of Annualized Costs for the Collection of Data</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0"/>
        <w:gridCol w:w="5040"/>
        <w:gridCol w:w="1908"/>
      </w:tblGrid>
      <w:tr w:rsidR="00FA79A6" w:rsidRPr="00F7015B" w:rsidTr="00BB5015">
        <w:trPr>
          <w:cantSplit/>
        </w:trPr>
        <w:tc>
          <w:tcPr>
            <w:tcW w:w="1800" w:type="dxa"/>
            <w:vAlign w:val="center"/>
          </w:tcPr>
          <w:p w:rsidR="00FA79A6" w:rsidRPr="00BB5015" w:rsidRDefault="00FA79A6" w:rsidP="00CF3477">
            <w:pPr>
              <w:rPr>
                <w:b/>
              </w:rPr>
            </w:pPr>
            <w:r w:rsidRPr="00BB5015">
              <w:rPr>
                <w:b/>
              </w:rPr>
              <w:t>Expense Type</w:t>
            </w:r>
          </w:p>
        </w:tc>
        <w:tc>
          <w:tcPr>
            <w:tcW w:w="5040" w:type="dxa"/>
            <w:vAlign w:val="center"/>
          </w:tcPr>
          <w:p w:rsidR="00FA79A6" w:rsidRPr="00BB5015" w:rsidRDefault="00FA79A6" w:rsidP="00CF3477">
            <w:pPr>
              <w:rPr>
                <w:b/>
                <w:highlight w:val="yellow"/>
              </w:rPr>
            </w:pPr>
            <w:r w:rsidRPr="00BB5015">
              <w:rPr>
                <w:b/>
              </w:rPr>
              <w:t>Expense Explanation</w:t>
            </w:r>
          </w:p>
        </w:tc>
        <w:tc>
          <w:tcPr>
            <w:tcW w:w="1908" w:type="dxa"/>
            <w:vAlign w:val="center"/>
          </w:tcPr>
          <w:p w:rsidR="00FA79A6" w:rsidRPr="00BB5015" w:rsidRDefault="00FA79A6" w:rsidP="00CF3477">
            <w:pPr>
              <w:rPr>
                <w:b/>
              </w:rPr>
            </w:pPr>
            <w:r w:rsidRPr="00BB5015">
              <w:rPr>
                <w:b/>
              </w:rPr>
              <w:t>Annual Costs (</w:t>
            </w:r>
            <w:r w:rsidR="00596E7B" w:rsidRPr="00BB5015">
              <w:rPr>
                <w:b/>
              </w:rPr>
              <w:t xml:space="preserve">in </w:t>
            </w:r>
            <w:r w:rsidRPr="00BB5015">
              <w:rPr>
                <w:b/>
              </w:rPr>
              <w:t>dollars)</w:t>
            </w:r>
          </w:p>
        </w:tc>
      </w:tr>
      <w:tr w:rsidR="00FA79A6" w:rsidRPr="00F7015B" w:rsidTr="00BB5015">
        <w:trPr>
          <w:cantSplit/>
        </w:trPr>
        <w:tc>
          <w:tcPr>
            <w:tcW w:w="1800" w:type="dxa"/>
            <w:tcBorders>
              <w:bottom w:val="single" w:sz="4" w:space="0" w:color="auto"/>
            </w:tcBorders>
            <w:vAlign w:val="center"/>
          </w:tcPr>
          <w:p w:rsidR="00FA79A6" w:rsidRPr="00F7015B" w:rsidRDefault="00FA79A6" w:rsidP="00CF3477">
            <w:r w:rsidRPr="00F7015B">
              <w:lastRenderedPageBreak/>
              <w:t>Direct Costs to the Federal Government</w:t>
            </w:r>
          </w:p>
        </w:tc>
        <w:tc>
          <w:tcPr>
            <w:tcW w:w="5040" w:type="dxa"/>
            <w:tcBorders>
              <w:bottom w:val="single" w:sz="4" w:space="0" w:color="auto"/>
            </w:tcBorders>
            <w:vAlign w:val="center"/>
          </w:tcPr>
          <w:p w:rsidR="00FA79A6" w:rsidRPr="00F7015B" w:rsidRDefault="00157957" w:rsidP="00CF3477">
            <w:r>
              <w:t xml:space="preserve">Two </w:t>
            </w:r>
            <w:r w:rsidR="00FA79A6" w:rsidRPr="00F7015B">
              <w:t xml:space="preserve">DHS Project </w:t>
            </w:r>
            <w:r w:rsidR="00FA79A6">
              <w:t>Manager</w:t>
            </w:r>
            <w:r w:rsidR="003B3956">
              <w:t>s</w:t>
            </w:r>
            <w:r w:rsidR="00FA79A6">
              <w:t xml:space="preserve"> (GS-14</w:t>
            </w:r>
            <w:r w:rsidR="00FA79A6" w:rsidRPr="00F7015B">
              <w:t>)</w:t>
            </w:r>
            <w:r w:rsidR="00FA79A6">
              <w:t xml:space="preserve"> @ $</w:t>
            </w:r>
            <w:r>
              <w:t>165,</w:t>
            </w:r>
            <w:r w:rsidR="001B0F64">
              <w:t>900</w:t>
            </w:r>
          </w:p>
        </w:tc>
        <w:tc>
          <w:tcPr>
            <w:tcW w:w="1908" w:type="dxa"/>
            <w:tcBorders>
              <w:bottom w:val="single" w:sz="4" w:space="0" w:color="auto"/>
            </w:tcBorders>
            <w:vAlign w:val="center"/>
          </w:tcPr>
          <w:p w:rsidR="00FA79A6" w:rsidRPr="00FA79A6" w:rsidRDefault="001B0F64" w:rsidP="00BB5015">
            <w:pPr>
              <w:jc w:val="right"/>
            </w:pPr>
            <w:r>
              <w:t>331,800</w:t>
            </w:r>
          </w:p>
        </w:tc>
      </w:tr>
      <w:tr w:rsidR="00FA79A6" w:rsidRPr="00F7015B" w:rsidTr="00BB5015">
        <w:trPr>
          <w:cantSplit/>
        </w:trPr>
        <w:tc>
          <w:tcPr>
            <w:tcW w:w="1800" w:type="dxa"/>
            <w:tcBorders>
              <w:top w:val="single" w:sz="4" w:space="0" w:color="auto"/>
              <w:bottom w:val="single" w:sz="4" w:space="0" w:color="auto"/>
              <w:right w:val="single" w:sz="4" w:space="0" w:color="auto"/>
            </w:tcBorders>
            <w:vAlign w:val="center"/>
          </w:tcPr>
          <w:p w:rsidR="00FA79A6" w:rsidRPr="00F7015B" w:rsidRDefault="00FA79A6" w:rsidP="00CF3477">
            <w:r>
              <w:t>CSAT O&amp;M</w:t>
            </w:r>
          </w:p>
        </w:tc>
        <w:tc>
          <w:tcPr>
            <w:tcW w:w="5040" w:type="dxa"/>
            <w:tcBorders>
              <w:top w:val="single" w:sz="4" w:space="0" w:color="auto"/>
              <w:left w:val="single" w:sz="4" w:space="0" w:color="auto"/>
              <w:bottom w:val="single" w:sz="4" w:space="0" w:color="auto"/>
              <w:right w:val="single" w:sz="4" w:space="0" w:color="auto"/>
            </w:tcBorders>
            <w:vAlign w:val="center"/>
          </w:tcPr>
          <w:p w:rsidR="00FA79A6" w:rsidRPr="00F7015B" w:rsidRDefault="00FA79A6" w:rsidP="00CF3477">
            <w:r>
              <w:t>Costs for O&amp;M of CSAT Application</w:t>
            </w:r>
          </w:p>
        </w:tc>
        <w:tc>
          <w:tcPr>
            <w:tcW w:w="1908" w:type="dxa"/>
            <w:tcBorders>
              <w:top w:val="single" w:sz="4" w:space="0" w:color="auto"/>
              <w:left w:val="single" w:sz="4" w:space="0" w:color="auto"/>
              <w:bottom w:val="single" w:sz="4" w:space="0" w:color="auto"/>
            </w:tcBorders>
            <w:vAlign w:val="center"/>
          </w:tcPr>
          <w:p w:rsidR="00FA79A6" w:rsidRPr="00F7015B" w:rsidRDefault="00FA79A6" w:rsidP="00BB5015">
            <w:pPr>
              <w:jc w:val="right"/>
            </w:pPr>
            <w:r>
              <w:t>400,000</w:t>
            </w:r>
          </w:p>
        </w:tc>
      </w:tr>
      <w:tr w:rsidR="00FA79A6" w:rsidRPr="00F7015B" w:rsidTr="00BB5015">
        <w:trPr>
          <w:cantSplit/>
        </w:trPr>
        <w:tc>
          <w:tcPr>
            <w:tcW w:w="1800" w:type="dxa"/>
            <w:tcBorders>
              <w:top w:val="single" w:sz="4" w:space="0" w:color="auto"/>
              <w:left w:val="nil"/>
              <w:bottom w:val="nil"/>
              <w:right w:val="nil"/>
            </w:tcBorders>
            <w:vAlign w:val="center"/>
          </w:tcPr>
          <w:p w:rsidR="00FA79A6" w:rsidRDefault="00FA79A6" w:rsidP="00CF3477"/>
        </w:tc>
        <w:tc>
          <w:tcPr>
            <w:tcW w:w="5040" w:type="dxa"/>
            <w:tcBorders>
              <w:top w:val="single" w:sz="4" w:space="0" w:color="auto"/>
              <w:left w:val="nil"/>
              <w:bottom w:val="nil"/>
              <w:right w:val="nil"/>
            </w:tcBorders>
            <w:vAlign w:val="center"/>
          </w:tcPr>
          <w:p w:rsidR="00FA79A6" w:rsidRPr="00F7015B" w:rsidRDefault="00FA79A6" w:rsidP="00CF3477"/>
        </w:tc>
        <w:tc>
          <w:tcPr>
            <w:tcW w:w="1908" w:type="dxa"/>
            <w:tcBorders>
              <w:top w:val="single" w:sz="4" w:space="0" w:color="auto"/>
              <w:left w:val="nil"/>
              <w:bottom w:val="nil"/>
              <w:right w:val="nil"/>
            </w:tcBorders>
            <w:vAlign w:val="center"/>
          </w:tcPr>
          <w:p w:rsidR="00FA79A6" w:rsidRDefault="00FA79A6" w:rsidP="00BB5015">
            <w:pPr>
              <w:jc w:val="right"/>
            </w:pPr>
          </w:p>
        </w:tc>
      </w:tr>
      <w:tr w:rsidR="00FA79A6" w:rsidRPr="00F7015B" w:rsidTr="00BB5015">
        <w:trPr>
          <w:cantSplit/>
        </w:trPr>
        <w:tc>
          <w:tcPr>
            <w:tcW w:w="6840" w:type="dxa"/>
            <w:gridSpan w:val="2"/>
            <w:tcBorders>
              <w:top w:val="nil"/>
              <w:left w:val="nil"/>
              <w:bottom w:val="nil"/>
              <w:right w:val="nil"/>
            </w:tcBorders>
            <w:vAlign w:val="center"/>
          </w:tcPr>
          <w:p w:rsidR="00FA79A6" w:rsidRPr="00F7015B" w:rsidRDefault="00FA79A6" w:rsidP="00CF3477">
            <w:r>
              <w:t>Total</w:t>
            </w:r>
          </w:p>
        </w:tc>
        <w:tc>
          <w:tcPr>
            <w:tcW w:w="1908" w:type="dxa"/>
            <w:tcBorders>
              <w:top w:val="nil"/>
              <w:left w:val="nil"/>
              <w:bottom w:val="nil"/>
              <w:right w:val="nil"/>
            </w:tcBorders>
            <w:vAlign w:val="center"/>
          </w:tcPr>
          <w:p w:rsidR="00FA79A6" w:rsidRDefault="001B0F64" w:rsidP="00BB5015">
            <w:pPr>
              <w:jc w:val="right"/>
            </w:pPr>
            <w:r>
              <w:t>731,800</w:t>
            </w:r>
          </w:p>
        </w:tc>
      </w:tr>
    </w:tbl>
    <w:p w:rsidR="00FA79A6" w:rsidRDefault="00FA79A6" w:rsidP="00352156">
      <w:pPr>
        <w:pStyle w:val="Heading3"/>
      </w:pPr>
      <w:r>
        <w:t>Total Federal Government Costs</w:t>
      </w:r>
    </w:p>
    <w:p w:rsidR="00FA79A6" w:rsidRPr="00797391" w:rsidRDefault="00FA79A6" w:rsidP="00FA79A6">
      <w:r w:rsidRPr="00797391">
        <w:t xml:space="preserve">In sum, the estimated total annual operating cost to the United States </w:t>
      </w:r>
      <w:r>
        <w:t>G</w:t>
      </w:r>
      <w:r w:rsidRPr="00797391">
        <w:t xml:space="preserve">overnment for </w:t>
      </w:r>
      <w:r>
        <w:t xml:space="preserve">this collection is </w:t>
      </w:r>
      <w:r w:rsidRPr="00797391">
        <w:t>$</w:t>
      </w:r>
      <w:r w:rsidR="001B0F64">
        <w:t>731,800</w:t>
      </w:r>
      <w:r>
        <w:t>.00.</w:t>
      </w:r>
    </w:p>
    <w:p w:rsidR="002D3E25" w:rsidRPr="00537253" w:rsidRDefault="002D3E25" w:rsidP="00A306F1">
      <w:pPr>
        <w:pStyle w:val="Heading2"/>
      </w:pPr>
      <w:r w:rsidRPr="00537253">
        <w:t>Explain the reasons for the change in burden.</w:t>
      </w:r>
    </w:p>
    <w:p w:rsidR="00033BFD" w:rsidRDefault="00F13258" w:rsidP="00033BFD">
      <w:r w:rsidRPr="006E1193">
        <w:t>Change</w:t>
      </w:r>
      <w:r>
        <w:t>s to the burden estimates in this collection reflect a review of the historical data collected from January 2009 to December 2011</w:t>
      </w:r>
      <w:r w:rsidR="00033BFD">
        <w:t>.  When compared to the previous IC this ICR reflects an increase of burden by $2,512,268.</w:t>
      </w:r>
    </w:p>
    <w:p w:rsidR="00033BFD" w:rsidRDefault="00033BFD" w:rsidP="00033BFD"/>
    <w:p w:rsidR="00F13258" w:rsidRDefault="00033BFD" w:rsidP="00F13258">
      <w:r>
        <w:t>There is no change in the information being collected.</w:t>
      </w:r>
    </w:p>
    <w:p w:rsidR="00413040" w:rsidRPr="006155DA" w:rsidRDefault="00413040" w:rsidP="00A306F1">
      <w:pPr>
        <w:pStyle w:val="Heading2"/>
      </w:pPr>
      <w:r w:rsidRPr="00537253">
        <w:t xml:space="preserve">For collections of information whose results </w:t>
      </w:r>
      <w:r w:rsidR="006155DA" w:rsidRPr="00537253">
        <w:t xml:space="preserve">are planned to be published </w:t>
      </w:r>
      <w:r w:rsidR="00AC3AAF" w:rsidRPr="00537253">
        <w:t>for statistical</w:t>
      </w:r>
      <w:r w:rsidRPr="00537253">
        <w:t xml:space="preserve"> use, outline plans for tabulation, statistical analysis and publication</w:t>
      </w:r>
      <w:r w:rsidRPr="006155DA">
        <w:t>.</w:t>
      </w:r>
    </w:p>
    <w:p w:rsidR="00413040" w:rsidRPr="00537253" w:rsidRDefault="00413040" w:rsidP="00537253">
      <w:r w:rsidRPr="00537253">
        <w:t>No plans exist for the use of statistical analysis or to publish this information.</w:t>
      </w:r>
    </w:p>
    <w:p w:rsidR="00413040" w:rsidRPr="006155DA" w:rsidRDefault="00413040" w:rsidP="00A306F1">
      <w:pPr>
        <w:pStyle w:val="Heading2"/>
      </w:pPr>
      <w:r w:rsidRPr="00537253">
        <w:t>Explain the reasons for seeking not to display the expiration date for OMB approval of the information of collection</w:t>
      </w:r>
      <w:r w:rsidRPr="006155DA">
        <w:t>.</w:t>
      </w:r>
    </w:p>
    <w:p w:rsidR="00413040" w:rsidRPr="00537253" w:rsidRDefault="00A2437B" w:rsidP="00537253">
      <w:r w:rsidRPr="0078506C">
        <w:t xml:space="preserve">The expiration date will be displayed in the </w:t>
      </w:r>
      <w:r>
        <w:t>instruments when used within CSAT</w:t>
      </w:r>
      <w:r w:rsidRPr="0078506C">
        <w:t>.</w:t>
      </w:r>
      <w:r>
        <w:t xml:space="preserve">  .</w:t>
      </w:r>
    </w:p>
    <w:p w:rsidR="00413040" w:rsidRPr="00537253" w:rsidRDefault="00413040" w:rsidP="00A306F1">
      <w:pPr>
        <w:pStyle w:val="Heading2"/>
      </w:pPr>
      <w:r w:rsidRPr="00537253">
        <w:t>Explain each exception to the certification statement.</w:t>
      </w:r>
    </w:p>
    <w:p w:rsidR="00576A37" w:rsidRPr="00537253" w:rsidRDefault="00413040" w:rsidP="00537253">
      <w:r w:rsidRPr="00537253">
        <w:t>No exceptions have been requested.</w:t>
      </w:r>
    </w:p>
    <w:sectPr w:rsidR="00576A37" w:rsidRPr="00537253" w:rsidSect="004B0FDB">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15" w:rsidRDefault="00A50315">
      <w:r>
        <w:separator/>
      </w:r>
    </w:p>
  </w:endnote>
  <w:endnote w:type="continuationSeparator" w:id="0">
    <w:p w:rsidR="00A50315" w:rsidRDefault="00A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A5" w:rsidRDefault="00A16557" w:rsidP="00BB37B9">
    <w:pPr>
      <w:pStyle w:val="Footer"/>
      <w:framePr w:wrap="around" w:vAnchor="text" w:hAnchor="margin" w:xAlign="center" w:y="1"/>
      <w:rPr>
        <w:rStyle w:val="PageNumber"/>
      </w:rPr>
    </w:pPr>
    <w:r>
      <w:rPr>
        <w:rStyle w:val="PageNumber"/>
      </w:rPr>
      <w:fldChar w:fldCharType="begin"/>
    </w:r>
    <w:r w:rsidR="00F62EA5">
      <w:rPr>
        <w:rStyle w:val="PageNumber"/>
      </w:rPr>
      <w:instrText xml:space="preserve">PAGE  </w:instrText>
    </w:r>
    <w:r>
      <w:rPr>
        <w:rStyle w:val="PageNumber"/>
      </w:rPr>
      <w:fldChar w:fldCharType="end"/>
    </w:r>
  </w:p>
  <w:p w:rsidR="00F62EA5" w:rsidRDefault="00F62EA5" w:rsidP="006212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A5" w:rsidRDefault="00A16557" w:rsidP="00141BD0">
    <w:pPr>
      <w:pStyle w:val="Footer"/>
      <w:framePr w:wrap="around" w:vAnchor="text" w:hAnchor="margin" w:xAlign="center" w:y="1"/>
      <w:rPr>
        <w:rStyle w:val="PageNumber"/>
      </w:rPr>
    </w:pPr>
    <w:r>
      <w:rPr>
        <w:rStyle w:val="PageNumber"/>
      </w:rPr>
      <w:fldChar w:fldCharType="begin"/>
    </w:r>
    <w:r w:rsidR="00F62EA5">
      <w:rPr>
        <w:rStyle w:val="PageNumber"/>
      </w:rPr>
      <w:instrText xml:space="preserve">PAGE  </w:instrText>
    </w:r>
    <w:r>
      <w:rPr>
        <w:rStyle w:val="PageNumber"/>
      </w:rPr>
      <w:fldChar w:fldCharType="separate"/>
    </w:r>
    <w:r w:rsidR="00F2551E">
      <w:rPr>
        <w:rStyle w:val="PageNumber"/>
        <w:noProof/>
      </w:rPr>
      <w:t>1</w:t>
    </w:r>
    <w:r>
      <w:rPr>
        <w:rStyle w:val="PageNumber"/>
      </w:rPr>
      <w:fldChar w:fldCharType="end"/>
    </w:r>
  </w:p>
  <w:p w:rsidR="00F62EA5" w:rsidRDefault="00381DA2" w:rsidP="00142B0E">
    <w:pPr>
      <w:tabs>
        <w:tab w:val="center" w:pos="4680"/>
        <w:tab w:val="right" w:pos="9360"/>
      </w:tabs>
      <w:jc w:val="center"/>
    </w:pPr>
    <w:r>
      <w:rPr>
        <w:rStyle w:val="PageNumber"/>
      </w:rPr>
      <w:tab/>
    </w:r>
    <w:r w:rsidR="00A16557" w:rsidRPr="00745B77">
      <w:rPr>
        <w:rStyle w:val="PageNumber"/>
      </w:rPr>
      <w:fldChar w:fldCharType="begin"/>
    </w:r>
    <w:r w:rsidRPr="00745B77">
      <w:rPr>
        <w:rStyle w:val="PageNumber"/>
      </w:rPr>
      <w:instrText xml:space="preserve"> PAGE </w:instrText>
    </w:r>
    <w:r w:rsidR="00A16557" w:rsidRPr="00745B77">
      <w:rPr>
        <w:rStyle w:val="PageNumber"/>
      </w:rPr>
      <w:fldChar w:fldCharType="separate"/>
    </w:r>
    <w:r w:rsidR="00F2551E">
      <w:rPr>
        <w:rStyle w:val="PageNumber"/>
        <w:noProof/>
      </w:rPr>
      <w:t>1</w:t>
    </w:r>
    <w:r w:rsidR="00A16557" w:rsidRPr="00745B77">
      <w:rPr>
        <w:rStyle w:val="PageNumber"/>
      </w:rPr>
      <w:fldChar w:fldCharType="end"/>
    </w:r>
    <w:r>
      <w:rPr>
        <w:rStyle w:val="PageNumber"/>
      </w:rPr>
      <w:tab/>
    </w:r>
    <w:r w:rsidRPr="007906D6">
      <w:rPr>
        <w:rStyle w:val="PageNumber"/>
        <w:sz w:val="16"/>
        <w:szCs w:val="16"/>
      </w:rPr>
      <w:t xml:space="preserve">Submitted For OMB Review In </w:t>
    </w:r>
    <w:r w:rsidR="00680618">
      <w:rPr>
        <w:rStyle w:val="PageNumber"/>
        <w:sz w:val="16"/>
        <w:szCs w:val="16"/>
      </w:rPr>
      <w:t>July</w:t>
    </w:r>
    <w:r w:rsidR="00680618" w:rsidRPr="007906D6">
      <w:rPr>
        <w:rStyle w:val="PageNumber"/>
        <w:sz w:val="16"/>
        <w:szCs w:val="16"/>
      </w:rPr>
      <w:t xml:space="preserve"> 201</w:t>
    </w:r>
    <w:r w:rsidR="00680618">
      <w:rPr>
        <w:rStyle w:val="PageNumbe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15" w:rsidRDefault="00A50315">
      <w:r>
        <w:separator/>
      </w:r>
    </w:p>
  </w:footnote>
  <w:footnote w:type="continuationSeparator" w:id="0">
    <w:p w:rsidR="00A50315" w:rsidRDefault="00A50315">
      <w:r>
        <w:continuationSeparator/>
      </w:r>
    </w:p>
  </w:footnote>
  <w:footnote w:id="1">
    <w:p w:rsidR="00570A9F" w:rsidRPr="00680618" w:rsidRDefault="00570A9F">
      <w:pPr>
        <w:pStyle w:val="FootnoteText"/>
      </w:pPr>
      <w:r>
        <w:rPr>
          <w:rStyle w:val="FootnoteReference"/>
        </w:rPr>
        <w:footnoteRef/>
      </w:r>
      <w:r w:rsidRPr="00680618">
        <w:t xml:space="preserve"> </w:t>
      </w:r>
      <w:hyperlink r:id="rId1" w:history="1">
        <w:r w:rsidRPr="00243F80">
          <w:t>https://federalregister.gov/a/2012-30313</w:t>
        </w:r>
      </w:hyperlink>
    </w:p>
  </w:footnote>
  <w:footnote w:id="2">
    <w:p w:rsidR="00680618" w:rsidRDefault="00680618">
      <w:pPr>
        <w:pStyle w:val="FootnoteText"/>
      </w:pPr>
      <w:r>
        <w:rPr>
          <w:rStyle w:val="FootnoteReference"/>
        </w:rPr>
        <w:footnoteRef/>
      </w:r>
      <w:r w:rsidRPr="00680618">
        <w:t xml:space="preserve"> https://federalregister.gov/a/2013-06096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8503B"/>
    <w:multiLevelType w:val="hybridMultilevel"/>
    <w:tmpl w:val="3AF0FC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A041F38"/>
    <w:lvl w:ilvl="0">
      <w:start w:val="1"/>
      <w:numFmt w:val="decimal"/>
      <w:lvlText w:val="%1."/>
      <w:lvlJc w:val="left"/>
      <w:pPr>
        <w:tabs>
          <w:tab w:val="num" w:pos="1800"/>
        </w:tabs>
        <w:ind w:left="1800" w:hanging="360"/>
      </w:pPr>
    </w:lvl>
  </w:abstractNum>
  <w:abstractNum w:abstractNumId="2">
    <w:nsid w:val="FFFFFF7D"/>
    <w:multiLevelType w:val="singleLevel"/>
    <w:tmpl w:val="278C9020"/>
    <w:lvl w:ilvl="0">
      <w:start w:val="1"/>
      <w:numFmt w:val="decimal"/>
      <w:lvlText w:val="%1."/>
      <w:lvlJc w:val="left"/>
      <w:pPr>
        <w:tabs>
          <w:tab w:val="num" w:pos="1440"/>
        </w:tabs>
        <w:ind w:left="1440" w:hanging="360"/>
      </w:pPr>
    </w:lvl>
  </w:abstractNum>
  <w:abstractNum w:abstractNumId="3">
    <w:nsid w:val="FFFFFF7E"/>
    <w:multiLevelType w:val="singleLevel"/>
    <w:tmpl w:val="E3D8709E"/>
    <w:lvl w:ilvl="0">
      <w:start w:val="1"/>
      <w:numFmt w:val="decimal"/>
      <w:lvlText w:val="%1."/>
      <w:lvlJc w:val="left"/>
      <w:pPr>
        <w:tabs>
          <w:tab w:val="num" w:pos="1080"/>
        </w:tabs>
        <w:ind w:left="1080" w:hanging="360"/>
      </w:pPr>
    </w:lvl>
  </w:abstractNum>
  <w:abstractNum w:abstractNumId="4">
    <w:nsid w:val="FFFFFF7F"/>
    <w:multiLevelType w:val="singleLevel"/>
    <w:tmpl w:val="83245F38"/>
    <w:lvl w:ilvl="0">
      <w:start w:val="1"/>
      <w:numFmt w:val="decimal"/>
      <w:lvlText w:val="%1."/>
      <w:lvlJc w:val="left"/>
      <w:pPr>
        <w:tabs>
          <w:tab w:val="num" w:pos="720"/>
        </w:tabs>
        <w:ind w:left="720" w:hanging="360"/>
      </w:pPr>
    </w:lvl>
  </w:abstractNum>
  <w:abstractNum w:abstractNumId="5">
    <w:nsid w:val="FFFFFF80"/>
    <w:multiLevelType w:val="singleLevel"/>
    <w:tmpl w:val="FD7C45C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FEECF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816CCA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DCA636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B9A4D28"/>
    <w:lvl w:ilvl="0">
      <w:start w:val="1"/>
      <w:numFmt w:val="decimal"/>
      <w:lvlText w:val="%1."/>
      <w:lvlJc w:val="left"/>
      <w:pPr>
        <w:tabs>
          <w:tab w:val="num" w:pos="360"/>
        </w:tabs>
        <w:ind w:left="360" w:hanging="360"/>
      </w:pPr>
    </w:lvl>
  </w:abstractNum>
  <w:abstractNum w:abstractNumId="10">
    <w:nsid w:val="FFFFFF89"/>
    <w:multiLevelType w:val="singleLevel"/>
    <w:tmpl w:val="101EBEA0"/>
    <w:lvl w:ilvl="0">
      <w:start w:val="1"/>
      <w:numFmt w:val="bullet"/>
      <w:lvlText w:val=""/>
      <w:lvlJc w:val="left"/>
      <w:pPr>
        <w:tabs>
          <w:tab w:val="num" w:pos="360"/>
        </w:tabs>
        <w:ind w:left="360" w:hanging="360"/>
      </w:pPr>
      <w:rPr>
        <w:rFonts w:ascii="Symbol" w:hAnsi="Symbol" w:hint="default"/>
      </w:rPr>
    </w:lvl>
  </w:abstractNum>
  <w:abstractNum w:abstractNumId="11">
    <w:nsid w:val="22CE6382"/>
    <w:multiLevelType w:val="hybridMultilevel"/>
    <w:tmpl w:val="F99691D4"/>
    <w:lvl w:ilvl="0" w:tplc="906268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1205768"/>
    <w:multiLevelType w:val="hybridMultilevel"/>
    <w:tmpl w:val="5466508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C6492A"/>
    <w:multiLevelType w:val="hybridMultilevel"/>
    <w:tmpl w:val="2ACE6D64"/>
    <w:lvl w:ilvl="0" w:tplc="E5F2113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DE1BF4"/>
    <w:multiLevelType w:val="hybridMultilevel"/>
    <w:tmpl w:val="D4FA0E92"/>
    <w:lvl w:ilvl="0" w:tplc="54B63736">
      <w:start w:val="1"/>
      <w:numFmt w:val="decimal"/>
      <w:pStyle w:val="Heading2"/>
      <w:lvlText w:val="(%1)"/>
      <w:lvlJc w:val="left"/>
      <w:pPr>
        <w:tabs>
          <w:tab w:val="num" w:pos="-705"/>
        </w:tabs>
        <w:ind w:left="-705" w:hanging="37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389C6826"/>
    <w:multiLevelType w:val="hybridMultilevel"/>
    <w:tmpl w:val="9FE8F4F4"/>
    <w:lvl w:ilvl="0" w:tplc="E5F2113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1DE1A60"/>
    <w:multiLevelType w:val="hybridMultilevel"/>
    <w:tmpl w:val="C0609E24"/>
    <w:lvl w:ilvl="0" w:tplc="04090011">
      <w:start w:val="12"/>
      <w:numFmt w:val="decimal"/>
      <w:lvlText w:val="%1)"/>
      <w:lvlJc w:val="left"/>
      <w:pPr>
        <w:tabs>
          <w:tab w:val="num" w:pos="360"/>
        </w:tabs>
        <w:ind w:left="360" w:hanging="360"/>
      </w:pPr>
      <w:rPr>
        <w:rFonts w:hint="default"/>
      </w:rPr>
    </w:lvl>
    <w:lvl w:ilvl="1" w:tplc="48AC5F80">
      <w:start w:val="5"/>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7529BB"/>
    <w:multiLevelType w:val="hybridMultilevel"/>
    <w:tmpl w:val="F86047FC"/>
    <w:lvl w:ilvl="0" w:tplc="E5F2113E">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B467090"/>
    <w:multiLevelType w:val="hybridMultilevel"/>
    <w:tmpl w:val="84E60FE6"/>
    <w:lvl w:ilvl="0" w:tplc="51F23284">
      <w:start w:val="2"/>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0730975"/>
    <w:multiLevelType w:val="hybridMultilevel"/>
    <w:tmpl w:val="874E2A9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A9A7D5F"/>
    <w:multiLevelType w:val="hybridMultilevel"/>
    <w:tmpl w:val="F394F4EC"/>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C625312"/>
    <w:multiLevelType w:val="hybridMultilevel"/>
    <w:tmpl w:val="27346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A53CBA"/>
    <w:multiLevelType w:val="multilevel"/>
    <w:tmpl w:val="027A4F48"/>
    <w:lvl w:ilvl="0">
      <w:start w:val="11"/>
      <w:numFmt w:val="decimal"/>
      <w:lvlText w:val="%1)"/>
      <w:lvlJc w:val="left"/>
      <w:pPr>
        <w:tabs>
          <w:tab w:val="num" w:pos="0"/>
        </w:tabs>
        <w:ind w:left="0" w:hanging="54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3">
    <w:nsid w:val="5F6B6694"/>
    <w:multiLevelType w:val="hybridMultilevel"/>
    <w:tmpl w:val="22E867F6"/>
    <w:lvl w:ilvl="0" w:tplc="BF36011A">
      <w:start w:val="1"/>
      <w:numFmt w:val="upperLetter"/>
      <w:lvlText w:val="(%1)"/>
      <w:lvlJc w:val="left"/>
      <w:pPr>
        <w:tabs>
          <w:tab w:val="num" w:pos="375"/>
        </w:tabs>
        <w:ind w:left="375" w:hanging="375"/>
      </w:pPr>
      <w:rPr>
        <w:rFonts w:hint="default"/>
      </w:rPr>
    </w:lvl>
    <w:lvl w:ilvl="1" w:tplc="BF36011A">
      <w:start w:val="1"/>
      <w:numFmt w:val="upperLetter"/>
      <w:lvlText w:val="(%2)"/>
      <w:lvlJc w:val="left"/>
      <w:pPr>
        <w:tabs>
          <w:tab w:val="num" w:pos="375"/>
        </w:tabs>
        <w:ind w:left="375" w:hanging="375"/>
      </w:pPr>
      <w:rPr>
        <w:rFonts w:hint="default"/>
      </w:rPr>
    </w:lvl>
    <w:lvl w:ilvl="2" w:tplc="0409001B" w:tentative="1">
      <w:start w:val="1"/>
      <w:numFmt w:val="lowerRoman"/>
      <w:lvlText w:val="%3."/>
      <w:lvlJc w:val="right"/>
      <w:pPr>
        <w:tabs>
          <w:tab w:val="num" w:pos="1575"/>
        </w:tabs>
        <w:ind w:left="1575" w:hanging="180"/>
      </w:pPr>
    </w:lvl>
    <w:lvl w:ilvl="3" w:tplc="0409000F" w:tentative="1">
      <w:start w:val="1"/>
      <w:numFmt w:val="decimal"/>
      <w:lvlText w:val="%4."/>
      <w:lvlJc w:val="left"/>
      <w:pPr>
        <w:tabs>
          <w:tab w:val="num" w:pos="2295"/>
        </w:tabs>
        <w:ind w:left="2295" w:hanging="360"/>
      </w:pPr>
    </w:lvl>
    <w:lvl w:ilvl="4" w:tplc="04090019" w:tentative="1">
      <w:start w:val="1"/>
      <w:numFmt w:val="lowerLetter"/>
      <w:lvlText w:val="%5."/>
      <w:lvlJc w:val="left"/>
      <w:pPr>
        <w:tabs>
          <w:tab w:val="num" w:pos="3015"/>
        </w:tabs>
        <w:ind w:left="3015" w:hanging="360"/>
      </w:pPr>
    </w:lvl>
    <w:lvl w:ilvl="5" w:tplc="0409001B" w:tentative="1">
      <w:start w:val="1"/>
      <w:numFmt w:val="lowerRoman"/>
      <w:lvlText w:val="%6."/>
      <w:lvlJc w:val="right"/>
      <w:pPr>
        <w:tabs>
          <w:tab w:val="num" w:pos="3735"/>
        </w:tabs>
        <w:ind w:left="3735" w:hanging="180"/>
      </w:pPr>
    </w:lvl>
    <w:lvl w:ilvl="6" w:tplc="0409000F" w:tentative="1">
      <w:start w:val="1"/>
      <w:numFmt w:val="decimal"/>
      <w:lvlText w:val="%7."/>
      <w:lvlJc w:val="left"/>
      <w:pPr>
        <w:tabs>
          <w:tab w:val="num" w:pos="4455"/>
        </w:tabs>
        <w:ind w:left="4455" w:hanging="360"/>
      </w:pPr>
    </w:lvl>
    <w:lvl w:ilvl="7" w:tplc="04090019" w:tentative="1">
      <w:start w:val="1"/>
      <w:numFmt w:val="lowerLetter"/>
      <w:lvlText w:val="%8."/>
      <w:lvlJc w:val="left"/>
      <w:pPr>
        <w:tabs>
          <w:tab w:val="num" w:pos="5175"/>
        </w:tabs>
        <w:ind w:left="5175" w:hanging="360"/>
      </w:pPr>
    </w:lvl>
    <w:lvl w:ilvl="8" w:tplc="0409001B" w:tentative="1">
      <w:start w:val="1"/>
      <w:numFmt w:val="lowerRoman"/>
      <w:lvlText w:val="%9."/>
      <w:lvlJc w:val="right"/>
      <w:pPr>
        <w:tabs>
          <w:tab w:val="num" w:pos="5895"/>
        </w:tabs>
        <w:ind w:left="5895" w:hanging="180"/>
      </w:pPr>
    </w:lvl>
  </w:abstractNum>
  <w:abstractNum w:abstractNumId="24">
    <w:nsid w:val="68D91206"/>
    <w:multiLevelType w:val="hybridMultilevel"/>
    <w:tmpl w:val="B02286E4"/>
    <w:lvl w:ilvl="0" w:tplc="81645AF2">
      <w:start w:val="1"/>
      <w:numFmt w:val="decimal"/>
      <w:lvlText w:val="(%1)"/>
      <w:lvlJc w:val="left"/>
      <w:pPr>
        <w:tabs>
          <w:tab w:val="num" w:pos="-165"/>
        </w:tabs>
        <w:ind w:left="-165" w:hanging="37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nsid w:val="77DE56CB"/>
    <w:multiLevelType w:val="multilevel"/>
    <w:tmpl w:val="F394F4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19"/>
  </w:num>
  <w:num w:numId="3">
    <w:abstractNumId w:val="0"/>
  </w:num>
  <w:num w:numId="4">
    <w:abstractNumId w:val="13"/>
  </w:num>
  <w:num w:numId="5">
    <w:abstractNumId w:val="20"/>
  </w:num>
  <w:num w:numId="6">
    <w:abstractNumId w:val="25"/>
  </w:num>
  <w:num w:numId="7">
    <w:abstractNumId w:val="12"/>
  </w:num>
  <w:num w:numId="8">
    <w:abstractNumId w:val="18"/>
  </w:num>
  <w:num w:numId="9">
    <w:abstractNumId w:val="17"/>
  </w:num>
  <w:num w:numId="10">
    <w:abstractNumId w:val="23"/>
  </w:num>
  <w:num w:numId="11">
    <w:abstractNumId w:val="16"/>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4"/>
  </w:num>
  <w:num w:numId="24">
    <w:abstractNumId w:val="22"/>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8C"/>
    <w:rsid w:val="00000452"/>
    <w:rsid w:val="0000105B"/>
    <w:rsid w:val="000015F9"/>
    <w:rsid w:val="00001912"/>
    <w:rsid w:val="00006477"/>
    <w:rsid w:val="000068C3"/>
    <w:rsid w:val="000075A0"/>
    <w:rsid w:val="0000781C"/>
    <w:rsid w:val="0000790F"/>
    <w:rsid w:val="00007E55"/>
    <w:rsid w:val="000103E3"/>
    <w:rsid w:val="00010656"/>
    <w:rsid w:val="00010B61"/>
    <w:rsid w:val="0001101E"/>
    <w:rsid w:val="00011F2D"/>
    <w:rsid w:val="000120B2"/>
    <w:rsid w:val="000140EF"/>
    <w:rsid w:val="000159C6"/>
    <w:rsid w:val="00015FAD"/>
    <w:rsid w:val="00016DD7"/>
    <w:rsid w:val="0001772C"/>
    <w:rsid w:val="000203A8"/>
    <w:rsid w:val="0002082B"/>
    <w:rsid w:val="00022349"/>
    <w:rsid w:val="00023DB3"/>
    <w:rsid w:val="00024C1A"/>
    <w:rsid w:val="00025AB3"/>
    <w:rsid w:val="000263CF"/>
    <w:rsid w:val="000268A4"/>
    <w:rsid w:val="000322BB"/>
    <w:rsid w:val="00032961"/>
    <w:rsid w:val="00032DB9"/>
    <w:rsid w:val="00033BFD"/>
    <w:rsid w:val="00034017"/>
    <w:rsid w:val="0003466A"/>
    <w:rsid w:val="00034A07"/>
    <w:rsid w:val="00035713"/>
    <w:rsid w:val="00036722"/>
    <w:rsid w:val="00036C80"/>
    <w:rsid w:val="00037C6A"/>
    <w:rsid w:val="000402E5"/>
    <w:rsid w:val="000404CB"/>
    <w:rsid w:val="00041CBC"/>
    <w:rsid w:val="00042283"/>
    <w:rsid w:val="000429F4"/>
    <w:rsid w:val="00042A46"/>
    <w:rsid w:val="00042BCF"/>
    <w:rsid w:val="00044365"/>
    <w:rsid w:val="0004448B"/>
    <w:rsid w:val="000449A0"/>
    <w:rsid w:val="00044C12"/>
    <w:rsid w:val="00045923"/>
    <w:rsid w:val="00045924"/>
    <w:rsid w:val="00046079"/>
    <w:rsid w:val="000461B9"/>
    <w:rsid w:val="000465B2"/>
    <w:rsid w:val="000472D4"/>
    <w:rsid w:val="000477B4"/>
    <w:rsid w:val="00051076"/>
    <w:rsid w:val="00053339"/>
    <w:rsid w:val="00056428"/>
    <w:rsid w:val="00057ADD"/>
    <w:rsid w:val="00057F84"/>
    <w:rsid w:val="0006199A"/>
    <w:rsid w:val="000619A0"/>
    <w:rsid w:val="00061F26"/>
    <w:rsid w:val="0006229B"/>
    <w:rsid w:val="00062D23"/>
    <w:rsid w:val="000631BC"/>
    <w:rsid w:val="00064106"/>
    <w:rsid w:val="0006439F"/>
    <w:rsid w:val="0006496A"/>
    <w:rsid w:val="00064AFD"/>
    <w:rsid w:val="00067A39"/>
    <w:rsid w:val="00070B37"/>
    <w:rsid w:val="00070FED"/>
    <w:rsid w:val="00071762"/>
    <w:rsid w:val="00071C79"/>
    <w:rsid w:val="00071FC8"/>
    <w:rsid w:val="00072593"/>
    <w:rsid w:val="00073406"/>
    <w:rsid w:val="000736CE"/>
    <w:rsid w:val="00074A1C"/>
    <w:rsid w:val="0008153A"/>
    <w:rsid w:val="00081A5A"/>
    <w:rsid w:val="00081B77"/>
    <w:rsid w:val="00081BC2"/>
    <w:rsid w:val="00083A89"/>
    <w:rsid w:val="00084A4C"/>
    <w:rsid w:val="00084C82"/>
    <w:rsid w:val="00085879"/>
    <w:rsid w:val="00086874"/>
    <w:rsid w:val="00086C9E"/>
    <w:rsid w:val="0008712B"/>
    <w:rsid w:val="00087A78"/>
    <w:rsid w:val="00087CC0"/>
    <w:rsid w:val="0009045A"/>
    <w:rsid w:val="0009054A"/>
    <w:rsid w:val="00090B06"/>
    <w:rsid w:val="00091DB6"/>
    <w:rsid w:val="00092066"/>
    <w:rsid w:val="00093288"/>
    <w:rsid w:val="000948E3"/>
    <w:rsid w:val="000949FA"/>
    <w:rsid w:val="0009537F"/>
    <w:rsid w:val="00095E25"/>
    <w:rsid w:val="0009763F"/>
    <w:rsid w:val="00097CA2"/>
    <w:rsid w:val="000A08A4"/>
    <w:rsid w:val="000A0BDA"/>
    <w:rsid w:val="000A1062"/>
    <w:rsid w:val="000A21CA"/>
    <w:rsid w:val="000A2B23"/>
    <w:rsid w:val="000A313B"/>
    <w:rsid w:val="000A3195"/>
    <w:rsid w:val="000A346D"/>
    <w:rsid w:val="000A3890"/>
    <w:rsid w:val="000A4BB2"/>
    <w:rsid w:val="000A4E93"/>
    <w:rsid w:val="000A634A"/>
    <w:rsid w:val="000B0166"/>
    <w:rsid w:val="000B0BA1"/>
    <w:rsid w:val="000B1551"/>
    <w:rsid w:val="000B1AEA"/>
    <w:rsid w:val="000B1F9E"/>
    <w:rsid w:val="000B2082"/>
    <w:rsid w:val="000B295C"/>
    <w:rsid w:val="000B2AB3"/>
    <w:rsid w:val="000B31DB"/>
    <w:rsid w:val="000B39A5"/>
    <w:rsid w:val="000B4484"/>
    <w:rsid w:val="000B45ED"/>
    <w:rsid w:val="000B4628"/>
    <w:rsid w:val="000B68F4"/>
    <w:rsid w:val="000B6F46"/>
    <w:rsid w:val="000C15F7"/>
    <w:rsid w:val="000C1727"/>
    <w:rsid w:val="000C2115"/>
    <w:rsid w:val="000C2327"/>
    <w:rsid w:val="000C2A04"/>
    <w:rsid w:val="000C2E1C"/>
    <w:rsid w:val="000C33DB"/>
    <w:rsid w:val="000C50A0"/>
    <w:rsid w:val="000C69A3"/>
    <w:rsid w:val="000C6B3F"/>
    <w:rsid w:val="000D0A09"/>
    <w:rsid w:val="000D1195"/>
    <w:rsid w:val="000D1758"/>
    <w:rsid w:val="000D33AA"/>
    <w:rsid w:val="000D3609"/>
    <w:rsid w:val="000D3EB3"/>
    <w:rsid w:val="000D3F06"/>
    <w:rsid w:val="000D44DE"/>
    <w:rsid w:val="000D6BC8"/>
    <w:rsid w:val="000D7153"/>
    <w:rsid w:val="000D77CD"/>
    <w:rsid w:val="000E0C81"/>
    <w:rsid w:val="000E1816"/>
    <w:rsid w:val="000E217C"/>
    <w:rsid w:val="000E3400"/>
    <w:rsid w:val="000E3D8A"/>
    <w:rsid w:val="000E4CC2"/>
    <w:rsid w:val="000E5F51"/>
    <w:rsid w:val="000E607B"/>
    <w:rsid w:val="000F0052"/>
    <w:rsid w:val="000F0587"/>
    <w:rsid w:val="000F0E10"/>
    <w:rsid w:val="000F1603"/>
    <w:rsid w:val="000F180C"/>
    <w:rsid w:val="000F188A"/>
    <w:rsid w:val="000F29D5"/>
    <w:rsid w:val="000F5146"/>
    <w:rsid w:val="000F5A60"/>
    <w:rsid w:val="000F5A73"/>
    <w:rsid w:val="000F6359"/>
    <w:rsid w:val="000F6C84"/>
    <w:rsid w:val="000F6D1B"/>
    <w:rsid w:val="000F7448"/>
    <w:rsid w:val="000F79B4"/>
    <w:rsid w:val="00100D3C"/>
    <w:rsid w:val="001017CD"/>
    <w:rsid w:val="00101A88"/>
    <w:rsid w:val="00101B23"/>
    <w:rsid w:val="00102E30"/>
    <w:rsid w:val="001114ED"/>
    <w:rsid w:val="0011161F"/>
    <w:rsid w:val="00111983"/>
    <w:rsid w:val="00111F1A"/>
    <w:rsid w:val="0011219B"/>
    <w:rsid w:val="00112B44"/>
    <w:rsid w:val="00114B18"/>
    <w:rsid w:val="00114CE5"/>
    <w:rsid w:val="00115843"/>
    <w:rsid w:val="00115B47"/>
    <w:rsid w:val="00115D63"/>
    <w:rsid w:val="001207E7"/>
    <w:rsid w:val="00120BE2"/>
    <w:rsid w:val="00123F95"/>
    <w:rsid w:val="00124E2F"/>
    <w:rsid w:val="00125211"/>
    <w:rsid w:val="00126D3F"/>
    <w:rsid w:val="00130D11"/>
    <w:rsid w:val="0013430F"/>
    <w:rsid w:val="00135970"/>
    <w:rsid w:val="001374B0"/>
    <w:rsid w:val="001377AD"/>
    <w:rsid w:val="00137844"/>
    <w:rsid w:val="00137B72"/>
    <w:rsid w:val="00137C8A"/>
    <w:rsid w:val="00141BD0"/>
    <w:rsid w:val="0014294D"/>
    <w:rsid w:val="00142B0E"/>
    <w:rsid w:val="00142C18"/>
    <w:rsid w:val="0014433D"/>
    <w:rsid w:val="001443F1"/>
    <w:rsid w:val="001445B9"/>
    <w:rsid w:val="00146E90"/>
    <w:rsid w:val="001470FC"/>
    <w:rsid w:val="00147BA5"/>
    <w:rsid w:val="001519E2"/>
    <w:rsid w:val="00152A8C"/>
    <w:rsid w:val="00153A7A"/>
    <w:rsid w:val="00154BFD"/>
    <w:rsid w:val="00157957"/>
    <w:rsid w:val="0016011D"/>
    <w:rsid w:val="0016332E"/>
    <w:rsid w:val="00163CB5"/>
    <w:rsid w:val="00163FAD"/>
    <w:rsid w:val="00163FF0"/>
    <w:rsid w:val="001642EE"/>
    <w:rsid w:val="001651A1"/>
    <w:rsid w:val="00165BD4"/>
    <w:rsid w:val="00166362"/>
    <w:rsid w:val="00166F18"/>
    <w:rsid w:val="001676BF"/>
    <w:rsid w:val="00167ACB"/>
    <w:rsid w:val="001701E0"/>
    <w:rsid w:val="0017074F"/>
    <w:rsid w:val="00172A3E"/>
    <w:rsid w:val="001738CD"/>
    <w:rsid w:val="001752C0"/>
    <w:rsid w:val="00175C98"/>
    <w:rsid w:val="001761B9"/>
    <w:rsid w:val="00176EB6"/>
    <w:rsid w:val="00177B5B"/>
    <w:rsid w:val="00180E57"/>
    <w:rsid w:val="00180F4A"/>
    <w:rsid w:val="001817CF"/>
    <w:rsid w:val="00182447"/>
    <w:rsid w:val="0018418D"/>
    <w:rsid w:val="00185BDD"/>
    <w:rsid w:val="00185BEB"/>
    <w:rsid w:val="00185E89"/>
    <w:rsid w:val="00186149"/>
    <w:rsid w:val="0019246F"/>
    <w:rsid w:val="00192B43"/>
    <w:rsid w:val="0019377D"/>
    <w:rsid w:val="0019679E"/>
    <w:rsid w:val="00196B8B"/>
    <w:rsid w:val="001972FC"/>
    <w:rsid w:val="00197A32"/>
    <w:rsid w:val="001A295E"/>
    <w:rsid w:val="001A2C6B"/>
    <w:rsid w:val="001A3555"/>
    <w:rsid w:val="001A39D2"/>
    <w:rsid w:val="001A3E2D"/>
    <w:rsid w:val="001A51E8"/>
    <w:rsid w:val="001A54B3"/>
    <w:rsid w:val="001A55D1"/>
    <w:rsid w:val="001A56BC"/>
    <w:rsid w:val="001A613D"/>
    <w:rsid w:val="001A656D"/>
    <w:rsid w:val="001A7080"/>
    <w:rsid w:val="001A70CE"/>
    <w:rsid w:val="001B00FB"/>
    <w:rsid w:val="001B0F64"/>
    <w:rsid w:val="001B23D4"/>
    <w:rsid w:val="001B2559"/>
    <w:rsid w:val="001B3247"/>
    <w:rsid w:val="001B3AAE"/>
    <w:rsid w:val="001B5F87"/>
    <w:rsid w:val="001B6E48"/>
    <w:rsid w:val="001B7CD8"/>
    <w:rsid w:val="001B7E98"/>
    <w:rsid w:val="001C0BB3"/>
    <w:rsid w:val="001C14DB"/>
    <w:rsid w:val="001C2781"/>
    <w:rsid w:val="001C2875"/>
    <w:rsid w:val="001C28C2"/>
    <w:rsid w:val="001C3A54"/>
    <w:rsid w:val="001C4A9E"/>
    <w:rsid w:val="001C4CAB"/>
    <w:rsid w:val="001C5C2A"/>
    <w:rsid w:val="001C5CD0"/>
    <w:rsid w:val="001C62B4"/>
    <w:rsid w:val="001C6307"/>
    <w:rsid w:val="001C6B0E"/>
    <w:rsid w:val="001C7216"/>
    <w:rsid w:val="001C7C4D"/>
    <w:rsid w:val="001D0098"/>
    <w:rsid w:val="001D06D9"/>
    <w:rsid w:val="001D157E"/>
    <w:rsid w:val="001D166B"/>
    <w:rsid w:val="001D1972"/>
    <w:rsid w:val="001D2787"/>
    <w:rsid w:val="001D36EC"/>
    <w:rsid w:val="001D3BA6"/>
    <w:rsid w:val="001D40D0"/>
    <w:rsid w:val="001D49F3"/>
    <w:rsid w:val="001D5076"/>
    <w:rsid w:val="001D5CBB"/>
    <w:rsid w:val="001D657A"/>
    <w:rsid w:val="001D6903"/>
    <w:rsid w:val="001D7144"/>
    <w:rsid w:val="001E0341"/>
    <w:rsid w:val="001E10D5"/>
    <w:rsid w:val="001E1A40"/>
    <w:rsid w:val="001E2864"/>
    <w:rsid w:val="001E2BC0"/>
    <w:rsid w:val="001E361D"/>
    <w:rsid w:val="001E392A"/>
    <w:rsid w:val="001E42B7"/>
    <w:rsid w:val="001E4501"/>
    <w:rsid w:val="001E4C98"/>
    <w:rsid w:val="001E4D6D"/>
    <w:rsid w:val="001E60E6"/>
    <w:rsid w:val="001E7B90"/>
    <w:rsid w:val="001F0261"/>
    <w:rsid w:val="001F02FD"/>
    <w:rsid w:val="001F12E3"/>
    <w:rsid w:val="001F26AF"/>
    <w:rsid w:val="001F2BB5"/>
    <w:rsid w:val="001F3E74"/>
    <w:rsid w:val="001F4741"/>
    <w:rsid w:val="001F4954"/>
    <w:rsid w:val="001F5E02"/>
    <w:rsid w:val="001F64B7"/>
    <w:rsid w:val="001F73AD"/>
    <w:rsid w:val="001F7913"/>
    <w:rsid w:val="002022FC"/>
    <w:rsid w:val="002032B8"/>
    <w:rsid w:val="00203DE7"/>
    <w:rsid w:val="0020421B"/>
    <w:rsid w:val="0020442F"/>
    <w:rsid w:val="00204638"/>
    <w:rsid w:val="00205A6E"/>
    <w:rsid w:val="002079FB"/>
    <w:rsid w:val="00212A88"/>
    <w:rsid w:val="00213BD0"/>
    <w:rsid w:val="00214877"/>
    <w:rsid w:val="00215924"/>
    <w:rsid w:val="00216035"/>
    <w:rsid w:val="002163B6"/>
    <w:rsid w:val="00216C2C"/>
    <w:rsid w:val="00216E7C"/>
    <w:rsid w:val="00220271"/>
    <w:rsid w:val="00220CFE"/>
    <w:rsid w:val="00221115"/>
    <w:rsid w:val="002216F1"/>
    <w:rsid w:val="00221937"/>
    <w:rsid w:val="00222ADC"/>
    <w:rsid w:val="00222EBC"/>
    <w:rsid w:val="00223291"/>
    <w:rsid w:val="002233B7"/>
    <w:rsid w:val="00223E3F"/>
    <w:rsid w:val="00223EE0"/>
    <w:rsid w:val="00224244"/>
    <w:rsid w:val="00224985"/>
    <w:rsid w:val="00224BFB"/>
    <w:rsid w:val="00226AFC"/>
    <w:rsid w:val="00227403"/>
    <w:rsid w:val="00231B4F"/>
    <w:rsid w:val="00231B92"/>
    <w:rsid w:val="00232C8C"/>
    <w:rsid w:val="00233345"/>
    <w:rsid w:val="002334D8"/>
    <w:rsid w:val="002337E1"/>
    <w:rsid w:val="00233D4F"/>
    <w:rsid w:val="002353AE"/>
    <w:rsid w:val="00235BBB"/>
    <w:rsid w:val="002367B6"/>
    <w:rsid w:val="00237416"/>
    <w:rsid w:val="00240A8F"/>
    <w:rsid w:val="0024272C"/>
    <w:rsid w:val="00243F80"/>
    <w:rsid w:val="002443B0"/>
    <w:rsid w:val="00244D9D"/>
    <w:rsid w:val="00250695"/>
    <w:rsid w:val="0025379F"/>
    <w:rsid w:val="00253848"/>
    <w:rsid w:val="002539F3"/>
    <w:rsid w:val="002540F6"/>
    <w:rsid w:val="00254185"/>
    <w:rsid w:val="00254817"/>
    <w:rsid w:val="00254AA6"/>
    <w:rsid w:val="0025675B"/>
    <w:rsid w:val="00256B4C"/>
    <w:rsid w:val="002573D1"/>
    <w:rsid w:val="002573F3"/>
    <w:rsid w:val="00260B2E"/>
    <w:rsid w:val="00260F9B"/>
    <w:rsid w:val="00261010"/>
    <w:rsid w:val="002626DC"/>
    <w:rsid w:val="00262897"/>
    <w:rsid w:val="002633CE"/>
    <w:rsid w:val="002649BA"/>
    <w:rsid w:val="002651E2"/>
    <w:rsid w:val="00265B4F"/>
    <w:rsid w:val="00267FD1"/>
    <w:rsid w:val="00270D02"/>
    <w:rsid w:val="00272D75"/>
    <w:rsid w:val="002737A2"/>
    <w:rsid w:val="00275ADA"/>
    <w:rsid w:val="00276398"/>
    <w:rsid w:val="00276DB7"/>
    <w:rsid w:val="00277BB3"/>
    <w:rsid w:val="00280586"/>
    <w:rsid w:val="002810A2"/>
    <w:rsid w:val="00281801"/>
    <w:rsid w:val="0028277C"/>
    <w:rsid w:val="00283573"/>
    <w:rsid w:val="00283B1C"/>
    <w:rsid w:val="002850C1"/>
    <w:rsid w:val="00286FFC"/>
    <w:rsid w:val="00287715"/>
    <w:rsid w:val="00287F25"/>
    <w:rsid w:val="00292AC6"/>
    <w:rsid w:val="002932A8"/>
    <w:rsid w:val="002938B5"/>
    <w:rsid w:val="00294B83"/>
    <w:rsid w:val="00295677"/>
    <w:rsid w:val="002965B7"/>
    <w:rsid w:val="002971F0"/>
    <w:rsid w:val="00297D1A"/>
    <w:rsid w:val="00297E12"/>
    <w:rsid w:val="002A0E37"/>
    <w:rsid w:val="002A1729"/>
    <w:rsid w:val="002A2405"/>
    <w:rsid w:val="002A2E43"/>
    <w:rsid w:val="002A3945"/>
    <w:rsid w:val="002A3EFF"/>
    <w:rsid w:val="002A4D6B"/>
    <w:rsid w:val="002A631B"/>
    <w:rsid w:val="002A652D"/>
    <w:rsid w:val="002A6BC9"/>
    <w:rsid w:val="002A6E19"/>
    <w:rsid w:val="002A7D0D"/>
    <w:rsid w:val="002A7D9F"/>
    <w:rsid w:val="002B03D1"/>
    <w:rsid w:val="002B17D6"/>
    <w:rsid w:val="002B271F"/>
    <w:rsid w:val="002B2ED0"/>
    <w:rsid w:val="002B50F0"/>
    <w:rsid w:val="002B64F0"/>
    <w:rsid w:val="002B779D"/>
    <w:rsid w:val="002B79DC"/>
    <w:rsid w:val="002C014B"/>
    <w:rsid w:val="002C0A3C"/>
    <w:rsid w:val="002C164D"/>
    <w:rsid w:val="002C3977"/>
    <w:rsid w:val="002C4FBC"/>
    <w:rsid w:val="002C51F6"/>
    <w:rsid w:val="002C5A52"/>
    <w:rsid w:val="002C75C8"/>
    <w:rsid w:val="002C764B"/>
    <w:rsid w:val="002C7991"/>
    <w:rsid w:val="002C79E0"/>
    <w:rsid w:val="002C7A4F"/>
    <w:rsid w:val="002C7D7E"/>
    <w:rsid w:val="002D00D6"/>
    <w:rsid w:val="002D0BB1"/>
    <w:rsid w:val="002D22F3"/>
    <w:rsid w:val="002D23FD"/>
    <w:rsid w:val="002D27D7"/>
    <w:rsid w:val="002D2CF0"/>
    <w:rsid w:val="002D3E25"/>
    <w:rsid w:val="002D41D5"/>
    <w:rsid w:val="002D4532"/>
    <w:rsid w:val="002D59FC"/>
    <w:rsid w:val="002D67F1"/>
    <w:rsid w:val="002D725D"/>
    <w:rsid w:val="002E007B"/>
    <w:rsid w:val="002E020A"/>
    <w:rsid w:val="002E05DC"/>
    <w:rsid w:val="002E0DA6"/>
    <w:rsid w:val="002E1292"/>
    <w:rsid w:val="002E16FA"/>
    <w:rsid w:val="002E23E3"/>
    <w:rsid w:val="002E2E3F"/>
    <w:rsid w:val="002E3222"/>
    <w:rsid w:val="002E46ED"/>
    <w:rsid w:val="002E7668"/>
    <w:rsid w:val="002F04CA"/>
    <w:rsid w:val="002F08BB"/>
    <w:rsid w:val="002F0BAE"/>
    <w:rsid w:val="002F185E"/>
    <w:rsid w:val="002F20E3"/>
    <w:rsid w:val="002F2119"/>
    <w:rsid w:val="002F2377"/>
    <w:rsid w:val="002F2520"/>
    <w:rsid w:val="002F2A82"/>
    <w:rsid w:val="002F2A93"/>
    <w:rsid w:val="002F3726"/>
    <w:rsid w:val="002F3E9D"/>
    <w:rsid w:val="002F4F70"/>
    <w:rsid w:val="002F5108"/>
    <w:rsid w:val="002F7796"/>
    <w:rsid w:val="002F7AC6"/>
    <w:rsid w:val="002F7B71"/>
    <w:rsid w:val="00302E2C"/>
    <w:rsid w:val="00303076"/>
    <w:rsid w:val="00303CFC"/>
    <w:rsid w:val="003043A6"/>
    <w:rsid w:val="00305CFB"/>
    <w:rsid w:val="0030606A"/>
    <w:rsid w:val="00307475"/>
    <w:rsid w:val="00307512"/>
    <w:rsid w:val="00310B14"/>
    <w:rsid w:val="00311718"/>
    <w:rsid w:val="00312CAD"/>
    <w:rsid w:val="003134AB"/>
    <w:rsid w:val="00314228"/>
    <w:rsid w:val="00314CC0"/>
    <w:rsid w:val="00315AA7"/>
    <w:rsid w:val="003163B5"/>
    <w:rsid w:val="003178E7"/>
    <w:rsid w:val="00320D21"/>
    <w:rsid w:val="003214C2"/>
    <w:rsid w:val="00321B55"/>
    <w:rsid w:val="00321E87"/>
    <w:rsid w:val="0032242C"/>
    <w:rsid w:val="00323875"/>
    <w:rsid w:val="00324F44"/>
    <w:rsid w:val="003255B9"/>
    <w:rsid w:val="003261FF"/>
    <w:rsid w:val="003270C2"/>
    <w:rsid w:val="00327599"/>
    <w:rsid w:val="0032779D"/>
    <w:rsid w:val="003315E3"/>
    <w:rsid w:val="003316E4"/>
    <w:rsid w:val="003316FD"/>
    <w:rsid w:val="00331FF9"/>
    <w:rsid w:val="00333FA5"/>
    <w:rsid w:val="003340A0"/>
    <w:rsid w:val="00337214"/>
    <w:rsid w:val="003375FC"/>
    <w:rsid w:val="00337753"/>
    <w:rsid w:val="00340DFB"/>
    <w:rsid w:val="00342141"/>
    <w:rsid w:val="00344721"/>
    <w:rsid w:val="0034513E"/>
    <w:rsid w:val="003465B5"/>
    <w:rsid w:val="0034670F"/>
    <w:rsid w:val="00347D65"/>
    <w:rsid w:val="00347D92"/>
    <w:rsid w:val="00351630"/>
    <w:rsid w:val="00352156"/>
    <w:rsid w:val="00352679"/>
    <w:rsid w:val="00352936"/>
    <w:rsid w:val="00354589"/>
    <w:rsid w:val="00354A3A"/>
    <w:rsid w:val="00355FEA"/>
    <w:rsid w:val="003576AB"/>
    <w:rsid w:val="0036063B"/>
    <w:rsid w:val="00360862"/>
    <w:rsid w:val="00360EB6"/>
    <w:rsid w:val="0036129C"/>
    <w:rsid w:val="00362471"/>
    <w:rsid w:val="00363371"/>
    <w:rsid w:val="00363BC0"/>
    <w:rsid w:val="00364A15"/>
    <w:rsid w:val="00364E33"/>
    <w:rsid w:val="0037065F"/>
    <w:rsid w:val="00370726"/>
    <w:rsid w:val="003708D3"/>
    <w:rsid w:val="003709A0"/>
    <w:rsid w:val="003719C4"/>
    <w:rsid w:val="00371D31"/>
    <w:rsid w:val="00372A74"/>
    <w:rsid w:val="00372F4D"/>
    <w:rsid w:val="003751A8"/>
    <w:rsid w:val="00375878"/>
    <w:rsid w:val="003761CF"/>
    <w:rsid w:val="00376388"/>
    <w:rsid w:val="00377566"/>
    <w:rsid w:val="00377C5F"/>
    <w:rsid w:val="00381125"/>
    <w:rsid w:val="00381929"/>
    <w:rsid w:val="00381DA2"/>
    <w:rsid w:val="00381E5F"/>
    <w:rsid w:val="00381F27"/>
    <w:rsid w:val="0038226F"/>
    <w:rsid w:val="003823D1"/>
    <w:rsid w:val="003837BE"/>
    <w:rsid w:val="00383B4B"/>
    <w:rsid w:val="00383F15"/>
    <w:rsid w:val="003843A0"/>
    <w:rsid w:val="003852E5"/>
    <w:rsid w:val="0038696B"/>
    <w:rsid w:val="00386F24"/>
    <w:rsid w:val="00386FF8"/>
    <w:rsid w:val="00387E9D"/>
    <w:rsid w:val="00387EA9"/>
    <w:rsid w:val="00391C2A"/>
    <w:rsid w:val="003937FB"/>
    <w:rsid w:val="00394EA9"/>
    <w:rsid w:val="00395B43"/>
    <w:rsid w:val="00396CCD"/>
    <w:rsid w:val="003979C0"/>
    <w:rsid w:val="00397E9D"/>
    <w:rsid w:val="003A0230"/>
    <w:rsid w:val="003A1104"/>
    <w:rsid w:val="003A34D9"/>
    <w:rsid w:val="003A3CF7"/>
    <w:rsid w:val="003A44A4"/>
    <w:rsid w:val="003A4FD1"/>
    <w:rsid w:val="003A5C5A"/>
    <w:rsid w:val="003A6782"/>
    <w:rsid w:val="003A6E44"/>
    <w:rsid w:val="003B0038"/>
    <w:rsid w:val="003B04C9"/>
    <w:rsid w:val="003B087D"/>
    <w:rsid w:val="003B2000"/>
    <w:rsid w:val="003B35BC"/>
    <w:rsid w:val="003B3956"/>
    <w:rsid w:val="003B3AB4"/>
    <w:rsid w:val="003B517F"/>
    <w:rsid w:val="003B52AF"/>
    <w:rsid w:val="003B5579"/>
    <w:rsid w:val="003B7206"/>
    <w:rsid w:val="003B73D5"/>
    <w:rsid w:val="003C16ED"/>
    <w:rsid w:val="003C1DDB"/>
    <w:rsid w:val="003C1F87"/>
    <w:rsid w:val="003C2086"/>
    <w:rsid w:val="003C290E"/>
    <w:rsid w:val="003C58D0"/>
    <w:rsid w:val="003C5BDF"/>
    <w:rsid w:val="003C6E26"/>
    <w:rsid w:val="003C7942"/>
    <w:rsid w:val="003C79D3"/>
    <w:rsid w:val="003C7F84"/>
    <w:rsid w:val="003D02F8"/>
    <w:rsid w:val="003D1581"/>
    <w:rsid w:val="003D20DD"/>
    <w:rsid w:val="003D39DE"/>
    <w:rsid w:val="003D54FE"/>
    <w:rsid w:val="003D6455"/>
    <w:rsid w:val="003D7EB1"/>
    <w:rsid w:val="003E0324"/>
    <w:rsid w:val="003E084E"/>
    <w:rsid w:val="003E1CB4"/>
    <w:rsid w:val="003E296B"/>
    <w:rsid w:val="003E2A96"/>
    <w:rsid w:val="003E30CE"/>
    <w:rsid w:val="003E41FA"/>
    <w:rsid w:val="003E4BBA"/>
    <w:rsid w:val="003E6927"/>
    <w:rsid w:val="003E7DAA"/>
    <w:rsid w:val="003F0553"/>
    <w:rsid w:val="003F0AAA"/>
    <w:rsid w:val="003F0C7E"/>
    <w:rsid w:val="003F0D78"/>
    <w:rsid w:val="003F20DB"/>
    <w:rsid w:val="003F24A1"/>
    <w:rsid w:val="003F2A74"/>
    <w:rsid w:val="003F3932"/>
    <w:rsid w:val="003F5BC4"/>
    <w:rsid w:val="003F5BE9"/>
    <w:rsid w:val="003F72A7"/>
    <w:rsid w:val="003F7F8E"/>
    <w:rsid w:val="00400CC6"/>
    <w:rsid w:val="00402AF9"/>
    <w:rsid w:val="00403017"/>
    <w:rsid w:val="0040426B"/>
    <w:rsid w:val="00404C08"/>
    <w:rsid w:val="00404CB6"/>
    <w:rsid w:val="0040544E"/>
    <w:rsid w:val="004056C4"/>
    <w:rsid w:val="00405C44"/>
    <w:rsid w:val="00406267"/>
    <w:rsid w:val="004064EF"/>
    <w:rsid w:val="00407032"/>
    <w:rsid w:val="004077A3"/>
    <w:rsid w:val="00411AE6"/>
    <w:rsid w:val="004124BB"/>
    <w:rsid w:val="0041256C"/>
    <w:rsid w:val="00413040"/>
    <w:rsid w:val="00413251"/>
    <w:rsid w:val="004137DC"/>
    <w:rsid w:val="00413B6E"/>
    <w:rsid w:val="00414EC8"/>
    <w:rsid w:val="0041556A"/>
    <w:rsid w:val="004155C9"/>
    <w:rsid w:val="00416FFF"/>
    <w:rsid w:val="00417A8E"/>
    <w:rsid w:val="004206F2"/>
    <w:rsid w:val="0042273E"/>
    <w:rsid w:val="004233AD"/>
    <w:rsid w:val="0042406E"/>
    <w:rsid w:val="004253C8"/>
    <w:rsid w:val="00426A1E"/>
    <w:rsid w:val="00426A2B"/>
    <w:rsid w:val="00427127"/>
    <w:rsid w:val="00430756"/>
    <w:rsid w:val="004307B9"/>
    <w:rsid w:val="004307D0"/>
    <w:rsid w:val="004314E0"/>
    <w:rsid w:val="0043270A"/>
    <w:rsid w:val="00433DD9"/>
    <w:rsid w:val="00433E94"/>
    <w:rsid w:val="004354D6"/>
    <w:rsid w:val="00435A41"/>
    <w:rsid w:val="00436791"/>
    <w:rsid w:val="00437001"/>
    <w:rsid w:val="00440911"/>
    <w:rsid w:val="00441136"/>
    <w:rsid w:val="004415BB"/>
    <w:rsid w:val="00441BEA"/>
    <w:rsid w:val="0044294A"/>
    <w:rsid w:val="00442CBC"/>
    <w:rsid w:val="00443FD9"/>
    <w:rsid w:val="0044494A"/>
    <w:rsid w:val="00445443"/>
    <w:rsid w:val="00445A6C"/>
    <w:rsid w:val="004478E0"/>
    <w:rsid w:val="00447F58"/>
    <w:rsid w:val="004518A7"/>
    <w:rsid w:val="00452A13"/>
    <w:rsid w:val="0045369E"/>
    <w:rsid w:val="004541DF"/>
    <w:rsid w:val="00455252"/>
    <w:rsid w:val="004563C0"/>
    <w:rsid w:val="004564EA"/>
    <w:rsid w:val="0045678B"/>
    <w:rsid w:val="00457022"/>
    <w:rsid w:val="00457E39"/>
    <w:rsid w:val="00461E6C"/>
    <w:rsid w:val="0046296E"/>
    <w:rsid w:val="0046341D"/>
    <w:rsid w:val="0046433B"/>
    <w:rsid w:val="004649D3"/>
    <w:rsid w:val="00465869"/>
    <w:rsid w:val="004664BE"/>
    <w:rsid w:val="004665AD"/>
    <w:rsid w:val="0046750A"/>
    <w:rsid w:val="0046760E"/>
    <w:rsid w:val="00470F16"/>
    <w:rsid w:val="00471368"/>
    <w:rsid w:val="00471D7B"/>
    <w:rsid w:val="00472663"/>
    <w:rsid w:val="00474837"/>
    <w:rsid w:val="00474B28"/>
    <w:rsid w:val="00474BCB"/>
    <w:rsid w:val="004769D8"/>
    <w:rsid w:val="004800A2"/>
    <w:rsid w:val="00480F02"/>
    <w:rsid w:val="00482B5A"/>
    <w:rsid w:val="00482F1D"/>
    <w:rsid w:val="00484B7F"/>
    <w:rsid w:val="00487D32"/>
    <w:rsid w:val="00487D3E"/>
    <w:rsid w:val="0049028F"/>
    <w:rsid w:val="004911A6"/>
    <w:rsid w:val="004915D8"/>
    <w:rsid w:val="00491FC4"/>
    <w:rsid w:val="0049362A"/>
    <w:rsid w:val="00494373"/>
    <w:rsid w:val="00494734"/>
    <w:rsid w:val="004962E5"/>
    <w:rsid w:val="00496B99"/>
    <w:rsid w:val="004973D8"/>
    <w:rsid w:val="00497410"/>
    <w:rsid w:val="0049776E"/>
    <w:rsid w:val="004978DB"/>
    <w:rsid w:val="004A0F93"/>
    <w:rsid w:val="004A1439"/>
    <w:rsid w:val="004A2883"/>
    <w:rsid w:val="004A5E2C"/>
    <w:rsid w:val="004A604F"/>
    <w:rsid w:val="004A6A83"/>
    <w:rsid w:val="004A7310"/>
    <w:rsid w:val="004A745D"/>
    <w:rsid w:val="004B0F6A"/>
    <w:rsid w:val="004B0FDB"/>
    <w:rsid w:val="004B2280"/>
    <w:rsid w:val="004B2F4F"/>
    <w:rsid w:val="004B398C"/>
    <w:rsid w:val="004B41BF"/>
    <w:rsid w:val="004B45DB"/>
    <w:rsid w:val="004B476F"/>
    <w:rsid w:val="004B7E84"/>
    <w:rsid w:val="004C01D4"/>
    <w:rsid w:val="004C0A64"/>
    <w:rsid w:val="004C1924"/>
    <w:rsid w:val="004C2237"/>
    <w:rsid w:val="004C3806"/>
    <w:rsid w:val="004C56D7"/>
    <w:rsid w:val="004C6388"/>
    <w:rsid w:val="004C733D"/>
    <w:rsid w:val="004C76C3"/>
    <w:rsid w:val="004D084E"/>
    <w:rsid w:val="004D0E30"/>
    <w:rsid w:val="004D1AB7"/>
    <w:rsid w:val="004D2686"/>
    <w:rsid w:val="004D2B35"/>
    <w:rsid w:val="004D2EA2"/>
    <w:rsid w:val="004D306A"/>
    <w:rsid w:val="004D39A6"/>
    <w:rsid w:val="004D445D"/>
    <w:rsid w:val="004D4B28"/>
    <w:rsid w:val="004D5D76"/>
    <w:rsid w:val="004D61AA"/>
    <w:rsid w:val="004D61D7"/>
    <w:rsid w:val="004D73BF"/>
    <w:rsid w:val="004D7903"/>
    <w:rsid w:val="004E05A8"/>
    <w:rsid w:val="004E1ED9"/>
    <w:rsid w:val="004E21DB"/>
    <w:rsid w:val="004E24AC"/>
    <w:rsid w:val="004E25BA"/>
    <w:rsid w:val="004E3D97"/>
    <w:rsid w:val="004E403E"/>
    <w:rsid w:val="004E4303"/>
    <w:rsid w:val="004E57F2"/>
    <w:rsid w:val="004E5CAA"/>
    <w:rsid w:val="004E658F"/>
    <w:rsid w:val="004E7ED0"/>
    <w:rsid w:val="004F0660"/>
    <w:rsid w:val="004F0BE4"/>
    <w:rsid w:val="004F1217"/>
    <w:rsid w:val="004F1BB9"/>
    <w:rsid w:val="004F38E7"/>
    <w:rsid w:val="004F47D6"/>
    <w:rsid w:val="004F4931"/>
    <w:rsid w:val="004F4D35"/>
    <w:rsid w:val="004F65BE"/>
    <w:rsid w:val="004F7B02"/>
    <w:rsid w:val="00500AF4"/>
    <w:rsid w:val="00500D2D"/>
    <w:rsid w:val="0050225A"/>
    <w:rsid w:val="005029A7"/>
    <w:rsid w:val="00506960"/>
    <w:rsid w:val="00506B04"/>
    <w:rsid w:val="00506CEE"/>
    <w:rsid w:val="00506D7C"/>
    <w:rsid w:val="00507A8A"/>
    <w:rsid w:val="00510043"/>
    <w:rsid w:val="00512E67"/>
    <w:rsid w:val="00513F96"/>
    <w:rsid w:val="005146AE"/>
    <w:rsid w:val="00515C54"/>
    <w:rsid w:val="005169AB"/>
    <w:rsid w:val="00516B1C"/>
    <w:rsid w:val="0051760F"/>
    <w:rsid w:val="00517A72"/>
    <w:rsid w:val="00517E9F"/>
    <w:rsid w:val="00520DB4"/>
    <w:rsid w:val="00520E3E"/>
    <w:rsid w:val="00522FCB"/>
    <w:rsid w:val="005255AE"/>
    <w:rsid w:val="005256B1"/>
    <w:rsid w:val="00525FA9"/>
    <w:rsid w:val="00526A56"/>
    <w:rsid w:val="00527579"/>
    <w:rsid w:val="00527B2F"/>
    <w:rsid w:val="005305E3"/>
    <w:rsid w:val="00531B3B"/>
    <w:rsid w:val="005322EF"/>
    <w:rsid w:val="00532C3C"/>
    <w:rsid w:val="00534C6A"/>
    <w:rsid w:val="00534CF2"/>
    <w:rsid w:val="00534D4D"/>
    <w:rsid w:val="005350E8"/>
    <w:rsid w:val="00535BF9"/>
    <w:rsid w:val="0053614F"/>
    <w:rsid w:val="005361E0"/>
    <w:rsid w:val="00536F92"/>
    <w:rsid w:val="00537253"/>
    <w:rsid w:val="0054043F"/>
    <w:rsid w:val="00540C2F"/>
    <w:rsid w:val="00540F92"/>
    <w:rsid w:val="0054267B"/>
    <w:rsid w:val="0054303A"/>
    <w:rsid w:val="0054325E"/>
    <w:rsid w:val="0054411D"/>
    <w:rsid w:val="005451DC"/>
    <w:rsid w:val="005462DB"/>
    <w:rsid w:val="00550832"/>
    <w:rsid w:val="00551089"/>
    <w:rsid w:val="00551938"/>
    <w:rsid w:val="00551BBD"/>
    <w:rsid w:val="00552D67"/>
    <w:rsid w:val="00554069"/>
    <w:rsid w:val="005548C7"/>
    <w:rsid w:val="005556AD"/>
    <w:rsid w:val="0055582D"/>
    <w:rsid w:val="00555E2D"/>
    <w:rsid w:val="005562BB"/>
    <w:rsid w:val="00556384"/>
    <w:rsid w:val="00560876"/>
    <w:rsid w:val="00561254"/>
    <w:rsid w:val="00561266"/>
    <w:rsid w:val="00561865"/>
    <w:rsid w:val="00563324"/>
    <w:rsid w:val="00563D39"/>
    <w:rsid w:val="005644D9"/>
    <w:rsid w:val="00565CC3"/>
    <w:rsid w:val="0057054A"/>
    <w:rsid w:val="00570A9F"/>
    <w:rsid w:val="005715D0"/>
    <w:rsid w:val="00573340"/>
    <w:rsid w:val="00573C13"/>
    <w:rsid w:val="00573EE8"/>
    <w:rsid w:val="00574825"/>
    <w:rsid w:val="00576A37"/>
    <w:rsid w:val="00577B5C"/>
    <w:rsid w:val="00577EF3"/>
    <w:rsid w:val="00581D00"/>
    <w:rsid w:val="00582FE8"/>
    <w:rsid w:val="005838DE"/>
    <w:rsid w:val="00583F86"/>
    <w:rsid w:val="00584F01"/>
    <w:rsid w:val="0058552A"/>
    <w:rsid w:val="0058636E"/>
    <w:rsid w:val="00587088"/>
    <w:rsid w:val="00587BCD"/>
    <w:rsid w:val="0059073F"/>
    <w:rsid w:val="00591851"/>
    <w:rsid w:val="00592ED7"/>
    <w:rsid w:val="005939A6"/>
    <w:rsid w:val="005946D1"/>
    <w:rsid w:val="00594F45"/>
    <w:rsid w:val="00595923"/>
    <w:rsid w:val="005964A9"/>
    <w:rsid w:val="00596E7B"/>
    <w:rsid w:val="00597AA5"/>
    <w:rsid w:val="005A0AC5"/>
    <w:rsid w:val="005A0D2C"/>
    <w:rsid w:val="005A33CD"/>
    <w:rsid w:val="005A3DF2"/>
    <w:rsid w:val="005A4446"/>
    <w:rsid w:val="005A4564"/>
    <w:rsid w:val="005A495B"/>
    <w:rsid w:val="005A4B54"/>
    <w:rsid w:val="005A4F6B"/>
    <w:rsid w:val="005A60F0"/>
    <w:rsid w:val="005A6F03"/>
    <w:rsid w:val="005A6FF6"/>
    <w:rsid w:val="005A7274"/>
    <w:rsid w:val="005A759D"/>
    <w:rsid w:val="005A7B91"/>
    <w:rsid w:val="005B0D93"/>
    <w:rsid w:val="005B1960"/>
    <w:rsid w:val="005B2353"/>
    <w:rsid w:val="005B3051"/>
    <w:rsid w:val="005B3231"/>
    <w:rsid w:val="005B3AE5"/>
    <w:rsid w:val="005B4854"/>
    <w:rsid w:val="005B65D2"/>
    <w:rsid w:val="005C03DE"/>
    <w:rsid w:val="005C1665"/>
    <w:rsid w:val="005C3171"/>
    <w:rsid w:val="005C419F"/>
    <w:rsid w:val="005C498D"/>
    <w:rsid w:val="005C5106"/>
    <w:rsid w:val="005C60DC"/>
    <w:rsid w:val="005C6516"/>
    <w:rsid w:val="005D04F9"/>
    <w:rsid w:val="005D0DC9"/>
    <w:rsid w:val="005D136C"/>
    <w:rsid w:val="005D208E"/>
    <w:rsid w:val="005D2B30"/>
    <w:rsid w:val="005D3816"/>
    <w:rsid w:val="005D3C84"/>
    <w:rsid w:val="005D4205"/>
    <w:rsid w:val="005D4A07"/>
    <w:rsid w:val="005D4A17"/>
    <w:rsid w:val="005D571E"/>
    <w:rsid w:val="005D5B01"/>
    <w:rsid w:val="005D5B23"/>
    <w:rsid w:val="005D6368"/>
    <w:rsid w:val="005D787C"/>
    <w:rsid w:val="005E1DA5"/>
    <w:rsid w:val="005E26FA"/>
    <w:rsid w:val="005E27C4"/>
    <w:rsid w:val="005E4A2F"/>
    <w:rsid w:val="005E52AC"/>
    <w:rsid w:val="005E5EC5"/>
    <w:rsid w:val="005E72CE"/>
    <w:rsid w:val="005E755C"/>
    <w:rsid w:val="005F1C4B"/>
    <w:rsid w:val="005F2C3D"/>
    <w:rsid w:val="005F2D98"/>
    <w:rsid w:val="005F3006"/>
    <w:rsid w:val="005F350A"/>
    <w:rsid w:val="005F3CE0"/>
    <w:rsid w:val="005F5733"/>
    <w:rsid w:val="005F6C06"/>
    <w:rsid w:val="005F7586"/>
    <w:rsid w:val="005F7D08"/>
    <w:rsid w:val="00600125"/>
    <w:rsid w:val="0060085B"/>
    <w:rsid w:val="00600BE1"/>
    <w:rsid w:val="00600D40"/>
    <w:rsid w:val="0060125F"/>
    <w:rsid w:val="006013B3"/>
    <w:rsid w:val="00601CA3"/>
    <w:rsid w:val="0060225C"/>
    <w:rsid w:val="00603A09"/>
    <w:rsid w:val="006041E7"/>
    <w:rsid w:val="006048D2"/>
    <w:rsid w:val="00606552"/>
    <w:rsid w:val="00606C54"/>
    <w:rsid w:val="00606DDF"/>
    <w:rsid w:val="006075A8"/>
    <w:rsid w:val="0060784A"/>
    <w:rsid w:val="00610736"/>
    <w:rsid w:val="00614B97"/>
    <w:rsid w:val="00614BB5"/>
    <w:rsid w:val="006155DA"/>
    <w:rsid w:val="00616178"/>
    <w:rsid w:val="006172C7"/>
    <w:rsid w:val="00617421"/>
    <w:rsid w:val="00617CF9"/>
    <w:rsid w:val="00620C0F"/>
    <w:rsid w:val="006212DE"/>
    <w:rsid w:val="00623FC4"/>
    <w:rsid w:val="00624DB5"/>
    <w:rsid w:val="00625FA3"/>
    <w:rsid w:val="00626620"/>
    <w:rsid w:val="00626A0C"/>
    <w:rsid w:val="00626A87"/>
    <w:rsid w:val="00630D8C"/>
    <w:rsid w:val="006310BA"/>
    <w:rsid w:val="006312DB"/>
    <w:rsid w:val="0063277E"/>
    <w:rsid w:val="006345EA"/>
    <w:rsid w:val="00634A65"/>
    <w:rsid w:val="00635F5F"/>
    <w:rsid w:val="00636086"/>
    <w:rsid w:val="0063614E"/>
    <w:rsid w:val="00640BF0"/>
    <w:rsid w:val="0064117C"/>
    <w:rsid w:val="0064130D"/>
    <w:rsid w:val="00641F00"/>
    <w:rsid w:val="006428A6"/>
    <w:rsid w:val="00642BC6"/>
    <w:rsid w:val="00643297"/>
    <w:rsid w:val="006453E3"/>
    <w:rsid w:val="00645C71"/>
    <w:rsid w:val="00645DEE"/>
    <w:rsid w:val="00646E40"/>
    <w:rsid w:val="00646F20"/>
    <w:rsid w:val="00647896"/>
    <w:rsid w:val="00647A30"/>
    <w:rsid w:val="006502D2"/>
    <w:rsid w:val="006507D9"/>
    <w:rsid w:val="00651739"/>
    <w:rsid w:val="0065360F"/>
    <w:rsid w:val="00654C82"/>
    <w:rsid w:val="00655168"/>
    <w:rsid w:val="00661180"/>
    <w:rsid w:val="00661691"/>
    <w:rsid w:val="0066387D"/>
    <w:rsid w:val="00665D4A"/>
    <w:rsid w:val="00666448"/>
    <w:rsid w:val="00666966"/>
    <w:rsid w:val="0066712B"/>
    <w:rsid w:val="0066720B"/>
    <w:rsid w:val="006672E0"/>
    <w:rsid w:val="00670067"/>
    <w:rsid w:val="0067030A"/>
    <w:rsid w:val="00671475"/>
    <w:rsid w:val="0067172D"/>
    <w:rsid w:val="006728A9"/>
    <w:rsid w:val="00672C82"/>
    <w:rsid w:val="00673ED1"/>
    <w:rsid w:val="00674214"/>
    <w:rsid w:val="00674C1A"/>
    <w:rsid w:val="006754F5"/>
    <w:rsid w:val="0067725D"/>
    <w:rsid w:val="00677FF9"/>
    <w:rsid w:val="0068001E"/>
    <w:rsid w:val="00680618"/>
    <w:rsid w:val="006807AE"/>
    <w:rsid w:val="006815A3"/>
    <w:rsid w:val="00681E0B"/>
    <w:rsid w:val="00682636"/>
    <w:rsid w:val="006831CA"/>
    <w:rsid w:val="00683B6B"/>
    <w:rsid w:val="00683D2F"/>
    <w:rsid w:val="00684DDE"/>
    <w:rsid w:val="00684F44"/>
    <w:rsid w:val="00684F97"/>
    <w:rsid w:val="00685DC3"/>
    <w:rsid w:val="00687810"/>
    <w:rsid w:val="00687B93"/>
    <w:rsid w:val="00687F15"/>
    <w:rsid w:val="0069092F"/>
    <w:rsid w:val="00690C1F"/>
    <w:rsid w:val="006915B6"/>
    <w:rsid w:val="00692825"/>
    <w:rsid w:val="00694BA2"/>
    <w:rsid w:val="006956E2"/>
    <w:rsid w:val="00695936"/>
    <w:rsid w:val="006967C4"/>
    <w:rsid w:val="0069734F"/>
    <w:rsid w:val="006A0C1D"/>
    <w:rsid w:val="006A0FDC"/>
    <w:rsid w:val="006A21C4"/>
    <w:rsid w:val="006A350D"/>
    <w:rsid w:val="006A37AB"/>
    <w:rsid w:val="006A4BBD"/>
    <w:rsid w:val="006A5328"/>
    <w:rsid w:val="006A5418"/>
    <w:rsid w:val="006A5CE4"/>
    <w:rsid w:val="006A61FB"/>
    <w:rsid w:val="006A6E50"/>
    <w:rsid w:val="006A721F"/>
    <w:rsid w:val="006A724B"/>
    <w:rsid w:val="006A7C52"/>
    <w:rsid w:val="006B2BC2"/>
    <w:rsid w:val="006B38FD"/>
    <w:rsid w:val="006B3FE5"/>
    <w:rsid w:val="006B4606"/>
    <w:rsid w:val="006B47BA"/>
    <w:rsid w:val="006B4FFE"/>
    <w:rsid w:val="006B5113"/>
    <w:rsid w:val="006B6853"/>
    <w:rsid w:val="006B71D5"/>
    <w:rsid w:val="006C01E4"/>
    <w:rsid w:val="006C06F7"/>
    <w:rsid w:val="006C09C1"/>
    <w:rsid w:val="006C1BA9"/>
    <w:rsid w:val="006C202B"/>
    <w:rsid w:val="006C2551"/>
    <w:rsid w:val="006C2AE6"/>
    <w:rsid w:val="006C3138"/>
    <w:rsid w:val="006C414E"/>
    <w:rsid w:val="006C52BB"/>
    <w:rsid w:val="006C5C87"/>
    <w:rsid w:val="006C641A"/>
    <w:rsid w:val="006C679B"/>
    <w:rsid w:val="006C7102"/>
    <w:rsid w:val="006C712E"/>
    <w:rsid w:val="006C714F"/>
    <w:rsid w:val="006D42CC"/>
    <w:rsid w:val="006D477D"/>
    <w:rsid w:val="006D4ADF"/>
    <w:rsid w:val="006D5016"/>
    <w:rsid w:val="006D5671"/>
    <w:rsid w:val="006D6267"/>
    <w:rsid w:val="006E0AB7"/>
    <w:rsid w:val="006E10F8"/>
    <w:rsid w:val="006E11E6"/>
    <w:rsid w:val="006E1222"/>
    <w:rsid w:val="006E1A90"/>
    <w:rsid w:val="006E23ED"/>
    <w:rsid w:val="006E256E"/>
    <w:rsid w:val="006E4945"/>
    <w:rsid w:val="006E4A3C"/>
    <w:rsid w:val="006E53DE"/>
    <w:rsid w:val="006E5B4D"/>
    <w:rsid w:val="006E6D9B"/>
    <w:rsid w:val="006F0601"/>
    <w:rsid w:val="006F0ADF"/>
    <w:rsid w:val="006F0DEF"/>
    <w:rsid w:val="006F16A8"/>
    <w:rsid w:val="006F22BC"/>
    <w:rsid w:val="006F3617"/>
    <w:rsid w:val="006F389B"/>
    <w:rsid w:val="006F3C4E"/>
    <w:rsid w:val="006F440F"/>
    <w:rsid w:val="006F4B83"/>
    <w:rsid w:val="006F59AA"/>
    <w:rsid w:val="006F6FDF"/>
    <w:rsid w:val="006F7A80"/>
    <w:rsid w:val="006F7BD2"/>
    <w:rsid w:val="0070025B"/>
    <w:rsid w:val="007008AF"/>
    <w:rsid w:val="00700DDC"/>
    <w:rsid w:val="00701358"/>
    <w:rsid w:val="00701994"/>
    <w:rsid w:val="00701A0B"/>
    <w:rsid w:val="00701D3F"/>
    <w:rsid w:val="00701D62"/>
    <w:rsid w:val="00702265"/>
    <w:rsid w:val="00702A4B"/>
    <w:rsid w:val="00702E44"/>
    <w:rsid w:val="007036E7"/>
    <w:rsid w:val="00703D15"/>
    <w:rsid w:val="007042DF"/>
    <w:rsid w:val="00705A81"/>
    <w:rsid w:val="00705DD8"/>
    <w:rsid w:val="00706732"/>
    <w:rsid w:val="00706ECC"/>
    <w:rsid w:val="00711980"/>
    <w:rsid w:val="00712CCB"/>
    <w:rsid w:val="00715816"/>
    <w:rsid w:val="00716551"/>
    <w:rsid w:val="00720027"/>
    <w:rsid w:val="00720A22"/>
    <w:rsid w:val="00720E4F"/>
    <w:rsid w:val="0072132B"/>
    <w:rsid w:val="00721984"/>
    <w:rsid w:val="00721A37"/>
    <w:rsid w:val="00721E13"/>
    <w:rsid w:val="007220C4"/>
    <w:rsid w:val="00722412"/>
    <w:rsid w:val="00723400"/>
    <w:rsid w:val="0072355E"/>
    <w:rsid w:val="00723B0A"/>
    <w:rsid w:val="0072518A"/>
    <w:rsid w:val="007253FD"/>
    <w:rsid w:val="007268EE"/>
    <w:rsid w:val="00727AFE"/>
    <w:rsid w:val="007303DD"/>
    <w:rsid w:val="00730597"/>
    <w:rsid w:val="00730D9B"/>
    <w:rsid w:val="00730F3B"/>
    <w:rsid w:val="00735433"/>
    <w:rsid w:val="007354C7"/>
    <w:rsid w:val="00735B10"/>
    <w:rsid w:val="00735F31"/>
    <w:rsid w:val="0073602C"/>
    <w:rsid w:val="007363AD"/>
    <w:rsid w:val="00737CA9"/>
    <w:rsid w:val="00737CC5"/>
    <w:rsid w:val="00737E24"/>
    <w:rsid w:val="0074132E"/>
    <w:rsid w:val="007415A3"/>
    <w:rsid w:val="00742494"/>
    <w:rsid w:val="007426D4"/>
    <w:rsid w:val="00742766"/>
    <w:rsid w:val="00743508"/>
    <w:rsid w:val="00743632"/>
    <w:rsid w:val="0074378D"/>
    <w:rsid w:val="007438E9"/>
    <w:rsid w:val="00743955"/>
    <w:rsid w:val="00743AB9"/>
    <w:rsid w:val="00743D1D"/>
    <w:rsid w:val="00745E6E"/>
    <w:rsid w:val="0074602B"/>
    <w:rsid w:val="00746F12"/>
    <w:rsid w:val="00747EB3"/>
    <w:rsid w:val="007510A1"/>
    <w:rsid w:val="00751760"/>
    <w:rsid w:val="007517E8"/>
    <w:rsid w:val="00751EBC"/>
    <w:rsid w:val="00752196"/>
    <w:rsid w:val="00752B46"/>
    <w:rsid w:val="0075363C"/>
    <w:rsid w:val="00753C31"/>
    <w:rsid w:val="00754060"/>
    <w:rsid w:val="00754E06"/>
    <w:rsid w:val="007555C6"/>
    <w:rsid w:val="00761122"/>
    <w:rsid w:val="00761A13"/>
    <w:rsid w:val="0076457C"/>
    <w:rsid w:val="007645BF"/>
    <w:rsid w:val="00764675"/>
    <w:rsid w:val="007646F9"/>
    <w:rsid w:val="00766069"/>
    <w:rsid w:val="007671C8"/>
    <w:rsid w:val="007705F3"/>
    <w:rsid w:val="00773CCF"/>
    <w:rsid w:val="00775E62"/>
    <w:rsid w:val="0077669C"/>
    <w:rsid w:val="00780495"/>
    <w:rsid w:val="007804EE"/>
    <w:rsid w:val="0078085C"/>
    <w:rsid w:val="0078094D"/>
    <w:rsid w:val="00781611"/>
    <w:rsid w:val="00781CAE"/>
    <w:rsid w:val="0078229B"/>
    <w:rsid w:val="00782849"/>
    <w:rsid w:val="00782980"/>
    <w:rsid w:val="00782B5F"/>
    <w:rsid w:val="00782D8E"/>
    <w:rsid w:val="007838A7"/>
    <w:rsid w:val="00785269"/>
    <w:rsid w:val="00785BBF"/>
    <w:rsid w:val="00786371"/>
    <w:rsid w:val="007867A0"/>
    <w:rsid w:val="00786DAA"/>
    <w:rsid w:val="00787BA9"/>
    <w:rsid w:val="00787BE7"/>
    <w:rsid w:val="007905D9"/>
    <w:rsid w:val="00790996"/>
    <w:rsid w:val="00792A7A"/>
    <w:rsid w:val="00792DC8"/>
    <w:rsid w:val="00792F3A"/>
    <w:rsid w:val="007945A0"/>
    <w:rsid w:val="00794C55"/>
    <w:rsid w:val="007956E2"/>
    <w:rsid w:val="00795CCC"/>
    <w:rsid w:val="00795EE3"/>
    <w:rsid w:val="00796DE3"/>
    <w:rsid w:val="007A1338"/>
    <w:rsid w:val="007A2BA7"/>
    <w:rsid w:val="007A3D05"/>
    <w:rsid w:val="007A6442"/>
    <w:rsid w:val="007A716A"/>
    <w:rsid w:val="007A78A9"/>
    <w:rsid w:val="007B01A7"/>
    <w:rsid w:val="007B13AB"/>
    <w:rsid w:val="007B2277"/>
    <w:rsid w:val="007B2BB6"/>
    <w:rsid w:val="007B2BB9"/>
    <w:rsid w:val="007B2BC3"/>
    <w:rsid w:val="007B379D"/>
    <w:rsid w:val="007B5640"/>
    <w:rsid w:val="007B60E0"/>
    <w:rsid w:val="007B62CB"/>
    <w:rsid w:val="007B720C"/>
    <w:rsid w:val="007B7C30"/>
    <w:rsid w:val="007B7E14"/>
    <w:rsid w:val="007C2733"/>
    <w:rsid w:val="007C3ADD"/>
    <w:rsid w:val="007C48C3"/>
    <w:rsid w:val="007C6003"/>
    <w:rsid w:val="007C71B7"/>
    <w:rsid w:val="007C7235"/>
    <w:rsid w:val="007C7BD6"/>
    <w:rsid w:val="007D0D3F"/>
    <w:rsid w:val="007D1DEE"/>
    <w:rsid w:val="007D2B1B"/>
    <w:rsid w:val="007D3068"/>
    <w:rsid w:val="007D3D05"/>
    <w:rsid w:val="007D4C1D"/>
    <w:rsid w:val="007D59FF"/>
    <w:rsid w:val="007D71DD"/>
    <w:rsid w:val="007D747A"/>
    <w:rsid w:val="007E0E14"/>
    <w:rsid w:val="007E0F7C"/>
    <w:rsid w:val="007E165C"/>
    <w:rsid w:val="007E1A98"/>
    <w:rsid w:val="007E4EE8"/>
    <w:rsid w:val="007E63A5"/>
    <w:rsid w:val="007E6DAE"/>
    <w:rsid w:val="007E76D7"/>
    <w:rsid w:val="007E7F73"/>
    <w:rsid w:val="007F016B"/>
    <w:rsid w:val="007F0A9E"/>
    <w:rsid w:val="007F35B8"/>
    <w:rsid w:val="007F3650"/>
    <w:rsid w:val="007F3C15"/>
    <w:rsid w:val="007F45C8"/>
    <w:rsid w:val="007F4AB0"/>
    <w:rsid w:val="007F5319"/>
    <w:rsid w:val="007F657A"/>
    <w:rsid w:val="007F72A4"/>
    <w:rsid w:val="00800BB4"/>
    <w:rsid w:val="00800DF9"/>
    <w:rsid w:val="0080260E"/>
    <w:rsid w:val="00802864"/>
    <w:rsid w:val="00802BA5"/>
    <w:rsid w:val="0080436B"/>
    <w:rsid w:val="00804803"/>
    <w:rsid w:val="00804C4C"/>
    <w:rsid w:val="00805CE6"/>
    <w:rsid w:val="008061DB"/>
    <w:rsid w:val="0080634A"/>
    <w:rsid w:val="00807D4E"/>
    <w:rsid w:val="00807DA8"/>
    <w:rsid w:val="008101AE"/>
    <w:rsid w:val="0081080F"/>
    <w:rsid w:val="00810C36"/>
    <w:rsid w:val="00811FAA"/>
    <w:rsid w:val="00813495"/>
    <w:rsid w:val="00814086"/>
    <w:rsid w:val="00814AB2"/>
    <w:rsid w:val="00815E51"/>
    <w:rsid w:val="00816345"/>
    <w:rsid w:val="00817062"/>
    <w:rsid w:val="00817D58"/>
    <w:rsid w:val="0082039B"/>
    <w:rsid w:val="00822219"/>
    <w:rsid w:val="00822AC6"/>
    <w:rsid w:val="008230F8"/>
    <w:rsid w:val="008238AD"/>
    <w:rsid w:val="00823DB7"/>
    <w:rsid w:val="0082436D"/>
    <w:rsid w:val="008244D5"/>
    <w:rsid w:val="008252EE"/>
    <w:rsid w:val="00826710"/>
    <w:rsid w:val="00827F10"/>
    <w:rsid w:val="00830677"/>
    <w:rsid w:val="008328D8"/>
    <w:rsid w:val="008346A8"/>
    <w:rsid w:val="00837B17"/>
    <w:rsid w:val="008433BD"/>
    <w:rsid w:val="00843E38"/>
    <w:rsid w:val="00844981"/>
    <w:rsid w:val="00844D5A"/>
    <w:rsid w:val="00845AFE"/>
    <w:rsid w:val="008466E6"/>
    <w:rsid w:val="00846976"/>
    <w:rsid w:val="008472F3"/>
    <w:rsid w:val="0084799A"/>
    <w:rsid w:val="00847B60"/>
    <w:rsid w:val="00847CEC"/>
    <w:rsid w:val="008509F7"/>
    <w:rsid w:val="00850DA9"/>
    <w:rsid w:val="00852609"/>
    <w:rsid w:val="00852BCF"/>
    <w:rsid w:val="00852E7A"/>
    <w:rsid w:val="00853E96"/>
    <w:rsid w:val="008542EB"/>
    <w:rsid w:val="0085434D"/>
    <w:rsid w:val="008543CC"/>
    <w:rsid w:val="00855C3E"/>
    <w:rsid w:val="00857F3A"/>
    <w:rsid w:val="008604C3"/>
    <w:rsid w:val="00862126"/>
    <w:rsid w:val="00862486"/>
    <w:rsid w:val="00862DFF"/>
    <w:rsid w:val="008636E1"/>
    <w:rsid w:val="008637BA"/>
    <w:rsid w:val="00863915"/>
    <w:rsid w:val="00864A02"/>
    <w:rsid w:val="00864A90"/>
    <w:rsid w:val="008658D5"/>
    <w:rsid w:val="00867C01"/>
    <w:rsid w:val="00871DCD"/>
    <w:rsid w:val="00872877"/>
    <w:rsid w:val="00872C80"/>
    <w:rsid w:val="00872FCA"/>
    <w:rsid w:val="008734C2"/>
    <w:rsid w:val="0087359E"/>
    <w:rsid w:val="00873694"/>
    <w:rsid w:val="00873AB0"/>
    <w:rsid w:val="008740AF"/>
    <w:rsid w:val="00876649"/>
    <w:rsid w:val="00876B09"/>
    <w:rsid w:val="008772A0"/>
    <w:rsid w:val="008774E4"/>
    <w:rsid w:val="00881C8B"/>
    <w:rsid w:val="008824CC"/>
    <w:rsid w:val="00882A8F"/>
    <w:rsid w:val="008833DD"/>
    <w:rsid w:val="00884B4B"/>
    <w:rsid w:val="00887CFB"/>
    <w:rsid w:val="008917F5"/>
    <w:rsid w:val="008918FC"/>
    <w:rsid w:val="00892C98"/>
    <w:rsid w:val="008932B6"/>
    <w:rsid w:val="00895A1A"/>
    <w:rsid w:val="008A01FB"/>
    <w:rsid w:val="008A2932"/>
    <w:rsid w:val="008A33E7"/>
    <w:rsid w:val="008A45FC"/>
    <w:rsid w:val="008A51B2"/>
    <w:rsid w:val="008A60DD"/>
    <w:rsid w:val="008A6995"/>
    <w:rsid w:val="008A73DA"/>
    <w:rsid w:val="008A7451"/>
    <w:rsid w:val="008A76D5"/>
    <w:rsid w:val="008A7CB0"/>
    <w:rsid w:val="008B0669"/>
    <w:rsid w:val="008B07CB"/>
    <w:rsid w:val="008B25B1"/>
    <w:rsid w:val="008B29E9"/>
    <w:rsid w:val="008B3753"/>
    <w:rsid w:val="008B4351"/>
    <w:rsid w:val="008B4FCA"/>
    <w:rsid w:val="008B70B7"/>
    <w:rsid w:val="008C0B66"/>
    <w:rsid w:val="008C0F8C"/>
    <w:rsid w:val="008C17F6"/>
    <w:rsid w:val="008C3525"/>
    <w:rsid w:val="008C3918"/>
    <w:rsid w:val="008C43BD"/>
    <w:rsid w:val="008C4542"/>
    <w:rsid w:val="008C4703"/>
    <w:rsid w:val="008C489E"/>
    <w:rsid w:val="008C6017"/>
    <w:rsid w:val="008C6730"/>
    <w:rsid w:val="008C6777"/>
    <w:rsid w:val="008C78B2"/>
    <w:rsid w:val="008D1954"/>
    <w:rsid w:val="008D31E0"/>
    <w:rsid w:val="008D3295"/>
    <w:rsid w:val="008D376D"/>
    <w:rsid w:val="008D38C0"/>
    <w:rsid w:val="008D3943"/>
    <w:rsid w:val="008D4A48"/>
    <w:rsid w:val="008D5EE1"/>
    <w:rsid w:val="008D6049"/>
    <w:rsid w:val="008D65EB"/>
    <w:rsid w:val="008D7838"/>
    <w:rsid w:val="008E02F5"/>
    <w:rsid w:val="008E0E85"/>
    <w:rsid w:val="008E1161"/>
    <w:rsid w:val="008E18A0"/>
    <w:rsid w:val="008E1B20"/>
    <w:rsid w:val="008E1EE0"/>
    <w:rsid w:val="008E32CF"/>
    <w:rsid w:val="008E3F50"/>
    <w:rsid w:val="008E54D9"/>
    <w:rsid w:val="008E6E6A"/>
    <w:rsid w:val="008E732D"/>
    <w:rsid w:val="008E799A"/>
    <w:rsid w:val="008F0178"/>
    <w:rsid w:val="008F0507"/>
    <w:rsid w:val="008F090A"/>
    <w:rsid w:val="008F1669"/>
    <w:rsid w:val="008F2C4E"/>
    <w:rsid w:val="008F35B1"/>
    <w:rsid w:val="008F37FB"/>
    <w:rsid w:val="008F48C1"/>
    <w:rsid w:val="008F5183"/>
    <w:rsid w:val="008F52EC"/>
    <w:rsid w:val="008F5BD8"/>
    <w:rsid w:val="008F6132"/>
    <w:rsid w:val="008F768A"/>
    <w:rsid w:val="008F774B"/>
    <w:rsid w:val="0090025C"/>
    <w:rsid w:val="0090037E"/>
    <w:rsid w:val="00901066"/>
    <w:rsid w:val="00901FA3"/>
    <w:rsid w:val="00902FD5"/>
    <w:rsid w:val="009036D8"/>
    <w:rsid w:val="0090496B"/>
    <w:rsid w:val="00905181"/>
    <w:rsid w:val="009058A0"/>
    <w:rsid w:val="00906581"/>
    <w:rsid w:val="009106A1"/>
    <w:rsid w:val="00910A3A"/>
    <w:rsid w:val="00915395"/>
    <w:rsid w:val="00916CAD"/>
    <w:rsid w:val="00917B2E"/>
    <w:rsid w:val="00920C02"/>
    <w:rsid w:val="0092198D"/>
    <w:rsid w:val="00922EDF"/>
    <w:rsid w:val="00924CA3"/>
    <w:rsid w:val="00927A54"/>
    <w:rsid w:val="0093047D"/>
    <w:rsid w:val="0093159F"/>
    <w:rsid w:val="009316B7"/>
    <w:rsid w:val="0093170B"/>
    <w:rsid w:val="00933174"/>
    <w:rsid w:val="009338E3"/>
    <w:rsid w:val="00933B5A"/>
    <w:rsid w:val="00933E27"/>
    <w:rsid w:val="00934288"/>
    <w:rsid w:val="00935762"/>
    <w:rsid w:val="009360C1"/>
    <w:rsid w:val="00936376"/>
    <w:rsid w:val="00936977"/>
    <w:rsid w:val="00936FC2"/>
    <w:rsid w:val="0093700B"/>
    <w:rsid w:val="00937B0C"/>
    <w:rsid w:val="00937F14"/>
    <w:rsid w:val="00940953"/>
    <w:rsid w:val="0094102C"/>
    <w:rsid w:val="009418E0"/>
    <w:rsid w:val="0094198F"/>
    <w:rsid w:val="009439B3"/>
    <w:rsid w:val="009439E3"/>
    <w:rsid w:val="0094405F"/>
    <w:rsid w:val="00944A1D"/>
    <w:rsid w:val="00944ACF"/>
    <w:rsid w:val="00945241"/>
    <w:rsid w:val="009456A2"/>
    <w:rsid w:val="00945B72"/>
    <w:rsid w:val="00947619"/>
    <w:rsid w:val="00951E2A"/>
    <w:rsid w:val="00951E75"/>
    <w:rsid w:val="00954235"/>
    <w:rsid w:val="0095484B"/>
    <w:rsid w:val="00954DFF"/>
    <w:rsid w:val="00956967"/>
    <w:rsid w:val="009571F3"/>
    <w:rsid w:val="00957563"/>
    <w:rsid w:val="009609BD"/>
    <w:rsid w:val="00960AC4"/>
    <w:rsid w:val="00960C90"/>
    <w:rsid w:val="00961370"/>
    <w:rsid w:val="00961AE8"/>
    <w:rsid w:val="00961AF7"/>
    <w:rsid w:val="0096221A"/>
    <w:rsid w:val="009632A1"/>
    <w:rsid w:val="009650C4"/>
    <w:rsid w:val="0096582E"/>
    <w:rsid w:val="00966182"/>
    <w:rsid w:val="00966249"/>
    <w:rsid w:val="0096684F"/>
    <w:rsid w:val="00966CCD"/>
    <w:rsid w:val="00967712"/>
    <w:rsid w:val="009700D1"/>
    <w:rsid w:val="00971910"/>
    <w:rsid w:val="00971C43"/>
    <w:rsid w:val="00971D69"/>
    <w:rsid w:val="00972F41"/>
    <w:rsid w:val="009731DF"/>
    <w:rsid w:val="00973692"/>
    <w:rsid w:val="00973DC6"/>
    <w:rsid w:val="009758BD"/>
    <w:rsid w:val="00977894"/>
    <w:rsid w:val="009808DC"/>
    <w:rsid w:val="009810AA"/>
    <w:rsid w:val="009826D6"/>
    <w:rsid w:val="00983FD2"/>
    <w:rsid w:val="009852B9"/>
    <w:rsid w:val="0098548A"/>
    <w:rsid w:val="00985D44"/>
    <w:rsid w:val="00987922"/>
    <w:rsid w:val="009906A2"/>
    <w:rsid w:val="00990C57"/>
    <w:rsid w:val="0099114F"/>
    <w:rsid w:val="00991741"/>
    <w:rsid w:val="009924FA"/>
    <w:rsid w:val="00992745"/>
    <w:rsid w:val="00994764"/>
    <w:rsid w:val="009A0CD5"/>
    <w:rsid w:val="009A2314"/>
    <w:rsid w:val="009A3049"/>
    <w:rsid w:val="009A31EE"/>
    <w:rsid w:val="009A4824"/>
    <w:rsid w:val="009A5196"/>
    <w:rsid w:val="009A59AF"/>
    <w:rsid w:val="009A6618"/>
    <w:rsid w:val="009A770C"/>
    <w:rsid w:val="009A7CEF"/>
    <w:rsid w:val="009B00C6"/>
    <w:rsid w:val="009B147D"/>
    <w:rsid w:val="009B33C8"/>
    <w:rsid w:val="009B34F5"/>
    <w:rsid w:val="009B37C0"/>
    <w:rsid w:val="009B3947"/>
    <w:rsid w:val="009B465F"/>
    <w:rsid w:val="009B4730"/>
    <w:rsid w:val="009B4C9A"/>
    <w:rsid w:val="009B5830"/>
    <w:rsid w:val="009B59F3"/>
    <w:rsid w:val="009B7466"/>
    <w:rsid w:val="009B77C7"/>
    <w:rsid w:val="009C0530"/>
    <w:rsid w:val="009C05D3"/>
    <w:rsid w:val="009C0A6F"/>
    <w:rsid w:val="009C1006"/>
    <w:rsid w:val="009C17A4"/>
    <w:rsid w:val="009C1A84"/>
    <w:rsid w:val="009C5AA6"/>
    <w:rsid w:val="009C6184"/>
    <w:rsid w:val="009C695B"/>
    <w:rsid w:val="009C6D4D"/>
    <w:rsid w:val="009D06C5"/>
    <w:rsid w:val="009D07B5"/>
    <w:rsid w:val="009D0CD7"/>
    <w:rsid w:val="009D1325"/>
    <w:rsid w:val="009D1EF2"/>
    <w:rsid w:val="009D3E35"/>
    <w:rsid w:val="009D45A5"/>
    <w:rsid w:val="009D5660"/>
    <w:rsid w:val="009D6618"/>
    <w:rsid w:val="009D67BC"/>
    <w:rsid w:val="009E0917"/>
    <w:rsid w:val="009E0962"/>
    <w:rsid w:val="009E0FA2"/>
    <w:rsid w:val="009E17DC"/>
    <w:rsid w:val="009E4382"/>
    <w:rsid w:val="009E47B5"/>
    <w:rsid w:val="009E47D1"/>
    <w:rsid w:val="009E4957"/>
    <w:rsid w:val="009E4B49"/>
    <w:rsid w:val="009E63C4"/>
    <w:rsid w:val="009E63FC"/>
    <w:rsid w:val="009F0DDB"/>
    <w:rsid w:val="009F2016"/>
    <w:rsid w:val="009F28A0"/>
    <w:rsid w:val="009F2D98"/>
    <w:rsid w:val="009F42C5"/>
    <w:rsid w:val="009F5644"/>
    <w:rsid w:val="009F5E28"/>
    <w:rsid w:val="009F6395"/>
    <w:rsid w:val="009F6A52"/>
    <w:rsid w:val="009F77C5"/>
    <w:rsid w:val="009F7BFC"/>
    <w:rsid w:val="00A002E2"/>
    <w:rsid w:val="00A0106A"/>
    <w:rsid w:val="00A0126F"/>
    <w:rsid w:val="00A01E18"/>
    <w:rsid w:val="00A03185"/>
    <w:rsid w:val="00A036B9"/>
    <w:rsid w:val="00A046E1"/>
    <w:rsid w:val="00A04DC3"/>
    <w:rsid w:val="00A04E14"/>
    <w:rsid w:val="00A077D2"/>
    <w:rsid w:val="00A11634"/>
    <w:rsid w:val="00A118BF"/>
    <w:rsid w:val="00A12056"/>
    <w:rsid w:val="00A12452"/>
    <w:rsid w:val="00A128F6"/>
    <w:rsid w:val="00A13736"/>
    <w:rsid w:val="00A142C4"/>
    <w:rsid w:val="00A14BC4"/>
    <w:rsid w:val="00A14F6C"/>
    <w:rsid w:val="00A1564D"/>
    <w:rsid w:val="00A158E6"/>
    <w:rsid w:val="00A16557"/>
    <w:rsid w:val="00A16F5B"/>
    <w:rsid w:val="00A1721A"/>
    <w:rsid w:val="00A177F3"/>
    <w:rsid w:val="00A20686"/>
    <w:rsid w:val="00A20B58"/>
    <w:rsid w:val="00A21FE6"/>
    <w:rsid w:val="00A225AC"/>
    <w:rsid w:val="00A23E04"/>
    <w:rsid w:val="00A2437B"/>
    <w:rsid w:val="00A244A6"/>
    <w:rsid w:val="00A26721"/>
    <w:rsid w:val="00A306F1"/>
    <w:rsid w:val="00A30D8E"/>
    <w:rsid w:val="00A326F8"/>
    <w:rsid w:val="00A33FC4"/>
    <w:rsid w:val="00A34D33"/>
    <w:rsid w:val="00A36456"/>
    <w:rsid w:val="00A406DF"/>
    <w:rsid w:val="00A41864"/>
    <w:rsid w:val="00A420C2"/>
    <w:rsid w:val="00A43750"/>
    <w:rsid w:val="00A4762A"/>
    <w:rsid w:val="00A50315"/>
    <w:rsid w:val="00A5097B"/>
    <w:rsid w:val="00A52844"/>
    <w:rsid w:val="00A52D38"/>
    <w:rsid w:val="00A541B4"/>
    <w:rsid w:val="00A5446A"/>
    <w:rsid w:val="00A55790"/>
    <w:rsid w:val="00A55EE9"/>
    <w:rsid w:val="00A572A2"/>
    <w:rsid w:val="00A57673"/>
    <w:rsid w:val="00A60188"/>
    <w:rsid w:val="00A6048B"/>
    <w:rsid w:val="00A62B24"/>
    <w:rsid w:val="00A6646A"/>
    <w:rsid w:val="00A67815"/>
    <w:rsid w:val="00A70809"/>
    <w:rsid w:val="00A70D45"/>
    <w:rsid w:val="00A715A8"/>
    <w:rsid w:val="00A71F83"/>
    <w:rsid w:val="00A73B92"/>
    <w:rsid w:val="00A7424D"/>
    <w:rsid w:val="00A747D0"/>
    <w:rsid w:val="00A74B71"/>
    <w:rsid w:val="00A75408"/>
    <w:rsid w:val="00A75451"/>
    <w:rsid w:val="00A7692C"/>
    <w:rsid w:val="00A77E1B"/>
    <w:rsid w:val="00A77ED9"/>
    <w:rsid w:val="00A77F43"/>
    <w:rsid w:val="00A80AED"/>
    <w:rsid w:val="00A80D8B"/>
    <w:rsid w:val="00A81563"/>
    <w:rsid w:val="00A8183C"/>
    <w:rsid w:val="00A82E69"/>
    <w:rsid w:val="00A83B70"/>
    <w:rsid w:val="00A840A9"/>
    <w:rsid w:val="00A85E8C"/>
    <w:rsid w:val="00A862DC"/>
    <w:rsid w:val="00A87521"/>
    <w:rsid w:val="00A87893"/>
    <w:rsid w:val="00A90243"/>
    <w:rsid w:val="00A90643"/>
    <w:rsid w:val="00A90C84"/>
    <w:rsid w:val="00A90F91"/>
    <w:rsid w:val="00A925C6"/>
    <w:rsid w:val="00A931D0"/>
    <w:rsid w:val="00A95C34"/>
    <w:rsid w:val="00A964E5"/>
    <w:rsid w:val="00A9655D"/>
    <w:rsid w:val="00A96C17"/>
    <w:rsid w:val="00A978E3"/>
    <w:rsid w:val="00AA05B6"/>
    <w:rsid w:val="00AA0B22"/>
    <w:rsid w:val="00AA0CE7"/>
    <w:rsid w:val="00AA1406"/>
    <w:rsid w:val="00AA3DCD"/>
    <w:rsid w:val="00AA432C"/>
    <w:rsid w:val="00AA4638"/>
    <w:rsid w:val="00AA5083"/>
    <w:rsid w:val="00AA6980"/>
    <w:rsid w:val="00AA7AE8"/>
    <w:rsid w:val="00AB1B6B"/>
    <w:rsid w:val="00AB2466"/>
    <w:rsid w:val="00AB261B"/>
    <w:rsid w:val="00AB3321"/>
    <w:rsid w:val="00AB3B69"/>
    <w:rsid w:val="00AB4CD9"/>
    <w:rsid w:val="00AB5243"/>
    <w:rsid w:val="00AB5356"/>
    <w:rsid w:val="00AB59B7"/>
    <w:rsid w:val="00AB6DEF"/>
    <w:rsid w:val="00AB6FA1"/>
    <w:rsid w:val="00AB7011"/>
    <w:rsid w:val="00AB7B58"/>
    <w:rsid w:val="00AC00F5"/>
    <w:rsid w:val="00AC0550"/>
    <w:rsid w:val="00AC1BB2"/>
    <w:rsid w:val="00AC2594"/>
    <w:rsid w:val="00AC3AAF"/>
    <w:rsid w:val="00AC483F"/>
    <w:rsid w:val="00AC5960"/>
    <w:rsid w:val="00AC5A9B"/>
    <w:rsid w:val="00AC68D3"/>
    <w:rsid w:val="00AC70DD"/>
    <w:rsid w:val="00AC7CDE"/>
    <w:rsid w:val="00AC7F6D"/>
    <w:rsid w:val="00AD00E2"/>
    <w:rsid w:val="00AD0C39"/>
    <w:rsid w:val="00AD105D"/>
    <w:rsid w:val="00AD1B3E"/>
    <w:rsid w:val="00AD236C"/>
    <w:rsid w:val="00AD2EB1"/>
    <w:rsid w:val="00AD45FE"/>
    <w:rsid w:val="00AD4A19"/>
    <w:rsid w:val="00AD4BFA"/>
    <w:rsid w:val="00AD4DC1"/>
    <w:rsid w:val="00AD5C25"/>
    <w:rsid w:val="00AD6681"/>
    <w:rsid w:val="00AD68DF"/>
    <w:rsid w:val="00AD6DE7"/>
    <w:rsid w:val="00AD6F08"/>
    <w:rsid w:val="00AD76F3"/>
    <w:rsid w:val="00AD7AFB"/>
    <w:rsid w:val="00AE004D"/>
    <w:rsid w:val="00AE0388"/>
    <w:rsid w:val="00AE0BDC"/>
    <w:rsid w:val="00AE0F38"/>
    <w:rsid w:val="00AE0F79"/>
    <w:rsid w:val="00AE17B0"/>
    <w:rsid w:val="00AE1C8A"/>
    <w:rsid w:val="00AE2D40"/>
    <w:rsid w:val="00AE4D24"/>
    <w:rsid w:val="00AF086C"/>
    <w:rsid w:val="00AF0D37"/>
    <w:rsid w:val="00AF1168"/>
    <w:rsid w:val="00AF14AE"/>
    <w:rsid w:val="00AF1F07"/>
    <w:rsid w:val="00AF25C3"/>
    <w:rsid w:val="00AF2A80"/>
    <w:rsid w:val="00AF2AEF"/>
    <w:rsid w:val="00AF3AA0"/>
    <w:rsid w:val="00AF4721"/>
    <w:rsid w:val="00AF5ED1"/>
    <w:rsid w:val="00AF6106"/>
    <w:rsid w:val="00AF6FA0"/>
    <w:rsid w:val="00AF70EE"/>
    <w:rsid w:val="00AF7C10"/>
    <w:rsid w:val="00B01129"/>
    <w:rsid w:val="00B022A1"/>
    <w:rsid w:val="00B02E77"/>
    <w:rsid w:val="00B03C80"/>
    <w:rsid w:val="00B04B92"/>
    <w:rsid w:val="00B052E4"/>
    <w:rsid w:val="00B05C48"/>
    <w:rsid w:val="00B05E38"/>
    <w:rsid w:val="00B06354"/>
    <w:rsid w:val="00B07347"/>
    <w:rsid w:val="00B07378"/>
    <w:rsid w:val="00B1009C"/>
    <w:rsid w:val="00B10529"/>
    <w:rsid w:val="00B157D7"/>
    <w:rsid w:val="00B164D7"/>
    <w:rsid w:val="00B16F9F"/>
    <w:rsid w:val="00B204E0"/>
    <w:rsid w:val="00B20713"/>
    <w:rsid w:val="00B21877"/>
    <w:rsid w:val="00B2327C"/>
    <w:rsid w:val="00B24242"/>
    <w:rsid w:val="00B263A8"/>
    <w:rsid w:val="00B301A3"/>
    <w:rsid w:val="00B30253"/>
    <w:rsid w:val="00B304B4"/>
    <w:rsid w:val="00B3156C"/>
    <w:rsid w:val="00B32F96"/>
    <w:rsid w:val="00B3409C"/>
    <w:rsid w:val="00B343E3"/>
    <w:rsid w:val="00B344CF"/>
    <w:rsid w:val="00B367D1"/>
    <w:rsid w:val="00B36BCE"/>
    <w:rsid w:val="00B374C6"/>
    <w:rsid w:val="00B40107"/>
    <w:rsid w:val="00B40551"/>
    <w:rsid w:val="00B40670"/>
    <w:rsid w:val="00B40A92"/>
    <w:rsid w:val="00B40D55"/>
    <w:rsid w:val="00B420B8"/>
    <w:rsid w:val="00B4230D"/>
    <w:rsid w:val="00B42ECB"/>
    <w:rsid w:val="00B4390B"/>
    <w:rsid w:val="00B44BF3"/>
    <w:rsid w:val="00B454D1"/>
    <w:rsid w:val="00B45F3C"/>
    <w:rsid w:val="00B4753A"/>
    <w:rsid w:val="00B47ABB"/>
    <w:rsid w:val="00B50D4E"/>
    <w:rsid w:val="00B514D6"/>
    <w:rsid w:val="00B51EE9"/>
    <w:rsid w:val="00B53896"/>
    <w:rsid w:val="00B53C21"/>
    <w:rsid w:val="00B5644E"/>
    <w:rsid w:val="00B579D3"/>
    <w:rsid w:val="00B60270"/>
    <w:rsid w:val="00B609CD"/>
    <w:rsid w:val="00B60A01"/>
    <w:rsid w:val="00B633E6"/>
    <w:rsid w:val="00B644B6"/>
    <w:rsid w:val="00B644DE"/>
    <w:rsid w:val="00B65330"/>
    <w:rsid w:val="00B65953"/>
    <w:rsid w:val="00B65BCD"/>
    <w:rsid w:val="00B67339"/>
    <w:rsid w:val="00B67C65"/>
    <w:rsid w:val="00B72372"/>
    <w:rsid w:val="00B73167"/>
    <w:rsid w:val="00B7404D"/>
    <w:rsid w:val="00B76DD4"/>
    <w:rsid w:val="00B832AB"/>
    <w:rsid w:val="00B843A8"/>
    <w:rsid w:val="00B84E06"/>
    <w:rsid w:val="00B8591C"/>
    <w:rsid w:val="00B85F1C"/>
    <w:rsid w:val="00B86003"/>
    <w:rsid w:val="00B876DD"/>
    <w:rsid w:val="00B90108"/>
    <w:rsid w:val="00B901D5"/>
    <w:rsid w:val="00B90870"/>
    <w:rsid w:val="00B90BBF"/>
    <w:rsid w:val="00B92E1D"/>
    <w:rsid w:val="00B9301C"/>
    <w:rsid w:val="00B93A2F"/>
    <w:rsid w:val="00B93C86"/>
    <w:rsid w:val="00B947AC"/>
    <w:rsid w:val="00B958D4"/>
    <w:rsid w:val="00B979FA"/>
    <w:rsid w:val="00BA09C9"/>
    <w:rsid w:val="00BA11E5"/>
    <w:rsid w:val="00BA1221"/>
    <w:rsid w:val="00BA32B2"/>
    <w:rsid w:val="00BA40C4"/>
    <w:rsid w:val="00BA4B99"/>
    <w:rsid w:val="00BA5292"/>
    <w:rsid w:val="00BA5552"/>
    <w:rsid w:val="00BA744E"/>
    <w:rsid w:val="00BA7DBC"/>
    <w:rsid w:val="00BB10A6"/>
    <w:rsid w:val="00BB22B6"/>
    <w:rsid w:val="00BB2BA1"/>
    <w:rsid w:val="00BB37B9"/>
    <w:rsid w:val="00BB3839"/>
    <w:rsid w:val="00BB433B"/>
    <w:rsid w:val="00BB5015"/>
    <w:rsid w:val="00BB552B"/>
    <w:rsid w:val="00BB5946"/>
    <w:rsid w:val="00BB7606"/>
    <w:rsid w:val="00BC1298"/>
    <w:rsid w:val="00BC17DC"/>
    <w:rsid w:val="00BC187D"/>
    <w:rsid w:val="00BC19EE"/>
    <w:rsid w:val="00BC40EF"/>
    <w:rsid w:val="00BC6034"/>
    <w:rsid w:val="00BD0B61"/>
    <w:rsid w:val="00BD0C11"/>
    <w:rsid w:val="00BD2638"/>
    <w:rsid w:val="00BD3570"/>
    <w:rsid w:val="00BD4BE1"/>
    <w:rsid w:val="00BD6801"/>
    <w:rsid w:val="00BD6900"/>
    <w:rsid w:val="00BE15AC"/>
    <w:rsid w:val="00BE1878"/>
    <w:rsid w:val="00BE2057"/>
    <w:rsid w:val="00BE2192"/>
    <w:rsid w:val="00BE3B88"/>
    <w:rsid w:val="00BE4177"/>
    <w:rsid w:val="00BE5438"/>
    <w:rsid w:val="00BE5887"/>
    <w:rsid w:val="00BE7D5C"/>
    <w:rsid w:val="00BE7DEB"/>
    <w:rsid w:val="00BF1B58"/>
    <w:rsid w:val="00BF25B7"/>
    <w:rsid w:val="00BF3BE8"/>
    <w:rsid w:val="00BF44F6"/>
    <w:rsid w:val="00BF4DA7"/>
    <w:rsid w:val="00BF5151"/>
    <w:rsid w:val="00BF5680"/>
    <w:rsid w:val="00BF734D"/>
    <w:rsid w:val="00BF742B"/>
    <w:rsid w:val="00BF744F"/>
    <w:rsid w:val="00BF7FDE"/>
    <w:rsid w:val="00C001FF"/>
    <w:rsid w:val="00C005BD"/>
    <w:rsid w:val="00C01546"/>
    <w:rsid w:val="00C01642"/>
    <w:rsid w:val="00C01FD2"/>
    <w:rsid w:val="00C025C6"/>
    <w:rsid w:val="00C03CB2"/>
    <w:rsid w:val="00C05853"/>
    <w:rsid w:val="00C05B28"/>
    <w:rsid w:val="00C07352"/>
    <w:rsid w:val="00C1098F"/>
    <w:rsid w:val="00C11664"/>
    <w:rsid w:val="00C12400"/>
    <w:rsid w:val="00C12D1D"/>
    <w:rsid w:val="00C1317D"/>
    <w:rsid w:val="00C1341C"/>
    <w:rsid w:val="00C13B8F"/>
    <w:rsid w:val="00C13CED"/>
    <w:rsid w:val="00C142C9"/>
    <w:rsid w:val="00C159E1"/>
    <w:rsid w:val="00C16A0A"/>
    <w:rsid w:val="00C171BE"/>
    <w:rsid w:val="00C17CC3"/>
    <w:rsid w:val="00C20F4C"/>
    <w:rsid w:val="00C21202"/>
    <w:rsid w:val="00C213EC"/>
    <w:rsid w:val="00C214D7"/>
    <w:rsid w:val="00C21F36"/>
    <w:rsid w:val="00C2201F"/>
    <w:rsid w:val="00C2310D"/>
    <w:rsid w:val="00C23850"/>
    <w:rsid w:val="00C238A0"/>
    <w:rsid w:val="00C2419B"/>
    <w:rsid w:val="00C2539C"/>
    <w:rsid w:val="00C25A10"/>
    <w:rsid w:val="00C25EB0"/>
    <w:rsid w:val="00C25F83"/>
    <w:rsid w:val="00C26185"/>
    <w:rsid w:val="00C26C5F"/>
    <w:rsid w:val="00C27B17"/>
    <w:rsid w:val="00C31EF1"/>
    <w:rsid w:val="00C35220"/>
    <w:rsid w:val="00C357C1"/>
    <w:rsid w:val="00C36C7C"/>
    <w:rsid w:val="00C370C1"/>
    <w:rsid w:val="00C375A6"/>
    <w:rsid w:val="00C37941"/>
    <w:rsid w:val="00C37EAA"/>
    <w:rsid w:val="00C40B91"/>
    <w:rsid w:val="00C41311"/>
    <w:rsid w:val="00C414DC"/>
    <w:rsid w:val="00C427F3"/>
    <w:rsid w:val="00C44721"/>
    <w:rsid w:val="00C44B17"/>
    <w:rsid w:val="00C464EB"/>
    <w:rsid w:val="00C509C0"/>
    <w:rsid w:val="00C51009"/>
    <w:rsid w:val="00C51CB5"/>
    <w:rsid w:val="00C535F4"/>
    <w:rsid w:val="00C539EB"/>
    <w:rsid w:val="00C541D6"/>
    <w:rsid w:val="00C546D0"/>
    <w:rsid w:val="00C557A9"/>
    <w:rsid w:val="00C603BD"/>
    <w:rsid w:val="00C609BF"/>
    <w:rsid w:val="00C62A44"/>
    <w:rsid w:val="00C66B0C"/>
    <w:rsid w:val="00C67665"/>
    <w:rsid w:val="00C67C82"/>
    <w:rsid w:val="00C706A7"/>
    <w:rsid w:val="00C711DA"/>
    <w:rsid w:val="00C71ECF"/>
    <w:rsid w:val="00C71F7E"/>
    <w:rsid w:val="00C72EC4"/>
    <w:rsid w:val="00C7329A"/>
    <w:rsid w:val="00C733C8"/>
    <w:rsid w:val="00C763FE"/>
    <w:rsid w:val="00C77135"/>
    <w:rsid w:val="00C77BDD"/>
    <w:rsid w:val="00C77FD1"/>
    <w:rsid w:val="00C81BB5"/>
    <w:rsid w:val="00C8224F"/>
    <w:rsid w:val="00C82395"/>
    <w:rsid w:val="00C82A72"/>
    <w:rsid w:val="00C82CC8"/>
    <w:rsid w:val="00C840A2"/>
    <w:rsid w:val="00C842EF"/>
    <w:rsid w:val="00C856AD"/>
    <w:rsid w:val="00C858C1"/>
    <w:rsid w:val="00C86D30"/>
    <w:rsid w:val="00C874EB"/>
    <w:rsid w:val="00C87B68"/>
    <w:rsid w:val="00C91672"/>
    <w:rsid w:val="00C9215C"/>
    <w:rsid w:val="00C92A92"/>
    <w:rsid w:val="00C95865"/>
    <w:rsid w:val="00C95D31"/>
    <w:rsid w:val="00C95E3F"/>
    <w:rsid w:val="00C968BB"/>
    <w:rsid w:val="00C973DE"/>
    <w:rsid w:val="00CA026E"/>
    <w:rsid w:val="00CA0B7E"/>
    <w:rsid w:val="00CA48C5"/>
    <w:rsid w:val="00CA5020"/>
    <w:rsid w:val="00CA5817"/>
    <w:rsid w:val="00CA7B91"/>
    <w:rsid w:val="00CB03E1"/>
    <w:rsid w:val="00CB2359"/>
    <w:rsid w:val="00CB40FD"/>
    <w:rsid w:val="00CB43DA"/>
    <w:rsid w:val="00CB43E9"/>
    <w:rsid w:val="00CB570A"/>
    <w:rsid w:val="00CB6A46"/>
    <w:rsid w:val="00CB7550"/>
    <w:rsid w:val="00CB7769"/>
    <w:rsid w:val="00CB7893"/>
    <w:rsid w:val="00CC1AC9"/>
    <w:rsid w:val="00CC1CAB"/>
    <w:rsid w:val="00CC1DA5"/>
    <w:rsid w:val="00CC371A"/>
    <w:rsid w:val="00CC3E99"/>
    <w:rsid w:val="00CC6E83"/>
    <w:rsid w:val="00CC7E3F"/>
    <w:rsid w:val="00CD3414"/>
    <w:rsid w:val="00CD60EF"/>
    <w:rsid w:val="00CE0990"/>
    <w:rsid w:val="00CE0F1F"/>
    <w:rsid w:val="00CE1571"/>
    <w:rsid w:val="00CE1A55"/>
    <w:rsid w:val="00CE2A76"/>
    <w:rsid w:val="00CE3121"/>
    <w:rsid w:val="00CE33A4"/>
    <w:rsid w:val="00CE5024"/>
    <w:rsid w:val="00CE52A0"/>
    <w:rsid w:val="00CE7F04"/>
    <w:rsid w:val="00CF01D3"/>
    <w:rsid w:val="00CF0A43"/>
    <w:rsid w:val="00CF3477"/>
    <w:rsid w:val="00CF39B9"/>
    <w:rsid w:val="00CF42A3"/>
    <w:rsid w:val="00CF4C94"/>
    <w:rsid w:val="00CF5E69"/>
    <w:rsid w:val="00CF624E"/>
    <w:rsid w:val="00CF7636"/>
    <w:rsid w:val="00D00CB4"/>
    <w:rsid w:val="00D0223D"/>
    <w:rsid w:val="00D03B9F"/>
    <w:rsid w:val="00D044BA"/>
    <w:rsid w:val="00D04CE8"/>
    <w:rsid w:val="00D04EF7"/>
    <w:rsid w:val="00D050DC"/>
    <w:rsid w:val="00D0538A"/>
    <w:rsid w:val="00D05B60"/>
    <w:rsid w:val="00D0608E"/>
    <w:rsid w:val="00D06154"/>
    <w:rsid w:val="00D0640D"/>
    <w:rsid w:val="00D0658C"/>
    <w:rsid w:val="00D073B4"/>
    <w:rsid w:val="00D102F4"/>
    <w:rsid w:val="00D107F4"/>
    <w:rsid w:val="00D12939"/>
    <w:rsid w:val="00D15520"/>
    <w:rsid w:val="00D15BDB"/>
    <w:rsid w:val="00D17C42"/>
    <w:rsid w:val="00D21908"/>
    <w:rsid w:val="00D21D71"/>
    <w:rsid w:val="00D229B3"/>
    <w:rsid w:val="00D229B4"/>
    <w:rsid w:val="00D23C9E"/>
    <w:rsid w:val="00D25691"/>
    <w:rsid w:val="00D26BB6"/>
    <w:rsid w:val="00D27516"/>
    <w:rsid w:val="00D30278"/>
    <w:rsid w:val="00D30965"/>
    <w:rsid w:val="00D33396"/>
    <w:rsid w:val="00D333D5"/>
    <w:rsid w:val="00D348BE"/>
    <w:rsid w:val="00D34D00"/>
    <w:rsid w:val="00D34D36"/>
    <w:rsid w:val="00D3661E"/>
    <w:rsid w:val="00D366FD"/>
    <w:rsid w:val="00D36C05"/>
    <w:rsid w:val="00D36CCA"/>
    <w:rsid w:val="00D36CDE"/>
    <w:rsid w:val="00D40830"/>
    <w:rsid w:val="00D40E09"/>
    <w:rsid w:val="00D40E73"/>
    <w:rsid w:val="00D428E8"/>
    <w:rsid w:val="00D430B6"/>
    <w:rsid w:val="00D4315F"/>
    <w:rsid w:val="00D4357C"/>
    <w:rsid w:val="00D44531"/>
    <w:rsid w:val="00D45E5B"/>
    <w:rsid w:val="00D46101"/>
    <w:rsid w:val="00D4798C"/>
    <w:rsid w:val="00D500D9"/>
    <w:rsid w:val="00D503EF"/>
    <w:rsid w:val="00D508FC"/>
    <w:rsid w:val="00D5093A"/>
    <w:rsid w:val="00D511EE"/>
    <w:rsid w:val="00D51E4F"/>
    <w:rsid w:val="00D538AE"/>
    <w:rsid w:val="00D53A6F"/>
    <w:rsid w:val="00D5469F"/>
    <w:rsid w:val="00D54DDE"/>
    <w:rsid w:val="00D5527A"/>
    <w:rsid w:val="00D55C36"/>
    <w:rsid w:val="00D55C8B"/>
    <w:rsid w:val="00D5654A"/>
    <w:rsid w:val="00D57AE9"/>
    <w:rsid w:val="00D60835"/>
    <w:rsid w:val="00D60DE9"/>
    <w:rsid w:val="00D6100E"/>
    <w:rsid w:val="00D61BED"/>
    <w:rsid w:val="00D629FF"/>
    <w:rsid w:val="00D62F1F"/>
    <w:rsid w:val="00D63220"/>
    <w:rsid w:val="00D63265"/>
    <w:rsid w:val="00D6389C"/>
    <w:rsid w:val="00D64408"/>
    <w:rsid w:val="00D65027"/>
    <w:rsid w:val="00D653CF"/>
    <w:rsid w:val="00D6578E"/>
    <w:rsid w:val="00D65859"/>
    <w:rsid w:val="00D6585A"/>
    <w:rsid w:val="00D6588F"/>
    <w:rsid w:val="00D65FFA"/>
    <w:rsid w:val="00D66A2C"/>
    <w:rsid w:val="00D6759D"/>
    <w:rsid w:val="00D70DBC"/>
    <w:rsid w:val="00D70E5B"/>
    <w:rsid w:val="00D71DBA"/>
    <w:rsid w:val="00D749B3"/>
    <w:rsid w:val="00D7730A"/>
    <w:rsid w:val="00D81024"/>
    <w:rsid w:val="00D8229C"/>
    <w:rsid w:val="00D822DF"/>
    <w:rsid w:val="00D82EBA"/>
    <w:rsid w:val="00D83692"/>
    <w:rsid w:val="00D836AE"/>
    <w:rsid w:val="00D84392"/>
    <w:rsid w:val="00D84760"/>
    <w:rsid w:val="00D84FE8"/>
    <w:rsid w:val="00D86F29"/>
    <w:rsid w:val="00D87E14"/>
    <w:rsid w:val="00D90234"/>
    <w:rsid w:val="00D91258"/>
    <w:rsid w:val="00D92586"/>
    <w:rsid w:val="00D93390"/>
    <w:rsid w:val="00D94841"/>
    <w:rsid w:val="00D94F4D"/>
    <w:rsid w:val="00D9511B"/>
    <w:rsid w:val="00D95557"/>
    <w:rsid w:val="00D96113"/>
    <w:rsid w:val="00D96B52"/>
    <w:rsid w:val="00D96CB9"/>
    <w:rsid w:val="00D97A1B"/>
    <w:rsid w:val="00D97D87"/>
    <w:rsid w:val="00DA0603"/>
    <w:rsid w:val="00DA1A8F"/>
    <w:rsid w:val="00DA2BDE"/>
    <w:rsid w:val="00DA3DA2"/>
    <w:rsid w:val="00DA3E9E"/>
    <w:rsid w:val="00DA41ED"/>
    <w:rsid w:val="00DA46D9"/>
    <w:rsid w:val="00DA5917"/>
    <w:rsid w:val="00DA6F0B"/>
    <w:rsid w:val="00DA71B9"/>
    <w:rsid w:val="00DA78E8"/>
    <w:rsid w:val="00DB0369"/>
    <w:rsid w:val="00DB0B26"/>
    <w:rsid w:val="00DB21E5"/>
    <w:rsid w:val="00DB3FCC"/>
    <w:rsid w:val="00DB40C3"/>
    <w:rsid w:val="00DB4296"/>
    <w:rsid w:val="00DB4ECE"/>
    <w:rsid w:val="00DB5462"/>
    <w:rsid w:val="00DB720B"/>
    <w:rsid w:val="00DB73AE"/>
    <w:rsid w:val="00DC173C"/>
    <w:rsid w:val="00DC1F47"/>
    <w:rsid w:val="00DC2781"/>
    <w:rsid w:val="00DC2BED"/>
    <w:rsid w:val="00DC3F58"/>
    <w:rsid w:val="00DC3F9C"/>
    <w:rsid w:val="00DC42BB"/>
    <w:rsid w:val="00DC4650"/>
    <w:rsid w:val="00DD0B67"/>
    <w:rsid w:val="00DD15D1"/>
    <w:rsid w:val="00DD2392"/>
    <w:rsid w:val="00DD275D"/>
    <w:rsid w:val="00DD384F"/>
    <w:rsid w:val="00DD3D77"/>
    <w:rsid w:val="00DD4A8D"/>
    <w:rsid w:val="00DD5044"/>
    <w:rsid w:val="00DD6209"/>
    <w:rsid w:val="00DD6F87"/>
    <w:rsid w:val="00DD731F"/>
    <w:rsid w:val="00DD774C"/>
    <w:rsid w:val="00DD780B"/>
    <w:rsid w:val="00DD7E84"/>
    <w:rsid w:val="00DD7F2A"/>
    <w:rsid w:val="00DE0453"/>
    <w:rsid w:val="00DE0700"/>
    <w:rsid w:val="00DE13BA"/>
    <w:rsid w:val="00DE1FAD"/>
    <w:rsid w:val="00DE248B"/>
    <w:rsid w:val="00DE33C8"/>
    <w:rsid w:val="00DE42DF"/>
    <w:rsid w:val="00DE49C3"/>
    <w:rsid w:val="00DE4D3A"/>
    <w:rsid w:val="00DE5E2B"/>
    <w:rsid w:val="00DE6666"/>
    <w:rsid w:val="00DE68E3"/>
    <w:rsid w:val="00DE6D40"/>
    <w:rsid w:val="00DF08BE"/>
    <w:rsid w:val="00DF13B5"/>
    <w:rsid w:val="00DF2EA5"/>
    <w:rsid w:val="00DF3EE3"/>
    <w:rsid w:val="00DF417C"/>
    <w:rsid w:val="00DF44B4"/>
    <w:rsid w:val="00DF569A"/>
    <w:rsid w:val="00DF5BBA"/>
    <w:rsid w:val="00DF5DFB"/>
    <w:rsid w:val="00DF66D2"/>
    <w:rsid w:val="00DF77AA"/>
    <w:rsid w:val="00E00FD3"/>
    <w:rsid w:val="00E024CA"/>
    <w:rsid w:val="00E05193"/>
    <w:rsid w:val="00E064D5"/>
    <w:rsid w:val="00E071A1"/>
    <w:rsid w:val="00E07B2D"/>
    <w:rsid w:val="00E102C0"/>
    <w:rsid w:val="00E10A15"/>
    <w:rsid w:val="00E10ABA"/>
    <w:rsid w:val="00E115B2"/>
    <w:rsid w:val="00E13085"/>
    <w:rsid w:val="00E13A98"/>
    <w:rsid w:val="00E148E8"/>
    <w:rsid w:val="00E14A06"/>
    <w:rsid w:val="00E14D72"/>
    <w:rsid w:val="00E162C9"/>
    <w:rsid w:val="00E205C3"/>
    <w:rsid w:val="00E21153"/>
    <w:rsid w:val="00E21D04"/>
    <w:rsid w:val="00E225A5"/>
    <w:rsid w:val="00E22D73"/>
    <w:rsid w:val="00E22F7F"/>
    <w:rsid w:val="00E23416"/>
    <w:rsid w:val="00E24A8E"/>
    <w:rsid w:val="00E255C7"/>
    <w:rsid w:val="00E26572"/>
    <w:rsid w:val="00E26BD3"/>
    <w:rsid w:val="00E26D17"/>
    <w:rsid w:val="00E27435"/>
    <w:rsid w:val="00E309E9"/>
    <w:rsid w:val="00E30ED8"/>
    <w:rsid w:val="00E312DB"/>
    <w:rsid w:val="00E31331"/>
    <w:rsid w:val="00E3301A"/>
    <w:rsid w:val="00E3306A"/>
    <w:rsid w:val="00E333DA"/>
    <w:rsid w:val="00E33467"/>
    <w:rsid w:val="00E33857"/>
    <w:rsid w:val="00E33DEF"/>
    <w:rsid w:val="00E34B46"/>
    <w:rsid w:val="00E363A6"/>
    <w:rsid w:val="00E364BE"/>
    <w:rsid w:val="00E36F5C"/>
    <w:rsid w:val="00E40D45"/>
    <w:rsid w:val="00E40F78"/>
    <w:rsid w:val="00E41C71"/>
    <w:rsid w:val="00E433B7"/>
    <w:rsid w:val="00E43D7F"/>
    <w:rsid w:val="00E44036"/>
    <w:rsid w:val="00E44302"/>
    <w:rsid w:val="00E45A51"/>
    <w:rsid w:val="00E45D64"/>
    <w:rsid w:val="00E46328"/>
    <w:rsid w:val="00E46CFD"/>
    <w:rsid w:val="00E46DAE"/>
    <w:rsid w:val="00E51297"/>
    <w:rsid w:val="00E5144F"/>
    <w:rsid w:val="00E5193B"/>
    <w:rsid w:val="00E51AE5"/>
    <w:rsid w:val="00E51F0D"/>
    <w:rsid w:val="00E53C41"/>
    <w:rsid w:val="00E55599"/>
    <w:rsid w:val="00E56527"/>
    <w:rsid w:val="00E5699A"/>
    <w:rsid w:val="00E57245"/>
    <w:rsid w:val="00E57BFA"/>
    <w:rsid w:val="00E6137B"/>
    <w:rsid w:val="00E62E5E"/>
    <w:rsid w:val="00E63AC7"/>
    <w:rsid w:val="00E63C95"/>
    <w:rsid w:val="00E63D11"/>
    <w:rsid w:val="00E63F64"/>
    <w:rsid w:val="00E64518"/>
    <w:rsid w:val="00E64D36"/>
    <w:rsid w:val="00E65A13"/>
    <w:rsid w:val="00E65FC3"/>
    <w:rsid w:val="00E66821"/>
    <w:rsid w:val="00E668B5"/>
    <w:rsid w:val="00E70959"/>
    <w:rsid w:val="00E70BFB"/>
    <w:rsid w:val="00E716F8"/>
    <w:rsid w:val="00E722B1"/>
    <w:rsid w:val="00E72806"/>
    <w:rsid w:val="00E747B3"/>
    <w:rsid w:val="00E749FB"/>
    <w:rsid w:val="00E74B10"/>
    <w:rsid w:val="00E7548F"/>
    <w:rsid w:val="00E75F2F"/>
    <w:rsid w:val="00E776F9"/>
    <w:rsid w:val="00E779D9"/>
    <w:rsid w:val="00E77AE8"/>
    <w:rsid w:val="00E801DF"/>
    <w:rsid w:val="00E813DA"/>
    <w:rsid w:val="00E8222F"/>
    <w:rsid w:val="00E828FC"/>
    <w:rsid w:val="00E8356E"/>
    <w:rsid w:val="00E83E98"/>
    <w:rsid w:val="00E844DA"/>
    <w:rsid w:val="00E84CFE"/>
    <w:rsid w:val="00E85673"/>
    <w:rsid w:val="00E869D7"/>
    <w:rsid w:val="00E900F0"/>
    <w:rsid w:val="00E908BF"/>
    <w:rsid w:val="00E9121C"/>
    <w:rsid w:val="00E924F3"/>
    <w:rsid w:val="00E93013"/>
    <w:rsid w:val="00E936B8"/>
    <w:rsid w:val="00E93F55"/>
    <w:rsid w:val="00E94757"/>
    <w:rsid w:val="00E95DAD"/>
    <w:rsid w:val="00E9635E"/>
    <w:rsid w:val="00E97209"/>
    <w:rsid w:val="00E9720D"/>
    <w:rsid w:val="00E97490"/>
    <w:rsid w:val="00E977E8"/>
    <w:rsid w:val="00EA0E35"/>
    <w:rsid w:val="00EA27AB"/>
    <w:rsid w:val="00EA2ABE"/>
    <w:rsid w:val="00EA2FCF"/>
    <w:rsid w:val="00EA37D1"/>
    <w:rsid w:val="00EA4E91"/>
    <w:rsid w:val="00EA5716"/>
    <w:rsid w:val="00EA6177"/>
    <w:rsid w:val="00EA793F"/>
    <w:rsid w:val="00EA7DAA"/>
    <w:rsid w:val="00EB0B82"/>
    <w:rsid w:val="00EB0D06"/>
    <w:rsid w:val="00EB3359"/>
    <w:rsid w:val="00EB41A7"/>
    <w:rsid w:val="00EB641C"/>
    <w:rsid w:val="00EB7ED6"/>
    <w:rsid w:val="00EC0379"/>
    <w:rsid w:val="00EC0883"/>
    <w:rsid w:val="00EC1330"/>
    <w:rsid w:val="00EC1DBD"/>
    <w:rsid w:val="00EC209E"/>
    <w:rsid w:val="00EC3B40"/>
    <w:rsid w:val="00EC51A6"/>
    <w:rsid w:val="00EC5222"/>
    <w:rsid w:val="00EC5C7A"/>
    <w:rsid w:val="00EC6475"/>
    <w:rsid w:val="00EC6764"/>
    <w:rsid w:val="00EC6A79"/>
    <w:rsid w:val="00EC6FC1"/>
    <w:rsid w:val="00EC742D"/>
    <w:rsid w:val="00ED0952"/>
    <w:rsid w:val="00ED0CD0"/>
    <w:rsid w:val="00ED1DE1"/>
    <w:rsid w:val="00ED3BB3"/>
    <w:rsid w:val="00ED3ED2"/>
    <w:rsid w:val="00ED5FED"/>
    <w:rsid w:val="00ED6624"/>
    <w:rsid w:val="00ED6F2B"/>
    <w:rsid w:val="00ED7482"/>
    <w:rsid w:val="00ED7EB4"/>
    <w:rsid w:val="00ED7ED9"/>
    <w:rsid w:val="00EE21DD"/>
    <w:rsid w:val="00EE241D"/>
    <w:rsid w:val="00EE2C7A"/>
    <w:rsid w:val="00EE32EC"/>
    <w:rsid w:val="00EE355E"/>
    <w:rsid w:val="00EE36C1"/>
    <w:rsid w:val="00EE56DD"/>
    <w:rsid w:val="00EE5D7B"/>
    <w:rsid w:val="00EE5DD4"/>
    <w:rsid w:val="00EE7A10"/>
    <w:rsid w:val="00EE7FD2"/>
    <w:rsid w:val="00EF10A5"/>
    <w:rsid w:val="00EF14F3"/>
    <w:rsid w:val="00EF1549"/>
    <w:rsid w:val="00EF1989"/>
    <w:rsid w:val="00EF26B6"/>
    <w:rsid w:val="00EF3678"/>
    <w:rsid w:val="00EF37DD"/>
    <w:rsid w:val="00EF3CD2"/>
    <w:rsid w:val="00EF4586"/>
    <w:rsid w:val="00EF45C4"/>
    <w:rsid w:val="00EF45CC"/>
    <w:rsid w:val="00EF5677"/>
    <w:rsid w:val="00EF5BED"/>
    <w:rsid w:val="00EF5EEA"/>
    <w:rsid w:val="00EF6020"/>
    <w:rsid w:val="00F00C33"/>
    <w:rsid w:val="00F02404"/>
    <w:rsid w:val="00F02CC3"/>
    <w:rsid w:val="00F035F5"/>
    <w:rsid w:val="00F0368F"/>
    <w:rsid w:val="00F04317"/>
    <w:rsid w:val="00F0528E"/>
    <w:rsid w:val="00F0590F"/>
    <w:rsid w:val="00F062F8"/>
    <w:rsid w:val="00F10677"/>
    <w:rsid w:val="00F10BA7"/>
    <w:rsid w:val="00F10C81"/>
    <w:rsid w:val="00F11D38"/>
    <w:rsid w:val="00F12DBA"/>
    <w:rsid w:val="00F13258"/>
    <w:rsid w:val="00F132BD"/>
    <w:rsid w:val="00F13694"/>
    <w:rsid w:val="00F1401A"/>
    <w:rsid w:val="00F1476F"/>
    <w:rsid w:val="00F149EF"/>
    <w:rsid w:val="00F14A44"/>
    <w:rsid w:val="00F14F14"/>
    <w:rsid w:val="00F15131"/>
    <w:rsid w:val="00F153EA"/>
    <w:rsid w:val="00F20F60"/>
    <w:rsid w:val="00F2551E"/>
    <w:rsid w:val="00F27BDA"/>
    <w:rsid w:val="00F31101"/>
    <w:rsid w:val="00F3260F"/>
    <w:rsid w:val="00F3272B"/>
    <w:rsid w:val="00F327CE"/>
    <w:rsid w:val="00F331A0"/>
    <w:rsid w:val="00F337DE"/>
    <w:rsid w:val="00F34868"/>
    <w:rsid w:val="00F37D24"/>
    <w:rsid w:val="00F4016A"/>
    <w:rsid w:val="00F406E1"/>
    <w:rsid w:val="00F40CC6"/>
    <w:rsid w:val="00F4159D"/>
    <w:rsid w:val="00F41CCD"/>
    <w:rsid w:val="00F41D23"/>
    <w:rsid w:val="00F428BD"/>
    <w:rsid w:val="00F436C7"/>
    <w:rsid w:val="00F43C33"/>
    <w:rsid w:val="00F43CC1"/>
    <w:rsid w:val="00F447C5"/>
    <w:rsid w:val="00F4753B"/>
    <w:rsid w:val="00F51152"/>
    <w:rsid w:val="00F511C3"/>
    <w:rsid w:val="00F5156B"/>
    <w:rsid w:val="00F51906"/>
    <w:rsid w:val="00F53100"/>
    <w:rsid w:val="00F53E6D"/>
    <w:rsid w:val="00F543DE"/>
    <w:rsid w:val="00F54CCE"/>
    <w:rsid w:val="00F5660E"/>
    <w:rsid w:val="00F56D4D"/>
    <w:rsid w:val="00F56F0A"/>
    <w:rsid w:val="00F57C6A"/>
    <w:rsid w:val="00F61BE3"/>
    <w:rsid w:val="00F624B1"/>
    <w:rsid w:val="00F6279E"/>
    <w:rsid w:val="00F62EA5"/>
    <w:rsid w:val="00F634E8"/>
    <w:rsid w:val="00F63732"/>
    <w:rsid w:val="00F63A18"/>
    <w:rsid w:val="00F63BE6"/>
    <w:rsid w:val="00F646CD"/>
    <w:rsid w:val="00F65967"/>
    <w:rsid w:val="00F65CDF"/>
    <w:rsid w:val="00F667FD"/>
    <w:rsid w:val="00F66E43"/>
    <w:rsid w:val="00F675A7"/>
    <w:rsid w:val="00F675B0"/>
    <w:rsid w:val="00F701ED"/>
    <w:rsid w:val="00F7032C"/>
    <w:rsid w:val="00F705A4"/>
    <w:rsid w:val="00F70962"/>
    <w:rsid w:val="00F719DE"/>
    <w:rsid w:val="00F71DC5"/>
    <w:rsid w:val="00F7273A"/>
    <w:rsid w:val="00F72BFD"/>
    <w:rsid w:val="00F734A9"/>
    <w:rsid w:val="00F7419B"/>
    <w:rsid w:val="00F74492"/>
    <w:rsid w:val="00F7454E"/>
    <w:rsid w:val="00F74E3C"/>
    <w:rsid w:val="00F75236"/>
    <w:rsid w:val="00F758F9"/>
    <w:rsid w:val="00F7668E"/>
    <w:rsid w:val="00F76D76"/>
    <w:rsid w:val="00F77A9C"/>
    <w:rsid w:val="00F809B9"/>
    <w:rsid w:val="00F80D4A"/>
    <w:rsid w:val="00F81D22"/>
    <w:rsid w:val="00F81EBD"/>
    <w:rsid w:val="00F82B19"/>
    <w:rsid w:val="00F82E18"/>
    <w:rsid w:val="00F84213"/>
    <w:rsid w:val="00F84715"/>
    <w:rsid w:val="00F84A88"/>
    <w:rsid w:val="00F87129"/>
    <w:rsid w:val="00F90148"/>
    <w:rsid w:val="00F90DC1"/>
    <w:rsid w:val="00F90E20"/>
    <w:rsid w:val="00F91144"/>
    <w:rsid w:val="00F9144A"/>
    <w:rsid w:val="00F92B1A"/>
    <w:rsid w:val="00F92C79"/>
    <w:rsid w:val="00F938EE"/>
    <w:rsid w:val="00F93936"/>
    <w:rsid w:val="00F93946"/>
    <w:rsid w:val="00F942EF"/>
    <w:rsid w:val="00F959FA"/>
    <w:rsid w:val="00F961D2"/>
    <w:rsid w:val="00F964FB"/>
    <w:rsid w:val="00F96523"/>
    <w:rsid w:val="00F96EF0"/>
    <w:rsid w:val="00F97656"/>
    <w:rsid w:val="00F97EB1"/>
    <w:rsid w:val="00FA011D"/>
    <w:rsid w:val="00FA06E8"/>
    <w:rsid w:val="00FA0C03"/>
    <w:rsid w:val="00FA0CDA"/>
    <w:rsid w:val="00FA1212"/>
    <w:rsid w:val="00FA26B6"/>
    <w:rsid w:val="00FA57D6"/>
    <w:rsid w:val="00FA5856"/>
    <w:rsid w:val="00FA715B"/>
    <w:rsid w:val="00FA7754"/>
    <w:rsid w:val="00FA7965"/>
    <w:rsid w:val="00FA79A6"/>
    <w:rsid w:val="00FB1706"/>
    <w:rsid w:val="00FB21B5"/>
    <w:rsid w:val="00FB24E9"/>
    <w:rsid w:val="00FB4CD2"/>
    <w:rsid w:val="00FB5C1A"/>
    <w:rsid w:val="00FB6372"/>
    <w:rsid w:val="00FB6E46"/>
    <w:rsid w:val="00FB6E4B"/>
    <w:rsid w:val="00FB76FA"/>
    <w:rsid w:val="00FB7998"/>
    <w:rsid w:val="00FC09B8"/>
    <w:rsid w:val="00FC149D"/>
    <w:rsid w:val="00FC1908"/>
    <w:rsid w:val="00FC3092"/>
    <w:rsid w:val="00FC31A1"/>
    <w:rsid w:val="00FC3A1B"/>
    <w:rsid w:val="00FC4711"/>
    <w:rsid w:val="00FC5A0C"/>
    <w:rsid w:val="00FC5A5F"/>
    <w:rsid w:val="00FC66E7"/>
    <w:rsid w:val="00FC6EDF"/>
    <w:rsid w:val="00FD1E0F"/>
    <w:rsid w:val="00FD2DCF"/>
    <w:rsid w:val="00FD314F"/>
    <w:rsid w:val="00FD3802"/>
    <w:rsid w:val="00FD3CF5"/>
    <w:rsid w:val="00FD43EB"/>
    <w:rsid w:val="00FD4804"/>
    <w:rsid w:val="00FD4AEB"/>
    <w:rsid w:val="00FD4F8B"/>
    <w:rsid w:val="00FD50B4"/>
    <w:rsid w:val="00FD517F"/>
    <w:rsid w:val="00FD7E17"/>
    <w:rsid w:val="00FD7FF3"/>
    <w:rsid w:val="00FE2CC7"/>
    <w:rsid w:val="00FE3C10"/>
    <w:rsid w:val="00FE4675"/>
    <w:rsid w:val="00FE48D5"/>
    <w:rsid w:val="00FE4AC9"/>
    <w:rsid w:val="00FE4FE8"/>
    <w:rsid w:val="00FE58DF"/>
    <w:rsid w:val="00FE5CCF"/>
    <w:rsid w:val="00FE6482"/>
    <w:rsid w:val="00FE77C2"/>
    <w:rsid w:val="00FF1B27"/>
    <w:rsid w:val="00FF227B"/>
    <w:rsid w:val="00FF513C"/>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253"/>
    <w:rPr>
      <w:rFonts w:ascii="Book Antiqua" w:hAnsi="Book Antiqua"/>
      <w:sz w:val="24"/>
      <w:szCs w:val="24"/>
    </w:rPr>
  </w:style>
  <w:style w:type="paragraph" w:styleId="Heading1">
    <w:name w:val="heading 1"/>
    <w:basedOn w:val="Normal"/>
    <w:next w:val="Normal"/>
    <w:qFormat/>
    <w:rsid w:val="00E5144F"/>
    <w:pPr>
      <w:keepNext/>
      <w:tabs>
        <w:tab w:val="left" w:pos="0"/>
      </w:tabs>
      <w:spacing w:before="240" w:after="60"/>
      <w:ind w:hanging="540"/>
      <w:outlineLvl w:val="0"/>
    </w:pPr>
    <w:rPr>
      <w:rFonts w:cs="Arial"/>
      <w:b/>
      <w:bCs/>
      <w:kern w:val="32"/>
      <w:sz w:val="32"/>
      <w:szCs w:val="32"/>
    </w:rPr>
  </w:style>
  <w:style w:type="paragraph" w:styleId="Heading2">
    <w:name w:val="heading 2"/>
    <w:basedOn w:val="Normal"/>
    <w:next w:val="Normal"/>
    <w:link w:val="Heading2Char"/>
    <w:autoRedefine/>
    <w:qFormat/>
    <w:rsid w:val="00A306F1"/>
    <w:pPr>
      <w:keepNext/>
      <w:numPr>
        <w:numId w:val="25"/>
      </w:numPr>
      <w:tabs>
        <w:tab w:val="clear" w:pos="-705"/>
        <w:tab w:val="num" w:pos="0"/>
      </w:tabs>
      <w:spacing w:before="240" w:after="60"/>
      <w:ind w:left="0" w:hanging="540"/>
      <w:outlineLvl w:val="1"/>
    </w:pPr>
    <w:rPr>
      <w:rFonts w:cs="Arial"/>
      <w:b/>
      <w:bCs/>
      <w:i/>
      <w:iCs/>
      <w:sz w:val="28"/>
      <w:szCs w:val="22"/>
    </w:rPr>
  </w:style>
  <w:style w:type="paragraph" w:styleId="Heading3">
    <w:name w:val="heading 3"/>
    <w:basedOn w:val="Normal"/>
    <w:next w:val="Normal"/>
    <w:link w:val="Heading3Char"/>
    <w:autoRedefine/>
    <w:qFormat/>
    <w:rsid w:val="00352156"/>
    <w:pPr>
      <w:keepNext/>
      <w:spacing w:before="240" w:after="60"/>
      <w:outlineLvl w:val="2"/>
    </w:pPr>
    <w:rPr>
      <w:rFonts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5E8C"/>
    <w:pPr>
      <w:spacing w:after="120"/>
    </w:pPr>
  </w:style>
  <w:style w:type="paragraph" w:customStyle="1" w:styleId="Default">
    <w:name w:val="Default"/>
    <w:rsid w:val="00795EE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400CC6"/>
    <w:rPr>
      <w:sz w:val="16"/>
      <w:szCs w:val="16"/>
    </w:rPr>
  </w:style>
  <w:style w:type="paragraph" w:styleId="CommentText">
    <w:name w:val="annotation text"/>
    <w:basedOn w:val="Normal"/>
    <w:semiHidden/>
    <w:rsid w:val="00400CC6"/>
    <w:rPr>
      <w:sz w:val="20"/>
      <w:szCs w:val="20"/>
    </w:rPr>
  </w:style>
  <w:style w:type="paragraph" w:styleId="CommentSubject">
    <w:name w:val="annotation subject"/>
    <w:basedOn w:val="CommentText"/>
    <w:next w:val="CommentText"/>
    <w:semiHidden/>
    <w:rsid w:val="00400CC6"/>
    <w:rPr>
      <w:b/>
      <w:bCs/>
    </w:rPr>
  </w:style>
  <w:style w:type="paragraph" w:styleId="BalloonText">
    <w:name w:val="Balloon Text"/>
    <w:basedOn w:val="Normal"/>
    <w:semiHidden/>
    <w:rsid w:val="00400CC6"/>
    <w:rPr>
      <w:rFonts w:ascii="Tahoma" w:hAnsi="Tahoma" w:cs="Tahoma"/>
      <w:sz w:val="16"/>
      <w:szCs w:val="16"/>
    </w:rPr>
  </w:style>
  <w:style w:type="paragraph" w:styleId="Footer">
    <w:name w:val="footer"/>
    <w:basedOn w:val="Normal"/>
    <w:rsid w:val="006212DE"/>
    <w:pPr>
      <w:tabs>
        <w:tab w:val="center" w:pos="4320"/>
        <w:tab w:val="right" w:pos="8640"/>
      </w:tabs>
    </w:pPr>
  </w:style>
  <w:style w:type="character" w:styleId="PageNumber">
    <w:name w:val="page number"/>
    <w:basedOn w:val="DefaultParagraphFont"/>
    <w:rsid w:val="006212DE"/>
  </w:style>
  <w:style w:type="paragraph" w:styleId="Header">
    <w:name w:val="header"/>
    <w:basedOn w:val="Normal"/>
    <w:rsid w:val="00684F97"/>
    <w:pPr>
      <w:tabs>
        <w:tab w:val="center" w:pos="4320"/>
        <w:tab w:val="right" w:pos="8640"/>
      </w:tabs>
    </w:pPr>
  </w:style>
  <w:style w:type="paragraph" w:customStyle="1" w:styleId="StyleHeading1Left-038">
    <w:name w:val="Style Heading 1 + Left:  -0.38&quot;"/>
    <w:basedOn w:val="Heading1"/>
    <w:autoRedefine/>
    <w:rsid w:val="00537253"/>
    <w:rPr>
      <w:rFonts w:cs="Times New Roman"/>
      <w:szCs w:val="20"/>
    </w:rPr>
  </w:style>
  <w:style w:type="character" w:customStyle="1" w:styleId="Heading2Char">
    <w:name w:val="Heading 2 Char"/>
    <w:basedOn w:val="DefaultParagraphFont"/>
    <w:link w:val="Heading2"/>
    <w:rsid w:val="00A306F1"/>
    <w:rPr>
      <w:rFonts w:ascii="Book Antiqua" w:hAnsi="Book Antiqua" w:cs="Arial"/>
      <w:b/>
      <w:bCs/>
      <w:i/>
      <w:iCs/>
      <w:sz w:val="28"/>
      <w:szCs w:val="22"/>
      <w:lang w:val="en-US" w:eastAsia="en-US" w:bidi="ar-SA"/>
    </w:rPr>
  </w:style>
  <w:style w:type="paragraph" w:styleId="Title">
    <w:name w:val="Title"/>
    <w:basedOn w:val="Normal"/>
    <w:qFormat/>
    <w:rsid w:val="00537253"/>
    <w:pPr>
      <w:spacing w:before="240" w:after="60"/>
      <w:jc w:val="center"/>
      <w:outlineLvl w:val="0"/>
    </w:pPr>
    <w:rPr>
      <w:rFonts w:cs="Arial"/>
      <w:b/>
      <w:bCs/>
      <w:kern w:val="28"/>
      <w:sz w:val="32"/>
      <w:szCs w:val="32"/>
    </w:rPr>
  </w:style>
  <w:style w:type="character" w:customStyle="1" w:styleId="Heading3Char">
    <w:name w:val="Heading 3 Char"/>
    <w:basedOn w:val="DefaultParagraphFont"/>
    <w:link w:val="Heading3"/>
    <w:rsid w:val="00352156"/>
    <w:rPr>
      <w:rFonts w:ascii="Book Antiqua" w:hAnsi="Book Antiqua" w:cs="Arial"/>
      <w:b/>
      <w:bCs/>
      <w:sz w:val="26"/>
      <w:szCs w:val="24"/>
      <w:lang w:val="en-US" w:eastAsia="en-US" w:bidi="ar-SA"/>
    </w:rPr>
  </w:style>
  <w:style w:type="paragraph" w:customStyle="1" w:styleId="Title1">
    <w:name w:val="Title 1"/>
    <w:basedOn w:val="Normal"/>
    <w:rsid w:val="00E5144F"/>
    <w:pPr>
      <w:jc w:val="center"/>
    </w:pPr>
    <w:rPr>
      <w:b/>
      <w:bCs/>
      <w:sz w:val="28"/>
      <w:szCs w:val="20"/>
    </w:rPr>
  </w:style>
  <w:style w:type="table" w:styleId="TableGrid">
    <w:name w:val="Table Grid"/>
    <w:basedOn w:val="TableNormal"/>
    <w:uiPriority w:val="59"/>
    <w:rsid w:val="008A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PalatinoLinotype11pt">
    <w:name w:val="Style Body Text + Palatino Linotype 11 pt"/>
    <w:basedOn w:val="BodyText"/>
    <w:rsid w:val="00A306F1"/>
  </w:style>
  <w:style w:type="paragraph" w:styleId="NormalWeb">
    <w:name w:val="Normal (Web)"/>
    <w:basedOn w:val="Normal"/>
    <w:rsid w:val="009C17A4"/>
    <w:pPr>
      <w:spacing w:before="100" w:beforeAutospacing="1" w:after="100" w:afterAutospacing="1"/>
    </w:pPr>
  </w:style>
  <w:style w:type="character" w:styleId="Hyperlink">
    <w:name w:val="Hyperlink"/>
    <w:basedOn w:val="DefaultParagraphFont"/>
    <w:rsid w:val="00F90148"/>
    <w:rPr>
      <w:color w:val="0000FF"/>
      <w:u w:val="single"/>
    </w:rPr>
  </w:style>
  <w:style w:type="paragraph" w:styleId="FootnoteText">
    <w:name w:val="footnote text"/>
    <w:basedOn w:val="Normal"/>
    <w:link w:val="FootnoteTextChar"/>
    <w:rsid w:val="00570A9F"/>
    <w:rPr>
      <w:sz w:val="20"/>
      <w:szCs w:val="20"/>
    </w:rPr>
  </w:style>
  <w:style w:type="character" w:customStyle="1" w:styleId="FootnoteTextChar">
    <w:name w:val="Footnote Text Char"/>
    <w:basedOn w:val="DefaultParagraphFont"/>
    <w:link w:val="FootnoteText"/>
    <w:rsid w:val="00570A9F"/>
    <w:rPr>
      <w:rFonts w:ascii="Book Antiqua" w:hAnsi="Book Antiqua"/>
    </w:rPr>
  </w:style>
  <w:style w:type="character" w:styleId="FootnoteReference">
    <w:name w:val="footnote reference"/>
    <w:basedOn w:val="DefaultParagraphFont"/>
    <w:rsid w:val="00570A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253"/>
    <w:rPr>
      <w:rFonts w:ascii="Book Antiqua" w:hAnsi="Book Antiqua"/>
      <w:sz w:val="24"/>
      <w:szCs w:val="24"/>
    </w:rPr>
  </w:style>
  <w:style w:type="paragraph" w:styleId="Heading1">
    <w:name w:val="heading 1"/>
    <w:basedOn w:val="Normal"/>
    <w:next w:val="Normal"/>
    <w:qFormat/>
    <w:rsid w:val="00E5144F"/>
    <w:pPr>
      <w:keepNext/>
      <w:tabs>
        <w:tab w:val="left" w:pos="0"/>
      </w:tabs>
      <w:spacing w:before="240" w:after="60"/>
      <w:ind w:hanging="540"/>
      <w:outlineLvl w:val="0"/>
    </w:pPr>
    <w:rPr>
      <w:rFonts w:cs="Arial"/>
      <w:b/>
      <w:bCs/>
      <w:kern w:val="32"/>
      <w:sz w:val="32"/>
      <w:szCs w:val="32"/>
    </w:rPr>
  </w:style>
  <w:style w:type="paragraph" w:styleId="Heading2">
    <w:name w:val="heading 2"/>
    <w:basedOn w:val="Normal"/>
    <w:next w:val="Normal"/>
    <w:link w:val="Heading2Char"/>
    <w:autoRedefine/>
    <w:qFormat/>
    <w:rsid w:val="00A306F1"/>
    <w:pPr>
      <w:keepNext/>
      <w:numPr>
        <w:numId w:val="25"/>
      </w:numPr>
      <w:tabs>
        <w:tab w:val="clear" w:pos="-705"/>
        <w:tab w:val="num" w:pos="0"/>
      </w:tabs>
      <w:spacing w:before="240" w:after="60"/>
      <w:ind w:left="0" w:hanging="540"/>
      <w:outlineLvl w:val="1"/>
    </w:pPr>
    <w:rPr>
      <w:rFonts w:cs="Arial"/>
      <w:b/>
      <w:bCs/>
      <w:i/>
      <w:iCs/>
      <w:sz w:val="28"/>
      <w:szCs w:val="22"/>
    </w:rPr>
  </w:style>
  <w:style w:type="paragraph" w:styleId="Heading3">
    <w:name w:val="heading 3"/>
    <w:basedOn w:val="Normal"/>
    <w:next w:val="Normal"/>
    <w:link w:val="Heading3Char"/>
    <w:autoRedefine/>
    <w:qFormat/>
    <w:rsid w:val="00352156"/>
    <w:pPr>
      <w:keepNext/>
      <w:spacing w:before="240" w:after="60"/>
      <w:outlineLvl w:val="2"/>
    </w:pPr>
    <w:rPr>
      <w:rFonts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5E8C"/>
    <w:pPr>
      <w:spacing w:after="120"/>
    </w:pPr>
  </w:style>
  <w:style w:type="paragraph" w:customStyle="1" w:styleId="Default">
    <w:name w:val="Default"/>
    <w:rsid w:val="00795EE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400CC6"/>
    <w:rPr>
      <w:sz w:val="16"/>
      <w:szCs w:val="16"/>
    </w:rPr>
  </w:style>
  <w:style w:type="paragraph" w:styleId="CommentText">
    <w:name w:val="annotation text"/>
    <w:basedOn w:val="Normal"/>
    <w:semiHidden/>
    <w:rsid w:val="00400CC6"/>
    <w:rPr>
      <w:sz w:val="20"/>
      <w:szCs w:val="20"/>
    </w:rPr>
  </w:style>
  <w:style w:type="paragraph" w:styleId="CommentSubject">
    <w:name w:val="annotation subject"/>
    <w:basedOn w:val="CommentText"/>
    <w:next w:val="CommentText"/>
    <w:semiHidden/>
    <w:rsid w:val="00400CC6"/>
    <w:rPr>
      <w:b/>
      <w:bCs/>
    </w:rPr>
  </w:style>
  <w:style w:type="paragraph" w:styleId="BalloonText">
    <w:name w:val="Balloon Text"/>
    <w:basedOn w:val="Normal"/>
    <w:semiHidden/>
    <w:rsid w:val="00400CC6"/>
    <w:rPr>
      <w:rFonts w:ascii="Tahoma" w:hAnsi="Tahoma" w:cs="Tahoma"/>
      <w:sz w:val="16"/>
      <w:szCs w:val="16"/>
    </w:rPr>
  </w:style>
  <w:style w:type="paragraph" w:styleId="Footer">
    <w:name w:val="footer"/>
    <w:basedOn w:val="Normal"/>
    <w:rsid w:val="006212DE"/>
    <w:pPr>
      <w:tabs>
        <w:tab w:val="center" w:pos="4320"/>
        <w:tab w:val="right" w:pos="8640"/>
      </w:tabs>
    </w:pPr>
  </w:style>
  <w:style w:type="character" w:styleId="PageNumber">
    <w:name w:val="page number"/>
    <w:basedOn w:val="DefaultParagraphFont"/>
    <w:rsid w:val="006212DE"/>
  </w:style>
  <w:style w:type="paragraph" w:styleId="Header">
    <w:name w:val="header"/>
    <w:basedOn w:val="Normal"/>
    <w:rsid w:val="00684F97"/>
    <w:pPr>
      <w:tabs>
        <w:tab w:val="center" w:pos="4320"/>
        <w:tab w:val="right" w:pos="8640"/>
      </w:tabs>
    </w:pPr>
  </w:style>
  <w:style w:type="paragraph" w:customStyle="1" w:styleId="StyleHeading1Left-038">
    <w:name w:val="Style Heading 1 + Left:  -0.38&quot;"/>
    <w:basedOn w:val="Heading1"/>
    <w:autoRedefine/>
    <w:rsid w:val="00537253"/>
    <w:rPr>
      <w:rFonts w:cs="Times New Roman"/>
      <w:szCs w:val="20"/>
    </w:rPr>
  </w:style>
  <w:style w:type="character" w:customStyle="1" w:styleId="Heading2Char">
    <w:name w:val="Heading 2 Char"/>
    <w:basedOn w:val="DefaultParagraphFont"/>
    <w:link w:val="Heading2"/>
    <w:rsid w:val="00A306F1"/>
    <w:rPr>
      <w:rFonts w:ascii="Book Antiqua" w:hAnsi="Book Antiqua" w:cs="Arial"/>
      <w:b/>
      <w:bCs/>
      <w:i/>
      <w:iCs/>
      <w:sz w:val="28"/>
      <w:szCs w:val="22"/>
      <w:lang w:val="en-US" w:eastAsia="en-US" w:bidi="ar-SA"/>
    </w:rPr>
  </w:style>
  <w:style w:type="paragraph" w:styleId="Title">
    <w:name w:val="Title"/>
    <w:basedOn w:val="Normal"/>
    <w:qFormat/>
    <w:rsid w:val="00537253"/>
    <w:pPr>
      <w:spacing w:before="240" w:after="60"/>
      <w:jc w:val="center"/>
      <w:outlineLvl w:val="0"/>
    </w:pPr>
    <w:rPr>
      <w:rFonts w:cs="Arial"/>
      <w:b/>
      <w:bCs/>
      <w:kern w:val="28"/>
      <w:sz w:val="32"/>
      <w:szCs w:val="32"/>
    </w:rPr>
  </w:style>
  <w:style w:type="character" w:customStyle="1" w:styleId="Heading3Char">
    <w:name w:val="Heading 3 Char"/>
    <w:basedOn w:val="DefaultParagraphFont"/>
    <w:link w:val="Heading3"/>
    <w:rsid w:val="00352156"/>
    <w:rPr>
      <w:rFonts w:ascii="Book Antiqua" w:hAnsi="Book Antiqua" w:cs="Arial"/>
      <w:b/>
      <w:bCs/>
      <w:sz w:val="26"/>
      <w:szCs w:val="24"/>
      <w:lang w:val="en-US" w:eastAsia="en-US" w:bidi="ar-SA"/>
    </w:rPr>
  </w:style>
  <w:style w:type="paragraph" w:customStyle="1" w:styleId="Title1">
    <w:name w:val="Title 1"/>
    <w:basedOn w:val="Normal"/>
    <w:rsid w:val="00E5144F"/>
    <w:pPr>
      <w:jc w:val="center"/>
    </w:pPr>
    <w:rPr>
      <w:b/>
      <w:bCs/>
      <w:sz w:val="28"/>
      <w:szCs w:val="20"/>
    </w:rPr>
  </w:style>
  <w:style w:type="table" w:styleId="TableGrid">
    <w:name w:val="Table Grid"/>
    <w:basedOn w:val="TableNormal"/>
    <w:uiPriority w:val="59"/>
    <w:rsid w:val="008A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PalatinoLinotype11pt">
    <w:name w:val="Style Body Text + Palatino Linotype 11 pt"/>
    <w:basedOn w:val="BodyText"/>
    <w:rsid w:val="00A306F1"/>
  </w:style>
  <w:style w:type="paragraph" w:styleId="NormalWeb">
    <w:name w:val="Normal (Web)"/>
    <w:basedOn w:val="Normal"/>
    <w:rsid w:val="009C17A4"/>
    <w:pPr>
      <w:spacing w:before="100" w:beforeAutospacing="1" w:after="100" w:afterAutospacing="1"/>
    </w:pPr>
  </w:style>
  <w:style w:type="character" w:styleId="Hyperlink">
    <w:name w:val="Hyperlink"/>
    <w:basedOn w:val="DefaultParagraphFont"/>
    <w:rsid w:val="00F90148"/>
    <w:rPr>
      <w:color w:val="0000FF"/>
      <w:u w:val="single"/>
    </w:rPr>
  </w:style>
  <w:style w:type="paragraph" w:styleId="FootnoteText">
    <w:name w:val="footnote text"/>
    <w:basedOn w:val="Normal"/>
    <w:link w:val="FootnoteTextChar"/>
    <w:rsid w:val="00570A9F"/>
    <w:rPr>
      <w:sz w:val="20"/>
      <w:szCs w:val="20"/>
    </w:rPr>
  </w:style>
  <w:style w:type="character" w:customStyle="1" w:styleId="FootnoteTextChar">
    <w:name w:val="Footnote Text Char"/>
    <w:basedOn w:val="DefaultParagraphFont"/>
    <w:link w:val="FootnoteText"/>
    <w:rsid w:val="00570A9F"/>
    <w:rPr>
      <w:rFonts w:ascii="Book Antiqua" w:hAnsi="Book Antiqua"/>
    </w:rPr>
  </w:style>
  <w:style w:type="character" w:styleId="FootnoteReference">
    <w:name w:val="footnote reference"/>
    <w:basedOn w:val="DefaultParagraphFont"/>
    <w:rsid w:val="00570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ederalregister.gov/a/2012-3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1ED6-9C95-4A70-91FA-6283E17D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ICF Consulting</Company>
  <LinksUpToDate>false</LinksUpToDate>
  <CharactersWithSpaces>14088</CharactersWithSpaces>
  <SharedDoc>false</SharedDoc>
  <HLinks>
    <vt:vector size="6" baseType="variant">
      <vt:variant>
        <vt:i4>196617</vt:i4>
      </vt:variant>
      <vt:variant>
        <vt:i4>0</vt:i4>
      </vt:variant>
      <vt:variant>
        <vt:i4>0</vt:i4>
      </vt:variant>
      <vt:variant>
        <vt:i4>5</vt:i4>
      </vt:variant>
      <vt:variant>
        <vt:lpwstr>https://federalregister.gov/a/2012-30313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ICF</dc:creator>
  <cp:lastModifiedBy>tyrone.huff</cp:lastModifiedBy>
  <cp:revision>2</cp:revision>
  <cp:lastPrinted>2013-02-25T13:46:00Z</cp:lastPrinted>
  <dcterms:created xsi:type="dcterms:W3CDTF">2014-08-23T17:22:00Z</dcterms:created>
  <dcterms:modified xsi:type="dcterms:W3CDTF">2014-08-23T17:22:00Z</dcterms:modified>
</cp:coreProperties>
</file>