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F526E3" w:rsidRDefault="00386054" w:rsidP="00F526E3">
      <w:pPr>
        <w:pStyle w:val="Title"/>
      </w:pPr>
      <w:bookmarkStart w:id="0" w:name="_GoBack"/>
      <w:bookmarkEnd w:id="0"/>
      <w:r w:rsidRPr="00F526E3">
        <w:t>SUPPORTING STATEMENT</w:t>
      </w:r>
    </w:p>
    <w:p w:rsidR="00BA13A2" w:rsidRPr="00F526E3" w:rsidRDefault="00386054" w:rsidP="00B578F4">
      <w:pPr>
        <w:pStyle w:val="Title"/>
      </w:pPr>
      <w:r w:rsidRPr="00F526E3">
        <w:t>FOR PAPERWORK REDUCTION ACT SUBMISSION</w:t>
      </w:r>
    </w:p>
    <w:p w:rsidR="009522E4" w:rsidRPr="00F526E3" w:rsidRDefault="000245B9">
      <w:pPr>
        <w:jc w:val="center"/>
        <w:rPr>
          <w:rFonts w:ascii="Courier" w:hAnsi="Courier"/>
        </w:rPr>
      </w:pPr>
      <w:r>
        <w:rPr>
          <w:rFonts w:ascii="Courier" w:hAnsi="Courier"/>
        </w:rPr>
        <w:t xml:space="preserve">FDMS Docket and OMB Number: ED-2013-ICCD-0001 </w:t>
      </w:r>
      <w:r w:rsidR="00F33AA0" w:rsidRPr="00F526E3">
        <w:rPr>
          <w:rFonts w:ascii="Courier" w:hAnsi="Courier"/>
        </w:rPr>
        <w:t>1810</w:t>
      </w:r>
      <w:r w:rsidR="00016E14" w:rsidRPr="00F526E3">
        <w:rPr>
          <w:rFonts w:ascii="Courier" w:hAnsi="Courier"/>
        </w:rPr>
        <w:t>-</w:t>
      </w:r>
      <w:r w:rsidR="00F33AA0" w:rsidRPr="00F526E3">
        <w:rPr>
          <w:rFonts w:ascii="Courier" w:hAnsi="Courier"/>
        </w:rPr>
        <w:t>0021</w:t>
      </w:r>
    </w:p>
    <w:p w:rsidR="00386054" w:rsidRPr="00F526E3" w:rsidRDefault="00016E14" w:rsidP="00C9556E">
      <w:pPr>
        <w:pStyle w:val="Heading1"/>
        <w:rPr>
          <w:rFonts w:cs="Times New Roman"/>
          <w:szCs w:val="28"/>
        </w:rPr>
      </w:pPr>
      <w:r w:rsidRPr="00F526E3">
        <w:rPr>
          <w:rFonts w:cs="Times New Roman"/>
          <w:szCs w:val="28"/>
        </w:rPr>
        <w:t xml:space="preserve">A. Justification </w:t>
      </w:r>
    </w:p>
    <w:p w:rsidR="00B578F4" w:rsidRPr="00E420ED" w:rsidRDefault="00386054" w:rsidP="00B578F4">
      <w:pPr>
        <w:pStyle w:val="ListParagraph"/>
        <w:numPr>
          <w:ilvl w:val="0"/>
          <w:numId w:val="20"/>
        </w:numPr>
        <w:rPr>
          <w:b/>
        </w:rPr>
      </w:pPr>
      <w:r w:rsidRPr="00E420ED">
        <w:rPr>
          <w:b/>
        </w:rPr>
        <w:t xml:space="preserve">Explain the circumstances that make the collection of information necessary.  Identify any legal or administrative requirements that necessitate the collection.  Attach a </w:t>
      </w:r>
      <w:r w:rsidR="003C7F70" w:rsidRPr="00E420ED">
        <w:rPr>
          <w:b/>
        </w:rPr>
        <w:t xml:space="preserve">hard </w:t>
      </w:r>
      <w:r w:rsidRPr="00E420ED">
        <w:rPr>
          <w:b/>
        </w:rPr>
        <w:t>copy of the appropriate section of each statute and regulation mandating or authorizing the collection of information</w:t>
      </w:r>
      <w:r w:rsidR="003C7F70" w:rsidRPr="00E420ED">
        <w:rPr>
          <w:b/>
        </w:rPr>
        <w:t>,</w:t>
      </w:r>
      <w:r w:rsidR="00050CBE" w:rsidRPr="00E420ED">
        <w:rPr>
          <w:b/>
        </w:rPr>
        <w:t xml:space="preserve"> or </w:t>
      </w:r>
      <w:r w:rsidR="003C7F70" w:rsidRPr="00E420ED">
        <w:rPr>
          <w:b/>
        </w:rPr>
        <w:t xml:space="preserve">you may </w:t>
      </w:r>
      <w:r w:rsidR="00050CBE" w:rsidRPr="00E420ED">
        <w:rPr>
          <w:b/>
        </w:rPr>
        <w:t xml:space="preserve">provide a valid </w:t>
      </w:r>
      <w:r w:rsidR="003C7F70" w:rsidRPr="00E420ED">
        <w:rPr>
          <w:b/>
        </w:rPr>
        <w:t>URL</w:t>
      </w:r>
      <w:r w:rsidR="00050CBE" w:rsidRPr="00E420ED">
        <w:rPr>
          <w:b/>
        </w:rPr>
        <w:t xml:space="preserve"> link or paste the applicable section</w:t>
      </w:r>
      <w:r w:rsidRPr="00E420ED">
        <w:rPr>
          <w:b/>
        </w:rPr>
        <w:t xml:space="preserve">. </w:t>
      </w:r>
      <w:r w:rsidR="00BA13A2" w:rsidRPr="00E420ED">
        <w:rPr>
          <w:b/>
        </w:rPr>
        <w:t xml:space="preserve">Please limit pasted text to no longer than 3 pages. </w:t>
      </w:r>
      <w:r w:rsidRPr="00E420ED">
        <w:rPr>
          <w:b/>
        </w:rPr>
        <w:t>Specify the review type of the collection (new, revision, extension, reinstatement with change, reinstatement without change)</w:t>
      </w:r>
      <w:r w:rsidR="00050CBE" w:rsidRPr="00E420ED">
        <w:rPr>
          <w:b/>
        </w:rPr>
        <w:t>. If revised, briefly specify the changes.  If a rulemaking is involved, make note of the sections or changed sections, if applicable.</w:t>
      </w:r>
    </w:p>
    <w:p w:rsidR="00CC79FC" w:rsidRPr="00F526E3" w:rsidRDefault="00CC79FC" w:rsidP="00CC79FC">
      <w:pPr>
        <w:pStyle w:val="BodyTextIndent3"/>
        <w:rPr>
          <w:rFonts w:eastAsia="Arial Unicode MS"/>
          <w:b w:val="0"/>
          <w:i w:val="0"/>
        </w:rPr>
      </w:pPr>
      <w:r w:rsidRPr="00F526E3">
        <w:rPr>
          <w:rFonts w:eastAsia="Arial Unicode MS"/>
          <w:b w:val="0"/>
          <w:i w:val="0"/>
        </w:rPr>
        <w:t>This request makes several technical changes to the information collection previously approved under clearance number 1810-0021.   These technical enhancements provide greater flexibility to submitters and add no additional burden.  The enhancements are identified in Attachment A: “Data Groups for the Electronic Application System for Indian Education.</w:t>
      </w:r>
    </w:p>
    <w:p w:rsidR="00CC79FC" w:rsidRPr="00F526E3" w:rsidRDefault="00CC79FC" w:rsidP="00E420ED">
      <w:pPr>
        <w:pStyle w:val="BodyTextIndent3"/>
        <w:rPr>
          <w:rFonts w:eastAsia="Arial Unicode MS"/>
          <w:b w:val="0"/>
          <w:i w:val="0"/>
        </w:rPr>
      </w:pPr>
    </w:p>
    <w:p w:rsidR="00135F92" w:rsidRPr="00F526E3" w:rsidRDefault="00F33AA0" w:rsidP="00E420ED">
      <w:pPr>
        <w:pStyle w:val="BodyTextIndent3"/>
        <w:rPr>
          <w:rFonts w:eastAsia="Arial Unicode MS"/>
          <w:b w:val="0"/>
          <w:i w:val="0"/>
        </w:rPr>
      </w:pPr>
      <w:r w:rsidRPr="00F526E3">
        <w:rPr>
          <w:rFonts w:eastAsia="Arial Unicode MS"/>
          <w:b w:val="0"/>
          <w:i w:val="0"/>
        </w:rPr>
        <w:t>The Office of Indian Education (OIE) of the Department of Education (ED) requests clearance for the Indian Education Formula Grant Application authorized under Title VII, Part A, Subpart 1 of the Elementary and Secondary Education Act, as amended</w:t>
      </w:r>
      <w:r w:rsidR="00CC79FC" w:rsidRPr="00F526E3">
        <w:rPr>
          <w:rFonts w:eastAsia="Arial Unicode MS"/>
          <w:b w:val="0"/>
          <w:i w:val="0"/>
        </w:rPr>
        <w:t xml:space="preserve"> (ESEA)</w:t>
      </w:r>
      <w:r w:rsidRPr="00F526E3">
        <w:rPr>
          <w:rFonts w:eastAsia="Arial Unicode MS"/>
          <w:b w:val="0"/>
          <w:i w:val="0"/>
        </w:rPr>
        <w:t xml:space="preserve">.  The Indian Education Formula Grant (CFDA 84.060A), is not competitive or discretionary and requires the annual submission of the application from the local education agency and or tribe.  The funds under this program assist applicants to provide Indian students with the opportunity to meet the same challenging state standards as all other students and meet the unique educational and culturally related academic needs of American Indian and Alaska Native students. The amount of the award for each applicant is determined by a formula based on the reported number of American Indian/Alaska Native students identified in the application, the state per pupil expenditure, and the total appropriation available.  </w:t>
      </w:r>
    </w:p>
    <w:p w:rsidR="00135F92" w:rsidRPr="00F526E3" w:rsidRDefault="00135F92" w:rsidP="00E420ED">
      <w:pPr>
        <w:pStyle w:val="BodyTextIndent3"/>
        <w:rPr>
          <w:rFonts w:eastAsia="Arial Unicode MS"/>
          <w:b w:val="0"/>
          <w:i w:val="0"/>
        </w:rPr>
      </w:pPr>
    </w:p>
    <w:p w:rsidR="00135F92" w:rsidRPr="00F526E3" w:rsidRDefault="00F33AA0" w:rsidP="00E420ED">
      <w:pPr>
        <w:pStyle w:val="BodyTextIndent3"/>
        <w:rPr>
          <w:rFonts w:eastAsia="Arial Unicode MS"/>
          <w:b w:val="0"/>
          <w:i w:val="0"/>
        </w:rPr>
      </w:pPr>
      <w:r w:rsidRPr="00F526E3">
        <w:rPr>
          <w:rFonts w:eastAsia="Arial Unicode MS"/>
          <w:b w:val="0"/>
          <w:i w:val="0"/>
        </w:rPr>
        <w:t>The information collection is also necessary to meet the Government Performance and Results Act (GPRA) requirements.</w:t>
      </w:r>
    </w:p>
    <w:p w:rsidR="00135F92" w:rsidRPr="00F526E3" w:rsidRDefault="00CC79FC" w:rsidP="00E420ED">
      <w:pPr>
        <w:pStyle w:val="ListParagraph"/>
      </w:pPr>
      <w:r w:rsidRPr="00F526E3" w:rsidDel="00CC79FC">
        <w:rPr>
          <w:rFonts w:eastAsia="Arial Unicode MS"/>
          <w:b/>
          <w:i/>
        </w:rPr>
        <w:t xml:space="preserve"> </w:t>
      </w:r>
      <w:r w:rsidRPr="00F526E3">
        <w:t xml:space="preserve">The collection is authorized by section 7114(a) of the ESEA, 20 USC 7424(a), available </w:t>
      </w:r>
      <w:proofErr w:type="gramStart"/>
      <w:r w:rsidRPr="00F526E3">
        <w:t xml:space="preserve">at  </w:t>
      </w:r>
      <w:proofErr w:type="gramEnd"/>
      <w:r w:rsidRPr="00E420ED">
        <w:fldChar w:fldCharType="begin"/>
      </w:r>
      <w:r w:rsidRPr="00F526E3">
        <w:instrText xml:space="preserve"> HYPERLINK "http://www.gpo.gov/fdsys/pkg/USCODE-2011-title20/pdf/USCODE-2011-title20-chap70-subchapVII-partA-subpart1-sec7424.pdf" </w:instrText>
      </w:r>
      <w:r w:rsidRPr="00E420ED">
        <w:fldChar w:fldCharType="separate"/>
      </w:r>
      <w:r w:rsidRPr="00F526E3">
        <w:rPr>
          <w:rStyle w:val="Hyperlink"/>
        </w:rPr>
        <w:t>http://www.gpo.gov/fdsys/pkg/USCODE-2011-title20/pdf/USCODE-2011-title20-</w:t>
      </w:r>
      <w:r w:rsidRPr="00F526E3">
        <w:rPr>
          <w:rStyle w:val="Hyperlink"/>
        </w:rPr>
        <w:lastRenderedPageBreak/>
        <w:t>chap70-subchapVII-partA-subpart1-sec7424.pdf</w:t>
      </w:r>
      <w:r w:rsidRPr="00E420ED">
        <w:fldChar w:fldCharType="end"/>
      </w:r>
      <w:r w:rsidRPr="00F526E3">
        <w:t>, and by section 4 of the Government Performance and Results Act of 1993 (GPRA).</w:t>
      </w:r>
    </w:p>
    <w:p w:rsidR="00B83FB3" w:rsidRPr="00E420ED" w:rsidRDefault="00386054" w:rsidP="00B578F4">
      <w:pPr>
        <w:pStyle w:val="ListParagraph"/>
        <w:numPr>
          <w:ilvl w:val="0"/>
          <w:numId w:val="20"/>
        </w:numPr>
        <w:rPr>
          <w:b/>
        </w:rPr>
      </w:pPr>
      <w:r w:rsidRPr="00E420ED">
        <w:rPr>
          <w:b/>
        </w:rPr>
        <w:t>Indicate how, by whom, and for what purpose the information is to be used.  Except for a new collection, indicate the actual use the agency has made of the information received from the current collection.</w:t>
      </w:r>
    </w:p>
    <w:p w:rsidR="00135F92" w:rsidRPr="00F526E3" w:rsidRDefault="00F33AA0" w:rsidP="00E420ED">
      <w:pPr>
        <w:pStyle w:val="ListParagraph"/>
        <w:tabs>
          <w:tab w:val="left" w:pos="-720"/>
          <w:tab w:val="left" w:pos="0"/>
        </w:tabs>
        <w:suppressAutoHyphens/>
        <w:rPr>
          <w:rFonts w:eastAsia="Arial Unicode MS"/>
        </w:rPr>
      </w:pPr>
      <w:r w:rsidRPr="00F526E3">
        <w:rPr>
          <w:rFonts w:eastAsia="Arial Unicode MS"/>
        </w:rPr>
        <w:t xml:space="preserve">Eligible applicants submit information to describe the project for which funding is requested.  The information provided by the applicant addresses required documentation established by Title VII legislative requirements for this program.  The information provided in the application includes:  the Indian student count, including verification of individual student eligibility; data on the assessment of Indian student needs; the purpose of the project; a comprehensive project plan that show how the applicant will meet those needs, including the objectives, activities, and timelines for the funding period requested; qualifications of personnel and professional development provided for them; the results of the periodic assessment of all Indian students and how the LEA is responding to those findings; evidence of a public hearing; parent committee approval; and program assurances. Additionally, as needed, applicants </w:t>
      </w:r>
      <w:r w:rsidR="00CC79FC" w:rsidRPr="00F526E3">
        <w:rPr>
          <w:rFonts w:eastAsia="Arial Unicode MS"/>
        </w:rPr>
        <w:t xml:space="preserve">may </w:t>
      </w:r>
      <w:r w:rsidRPr="00F526E3">
        <w:rPr>
          <w:rFonts w:eastAsia="Arial Unicode MS"/>
        </w:rPr>
        <w:t xml:space="preserve"> request  a waiver of the limitation to 5 percent on the use of program funds for administrative purposes or a report on the effectiveness of a waiver </w:t>
      </w:r>
      <w:r w:rsidR="00CC79FC" w:rsidRPr="00F526E3">
        <w:rPr>
          <w:rFonts w:eastAsia="Arial Unicode MS"/>
        </w:rPr>
        <w:t xml:space="preserve">granted in a previous year. </w:t>
      </w:r>
    </w:p>
    <w:p w:rsidR="00135F92" w:rsidRPr="00F526E3" w:rsidRDefault="00135F92" w:rsidP="00E420ED">
      <w:pPr>
        <w:tabs>
          <w:tab w:val="left" w:pos="-720"/>
        </w:tabs>
        <w:suppressAutoHyphens/>
        <w:rPr>
          <w:rFonts w:eastAsia="Arial Unicode MS"/>
        </w:rPr>
      </w:pPr>
    </w:p>
    <w:p w:rsidR="00135F92" w:rsidRPr="00F526E3" w:rsidRDefault="00F33AA0" w:rsidP="00E420ED">
      <w:pPr>
        <w:pStyle w:val="ListParagraph"/>
        <w:tabs>
          <w:tab w:val="left" w:pos="-720"/>
          <w:tab w:val="left" w:pos="0"/>
        </w:tabs>
        <w:suppressAutoHyphens/>
        <w:rPr>
          <w:rFonts w:eastAsia="Arial Unicode MS"/>
        </w:rPr>
      </w:pPr>
      <w:r w:rsidRPr="00F526E3">
        <w:rPr>
          <w:rFonts w:eastAsia="Arial Unicode MS"/>
        </w:rPr>
        <w:t xml:space="preserve">Eligible applicants for the Formula Grant program include: LEAs, </w:t>
      </w:r>
      <w:r w:rsidR="00CC79FC" w:rsidRPr="00F526E3">
        <w:rPr>
          <w:rFonts w:eastAsia="Arial Unicode MS"/>
        </w:rPr>
        <w:t xml:space="preserve">consortia of LEAs, </w:t>
      </w:r>
      <w:r w:rsidRPr="00F526E3">
        <w:rPr>
          <w:rFonts w:eastAsia="Arial Unicode MS"/>
        </w:rPr>
        <w:t>Indian tribes in lieu of LEAs, and Bureau of Indian Education funded schools.</w:t>
      </w:r>
    </w:p>
    <w:p w:rsidR="00135F92" w:rsidRPr="00F526E3" w:rsidRDefault="00135F92" w:rsidP="00E420ED">
      <w:pPr>
        <w:pStyle w:val="ListParagraph"/>
        <w:tabs>
          <w:tab w:val="left" w:pos="-720"/>
        </w:tabs>
        <w:suppressAutoHyphens/>
        <w:rPr>
          <w:rFonts w:eastAsia="Arial Unicode MS"/>
        </w:rPr>
      </w:pPr>
    </w:p>
    <w:p w:rsidR="00135F92" w:rsidRPr="00F526E3" w:rsidRDefault="00F33AA0" w:rsidP="00E420ED">
      <w:pPr>
        <w:pStyle w:val="ListParagraph"/>
        <w:tabs>
          <w:tab w:val="left" w:pos="-720"/>
          <w:tab w:val="left" w:pos="0"/>
        </w:tabs>
        <w:suppressAutoHyphens/>
        <w:rPr>
          <w:rFonts w:eastAsia="Arial Unicode MS"/>
        </w:rPr>
      </w:pPr>
      <w:r w:rsidRPr="00F526E3">
        <w:rPr>
          <w:rFonts w:eastAsia="Arial Unicode MS"/>
        </w:rPr>
        <w:t xml:space="preserve">The information collected is used to determine applicant eligibility, allocation, and whether the proposed project meets the purpose of the legislation. This application is completed in two parts with two established deadlines. The information collected from each part ensures all required documents are provided.  Projects are funded annually for one budget year.  </w:t>
      </w:r>
    </w:p>
    <w:p w:rsidR="00135F92" w:rsidRPr="00F526E3" w:rsidRDefault="00F33AA0" w:rsidP="00E420ED">
      <w:pPr>
        <w:pStyle w:val="ListParagraph"/>
        <w:tabs>
          <w:tab w:val="left" w:pos="-720"/>
        </w:tabs>
        <w:suppressAutoHyphens/>
        <w:rPr>
          <w:rFonts w:eastAsia="Arial Unicode MS"/>
        </w:rPr>
      </w:pPr>
      <w:r w:rsidRPr="00F526E3">
        <w:rPr>
          <w:rFonts w:eastAsia="Arial Unicode MS"/>
        </w:rPr>
        <w:t>The information is also used for reporting under GPRA.</w:t>
      </w:r>
    </w:p>
    <w:p w:rsidR="00135F92" w:rsidRPr="00F526E3" w:rsidRDefault="00135F92" w:rsidP="00E420ED">
      <w:pPr>
        <w:pStyle w:val="ListParagraph"/>
      </w:pPr>
    </w:p>
    <w:p w:rsidR="00B83FB3" w:rsidRPr="00E420ED" w:rsidRDefault="00386054" w:rsidP="00B578F4">
      <w:pPr>
        <w:pStyle w:val="ListParagraph"/>
        <w:numPr>
          <w:ilvl w:val="0"/>
          <w:numId w:val="20"/>
        </w:numPr>
        <w:rPr>
          <w:b/>
        </w:rPr>
      </w:pPr>
      <w:r w:rsidRPr="00E420ED">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135F92" w:rsidRPr="00F526E3" w:rsidRDefault="00316730" w:rsidP="00E420ED">
      <w:pPr>
        <w:pStyle w:val="ListParagraph"/>
        <w:tabs>
          <w:tab w:val="left" w:pos="360"/>
        </w:tabs>
        <w:suppressAutoHyphens/>
      </w:pPr>
      <w:r w:rsidRPr="00F526E3">
        <w:t xml:space="preserve">Collection of the information through an electronic system was introduced in December 2006 for applications for FY 2007 funds as a component of </w:t>
      </w:r>
      <w:proofErr w:type="spellStart"/>
      <w:r w:rsidRPr="00F526E3">
        <w:t>ED</w:t>
      </w:r>
      <w:r w:rsidRPr="00F526E3">
        <w:rPr>
          <w:i/>
        </w:rPr>
        <w:t>Facts</w:t>
      </w:r>
      <w:proofErr w:type="spellEnd"/>
      <w:r w:rsidRPr="00F526E3">
        <w:t xml:space="preserve">, the Department’s data system for elementary and secondary education.  </w:t>
      </w:r>
      <w:proofErr w:type="spellStart"/>
      <w:r w:rsidRPr="00F526E3">
        <w:t>ED</w:t>
      </w:r>
      <w:r w:rsidRPr="00F526E3">
        <w:rPr>
          <w:i/>
        </w:rPr>
        <w:t>Facts</w:t>
      </w:r>
      <w:r w:rsidRPr="00F526E3">
        <w:t>’s</w:t>
      </w:r>
      <w:proofErr w:type="spellEnd"/>
      <w:r w:rsidRPr="00F526E3">
        <w:t xml:space="preserve"> Electronic Application </w:t>
      </w:r>
      <w:r w:rsidRPr="00F526E3">
        <w:lastRenderedPageBreak/>
        <w:t>System for Indian Education (EASIE) has completed six years of implementation.  The system is Web-based and includes the entire applicant submission process; it features pre-population of student performance information.  Response to EASIE has been overwhelmingly positive.  A paper submission form is available to those applicants that request a waiver of the electronic system due to a lack of Internet access.  However, in the six years of implementation of EASIE, not a single applicant has requested paper submission.</w:t>
      </w:r>
      <w:r w:rsidR="000872FB" w:rsidRPr="00F526E3">
        <w:t xml:space="preserve">  As </w:t>
      </w:r>
      <w:r w:rsidR="003C62B8" w:rsidRPr="00F526E3">
        <w:t xml:space="preserve">OIE has </w:t>
      </w:r>
      <w:r w:rsidR="000872FB" w:rsidRPr="00F526E3">
        <w:t>move</w:t>
      </w:r>
      <w:r w:rsidR="003C62B8" w:rsidRPr="00F526E3">
        <w:t>d</w:t>
      </w:r>
      <w:r w:rsidR="000872FB" w:rsidRPr="00F526E3">
        <w:t xml:space="preserve"> toward more </w:t>
      </w:r>
      <w:r w:rsidR="00EC1759" w:rsidRPr="00F526E3">
        <w:t>streamlined electronic submissions of applications</w:t>
      </w:r>
      <w:r w:rsidR="003C62B8" w:rsidRPr="00F526E3">
        <w:t>,</w:t>
      </w:r>
      <w:r w:rsidR="00EC1759" w:rsidRPr="00F526E3">
        <w:t xml:space="preserve"> the EASIE system </w:t>
      </w:r>
      <w:r w:rsidR="003C62B8" w:rsidRPr="00F526E3">
        <w:t xml:space="preserve">has been </w:t>
      </w:r>
      <w:r w:rsidR="00EC1759" w:rsidRPr="00F526E3">
        <w:t xml:space="preserve"> enhanced to accept required documents</w:t>
      </w:r>
      <w:r w:rsidR="003C62B8" w:rsidRPr="00F526E3">
        <w:t>, including</w:t>
      </w:r>
      <w:r w:rsidR="00EC1759" w:rsidRPr="00F526E3">
        <w:t xml:space="preserve"> the Indian Parent Committee Approval form, </w:t>
      </w:r>
      <w:r w:rsidR="003C62B8" w:rsidRPr="00F526E3">
        <w:t>and c</w:t>
      </w:r>
      <w:r w:rsidR="00EC1759" w:rsidRPr="00F526E3">
        <w:t xml:space="preserve">onsortium </w:t>
      </w:r>
      <w:r w:rsidR="003C62B8" w:rsidRPr="00F526E3">
        <w:t>a</w:t>
      </w:r>
      <w:r w:rsidR="00EC1759" w:rsidRPr="00F526E3">
        <w:t>greement</w:t>
      </w:r>
      <w:r w:rsidR="003C62B8" w:rsidRPr="00F526E3">
        <w:t>s,</w:t>
      </w:r>
      <w:r w:rsidR="00EC1759" w:rsidRPr="00F526E3">
        <w:t xml:space="preserve"> via upload within EASIE.</w:t>
      </w:r>
    </w:p>
    <w:p w:rsidR="00135F92" w:rsidRPr="00F526E3" w:rsidRDefault="00135F92" w:rsidP="00E420ED">
      <w:pPr>
        <w:pStyle w:val="ListParagraph"/>
      </w:pPr>
    </w:p>
    <w:p w:rsidR="00B83FB3" w:rsidRPr="00E420ED" w:rsidRDefault="00386054" w:rsidP="00B578F4">
      <w:pPr>
        <w:pStyle w:val="ListParagraph"/>
        <w:numPr>
          <w:ilvl w:val="0"/>
          <w:numId w:val="20"/>
        </w:numPr>
        <w:rPr>
          <w:b/>
        </w:rPr>
      </w:pPr>
      <w:r w:rsidRPr="00E420ED">
        <w:rPr>
          <w:b/>
        </w:rPr>
        <w:t>Describe ef</w:t>
      </w:r>
      <w:r w:rsidR="00B578F4" w:rsidRPr="00E420ED">
        <w:rPr>
          <w:b/>
        </w:rPr>
        <w:t xml:space="preserve">forts to identify duplication. </w:t>
      </w:r>
      <w:r w:rsidRPr="00E420ED">
        <w:rPr>
          <w:b/>
        </w:rPr>
        <w:t>Show specifically why any similar information already available cannot be used or modified for use for the purposes described in Item 2</w:t>
      </w:r>
      <w:r w:rsidR="000A2965" w:rsidRPr="00E420ED">
        <w:rPr>
          <w:b/>
        </w:rPr>
        <w:t xml:space="preserve"> </w:t>
      </w:r>
      <w:r w:rsidRPr="00E420ED">
        <w:rPr>
          <w:b/>
        </w:rPr>
        <w:t>above.</w:t>
      </w:r>
    </w:p>
    <w:p w:rsidR="00135F92" w:rsidRPr="00F526E3" w:rsidRDefault="00316730" w:rsidP="00E420ED">
      <w:pPr>
        <w:pStyle w:val="ListParagraph"/>
        <w:tabs>
          <w:tab w:val="left" w:pos="-720"/>
          <w:tab w:val="left" w:pos="0"/>
        </w:tabs>
        <w:suppressAutoHyphens/>
        <w:rPr>
          <w:rFonts w:eastAsia="Arial Unicode MS"/>
        </w:rPr>
      </w:pPr>
      <w:r w:rsidRPr="00F526E3">
        <w:rPr>
          <w:rFonts w:eastAsia="Arial Unicode MS"/>
        </w:rPr>
        <w:t xml:space="preserve">No duplication of effort exists.  This information collection requests information specifically for </w:t>
      </w:r>
      <w:r w:rsidR="003C62B8" w:rsidRPr="00F526E3">
        <w:rPr>
          <w:rFonts w:eastAsia="Arial Unicode MS"/>
        </w:rPr>
        <w:t xml:space="preserve">the </w:t>
      </w:r>
      <w:r w:rsidRPr="00F526E3">
        <w:rPr>
          <w:rFonts w:eastAsia="Arial Unicode MS"/>
        </w:rPr>
        <w:t>Indian education</w:t>
      </w:r>
      <w:r w:rsidR="003C62B8" w:rsidRPr="00F526E3">
        <w:rPr>
          <w:rFonts w:eastAsia="Arial Unicode MS"/>
        </w:rPr>
        <w:t xml:space="preserve"> formula grant</w:t>
      </w:r>
      <w:r w:rsidRPr="00F526E3">
        <w:rPr>
          <w:rFonts w:eastAsia="Arial Unicode MS"/>
        </w:rPr>
        <w:t xml:space="preserve"> program authorized under section 71</w:t>
      </w:r>
      <w:r w:rsidR="003C62B8" w:rsidRPr="00F526E3">
        <w:rPr>
          <w:rFonts w:eastAsia="Arial Unicode MS"/>
        </w:rPr>
        <w:t>11</w:t>
      </w:r>
      <w:r w:rsidRPr="00F526E3">
        <w:rPr>
          <w:rFonts w:eastAsia="Arial Unicode MS"/>
        </w:rPr>
        <w:t>-71</w:t>
      </w:r>
      <w:r w:rsidR="003C62B8" w:rsidRPr="00F526E3">
        <w:rPr>
          <w:rFonts w:eastAsia="Arial Unicode MS"/>
        </w:rPr>
        <w:t>19</w:t>
      </w:r>
      <w:r w:rsidRPr="00F526E3">
        <w:rPr>
          <w:rFonts w:eastAsia="Arial Unicode MS"/>
        </w:rPr>
        <w:t xml:space="preserve"> of the Elementary and Secondary Education Act.  Applicants will be required to provide information that addresses the statutory purpose and program requirements.  Student performance information collected by </w:t>
      </w:r>
      <w:proofErr w:type="spellStart"/>
      <w:r w:rsidRPr="00F526E3">
        <w:rPr>
          <w:rFonts w:eastAsia="Arial Unicode MS"/>
        </w:rPr>
        <w:t>ED</w:t>
      </w:r>
      <w:r w:rsidRPr="00F526E3">
        <w:rPr>
          <w:rFonts w:eastAsia="Arial Unicode MS"/>
          <w:i/>
        </w:rPr>
        <w:t>Facts</w:t>
      </w:r>
      <w:proofErr w:type="spellEnd"/>
      <w:r w:rsidRPr="00F526E3">
        <w:rPr>
          <w:rFonts w:eastAsia="Arial Unicode MS"/>
        </w:rPr>
        <w:t xml:space="preserve">, such as state assessment results, attendance statistics, and graduation rates, are pre-populated into EASIE so there is no additional burden to the applicant.  Although there are other Indian education programs in the Department, they are authorized under different legislation and their purposes and requirements differ from those under this program.  </w:t>
      </w:r>
    </w:p>
    <w:p w:rsidR="00135F92" w:rsidRPr="00F526E3" w:rsidRDefault="00135F92" w:rsidP="00E420ED">
      <w:pPr>
        <w:pStyle w:val="ListParagraph"/>
      </w:pPr>
    </w:p>
    <w:p w:rsidR="00B83FB3" w:rsidRPr="00E420ED" w:rsidRDefault="00386054" w:rsidP="00B578F4">
      <w:pPr>
        <w:pStyle w:val="ListParagraph"/>
        <w:numPr>
          <w:ilvl w:val="0"/>
          <w:numId w:val="20"/>
        </w:numPr>
        <w:rPr>
          <w:b/>
        </w:rPr>
      </w:pPr>
      <w:r w:rsidRPr="00E420ED">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135F92" w:rsidRPr="00F526E3" w:rsidRDefault="00F47FB7" w:rsidP="00E420ED">
      <w:pPr>
        <w:pStyle w:val="ListParagraph"/>
        <w:tabs>
          <w:tab w:val="left" w:pos="-720"/>
          <w:tab w:val="left" w:pos="0"/>
        </w:tabs>
        <w:suppressAutoHyphens/>
        <w:rPr>
          <w:rFonts w:eastAsia="Arial Unicode MS"/>
        </w:rPr>
      </w:pPr>
      <w:r w:rsidRPr="00F526E3">
        <w:rPr>
          <w:rFonts w:eastAsia="Arial Unicode MS"/>
        </w:rPr>
        <w:t>This information collection requirement does not place a burden on small businesses</w:t>
      </w:r>
      <w:r w:rsidR="00EC1759" w:rsidRPr="00F526E3">
        <w:rPr>
          <w:rFonts w:eastAsia="Arial Unicode MS"/>
        </w:rPr>
        <w:t>, no</w:t>
      </w:r>
      <w:r w:rsidRPr="00F526E3">
        <w:rPr>
          <w:rFonts w:eastAsia="Arial Unicode MS"/>
        </w:rPr>
        <w:t>t-for-profits organ</w:t>
      </w:r>
      <w:r w:rsidR="00EC1759" w:rsidRPr="00F526E3">
        <w:rPr>
          <w:rFonts w:eastAsia="Arial Unicode MS"/>
        </w:rPr>
        <w:t>izations or small government ju</w:t>
      </w:r>
      <w:r w:rsidRPr="00F526E3">
        <w:rPr>
          <w:rFonts w:eastAsia="Arial Unicode MS"/>
        </w:rPr>
        <w:t>r</w:t>
      </w:r>
      <w:r w:rsidR="00EC1759" w:rsidRPr="00F526E3">
        <w:rPr>
          <w:rFonts w:eastAsia="Arial Unicode MS"/>
        </w:rPr>
        <w:t>is</w:t>
      </w:r>
      <w:r w:rsidRPr="00F526E3">
        <w:rPr>
          <w:rFonts w:eastAsia="Arial Unicode MS"/>
        </w:rPr>
        <w:t>dictions, which for this program, may include Indian tribes applying in lieu of an LEA.</w:t>
      </w:r>
    </w:p>
    <w:p w:rsidR="00135F92" w:rsidRPr="00F526E3" w:rsidRDefault="00135F92" w:rsidP="00E420ED">
      <w:pPr>
        <w:pStyle w:val="ListParagraph"/>
      </w:pPr>
    </w:p>
    <w:p w:rsidR="00B83FB3" w:rsidRPr="00E420ED" w:rsidRDefault="00386054" w:rsidP="00B578F4">
      <w:pPr>
        <w:pStyle w:val="ListParagraph"/>
        <w:numPr>
          <w:ilvl w:val="0"/>
          <w:numId w:val="20"/>
        </w:numPr>
        <w:rPr>
          <w:b/>
        </w:rPr>
      </w:pPr>
      <w:r w:rsidRPr="00E420ED">
        <w:rPr>
          <w:b/>
        </w:rPr>
        <w:lastRenderedPageBreak/>
        <w:t>Describe the consequences to Federal program or policy activities if the collection is not conducted or is conducted less frequently, as well as any technical or legal obstacles to reducing burden.</w:t>
      </w:r>
    </w:p>
    <w:p w:rsidR="00135F92" w:rsidRPr="00F526E3" w:rsidRDefault="00F47FB7" w:rsidP="00E420ED">
      <w:pPr>
        <w:pStyle w:val="ListParagraph"/>
        <w:tabs>
          <w:tab w:val="left" w:pos="-720"/>
          <w:tab w:val="left" w:pos="0"/>
        </w:tabs>
        <w:suppressAutoHyphens/>
        <w:rPr>
          <w:rFonts w:eastAsia="Arial Unicode MS"/>
        </w:rPr>
      </w:pPr>
      <w:r w:rsidRPr="00F526E3">
        <w:rPr>
          <w:rFonts w:eastAsia="Arial Unicode MS"/>
        </w:rPr>
        <w:t xml:space="preserve">If this information is not collected, the Department will be unable to make grant awards in a timely manner.  Applications provide information describing the project for which funding is requested.  The information collected is necessary to evaluate the applications for completeness and to identify funding levels for each of the applications.  </w:t>
      </w:r>
    </w:p>
    <w:p w:rsidR="00135F92" w:rsidRPr="00F526E3" w:rsidRDefault="00135F92" w:rsidP="00E420ED">
      <w:pPr>
        <w:pStyle w:val="ListParagraph"/>
      </w:pPr>
    </w:p>
    <w:p w:rsidR="00386054" w:rsidRPr="00E420ED" w:rsidRDefault="00386054" w:rsidP="00B578F4">
      <w:pPr>
        <w:pStyle w:val="ListParagraph"/>
        <w:numPr>
          <w:ilvl w:val="0"/>
          <w:numId w:val="20"/>
        </w:numPr>
        <w:rPr>
          <w:b/>
        </w:rPr>
      </w:pPr>
      <w:r w:rsidRPr="00E420ED">
        <w:rPr>
          <w:b/>
        </w:rPr>
        <w:t>Explain any special circumstances that would cause an information collection to be conducted in a manner:</w:t>
      </w:r>
    </w:p>
    <w:p w:rsidR="00EC1759" w:rsidRPr="00E420ED" w:rsidRDefault="00386054" w:rsidP="00EC1759">
      <w:pPr>
        <w:pStyle w:val="ListParagraph"/>
        <w:numPr>
          <w:ilvl w:val="0"/>
          <w:numId w:val="21"/>
        </w:numPr>
        <w:rPr>
          <w:b/>
        </w:rPr>
      </w:pPr>
      <w:r w:rsidRPr="00E420ED">
        <w:rPr>
          <w:b/>
        </w:rPr>
        <w:t>requiring respondents to report information to the agency more often than quarterly;</w:t>
      </w:r>
    </w:p>
    <w:p w:rsidR="00135F92" w:rsidRPr="00F526E3" w:rsidRDefault="00530390" w:rsidP="00E420ED">
      <w:pPr>
        <w:pStyle w:val="ListParagraph"/>
        <w:ind w:left="1080"/>
      </w:pPr>
      <w:r w:rsidRPr="00F526E3">
        <w:rPr>
          <w:rFonts w:eastAsia="Arial Unicode MS"/>
        </w:rPr>
        <w:t>Only one application per fiscal year is awarded.  Respondents submit the information collection annually for each new grant year.</w:t>
      </w:r>
    </w:p>
    <w:p w:rsidR="00386054" w:rsidRPr="00E420ED" w:rsidRDefault="00386054" w:rsidP="00B83FB3">
      <w:pPr>
        <w:pStyle w:val="ListParagraph"/>
        <w:numPr>
          <w:ilvl w:val="0"/>
          <w:numId w:val="21"/>
        </w:numPr>
        <w:rPr>
          <w:b/>
        </w:rPr>
      </w:pPr>
      <w:r w:rsidRPr="00E420ED">
        <w:rPr>
          <w:b/>
        </w:rPr>
        <w:t>requiring respondents to prepare a written response to a collection of information in fewer than 30 days after receipt of it;</w:t>
      </w:r>
    </w:p>
    <w:p w:rsidR="00135F92" w:rsidRPr="00E420ED" w:rsidRDefault="00530390" w:rsidP="00E420ED">
      <w:pPr>
        <w:pStyle w:val="ListParagraph"/>
        <w:tabs>
          <w:tab w:val="left" w:pos="-720"/>
          <w:tab w:val="left" w:pos="0"/>
        </w:tabs>
        <w:suppressAutoHyphens/>
        <w:ind w:left="1080"/>
        <w:rPr>
          <w:rFonts w:eastAsia="Arial Unicode MS"/>
        </w:rPr>
      </w:pPr>
      <w:r w:rsidRPr="00F526E3">
        <w:rPr>
          <w:rFonts w:eastAsia="Arial Unicode MS"/>
        </w:rPr>
        <w:t xml:space="preserve">The time period from the date of availability of the information collection, as published in the Federal Register, to the date by which respondents must respond (i.e., the closing date </w:t>
      </w:r>
      <w:r w:rsidR="003C62B8" w:rsidRPr="00F526E3">
        <w:rPr>
          <w:rFonts w:eastAsia="Arial Unicode MS"/>
        </w:rPr>
        <w:t xml:space="preserve">for Part II </w:t>
      </w:r>
      <w:r w:rsidRPr="00F526E3">
        <w:rPr>
          <w:rFonts w:eastAsia="Arial Unicode MS"/>
        </w:rPr>
        <w:t xml:space="preserve">which is also published in the Federal Register) will not be less than 30 days.  </w:t>
      </w:r>
    </w:p>
    <w:p w:rsidR="00386054" w:rsidRPr="00E420ED" w:rsidRDefault="00386054" w:rsidP="00B83FB3">
      <w:pPr>
        <w:pStyle w:val="ListParagraph"/>
        <w:numPr>
          <w:ilvl w:val="0"/>
          <w:numId w:val="21"/>
        </w:numPr>
        <w:rPr>
          <w:b/>
        </w:rPr>
      </w:pPr>
      <w:r w:rsidRPr="00E420ED">
        <w:rPr>
          <w:b/>
        </w:rPr>
        <w:t>requiring respondents to submit more than an original and two copies of any document;</w:t>
      </w:r>
    </w:p>
    <w:p w:rsidR="00135F92" w:rsidRPr="00E420ED" w:rsidRDefault="004022FD" w:rsidP="00E420ED">
      <w:pPr>
        <w:pStyle w:val="ListParagraph"/>
        <w:tabs>
          <w:tab w:val="left" w:pos="-720"/>
          <w:tab w:val="left" w:pos="0"/>
        </w:tabs>
        <w:suppressAutoHyphens/>
        <w:ind w:left="1080"/>
        <w:rPr>
          <w:rFonts w:eastAsia="Arial Unicode MS"/>
        </w:rPr>
      </w:pPr>
      <w:r w:rsidRPr="00F526E3">
        <w:rPr>
          <w:rFonts w:eastAsia="Arial Unicode MS"/>
        </w:rPr>
        <w:t>Respondents are required to submit applications electronically through the web-based EASIE system unless they have no Internet connection or inadequate Web access.  Applicants that meet the exception to submitting an application via EASIE are not required to submit more than an original and two copies of any document.</w:t>
      </w:r>
    </w:p>
    <w:p w:rsidR="004022FD" w:rsidRPr="00E420ED" w:rsidRDefault="00386054" w:rsidP="004022FD">
      <w:pPr>
        <w:pStyle w:val="ListParagraph"/>
        <w:numPr>
          <w:ilvl w:val="0"/>
          <w:numId w:val="21"/>
        </w:numPr>
        <w:rPr>
          <w:b/>
        </w:rPr>
      </w:pPr>
      <w:r w:rsidRPr="00E420ED">
        <w:rPr>
          <w:b/>
        </w:rPr>
        <w:t>requiring respondents to retain records, other than health, medical, government contract, grant-in-aid, or tax records for more than three years;</w:t>
      </w:r>
    </w:p>
    <w:p w:rsidR="00135F92" w:rsidRPr="00F526E3" w:rsidRDefault="004022FD" w:rsidP="00E420ED">
      <w:pPr>
        <w:pStyle w:val="ListParagraph"/>
        <w:ind w:left="1080"/>
      </w:pPr>
      <w:r w:rsidRPr="00F526E3">
        <w:rPr>
          <w:rFonts w:eastAsia="Arial Unicode MS"/>
        </w:rPr>
        <w:t>Respondents will not be required to retain records for more than three years.</w:t>
      </w:r>
    </w:p>
    <w:p w:rsidR="00386054" w:rsidRPr="00E420ED" w:rsidRDefault="00386054" w:rsidP="00B83FB3">
      <w:pPr>
        <w:pStyle w:val="ListParagraph"/>
        <w:numPr>
          <w:ilvl w:val="0"/>
          <w:numId w:val="21"/>
        </w:numPr>
        <w:rPr>
          <w:b/>
        </w:rPr>
      </w:pPr>
      <w:r w:rsidRPr="00E420ED">
        <w:rPr>
          <w:b/>
        </w:rPr>
        <w:t>in connection with a statistical survey, that is not designed to produce valid and reliable results than can be generalized to the universe of study;</w:t>
      </w:r>
    </w:p>
    <w:p w:rsidR="00135F92" w:rsidRPr="00E420ED" w:rsidRDefault="004022FD" w:rsidP="00E420ED">
      <w:pPr>
        <w:pStyle w:val="ListParagraph"/>
        <w:tabs>
          <w:tab w:val="left" w:pos="-720"/>
          <w:tab w:val="left" w:pos="0"/>
        </w:tabs>
        <w:suppressAutoHyphens/>
        <w:ind w:left="1080"/>
        <w:rPr>
          <w:rFonts w:eastAsia="Arial Unicode MS"/>
        </w:rPr>
      </w:pPr>
      <w:r w:rsidRPr="00F526E3">
        <w:rPr>
          <w:rFonts w:eastAsia="Arial Unicode MS"/>
        </w:rPr>
        <w:t>The information collection is not connected with a statistical survey.</w:t>
      </w:r>
    </w:p>
    <w:p w:rsidR="00386054" w:rsidRPr="00E420ED" w:rsidRDefault="00386054" w:rsidP="00B83FB3">
      <w:pPr>
        <w:pStyle w:val="ListParagraph"/>
        <w:numPr>
          <w:ilvl w:val="0"/>
          <w:numId w:val="21"/>
        </w:numPr>
        <w:rPr>
          <w:b/>
        </w:rPr>
      </w:pPr>
      <w:r w:rsidRPr="00E420ED">
        <w:rPr>
          <w:b/>
        </w:rPr>
        <w:t>requiring the use of a statistical data classification that has not been reviewed and approved by OMB;</w:t>
      </w:r>
    </w:p>
    <w:p w:rsidR="00135F92" w:rsidRPr="00E420ED" w:rsidRDefault="004022FD" w:rsidP="00E420ED">
      <w:pPr>
        <w:pStyle w:val="ListParagraph"/>
        <w:tabs>
          <w:tab w:val="left" w:pos="-720"/>
          <w:tab w:val="left" w:pos="0"/>
        </w:tabs>
        <w:suppressAutoHyphens/>
        <w:ind w:left="1080"/>
        <w:rPr>
          <w:rFonts w:eastAsia="Arial Unicode MS"/>
        </w:rPr>
      </w:pPr>
      <w:r w:rsidRPr="00F526E3">
        <w:rPr>
          <w:rFonts w:eastAsia="Arial Unicode MS"/>
        </w:rPr>
        <w:lastRenderedPageBreak/>
        <w:t>The information collection is not connected with a statistical survey or statistical data classification.</w:t>
      </w:r>
    </w:p>
    <w:p w:rsidR="00386054" w:rsidRPr="00E420ED" w:rsidRDefault="00386054" w:rsidP="00B83FB3">
      <w:pPr>
        <w:pStyle w:val="ListParagraph"/>
        <w:numPr>
          <w:ilvl w:val="0"/>
          <w:numId w:val="21"/>
        </w:numPr>
        <w:rPr>
          <w:b/>
        </w:rPr>
      </w:pPr>
      <w:r w:rsidRPr="00E420ED">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135F92" w:rsidRPr="00E420ED" w:rsidRDefault="004022FD" w:rsidP="00E420ED">
      <w:pPr>
        <w:pStyle w:val="ListParagraph"/>
        <w:tabs>
          <w:tab w:val="left" w:pos="-720"/>
          <w:tab w:val="left" w:pos="0"/>
        </w:tabs>
        <w:suppressAutoHyphens/>
        <w:ind w:left="1080"/>
        <w:rPr>
          <w:rFonts w:eastAsia="Arial Unicode MS"/>
        </w:rPr>
      </w:pPr>
      <w:r w:rsidRPr="00F526E3">
        <w:rPr>
          <w:rFonts w:eastAsia="Arial Unicode MS"/>
        </w:rPr>
        <w:t xml:space="preserve">The information collection does not request data that is confidential. </w:t>
      </w:r>
    </w:p>
    <w:p w:rsidR="00386054" w:rsidRPr="00E420ED" w:rsidRDefault="00386054" w:rsidP="00B83FB3">
      <w:pPr>
        <w:pStyle w:val="ListParagraph"/>
        <w:numPr>
          <w:ilvl w:val="0"/>
          <w:numId w:val="21"/>
        </w:numPr>
        <w:rPr>
          <w:b/>
        </w:rPr>
      </w:pPr>
      <w:proofErr w:type="gramStart"/>
      <w:r w:rsidRPr="00E420ED">
        <w:rPr>
          <w:b/>
        </w:rPr>
        <w:t>requiring</w:t>
      </w:r>
      <w:proofErr w:type="gramEnd"/>
      <w:r w:rsidRPr="00E420ED">
        <w:rPr>
          <w:b/>
        </w:rPr>
        <w:t xml:space="preserve"> respondents to submit proprietary trade secrets, or other confidential information unless the agency can demonstrate that it has instituted procedures to protect the information’s confidentiality to the extent permitted by law.</w:t>
      </w:r>
    </w:p>
    <w:p w:rsidR="00135F92" w:rsidRPr="00E420ED" w:rsidRDefault="004022FD" w:rsidP="00E420ED">
      <w:pPr>
        <w:pStyle w:val="ListParagraph"/>
        <w:tabs>
          <w:tab w:val="left" w:pos="-720"/>
          <w:tab w:val="left" w:pos="0"/>
        </w:tabs>
        <w:suppressAutoHyphens/>
        <w:ind w:left="1080"/>
        <w:rPr>
          <w:rFonts w:eastAsia="Arial Unicode MS"/>
        </w:rPr>
      </w:pPr>
      <w:r w:rsidRPr="00F526E3">
        <w:rPr>
          <w:rFonts w:eastAsia="Arial Unicode MS"/>
        </w:rPr>
        <w:t>The information collection does not request data that is of a proprietary nature or confidential.</w:t>
      </w:r>
    </w:p>
    <w:p w:rsidR="00386054" w:rsidRPr="00E420ED" w:rsidRDefault="001743A5" w:rsidP="00B83FB3">
      <w:pPr>
        <w:pStyle w:val="ListParagraph"/>
        <w:numPr>
          <w:ilvl w:val="0"/>
          <w:numId w:val="20"/>
        </w:numPr>
        <w:rPr>
          <w:b/>
        </w:rPr>
      </w:pPr>
      <w:r w:rsidRPr="00E420ED">
        <w:rPr>
          <w:b/>
        </w:rPr>
        <w:t xml:space="preserve">As </w:t>
      </w:r>
      <w:r w:rsidR="00386054" w:rsidRPr="00E420ED">
        <w:rPr>
          <w:b/>
        </w:rPr>
        <w:t xml:space="preserve">applicable, </w:t>
      </w:r>
      <w:r w:rsidRPr="00E420ED">
        <w:rPr>
          <w:b/>
        </w:rPr>
        <w:t xml:space="preserve">state that the Department has published the 60 and 30 </w:t>
      </w:r>
      <w:r w:rsidR="004022FD" w:rsidRPr="00E420ED">
        <w:rPr>
          <w:b/>
        </w:rPr>
        <w:t xml:space="preserve">– day </w:t>
      </w:r>
      <w:r w:rsidRPr="00E420ED">
        <w:rPr>
          <w:b/>
        </w:rPr>
        <w:t xml:space="preserve">Federal Register notices as </w:t>
      </w:r>
      <w:r w:rsidR="00386054" w:rsidRPr="00E420ED">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420ED" w:rsidRDefault="00386054" w:rsidP="00B578F4">
      <w:pPr>
        <w:pStyle w:val="ListParagraph"/>
        <w:rPr>
          <w:rStyle w:val="a"/>
          <w:b/>
        </w:rPr>
      </w:pPr>
      <w:r w:rsidRPr="00E420ED">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420ED" w:rsidRDefault="00386054" w:rsidP="00B578F4">
      <w:pPr>
        <w:pStyle w:val="ListParagraph"/>
        <w:rPr>
          <w:rStyle w:val="a"/>
          <w:b/>
        </w:rPr>
      </w:pPr>
      <w:r w:rsidRPr="00E420ED">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35F92" w:rsidRPr="00F526E3" w:rsidRDefault="006D4D27" w:rsidP="00E420ED">
      <w:pPr>
        <w:tabs>
          <w:tab w:val="left" w:pos="-720"/>
          <w:tab w:val="left" w:pos="0"/>
        </w:tabs>
        <w:suppressAutoHyphens/>
        <w:ind w:left="720"/>
        <w:rPr>
          <w:rFonts w:eastAsia="Arial Unicode MS"/>
        </w:rPr>
      </w:pPr>
      <w:r w:rsidRPr="00F526E3">
        <w:rPr>
          <w:rFonts w:eastAsia="Arial Unicode MS"/>
        </w:rPr>
        <w:t>OIE publish</w:t>
      </w:r>
      <w:r w:rsidR="0012514B">
        <w:rPr>
          <w:rFonts w:eastAsia="Arial Unicode MS"/>
        </w:rPr>
        <w:t xml:space="preserve">ed a 60-and 30-day </w:t>
      </w:r>
      <w:r w:rsidRPr="00F526E3">
        <w:rPr>
          <w:rFonts w:eastAsia="Arial Unicode MS"/>
        </w:rPr>
        <w:t>Federal Register Notice to solicit public comment on this collection.</w:t>
      </w:r>
      <w:r w:rsidR="006A16D3" w:rsidRPr="00F526E3">
        <w:rPr>
          <w:rFonts w:eastAsia="Arial Unicode MS"/>
        </w:rPr>
        <w:t xml:space="preserve"> </w:t>
      </w:r>
      <w:r w:rsidR="00F526E3" w:rsidRPr="00F526E3">
        <w:rPr>
          <w:rFonts w:eastAsia="Arial Unicode MS"/>
        </w:rPr>
        <w:t xml:space="preserve"> </w:t>
      </w:r>
      <w:r w:rsidR="002842F8" w:rsidRPr="00F526E3">
        <w:rPr>
          <w:rFonts w:eastAsia="Arial Unicode MS"/>
        </w:rPr>
        <w:t>Because the changes to this collection are m</w:t>
      </w:r>
      <w:r w:rsidR="006A16D3" w:rsidRPr="00F526E3">
        <w:rPr>
          <w:rFonts w:eastAsia="Arial Unicode MS"/>
        </w:rPr>
        <w:t>inor</w:t>
      </w:r>
      <w:r w:rsidR="002842F8" w:rsidRPr="00F526E3">
        <w:rPr>
          <w:rFonts w:eastAsia="Arial Unicode MS"/>
        </w:rPr>
        <w:t xml:space="preserve"> and</w:t>
      </w:r>
      <w:r w:rsidR="006A16D3" w:rsidRPr="00F526E3">
        <w:rPr>
          <w:rFonts w:eastAsia="Arial Unicode MS"/>
        </w:rPr>
        <w:t xml:space="preserve"> technical </w:t>
      </w:r>
      <w:r w:rsidR="002842F8" w:rsidRPr="00F526E3">
        <w:rPr>
          <w:rFonts w:eastAsia="Arial Unicode MS"/>
        </w:rPr>
        <w:t xml:space="preserve">in nature, we </w:t>
      </w:r>
      <w:r w:rsidR="0012514B">
        <w:rPr>
          <w:rFonts w:eastAsia="Arial Unicode MS"/>
        </w:rPr>
        <w:t>did</w:t>
      </w:r>
      <w:r w:rsidR="002842F8" w:rsidRPr="00F526E3">
        <w:rPr>
          <w:rFonts w:eastAsia="Arial Unicode MS"/>
        </w:rPr>
        <w:t xml:space="preserve"> not expect significant comments</w:t>
      </w:r>
      <w:r w:rsidR="0012514B">
        <w:rPr>
          <w:rFonts w:eastAsia="Arial Unicode MS"/>
        </w:rPr>
        <w:t>, and received none</w:t>
      </w:r>
      <w:r w:rsidR="002842F8" w:rsidRPr="00F526E3">
        <w:rPr>
          <w:rFonts w:eastAsia="Arial Unicode MS"/>
        </w:rPr>
        <w:t xml:space="preserve">.  However, we plan to provide a copy of the information collection to the Department’s National Advisory Council on Indian Education prior to their next meeting, for review and comment, in accordance with the requirement to consult with representatives of those affected every three years. </w:t>
      </w:r>
    </w:p>
    <w:p w:rsidR="006D4D27" w:rsidRPr="00F526E3" w:rsidRDefault="006D4D27" w:rsidP="00B578F4">
      <w:pPr>
        <w:pStyle w:val="ListParagraph"/>
      </w:pPr>
    </w:p>
    <w:p w:rsidR="00386054" w:rsidRPr="00E420ED" w:rsidRDefault="00386054" w:rsidP="00B83FB3">
      <w:pPr>
        <w:pStyle w:val="ListParagraph"/>
        <w:numPr>
          <w:ilvl w:val="0"/>
          <w:numId w:val="20"/>
        </w:numPr>
        <w:rPr>
          <w:rStyle w:val="a"/>
          <w:b/>
        </w:rPr>
      </w:pPr>
      <w:r w:rsidRPr="00E420ED">
        <w:rPr>
          <w:rStyle w:val="a"/>
          <w:b/>
        </w:rPr>
        <w:t>Explain any decision to provide any payment or gift to respondents, other than remuneration of contractors or grantees</w:t>
      </w:r>
      <w:r w:rsidR="003E285A" w:rsidRPr="00E420ED">
        <w:rPr>
          <w:rStyle w:val="a"/>
          <w:b/>
        </w:rPr>
        <w:t xml:space="preserve"> with meaningful justification</w:t>
      </w:r>
      <w:r w:rsidRPr="00E420ED">
        <w:rPr>
          <w:rStyle w:val="a"/>
          <w:b/>
        </w:rPr>
        <w:t>.</w:t>
      </w:r>
    </w:p>
    <w:p w:rsidR="00135F92" w:rsidRPr="00F526E3" w:rsidRDefault="006D4D27" w:rsidP="00E420ED">
      <w:pPr>
        <w:pStyle w:val="ListParagraph"/>
        <w:tabs>
          <w:tab w:val="left" w:pos="-720"/>
        </w:tabs>
        <w:suppressAutoHyphens/>
        <w:rPr>
          <w:rFonts w:eastAsia="Arial Unicode MS"/>
        </w:rPr>
      </w:pPr>
      <w:r w:rsidRPr="00F526E3">
        <w:rPr>
          <w:rFonts w:eastAsia="Arial Unicode MS"/>
        </w:rPr>
        <w:lastRenderedPageBreak/>
        <w:t>No payments or gifts to respondents will be provided.</w:t>
      </w:r>
    </w:p>
    <w:p w:rsidR="00135F92" w:rsidRPr="00F526E3" w:rsidRDefault="00135F92" w:rsidP="00E420ED">
      <w:pPr>
        <w:pStyle w:val="ListParagraph"/>
      </w:pPr>
    </w:p>
    <w:p w:rsidR="00B83FB3" w:rsidRPr="00E420ED" w:rsidRDefault="00386054" w:rsidP="00B578F4">
      <w:pPr>
        <w:pStyle w:val="ListParagraph"/>
        <w:numPr>
          <w:ilvl w:val="0"/>
          <w:numId w:val="20"/>
        </w:numPr>
        <w:rPr>
          <w:b/>
        </w:rPr>
      </w:pPr>
      <w:r w:rsidRPr="00E420ED">
        <w:rPr>
          <w:b/>
        </w:rPr>
        <w:t>Describe any assurance of confidentiality provided to respondents and the basis for the assurance in statute, regulation, or agency policy.</w:t>
      </w:r>
      <w:r w:rsidR="00DB37F5" w:rsidRPr="00E420ED">
        <w:rPr>
          <w:b/>
        </w:rPr>
        <w:t xml:space="preserve"> </w:t>
      </w:r>
      <w:r w:rsidRPr="00E420ED">
        <w:rPr>
          <w:b/>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sidRPr="00E420ED">
        <w:rPr>
          <w:b/>
        </w:rPr>
        <w:t xml:space="preserve"> as indicated on the IC Data Form</w:t>
      </w:r>
      <w:r w:rsidRPr="00E420ED">
        <w:rPr>
          <w:b/>
        </w:rPr>
        <w:t xml:space="preserve">. A confidentiality statement with a legal citation that authorizes the </w:t>
      </w:r>
      <w:r w:rsidR="001743A5" w:rsidRPr="00E420ED">
        <w:rPr>
          <w:b/>
        </w:rPr>
        <w:t xml:space="preserve">pledge </w:t>
      </w:r>
      <w:r w:rsidRPr="00E420ED">
        <w:rPr>
          <w:b/>
        </w:rPr>
        <w:t xml:space="preserve">of </w:t>
      </w:r>
      <w:r w:rsidR="001743A5" w:rsidRPr="00E420ED">
        <w:rPr>
          <w:b/>
        </w:rPr>
        <w:t xml:space="preserve">confidentiality </w:t>
      </w:r>
      <w:r w:rsidRPr="00E420ED">
        <w:rPr>
          <w:b/>
        </w:rPr>
        <w:t>should be provided.</w:t>
      </w:r>
      <w:r w:rsidR="00CF7053" w:rsidRPr="00E420ED">
        <w:rPr>
          <w:b/>
        </w:rPr>
        <w:t xml:space="preserve"> </w:t>
      </w:r>
      <w:r w:rsidR="00016E14" w:rsidRPr="00E420ED">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E420ED">
        <w:rPr>
          <w:b/>
        </w:rPr>
        <w:t xml:space="preserve">. </w:t>
      </w:r>
      <w:r w:rsidR="001743A5" w:rsidRPr="00E420ED">
        <w:rPr>
          <w:b/>
        </w:rPr>
        <w:t>If the collection is subject to the Privacy Act, the Privacy Act statement is deemed sufficient with respect to confidentiality. If there is no expectation of confidentiality, simply state that the Department make</w:t>
      </w:r>
      <w:r w:rsidR="006A3B5C" w:rsidRPr="00E420ED">
        <w:rPr>
          <w:b/>
        </w:rPr>
        <w:t>s</w:t>
      </w:r>
      <w:r w:rsidR="001743A5" w:rsidRPr="00E420ED">
        <w:rPr>
          <w:b/>
        </w:rPr>
        <w:t xml:space="preserve"> no pledge about the confidentially of the data.</w:t>
      </w:r>
    </w:p>
    <w:p w:rsidR="00135F92" w:rsidRDefault="00DA1E4A" w:rsidP="00ED6038">
      <w:pPr>
        <w:pStyle w:val="ListParagraph"/>
        <w:tabs>
          <w:tab w:val="left" w:pos="-720"/>
          <w:tab w:val="left" w:pos="0"/>
        </w:tabs>
        <w:suppressAutoHyphens/>
        <w:rPr>
          <w:rFonts w:eastAsia="Arial Unicode MS"/>
        </w:rPr>
      </w:pPr>
      <w:r w:rsidRPr="00F526E3">
        <w:rPr>
          <w:rFonts w:eastAsia="Arial Unicode MS"/>
        </w:rPr>
        <w:t>Confidential</w:t>
      </w:r>
      <w:r w:rsidR="000245B9">
        <w:rPr>
          <w:rFonts w:eastAsia="Arial Unicode MS"/>
        </w:rPr>
        <w:t xml:space="preserve"> information is not requested, there are no assurances of confidentiality. </w:t>
      </w:r>
    </w:p>
    <w:p w:rsidR="00ED6038" w:rsidRPr="00F526E3" w:rsidRDefault="00ED6038" w:rsidP="00ED6038">
      <w:pPr>
        <w:pStyle w:val="ListParagraph"/>
        <w:tabs>
          <w:tab w:val="left" w:pos="-720"/>
          <w:tab w:val="left" w:pos="0"/>
        </w:tabs>
        <w:suppressAutoHyphens/>
      </w:pPr>
    </w:p>
    <w:p w:rsidR="00B83FB3" w:rsidRPr="00E420ED" w:rsidRDefault="00386054" w:rsidP="00B578F4">
      <w:pPr>
        <w:pStyle w:val="ListParagraph"/>
        <w:numPr>
          <w:ilvl w:val="0"/>
          <w:numId w:val="20"/>
        </w:numPr>
        <w:rPr>
          <w:b/>
        </w:rPr>
      </w:pPr>
      <w:r w:rsidRPr="00E420ED">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35F92" w:rsidRPr="00F526E3" w:rsidRDefault="00DD3E04" w:rsidP="00E420ED">
      <w:pPr>
        <w:pStyle w:val="ListParagraph"/>
        <w:tabs>
          <w:tab w:val="left" w:pos="-720"/>
          <w:tab w:val="left" w:pos="0"/>
        </w:tabs>
        <w:suppressAutoHyphens/>
        <w:rPr>
          <w:rFonts w:eastAsia="Arial Unicode MS"/>
        </w:rPr>
      </w:pPr>
      <w:r w:rsidRPr="00F526E3">
        <w:rPr>
          <w:rFonts w:eastAsia="Arial Unicode MS"/>
        </w:rPr>
        <w:t>Information of a sensitive nature is not requested.</w:t>
      </w:r>
    </w:p>
    <w:p w:rsidR="00135F92" w:rsidRPr="00F526E3" w:rsidRDefault="00135F92" w:rsidP="00E420ED">
      <w:pPr>
        <w:pStyle w:val="ListParagraph"/>
      </w:pPr>
    </w:p>
    <w:p w:rsidR="00386054" w:rsidRPr="00E420ED" w:rsidRDefault="00386054" w:rsidP="00B578F4">
      <w:pPr>
        <w:pStyle w:val="ListParagraph"/>
        <w:numPr>
          <w:ilvl w:val="0"/>
          <w:numId w:val="20"/>
        </w:numPr>
        <w:rPr>
          <w:rStyle w:val="a"/>
          <w:b/>
        </w:rPr>
      </w:pPr>
      <w:r w:rsidRPr="00E420ED">
        <w:rPr>
          <w:rStyle w:val="a"/>
          <w:b/>
        </w:rPr>
        <w:t>Provide estimates of the hour burden of the collection of information.  The statement should:</w:t>
      </w:r>
    </w:p>
    <w:p w:rsidR="00386054" w:rsidRPr="00E420ED" w:rsidRDefault="00386054" w:rsidP="00B83FB3">
      <w:pPr>
        <w:pStyle w:val="ListParagraph"/>
        <w:numPr>
          <w:ilvl w:val="0"/>
          <w:numId w:val="22"/>
        </w:numPr>
        <w:rPr>
          <w:rStyle w:val="a"/>
          <w:b/>
        </w:rPr>
      </w:pPr>
      <w:r w:rsidRPr="00E420ED">
        <w:rPr>
          <w:rStyle w:val="a"/>
          <w:b/>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w:t>
      </w:r>
      <w:r w:rsidRPr="00E420ED">
        <w:rPr>
          <w:rStyle w:val="a"/>
          <w:b/>
        </w:rPr>
        <w:lastRenderedPageBreak/>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420ED" w:rsidRDefault="00386054" w:rsidP="00B83FB3">
      <w:pPr>
        <w:pStyle w:val="ListParagraph"/>
        <w:numPr>
          <w:ilvl w:val="0"/>
          <w:numId w:val="22"/>
        </w:numPr>
        <w:rPr>
          <w:rStyle w:val="a"/>
          <w:b/>
        </w:rPr>
      </w:pPr>
      <w:r w:rsidRPr="00E420ED">
        <w:rPr>
          <w:rStyle w:val="a"/>
          <w:b/>
        </w:rPr>
        <w:t xml:space="preserve">If this request for approval covers more than one form, provide separate hour burden estimates for each form and aggregate the hour burdens in the </w:t>
      </w:r>
      <w:r w:rsidR="003C7F70" w:rsidRPr="00E420ED">
        <w:rPr>
          <w:rStyle w:val="a"/>
          <w:b/>
        </w:rPr>
        <w:t xml:space="preserve">ROCIS </w:t>
      </w:r>
      <w:r w:rsidRPr="00E420ED">
        <w:rPr>
          <w:rStyle w:val="a"/>
          <w:b/>
        </w:rPr>
        <w:t>IC Burden Analysis Table.</w:t>
      </w:r>
      <w:r w:rsidR="00CE72AF" w:rsidRPr="00E420ED">
        <w:rPr>
          <w:rStyle w:val="a"/>
          <w:b/>
        </w:rPr>
        <w:t xml:space="preserve">  (The table should at </w:t>
      </w:r>
      <w:r w:rsidR="003C7F70" w:rsidRPr="00E420ED">
        <w:rPr>
          <w:rStyle w:val="a"/>
          <w:b/>
        </w:rPr>
        <w:t>minimum</w:t>
      </w:r>
      <w:r w:rsidR="00CE72AF" w:rsidRPr="00E420ED">
        <w:rPr>
          <w:rStyle w:val="a"/>
          <w:b/>
        </w:rPr>
        <w:t xml:space="preserve"> include Respondent types, IC activity, Respondent and Responses, Hours/Response, and Total Hours)</w:t>
      </w:r>
    </w:p>
    <w:p w:rsidR="00386054" w:rsidRPr="00E420ED" w:rsidRDefault="00386054" w:rsidP="00B83FB3">
      <w:pPr>
        <w:pStyle w:val="ListParagraph"/>
        <w:numPr>
          <w:ilvl w:val="0"/>
          <w:numId w:val="22"/>
        </w:numPr>
        <w:rPr>
          <w:rStyle w:val="a"/>
          <w:b/>
        </w:rPr>
      </w:pPr>
      <w:r w:rsidRPr="00E420ED">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135F92" w:rsidRPr="00F526E3" w:rsidRDefault="00344D67" w:rsidP="00E420ED">
      <w:pPr>
        <w:pStyle w:val="ListParagraph"/>
        <w:tabs>
          <w:tab w:val="left" w:pos="360"/>
        </w:tabs>
        <w:suppressAutoHyphens/>
        <w:ind w:left="1080"/>
        <w:rPr>
          <w:b/>
          <w:bCs/>
          <w:iCs/>
        </w:rPr>
      </w:pPr>
      <w:r w:rsidRPr="00F526E3">
        <w:rPr>
          <w:b/>
          <w:bCs/>
          <w:iCs/>
        </w:rPr>
        <w:t xml:space="preserve">Estimate of Burden </w:t>
      </w:r>
      <w:r w:rsidR="00DD3E04" w:rsidRPr="00F526E3">
        <w:rPr>
          <w:b/>
          <w:bCs/>
          <w:iCs/>
        </w:rPr>
        <w:t>Summary</w:t>
      </w:r>
      <w:r w:rsidR="00F526E3" w:rsidRPr="00F526E3">
        <w:rPr>
          <w:b/>
          <w:bCs/>
          <w:iCs/>
        </w:rPr>
        <w:t>:</w:t>
      </w:r>
    </w:p>
    <w:tbl>
      <w:tblPr>
        <w:tblW w:w="9288"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4A0" w:firstRow="1" w:lastRow="0" w:firstColumn="1" w:lastColumn="0" w:noHBand="0" w:noVBand="1"/>
      </w:tblPr>
      <w:tblGrid>
        <w:gridCol w:w="1818"/>
        <w:gridCol w:w="1273"/>
        <w:gridCol w:w="883"/>
        <w:gridCol w:w="648"/>
        <w:gridCol w:w="1588"/>
        <w:gridCol w:w="3078"/>
      </w:tblGrid>
      <w:tr w:rsidR="00DD3E04" w:rsidRPr="00F526E3" w:rsidTr="00E420ED">
        <w:tc>
          <w:tcPr>
            <w:tcW w:w="1818" w:type="dxa"/>
          </w:tcPr>
          <w:p w:rsidR="00DD3E04" w:rsidRPr="00E420ED" w:rsidRDefault="00DD3E04" w:rsidP="00DD3E04">
            <w:pPr>
              <w:spacing w:before="120"/>
              <w:ind w:left="720"/>
              <w:rPr>
                <w:rFonts w:ascii="Calibri" w:hAnsi="Calibri"/>
                <w:bCs/>
                <w:iCs/>
                <w:sz w:val="22"/>
                <w:szCs w:val="22"/>
              </w:rPr>
            </w:pPr>
          </w:p>
        </w:tc>
        <w:tc>
          <w:tcPr>
            <w:tcW w:w="1273" w:type="dxa"/>
          </w:tcPr>
          <w:p w:rsidR="00DD3E04" w:rsidRPr="00E420ED" w:rsidRDefault="00A54E52" w:rsidP="00DD3E04">
            <w:pPr>
              <w:rPr>
                <w:rFonts w:ascii="Calibri" w:hAnsi="Calibri"/>
                <w:b/>
                <w:bCs/>
                <w:iCs/>
                <w:sz w:val="22"/>
                <w:szCs w:val="22"/>
              </w:rPr>
            </w:pPr>
            <w:r w:rsidRPr="00E420ED">
              <w:rPr>
                <w:rFonts w:ascii="Calibri" w:hAnsi="Calibri"/>
                <w:b/>
                <w:bCs/>
                <w:iCs/>
                <w:sz w:val="22"/>
                <w:szCs w:val="22"/>
              </w:rPr>
              <w:t>Respondents</w:t>
            </w:r>
          </w:p>
        </w:tc>
        <w:tc>
          <w:tcPr>
            <w:tcW w:w="883" w:type="dxa"/>
          </w:tcPr>
          <w:p w:rsidR="00DD3E04" w:rsidRPr="00E420ED" w:rsidRDefault="00A54E52" w:rsidP="00DD3E04">
            <w:pPr>
              <w:rPr>
                <w:rFonts w:ascii="Calibri" w:hAnsi="Calibri"/>
                <w:b/>
                <w:bCs/>
                <w:iCs/>
                <w:sz w:val="22"/>
                <w:szCs w:val="22"/>
              </w:rPr>
            </w:pPr>
            <w:r w:rsidRPr="00E420ED">
              <w:rPr>
                <w:rFonts w:ascii="Calibri" w:hAnsi="Calibri"/>
                <w:b/>
                <w:bCs/>
                <w:iCs/>
                <w:sz w:val="22"/>
                <w:szCs w:val="22"/>
              </w:rPr>
              <w:t>Hours/</w:t>
            </w:r>
          </w:p>
          <w:p w:rsidR="00DD3E04" w:rsidRPr="00E420ED" w:rsidRDefault="00A54E52" w:rsidP="00DD3E04">
            <w:pPr>
              <w:rPr>
                <w:rFonts w:ascii="Calibri" w:hAnsi="Calibri"/>
                <w:b/>
                <w:bCs/>
                <w:iCs/>
                <w:sz w:val="22"/>
                <w:szCs w:val="22"/>
              </w:rPr>
            </w:pPr>
            <w:r w:rsidRPr="00E420ED">
              <w:rPr>
                <w:rFonts w:ascii="Calibri" w:hAnsi="Calibri"/>
                <w:b/>
                <w:bCs/>
                <w:iCs/>
                <w:sz w:val="22"/>
                <w:szCs w:val="22"/>
              </w:rPr>
              <w:t>response</w:t>
            </w:r>
          </w:p>
        </w:tc>
        <w:tc>
          <w:tcPr>
            <w:tcW w:w="648" w:type="dxa"/>
          </w:tcPr>
          <w:p w:rsidR="00DD3E04" w:rsidRPr="00E420ED" w:rsidRDefault="00A54E52" w:rsidP="00DD3E04">
            <w:pPr>
              <w:rPr>
                <w:rFonts w:ascii="Calibri" w:hAnsi="Calibri"/>
                <w:b/>
                <w:bCs/>
                <w:iCs/>
                <w:sz w:val="22"/>
                <w:szCs w:val="22"/>
              </w:rPr>
            </w:pPr>
            <w:r w:rsidRPr="00E420ED">
              <w:rPr>
                <w:rFonts w:ascii="Calibri" w:hAnsi="Calibri"/>
                <w:b/>
                <w:bCs/>
                <w:iCs/>
                <w:sz w:val="22"/>
                <w:szCs w:val="22"/>
              </w:rPr>
              <w:t>Total Hours</w:t>
            </w:r>
          </w:p>
        </w:tc>
        <w:tc>
          <w:tcPr>
            <w:tcW w:w="1588" w:type="dxa"/>
          </w:tcPr>
          <w:p w:rsidR="00DD3E04" w:rsidRPr="00E420ED" w:rsidRDefault="00A54E52" w:rsidP="00DD3E04">
            <w:pPr>
              <w:rPr>
                <w:rFonts w:ascii="Calibri" w:hAnsi="Calibri"/>
                <w:b/>
                <w:bCs/>
                <w:iCs/>
                <w:sz w:val="22"/>
                <w:szCs w:val="22"/>
              </w:rPr>
            </w:pPr>
            <w:r w:rsidRPr="00E420ED">
              <w:rPr>
                <w:rFonts w:ascii="Calibri" w:hAnsi="Calibri"/>
                <w:b/>
                <w:bCs/>
                <w:iCs/>
                <w:sz w:val="22"/>
                <w:szCs w:val="22"/>
              </w:rPr>
              <w:t>Total Cost</w:t>
            </w:r>
          </w:p>
        </w:tc>
        <w:tc>
          <w:tcPr>
            <w:tcW w:w="3078" w:type="dxa"/>
          </w:tcPr>
          <w:p w:rsidR="00DD3E04" w:rsidRPr="00F526E3" w:rsidRDefault="00DD3E04" w:rsidP="00DD3E04">
            <w:pPr>
              <w:rPr>
                <w:rFonts w:ascii="Calibri" w:hAnsi="Calibri"/>
                <w:b/>
                <w:bCs/>
                <w:iCs/>
              </w:rPr>
            </w:pPr>
            <w:r w:rsidRPr="00F526E3">
              <w:rPr>
                <w:rFonts w:ascii="Calibri" w:hAnsi="Calibri"/>
                <w:b/>
                <w:bCs/>
                <w:iCs/>
              </w:rPr>
              <w:t>Cost calculation</w:t>
            </w:r>
          </w:p>
        </w:tc>
      </w:tr>
      <w:tr w:rsidR="00DD3E04" w:rsidRPr="00F526E3" w:rsidTr="00E420ED">
        <w:tc>
          <w:tcPr>
            <w:tcW w:w="1818" w:type="dxa"/>
          </w:tcPr>
          <w:p w:rsidR="00DD3E04" w:rsidRPr="00E420ED" w:rsidRDefault="00A54E52" w:rsidP="00DD3E04">
            <w:pPr>
              <w:rPr>
                <w:rFonts w:ascii="Calibri" w:hAnsi="Calibri"/>
                <w:bCs/>
                <w:iCs/>
                <w:sz w:val="22"/>
                <w:szCs w:val="22"/>
              </w:rPr>
            </w:pPr>
            <w:r w:rsidRPr="00E420ED">
              <w:rPr>
                <w:rFonts w:ascii="Calibri" w:hAnsi="Calibri"/>
                <w:bCs/>
                <w:iCs/>
                <w:sz w:val="22"/>
                <w:szCs w:val="22"/>
              </w:rPr>
              <w:t>EASIE Part I Student Form (ED 506)</w:t>
            </w:r>
          </w:p>
        </w:tc>
        <w:tc>
          <w:tcPr>
            <w:tcW w:w="1273" w:type="dxa"/>
          </w:tcPr>
          <w:p w:rsidR="00DD3E04" w:rsidRPr="00F526E3" w:rsidRDefault="00A54E52" w:rsidP="00DD3E04">
            <w:pPr>
              <w:rPr>
                <w:rFonts w:ascii="Calibri" w:hAnsi="Calibri"/>
                <w:bCs/>
                <w:iCs/>
                <w:sz w:val="22"/>
                <w:szCs w:val="22"/>
              </w:rPr>
            </w:pPr>
            <w:r w:rsidRPr="00E420ED">
              <w:rPr>
                <w:rFonts w:ascii="Calibri" w:hAnsi="Calibri"/>
                <w:bCs/>
                <w:iCs/>
                <w:sz w:val="22"/>
                <w:szCs w:val="22"/>
              </w:rPr>
              <w:t>10,000</w:t>
            </w:r>
          </w:p>
          <w:p w:rsidR="008A55DD" w:rsidRPr="00E420ED" w:rsidRDefault="008A55DD" w:rsidP="00DD3E04">
            <w:pPr>
              <w:rPr>
                <w:rFonts w:ascii="Calibri" w:hAnsi="Calibri"/>
                <w:bCs/>
                <w:iCs/>
                <w:sz w:val="22"/>
                <w:szCs w:val="22"/>
              </w:rPr>
            </w:pPr>
            <w:r w:rsidRPr="00F526E3">
              <w:rPr>
                <w:rFonts w:ascii="Calibri" w:hAnsi="Calibri"/>
                <w:bCs/>
                <w:iCs/>
                <w:sz w:val="22"/>
                <w:szCs w:val="22"/>
              </w:rPr>
              <w:t>Type:  Individuals</w:t>
            </w:r>
          </w:p>
        </w:tc>
        <w:tc>
          <w:tcPr>
            <w:tcW w:w="883" w:type="dxa"/>
          </w:tcPr>
          <w:p w:rsidR="00DD3E04" w:rsidRPr="00E420ED" w:rsidRDefault="00A54E52" w:rsidP="00DD3E04">
            <w:pPr>
              <w:rPr>
                <w:rFonts w:ascii="Calibri" w:hAnsi="Calibri"/>
                <w:bCs/>
                <w:iCs/>
                <w:sz w:val="22"/>
                <w:szCs w:val="22"/>
              </w:rPr>
            </w:pPr>
            <w:r w:rsidRPr="00E420ED">
              <w:rPr>
                <w:rFonts w:ascii="Calibri" w:hAnsi="Calibri"/>
                <w:bCs/>
                <w:iCs/>
                <w:sz w:val="22"/>
                <w:szCs w:val="22"/>
              </w:rPr>
              <w:t>0.309</w:t>
            </w:r>
          </w:p>
        </w:tc>
        <w:tc>
          <w:tcPr>
            <w:tcW w:w="648" w:type="dxa"/>
          </w:tcPr>
          <w:p w:rsidR="00DD3E04" w:rsidRPr="00E420ED" w:rsidRDefault="00A54E52" w:rsidP="00DD3E04">
            <w:pPr>
              <w:rPr>
                <w:rFonts w:ascii="Calibri" w:hAnsi="Calibri"/>
                <w:bCs/>
                <w:iCs/>
                <w:sz w:val="22"/>
                <w:szCs w:val="22"/>
              </w:rPr>
            </w:pPr>
            <w:r w:rsidRPr="00E420ED">
              <w:rPr>
                <w:rFonts w:ascii="Calibri" w:hAnsi="Calibri"/>
                <w:bCs/>
                <w:iCs/>
                <w:sz w:val="22"/>
                <w:szCs w:val="22"/>
              </w:rPr>
              <w:t>3,090</w:t>
            </w:r>
          </w:p>
        </w:tc>
        <w:tc>
          <w:tcPr>
            <w:tcW w:w="1588" w:type="dxa"/>
            <w:tcMar>
              <w:left w:w="115" w:type="dxa"/>
              <w:right w:w="216" w:type="dxa"/>
            </w:tcMar>
            <w:vAlign w:val="center"/>
          </w:tcPr>
          <w:p w:rsidR="00DD3E04" w:rsidRPr="00E420ED" w:rsidRDefault="00A54E52" w:rsidP="00DD3E04">
            <w:pPr>
              <w:tabs>
                <w:tab w:val="left" w:pos="-720"/>
              </w:tabs>
              <w:suppressAutoHyphens/>
              <w:jc w:val="right"/>
              <w:rPr>
                <w:rFonts w:ascii="Calibri" w:hAnsi="Calibri"/>
                <w:bCs/>
                <w:iCs/>
                <w:sz w:val="22"/>
                <w:szCs w:val="22"/>
              </w:rPr>
            </w:pPr>
            <w:r w:rsidRPr="00E420ED">
              <w:rPr>
                <w:rFonts w:ascii="Calibri" w:hAnsi="Calibri"/>
                <w:bCs/>
                <w:iCs/>
                <w:sz w:val="22"/>
                <w:szCs w:val="22"/>
              </w:rPr>
              <w:t>$1</w:t>
            </w:r>
            <w:r w:rsidR="00E80A44" w:rsidRPr="00F526E3">
              <w:rPr>
                <w:rFonts w:ascii="Calibri" w:hAnsi="Calibri"/>
                <w:bCs/>
                <w:iCs/>
                <w:sz w:val="22"/>
                <w:szCs w:val="22"/>
              </w:rPr>
              <w:t>6,284</w:t>
            </w:r>
          </w:p>
        </w:tc>
        <w:tc>
          <w:tcPr>
            <w:tcW w:w="3078" w:type="dxa"/>
          </w:tcPr>
          <w:p w:rsidR="00DD3E04" w:rsidRPr="00F526E3" w:rsidRDefault="00DD3E04" w:rsidP="00DD3E04">
            <w:pPr>
              <w:rPr>
                <w:rFonts w:ascii="Calibri" w:hAnsi="Calibri"/>
                <w:bCs/>
                <w:iCs/>
              </w:rPr>
            </w:pPr>
            <w:r w:rsidRPr="00F526E3">
              <w:rPr>
                <w:rFonts w:ascii="Calibri" w:hAnsi="Calibri"/>
                <w:bCs/>
                <w:iCs/>
              </w:rPr>
              <w:t>10000 x 0.309 x $5.</w:t>
            </w:r>
            <w:r w:rsidR="00E80A44" w:rsidRPr="00F526E3">
              <w:rPr>
                <w:rFonts w:ascii="Calibri" w:hAnsi="Calibri"/>
                <w:bCs/>
                <w:iCs/>
              </w:rPr>
              <w:t>27</w:t>
            </w:r>
            <w:r w:rsidRPr="00F526E3">
              <w:rPr>
                <w:rFonts w:ascii="Calibri" w:hAnsi="Calibri"/>
                <w:bCs/>
                <w:iCs/>
              </w:rPr>
              <w:t>/</w:t>
            </w:r>
            <w:proofErr w:type="spellStart"/>
            <w:r w:rsidRPr="00F526E3">
              <w:rPr>
                <w:rFonts w:ascii="Calibri" w:hAnsi="Calibri"/>
                <w:bCs/>
                <w:iCs/>
              </w:rPr>
              <w:t>hr</w:t>
            </w:r>
            <w:proofErr w:type="spellEnd"/>
            <w:r w:rsidRPr="00F526E3">
              <w:rPr>
                <w:rFonts w:ascii="Calibri" w:hAnsi="Calibri"/>
                <w:bCs/>
                <w:iCs/>
              </w:rPr>
              <w:t xml:space="preserve"> = $</w:t>
            </w:r>
            <w:r w:rsidR="00E80A44" w:rsidRPr="00F526E3">
              <w:rPr>
                <w:rFonts w:ascii="Calibri" w:hAnsi="Calibri"/>
                <w:bCs/>
                <w:iCs/>
              </w:rPr>
              <w:t>16,284</w:t>
            </w:r>
            <w:r w:rsidRPr="00F526E3">
              <w:rPr>
                <w:rFonts w:ascii="Calibri" w:hAnsi="Calibri"/>
                <w:bCs/>
                <w:iCs/>
              </w:rPr>
              <w:t>.</w:t>
            </w:r>
          </w:p>
          <w:p w:rsidR="00DD3E04" w:rsidRPr="00F526E3" w:rsidRDefault="00DD3E04" w:rsidP="00B65D4B">
            <w:pPr>
              <w:rPr>
                <w:rFonts w:ascii="Calibri" w:hAnsi="Calibri"/>
                <w:bCs/>
                <w:iCs/>
              </w:rPr>
            </w:pPr>
            <w:r w:rsidRPr="00F526E3">
              <w:rPr>
                <w:rFonts w:ascii="Calibri" w:hAnsi="Calibri"/>
                <w:bCs/>
                <w:iCs/>
              </w:rPr>
              <w:t>Note that only Indian students who were NOT previously in the applicant’s LEA need to fill out this form.  Additionally, ED 506 forms are not submitted to the Department, but must be maintained on file by the applicant.</w:t>
            </w:r>
          </w:p>
        </w:tc>
      </w:tr>
      <w:tr w:rsidR="00DD3E04" w:rsidRPr="00F526E3" w:rsidTr="00E420ED">
        <w:tc>
          <w:tcPr>
            <w:tcW w:w="1818" w:type="dxa"/>
          </w:tcPr>
          <w:p w:rsidR="00DD3E04" w:rsidRPr="00E420ED" w:rsidRDefault="00A54E52" w:rsidP="00DD3E04">
            <w:pPr>
              <w:rPr>
                <w:rFonts w:ascii="Calibri" w:hAnsi="Calibri"/>
                <w:bCs/>
                <w:iCs/>
                <w:sz w:val="22"/>
                <w:szCs w:val="22"/>
              </w:rPr>
            </w:pPr>
            <w:r w:rsidRPr="00E420ED">
              <w:rPr>
                <w:rFonts w:ascii="Calibri" w:hAnsi="Calibri"/>
                <w:bCs/>
                <w:iCs/>
                <w:sz w:val="22"/>
                <w:szCs w:val="22"/>
              </w:rPr>
              <w:t>EASIE Part I Student Count and Part II Project and Budget Information</w:t>
            </w:r>
          </w:p>
        </w:tc>
        <w:tc>
          <w:tcPr>
            <w:tcW w:w="1273" w:type="dxa"/>
          </w:tcPr>
          <w:p w:rsidR="00DD3E04" w:rsidRPr="00F526E3" w:rsidRDefault="00A54E52" w:rsidP="00344D67">
            <w:pPr>
              <w:rPr>
                <w:rFonts w:ascii="Calibri" w:hAnsi="Calibri"/>
                <w:bCs/>
                <w:iCs/>
                <w:sz w:val="22"/>
                <w:szCs w:val="22"/>
              </w:rPr>
            </w:pPr>
            <w:r w:rsidRPr="00E420ED">
              <w:rPr>
                <w:rFonts w:ascii="Calibri" w:hAnsi="Calibri"/>
                <w:bCs/>
                <w:iCs/>
                <w:sz w:val="22"/>
                <w:szCs w:val="22"/>
              </w:rPr>
              <w:t>1,</w:t>
            </w:r>
            <w:r w:rsidR="00344D67" w:rsidRPr="00F526E3">
              <w:rPr>
                <w:rFonts w:ascii="Calibri" w:hAnsi="Calibri"/>
                <w:bCs/>
                <w:iCs/>
                <w:sz w:val="22"/>
                <w:szCs w:val="22"/>
              </w:rPr>
              <w:t>300</w:t>
            </w:r>
          </w:p>
          <w:p w:rsidR="008A55DD" w:rsidRPr="00F526E3" w:rsidRDefault="008A55DD" w:rsidP="00344D67">
            <w:pPr>
              <w:rPr>
                <w:rFonts w:ascii="Calibri" w:hAnsi="Calibri"/>
                <w:bCs/>
                <w:iCs/>
                <w:sz w:val="22"/>
                <w:szCs w:val="22"/>
              </w:rPr>
            </w:pPr>
            <w:r w:rsidRPr="00F526E3">
              <w:rPr>
                <w:rFonts w:ascii="Calibri" w:hAnsi="Calibri"/>
                <w:bCs/>
                <w:iCs/>
                <w:sz w:val="22"/>
                <w:szCs w:val="22"/>
              </w:rPr>
              <w:t>Type:</w:t>
            </w:r>
          </w:p>
          <w:p w:rsidR="008A55DD" w:rsidRPr="00E420ED" w:rsidRDefault="008A55DD" w:rsidP="00344D67">
            <w:pPr>
              <w:rPr>
                <w:rFonts w:ascii="Calibri" w:hAnsi="Calibri"/>
                <w:bCs/>
                <w:iCs/>
                <w:sz w:val="22"/>
                <w:szCs w:val="22"/>
              </w:rPr>
            </w:pPr>
            <w:r w:rsidRPr="00F526E3">
              <w:rPr>
                <w:rFonts w:ascii="Calibri" w:hAnsi="Calibri"/>
                <w:bCs/>
                <w:iCs/>
                <w:sz w:val="22"/>
                <w:szCs w:val="22"/>
              </w:rPr>
              <w:t>Individuals</w:t>
            </w:r>
          </w:p>
        </w:tc>
        <w:tc>
          <w:tcPr>
            <w:tcW w:w="883" w:type="dxa"/>
          </w:tcPr>
          <w:p w:rsidR="00DD3E04" w:rsidRPr="00E420ED" w:rsidRDefault="00A54E52" w:rsidP="00DD3E04">
            <w:pPr>
              <w:rPr>
                <w:rFonts w:ascii="Calibri" w:hAnsi="Calibri"/>
                <w:bCs/>
                <w:iCs/>
                <w:sz w:val="22"/>
                <w:szCs w:val="22"/>
              </w:rPr>
            </w:pPr>
            <w:r w:rsidRPr="00E420ED">
              <w:rPr>
                <w:rFonts w:ascii="Calibri" w:hAnsi="Calibri"/>
                <w:bCs/>
                <w:iCs/>
                <w:sz w:val="22"/>
                <w:szCs w:val="22"/>
              </w:rPr>
              <w:t>5</w:t>
            </w:r>
          </w:p>
        </w:tc>
        <w:tc>
          <w:tcPr>
            <w:tcW w:w="648" w:type="dxa"/>
          </w:tcPr>
          <w:p w:rsidR="00344D67" w:rsidRPr="00E420ED" w:rsidRDefault="00344D67" w:rsidP="00DD3E04">
            <w:pPr>
              <w:rPr>
                <w:rFonts w:ascii="Calibri" w:hAnsi="Calibri"/>
                <w:bCs/>
                <w:iCs/>
                <w:sz w:val="22"/>
                <w:szCs w:val="22"/>
              </w:rPr>
            </w:pPr>
            <w:r w:rsidRPr="00F526E3">
              <w:rPr>
                <w:rFonts w:ascii="Calibri" w:hAnsi="Calibri"/>
                <w:bCs/>
                <w:iCs/>
                <w:sz w:val="22"/>
                <w:szCs w:val="22"/>
              </w:rPr>
              <w:t>6,500</w:t>
            </w:r>
          </w:p>
        </w:tc>
        <w:tc>
          <w:tcPr>
            <w:tcW w:w="1588" w:type="dxa"/>
            <w:tcMar>
              <w:left w:w="115" w:type="dxa"/>
              <w:right w:w="216" w:type="dxa"/>
            </w:tcMar>
            <w:vAlign w:val="center"/>
          </w:tcPr>
          <w:p w:rsidR="00DD3E04" w:rsidRPr="00E420ED" w:rsidRDefault="00A54E52" w:rsidP="00E80A44">
            <w:pPr>
              <w:jc w:val="right"/>
              <w:rPr>
                <w:rFonts w:ascii="Calibri" w:hAnsi="Calibri"/>
                <w:bCs/>
                <w:iCs/>
                <w:sz w:val="22"/>
                <w:szCs w:val="22"/>
              </w:rPr>
            </w:pPr>
            <w:r w:rsidRPr="00E420ED">
              <w:rPr>
                <w:rFonts w:ascii="Calibri" w:hAnsi="Calibri"/>
                <w:bCs/>
                <w:iCs/>
                <w:sz w:val="22"/>
                <w:szCs w:val="22"/>
              </w:rPr>
              <w:t>$1</w:t>
            </w:r>
            <w:r w:rsidR="00EF0C2B" w:rsidRPr="00F526E3">
              <w:rPr>
                <w:rFonts w:ascii="Calibri" w:hAnsi="Calibri"/>
                <w:bCs/>
                <w:iCs/>
                <w:sz w:val="22"/>
                <w:szCs w:val="22"/>
              </w:rPr>
              <w:t>1</w:t>
            </w:r>
            <w:r w:rsidR="00E80A44" w:rsidRPr="00F526E3">
              <w:rPr>
                <w:rFonts w:ascii="Calibri" w:hAnsi="Calibri"/>
                <w:bCs/>
                <w:iCs/>
                <w:sz w:val="22"/>
                <w:szCs w:val="22"/>
              </w:rPr>
              <w:t>4</w:t>
            </w:r>
            <w:r w:rsidRPr="00E420ED">
              <w:rPr>
                <w:rFonts w:ascii="Calibri" w:hAnsi="Calibri"/>
                <w:bCs/>
                <w:iCs/>
                <w:sz w:val="22"/>
                <w:szCs w:val="22"/>
              </w:rPr>
              <w:t>,</w:t>
            </w:r>
            <w:r w:rsidR="00E80A44" w:rsidRPr="00F526E3">
              <w:rPr>
                <w:rFonts w:ascii="Calibri" w:hAnsi="Calibri"/>
                <w:bCs/>
                <w:iCs/>
                <w:sz w:val="22"/>
                <w:szCs w:val="22"/>
              </w:rPr>
              <w:t>032</w:t>
            </w:r>
          </w:p>
        </w:tc>
        <w:tc>
          <w:tcPr>
            <w:tcW w:w="3078" w:type="dxa"/>
          </w:tcPr>
          <w:p w:rsidR="00DD3E04" w:rsidRPr="00F526E3" w:rsidRDefault="00DD3E04" w:rsidP="00DD3E04">
            <w:pPr>
              <w:rPr>
                <w:rFonts w:ascii="Calibri" w:hAnsi="Calibri"/>
                <w:bCs/>
                <w:iCs/>
              </w:rPr>
            </w:pPr>
            <w:r w:rsidRPr="00F526E3">
              <w:rPr>
                <w:rFonts w:ascii="Calibri" w:hAnsi="Calibri"/>
                <w:bCs/>
                <w:iCs/>
              </w:rPr>
              <w:t>1</w:t>
            </w:r>
            <w:r w:rsidR="00344D67" w:rsidRPr="00F526E3">
              <w:rPr>
                <w:rFonts w:ascii="Calibri" w:hAnsi="Calibri"/>
                <w:bCs/>
                <w:iCs/>
              </w:rPr>
              <w:t>300</w:t>
            </w:r>
            <w:r w:rsidR="00E80A44" w:rsidRPr="00F526E3">
              <w:rPr>
                <w:rFonts w:ascii="Calibri" w:hAnsi="Calibri"/>
                <w:bCs/>
                <w:iCs/>
              </w:rPr>
              <w:t xml:space="preserve"> x 4.66 hours x 16.34</w:t>
            </w:r>
            <w:r w:rsidRPr="00F526E3">
              <w:rPr>
                <w:rFonts w:ascii="Calibri" w:hAnsi="Calibri"/>
                <w:bCs/>
                <w:iCs/>
              </w:rPr>
              <w:t>/</w:t>
            </w:r>
            <w:proofErr w:type="spellStart"/>
            <w:r w:rsidRPr="00F526E3">
              <w:rPr>
                <w:rFonts w:ascii="Calibri" w:hAnsi="Calibri"/>
                <w:bCs/>
                <w:iCs/>
              </w:rPr>
              <w:t>hr</w:t>
            </w:r>
            <w:proofErr w:type="spellEnd"/>
            <w:r w:rsidRPr="00F526E3">
              <w:rPr>
                <w:rFonts w:ascii="Calibri" w:hAnsi="Calibri"/>
                <w:bCs/>
                <w:iCs/>
              </w:rPr>
              <w:t xml:space="preserve"> = $9</w:t>
            </w:r>
            <w:r w:rsidR="00E80A44" w:rsidRPr="00F526E3">
              <w:rPr>
                <w:rFonts w:ascii="Calibri" w:hAnsi="Calibri"/>
                <w:bCs/>
                <w:iCs/>
              </w:rPr>
              <w:t>8,987</w:t>
            </w:r>
          </w:p>
          <w:p w:rsidR="00DD3E04" w:rsidRPr="00F526E3" w:rsidRDefault="00E80A44" w:rsidP="00DD3E04">
            <w:pPr>
              <w:rPr>
                <w:rFonts w:ascii="Calibri" w:hAnsi="Calibri"/>
                <w:bCs/>
                <w:iCs/>
              </w:rPr>
            </w:pPr>
            <w:r w:rsidRPr="00F526E3">
              <w:rPr>
                <w:rFonts w:ascii="Calibri" w:hAnsi="Calibri"/>
                <w:bCs/>
                <w:iCs/>
              </w:rPr>
              <w:t>1270 x .33 hours x 35.90</w:t>
            </w:r>
            <w:r w:rsidR="00DD3E04" w:rsidRPr="00F526E3">
              <w:rPr>
                <w:rFonts w:ascii="Calibri" w:hAnsi="Calibri"/>
                <w:bCs/>
                <w:iCs/>
              </w:rPr>
              <w:t xml:space="preserve">/hour = </w:t>
            </w:r>
            <w:r w:rsidR="00344D67" w:rsidRPr="00F526E3">
              <w:rPr>
                <w:rFonts w:ascii="Calibri" w:hAnsi="Calibri"/>
                <w:bCs/>
                <w:iCs/>
              </w:rPr>
              <w:t>$</w:t>
            </w:r>
            <w:r w:rsidR="00DD3E04" w:rsidRPr="00F526E3">
              <w:rPr>
                <w:rFonts w:ascii="Calibri" w:hAnsi="Calibri"/>
                <w:bCs/>
                <w:iCs/>
              </w:rPr>
              <w:t>1</w:t>
            </w:r>
            <w:r w:rsidRPr="00F526E3">
              <w:rPr>
                <w:rFonts w:ascii="Calibri" w:hAnsi="Calibri"/>
                <w:bCs/>
                <w:iCs/>
              </w:rPr>
              <w:t>5,045</w:t>
            </w:r>
            <w:r w:rsidR="00DD3E04" w:rsidRPr="00F526E3">
              <w:rPr>
                <w:rFonts w:ascii="Calibri" w:hAnsi="Calibri"/>
                <w:bCs/>
                <w:iCs/>
              </w:rPr>
              <w:t>.</w:t>
            </w:r>
          </w:p>
          <w:p w:rsidR="00DD3E04" w:rsidRPr="00F526E3" w:rsidRDefault="00344D67" w:rsidP="00344D67">
            <w:pPr>
              <w:rPr>
                <w:rFonts w:ascii="Calibri" w:hAnsi="Calibri"/>
                <w:bCs/>
                <w:iCs/>
              </w:rPr>
            </w:pPr>
            <w:r w:rsidRPr="00F526E3">
              <w:rPr>
                <w:rFonts w:ascii="Calibri" w:hAnsi="Calibri"/>
                <w:bCs/>
                <w:iCs/>
              </w:rPr>
              <w:t>Total = $1</w:t>
            </w:r>
            <w:r w:rsidR="00E80A44" w:rsidRPr="00F526E3">
              <w:rPr>
                <w:rFonts w:ascii="Calibri" w:hAnsi="Calibri"/>
                <w:bCs/>
                <w:iCs/>
              </w:rPr>
              <w:t>14</w:t>
            </w:r>
            <w:r w:rsidR="00DD3E04" w:rsidRPr="00F526E3">
              <w:rPr>
                <w:rFonts w:ascii="Calibri" w:hAnsi="Calibri"/>
                <w:bCs/>
                <w:iCs/>
              </w:rPr>
              <w:t>,</w:t>
            </w:r>
            <w:r w:rsidR="00E80A44" w:rsidRPr="00F526E3">
              <w:rPr>
                <w:rFonts w:ascii="Calibri" w:hAnsi="Calibri"/>
                <w:bCs/>
                <w:iCs/>
              </w:rPr>
              <w:t>032</w:t>
            </w:r>
          </w:p>
        </w:tc>
      </w:tr>
      <w:tr w:rsidR="00DD3E04" w:rsidRPr="00F526E3" w:rsidTr="00E420ED">
        <w:tc>
          <w:tcPr>
            <w:tcW w:w="1818" w:type="dxa"/>
          </w:tcPr>
          <w:p w:rsidR="00DD3E04" w:rsidRPr="00E420ED" w:rsidRDefault="00A54E52" w:rsidP="00DD3E04">
            <w:pPr>
              <w:rPr>
                <w:rFonts w:ascii="Calibri" w:hAnsi="Calibri"/>
                <w:b/>
                <w:bCs/>
                <w:iCs/>
                <w:sz w:val="22"/>
                <w:szCs w:val="22"/>
              </w:rPr>
            </w:pPr>
            <w:r w:rsidRPr="00E420ED">
              <w:rPr>
                <w:rFonts w:ascii="Calibri" w:hAnsi="Calibri"/>
                <w:b/>
                <w:bCs/>
                <w:iCs/>
                <w:sz w:val="22"/>
                <w:szCs w:val="22"/>
              </w:rPr>
              <w:lastRenderedPageBreak/>
              <w:t>TOTAL BURDEN</w:t>
            </w:r>
          </w:p>
        </w:tc>
        <w:tc>
          <w:tcPr>
            <w:tcW w:w="1273" w:type="dxa"/>
          </w:tcPr>
          <w:p w:rsidR="00DD3E04" w:rsidRPr="00E420ED" w:rsidRDefault="00A54E52" w:rsidP="00344D67">
            <w:pPr>
              <w:rPr>
                <w:rFonts w:ascii="Calibri" w:hAnsi="Calibri"/>
                <w:b/>
                <w:bCs/>
                <w:iCs/>
                <w:sz w:val="22"/>
                <w:szCs w:val="22"/>
              </w:rPr>
            </w:pPr>
            <w:r w:rsidRPr="00E420ED">
              <w:rPr>
                <w:rFonts w:ascii="Calibri" w:hAnsi="Calibri"/>
                <w:b/>
                <w:bCs/>
                <w:iCs/>
                <w:sz w:val="22"/>
                <w:szCs w:val="22"/>
              </w:rPr>
              <w:t>11,</w:t>
            </w:r>
            <w:r w:rsidR="00344D67" w:rsidRPr="00F526E3">
              <w:rPr>
                <w:rFonts w:ascii="Calibri" w:hAnsi="Calibri"/>
                <w:b/>
                <w:bCs/>
                <w:iCs/>
                <w:sz w:val="22"/>
                <w:szCs w:val="22"/>
              </w:rPr>
              <w:t>30</w:t>
            </w:r>
            <w:r w:rsidRPr="00E420ED">
              <w:rPr>
                <w:rFonts w:ascii="Calibri" w:hAnsi="Calibri"/>
                <w:b/>
                <w:bCs/>
                <w:iCs/>
                <w:sz w:val="22"/>
                <w:szCs w:val="22"/>
              </w:rPr>
              <w:t>0</w:t>
            </w:r>
          </w:p>
        </w:tc>
        <w:tc>
          <w:tcPr>
            <w:tcW w:w="883" w:type="dxa"/>
          </w:tcPr>
          <w:p w:rsidR="00DD3E04" w:rsidRPr="00E420ED" w:rsidRDefault="00A54E52" w:rsidP="00DD3E04">
            <w:pPr>
              <w:rPr>
                <w:rFonts w:ascii="Calibri" w:hAnsi="Calibri"/>
                <w:b/>
                <w:bCs/>
                <w:iCs/>
                <w:sz w:val="22"/>
                <w:szCs w:val="22"/>
              </w:rPr>
            </w:pPr>
            <w:r w:rsidRPr="00E420ED">
              <w:rPr>
                <w:rFonts w:ascii="Calibri" w:hAnsi="Calibri"/>
                <w:b/>
                <w:bCs/>
                <w:iCs/>
                <w:sz w:val="22"/>
                <w:szCs w:val="22"/>
              </w:rPr>
              <w:t>5.309</w:t>
            </w:r>
          </w:p>
        </w:tc>
        <w:tc>
          <w:tcPr>
            <w:tcW w:w="648" w:type="dxa"/>
          </w:tcPr>
          <w:p w:rsidR="00DD3E04" w:rsidRPr="00E420ED" w:rsidRDefault="00A54E52" w:rsidP="00344D67">
            <w:pPr>
              <w:rPr>
                <w:rFonts w:ascii="Calibri" w:hAnsi="Calibri"/>
                <w:b/>
                <w:bCs/>
                <w:iCs/>
                <w:sz w:val="22"/>
                <w:szCs w:val="22"/>
              </w:rPr>
            </w:pPr>
            <w:r w:rsidRPr="00E420ED">
              <w:rPr>
                <w:rFonts w:ascii="Calibri" w:hAnsi="Calibri"/>
                <w:b/>
                <w:bCs/>
                <w:iCs/>
                <w:sz w:val="22"/>
                <w:szCs w:val="22"/>
              </w:rPr>
              <w:t>9,</w:t>
            </w:r>
            <w:r w:rsidR="00344D67" w:rsidRPr="00F526E3">
              <w:rPr>
                <w:rFonts w:ascii="Calibri" w:hAnsi="Calibri"/>
                <w:b/>
                <w:bCs/>
                <w:iCs/>
                <w:sz w:val="22"/>
                <w:szCs w:val="22"/>
              </w:rPr>
              <w:t>59</w:t>
            </w:r>
            <w:r w:rsidRPr="00E420ED">
              <w:rPr>
                <w:rFonts w:ascii="Calibri" w:hAnsi="Calibri"/>
                <w:b/>
                <w:bCs/>
                <w:iCs/>
                <w:sz w:val="22"/>
                <w:szCs w:val="22"/>
              </w:rPr>
              <w:t>0</w:t>
            </w:r>
          </w:p>
        </w:tc>
        <w:tc>
          <w:tcPr>
            <w:tcW w:w="1588" w:type="dxa"/>
            <w:tcMar>
              <w:left w:w="115" w:type="dxa"/>
              <w:right w:w="216" w:type="dxa"/>
            </w:tcMar>
          </w:tcPr>
          <w:p w:rsidR="00DD3E04" w:rsidRPr="00E420ED" w:rsidRDefault="00EF0C2B" w:rsidP="00EF0C2B">
            <w:pPr>
              <w:jc w:val="right"/>
              <w:rPr>
                <w:rFonts w:ascii="Calibri" w:hAnsi="Calibri"/>
                <w:b/>
                <w:bCs/>
                <w:iCs/>
                <w:sz w:val="22"/>
                <w:szCs w:val="22"/>
              </w:rPr>
            </w:pPr>
            <w:r w:rsidRPr="00F526E3">
              <w:rPr>
                <w:rFonts w:ascii="Calibri" w:hAnsi="Calibri"/>
                <w:b/>
                <w:bCs/>
                <w:iCs/>
                <w:sz w:val="22"/>
                <w:szCs w:val="22"/>
              </w:rPr>
              <w:t>$1</w:t>
            </w:r>
            <w:r w:rsidR="00E80A44" w:rsidRPr="00F526E3">
              <w:rPr>
                <w:rFonts w:ascii="Calibri" w:hAnsi="Calibri"/>
                <w:b/>
                <w:bCs/>
                <w:iCs/>
                <w:sz w:val="22"/>
                <w:szCs w:val="22"/>
              </w:rPr>
              <w:t>30</w:t>
            </w:r>
            <w:r w:rsidR="00A54E52" w:rsidRPr="00E420ED">
              <w:rPr>
                <w:rFonts w:ascii="Calibri" w:hAnsi="Calibri"/>
                <w:b/>
                <w:bCs/>
                <w:iCs/>
                <w:sz w:val="22"/>
                <w:szCs w:val="22"/>
              </w:rPr>
              <w:t>,</w:t>
            </w:r>
            <w:r w:rsidR="00E80A44" w:rsidRPr="00F526E3">
              <w:rPr>
                <w:rFonts w:ascii="Calibri" w:hAnsi="Calibri"/>
                <w:b/>
                <w:bCs/>
                <w:iCs/>
                <w:sz w:val="22"/>
                <w:szCs w:val="22"/>
              </w:rPr>
              <w:t>316</w:t>
            </w:r>
          </w:p>
        </w:tc>
        <w:tc>
          <w:tcPr>
            <w:tcW w:w="3078" w:type="dxa"/>
          </w:tcPr>
          <w:p w:rsidR="00DD3E04" w:rsidRPr="00F526E3" w:rsidRDefault="00DD3E04" w:rsidP="00DD3E04">
            <w:pPr>
              <w:rPr>
                <w:rFonts w:ascii="Calibri" w:hAnsi="Calibri"/>
                <w:bCs/>
                <w:iCs/>
              </w:rPr>
            </w:pPr>
          </w:p>
        </w:tc>
      </w:tr>
    </w:tbl>
    <w:p w:rsidR="00135F92" w:rsidRPr="00F526E3" w:rsidRDefault="00135F92" w:rsidP="00E420ED">
      <w:pPr>
        <w:rPr>
          <w:bCs/>
          <w:iCs/>
        </w:rPr>
      </w:pPr>
    </w:p>
    <w:p w:rsidR="00135F92" w:rsidRPr="00E420ED" w:rsidRDefault="00A54E52" w:rsidP="00E420ED">
      <w:pPr>
        <w:rPr>
          <w:b/>
        </w:rPr>
      </w:pPr>
      <w:r w:rsidRPr="00E420ED">
        <w:rPr>
          <w:b/>
        </w:rPr>
        <w:t>Burden Hours</w:t>
      </w:r>
    </w:p>
    <w:p w:rsidR="00002C9F" w:rsidRPr="00F526E3" w:rsidRDefault="00002C9F" w:rsidP="00002C9F">
      <w:pPr>
        <w:ind w:left="360"/>
      </w:pPr>
      <w:r w:rsidRPr="00F526E3">
        <w:t>Estimates are based on the following:</w:t>
      </w:r>
    </w:p>
    <w:p w:rsidR="00EE6A7B" w:rsidRPr="00F526E3" w:rsidRDefault="00EE6A7B" w:rsidP="00EE6A7B">
      <w:pPr>
        <w:ind w:left="360"/>
      </w:pPr>
      <w:r w:rsidRPr="00F526E3">
        <w:t>During any given grant cycle, approximately 10,000 new ED 506 forms are filled out annually and maintained by LEAs.  Since ED 506 forms only need to be filled out once during a child’s K-12 career these forms reflect the entry of new students into any Indian formula grant program minus graduating students.  The burden hours associated with each new form is .309 hours x 10,000 new forms annually for a total 3,090 burden hours.</w:t>
      </w:r>
    </w:p>
    <w:p w:rsidR="00002C9F" w:rsidRPr="00F526E3" w:rsidRDefault="00002C9F" w:rsidP="00002C9F">
      <w:pPr>
        <w:ind w:left="360"/>
      </w:pPr>
      <w:r w:rsidRPr="00F526E3">
        <w:t>On an annual basis, approximately 1,300 applications are submitted.  The increase in the projected number of applicants from 1,</w:t>
      </w:r>
      <w:r w:rsidR="00FB61A0" w:rsidRPr="00F526E3">
        <w:t>264</w:t>
      </w:r>
      <w:r w:rsidRPr="00F526E3">
        <w:t xml:space="preserve"> to 1,</w:t>
      </w:r>
      <w:r w:rsidR="00FB61A0" w:rsidRPr="00F526E3">
        <w:t>302</w:t>
      </w:r>
      <w:r w:rsidRPr="00F526E3">
        <w:t xml:space="preserve"> is based on the increase in participating LEAs that has occurred since the electronic system was implemented.  Applicants submit once per year which includes both Part I and Part II.  The burden hours for EASIE Part I and II is based on an average 1,</w:t>
      </w:r>
      <w:r w:rsidR="00EF0C2B" w:rsidRPr="00F526E3">
        <w:t>300</w:t>
      </w:r>
      <w:r w:rsidRPr="00F526E3">
        <w:t xml:space="preserve"> yearly applications at 5 hours per s</w:t>
      </w:r>
      <w:r w:rsidR="00EF0C2B" w:rsidRPr="00F526E3">
        <w:t>ubmission for a total of 6,50</w:t>
      </w:r>
      <w:r w:rsidRPr="00F526E3">
        <w:t xml:space="preserve">0 burden hours.  </w:t>
      </w:r>
    </w:p>
    <w:p w:rsidR="00002C9F" w:rsidRPr="00F526E3" w:rsidRDefault="00002C9F" w:rsidP="00002C9F">
      <w:pPr>
        <w:pStyle w:val="Heading4"/>
        <w:spacing w:after="120"/>
        <w:ind w:left="360"/>
        <w:rPr>
          <w:rFonts w:ascii="Times New Roman" w:hAnsi="Times New Roman"/>
          <w:sz w:val="24"/>
          <w:szCs w:val="24"/>
        </w:rPr>
      </w:pPr>
      <w:r w:rsidRPr="00F526E3">
        <w:rPr>
          <w:rFonts w:ascii="Times New Roman" w:hAnsi="Times New Roman"/>
          <w:sz w:val="24"/>
          <w:szCs w:val="24"/>
        </w:rPr>
        <w:t>Respondent Costs</w:t>
      </w:r>
    </w:p>
    <w:p w:rsidR="00002C9F" w:rsidRPr="00F526E3" w:rsidRDefault="00002C9F" w:rsidP="00002C9F">
      <w:pPr>
        <w:ind w:left="360"/>
      </w:pPr>
      <w:r w:rsidRPr="00F526E3">
        <w:t>The respondent cost estimates are computed using the hourly rates of a GS 5/1 and GS 12/1.   These hourly rates are comparable to salaries of staff that will perform these functions for the respondent (data entry and review and certification).</w:t>
      </w:r>
    </w:p>
    <w:p w:rsidR="00002C9F" w:rsidRPr="00F526E3" w:rsidRDefault="00002C9F" w:rsidP="00002C9F">
      <w:pPr>
        <w:ind w:left="360"/>
      </w:pPr>
      <w:r w:rsidRPr="00F526E3">
        <w:t xml:space="preserve">The cost to respondents for compilation of the information and completion of the application is based on the estimated average per year for each type of respondent.  Of this time, review of instructions, data compilation and entry, and review are included at an average of 4 hours 40 minutes (= 4.66 hours) and 20 minutes (= .33 hours) for review and certification.  See the following calculations.   </w:t>
      </w:r>
    </w:p>
    <w:p w:rsidR="00002C9F" w:rsidRPr="00F526E3" w:rsidRDefault="00002C9F" w:rsidP="00002C9F">
      <w:pPr>
        <w:ind w:left="360"/>
        <w:rPr>
          <w:bCs/>
          <w:iCs/>
        </w:rPr>
      </w:pPr>
      <w:r w:rsidRPr="00F526E3">
        <w:rPr>
          <w:bCs/>
          <w:iCs/>
        </w:rPr>
        <w:t xml:space="preserve">Student forms:  (10,000 x .309 </w:t>
      </w:r>
      <w:proofErr w:type="spellStart"/>
      <w:r w:rsidRPr="00F526E3">
        <w:rPr>
          <w:bCs/>
          <w:iCs/>
        </w:rPr>
        <w:t>hrs</w:t>
      </w:r>
      <w:proofErr w:type="spellEnd"/>
      <w:r w:rsidRPr="00F526E3">
        <w:rPr>
          <w:bCs/>
          <w:iCs/>
        </w:rPr>
        <w:t>) x $5.</w:t>
      </w:r>
      <w:r w:rsidR="00F6310E" w:rsidRPr="00F526E3">
        <w:rPr>
          <w:bCs/>
          <w:iCs/>
        </w:rPr>
        <w:t>27</w:t>
      </w:r>
      <w:r w:rsidRPr="00F526E3">
        <w:rPr>
          <w:bCs/>
          <w:iCs/>
        </w:rPr>
        <w:t>/</w:t>
      </w:r>
      <w:proofErr w:type="spellStart"/>
      <w:r w:rsidRPr="00F526E3">
        <w:rPr>
          <w:bCs/>
          <w:iCs/>
        </w:rPr>
        <w:t>hr</w:t>
      </w:r>
      <w:proofErr w:type="spellEnd"/>
      <w:r w:rsidRPr="00F526E3">
        <w:rPr>
          <w:bCs/>
          <w:iCs/>
        </w:rPr>
        <w:t xml:space="preserve"> = </w:t>
      </w:r>
      <w:r w:rsidRPr="00F526E3">
        <w:rPr>
          <w:bCs/>
          <w:iCs/>
        </w:rPr>
        <w:tab/>
      </w:r>
      <w:r w:rsidRPr="00F526E3">
        <w:rPr>
          <w:bCs/>
          <w:iCs/>
        </w:rPr>
        <w:tab/>
      </w:r>
      <w:r w:rsidRPr="00F526E3">
        <w:rPr>
          <w:bCs/>
          <w:iCs/>
        </w:rPr>
        <w:tab/>
      </w:r>
      <w:r w:rsidRPr="00F526E3">
        <w:rPr>
          <w:bCs/>
          <w:iCs/>
        </w:rPr>
        <w:tab/>
        <w:t>1</w:t>
      </w:r>
      <w:r w:rsidR="00E80A44" w:rsidRPr="00F526E3">
        <w:rPr>
          <w:bCs/>
          <w:iCs/>
        </w:rPr>
        <w:t>6,284</w:t>
      </w:r>
    </w:p>
    <w:p w:rsidR="00002C9F" w:rsidRPr="00F526E3" w:rsidRDefault="00002C9F" w:rsidP="00002C9F">
      <w:pPr>
        <w:ind w:left="360"/>
        <w:rPr>
          <w:bCs/>
          <w:iCs/>
        </w:rPr>
      </w:pPr>
      <w:r w:rsidRPr="00F526E3">
        <w:rPr>
          <w:bCs/>
          <w:iCs/>
        </w:rPr>
        <w:t>Data entry for Part I &amp;</w:t>
      </w:r>
      <w:r w:rsidR="00E2471A" w:rsidRPr="00F526E3">
        <w:rPr>
          <w:bCs/>
          <w:iCs/>
        </w:rPr>
        <w:t xml:space="preserve"> II (130</w:t>
      </w:r>
      <w:r w:rsidRPr="00F526E3">
        <w:rPr>
          <w:bCs/>
          <w:iCs/>
        </w:rPr>
        <w:t xml:space="preserve">0 x 4.66 </w:t>
      </w:r>
      <w:proofErr w:type="spellStart"/>
      <w:r w:rsidRPr="00F526E3">
        <w:rPr>
          <w:bCs/>
          <w:iCs/>
        </w:rPr>
        <w:t>hrs</w:t>
      </w:r>
      <w:proofErr w:type="spellEnd"/>
      <w:r w:rsidRPr="00F526E3">
        <w:rPr>
          <w:bCs/>
          <w:iCs/>
        </w:rPr>
        <w:t>) x $1</w:t>
      </w:r>
      <w:r w:rsidR="00F6310E" w:rsidRPr="00F526E3">
        <w:rPr>
          <w:bCs/>
          <w:iCs/>
        </w:rPr>
        <w:t>6.34</w:t>
      </w:r>
      <w:r w:rsidRPr="00F526E3">
        <w:rPr>
          <w:bCs/>
          <w:iCs/>
        </w:rPr>
        <w:t>/</w:t>
      </w:r>
      <w:proofErr w:type="spellStart"/>
      <w:r w:rsidRPr="00F526E3">
        <w:rPr>
          <w:bCs/>
          <w:iCs/>
        </w:rPr>
        <w:t>hr</w:t>
      </w:r>
      <w:proofErr w:type="spellEnd"/>
      <w:r w:rsidRPr="00F526E3">
        <w:rPr>
          <w:bCs/>
          <w:iCs/>
        </w:rPr>
        <w:t xml:space="preserve"> =  </w:t>
      </w:r>
      <w:r w:rsidRPr="00F526E3">
        <w:rPr>
          <w:bCs/>
          <w:iCs/>
        </w:rPr>
        <w:tab/>
      </w:r>
      <w:r w:rsidRPr="00F526E3">
        <w:rPr>
          <w:bCs/>
          <w:iCs/>
        </w:rPr>
        <w:tab/>
        <w:t>9</w:t>
      </w:r>
      <w:r w:rsidR="00E80A44" w:rsidRPr="00F526E3">
        <w:rPr>
          <w:bCs/>
          <w:iCs/>
        </w:rPr>
        <w:t>8,987</w:t>
      </w:r>
    </w:p>
    <w:p w:rsidR="00002C9F" w:rsidRPr="00F526E3" w:rsidRDefault="00002C9F" w:rsidP="00002C9F">
      <w:pPr>
        <w:ind w:left="360"/>
        <w:rPr>
          <w:bCs/>
          <w:iCs/>
        </w:rPr>
      </w:pPr>
      <w:r w:rsidRPr="00F526E3">
        <w:rPr>
          <w:bCs/>
          <w:iCs/>
        </w:rPr>
        <w:t>Review and certification for Part II (1</w:t>
      </w:r>
      <w:r w:rsidR="00E2471A" w:rsidRPr="00F526E3">
        <w:rPr>
          <w:bCs/>
          <w:iCs/>
        </w:rPr>
        <w:t>30</w:t>
      </w:r>
      <w:r w:rsidRPr="00F526E3">
        <w:rPr>
          <w:bCs/>
          <w:iCs/>
        </w:rPr>
        <w:t xml:space="preserve">0 x .33 </w:t>
      </w:r>
      <w:proofErr w:type="spellStart"/>
      <w:r w:rsidRPr="00F526E3">
        <w:rPr>
          <w:bCs/>
          <w:iCs/>
        </w:rPr>
        <w:t>hrs</w:t>
      </w:r>
      <w:proofErr w:type="spellEnd"/>
      <w:r w:rsidRPr="00F526E3">
        <w:rPr>
          <w:bCs/>
          <w:iCs/>
        </w:rPr>
        <w:t>) x $35.</w:t>
      </w:r>
      <w:r w:rsidR="00F6310E" w:rsidRPr="00F526E3">
        <w:rPr>
          <w:bCs/>
          <w:iCs/>
        </w:rPr>
        <w:t>90</w:t>
      </w:r>
      <w:r w:rsidRPr="00F526E3">
        <w:rPr>
          <w:bCs/>
          <w:iCs/>
        </w:rPr>
        <w:t>/</w:t>
      </w:r>
      <w:proofErr w:type="spellStart"/>
      <w:r w:rsidRPr="00F526E3">
        <w:rPr>
          <w:bCs/>
          <w:iCs/>
        </w:rPr>
        <w:t>hr</w:t>
      </w:r>
      <w:proofErr w:type="spellEnd"/>
      <w:r w:rsidRPr="00F526E3">
        <w:rPr>
          <w:bCs/>
          <w:iCs/>
        </w:rPr>
        <w:t xml:space="preserve"> =    </w:t>
      </w:r>
      <w:r w:rsidRPr="00F526E3">
        <w:rPr>
          <w:bCs/>
          <w:iCs/>
          <w:u w:val="single"/>
        </w:rPr>
        <w:t xml:space="preserve">  </w:t>
      </w:r>
      <w:r w:rsidRPr="00F526E3">
        <w:rPr>
          <w:bCs/>
          <w:iCs/>
          <w:u w:val="single"/>
        </w:rPr>
        <w:tab/>
        <w:t>1</w:t>
      </w:r>
      <w:r w:rsidR="00E80A44" w:rsidRPr="00F526E3">
        <w:rPr>
          <w:bCs/>
          <w:iCs/>
          <w:u w:val="single"/>
        </w:rPr>
        <w:t>5,045</w:t>
      </w:r>
      <w:r w:rsidRPr="00F526E3">
        <w:rPr>
          <w:bCs/>
          <w:iCs/>
          <w:u w:val="single"/>
        </w:rPr>
        <w:t xml:space="preserve">  </w:t>
      </w:r>
    </w:p>
    <w:p w:rsidR="00002C9F" w:rsidRPr="00F526E3" w:rsidRDefault="00002C9F" w:rsidP="00002C9F">
      <w:pPr>
        <w:tabs>
          <w:tab w:val="left" w:pos="6930"/>
        </w:tabs>
        <w:ind w:left="360"/>
        <w:rPr>
          <w:bCs/>
          <w:iCs/>
        </w:rPr>
      </w:pPr>
      <w:r w:rsidRPr="00F526E3">
        <w:rPr>
          <w:bCs/>
          <w:iCs/>
        </w:rPr>
        <w:tab/>
        <w:t>$ 1</w:t>
      </w:r>
      <w:r w:rsidR="00E80A44" w:rsidRPr="00F526E3">
        <w:rPr>
          <w:bCs/>
          <w:iCs/>
        </w:rPr>
        <w:t>30,316</w:t>
      </w:r>
    </w:p>
    <w:p w:rsidR="00135F92" w:rsidRPr="00F526E3" w:rsidRDefault="00135F92" w:rsidP="00E420ED"/>
    <w:p w:rsidR="00386054" w:rsidRPr="00E420ED" w:rsidRDefault="00386054" w:rsidP="00B578F4">
      <w:pPr>
        <w:pStyle w:val="ListParagraph"/>
        <w:numPr>
          <w:ilvl w:val="0"/>
          <w:numId w:val="20"/>
        </w:numPr>
        <w:rPr>
          <w:rStyle w:val="a"/>
          <w:b/>
        </w:rPr>
      </w:pPr>
      <w:r w:rsidRPr="00E420ED">
        <w:rPr>
          <w:rStyle w:val="a"/>
          <w:b/>
        </w:rPr>
        <w:t>Provide an estimate of the total annual cost burden to respondents or record keepers resulting from the collection of information.  (Do not include the cost of any hour burden shown in Items 12 and 14.)</w:t>
      </w:r>
    </w:p>
    <w:p w:rsidR="0082269E" w:rsidRPr="00F526E3" w:rsidRDefault="0082269E" w:rsidP="00E420ED">
      <w:pPr>
        <w:ind w:left="720"/>
      </w:pPr>
    </w:p>
    <w:p w:rsidR="0082269E" w:rsidRPr="00F526E3" w:rsidRDefault="0082269E" w:rsidP="00E420ED">
      <w:pPr>
        <w:tabs>
          <w:tab w:val="left" w:pos="-720"/>
          <w:tab w:val="left" w:pos="360"/>
        </w:tabs>
        <w:suppressAutoHyphens/>
        <w:ind w:left="720"/>
        <w:rPr>
          <w:rFonts w:eastAsia="Arial Unicode MS"/>
        </w:rPr>
      </w:pPr>
      <w:r w:rsidRPr="00F526E3">
        <w:rPr>
          <w:rFonts w:eastAsia="Arial Unicode MS"/>
        </w:rPr>
        <w:lastRenderedPageBreak/>
        <w:t>There is no additional annual cost burden to respondents and record</w:t>
      </w:r>
      <w:r w:rsidR="00E420ED">
        <w:rPr>
          <w:rFonts w:eastAsia="Arial Unicode MS"/>
        </w:rPr>
        <w:t xml:space="preserve"> </w:t>
      </w:r>
      <w:r w:rsidRPr="00F526E3">
        <w:rPr>
          <w:rFonts w:eastAsia="Arial Unicode MS"/>
        </w:rPr>
        <w:t>keepers from this collection of information.</w:t>
      </w:r>
    </w:p>
    <w:p w:rsidR="00386054" w:rsidRPr="00A11030" w:rsidRDefault="00386054" w:rsidP="00B83FB3">
      <w:pPr>
        <w:pStyle w:val="ListParagraph"/>
        <w:numPr>
          <w:ilvl w:val="0"/>
          <w:numId w:val="23"/>
        </w:numPr>
        <w:ind w:left="1080"/>
        <w:rPr>
          <w:b/>
        </w:rPr>
      </w:pPr>
      <w:r w:rsidRPr="00A11030">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13D6F" w:rsidRPr="00F526E3" w:rsidRDefault="00013D6F" w:rsidP="00E420ED">
      <w:pPr>
        <w:pStyle w:val="ListParagraph"/>
        <w:ind w:left="1080"/>
      </w:pPr>
      <w:r w:rsidRPr="00E420ED">
        <w:t xml:space="preserve">There </w:t>
      </w:r>
      <w:proofErr w:type="gramStart"/>
      <w:r w:rsidRPr="00E420ED">
        <w:t>are no capital</w:t>
      </w:r>
      <w:proofErr w:type="gramEnd"/>
      <w:r w:rsidRPr="00E420ED">
        <w:t xml:space="preserve">, </w:t>
      </w:r>
      <w:proofErr w:type="spellStart"/>
      <w:r w:rsidRPr="00E420ED">
        <w:t>start up</w:t>
      </w:r>
      <w:proofErr w:type="spellEnd"/>
      <w:r w:rsidRPr="00E420ED">
        <w:t xml:space="preserve"> costs, maintenance or purchase of services under this collection.</w:t>
      </w:r>
    </w:p>
    <w:p w:rsidR="00153BFE" w:rsidRPr="00A11030" w:rsidRDefault="00386054" w:rsidP="00E420ED">
      <w:pPr>
        <w:pStyle w:val="ListParagraph"/>
        <w:numPr>
          <w:ilvl w:val="0"/>
          <w:numId w:val="23"/>
        </w:numPr>
        <w:ind w:left="1080"/>
        <w:rPr>
          <w:b/>
        </w:rPr>
      </w:pPr>
      <w:r w:rsidRPr="00A11030">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D3E59" w:rsidRPr="00F526E3" w:rsidRDefault="009D3E59" w:rsidP="00E420ED">
      <w:pPr>
        <w:pStyle w:val="ListParagraph"/>
        <w:ind w:left="1080"/>
      </w:pPr>
      <w:r w:rsidRPr="00E420ED">
        <w:t>There are no information collection services to be contracted out.</w:t>
      </w:r>
    </w:p>
    <w:p w:rsidR="00386054" w:rsidRPr="00A11030" w:rsidRDefault="00386054" w:rsidP="00B83FB3">
      <w:pPr>
        <w:pStyle w:val="ListParagraph"/>
        <w:numPr>
          <w:ilvl w:val="0"/>
          <w:numId w:val="23"/>
        </w:numPr>
        <w:ind w:left="1080"/>
        <w:rPr>
          <w:b/>
        </w:rPr>
      </w:pPr>
      <w:r w:rsidRPr="00A11030">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A11030">
        <w:rPr>
          <w:b/>
        </w:rPr>
        <w:t>government</w:t>
      </w:r>
      <w:r w:rsidRPr="00A11030">
        <w:rPr>
          <w:b/>
        </w:rPr>
        <w:t xml:space="preserve"> or (4) as part of customary and usual business or private practices.</w:t>
      </w:r>
      <w:r w:rsidR="001743A5" w:rsidRPr="00A11030">
        <w:rPr>
          <w:b/>
        </w:rPr>
        <w:t xml:space="preserve"> Also, these estimates should not include the hourly costs (i.e., the monetization of the hours) captured above in Item 12</w:t>
      </w:r>
      <w:r w:rsidR="00A11030">
        <w:rPr>
          <w:b/>
        </w:rPr>
        <w:t>.</w:t>
      </w:r>
    </w:p>
    <w:p w:rsidR="00F526E3" w:rsidRPr="00F526E3" w:rsidRDefault="00153BFE" w:rsidP="00E420ED">
      <w:pPr>
        <w:pStyle w:val="ListParagraph"/>
        <w:ind w:left="1080"/>
      </w:pPr>
      <w:r w:rsidRPr="00E420ED">
        <w:t>There are no purchases of equipment or services, or portions thereof under this collection.</w:t>
      </w:r>
    </w:p>
    <w:p w:rsidR="00386054" w:rsidRPr="00A11030" w:rsidRDefault="00386054" w:rsidP="00B83FB3">
      <w:pPr>
        <w:pStyle w:val="ListParagraph"/>
        <w:ind w:left="1080"/>
        <w:rPr>
          <w:b/>
        </w:rPr>
      </w:pPr>
      <w:r w:rsidRPr="00A11030">
        <w:rPr>
          <w:b/>
        </w:rPr>
        <w:t>Total Annualized Capital/Startup Cost:</w:t>
      </w:r>
    </w:p>
    <w:p w:rsidR="00386054" w:rsidRPr="00A11030" w:rsidRDefault="00386054" w:rsidP="00B83FB3">
      <w:pPr>
        <w:tabs>
          <w:tab w:val="left" w:pos="-720"/>
        </w:tabs>
        <w:suppressAutoHyphens/>
        <w:ind w:left="1080"/>
        <w:rPr>
          <w:b/>
        </w:rPr>
      </w:pPr>
      <w:r w:rsidRPr="00A11030">
        <w:rPr>
          <w:b/>
        </w:rPr>
        <w:t xml:space="preserve">Total Annual Costs (O&amp;M): </w:t>
      </w:r>
    </w:p>
    <w:p w:rsidR="00386054" w:rsidRPr="00A11030" w:rsidRDefault="00386054" w:rsidP="00B83FB3">
      <w:pPr>
        <w:tabs>
          <w:tab w:val="left" w:pos="-720"/>
        </w:tabs>
        <w:suppressAutoHyphens/>
        <w:ind w:left="1080"/>
        <w:rPr>
          <w:b/>
        </w:rPr>
      </w:pPr>
      <w:r w:rsidRPr="00A11030">
        <w:rPr>
          <w:b/>
        </w:rPr>
        <w:t>Total Annualized Costs Requested:</w:t>
      </w:r>
    </w:p>
    <w:p w:rsidR="00B83FB3" w:rsidRPr="00E420ED" w:rsidRDefault="00386054" w:rsidP="00B578F4">
      <w:pPr>
        <w:pStyle w:val="ListParagraph"/>
        <w:numPr>
          <w:ilvl w:val="0"/>
          <w:numId w:val="20"/>
        </w:numPr>
        <w:rPr>
          <w:rStyle w:val="a"/>
          <w:b/>
        </w:rPr>
      </w:pPr>
      <w:r w:rsidRPr="00E420ED">
        <w:rPr>
          <w:rStyle w:val="a"/>
          <w:b/>
        </w:rPr>
        <w:lastRenderedPageBreak/>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2269E" w:rsidRPr="00F526E3" w:rsidRDefault="0082269E" w:rsidP="00E420ED">
      <w:pPr>
        <w:pStyle w:val="ListParagraph"/>
        <w:tabs>
          <w:tab w:val="left" w:pos="-720"/>
        </w:tabs>
        <w:suppressAutoHyphens/>
        <w:rPr>
          <w:rFonts w:eastAsia="Arial Unicode MS"/>
        </w:rPr>
      </w:pPr>
      <w:r w:rsidRPr="00F526E3">
        <w:rPr>
          <w:rFonts w:eastAsia="Arial Unicode MS"/>
        </w:rPr>
        <w:t xml:space="preserve">The EASIE software that collects the applications for the Title VII Indian Education Formula Grants is operated and supported under a contract that is a task order under the master </w:t>
      </w:r>
      <w:proofErr w:type="spellStart"/>
      <w:r w:rsidRPr="00F526E3">
        <w:rPr>
          <w:rFonts w:eastAsia="Arial Unicode MS"/>
        </w:rPr>
        <w:t>ED</w:t>
      </w:r>
      <w:r w:rsidRPr="00F526E3">
        <w:rPr>
          <w:rFonts w:eastAsia="Arial Unicode MS"/>
          <w:i/>
        </w:rPr>
        <w:t>Facts</w:t>
      </w:r>
      <w:proofErr w:type="spellEnd"/>
      <w:r w:rsidRPr="00F526E3">
        <w:rPr>
          <w:rFonts w:eastAsia="Arial Unicode MS"/>
        </w:rPr>
        <w:t xml:space="preserve"> contract.  The estimated annual cost of support for the EASIE software is $3</w:t>
      </w:r>
      <w:r w:rsidR="00F526E3" w:rsidRPr="00F526E3">
        <w:rPr>
          <w:rFonts w:eastAsia="Arial Unicode MS"/>
        </w:rPr>
        <w:t>9</w:t>
      </w:r>
      <w:r w:rsidRPr="00F526E3">
        <w:rPr>
          <w:rFonts w:eastAsia="Arial Unicode MS"/>
        </w:rPr>
        <w:t>0,000.</w:t>
      </w:r>
      <w:r w:rsidR="00153BFE" w:rsidRPr="00F526E3">
        <w:rPr>
          <w:rFonts w:eastAsia="Arial Unicode MS"/>
        </w:rPr>
        <w:t xml:space="preserve"> </w:t>
      </w:r>
      <w:r w:rsidRPr="00F526E3">
        <w:rPr>
          <w:rFonts w:eastAsia="Arial Unicode MS"/>
        </w:rPr>
        <w:t xml:space="preserve"> This includes operations and maintenance and a partner support center that assists applicants in the process of submitting.</w:t>
      </w:r>
    </w:p>
    <w:p w:rsidR="0082269E" w:rsidRPr="00F526E3" w:rsidRDefault="0082269E" w:rsidP="00E420ED">
      <w:pPr>
        <w:rPr>
          <w:rStyle w:val="a"/>
        </w:rPr>
      </w:pPr>
    </w:p>
    <w:p w:rsidR="00B83FB3" w:rsidRPr="00E420ED" w:rsidRDefault="00386054" w:rsidP="00B578F4">
      <w:pPr>
        <w:pStyle w:val="ListParagraph"/>
        <w:numPr>
          <w:ilvl w:val="0"/>
          <w:numId w:val="20"/>
        </w:numPr>
        <w:rPr>
          <w:b/>
        </w:rPr>
      </w:pPr>
      <w:r w:rsidRPr="00E420ED">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E420ED">
        <w:rPr>
          <w:b/>
        </w:rPr>
        <w:t xml:space="preserve">totals for </w:t>
      </w:r>
      <w:r w:rsidRPr="00E420ED">
        <w:rPr>
          <w:b/>
        </w:rPr>
        <w:t>changes in burden hours</w:t>
      </w:r>
      <w:r w:rsidR="002473CE" w:rsidRPr="00E420ED">
        <w:rPr>
          <w:b/>
        </w:rPr>
        <w:t>, responses</w:t>
      </w:r>
      <w:r w:rsidRPr="00E420ED">
        <w:rPr>
          <w:b/>
        </w:rPr>
        <w:t xml:space="preserve"> and cost</w:t>
      </w:r>
      <w:r w:rsidR="002473CE" w:rsidRPr="00E420ED">
        <w:rPr>
          <w:b/>
        </w:rPr>
        <w:t>s</w:t>
      </w:r>
      <w:r w:rsidRPr="00E420ED">
        <w:rPr>
          <w:b/>
        </w:rPr>
        <w:t xml:space="preserve"> </w:t>
      </w:r>
      <w:r w:rsidR="002473CE" w:rsidRPr="00E420ED">
        <w:rPr>
          <w:b/>
        </w:rPr>
        <w:t>(if applicable)</w:t>
      </w:r>
      <w:r w:rsidRPr="00E420ED">
        <w:rPr>
          <w:b/>
        </w:rPr>
        <w:t>.</w:t>
      </w:r>
    </w:p>
    <w:p w:rsidR="0082269E" w:rsidRPr="00F526E3" w:rsidRDefault="0082269E" w:rsidP="00E420ED">
      <w:pPr>
        <w:pStyle w:val="ListParagraph"/>
        <w:tabs>
          <w:tab w:val="left" w:pos="-720"/>
        </w:tabs>
        <w:suppressAutoHyphens/>
        <w:rPr>
          <w:rFonts w:eastAsia="Arial Unicode MS"/>
        </w:rPr>
      </w:pPr>
      <w:r w:rsidRPr="00F526E3">
        <w:rPr>
          <w:rFonts w:eastAsia="Arial Unicode MS"/>
        </w:rPr>
        <w:t>An adjustment of +</w:t>
      </w:r>
      <w:r w:rsidR="00BA08B7">
        <w:rPr>
          <w:rFonts w:eastAsia="Arial Unicode MS"/>
        </w:rPr>
        <w:t xml:space="preserve">150 annual burden </w:t>
      </w:r>
      <w:r w:rsidR="00BA08B7" w:rsidRPr="00F526E3">
        <w:rPr>
          <w:rFonts w:eastAsia="Arial Unicode MS"/>
        </w:rPr>
        <w:t>hours</w:t>
      </w:r>
      <w:r w:rsidRPr="00F526E3">
        <w:rPr>
          <w:rFonts w:eastAsia="Arial Unicode MS"/>
        </w:rPr>
        <w:t xml:space="preserve"> is requested </w:t>
      </w:r>
      <w:r w:rsidR="00BA08B7">
        <w:rPr>
          <w:rFonts w:eastAsia="Arial Unicode MS"/>
        </w:rPr>
        <w:t>due to</w:t>
      </w:r>
      <w:r w:rsidRPr="00F526E3">
        <w:rPr>
          <w:rFonts w:eastAsia="Arial Unicode MS"/>
        </w:rPr>
        <w:t xml:space="preserve"> the</w:t>
      </w:r>
      <w:r w:rsidR="00BA08B7">
        <w:rPr>
          <w:rFonts w:eastAsia="Arial Unicode MS"/>
        </w:rPr>
        <w:t xml:space="preserve"> increase in average number of applicants</w:t>
      </w:r>
      <w:r w:rsidRPr="00F526E3">
        <w:rPr>
          <w:rFonts w:eastAsia="Arial Unicode MS"/>
        </w:rPr>
        <w:t xml:space="preserve">, likely because of the ease of the current application process.  There is no additional burden on each applicant.  </w:t>
      </w:r>
    </w:p>
    <w:p w:rsidR="00B83FB3" w:rsidRPr="00E420ED" w:rsidRDefault="00386054" w:rsidP="00B578F4">
      <w:pPr>
        <w:pStyle w:val="ListParagraph"/>
        <w:numPr>
          <w:ilvl w:val="0"/>
          <w:numId w:val="20"/>
        </w:numPr>
        <w:rPr>
          <w:rStyle w:val="a"/>
          <w:b/>
        </w:rPr>
      </w:pPr>
      <w:r w:rsidRPr="00E420ED">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2269E" w:rsidRPr="00F526E3" w:rsidRDefault="0082269E" w:rsidP="00E420ED">
      <w:pPr>
        <w:pStyle w:val="ListParagraph"/>
        <w:tabs>
          <w:tab w:val="left" w:pos="-720"/>
          <w:tab w:val="left" w:pos="0"/>
        </w:tabs>
        <w:suppressAutoHyphens/>
        <w:rPr>
          <w:rFonts w:eastAsia="Arial Unicode MS"/>
        </w:rPr>
      </w:pPr>
      <w:r w:rsidRPr="00F526E3">
        <w:rPr>
          <w:rFonts w:eastAsia="Arial Unicode MS"/>
        </w:rPr>
        <w:t>Results of the individual information collected will not be published.</w:t>
      </w:r>
    </w:p>
    <w:p w:rsidR="0082269E" w:rsidRPr="00F526E3" w:rsidRDefault="0082269E" w:rsidP="00E420ED">
      <w:pPr>
        <w:pStyle w:val="ListParagraph"/>
        <w:rPr>
          <w:rStyle w:val="a"/>
        </w:rPr>
      </w:pPr>
    </w:p>
    <w:p w:rsidR="00B83FB3" w:rsidRPr="00E420ED" w:rsidRDefault="00386054" w:rsidP="00B578F4">
      <w:pPr>
        <w:pStyle w:val="ListParagraph"/>
        <w:numPr>
          <w:ilvl w:val="0"/>
          <w:numId w:val="20"/>
        </w:numPr>
        <w:rPr>
          <w:rStyle w:val="a"/>
          <w:b/>
        </w:rPr>
      </w:pPr>
      <w:r w:rsidRPr="00E420ED">
        <w:rPr>
          <w:rStyle w:val="a"/>
          <w:b/>
        </w:rPr>
        <w:t>If seeking approval to not display the expiration date for OMB approval of the information collection, explain the reasons that display would be inappropriate.</w:t>
      </w:r>
    </w:p>
    <w:p w:rsidR="0082269E" w:rsidRPr="00F526E3" w:rsidRDefault="0082269E" w:rsidP="00E420ED">
      <w:pPr>
        <w:pStyle w:val="ListParagraph"/>
        <w:tabs>
          <w:tab w:val="left" w:pos="-720"/>
        </w:tabs>
        <w:suppressAutoHyphens/>
        <w:rPr>
          <w:rFonts w:eastAsia="Arial Unicode MS"/>
        </w:rPr>
      </w:pPr>
      <w:r w:rsidRPr="00F526E3">
        <w:rPr>
          <w:rFonts w:eastAsia="Arial Unicode MS"/>
        </w:rPr>
        <w:t>Such approval is not being requested.</w:t>
      </w:r>
    </w:p>
    <w:p w:rsidR="0082269E" w:rsidRPr="00F526E3" w:rsidRDefault="0082269E" w:rsidP="00E420ED">
      <w:pPr>
        <w:pStyle w:val="ListParagraph"/>
        <w:rPr>
          <w:rStyle w:val="a"/>
        </w:rPr>
      </w:pPr>
    </w:p>
    <w:p w:rsidR="00386054" w:rsidRPr="00E420ED" w:rsidRDefault="00386054" w:rsidP="00B578F4">
      <w:pPr>
        <w:pStyle w:val="ListParagraph"/>
        <w:numPr>
          <w:ilvl w:val="0"/>
          <w:numId w:val="20"/>
        </w:numPr>
        <w:rPr>
          <w:rStyle w:val="a"/>
          <w:b/>
        </w:rPr>
      </w:pPr>
      <w:r w:rsidRPr="00E420ED">
        <w:rPr>
          <w:rStyle w:val="a"/>
          <w:b/>
        </w:rPr>
        <w:lastRenderedPageBreak/>
        <w:t>Explain each exception to the certification statement identified in the Certification of Paperwork Reduction Act.</w:t>
      </w:r>
    </w:p>
    <w:p w:rsidR="0082269E" w:rsidRPr="00322E02" w:rsidRDefault="0082269E" w:rsidP="00E420ED">
      <w:pPr>
        <w:pStyle w:val="ListParagraph"/>
        <w:tabs>
          <w:tab w:val="left" w:pos="-720"/>
          <w:tab w:val="left" w:pos="360"/>
        </w:tabs>
        <w:suppressAutoHyphens/>
      </w:pPr>
      <w:r w:rsidRPr="00F526E3">
        <w:rPr>
          <w:rFonts w:eastAsia="Arial Unicode MS"/>
        </w:rPr>
        <w:t>There are no exceptions to the certifications.</w:t>
      </w:r>
    </w:p>
    <w:sectPr w:rsidR="0082269E" w:rsidRPr="00322E02" w:rsidSect="00E420E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06"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F7" w:rsidRDefault="00284EF7">
      <w:pPr>
        <w:spacing w:line="20" w:lineRule="exact"/>
      </w:pPr>
    </w:p>
  </w:endnote>
  <w:endnote w:type="continuationSeparator" w:id="0">
    <w:p w:rsidR="00284EF7" w:rsidRDefault="00284EF7">
      <w:r>
        <w:t xml:space="preserve"> </w:t>
      </w:r>
    </w:p>
  </w:endnote>
  <w:endnote w:type="continuationNotice" w:id="1">
    <w:p w:rsidR="00284EF7" w:rsidRDefault="00284EF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F7" w:rsidRDefault="00284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F7" w:rsidRPr="005528DD" w:rsidRDefault="00284EF7" w:rsidP="005528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F7" w:rsidRDefault="00284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F7" w:rsidRDefault="00284EF7">
      <w:r>
        <w:separator/>
      </w:r>
    </w:p>
  </w:footnote>
  <w:footnote w:type="continuationSeparator" w:id="0">
    <w:p w:rsidR="00284EF7" w:rsidRDefault="00284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F7" w:rsidRDefault="00284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F7" w:rsidRPr="005528DD" w:rsidRDefault="00284EF7" w:rsidP="005528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F7" w:rsidRDefault="00284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19"/>
  </w:num>
  <w:num w:numId="11">
    <w:abstractNumId w:val="9"/>
  </w:num>
  <w:num w:numId="12">
    <w:abstractNumId w:val="4"/>
  </w:num>
  <w:num w:numId="13">
    <w:abstractNumId w:val="12"/>
  </w:num>
  <w:num w:numId="14">
    <w:abstractNumId w:val="11"/>
  </w:num>
  <w:num w:numId="15">
    <w:abstractNumId w:val="3"/>
  </w:num>
  <w:num w:numId="16">
    <w:abstractNumId w:val="22"/>
  </w:num>
  <w:num w:numId="17">
    <w:abstractNumId w:val="13"/>
  </w:num>
  <w:num w:numId="18">
    <w:abstractNumId w:val="6"/>
  </w:num>
  <w:num w:numId="19">
    <w:abstractNumId w:val="17"/>
  </w:num>
  <w:num w:numId="20">
    <w:abstractNumId w:val="21"/>
  </w:num>
  <w:num w:numId="21">
    <w:abstractNumId w:val="5"/>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comments="0" w:insDel="0" w:formatting="0" w:inkAnnotation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2C9F"/>
    <w:rsid w:val="00013D6F"/>
    <w:rsid w:val="00016E14"/>
    <w:rsid w:val="000235BE"/>
    <w:rsid w:val="000245B9"/>
    <w:rsid w:val="00050CBE"/>
    <w:rsid w:val="00064D1F"/>
    <w:rsid w:val="00082C6E"/>
    <w:rsid w:val="000872FB"/>
    <w:rsid w:val="000909E0"/>
    <w:rsid w:val="000A2965"/>
    <w:rsid w:val="000B14D8"/>
    <w:rsid w:val="000E592D"/>
    <w:rsid w:val="000F175B"/>
    <w:rsid w:val="0012514B"/>
    <w:rsid w:val="00135F92"/>
    <w:rsid w:val="0014500F"/>
    <w:rsid w:val="00152FCF"/>
    <w:rsid w:val="00153BFE"/>
    <w:rsid w:val="00153F20"/>
    <w:rsid w:val="001743A5"/>
    <w:rsid w:val="0018279C"/>
    <w:rsid w:val="001E3974"/>
    <w:rsid w:val="002473CE"/>
    <w:rsid w:val="00264774"/>
    <w:rsid w:val="00266DC0"/>
    <w:rsid w:val="002842F8"/>
    <w:rsid w:val="00284EF7"/>
    <w:rsid w:val="00290946"/>
    <w:rsid w:val="002B0412"/>
    <w:rsid w:val="002B0A95"/>
    <w:rsid w:val="00316730"/>
    <w:rsid w:val="00322E02"/>
    <w:rsid w:val="003408DC"/>
    <w:rsid w:val="00344D67"/>
    <w:rsid w:val="003649B0"/>
    <w:rsid w:val="00386054"/>
    <w:rsid w:val="00395697"/>
    <w:rsid w:val="003C29C2"/>
    <w:rsid w:val="003C62B8"/>
    <w:rsid w:val="003C7F70"/>
    <w:rsid w:val="003E285A"/>
    <w:rsid w:val="003E539A"/>
    <w:rsid w:val="004022FD"/>
    <w:rsid w:val="00431228"/>
    <w:rsid w:val="004A22E2"/>
    <w:rsid w:val="004A2DBB"/>
    <w:rsid w:val="004D2E95"/>
    <w:rsid w:val="004D6005"/>
    <w:rsid w:val="004E23D9"/>
    <w:rsid w:val="004F692A"/>
    <w:rsid w:val="00512598"/>
    <w:rsid w:val="00530390"/>
    <w:rsid w:val="0053551D"/>
    <w:rsid w:val="005528DD"/>
    <w:rsid w:val="00563CCF"/>
    <w:rsid w:val="00572019"/>
    <w:rsid w:val="005A1566"/>
    <w:rsid w:val="005A1DFC"/>
    <w:rsid w:val="005A4185"/>
    <w:rsid w:val="005C0F45"/>
    <w:rsid w:val="005D2E7B"/>
    <w:rsid w:val="00617A98"/>
    <w:rsid w:val="0063484C"/>
    <w:rsid w:val="00654305"/>
    <w:rsid w:val="006737C0"/>
    <w:rsid w:val="00677BC2"/>
    <w:rsid w:val="006A16D3"/>
    <w:rsid w:val="006A3B5C"/>
    <w:rsid w:val="006C01D0"/>
    <w:rsid w:val="006D4D27"/>
    <w:rsid w:val="006D5E57"/>
    <w:rsid w:val="007335AF"/>
    <w:rsid w:val="007661D9"/>
    <w:rsid w:val="00787B58"/>
    <w:rsid w:val="007B14E8"/>
    <w:rsid w:val="007B7CCC"/>
    <w:rsid w:val="007C12B5"/>
    <w:rsid w:val="007E0CCC"/>
    <w:rsid w:val="007E77FA"/>
    <w:rsid w:val="008011B6"/>
    <w:rsid w:val="0082269E"/>
    <w:rsid w:val="008326CE"/>
    <w:rsid w:val="008A55DD"/>
    <w:rsid w:val="008F3062"/>
    <w:rsid w:val="00921CB1"/>
    <w:rsid w:val="00922C38"/>
    <w:rsid w:val="00936FEE"/>
    <w:rsid w:val="009522E4"/>
    <w:rsid w:val="009544A3"/>
    <w:rsid w:val="009949A8"/>
    <w:rsid w:val="009A270C"/>
    <w:rsid w:val="009D3E59"/>
    <w:rsid w:val="009E5D8E"/>
    <w:rsid w:val="00A01331"/>
    <w:rsid w:val="00A04A96"/>
    <w:rsid w:val="00A11030"/>
    <w:rsid w:val="00A41F2C"/>
    <w:rsid w:val="00A44B01"/>
    <w:rsid w:val="00A54E52"/>
    <w:rsid w:val="00A87940"/>
    <w:rsid w:val="00A94CCB"/>
    <w:rsid w:val="00AB0D7D"/>
    <w:rsid w:val="00AB7DCB"/>
    <w:rsid w:val="00B23EC0"/>
    <w:rsid w:val="00B578F4"/>
    <w:rsid w:val="00B65D4B"/>
    <w:rsid w:val="00B83FB3"/>
    <w:rsid w:val="00B91F7C"/>
    <w:rsid w:val="00BA08B7"/>
    <w:rsid w:val="00BA13A2"/>
    <w:rsid w:val="00BC244F"/>
    <w:rsid w:val="00BD1325"/>
    <w:rsid w:val="00C641E9"/>
    <w:rsid w:val="00C71525"/>
    <w:rsid w:val="00C723C2"/>
    <w:rsid w:val="00C9556E"/>
    <w:rsid w:val="00CC1CC3"/>
    <w:rsid w:val="00CC79FC"/>
    <w:rsid w:val="00CE72AF"/>
    <w:rsid w:val="00CF7053"/>
    <w:rsid w:val="00D004BE"/>
    <w:rsid w:val="00D115BF"/>
    <w:rsid w:val="00D269C3"/>
    <w:rsid w:val="00DA1E4A"/>
    <w:rsid w:val="00DB37F5"/>
    <w:rsid w:val="00DD3E04"/>
    <w:rsid w:val="00E023B7"/>
    <w:rsid w:val="00E056F6"/>
    <w:rsid w:val="00E07290"/>
    <w:rsid w:val="00E2471A"/>
    <w:rsid w:val="00E420ED"/>
    <w:rsid w:val="00E52F91"/>
    <w:rsid w:val="00E80A44"/>
    <w:rsid w:val="00EA3C1F"/>
    <w:rsid w:val="00EC1759"/>
    <w:rsid w:val="00EC2CC4"/>
    <w:rsid w:val="00ED6038"/>
    <w:rsid w:val="00EE0B54"/>
    <w:rsid w:val="00EE6A7B"/>
    <w:rsid w:val="00EF0C2B"/>
    <w:rsid w:val="00EF7FF5"/>
    <w:rsid w:val="00F313DF"/>
    <w:rsid w:val="00F33AA0"/>
    <w:rsid w:val="00F47FB7"/>
    <w:rsid w:val="00F526E3"/>
    <w:rsid w:val="00F6310E"/>
    <w:rsid w:val="00F651D1"/>
    <w:rsid w:val="00F71EBA"/>
    <w:rsid w:val="00F82E52"/>
    <w:rsid w:val="00FB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9" w:qFormat="1"/>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Indent 3"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4">
    <w:name w:val="heading 4"/>
    <w:basedOn w:val="Normal"/>
    <w:next w:val="Normal"/>
    <w:link w:val="Heading4Char"/>
    <w:uiPriority w:val="9"/>
    <w:semiHidden/>
    <w:unhideWhenUsed/>
    <w:qFormat/>
    <w:locked/>
    <w:rsid w:val="00002C9F"/>
    <w:pPr>
      <w:keepNext/>
      <w:widowControl w:val="0"/>
      <w:spacing w:before="240" w:after="60"/>
      <w:outlineLvl w:val="3"/>
    </w:pPr>
    <w:rPr>
      <w:rFonts w:ascii="Calibri" w:hAnsi="Calibri"/>
      <w:b/>
      <w:bCs/>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Indent3">
    <w:name w:val="Body Text Indent 3"/>
    <w:basedOn w:val="Normal"/>
    <w:link w:val="BodyTextIndent3Char"/>
    <w:semiHidden/>
    <w:rsid w:val="00F33AA0"/>
    <w:pPr>
      <w:widowControl w:val="0"/>
      <w:tabs>
        <w:tab w:val="left" w:pos="-720"/>
      </w:tabs>
      <w:suppressAutoHyphens/>
      <w:spacing w:after="0"/>
      <w:ind w:left="720"/>
    </w:pPr>
    <w:rPr>
      <w:b/>
      <w:i/>
      <w:snapToGrid w:val="0"/>
      <w:szCs w:val="20"/>
    </w:rPr>
  </w:style>
  <w:style w:type="character" w:customStyle="1" w:styleId="BodyTextIndent3Char">
    <w:name w:val="Body Text Indent 3 Char"/>
    <w:basedOn w:val="DefaultParagraphFont"/>
    <w:link w:val="BodyTextIndent3"/>
    <w:semiHidden/>
    <w:rsid w:val="00F33AA0"/>
    <w:rPr>
      <w:b/>
      <w:i/>
      <w:snapToGrid w:val="0"/>
      <w:sz w:val="24"/>
    </w:rPr>
  </w:style>
  <w:style w:type="character" w:customStyle="1" w:styleId="Heading4Char">
    <w:name w:val="Heading 4 Char"/>
    <w:basedOn w:val="DefaultParagraphFont"/>
    <w:link w:val="Heading4"/>
    <w:uiPriority w:val="9"/>
    <w:semiHidden/>
    <w:rsid w:val="00002C9F"/>
    <w:rPr>
      <w:rFonts w:ascii="Calibri" w:hAnsi="Calibri"/>
      <w:b/>
      <w:bCs/>
      <w:snapToGrid w:val="0"/>
      <w:sz w:val="28"/>
      <w:szCs w:val="28"/>
    </w:rPr>
  </w:style>
  <w:style w:type="character" w:styleId="Hyperlink">
    <w:name w:val="Hyperlink"/>
    <w:basedOn w:val="DefaultParagraphFont"/>
    <w:uiPriority w:val="99"/>
    <w:unhideWhenUsed/>
    <w:rsid w:val="00CC79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9" w:qFormat="1"/>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Indent 3"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4">
    <w:name w:val="heading 4"/>
    <w:basedOn w:val="Normal"/>
    <w:next w:val="Normal"/>
    <w:link w:val="Heading4Char"/>
    <w:uiPriority w:val="9"/>
    <w:semiHidden/>
    <w:unhideWhenUsed/>
    <w:qFormat/>
    <w:locked/>
    <w:rsid w:val="00002C9F"/>
    <w:pPr>
      <w:keepNext/>
      <w:widowControl w:val="0"/>
      <w:spacing w:before="240" w:after="60"/>
      <w:outlineLvl w:val="3"/>
    </w:pPr>
    <w:rPr>
      <w:rFonts w:ascii="Calibri" w:hAnsi="Calibri"/>
      <w:b/>
      <w:bCs/>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Indent3">
    <w:name w:val="Body Text Indent 3"/>
    <w:basedOn w:val="Normal"/>
    <w:link w:val="BodyTextIndent3Char"/>
    <w:semiHidden/>
    <w:rsid w:val="00F33AA0"/>
    <w:pPr>
      <w:widowControl w:val="0"/>
      <w:tabs>
        <w:tab w:val="left" w:pos="-720"/>
      </w:tabs>
      <w:suppressAutoHyphens/>
      <w:spacing w:after="0"/>
      <w:ind w:left="720"/>
    </w:pPr>
    <w:rPr>
      <w:b/>
      <w:i/>
      <w:snapToGrid w:val="0"/>
      <w:szCs w:val="20"/>
    </w:rPr>
  </w:style>
  <w:style w:type="character" w:customStyle="1" w:styleId="BodyTextIndent3Char">
    <w:name w:val="Body Text Indent 3 Char"/>
    <w:basedOn w:val="DefaultParagraphFont"/>
    <w:link w:val="BodyTextIndent3"/>
    <w:semiHidden/>
    <w:rsid w:val="00F33AA0"/>
    <w:rPr>
      <w:b/>
      <w:i/>
      <w:snapToGrid w:val="0"/>
      <w:sz w:val="24"/>
    </w:rPr>
  </w:style>
  <w:style w:type="character" w:customStyle="1" w:styleId="Heading4Char">
    <w:name w:val="Heading 4 Char"/>
    <w:basedOn w:val="DefaultParagraphFont"/>
    <w:link w:val="Heading4"/>
    <w:uiPriority w:val="9"/>
    <w:semiHidden/>
    <w:rsid w:val="00002C9F"/>
    <w:rPr>
      <w:rFonts w:ascii="Calibri" w:hAnsi="Calibri"/>
      <w:b/>
      <w:bCs/>
      <w:snapToGrid w:val="0"/>
      <w:sz w:val="28"/>
      <w:szCs w:val="28"/>
    </w:rPr>
  </w:style>
  <w:style w:type="character" w:styleId="Hyperlink">
    <w:name w:val="Hyperlink"/>
    <w:basedOn w:val="DefaultParagraphFont"/>
    <w:uiPriority w:val="99"/>
    <w:unhideWhenUsed/>
    <w:rsid w:val="00CC79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D375-A46D-488A-B3DF-D8CDFD6A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3604</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2013-05-08T21:11:00Z</dcterms:created>
  <dcterms:modified xsi:type="dcterms:W3CDTF">2013-05-08T21:11:00Z</dcterms:modified>
</cp:coreProperties>
</file>