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41890" w14:textId="77777777" w:rsidR="00532FE1" w:rsidRDefault="00532FE1" w:rsidP="00532FE1">
      <w:pPr>
        <w:pStyle w:val="Heading31"/>
        <w:numPr>
          <w:ilvl w:val="0"/>
          <w:numId w:val="0"/>
        </w:numPr>
        <w:jc w:val="center"/>
      </w:pPr>
      <w:bookmarkStart w:id="0" w:name="_Toc511463207"/>
      <w:bookmarkStart w:id="1" w:name="_Toc511706147"/>
      <w:bookmarkStart w:id="2" w:name="_Toc511706229"/>
      <w:bookmarkStart w:id="3" w:name="_Toc511706594"/>
      <w:bookmarkStart w:id="4" w:name="_Toc511710559"/>
      <w:bookmarkStart w:id="5" w:name="_Toc511809877"/>
      <w:bookmarkStart w:id="6" w:name="_Toc511810612"/>
      <w:bookmarkStart w:id="7" w:name="_Toc512050983"/>
      <w:bookmarkStart w:id="8" w:name="_Toc3880125"/>
      <w:bookmarkStart w:id="9" w:name="_Toc6289523"/>
      <w:bookmarkStart w:id="10" w:name="_Toc6290244"/>
      <w:bookmarkStart w:id="11" w:name="_Toc141087921"/>
      <w:bookmarkStart w:id="12" w:name="_GoBack"/>
      <w:bookmarkEnd w:id="12"/>
    </w:p>
    <w:p w14:paraId="2E1EFE4B" w14:textId="77777777" w:rsidR="00532FE1" w:rsidRDefault="00532FE1" w:rsidP="00532FE1">
      <w:pPr>
        <w:pStyle w:val="Heading31"/>
        <w:numPr>
          <w:ilvl w:val="0"/>
          <w:numId w:val="0"/>
        </w:numPr>
        <w:jc w:val="center"/>
      </w:pPr>
    </w:p>
    <w:p w14:paraId="760E3CA3" w14:textId="77777777" w:rsidR="00532FE1" w:rsidRDefault="00532FE1" w:rsidP="00532FE1">
      <w:pPr>
        <w:pStyle w:val="Heading31"/>
        <w:numPr>
          <w:ilvl w:val="0"/>
          <w:numId w:val="0"/>
        </w:numPr>
        <w:jc w:val="center"/>
      </w:pPr>
    </w:p>
    <w:p w14:paraId="1B393EAA" w14:textId="77777777" w:rsidR="00532FE1" w:rsidRDefault="00532FE1" w:rsidP="00532FE1">
      <w:pPr>
        <w:pStyle w:val="Heading31"/>
        <w:numPr>
          <w:ilvl w:val="0"/>
          <w:numId w:val="0"/>
        </w:numPr>
        <w:jc w:val="center"/>
      </w:pPr>
    </w:p>
    <w:p w14:paraId="7E25C690" w14:textId="77777777" w:rsidR="00532FE1" w:rsidRDefault="00532FE1" w:rsidP="00532FE1">
      <w:pPr>
        <w:pStyle w:val="Heading31"/>
        <w:numPr>
          <w:ilvl w:val="0"/>
          <w:numId w:val="0"/>
        </w:numPr>
        <w:jc w:val="center"/>
      </w:pPr>
      <w:r>
        <w:t>National Center for education statistics</w:t>
      </w:r>
    </w:p>
    <w:p w14:paraId="0A3F751B" w14:textId="77777777" w:rsidR="00532FE1" w:rsidRDefault="00532FE1" w:rsidP="00532FE1">
      <w:pPr>
        <w:pStyle w:val="Heading31"/>
        <w:numPr>
          <w:ilvl w:val="0"/>
          <w:numId w:val="0"/>
        </w:numPr>
        <w:jc w:val="center"/>
      </w:pPr>
      <w:r>
        <w:t>(nces)</w:t>
      </w:r>
    </w:p>
    <w:p w14:paraId="3F7C4AC6" w14:textId="77777777" w:rsidR="00532FE1" w:rsidRDefault="00532FE1" w:rsidP="00532FE1">
      <w:pPr>
        <w:pStyle w:val="Heading31"/>
        <w:numPr>
          <w:ilvl w:val="0"/>
          <w:numId w:val="0"/>
        </w:numPr>
        <w:jc w:val="center"/>
      </w:pPr>
    </w:p>
    <w:p w14:paraId="1E4D7017" w14:textId="77777777" w:rsidR="00532FE1" w:rsidRDefault="00532FE1" w:rsidP="00532FE1">
      <w:pPr>
        <w:pStyle w:val="Heading31"/>
        <w:numPr>
          <w:ilvl w:val="0"/>
          <w:numId w:val="0"/>
        </w:numPr>
        <w:jc w:val="center"/>
      </w:pPr>
    </w:p>
    <w:p w14:paraId="1BD1D3E3" w14:textId="77777777" w:rsidR="00532FE1" w:rsidRDefault="00532FE1" w:rsidP="00532FE1">
      <w:pPr>
        <w:pStyle w:val="Heading31"/>
        <w:numPr>
          <w:ilvl w:val="0"/>
          <w:numId w:val="0"/>
        </w:numPr>
        <w:jc w:val="center"/>
      </w:pPr>
    </w:p>
    <w:p w14:paraId="5BBA6169" w14:textId="77777777" w:rsidR="00532FE1" w:rsidRDefault="00532FE1" w:rsidP="00532FE1">
      <w:pPr>
        <w:pStyle w:val="Heading31"/>
        <w:numPr>
          <w:ilvl w:val="0"/>
          <w:numId w:val="0"/>
        </w:numPr>
        <w:jc w:val="center"/>
      </w:pPr>
    </w:p>
    <w:p w14:paraId="1837F0F5" w14:textId="77777777" w:rsidR="00C46C89" w:rsidRDefault="00C46C89" w:rsidP="00C46C89">
      <w:pPr>
        <w:pStyle w:val="Heading31"/>
        <w:numPr>
          <w:ilvl w:val="0"/>
          <w:numId w:val="0"/>
        </w:numPr>
        <w:jc w:val="center"/>
        <w:rPr>
          <w:sz w:val="44"/>
          <w:szCs w:val="44"/>
        </w:rPr>
      </w:pPr>
      <w:r>
        <w:rPr>
          <w:sz w:val="44"/>
          <w:szCs w:val="44"/>
        </w:rPr>
        <w:t>School Attendance Boundary Survey</w:t>
      </w:r>
    </w:p>
    <w:p w14:paraId="3523AB7D" w14:textId="77777777" w:rsidR="00C46C89" w:rsidRDefault="00C46C89" w:rsidP="00C46C89">
      <w:pPr>
        <w:pStyle w:val="Heading31"/>
        <w:numPr>
          <w:ilvl w:val="0"/>
          <w:numId w:val="0"/>
        </w:numPr>
        <w:jc w:val="center"/>
        <w:rPr>
          <w:sz w:val="44"/>
          <w:szCs w:val="44"/>
        </w:rPr>
      </w:pPr>
      <w:r>
        <w:rPr>
          <w:sz w:val="44"/>
          <w:szCs w:val="44"/>
        </w:rPr>
        <w:t>(SABS)</w:t>
      </w:r>
    </w:p>
    <w:p w14:paraId="3476B500" w14:textId="77777777" w:rsidR="00532FE1" w:rsidRDefault="00532FE1" w:rsidP="00532FE1">
      <w:pPr>
        <w:pStyle w:val="Heading31"/>
        <w:numPr>
          <w:ilvl w:val="0"/>
          <w:numId w:val="0"/>
        </w:numPr>
        <w:jc w:val="center"/>
      </w:pPr>
    </w:p>
    <w:p w14:paraId="490A8BA1" w14:textId="77777777" w:rsidR="00532FE1" w:rsidRDefault="00532FE1" w:rsidP="00532FE1">
      <w:pPr>
        <w:pStyle w:val="Heading31"/>
        <w:numPr>
          <w:ilvl w:val="0"/>
          <w:numId w:val="0"/>
        </w:numPr>
        <w:jc w:val="center"/>
      </w:pPr>
      <w:r>
        <w:t>July 2013 – July 2016</w:t>
      </w:r>
    </w:p>
    <w:p w14:paraId="349B7608" w14:textId="77777777" w:rsidR="00532FE1" w:rsidRDefault="00532FE1" w:rsidP="00532FE1">
      <w:pPr>
        <w:pStyle w:val="Heading31"/>
        <w:numPr>
          <w:ilvl w:val="0"/>
          <w:numId w:val="0"/>
        </w:numPr>
        <w:jc w:val="center"/>
      </w:pPr>
    </w:p>
    <w:p w14:paraId="4B0BE2E1" w14:textId="77777777" w:rsidR="00532FE1" w:rsidRDefault="00532FE1" w:rsidP="00532FE1">
      <w:pPr>
        <w:pStyle w:val="Heading31"/>
        <w:numPr>
          <w:ilvl w:val="0"/>
          <w:numId w:val="0"/>
        </w:numPr>
        <w:jc w:val="center"/>
      </w:pPr>
    </w:p>
    <w:p w14:paraId="220BA0A4" w14:textId="77777777" w:rsidR="00532FE1" w:rsidRDefault="00532FE1" w:rsidP="00532FE1">
      <w:pPr>
        <w:pStyle w:val="Heading31"/>
        <w:numPr>
          <w:ilvl w:val="0"/>
          <w:numId w:val="0"/>
        </w:numPr>
        <w:jc w:val="center"/>
      </w:pPr>
    </w:p>
    <w:p w14:paraId="331E7152" w14:textId="77777777" w:rsidR="00532FE1" w:rsidRDefault="00532FE1" w:rsidP="00532FE1">
      <w:pPr>
        <w:pStyle w:val="Heading31"/>
        <w:numPr>
          <w:ilvl w:val="0"/>
          <w:numId w:val="0"/>
        </w:numPr>
        <w:jc w:val="center"/>
      </w:pPr>
    </w:p>
    <w:p w14:paraId="31EE240B" w14:textId="77777777" w:rsidR="00532FE1" w:rsidRDefault="00532FE1" w:rsidP="00532FE1">
      <w:pPr>
        <w:pStyle w:val="Heading31"/>
        <w:numPr>
          <w:ilvl w:val="0"/>
          <w:numId w:val="0"/>
        </w:numPr>
        <w:jc w:val="center"/>
      </w:pPr>
    </w:p>
    <w:p w14:paraId="17E977E4" w14:textId="77777777" w:rsidR="00532FE1" w:rsidRDefault="00532FE1" w:rsidP="00532FE1">
      <w:pPr>
        <w:pStyle w:val="Heading31"/>
        <w:numPr>
          <w:ilvl w:val="0"/>
          <w:numId w:val="0"/>
        </w:numPr>
        <w:jc w:val="center"/>
      </w:pPr>
      <w:r>
        <w:t>Part B</w:t>
      </w:r>
    </w:p>
    <w:p w14:paraId="72A91AA6" w14:textId="77777777" w:rsidR="00532FE1" w:rsidRDefault="00532FE1" w:rsidP="00532FE1">
      <w:pPr>
        <w:pStyle w:val="Heading31"/>
        <w:numPr>
          <w:ilvl w:val="0"/>
          <w:numId w:val="0"/>
        </w:numPr>
        <w:jc w:val="center"/>
      </w:pPr>
    </w:p>
    <w:p w14:paraId="5C7054AE" w14:textId="77777777" w:rsidR="00532FE1" w:rsidRDefault="00532FE1" w:rsidP="00532FE1">
      <w:pPr>
        <w:pStyle w:val="Heading31"/>
        <w:numPr>
          <w:ilvl w:val="0"/>
          <w:numId w:val="0"/>
        </w:numPr>
        <w:jc w:val="center"/>
      </w:pPr>
      <w:r>
        <w:t>OMB Submission</w:t>
      </w:r>
    </w:p>
    <w:p w14:paraId="5C6D7326" w14:textId="77777777" w:rsidR="00532FE1" w:rsidRDefault="00532FE1" w:rsidP="00532FE1">
      <w:pPr>
        <w:pStyle w:val="Heading31"/>
        <w:numPr>
          <w:ilvl w:val="0"/>
          <w:numId w:val="0"/>
        </w:numPr>
        <w:jc w:val="center"/>
      </w:pPr>
    </w:p>
    <w:p w14:paraId="6DE74DC5" w14:textId="77777777" w:rsidR="00532FE1" w:rsidRDefault="00532FE1" w:rsidP="00532FE1">
      <w:pPr>
        <w:pStyle w:val="Heading31"/>
        <w:numPr>
          <w:ilvl w:val="0"/>
          <w:numId w:val="0"/>
        </w:numPr>
        <w:jc w:val="center"/>
      </w:pPr>
    </w:p>
    <w:p w14:paraId="5D9F7E05" w14:textId="77777777" w:rsidR="00532FE1" w:rsidRDefault="00532FE1" w:rsidP="00532FE1">
      <w:pPr>
        <w:pStyle w:val="Heading31"/>
        <w:numPr>
          <w:ilvl w:val="0"/>
          <w:numId w:val="0"/>
        </w:numPr>
        <w:jc w:val="center"/>
      </w:pPr>
    </w:p>
    <w:p w14:paraId="4AB25E9B" w14:textId="77777777" w:rsidR="00532FE1" w:rsidRDefault="00532FE1" w:rsidP="00532FE1">
      <w:pPr>
        <w:pStyle w:val="Heading31"/>
        <w:numPr>
          <w:ilvl w:val="0"/>
          <w:numId w:val="0"/>
        </w:numPr>
        <w:jc w:val="center"/>
      </w:pPr>
    </w:p>
    <w:p w14:paraId="37E44384" w14:textId="77777777" w:rsidR="00532FE1" w:rsidRDefault="00532FE1" w:rsidP="00532FE1">
      <w:pPr>
        <w:pStyle w:val="Heading31"/>
        <w:numPr>
          <w:ilvl w:val="0"/>
          <w:numId w:val="0"/>
        </w:numPr>
        <w:jc w:val="center"/>
      </w:pPr>
    </w:p>
    <w:p w14:paraId="4AFEE54F" w14:textId="77777777" w:rsidR="00532FE1" w:rsidRDefault="00532FE1" w:rsidP="00532FE1">
      <w:pPr>
        <w:pStyle w:val="Heading31"/>
        <w:numPr>
          <w:ilvl w:val="0"/>
          <w:numId w:val="0"/>
        </w:numPr>
        <w:jc w:val="center"/>
      </w:pPr>
    </w:p>
    <w:p w14:paraId="2FAFF70B" w14:textId="77777777" w:rsidR="00532FE1" w:rsidRDefault="00532FE1" w:rsidP="00532FE1">
      <w:pPr>
        <w:pStyle w:val="Heading31"/>
        <w:numPr>
          <w:ilvl w:val="0"/>
          <w:numId w:val="0"/>
        </w:numPr>
        <w:jc w:val="center"/>
      </w:pPr>
    </w:p>
    <w:p w14:paraId="0CA537B1" w14:textId="77777777" w:rsidR="00532FE1" w:rsidRDefault="00532FE1" w:rsidP="00532FE1">
      <w:pPr>
        <w:pStyle w:val="Heading31"/>
        <w:numPr>
          <w:ilvl w:val="0"/>
          <w:numId w:val="0"/>
        </w:numPr>
        <w:jc w:val="center"/>
      </w:pPr>
    </w:p>
    <w:p w14:paraId="39563AD9" w14:textId="77777777" w:rsidR="00532FE1" w:rsidRDefault="00532FE1" w:rsidP="00532FE1">
      <w:pPr>
        <w:pStyle w:val="Heading31"/>
        <w:numPr>
          <w:ilvl w:val="0"/>
          <w:numId w:val="0"/>
        </w:numPr>
        <w:jc w:val="center"/>
      </w:pPr>
    </w:p>
    <w:p w14:paraId="3C1C5D7D" w14:textId="77777777" w:rsidR="00532FE1" w:rsidRDefault="00532FE1" w:rsidP="00532FE1">
      <w:pPr>
        <w:pStyle w:val="Heading31"/>
        <w:numPr>
          <w:ilvl w:val="0"/>
          <w:numId w:val="0"/>
        </w:numPr>
        <w:jc w:val="center"/>
      </w:pPr>
    </w:p>
    <w:p w14:paraId="273B6944" w14:textId="77777777" w:rsidR="00532FE1" w:rsidRDefault="00532FE1" w:rsidP="00532FE1">
      <w:pPr>
        <w:pStyle w:val="Heading31"/>
        <w:numPr>
          <w:ilvl w:val="0"/>
          <w:numId w:val="0"/>
        </w:numPr>
        <w:jc w:val="center"/>
      </w:pPr>
    </w:p>
    <w:p w14:paraId="2D421BEA" w14:textId="77777777" w:rsidR="00532FE1" w:rsidRDefault="00532FE1" w:rsidP="00532FE1">
      <w:pPr>
        <w:jc w:val="center"/>
        <w:rPr>
          <w:b/>
          <w:bCs/>
          <w:sz w:val="26"/>
        </w:rPr>
      </w:pPr>
      <w:r>
        <w:t>DECEMBER 2012</w:t>
      </w:r>
      <w:r>
        <w:br w:type="page"/>
      </w:r>
    </w:p>
    <w:p w14:paraId="5C359B0D" w14:textId="77777777" w:rsidR="00451FDC" w:rsidRDefault="00451FDC">
      <w:pPr>
        <w:pStyle w:val="Heading1"/>
        <w:numPr>
          <w:ilvl w:val="0"/>
          <w:numId w:val="3"/>
        </w:numPr>
        <w:tabs>
          <w:tab w:val="clear" w:pos="720"/>
          <w:tab w:val="num" w:pos="180"/>
        </w:tabs>
        <w:ind w:hanging="900"/>
        <w:rPr>
          <w:b/>
          <w:bCs w:val="0"/>
          <w:sz w:val="26"/>
        </w:rPr>
      </w:pPr>
      <w:r>
        <w:rPr>
          <w:b/>
          <w:bCs w:val="0"/>
          <w:sz w:val="26"/>
        </w:rPr>
        <w:lastRenderedPageBreak/>
        <w:t>Collection of information employing statistical methods</w:t>
      </w:r>
      <w:bookmarkEnd w:id="0"/>
      <w:bookmarkEnd w:id="1"/>
      <w:bookmarkEnd w:id="2"/>
      <w:bookmarkEnd w:id="3"/>
      <w:bookmarkEnd w:id="4"/>
      <w:bookmarkEnd w:id="5"/>
      <w:bookmarkEnd w:id="6"/>
      <w:bookmarkEnd w:id="7"/>
      <w:bookmarkEnd w:id="8"/>
      <w:bookmarkEnd w:id="9"/>
      <w:bookmarkEnd w:id="10"/>
      <w:bookmarkEnd w:id="11"/>
    </w:p>
    <w:p w14:paraId="0F8A20A9" w14:textId="77777777" w:rsidR="00451FDC" w:rsidRDefault="00451FDC"/>
    <w:p w14:paraId="4113AC31" w14:textId="77777777" w:rsidR="00451FDC" w:rsidRDefault="00451FDC">
      <w:pPr>
        <w:pStyle w:val="Heading2"/>
      </w:pPr>
      <w:bookmarkStart w:id="13" w:name="_Toc509372911"/>
      <w:bookmarkStart w:id="14" w:name="_Toc511463208"/>
      <w:bookmarkStart w:id="15" w:name="_Toc511706148"/>
      <w:bookmarkStart w:id="16" w:name="_Toc511706230"/>
      <w:bookmarkStart w:id="17" w:name="_Toc511706595"/>
      <w:bookmarkStart w:id="18" w:name="_Toc511710560"/>
      <w:bookmarkStart w:id="19" w:name="_Toc511809878"/>
      <w:bookmarkStart w:id="20" w:name="_Toc511810613"/>
      <w:bookmarkStart w:id="21" w:name="_Toc512050984"/>
      <w:bookmarkStart w:id="22" w:name="_Toc3880126"/>
      <w:bookmarkStart w:id="23" w:name="_Toc6289524"/>
      <w:bookmarkStart w:id="24" w:name="_Toc6290245"/>
      <w:bookmarkStart w:id="25" w:name="_Toc141087922"/>
      <w:r>
        <w:t>1.</w:t>
      </w:r>
      <w:r>
        <w:tab/>
        <w:t>Respondent Universe</w:t>
      </w:r>
      <w:bookmarkEnd w:id="13"/>
      <w:bookmarkEnd w:id="14"/>
      <w:bookmarkEnd w:id="15"/>
      <w:bookmarkEnd w:id="16"/>
      <w:bookmarkEnd w:id="17"/>
      <w:bookmarkEnd w:id="18"/>
      <w:bookmarkEnd w:id="19"/>
      <w:bookmarkEnd w:id="20"/>
      <w:bookmarkEnd w:id="21"/>
      <w:bookmarkEnd w:id="22"/>
      <w:bookmarkEnd w:id="23"/>
      <w:bookmarkEnd w:id="24"/>
      <w:bookmarkEnd w:id="25"/>
    </w:p>
    <w:p w14:paraId="2AC1A181" w14:textId="77777777" w:rsidR="00BE3B32" w:rsidRPr="00BE3B32" w:rsidRDefault="00BE3B32" w:rsidP="00BE3B32">
      <w:pPr>
        <w:rPr>
          <w:sz w:val="14"/>
          <w:szCs w:val="14"/>
        </w:rPr>
      </w:pPr>
      <w:bookmarkStart w:id="26" w:name="OLE_LINK5"/>
    </w:p>
    <w:p w14:paraId="615D9333" w14:textId="77777777" w:rsidR="006C690E" w:rsidRDefault="006C690E" w:rsidP="00BE3B32">
      <w:r>
        <w:t>The universe of this survey will come from the 2012- 2</w:t>
      </w:r>
      <w:r w:rsidR="00336E7C">
        <w:t xml:space="preserve">013 Common Core of Data public </w:t>
      </w:r>
      <w:r w:rsidR="00BE3B32">
        <w:t>school universe, with a few exceptions.  Boundary data will not be collected from</w:t>
      </w:r>
      <w:r>
        <w:t>:</w:t>
      </w:r>
    </w:p>
    <w:p w14:paraId="5DE4F45A" w14:textId="77777777" w:rsidR="006C690E" w:rsidRDefault="006C690E" w:rsidP="006C690E">
      <w:pPr>
        <w:pStyle w:val="ListParagraph"/>
        <w:numPr>
          <w:ilvl w:val="0"/>
          <w:numId w:val="4"/>
        </w:numPr>
      </w:pPr>
      <w:r>
        <w:t>Regional schools</w:t>
      </w:r>
    </w:p>
    <w:p w14:paraId="337EFEF5" w14:textId="77777777" w:rsidR="006C690E" w:rsidRDefault="006C690E" w:rsidP="006C690E">
      <w:pPr>
        <w:pStyle w:val="ListParagraph"/>
        <w:numPr>
          <w:ilvl w:val="0"/>
          <w:numId w:val="4"/>
        </w:numPr>
      </w:pPr>
      <w:r>
        <w:t>Special Ed schools</w:t>
      </w:r>
    </w:p>
    <w:p w14:paraId="2A07C3D0" w14:textId="77777777" w:rsidR="006C690E" w:rsidRDefault="006C690E" w:rsidP="006C690E">
      <w:pPr>
        <w:pStyle w:val="ListParagraph"/>
        <w:numPr>
          <w:ilvl w:val="0"/>
          <w:numId w:val="4"/>
        </w:numPr>
      </w:pPr>
      <w:r>
        <w:t>Charter schools</w:t>
      </w:r>
    </w:p>
    <w:p w14:paraId="06EFCEFE" w14:textId="77777777" w:rsidR="006C690E" w:rsidRDefault="006C690E" w:rsidP="006C690E">
      <w:pPr>
        <w:pStyle w:val="ListParagraph"/>
        <w:numPr>
          <w:ilvl w:val="0"/>
          <w:numId w:val="4"/>
        </w:numPr>
      </w:pPr>
      <w:r>
        <w:t>Closed schools</w:t>
      </w:r>
    </w:p>
    <w:p w14:paraId="38E4A43D" w14:textId="77777777" w:rsidR="007352F3" w:rsidRDefault="006C690E" w:rsidP="007352F3">
      <w:pPr>
        <w:pStyle w:val="ListParagraph"/>
        <w:numPr>
          <w:ilvl w:val="0"/>
          <w:numId w:val="4"/>
        </w:numPr>
      </w:pPr>
      <w:r>
        <w:t>Open enrollment schools</w:t>
      </w:r>
    </w:p>
    <w:p w14:paraId="367D9A51" w14:textId="77777777" w:rsidR="00451FDC" w:rsidRDefault="00451FDC">
      <w:pPr>
        <w:pStyle w:val="Footer"/>
        <w:tabs>
          <w:tab w:val="clear" w:pos="4320"/>
          <w:tab w:val="clear" w:pos="8640"/>
        </w:tabs>
      </w:pPr>
    </w:p>
    <w:p w14:paraId="0B95ED52" w14:textId="77777777" w:rsidR="00451FDC" w:rsidRDefault="00451FDC">
      <w:pPr>
        <w:pStyle w:val="Heading2"/>
      </w:pPr>
      <w:bookmarkStart w:id="27" w:name="_Toc3880127"/>
      <w:bookmarkStart w:id="28" w:name="_Toc6289525"/>
      <w:bookmarkStart w:id="29" w:name="_Toc6290246"/>
      <w:bookmarkStart w:id="30" w:name="_Toc141087923"/>
      <w:bookmarkEnd w:id="26"/>
      <w:r>
        <w:t>2.</w:t>
      </w:r>
      <w:r>
        <w:tab/>
      </w:r>
      <w:bookmarkStart w:id="31" w:name="_Toc511706149"/>
      <w:bookmarkStart w:id="32" w:name="_Toc511706231"/>
      <w:bookmarkStart w:id="33" w:name="_Toc511706596"/>
      <w:bookmarkStart w:id="34" w:name="_Toc511710561"/>
      <w:bookmarkStart w:id="35" w:name="_Toc511809879"/>
      <w:bookmarkStart w:id="36" w:name="_Toc511810614"/>
      <w:bookmarkStart w:id="37" w:name="_Toc512050985"/>
      <w:r>
        <w:t>Statistical Procedures for Collecting Information</w:t>
      </w:r>
      <w:bookmarkEnd w:id="27"/>
      <w:bookmarkEnd w:id="28"/>
      <w:bookmarkEnd w:id="29"/>
      <w:bookmarkEnd w:id="30"/>
      <w:bookmarkEnd w:id="31"/>
      <w:bookmarkEnd w:id="32"/>
      <w:bookmarkEnd w:id="33"/>
      <w:bookmarkEnd w:id="34"/>
      <w:bookmarkEnd w:id="35"/>
      <w:bookmarkEnd w:id="36"/>
      <w:bookmarkEnd w:id="37"/>
    </w:p>
    <w:p w14:paraId="11BE18BE" w14:textId="77777777" w:rsidR="00BE3B32" w:rsidRPr="00BE3B32" w:rsidRDefault="00BE3B32" w:rsidP="00336E7C">
      <w:pPr>
        <w:pStyle w:val="Heading4"/>
        <w:rPr>
          <w:sz w:val="14"/>
          <w:szCs w:val="14"/>
        </w:rPr>
      </w:pPr>
    </w:p>
    <w:p w14:paraId="44C7DC1B" w14:textId="6F588F7B" w:rsidR="00451FDC" w:rsidRDefault="00BE3B32" w:rsidP="00336E7C">
      <w:pPr>
        <w:pStyle w:val="Heading4"/>
      </w:pPr>
      <w:r>
        <w:t>T</w:t>
      </w:r>
      <w:r w:rsidR="00336E7C" w:rsidRPr="00336E7C">
        <w:t xml:space="preserve">his is a census of the school universe, </w:t>
      </w:r>
      <w:r>
        <w:t xml:space="preserve">thus </w:t>
      </w:r>
      <w:r w:rsidR="00336E7C" w:rsidRPr="00336E7C">
        <w:t>sampling</w:t>
      </w:r>
      <w:r>
        <w:t xml:space="preserve"> will not be utilized</w:t>
      </w:r>
      <w:r w:rsidR="00336E7C" w:rsidRPr="00336E7C">
        <w:t>.</w:t>
      </w:r>
      <w:r w:rsidR="00960154">
        <w:t xml:space="preserve">  We expect </w:t>
      </w:r>
      <w:r w:rsidR="00621415">
        <w:t>approximately</w:t>
      </w:r>
      <w:r w:rsidR="00960154">
        <w:t xml:space="preserve"> 0.8</w:t>
      </w:r>
      <w:r w:rsidR="00621415">
        <w:t>8</w:t>
      </w:r>
      <w:r w:rsidR="00960154">
        <w:t xml:space="preserve"> response rate.</w:t>
      </w:r>
      <w:r w:rsidR="00621415">
        <w:t xml:space="preserve"> </w:t>
      </w:r>
      <w:r w:rsidR="00621415" w:rsidRPr="00621415">
        <w:t>The expected response rate for SABS is based on the experience in the original SABINS and response targets set for SABS. In SABINS, no limit was set on how many times respondents were contacted or over what period of time, and almost all districts in the end provided data. Financial and time limits in SABS, will not allow us to meet the same level of response rate. We already have boundaries for de facto districts</w:t>
      </w:r>
      <w:r w:rsidR="002E4B22">
        <w:t>, so the estimated response r</w:t>
      </w:r>
      <w:r w:rsidR="00621415" w:rsidRPr="00621415">
        <w:t xml:space="preserve">ate is reflected as </w:t>
      </w:r>
      <w:r w:rsidR="00621415">
        <w:t>1.00</w:t>
      </w:r>
      <w:r w:rsidR="00621415" w:rsidRPr="00621415">
        <w:t xml:space="preserve">. For the other schools, a target response rate of </w:t>
      </w:r>
      <w:r w:rsidR="00621415">
        <w:t>0.</w:t>
      </w:r>
      <w:r w:rsidR="00621415" w:rsidRPr="00621415">
        <w:t xml:space="preserve">75 was set, which, based on the SABINS experience we believe is achievable. Across all types of districts this would result approximately in </w:t>
      </w:r>
      <w:r w:rsidR="00621415">
        <w:t>0.</w:t>
      </w:r>
      <w:r w:rsidR="00621415" w:rsidRPr="00621415">
        <w:t>88 response rate.</w:t>
      </w:r>
    </w:p>
    <w:p w14:paraId="4253E2A8" w14:textId="77777777" w:rsidR="00336E7C" w:rsidRPr="00336E7C" w:rsidRDefault="00336E7C" w:rsidP="00336E7C"/>
    <w:p w14:paraId="272B219F" w14:textId="77777777" w:rsidR="00451FDC" w:rsidRDefault="00451FDC">
      <w:pPr>
        <w:pStyle w:val="Heading2"/>
      </w:pPr>
      <w:bookmarkStart w:id="38" w:name="_Toc511706153"/>
      <w:bookmarkStart w:id="39" w:name="_Toc511706235"/>
      <w:bookmarkStart w:id="40" w:name="_Toc511706600"/>
      <w:bookmarkStart w:id="41" w:name="_Toc511710565"/>
      <w:bookmarkStart w:id="42" w:name="_Toc511809883"/>
      <w:bookmarkStart w:id="43" w:name="_Toc511810618"/>
      <w:bookmarkStart w:id="44" w:name="_Toc512050987"/>
      <w:bookmarkStart w:id="45" w:name="_Toc3880128"/>
      <w:bookmarkStart w:id="46" w:name="_Toc6289526"/>
      <w:bookmarkStart w:id="47" w:name="_Toc6290247"/>
      <w:bookmarkStart w:id="48" w:name="_Toc141087924"/>
      <w:r>
        <w:t>3.</w:t>
      </w:r>
      <w:r>
        <w:tab/>
        <w:t>Procedures for Collection of Information</w:t>
      </w:r>
      <w:bookmarkEnd w:id="38"/>
      <w:bookmarkEnd w:id="39"/>
      <w:bookmarkEnd w:id="40"/>
      <w:bookmarkEnd w:id="41"/>
      <w:bookmarkEnd w:id="42"/>
      <w:bookmarkEnd w:id="43"/>
      <w:bookmarkEnd w:id="44"/>
      <w:bookmarkEnd w:id="45"/>
      <w:bookmarkEnd w:id="46"/>
      <w:bookmarkEnd w:id="47"/>
      <w:bookmarkEnd w:id="48"/>
    </w:p>
    <w:p w14:paraId="3CB59B64" w14:textId="77777777" w:rsidR="00BE3B32" w:rsidRPr="00BE3B32" w:rsidRDefault="00BE3B32" w:rsidP="00BE3B32">
      <w:pPr>
        <w:rPr>
          <w:sz w:val="14"/>
          <w:szCs w:val="14"/>
        </w:rPr>
      </w:pPr>
    </w:p>
    <w:p w14:paraId="1E1721DF" w14:textId="33856423" w:rsidR="00127F63" w:rsidRDefault="00127F63" w:rsidP="00621415">
      <w:pPr>
        <w:ind w:left="360"/>
      </w:pPr>
      <w:r>
        <w:t>NCES and Census staff will prepare a list of eligible schools and school districts from the 2012-2013 CCD school universe</w:t>
      </w:r>
      <w:r w:rsidR="00BE3B32">
        <w:t xml:space="preserve"> file</w:t>
      </w:r>
      <w:r w:rsidR="0014313A">
        <w:t xml:space="preserve"> and will categorize districts into three types</w:t>
      </w:r>
      <w:r w:rsidR="00A3794E">
        <w:t>:</w:t>
      </w:r>
    </w:p>
    <w:p w14:paraId="16FDC499" w14:textId="0CE802B0" w:rsidR="00127F63" w:rsidRDefault="00127F63" w:rsidP="00127F63">
      <w:pPr>
        <w:pStyle w:val="ListParagraph"/>
        <w:numPr>
          <w:ilvl w:val="0"/>
          <w:numId w:val="6"/>
        </w:numPr>
      </w:pPr>
      <w:r>
        <w:t>Census Bureau staff will contact the acquired SABIN school district</w:t>
      </w:r>
      <w:r w:rsidR="00CB2DBE">
        <w:t>s</w:t>
      </w:r>
      <w:r>
        <w:t xml:space="preserve"> first to confirm a</w:t>
      </w:r>
      <w:r w:rsidR="00BE3B32">
        <w:t xml:space="preserve">nd update </w:t>
      </w:r>
      <w:r w:rsidR="00A3794E">
        <w:t xml:space="preserve">their </w:t>
      </w:r>
      <w:r w:rsidR="00BE3B32">
        <w:t>school boundaries.</w:t>
      </w:r>
    </w:p>
    <w:p w14:paraId="206BCF71" w14:textId="3AB91BBC" w:rsidR="00127F63" w:rsidRDefault="00127F63" w:rsidP="00127F63">
      <w:pPr>
        <w:pStyle w:val="ListParagraph"/>
        <w:numPr>
          <w:ilvl w:val="0"/>
          <w:numId w:val="6"/>
        </w:numPr>
      </w:pPr>
      <w:r>
        <w:t>Census</w:t>
      </w:r>
      <w:r w:rsidR="00CB2DBE">
        <w:t xml:space="preserve"> staff will contact and confirm</w:t>
      </w:r>
      <w:r>
        <w:t xml:space="preserve"> school district</w:t>
      </w:r>
      <w:r w:rsidR="00BE3B32">
        <w:t>s</w:t>
      </w:r>
      <w:r>
        <w:t xml:space="preserve"> that ha</w:t>
      </w:r>
      <w:r w:rsidR="00BE3B32">
        <w:t>ve</w:t>
      </w:r>
      <w:r>
        <w:t xml:space="preserve"> only one elementary school, </w:t>
      </w:r>
      <w:r w:rsidR="00F47419">
        <w:t xml:space="preserve">one middle </w:t>
      </w:r>
      <w:r>
        <w:t xml:space="preserve">school, and </w:t>
      </w:r>
      <w:r w:rsidR="00F47419">
        <w:t>one</w:t>
      </w:r>
      <w:r>
        <w:t xml:space="preserve"> high school. The district boundary for these school</w:t>
      </w:r>
      <w:r w:rsidR="00A3794E">
        <w:t>s</w:t>
      </w:r>
      <w:r>
        <w:t xml:space="preserve"> will be </w:t>
      </w:r>
      <w:r w:rsidR="00BE3B32">
        <w:t>each</w:t>
      </w:r>
      <w:r>
        <w:t xml:space="preserve"> school</w:t>
      </w:r>
      <w:r w:rsidR="00BE3B32">
        <w:t>’s boundary.</w:t>
      </w:r>
    </w:p>
    <w:p w14:paraId="6301DBD2" w14:textId="77777777" w:rsidR="00127F63" w:rsidRDefault="00F47419" w:rsidP="00127F63">
      <w:pPr>
        <w:pStyle w:val="ListParagraph"/>
        <w:numPr>
          <w:ilvl w:val="0"/>
          <w:numId w:val="6"/>
        </w:numPr>
      </w:pPr>
      <w:r>
        <w:t>Census staff</w:t>
      </w:r>
      <w:r w:rsidR="00127F63">
        <w:t xml:space="preserve"> will </w:t>
      </w:r>
      <w:r>
        <w:t xml:space="preserve">then </w:t>
      </w:r>
      <w:r w:rsidR="00127F63">
        <w:t xml:space="preserve">contact the rest of </w:t>
      </w:r>
      <w:r>
        <w:t xml:space="preserve">the </w:t>
      </w:r>
      <w:r w:rsidR="00127F63">
        <w:t>school districts.</w:t>
      </w:r>
    </w:p>
    <w:p w14:paraId="595AE2DA" w14:textId="77777777" w:rsidR="00164C1A" w:rsidRPr="00164C1A" w:rsidRDefault="00164C1A" w:rsidP="00621415">
      <w:pPr>
        <w:pStyle w:val="ListParagraph"/>
      </w:pPr>
    </w:p>
    <w:p w14:paraId="0EBD9DB0" w14:textId="006B5690" w:rsidR="00164C1A" w:rsidRPr="000A0B51" w:rsidRDefault="00164C1A" w:rsidP="000A0B51">
      <w:pPr>
        <w:pStyle w:val="PlainText"/>
        <w:ind w:left="360"/>
        <w:rPr>
          <w:rFonts w:ascii="Times New Roman" w:hAnsi="Times New Roman"/>
          <w:sz w:val="24"/>
          <w:szCs w:val="24"/>
        </w:rPr>
      </w:pPr>
      <w:r w:rsidRPr="000A0B51">
        <w:rPr>
          <w:rFonts w:ascii="Times New Roman" w:hAnsi="Times New Roman"/>
          <w:sz w:val="24"/>
          <w:szCs w:val="24"/>
        </w:rPr>
        <w:t>NCES’s quality control process uses custom python scripts to confirm the following: all regular schools within a district have a boundary; every geographical point in the district is served by grades K-12; all attributes in the database correspond and conform to set formats</w:t>
      </w:r>
      <w:r w:rsidR="00A3794E">
        <w:rPr>
          <w:rFonts w:ascii="Times New Roman" w:hAnsi="Times New Roman"/>
          <w:sz w:val="24"/>
          <w:szCs w:val="24"/>
        </w:rPr>
        <w:t xml:space="preserve"> (e.g.</w:t>
      </w:r>
      <w:r w:rsidRPr="000A0B51">
        <w:rPr>
          <w:rFonts w:ascii="Times New Roman" w:hAnsi="Times New Roman"/>
          <w:sz w:val="24"/>
          <w:szCs w:val="24"/>
        </w:rPr>
        <w:t>, NCESSCH IDs must be 12 characters</w:t>
      </w:r>
      <w:r w:rsidR="00A3794E">
        <w:rPr>
          <w:rFonts w:ascii="Times New Roman" w:hAnsi="Times New Roman"/>
          <w:sz w:val="24"/>
          <w:szCs w:val="24"/>
        </w:rPr>
        <w:t>)</w:t>
      </w:r>
      <w:r w:rsidRPr="000A0B51">
        <w:rPr>
          <w:rFonts w:ascii="Times New Roman" w:hAnsi="Times New Roman"/>
          <w:sz w:val="24"/>
          <w:szCs w:val="24"/>
        </w:rPr>
        <w:t>; and school points fall within submitted school boundaries.</w:t>
      </w:r>
    </w:p>
    <w:p w14:paraId="1B573046" w14:textId="77777777" w:rsidR="00164C1A" w:rsidRPr="000A0B51" w:rsidRDefault="00164C1A" w:rsidP="000A0B51">
      <w:pPr>
        <w:pStyle w:val="PlainText"/>
        <w:rPr>
          <w:rFonts w:ascii="Times New Roman" w:hAnsi="Times New Roman"/>
          <w:sz w:val="24"/>
          <w:szCs w:val="24"/>
        </w:rPr>
      </w:pPr>
    </w:p>
    <w:p w14:paraId="7AE39DE8" w14:textId="1DA947E4" w:rsidR="00164C1A" w:rsidRPr="000A0B51" w:rsidRDefault="00A9789D" w:rsidP="000A0B51">
      <w:pPr>
        <w:pStyle w:val="PlainText"/>
        <w:ind w:left="360"/>
        <w:rPr>
          <w:rFonts w:ascii="Times New Roman" w:hAnsi="Times New Roman"/>
          <w:sz w:val="24"/>
          <w:szCs w:val="24"/>
        </w:rPr>
      </w:pPr>
      <w:r>
        <w:rPr>
          <w:rFonts w:ascii="Times New Roman" w:hAnsi="Times New Roman"/>
          <w:sz w:val="24"/>
          <w:szCs w:val="24"/>
        </w:rPr>
        <w:t>In anticipation of discrepancies we may discover between the school boundaries already collected by the Censu</w:t>
      </w:r>
      <w:r w:rsidR="001D6A69">
        <w:rPr>
          <w:rFonts w:ascii="Times New Roman" w:hAnsi="Times New Roman"/>
          <w:sz w:val="24"/>
          <w:szCs w:val="24"/>
        </w:rPr>
        <w:t>s</w:t>
      </w:r>
      <w:r>
        <w:rPr>
          <w:rFonts w:ascii="Times New Roman" w:hAnsi="Times New Roman"/>
          <w:sz w:val="24"/>
          <w:szCs w:val="24"/>
        </w:rPr>
        <w:t xml:space="preserve"> Bureau and the district boundaries we will collect, w</w:t>
      </w:r>
      <w:r w:rsidR="00164C1A" w:rsidRPr="000A0B51">
        <w:rPr>
          <w:rFonts w:ascii="Times New Roman" w:hAnsi="Times New Roman"/>
          <w:sz w:val="24"/>
          <w:szCs w:val="24"/>
        </w:rPr>
        <w:t xml:space="preserve">e are currently working on a process to inform the School District Collection team at the Census Bureau about school boundaries </w:t>
      </w:r>
      <w:r w:rsidR="007352F3" w:rsidRPr="001222B1">
        <w:rPr>
          <w:rFonts w:ascii="Times New Roman" w:hAnsi="Times New Roman"/>
          <w:sz w:val="22"/>
          <w:szCs w:val="22"/>
        </w:rPr>
        <w:t xml:space="preserve">that are reported </w:t>
      </w:r>
      <w:r w:rsidR="007352F3">
        <w:rPr>
          <w:rFonts w:ascii="Times New Roman" w:hAnsi="Times New Roman"/>
          <w:sz w:val="22"/>
          <w:szCs w:val="22"/>
        </w:rPr>
        <w:t xml:space="preserve">in this SABS collection that </w:t>
      </w:r>
      <w:r w:rsidR="007352F3" w:rsidRPr="001222B1">
        <w:rPr>
          <w:rFonts w:ascii="Times New Roman" w:hAnsi="Times New Roman"/>
          <w:sz w:val="22"/>
          <w:szCs w:val="22"/>
        </w:rPr>
        <w:t xml:space="preserve">extend </w:t>
      </w:r>
      <w:r>
        <w:rPr>
          <w:rFonts w:ascii="Times New Roman" w:hAnsi="Times New Roman"/>
          <w:sz w:val="22"/>
          <w:szCs w:val="22"/>
        </w:rPr>
        <w:t>beyond</w:t>
      </w:r>
      <w:r w:rsidR="007352F3" w:rsidRPr="001222B1">
        <w:rPr>
          <w:rFonts w:ascii="Times New Roman" w:hAnsi="Times New Roman"/>
          <w:sz w:val="22"/>
          <w:szCs w:val="22"/>
        </w:rPr>
        <w:t xml:space="preserve"> </w:t>
      </w:r>
      <w:r w:rsidR="007352F3">
        <w:rPr>
          <w:rFonts w:ascii="Times New Roman" w:hAnsi="Times New Roman"/>
          <w:sz w:val="22"/>
          <w:szCs w:val="22"/>
        </w:rPr>
        <w:t xml:space="preserve">the </w:t>
      </w:r>
      <w:r>
        <w:rPr>
          <w:rFonts w:ascii="Times New Roman" w:hAnsi="Times New Roman"/>
          <w:sz w:val="22"/>
          <w:szCs w:val="22"/>
        </w:rPr>
        <w:t xml:space="preserve">reported </w:t>
      </w:r>
      <w:r w:rsidR="007352F3">
        <w:rPr>
          <w:rFonts w:ascii="Times New Roman" w:hAnsi="Times New Roman"/>
          <w:sz w:val="22"/>
          <w:szCs w:val="22"/>
        </w:rPr>
        <w:t xml:space="preserve">school district </w:t>
      </w:r>
      <w:r w:rsidR="007352F3" w:rsidRPr="001222B1">
        <w:rPr>
          <w:rFonts w:ascii="Times New Roman" w:hAnsi="Times New Roman"/>
          <w:sz w:val="22"/>
          <w:szCs w:val="22"/>
        </w:rPr>
        <w:t>boundary lines.</w:t>
      </w:r>
    </w:p>
    <w:p w14:paraId="092DBB21" w14:textId="77777777" w:rsidR="00451FDC" w:rsidRDefault="00451FDC">
      <w:pPr>
        <w:pStyle w:val="Normal3"/>
      </w:pPr>
    </w:p>
    <w:p w14:paraId="3A709F8E" w14:textId="77777777" w:rsidR="00451FDC" w:rsidRDefault="00451FDC">
      <w:pPr>
        <w:pStyle w:val="Heading2"/>
      </w:pPr>
      <w:bookmarkStart w:id="49" w:name="_Toc509372913"/>
      <w:bookmarkStart w:id="50" w:name="_Toc511463211"/>
      <w:bookmarkStart w:id="51" w:name="_Toc511706154"/>
      <w:bookmarkStart w:id="52" w:name="_Toc511706236"/>
      <w:bookmarkStart w:id="53" w:name="_Toc511706601"/>
      <w:bookmarkStart w:id="54" w:name="_Toc511710566"/>
      <w:bookmarkStart w:id="55" w:name="_Toc511809884"/>
      <w:bookmarkStart w:id="56" w:name="_Toc511810619"/>
      <w:bookmarkStart w:id="57" w:name="_Toc512050988"/>
      <w:bookmarkStart w:id="58" w:name="_Toc3880129"/>
      <w:bookmarkStart w:id="59" w:name="_Toc6289527"/>
      <w:bookmarkStart w:id="60" w:name="_Toc6290248"/>
      <w:bookmarkStart w:id="61" w:name="_Toc141087925"/>
      <w:r>
        <w:t>4.</w:t>
      </w:r>
      <w:r>
        <w:tab/>
        <w:t>Methods for Maximizing Response Rates</w:t>
      </w:r>
      <w:bookmarkEnd w:id="49"/>
      <w:bookmarkEnd w:id="50"/>
      <w:bookmarkEnd w:id="51"/>
      <w:bookmarkEnd w:id="52"/>
      <w:bookmarkEnd w:id="53"/>
      <w:bookmarkEnd w:id="54"/>
      <w:bookmarkEnd w:id="55"/>
      <w:bookmarkEnd w:id="56"/>
      <w:bookmarkEnd w:id="57"/>
      <w:bookmarkEnd w:id="58"/>
      <w:bookmarkEnd w:id="59"/>
      <w:bookmarkEnd w:id="60"/>
      <w:bookmarkEnd w:id="61"/>
    </w:p>
    <w:p w14:paraId="0DA5D7C4" w14:textId="77777777" w:rsidR="00BE3B32" w:rsidRPr="00BE3B32" w:rsidRDefault="00BE3B32" w:rsidP="00127F63">
      <w:pPr>
        <w:pStyle w:val="ListParagraph"/>
        <w:ind w:left="0"/>
        <w:rPr>
          <w:sz w:val="14"/>
          <w:szCs w:val="14"/>
        </w:rPr>
      </w:pPr>
    </w:p>
    <w:p w14:paraId="2E533121" w14:textId="77777777" w:rsidR="00127F63" w:rsidRDefault="003D6C1A" w:rsidP="00127F63">
      <w:pPr>
        <w:pStyle w:val="ListParagraph"/>
        <w:ind w:left="0"/>
      </w:pPr>
      <w:r>
        <w:t>T</w:t>
      </w:r>
      <w:r w:rsidR="00127F63">
        <w:t>he school service are</w:t>
      </w:r>
      <w:r>
        <w:t>a</w:t>
      </w:r>
      <w:r w:rsidR="006C690E">
        <w:t xml:space="preserve"> boundaries </w:t>
      </w:r>
      <w:r>
        <w:t>will be collected using</w:t>
      </w:r>
      <w:r w:rsidR="006C690E">
        <w:t xml:space="preserve"> </w:t>
      </w:r>
      <w:r w:rsidR="00456C1B">
        <w:t xml:space="preserve">one of the following </w:t>
      </w:r>
      <w:r w:rsidR="006C690E">
        <w:t>methods:</w:t>
      </w:r>
    </w:p>
    <w:p w14:paraId="489077EF" w14:textId="77777777" w:rsidR="00127F63" w:rsidRDefault="00F47419" w:rsidP="00127F63">
      <w:pPr>
        <w:pStyle w:val="ListParagraph"/>
        <w:numPr>
          <w:ilvl w:val="0"/>
          <w:numId w:val="5"/>
        </w:numPr>
      </w:pPr>
      <w:r>
        <w:t xml:space="preserve">Districts </w:t>
      </w:r>
      <w:r w:rsidR="00456C1B">
        <w:t>will</w:t>
      </w:r>
      <w:r>
        <w:t xml:space="preserve"> submit t</w:t>
      </w:r>
      <w:r w:rsidR="0051554B">
        <w:t xml:space="preserve">hrough the </w:t>
      </w:r>
      <w:r w:rsidR="00127F63">
        <w:t>online collection system</w:t>
      </w:r>
      <w:r w:rsidR="00456C1B">
        <w:t>, which</w:t>
      </w:r>
      <w:r w:rsidR="00127F63">
        <w:t xml:space="preserve"> allow</w:t>
      </w:r>
      <w:r w:rsidR="0051554B">
        <w:t>s</w:t>
      </w:r>
      <w:r w:rsidR="00127F63">
        <w:t xml:space="preserve"> </w:t>
      </w:r>
      <w:r w:rsidR="00456C1B">
        <w:t>them</w:t>
      </w:r>
      <w:r w:rsidR="00127F63">
        <w:t xml:space="preserve"> to log in during the collection period to update, subm</w:t>
      </w:r>
      <w:r>
        <w:t>it</w:t>
      </w:r>
      <w:r w:rsidR="00456C1B">
        <w:t>,</w:t>
      </w:r>
      <w:r>
        <w:t xml:space="preserve"> and correct school boundaries</w:t>
      </w:r>
      <w:r w:rsidR="0051554B">
        <w:t>.</w:t>
      </w:r>
      <w:r w:rsidR="00127F63">
        <w:t xml:space="preserve"> The final file will be in the shape file format that c</w:t>
      </w:r>
      <w:r w:rsidR="00456C1B">
        <w:t>an be used by all GIS system;</w:t>
      </w:r>
    </w:p>
    <w:p w14:paraId="6955E776" w14:textId="77777777" w:rsidR="00127F63" w:rsidRDefault="00F47419" w:rsidP="00127F63">
      <w:pPr>
        <w:pStyle w:val="ListParagraph"/>
        <w:numPr>
          <w:ilvl w:val="0"/>
          <w:numId w:val="5"/>
        </w:numPr>
      </w:pPr>
      <w:r>
        <w:t>Districts</w:t>
      </w:r>
      <w:r w:rsidR="00127F63">
        <w:t xml:space="preserve"> </w:t>
      </w:r>
      <w:r w:rsidR="00456C1B">
        <w:t>will</w:t>
      </w:r>
      <w:r w:rsidR="00127F63">
        <w:t xml:space="preserve"> submit </w:t>
      </w:r>
      <w:r w:rsidR="00456C1B">
        <w:t xml:space="preserve">through the online collection system or via email </w:t>
      </w:r>
      <w:r w:rsidR="00127F63">
        <w:t>the</w:t>
      </w:r>
      <w:r w:rsidR="00456C1B">
        <w:t>ir already existing</w:t>
      </w:r>
      <w:r w:rsidR="00127F63">
        <w:t xml:space="preserve"> shape file;</w:t>
      </w:r>
      <w:r w:rsidR="00456C1B">
        <w:t xml:space="preserve"> or</w:t>
      </w:r>
    </w:p>
    <w:p w14:paraId="1F9D7954" w14:textId="77777777" w:rsidR="00D331F4" w:rsidRDefault="00F47419" w:rsidP="00D331F4">
      <w:pPr>
        <w:pStyle w:val="ListParagraph"/>
        <w:numPr>
          <w:ilvl w:val="0"/>
          <w:numId w:val="5"/>
        </w:numPr>
      </w:pPr>
      <w:r>
        <w:t>Districts</w:t>
      </w:r>
      <w:r w:rsidR="00127F63">
        <w:t xml:space="preserve"> </w:t>
      </w:r>
      <w:r w:rsidR="00456C1B">
        <w:t>will</w:t>
      </w:r>
      <w:r w:rsidR="00127F63">
        <w:t xml:space="preserve"> </w:t>
      </w:r>
      <w:r w:rsidR="00456C1B">
        <w:t>submit</w:t>
      </w:r>
      <w:r w:rsidR="00127F63">
        <w:t xml:space="preserve"> the</w:t>
      </w:r>
      <w:r w:rsidR="00456C1B">
        <w:t>ir</w:t>
      </w:r>
      <w:r w:rsidR="00127F63">
        <w:t xml:space="preserve"> paper maps </w:t>
      </w:r>
      <w:r w:rsidR="00456C1B">
        <w:t xml:space="preserve">via mail, which the Census Bureau </w:t>
      </w:r>
      <w:r w:rsidR="00127F63">
        <w:t xml:space="preserve">will digitize </w:t>
      </w:r>
      <w:r w:rsidR="00456C1B">
        <w:t>in</w:t>
      </w:r>
      <w:r w:rsidR="00127F63">
        <w:t>to shape file format.</w:t>
      </w:r>
    </w:p>
    <w:p w14:paraId="77444EB9" w14:textId="77777777" w:rsidR="00686541" w:rsidRDefault="00686541" w:rsidP="00686541"/>
    <w:p w14:paraId="128D0CCA" w14:textId="77777777" w:rsidR="00D331F4" w:rsidRDefault="003E1AB7" w:rsidP="00686541">
      <w:r>
        <w:t>As the survey due date approaches, the Census Bureau will contact nonresponding school districts by phone and mail to encourage thei</w:t>
      </w:r>
      <w:r w:rsidR="00D331F4">
        <w:t xml:space="preserve">r participation in the survey. </w:t>
      </w:r>
    </w:p>
    <w:p w14:paraId="48306558" w14:textId="77777777" w:rsidR="00D331F4" w:rsidRDefault="00D331F4" w:rsidP="00686541"/>
    <w:p w14:paraId="03ACB125" w14:textId="77777777" w:rsidR="003E1AB7" w:rsidRDefault="003E1AB7" w:rsidP="00686541">
      <w:r>
        <w:t>NCES also attempts to maximize response by reducing response burden. The</w:t>
      </w:r>
      <w:r w:rsidRPr="003E1AB7">
        <w:t xml:space="preserve"> </w:t>
      </w:r>
      <w:r>
        <w:t>Census staff will contact and confirm school districts that have only one elementary school, one middle school, and one high school and set the district boundary as the school’s boundary.  Also, the district that already have reported 2010-2011 school boundaries will only have to make changes to the schools that had a boundary change.  The ones that did not change will only have to be confirmed.</w:t>
      </w:r>
    </w:p>
    <w:p w14:paraId="1314998F" w14:textId="77777777" w:rsidR="00D331F4" w:rsidRDefault="00D331F4" w:rsidP="00686541"/>
    <w:p w14:paraId="1853B082" w14:textId="77777777" w:rsidR="00451FDC" w:rsidRDefault="00451FDC"/>
    <w:p w14:paraId="5DA72F7C" w14:textId="77777777" w:rsidR="00451FDC" w:rsidRDefault="00451FDC">
      <w:pPr>
        <w:pStyle w:val="Heading2"/>
      </w:pPr>
      <w:bookmarkStart w:id="62" w:name="_Toc509372914"/>
      <w:bookmarkStart w:id="63" w:name="_Toc511463212"/>
      <w:bookmarkStart w:id="64" w:name="_Toc511706155"/>
      <w:bookmarkStart w:id="65" w:name="_Toc511706237"/>
      <w:bookmarkStart w:id="66" w:name="_Toc511706602"/>
      <w:bookmarkStart w:id="67" w:name="_Toc511710567"/>
      <w:bookmarkStart w:id="68" w:name="_Toc511809885"/>
      <w:bookmarkStart w:id="69" w:name="_Toc511810620"/>
      <w:bookmarkStart w:id="70" w:name="_Toc512050989"/>
      <w:bookmarkStart w:id="71" w:name="_Toc3880130"/>
      <w:bookmarkStart w:id="72" w:name="_Toc6289528"/>
      <w:bookmarkStart w:id="73" w:name="_Toc6290249"/>
      <w:bookmarkStart w:id="74" w:name="_Toc141087926"/>
      <w:r>
        <w:t>5.</w:t>
      </w:r>
      <w:r>
        <w:tab/>
        <w:t>Tests of Procedures and Methods</w:t>
      </w:r>
      <w:bookmarkEnd w:id="62"/>
      <w:bookmarkEnd w:id="63"/>
      <w:bookmarkEnd w:id="64"/>
      <w:bookmarkEnd w:id="65"/>
      <w:bookmarkEnd w:id="66"/>
      <w:bookmarkEnd w:id="67"/>
      <w:bookmarkEnd w:id="68"/>
      <w:bookmarkEnd w:id="69"/>
      <w:bookmarkEnd w:id="70"/>
      <w:bookmarkEnd w:id="71"/>
      <w:bookmarkEnd w:id="72"/>
      <w:bookmarkEnd w:id="73"/>
      <w:bookmarkEnd w:id="74"/>
    </w:p>
    <w:p w14:paraId="71D59417" w14:textId="77777777" w:rsidR="00BE3B32" w:rsidRPr="00BE3B32" w:rsidRDefault="00BE3B32" w:rsidP="00127F63">
      <w:pPr>
        <w:rPr>
          <w:sz w:val="14"/>
          <w:szCs w:val="14"/>
        </w:rPr>
      </w:pPr>
    </w:p>
    <w:p w14:paraId="299F33B6" w14:textId="77777777" w:rsidR="00127F63" w:rsidRPr="00804B5F" w:rsidRDefault="00127F63" w:rsidP="00127F63">
      <w:r>
        <w:t xml:space="preserve">The </w:t>
      </w:r>
      <w:r w:rsidR="00D278E3">
        <w:t>SABS</w:t>
      </w:r>
      <w:r>
        <w:t xml:space="preserve"> system </w:t>
      </w:r>
      <w:r w:rsidR="00456C1B">
        <w:t>will</w:t>
      </w:r>
      <w:r>
        <w:t xml:space="preserve"> us</w:t>
      </w:r>
      <w:r w:rsidR="00456C1B">
        <w:t>e</w:t>
      </w:r>
      <w:r>
        <w:t xml:space="preserve"> cloud technology</w:t>
      </w:r>
      <w:r w:rsidR="00456C1B">
        <w:t xml:space="preserve"> </w:t>
      </w:r>
      <w:r>
        <w:t>maintained and updated by</w:t>
      </w:r>
      <w:r w:rsidR="00F47419">
        <w:t xml:space="preserve"> </w:t>
      </w:r>
      <w:r>
        <w:t>NCES</w:t>
      </w:r>
      <w:r w:rsidR="00456C1B">
        <w:t>’s</w:t>
      </w:r>
      <w:r>
        <w:t xml:space="preserve"> contractor</w:t>
      </w:r>
      <w:r w:rsidR="00456C1B">
        <w:t xml:space="preserve">, Sanametrix, who </w:t>
      </w:r>
      <w:r>
        <w:t xml:space="preserve">will </w:t>
      </w:r>
      <w:r w:rsidR="00456C1B">
        <w:t xml:space="preserve">daily </w:t>
      </w:r>
      <w:r>
        <w:t xml:space="preserve">review and update the school boundaries </w:t>
      </w:r>
      <w:r w:rsidR="00456C1B">
        <w:t>data during the data collection period.</w:t>
      </w:r>
      <w:r>
        <w:t xml:space="preserve"> </w:t>
      </w:r>
    </w:p>
    <w:p w14:paraId="5B8FA29C" w14:textId="77777777" w:rsidR="00451FDC" w:rsidRDefault="00451FDC"/>
    <w:p w14:paraId="305E1E2E" w14:textId="77777777" w:rsidR="00451FDC" w:rsidRDefault="00451FDC">
      <w:pPr>
        <w:pStyle w:val="Heading2"/>
      </w:pPr>
      <w:bookmarkStart w:id="75" w:name="_Toc509372915"/>
      <w:bookmarkStart w:id="76" w:name="_Toc511463213"/>
      <w:bookmarkStart w:id="77" w:name="_Toc511706156"/>
      <w:bookmarkStart w:id="78" w:name="_Toc511706238"/>
      <w:bookmarkStart w:id="79" w:name="_Toc511706603"/>
      <w:bookmarkStart w:id="80" w:name="_Toc511710568"/>
      <w:bookmarkStart w:id="81" w:name="_Toc511809886"/>
      <w:bookmarkStart w:id="82" w:name="_Toc511810621"/>
      <w:bookmarkStart w:id="83" w:name="_Toc512050990"/>
      <w:bookmarkStart w:id="84" w:name="_Toc3880131"/>
      <w:bookmarkStart w:id="85" w:name="_Toc6289529"/>
      <w:bookmarkStart w:id="86" w:name="_Toc6290250"/>
      <w:bookmarkStart w:id="87" w:name="_Toc141087927"/>
      <w:r>
        <w:t>6.</w:t>
      </w:r>
      <w:r>
        <w:tab/>
        <w:t>Reviewing Statisticians</w:t>
      </w:r>
      <w:bookmarkEnd w:id="75"/>
      <w:bookmarkEnd w:id="76"/>
      <w:bookmarkEnd w:id="77"/>
      <w:bookmarkEnd w:id="78"/>
      <w:bookmarkEnd w:id="79"/>
      <w:bookmarkEnd w:id="80"/>
      <w:bookmarkEnd w:id="81"/>
      <w:bookmarkEnd w:id="82"/>
      <w:bookmarkEnd w:id="83"/>
      <w:bookmarkEnd w:id="84"/>
      <w:bookmarkEnd w:id="85"/>
      <w:bookmarkEnd w:id="86"/>
      <w:bookmarkEnd w:id="87"/>
    </w:p>
    <w:p w14:paraId="25B88695" w14:textId="77777777" w:rsidR="00BE3B32" w:rsidRPr="00BE3B32" w:rsidRDefault="00BE3B32">
      <w:pPr>
        <w:rPr>
          <w:sz w:val="14"/>
          <w:szCs w:val="14"/>
        </w:rPr>
      </w:pPr>
    </w:p>
    <w:p w14:paraId="330FBAA0" w14:textId="77777777" w:rsidR="00451FDC" w:rsidRDefault="00456C1B">
      <w:r>
        <w:t xml:space="preserve">Tai Phan, of NCES, is the SABS program director and </w:t>
      </w:r>
      <w:r w:rsidR="00451FDC">
        <w:t>Marilyn Seastrom</w:t>
      </w:r>
      <w:r>
        <w:t xml:space="preserve"> is</w:t>
      </w:r>
      <w:r w:rsidR="00451FDC">
        <w:t xml:space="preserve"> </w:t>
      </w:r>
      <w:r>
        <w:t xml:space="preserve">the </w:t>
      </w:r>
      <w:r w:rsidR="00451FDC">
        <w:t>Chief Statistician</w:t>
      </w:r>
      <w:r>
        <w:t xml:space="preserve"> for NCES</w:t>
      </w:r>
      <w:r w:rsidR="00451FDC">
        <w:t xml:space="preserve"> consulted on technical aspects o</w:t>
      </w:r>
      <w:r w:rsidR="00EB77DB">
        <w:t>f the data collection.</w:t>
      </w:r>
    </w:p>
    <w:sectPr w:rsidR="00451FDC" w:rsidSect="00BE3B32">
      <w:headerReference w:type="default" r:id="rId9"/>
      <w:footerReference w:type="default" r:id="rId10"/>
      <w:pgSz w:w="12240" w:h="15840" w:code="1"/>
      <w:pgMar w:top="1008" w:right="1296" w:bottom="1008" w:left="1296"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6F7E1" w14:textId="77777777" w:rsidR="000A0B51" w:rsidRDefault="000A0B51">
      <w:r>
        <w:separator/>
      </w:r>
    </w:p>
  </w:endnote>
  <w:endnote w:type="continuationSeparator" w:id="0">
    <w:p w14:paraId="6E56B03D" w14:textId="77777777" w:rsidR="000A0B51" w:rsidRDefault="000A0B51">
      <w:r>
        <w:continuationSeparator/>
      </w:r>
    </w:p>
  </w:endnote>
  <w:endnote w:type="continuationNotice" w:id="1">
    <w:p w14:paraId="3762BD4B" w14:textId="77777777" w:rsidR="000A0B51" w:rsidRDefault="000A0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30F05" w14:textId="77777777" w:rsidR="000A0B51" w:rsidRDefault="000A0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ACC9B" w14:textId="77777777" w:rsidR="000A0B51" w:rsidRDefault="000A0B51">
      <w:r>
        <w:separator/>
      </w:r>
    </w:p>
  </w:footnote>
  <w:footnote w:type="continuationSeparator" w:id="0">
    <w:p w14:paraId="03ECB653" w14:textId="77777777" w:rsidR="000A0B51" w:rsidRDefault="000A0B51">
      <w:r>
        <w:continuationSeparator/>
      </w:r>
    </w:p>
  </w:footnote>
  <w:footnote w:type="continuationNotice" w:id="1">
    <w:p w14:paraId="45FC99A1" w14:textId="77777777" w:rsidR="000A0B51" w:rsidRDefault="000A0B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E6174" w14:textId="77777777" w:rsidR="000A0B51" w:rsidRDefault="000A0B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381D"/>
    <w:multiLevelType w:val="singleLevel"/>
    <w:tmpl w:val="18802C70"/>
    <w:lvl w:ilvl="0">
      <w:start w:val="1"/>
      <w:numFmt w:val="upperLetter"/>
      <w:pStyle w:val="Heading31"/>
      <w:lvlText w:val="%1."/>
      <w:lvlJc w:val="left"/>
      <w:pPr>
        <w:tabs>
          <w:tab w:val="num" w:pos="360"/>
        </w:tabs>
        <w:ind w:left="360" w:hanging="360"/>
      </w:pPr>
      <w:rPr>
        <w:rFonts w:cs="Times New Roman"/>
      </w:rPr>
    </w:lvl>
  </w:abstractNum>
  <w:abstractNum w:abstractNumId="1">
    <w:nsid w:val="17C50796"/>
    <w:multiLevelType w:val="hybridMultilevel"/>
    <w:tmpl w:val="913C5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076CD"/>
    <w:multiLevelType w:val="hybridMultilevel"/>
    <w:tmpl w:val="B6824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04F8B"/>
    <w:multiLevelType w:val="hybridMultilevel"/>
    <w:tmpl w:val="4F4EB908"/>
    <w:lvl w:ilvl="0" w:tplc="C39A829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24626C"/>
    <w:multiLevelType w:val="hybridMultilevel"/>
    <w:tmpl w:val="36D61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70582"/>
    <w:multiLevelType w:val="hybridMultilevel"/>
    <w:tmpl w:val="0F6AA862"/>
    <w:lvl w:ilvl="0" w:tplc="DF30BE88">
      <w:start w:val="2"/>
      <w:numFmt w:val="upp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134BC6"/>
    <w:multiLevelType w:val="multilevel"/>
    <w:tmpl w:val="8A58B94C"/>
    <w:lvl w:ilvl="0">
      <w:start w:val="1"/>
      <w:numFmt w:val="upperLetter"/>
      <w:pStyle w:val="Heading1"/>
      <w:lvlText w:val="%1."/>
      <w:lvlJc w:val="left"/>
      <w:pPr>
        <w:tabs>
          <w:tab w:val="num" w:pos="360"/>
        </w:tabs>
        <w:ind w:left="0" w:firstLine="0"/>
      </w:pPr>
    </w:lvl>
    <w:lvl w:ilvl="1">
      <w:start w:val="1"/>
      <w:numFmt w:val="decimal"/>
      <w:lvlText w:val="A%2."/>
      <w:lvlJc w:val="left"/>
      <w:pPr>
        <w:tabs>
          <w:tab w:val="num" w:pos="144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73CA68C9"/>
    <w:multiLevelType w:val="hybridMultilevel"/>
    <w:tmpl w:val="B6824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1"/>
  </w:num>
  <w:num w:numId="6">
    <w:abstractNumId w:val="7"/>
  </w:num>
  <w:num w:numId="7">
    <w:abstractNumId w:val="0"/>
  </w:num>
  <w:num w:numId="8">
    <w:abstractNumId w:val="0"/>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631D1"/>
    <w:rsid w:val="0006675E"/>
    <w:rsid w:val="000A0B51"/>
    <w:rsid w:val="00127F63"/>
    <w:rsid w:val="0014313A"/>
    <w:rsid w:val="00164C1A"/>
    <w:rsid w:val="001D6A69"/>
    <w:rsid w:val="00222DC8"/>
    <w:rsid w:val="00233396"/>
    <w:rsid w:val="002864E9"/>
    <w:rsid w:val="002C05CC"/>
    <w:rsid w:val="002C2347"/>
    <w:rsid w:val="002E4B22"/>
    <w:rsid w:val="00336E7C"/>
    <w:rsid w:val="003631D1"/>
    <w:rsid w:val="00365FFC"/>
    <w:rsid w:val="0037196E"/>
    <w:rsid w:val="003D6C1A"/>
    <w:rsid w:val="003E1AB7"/>
    <w:rsid w:val="00451FDC"/>
    <w:rsid w:val="00456C1B"/>
    <w:rsid w:val="0051554B"/>
    <w:rsid w:val="0051652E"/>
    <w:rsid w:val="005309F8"/>
    <w:rsid w:val="00532FE1"/>
    <w:rsid w:val="0060077C"/>
    <w:rsid w:val="00610131"/>
    <w:rsid w:val="00617FE3"/>
    <w:rsid w:val="00621415"/>
    <w:rsid w:val="00686541"/>
    <w:rsid w:val="006C690E"/>
    <w:rsid w:val="007352F3"/>
    <w:rsid w:val="00737279"/>
    <w:rsid w:val="008713B7"/>
    <w:rsid w:val="008E7D5E"/>
    <w:rsid w:val="00960154"/>
    <w:rsid w:val="00971515"/>
    <w:rsid w:val="00A3794E"/>
    <w:rsid w:val="00A73BDD"/>
    <w:rsid w:val="00A9789D"/>
    <w:rsid w:val="00AA2F08"/>
    <w:rsid w:val="00AF48AD"/>
    <w:rsid w:val="00B1084F"/>
    <w:rsid w:val="00BE3B32"/>
    <w:rsid w:val="00C46C89"/>
    <w:rsid w:val="00CB2DBE"/>
    <w:rsid w:val="00D278E3"/>
    <w:rsid w:val="00D331F4"/>
    <w:rsid w:val="00EB77DB"/>
    <w:rsid w:val="00F47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tabs>
        <w:tab w:val="left" w:pos="504"/>
        <w:tab w:val="left" w:pos="720"/>
        <w:tab w:val="left" w:pos="1170"/>
        <w:tab w:val="left" w:pos="2880"/>
      </w:tabs>
      <w:outlineLvl w:val="0"/>
    </w:pPr>
    <w:rPr>
      <w:bCs/>
      <w:caps/>
      <w:sz w:val="32"/>
      <w:szCs w:val="20"/>
    </w:rPr>
  </w:style>
  <w:style w:type="paragraph" w:styleId="Heading2">
    <w:name w:val="heading 2"/>
    <w:basedOn w:val="Normal"/>
    <w:next w:val="Normal"/>
    <w:autoRedefine/>
    <w:qFormat/>
    <w:pPr>
      <w:keepNext/>
      <w:tabs>
        <w:tab w:val="left" w:pos="180"/>
        <w:tab w:val="left" w:pos="1170"/>
        <w:tab w:val="left" w:pos="2880"/>
      </w:tabs>
      <w:ind w:hanging="90"/>
      <w:outlineLvl w:val="1"/>
    </w:pPr>
    <w:rPr>
      <w:b/>
      <w:szCs w:val="20"/>
    </w:rPr>
  </w:style>
  <w:style w:type="paragraph" w:styleId="Heading4">
    <w:name w:val="heading 4"/>
    <w:basedOn w:val="Normal"/>
    <w:next w:val="Normal"/>
    <w:autoRedefine/>
    <w:qFormat/>
    <w:rsid w:val="00336E7C"/>
    <w:pPr>
      <w:keepNext/>
      <w:tabs>
        <w:tab w:val="left" w:pos="720"/>
        <w:tab w:val="left" w:pos="1170"/>
        <w:tab w:val="left" w:pos="2880"/>
      </w:tabs>
      <w:ind w:left="288"/>
      <w:outlineLvl w:val="3"/>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left" w:pos="720"/>
        <w:tab w:val="left" w:pos="1170"/>
        <w:tab w:val="left" w:pos="2880"/>
        <w:tab w:val="center" w:pos="4320"/>
        <w:tab w:val="right" w:pos="8640"/>
      </w:tabs>
      <w:ind w:left="288"/>
    </w:pPr>
    <w:rPr>
      <w:bCs/>
      <w:szCs w:val="20"/>
    </w:rPr>
  </w:style>
  <w:style w:type="paragraph" w:customStyle="1" w:styleId="Normal3">
    <w:name w:val="Normal3"/>
    <w:basedOn w:val="Normal"/>
    <w:pPr>
      <w:tabs>
        <w:tab w:val="left" w:pos="720"/>
        <w:tab w:val="left" w:pos="1170"/>
        <w:tab w:val="left" w:pos="2880"/>
      </w:tabs>
      <w:ind w:left="288"/>
    </w:pPr>
    <w:rPr>
      <w:b/>
      <w:bCs/>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pPr>
      <w:tabs>
        <w:tab w:val="left" w:pos="720"/>
        <w:tab w:val="left" w:pos="1170"/>
        <w:tab w:val="left" w:pos="2880"/>
      </w:tabs>
      <w:ind w:left="288"/>
    </w:pPr>
    <w:rPr>
      <w:bCs/>
      <w:sz w:val="20"/>
      <w:szCs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sid w:val="005309F8"/>
    <w:rPr>
      <w:rFonts w:ascii="Tahoma" w:hAnsi="Tahoma" w:cs="Tahoma"/>
      <w:sz w:val="16"/>
      <w:szCs w:val="16"/>
    </w:rPr>
  </w:style>
  <w:style w:type="paragraph" w:styleId="ListParagraph">
    <w:name w:val="List Paragraph"/>
    <w:basedOn w:val="Normal"/>
    <w:uiPriority w:val="34"/>
    <w:qFormat/>
    <w:rsid w:val="00B1084F"/>
    <w:pPr>
      <w:ind w:left="720"/>
      <w:contextualSpacing/>
    </w:pPr>
  </w:style>
  <w:style w:type="paragraph" w:customStyle="1" w:styleId="Heading31">
    <w:name w:val="Heading3 1"/>
    <w:basedOn w:val="Normal"/>
    <w:uiPriority w:val="99"/>
    <w:rsid w:val="00532FE1"/>
    <w:pPr>
      <w:numPr>
        <w:numId w:val="7"/>
      </w:numPr>
      <w:tabs>
        <w:tab w:val="left" w:pos="1170"/>
        <w:tab w:val="left" w:pos="2880"/>
        <w:tab w:val="left" w:leader="dot" w:pos="9180"/>
      </w:tabs>
      <w:ind w:right="-180"/>
    </w:pPr>
    <w:rPr>
      <w:bCs/>
      <w:caps/>
      <w:sz w:val="32"/>
    </w:rPr>
  </w:style>
  <w:style w:type="paragraph" w:styleId="CommentSubject">
    <w:name w:val="annotation subject"/>
    <w:basedOn w:val="CommentText"/>
    <w:next w:val="CommentText"/>
    <w:link w:val="CommentSubjectChar"/>
    <w:uiPriority w:val="99"/>
    <w:semiHidden/>
    <w:unhideWhenUsed/>
    <w:rsid w:val="00960154"/>
    <w:pPr>
      <w:tabs>
        <w:tab w:val="clear" w:pos="720"/>
        <w:tab w:val="clear" w:pos="1170"/>
        <w:tab w:val="clear" w:pos="2880"/>
      </w:tabs>
      <w:ind w:left="0"/>
    </w:pPr>
    <w:rPr>
      <w:b/>
    </w:rPr>
  </w:style>
  <w:style w:type="character" w:customStyle="1" w:styleId="CommentTextChar">
    <w:name w:val="Comment Text Char"/>
    <w:basedOn w:val="DefaultParagraphFont"/>
    <w:link w:val="CommentText"/>
    <w:semiHidden/>
    <w:rsid w:val="00960154"/>
    <w:rPr>
      <w:bCs/>
    </w:rPr>
  </w:style>
  <w:style w:type="character" w:customStyle="1" w:styleId="CommentSubjectChar">
    <w:name w:val="Comment Subject Char"/>
    <w:basedOn w:val="CommentTextChar"/>
    <w:link w:val="CommentSubject"/>
    <w:uiPriority w:val="99"/>
    <w:semiHidden/>
    <w:rsid w:val="00960154"/>
    <w:rPr>
      <w:b/>
      <w:bCs/>
    </w:rPr>
  </w:style>
  <w:style w:type="paragraph" w:styleId="PlainText">
    <w:name w:val="Plain Text"/>
    <w:basedOn w:val="Normal"/>
    <w:link w:val="PlainTextChar"/>
    <w:uiPriority w:val="99"/>
    <w:unhideWhenUsed/>
    <w:rsid w:val="00164C1A"/>
    <w:rPr>
      <w:rFonts w:ascii="Consolas" w:eastAsia="Calibri" w:hAnsi="Consolas"/>
      <w:sz w:val="21"/>
      <w:szCs w:val="21"/>
    </w:rPr>
  </w:style>
  <w:style w:type="character" w:customStyle="1" w:styleId="PlainTextChar">
    <w:name w:val="Plain Text Char"/>
    <w:basedOn w:val="DefaultParagraphFont"/>
    <w:link w:val="PlainText"/>
    <w:uiPriority w:val="99"/>
    <w:rsid w:val="00164C1A"/>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tabs>
        <w:tab w:val="left" w:pos="504"/>
        <w:tab w:val="left" w:pos="720"/>
        <w:tab w:val="left" w:pos="1170"/>
        <w:tab w:val="left" w:pos="2880"/>
      </w:tabs>
      <w:outlineLvl w:val="0"/>
    </w:pPr>
    <w:rPr>
      <w:bCs/>
      <w:caps/>
      <w:sz w:val="32"/>
      <w:szCs w:val="20"/>
    </w:rPr>
  </w:style>
  <w:style w:type="paragraph" w:styleId="Heading2">
    <w:name w:val="heading 2"/>
    <w:basedOn w:val="Normal"/>
    <w:next w:val="Normal"/>
    <w:autoRedefine/>
    <w:qFormat/>
    <w:pPr>
      <w:keepNext/>
      <w:tabs>
        <w:tab w:val="left" w:pos="180"/>
        <w:tab w:val="left" w:pos="1170"/>
        <w:tab w:val="left" w:pos="2880"/>
      </w:tabs>
      <w:ind w:hanging="90"/>
      <w:outlineLvl w:val="1"/>
    </w:pPr>
    <w:rPr>
      <w:b/>
      <w:szCs w:val="20"/>
    </w:rPr>
  </w:style>
  <w:style w:type="paragraph" w:styleId="Heading4">
    <w:name w:val="heading 4"/>
    <w:basedOn w:val="Normal"/>
    <w:next w:val="Normal"/>
    <w:autoRedefine/>
    <w:qFormat/>
    <w:rsid w:val="00336E7C"/>
    <w:pPr>
      <w:keepNext/>
      <w:tabs>
        <w:tab w:val="left" w:pos="720"/>
        <w:tab w:val="left" w:pos="1170"/>
        <w:tab w:val="left" w:pos="2880"/>
      </w:tabs>
      <w:ind w:left="288"/>
      <w:outlineLvl w:val="3"/>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left" w:pos="720"/>
        <w:tab w:val="left" w:pos="1170"/>
        <w:tab w:val="left" w:pos="2880"/>
        <w:tab w:val="center" w:pos="4320"/>
        <w:tab w:val="right" w:pos="8640"/>
      </w:tabs>
      <w:ind w:left="288"/>
    </w:pPr>
    <w:rPr>
      <w:bCs/>
      <w:szCs w:val="20"/>
    </w:rPr>
  </w:style>
  <w:style w:type="paragraph" w:customStyle="1" w:styleId="Normal3">
    <w:name w:val="Normal3"/>
    <w:basedOn w:val="Normal"/>
    <w:pPr>
      <w:tabs>
        <w:tab w:val="left" w:pos="720"/>
        <w:tab w:val="left" w:pos="1170"/>
        <w:tab w:val="left" w:pos="2880"/>
      </w:tabs>
      <w:ind w:left="288"/>
    </w:pPr>
    <w:rPr>
      <w:b/>
      <w:bCs/>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pPr>
      <w:tabs>
        <w:tab w:val="left" w:pos="720"/>
        <w:tab w:val="left" w:pos="1170"/>
        <w:tab w:val="left" w:pos="2880"/>
      </w:tabs>
      <w:ind w:left="288"/>
    </w:pPr>
    <w:rPr>
      <w:bCs/>
      <w:sz w:val="20"/>
      <w:szCs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sid w:val="005309F8"/>
    <w:rPr>
      <w:rFonts w:ascii="Tahoma" w:hAnsi="Tahoma" w:cs="Tahoma"/>
      <w:sz w:val="16"/>
      <w:szCs w:val="16"/>
    </w:rPr>
  </w:style>
  <w:style w:type="paragraph" w:styleId="ListParagraph">
    <w:name w:val="List Paragraph"/>
    <w:basedOn w:val="Normal"/>
    <w:uiPriority w:val="34"/>
    <w:qFormat/>
    <w:rsid w:val="00B1084F"/>
    <w:pPr>
      <w:ind w:left="720"/>
      <w:contextualSpacing/>
    </w:pPr>
  </w:style>
  <w:style w:type="paragraph" w:customStyle="1" w:styleId="Heading31">
    <w:name w:val="Heading3 1"/>
    <w:basedOn w:val="Normal"/>
    <w:uiPriority w:val="99"/>
    <w:rsid w:val="00532FE1"/>
    <w:pPr>
      <w:numPr>
        <w:numId w:val="7"/>
      </w:numPr>
      <w:tabs>
        <w:tab w:val="left" w:pos="1170"/>
        <w:tab w:val="left" w:pos="2880"/>
        <w:tab w:val="left" w:leader="dot" w:pos="9180"/>
      </w:tabs>
      <w:ind w:right="-180"/>
    </w:pPr>
    <w:rPr>
      <w:bCs/>
      <w:caps/>
      <w:sz w:val="32"/>
    </w:rPr>
  </w:style>
  <w:style w:type="paragraph" w:styleId="CommentSubject">
    <w:name w:val="annotation subject"/>
    <w:basedOn w:val="CommentText"/>
    <w:next w:val="CommentText"/>
    <w:link w:val="CommentSubjectChar"/>
    <w:uiPriority w:val="99"/>
    <w:semiHidden/>
    <w:unhideWhenUsed/>
    <w:rsid w:val="00960154"/>
    <w:pPr>
      <w:tabs>
        <w:tab w:val="clear" w:pos="720"/>
        <w:tab w:val="clear" w:pos="1170"/>
        <w:tab w:val="clear" w:pos="2880"/>
      </w:tabs>
      <w:ind w:left="0"/>
    </w:pPr>
    <w:rPr>
      <w:b/>
    </w:rPr>
  </w:style>
  <w:style w:type="character" w:customStyle="1" w:styleId="CommentTextChar">
    <w:name w:val="Comment Text Char"/>
    <w:basedOn w:val="DefaultParagraphFont"/>
    <w:link w:val="CommentText"/>
    <w:semiHidden/>
    <w:rsid w:val="00960154"/>
    <w:rPr>
      <w:bCs/>
    </w:rPr>
  </w:style>
  <w:style w:type="character" w:customStyle="1" w:styleId="CommentSubjectChar">
    <w:name w:val="Comment Subject Char"/>
    <w:basedOn w:val="CommentTextChar"/>
    <w:link w:val="CommentSubject"/>
    <w:uiPriority w:val="99"/>
    <w:semiHidden/>
    <w:rsid w:val="00960154"/>
    <w:rPr>
      <w:b/>
      <w:bCs/>
    </w:rPr>
  </w:style>
  <w:style w:type="paragraph" w:styleId="PlainText">
    <w:name w:val="Plain Text"/>
    <w:basedOn w:val="Normal"/>
    <w:link w:val="PlainTextChar"/>
    <w:uiPriority w:val="99"/>
    <w:unhideWhenUsed/>
    <w:rsid w:val="00164C1A"/>
    <w:rPr>
      <w:rFonts w:ascii="Consolas" w:eastAsia="Calibri" w:hAnsi="Consolas"/>
      <w:sz w:val="21"/>
      <w:szCs w:val="21"/>
    </w:rPr>
  </w:style>
  <w:style w:type="character" w:customStyle="1" w:styleId="PlainTextChar">
    <w:name w:val="Plain Text Char"/>
    <w:basedOn w:val="DefaultParagraphFont"/>
    <w:link w:val="PlainText"/>
    <w:uiPriority w:val="99"/>
    <w:rsid w:val="00164C1A"/>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B4F1-2787-4E43-8DCE-472DE71DB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B</vt:lpstr>
    </vt:vector>
  </TitlesOfParts>
  <Company>US Census Bureau</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harde302</dc:creator>
  <cp:lastModifiedBy>katrina.ingalls</cp:lastModifiedBy>
  <cp:revision>2</cp:revision>
  <cp:lastPrinted>2012-12-05T13:11:00Z</cp:lastPrinted>
  <dcterms:created xsi:type="dcterms:W3CDTF">2013-06-07T13:18:00Z</dcterms:created>
  <dcterms:modified xsi:type="dcterms:W3CDTF">2013-06-07T13:18:00Z</dcterms:modified>
</cp:coreProperties>
</file>