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7F3" w:rsidRPr="00737E8A" w:rsidRDefault="00AD07F3" w:rsidP="00AD07F3">
      <w:pPr>
        <w:jc w:val="center"/>
        <w:rPr>
          <w:rFonts w:ascii="Arial" w:hAnsi="Arial" w:cs="Arial"/>
          <w:sz w:val="32"/>
          <w:szCs w:val="32"/>
        </w:rPr>
      </w:pPr>
      <w:bookmarkStart w:id="0" w:name="_GoBack"/>
      <w:bookmarkEnd w:id="0"/>
      <w:r w:rsidRPr="00737E8A">
        <w:rPr>
          <w:rFonts w:ascii="Arial" w:hAnsi="Arial" w:cs="Arial"/>
          <w:sz w:val="32"/>
          <w:szCs w:val="32"/>
        </w:rPr>
        <w:t>RFS2 Engineering Review Template</w:t>
      </w:r>
    </w:p>
    <w:p w:rsidR="00AD07F3" w:rsidRDefault="00AD07F3" w:rsidP="00AD07F3">
      <w:pPr>
        <w:jc w:val="center"/>
        <w:rPr>
          <w:rFonts w:ascii="Arial" w:hAnsi="Arial" w:cs="Arial"/>
          <w:b/>
          <w:sz w:val="24"/>
        </w:rPr>
      </w:pPr>
      <w:r w:rsidRPr="004E1CA4">
        <w:rPr>
          <w:rFonts w:ascii="Arial" w:hAnsi="Arial" w:cs="Arial"/>
          <w:b/>
          <w:sz w:val="24"/>
        </w:rPr>
        <w:t>Executive Summary</w:t>
      </w:r>
    </w:p>
    <w:p w:rsidR="00BF182D" w:rsidRDefault="00BF182D" w:rsidP="00AD07F3">
      <w:pPr>
        <w:jc w:val="center"/>
        <w:rPr>
          <w:rFonts w:ascii="Arial" w:hAnsi="Arial" w:cs="Arial"/>
          <w:b/>
          <w:sz w:val="24"/>
        </w:rPr>
      </w:pPr>
    </w:p>
    <w:p w:rsidR="00BF182D" w:rsidRDefault="00BF182D" w:rsidP="00AD07F3">
      <w:pPr>
        <w:jc w:val="center"/>
        <w:rPr>
          <w:rFonts w:ascii="Arial" w:hAnsi="Arial" w:cs="Arial"/>
          <w:b/>
          <w:sz w:val="24"/>
        </w:rPr>
      </w:pPr>
    </w:p>
    <w:p w:rsidR="00BF182D" w:rsidRDefault="00BF182D" w:rsidP="00AD07F3">
      <w:pPr>
        <w:jc w:val="center"/>
        <w:rPr>
          <w:rFonts w:ascii="Arial" w:hAnsi="Arial" w:cs="Arial"/>
          <w:b/>
          <w:sz w:val="24"/>
        </w:rPr>
      </w:pPr>
    </w:p>
    <w:p w:rsidR="00BF182D" w:rsidRDefault="00BF182D" w:rsidP="00AD07F3">
      <w:pPr>
        <w:jc w:val="center"/>
        <w:rPr>
          <w:rFonts w:ascii="Arial" w:hAnsi="Arial" w:cs="Arial"/>
          <w:b/>
          <w:sz w:val="24"/>
        </w:rPr>
      </w:pPr>
    </w:p>
    <w:p w:rsidR="00BF182D" w:rsidRDefault="00BF182D" w:rsidP="00BF182D">
      <w:pPr>
        <w:pStyle w:val="NoSpacing"/>
        <w:jc w:val="center"/>
      </w:pPr>
      <w:r>
        <w:t>Compliance Division</w:t>
      </w:r>
    </w:p>
    <w:p w:rsidR="00BF182D" w:rsidRDefault="00BF182D" w:rsidP="00BF182D">
      <w:pPr>
        <w:pStyle w:val="NoSpacing"/>
        <w:jc w:val="center"/>
      </w:pPr>
      <w:r>
        <w:t>Office of Transportation and Air Quality</w:t>
      </w:r>
    </w:p>
    <w:p w:rsidR="00BF182D" w:rsidRPr="004E1CA4" w:rsidRDefault="00BF182D" w:rsidP="00BF182D">
      <w:pPr>
        <w:pStyle w:val="NoSpacing"/>
        <w:jc w:val="center"/>
        <w:rPr>
          <w:rFonts w:ascii="Arial" w:hAnsi="Arial" w:cs="Arial"/>
          <w:b/>
          <w:sz w:val="24"/>
        </w:rPr>
      </w:pPr>
      <w:r>
        <w:t>U.S. Environmental Protection Agency</w:t>
      </w:r>
    </w:p>
    <w:p w:rsidR="00AD07F3" w:rsidRDefault="00AD07F3" w:rsidP="000B1751">
      <w:pPr>
        <w:spacing w:before="100" w:beforeAutospacing="1" w:after="100" w:afterAutospacing="1"/>
        <w:ind w:left="2160"/>
        <w:rPr>
          <w:rFonts w:ascii="Times New Roman" w:hAnsi="Times New Roman" w:cs="Times New Roman"/>
          <w:sz w:val="24"/>
          <w:szCs w:val="24"/>
        </w:rPr>
      </w:pPr>
    </w:p>
    <w:p w:rsidR="006C1C70" w:rsidRDefault="006C1C70" w:rsidP="000B1751">
      <w:pPr>
        <w:spacing w:before="100" w:beforeAutospacing="1" w:after="100" w:afterAutospacing="1"/>
        <w:ind w:left="2160"/>
        <w:rPr>
          <w:rFonts w:ascii="Times New Roman" w:hAnsi="Times New Roman" w:cs="Times New Roman"/>
          <w:sz w:val="24"/>
          <w:szCs w:val="24"/>
        </w:rPr>
      </w:pPr>
    </w:p>
    <w:p w:rsidR="006C1C70" w:rsidRDefault="006C1C70" w:rsidP="000B1751">
      <w:pPr>
        <w:spacing w:before="100" w:beforeAutospacing="1" w:after="100" w:afterAutospacing="1"/>
        <w:ind w:left="2160"/>
        <w:rPr>
          <w:rFonts w:ascii="Times New Roman" w:hAnsi="Times New Roman" w:cs="Times New Roman"/>
          <w:sz w:val="24"/>
          <w:szCs w:val="24"/>
        </w:rPr>
      </w:pPr>
    </w:p>
    <w:p w:rsidR="006C1C70" w:rsidRDefault="006C1C70" w:rsidP="000B1751">
      <w:pPr>
        <w:spacing w:before="100" w:beforeAutospacing="1" w:after="100" w:afterAutospacing="1"/>
        <w:ind w:left="2160"/>
        <w:rPr>
          <w:rFonts w:ascii="Times New Roman" w:hAnsi="Times New Roman" w:cs="Times New Roman"/>
          <w:sz w:val="24"/>
          <w:szCs w:val="24"/>
        </w:rPr>
      </w:pPr>
    </w:p>
    <w:p w:rsidR="006C1C70" w:rsidRDefault="006C1C70" w:rsidP="000B1751">
      <w:pPr>
        <w:spacing w:before="100" w:beforeAutospacing="1" w:after="100" w:afterAutospacing="1"/>
        <w:ind w:left="2160"/>
        <w:rPr>
          <w:rFonts w:ascii="Times New Roman" w:hAnsi="Times New Roman" w:cs="Times New Roman"/>
          <w:sz w:val="24"/>
          <w:szCs w:val="24"/>
        </w:rPr>
      </w:pPr>
    </w:p>
    <w:p w:rsidR="006C1C70" w:rsidRDefault="006C1C70" w:rsidP="000B1751">
      <w:pPr>
        <w:spacing w:before="100" w:beforeAutospacing="1" w:after="100" w:afterAutospacing="1"/>
        <w:ind w:left="2160"/>
        <w:rPr>
          <w:rFonts w:ascii="Times New Roman" w:hAnsi="Times New Roman" w:cs="Times New Roman"/>
          <w:sz w:val="24"/>
          <w:szCs w:val="24"/>
        </w:rPr>
      </w:pPr>
    </w:p>
    <w:p w:rsidR="000B1751" w:rsidRPr="006C1C70" w:rsidRDefault="000B1751" w:rsidP="007B3F8C">
      <w:pPr>
        <w:spacing w:before="100" w:beforeAutospacing="1" w:after="100" w:afterAutospacing="1"/>
        <w:ind w:left="1440" w:right="720"/>
        <w:jc w:val="both"/>
        <w:rPr>
          <w:rFonts w:ascii="Times New Roman" w:hAnsi="Times New Roman" w:cs="Times New Roman"/>
          <w:sz w:val="20"/>
          <w:szCs w:val="20"/>
        </w:rPr>
      </w:pPr>
      <w:r w:rsidRPr="006C1C70">
        <w:rPr>
          <w:rFonts w:ascii="Times New Roman" w:hAnsi="Times New Roman" w:cs="Times New Roman"/>
          <w:sz w:val="20"/>
          <w:szCs w:val="20"/>
        </w:rPr>
        <w:t>"The public reporting and recordkeeping burden for this collection of information is estimated to average 24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w:t>
      </w:r>
      <w:r w:rsidR="00BF182D" w:rsidRPr="006C1C70">
        <w:rPr>
          <w:rFonts w:ascii="Times New Roman" w:hAnsi="Times New Roman" w:cs="Times New Roman"/>
          <w:sz w:val="20"/>
          <w:szCs w:val="20"/>
        </w:rPr>
        <w:t xml:space="preserve"> RFS2 Engineering Review</w:t>
      </w:r>
      <w:r w:rsidRPr="006C1C70">
        <w:rPr>
          <w:rFonts w:ascii="Times New Roman" w:hAnsi="Times New Roman" w:cs="Times New Roman"/>
          <w:sz w:val="20"/>
          <w:szCs w:val="20"/>
        </w:rPr>
        <w:t xml:space="preserve"> to this address."</w:t>
      </w:r>
    </w:p>
    <w:p w:rsidR="002471FD" w:rsidRDefault="002471FD" w:rsidP="00641072">
      <w:pPr>
        <w:jc w:val="center"/>
        <w:rPr>
          <w:rFonts w:ascii="Arial" w:hAnsi="Arial" w:cs="Arial"/>
          <w:sz w:val="32"/>
          <w:szCs w:val="32"/>
        </w:rPr>
      </w:pPr>
    </w:p>
    <w:p w:rsidR="000B1751" w:rsidRDefault="000B1751" w:rsidP="00641072">
      <w:pPr>
        <w:jc w:val="center"/>
        <w:rPr>
          <w:rFonts w:ascii="Arial" w:hAnsi="Arial" w:cs="Arial"/>
          <w:sz w:val="32"/>
          <w:szCs w:val="32"/>
        </w:rPr>
      </w:pPr>
    </w:p>
    <w:p w:rsidR="000B1751" w:rsidRDefault="000B1751" w:rsidP="00641072">
      <w:pPr>
        <w:jc w:val="center"/>
        <w:rPr>
          <w:rFonts w:ascii="Arial" w:hAnsi="Arial" w:cs="Arial"/>
          <w:sz w:val="32"/>
          <w:szCs w:val="32"/>
        </w:rPr>
      </w:pPr>
    </w:p>
    <w:p w:rsidR="00641072" w:rsidRPr="00737E8A" w:rsidRDefault="00641072" w:rsidP="00BC24A1">
      <w:pPr>
        <w:jc w:val="center"/>
        <w:rPr>
          <w:rFonts w:ascii="Arial" w:hAnsi="Arial" w:cs="Arial"/>
          <w:sz w:val="32"/>
          <w:szCs w:val="32"/>
        </w:rPr>
      </w:pPr>
      <w:r w:rsidRPr="00737E8A">
        <w:rPr>
          <w:rFonts w:ascii="Arial" w:hAnsi="Arial" w:cs="Arial"/>
          <w:sz w:val="32"/>
          <w:szCs w:val="32"/>
        </w:rPr>
        <w:lastRenderedPageBreak/>
        <w:t>RFS2 Engineering Review Template</w:t>
      </w:r>
    </w:p>
    <w:p w:rsidR="00374265" w:rsidRPr="004E1CA4" w:rsidRDefault="00A96101" w:rsidP="00374265">
      <w:pPr>
        <w:jc w:val="center"/>
        <w:rPr>
          <w:rFonts w:ascii="Arial" w:hAnsi="Arial" w:cs="Arial"/>
          <w:b/>
          <w:sz w:val="24"/>
        </w:rPr>
      </w:pPr>
      <w:r w:rsidRPr="004E1CA4">
        <w:rPr>
          <w:rFonts w:ascii="Arial" w:hAnsi="Arial" w:cs="Arial"/>
          <w:b/>
          <w:sz w:val="24"/>
        </w:rPr>
        <w:t>Executive Summary</w:t>
      </w:r>
    </w:p>
    <w:p w:rsidR="00820F4A" w:rsidRPr="003566EE" w:rsidRDefault="00A96101" w:rsidP="00374265">
      <w:pPr>
        <w:rPr>
          <w:rFonts w:ascii="Arial" w:hAnsi="Arial" w:cs="Arial"/>
        </w:rPr>
      </w:pPr>
      <w:r>
        <w:rPr>
          <w:rFonts w:ascii="Arial" w:hAnsi="Arial" w:cs="Arial"/>
        </w:rPr>
        <w:t xml:space="preserve">Facility Name:  </w:t>
      </w:r>
    </w:p>
    <w:p w:rsidR="00820F4A" w:rsidRPr="003566EE" w:rsidRDefault="00A96101" w:rsidP="00374265">
      <w:pPr>
        <w:rPr>
          <w:rFonts w:ascii="Arial" w:hAnsi="Arial" w:cs="Arial"/>
        </w:rPr>
      </w:pPr>
      <w:r>
        <w:rPr>
          <w:rFonts w:ascii="Arial" w:hAnsi="Arial" w:cs="Arial"/>
        </w:rPr>
        <w:t>Facility Address:</w:t>
      </w:r>
    </w:p>
    <w:p w:rsidR="00820F4A" w:rsidRPr="003566EE" w:rsidRDefault="00A96101" w:rsidP="00374265">
      <w:pPr>
        <w:rPr>
          <w:rFonts w:ascii="Arial" w:hAnsi="Arial" w:cs="Arial"/>
        </w:rPr>
      </w:pPr>
      <w:r>
        <w:rPr>
          <w:rFonts w:ascii="Arial" w:hAnsi="Arial" w:cs="Arial"/>
        </w:rPr>
        <w:t>Date of on-site review:</w:t>
      </w:r>
    </w:p>
    <w:p w:rsidR="00820F4A" w:rsidRPr="003566EE" w:rsidRDefault="00A96101" w:rsidP="00374265">
      <w:pPr>
        <w:rPr>
          <w:rFonts w:ascii="Arial" w:hAnsi="Arial" w:cs="Arial"/>
        </w:rPr>
      </w:pPr>
      <w:r>
        <w:rPr>
          <w:rFonts w:ascii="Arial" w:hAnsi="Arial" w:cs="Arial"/>
        </w:rPr>
        <w:t>Date of Report:</w:t>
      </w:r>
    </w:p>
    <w:p w:rsidR="00257258" w:rsidRPr="003566EE" w:rsidRDefault="00364B98" w:rsidP="00374265">
      <w:pPr>
        <w:rPr>
          <w:rFonts w:ascii="Arial" w:hAnsi="Arial" w:cs="Arial"/>
          <w:color w:val="000000"/>
          <w:shd w:val="clear" w:color="auto" w:fill="FFFFFF"/>
        </w:rPr>
      </w:pPr>
      <w:hyperlink r:id="rId7" w:anchor="40:17.0.1.1.9.13.93.28" w:history="1">
        <w:r w:rsidR="00A96101">
          <w:rPr>
            <w:rStyle w:val="Hyperlink"/>
            <w:rFonts w:ascii="Arial" w:hAnsi="Arial" w:cs="Arial"/>
          </w:rPr>
          <w:t>80.1450</w:t>
        </w:r>
      </w:hyperlink>
      <w:r w:rsidR="00A96101" w:rsidRPr="00A96101">
        <w:rPr>
          <w:rFonts w:ascii="Arial" w:hAnsi="Arial" w:cs="Arial"/>
        </w:rPr>
        <w:t>(b</w:t>
      </w:r>
      <w:proofErr w:type="gramStart"/>
      <w:r w:rsidR="00A96101" w:rsidRPr="00A96101">
        <w:rPr>
          <w:rFonts w:ascii="Arial" w:hAnsi="Arial" w:cs="Arial"/>
        </w:rPr>
        <w:t>)(</w:t>
      </w:r>
      <w:proofErr w:type="gramEnd"/>
      <w:r w:rsidR="00A96101" w:rsidRPr="00A96101">
        <w:rPr>
          <w:rFonts w:ascii="Arial" w:hAnsi="Arial" w:cs="Arial"/>
        </w:rPr>
        <w:t xml:space="preserve">2): </w:t>
      </w:r>
      <w:r w:rsidR="00A96101" w:rsidRPr="00A96101">
        <w:rPr>
          <w:rFonts w:ascii="Arial" w:hAnsi="Arial" w:cs="Arial"/>
          <w:color w:val="000000"/>
          <w:shd w:val="clear" w:color="auto" w:fill="FFFFFF"/>
        </w:rPr>
        <w:t>An independent third-party engineering review and written report and verification of the information provided pursuant to paragraph (b)(1) of this section. The report and verification shall be based upon a site visit and review of relevant documents and shall separately identify each item required by paragraph (b</w:t>
      </w:r>
      <w:proofErr w:type="gramStart"/>
      <w:r w:rsidR="00A96101" w:rsidRPr="00A96101">
        <w:rPr>
          <w:rFonts w:ascii="Arial" w:hAnsi="Arial" w:cs="Arial"/>
          <w:color w:val="000000"/>
          <w:shd w:val="clear" w:color="auto" w:fill="FFFFFF"/>
        </w:rPr>
        <w:t>)(</w:t>
      </w:r>
      <w:proofErr w:type="gramEnd"/>
      <w:r w:rsidR="00A96101" w:rsidRPr="00A96101">
        <w:rPr>
          <w:rFonts w:ascii="Arial" w:hAnsi="Arial" w:cs="Arial"/>
          <w:color w:val="000000"/>
          <w:shd w:val="clear" w:color="auto" w:fill="FFFFFF"/>
        </w:rPr>
        <w:t>1) of this section, describe how the independent third-party evaluated the accuracy of the information provided, state whether the independent third-party agrees with the information provided, and identify any exceptions between the independent third-party's findings and the information provided.</w:t>
      </w:r>
    </w:p>
    <w:p w:rsidR="00257258" w:rsidRPr="003566EE" w:rsidRDefault="00A96101" w:rsidP="00374265">
      <w:pPr>
        <w:rPr>
          <w:rFonts w:ascii="Arial" w:hAnsi="Arial" w:cs="Arial"/>
        </w:rPr>
      </w:pPr>
      <w:r w:rsidRPr="00A96101">
        <w:rPr>
          <w:rFonts w:ascii="Arial" w:hAnsi="Arial" w:cs="Arial"/>
          <w:color w:val="000000"/>
          <w:shd w:val="clear" w:color="auto" w:fill="FFFFFF"/>
        </w:rPr>
        <w:t xml:space="preserve">Summary:  </w:t>
      </w:r>
    </w:p>
    <w:p w:rsidR="00A55F7D" w:rsidRPr="003566EE" w:rsidRDefault="00A96101" w:rsidP="00374265">
      <w:pPr>
        <w:rPr>
          <w:rFonts w:ascii="Arial" w:hAnsi="Arial" w:cs="Arial"/>
        </w:rPr>
      </w:pPr>
      <w:r w:rsidRPr="00A96101">
        <w:rPr>
          <w:rFonts w:ascii="Arial" w:hAnsi="Arial" w:cs="Arial"/>
        </w:rPr>
        <w:t xml:space="preserve">Professional engineer’s affirmation of third-party independence per </w:t>
      </w:r>
      <w:hyperlink r:id="rId8" w:anchor="40:17.0.1.1.9.13.93.28" w:history="1">
        <w:r>
          <w:rPr>
            <w:rStyle w:val="Hyperlink"/>
            <w:rFonts w:ascii="Arial" w:hAnsi="Arial" w:cs="Arial"/>
          </w:rPr>
          <w:t>80.1450</w:t>
        </w:r>
      </w:hyperlink>
      <w:r w:rsidRPr="00A96101">
        <w:rPr>
          <w:rFonts w:ascii="Arial" w:hAnsi="Arial" w:cs="Arial"/>
        </w:rPr>
        <w:t>(b</w:t>
      </w:r>
      <w:proofErr w:type="gramStart"/>
      <w:r w:rsidRPr="00A96101">
        <w:rPr>
          <w:rFonts w:ascii="Arial" w:hAnsi="Arial" w:cs="Arial"/>
        </w:rPr>
        <w:t>)(</w:t>
      </w:r>
      <w:proofErr w:type="gramEnd"/>
      <w:r w:rsidRPr="00A96101">
        <w:rPr>
          <w:rFonts w:ascii="Arial" w:hAnsi="Arial" w:cs="Arial"/>
        </w:rPr>
        <w:t>2):</w:t>
      </w:r>
    </w:p>
    <w:p w:rsidR="001C1F1F" w:rsidRPr="003566EE" w:rsidRDefault="00A96101" w:rsidP="001C1F1F">
      <w:pPr>
        <w:rPr>
          <w:rFonts w:ascii="Arial" w:hAnsi="Arial" w:cs="Arial"/>
        </w:rPr>
      </w:pPr>
      <w:r w:rsidRPr="00A96101">
        <w:rPr>
          <w:rFonts w:ascii="Arial" w:hAnsi="Arial" w:cs="Arial"/>
        </w:rPr>
        <w:t>Name of third-party independent professional engineer:</w:t>
      </w:r>
    </w:p>
    <w:p w:rsidR="006C1C70" w:rsidRPr="006C1C70" w:rsidRDefault="00A96101" w:rsidP="006C1C70">
      <w:pPr>
        <w:rPr>
          <w:rFonts w:ascii="Arial" w:hAnsi="Arial" w:cs="Arial"/>
        </w:rPr>
      </w:pPr>
      <w:r w:rsidRPr="00A96101">
        <w:rPr>
          <w:rFonts w:ascii="Arial" w:hAnsi="Arial" w:cs="Arial"/>
        </w:rPr>
        <w:t>P</w:t>
      </w:r>
      <w:r w:rsidR="00641072">
        <w:rPr>
          <w:rFonts w:ascii="Arial" w:hAnsi="Arial" w:cs="Arial"/>
        </w:rPr>
        <w:t>rofessional engineer’s signature and stamp (if applicable)</w:t>
      </w:r>
      <w:r w:rsidRPr="00A96101">
        <w:rPr>
          <w:rFonts w:ascii="Arial" w:hAnsi="Arial" w:cs="Arial"/>
        </w:rPr>
        <w:t xml:space="preserve">:  </w:t>
      </w:r>
    </w:p>
    <w:p w:rsidR="00A55F7D" w:rsidRPr="003566EE" w:rsidRDefault="00A96101" w:rsidP="0073332F">
      <w:pPr>
        <w:pStyle w:val="ListParagraph"/>
        <w:numPr>
          <w:ilvl w:val="0"/>
          <w:numId w:val="4"/>
        </w:numPr>
        <w:rPr>
          <w:rFonts w:ascii="Arial" w:hAnsi="Arial" w:cs="Arial"/>
        </w:rPr>
      </w:pPr>
      <w:r w:rsidRPr="00A96101">
        <w:rPr>
          <w:rFonts w:ascii="Arial" w:hAnsi="Arial" w:cs="Arial"/>
          <w:color w:val="000000"/>
          <w:shd w:val="clear" w:color="auto" w:fill="FFFFFF"/>
        </w:rPr>
        <w:t>A description of the types of renewable fuels or ethanol that the producer intends to produce at the facility and that the facility is capable of producing without significant modifications to the existing facility</w:t>
      </w:r>
      <w:r w:rsidRPr="00A96101">
        <w:rPr>
          <w:rFonts w:ascii="Arial" w:hAnsi="Arial" w:cs="Arial"/>
        </w:rPr>
        <w:t>:</w:t>
      </w:r>
    </w:p>
    <w:p w:rsidR="006B44BB" w:rsidRPr="003566EE" w:rsidRDefault="006B44BB" w:rsidP="006B44BB">
      <w:pPr>
        <w:rPr>
          <w:rFonts w:ascii="Arial" w:hAnsi="Arial" w:cs="Arial"/>
        </w:rPr>
      </w:pPr>
    </w:p>
    <w:p w:rsidR="00A55F7D" w:rsidRPr="003566EE" w:rsidRDefault="00A96101" w:rsidP="0073332F">
      <w:pPr>
        <w:pStyle w:val="ListParagraph"/>
        <w:numPr>
          <w:ilvl w:val="0"/>
          <w:numId w:val="4"/>
        </w:numPr>
        <w:rPr>
          <w:rFonts w:ascii="Arial" w:hAnsi="Arial" w:cs="Arial"/>
        </w:rPr>
      </w:pPr>
      <w:r w:rsidRPr="00A96101">
        <w:rPr>
          <w:rFonts w:ascii="Arial" w:hAnsi="Arial" w:cs="Arial"/>
        </w:rPr>
        <w:t>A list of all the feedstocks the facility is capable of utilizing without significant modification to the existing facility:</w:t>
      </w:r>
    </w:p>
    <w:p w:rsidR="00A55F7D" w:rsidRPr="003566EE" w:rsidRDefault="00A55F7D" w:rsidP="006B44BB">
      <w:pPr>
        <w:rPr>
          <w:rFonts w:ascii="Arial" w:hAnsi="Arial" w:cs="Arial"/>
        </w:rPr>
      </w:pPr>
    </w:p>
    <w:p w:rsidR="006B44BB" w:rsidRPr="003566EE" w:rsidRDefault="00A96101" w:rsidP="0073332F">
      <w:pPr>
        <w:pStyle w:val="ListParagraph"/>
        <w:numPr>
          <w:ilvl w:val="0"/>
          <w:numId w:val="4"/>
        </w:numPr>
        <w:rPr>
          <w:rFonts w:ascii="Arial" w:hAnsi="Arial" w:cs="Arial"/>
        </w:rPr>
      </w:pPr>
      <w:r w:rsidRPr="00A96101">
        <w:rPr>
          <w:rFonts w:ascii="Arial" w:hAnsi="Arial" w:cs="Arial"/>
        </w:rPr>
        <w:t>A description of the facility's renewable fuel or ethanol production processes:</w:t>
      </w:r>
    </w:p>
    <w:p w:rsidR="006B44BB" w:rsidRPr="003566EE" w:rsidRDefault="006B44BB" w:rsidP="006B44BB">
      <w:pPr>
        <w:rPr>
          <w:rFonts w:ascii="Arial" w:hAnsi="Arial" w:cs="Arial"/>
        </w:rPr>
      </w:pPr>
    </w:p>
    <w:p w:rsidR="006B44BB" w:rsidRPr="003566EE" w:rsidRDefault="00A96101" w:rsidP="0073332F">
      <w:pPr>
        <w:pStyle w:val="ListParagraph"/>
        <w:numPr>
          <w:ilvl w:val="0"/>
          <w:numId w:val="4"/>
        </w:numPr>
        <w:rPr>
          <w:rFonts w:ascii="Arial" w:hAnsi="Arial" w:cs="Arial"/>
        </w:rPr>
      </w:pPr>
      <w:r w:rsidRPr="00A96101">
        <w:rPr>
          <w:rFonts w:ascii="Arial" w:hAnsi="Arial" w:cs="Arial"/>
        </w:rPr>
        <w:t>The type of co-products produced with each type of renewable fuel or ethanol:</w:t>
      </w:r>
    </w:p>
    <w:p w:rsidR="006B44BB" w:rsidRPr="003566EE" w:rsidRDefault="006B44BB" w:rsidP="00374265">
      <w:pPr>
        <w:rPr>
          <w:rFonts w:ascii="Arial" w:hAnsi="Arial" w:cs="Arial"/>
        </w:rPr>
      </w:pPr>
    </w:p>
    <w:p w:rsidR="00916E09" w:rsidRPr="003566EE" w:rsidRDefault="00A96101" w:rsidP="00916E09">
      <w:pPr>
        <w:pStyle w:val="ListParagraph"/>
        <w:numPr>
          <w:ilvl w:val="0"/>
          <w:numId w:val="4"/>
        </w:numPr>
        <w:rPr>
          <w:rFonts w:ascii="Arial" w:hAnsi="Arial" w:cs="Arial"/>
        </w:rPr>
      </w:pPr>
      <w:r w:rsidRPr="00A96101">
        <w:rPr>
          <w:rFonts w:ascii="Arial" w:hAnsi="Arial" w:cs="Arial"/>
        </w:rPr>
        <w:t xml:space="preserve">Verification of the attached process heat fuel supply plan (See </w:t>
      </w:r>
      <w:hyperlink r:id="rId9" w:anchor="40:17.0.1.1.9.13.93.28" w:history="1">
        <w:r>
          <w:rPr>
            <w:rStyle w:val="Hyperlink"/>
            <w:rFonts w:ascii="Arial" w:hAnsi="Arial" w:cs="Arial"/>
          </w:rPr>
          <w:t>1450</w:t>
        </w:r>
      </w:hyperlink>
      <w:r w:rsidRPr="00A96101">
        <w:rPr>
          <w:rFonts w:ascii="Arial" w:hAnsi="Arial" w:cs="Arial"/>
        </w:rPr>
        <w:t>(b</w:t>
      </w:r>
      <w:proofErr w:type="gramStart"/>
      <w:r w:rsidRPr="00A96101">
        <w:rPr>
          <w:rFonts w:ascii="Arial" w:hAnsi="Arial" w:cs="Arial"/>
        </w:rPr>
        <w:t>)(</w:t>
      </w:r>
      <w:proofErr w:type="gramEnd"/>
      <w:r w:rsidRPr="00A96101">
        <w:rPr>
          <w:rFonts w:ascii="Arial" w:hAnsi="Arial" w:cs="Arial"/>
        </w:rPr>
        <w:t>1)(A)).  A process heat supply plan should include:</w:t>
      </w:r>
    </w:p>
    <w:p w:rsidR="005F7C85" w:rsidRPr="003566EE" w:rsidRDefault="00A96101" w:rsidP="00880B7C">
      <w:pPr>
        <w:ind w:left="720"/>
        <w:rPr>
          <w:rFonts w:ascii="Arial" w:hAnsi="Arial" w:cs="Arial"/>
        </w:rPr>
      </w:pPr>
      <w:proofErr w:type="gramStart"/>
      <w:r w:rsidRPr="00A96101">
        <w:rPr>
          <w:rStyle w:val="Emphasis"/>
          <w:rFonts w:ascii="Arial" w:hAnsi="Arial" w:cs="Arial"/>
        </w:rPr>
        <w:lastRenderedPageBreak/>
        <w:t>( 1</w:t>
      </w:r>
      <w:proofErr w:type="gramEnd"/>
      <w:r w:rsidRPr="00A96101">
        <w:rPr>
          <w:rStyle w:val="Emphasis"/>
          <w:rFonts w:ascii="Arial" w:hAnsi="Arial" w:cs="Arial"/>
        </w:rPr>
        <w:t> ) Each type of process heat fuel used at the facility.</w:t>
      </w:r>
      <w:r w:rsidRPr="00A96101">
        <w:rPr>
          <w:rFonts w:ascii="Arial" w:hAnsi="Arial" w:cs="Arial"/>
          <w:i/>
          <w:iCs/>
        </w:rPr>
        <w:br/>
      </w:r>
      <w:proofErr w:type="gramStart"/>
      <w:r w:rsidRPr="00A96101">
        <w:rPr>
          <w:rStyle w:val="Emphasis"/>
          <w:rFonts w:ascii="Arial" w:hAnsi="Arial" w:cs="Arial"/>
        </w:rPr>
        <w:t>( 2</w:t>
      </w:r>
      <w:proofErr w:type="gramEnd"/>
      <w:r w:rsidRPr="00A96101">
        <w:rPr>
          <w:rStyle w:val="Emphasis"/>
          <w:rFonts w:ascii="Arial" w:hAnsi="Arial" w:cs="Arial"/>
        </w:rPr>
        <w:t> ) Name and address of the company supplying each process heat fuel to the renewable fuel or foreign ethanol facility.</w:t>
      </w:r>
      <w:r w:rsidRPr="00A96101">
        <w:rPr>
          <w:rFonts w:ascii="Arial" w:hAnsi="Arial" w:cs="Arial"/>
        </w:rPr>
        <w:t xml:space="preserve"> </w:t>
      </w:r>
    </w:p>
    <w:p w:rsidR="00087FC0" w:rsidRPr="003566EE" w:rsidRDefault="00A96101" w:rsidP="0073332F">
      <w:pPr>
        <w:pStyle w:val="ListParagraph"/>
        <w:numPr>
          <w:ilvl w:val="0"/>
          <w:numId w:val="4"/>
        </w:numPr>
        <w:rPr>
          <w:rFonts w:ascii="Arial" w:hAnsi="Arial" w:cs="Arial"/>
        </w:rPr>
      </w:pPr>
      <w:r w:rsidRPr="00A96101">
        <w:rPr>
          <w:rFonts w:ascii="Arial" w:hAnsi="Arial" w:cs="Arial"/>
        </w:rPr>
        <w:t xml:space="preserve">Verification of attached records supporting the Permitted Capacity, Actual Peak Capacity, and/or Baseline Volume as defined in </w:t>
      </w:r>
      <w:hyperlink r:id="rId10" w:anchor="40:17.0.1.1.9.13.93.22" w:history="1">
        <w:r>
          <w:rPr>
            <w:rStyle w:val="Hyperlink"/>
            <w:rFonts w:ascii="Arial" w:hAnsi="Arial" w:cs="Arial"/>
          </w:rPr>
          <w:t>80.1401</w:t>
        </w:r>
      </w:hyperlink>
      <w:r w:rsidRPr="00A96101">
        <w:rPr>
          <w:rFonts w:ascii="Arial" w:hAnsi="Arial" w:cs="Arial"/>
        </w:rPr>
        <w:t xml:space="preserve">.  </w:t>
      </w:r>
      <w:r w:rsidRPr="00A96101">
        <w:rPr>
          <w:rFonts w:ascii="Arial" w:hAnsi="Arial" w:cs="Arial"/>
        </w:rPr>
        <w:br/>
      </w:r>
      <w:r w:rsidRPr="00A96101">
        <w:rPr>
          <w:rFonts w:ascii="Arial" w:hAnsi="Arial" w:cs="Arial"/>
        </w:rPr>
        <w:br/>
        <w:t xml:space="preserve">Please note that a baseline volume is only required for facilities that have registered for the 20% greenhouse gas exemption.  The baseline volume should be based on either permit or production records that meet the requirements of permitted capacity/actual peak capacity as defined in 80.1401.  To use a permit for permitted capacity, the </w:t>
      </w:r>
      <w:r w:rsidR="00D1024D">
        <w:rPr>
          <w:rFonts w:ascii="Arial" w:hAnsi="Arial" w:cs="Arial"/>
        </w:rPr>
        <w:t xml:space="preserve">allowable </w:t>
      </w:r>
      <w:r w:rsidRPr="00A96101">
        <w:rPr>
          <w:rFonts w:ascii="Arial" w:hAnsi="Arial" w:cs="Arial"/>
        </w:rPr>
        <w:t xml:space="preserve">volume of renewable fuel </w:t>
      </w:r>
      <w:r w:rsidR="00D1024D">
        <w:rPr>
          <w:rFonts w:ascii="Arial" w:hAnsi="Arial" w:cs="Arial"/>
        </w:rPr>
        <w:t xml:space="preserve">must be listed </w:t>
      </w:r>
      <w:r w:rsidRPr="00A96101">
        <w:rPr>
          <w:rFonts w:ascii="Arial" w:hAnsi="Arial" w:cs="Arial"/>
        </w:rPr>
        <w:t xml:space="preserve">in the permit.  Please supply all pages of the permit as an attachment and </w:t>
      </w:r>
      <w:r w:rsidR="00D10156" w:rsidRPr="00D10156">
        <w:rPr>
          <w:rFonts w:ascii="Arial" w:hAnsi="Arial" w:cs="Arial"/>
          <w:u w:val="single"/>
        </w:rPr>
        <w:t>state in this section the page number of the listed volume.</w:t>
      </w:r>
      <w:r w:rsidRPr="00A96101">
        <w:rPr>
          <w:rFonts w:ascii="Arial" w:hAnsi="Arial" w:cs="Arial"/>
        </w:rPr>
        <w:t xml:space="preserve">  If no such permit exists, please provide production records for the years </w:t>
      </w:r>
      <w:r w:rsidR="00D1024D">
        <w:rPr>
          <w:rFonts w:ascii="Arial" w:hAnsi="Arial" w:cs="Arial"/>
        </w:rPr>
        <w:t>described</w:t>
      </w:r>
      <w:r w:rsidR="00D1024D" w:rsidRPr="00A96101">
        <w:rPr>
          <w:rFonts w:ascii="Arial" w:hAnsi="Arial" w:cs="Arial"/>
        </w:rPr>
        <w:t xml:space="preserve"> </w:t>
      </w:r>
      <w:r w:rsidRPr="00A96101">
        <w:rPr>
          <w:rFonts w:ascii="Arial" w:hAnsi="Arial" w:cs="Arial"/>
        </w:rPr>
        <w:t xml:space="preserve">in the definition of actual peak capacity provided in 80.1401.  </w:t>
      </w:r>
      <w:r w:rsidRPr="00A96101">
        <w:rPr>
          <w:rFonts w:ascii="Arial" w:hAnsi="Arial" w:cs="Arial"/>
        </w:rPr>
        <w:br/>
      </w:r>
    </w:p>
    <w:p w:rsidR="00CE6E96" w:rsidRDefault="00A96101">
      <w:pPr>
        <w:pStyle w:val="ListParagraph"/>
        <w:rPr>
          <w:rFonts w:ascii="Arial" w:hAnsi="Arial" w:cs="Arial"/>
        </w:rPr>
      </w:pPr>
      <w:r w:rsidRPr="00A96101">
        <w:rPr>
          <w:rFonts w:ascii="Arial" w:hAnsi="Arial" w:cs="Arial"/>
        </w:rPr>
        <w:t>For all facilities</w:t>
      </w:r>
      <w:r w:rsidR="00D1024D">
        <w:rPr>
          <w:rFonts w:ascii="Arial" w:hAnsi="Arial" w:cs="Arial"/>
        </w:rPr>
        <w:t xml:space="preserve"> not claiming the 20% exemption</w:t>
      </w:r>
      <w:r w:rsidRPr="00A96101">
        <w:rPr>
          <w:rFonts w:ascii="Arial" w:hAnsi="Arial" w:cs="Arial"/>
        </w:rPr>
        <w:t xml:space="preserve">, only a permitted capacity or actual peak capacity is required.  </w:t>
      </w:r>
      <w:r w:rsidR="00D1024D">
        <w:rPr>
          <w:rFonts w:ascii="Arial" w:hAnsi="Arial" w:cs="Arial"/>
        </w:rPr>
        <w:t>I</w:t>
      </w:r>
      <w:r w:rsidRPr="00A96101">
        <w:rPr>
          <w:rFonts w:ascii="Arial" w:hAnsi="Arial" w:cs="Arial"/>
        </w:rPr>
        <w:t>f utilizing a permit</w:t>
      </w:r>
      <w:r w:rsidR="00D1024D">
        <w:rPr>
          <w:rFonts w:ascii="Arial" w:hAnsi="Arial" w:cs="Arial"/>
        </w:rPr>
        <w:t xml:space="preserve"> to establish this volume</w:t>
      </w:r>
      <w:r w:rsidRPr="00A96101">
        <w:rPr>
          <w:rFonts w:ascii="Arial" w:hAnsi="Arial" w:cs="Arial"/>
        </w:rPr>
        <w:t xml:space="preserve">, supply all pages as an attachment and </w:t>
      </w:r>
      <w:r w:rsidR="00D10156" w:rsidRPr="00D10156">
        <w:rPr>
          <w:rFonts w:ascii="Arial" w:hAnsi="Arial" w:cs="Arial"/>
          <w:u w:val="single"/>
        </w:rPr>
        <w:t>state the page number of the listed volume.</w:t>
      </w:r>
      <w:r w:rsidRPr="00A96101">
        <w:rPr>
          <w:rFonts w:ascii="Arial" w:hAnsi="Arial" w:cs="Arial"/>
        </w:rPr>
        <w:t xml:space="preserve">  If no permit exists, please supply five years of production records, including the year being utilized in the registration</w:t>
      </w:r>
      <w:r w:rsidR="00D1024D">
        <w:rPr>
          <w:rFonts w:ascii="Arial" w:hAnsi="Arial" w:cs="Arial"/>
        </w:rPr>
        <w:t>,</w:t>
      </w:r>
      <w:r w:rsidRPr="00A96101">
        <w:rPr>
          <w:rFonts w:ascii="Arial" w:hAnsi="Arial" w:cs="Arial"/>
        </w:rPr>
        <w:t xml:space="preserve"> in support of actual peak capacity.  If five years of records are not available, provide as many records as the facility has on file.  </w:t>
      </w:r>
      <w:r w:rsidR="003566EE">
        <w:rPr>
          <w:rFonts w:ascii="Arial" w:hAnsi="Arial" w:cs="Arial"/>
        </w:rPr>
        <w:br/>
      </w:r>
    </w:p>
    <w:p w:rsidR="003E57F5" w:rsidRPr="003566EE" w:rsidRDefault="00A96101" w:rsidP="003E57F5">
      <w:pPr>
        <w:pStyle w:val="ListParagraph"/>
        <w:numPr>
          <w:ilvl w:val="0"/>
          <w:numId w:val="4"/>
        </w:numPr>
        <w:rPr>
          <w:rFonts w:ascii="Arial" w:hAnsi="Arial" w:cs="Arial"/>
        </w:rPr>
      </w:pPr>
      <w:r w:rsidRPr="00A96101">
        <w:rPr>
          <w:rFonts w:ascii="Arial" w:hAnsi="Arial" w:cs="Arial"/>
        </w:rPr>
        <w:t xml:space="preserve">Verification of attached Separated Yard, Food, and Municipal Solid Waste Plans per </w:t>
      </w:r>
      <w:hyperlink r:id="rId11" w:anchor="40:17.0.1.1.9.13.93.28" w:history="1">
        <w:r>
          <w:rPr>
            <w:rStyle w:val="Hyperlink"/>
            <w:rFonts w:ascii="Arial" w:hAnsi="Arial" w:cs="Arial"/>
          </w:rPr>
          <w:t>80.1450</w:t>
        </w:r>
      </w:hyperlink>
      <w:r w:rsidRPr="00A96101">
        <w:rPr>
          <w:rFonts w:ascii="Arial" w:hAnsi="Arial" w:cs="Arial"/>
        </w:rPr>
        <w:t xml:space="preserve">(b)(1)(vii) and </w:t>
      </w:r>
      <w:hyperlink r:id="rId12" w:anchor="40:17.0.1.1.9.13.93.28" w:history="1">
        <w:r>
          <w:rPr>
            <w:rStyle w:val="Hyperlink"/>
            <w:rFonts w:ascii="Arial" w:hAnsi="Arial" w:cs="Arial"/>
          </w:rPr>
          <w:t>80.1450</w:t>
        </w:r>
      </w:hyperlink>
      <w:r w:rsidRPr="00A96101">
        <w:rPr>
          <w:rFonts w:ascii="Arial" w:hAnsi="Arial" w:cs="Arial"/>
        </w:rPr>
        <w:t>(b)(1)(viii)</w:t>
      </w:r>
      <w:r w:rsidR="00490B99">
        <w:rPr>
          <w:rFonts w:ascii="Arial" w:hAnsi="Arial" w:cs="Arial"/>
        </w:rPr>
        <w:t>/</w:t>
      </w:r>
      <w:r w:rsidRPr="00A96101">
        <w:rPr>
          <w:rFonts w:ascii="Arial" w:hAnsi="Arial" w:cs="Arial"/>
        </w:rPr>
        <w:t xml:space="preserve"> </w:t>
      </w:r>
      <w:r w:rsidRPr="00A96101">
        <w:rPr>
          <w:rFonts w:ascii="Arial" w:hAnsi="Arial" w:cs="Arial"/>
          <w:b/>
        </w:rPr>
        <w:t>If not applicable, write N/A</w:t>
      </w:r>
      <w:r w:rsidRPr="00A96101">
        <w:rPr>
          <w:rFonts w:ascii="Arial" w:hAnsi="Arial" w:cs="Arial"/>
        </w:rPr>
        <w:t xml:space="preserve">.  </w:t>
      </w:r>
      <w:r w:rsidRPr="00A96101">
        <w:rPr>
          <w:rFonts w:ascii="Arial" w:hAnsi="Arial" w:cs="Arial"/>
        </w:rPr>
        <w:br/>
      </w:r>
      <w:r w:rsidRPr="00A96101">
        <w:rPr>
          <w:rFonts w:ascii="Arial" w:hAnsi="Arial" w:cs="Arial"/>
        </w:rPr>
        <w:br/>
        <w:t>For each of the applicable plans, please provide the name and address of</w:t>
      </w:r>
      <w:r w:rsidR="00D1024D">
        <w:rPr>
          <w:rFonts w:ascii="Arial" w:hAnsi="Arial" w:cs="Arial"/>
        </w:rPr>
        <w:t xml:space="preserve"> </w:t>
      </w:r>
      <w:r w:rsidR="0038665A">
        <w:rPr>
          <w:rFonts w:ascii="Arial" w:hAnsi="Arial" w:cs="Arial"/>
        </w:rPr>
        <w:t>all</w:t>
      </w:r>
      <w:r w:rsidRPr="00A96101">
        <w:rPr>
          <w:rFonts w:ascii="Arial" w:hAnsi="Arial" w:cs="Arial"/>
        </w:rPr>
        <w:t xml:space="preserve"> </w:t>
      </w:r>
      <w:r w:rsidR="00D1024D">
        <w:rPr>
          <w:rFonts w:ascii="Arial" w:hAnsi="Arial" w:cs="Arial"/>
        </w:rPr>
        <w:t xml:space="preserve">waste </w:t>
      </w:r>
      <w:r w:rsidRPr="00A96101">
        <w:rPr>
          <w:rFonts w:ascii="Arial" w:hAnsi="Arial" w:cs="Arial"/>
        </w:rPr>
        <w:t>feedstock provider</w:t>
      </w:r>
      <w:r w:rsidR="00D1024D">
        <w:rPr>
          <w:rFonts w:ascii="Arial" w:hAnsi="Arial" w:cs="Arial"/>
        </w:rPr>
        <w:t>s</w:t>
      </w:r>
      <w:r w:rsidRPr="00A96101">
        <w:rPr>
          <w:rFonts w:ascii="Arial" w:hAnsi="Arial" w:cs="Arial"/>
        </w:rPr>
        <w:t xml:space="preserve">.  Additionally, the EPA requires a plan for separated food waste and separated yard waste that documents: 1) how the waste will be collected, 2) how the waste is kept separate from other waste materials and only consists of either food or yard waste and 3) (food waste only) how the cellulosic and non-cellulosic portions of the waste will be quantified.  For Municipal Solid Waste, please refer to the requirements stated in </w:t>
      </w:r>
      <w:hyperlink r:id="rId13" w:anchor="40:17.0.1.1.9.13.93.28" w:history="1">
        <w:r>
          <w:rPr>
            <w:rStyle w:val="Hyperlink"/>
            <w:rFonts w:ascii="Arial" w:hAnsi="Arial" w:cs="Arial"/>
          </w:rPr>
          <w:t>80.1450</w:t>
        </w:r>
      </w:hyperlink>
      <w:r w:rsidRPr="00A96101">
        <w:rPr>
          <w:rFonts w:ascii="Arial" w:hAnsi="Arial" w:cs="Arial"/>
        </w:rPr>
        <w:t>(b</w:t>
      </w:r>
      <w:proofErr w:type="gramStart"/>
      <w:r w:rsidRPr="00A96101">
        <w:rPr>
          <w:rFonts w:ascii="Arial" w:hAnsi="Arial" w:cs="Arial"/>
        </w:rPr>
        <w:t>)(</w:t>
      </w:r>
      <w:proofErr w:type="gramEnd"/>
      <w:r w:rsidRPr="00A96101">
        <w:rPr>
          <w:rFonts w:ascii="Arial" w:hAnsi="Arial" w:cs="Arial"/>
        </w:rPr>
        <w:t>1)(viii).  (</w:t>
      </w:r>
      <w:r w:rsidRPr="00A96101">
        <w:rPr>
          <w:rFonts w:ascii="Arial" w:hAnsi="Arial" w:cs="Arial"/>
          <w:i/>
        </w:rPr>
        <w:t>Note: Companies who have registered with the feedstock of either biogenic waste oils/fats/greases or non-cellulosic portions of separated food waste need to submit a separated food waste plan</w:t>
      </w:r>
      <w:r w:rsidRPr="00A96101">
        <w:rPr>
          <w:rFonts w:ascii="Arial" w:hAnsi="Arial" w:cs="Arial"/>
        </w:rPr>
        <w:t>.)</w:t>
      </w:r>
      <w:r w:rsidR="003566EE">
        <w:rPr>
          <w:rFonts w:ascii="Arial" w:hAnsi="Arial" w:cs="Arial"/>
        </w:rPr>
        <w:br/>
      </w:r>
    </w:p>
    <w:p w:rsidR="00490B99" w:rsidRPr="00490B99" w:rsidRDefault="00A96101" w:rsidP="00BC1FBA">
      <w:pPr>
        <w:pStyle w:val="ListParagraph"/>
        <w:numPr>
          <w:ilvl w:val="0"/>
          <w:numId w:val="4"/>
        </w:numPr>
        <w:rPr>
          <w:rFonts w:ascii="Arial" w:hAnsi="Arial" w:cs="Arial"/>
        </w:rPr>
      </w:pPr>
      <w:r w:rsidRPr="00490B99">
        <w:rPr>
          <w:rFonts w:ascii="Arial" w:hAnsi="Arial" w:cs="Arial"/>
        </w:rPr>
        <w:t>Verification of attached documentation outlined in 80.1450(b</w:t>
      </w:r>
      <w:proofErr w:type="gramStart"/>
      <w:r w:rsidRPr="00490B99">
        <w:rPr>
          <w:rFonts w:ascii="Arial" w:hAnsi="Arial" w:cs="Arial"/>
        </w:rPr>
        <w:t>)(</w:t>
      </w:r>
      <w:proofErr w:type="gramEnd"/>
      <w:r w:rsidRPr="00490B99">
        <w:rPr>
          <w:rFonts w:ascii="Arial" w:hAnsi="Arial" w:cs="Arial"/>
        </w:rPr>
        <w:t xml:space="preserve">1)(ix) and 80.1450(b)(1)(x) for facilities using Grain Sorghum, </w:t>
      </w:r>
      <w:r w:rsidRPr="00490B99">
        <w:rPr>
          <w:rFonts w:ascii="Arial" w:hAnsi="Arial" w:cs="Arial"/>
          <w:i/>
        </w:rPr>
        <w:t>Arundo donax</w:t>
      </w:r>
      <w:r w:rsidRPr="00490B99">
        <w:rPr>
          <w:rFonts w:ascii="Arial" w:hAnsi="Arial" w:cs="Arial"/>
        </w:rPr>
        <w:t xml:space="preserve">, or </w:t>
      </w:r>
      <w:r w:rsidRPr="00490B99">
        <w:rPr>
          <w:rFonts w:ascii="Arial" w:hAnsi="Arial" w:cs="Arial"/>
          <w:i/>
        </w:rPr>
        <w:t>Pennisetum purpureum</w:t>
      </w:r>
      <w:r w:rsidRPr="00490B99">
        <w:rPr>
          <w:rFonts w:ascii="Arial" w:hAnsi="Arial" w:cs="Arial"/>
        </w:rPr>
        <w:t xml:space="preserve"> feedstocks.  </w:t>
      </w:r>
      <w:r w:rsidRPr="00490B99">
        <w:rPr>
          <w:rFonts w:ascii="Arial" w:hAnsi="Arial" w:cs="Arial"/>
          <w:b/>
        </w:rPr>
        <w:t>If not applicable, write N/A</w:t>
      </w:r>
      <w:r w:rsidR="00490B99" w:rsidRPr="00490B99">
        <w:rPr>
          <w:rFonts w:ascii="Arial" w:hAnsi="Arial" w:cs="Arial"/>
          <w:b/>
        </w:rPr>
        <w:t>.</w:t>
      </w:r>
    </w:p>
    <w:p w:rsidR="00BC1FBA" w:rsidRDefault="00490B99" w:rsidP="00490B99">
      <w:pPr>
        <w:pStyle w:val="ListParagraph"/>
        <w:rPr>
          <w:rFonts w:ascii="Arial" w:hAnsi="Arial" w:cs="Arial"/>
        </w:rPr>
      </w:pPr>
      <w:r w:rsidRPr="00490B99">
        <w:rPr>
          <w:rFonts w:ascii="Arial" w:hAnsi="Arial" w:cs="Arial"/>
        </w:rPr>
        <w:t xml:space="preserve"> </w:t>
      </w:r>
    </w:p>
    <w:p w:rsidR="00DA7E6C" w:rsidRPr="00490B99" w:rsidRDefault="00D10156">
      <w:pPr>
        <w:pStyle w:val="ListParagraph"/>
        <w:numPr>
          <w:ilvl w:val="0"/>
          <w:numId w:val="4"/>
        </w:numPr>
        <w:rPr>
          <w:rFonts w:ascii="Arial" w:hAnsi="Arial" w:cs="Arial"/>
          <w:b/>
        </w:rPr>
      </w:pPr>
      <w:r w:rsidRPr="00D10156">
        <w:rPr>
          <w:rFonts w:ascii="Arial" w:hAnsi="Arial" w:cs="Arial"/>
        </w:rPr>
        <w:t>RIN generation information for RIN generating producers</w:t>
      </w:r>
      <w:r w:rsidR="00490B99">
        <w:rPr>
          <w:rFonts w:ascii="Arial" w:hAnsi="Arial" w:cs="Arial"/>
        </w:rPr>
        <w:t xml:space="preserve"> (three year updates only</w:t>
      </w:r>
      <w:r w:rsidR="00641072">
        <w:rPr>
          <w:rFonts w:ascii="Arial" w:hAnsi="Arial" w:cs="Arial"/>
        </w:rPr>
        <w:t>.  For more information, please review the regulation below</w:t>
      </w:r>
      <w:r w:rsidR="00490B99">
        <w:rPr>
          <w:rFonts w:ascii="Arial" w:hAnsi="Arial" w:cs="Arial"/>
        </w:rPr>
        <w:t>)</w:t>
      </w:r>
      <w:r w:rsidRPr="00D10156">
        <w:rPr>
          <w:rFonts w:ascii="Arial" w:hAnsi="Arial" w:cs="Arial"/>
        </w:rPr>
        <w:t>.</w:t>
      </w:r>
      <w:r w:rsidR="00490B99">
        <w:rPr>
          <w:rFonts w:ascii="Arial" w:hAnsi="Arial" w:cs="Arial"/>
        </w:rPr>
        <w:t xml:space="preserve">  </w:t>
      </w:r>
      <w:r w:rsidR="00490B99" w:rsidRPr="00490B99">
        <w:rPr>
          <w:rFonts w:ascii="Arial" w:hAnsi="Arial" w:cs="Arial"/>
          <w:b/>
        </w:rPr>
        <w:t>If not applicable, write N/A.</w:t>
      </w:r>
    </w:p>
    <w:p w:rsidR="00CE6E96" w:rsidRDefault="00A96101">
      <w:pPr>
        <w:ind w:left="720"/>
        <w:rPr>
          <w:rFonts w:ascii="Arial" w:hAnsi="Arial" w:cs="Arial"/>
          <w:b/>
        </w:rPr>
      </w:pPr>
      <w:r w:rsidRPr="00A96101">
        <w:rPr>
          <w:rFonts w:ascii="Arial" w:hAnsi="Arial" w:cs="Arial"/>
        </w:rPr>
        <w:t>Per 80.1450(d</w:t>
      </w:r>
      <w:proofErr w:type="gramStart"/>
      <w:r w:rsidRPr="00A96101">
        <w:rPr>
          <w:rFonts w:ascii="Arial" w:hAnsi="Arial" w:cs="Arial"/>
        </w:rPr>
        <w:t>)(</w:t>
      </w:r>
      <w:proofErr w:type="gramEnd"/>
      <w:r w:rsidRPr="00A96101">
        <w:rPr>
          <w:rFonts w:ascii="Arial" w:hAnsi="Arial" w:cs="Arial"/>
        </w:rPr>
        <w:t xml:space="preserve">iii): In addition to conducting the engineering review and written report and verification required by paragraph (b)(2) of this section, the updated independent </w:t>
      </w:r>
      <w:r w:rsidRPr="00A96101">
        <w:rPr>
          <w:rFonts w:ascii="Arial" w:hAnsi="Arial" w:cs="Arial"/>
        </w:rPr>
        <w:lastRenderedPageBreak/>
        <w:t xml:space="preserve">third-party engineering review shall include a detailed review of the renewable fuel producer's calculations used to determine VRIN of a representative sample of batches of each type of renewable fuel produced since the last registration. The representative sample shall be selected in accordance with the sample size guidelines set forth at § 80.127. </w:t>
      </w:r>
    </w:p>
    <w:p w:rsidR="00F67A72" w:rsidRPr="003566EE" w:rsidRDefault="00A96101" w:rsidP="00F67A72">
      <w:pPr>
        <w:rPr>
          <w:rFonts w:ascii="Arial" w:hAnsi="Arial" w:cs="Arial"/>
          <w:b/>
        </w:rPr>
      </w:pPr>
      <w:r w:rsidRPr="00A96101">
        <w:rPr>
          <w:rFonts w:ascii="Arial" w:hAnsi="Arial" w:cs="Arial"/>
          <w:b/>
        </w:rPr>
        <w:t>Outline of attachments:</w:t>
      </w:r>
    </w:p>
    <w:p w:rsidR="00DB05D7" w:rsidRPr="003566EE" w:rsidRDefault="00A96101" w:rsidP="00F67A72">
      <w:pPr>
        <w:pStyle w:val="ListParagraph"/>
        <w:numPr>
          <w:ilvl w:val="0"/>
          <w:numId w:val="9"/>
        </w:numPr>
        <w:rPr>
          <w:rFonts w:ascii="Arial" w:hAnsi="Arial" w:cs="Arial"/>
        </w:rPr>
      </w:pPr>
      <w:r w:rsidRPr="00A96101">
        <w:rPr>
          <w:rFonts w:ascii="Arial" w:hAnsi="Arial" w:cs="Arial"/>
        </w:rPr>
        <w:t>Copy of CDX OTAQREG generated Company Update Request (CR-####)</w:t>
      </w:r>
    </w:p>
    <w:p w:rsidR="00D1024D" w:rsidRPr="003566EE" w:rsidRDefault="00A96101" w:rsidP="00F67A72">
      <w:pPr>
        <w:pStyle w:val="ListParagraph"/>
        <w:numPr>
          <w:ilvl w:val="0"/>
          <w:numId w:val="9"/>
        </w:numPr>
        <w:rPr>
          <w:rFonts w:ascii="Arial" w:hAnsi="Arial" w:cs="Arial"/>
        </w:rPr>
      </w:pPr>
      <w:r w:rsidRPr="00A96101">
        <w:rPr>
          <w:rFonts w:ascii="Arial" w:hAnsi="Arial" w:cs="Arial"/>
        </w:rPr>
        <w:t>Professional Engineer credentials, resume, and experience</w:t>
      </w:r>
    </w:p>
    <w:p w:rsidR="00F67A72" w:rsidRPr="003566EE" w:rsidRDefault="00A96101" w:rsidP="00F67A72">
      <w:pPr>
        <w:pStyle w:val="ListParagraph"/>
        <w:numPr>
          <w:ilvl w:val="0"/>
          <w:numId w:val="9"/>
        </w:numPr>
        <w:rPr>
          <w:rFonts w:ascii="Arial" w:hAnsi="Arial" w:cs="Arial"/>
        </w:rPr>
      </w:pPr>
      <w:r w:rsidRPr="00A96101">
        <w:rPr>
          <w:rFonts w:ascii="Arial" w:hAnsi="Arial" w:cs="Arial"/>
        </w:rPr>
        <w:t>Process Heat Fuel Supply Plan</w:t>
      </w:r>
    </w:p>
    <w:p w:rsidR="00F67A72" w:rsidRPr="003566EE" w:rsidRDefault="00A96101" w:rsidP="00F67A72">
      <w:pPr>
        <w:pStyle w:val="ListParagraph"/>
        <w:numPr>
          <w:ilvl w:val="1"/>
          <w:numId w:val="9"/>
        </w:numPr>
        <w:rPr>
          <w:rFonts w:ascii="Arial" w:hAnsi="Arial" w:cs="Arial"/>
        </w:rPr>
      </w:pPr>
      <w:r w:rsidRPr="00A96101">
        <w:rPr>
          <w:rFonts w:ascii="Arial" w:hAnsi="Arial" w:cs="Arial"/>
        </w:rPr>
        <w:t>Affidavit from the biogas supplier</w:t>
      </w:r>
    </w:p>
    <w:p w:rsidR="00DF3973" w:rsidRPr="003566EE" w:rsidRDefault="00A96101" w:rsidP="004E1CA4">
      <w:pPr>
        <w:pStyle w:val="ListParagraph"/>
        <w:numPr>
          <w:ilvl w:val="0"/>
          <w:numId w:val="9"/>
        </w:numPr>
        <w:rPr>
          <w:rFonts w:ascii="Arial" w:hAnsi="Arial" w:cs="Arial"/>
        </w:rPr>
      </w:pPr>
      <w:r w:rsidRPr="00A96101">
        <w:rPr>
          <w:rFonts w:ascii="Arial" w:hAnsi="Arial" w:cs="Arial"/>
        </w:rPr>
        <w:t>Separated Food Waste Plan</w:t>
      </w:r>
    </w:p>
    <w:p w:rsidR="00DF3973" w:rsidRPr="003566EE" w:rsidRDefault="00A96101" w:rsidP="00F67A72">
      <w:pPr>
        <w:pStyle w:val="ListParagraph"/>
        <w:numPr>
          <w:ilvl w:val="0"/>
          <w:numId w:val="9"/>
        </w:numPr>
        <w:rPr>
          <w:rFonts w:ascii="Arial" w:hAnsi="Arial" w:cs="Arial"/>
        </w:rPr>
      </w:pPr>
      <w:r w:rsidRPr="00A96101">
        <w:rPr>
          <w:rFonts w:ascii="Arial" w:hAnsi="Arial" w:cs="Arial"/>
        </w:rPr>
        <w:t>Air permits supporting Permitted Capacity</w:t>
      </w:r>
    </w:p>
    <w:p w:rsidR="0087613A" w:rsidRPr="003566EE" w:rsidRDefault="00A96101" w:rsidP="0087613A">
      <w:pPr>
        <w:pStyle w:val="ListParagraph"/>
        <w:numPr>
          <w:ilvl w:val="1"/>
          <w:numId w:val="9"/>
        </w:numPr>
        <w:rPr>
          <w:rFonts w:ascii="Arial" w:hAnsi="Arial" w:cs="Arial"/>
        </w:rPr>
      </w:pPr>
      <w:r w:rsidRPr="00A96101">
        <w:rPr>
          <w:rFonts w:ascii="Arial" w:hAnsi="Arial" w:cs="Arial"/>
        </w:rPr>
        <w:t>Calculations converting to gallons/year</w:t>
      </w:r>
    </w:p>
    <w:p w:rsidR="000841F6" w:rsidRPr="003566EE" w:rsidRDefault="00A96101" w:rsidP="0087613A">
      <w:pPr>
        <w:pStyle w:val="ListParagraph"/>
        <w:numPr>
          <w:ilvl w:val="0"/>
          <w:numId w:val="9"/>
        </w:numPr>
        <w:rPr>
          <w:rFonts w:ascii="Arial" w:hAnsi="Arial" w:cs="Arial"/>
        </w:rPr>
      </w:pPr>
      <w:r w:rsidRPr="00A96101">
        <w:rPr>
          <w:rFonts w:ascii="Arial" w:hAnsi="Arial" w:cs="Arial"/>
        </w:rPr>
        <w:t>Production records supporting Actual Peak Capacity</w:t>
      </w:r>
    </w:p>
    <w:p w:rsidR="0087613A" w:rsidRPr="003566EE" w:rsidRDefault="00A96101" w:rsidP="0087613A">
      <w:pPr>
        <w:pStyle w:val="ListParagraph"/>
        <w:numPr>
          <w:ilvl w:val="1"/>
          <w:numId w:val="9"/>
        </w:numPr>
        <w:rPr>
          <w:rFonts w:ascii="Arial" w:hAnsi="Arial" w:cs="Arial"/>
        </w:rPr>
      </w:pPr>
      <w:r w:rsidRPr="00A96101">
        <w:rPr>
          <w:rFonts w:ascii="Arial" w:hAnsi="Arial" w:cs="Arial"/>
        </w:rPr>
        <w:t>Calculations converting to gallons/year</w:t>
      </w:r>
    </w:p>
    <w:p w:rsidR="00DF3973" w:rsidRPr="003566EE" w:rsidRDefault="00A96101" w:rsidP="00DF3973">
      <w:pPr>
        <w:pStyle w:val="ListParagraph"/>
        <w:numPr>
          <w:ilvl w:val="0"/>
          <w:numId w:val="9"/>
        </w:numPr>
        <w:rPr>
          <w:rFonts w:ascii="Arial" w:hAnsi="Arial" w:cs="Arial"/>
        </w:rPr>
      </w:pPr>
      <w:r w:rsidRPr="00A96101">
        <w:rPr>
          <w:rFonts w:ascii="Arial" w:hAnsi="Arial" w:cs="Arial"/>
        </w:rPr>
        <w:t>Three-year engineering review update RIN verification calculations</w:t>
      </w:r>
    </w:p>
    <w:p w:rsidR="00DF3973" w:rsidRPr="003566EE" w:rsidRDefault="00A96101" w:rsidP="00DF3973">
      <w:pPr>
        <w:pStyle w:val="ListParagraph"/>
        <w:numPr>
          <w:ilvl w:val="0"/>
          <w:numId w:val="9"/>
        </w:numPr>
        <w:rPr>
          <w:rFonts w:ascii="Arial" w:hAnsi="Arial" w:cs="Arial"/>
        </w:rPr>
      </w:pPr>
      <w:r w:rsidRPr="00A96101">
        <w:rPr>
          <w:rFonts w:ascii="Arial" w:hAnsi="Arial" w:cs="Arial"/>
        </w:rPr>
        <w:t>Any additional documents (e.g., pictures from on-site review)</w:t>
      </w:r>
    </w:p>
    <w:sectPr w:rsidR="00DF3973" w:rsidRPr="003566EE" w:rsidSect="00807384">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B98" w:rsidRDefault="00364B98" w:rsidP="00374265">
      <w:pPr>
        <w:spacing w:after="0" w:line="240" w:lineRule="auto"/>
      </w:pPr>
      <w:r>
        <w:separator/>
      </w:r>
    </w:p>
  </w:endnote>
  <w:endnote w:type="continuationSeparator" w:id="0">
    <w:p w:rsidR="00364B98" w:rsidRDefault="00364B98" w:rsidP="0037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B99" w:rsidRDefault="00490B99">
    <w:pPr>
      <w:pStyle w:val="Footer"/>
    </w:pPr>
    <w:r>
      <w:t>EPA RFS2 Renewable Fuel Producer Engineering Review Template</w:t>
    </w:r>
  </w:p>
  <w:p w:rsidR="00641072" w:rsidRDefault="00641072">
    <w:pPr>
      <w:pStyle w:val="Footer"/>
    </w:pPr>
    <w:r>
      <w:t>September 18</w:t>
    </w:r>
    <w:r w:rsidRPr="00641072">
      <w:rPr>
        <w:vertAlign w:val="superscript"/>
      </w:rPr>
      <w:t>th</w:t>
    </w:r>
    <w:r>
      <w:t>,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751" w:rsidRDefault="0016589F" w:rsidP="000B1751">
    <w:pPr>
      <w:pStyle w:val="Footer"/>
    </w:pPr>
    <w:r>
      <w:t>EPA-420-B-13-044</w:t>
    </w:r>
    <w:r w:rsidR="000B1751">
      <w:tab/>
      <w:t xml:space="preserve">                                                                                    </w:t>
    </w:r>
  </w:p>
  <w:p w:rsidR="000B1751" w:rsidRDefault="000B1751" w:rsidP="000B1751">
    <w:pPr>
      <w:pStyle w:val="Footer"/>
    </w:pPr>
    <w:r>
      <w:tab/>
      <w:t xml:space="preserve">                                                                     </w:t>
    </w:r>
  </w:p>
  <w:p w:rsidR="0016589F" w:rsidRDefault="000B1751" w:rsidP="0016589F">
    <w:pPr>
      <w:pStyle w:val="Header"/>
      <w:tabs>
        <w:tab w:val="clear" w:pos="4680"/>
        <w:tab w:val="clear" w:pos="9360"/>
        <w:tab w:val="left" w:pos="7939"/>
      </w:tabs>
      <w:ind w:left="3600" w:hanging="3600"/>
    </w:pPr>
    <w:r>
      <w:tab/>
    </w:r>
    <w:r>
      <w:tab/>
    </w:r>
  </w:p>
  <w:p w:rsidR="000633A6" w:rsidRPr="0016589F" w:rsidRDefault="000633A6" w:rsidP="0016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B98" w:rsidRDefault="00364B98" w:rsidP="00374265">
      <w:pPr>
        <w:spacing w:after="0" w:line="240" w:lineRule="auto"/>
      </w:pPr>
      <w:r>
        <w:separator/>
      </w:r>
    </w:p>
  </w:footnote>
  <w:footnote w:type="continuationSeparator" w:id="0">
    <w:p w:rsidR="00364B98" w:rsidRDefault="00364B98" w:rsidP="00374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840797"/>
      <w:docPartObj>
        <w:docPartGallery w:val="Page Numbers (Top of Page)"/>
        <w:docPartUnique/>
      </w:docPartObj>
    </w:sdtPr>
    <w:sdtEndPr/>
    <w:sdtContent>
      <w:p w:rsidR="00490B99" w:rsidRDefault="001B455D">
        <w:pPr>
          <w:pStyle w:val="Header"/>
          <w:jc w:val="right"/>
        </w:pPr>
        <w:r>
          <w:fldChar w:fldCharType="begin"/>
        </w:r>
        <w:r>
          <w:instrText xml:space="preserve"> PAGE   \* MERGEFORMAT </w:instrText>
        </w:r>
        <w:r>
          <w:fldChar w:fldCharType="separate"/>
        </w:r>
        <w:r w:rsidR="0070752E">
          <w:rPr>
            <w:noProof/>
          </w:rPr>
          <w:t>4</w:t>
        </w:r>
        <w:r>
          <w:rPr>
            <w:noProof/>
          </w:rPr>
          <w:fldChar w:fldCharType="end"/>
        </w:r>
      </w:p>
    </w:sdtContent>
  </w:sdt>
  <w:p w:rsidR="00490B99" w:rsidRDefault="00490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A6" w:rsidRDefault="00807384" w:rsidP="000633A6">
    <w:pPr>
      <w:pStyle w:val="Heade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42530</wp:posOffset>
          </wp:positionV>
          <wp:extent cx="1969238" cy="276446"/>
          <wp:effectExtent l="19050" t="0" r="0" b="0"/>
          <wp:wrapNone/>
          <wp:docPr id="1" name="Picture 0" descr="EPA-w-sig-black-05-20-10--.3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w-sig-black-05-20-10--.3h.tif"/>
                  <pic:cNvPicPr/>
                </pic:nvPicPr>
                <pic:blipFill>
                  <a:blip r:embed="rId1"/>
                  <a:stretch>
                    <a:fillRect/>
                  </a:stretch>
                </pic:blipFill>
                <pic:spPr>
                  <a:xfrm>
                    <a:off x="0" y="0"/>
                    <a:ext cx="1969238" cy="276446"/>
                  </a:xfrm>
                  <a:prstGeom prst="rect">
                    <a:avLst/>
                  </a:prstGeom>
                </pic:spPr>
              </pic:pic>
            </a:graphicData>
          </a:graphic>
        </wp:anchor>
      </w:drawing>
    </w:r>
    <w:r>
      <w:tab/>
    </w:r>
    <w:r w:rsidR="000633A6">
      <w:tab/>
    </w:r>
    <w:r w:rsidR="000633A6">
      <w:tab/>
    </w:r>
    <w:r w:rsidR="000633A6">
      <w:tab/>
      <w:t>OMB Control No.  2060-0637</w:t>
    </w:r>
  </w:p>
  <w:p w:rsidR="000633A6" w:rsidRDefault="000633A6" w:rsidP="000633A6">
    <w:pPr>
      <w:pStyle w:val="Header"/>
      <w:tabs>
        <w:tab w:val="clear" w:pos="4680"/>
        <w:tab w:val="clear" w:pos="9360"/>
        <w:tab w:val="left" w:pos="6261"/>
        <w:tab w:val="left" w:pos="6987"/>
      </w:tabs>
    </w:pPr>
    <w:r>
      <w:tab/>
      <w:t xml:space="preserve">                            Expires [PENDING]</w:t>
    </w:r>
  </w:p>
  <w:p w:rsidR="000633A6" w:rsidRDefault="000633A6" w:rsidP="000633A6">
    <w:pPr>
      <w:pStyle w:val="Header"/>
      <w:tabs>
        <w:tab w:val="clear" w:pos="4680"/>
        <w:tab w:val="clear" w:pos="9360"/>
        <w:tab w:val="left" w:pos="6261"/>
        <w:tab w:val="left" w:pos="6987"/>
      </w:tabs>
    </w:pPr>
  </w:p>
  <w:p w:rsidR="00807384" w:rsidRDefault="000633A6" w:rsidP="0016589F">
    <w:pPr>
      <w:pStyle w:val="Header"/>
      <w:tabs>
        <w:tab w:val="clear" w:pos="4680"/>
        <w:tab w:val="clear" w:pos="9360"/>
        <w:tab w:val="left" w:pos="7939"/>
      </w:tabs>
      <w:ind w:left="3600" w:hanging="360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473F"/>
    <w:multiLevelType w:val="hybridMultilevel"/>
    <w:tmpl w:val="18FCCF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D0871"/>
    <w:multiLevelType w:val="hybridMultilevel"/>
    <w:tmpl w:val="FC2A9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A6518"/>
    <w:multiLevelType w:val="hybridMultilevel"/>
    <w:tmpl w:val="1416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67892"/>
    <w:multiLevelType w:val="hybridMultilevel"/>
    <w:tmpl w:val="F384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07285"/>
    <w:multiLevelType w:val="hybridMultilevel"/>
    <w:tmpl w:val="36F48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6407C"/>
    <w:multiLevelType w:val="hybridMultilevel"/>
    <w:tmpl w:val="3EDCFDBA"/>
    <w:lvl w:ilvl="0" w:tplc="738E79E6">
      <w:start w:val="1"/>
      <w:numFmt w:val="decimal"/>
      <w:lvlText w:val="%1."/>
      <w:lvlJc w:val="left"/>
      <w:pPr>
        <w:ind w:left="720" w:hanging="360"/>
      </w:pPr>
      <w:rPr>
        <w:rFonts w:ascii="Arial" w:hAnsi="Arial" w:cs="Arial" w:hint="default"/>
        <w:b w:val="0"/>
        <w:color w:val="000000"/>
      </w:rPr>
    </w:lvl>
    <w:lvl w:ilvl="1" w:tplc="215AE51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087F43"/>
    <w:multiLevelType w:val="hybridMultilevel"/>
    <w:tmpl w:val="07E89F54"/>
    <w:lvl w:ilvl="0" w:tplc="04090001">
      <w:start w:val="1"/>
      <w:numFmt w:val="bullet"/>
      <w:lvlText w:val=""/>
      <w:lvlJc w:val="left"/>
      <w:pPr>
        <w:ind w:left="720" w:hanging="360"/>
      </w:pPr>
      <w:rPr>
        <w:rFonts w:ascii="Symbol" w:hAnsi="Symbol" w:hint="default"/>
      </w:rPr>
    </w:lvl>
    <w:lvl w:ilvl="1" w:tplc="CE54FC7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F52DD"/>
    <w:multiLevelType w:val="hybridMultilevel"/>
    <w:tmpl w:val="1DEAFA5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F569D"/>
    <w:multiLevelType w:val="hybridMultilevel"/>
    <w:tmpl w:val="BCFC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435128"/>
    <w:multiLevelType w:val="hybridMultilevel"/>
    <w:tmpl w:val="3806B3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0070CC"/>
    <w:multiLevelType w:val="hybridMultilevel"/>
    <w:tmpl w:val="5F245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5"/>
  </w:num>
  <w:num w:numId="5">
    <w:abstractNumId w:val="10"/>
  </w:num>
  <w:num w:numId="6">
    <w:abstractNumId w:val="9"/>
  </w:num>
  <w:num w:numId="7">
    <w:abstractNumId w:val="0"/>
  </w:num>
  <w:num w:numId="8">
    <w:abstractNumId w:val="4"/>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6F"/>
    <w:rsid w:val="00021193"/>
    <w:rsid w:val="00021BF9"/>
    <w:rsid w:val="00027E54"/>
    <w:rsid w:val="000325F2"/>
    <w:rsid w:val="00042042"/>
    <w:rsid w:val="00050344"/>
    <w:rsid w:val="00051DAC"/>
    <w:rsid w:val="000633A6"/>
    <w:rsid w:val="00071C01"/>
    <w:rsid w:val="000841F6"/>
    <w:rsid w:val="00087FC0"/>
    <w:rsid w:val="00091867"/>
    <w:rsid w:val="000B1751"/>
    <w:rsid w:val="000C6CAE"/>
    <w:rsid w:val="00107CFC"/>
    <w:rsid w:val="001102E3"/>
    <w:rsid w:val="0016589F"/>
    <w:rsid w:val="0017008B"/>
    <w:rsid w:val="00170430"/>
    <w:rsid w:val="00187AF6"/>
    <w:rsid w:val="00191684"/>
    <w:rsid w:val="001A001E"/>
    <w:rsid w:val="001B4019"/>
    <w:rsid w:val="001B455D"/>
    <w:rsid w:val="001C1F1F"/>
    <w:rsid w:val="001D7A88"/>
    <w:rsid w:val="00207C95"/>
    <w:rsid w:val="002471FD"/>
    <w:rsid w:val="00257258"/>
    <w:rsid w:val="00264AEA"/>
    <w:rsid w:val="002A75DF"/>
    <w:rsid w:val="002B6694"/>
    <w:rsid w:val="002E03D8"/>
    <w:rsid w:val="002E5553"/>
    <w:rsid w:val="0030021B"/>
    <w:rsid w:val="003350EF"/>
    <w:rsid w:val="003566EE"/>
    <w:rsid w:val="00364B98"/>
    <w:rsid w:val="00364E05"/>
    <w:rsid w:val="003703C3"/>
    <w:rsid w:val="00374265"/>
    <w:rsid w:val="0038665A"/>
    <w:rsid w:val="003A3937"/>
    <w:rsid w:val="003E15AE"/>
    <w:rsid w:val="003E57F5"/>
    <w:rsid w:val="00400709"/>
    <w:rsid w:val="00447739"/>
    <w:rsid w:val="00490B99"/>
    <w:rsid w:val="004A5926"/>
    <w:rsid w:val="004E1CA4"/>
    <w:rsid w:val="004E4D2C"/>
    <w:rsid w:val="004F589E"/>
    <w:rsid w:val="004F5E5B"/>
    <w:rsid w:val="00527B14"/>
    <w:rsid w:val="005F24CB"/>
    <w:rsid w:val="005F7C85"/>
    <w:rsid w:val="00641072"/>
    <w:rsid w:val="00644F80"/>
    <w:rsid w:val="00647183"/>
    <w:rsid w:val="006B3F2E"/>
    <w:rsid w:val="006B44BB"/>
    <w:rsid w:val="006B5B54"/>
    <w:rsid w:val="006C1C70"/>
    <w:rsid w:val="006E0202"/>
    <w:rsid w:val="006F0408"/>
    <w:rsid w:val="0070752E"/>
    <w:rsid w:val="0073332F"/>
    <w:rsid w:val="00737E8A"/>
    <w:rsid w:val="00756F7D"/>
    <w:rsid w:val="00762190"/>
    <w:rsid w:val="007832D1"/>
    <w:rsid w:val="00790D1C"/>
    <w:rsid w:val="007911A4"/>
    <w:rsid w:val="007B3F8C"/>
    <w:rsid w:val="0080470B"/>
    <w:rsid w:val="00807384"/>
    <w:rsid w:val="00820F4A"/>
    <w:rsid w:val="008374BD"/>
    <w:rsid w:val="0084520D"/>
    <w:rsid w:val="008651A8"/>
    <w:rsid w:val="008679C0"/>
    <w:rsid w:val="0087613A"/>
    <w:rsid w:val="00880B7C"/>
    <w:rsid w:val="0089287D"/>
    <w:rsid w:val="008C29B7"/>
    <w:rsid w:val="008C37FD"/>
    <w:rsid w:val="00916E09"/>
    <w:rsid w:val="00920D29"/>
    <w:rsid w:val="0092566F"/>
    <w:rsid w:val="00956115"/>
    <w:rsid w:val="009727A9"/>
    <w:rsid w:val="009F05F2"/>
    <w:rsid w:val="00A335CD"/>
    <w:rsid w:val="00A35B2B"/>
    <w:rsid w:val="00A54409"/>
    <w:rsid w:val="00A55F7D"/>
    <w:rsid w:val="00A96101"/>
    <w:rsid w:val="00AB1048"/>
    <w:rsid w:val="00AB2FC1"/>
    <w:rsid w:val="00AB7955"/>
    <w:rsid w:val="00AC5BEE"/>
    <w:rsid w:val="00AD07F3"/>
    <w:rsid w:val="00AD424B"/>
    <w:rsid w:val="00B92A69"/>
    <w:rsid w:val="00BC1FBA"/>
    <w:rsid w:val="00BC24A1"/>
    <w:rsid w:val="00BF182D"/>
    <w:rsid w:val="00C10472"/>
    <w:rsid w:val="00C14412"/>
    <w:rsid w:val="00C40365"/>
    <w:rsid w:val="00C7305A"/>
    <w:rsid w:val="00CD5F9F"/>
    <w:rsid w:val="00CE6E96"/>
    <w:rsid w:val="00D10156"/>
    <w:rsid w:val="00D1024D"/>
    <w:rsid w:val="00D35C62"/>
    <w:rsid w:val="00D35FCA"/>
    <w:rsid w:val="00D574B5"/>
    <w:rsid w:val="00D74173"/>
    <w:rsid w:val="00DA7E6C"/>
    <w:rsid w:val="00DB05D7"/>
    <w:rsid w:val="00DF3973"/>
    <w:rsid w:val="00E03EB6"/>
    <w:rsid w:val="00EA0235"/>
    <w:rsid w:val="00EB3B6F"/>
    <w:rsid w:val="00ED5FD6"/>
    <w:rsid w:val="00F15C6B"/>
    <w:rsid w:val="00F326ED"/>
    <w:rsid w:val="00F67A72"/>
    <w:rsid w:val="00FC678A"/>
    <w:rsid w:val="00FD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265"/>
  </w:style>
  <w:style w:type="paragraph" w:styleId="Footer">
    <w:name w:val="footer"/>
    <w:basedOn w:val="Normal"/>
    <w:link w:val="FooterChar"/>
    <w:uiPriority w:val="99"/>
    <w:unhideWhenUsed/>
    <w:rsid w:val="0037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265"/>
  </w:style>
  <w:style w:type="paragraph" w:styleId="ListParagraph">
    <w:name w:val="List Paragraph"/>
    <w:basedOn w:val="Normal"/>
    <w:uiPriority w:val="34"/>
    <w:qFormat/>
    <w:rsid w:val="00374265"/>
    <w:pPr>
      <w:ind w:left="720"/>
      <w:contextualSpacing/>
    </w:pPr>
  </w:style>
  <w:style w:type="paragraph" w:styleId="BalloonText">
    <w:name w:val="Balloon Text"/>
    <w:basedOn w:val="Normal"/>
    <w:link w:val="BalloonTextChar"/>
    <w:uiPriority w:val="99"/>
    <w:semiHidden/>
    <w:unhideWhenUsed/>
    <w:rsid w:val="00374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265"/>
    <w:rPr>
      <w:rFonts w:ascii="Tahoma" w:hAnsi="Tahoma" w:cs="Tahoma"/>
      <w:sz w:val="16"/>
      <w:szCs w:val="16"/>
    </w:rPr>
  </w:style>
  <w:style w:type="paragraph" w:styleId="NormalWeb">
    <w:name w:val="Normal (Web)"/>
    <w:basedOn w:val="Normal"/>
    <w:uiPriority w:val="99"/>
    <w:semiHidden/>
    <w:unhideWhenUsed/>
    <w:rsid w:val="00820F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1F1F"/>
    <w:rPr>
      <w:color w:val="0000FF" w:themeColor="hyperlink"/>
      <w:u w:val="single"/>
    </w:rPr>
  </w:style>
  <w:style w:type="character" w:styleId="CommentReference">
    <w:name w:val="annotation reference"/>
    <w:basedOn w:val="DefaultParagraphFont"/>
    <w:uiPriority w:val="99"/>
    <w:semiHidden/>
    <w:unhideWhenUsed/>
    <w:rsid w:val="002E03D8"/>
    <w:rPr>
      <w:sz w:val="16"/>
      <w:szCs w:val="16"/>
    </w:rPr>
  </w:style>
  <w:style w:type="paragraph" w:styleId="CommentText">
    <w:name w:val="annotation text"/>
    <w:basedOn w:val="Normal"/>
    <w:link w:val="CommentTextChar"/>
    <w:uiPriority w:val="99"/>
    <w:semiHidden/>
    <w:unhideWhenUsed/>
    <w:rsid w:val="002E03D8"/>
    <w:pPr>
      <w:spacing w:line="240" w:lineRule="auto"/>
    </w:pPr>
    <w:rPr>
      <w:sz w:val="20"/>
      <w:szCs w:val="20"/>
    </w:rPr>
  </w:style>
  <w:style w:type="character" w:customStyle="1" w:styleId="CommentTextChar">
    <w:name w:val="Comment Text Char"/>
    <w:basedOn w:val="DefaultParagraphFont"/>
    <w:link w:val="CommentText"/>
    <w:uiPriority w:val="99"/>
    <w:semiHidden/>
    <w:rsid w:val="002E03D8"/>
    <w:rPr>
      <w:sz w:val="20"/>
      <w:szCs w:val="20"/>
    </w:rPr>
  </w:style>
  <w:style w:type="paragraph" w:styleId="CommentSubject">
    <w:name w:val="annotation subject"/>
    <w:basedOn w:val="CommentText"/>
    <w:next w:val="CommentText"/>
    <w:link w:val="CommentSubjectChar"/>
    <w:uiPriority w:val="99"/>
    <w:semiHidden/>
    <w:unhideWhenUsed/>
    <w:rsid w:val="002E03D8"/>
    <w:rPr>
      <w:b/>
      <w:bCs/>
    </w:rPr>
  </w:style>
  <w:style w:type="character" w:customStyle="1" w:styleId="CommentSubjectChar">
    <w:name w:val="Comment Subject Char"/>
    <w:basedOn w:val="CommentTextChar"/>
    <w:link w:val="CommentSubject"/>
    <w:uiPriority w:val="99"/>
    <w:semiHidden/>
    <w:rsid w:val="002E03D8"/>
    <w:rPr>
      <w:b/>
      <w:bCs/>
      <w:sz w:val="20"/>
      <w:szCs w:val="20"/>
    </w:rPr>
  </w:style>
  <w:style w:type="character" w:styleId="Emphasis">
    <w:name w:val="Emphasis"/>
    <w:basedOn w:val="DefaultParagraphFont"/>
    <w:uiPriority w:val="20"/>
    <w:qFormat/>
    <w:rsid w:val="002A75DF"/>
    <w:rPr>
      <w:i/>
      <w:iCs/>
    </w:rPr>
  </w:style>
  <w:style w:type="paragraph" w:styleId="NoSpacing">
    <w:name w:val="No Spacing"/>
    <w:uiPriority w:val="1"/>
    <w:qFormat/>
    <w:rsid w:val="00BF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9076">
      <w:bodyDiv w:val="1"/>
      <w:marLeft w:val="0"/>
      <w:marRight w:val="0"/>
      <w:marTop w:val="0"/>
      <w:marBottom w:val="0"/>
      <w:divBdr>
        <w:top w:val="none" w:sz="0" w:space="0" w:color="auto"/>
        <w:left w:val="none" w:sz="0" w:space="0" w:color="auto"/>
        <w:bottom w:val="none" w:sz="0" w:space="0" w:color="auto"/>
        <w:right w:val="none" w:sz="0" w:space="0" w:color="auto"/>
      </w:divBdr>
    </w:div>
    <w:div w:id="1749038935">
      <w:bodyDiv w:val="1"/>
      <w:marLeft w:val="0"/>
      <w:marRight w:val="0"/>
      <w:marTop w:val="0"/>
      <w:marBottom w:val="0"/>
      <w:divBdr>
        <w:top w:val="none" w:sz="0" w:space="0" w:color="auto"/>
        <w:left w:val="none" w:sz="0" w:space="0" w:color="auto"/>
        <w:bottom w:val="none" w:sz="0" w:space="0" w:color="auto"/>
        <w:right w:val="none" w:sz="0" w:space="0" w:color="auto"/>
      </w:divBdr>
    </w:div>
    <w:div w:id="19700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e0378023df937cd0fc6ca5caad10ce61&amp;rgn=div6&amp;view=text&amp;node=40:17.0.1.1.9.13&amp;idno=40" TargetMode="External"/><Relationship Id="rId13" Type="http://schemas.openxmlformats.org/officeDocument/2006/relationships/hyperlink" Target="http://www.ecfr.gov/cgi-bin/text-idx?c=ecfr&amp;SID=e0378023df937cd0fc6ca5caad10ce61&amp;rgn=div6&amp;view=text&amp;node=40:17.0.1.1.9.13&amp;idno=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fr.gov/cgi-bin/text-idx?c=ecfr&amp;SID=e0378023df937cd0fc6ca5caad10ce61&amp;rgn=div6&amp;view=text&amp;node=40:17.0.1.1.9.13&amp;idno=40" TargetMode="External"/><Relationship Id="rId12" Type="http://schemas.openxmlformats.org/officeDocument/2006/relationships/hyperlink" Target="http://www.ecfr.gov/cgi-bin/text-idx?c=ecfr&amp;SID=e0378023df937cd0fc6ca5caad10ce61&amp;rgn=div6&amp;view=text&amp;node=40:17.0.1.1.9.13&amp;idno=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text-idx?c=ecfr&amp;SID=e0378023df937cd0fc6ca5caad10ce61&amp;rgn=div6&amp;view=text&amp;node=40:17.0.1.1.9.13&amp;idno=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cfr.gov/cgi-bin/text-idx?c=ecfr&amp;SID=e0378023df937cd0fc6ca5caad10ce61&amp;rgn=div6&amp;view=text&amp;node=40:17.0.1.1.9.13&amp;idno=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fr.gov/cgi-bin/text-idx?c=ecfr&amp;SID=e0378023df937cd0fc6ca5caad10ce61&amp;rgn=div6&amp;view=text&amp;node=40:17.0.1.1.9.13&amp;idno=4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RFS2 Engineering Review Template: Executive Summary (EPA-420-B-13-044, September 2013)</vt:lpstr>
    </vt:vector>
  </TitlesOfParts>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RFS2 Engineering Review Template: Executive Summary (EPA-420-B-13-044, September 2013)</dc:title>
  <dc:subject>This document is the RFS2 engineering review template addressing an independent third-party engineering review and written report regarding the verification and accuracy of information provided. (EPA publication # EPA-420-B-13-044)</dc:subject>
  <dc:creator/>
  <cp:keywords>RFS2; renewable fuel standard; engineering; review; template; executive; summary; producer;verification;third party; EPA-420-B-13-044; 420b13044</cp:keywords>
  <dc:description/>
  <cp:lastModifiedBy/>
  <cp:revision>1</cp:revision>
  <dcterms:created xsi:type="dcterms:W3CDTF">2014-07-17T18:45:00Z</dcterms:created>
  <dcterms:modified xsi:type="dcterms:W3CDTF">2014-07-17T18:45:00Z</dcterms:modified>
</cp:coreProperties>
</file>