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02F" w:rsidRDefault="006E10B1">
      <w:pPr>
        <w:pStyle w:val="Standard"/>
        <w:tabs>
          <w:tab w:val="left" w:pos="-720"/>
          <w:tab w:val="left" w:pos="0"/>
          <w:tab w:val="left" w:pos="720"/>
          <w:tab w:val="left" w:pos="1440"/>
          <w:tab w:val="left" w:pos="2160"/>
          <w:tab w:val="left" w:pos="2880"/>
          <w:tab w:val="left" w:pos="3600"/>
          <w:tab w:val="left" w:pos="4320"/>
        </w:tabs>
        <w:jc w:val="center"/>
      </w:pPr>
      <w:r>
        <w:t>SUPPORTING STATEMENT FOR THE</w:t>
      </w:r>
    </w:p>
    <w:p w:rsidR="00DE102F" w:rsidRDefault="006E10B1">
      <w:pPr>
        <w:pStyle w:val="Standard"/>
        <w:tabs>
          <w:tab w:val="left" w:pos="-720"/>
          <w:tab w:val="left" w:pos="0"/>
          <w:tab w:val="left" w:pos="720"/>
          <w:tab w:val="left" w:pos="1440"/>
          <w:tab w:val="left" w:pos="2160"/>
          <w:tab w:val="left" w:pos="2880"/>
          <w:tab w:val="left" w:pos="3600"/>
          <w:tab w:val="left" w:pos="4320"/>
        </w:tabs>
        <w:jc w:val="center"/>
      </w:pPr>
      <w:r>
        <w:t>RENEWABLE FUELS STANDARD (RFS2) PROGRAM</w:t>
      </w:r>
      <w:r w:rsidR="00217A23">
        <w:t xml:space="preserve"> </w:t>
      </w:r>
      <w:r w:rsidR="00BB70B2">
        <w:t>(RENEWAL)</w:t>
      </w:r>
    </w:p>
    <w:p w:rsidR="00DE102F" w:rsidRDefault="00DE102F">
      <w:pPr>
        <w:pStyle w:val="Standard"/>
      </w:pPr>
    </w:p>
    <w:p w:rsidR="00DE102F" w:rsidRDefault="006E10B1">
      <w:pPr>
        <w:pStyle w:val="Standard"/>
      </w:pPr>
      <w:r>
        <w:t>A.</w:t>
      </w:r>
      <w:r>
        <w:tab/>
        <w:t>JUSTIFICATION</w:t>
      </w:r>
    </w:p>
    <w:p w:rsidR="00DE102F" w:rsidRDefault="00DE102F">
      <w:pPr>
        <w:pStyle w:val="Standard"/>
      </w:pPr>
    </w:p>
    <w:p w:rsidR="00DE102F" w:rsidRDefault="006E10B1">
      <w:pPr>
        <w:pStyle w:val="Standard"/>
      </w:pPr>
      <w:r>
        <w:t>1.</w:t>
      </w:r>
      <w:r>
        <w:tab/>
      </w:r>
      <w:r>
        <w:rPr>
          <w:u w:val="single"/>
        </w:rPr>
        <w:t>Identification of the Information Collection</w:t>
      </w:r>
    </w:p>
    <w:p w:rsidR="00DE102F" w:rsidRDefault="00DE102F">
      <w:pPr>
        <w:pStyle w:val="Standard"/>
      </w:pPr>
    </w:p>
    <w:p w:rsidR="00DE102F" w:rsidRDefault="00E830D2">
      <w:pPr>
        <w:pStyle w:val="Standard"/>
      </w:pPr>
      <w:r>
        <w:tab/>
        <w:t>1(</w:t>
      </w:r>
      <w:r w:rsidR="006E10B1">
        <w:t>a</w:t>
      </w:r>
      <w:r>
        <w:t>)</w:t>
      </w:r>
      <w:r w:rsidR="006E10B1">
        <w:tab/>
        <w:t>Title:  Renewable Fuels Standard (RFS2) Program</w:t>
      </w:r>
      <w:r w:rsidR="00BB70B2">
        <w:t>, EPA ICR No. 2380.02</w:t>
      </w:r>
      <w:r w:rsidR="006E10B1">
        <w:t>,</w:t>
      </w:r>
      <w:r w:rsidR="00BD64A1">
        <w:t xml:space="preserve"> </w:t>
      </w:r>
      <w:r w:rsidR="006E10B1">
        <w:t>OMB Control Number 2060-0637.</w:t>
      </w:r>
    </w:p>
    <w:p w:rsidR="00DE102F" w:rsidRDefault="006E10B1">
      <w:pPr>
        <w:pStyle w:val="Standard"/>
      </w:pPr>
      <w:r>
        <w:t xml:space="preserve"> </w:t>
      </w:r>
    </w:p>
    <w:p w:rsidR="00DE102F" w:rsidRDefault="00E830D2">
      <w:pPr>
        <w:pStyle w:val="Standard"/>
      </w:pPr>
      <w:r>
        <w:tab/>
        <w:t>1(</w:t>
      </w:r>
      <w:r w:rsidR="006E10B1">
        <w:t>b</w:t>
      </w:r>
      <w:r>
        <w:t>)</w:t>
      </w:r>
      <w:r w:rsidR="006E10B1">
        <w:t xml:space="preserve"> </w:t>
      </w:r>
      <w:r w:rsidR="006E10B1">
        <w:tab/>
        <w:t>Short characterization:</w:t>
      </w:r>
    </w:p>
    <w:p w:rsidR="00DE102F" w:rsidRDefault="006E10B1">
      <w:pPr>
        <w:pStyle w:val="Standard"/>
      </w:pPr>
      <w:r>
        <w:t xml:space="preserve"> </w:t>
      </w:r>
    </w:p>
    <w:p w:rsidR="001329E2" w:rsidRDefault="006E10B1" w:rsidP="00E415F0">
      <w:pPr>
        <w:spacing w:line="300" w:lineRule="atLeast"/>
        <w:rPr>
          <w:rFonts w:cs="Times New Roman"/>
        </w:rPr>
      </w:pPr>
      <w:r>
        <w:tab/>
      </w:r>
      <w:r w:rsidR="00357264" w:rsidRPr="0037793A">
        <w:rPr>
          <w:rFonts w:eastAsia="Arial Unicode MS" w:cs="Times New Roman"/>
          <w:color w:val="000000"/>
        </w:rPr>
        <w:t>Section 1501 of the Energy Policy Act of 2005 (the Act) describes the renewable fuel program, also known as the Renewable Fuel Standard (RFS) program</w:t>
      </w:r>
      <w:r w:rsidR="00A67293" w:rsidRPr="0037793A">
        <w:rPr>
          <w:rFonts w:cs="Times New Roman"/>
        </w:rPr>
        <w:t xml:space="preserve"> or RFS 1</w:t>
      </w:r>
      <w:r w:rsidR="00357264" w:rsidRPr="0037793A">
        <w:rPr>
          <w:rFonts w:eastAsia="Arial Unicode MS" w:cs="Times New Roman"/>
          <w:color w:val="000000"/>
        </w:rPr>
        <w:t>. This provision was added to the Clean Air Act as Section 211(o), and required EPA to establish a program to ensure that U.S. gasoline contains specific volumes of renewable fuel for each calendar year 2006 through 2012</w:t>
      </w:r>
      <w:r>
        <w:t xml:space="preserve">.  </w:t>
      </w:r>
      <w:r w:rsidRPr="00E415F0">
        <w:rPr>
          <w:rFonts w:cs="Times New Roman"/>
        </w:rPr>
        <w:t xml:space="preserve"> </w:t>
      </w:r>
      <w:r w:rsidR="00357264" w:rsidRPr="00E415F0">
        <w:rPr>
          <w:rFonts w:cs="Times New Roman"/>
        </w:rPr>
        <w:t xml:space="preserve">The </w:t>
      </w:r>
      <w:r w:rsidRPr="00E415F0">
        <w:rPr>
          <w:rFonts w:cs="Times New Roman"/>
        </w:rPr>
        <w:t>program started in 2006 and was covered by EPA ICR No. 2242.02, OMB Control Number 2060-0600</w:t>
      </w:r>
      <w:r w:rsidR="00783D3A" w:rsidRPr="00E415F0">
        <w:rPr>
          <w:rFonts w:cs="Times New Roman"/>
        </w:rPr>
        <w:t xml:space="preserve"> which</w:t>
      </w:r>
      <w:r w:rsidR="001833F7" w:rsidRPr="00E415F0">
        <w:rPr>
          <w:rFonts w:cs="Times New Roman"/>
        </w:rPr>
        <w:t xml:space="preserve"> </w:t>
      </w:r>
      <w:r w:rsidR="008A3D25" w:rsidRPr="00E415F0">
        <w:rPr>
          <w:rFonts w:cs="Times New Roman"/>
        </w:rPr>
        <w:t xml:space="preserve">is </w:t>
      </w:r>
      <w:r w:rsidR="001833F7" w:rsidRPr="00E415F0">
        <w:rPr>
          <w:rFonts w:cs="Times New Roman"/>
        </w:rPr>
        <w:t>now discontinued</w:t>
      </w:r>
      <w:r w:rsidR="001329E2">
        <w:rPr>
          <w:rFonts w:cs="Times New Roman"/>
        </w:rPr>
        <w:t xml:space="preserve"> due to the expansion of the RFS1 program now referenced as RFS2 </w:t>
      </w:r>
      <w:r w:rsidR="00471289">
        <w:rPr>
          <w:rFonts w:cs="Times New Roman"/>
        </w:rPr>
        <w:t xml:space="preserve">and </w:t>
      </w:r>
      <w:r w:rsidR="001329E2">
        <w:rPr>
          <w:rFonts w:cs="Times New Roman"/>
        </w:rPr>
        <w:t>covered under a</w:t>
      </w:r>
      <w:r w:rsidR="00471289">
        <w:rPr>
          <w:rFonts w:cs="Times New Roman"/>
        </w:rPr>
        <w:t xml:space="preserve"> different</w:t>
      </w:r>
      <w:r w:rsidR="001329E2">
        <w:rPr>
          <w:rFonts w:cs="Times New Roman"/>
        </w:rPr>
        <w:t xml:space="preserve"> ICR and OMB number</w:t>
      </w:r>
      <w:r w:rsidR="00471289">
        <w:rPr>
          <w:rFonts w:cs="Times New Roman"/>
        </w:rPr>
        <w:t>.</w:t>
      </w:r>
      <w:r w:rsidR="006F2270">
        <w:rPr>
          <w:rFonts w:cs="Times New Roman"/>
        </w:rPr>
        <w:t xml:space="preserve"> </w:t>
      </w:r>
      <w:r w:rsidR="00471289">
        <w:rPr>
          <w:rFonts w:cs="Times New Roman"/>
        </w:rPr>
        <w:t xml:space="preserve"> </w:t>
      </w:r>
    </w:p>
    <w:p w:rsidR="00471289" w:rsidRDefault="00471289" w:rsidP="00E415F0">
      <w:pPr>
        <w:spacing w:line="300" w:lineRule="atLeast"/>
        <w:rPr>
          <w:rFonts w:cs="Times New Roman"/>
        </w:rPr>
      </w:pPr>
    </w:p>
    <w:p w:rsidR="00E415F0" w:rsidRDefault="00B00E9B" w:rsidP="00E415F0">
      <w:pPr>
        <w:spacing w:line="300" w:lineRule="atLeast"/>
        <w:rPr>
          <w:rFonts w:ascii="Helvetica" w:eastAsia="Arial Unicode MS" w:hAnsi="Helvetica" w:cs="Arial Unicode MS"/>
          <w:color w:val="000000"/>
          <w:kern w:val="0"/>
          <w:sz w:val="21"/>
          <w:szCs w:val="21"/>
          <w:lang w:eastAsia="en-US" w:bidi="ar-SA"/>
        </w:rPr>
      </w:pPr>
      <w:r>
        <w:rPr>
          <w:rFonts w:cs="Times New Roman"/>
        </w:rPr>
        <w:tab/>
      </w:r>
      <w:r w:rsidR="00E415F0" w:rsidRPr="00E415F0">
        <w:rPr>
          <w:rFonts w:cs="Times New Roman"/>
        </w:rPr>
        <w:t xml:space="preserve">RFS1 was </w:t>
      </w:r>
      <w:r w:rsidR="00E415F0" w:rsidRPr="00E415F0">
        <w:rPr>
          <w:rFonts w:eastAsia="Arial Unicode MS" w:cs="Times New Roman"/>
          <w:color w:val="000000"/>
          <w:kern w:val="0"/>
          <w:lang w:eastAsia="en-US" w:bidi="ar-SA"/>
        </w:rPr>
        <w:t>designed to significantly increase the volume of renewable fuels that blended into gasoline, starting with calendar year 2006</w:t>
      </w:r>
      <w:r w:rsidR="009212E6">
        <w:rPr>
          <w:rFonts w:eastAsia="Arial Unicode MS" w:cs="Times New Roman"/>
          <w:color w:val="000000"/>
          <w:kern w:val="0"/>
          <w:lang w:eastAsia="en-US" w:bidi="ar-SA"/>
        </w:rPr>
        <w:t xml:space="preserve"> to</w:t>
      </w:r>
      <w:r w:rsidR="00E415F0" w:rsidRPr="00E415F0">
        <w:rPr>
          <w:rFonts w:eastAsia="Arial Unicode MS" w:cs="Times New Roman"/>
          <w:color w:val="000000"/>
          <w:kern w:val="0"/>
          <w:lang w:eastAsia="en-US" w:bidi="ar-SA"/>
        </w:rPr>
        <w:t xml:space="preserve"> 2.78 percent</w:t>
      </w:r>
      <w:r w:rsidR="009212E6">
        <w:rPr>
          <w:rFonts w:eastAsia="Arial Unicode MS" w:cs="Times New Roman"/>
          <w:color w:val="000000"/>
          <w:kern w:val="0"/>
          <w:lang w:eastAsia="en-US" w:bidi="ar-SA"/>
        </w:rPr>
        <w:t xml:space="preserve">. 2.78 percent </w:t>
      </w:r>
      <w:r w:rsidR="00E415F0" w:rsidRPr="00E415F0">
        <w:rPr>
          <w:rFonts w:eastAsia="Arial Unicode MS" w:cs="Times New Roman"/>
          <w:color w:val="000000"/>
          <w:kern w:val="0"/>
          <w:lang w:eastAsia="en-US" w:bidi="ar-SA"/>
        </w:rPr>
        <w:t xml:space="preserve">of the gasoline sold or dispensed to consumers for calendar year 2006 </w:t>
      </w:r>
      <w:r w:rsidR="00A67293">
        <w:rPr>
          <w:rFonts w:eastAsia="Arial Unicode MS" w:cs="Times New Roman"/>
          <w:color w:val="000000"/>
          <w:kern w:val="0"/>
          <w:lang w:eastAsia="en-US" w:bidi="ar-SA"/>
        </w:rPr>
        <w:t xml:space="preserve">had to </w:t>
      </w:r>
      <w:r w:rsidR="00E415F0" w:rsidRPr="00E415F0">
        <w:rPr>
          <w:rFonts w:eastAsia="Arial Unicode MS" w:cs="Times New Roman"/>
          <w:color w:val="000000"/>
          <w:kern w:val="0"/>
          <w:lang w:eastAsia="en-US" w:bidi="ar-SA"/>
        </w:rPr>
        <w:t>be renewable fuel.</w:t>
      </w:r>
      <w:r w:rsidR="006F2270">
        <w:rPr>
          <w:rFonts w:eastAsia="Arial Unicode MS" w:cs="Times New Roman"/>
          <w:color w:val="000000"/>
          <w:kern w:val="0"/>
          <w:lang w:eastAsia="en-US" w:bidi="ar-SA"/>
        </w:rPr>
        <w:t xml:space="preserve"> </w:t>
      </w:r>
      <w:r w:rsidR="00A67293">
        <w:rPr>
          <w:rFonts w:cs="Times New Roman"/>
        </w:rPr>
        <w:t xml:space="preserve">The </w:t>
      </w:r>
      <w:r w:rsidR="00E415F0" w:rsidRPr="00E415F0">
        <w:rPr>
          <w:rFonts w:cs="Times New Roman"/>
        </w:rPr>
        <w:t>RFS1 program did not address issues f</w:t>
      </w:r>
      <w:r w:rsidR="00E415F0" w:rsidRPr="00E415F0">
        <w:rPr>
          <w:rFonts w:eastAsia="Arial Unicode MS" w:cs="Times New Roman"/>
          <w:color w:val="000000"/>
          <w:kern w:val="0"/>
          <w:lang w:eastAsia="en-US" w:bidi="ar-SA"/>
        </w:rPr>
        <w:t>or 2007 and beyond. The Agency needed to determine and publish the applicable renewable fuel standard for each year, and also needed to specifically identify liable parties, lay out the compliance program including recordkeeping and reporting requirements, and delineate all elements of the credit trading program including how credits are generated, how they can be transferred, and how they can be used for compliance purposes. All these and many other issues impacting the full RFS program were addressed in a subsequent Agency action and</w:t>
      </w:r>
      <w:r w:rsidR="00E415F0" w:rsidRPr="00E415F0">
        <w:rPr>
          <w:rFonts w:ascii="Helvetica" w:eastAsia="Arial Unicode MS" w:hAnsi="Helvetica" w:cs="Arial Unicode MS"/>
          <w:color w:val="000000"/>
          <w:kern w:val="0"/>
          <w:sz w:val="21"/>
          <w:szCs w:val="21"/>
          <w:lang w:eastAsia="en-US" w:bidi="ar-SA"/>
        </w:rPr>
        <w:t xml:space="preserve"> </w:t>
      </w:r>
      <w:r w:rsidR="003F10F7" w:rsidRPr="003F10F7">
        <w:rPr>
          <w:rFonts w:eastAsia="Arial Unicode MS" w:cs="Times New Roman"/>
          <w:color w:val="000000"/>
          <w:kern w:val="0"/>
          <w:lang w:eastAsia="en-US" w:bidi="ar-SA"/>
        </w:rPr>
        <w:t>were not discussed in the proposed rulemaking (NPRM).</w:t>
      </w:r>
    </w:p>
    <w:p w:rsidR="009212E6" w:rsidRPr="00E415F0" w:rsidRDefault="009212E6" w:rsidP="00E415F0">
      <w:pPr>
        <w:spacing w:line="300" w:lineRule="atLeast"/>
        <w:rPr>
          <w:rFonts w:ascii="Helvetica" w:eastAsia="Arial Unicode MS" w:hAnsi="Helvetica" w:cs="Arial Unicode MS"/>
          <w:color w:val="000000"/>
          <w:kern w:val="0"/>
          <w:sz w:val="21"/>
          <w:szCs w:val="21"/>
          <w:lang w:eastAsia="en-US" w:bidi="ar-SA"/>
        </w:rPr>
      </w:pPr>
    </w:p>
    <w:p w:rsidR="00973D80" w:rsidRDefault="00B00E9B">
      <w:pPr>
        <w:pStyle w:val="Standard"/>
      </w:pPr>
      <w:r>
        <w:tab/>
      </w:r>
      <w:r w:rsidR="00973D80">
        <w:t>Please refer to “Regulation of Fuels and Fuel Additives: Renewable Fuel Standard Program – Notice of Proposed Rulemaking” and “Regulation of Fuels and Fuel Additives: Renewable Fuel Standard Program – Final Rule” (both available in docket number EPA-HQ-OAR-2005-</w:t>
      </w:r>
      <w:r w:rsidR="00F2090D">
        <w:t>0161</w:t>
      </w:r>
      <w:r w:rsidR="00973D80">
        <w:t>) for a detailed discussion of the RFS1 program.</w:t>
      </w:r>
    </w:p>
    <w:p w:rsidR="00973D80" w:rsidRDefault="00973D80">
      <w:pPr>
        <w:pStyle w:val="Standard"/>
      </w:pPr>
    </w:p>
    <w:p w:rsidR="001C1BFF" w:rsidRDefault="00973D80" w:rsidP="001C1BFF">
      <w:pPr>
        <w:pStyle w:val="Standard"/>
        <w:ind w:firstLine="720"/>
      </w:pPr>
      <w:r>
        <w:t xml:space="preserve">The Energy Independence and Security Act of 2007 (EISA) further amended the Clean Air Act, section 211(o), and required new regulations for renewable fuels.  The newer RFS program is referred to in this supporting statement as "RFS2."  Under RFS2, the volume requirement and types of renewable fuels are expanded; non-road uses are included (RFS1 only affected motor vehicle fuel); there are additional types of waivers and special provisions for renewable fuel types; and EPA has implemented an EPA Moderated Transaction System (EMTS) for RINs.  Additional parties will be required to register, keep records, and report.  Please refer to the Final Rule (available in docket number EPA-HQ-OAR-2005-0161) for a detailed discussion of the RFS2 program.   </w:t>
      </w:r>
    </w:p>
    <w:p w:rsidR="00973D80" w:rsidRDefault="00973D80">
      <w:pPr>
        <w:pStyle w:val="Standard"/>
      </w:pPr>
    </w:p>
    <w:p w:rsidR="00DE102F" w:rsidRDefault="00973D80" w:rsidP="00217A23">
      <w:pPr>
        <w:pStyle w:val="Standard"/>
        <w:ind w:firstLine="720"/>
      </w:pPr>
      <w:r w:rsidRPr="00973D80">
        <w:t xml:space="preserve"> </w:t>
      </w:r>
      <w:r>
        <w:t xml:space="preserve">With the new requirements in the RFS program now RFS2, all supporting information and notices will be addressed under EPA ICR No. 2380.02, OMB Control Number 2060-0637. </w:t>
      </w:r>
      <w:r w:rsidR="006E10B1">
        <w:t>This supporting statement provides tables that break down reporting items by party (e.g. producer, importer, refiner, etc.) and the cost related to their reporting activity. For compliance purposes, under RFS2, volumes of renewable fuel are identified through the use of renewable identification numbers (RINs) that are initially generated by the producer of the renewable fuel.  However, there are additional types of RINs and the volume of RINs traded is expected to be great.</w:t>
      </w:r>
    </w:p>
    <w:p w:rsidR="00DE102F" w:rsidRDefault="006E10B1">
      <w:pPr>
        <w:pStyle w:val="Standard"/>
      </w:pPr>
      <w:r>
        <w:tab/>
        <w:t xml:space="preserve">   </w:t>
      </w:r>
    </w:p>
    <w:p w:rsidR="001B0488" w:rsidRDefault="001B0488">
      <w:pPr>
        <w:pStyle w:val="Standard"/>
      </w:pPr>
    </w:p>
    <w:p w:rsidR="00D56B92" w:rsidRDefault="00D56B92">
      <w:pPr>
        <w:pStyle w:val="Standard"/>
      </w:pPr>
    </w:p>
    <w:p w:rsidR="001B0488" w:rsidRDefault="006E10B1">
      <w:pPr>
        <w:pStyle w:val="Standard"/>
        <w:rPr>
          <w:u w:val="single"/>
        </w:rPr>
      </w:pPr>
      <w:r>
        <w:t xml:space="preserve">2.  </w:t>
      </w:r>
      <w:r>
        <w:rPr>
          <w:u w:val="single"/>
        </w:rPr>
        <w:t>Need For, and Use of, the Collection</w:t>
      </w:r>
    </w:p>
    <w:p w:rsidR="001B0488" w:rsidRDefault="001B0488">
      <w:pPr>
        <w:pStyle w:val="Standard"/>
        <w:rPr>
          <w:u w:val="single"/>
        </w:rPr>
      </w:pPr>
    </w:p>
    <w:p w:rsidR="00DE102F" w:rsidRPr="001B0488" w:rsidRDefault="001B0488">
      <w:pPr>
        <w:pStyle w:val="Standard"/>
      </w:pPr>
      <w:r w:rsidRPr="001B0488">
        <w:tab/>
        <w:t>2(a)</w:t>
      </w:r>
      <w:r w:rsidRPr="001B0488">
        <w:tab/>
        <w:t>Authority for the Collection</w:t>
      </w:r>
    </w:p>
    <w:p w:rsidR="00DE102F" w:rsidRDefault="00DE102F">
      <w:pPr>
        <w:pStyle w:val="Standard"/>
        <w:ind w:left="720"/>
      </w:pPr>
    </w:p>
    <w:p w:rsidR="00DE102F" w:rsidRDefault="006E10B1">
      <w:pPr>
        <w:pStyle w:val="Standard"/>
      </w:pPr>
      <w:r>
        <w:rPr>
          <w:lang w:val="en-CA"/>
        </w:rPr>
        <w:tab/>
      </w:r>
      <w:r>
        <w:t xml:space="preserve">Sections 114 and 208 of the Clean Air Act (CAA), 42 U.S.C. §§ 7414 and 7542, authorize EPA to require recordkeeping and reporting regarding enforcement of the provisions of Title II of the CAA.  </w:t>
      </w:r>
    </w:p>
    <w:p w:rsidR="00DE102F" w:rsidRDefault="006E10B1">
      <w:pPr>
        <w:pStyle w:val="Standard"/>
      </w:pPr>
      <w:r>
        <w:tab/>
      </w:r>
    </w:p>
    <w:p w:rsidR="00DE102F" w:rsidRDefault="006E10B1">
      <w:pPr>
        <w:pStyle w:val="Standard"/>
      </w:pPr>
      <w:r>
        <w:tab/>
      </w:r>
      <w:r w:rsidR="001B0488">
        <w:t>2(</w:t>
      </w:r>
      <w:r>
        <w:t>b</w:t>
      </w:r>
      <w:r w:rsidR="001B0488">
        <w:t>)</w:t>
      </w:r>
      <w:r>
        <w:t xml:space="preserve"> </w:t>
      </w:r>
      <w:r>
        <w:tab/>
        <w:t>Practical Utility/Uses of the Data</w:t>
      </w:r>
    </w:p>
    <w:p w:rsidR="00DE102F" w:rsidRDefault="00DE102F">
      <w:pPr>
        <w:pStyle w:val="Standard"/>
      </w:pPr>
    </w:p>
    <w:p w:rsidR="00DE102F" w:rsidRDefault="006E10B1">
      <w:pPr>
        <w:pStyle w:val="Standard"/>
      </w:pPr>
      <w:r>
        <w:tab/>
        <w:t>The recordkeeping and reporting requirements of this regulation will allow EPA to monitor compliance with the RFS program.</w:t>
      </w:r>
    </w:p>
    <w:p w:rsidR="001B0488" w:rsidRDefault="001B0488">
      <w:pPr>
        <w:pStyle w:val="Standard"/>
      </w:pPr>
    </w:p>
    <w:p w:rsidR="00DE102F" w:rsidRDefault="00DE102F">
      <w:pPr>
        <w:pStyle w:val="Standard"/>
      </w:pPr>
    </w:p>
    <w:p w:rsidR="00DE102F" w:rsidRDefault="006E10B1">
      <w:pPr>
        <w:pStyle w:val="Standard"/>
      </w:pPr>
      <w:r>
        <w:t xml:space="preserve">3.  </w:t>
      </w:r>
      <w:r>
        <w:rPr>
          <w:u w:val="single"/>
        </w:rPr>
        <w:t>Non-duplication, Consultation, and other Collection Criteria</w:t>
      </w:r>
    </w:p>
    <w:p w:rsidR="00DE102F" w:rsidRDefault="00DE102F">
      <w:pPr>
        <w:pStyle w:val="Standard"/>
        <w:rPr>
          <w:u w:val="single"/>
        </w:rPr>
      </w:pPr>
    </w:p>
    <w:p w:rsidR="00DE102F" w:rsidRDefault="006E10B1">
      <w:pPr>
        <w:pStyle w:val="Standard"/>
      </w:pPr>
      <w:r>
        <w:tab/>
      </w:r>
      <w:r w:rsidR="001B0488">
        <w:t>3(</w:t>
      </w:r>
      <w:r>
        <w:t>a</w:t>
      </w:r>
      <w:r w:rsidR="001B0488">
        <w:t>)</w:t>
      </w:r>
      <w:r>
        <w:t xml:space="preserve"> </w:t>
      </w:r>
      <w:r>
        <w:tab/>
        <w:t>Non-duplication</w:t>
      </w:r>
    </w:p>
    <w:p w:rsidR="00DE102F" w:rsidRDefault="00DE102F">
      <w:pPr>
        <w:pStyle w:val="Standard"/>
      </w:pPr>
    </w:p>
    <w:p w:rsidR="00DE102F" w:rsidRDefault="006E10B1">
      <w:pPr>
        <w:pStyle w:val="Standard"/>
      </w:pPr>
      <w:r>
        <w:tab/>
        <w:t>Efforts have been made to eliminate duplication in this information collection</w:t>
      </w:r>
      <w:r w:rsidR="002C0239">
        <w:t xml:space="preserve">. The information collected is considered CBI and unique to the </w:t>
      </w:r>
      <w:r w:rsidR="00DA4B0A">
        <w:t xml:space="preserve">closed </w:t>
      </w:r>
      <w:r w:rsidR="002C0239">
        <w:t xml:space="preserve">DCFUEL database.  </w:t>
      </w:r>
      <w:r w:rsidR="008A3D25">
        <w:t xml:space="preserve">EPA has provided </w:t>
      </w:r>
      <w:r w:rsidR="00244304">
        <w:t xml:space="preserve">instructions in PDF </w:t>
      </w:r>
      <w:r w:rsidR="008A3D25">
        <w:t>in which the parties submit data in</w:t>
      </w:r>
      <w:r w:rsidR="00244304">
        <w:t xml:space="preserve"> the Unified Report Form (XLS) to the Agency’s Central Data Exchange (CDX). </w:t>
      </w:r>
      <w:r w:rsidR="00EA5403">
        <w:t xml:space="preserve">CDX also allows for updating and corrections to individual accounts. </w:t>
      </w:r>
      <w:r w:rsidR="002C0239">
        <w:t>The</w:t>
      </w:r>
      <w:r w:rsidR="001B0488">
        <w:t xml:space="preserve"> </w:t>
      </w:r>
      <w:r w:rsidR="00C62191">
        <w:t xml:space="preserve">data </w:t>
      </w:r>
      <w:r w:rsidR="004F6261">
        <w:t>re</w:t>
      </w:r>
      <w:r w:rsidR="00DA4B0A">
        <w:t>late</w:t>
      </w:r>
      <w:r w:rsidR="00C62191">
        <w:t>s</w:t>
      </w:r>
      <w:r w:rsidR="00DA4B0A">
        <w:t xml:space="preserve"> to</w:t>
      </w:r>
      <w:r w:rsidR="004F6261">
        <w:t xml:space="preserve"> individual </w:t>
      </w:r>
      <w:r w:rsidR="00DA4B0A">
        <w:t xml:space="preserve">fuel </w:t>
      </w:r>
      <w:r w:rsidR="00C62191">
        <w:t xml:space="preserve">volume </w:t>
      </w:r>
      <w:r w:rsidR="004F6261">
        <w:t>by</w:t>
      </w:r>
      <w:r w:rsidR="00DA4B0A">
        <w:t xml:space="preserve"> faci</w:t>
      </w:r>
      <w:r w:rsidR="00C62191">
        <w:t>lity</w:t>
      </w:r>
      <w:r w:rsidR="00AA322A">
        <w:t xml:space="preserve"> and </w:t>
      </w:r>
      <w:r w:rsidR="009031F1">
        <w:t xml:space="preserve">are </w:t>
      </w:r>
      <w:r w:rsidR="00AA322A">
        <w:t>not available from other sources</w:t>
      </w:r>
      <w:r w:rsidR="00C62191">
        <w:t>.</w:t>
      </w:r>
    </w:p>
    <w:p w:rsidR="00C62191" w:rsidRDefault="00C62191">
      <w:pPr>
        <w:pStyle w:val="Standard"/>
      </w:pPr>
    </w:p>
    <w:p w:rsidR="0072344B" w:rsidRDefault="006E10B1">
      <w:pPr>
        <w:pStyle w:val="Standard"/>
      </w:pPr>
      <w:r>
        <w:tab/>
      </w:r>
      <w:r w:rsidR="001B0488">
        <w:t>3(</w:t>
      </w:r>
      <w:r>
        <w:t>b</w:t>
      </w:r>
      <w:r w:rsidR="001B0488">
        <w:t>)</w:t>
      </w:r>
      <w:r>
        <w:t xml:space="preserve"> </w:t>
      </w:r>
      <w:r>
        <w:tab/>
        <w:t>Public Notice</w:t>
      </w:r>
    </w:p>
    <w:p w:rsidR="00DE102F" w:rsidRDefault="00DE102F">
      <w:pPr>
        <w:pStyle w:val="Standard"/>
        <w:ind w:firstLine="720"/>
      </w:pPr>
    </w:p>
    <w:p w:rsidR="00C62191" w:rsidRDefault="0002278E">
      <w:pPr>
        <w:pStyle w:val="Standard"/>
      </w:pPr>
      <w:r>
        <w:t xml:space="preserve">EPA sought comment on reporting requirements via the </w:t>
      </w:r>
      <w:r w:rsidR="00BD63FF">
        <w:t>Federal Register on November 20, 2012 (77 FR 6962</w:t>
      </w:r>
      <w:r w:rsidR="008F5609">
        <w:t xml:space="preserve">0).  EPA received </w:t>
      </w:r>
      <w:r w:rsidR="002C0239">
        <w:t xml:space="preserve">no </w:t>
      </w:r>
      <w:r w:rsidR="008F5609">
        <w:t>public comments.</w:t>
      </w:r>
    </w:p>
    <w:p w:rsidR="00E830D2" w:rsidRDefault="00E830D2">
      <w:pPr>
        <w:pStyle w:val="Standard"/>
      </w:pPr>
    </w:p>
    <w:p w:rsidR="00DE102F" w:rsidRDefault="002C0239">
      <w:pPr>
        <w:pStyle w:val="Standard"/>
      </w:pPr>
      <w:r w:rsidDel="002C0239">
        <w:t xml:space="preserve"> </w:t>
      </w:r>
      <w:r w:rsidR="001B0488">
        <w:tab/>
        <w:t>3(c)</w:t>
      </w:r>
      <w:r w:rsidR="001B0488">
        <w:tab/>
        <w:t>Consultations</w:t>
      </w:r>
    </w:p>
    <w:p w:rsidR="001B0488" w:rsidRDefault="001B0488">
      <w:pPr>
        <w:pStyle w:val="Standard"/>
      </w:pPr>
    </w:p>
    <w:p w:rsidR="00DE102F" w:rsidRPr="000B3C3D" w:rsidRDefault="006E10B1">
      <w:pPr>
        <w:pStyle w:val="Standard"/>
        <w:rPr>
          <w:rFonts w:cs="Times New Roman"/>
        </w:rPr>
      </w:pPr>
      <w:r>
        <w:tab/>
      </w:r>
      <w:r w:rsidR="00C31670" w:rsidRPr="000B3C3D">
        <w:rPr>
          <w:rFonts w:cs="Times New Roman"/>
        </w:rPr>
        <w:t xml:space="preserve">EPA </w:t>
      </w:r>
      <w:r w:rsidR="008A3D25" w:rsidRPr="000B3C3D">
        <w:rPr>
          <w:rFonts w:cs="Times New Roman"/>
        </w:rPr>
        <w:t xml:space="preserve">has consulted </w:t>
      </w:r>
      <w:r w:rsidR="00C31670" w:rsidRPr="000B3C3D">
        <w:rPr>
          <w:rFonts w:cs="Times New Roman"/>
        </w:rPr>
        <w:t xml:space="preserve">with two </w:t>
      </w:r>
      <w:r w:rsidR="009031F1">
        <w:rPr>
          <w:rFonts w:cs="Times New Roman"/>
        </w:rPr>
        <w:t>parties</w:t>
      </w:r>
      <w:r w:rsidR="00C31670" w:rsidRPr="000B3C3D">
        <w:rPr>
          <w:rFonts w:cs="Times New Roman"/>
        </w:rPr>
        <w:t>, Mr</w:t>
      </w:r>
      <w:r w:rsidR="001E0F0D" w:rsidRPr="000B3C3D">
        <w:rPr>
          <w:rFonts w:cs="Times New Roman"/>
        </w:rPr>
        <w:t xml:space="preserve">. </w:t>
      </w:r>
      <w:r w:rsidR="008A3D25" w:rsidRPr="000B3C3D">
        <w:rPr>
          <w:rFonts w:cs="Times New Roman"/>
        </w:rPr>
        <w:t>Tim Hogan of the American Fuel and Petrochemical Manufactures</w:t>
      </w:r>
      <w:r w:rsidR="009031F1">
        <w:rPr>
          <w:rFonts w:cs="Times New Roman"/>
        </w:rPr>
        <w:t>,</w:t>
      </w:r>
      <w:r w:rsidR="000B3C3D" w:rsidRPr="000B3C3D">
        <w:rPr>
          <w:rFonts w:cs="Times New Roman"/>
        </w:rPr>
        <w:t xml:space="preserve"> who can be contacted</w:t>
      </w:r>
      <w:r w:rsidR="008A3D25" w:rsidRPr="000B3C3D">
        <w:rPr>
          <w:rFonts w:cs="Times New Roman"/>
        </w:rPr>
        <w:t xml:space="preserve"> on (202)-457-0480</w:t>
      </w:r>
      <w:r w:rsidR="009031F1">
        <w:rPr>
          <w:rFonts w:cs="Times New Roman"/>
        </w:rPr>
        <w:t>,</w:t>
      </w:r>
      <w:r w:rsidR="008A3D25" w:rsidRPr="000B3C3D">
        <w:rPr>
          <w:rFonts w:cs="Times New Roman"/>
        </w:rPr>
        <w:t xml:space="preserve"> and Mr. </w:t>
      </w:r>
      <w:r w:rsidR="000B3C3D" w:rsidRPr="000B3C3D">
        <w:rPr>
          <w:rFonts w:cs="Times New Roman"/>
        </w:rPr>
        <w:t>Bob S</w:t>
      </w:r>
      <w:r w:rsidR="006A3B24">
        <w:rPr>
          <w:rFonts w:cs="Times New Roman"/>
        </w:rPr>
        <w:t>c</w:t>
      </w:r>
      <w:r w:rsidR="000B3C3D" w:rsidRPr="000B3C3D">
        <w:rPr>
          <w:rFonts w:cs="Times New Roman"/>
        </w:rPr>
        <w:t>hafer</w:t>
      </w:r>
      <w:r w:rsidR="000B3C3D" w:rsidRPr="000B3C3D" w:rsidDel="000B3C3D">
        <w:rPr>
          <w:rFonts w:cs="Times New Roman"/>
        </w:rPr>
        <w:t xml:space="preserve"> </w:t>
      </w:r>
      <w:r w:rsidR="000B3C3D" w:rsidRPr="000B3C3D">
        <w:rPr>
          <w:rFonts w:cs="Times New Roman"/>
        </w:rPr>
        <w:t>of</w:t>
      </w:r>
      <w:r w:rsidR="006A3B24">
        <w:rPr>
          <w:rFonts w:cs="Times New Roman"/>
        </w:rPr>
        <w:t xml:space="preserve"> </w:t>
      </w:r>
      <w:r w:rsidR="000B3C3D" w:rsidRPr="000B3C3D">
        <w:rPr>
          <w:rStyle w:val="bodywhite161"/>
          <w:rFonts w:ascii="Times New Roman" w:hAnsi="Times New Roman" w:cs="Times New Roman"/>
          <w:color w:val="auto"/>
          <w:sz w:val="24"/>
          <w:szCs w:val="24"/>
        </w:rPr>
        <w:lastRenderedPageBreak/>
        <w:t xml:space="preserve">The National Biodiesel Board (NBB), who can be reached on </w:t>
      </w:r>
      <w:r w:rsidR="000B3C3D">
        <w:rPr>
          <w:rStyle w:val="bodywhite161"/>
          <w:rFonts w:ascii="Times New Roman" w:hAnsi="Times New Roman" w:cs="Times New Roman"/>
          <w:color w:val="auto"/>
          <w:sz w:val="24"/>
          <w:szCs w:val="24"/>
        </w:rPr>
        <w:t>202-737-8801</w:t>
      </w:r>
      <w:r w:rsidR="009031F1">
        <w:rPr>
          <w:rStyle w:val="bodywhite161"/>
          <w:rFonts w:ascii="Times New Roman" w:hAnsi="Times New Roman" w:cs="Times New Roman"/>
          <w:color w:val="auto"/>
          <w:sz w:val="24"/>
          <w:szCs w:val="24"/>
        </w:rPr>
        <w:t>.</w:t>
      </w:r>
      <w:r w:rsidR="000B3C3D">
        <w:rPr>
          <w:rStyle w:val="bodywhite161"/>
          <w:rFonts w:ascii="Times New Roman" w:hAnsi="Times New Roman" w:cs="Times New Roman"/>
          <w:color w:val="auto"/>
          <w:sz w:val="24"/>
          <w:szCs w:val="24"/>
        </w:rPr>
        <w:t xml:space="preserve"> </w:t>
      </w:r>
      <w:r w:rsidR="006B7E80">
        <w:rPr>
          <w:rStyle w:val="bodywhite161"/>
          <w:rFonts w:ascii="Times New Roman" w:hAnsi="Times New Roman" w:cs="Times New Roman"/>
          <w:color w:val="auto"/>
          <w:sz w:val="24"/>
          <w:szCs w:val="24"/>
        </w:rPr>
        <w:t xml:space="preserve">Mr. Schafer </w:t>
      </w:r>
      <w:r w:rsidR="000B3C3D" w:rsidRPr="000B3C3D">
        <w:rPr>
          <w:rStyle w:val="bodywhite161"/>
          <w:rFonts w:ascii="Times New Roman" w:hAnsi="Times New Roman" w:cs="Times New Roman"/>
          <w:color w:val="auto"/>
          <w:sz w:val="24"/>
          <w:szCs w:val="24"/>
        </w:rPr>
        <w:t>did not respond.</w:t>
      </w:r>
      <w:r w:rsidR="006A3B24">
        <w:rPr>
          <w:rStyle w:val="bodywhite161"/>
          <w:rFonts w:ascii="Times New Roman" w:hAnsi="Times New Roman" w:cs="Times New Roman"/>
          <w:color w:val="auto"/>
          <w:sz w:val="24"/>
          <w:szCs w:val="24"/>
        </w:rPr>
        <w:t xml:space="preserve">  </w:t>
      </w:r>
      <w:r w:rsidR="007F1696">
        <w:rPr>
          <w:rStyle w:val="bodywhite161"/>
          <w:rFonts w:ascii="Times New Roman" w:hAnsi="Times New Roman" w:cs="Times New Roman"/>
          <w:color w:val="auto"/>
          <w:sz w:val="24"/>
          <w:szCs w:val="24"/>
        </w:rPr>
        <w:t xml:space="preserve">Mr. Tim Hogan reviewed the ICR </w:t>
      </w:r>
      <w:r w:rsidR="006B7E80">
        <w:rPr>
          <w:rStyle w:val="bodywhite161"/>
          <w:rFonts w:ascii="Times New Roman" w:hAnsi="Times New Roman" w:cs="Times New Roman"/>
          <w:color w:val="auto"/>
          <w:sz w:val="24"/>
          <w:szCs w:val="24"/>
        </w:rPr>
        <w:t>as it relates to the obligated part</w:t>
      </w:r>
      <w:r w:rsidR="009031F1">
        <w:rPr>
          <w:rStyle w:val="bodywhite161"/>
          <w:rFonts w:ascii="Times New Roman" w:hAnsi="Times New Roman" w:cs="Times New Roman"/>
          <w:color w:val="auto"/>
          <w:sz w:val="24"/>
          <w:szCs w:val="24"/>
        </w:rPr>
        <w:t>ies</w:t>
      </w:r>
      <w:r w:rsidR="006B7E80">
        <w:rPr>
          <w:rStyle w:val="bodywhite161"/>
          <w:rFonts w:ascii="Times New Roman" w:hAnsi="Times New Roman" w:cs="Times New Roman"/>
          <w:color w:val="auto"/>
          <w:sz w:val="24"/>
          <w:szCs w:val="24"/>
        </w:rPr>
        <w:t xml:space="preserve"> and found </w:t>
      </w:r>
      <w:r w:rsidR="00E830D2">
        <w:rPr>
          <w:rStyle w:val="bodywhite161"/>
          <w:rFonts w:ascii="Times New Roman" w:hAnsi="Times New Roman" w:cs="Times New Roman"/>
          <w:color w:val="auto"/>
          <w:sz w:val="24"/>
          <w:szCs w:val="24"/>
        </w:rPr>
        <w:t xml:space="preserve">that </w:t>
      </w:r>
      <w:r w:rsidR="006B7E80">
        <w:rPr>
          <w:rStyle w:val="bodywhite161"/>
          <w:rFonts w:ascii="Times New Roman" w:hAnsi="Times New Roman" w:cs="Times New Roman"/>
          <w:color w:val="auto"/>
          <w:sz w:val="24"/>
          <w:szCs w:val="24"/>
        </w:rPr>
        <w:t xml:space="preserve">the tables were not </w:t>
      </w:r>
      <w:r w:rsidR="007F1696">
        <w:rPr>
          <w:rStyle w:val="bodywhite161"/>
          <w:rFonts w:ascii="Times New Roman" w:hAnsi="Times New Roman" w:cs="Times New Roman"/>
          <w:color w:val="auto"/>
          <w:sz w:val="24"/>
          <w:szCs w:val="24"/>
        </w:rPr>
        <w:t>clear</w:t>
      </w:r>
      <w:r w:rsidR="006B7E80">
        <w:rPr>
          <w:rStyle w:val="bodywhite161"/>
          <w:rFonts w:ascii="Times New Roman" w:hAnsi="Times New Roman" w:cs="Times New Roman"/>
          <w:color w:val="auto"/>
          <w:sz w:val="24"/>
          <w:szCs w:val="24"/>
        </w:rPr>
        <w:t xml:space="preserve">. Changes </w:t>
      </w:r>
      <w:r w:rsidR="007F1696">
        <w:rPr>
          <w:rStyle w:val="bodywhite161"/>
          <w:rFonts w:ascii="Times New Roman" w:hAnsi="Times New Roman" w:cs="Times New Roman"/>
          <w:color w:val="auto"/>
          <w:sz w:val="24"/>
          <w:szCs w:val="24"/>
        </w:rPr>
        <w:t>were made</w:t>
      </w:r>
      <w:r w:rsidR="006B7E80">
        <w:rPr>
          <w:rStyle w:val="bodywhite161"/>
          <w:rFonts w:ascii="Times New Roman" w:hAnsi="Times New Roman" w:cs="Times New Roman"/>
          <w:color w:val="auto"/>
          <w:sz w:val="24"/>
          <w:szCs w:val="24"/>
        </w:rPr>
        <w:t xml:space="preserve"> for better analysis of party burden</w:t>
      </w:r>
      <w:r w:rsidR="007F1696">
        <w:rPr>
          <w:rStyle w:val="bodywhite161"/>
          <w:rFonts w:ascii="Times New Roman" w:hAnsi="Times New Roman" w:cs="Times New Roman"/>
          <w:color w:val="auto"/>
          <w:sz w:val="24"/>
          <w:szCs w:val="24"/>
        </w:rPr>
        <w:t>.</w:t>
      </w:r>
    </w:p>
    <w:p w:rsidR="00DE102F" w:rsidRDefault="006E10B1">
      <w:pPr>
        <w:pStyle w:val="Standard"/>
      </w:pPr>
      <w:r>
        <w:tab/>
      </w:r>
    </w:p>
    <w:p w:rsidR="00DE102F" w:rsidRDefault="006E10B1">
      <w:pPr>
        <w:pStyle w:val="Standard"/>
      </w:pPr>
      <w:r>
        <w:tab/>
      </w:r>
      <w:r w:rsidR="00E830D2">
        <w:t>3(</w:t>
      </w:r>
      <w:r>
        <w:t>d</w:t>
      </w:r>
      <w:r w:rsidR="00E830D2">
        <w:t>)</w:t>
      </w:r>
      <w:r>
        <w:tab/>
        <w:t>Effects of Less Frequent Data Collection</w:t>
      </w:r>
    </w:p>
    <w:p w:rsidR="00DE102F" w:rsidRDefault="00DE102F">
      <w:pPr>
        <w:pStyle w:val="Standard"/>
      </w:pPr>
    </w:p>
    <w:p w:rsidR="00DE102F" w:rsidRDefault="006E10B1">
      <w:pPr>
        <w:pStyle w:val="Standard"/>
      </w:pPr>
      <w:r>
        <w:tab/>
        <w:t xml:space="preserve">We have designed the reporting schedule to coincide with existing reporting deadlines applicable to many of the same parties under such programs as RFG (Reformulated Gasoline) and anti-dumping and diesel fuel.  Less frequent collection of data would make it impossible to carry out the provisions of the CAA and EISA.    </w:t>
      </w:r>
    </w:p>
    <w:p w:rsidR="00DE102F" w:rsidRDefault="00DE102F">
      <w:pPr>
        <w:pStyle w:val="Standard"/>
      </w:pPr>
    </w:p>
    <w:p w:rsidR="00D56B92" w:rsidRDefault="006E10B1">
      <w:pPr>
        <w:pStyle w:val="Standard"/>
      </w:pPr>
      <w:r>
        <w:tab/>
      </w:r>
    </w:p>
    <w:p w:rsidR="00D56B92" w:rsidRDefault="00D56B92">
      <w:pPr>
        <w:pStyle w:val="Standard"/>
      </w:pPr>
    </w:p>
    <w:p w:rsidR="00DE102F" w:rsidRDefault="00D56B92">
      <w:pPr>
        <w:pStyle w:val="Standard"/>
      </w:pPr>
      <w:r>
        <w:tab/>
      </w:r>
      <w:r w:rsidR="00E830D2">
        <w:t>3(</w:t>
      </w:r>
      <w:r w:rsidR="006E10B1">
        <w:t>e</w:t>
      </w:r>
      <w:r>
        <w:t>)</w:t>
      </w:r>
      <w:r w:rsidR="006E10B1">
        <w:tab/>
        <w:t>General Guidelines</w:t>
      </w:r>
    </w:p>
    <w:p w:rsidR="00DE102F" w:rsidRDefault="00DE102F">
      <w:pPr>
        <w:pStyle w:val="Standard"/>
      </w:pPr>
    </w:p>
    <w:p w:rsidR="003A1CCA" w:rsidRDefault="006E10B1" w:rsidP="003A1CCA">
      <w:pPr>
        <w:pStyle w:val="Standard"/>
      </w:pPr>
      <w:r>
        <w:tab/>
      </w:r>
      <w:r w:rsidR="00131D61">
        <w:t xml:space="preserve">EPA requests an exception to the OMB guidelines that agencies may only require records to be maintained for no more than three years.  </w:t>
      </w:r>
      <w:r w:rsidR="00046432">
        <w:t xml:space="preserve">Section 40 CFR 80.1454(l) requires </w:t>
      </w:r>
      <w:r w:rsidR="00046432">
        <w:rPr>
          <w:rFonts w:cs="Times New Roman"/>
        </w:rPr>
        <w:t>r</w:t>
      </w:r>
      <w:r w:rsidR="00046432" w:rsidRPr="00D77572">
        <w:rPr>
          <w:rFonts w:cs="Times New Roman"/>
        </w:rPr>
        <w:t xml:space="preserve">ecord </w:t>
      </w:r>
      <w:r w:rsidR="00046432">
        <w:rPr>
          <w:rFonts w:cs="Times New Roman"/>
        </w:rPr>
        <w:t>r</w:t>
      </w:r>
      <w:r w:rsidR="00046432" w:rsidRPr="00D77572">
        <w:rPr>
          <w:rFonts w:cs="Times New Roman"/>
        </w:rPr>
        <w:t>etention</w:t>
      </w:r>
      <w:r w:rsidR="00046432">
        <w:rPr>
          <w:rFonts w:cs="Times New Roman"/>
        </w:rPr>
        <w:t xml:space="preserve"> </w:t>
      </w:r>
      <w:r w:rsidR="003747BE">
        <w:rPr>
          <w:rFonts w:cs="Times New Roman"/>
        </w:rPr>
        <w:t>for five y</w:t>
      </w:r>
      <w:r w:rsidR="003747BE" w:rsidRPr="00D77572">
        <w:rPr>
          <w:rFonts w:cs="Times New Roman"/>
        </w:rPr>
        <w:t xml:space="preserve">ears </w:t>
      </w:r>
      <w:r w:rsidR="003747BE">
        <w:rPr>
          <w:rFonts w:cs="Times New Roman"/>
        </w:rPr>
        <w:t>f</w:t>
      </w:r>
      <w:r w:rsidR="003747BE" w:rsidRPr="00D77572">
        <w:rPr>
          <w:rFonts w:cs="Times New Roman"/>
        </w:rPr>
        <w:t xml:space="preserve">rom the </w:t>
      </w:r>
      <w:r w:rsidR="003747BE">
        <w:rPr>
          <w:rFonts w:cs="Times New Roman"/>
        </w:rPr>
        <w:t>d</w:t>
      </w:r>
      <w:r w:rsidR="003747BE" w:rsidRPr="00D77572">
        <w:rPr>
          <w:rFonts w:cs="Times New Roman"/>
        </w:rPr>
        <w:t>ate</w:t>
      </w:r>
      <w:r w:rsidR="003747BE">
        <w:rPr>
          <w:rFonts w:cs="Times New Roman"/>
        </w:rPr>
        <w:t xml:space="preserve"> the records were created. Records related to RIN transactions are to be kept five years from the transaction date. Records can be ke</w:t>
      </w:r>
      <w:r w:rsidR="00710EC8">
        <w:rPr>
          <w:rFonts w:cs="Times New Roman"/>
        </w:rPr>
        <w:t>pt</w:t>
      </w:r>
      <w:r w:rsidR="003747BE">
        <w:rPr>
          <w:rFonts w:cs="Times New Roman"/>
        </w:rPr>
        <w:t xml:space="preserve"> either electronically or on paper.</w:t>
      </w:r>
      <w:r w:rsidR="00C64E15">
        <w:rPr>
          <w:rFonts w:cs="Times New Roman"/>
        </w:rPr>
        <w:t xml:space="preserve"> </w:t>
      </w:r>
      <w:r w:rsidR="00344BE2">
        <w:rPr>
          <w:rFonts w:cs="Times New Roman"/>
        </w:rPr>
        <w:t xml:space="preserve">EPA </w:t>
      </w:r>
      <w:r w:rsidR="008D2A12">
        <w:rPr>
          <w:rFonts w:cs="Times New Roman"/>
        </w:rPr>
        <w:t xml:space="preserve">needs </w:t>
      </w:r>
      <w:r w:rsidR="003F10F7" w:rsidRPr="003F10F7">
        <w:t>to make sure regulated parties keep records long enough to be evaluated for compliance during this time period</w:t>
      </w:r>
      <w:r w:rsidR="00344BE2">
        <w:rPr>
          <w:color w:val="1F497D"/>
        </w:rPr>
        <w:t>.</w:t>
      </w:r>
      <w:r w:rsidR="003A1CCA">
        <w:t xml:space="preserve">  Any information claimed as confidential will be treated in accordance with 40 CFR Part 2 and established Agency procedures.  Information that is received without a claim of confidentiality may be made available to the public without further notice to the submitter under 40 CFR § 2.203.</w:t>
      </w:r>
    </w:p>
    <w:p w:rsidR="00706FEC" w:rsidRPr="00710EC8" w:rsidRDefault="00706FEC" w:rsidP="00706FEC"/>
    <w:p w:rsidR="0022640C" w:rsidRDefault="006E10B1">
      <w:pPr>
        <w:pStyle w:val="Standard"/>
      </w:pPr>
      <w:r>
        <w:tab/>
      </w:r>
    </w:p>
    <w:p w:rsidR="00DE102F" w:rsidRDefault="00E830D2" w:rsidP="0022640C">
      <w:pPr>
        <w:pStyle w:val="Standard"/>
        <w:ind w:firstLine="720"/>
      </w:pPr>
      <w:r>
        <w:t>3(</w:t>
      </w:r>
      <w:r w:rsidR="006E10B1">
        <w:t>f</w:t>
      </w:r>
      <w:r w:rsidR="00D56B92">
        <w:t>)</w:t>
      </w:r>
      <w:r w:rsidR="006E10B1">
        <w:tab/>
        <w:t>Confidentiality</w:t>
      </w:r>
    </w:p>
    <w:p w:rsidR="00DE102F" w:rsidRDefault="00DE102F">
      <w:pPr>
        <w:pStyle w:val="Standard"/>
      </w:pPr>
    </w:p>
    <w:p w:rsidR="00DE102F" w:rsidRDefault="006E10B1">
      <w:pPr>
        <w:pStyle w:val="Standard"/>
      </w:pPr>
      <w:r>
        <w:tab/>
        <w:t>We inform respondents that they may assert claims of business confidentiality (CBI) for information they submit. Actual RINs should not be treated as confidential business information under RFS2, as they are necessary identifiers to accompany renewable fuels.  Any information claimed as confidential will be treated in accordance with 40 CFR Part 2 and established Agency procedures.  Information that is received without a claim of confidentiality may be made available to the public without further notice to the submitter under 40 CFR § 2.203.</w:t>
      </w:r>
    </w:p>
    <w:p w:rsidR="00DE102F" w:rsidRDefault="00DE102F">
      <w:pPr>
        <w:pStyle w:val="Standard"/>
      </w:pPr>
    </w:p>
    <w:p w:rsidR="00DE102F" w:rsidRDefault="00E830D2">
      <w:pPr>
        <w:pStyle w:val="Standard"/>
        <w:ind w:firstLine="720"/>
      </w:pPr>
      <w:r>
        <w:t>3(</w:t>
      </w:r>
      <w:r w:rsidR="006E10B1">
        <w:t>g</w:t>
      </w:r>
      <w:r>
        <w:t>)</w:t>
      </w:r>
      <w:r w:rsidR="006E10B1">
        <w:t xml:space="preserve"> </w:t>
      </w:r>
      <w:r w:rsidR="006E10B1">
        <w:tab/>
        <w:t>Sensitive Information</w:t>
      </w:r>
    </w:p>
    <w:p w:rsidR="00DE102F" w:rsidRDefault="006E10B1">
      <w:pPr>
        <w:pStyle w:val="Standard"/>
      </w:pPr>
      <w:r>
        <w:tab/>
      </w:r>
    </w:p>
    <w:p w:rsidR="00DE102F" w:rsidRDefault="006E10B1">
      <w:pPr>
        <w:pStyle w:val="Standard"/>
      </w:pPr>
      <w:r>
        <w:tab/>
        <w:t>This information collection does not require submission of any sensitive information.</w:t>
      </w:r>
    </w:p>
    <w:p w:rsidR="00DE102F" w:rsidRDefault="00DE102F">
      <w:pPr>
        <w:pStyle w:val="Standard"/>
      </w:pPr>
    </w:p>
    <w:p w:rsidR="00DE102F" w:rsidRDefault="006E10B1">
      <w:pPr>
        <w:pStyle w:val="Standard"/>
      </w:pPr>
      <w:r>
        <w:t>4.</w:t>
      </w:r>
      <w:r>
        <w:tab/>
        <w:t>The Respondents and the Information Requested</w:t>
      </w:r>
    </w:p>
    <w:p w:rsidR="00DE102F" w:rsidRDefault="00DE102F">
      <w:pPr>
        <w:pStyle w:val="Standard"/>
      </w:pPr>
    </w:p>
    <w:p w:rsidR="00786B87" w:rsidRDefault="00786B87" w:rsidP="009D41BC">
      <w:pPr>
        <w:pStyle w:val="Standard"/>
        <w:ind w:firstLine="720"/>
      </w:pPr>
    </w:p>
    <w:p w:rsidR="00DE102F" w:rsidRDefault="006B7E80">
      <w:pPr>
        <w:pStyle w:val="Standard"/>
      </w:pPr>
      <w:r>
        <w:tab/>
        <w:t xml:space="preserve">4(a)  </w:t>
      </w:r>
      <w:r>
        <w:tab/>
      </w:r>
      <w:r w:rsidR="006E10B1">
        <w:t>Respondents</w:t>
      </w:r>
      <w:r w:rsidR="009031F1">
        <w:t xml:space="preserve"> </w:t>
      </w:r>
      <w:r w:rsidR="006E10B1">
        <w:t>with NAICS</w:t>
      </w:r>
      <w:r w:rsidR="009031F1">
        <w:t>/</w:t>
      </w:r>
      <w:r w:rsidR="006E10B1">
        <w:t xml:space="preserve"> SIC Codes</w:t>
      </w:r>
    </w:p>
    <w:p w:rsidR="00DE102F" w:rsidRDefault="00DE102F">
      <w:pPr>
        <w:pStyle w:val="Standard"/>
      </w:pPr>
    </w:p>
    <w:p w:rsidR="00DE102F" w:rsidRDefault="006E10B1">
      <w:pPr>
        <w:pStyle w:val="Standard"/>
        <w:ind w:firstLine="720"/>
      </w:pPr>
      <w:r>
        <w:t xml:space="preserve">The respondents to this information collection fall into the following general industry categories:  petroleum refineries (324110/2911), ethyl alcohol manufacturers (325193/2869), </w:t>
      </w:r>
      <w:r>
        <w:lastRenderedPageBreak/>
        <w:t xml:space="preserve">other basic organic chemical manufacturing (325110/2869), chemical and allied products merchant wholesalers (426990/5169), petroleum bulk stations and terminals (422710/5171), petroleum and petroleum products merchant wholesalers (422720/5172), and other fuel dealers (454319/5989).  </w:t>
      </w:r>
    </w:p>
    <w:p w:rsidR="00DE102F" w:rsidRDefault="00DE102F">
      <w:pPr>
        <w:pStyle w:val="Standard"/>
        <w:ind w:firstLine="720"/>
      </w:pPr>
    </w:p>
    <w:p w:rsidR="00DE102F" w:rsidRDefault="006E10B1">
      <w:pPr>
        <w:pStyle w:val="Standard"/>
        <w:ind w:firstLine="720"/>
      </w:pPr>
      <w:r>
        <w:t xml:space="preserve">Using the terminology associated with the RFS2 Rule, we have assumed the following classes of party, which are covered by this supporting statement.  </w:t>
      </w:r>
    </w:p>
    <w:p w:rsidR="00DE102F" w:rsidRDefault="00DE102F">
      <w:pPr>
        <w:pStyle w:val="Standard"/>
        <w:ind w:firstLine="720"/>
      </w:pPr>
    </w:p>
    <w:p w:rsidR="00DE102F" w:rsidRDefault="006E10B1">
      <w:pPr>
        <w:pStyle w:val="Standard"/>
        <w:numPr>
          <w:ilvl w:val="0"/>
          <w:numId w:val="23"/>
        </w:numPr>
      </w:pPr>
      <w:r>
        <w:t>Producers of renewable fuels</w:t>
      </w:r>
    </w:p>
    <w:p w:rsidR="00DE102F" w:rsidRDefault="006E10B1">
      <w:pPr>
        <w:pStyle w:val="Standard"/>
        <w:numPr>
          <w:ilvl w:val="0"/>
          <w:numId w:val="19"/>
        </w:numPr>
      </w:pPr>
      <w:r>
        <w:t>Importers</w:t>
      </w:r>
    </w:p>
    <w:p w:rsidR="00DE102F" w:rsidRDefault="006E10B1">
      <w:pPr>
        <w:pStyle w:val="Standard"/>
        <w:numPr>
          <w:ilvl w:val="0"/>
          <w:numId w:val="19"/>
        </w:numPr>
      </w:pPr>
      <w:r>
        <w:t>Obligated Parties</w:t>
      </w:r>
    </w:p>
    <w:p w:rsidR="00DE102F" w:rsidRDefault="006E10B1">
      <w:pPr>
        <w:pStyle w:val="Standard"/>
        <w:numPr>
          <w:ilvl w:val="0"/>
          <w:numId w:val="19"/>
        </w:numPr>
      </w:pPr>
      <w:r>
        <w:t>Parties who own RINs (including foreign RIN owners)</w:t>
      </w:r>
    </w:p>
    <w:p w:rsidR="008B5B6D" w:rsidRDefault="008B5B6D" w:rsidP="008B5B6D">
      <w:pPr>
        <w:pStyle w:val="Standard"/>
      </w:pPr>
    </w:p>
    <w:p w:rsidR="008B5B6D" w:rsidRDefault="008B5B6D" w:rsidP="008B5B6D">
      <w:pPr>
        <w:pStyle w:val="Standard"/>
        <w:ind w:firstLine="720"/>
      </w:pPr>
      <w:r>
        <w:t>4(b)</w:t>
      </w:r>
      <w:r>
        <w:tab/>
      </w:r>
      <w:r w:rsidR="00C15594" w:rsidRPr="00C15594">
        <w:t>Information Requested</w:t>
      </w:r>
    </w:p>
    <w:p w:rsidR="008B5B6D" w:rsidRDefault="008B5B6D" w:rsidP="008B5B6D">
      <w:pPr>
        <w:pStyle w:val="Standard"/>
        <w:ind w:firstLine="720"/>
      </w:pPr>
    </w:p>
    <w:p w:rsidR="008B5B6D" w:rsidRDefault="008B5B6D" w:rsidP="008B5B6D">
      <w:pPr>
        <w:pStyle w:val="Standard"/>
        <w:ind w:firstLine="720"/>
      </w:pPr>
      <w:r>
        <w:t>The respondents are subject to this collection to demonstrate compliance</w:t>
      </w:r>
      <w:r w:rsidR="00FF7995">
        <w:t xml:space="preserve"> </w:t>
      </w:r>
      <w:r w:rsidR="009031F1">
        <w:t>with</w:t>
      </w:r>
      <w:r w:rsidR="009031F1" w:rsidRPr="00D56B92">
        <w:t xml:space="preserve"> </w:t>
      </w:r>
      <w:r w:rsidR="00FF7995" w:rsidRPr="00D56B92">
        <w:t>the RFS Program</w:t>
      </w:r>
      <w:r>
        <w:t>. For this purpose, the respondents are required to report to EPA</w:t>
      </w:r>
      <w:r w:rsidR="009031F1">
        <w:t>,</w:t>
      </w:r>
      <w:r>
        <w:t xml:space="preserve"> </w:t>
      </w:r>
      <w:r w:rsidR="009031F1">
        <w:t>via</w:t>
      </w:r>
      <w:r>
        <w:t xml:space="preserve"> the Agency</w:t>
      </w:r>
      <w:r w:rsidR="004115DB">
        <w:t>’s</w:t>
      </w:r>
      <w:r>
        <w:t xml:space="preserve"> Central Data Exchange (CDX)</w:t>
      </w:r>
      <w:r w:rsidR="009031F1">
        <w:t>,</w:t>
      </w:r>
      <w:r>
        <w:t xml:space="preserve"> their fuel volumes identified through the use of renewable identification numbers (RINs). The respondents are involved in the initial generation of renewable fuel t</w:t>
      </w:r>
      <w:r w:rsidR="00477183">
        <w:t>o</w:t>
      </w:r>
      <w:r>
        <w:t xml:space="preserve"> be introduced in commerce. </w:t>
      </w:r>
      <w:r w:rsidR="00477183">
        <w:t xml:space="preserve"> Additional requested information </w:t>
      </w:r>
      <w:r w:rsidR="00270DE6">
        <w:t>to be reported</w:t>
      </w:r>
      <w:r w:rsidR="00477183">
        <w:t xml:space="preserve"> come from producers and importers </w:t>
      </w:r>
      <w:r w:rsidR="00270DE6">
        <w:t>i</w:t>
      </w:r>
      <w:r w:rsidR="00477183">
        <w:t xml:space="preserve">n the form of attest engagements </w:t>
      </w:r>
      <w:r w:rsidR="00270DE6">
        <w:t xml:space="preserve">reports </w:t>
      </w:r>
      <w:r w:rsidR="00477183">
        <w:t>and new pathway petition submissions.</w:t>
      </w:r>
    </w:p>
    <w:p w:rsidR="00FF7995" w:rsidRDefault="00FF7995" w:rsidP="008B5B6D">
      <w:pPr>
        <w:pStyle w:val="Standard"/>
        <w:ind w:firstLine="720"/>
      </w:pPr>
    </w:p>
    <w:p w:rsidR="00FF7995" w:rsidRDefault="00FF7995" w:rsidP="008B5B6D">
      <w:pPr>
        <w:pStyle w:val="Standard"/>
        <w:ind w:firstLine="720"/>
      </w:pPr>
      <w:r>
        <w:tab/>
        <w:t>(i)</w:t>
      </w:r>
      <w:r>
        <w:tab/>
        <w:t xml:space="preserve">Data </w:t>
      </w:r>
      <w:r w:rsidR="009031F1">
        <w:t>I</w:t>
      </w:r>
      <w:r>
        <w:t>tems</w:t>
      </w:r>
      <w:r w:rsidR="00270DE6">
        <w:t xml:space="preserve"> </w:t>
      </w:r>
    </w:p>
    <w:p w:rsidR="009031F1" w:rsidRDefault="009031F1" w:rsidP="0096644A">
      <w:pPr>
        <w:autoSpaceDE w:val="0"/>
        <w:adjustRightInd w:val="0"/>
        <w:rPr>
          <w:rFonts w:cs="Times New Roman"/>
        </w:rPr>
      </w:pPr>
    </w:p>
    <w:p w:rsidR="00C15594" w:rsidRDefault="004672A9" w:rsidP="005C4F80">
      <w:pPr>
        <w:rPr>
          <w:rFonts w:cs="Times New Roman"/>
        </w:rPr>
      </w:pPr>
      <w:r>
        <w:rPr>
          <w:rFonts w:cs="Times New Roman"/>
        </w:rPr>
        <w:t>On request by EPA records must be made available</w:t>
      </w:r>
      <w:r w:rsidR="0074371A">
        <w:rPr>
          <w:rFonts w:cs="Times New Roman"/>
        </w:rPr>
        <w:t>;</w:t>
      </w:r>
      <w:r>
        <w:rPr>
          <w:rFonts w:cs="Times New Roman"/>
        </w:rPr>
        <w:t xml:space="preserve"> for electronic records</w:t>
      </w:r>
      <w:r w:rsidR="0074371A">
        <w:rPr>
          <w:rFonts w:cs="Times New Roman"/>
        </w:rPr>
        <w:t>, this</w:t>
      </w:r>
      <w:r>
        <w:rPr>
          <w:rFonts w:cs="Times New Roman"/>
        </w:rPr>
        <w:t xml:space="preserve"> include</w:t>
      </w:r>
      <w:r w:rsidR="0074371A">
        <w:rPr>
          <w:rFonts w:cs="Times New Roman"/>
        </w:rPr>
        <w:t>s</w:t>
      </w:r>
      <w:r>
        <w:rPr>
          <w:rFonts w:cs="Times New Roman"/>
        </w:rPr>
        <w:t xml:space="preserve"> equipment or software need</w:t>
      </w:r>
      <w:r w:rsidR="00466B4C">
        <w:rPr>
          <w:rFonts w:cs="Times New Roman"/>
        </w:rPr>
        <w:t xml:space="preserve">ed </w:t>
      </w:r>
      <w:r>
        <w:rPr>
          <w:rFonts w:cs="Times New Roman"/>
        </w:rPr>
        <w:t>to read the electronic records.  If requested by EPA, electronic records shall be converted to paper documents.</w:t>
      </w:r>
      <w:r w:rsidR="00466B4C">
        <w:rPr>
          <w:rFonts w:cs="Times New Roman"/>
        </w:rPr>
        <w:t xml:space="preserve"> </w:t>
      </w:r>
      <w:r w:rsidR="00775627" w:rsidRPr="000A74DD">
        <w:rPr>
          <w:rFonts w:cs="Times New Roman"/>
        </w:rPr>
        <w:t xml:space="preserve">The types of records for retention </w:t>
      </w:r>
      <w:r w:rsidR="00775627">
        <w:rPr>
          <w:rFonts w:cs="Times New Roman"/>
        </w:rPr>
        <w:t>under this collection are as follows</w:t>
      </w:r>
      <w:r w:rsidR="00466B4C">
        <w:rPr>
          <w:rFonts w:cs="Times New Roman"/>
        </w:rPr>
        <w:t>:</w:t>
      </w:r>
      <w:r w:rsidR="00DE4C74">
        <w:rPr>
          <w:rFonts w:cs="Times New Roman"/>
        </w:rPr>
        <w:t xml:space="preserve"> </w:t>
      </w:r>
    </w:p>
    <w:p w:rsidR="008E7DCE" w:rsidRDefault="008E7DCE" w:rsidP="0096644A">
      <w:pPr>
        <w:autoSpaceDE w:val="0"/>
        <w:adjustRightInd w:val="0"/>
        <w:rPr>
          <w:rFonts w:cs="Times New Roman"/>
        </w:rPr>
      </w:pPr>
    </w:p>
    <w:p w:rsidR="008E7DCE" w:rsidRPr="0053658F" w:rsidRDefault="008E7DCE" w:rsidP="00466B4C">
      <w:pPr>
        <w:autoSpaceDE w:val="0"/>
        <w:adjustRightInd w:val="0"/>
        <w:rPr>
          <w:rFonts w:cs="Times New Roman"/>
          <w:b/>
        </w:rPr>
      </w:pPr>
      <w:r w:rsidRPr="0053658F">
        <w:rPr>
          <w:rFonts w:cs="Times New Roman"/>
          <w:b/>
          <w:kern w:val="0"/>
          <w:u w:val="single"/>
          <w:lang w:bidi="ar-SA"/>
        </w:rPr>
        <w:t>Recordkeeping: Common Requirements for All Parties</w:t>
      </w:r>
    </w:p>
    <w:p w:rsidR="008E7DCE" w:rsidRDefault="008E7DCE" w:rsidP="00466B4C">
      <w:pPr>
        <w:autoSpaceDE w:val="0"/>
        <w:adjustRightInd w:val="0"/>
        <w:rPr>
          <w:rFonts w:cs="Times New Roman"/>
        </w:rPr>
      </w:pPr>
    </w:p>
    <w:p w:rsidR="00466B4C" w:rsidRPr="0074371A" w:rsidRDefault="00466B4C" w:rsidP="0074371A">
      <w:pPr>
        <w:pStyle w:val="ListParagraph"/>
        <w:numPr>
          <w:ilvl w:val="0"/>
          <w:numId w:val="25"/>
        </w:numPr>
        <w:autoSpaceDE w:val="0"/>
        <w:adjustRightInd w:val="0"/>
        <w:rPr>
          <w:rFonts w:cs="Times New Roman"/>
        </w:rPr>
      </w:pPr>
      <w:r w:rsidRPr="0074371A">
        <w:rPr>
          <w:rFonts w:cs="Times New Roman"/>
        </w:rPr>
        <w:t xml:space="preserve">Product Transfer Documents (PTDs) for any Activity as a Transferor/Transferee of ownership of </w:t>
      </w:r>
      <w:r w:rsidR="008E7DCE" w:rsidRPr="0074371A">
        <w:rPr>
          <w:rFonts w:cs="Times New Roman"/>
        </w:rPr>
        <w:t>Renewable Fuel</w:t>
      </w:r>
    </w:p>
    <w:p w:rsidR="00466B4C" w:rsidRPr="0074371A" w:rsidRDefault="00466B4C" w:rsidP="0074371A">
      <w:pPr>
        <w:pStyle w:val="ListParagraph"/>
        <w:numPr>
          <w:ilvl w:val="0"/>
          <w:numId w:val="25"/>
        </w:numPr>
        <w:autoSpaceDE w:val="0"/>
        <w:adjustRightInd w:val="0"/>
        <w:rPr>
          <w:rFonts w:cs="Times New Roman"/>
        </w:rPr>
      </w:pPr>
      <w:r w:rsidRPr="0074371A">
        <w:rPr>
          <w:rFonts w:cs="Times New Roman"/>
        </w:rPr>
        <w:t>Copies of Reports Submitted to EPA records related to RIN Transactions</w:t>
      </w:r>
    </w:p>
    <w:p w:rsidR="00466B4C" w:rsidRPr="0074371A" w:rsidRDefault="00466B4C" w:rsidP="0074371A">
      <w:pPr>
        <w:pStyle w:val="ListParagraph"/>
        <w:numPr>
          <w:ilvl w:val="0"/>
          <w:numId w:val="25"/>
        </w:numPr>
        <w:autoSpaceDE w:val="0"/>
        <w:adjustRightInd w:val="0"/>
        <w:rPr>
          <w:rFonts w:cs="Times New Roman"/>
        </w:rPr>
      </w:pPr>
      <w:r w:rsidRPr="0074371A">
        <w:rPr>
          <w:rFonts w:cs="Times New Roman"/>
        </w:rPr>
        <w:t>List of RINS Owned, Purchased, Sold, or Retired</w:t>
      </w:r>
    </w:p>
    <w:p w:rsidR="00466B4C" w:rsidRPr="0074371A" w:rsidRDefault="00466B4C" w:rsidP="0074371A">
      <w:pPr>
        <w:pStyle w:val="ListParagraph"/>
        <w:numPr>
          <w:ilvl w:val="0"/>
          <w:numId w:val="25"/>
        </w:numPr>
        <w:autoSpaceDE w:val="0"/>
        <w:adjustRightInd w:val="0"/>
        <w:rPr>
          <w:rFonts w:cs="Times New Roman"/>
        </w:rPr>
      </w:pPr>
      <w:r w:rsidRPr="0074371A">
        <w:rPr>
          <w:rFonts w:cs="Times New Roman"/>
        </w:rPr>
        <w:t>Parties Involved in Each Transaction – Transferor, Transferee, and any Broker or Agent</w:t>
      </w:r>
    </w:p>
    <w:p w:rsidR="00466B4C" w:rsidRPr="0074371A" w:rsidRDefault="00466B4C" w:rsidP="0074371A">
      <w:pPr>
        <w:pStyle w:val="ListParagraph"/>
        <w:numPr>
          <w:ilvl w:val="0"/>
          <w:numId w:val="25"/>
        </w:numPr>
        <w:autoSpaceDE w:val="0"/>
        <w:adjustRightInd w:val="0"/>
        <w:rPr>
          <w:rFonts w:cs="Times New Roman"/>
        </w:rPr>
      </w:pPr>
      <w:r w:rsidRPr="0074371A">
        <w:rPr>
          <w:rFonts w:cs="Times New Roman"/>
        </w:rPr>
        <w:t>Transaction Date</w:t>
      </w:r>
    </w:p>
    <w:p w:rsidR="00466B4C" w:rsidRPr="0074371A" w:rsidRDefault="00466B4C" w:rsidP="0074371A">
      <w:pPr>
        <w:pStyle w:val="ListParagraph"/>
        <w:numPr>
          <w:ilvl w:val="0"/>
          <w:numId w:val="25"/>
        </w:numPr>
        <w:autoSpaceDE w:val="0"/>
        <w:adjustRightInd w:val="0"/>
        <w:rPr>
          <w:rFonts w:cs="Times New Roman"/>
        </w:rPr>
      </w:pPr>
      <w:r w:rsidRPr="0074371A">
        <w:rPr>
          <w:rFonts w:cs="Times New Roman"/>
        </w:rPr>
        <w:t>Additional Information Related to Details of the Transaction and its Term</w:t>
      </w:r>
      <w:r w:rsidR="0074371A" w:rsidRPr="0074371A">
        <w:rPr>
          <w:rFonts w:cs="Times New Roman"/>
        </w:rPr>
        <w:t>s</w:t>
      </w:r>
    </w:p>
    <w:p w:rsidR="00466B4C" w:rsidRPr="0074371A" w:rsidRDefault="00466B4C" w:rsidP="0074371A">
      <w:pPr>
        <w:pStyle w:val="ListParagraph"/>
        <w:numPr>
          <w:ilvl w:val="0"/>
          <w:numId w:val="25"/>
        </w:numPr>
        <w:autoSpaceDE w:val="0"/>
        <w:adjustRightInd w:val="0"/>
        <w:rPr>
          <w:rFonts w:cs="Times New Roman"/>
        </w:rPr>
      </w:pPr>
      <w:r w:rsidRPr="0074371A">
        <w:rPr>
          <w:rFonts w:cs="Times New Roman"/>
        </w:rPr>
        <w:t>Any Parties Other Than Renewable Producers and</w:t>
      </w:r>
      <w:r w:rsidR="00CF4B48" w:rsidRPr="0074371A">
        <w:rPr>
          <w:rFonts w:cs="Times New Roman"/>
        </w:rPr>
        <w:t xml:space="preserve"> Obligated Parties</w:t>
      </w:r>
    </w:p>
    <w:p w:rsidR="00466B4C" w:rsidRPr="0074371A" w:rsidRDefault="00466B4C" w:rsidP="0074371A">
      <w:pPr>
        <w:pStyle w:val="ListParagraph"/>
        <w:numPr>
          <w:ilvl w:val="0"/>
          <w:numId w:val="25"/>
        </w:numPr>
        <w:rPr>
          <w:rFonts w:cs="Times New Roman"/>
        </w:rPr>
      </w:pPr>
      <w:r w:rsidRPr="0074371A">
        <w:rPr>
          <w:rFonts w:cs="Times New Roman"/>
        </w:rPr>
        <w:t>Obligated Parties</w:t>
      </w:r>
      <w:r w:rsidR="008E7DCE" w:rsidRPr="0074371A">
        <w:rPr>
          <w:rFonts w:cs="Times New Roman"/>
        </w:rPr>
        <w:t xml:space="preserve"> should retain PTDs associated with transactions</w:t>
      </w:r>
      <w:r w:rsidRPr="0074371A">
        <w:rPr>
          <w:rFonts w:cs="Times New Roman"/>
        </w:rPr>
        <w:t xml:space="preserve"> </w:t>
      </w:r>
    </w:p>
    <w:p w:rsidR="008A6053" w:rsidRDefault="008A6053" w:rsidP="00466B4C">
      <w:pPr>
        <w:rPr>
          <w:rFonts w:cs="Times New Roman"/>
        </w:rPr>
      </w:pPr>
    </w:p>
    <w:p w:rsidR="008A6053" w:rsidRPr="0053658F" w:rsidRDefault="008A6053" w:rsidP="008A6053">
      <w:pPr>
        <w:autoSpaceDE w:val="0"/>
        <w:adjustRightInd w:val="0"/>
        <w:rPr>
          <w:rFonts w:cs="Times New Roman"/>
          <w:b/>
          <w:u w:val="single"/>
        </w:rPr>
      </w:pPr>
      <w:r w:rsidRPr="0053658F">
        <w:rPr>
          <w:rFonts w:cs="Times New Roman"/>
          <w:b/>
          <w:u w:val="single"/>
        </w:rPr>
        <w:t>Recordkeeping: Renewable Producer/Importer Specifics –</w:t>
      </w:r>
      <w:r w:rsidR="00BA021E" w:rsidRPr="0053658F">
        <w:rPr>
          <w:rFonts w:cs="Times New Roman"/>
          <w:b/>
          <w:u w:val="single"/>
        </w:rPr>
        <w:t>1</w:t>
      </w:r>
    </w:p>
    <w:p w:rsidR="008A6053" w:rsidRPr="008A6053" w:rsidRDefault="008A6053" w:rsidP="008A6053">
      <w:pPr>
        <w:autoSpaceDE w:val="0"/>
        <w:adjustRightInd w:val="0"/>
        <w:rPr>
          <w:rFonts w:cs="Times New Roman"/>
        </w:rPr>
      </w:pPr>
    </w:p>
    <w:p w:rsidR="00C15594" w:rsidRDefault="008A6053" w:rsidP="00C15594">
      <w:pPr>
        <w:pStyle w:val="ListParagraph"/>
        <w:numPr>
          <w:ilvl w:val="0"/>
          <w:numId w:val="26"/>
        </w:numPr>
        <w:autoSpaceDE w:val="0"/>
        <w:adjustRightInd w:val="0"/>
        <w:rPr>
          <w:rFonts w:cs="Times New Roman"/>
        </w:rPr>
      </w:pPr>
      <w:r w:rsidRPr="0074371A">
        <w:rPr>
          <w:rFonts w:cs="Times New Roman"/>
        </w:rPr>
        <w:t>Records Related to the Generation and Assignment of RINs by Facility</w:t>
      </w:r>
    </w:p>
    <w:p w:rsidR="00C15594" w:rsidRDefault="008A6053" w:rsidP="00C15594">
      <w:pPr>
        <w:pStyle w:val="ListParagraph"/>
        <w:numPr>
          <w:ilvl w:val="0"/>
          <w:numId w:val="26"/>
        </w:numPr>
        <w:autoSpaceDE w:val="0"/>
        <w:adjustRightInd w:val="0"/>
        <w:rPr>
          <w:rFonts w:cs="Times New Roman"/>
        </w:rPr>
      </w:pPr>
      <w:r w:rsidRPr="0074371A">
        <w:rPr>
          <w:rFonts w:cs="Times New Roman"/>
        </w:rPr>
        <w:lastRenderedPageBreak/>
        <w:t>Batch Volume, Batch No., RIN, Renewable Type, Production/Import Date, Lab Results, Additional info related to RIN Generation</w:t>
      </w:r>
    </w:p>
    <w:p w:rsidR="00C15594" w:rsidRDefault="008A6053" w:rsidP="00C15594">
      <w:pPr>
        <w:pStyle w:val="ListParagraph"/>
        <w:numPr>
          <w:ilvl w:val="0"/>
          <w:numId w:val="26"/>
        </w:numPr>
        <w:autoSpaceDE w:val="0"/>
        <w:adjustRightInd w:val="0"/>
        <w:rPr>
          <w:rFonts w:cs="Times New Roman"/>
        </w:rPr>
      </w:pPr>
      <w:r w:rsidRPr="0074371A">
        <w:rPr>
          <w:rFonts w:cs="Times New Roman"/>
        </w:rPr>
        <w:t>Records Related to the Production/Importation of Neat Motor Fuel and its Use</w:t>
      </w:r>
    </w:p>
    <w:p w:rsidR="00C15594" w:rsidRDefault="008A6053" w:rsidP="00C15594">
      <w:pPr>
        <w:pStyle w:val="ListParagraph"/>
        <w:numPr>
          <w:ilvl w:val="0"/>
          <w:numId w:val="26"/>
        </w:numPr>
        <w:rPr>
          <w:rFonts w:cs="Times New Roman"/>
        </w:rPr>
      </w:pPr>
      <w:r w:rsidRPr="0074371A">
        <w:rPr>
          <w:rFonts w:cs="Times New Roman"/>
        </w:rPr>
        <w:t>Renewable Fuel Designated by the Producer or Importer of Motor Vehicle Fuel</w:t>
      </w:r>
    </w:p>
    <w:p w:rsidR="00BA021E" w:rsidRDefault="00BA021E" w:rsidP="008A6053">
      <w:pPr>
        <w:rPr>
          <w:rFonts w:cs="Times New Roman"/>
        </w:rPr>
      </w:pPr>
    </w:p>
    <w:p w:rsidR="00BA021E" w:rsidRPr="00CE326D" w:rsidRDefault="00BA021E" w:rsidP="00BA021E">
      <w:pPr>
        <w:widowControl/>
        <w:suppressAutoHyphens w:val="0"/>
        <w:autoSpaceDE w:val="0"/>
        <w:adjustRightInd w:val="0"/>
        <w:textAlignment w:val="auto"/>
        <w:rPr>
          <w:rFonts w:cs="Times New Roman"/>
          <w:b/>
          <w:kern w:val="0"/>
          <w:u w:val="single"/>
          <w:lang w:bidi="ar-SA"/>
        </w:rPr>
      </w:pPr>
      <w:r w:rsidRPr="00CE326D">
        <w:rPr>
          <w:rFonts w:cs="Times New Roman"/>
          <w:b/>
          <w:kern w:val="0"/>
          <w:u w:val="single"/>
          <w:lang w:bidi="ar-SA"/>
        </w:rPr>
        <w:t>Recordkeeping: Renewable Producer/Importer Specifics – 2</w:t>
      </w:r>
      <w:r w:rsidR="0074371A">
        <w:rPr>
          <w:rFonts w:cs="Times New Roman"/>
          <w:b/>
          <w:kern w:val="0"/>
          <w:u w:val="single"/>
          <w:lang w:bidi="ar-SA"/>
        </w:rPr>
        <w:t>, Verifiable Records</w:t>
      </w:r>
    </w:p>
    <w:p w:rsidR="00BA021E" w:rsidRPr="00BA021E" w:rsidRDefault="00BA021E" w:rsidP="00BA021E">
      <w:pPr>
        <w:widowControl/>
        <w:suppressAutoHyphens w:val="0"/>
        <w:autoSpaceDE w:val="0"/>
        <w:adjustRightInd w:val="0"/>
        <w:textAlignment w:val="auto"/>
        <w:rPr>
          <w:rFonts w:cs="Times New Roman"/>
          <w:kern w:val="0"/>
          <w:lang w:bidi="ar-SA"/>
        </w:rPr>
      </w:pPr>
    </w:p>
    <w:p w:rsidR="00C15594" w:rsidRDefault="00BA021E" w:rsidP="00C15594">
      <w:pPr>
        <w:pStyle w:val="ListParagraph"/>
        <w:numPr>
          <w:ilvl w:val="0"/>
          <w:numId w:val="27"/>
        </w:numPr>
        <w:rPr>
          <w:kern w:val="0"/>
          <w:lang w:bidi="ar-SA"/>
        </w:rPr>
      </w:pPr>
      <w:r w:rsidRPr="00BA021E">
        <w:rPr>
          <w:kern w:val="0"/>
          <w:lang w:bidi="ar-SA"/>
        </w:rPr>
        <w:t>The amount and type of fossil fuel and waste material-derived fuel</w:t>
      </w:r>
      <w:r>
        <w:rPr>
          <w:kern w:val="0"/>
          <w:lang w:bidi="ar-SA"/>
        </w:rPr>
        <w:t xml:space="preserve"> </w:t>
      </w:r>
      <w:r w:rsidRPr="00BA021E">
        <w:rPr>
          <w:kern w:val="0"/>
          <w:lang w:bidi="ar-SA"/>
        </w:rPr>
        <w:t>used in producing on-site thermal energy dedicated to the</w:t>
      </w:r>
      <w:r>
        <w:rPr>
          <w:kern w:val="0"/>
          <w:lang w:bidi="ar-SA"/>
        </w:rPr>
        <w:t xml:space="preserve"> </w:t>
      </w:r>
      <w:r w:rsidRPr="00BA021E">
        <w:rPr>
          <w:kern w:val="0"/>
          <w:lang w:bidi="ar-SA"/>
        </w:rPr>
        <w:t>production of ethanol at plants producing cellulosic biomass ethanol</w:t>
      </w:r>
      <w:r>
        <w:rPr>
          <w:kern w:val="0"/>
          <w:lang w:bidi="ar-SA"/>
        </w:rPr>
        <w:t xml:space="preserve"> </w:t>
      </w:r>
      <w:r w:rsidRPr="00BA021E">
        <w:rPr>
          <w:kern w:val="0"/>
          <w:lang w:bidi="ar-SA"/>
        </w:rPr>
        <w:t>through the displacement of 90 percent or more of the fossil fuel</w:t>
      </w:r>
      <w:r>
        <w:rPr>
          <w:kern w:val="0"/>
          <w:lang w:bidi="ar-SA"/>
        </w:rPr>
        <w:t xml:space="preserve"> </w:t>
      </w:r>
      <w:r w:rsidRPr="00BA021E">
        <w:rPr>
          <w:kern w:val="0"/>
          <w:lang w:bidi="ar-SA"/>
        </w:rPr>
        <w:t>normally used in the production of ethanol</w:t>
      </w:r>
    </w:p>
    <w:p w:rsidR="00C15594" w:rsidRDefault="00BA021E" w:rsidP="00C15594">
      <w:pPr>
        <w:pStyle w:val="ListParagraph"/>
        <w:numPr>
          <w:ilvl w:val="0"/>
          <w:numId w:val="27"/>
        </w:numPr>
        <w:rPr>
          <w:rFonts w:cs="Times New Roman"/>
          <w:kern w:val="0"/>
          <w:lang w:bidi="ar-SA"/>
        </w:rPr>
      </w:pPr>
      <w:r w:rsidRPr="00877ADC">
        <w:rPr>
          <w:rFonts w:cs="Times New Roman"/>
          <w:kern w:val="0"/>
          <w:lang w:bidi="ar-SA"/>
        </w:rPr>
        <w:t>The amount and type of feedstocks used in producing cellulosic biomass ethanol</w:t>
      </w:r>
    </w:p>
    <w:p w:rsidR="00C15594" w:rsidRDefault="00BA021E" w:rsidP="00C15594">
      <w:pPr>
        <w:pStyle w:val="ListParagraph"/>
        <w:numPr>
          <w:ilvl w:val="0"/>
          <w:numId w:val="27"/>
        </w:numPr>
        <w:rPr>
          <w:rFonts w:cs="Times New Roman"/>
          <w:kern w:val="0"/>
          <w:lang w:bidi="ar-SA"/>
        </w:rPr>
      </w:pPr>
      <w:r w:rsidRPr="00877ADC">
        <w:rPr>
          <w:rFonts w:cs="Times New Roman"/>
          <w:kern w:val="0"/>
          <w:lang w:bidi="ar-SA"/>
        </w:rPr>
        <w:t>The equivalent amount of fossil fuel (based on reasonable estimates) associated with the use of off-site generated waste heat that is used in the production of ethanol at plants producing cellulosic biomass ethanol through the displacement of 90 percent or more of the fossil fuel normally used in the production of ethanol</w:t>
      </w:r>
    </w:p>
    <w:p w:rsidR="00C15594" w:rsidRDefault="00BA021E" w:rsidP="00C15594">
      <w:pPr>
        <w:pStyle w:val="ListParagraph"/>
        <w:numPr>
          <w:ilvl w:val="0"/>
          <w:numId w:val="28"/>
        </w:numPr>
        <w:rPr>
          <w:kern w:val="0"/>
          <w:lang w:bidi="ar-SA"/>
        </w:rPr>
      </w:pPr>
      <w:r w:rsidRPr="00BA021E">
        <w:rPr>
          <w:kern w:val="0"/>
          <w:lang w:bidi="ar-SA"/>
        </w:rPr>
        <w:t>The</w:t>
      </w:r>
      <w:r w:rsidR="0053658F">
        <w:rPr>
          <w:kern w:val="0"/>
          <w:lang w:bidi="ar-SA"/>
        </w:rPr>
        <w:t xml:space="preserve"> </w:t>
      </w:r>
      <w:r w:rsidRPr="00BA021E">
        <w:rPr>
          <w:kern w:val="0"/>
          <w:lang w:bidi="ar-SA"/>
        </w:rPr>
        <w:t xml:space="preserve"> plot plan and process flow diagram for plants producing</w:t>
      </w:r>
      <w:r>
        <w:rPr>
          <w:kern w:val="0"/>
          <w:lang w:bidi="ar-SA"/>
        </w:rPr>
        <w:t xml:space="preserve"> </w:t>
      </w:r>
      <w:r w:rsidRPr="00BA021E">
        <w:rPr>
          <w:kern w:val="0"/>
          <w:lang w:bidi="ar-SA"/>
        </w:rPr>
        <w:t>cellulosic biomass and waste derived ethanol</w:t>
      </w:r>
    </w:p>
    <w:p w:rsidR="00C15594" w:rsidRDefault="00BA021E" w:rsidP="00C15594">
      <w:pPr>
        <w:pStyle w:val="ListParagraph"/>
        <w:numPr>
          <w:ilvl w:val="0"/>
          <w:numId w:val="28"/>
        </w:numPr>
        <w:rPr>
          <w:rFonts w:cs="Times New Roman"/>
          <w:kern w:val="0"/>
          <w:lang w:bidi="ar-SA"/>
        </w:rPr>
      </w:pPr>
      <w:r w:rsidRPr="00877ADC">
        <w:rPr>
          <w:rFonts w:cs="Times New Roman"/>
          <w:kern w:val="0"/>
          <w:lang w:bidi="ar-SA"/>
        </w:rPr>
        <w:t xml:space="preserve">The independent third party verification required under </w:t>
      </w:r>
      <w:r w:rsidR="00877ADC">
        <w:t xml:space="preserve">40 CFR § </w:t>
      </w:r>
      <w:r w:rsidRPr="00877ADC">
        <w:rPr>
          <w:rFonts w:cs="Times New Roman"/>
          <w:kern w:val="0"/>
          <w:lang w:bidi="ar-SA"/>
        </w:rPr>
        <w:t>80.1155 for producers cellulosic biomass ethanol and waste derived ethanol</w:t>
      </w:r>
    </w:p>
    <w:p w:rsidR="0053658F" w:rsidRDefault="0053658F" w:rsidP="00466B4C">
      <w:pPr>
        <w:rPr>
          <w:rFonts w:cs="Times New Roman"/>
          <w:kern w:val="0"/>
          <w:lang w:bidi="ar-SA"/>
        </w:rPr>
      </w:pPr>
    </w:p>
    <w:p w:rsidR="0053658F" w:rsidRPr="00CE326D" w:rsidRDefault="0053658F" w:rsidP="0053658F">
      <w:pPr>
        <w:widowControl/>
        <w:suppressAutoHyphens w:val="0"/>
        <w:autoSpaceDE w:val="0"/>
        <w:adjustRightInd w:val="0"/>
        <w:textAlignment w:val="auto"/>
        <w:rPr>
          <w:rFonts w:cs="Times New Roman"/>
          <w:b/>
          <w:kern w:val="0"/>
          <w:u w:val="single"/>
          <w:lang w:bidi="ar-SA"/>
        </w:rPr>
      </w:pPr>
      <w:r w:rsidRPr="00CE326D">
        <w:rPr>
          <w:rFonts w:cs="Times New Roman"/>
          <w:b/>
          <w:kern w:val="0"/>
          <w:u w:val="single"/>
          <w:lang w:bidi="ar-SA"/>
        </w:rPr>
        <w:t>Recordkeeping: Obligated Parties &amp; Renewable Exporters</w:t>
      </w:r>
    </w:p>
    <w:p w:rsidR="00CE326D" w:rsidRPr="0053658F" w:rsidRDefault="00CE326D" w:rsidP="0053658F">
      <w:pPr>
        <w:widowControl/>
        <w:suppressAutoHyphens w:val="0"/>
        <w:autoSpaceDE w:val="0"/>
        <w:adjustRightInd w:val="0"/>
        <w:textAlignment w:val="auto"/>
        <w:rPr>
          <w:rFonts w:cs="Times New Roman"/>
          <w:kern w:val="0"/>
          <w:lang w:bidi="ar-SA"/>
        </w:rPr>
      </w:pPr>
    </w:p>
    <w:p w:rsidR="00C15594" w:rsidRDefault="0053658F" w:rsidP="00C15594">
      <w:pPr>
        <w:pStyle w:val="ListParagraph"/>
        <w:numPr>
          <w:ilvl w:val="0"/>
          <w:numId w:val="29"/>
        </w:numPr>
        <w:suppressAutoHyphens w:val="0"/>
        <w:autoSpaceDE w:val="0"/>
        <w:adjustRightInd w:val="0"/>
        <w:textAlignment w:val="auto"/>
        <w:rPr>
          <w:rFonts w:cs="Times New Roman"/>
          <w:kern w:val="0"/>
          <w:lang w:bidi="ar-SA"/>
        </w:rPr>
      </w:pPr>
      <w:r w:rsidRPr="00877ADC">
        <w:rPr>
          <w:rFonts w:cs="Times New Roman"/>
          <w:kern w:val="0"/>
          <w:lang w:bidi="ar-SA"/>
        </w:rPr>
        <w:t>Records Related to the Use of RINS (by Facility if Applicable) for Compliance</w:t>
      </w:r>
    </w:p>
    <w:p w:rsidR="00C15594" w:rsidRDefault="0053658F" w:rsidP="00C15594">
      <w:pPr>
        <w:pStyle w:val="ListParagraph"/>
        <w:numPr>
          <w:ilvl w:val="0"/>
          <w:numId w:val="29"/>
        </w:numPr>
        <w:suppressAutoHyphens w:val="0"/>
        <w:autoSpaceDE w:val="0"/>
        <w:adjustRightInd w:val="0"/>
        <w:textAlignment w:val="auto"/>
        <w:rPr>
          <w:rFonts w:cs="Times New Roman"/>
          <w:kern w:val="0"/>
          <w:lang w:bidi="ar-SA"/>
        </w:rPr>
      </w:pPr>
      <w:r w:rsidRPr="00877ADC">
        <w:rPr>
          <w:rFonts w:cs="Times New Roman"/>
          <w:kern w:val="0"/>
          <w:lang w:bidi="ar-SA"/>
        </w:rPr>
        <w:t>Methods and Variables Used to Calculate the RVO</w:t>
      </w:r>
    </w:p>
    <w:p w:rsidR="00C15594" w:rsidRDefault="0053658F" w:rsidP="00C15594">
      <w:pPr>
        <w:pStyle w:val="ListParagraph"/>
        <w:numPr>
          <w:ilvl w:val="0"/>
          <w:numId w:val="29"/>
        </w:numPr>
        <w:suppressAutoHyphens w:val="0"/>
        <w:autoSpaceDE w:val="0"/>
        <w:adjustRightInd w:val="0"/>
        <w:textAlignment w:val="auto"/>
        <w:rPr>
          <w:rFonts w:cs="Times New Roman"/>
          <w:kern w:val="0"/>
          <w:lang w:bidi="ar-SA"/>
        </w:rPr>
      </w:pPr>
      <w:r w:rsidRPr="00877ADC">
        <w:rPr>
          <w:rFonts w:cs="Times New Roman"/>
          <w:kern w:val="0"/>
          <w:lang w:bidi="ar-SA"/>
        </w:rPr>
        <w:t>List of RINs Used to Demonstrate Compliance</w:t>
      </w:r>
    </w:p>
    <w:p w:rsidR="001C4657" w:rsidRDefault="0053658F" w:rsidP="008B5B6D">
      <w:pPr>
        <w:pStyle w:val="Standard"/>
        <w:ind w:firstLine="720"/>
        <w:rPr>
          <w:rFonts w:cs="Times New Roman"/>
          <w:kern w:val="0"/>
          <w:lang w:bidi="ar-SA"/>
        </w:rPr>
      </w:pPr>
      <w:r w:rsidRPr="00877ADC">
        <w:rPr>
          <w:rFonts w:cs="Times New Roman"/>
          <w:kern w:val="0"/>
          <w:lang w:bidi="ar-SA"/>
        </w:rPr>
        <w:t>Additional Information Related to Details of RIN Use</w:t>
      </w:r>
      <w:r w:rsidR="00CE326D" w:rsidRPr="00877ADC">
        <w:rPr>
          <w:rFonts w:cs="Times New Roman"/>
          <w:kern w:val="0"/>
          <w:lang w:bidi="ar-SA"/>
        </w:rPr>
        <w:t xml:space="preserve"> for compliance</w:t>
      </w:r>
    </w:p>
    <w:p w:rsidR="001C4657" w:rsidRDefault="001C4657" w:rsidP="008B5B6D">
      <w:pPr>
        <w:pStyle w:val="Standard"/>
        <w:ind w:firstLine="720"/>
        <w:rPr>
          <w:rFonts w:cs="Times New Roman"/>
          <w:kern w:val="0"/>
          <w:lang w:bidi="ar-SA"/>
        </w:rPr>
      </w:pPr>
    </w:p>
    <w:p w:rsidR="007025B7" w:rsidRPr="001C4657" w:rsidRDefault="00FF7995" w:rsidP="008B5B6D">
      <w:pPr>
        <w:pStyle w:val="Standard"/>
        <w:ind w:firstLine="720"/>
        <w:rPr>
          <w:rFonts w:cs="Times New Roman"/>
          <w:kern w:val="0"/>
          <w:lang w:bidi="ar-SA"/>
        </w:rPr>
      </w:pPr>
      <w:r w:rsidRPr="001C4657">
        <w:rPr>
          <w:rFonts w:cs="Times New Roman"/>
          <w:kern w:val="0"/>
          <w:lang w:bidi="ar-SA"/>
        </w:rPr>
        <w:tab/>
        <w:t>(ii)</w:t>
      </w:r>
      <w:r w:rsidRPr="001C4657">
        <w:rPr>
          <w:rFonts w:cs="Times New Roman"/>
          <w:kern w:val="0"/>
          <w:lang w:bidi="ar-SA"/>
        </w:rPr>
        <w:tab/>
        <w:t>Respondent Activities</w:t>
      </w:r>
    </w:p>
    <w:p w:rsidR="007025B7" w:rsidRPr="001C4657" w:rsidRDefault="007025B7" w:rsidP="008B5B6D">
      <w:pPr>
        <w:pStyle w:val="Standard"/>
        <w:ind w:firstLine="720"/>
        <w:rPr>
          <w:rFonts w:cs="Times New Roman"/>
          <w:kern w:val="0"/>
          <w:lang w:bidi="ar-SA"/>
        </w:rPr>
      </w:pPr>
    </w:p>
    <w:p w:rsidR="008B5B6D" w:rsidRDefault="00FF7995" w:rsidP="008B5B6D">
      <w:pPr>
        <w:pStyle w:val="Standard"/>
        <w:ind w:firstLine="720"/>
      </w:pPr>
      <w:r w:rsidRPr="001C4657">
        <w:rPr>
          <w:rFonts w:cs="Times New Roman"/>
          <w:kern w:val="0"/>
          <w:lang w:bidi="ar-SA"/>
        </w:rPr>
        <w:t>All respondents must be registered in</w:t>
      </w:r>
      <w:r w:rsidRPr="001C4657">
        <w:rPr>
          <w:rFonts w:cs="Times New Roman"/>
        </w:rPr>
        <w:t xml:space="preserve"> </w:t>
      </w:r>
      <w:r w:rsidR="001133E2">
        <w:t xml:space="preserve">the </w:t>
      </w:r>
      <w:r>
        <w:t>DCFUEL</w:t>
      </w:r>
      <w:r w:rsidR="007025B7">
        <w:t xml:space="preserve"> </w:t>
      </w:r>
      <w:r w:rsidR="001133E2">
        <w:t xml:space="preserve">application </w:t>
      </w:r>
      <w:r w:rsidR="007025B7">
        <w:t>to</w:t>
      </w:r>
      <w:r>
        <w:t xml:space="preserve"> obtain a valid company number</w:t>
      </w:r>
      <w:r w:rsidR="007025B7">
        <w:t xml:space="preserve"> </w:t>
      </w:r>
      <w:r w:rsidR="00A82030">
        <w:t>to</w:t>
      </w:r>
      <w:r w:rsidR="00E56E3D">
        <w:t xml:space="preserve"> </w:t>
      </w:r>
      <w:r w:rsidR="00A82030">
        <w:t xml:space="preserve">sign up </w:t>
      </w:r>
      <w:r w:rsidR="007025B7">
        <w:t xml:space="preserve">in </w:t>
      </w:r>
      <w:r>
        <w:t>CDX</w:t>
      </w:r>
      <w:r w:rsidR="00E56E3D">
        <w:t>.  In CDX parties will</w:t>
      </w:r>
      <w:r>
        <w:t xml:space="preserve"> </w:t>
      </w:r>
      <w:r w:rsidR="00184A19">
        <w:t>submi</w:t>
      </w:r>
      <w:r w:rsidR="00E56E3D">
        <w:t xml:space="preserve">t </w:t>
      </w:r>
      <w:r w:rsidR="00D4293F">
        <w:t>facility registration</w:t>
      </w:r>
      <w:r w:rsidR="00E56E3D">
        <w:t xml:space="preserve"> corrections and updates and</w:t>
      </w:r>
      <w:r w:rsidR="00184A19">
        <w:t xml:space="preserve"> </w:t>
      </w:r>
      <w:r>
        <w:t xml:space="preserve">report fuel </w:t>
      </w:r>
      <w:r w:rsidR="007025B7">
        <w:t>volumes</w:t>
      </w:r>
      <w:r w:rsidR="00184A19">
        <w:t xml:space="preserve"> </w:t>
      </w:r>
      <w:r w:rsidR="00A82030">
        <w:t xml:space="preserve">used for </w:t>
      </w:r>
      <w:r w:rsidR="00184A19">
        <w:t xml:space="preserve">buying and selling </w:t>
      </w:r>
      <w:r w:rsidR="00E63D31">
        <w:t>RINS</w:t>
      </w:r>
      <w:r w:rsidR="007025B7">
        <w:t xml:space="preserve"> in the EMTS</w:t>
      </w:r>
      <w:r w:rsidR="00184A19">
        <w:t>.</w:t>
      </w:r>
      <w:r w:rsidR="007025B7">
        <w:t xml:space="preserve"> </w:t>
      </w:r>
      <w:r w:rsidR="00EA5403">
        <w:t xml:space="preserve"> </w:t>
      </w:r>
      <w:r w:rsidR="00E56E3D">
        <w:t>T</w:t>
      </w:r>
      <w:r w:rsidR="007025B7">
        <w:t>he information submit</w:t>
      </w:r>
      <w:r w:rsidR="00184A19">
        <w:t>ted</w:t>
      </w:r>
      <w:r w:rsidR="007025B7">
        <w:t xml:space="preserve"> to EPA </w:t>
      </w:r>
      <w:r w:rsidR="00184A19">
        <w:t xml:space="preserve">during </w:t>
      </w:r>
      <w:r w:rsidR="007025B7">
        <w:t>a company</w:t>
      </w:r>
      <w:r w:rsidR="00270DE6">
        <w:t>’s initial</w:t>
      </w:r>
      <w:r w:rsidR="007025B7">
        <w:t xml:space="preserve"> </w:t>
      </w:r>
      <w:r w:rsidR="00E56E3D">
        <w:t xml:space="preserve">registration defines </w:t>
      </w:r>
      <w:r w:rsidR="00391F28">
        <w:t>its roles,</w:t>
      </w:r>
      <w:r w:rsidR="00A82030">
        <w:t xml:space="preserve"> </w:t>
      </w:r>
      <w:r w:rsidR="00D4293F">
        <w:t xml:space="preserve">responsibilities and </w:t>
      </w:r>
      <w:r w:rsidR="00A82030">
        <w:t>participat</w:t>
      </w:r>
      <w:r w:rsidR="00B149F4">
        <w:t>ion</w:t>
      </w:r>
      <w:r w:rsidR="00A82030">
        <w:t xml:space="preserve"> in the EMTS environment.</w:t>
      </w:r>
      <w:r w:rsidR="00D4293F">
        <w:t xml:space="preserve"> </w:t>
      </w:r>
      <w:r w:rsidR="00F177E4">
        <w:t xml:space="preserve">Producers </w:t>
      </w:r>
      <w:r w:rsidR="00062914">
        <w:t xml:space="preserve">and importers are </w:t>
      </w:r>
      <w:r w:rsidR="00F177E4">
        <w:t xml:space="preserve">responsible for financing a yearly attest engagement or audit </w:t>
      </w:r>
      <w:r w:rsidR="00D4293F">
        <w:t xml:space="preserve">to verify </w:t>
      </w:r>
      <w:r w:rsidR="00F177E4">
        <w:t xml:space="preserve">their </w:t>
      </w:r>
      <w:r w:rsidR="00D4293F">
        <w:t>facilities</w:t>
      </w:r>
      <w:r w:rsidR="00F177E4">
        <w:t>.</w:t>
      </w:r>
      <w:r w:rsidR="00D4293F">
        <w:t xml:space="preserve"> </w:t>
      </w:r>
      <w:r w:rsidR="002175AD">
        <w:t xml:space="preserve"> In this collection producers and importers may also submit new pathway petitions for EPA approval.</w:t>
      </w:r>
    </w:p>
    <w:p w:rsidR="00D56B92" w:rsidRDefault="00D56B92" w:rsidP="008B5B6D">
      <w:pPr>
        <w:pStyle w:val="Standard"/>
        <w:ind w:firstLine="720"/>
      </w:pPr>
    </w:p>
    <w:p w:rsidR="00A82030" w:rsidRDefault="00A82030" w:rsidP="008B5B6D">
      <w:pPr>
        <w:pStyle w:val="Standard"/>
        <w:ind w:firstLine="720"/>
      </w:pPr>
    </w:p>
    <w:p w:rsidR="00DE102F" w:rsidRDefault="006E10B1" w:rsidP="0022640C">
      <w:pPr>
        <w:pStyle w:val="Standard"/>
      </w:pPr>
      <w:r>
        <w:t xml:space="preserve">5.  </w:t>
      </w:r>
      <w:r w:rsidR="008B073A">
        <w:tab/>
      </w:r>
      <w:r>
        <w:t>The Information Collected</w:t>
      </w:r>
      <w:r w:rsidR="00AA6057">
        <w:t xml:space="preserve"> - </w:t>
      </w:r>
      <w:r>
        <w:t xml:space="preserve">Agency Activities, Collection Methodology, and </w:t>
      </w:r>
      <w:r w:rsidR="008B073A">
        <w:tab/>
      </w:r>
      <w:r w:rsidR="00AA6057">
        <w:t>I</w:t>
      </w:r>
      <w:r>
        <w:t>nformation Management</w:t>
      </w:r>
    </w:p>
    <w:p w:rsidR="00DE102F" w:rsidRDefault="00DE102F">
      <w:pPr>
        <w:pStyle w:val="Standard"/>
      </w:pPr>
    </w:p>
    <w:p w:rsidR="0022640C" w:rsidRDefault="008B073A" w:rsidP="007C6494">
      <w:pPr>
        <w:pStyle w:val="Standard"/>
      </w:pPr>
      <w:r>
        <w:tab/>
      </w:r>
      <w:r w:rsidR="007C6494">
        <w:t>5(a)</w:t>
      </w:r>
      <w:r>
        <w:tab/>
      </w:r>
      <w:r w:rsidR="006E10B1">
        <w:t>Agency Activities</w:t>
      </w:r>
    </w:p>
    <w:p w:rsidR="001133E2" w:rsidRDefault="001133E2" w:rsidP="007C6494">
      <w:pPr>
        <w:pStyle w:val="Standard"/>
      </w:pPr>
    </w:p>
    <w:p w:rsidR="00C15594" w:rsidRDefault="006E10B1" w:rsidP="00C15594">
      <w:pPr>
        <w:pStyle w:val="Standard"/>
        <w:numPr>
          <w:ilvl w:val="0"/>
          <w:numId w:val="30"/>
        </w:numPr>
        <w:tabs>
          <w:tab w:val="left" w:pos="2160"/>
        </w:tabs>
      </w:pPr>
      <w:r>
        <w:t>All reports and registrations will be reviewed by EPA for</w:t>
      </w:r>
      <w:r w:rsidR="00DD6E8C">
        <w:t xml:space="preserve"> </w:t>
      </w:r>
      <w:r>
        <w:t>completeness and for potential violations.</w:t>
      </w:r>
    </w:p>
    <w:p w:rsidR="00C15594" w:rsidRDefault="006E10B1" w:rsidP="00C15594">
      <w:pPr>
        <w:pStyle w:val="Standard"/>
        <w:numPr>
          <w:ilvl w:val="0"/>
          <w:numId w:val="30"/>
        </w:numPr>
        <w:tabs>
          <w:tab w:val="left" w:pos="2160"/>
        </w:tabs>
      </w:pPr>
      <w:r>
        <w:lastRenderedPageBreak/>
        <w:t>Potential violations will be referred to enforcement personnel.</w:t>
      </w:r>
    </w:p>
    <w:p w:rsidR="00C15594" w:rsidRDefault="006E10B1" w:rsidP="00C15594">
      <w:pPr>
        <w:pStyle w:val="Standard"/>
        <w:numPr>
          <w:ilvl w:val="0"/>
          <w:numId w:val="30"/>
        </w:numPr>
        <w:tabs>
          <w:tab w:val="left" w:pos="2160"/>
        </w:tabs>
      </w:pPr>
      <w:r>
        <w:t>Registration numbers will be issued for new registrants.</w:t>
      </w:r>
    </w:p>
    <w:p w:rsidR="00C15594" w:rsidRDefault="006E10B1" w:rsidP="00C15594">
      <w:pPr>
        <w:pStyle w:val="Standard"/>
        <w:numPr>
          <w:ilvl w:val="0"/>
          <w:numId w:val="30"/>
        </w:numPr>
        <w:tabs>
          <w:tab w:val="left" w:pos="2160"/>
        </w:tabs>
      </w:pPr>
      <w:r>
        <w:t>Contacting reporting parties if there is a problem with their submission.</w:t>
      </w:r>
    </w:p>
    <w:p w:rsidR="00DE102F" w:rsidRDefault="00DE102F">
      <w:pPr>
        <w:pStyle w:val="Standard"/>
      </w:pPr>
    </w:p>
    <w:p w:rsidR="00DE102F" w:rsidRDefault="007C6494">
      <w:pPr>
        <w:pStyle w:val="Standard"/>
      </w:pPr>
      <w:r>
        <w:tab/>
        <w:t>5(</w:t>
      </w:r>
      <w:r w:rsidR="006E10B1">
        <w:t>b</w:t>
      </w:r>
      <w:r>
        <w:t>)</w:t>
      </w:r>
      <w:r w:rsidR="006E10B1">
        <w:tab/>
        <w:t>Collection and Methodology and Management</w:t>
      </w:r>
    </w:p>
    <w:p w:rsidR="00DE102F" w:rsidRDefault="00DE102F">
      <w:pPr>
        <w:pStyle w:val="Standard"/>
      </w:pPr>
    </w:p>
    <w:p w:rsidR="00DE102F" w:rsidRPr="00E36434" w:rsidRDefault="0022640C" w:rsidP="00E36434">
      <w:pPr>
        <w:widowControl/>
        <w:suppressAutoHyphens w:val="0"/>
        <w:autoSpaceDE w:val="0"/>
        <w:adjustRightInd w:val="0"/>
        <w:textAlignment w:val="auto"/>
        <w:rPr>
          <w:rFonts w:cs="Times New Roman"/>
        </w:rPr>
      </w:pPr>
      <w:r>
        <w:t>EPA will</w:t>
      </w:r>
      <w:r w:rsidR="006E10B1">
        <w:t xml:space="preserve"> to continue to receive all reports, registrations, initial registrations and updates. We a</w:t>
      </w:r>
      <w:r w:rsidR="006E10B1">
        <w:t>n</w:t>
      </w:r>
      <w:r w:rsidR="006E10B1">
        <w:t>ticipate receiving data in a simplified and secure fashion via the Agency's electronic Central Data Exchange (CDX).  Information claimed as CBI will be stored in appropriately controlled areas.</w:t>
      </w:r>
      <w:r w:rsidR="00E36434">
        <w:t xml:space="preserve"> </w:t>
      </w:r>
      <w:r w:rsidR="00E36434" w:rsidRPr="00E36434">
        <w:rPr>
          <w:rFonts w:cs="Times New Roman"/>
          <w:kern w:val="0"/>
          <w:lang w:bidi="ar-SA"/>
        </w:rPr>
        <w:t xml:space="preserve">EPA will </w:t>
      </w:r>
      <w:r w:rsidR="001133E2">
        <w:rPr>
          <w:rFonts w:cs="Times New Roman"/>
          <w:kern w:val="0"/>
          <w:lang w:bidi="ar-SA"/>
        </w:rPr>
        <w:t>p</w:t>
      </w:r>
      <w:r w:rsidR="00E36434" w:rsidRPr="00E36434">
        <w:rPr>
          <w:rFonts w:cs="Times New Roman"/>
          <w:kern w:val="0"/>
          <w:lang w:bidi="ar-SA"/>
        </w:rPr>
        <w:t>rovide Guidance Documents, Report Instructions and</w:t>
      </w:r>
      <w:r w:rsidR="00E36434">
        <w:rPr>
          <w:rFonts w:cs="Times New Roman"/>
          <w:kern w:val="0"/>
          <w:lang w:bidi="ar-SA"/>
        </w:rPr>
        <w:t xml:space="preserve"> </w:t>
      </w:r>
      <w:r w:rsidR="00E36434" w:rsidRPr="00E36434">
        <w:rPr>
          <w:rFonts w:cs="Times New Roman"/>
          <w:kern w:val="0"/>
          <w:lang w:bidi="ar-SA"/>
        </w:rPr>
        <w:t>Report Templates</w:t>
      </w:r>
      <w:r w:rsidR="00E36434">
        <w:rPr>
          <w:rFonts w:cs="Times New Roman"/>
          <w:kern w:val="0"/>
          <w:lang w:bidi="ar-SA"/>
        </w:rPr>
        <w:t xml:space="preserve"> on </w:t>
      </w:r>
      <w:r w:rsidR="00E36434" w:rsidRPr="00E36434">
        <w:rPr>
          <w:rFonts w:cs="Times New Roman"/>
          <w:kern w:val="0"/>
          <w:lang w:bidi="ar-SA"/>
        </w:rPr>
        <w:t>http://www.epa.gov/otaq/regs/fuels/forms.htm</w:t>
      </w:r>
      <w:r w:rsidR="001133E2">
        <w:rPr>
          <w:rFonts w:cs="Times New Roman"/>
          <w:kern w:val="0"/>
          <w:lang w:bidi="ar-SA"/>
        </w:rPr>
        <w:t>.</w:t>
      </w:r>
    </w:p>
    <w:p w:rsidR="00DE102F" w:rsidRDefault="00DE102F">
      <w:pPr>
        <w:pStyle w:val="Standard"/>
      </w:pPr>
    </w:p>
    <w:p w:rsidR="00E36434" w:rsidRDefault="007C6494">
      <w:pPr>
        <w:pStyle w:val="Standard"/>
      </w:pPr>
      <w:r>
        <w:tab/>
      </w:r>
    </w:p>
    <w:p w:rsidR="009C46B6" w:rsidRDefault="00E36434">
      <w:pPr>
        <w:pStyle w:val="Standard"/>
      </w:pPr>
      <w:r>
        <w:tab/>
      </w:r>
      <w:r w:rsidR="007C6494">
        <w:t>5(</w:t>
      </w:r>
      <w:r w:rsidR="006E10B1">
        <w:t>c</w:t>
      </w:r>
      <w:r w:rsidR="007C6494">
        <w:t>)</w:t>
      </w:r>
      <w:r w:rsidR="006E10B1">
        <w:tab/>
        <w:t>Small Entity Flexibilit</w:t>
      </w:r>
      <w:r w:rsidR="009C46B6">
        <w:t>y</w:t>
      </w:r>
      <w:r w:rsidR="006E10B1">
        <w:t xml:space="preserve"> </w:t>
      </w:r>
      <w:r w:rsidR="001133E2">
        <w:t>P</w:t>
      </w:r>
      <w:r w:rsidR="006E10B1">
        <w:t xml:space="preserve">rovisions </w:t>
      </w:r>
      <w:r w:rsidR="009C46B6">
        <w:t xml:space="preserve"> </w:t>
      </w:r>
    </w:p>
    <w:p w:rsidR="000B259B" w:rsidRDefault="000B259B">
      <w:pPr>
        <w:pStyle w:val="Standard"/>
      </w:pPr>
    </w:p>
    <w:p w:rsidR="000604A7" w:rsidRPr="005C4F80" w:rsidRDefault="009C46B6" w:rsidP="000604A7">
      <w:pPr>
        <w:pStyle w:val="CM27"/>
        <w:spacing w:after="275" w:line="276" w:lineRule="atLeast"/>
        <w:ind w:firstLine="720"/>
        <w:jc w:val="both"/>
        <w:rPr>
          <w:rFonts w:ascii="Times New Roman" w:hAnsi="Times New Roman" w:cs="Times New Roman"/>
          <w:color w:val="000000"/>
        </w:rPr>
      </w:pPr>
      <w:r w:rsidRPr="005C4F80">
        <w:rPr>
          <w:rFonts w:ascii="Times New Roman" w:hAnsi="Times New Roman" w:cs="Times New Roman"/>
        </w:rPr>
        <w:t xml:space="preserve">The flexibility provisions </w:t>
      </w:r>
      <w:r w:rsidR="008D20CB" w:rsidRPr="005C4F80">
        <w:rPr>
          <w:rFonts w:ascii="Times New Roman" w:hAnsi="Times New Roman" w:cs="Times New Roman"/>
        </w:rPr>
        <w:t xml:space="preserve">that are </w:t>
      </w:r>
      <w:r w:rsidRPr="005C4F80">
        <w:rPr>
          <w:rFonts w:ascii="Times New Roman" w:hAnsi="Times New Roman" w:cs="Times New Roman"/>
        </w:rPr>
        <w:t>available to small entities</w:t>
      </w:r>
      <w:r w:rsidR="00C1454B" w:rsidRPr="005C4F80">
        <w:rPr>
          <w:rFonts w:ascii="Times New Roman" w:hAnsi="Times New Roman" w:cs="Times New Roman"/>
        </w:rPr>
        <w:t xml:space="preserve"> </w:t>
      </w:r>
      <w:r w:rsidR="008D20CB" w:rsidRPr="005C4F80">
        <w:rPr>
          <w:rFonts w:ascii="Times New Roman" w:hAnsi="Times New Roman" w:cs="Times New Roman"/>
        </w:rPr>
        <w:t xml:space="preserve">are found </w:t>
      </w:r>
      <w:r w:rsidR="00314B0A" w:rsidRPr="005C4F80">
        <w:rPr>
          <w:rFonts w:ascii="Times New Roman" w:hAnsi="Times New Roman" w:cs="Times New Roman"/>
        </w:rPr>
        <w:t>in 40 CFR</w:t>
      </w:r>
      <w:r w:rsidR="000B259B" w:rsidRPr="005C4F80">
        <w:rPr>
          <w:rFonts w:ascii="Times New Roman" w:hAnsi="Times New Roman" w:cs="Times New Roman"/>
        </w:rPr>
        <w:t xml:space="preserve"> </w:t>
      </w:r>
      <w:r w:rsidR="008D20CB" w:rsidRPr="005C4F80">
        <w:rPr>
          <w:rStyle w:val="st1"/>
          <w:rFonts w:ascii="Times New Roman" w:hAnsi="Times New Roman" w:cs="Times New Roman"/>
          <w:color w:val="222222"/>
        </w:rPr>
        <w:t xml:space="preserve">§ </w:t>
      </w:r>
      <w:r w:rsidR="008D20CB" w:rsidRPr="005C4F80">
        <w:rPr>
          <w:rStyle w:val="st1"/>
          <w:rFonts w:ascii="Times New Roman" w:hAnsi="Times New Roman" w:cs="Times New Roman"/>
          <w:bCs/>
          <w:color w:val="000000"/>
        </w:rPr>
        <w:t xml:space="preserve">80.1441 and </w:t>
      </w:r>
      <w:r w:rsidR="008D20CB" w:rsidRPr="005C4F80">
        <w:rPr>
          <w:rStyle w:val="st1"/>
          <w:rFonts w:ascii="Times New Roman" w:hAnsi="Times New Roman" w:cs="Times New Roman"/>
          <w:color w:val="222222"/>
        </w:rPr>
        <w:t xml:space="preserve">§ </w:t>
      </w:r>
      <w:r w:rsidR="008D20CB" w:rsidRPr="005C4F80">
        <w:rPr>
          <w:rStyle w:val="st1"/>
          <w:rFonts w:ascii="Times New Roman" w:hAnsi="Times New Roman" w:cs="Times New Roman"/>
          <w:bCs/>
          <w:color w:val="000000"/>
        </w:rPr>
        <w:t>80.1442</w:t>
      </w:r>
      <w:r w:rsidR="00314B0A" w:rsidRPr="005C4F80">
        <w:rPr>
          <w:rFonts w:ascii="Times New Roman" w:hAnsi="Times New Roman" w:cs="Times New Roman"/>
        </w:rPr>
        <w:t>.  These refiners</w:t>
      </w:r>
      <w:r w:rsidR="00B4055C" w:rsidRPr="005C4F80">
        <w:rPr>
          <w:rFonts w:ascii="Times New Roman" w:hAnsi="Times New Roman" w:cs="Times New Roman"/>
        </w:rPr>
        <w:t xml:space="preserve"> have less than 1,500 employees corporate-wide and co</w:t>
      </w:r>
      <w:r w:rsidR="00B4055C" w:rsidRPr="005C4F80">
        <w:rPr>
          <w:rFonts w:ascii="Times New Roman" w:hAnsi="Times New Roman" w:cs="Times New Roman"/>
        </w:rPr>
        <w:t>r</w:t>
      </w:r>
      <w:r w:rsidR="00B4055C" w:rsidRPr="005C4F80">
        <w:rPr>
          <w:rFonts w:ascii="Times New Roman" w:hAnsi="Times New Roman" w:cs="Times New Roman"/>
        </w:rPr>
        <w:t>porate average crude oil capacity less than or equal to 1</w:t>
      </w:r>
      <w:r w:rsidR="00314B0A" w:rsidRPr="005C4F80">
        <w:rPr>
          <w:rFonts w:ascii="Times New Roman" w:hAnsi="Times New Roman" w:cs="Times New Roman"/>
        </w:rPr>
        <w:t xml:space="preserve">55,000 barrels per calendar day. </w:t>
      </w:r>
      <w:r w:rsidR="00403CC7" w:rsidRPr="005C4F80">
        <w:rPr>
          <w:rFonts w:ascii="Times New Roman" w:hAnsi="Times New Roman" w:cs="Times New Roman"/>
        </w:rPr>
        <w:t xml:space="preserve"> </w:t>
      </w:r>
      <w:r w:rsidR="007C6494" w:rsidRPr="005C4F80">
        <w:rPr>
          <w:rFonts w:ascii="Times New Roman" w:hAnsi="Times New Roman" w:cs="Times New Roman"/>
        </w:rPr>
        <w:t xml:space="preserve">There are only </w:t>
      </w:r>
      <w:r w:rsidR="00FA6FE9" w:rsidRPr="005C4F80">
        <w:rPr>
          <w:rFonts w:ascii="Times New Roman" w:hAnsi="Times New Roman" w:cs="Times New Roman"/>
        </w:rPr>
        <w:t xml:space="preserve">six </w:t>
      </w:r>
      <w:r w:rsidR="007C6494" w:rsidRPr="005C4F80">
        <w:rPr>
          <w:rFonts w:ascii="Times New Roman" w:hAnsi="Times New Roman" w:cs="Times New Roman"/>
        </w:rPr>
        <w:t xml:space="preserve">refiners </w:t>
      </w:r>
      <w:r w:rsidR="008B073A" w:rsidRPr="005C4F80">
        <w:rPr>
          <w:rFonts w:ascii="Times New Roman" w:hAnsi="Times New Roman" w:cs="Times New Roman"/>
        </w:rPr>
        <w:t>that meet this definition</w:t>
      </w:r>
      <w:r w:rsidR="00391F28" w:rsidRPr="005C4F80">
        <w:rPr>
          <w:rFonts w:ascii="Times New Roman" w:hAnsi="Times New Roman" w:cs="Times New Roman"/>
        </w:rPr>
        <w:t xml:space="preserve"> registered in DCFUEL under the RFS2 program</w:t>
      </w:r>
      <w:r w:rsidR="005C4F80" w:rsidRPr="005C4F80">
        <w:rPr>
          <w:rFonts w:ascii="Times New Roman" w:hAnsi="Times New Roman" w:cs="Times New Roman"/>
          <w:kern w:val="3"/>
          <w:lang w:bidi="hi-IN"/>
        </w:rPr>
        <w:t xml:space="preserve">.  </w:t>
      </w:r>
      <w:r w:rsidR="00775627" w:rsidRPr="005C4F80">
        <w:rPr>
          <w:rFonts w:ascii="Times New Roman" w:hAnsi="Times New Roman" w:cs="Times New Roman"/>
          <w:color w:val="000000"/>
        </w:rPr>
        <w:t xml:space="preserve">The following provisions were finalized in the RFS2 final rule to assist small entities that could benefit from some additional flexibility in compliance with the RFS program: </w:t>
      </w:r>
    </w:p>
    <w:p w:rsidR="001B73B1" w:rsidRDefault="000604A7">
      <w:pPr>
        <w:pStyle w:val="Default"/>
        <w:numPr>
          <w:ilvl w:val="0"/>
          <w:numId w:val="32"/>
        </w:numPr>
        <w:spacing w:after="201"/>
        <w:rPr>
          <w:rFonts w:ascii="Times New Roman" w:hAnsi="Times New Roman" w:cs="Times New Roman"/>
        </w:rPr>
      </w:pPr>
      <w:r w:rsidRPr="00783D3A">
        <w:rPr>
          <w:rFonts w:ascii="Times New Roman" w:hAnsi="Times New Roman" w:cs="Times New Roman"/>
          <w:b/>
          <w:bCs/>
        </w:rPr>
        <w:t xml:space="preserve">Case-by-Case Hardship for Small Refiners (and Small Refineries). </w:t>
      </w:r>
      <w:r w:rsidRPr="00783D3A">
        <w:rPr>
          <w:rFonts w:ascii="Times New Roman" w:hAnsi="Times New Roman" w:cs="Times New Roman"/>
        </w:rPr>
        <w:t>Small refineries and small refiners may also apply for an extension of the temporary exemption, based upon disproportionate economic hardship, on a case-by-case basis. Any small refinery or small refiner may apply for this case-by-case hardship at any time. In evaluating applic</w:t>
      </w:r>
      <w:r w:rsidRPr="00783D3A">
        <w:rPr>
          <w:rFonts w:ascii="Times New Roman" w:hAnsi="Times New Roman" w:cs="Times New Roman"/>
        </w:rPr>
        <w:t>a</w:t>
      </w:r>
      <w:r w:rsidRPr="00783D3A">
        <w:rPr>
          <w:rFonts w:ascii="Times New Roman" w:hAnsi="Times New Roman" w:cs="Times New Roman"/>
        </w:rPr>
        <w:t xml:space="preserve">tions for this hardship provision, EPA will take into consideration information such as: information gathered from annual reports, RIN system progress updates, information </w:t>
      </w:r>
      <w:r w:rsidR="00C64E15">
        <w:rPr>
          <w:rFonts w:ascii="Times New Roman" w:hAnsi="Times New Roman" w:cs="Times New Roman"/>
        </w:rPr>
        <w:t>p</w:t>
      </w:r>
      <w:r w:rsidRPr="00783D3A">
        <w:rPr>
          <w:rFonts w:ascii="Times New Roman" w:hAnsi="Times New Roman" w:cs="Times New Roman"/>
        </w:rPr>
        <w:t>rovided by the petitioner, and information gathered through consultation with the D</w:t>
      </w:r>
      <w:r w:rsidRPr="00783D3A">
        <w:rPr>
          <w:rFonts w:ascii="Times New Roman" w:hAnsi="Times New Roman" w:cs="Times New Roman"/>
        </w:rPr>
        <w:t>e</w:t>
      </w:r>
      <w:r w:rsidRPr="00783D3A">
        <w:rPr>
          <w:rFonts w:ascii="Times New Roman" w:hAnsi="Times New Roman" w:cs="Times New Roman"/>
        </w:rPr>
        <w:t>partment of Energy (DOE).</w:t>
      </w:r>
      <w:r w:rsidR="00D95F3D">
        <w:rPr>
          <w:rFonts w:ascii="Times New Roman" w:hAnsi="Times New Roman" w:cs="Times New Roman"/>
        </w:rPr>
        <w:t xml:space="preserve">  If granted an exemption, the refinery would also be exempt from a</w:t>
      </w:r>
      <w:r w:rsidR="00C64E15">
        <w:rPr>
          <w:rFonts w:ascii="Times New Roman" w:hAnsi="Times New Roman" w:cs="Times New Roman"/>
        </w:rPr>
        <w:t>ll</w:t>
      </w:r>
      <w:r w:rsidR="00D95F3D">
        <w:rPr>
          <w:rFonts w:ascii="Times New Roman" w:hAnsi="Times New Roman" w:cs="Times New Roman"/>
        </w:rPr>
        <w:t xml:space="preserve"> recordkeeping and reporting requirements.</w:t>
      </w:r>
      <w:r w:rsidRPr="00783D3A">
        <w:rPr>
          <w:rFonts w:ascii="Times New Roman" w:hAnsi="Times New Roman" w:cs="Times New Roman"/>
        </w:rPr>
        <w:t xml:space="preserve"> </w:t>
      </w:r>
    </w:p>
    <w:p w:rsidR="00D650C0" w:rsidRPr="00D650C0" w:rsidRDefault="003F10F7" w:rsidP="00D650C0">
      <w:pPr>
        <w:pStyle w:val="Default"/>
        <w:numPr>
          <w:ilvl w:val="0"/>
          <w:numId w:val="32"/>
        </w:numPr>
        <w:rPr>
          <w:rFonts w:ascii="Times New Roman" w:hAnsi="Times New Roman" w:cs="Times New Roman"/>
        </w:rPr>
      </w:pPr>
      <w:r w:rsidRPr="003F10F7">
        <w:rPr>
          <w:rFonts w:ascii="Times New Roman" w:hAnsi="Times New Roman" w:cs="Times New Roman"/>
          <w:b/>
        </w:rPr>
        <w:t>Small volume production facilities and importers exemption.</w:t>
      </w:r>
      <w:r w:rsidRPr="003F10F7">
        <w:rPr>
          <w:rFonts w:ascii="Times New Roman" w:hAnsi="Times New Roman" w:cs="Times New Roman"/>
        </w:rPr>
        <w:t xml:space="preserve"> Permanently exempt (production/importation of less than 10,000 gallons annually) or temporarily exempt (production of less than 125,000 annually) are exempt from: generating RINS, registr</w:t>
      </w:r>
      <w:r w:rsidRPr="003F10F7">
        <w:rPr>
          <w:rFonts w:ascii="Times New Roman" w:hAnsi="Times New Roman" w:cs="Times New Roman"/>
        </w:rPr>
        <w:t>a</w:t>
      </w:r>
      <w:r w:rsidRPr="003F10F7">
        <w:rPr>
          <w:rFonts w:ascii="Times New Roman" w:hAnsi="Times New Roman" w:cs="Times New Roman"/>
        </w:rPr>
        <w:t xml:space="preserve">tion, reporting, recordkeeping, and attest engagement requirements. The exemption only applies as long as a small volume production facility or importer does not own RINs or voluntarily generate and assign RINs. </w:t>
      </w:r>
    </w:p>
    <w:p w:rsidR="001B73B1" w:rsidRDefault="001B73B1">
      <w:pPr>
        <w:pStyle w:val="Default"/>
        <w:ind w:left="720"/>
        <w:rPr>
          <w:rFonts w:ascii="Times New Roman" w:hAnsi="Times New Roman" w:cs="Times New Roman"/>
        </w:rPr>
      </w:pPr>
    </w:p>
    <w:p w:rsidR="00FF5B8E" w:rsidRDefault="007C6494">
      <w:pPr>
        <w:pStyle w:val="Standard"/>
      </w:pPr>
      <w:r>
        <w:tab/>
      </w:r>
    </w:p>
    <w:p w:rsidR="00DE102F" w:rsidRDefault="00FF5B8E">
      <w:pPr>
        <w:pStyle w:val="Standard"/>
      </w:pPr>
      <w:r>
        <w:tab/>
      </w:r>
      <w:r w:rsidR="007C6494">
        <w:t>5(</w:t>
      </w:r>
      <w:r w:rsidR="006E10B1">
        <w:t>d</w:t>
      </w:r>
      <w:r w:rsidR="007C6494">
        <w:t>)</w:t>
      </w:r>
      <w:r w:rsidR="006E10B1">
        <w:tab/>
        <w:t>Collection Schedule</w:t>
      </w:r>
    </w:p>
    <w:p w:rsidR="00DE102F" w:rsidRDefault="00DE102F">
      <w:pPr>
        <w:pStyle w:val="Standard"/>
      </w:pPr>
    </w:p>
    <w:p w:rsidR="00DE102F" w:rsidRDefault="006E10B1">
      <w:pPr>
        <w:pStyle w:val="Standard"/>
      </w:pPr>
      <w:r>
        <w:tab/>
        <w:t>Registrations are received on a rolling basis.  Updates may be sent in at any time after initial registration.  New parties may enter the regulated industry at any time, triggering registration requirements.   Petitions for new renewable fuels and pathways are also being received.</w:t>
      </w:r>
    </w:p>
    <w:p w:rsidR="00187B5D" w:rsidRDefault="00187B5D">
      <w:pPr>
        <w:pStyle w:val="Standard"/>
      </w:pPr>
    </w:p>
    <w:p w:rsidR="00D56B92" w:rsidRDefault="00D56B92">
      <w:pPr>
        <w:pStyle w:val="Standard"/>
      </w:pPr>
    </w:p>
    <w:p w:rsidR="00DE102F" w:rsidRDefault="006E10B1">
      <w:pPr>
        <w:pStyle w:val="Standard"/>
      </w:pPr>
      <w:r>
        <w:t>6.</w:t>
      </w:r>
      <w:r>
        <w:tab/>
      </w:r>
      <w:r>
        <w:rPr>
          <w:u w:val="single"/>
        </w:rPr>
        <w:t>Estimating the Burden and Cost of Collection</w:t>
      </w:r>
    </w:p>
    <w:p w:rsidR="00DE102F" w:rsidRDefault="00DE102F">
      <w:pPr>
        <w:pStyle w:val="Standard"/>
      </w:pPr>
    </w:p>
    <w:p w:rsidR="00391F28" w:rsidRDefault="008B073A" w:rsidP="00762D88">
      <w:pPr>
        <w:pStyle w:val="Standard"/>
      </w:pPr>
      <w:r>
        <w:tab/>
        <w:t>6(</w:t>
      </w:r>
      <w:r w:rsidR="006E10B1">
        <w:t>a</w:t>
      </w:r>
      <w:r>
        <w:t>)</w:t>
      </w:r>
      <w:r w:rsidR="006E10B1">
        <w:tab/>
        <w:t xml:space="preserve">Estimating the Respondent </w:t>
      </w:r>
      <w:r w:rsidR="00FA6FE9">
        <w:t>Burden</w:t>
      </w:r>
      <w:r w:rsidR="006E10B1">
        <w:tab/>
      </w:r>
      <w:r w:rsidR="0050492E">
        <w:t xml:space="preserve"> </w:t>
      </w:r>
    </w:p>
    <w:p w:rsidR="00391F28" w:rsidRDefault="00391F28" w:rsidP="00762D88">
      <w:pPr>
        <w:pStyle w:val="Standard"/>
      </w:pPr>
    </w:p>
    <w:p w:rsidR="00DE102F" w:rsidRDefault="00313FDE" w:rsidP="004D593B">
      <w:pPr>
        <w:pStyle w:val="Standard"/>
        <w:jc w:val="both"/>
      </w:pPr>
      <w:r>
        <w:tab/>
      </w:r>
      <w:r w:rsidR="006E10B1">
        <w:t xml:space="preserve">We drew upon experience implementing similar regulations among the same entities to develop estimates of the burden associated with this collection. </w:t>
      </w:r>
      <w:r w:rsidR="00762D88">
        <w:t xml:space="preserve"> </w:t>
      </w:r>
      <w:r w:rsidR="004D593B">
        <w:t>The number</w:t>
      </w:r>
      <w:r w:rsidR="00710EC8">
        <w:t xml:space="preserve"> </w:t>
      </w:r>
      <w:r w:rsidR="00376C60">
        <w:t xml:space="preserve">of </w:t>
      </w:r>
      <w:r w:rsidR="00AD0D08">
        <w:t>each participating party</w:t>
      </w:r>
      <w:r w:rsidR="00DA72DD">
        <w:t xml:space="preserve"> </w:t>
      </w:r>
      <w:r w:rsidR="00E36434">
        <w:t>w</w:t>
      </w:r>
      <w:r w:rsidR="00710EC8">
        <w:t>as</w:t>
      </w:r>
      <w:r w:rsidR="00707BA2">
        <w:t xml:space="preserve"> </w:t>
      </w:r>
      <w:r w:rsidR="00E36434">
        <w:t xml:space="preserve">a result </w:t>
      </w:r>
      <w:r w:rsidR="00376C60">
        <w:t xml:space="preserve">of </w:t>
      </w:r>
      <w:r w:rsidR="00AD0D08">
        <w:t>regist</w:t>
      </w:r>
      <w:r w:rsidR="009D4623">
        <w:t xml:space="preserve">rations </w:t>
      </w:r>
      <w:r w:rsidR="00AD0D08">
        <w:t xml:space="preserve">in the </w:t>
      </w:r>
      <w:r w:rsidR="004D593B">
        <w:t>RFS</w:t>
      </w:r>
      <w:r w:rsidR="000463DD">
        <w:t>2</w:t>
      </w:r>
      <w:r w:rsidR="00AD0D08">
        <w:t xml:space="preserve"> program</w:t>
      </w:r>
      <w:r w:rsidR="00710EC8">
        <w:t xml:space="preserve"> </w:t>
      </w:r>
      <w:r w:rsidR="00C30C66">
        <w:t>DCFUEL</w:t>
      </w:r>
      <w:r w:rsidR="00710EC8">
        <w:t xml:space="preserve"> </w:t>
      </w:r>
      <w:r w:rsidR="00C30C66">
        <w:t>database</w:t>
      </w:r>
      <w:r w:rsidR="00710EC8">
        <w:t>.</w:t>
      </w:r>
      <w:r w:rsidR="007200DE">
        <w:t xml:space="preserve"> The</w:t>
      </w:r>
      <w:r w:rsidR="000A74DD">
        <w:t xml:space="preserve"> </w:t>
      </w:r>
      <w:r w:rsidR="00DA31E4">
        <w:t>time per response</w:t>
      </w:r>
      <w:r w:rsidR="00710EC8">
        <w:t xml:space="preserve"> assumptions</w:t>
      </w:r>
      <w:r w:rsidR="00DA31E4">
        <w:t xml:space="preserve"> or</w:t>
      </w:r>
      <w:r w:rsidR="00710EC8">
        <w:t xml:space="preserve"> </w:t>
      </w:r>
      <w:r w:rsidR="00C30C66">
        <w:t xml:space="preserve">the time it </w:t>
      </w:r>
      <w:r w:rsidR="00DA31E4">
        <w:t>takes</w:t>
      </w:r>
      <w:r w:rsidR="00C30C66">
        <w:t xml:space="preserve"> to perform </w:t>
      </w:r>
      <w:r w:rsidR="007200DE">
        <w:t>updates and corrections, new</w:t>
      </w:r>
      <w:r w:rsidR="00376C60">
        <w:t xml:space="preserve"> party </w:t>
      </w:r>
      <w:r w:rsidR="007200DE">
        <w:t xml:space="preserve">registrations </w:t>
      </w:r>
      <w:r w:rsidR="00376C60">
        <w:t>and new CDX registrations</w:t>
      </w:r>
      <w:r w:rsidR="00707BA2">
        <w:t xml:space="preserve"> </w:t>
      </w:r>
      <w:r w:rsidR="00376C60">
        <w:t xml:space="preserve">came from </w:t>
      </w:r>
      <w:r w:rsidR="002318FF">
        <w:t xml:space="preserve">EPA’s </w:t>
      </w:r>
      <w:r w:rsidR="00DA31E4">
        <w:t>experience implementing</w:t>
      </w:r>
      <w:r>
        <w:t xml:space="preserve"> </w:t>
      </w:r>
      <w:r w:rsidR="009D4623">
        <w:t xml:space="preserve">the </w:t>
      </w:r>
      <w:r>
        <w:t xml:space="preserve">RFS </w:t>
      </w:r>
      <w:r w:rsidR="000A74DD">
        <w:t xml:space="preserve">program </w:t>
      </w:r>
      <w:r w:rsidR="002318FF">
        <w:t xml:space="preserve">and </w:t>
      </w:r>
      <w:r>
        <w:t>having</w:t>
      </w:r>
      <w:r w:rsidR="00707BA2">
        <w:t xml:space="preserve"> knowledge </w:t>
      </w:r>
      <w:r w:rsidR="000A74DD">
        <w:t xml:space="preserve">from industry </w:t>
      </w:r>
      <w:r w:rsidR="00AD6FEC">
        <w:t xml:space="preserve">on </w:t>
      </w:r>
      <w:r w:rsidR="002318FF">
        <w:t xml:space="preserve">how long </w:t>
      </w:r>
      <w:r w:rsidR="00C30C66">
        <w:t xml:space="preserve">it takes to produce </w:t>
      </w:r>
      <w:r w:rsidR="007A1E11">
        <w:t xml:space="preserve">compliance </w:t>
      </w:r>
      <w:r w:rsidR="00C30C66">
        <w:t xml:space="preserve">documents </w:t>
      </w:r>
      <w:r w:rsidR="00707BA2">
        <w:t xml:space="preserve">and </w:t>
      </w:r>
      <w:r w:rsidR="007A1E11">
        <w:t xml:space="preserve">entry of </w:t>
      </w:r>
      <w:r>
        <w:t xml:space="preserve">data </w:t>
      </w:r>
      <w:r w:rsidR="00C30C66">
        <w:t xml:space="preserve">in </w:t>
      </w:r>
      <w:r>
        <w:t xml:space="preserve">the </w:t>
      </w:r>
      <w:r w:rsidR="000A74DD">
        <w:t>Central Data Exchange (</w:t>
      </w:r>
      <w:r w:rsidR="00376C60">
        <w:t>CD</w:t>
      </w:r>
      <w:r w:rsidR="000A74DD">
        <w:t>X)</w:t>
      </w:r>
      <w:r>
        <w:t xml:space="preserve"> </w:t>
      </w:r>
      <w:r w:rsidR="00376C60">
        <w:t xml:space="preserve">and </w:t>
      </w:r>
      <w:r w:rsidR="000A74DD" w:rsidRPr="000A74DD">
        <w:rPr>
          <w:rFonts w:cs="Times New Roman"/>
          <w:color w:val="222222"/>
        </w:rPr>
        <w:t>EPA M</w:t>
      </w:r>
      <w:r w:rsidR="000A74DD">
        <w:rPr>
          <w:rFonts w:cs="Times New Roman"/>
          <w:color w:val="222222"/>
        </w:rPr>
        <w:t xml:space="preserve">oderated Transaction System </w:t>
      </w:r>
      <w:r w:rsidR="000A74DD">
        <w:rPr>
          <w:rFonts w:ascii="Segoe UI" w:hAnsi="Segoe UI" w:cs="Segoe UI"/>
          <w:color w:val="222222"/>
          <w:sz w:val="21"/>
          <w:szCs w:val="21"/>
        </w:rPr>
        <w:t>(</w:t>
      </w:r>
      <w:r w:rsidR="00376C60">
        <w:t>EMTS</w:t>
      </w:r>
      <w:r w:rsidR="000A74DD">
        <w:t>).</w:t>
      </w:r>
      <w:r w:rsidR="00376C60">
        <w:t xml:space="preserve"> </w:t>
      </w:r>
      <w:r w:rsidR="00AD6FEC">
        <w:t>EPA estimated that it would take indust</w:t>
      </w:r>
      <w:r w:rsidR="003A6FAC">
        <w:t>r</w:t>
      </w:r>
      <w:r w:rsidR="00AD6FEC">
        <w:t>y</w:t>
      </w:r>
      <w:r w:rsidR="003A6FAC">
        <w:t xml:space="preserve"> </w:t>
      </w:r>
      <w:r w:rsidR="00AD6FEC">
        <w:t xml:space="preserve">8 hours to produce a new pathways petition, twenty-four hours to perform a yearly attest engagement and 2 hours for new CDX and </w:t>
      </w:r>
      <w:r w:rsidR="007A1E11">
        <w:t xml:space="preserve">new </w:t>
      </w:r>
      <w:r w:rsidR="00AD6FEC">
        <w:t>party registrations</w:t>
      </w:r>
      <w:r w:rsidR="003A6FAC">
        <w:t xml:space="preserve">.  For </w:t>
      </w:r>
      <w:r w:rsidR="001C4657">
        <w:t>existing</w:t>
      </w:r>
      <w:r w:rsidR="003A6FAC">
        <w:t xml:space="preserve"> members of any party, EPA has estimated 2 hours for registration updates and corrections.</w:t>
      </w:r>
      <w:r w:rsidR="00AD6FEC">
        <w:t xml:space="preserve"> </w:t>
      </w:r>
      <w:r w:rsidR="00632914">
        <w:t xml:space="preserve">EPA has </w:t>
      </w:r>
      <w:r w:rsidR="009D4623">
        <w:t xml:space="preserve">provided </w:t>
      </w:r>
      <w:r w:rsidR="00AD0D08">
        <w:t>percentage</w:t>
      </w:r>
      <w:r w:rsidR="00C30C66">
        <w:t>s</w:t>
      </w:r>
      <w:r w:rsidR="00632914">
        <w:t xml:space="preserve"> </w:t>
      </w:r>
      <w:r w:rsidR="0050492E">
        <w:t>by</w:t>
      </w:r>
      <w:r w:rsidR="009D4623">
        <w:t xml:space="preserve"> </w:t>
      </w:r>
      <w:r w:rsidR="00760196">
        <w:t>party</w:t>
      </w:r>
      <w:r w:rsidR="009D4623">
        <w:t xml:space="preserve"> </w:t>
      </w:r>
      <w:r w:rsidR="00760196">
        <w:t>total</w:t>
      </w:r>
      <w:r>
        <w:t>s</w:t>
      </w:r>
      <w:r w:rsidR="009D4623">
        <w:t xml:space="preserve"> to</w:t>
      </w:r>
      <w:r w:rsidR="00DA31E4">
        <w:t xml:space="preserve"> project</w:t>
      </w:r>
      <w:r w:rsidR="0050492E">
        <w:t xml:space="preserve"> assumptions</w:t>
      </w:r>
      <w:r w:rsidR="009D4623">
        <w:t xml:space="preserve"> in this collection. </w:t>
      </w:r>
      <w:r w:rsidR="00741533">
        <w:t>The i</w:t>
      </w:r>
      <w:r w:rsidR="009D4623">
        <w:t>nformation used</w:t>
      </w:r>
      <w:r w:rsidR="0050492E">
        <w:t xml:space="preserve"> </w:t>
      </w:r>
      <w:r w:rsidR="009D4623">
        <w:t xml:space="preserve">came from observed </w:t>
      </w:r>
      <w:r w:rsidR="00DA31E4">
        <w:t xml:space="preserve">registration and reporting activity </w:t>
      </w:r>
      <w:r w:rsidR="009D4623">
        <w:t xml:space="preserve">in </w:t>
      </w:r>
      <w:r w:rsidR="00760196">
        <w:t>CDX</w:t>
      </w:r>
      <w:r w:rsidR="0050492E">
        <w:t xml:space="preserve"> and EMTS</w:t>
      </w:r>
      <w:r w:rsidR="009D4623">
        <w:t>.</w:t>
      </w:r>
      <w:r w:rsidR="0093507C">
        <w:t xml:space="preserve"> </w:t>
      </w:r>
      <w:r w:rsidR="00C30C66">
        <w:t>In this collection, p</w:t>
      </w:r>
      <w:r w:rsidR="00F03C9D">
        <w:t xml:space="preserve">roducers and importers are required </w:t>
      </w:r>
      <w:r w:rsidR="001C5583">
        <w:t xml:space="preserve">to </w:t>
      </w:r>
      <w:r w:rsidR="00F03C9D">
        <w:t>finance and to submit to EPA a yearly attest engagement</w:t>
      </w:r>
      <w:r w:rsidR="00C30C66">
        <w:t xml:space="preserve"> calculated at $206 per hour</w:t>
      </w:r>
      <w:r w:rsidR="00F03C9D">
        <w:t>.</w:t>
      </w:r>
      <w:r w:rsidR="00710EC8">
        <w:t xml:space="preserve"> </w:t>
      </w:r>
      <w:r w:rsidR="001C5583">
        <w:t xml:space="preserve">In the </w:t>
      </w:r>
      <w:r w:rsidR="00F03C9D">
        <w:t>last information request</w:t>
      </w:r>
      <w:r w:rsidR="001C5583">
        <w:t xml:space="preserve">, respondents were </w:t>
      </w:r>
      <w:r w:rsidR="00F03C9D">
        <w:t>required to re-register</w:t>
      </w:r>
      <w:r w:rsidR="00DA31E4">
        <w:t xml:space="preserve"> </w:t>
      </w:r>
      <w:r w:rsidR="00C30C66">
        <w:t xml:space="preserve">their companies </w:t>
      </w:r>
      <w:r w:rsidR="00F03C9D">
        <w:t>which increased the cost and hourly burden</w:t>
      </w:r>
      <w:r w:rsidR="00C30C66">
        <w:t>.  In this collection</w:t>
      </w:r>
      <w:r>
        <w:t xml:space="preserve"> EPA should see a decrease in cost and responses</w:t>
      </w:r>
      <w:r w:rsidR="001C5583">
        <w:t>.</w:t>
      </w:r>
      <w:r w:rsidR="00F03C9D">
        <w:t xml:space="preserve"> </w:t>
      </w:r>
      <w:r w:rsidR="000A5FC7">
        <w:t xml:space="preserve">From the estimates there are </w:t>
      </w:r>
      <w:r w:rsidR="001C4657">
        <w:t xml:space="preserve">1,672 </w:t>
      </w:r>
      <w:r w:rsidR="000A5FC7">
        <w:t>participants in this collection.</w:t>
      </w:r>
    </w:p>
    <w:p w:rsidR="00AD0D08" w:rsidRDefault="00AD0D08" w:rsidP="004D593B">
      <w:pPr>
        <w:pStyle w:val="Standard"/>
        <w:jc w:val="both"/>
      </w:pPr>
    </w:p>
    <w:p w:rsidR="00AD0D08" w:rsidRDefault="00AD0D08" w:rsidP="00AD0D08">
      <w:pPr>
        <w:pStyle w:val="Standard"/>
        <w:numPr>
          <w:ilvl w:val="0"/>
          <w:numId w:val="23"/>
        </w:numPr>
      </w:pPr>
      <w:r>
        <w:t>Producers of renewable fuels (</w:t>
      </w:r>
      <w:r w:rsidR="006808AE">
        <w:t>500</w:t>
      </w:r>
      <w:r>
        <w:t>)</w:t>
      </w:r>
    </w:p>
    <w:p w:rsidR="00AD0D08" w:rsidRDefault="00AD0D08" w:rsidP="00AD0D08">
      <w:pPr>
        <w:pStyle w:val="Standard"/>
        <w:numPr>
          <w:ilvl w:val="0"/>
          <w:numId w:val="19"/>
        </w:numPr>
      </w:pPr>
      <w:r>
        <w:t>Importers (72)</w:t>
      </w:r>
    </w:p>
    <w:p w:rsidR="00AD0D08" w:rsidRDefault="00AD0D08" w:rsidP="00AD0D08">
      <w:pPr>
        <w:pStyle w:val="Standard"/>
        <w:numPr>
          <w:ilvl w:val="0"/>
          <w:numId w:val="19"/>
        </w:numPr>
      </w:pPr>
      <w:r>
        <w:t>Obligated Parties (150)</w:t>
      </w:r>
    </w:p>
    <w:p w:rsidR="00AD0D08" w:rsidRDefault="00AD0D08" w:rsidP="00AD0D08">
      <w:pPr>
        <w:pStyle w:val="Standard"/>
        <w:numPr>
          <w:ilvl w:val="0"/>
          <w:numId w:val="19"/>
        </w:numPr>
      </w:pPr>
      <w:r>
        <w:t>Parties who own RINs (including foreign RIN owners) (950)</w:t>
      </w:r>
    </w:p>
    <w:p w:rsidR="00AD0D08" w:rsidRDefault="00AD0D08" w:rsidP="004D593B">
      <w:pPr>
        <w:pStyle w:val="Standard"/>
        <w:jc w:val="both"/>
      </w:pPr>
    </w:p>
    <w:p w:rsidR="00DE102F" w:rsidRDefault="00DE102F">
      <w:pPr>
        <w:pStyle w:val="Standard"/>
      </w:pPr>
    </w:p>
    <w:p w:rsidR="00DE102F" w:rsidRDefault="008B073A">
      <w:pPr>
        <w:pStyle w:val="Standard"/>
        <w:ind w:firstLine="720"/>
      </w:pPr>
      <w:r>
        <w:t>6(</w:t>
      </w:r>
      <w:r w:rsidR="006E10B1">
        <w:t>b</w:t>
      </w:r>
      <w:r>
        <w:t>)</w:t>
      </w:r>
      <w:r w:rsidR="006E10B1">
        <w:tab/>
        <w:t>Estimating the Respondent Cost</w:t>
      </w:r>
      <w:r w:rsidR="0058307D">
        <w:t>s</w:t>
      </w:r>
    </w:p>
    <w:p w:rsidR="00DE102F" w:rsidRDefault="00DE102F">
      <w:pPr>
        <w:pStyle w:val="Standard"/>
      </w:pPr>
    </w:p>
    <w:p w:rsidR="00DE102F" w:rsidRDefault="006E10B1">
      <w:pPr>
        <w:pStyle w:val="Standard"/>
      </w:pPr>
      <w:r>
        <w:tab/>
        <w:t>Three labor categories are involved:  managerial (includes legal and professional review), technical, and clerical. The estimates used the Bureau of Labor Statistics figures from "National Industry-Specific Occupational Employment &amp; Wage Estimate “Petroleum and Coal Products Manufacturing” (May 2011), with a 3% annual inflation factor applied to bring the values to the present.  Using this method, the following wages and benefits apply by category:</w:t>
      </w:r>
    </w:p>
    <w:p w:rsidR="00DE102F" w:rsidRDefault="00DE102F">
      <w:pPr>
        <w:pStyle w:val="Standard"/>
      </w:pPr>
    </w:p>
    <w:p w:rsidR="00DE102F" w:rsidRDefault="00DE102F">
      <w:pPr>
        <w:pStyle w:val="Standard"/>
        <w:rPr>
          <w:u w:val="single"/>
        </w:rPr>
      </w:pPr>
    </w:p>
    <w:p w:rsidR="00DE102F" w:rsidRDefault="006E10B1">
      <w:pPr>
        <w:pStyle w:val="Standard"/>
        <w:rPr>
          <w:u w:val="single"/>
        </w:rPr>
      </w:pPr>
      <w:r>
        <w:rPr>
          <w:u w:val="single"/>
        </w:rPr>
        <w:t>Wages and Benefits</w:t>
      </w:r>
    </w:p>
    <w:p w:rsidR="00DE102F" w:rsidRDefault="00DE102F">
      <w:pPr>
        <w:pStyle w:val="Standard"/>
        <w:rPr>
          <w:u w:val="single"/>
        </w:rPr>
      </w:pPr>
    </w:p>
    <w:p w:rsidR="00DE102F" w:rsidRDefault="006E10B1">
      <w:pPr>
        <w:pStyle w:val="Standard"/>
      </w:pPr>
      <w:r>
        <w:t xml:space="preserve">Managerial    </w:t>
      </w:r>
      <w:r>
        <w:tab/>
      </w:r>
      <w:r>
        <w:tab/>
        <w:t xml:space="preserve">$67.44 </w:t>
      </w:r>
      <w:r w:rsidR="00D94D0D">
        <w:t xml:space="preserve"> </w:t>
      </w:r>
      <w:r>
        <w:t xml:space="preserve"> per hour</w:t>
      </w:r>
    </w:p>
    <w:p w:rsidR="00DE102F" w:rsidRDefault="006E10B1">
      <w:pPr>
        <w:pStyle w:val="Standard"/>
      </w:pPr>
      <w:r>
        <w:t>Technical</w:t>
      </w:r>
      <w:r>
        <w:tab/>
      </w:r>
      <w:r>
        <w:tab/>
        <w:t>$</w:t>
      </w:r>
      <w:r w:rsidR="001C4657">
        <w:t>65.56 per</w:t>
      </w:r>
      <w:r>
        <w:t xml:space="preserve"> hour</w:t>
      </w:r>
    </w:p>
    <w:p w:rsidR="00DE102F" w:rsidRDefault="006E10B1">
      <w:pPr>
        <w:pStyle w:val="Standard"/>
      </w:pPr>
      <w:r>
        <w:t>Clerical</w:t>
      </w:r>
      <w:r>
        <w:tab/>
      </w:r>
      <w:r>
        <w:tab/>
        <w:t>$</w:t>
      </w:r>
      <w:r w:rsidR="001C4657">
        <w:t>22.17 per</w:t>
      </w:r>
      <w:r>
        <w:t xml:space="preserve"> hour</w:t>
      </w:r>
    </w:p>
    <w:p w:rsidR="00DE102F" w:rsidRDefault="00DE102F">
      <w:pPr>
        <w:pStyle w:val="Standard"/>
      </w:pPr>
    </w:p>
    <w:p w:rsidR="00DE102F" w:rsidRDefault="006E10B1">
      <w:pPr>
        <w:pStyle w:val="Standard"/>
      </w:pPr>
      <w:r>
        <w:lastRenderedPageBreak/>
        <w:t>Doubling for company overhead beyond wages and benefits, and for convenience, rounding up to the dollar, gives the following rates for this ICR:</w:t>
      </w:r>
    </w:p>
    <w:p w:rsidR="00DE102F" w:rsidRDefault="00DE102F">
      <w:pPr>
        <w:pStyle w:val="Standard"/>
      </w:pPr>
    </w:p>
    <w:p w:rsidR="00DE102F" w:rsidRDefault="006E10B1">
      <w:pPr>
        <w:pStyle w:val="Standard"/>
        <w:rPr>
          <w:u w:val="single"/>
        </w:rPr>
      </w:pPr>
      <w:r>
        <w:rPr>
          <w:u w:val="single"/>
        </w:rPr>
        <w:t>Total Employer Cost</w:t>
      </w:r>
    </w:p>
    <w:p w:rsidR="00DE102F" w:rsidRDefault="00DE102F">
      <w:pPr>
        <w:pStyle w:val="Standard"/>
      </w:pPr>
    </w:p>
    <w:p w:rsidR="00DE102F" w:rsidRDefault="006E10B1">
      <w:pPr>
        <w:pStyle w:val="Standard"/>
      </w:pPr>
      <w:r>
        <w:t>Managerial</w:t>
      </w:r>
      <w:r>
        <w:tab/>
      </w:r>
      <w:r>
        <w:tab/>
        <w:t>$135.00 per hour</w:t>
      </w:r>
    </w:p>
    <w:p w:rsidR="00DE102F" w:rsidRDefault="006E10B1">
      <w:pPr>
        <w:pStyle w:val="Standard"/>
      </w:pPr>
      <w:r>
        <w:t>Technical</w:t>
      </w:r>
      <w:r>
        <w:tab/>
      </w:r>
      <w:r>
        <w:tab/>
        <w:t>$131.00 per hour</w:t>
      </w:r>
    </w:p>
    <w:p w:rsidR="00DE102F" w:rsidRDefault="006E10B1">
      <w:pPr>
        <w:pStyle w:val="Standard"/>
      </w:pPr>
      <w:r>
        <w:t>Clerical</w:t>
      </w:r>
      <w:r>
        <w:tab/>
      </w:r>
      <w:r>
        <w:tab/>
        <w:t>$   44.00 per hour</w:t>
      </w:r>
    </w:p>
    <w:p w:rsidR="00DE102F" w:rsidRDefault="00DE102F">
      <w:pPr>
        <w:pStyle w:val="Standard"/>
      </w:pPr>
    </w:p>
    <w:p w:rsidR="008F3583" w:rsidRDefault="0058307D" w:rsidP="00A60030">
      <w:pPr>
        <w:pStyle w:val="Standard"/>
      </w:pPr>
      <w:r w:rsidRPr="0058307D">
        <w:t xml:space="preserve">It is assumed that for each hour of activity the mix will be about 0.1 hour managerial, 0.7 hour technical, and 0.2 hour clerical.  This gives an average labor cost of $103 per hour, which will be used in this ICR. For purchased services related to </w:t>
      </w:r>
      <w:r w:rsidR="00033BB5">
        <w:t xml:space="preserve">the yearly </w:t>
      </w:r>
      <w:r w:rsidRPr="0058307D">
        <w:t>attest engagements</w:t>
      </w:r>
      <w:r w:rsidR="006808AE">
        <w:t xml:space="preserve"> for producers and importers,</w:t>
      </w:r>
      <w:r w:rsidRPr="0058307D">
        <w:t xml:space="preserve"> we have doubled this hourly cost to $206 in order to more accurately reflect the cost </w:t>
      </w:r>
      <w:r w:rsidR="00033BB5">
        <w:t>performing</w:t>
      </w:r>
      <w:r w:rsidR="008356DD">
        <w:t xml:space="preserve"> </w:t>
      </w:r>
      <w:r w:rsidR="00033BB5">
        <w:t>this service</w:t>
      </w:r>
      <w:r w:rsidRPr="0058307D">
        <w:t xml:space="preserve">.  </w:t>
      </w:r>
      <w:r w:rsidR="00A60030">
        <w:t xml:space="preserve">There is no </w:t>
      </w:r>
      <w:r w:rsidR="00B26E87">
        <w:t xml:space="preserve">capitol or </w:t>
      </w:r>
      <w:r w:rsidRPr="0058307D">
        <w:t>O&amp;M cost</w:t>
      </w:r>
      <w:r w:rsidR="00B26E87">
        <w:t xml:space="preserve"> </w:t>
      </w:r>
      <w:r w:rsidR="00A60030">
        <w:t xml:space="preserve">associated with this collection.  There is </w:t>
      </w:r>
      <w:r w:rsidR="00B26E87">
        <w:t>only respondent hourly burden cos</w:t>
      </w:r>
      <w:r w:rsidR="00A60030">
        <w:t>t incurred.</w:t>
      </w:r>
    </w:p>
    <w:p w:rsidR="008F3583" w:rsidRDefault="008F3583">
      <w:pPr>
        <w:pStyle w:val="Standard"/>
        <w:sectPr w:rsidR="008F3583" w:rsidSect="004D66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pPr>
    </w:p>
    <w:p w:rsidR="008F3583" w:rsidRDefault="008F3583">
      <w:pPr>
        <w:pStyle w:val="Standard"/>
      </w:pPr>
    </w:p>
    <w:tbl>
      <w:tblPr>
        <w:tblW w:w="13579" w:type="dxa"/>
        <w:tblInd w:w="91" w:type="dxa"/>
        <w:tblLayout w:type="fixed"/>
        <w:tblLook w:val="04A0"/>
      </w:tblPr>
      <w:tblGrid>
        <w:gridCol w:w="4980"/>
        <w:gridCol w:w="1420"/>
        <w:gridCol w:w="1280"/>
        <w:gridCol w:w="1697"/>
        <w:gridCol w:w="942"/>
        <w:gridCol w:w="1140"/>
        <w:gridCol w:w="880"/>
        <w:gridCol w:w="1240"/>
      </w:tblGrid>
      <w:tr w:rsidR="0058307D" w:rsidRPr="0058307D" w:rsidTr="00313FDE">
        <w:trPr>
          <w:trHeight w:val="255"/>
        </w:trPr>
        <w:tc>
          <w:tcPr>
            <w:tcW w:w="13579" w:type="dxa"/>
            <w:gridSpan w:val="8"/>
            <w:tcBorders>
              <w:top w:val="single" w:sz="8" w:space="0" w:color="auto"/>
              <w:left w:val="single" w:sz="8" w:space="0" w:color="auto"/>
              <w:bottom w:val="nil"/>
              <w:right w:val="single" w:sz="8" w:space="0" w:color="000000"/>
            </w:tcBorders>
            <w:shd w:val="clear" w:color="auto" w:fill="auto"/>
            <w:noWrap/>
            <w:vAlign w:val="bottom"/>
            <w:hideMark/>
          </w:tcPr>
          <w:p w:rsidR="0058307D" w:rsidRPr="0058307D" w:rsidRDefault="008F3583" w:rsidP="0058307D">
            <w:pPr>
              <w:widowControl/>
              <w:suppressAutoHyphens w:val="0"/>
              <w:autoSpaceDN/>
              <w:jc w:val="center"/>
              <w:textAlignment w:val="auto"/>
              <w:rPr>
                <w:rFonts w:ascii="Arial" w:eastAsia="Times New Roman" w:hAnsi="Arial" w:cs="Arial"/>
                <w:b/>
                <w:bCs/>
                <w:kern w:val="0"/>
                <w:sz w:val="20"/>
                <w:szCs w:val="20"/>
                <w:lang w:eastAsia="en-US" w:bidi="ar-SA"/>
              </w:rPr>
            </w:pPr>
            <w:r>
              <w:br w:type="page"/>
            </w:r>
            <w:r w:rsidR="0058307D" w:rsidRPr="0058307D">
              <w:rPr>
                <w:rFonts w:ascii="Arial" w:eastAsia="Times New Roman" w:hAnsi="Arial" w:cs="Arial"/>
                <w:b/>
                <w:bCs/>
                <w:kern w:val="0"/>
                <w:sz w:val="20"/>
                <w:szCs w:val="20"/>
                <w:lang w:eastAsia="en-US" w:bidi="ar-SA"/>
              </w:rPr>
              <w:t>Information Collection Burden by Type of Party</w:t>
            </w:r>
          </w:p>
        </w:tc>
      </w:tr>
      <w:tr w:rsidR="0058307D" w:rsidRPr="0058307D" w:rsidTr="00313FDE">
        <w:trPr>
          <w:trHeight w:val="285"/>
        </w:trPr>
        <w:tc>
          <w:tcPr>
            <w:tcW w:w="13579" w:type="dxa"/>
            <w:gridSpan w:val="8"/>
            <w:tcBorders>
              <w:top w:val="nil"/>
              <w:left w:val="single" w:sz="8" w:space="0" w:color="auto"/>
              <w:bottom w:val="single" w:sz="8" w:space="0" w:color="auto"/>
              <w:right w:val="single" w:sz="8" w:space="0" w:color="000000"/>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i/>
                <w:iCs/>
                <w:kern w:val="0"/>
                <w:sz w:val="20"/>
                <w:szCs w:val="20"/>
                <w:lang w:eastAsia="en-US" w:bidi="ar-SA"/>
              </w:rPr>
            </w:pPr>
            <w:r w:rsidRPr="0058307D">
              <w:rPr>
                <w:rFonts w:ascii="Arial" w:eastAsia="Times New Roman" w:hAnsi="Arial" w:cs="Arial"/>
                <w:i/>
                <w:iCs/>
                <w:kern w:val="0"/>
                <w:sz w:val="20"/>
                <w:szCs w:val="20"/>
                <w:lang w:eastAsia="en-US" w:bidi="ar-SA"/>
              </w:rPr>
              <w:t>Table I:  Producers of Renewable Fuel</w:t>
            </w:r>
          </w:p>
        </w:tc>
      </w:tr>
      <w:tr w:rsidR="0058307D" w:rsidRPr="0058307D" w:rsidTr="00313FDE">
        <w:trPr>
          <w:trHeight w:val="1005"/>
        </w:trPr>
        <w:tc>
          <w:tcPr>
            <w:tcW w:w="4980" w:type="dxa"/>
            <w:tcBorders>
              <w:top w:val="nil"/>
              <w:left w:val="single" w:sz="8" w:space="0" w:color="auto"/>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Collection Activity</w:t>
            </w:r>
          </w:p>
        </w:tc>
        <w:tc>
          <w:tcPr>
            <w:tcW w:w="142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Number of Respondents</w:t>
            </w:r>
          </w:p>
        </w:tc>
        <w:tc>
          <w:tcPr>
            <w:tcW w:w="128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Number of Responses per Party</w:t>
            </w:r>
          </w:p>
        </w:tc>
        <w:tc>
          <w:tcPr>
            <w:tcW w:w="1697"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Total Number of Responses</w:t>
            </w:r>
          </w:p>
        </w:tc>
        <w:tc>
          <w:tcPr>
            <w:tcW w:w="942"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Time per R</w:t>
            </w:r>
            <w:r w:rsidRPr="0058307D">
              <w:rPr>
                <w:rFonts w:ascii="Arial" w:eastAsia="Times New Roman" w:hAnsi="Arial" w:cs="Arial"/>
                <w:kern w:val="0"/>
                <w:sz w:val="20"/>
                <w:szCs w:val="20"/>
                <w:lang w:eastAsia="en-US" w:bidi="ar-SA"/>
              </w:rPr>
              <w:t>e</w:t>
            </w:r>
            <w:r w:rsidRPr="0058307D">
              <w:rPr>
                <w:rFonts w:ascii="Arial" w:eastAsia="Times New Roman" w:hAnsi="Arial" w:cs="Arial"/>
                <w:kern w:val="0"/>
                <w:sz w:val="20"/>
                <w:szCs w:val="20"/>
                <w:lang w:eastAsia="en-US" w:bidi="ar-SA"/>
              </w:rPr>
              <w:t>sponse (hours)</w:t>
            </w:r>
          </w:p>
        </w:tc>
        <w:tc>
          <w:tcPr>
            <w:tcW w:w="114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Cost per Response (dollars)</w:t>
            </w:r>
          </w:p>
        </w:tc>
        <w:tc>
          <w:tcPr>
            <w:tcW w:w="88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Total Hours</w:t>
            </w:r>
          </w:p>
        </w:tc>
        <w:tc>
          <w:tcPr>
            <w:tcW w:w="1240" w:type="dxa"/>
            <w:tcBorders>
              <w:top w:val="nil"/>
              <w:left w:val="nil"/>
              <w:bottom w:val="single" w:sz="8" w:space="0" w:color="auto"/>
              <w:right w:val="single" w:sz="8"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Total Cost (dollars)</w:t>
            </w:r>
          </w:p>
        </w:tc>
      </w:tr>
      <w:tr w:rsidR="0058307D" w:rsidRPr="0058307D" w:rsidTr="00313FDE">
        <w:trPr>
          <w:trHeight w:val="300"/>
        </w:trPr>
        <w:tc>
          <w:tcPr>
            <w:tcW w:w="4980" w:type="dxa"/>
            <w:tcBorders>
              <w:top w:val="nil"/>
              <w:left w:val="single" w:sz="8" w:space="0" w:color="auto"/>
              <w:bottom w:val="single" w:sz="4" w:space="0" w:color="auto"/>
              <w:right w:val="single" w:sz="4" w:space="0" w:color="auto"/>
            </w:tcBorders>
            <w:shd w:val="clear" w:color="auto" w:fill="auto"/>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80.1416</w:t>
            </w:r>
          </w:p>
        </w:tc>
        <w:tc>
          <w:tcPr>
            <w:tcW w:w="142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2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697"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942"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14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8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240" w:type="dxa"/>
            <w:tcBorders>
              <w:top w:val="nil"/>
              <w:left w:val="nil"/>
              <w:bottom w:val="single" w:sz="4"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r>
      <w:tr w:rsidR="0058307D" w:rsidRPr="0058307D" w:rsidTr="00313FDE">
        <w:trPr>
          <w:trHeight w:val="345"/>
        </w:trPr>
        <w:tc>
          <w:tcPr>
            <w:tcW w:w="4980" w:type="dxa"/>
            <w:tcBorders>
              <w:top w:val="nil"/>
              <w:left w:val="single" w:sz="8" w:space="0" w:color="auto"/>
              <w:bottom w:val="single" w:sz="4" w:space="0" w:color="auto"/>
              <w:right w:val="single" w:sz="4" w:space="0" w:color="auto"/>
            </w:tcBorders>
            <w:shd w:val="clear" w:color="auto" w:fill="auto"/>
            <w:noWrap/>
            <w:vAlign w:val="bottom"/>
            <w:hideMark/>
          </w:tcPr>
          <w:p w:rsidR="0058307D" w:rsidRPr="0058307D" w:rsidRDefault="0058307D" w:rsidP="00CC00C1">
            <w:pPr>
              <w:widowControl/>
              <w:suppressAutoHyphens w:val="0"/>
              <w:autoSpaceDN/>
              <w:ind w:firstLineChars="100" w:firstLine="200"/>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New renewable fuels pathways at $103/hour</w:t>
            </w:r>
          </w:p>
        </w:tc>
        <w:tc>
          <w:tcPr>
            <w:tcW w:w="142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15</w:t>
            </w:r>
          </w:p>
        </w:tc>
        <w:tc>
          <w:tcPr>
            <w:tcW w:w="12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w:t>
            </w:r>
          </w:p>
        </w:tc>
        <w:tc>
          <w:tcPr>
            <w:tcW w:w="1697"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15</w:t>
            </w:r>
          </w:p>
        </w:tc>
        <w:tc>
          <w:tcPr>
            <w:tcW w:w="942"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w:t>
            </w:r>
          </w:p>
        </w:tc>
        <w:tc>
          <w:tcPr>
            <w:tcW w:w="114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$824</w:t>
            </w:r>
          </w:p>
        </w:tc>
        <w:tc>
          <w:tcPr>
            <w:tcW w:w="8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120</w:t>
            </w:r>
          </w:p>
        </w:tc>
        <w:tc>
          <w:tcPr>
            <w:tcW w:w="1240" w:type="dxa"/>
            <w:tcBorders>
              <w:top w:val="nil"/>
              <w:left w:val="nil"/>
              <w:bottom w:val="single" w:sz="4"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$12,360</w:t>
            </w:r>
          </w:p>
        </w:tc>
      </w:tr>
      <w:tr w:rsidR="0058307D" w:rsidRPr="0058307D" w:rsidTr="00313FDE">
        <w:trPr>
          <w:trHeight w:val="345"/>
        </w:trPr>
        <w:tc>
          <w:tcPr>
            <w:tcW w:w="4980" w:type="dxa"/>
            <w:tcBorders>
              <w:top w:val="nil"/>
              <w:left w:val="single" w:sz="8" w:space="0" w:color="auto"/>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80.1450</w:t>
            </w:r>
          </w:p>
        </w:tc>
        <w:tc>
          <w:tcPr>
            <w:tcW w:w="142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2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697"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942"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14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8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240" w:type="dxa"/>
            <w:tcBorders>
              <w:top w:val="nil"/>
              <w:left w:val="nil"/>
              <w:bottom w:val="single" w:sz="4"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r>
      <w:tr w:rsidR="0058307D" w:rsidRPr="0058307D" w:rsidTr="00313FDE">
        <w:trPr>
          <w:trHeight w:val="345"/>
        </w:trPr>
        <w:tc>
          <w:tcPr>
            <w:tcW w:w="4980" w:type="dxa"/>
            <w:tcBorders>
              <w:top w:val="nil"/>
              <w:left w:val="single" w:sz="8" w:space="0" w:color="auto"/>
              <w:bottom w:val="single" w:sz="4" w:space="0" w:color="auto"/>
              <w:right w:val="single" w:sz="4" w:space="0" w:color="auto"/>
            </w:tcBorders>
            <w:shd w:val="clear" w:color="auto" w:fill="auto"/>
            <w:noWrap/>
            <w:vAlign w:val="bottom"/>
            <w:hideMark/>
          </w:tcPr>
          <w:p w:rsidR="0058307D" w:rsidRPr="00143988" w:rsidRDefault="00CC00C1" w:rsidP="00CC00C1">
            <w:pPr>
              <w:widowControl/>
              <w:suppressAutoHyphens w:val="0"/>
              <w:autoSpaceDN/>
              <w:ind w:firstLineChars="100" w:firstLine="200"/>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(b)(2) Yearly attest engagements at $206/hour</w:t>
            </w:r>
          </w:p>
        </w:tc>
        <w:tc>
          <w:tcPr>
            <w:tcW w:w="1420"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500</w:t>
            </w:r>
          </w:p>
        </w:tc>
        <w:tc>
          <w:tcPr>
            <w:tcW w:w="1280"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1</w:t>
            </w:r>
          </w:p>
        </w:tc>
        <w:tc>
          <w:tcPr>
            <w:tcW w:w="1697"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500</w:t>
            </w:r>
          </w:p>
        </w:tc>
        <w:tc>
          <w:tcPr>
            <w:tcW w:w="942"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24</w:t>
            </w:r>
          </w:p>
        </w:tc>
        <w:tc>
          <w:tcPr>
            <w:tcW w:w="1140"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$4,944</w:t>
            </w:r>
          </w:p>
        </w:tc>
        <w:tc>
          <w:tcPr>
            <w:tcW w:w="880"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12000</w:t>
            </w:r>
          </w:p>
        </w:tc>
        <w:tc>
          <w:tcPr>
            <w:tcW w:w="1240" w:type="dxa"/>
            <w:tcBorders>
              <w:top w:val="nil"/>
              <w:left w:val="nil"/>
              <w:bottom w:val="single" w:sz="4" w:space="0" w:color="auto"/>
              <w:right w:val="single" w:sz="8"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$2,472,000</w:t>
            </w:r>
          </w:p>
        </w:tc>
      </w:tr>
      <w:tr w:rsidR="0058307D" w:rsidRPr="0058307D" w:rsidTr="00313FDE">
        <w:trPr>
          <w:trHeight w:val="345"/>
        </w:trPr>
        <w:tc>
          <w:tcPr>
            <w:tcW w:w="4980" w:type="dxa"/>
            <w:tcBorders>
              <w:top w:val="nil"/>
              <w:left w:val="single" w:sz="8" w:space="0" w:color="auto"/>
              <w:bottom w:val="single" w:sz="4" w:space="0" w:color="auto"/>
              <w:right w:val="single" w:sz="4" w:space="0" w:color="auto"/>
            </w:tcBorders>
            <w:shd w:val="clear" w:color="auto" w:fill="auto"/>
            <w:noWrap/>
            <w:vAlign w:val="bottom"/>
            <w:hideMark/>
          </w:tcPr>
          <w:p w:rsidR="0058307D" w:rsidRPr="0058307D" w:rsidRDefault="0058307D" w:rsidP="00CC00C1">
            <w:pPr>
              <w:widowControl/>
              <w:suppressAutoHyphens w:val="0"/>
              <w:autoSpaceDN/>
              <w:ind w:firstLineChars="100" w:firstLine="200"/>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xml:space="preserve">(d) </w:t>
            </w:r>
            <w:r w:rsidR="00CC00C1" w:rsidRPr="0058307D">
              <w:rPr>
                <w:rFonts w:ascii="Arial" w:eastAsia="Times New Roman" w:hAnsi="Arial" w:cs="Arial"/>
                <w:kern w:val="0"/>
                <w:sz w:val="20"/>
                <w:szCs w:val="20"/>
                <w:lang w:eastAsia="en-US" w:bidi="ar-SA"/>
              </w:rPr>
              <w:t xml:space="preserve">Registration updates </w:t>
            </w:r>
            <w:r w:rsidRPr="0058307D">
              <w:rPr>
                <w:rFonts w:ascii="Arial" w:eastAsia="Times New Roman" w:hAnsi="Arial" w:cs="Arial"/>
                <w:kern w:val="0"/>
                <w:sz w:val="20"/>
                <w:szCs w:val="20"/>
                <w:lang w:eastAsia="en-US" w:bidi="ar-SA"/>
              </w:rPr>
              <w:t>at $103/hour</w:t>
            </w:r>
          </w:p>
        </w:tc>
        <w:tc>
          <w:tcPr>
            <w:tcW w:w="142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125</w:t>
            </w:r>
          </w:p>
        </w:tc>
        <w:tc>
          <w:tcPr>
            <w:tcW w:w="12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w:t>
            </w:r>
          </w:p>
        </w:tc>
        <w:tc>
          <w:tcPr>
            <w:tcW w:w="1697"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125</w:t>
            </w:r>
          </w:p>
        </w:tc>
        <w:tc>
          <w:tcPr>
            <w:tcW w:w="942"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w:t>
            </w:r>
          </w:p>
        </w:tc>
        <w:tc>
          <w:tcPr>
            <w:tcW w:w="114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$206</w:t>
            </w:r>
          </w:p>
        </w:tc>
        <w:tc>
          <w:tcPr>
            <w:tcW w:w="8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250</w:t>
            </w:r>
          </w:p>
        </w:tc>
        <w:tc>
          <w:tcPr>
            <w:tcW w:w="1240" w:type="dxa"/>
            <w:tcBorders>
              <w:top w:val="nil"/>
              <w:left w:val="nil"/>
              <w:bottom w:val="single" w:sz="4"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$25,750</w:t>
            </w:r>
          </w:p>
        </w:tc>
      </w:tr>
      <w:tr w:rsidR="0058307D" w:rsidRPr="0058307D" w:rsidTr="00313FDE">
        <w:trPr>
          <w:trHeight w:val="345"/>
        </w:trPr>
        <w:tc>
          <w:tcPr>
            <w:tcW w:w="4980" w:type="dxa"/>
            <w:tcBorders>
              <w:top w:val="nil"/>
              <w:left w:val="single" w:sz="8" w:space="0" w:color="auto"/>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New Registrations at $103/hour</w:t>
            </w:r>
          </w:p>
        </w:tc>
        <w:tc>
          <w:tcPr>
            <w:tcW w:w="142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25</w:t>
            </w:r>
          </w:p>
        </w:tc>
        <w:tc>
          <w:tcPr>
            <w:tcW w:w="12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w:t>
            </w:r>
          </w:p>
        </w:tc>
        <w:tc>
          <w:tcPr>
            <w:tcW w:w="1697"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25</w:t>
            </w:r>
          </w:p>
        </w:tc>
        <w:tc>
          <w:tcPr>
            <w:tcW w:w="942"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w:t>
            </w:r>
          </w:p>
        </w:tc>
        <w:tc>
          <w:tcPr>
            <w:tcW w:w="114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$206</w:t>
            </w:r>
          </w:p>
        </w:tc>
        <w:tc>
          <w:tcPr>
            <w:tcW w:w="8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50</w:t>
            </w:r>
          </w:p>
        </w:tc>
        <w:tc>
          <w:tcPr>
            <w:tcW w:w="1240" w:type="dxa"/>
            <w:tcBorders>
              <w:top w:val="nil"/>
              <w:left w:val="nil"/>
              <w:bottom w:val="single" w:sz="4"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$5,150</w:t>
            </w:r>
          </w:p>
        </w:tc>
      </w:tr>
      <w:tr w:rsidR="0058307D" w:rsidRPr="0058307D" w:rsidTr="00313FDE">
        <w:trPr>
          <w:trHeight w:val="345"/>
        </w:trPr>
        <w:tc>
          <w:tcPr>
            <w:tcW w:w="4980" w:type="dxa"/>
            <w:tcBorders>
              <w:top w:val="nil"/>
              <w:left w:val="single" w:sz="8" w:space="0" w:color="auto"/>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New CDX Registrations at $103/hour</w:t>
            </w:r>
          </w:p>
        </w:tc>
        <w:tc>
          <w:tcPr>
            <w:tcW w:w="142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25</w:t>
            </w:r>
          </w:p>
        </w:tc>
        <w:tc>
          <w:tcPr>
            <w:tcW w:w="128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w:t>
            </w:r>
          </w:p>
        </w:tc>
        <w:tc>
          <w:tcPr>
            <w:tcW w:w="1697"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25</w:t>
            </w:r>
          </w:p>
        </w:tc>
        <w:tc>
          <w:tcPr>
            <w:tcW w:w="942"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w:t>
            </w:r>
          </w:p>
        </w:tc>
        <w:tc>
          <w:tcPr>
            <w:tcW w:w="114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$206</w:t>
            </w:r>
          </w:p>
        </w:tc>
        <w:tc>
          <w:tcPr>
            <w:tcW w:w="88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50</w:t>
            </w:r>
          </w:p>
        </w:tc>
        <w:tc>
          <w:tcPr>
            <w:tcW w:w="1240" w:type="dxa"/>
            <w:tcBorders>
              <w:top w:val="nil"/>
              <w:left w:val="nil"/>
              <w:bottom w:val="nil"/>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$5,150</w:t>
            </w:r>
          </w:p>
        </w:tc>
      </w:tr>
      <w:tr w:rsidR="0058307D" w:rsidRPr="0058307D" w:rsidTr="00313FDE">
        <w:trPr>
          <w:trHeight w:val="585"/>
        </w:trPr>
        <w:tc>
          <w:tcPr>
            <w:tcW w:w="498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TOTALS</w:t>
            </w:r>
          </w:p>
        </w:tc>
        <w:tc>
          <w:tcPr>
            <w:tcW w:w="142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690</w:t>
            </w:r>
          </w:p>
        </w:tc>
        <w:tc>
          <w:tcPr>
            <w:tcW w:w="128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 </w:t>
            </w:r>
          </w:p>
        </w:tc>
        <w:tc>
          <w:tcPr>
            <w:tcW w:w="1697"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690</w:t>
            </w:r>
          </w:p>
        </w:tc>
        <w:tc>
          <w:tcPr>
            <w:tcW w:w="942"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 </w:t>
            </w:r>
          </w:p>
        </w:tc>
        <w:tc>
          <w:tcPr>
            <w:tcW w:w="114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 </w:t>
            </w:r>
          </w:p>
        </w:tc>
        <w:tc>
          <w:tcPr>
            <w:tcW w:w="88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9D77A6" w:rsidP="0058307D">
            <w:pPr>
              <w:widowControl/>
              <w:suppressAutoHyphens w:val="0"/>
              <w:autoSpaceDN/>
              <w:jc w:val="center"/>
              <w:textAlignment w:val="auto"/>
              <w:rPr>
                <w:rFonts w:ascii="Arial" w:eastAsia="Times New Roman" w:hAnsi="Arial" w:cs="Arial"/>
                <w:b/>
                <w:bCs/>
                <w:kern w:val="0"/>
                <w:sz w:val="20"/>
                <w:szCs w:val="20"/>
                <w:lang w:eastAsia="en-US" w:bidi="ar-SA"/>
              </w:rPr>
            </w:pPr>
            <w:r>
              <w:rPr>
                <w:rFonts w:ascii="Arial" w:eastAsia="Times New Roman" w:hAnsi="Arial" w:cs="Arial"/>
                <w:b/>
                <w:bCs/>
                <w:kern w:val="0"/>
                <w:sz w:val="20"/>
                <w:szCs w:val="20"/>
                <w:lang w:eastAsia="en-US" w:bidi="ar-SA"/>
              </w:rPr>
              <w:t>1247</w:t>
            </w:r>
            <w:r w:rsidR="0058307D" w:rsidRPr="0058307D">
              <w:rPr>
                <w:rFonts w:ascii="Arial" w:eastAsia="Times New Roman" w:hAnsi="Arial" w:cs="Arial"/>
                <w:b/>
                <w:bCs/>
                <w:kern w:val="0"/>
                <w:sz w:val="20"/>
                <w:szCs w:val="20"/>
                <w:lang w:eastAsia="en-US" w:bidi="ar-SA"/>
              </w:rPr>
              <w:t>0</w:t>
            </w:r>
          </w:p>
        </w:tc>
        <w:tc>
          <w:tcPr>
            <w:tcW w:w="1240" w:type="dxa"/>
            <w:tcBorders>
              <w:top w:val="single" w:sz="4" w:space="0" w:color="auto"/>
              <w:left w:val="nil"/>
              <w:bottom w:val="single" w:sz="8"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$2,5</w:t>
            </w:r>
            <w:r w:rsidR="009D77A6">
              <w:rPr>
                <w:rFonts w:ascii="Arial" w:eastAsia="Times New Roman" w:hAnsi="Arial" w:cs="Arial"/>
                <w:b/>
                <w:bCs/>
                <w:kern w:val="0"/>
                <w:sz w:val="20"/>
                <w:szCs w:val="20"/>
                <w:lang w:eastAsia="en-US" w:bidi="ar-SA"/>
              </w:rPr>
              <w:t>20,410</w:t>
            </w:r>
          </w:p>
        </w:tc>
      </w:tr>
      <w:tr w:rsidR="0058307D" w:rsidRPr="0058307D" w:rsidTr="00313FDE">
        <w:trPr>
          <w:trHeight w:val="255"/>
        </w:trPr>
        <w:tc>
          <w:tcPr>
            <w:tcW w:w="49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42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697"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942"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8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313FDE">
        <w:trPr>
          <w:trHeight w:val="255"/>
        </w:trPr>
        <w:tc>
          <w:tcPr>
            <w:tcW w:w="49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Assumptions:</w:t>
            </w:r>
          </w:p>
        </w:tc>
        <w:tc>
          <w:tcPr>
            <w:tcW w:w="142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697"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942"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8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313FDE">
        <w:trPr>
          <w:trHeight w:val="255"/>
        </w:trPr>
        <w:tc>
          <w:tcPr>
            <w:tcW w:w="4980" w:type="dxa"/>
            <w:tcBorders>
              <w:top w:val="nil"/>
              <w:left w:val="nil"/>
              <w:bottom w:val="nil"/>
              <w:right w:val="nil"/>
            </w:tcBorders>
            <w:shd w:val="clear" w:color="auto" w:fill="auto"/>
            <w:noWrap/>
            <w:vAlign w:val="bottom"/>
            <w:hideMark/>
          </w:tcPr>
          <w:p w:rsidR="0058307D" w:rsidRPr="0058307D" w:rsidRDefault="0058307D" w:rsidP="00CC00C1">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xml:space="preserve">500 registered </w:t>
            </w:r>
            <w:r w:rsidR="00CC00C1">
              <w:rPr>
                <w:rFonts w:ascii="Arial" w:eastAsia="Times New Roman" w:hAnsi="Arial" w:cs="Arial"/>
                <w:kern w:val="0"/>
                <w:sz w:val="20"/>
                <w:szCs w:val="20"/>
                <w:lang w:eastAsia="en-US" w:bidi="ar-SA"/>
              </w:rPr>
              <w:t>renewable fuel producers</w:t>
            </w:r>
          </w:p>
        </w:tc>
        <w:tc>
          <w:tcPr>
            <w:tcW w:w="142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697"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942"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8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313FDE">
        <w:trPr>
          <w:trHeight w:val="255"/>
        </w:trPr>
        <w:tc>
          <w:tcPr>
            <w:tcW w:w="4980" w:type="dxa"/>
            <w:tcBorders>
              <w:top w:val="nil"/>
              <w:left w:val="nil"/>
              <w:bottom w:val="nil"/>
              <w:right w:val="nil"/>
            </w:tcBorders>
            <w:shd w:val="clear" w:color="auto" w:fill="auto"/>
            <w:noWrap/>
            <w:vAlign w:val="bottom"/>
            <w:hideMark/>
          </w:tcPr>
          <w:p w:rsidR="0058307D" w:rsidRPr="0058307D" w:rsidRDefault="0058307D" w:rsidP="00CC00C1">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xml:space="preserve">25% </w:t>
            </w:r>
            <w:r w:rsidR="00CC00C1">
              <w:rPr>
                <w:rFonts w:ascii="Arial" w:eastAsia="Times New Roman" w:hAnsi="Arial" w:cs="Arial"/>
                <w:kern w:val="0"/>
                <w:sz w:val="20"/>
                <w:szCs w:val="20"/>
                <w:lang w:eastAsia="en-US" w:bidi="ar-SA"/>
              </w:rPr>
              <w:t>registration updates and corrections</w:t>
            </w:r>
          </w:p>
        </w:tc>
        <w:tc>
          <w:tcPr>
            <w:tcW w:w="142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697"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942"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8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313FDE">
        <w:trPr>
          <w:trHeight w:val="255"/>
        </w:trPr>
        <w:tc>
          <w:tcPr>
            <w:tcW w:w="6400" w:type="dxa"/>
            <w:gridSpan w:val="2"/>
            <w:tcBorders>
              <w:top w:val="nil"/>
              <w:left w:val="nil"/>
              <w:bottom w:val="nil"/>
              <w:right w:val="nil"/>
            </w:tcBorders>
            <w:shd w:val="clear" w:color="auto" w:fill="auto"/>
            <w:noWrap/>
            <w:vAlign w:val="bottom"/>
            <w:hideMark/>
          </w:tcPr>
          <w:p w:rsidR="0058307D" w:rsidRPr="0058307D" w:rsidRDefault="0058307D" w:rsidP="00CC00C1">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xml:space="preserve">3% </w:t>
            </w:r>
            <w:r w:rsidR="00CC00C1" w:rsidRPr="0058307D">
              <w:rPr>
                <w:rFonts w:ascii="Arial" w:eastAsia="Times New Roman" w:hAnsi="Arial" w:cs="Arial"/>
                <w:kern w:val="0"/>
                <w:sz w:val="20"/>
                <w:szCs w:val="20"/>
                <w:lang w:eastAsia="en-US" w:bidi="ar-SA"/>
              </w:rPr>
              <w:t xml:space="preserve">new pathway petitions </w:t>
            </w:r>
            <w:r w:rsidR="00CC00C1">
              <w:rPr>
                <w:rFonts w:ascii="Arial" w:eastAsia="Times New Roman" w:hAnsi="Arial" w:cs="Arial"/>
                <w:kern w:val="0"/>
                <w:sz w:val="20"/>
                <w:szCs w:val="20"/>
                <w:lang w:eastAsia="en-US" w:bidi="ar-SA"/>
              </w:rPr>
              <w:t>by</w:t>
            </w:r>
            <w:r w:rsidRPr="0058307D">
              <w:rPr>
                <w:rFonts w:ascii="Arial" w:eastAsia="Times New Roman" w:hAnsi="Arial" w:cs="Arial"/>
                <w:kern w:val="0"/>
                <w:sz w:val="20"/>
                <w:szCs w:val="20"/>
                <w:lang w:eastAsia="en-US" w:bidi="ar-SA"/>
              </w:rPr>
              <w:t xml:space="preserve"> producers of renewable fuels</w:t>
            </w:r>
          </w:p>
        </w:tc>
        <w:tc>
          <w:tcPr>
            <w:tcW w:w="12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697"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942"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8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313FDE">
        <w:trPr>
          <w:trHeight w:val="255"/>
        </w:trPr>
        <w:tc>
          <w:tcPr>
            <w:tcW w:w="4980" w:type="dxa"/>
            <w:tcBorders>
              <w:top w:val="nil"/>
              <w:left w:val="nil"/>
              <w:bottom w:val="nil"/>
              <w:right w:val="nil"/>
            </w:tcBorders>
            <w:shd w:val="clear" w:color="auto" w:fill="auto"/>
            <w:noWrap/>
            <w:vAlign w:val="bottom"/>
            <w:hideMark/>
          </w:tcPr>
          <w:p w:rsidR="0058307D" w:rsidRPr="0058307D" w:rsidRDefault="0058307D" w:rsidP="00CC00C1">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xml:space="preserve">5% new </w:t>
            </w:r>
            <w:r w:rsidR="00CC00C1" w:rsidRPr="0058307D">
              <w:rPr>
                <w:rFonts w:ascii="Arial" w:eastAsia="Times New Roman" w:hAnsi="Arial" w:cs="Arial"/>
                <w:kern w:val="0"/>
                <w:sz w:val="20"/>
                <w:szCs w:val="20"/>
                <w:lang w:eastAsia="en-US" w:bidi="ar-SA"/>
              </w:rPr>
              <w:t xml:space="preserve">renewable fuels producers </w:t>
            </w:r>
            <w:r w:rsidRPr="0058307D">
              <w:rPr>
                <w:rFonts w:ascii="Arial" w:eastAsia="Times New Roman" w:hAnsi="Arial" w:cs="Arial"/>
                <w:kern w:val="0"/>
                <w:sz w:val="20"/>
                <w:szCs w:val="20"/>
                <w:lang w:eastAsia="en-US" w:bidi="ar-SA"/>
              </w:rPr>
              <w:t>registrations</w:t>
            </w:r>
          </w:p>
        </w:tc>
        <w:tc>
          <w:tcPr>
            <w:tcW w:w="142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697"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942"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8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CC00C1" w:rsidRPr="0058307D" w:rsidTr="00313FDE">
        <w:trPr>
          <w:trHeight w:val="255"/>
        </w:trPr>
        <w:tc>
          <w:tcPr>
            <w:tcW w:w="7680" w:type="dxa"/>
            <w:gridSpan w:val="3"/>
            <w:tcBorders>
              <w:top w:val="nil"/>
              <w:left w:val="nil"/>
              <w:bottom w:val="nil"/>
              <w:right w:val="nil"/>
            </w:tcBorders>
            <w:shd w:val="clear" w:color="auto" w:fill="auto"/>
            <w:noWrap/>
            <w:vAlign w:val="bottom"/>
            <w:hideMark/>
          </w:tcPr>
          <w:p w:rsidR="00CC00C1" w:rsidRPr="0058307D" w:rsidRDefault="00CC00C1" w:rsidP="008E509B">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5% new CDX registrations</w:t>
            </w:r>
            <w:r>
              <w:rPr>
                <w:rFonts w:ascii="Arial" w:eastAsia="Times New Roman" w:hAnsi="Arial" w:cs="Arial"/>
                <w:kern w:val="0"/>
                <w:sz w:val="20"/>
                <w:szCs w:val="20"/>
                <w:lang w:eastAsia="en-US" w:bidi="ar-SA"/>
              </w:rPr>
              <w:t xml:space="preserve"> </w:t>
            </w:r>
            <w:r w:rsidR="008E509B">
              <w:rPr>
                <w:rFonts w:ascii="Arial" w:eastAsia="Times New Roman" w:hAnsi="Arial" w:cs="Arial"/>
                <w:kern w:val="0"/>
                <w:sz w:val="20"/>
                <w:szCs w:val="20"/>
                <w:lang w:eastAsia="en-US" w:bidi="ar-SA"/>
              </w:rPr>
              <w:t>by</w:t>
            </w:r>
            <w:r>
              <w:rPr>
                <w:rFonts w:ascii="Arial" w:eastAsia="Times New Roman" w:hAnsi="Arial" w:cs="Arial"/>
                <w:kern w:val="0"/>
                <w:sz w:val="20"/>
                <w:szCs w:val="20"/>
                <w:lang w:eastAsia="en-US" w:bidi="ar-SA"/>
              </w:rPr>
              <w:t xml:space="preserve"> renewable fuel producers</w:t>
            </w:r>
          </w:p>
        </w:tc>
        <w:tc>
          <w:tcPr>
            <w:tcW w:w="1697" w:type="dxa"/>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p>
        </w:tc>
        <w:tc>
          <w:tcPr>
            <w:tcW w:w="942" w:type="dxa"/>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p>
        </w:tc>
        <w:tc>
          <w:tcPr>
            <w:tcW w:w="1140" w:type="dxa"/>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p>
        </w:tc>
        <w:tc>
          <w:tcPr>
            <w:tcW w:w="880" w:type="dxa"/>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p>
        </w:tc>
        <w:tc>
          <w:tcPr>
            <w:tcW w:w="1240" w:type="dxa"/>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p>
        </w:tc>
      </w:tr>
    </w:tbl>
    <w:p w:rsidR="008F3583" w:rsidRDefault="008F3583">
      <w:pPr>
        <w:suppressAutoHyphens w:val="0"/>
      </w:pPr>
    </w:p>
    <w:p w:rsidR="00B92436" w:rsidRDefault="008F3583">
      <w:pPr>
        <w:suppressAutoHyphens w:val="0"/>
        <w:rPr>
          <w:rFonts w:asciiTheme="majorHAnsi" w:eastAsiaTheme="majorEastAsia" w:hAnsiTheme="majorHAnsi"/>
          <w:b/>
          <w:bCs/>
          <w:color w:val="365F91" w:themeColor="accent1" w:themeShade="BF"/>
          <w:sz w:val="28"/>
          <w:szCs w:val="25"/>
        </w:rPr>
      </w:pPr>
      <w:r>
        <w:br w:type="page"/>
      </w:r>
    </w:p>
    <w:p w:rsidR="00FE500B" w:rsidRDefault="00FE500B">
      <w:pPr>
        <w:suppressAutoHyphens w:val="0"/>
        <w:rPr>
          <w:rFonts w:asciiTheme="majorHAnsi" w:eastAsiaTheme="majorEastAsia" w:hAnsiTheme="majorHAnsi"/>
          <w:b/>
          <w:bCs/>
          <w:color w:val="365F91" w:themeColor="accent1" w:themeShade="BF"/>
          <w:sz w:val="28"/>
          <w:szCs w:val="25"/>
        </w:rPr>
      </w:pPr>
    </w:p>
    <w:tbl>
      <w:tblPr>
        <w:tblW w:w="12660" w:type="dxa"/>
        <w:tblInd w:w="91" w:type="dxa"/>
        <w:tblLook w:val="04A0"/>
      </w:tblPr>
      <w:tblGrid>
        <w:gridCol w:w="3640"/>
        <w:gridCol w:w="1500"/>
        <w:gridCol w:w="1260"/>
        <w:gridCol w:w="1480"/>
        <w:gridCol w:w="1200"/>
        <w:gridCol w:w="1200"/>
        <w:gridCol w:w="1200"/>
        <w:gridCol w:w="1180"/>
      </w:tblGrid>
      <w:tr w:rsidR="0058307D" w:rsidRPr="0058307D" w:rsidTr="0058307D">
        <w:trPr>
          <w:trHeight w:val="315"/>
        </w:trPr>
        <w:tc>
          <w:tcPr>
            <w:tcW w:w="12660" w:type="dxa"/>
            <w:gridSpan w:val="8"/>
            <w:tcBorders>
              <w:top w:val="single" w:sz="8" w:space="0" w:color="auto"/>
              <w:left w:val="single" w:sz="8" w:space="0" w:color="auto"/>
              <w:bottom w:val="nil"/>
              <w:right w:val="single" w:sz="8" w:space="0" w:color="000000"/>
            </w:tcBorders>
            <w:shd w:val="clear" w:color="auto" w:fill="auto"/>
            <w:noWrap/>
            <w:vAlign w:val="bottom"/>
            <w:hideMark/>
          </w:tcPr>
          <w:p w:rsidR="0058307D" w:rsidRPr="0058307D" w:rsidRDefault="00FE500B" w:rsidP="0058307D">
            <w:pPr>
              <w:widowControl/>
              <w:suppressAutoHyphens w:val="0"/>
              <w:autoSpaceDN/>
              <w:jc w:val="center"/>
              <w:textAlignment w:val="auto"/>
              <w:rPr>
                <w:rFonts w:ascii="Arial" w:eastAsia="Times New Roman" w:hAnsi="Arial" w:cs="Arial"/>
                <w:b/>
                <w:bCs/>
                <w:kern w:val="0"/>
                <w:sz w:val="20"/>
                <w:szCs w:val="20"/>
                <w:lang w:eastAsia="en-US" w:bidi="ar-SA"/>
              </w:rPr>
            </w:pPr>
            <w:r>
              <w:br w:type="page"/>
            </w:r>
            <w:r w:rsidR="0058307D" w:rsidRPr="0058307D">
              <w:rPr>
                <w:rFonts w:ascii="Arial" w:eastAsia="Times New Roman" w:hAnsi="Arial" w:cs="Arial"/>
                <w:b/>
                <w:bCs/>
                <w:kern w:val="0"/>
                <w:sz w:val="20"/>
                <w:szCs w:val="20"/>
                <w:lang w:eastAsia="en-US" w:bidi="ar-SA"/>
              </w:rPr>
              <w:t>Information Collection Burden by Type of Party</w:t>
            </w:r>
          </w:p>
        </w:tc>
      </w:tr>
      <w:tr w:rsidR="0058307D" w:rsidRPr="0058307D" w:rsidTr="0058307D">
        <w:trPr>
          <w:trHeight w:val="315"/>
        </w:trPr>
        <w:tc>
          <w:tcPr>
            <w:tcW w:w="12660" w:type="dxa"/>
            <w:gridSpan w:val="8"/>
            <w:tcBorders>
              <w:top w:val="nil"/>
              <w:left w:val="single" w:sz="8" w:space="0" w:color="auto"/>
              <w:bottom w:val="single" w:sz="8" w:space="0" w:color="auto"/>
              <w:right w:val="single" w:sz="8" w:space="0" w:color="000000"/>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i/>
                <w:iCs/>
                <w:kern w:val="0"/>
                <w:sz w:val="20"/>
                <w:szCs w:val="20"/>
                <w:lang w:eastAsia="en-US" w:bidi="ar-SA"/>
              </w:rPr>
            </w:pPr>
            <w:r w:rsidRPr="0058307D">
              <w:rPr>
                <w:rFonts w:ascii="Arial" w:eastAsia="Times New Roman" w:hAnsi="Arial" w:cs="Arial"/>
                <w:i/>
                <w:iCs/>
                <w:kern w:val="0"/>
                <w:sz w:val="20"/>
                <w:szCs w:val="20"/>
                <w:lang w:eastAsia="en-US" w:bidi="ar-SA"/>
              </w:rPr>
              <w:t>Table II:  Importers of Renewable Fuels</w:t>
            </w:r>
          </w:p>
        </w:tc>
      </w:tr>
      <w:tr w:rsidR="0058307D" w:rsidRPr="0058307D" w:rsidTr="0058307D">
        <w:trPr>
          <w:trHeight w:val="960"/>
        </w:trPr>
        <w:tc>
          <w:tcPr>
            <w:tcW w:w="3640" w:type="dxa"/>
            <w:tcBorders>
              <w:top w:val="nil"/>
              <w:left w:val="single" w:sz="8" w:space="0" w:color="auto"/>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Collection Activity</w:t>
            </w:r>
          </w:p>
        </w:tc>
        <w:tc>
          <w:tcPr>
            <w:tcW w:w="150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Number of Respondents</w:t>
            </w:r>
          </w:p>
        </w:tc>
        <w:tc>
          <w:tcPr>
            <w:tcW w:w="126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Number of Responses per Party</w:t>
            </w:r>
          </w:p>
        </w:tc>
        <w:tc>
          <w:tcPr>
            <w:tcW w:w="148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Total Number of Responses</w:t>
            </w:r>
          </w:p>
        </w:tc>
        <w:tc>
          <w:tcPr>
            <w:tcW w:w="120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Time per Response (hours)</w:t>
            </w:r>
          </w:p>
        </w:tc>
        <w:tc>
          <w:tcPr>
            <w:tcW w:w="120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Cost per Response (dollars)</w:t>
            </w:r>
          </w:p>
        </w:tc>
        <w:tc>
          <w:tcPr>
            <w:tcW w:w="120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Total Hours</w:t>
            </w:r>
          </w:p>
        </w:tc>
        <w:tc>
          <w:tcPr>
            <w:tcW w:w="1180" w:type="dxa"/>
            <w:tcBorders>
              <w:top w:val="nil"/>
              <w:left w:val="nil"/>
              <w:bottom w:val="single" w:sz="8" w:space="0" w:color="auto"/>
              <w:right w:val="single" w:sz="8"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Total Cost (dollars)</w:t>
            </w:r>
          </w:p>
        </w:tc>
      </w:tr>
      <w:tr w:rsidR="0058307D" w:rsidRPr="0058307D" w:rsidTr="0058307D">
        <w:trPr>
          <w:trHeight w:val="315"/>
        </w:trPr>
        <w:tc>
          <w:tcPr>
            <w:tcW w:w="36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80.1450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180" w:type="dxa"/>
            <w:tcBorders>
              <w:top w:val="single" w:sz="4" w:space="0" w:color="auto"/>
              <w:left w:val="nil"/>
              <w:bottom w:val="single" w:sz="4"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r>
      <w:tr w:rsidR="0058307D" w:rsidRPr="0058307D" w:rsidTr="00CC00C1">
        <w:trPr>
          <w:trHeight w:val="575"/>
        </w:trPr>
        <w:tc>
          <w:tcPr>
            <w:tcW w:w="3640" w:type="dxa"/>
            <w:tcBorders>
              <w:top w:val="nil"/>
              <w:left w:val="single" w:sz="8" w:space="0" w:color="auto"/>
              <w:bottom w:val="single" w:sz="4" w:space="0" w:color="auto"/>
              <w:right w:val="single" w:sz="4" w:space="0" w:color="auto"/>
            </w:tcBorders>
            <w:shd w:val="clear" w:color="auto" w:fill="auto"/>
            <w:vAlign w:val="bottom"/>
            <w:hideMark/>
          </w:tcPr>
          <w:p w:rsidR="0058307D" w:rsidRPr="0058307D" w:rsidRDefault="0058307D" w:rsidP="0058307D">
            <w:pPr>
              <w:widowControl/>
              <w:suppressAutoHyphens w:val="0"/>
              <w:autoSpaceDN/>
              <w:ind w:firstLineChars="100" w:firstLine="200"/>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(b)(1) New Registration at $103/hour</w:t>
            </w:r>
          </w:p>
        </w:tc>
        <w:tc>
          <w:tcPr>
            <w:tcW w:w="150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4</w:t>
            </w:r>
          </w:p>
        </w:tc>
        <w:tc>
          <w:tcPr>
            <w:tcW w:w="126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w:t>
            </w:r>
          </w:p>
        </w:tc>
        <w:tc>
          <w:tcPr>
            <w:tcW w:w="14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4</w:t>
            </w:r>
          </w:p>
        </w:tc>
        <w:tc>
          <w:tcPr>
            <w:tcW w:w="120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w:t>
            </w:r>
          </w:p>
        </w:tc>
        <w:tc>
          <w:tcPr>
            <w:tcW w:w="120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$824</w:t>
            </w:r>
          </w:p>
        </w:tc>
        <w:tc>
          <w:tcPr>
            <w:tcW w:w="120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32</w:t>
            </w:r>
          </w:p>
        </w:tc>
        <w:tc>
          <w:tcPr>
            <w:tcW w:w="1180" w:type="dxa"/>
            <w:tcBorders>
              <w:top w:val="nil"/>
              <w:left w:val="nil"/>
              <w:bottom w:val="single" w:sz="4"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$3,296</w:t>
            </w:r>
          </w:p>
        </w:tc>
      </w:tr>
      <w:tr w:rsidR="0058307D" w:rsidRPr="00143988" w:rsidTr="0058307D">
        <w:trPr>
          <w:trHeight w:val="630"/>
        </w:trPr>
        <w:tc>
          <w:tcPr>
            <w:tcW w:w="3640" w:type="dxa"/>
            <w:tcBorders>
              <w:top w:val="nil"/>
              <w:left w:val="single" w:sz="8" w:space="0" w:color="auto"/>
              <w:bottom w:val="single" w:sz="4" w:space="0" w:color="auto"/>
              <w:right w:val="single" w:sz="4" w:space="0" w:color="auto"/>
            </w:tcBorders>
            <w:shd w:val="clear" w:color="auto" w:fill="auto"/>
            <w:vAlign w:val="bottom"/>
            <w:hideMark/>
          </w:tcPr>
          <w:p w:rsidR="0058307D" w:rsidRPr="00143988" w:rsidRDefault="0058307D" w:rsidP="0058307D">
            <w:pPr>
              <w:widowControl/>
              <w:suppressAutoHyphens w:val="0"/>
              <w:autoSpaceDN/>
              <w:ind w:firstLineChars="100" w:firstLine="200"/>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(b)(2) Yearly Attest Engagement at $206/hour</w:t>
            </w:r>
          </w:p>
        </w:tc>
        <w:tc>
          <w:tcPr>
            <w:tcW w:w="1500"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75</w:t>
            </w:r>
          </w:p>
        </w:tc>
        <w:tc>
          <w:tcPr>
            <w:tcW w:w="1260"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1</w:t>
            </w:r>
          </w:p>
        </w:tc>
        <w:tc>
          <w:tcPr>
            <w:tcW w:w="1480"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75</w:t>
            </w:r>
          </w:p>
        </w:tc>
        <w:tc>
          <w:tcPr>
            <w:tcW w:w="1200"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24</w:t>
            </w:r>
          </w:p>
        </w:tc>
        <w:tc>
          <w:tcPr>
            <w:tcW w:w="1200"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$4,944</w:t>
            </w:r>
          </w:p>
        </w:tc>
        <w:tc>
          <w:tcPr>
            <w:tcW w:w="1200" w:type="dxa"/>
            <w:tcBorders>
              <w:top w:val="nil"/>
              <w:left w:val="nil"/>
              <w:bottom w:val="single" w:sz="4" w:space="0" w:color="auto"/>
              <w:right w:val="single" w:sz="4"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1800</w:t>
            </w:r>
          </w:p>
        </w:tc>
        <w:tc>
          <w:tcPr>
            <w:tcW w:w="1180" w:type="dxa"/>
            <w:tcBorders>
              <w:top w:val="nil"/>
              <w:left w:val="nil"/>
              <w:bottom w:val="single" w:sz="4" w:space="0" w:color="auto"/>
              <w:right w:val="single" w:sz="8" w:space="0" w:color="auto"/>
            </w:tcBorders>
            <w:shd w:val="clear" w:color="auto" w:fill="auto"/>
            <w:noWrap/>
            <w:vAlign w:val="bottom"/>
            <w:hideMark/>
          </w:tcPr>
          <w:p w:rsidR="0058307D" w:rsidRPr="00143988"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143988">
              <w:rPr>
                <w:rFonts w:ascii="Arial" w:eastAsia="Times New Roman" w:hAnsi="Arial" w:cs="Arial"/>
                <w:kern w:val="0"/>
                <w:sz w:val="20"/>
                <w:szCs w:val="20"/>
                <w:lang w:eastAsia="en-US" w:bidi="ar-SA"/>
              </w:rPr>
              <w:t>$370,800</w:t>
            </w:r>
          </w:p>
        </w:tc>
      </w:tr>
      <w:tr w:rsidR="0058307D" w:rsidRPr="0058307D" w:rsidTr="0058307D">
        <w:trPr>
          <w:trHeight w:val="630"/>
        </w:trPr>
        <w:tc>
          <w:tcPr>
            <w:tcW w:w="3640" w:type="dxa"/>
            <w:tcBorders>
              <w:top w:val="nil"/>
              <w:left w:val="single" w:sz="8" w:space="0" w:color="auto"/>
              <w:bottom w:val="single" w:sz="4" w:space="0" w:color="auto"/>
              <w:right w:val="single" w:sz="4" w:space="0" w:color="auto"/>
            </w:tcBorders>
            <w:shd w:val="clear" w:color="auto" w:fill="auto"/>
            <w:vAlign w:val="bottom"/>
            <w:hideMark/>
          </w:tcPr>
          <w:p w:rsidR="0058307D" w:rsidRPr="0058307D" w:rsidRDefault="0058307D" w:rsidP="0058307D">
            <w:pPr>
              <w:widowControl/>
              <w:suppressAutoHyphens w:val="0"/>
              <w:autoSpaceDN/>
              <w:ind w:firstLineChars="100" w:firstLine="200"/>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(d) Registration update and Corre</w:t>
            </w:r>
            <w:r w:rsidRPr="0058307D">
              <w:rPr>
                <w:rFonts w:ascii="Arial" w:eastAsia="Times New Roman" w:hAnsi="Arial" w:cs="Arial"/>
                <w:kern w:val="0"/>
                <w:sz w:val="20"/>
                <w:szCs w:val="20"/>
                <w:lang w:eastAsia="en-US" w:bidi="ar-SA"/>
              </w:rPr>
              <w:t>c</w:t>
            </w:r>
            <w:r w:rsidRPr="0058307D">
              <w:rPr>
                <w:rFonts w:ascii="Arial" w:eastAsia="Times New Roman" w:hAnsi="Arial" w:cs="Arial"/>
                <w:kern w:val="0"/>
                <w:sz w:val="20"/>
                <w:szCs w:val="20"/>
                <w:lang w:eastAsia="en-US" w:bidi="ar-SA"/>
              </w:rPr>
              <w:t>tions at $103/hour</w:t>
            </w:r>
          </w:p>
        </w:tc>
        <w:tc>
          <w:tcPr>
            <w:tcW w:w="150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19</w:t>
            </w:r>
          </w:p>
        </w:tc>
        <w:tc>
          <w:tcPr>
            <w:tcW w:w="126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w:t>
            </w:r>
          </w:p>
        </w:tc>
        <w:tc>
          <w:tcPr>
            <w:tcW w:w="14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19</w:t>
            </w:r>
          </w:p>
        </w:tc>
        <w:tc>
          <w:tcPr>
            <w:tcW w:w="120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w:t>
            </w:r>
          </w:p>
        </w:tc>
        <w:tc>
          <w:tcPr>
            <w:tcW w:w="120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$206</w:t>
            </w:r>
          </w:p>
        </w:tc>
        <w:tc>
          <w:tcPr>
            <w:tcW w:w="120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38</w:t>
            </w:r>
          </w:p>
        </w:tc>
        <w:tc>
          <w:tcPr>
            <w:tcW w:w="1180" w:type="dxa"/>
            <w:tcBorders>
              <w:top w:val="nil"/>
              <w:left w:val="nil"/>
              <w:bottom w:val="single" w:sz="4"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$3,914</w:t>
            </w:r>
          </w:p>
        </w:tc>
      </w:tr>
      <w:tr w:rsidR="0058307D" w:rsidRPr="0058307D" w:rsidTr="0058307D">
        <w:trPr>
          <w:trHeight w:val="315"/>
        </w:trPr>
        <w:tc>
          <w:tcPr>
            <w:tcW w:w="3640" w:type="dxa"/>
            <w:tcBorders>
              <w:top w:val="nil"/>
              <w:left w:val="single" w:sz="8" w:space="0" w:color="auto"/>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New CDX Registration at $103/hour</w:t>
            </w:r>
          </w:p>
        </w:tc>
        <w:tc>
          <w:tcPr>
            <w:tcW w:w="150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4</w:t>
            </w:r>
          </w:p>
        </w:tc>
        <w:tc>
          <w:tcPr>
            <w:tcW w:w="126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w:t>
            </w:r>
          </w:p>
        </w:tc>
        <w:tc>
          <w:tcPr>
            <w:tcW w:w="148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4</w:t>
            </w:r>
          </w:p>
        </w:tc>
        <w:tc>
          <w:tcPr>
            <w:tcW w:w="120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w:t>
            </w:r>
          </w:p>
        </w:tc>
        <w:tc>
          <w:tcPr>
            <w:tcW w:w="120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$206</w:t>
            </w:r>
          </w:p>
        </w:tc>
        <w:tc>
          <w:tcPr>
            <w:tcW w:w="120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w:t>
            </w:r>
          </w:p>
        </w:tc>
        <w:tc>
          <w:tcPr>
            <w:tcW w:w="1180" w:type="dxa"/>
            <w:tcBorders>
              <w:top w:val="nil"/>
              <w:left w:val="nil"/>
              <w:bottom w:val="nil"/>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$824</w:t>
            </w:r>
          </w:p>
        </w:tc>
      </w:tr>
      <w:tr w:rsidR="0058307D" w:rsidRPr="0058307D" w:rsidTr="0058307D">
        <w:trPr>
          <w:trHeight w:val="510"/>
        </w:trPr>
        <w:tc>
          <w:tcPr>
            <w:tcW w:w="364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TOTALS</w:t>
            </w:r>
          </w:p>
        </w:tc>
        <w:tc>
          <w:tcPr>
            <w:tcW w:w="150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102</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 </w:t>
            </w:r>
          </w:p>
        </w:tc>
        <w:tc>
          <w:tcPr>
            <w:tcW w:w="148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102</w:t>
            </w:r>
          </w:p>
        </w:tc>
        <w:tc>
          <w:tcPr>
            <w:tcW w:w="120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 </w:t>
            </w:r>
          </w:p>
        </w:tc>
        <w:tc>
          <w:tcPr>
            <w:tcW w:w="120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 </w:t>
            </w:r>
          </w:p>
        </w:tc>
        <w:tc>
          <w:tcPr>
            <w:tcW w:w="120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1878</w:t>
            </w:r>
          </w:p>
        </w:tc>
        <w:tc>
          <w:tcPr>
            <w:tcW w:w="1180" w:type="dxa"/>
            <w:tcBorders>
              <w:top w:val="single" w:sz="4" w:space="0" w:color="auto"/>
              <w:left w:val="nil"/>
              <w:bottom w:val="single" w:sz="8"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$378,834</w:t>
            </w:r>
          </w:p>
        </w:tc>
      </w:tr>
      <w:tr w:rsidR="0058307D" w:rsidRPr="0058307D" w:rsidTr="0058307D">
        <w:trPr>
          <w:trHeight w:val="255"/>
        </w:trPr>
        <w:tc>
          <w:tcPr>
            <w:tcW w:w="36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5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4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58307D">
        <w:trPr>
          <w:trHeight w:val="255"/>
        </w:trPr>
        <w:tc>
          <w:tcPr>
            <w:tcW w:w="36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Assumptions:</w:t>
            </w:r>
          </w:p>
        </w:tc>
        <w:tc>
          <w:tcPr>
            <w:tcW w:w="15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4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CC00C1" w:rsidRPr="0058307D" w:rsidTr="00B15ED8">
        <w:trPr>
          <w:trHeight w:val="255"/>
        </w:trPr>
        <w:tc>
          <w:tcPr>
            <w:tcW w:w="5140" w:type="dxa"/>
            <w:gridSpan w:val="2"/>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75</w:t>
            </w:r>
            <w:r>
              <w:rPr>
                <w:rFonts w:ascii="Arial" w:eastAsia="Times New Roman" w:hAnsi="Arial" w:cs="Arial"/>
                <w:kern w:val="0"/>
                <w:sz w:val="20"/>
                <w:szCs w:val="20"/>
                <w:lang w:eastAsia="en-US" w:bidi="ar-SA"/>
              </w:rPr>
              <w:t xml:space="preserve"> registered</w:t>
            </w:r>
            <w:r w:rsidRPr="0058307D">
              <w:rPr>
                <w:rFonts w:ascii="Arial" w:eastAsia="Times New Roman" w:hAnsi="Arial" w:cs="Arial"/>
                <w:kern w:val="0"/>
                <w:sz w:val="20"/>
                <w:szCs w:val="20"/>
                <w:lang w:eastAsia="en-US" w:bidi="ar-SA"/>
              </w:rPr>
              <w:t xml:space="preserve"> importers of renewable fuel</w:t>
            </w:r>
          </w:p>
        </w:tc>
        <w:tc>
          <w:tcPr>
            <w:tcW w:w="1260" w:type="dxa"/>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p>
        </w:tc>
        <w:tc>
          <w:tcPr>
            <w:tcW w:w="1480" w:type="dxa"/>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CC00C1" w:rsidRPr="0058307D" w:rsidRDefault="00CC00C1"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58307D">
        <w:trPr>
          <w:trHeight w:val="255"/>
        </w:trPr>
        <w:tc>
          <w:tcPr>
            <w:tcW w:w="5140" w:type="dxa"/>
            <w:gridSpan w:val="2"/>
            <w:tcBorders>
              <w:top w:val="nil"/>
              <w:left w:val="nil"/>
              <w:bottom w:val="nil"/>
              <w:right w:val="nil"/>
            </w:tcBorders>
            <w:shd w:val="clear" w:color="auto" w:fill="auto"/>
            <w:noWrap/>
            <w:vAlign w:val="bottom"/>
            <w:hideMark/>
          </w:tcPr>
          <w:p w:rsidR="0058307D" w:rsidRPr="0058307D" w:rsidRDefault="0058307D" w:rsidP="008E509B">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xml:space="preserve">25% </w:t>
            </w:r>
            <w:r w:rsidR="00CC00C1" w:rsidRPr="0058307D">
              <w:rPr>
                <w:rFonts w:ascii="Arial" w:eastAsia="Times New Roman" w:hAnsi="Arial" w:cs="Arial"/>
                <w:kern w:val="0"/>
                <w:sz w:val="20"/>
                <w:szCs w:val="20"/>
                <w:lang w:eastAsia="en-US" w:bidi="ar-SA"/>
              </w:rPr>
              <w:t xml:space="preserve">registration </w:t>
            </w:r>
            <w:r w:rsidR="008E509B" w:rsidRPr="0058307D">
              <w:rPr>
                <w:rFonts w:ascii="Arial" w:eastAsia="Times New Roman" w:hAnsi="Arial" w:cs="Arial"/>
                <w:kern w:val="0"/>
                <w:sz w:val="20"/>
                <w:szCs w:val="20"/>
                <w:lang w:eastAsia="en-US" w:bidi="ar-SA"/>
              </w:rPr>
              <w:t xml:space="preserve">updates and </w:t>
            </w:r>
            <w:r w:rsidRPr="0058307D">
              <w:rPr>
                <w:rFonts w:ascii="Arial" w:eastAsia="Times New Roman" w:hAnsi="Arial" w:cs="Arial"/>
                <w:kern w:val="0"/>
                <w:sz w:val="20"/>
                <w:szCs w:val="20"/>
                <w:lang w:eastAsia="en-US" w:bidi="ar-SA"/>
              </w:rPr>
              <w:t xml:space="preserve">corrections </w:t>
            </w:r>
          </w:p>
        </w:tc>
        <w:tc>
          <w:tcPr>
            <w:tcW w:w="12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4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58307D">
        <w:trPr>
          <w:trHeight w:val="255"/>
        </w:trPr>
        <w:tc>
          <w:tcPr>
            <w:tcW w:w="5140" w:type="dxa"/>
            <w:gridSpan w:val="2"/>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5% new registrations for importers of renewable fuels</w:t>
            </w:r>
          </w:p>
        </w:tc>
        <w:tc>
          <w:tcPr>
            <w:tcW w:w="12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4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58307D">
        <w:trPr>
          <w:trHeight w:val="255"/>
        </w:trPr>
        <w:tc>
          <w:tcPr>
            <w:tcW w:w="6400" w:type="dxa"/>
            <w:gridSpan w:val="3"/>
            <w:tcBorders>
              <w:top w:val="nil"/>
              <w:left w:val="nil"/>
              <w:bottom w:val="nil"/>
              <w:right w:val="nil"/>
            </w:tcBorders>
            <w:shd w:val="clear" w:color="auto" w:fill="auto"/>
            <w:noWrap/>
            <w:vAlign w:val="bottom"/>
            <w:hideMark/>
          </w:tcPr>
          <w:p w:rsidR="0058307D" w:rsidRPr="0058307D" w:rsidRDefault="0058307D" w:rsidP="008E509B">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xml:space="preserve">5% new </w:t>
            </w:r>
            <w:r w:rsidR="00CC00C1">
              <w:rPr>
                <w:rFonts w:ascii="Arial" w:eastAsia="Times New Roman" w:hAnsi="Arial" w:cs="Arial"/>
                <w:kern w:val="0"/>
                <w:sz w:val="20"/>
                <w:szCs w:val="20"/>
                <w:lang w:eastAsia="en-US" w:bidi="ar-SA"/>
              </w:rPr>
              <w:t xml:space="preserve">CDX </w:t>
            </w:r>
            <w:r w:rsidRPr="0058307D">
              <w:rPr>
                <w:rFonts w:ascii="Arial" w:eastAsia="Times New Roman" w:hAnsi="Arial" w:cs="Arial"/>
                <w:kern w:val="0"/>
                <w:sz w:val="20"/>
                <w:szCs w:val="20"/>
                <w:lang w:eastAsia="en-US" w:bidi="ar-SA"/>
              </w:rPr>
              <w:t xml:space="preserve">registrations </w:t>
            </w:r>
            <w:r w:rsidR="008E509B">
              <w:rPr>
                <w:rFonts w:ascii="Arial" w:eastAsia="Times New Roman" w:hAnsi="Arial" w:cs="Arial"/>
                <w:kern w:val="0"/>
                <w:sz w:val="20"/>
                <w:szCs w:val="20"/>
                <w:lang w:eastAsia="en-US" w:bidi="ar-SA"/>
              </w:rPr>
              <w:t>by</w:t>
            </w:r>
            <w:r w:rsidRPr="0058307D">
              <w:rPr>
                <w:rFonts w:ascii="Arial" w:eastAsia="Times New Roman" w:hAnsi="Arial" w:cs="Arial"/>
                <w:kern w:val="0"/>
                <w:sz w:val="20"/>
                <w:szCs w:val="20"/>
                <w:lang w:eastAsia="en-US" w:bidi="ar-SA"/>
              </w:rPr>
              <w:t xml:space="preserve"> importers of renewable fuels</w:t>
            </w:r>
          </w:p>
        </w:tc>
        <w:tc>
          <w:tcPr>
            <w:tcW w:w="14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bl>
    <w:p w:rsidR="00FE500B" w:rsidRDefault="00FE500B">
      <w:pPr>
        <w:suppressAutoHyphens w:val="0"/>
        <w:rPr>
          <w:rFonts w:asciiTheme="majorHAnsi" w:eastAsiaTheme="majorEastAsia" w:hAnsiTheme="majorHAnsi"/>
          <w:b/>
          <w:bCs/>
          <w:color w:val="365F91" w:themeColor="accent1" w:themeShade="BF"/>
          <w:sz w:val="28"/>
          <w:szCs w:val="25"/>
        </w:rPr>
      </w:pPr>
    </w:p>
    <w:p w:rsidR="00C93423" w:rsidRDefault="00C93423" w:rsidP="00FE500B">
      <w:pPr>
        <w:pStyle w:val="Heading1"/>
      </w:pPr>
    </w:p>
    <w:p w:rsidR="008F3583" w:rsidRDefault="008F3583">
      <w:pPr>
        <w:suppressAutoHyphens w:val="0"/>
      </w:pPr>
    </w:p>
    <w:p w:rsidR="008F3583" w:rsidRDefault="008F3583">
      <w:pPr>
        <w:suppressAutoHyphens w:val="0"/>
      </w:pPr>
    </w:p>
    <w:p w:rsidR="0058307D" w:rsidRDefault="008F3583">
      <w:pPr>
        <w:suppressAutoHyphens w:val="0"/>
      </w:pPr>
      <w:r>
        <w:br w:type="page"/>
      </w:r>
    </w:p>
    <w:tbl>
      <w:tblPr>
        <w:tblW w:w="12940" w:type="dxa"/>
        <w:tblInd w:w="91" w:type="dxa"/>
        <w:tblLook w:val="04A0"/>
      </w:tblPr>
      <w:tblGrid>
        <w:gridCol w:w="4200"/>
        <w:gridCol w:w="1395"/>
        <w:gridCol w:w="1300"/>
        <w:gridCol w:w="1440"/>
        <w:gridCol w:w="1180"/>
        <w:gridCol w:w="1260"/>
        <w:gridCol w:w="1020"/>
        <w:gridCol w:w="1180"/>
      </w:tblGrid>
      <w:tr w:rsidR="0058307D" w:rsidRPr="0058307D" w:rsidTr="0058307D">
        <w:trPr>
          <w:trHeight w:val="255"/>
        </w:trPr>
        <w:tc>
          <w:tcPr>
            <w:tcW w:w="12940" w:type="dxa"/>
            <w:gridSpan w:val="8"/>
            <w:tcBorders>
              <w:top w:val="single" w:sz="8" w:space="0" w:color="auto"/>
              <w:left w:val="single" w:sz="8" w:space="0" w:color="auto"/>
              <w:bottom w:val="nil"/>
              <w:right w:val="single" w:sz="8" w:space="0" w:color="000000"/>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lastRenderedPageBreak/>
              <w:t>Information Collection Burden by Type of Party</w:t>
            </w:r>
          </w:p>
        </w:tc>
      </w:tr>
      <w:tr w:rsidR="0058307D" w:rsidRPr="0058307D" w:rsidTr="0058307D">
        <w:trPr>
          <w:trHeight w:val="270"/>
        </w:trPr>
        <w:tc>
          <w:tcPr>
            <w:tcW w:w="12940" w:type="dxa"/>
            <w:gridSpan w:val="8"/>
            <w:tcBorders>
              <w:top w:val="nil"/>
              <w:left w:val="single" w:sz="8" w:space="0" w:color="auto"/>
              <w:bottom w:val="single" w:sz="8" w:space="0" w:color="auto"/>
              <w:right w:val="single" w:sz="8" w:space="0" w:color="000000"/>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i/>
                <w:iCs/>
                <w:kern w:val="0"/>
                <w:sz w:val="20"/>
                <w:szCs w:val="20"/>
                <w:lang w:eastAsia="en-US" w:bidi="ar-SA"/>
              </w:rPr>
            </w:pPr>
            <w:r w:rsidRPr="0058307D">
              <w:rPr>
                <w:rFonts w:ascii="Arial" w:eastAsia="Times New Roman" w:hAnsi="Arial" w:cs="Arial"/>
                <w:i/>
                <w:iCs/>
                <w:kern w:val="0"/>
                <w:sz w:val="20"/>
                <w:szCs w:val="20"/>
                <w:lang w:eastAsia="en-US" w:bidi="ar-SA"/>
              </w:rPr>
              <w:t>Table III - "Obligated Parties" (Including Refiners and Exporters or Renewable Fuels)</w:t>
            </w:r>
          </w:p>
        </w:tc>
      </w:tr>
      <w:tr w:rsidR="0058307D" w:rsidRPr="0058307D" w:rsidTr="0058307D">
        <w:trPr>
          <w:trHeight w:val="1665"/>
        </w:trPr>
        <w:tc>
          <w:tcPr>
            <w:tcW w:w="4200" w:type="dxa"/>
            <w:tcBorders>
              <w:top w:val="nil"/>
              <w:left w:val="single" w:sz="8" w:space="0" w:color="auto"/>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Collection Activity</w:t>
            </w:r>
          </w:p>
        </w:tc>
        <w:tc>
          <w:tcPr>
            <w:tcW w:w="136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Number of Respondents</w:t>
            </w:r>
          </w:p>
        </w:tc>
        <w:tc>
          <w:tcPr>
            <w:tcW w:w="130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Number of Responses per Party</w:t>
            </w:r>
          </w:p>
        </w:tc>
        <w:tc>
          <w:tcPr>
            <w:tcW w:w="144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Total Number of Responses</w:t>
            </w:r>
          </w:p>
        </w:tc>
        <w:tc>
          <w:tcPr>
            <w:tcW w:w="118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Time per Response (hours)</w:t>
            </w:r>
          </w:p>
        </w:tc>
        <w:tc>
          <w:tcPr>
            <w:tcW w:w="126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Cost per Response (dollars)</w:t>
            </w:r>
          </w:p>
        </w:tc>
        <w:tc>
          <w:tcPr>
            <w:tcW w:w="1020" w:type="dxa"/>
            <w:tcBorders>
              <w:top w:val="nil"/>
              <w:left w:val="nil"/>
              <w:bottom w:val="single" w:sz="8" w:space="0" w:color="auto"/>
              <w:right w:val="single" w:sz="4"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Total Hours</w:t>
            </w:r>
          </w:p>
        </w:tc>
        <w:tc>
          <w:tcPr>
            <w:tcW w:w="1180" w:type="dxa"/>
            <w:tcBorders>
              <w:top w:val="nil"/>
              <w:left w:val="nil"/>
              <w:bottom w:val="single" w:sz="8" w:space="0" w:color="auto"/>
              <w:right w:val="single" w:sz="8" w:space="0" w:color="auto"/>
            </w:tcBorders>
            <w:shd w:val="clear" w:color="auto" w:fill="auto"/>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Total Cost (dollars)</w:t>
            </w:r>
          </w:p>
        </w:tc>
      </w:tr>
      <w:tr w:rsidR="0058307D" w:rsidRPr="0058307D" w:rsidTr="0058307D">
        <w:trPr>
          <w:trHeight w:val="405"/>
        </w:trPr>
        <w:tc>
          <w:tcPr>
            <w:tcW w:w="420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80.1450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c>
          <w:tcPr>
            <w:tcW w:w="1180" w:type="dxa"/>
            <w:tcBorders>
              <w:top w:val="single" w:sz="4" w:space="0" w:color="auto"/>
              <w:left w:val="nil"/>
              <w:bottom w:val="single" w:sz="4"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w:t>
            </w:r>
          </w:p>
        </w:tc>
      </w:tr>
      <w:tr w:rsidR="0058307D" w:rsidRPr="0058307D" w:rsidTr="0058307D">
        <w:trPr>
          <w:trHeight w:val="435"/>
        </w:trPr>
        <w:tc>
          <w:tcPr>
            <w:tcW w:w="4200" w:type="dxa"/>
            <w:tcBorders>
              <w:top w:val="nil"/>
              <w:left w:val="single" w:sz="8" w:space="0" w:color="auto"/>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ind w:firstLineChars="100" w:firstLine="200"/>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(a) New registrations at $103/hour</w:t>
            </w:r>
          </w:p>
        </w:tc>
        <w:tc>
          <w:tcPr>
            <w:tcW w:w="136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w:t>
            </w:r>
          </w:p>
        </w:tc>
        <w:tc>
          <w:tcPr>
            <w:tcW w:w="130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w:t>
            </w:r>
          </w:p>
        </w:tc>
        <w:tc>
          <w:tcPr>
            <w:tcW w:w="144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w:t>
            </w:r>
          </w:p>
        </w:tc>
        <w:tc>
          <w:tcPr>
            <w:tcW w:w="118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w:t>
            </w:r>
          </w:p>
        </w:tc>
        <w:tc>
          <w:tcPr>
            <w:tcW w:w="126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$824</w:t>
            </w:r>
          </w:p>
        </w:tc>
        <w:tc>
          <w:tcPr>
            <w:tcW w:w="102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64</w:t>
            </w:r>
          </w:p>
        </w:tc>
        <w:tc>
          <w:tcPr>
            <w:tcW w:w="1180" w:type="dxa"/>
            <w:tcBorders>
              <w:top w:val="nil"/>
              <w:left w:val="nil"/>
              <w:bottom w:val="single" w:sz="4" w:space="0" w:color="auto"/>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$6,592</w:t>
            </w:r>
          </w:p>
        </w:tc>
      </w:tr>
      <w:tr w:rsidR="0058307D" w:rsidRPr="0058307D" w:rsidTr="0058307D">
        <w:trPr>
          <w:trHeight w:val="615"/>
        </w:trPr>
        <w:tc>
          <w:tcPr>
            <w:tcW w:w="4200" w:type="dxa"/>
            <w:tcBorders>
              <w:top w:val="nil"/>
              <w:left w:val="single" w:sz="8" w:space="0" w:color="auto"/>
              <w:bottom w:val="single" w:sz="4" w:space="0" w:color="auto"/>
              <w:right w:val="single" w:sz="4" w:space="0" w:color="auto"/>
            </w:tcBorders>
            <w:shd w:val="clear" w:color="auto" w:fill="auto"/>
            <w:vAlign w:val="bottom"/>
            <w:hideMark/>
          </w:tcPr>
          <w:p w:rsidR="0058307D" w:rsidRPr="0058307D" w:rsidRDefault="0058307D" w:rsidP="0058307D">
            <w:pPr>
              <w:widowControl/>
              <w:suppressAutoHyphens w:val="0"/>
              <w:autoSpaceDN/>
              <w:ind w:firstLineChars="100" w:firstLine="200"/>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(d) registration updates and corrections at $103/hour</w:t>
            </w:r>
          </w:p>
        </w:tc>
        <w:tc>
          <w:tcPr>
            <w:tcW w:w="136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38</w:t>
            </w:r>
          </w:p>
        </w:tc>
        <w:tc>
          <w:tcPr>
            <w:tcW w:w="130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w:t>
            </w:r>
          </w:p>
        </w:tc>
        <w:tc>
          <w:tcPr>
            <w:tcW w:w="144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38</w:t>
            </w:r>
          </w:p>
        </w:tc>
        <w:tc>
          <w:tcPr>
            <w:tcW w:w="1180" w:type="dxa"/>
            <w:tcBorders>
              <w:top w:val="nil"/>
              <w:left w:val="nil"/>
              <w:bottom w:val="single" w:sz="4" w:space="0" w:color="auto"/>
              <w:right w:val="single" w:sz="4" w:space="0" w:color="auto"/>
            </w:tcBorders>
            <w:shd w:val="clear" w:color="auto" w:fill="auto"/>
            <w:noWrap/>
            <w:vAlign w:val="bottom"/>
            <w:hideMark/>
          </w:tcPr>
          <w:p w:rsidR="0058307D" w:rsidRPr="0058307D" w:rsidRDefault="007C3517" w:rsidP="007C3517">
            <w:pPr>
              <w:widowControl/>
              <w:suppressAutoHyphens w:val="0"/>
              <w:autoSpaceDN/>
              <w:jc w:val="center"/>
              <w:textAlignment w:val="auto"/>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2</w:t>
            </w:r>
          </w:p>
        </w:tc>
        <w:tc>
          <w:tcPr>
            <w:tcW w:w="1260" w:type="dxa"/>
            <w:tcBorders>
              <w:top w:val="nil"/>
              <w:left w:val="nil"/>
              <w:bottom w:val="single" w:sz="4" w:space="0" w:color="auto"/>
              <w:right w:val="single" w:sz="4" w:space="0" w:color="auto"/>
            </w:tcBorders>
            <w:shd w:val="clear" w:color="auto" w:fill="auto"/>
            <w:noWrap/>
            <w:vAlign w:val="bottom"/>
            <w:hideMark/>
          </w:tcPr>
          <w:p w:rsidR="0058307D" w:rsidRPr="0058307D" w:rsidRDefault="0058307D" w:rsidP="007C3517">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w:t>
            </w:r>
            <w:r w:rsidR="007C3517">
              <w:rPr>
                <w:rFonts w:ascii="Arial" w:eastAsia="Times New Roman" w:hAnsi="Arial" w:cs="Arial"/>
                <w:kern w:val="0"/>
                <w:sz w:val="20"/>
                <w:szCs w:val="20"/>
                <w:lang w:eastAsia="en-US" w:bidi="ar-SA"/>
              </w:rPr>
              <w:t>206</w:t>
            </w:r>
          </w:p>
        </w:tc>
        <w:tc>
          <w:tcPr>
            <w:tcW w:w="1020" w:type="dxa"/>
            <w:tcBorders>
              <w:top w:val="nil"/>
              <w:left w:val="nil"/>
              <w:bottom w:val="single" w:sz="4" w:space="0" w:color="auto"/>
              <w:right w:val="single" w:sz="4" w:space="0" w:color="auto"/>
            </w:tcBorders>
            <w:shd w:val="clear" w:color="auto" w:fill="auto"/>
            <w:noWrap/>
            <w:vAlign w:val="bottom"/>
            <w:hideMark/>
          </w:tcPr>
          <w:p w:rsidR="0058307D" w:rsidRPr="0058307D" w:rsidRDefault="007C3517" w:rsidP="0058307D">
            <w:pPr>
              <w:widowControl/>
              <w:suppressAutoHyphens w:val="0"/>
              <w:autoSpaceDN/>
              <w:jc w:val="center"/>
              <w:textAlignment w:val="auto"/>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76</w:t>
            </w:r>
          </w:p>
        </w:tc>
        <w:tc>
          <w:tcPr>
            <w:tcW w:w="1180" w:type="dxa"/>
            <w:tcBorders>
              <w:top w:val="nil"/>
              <w:left w:val="nil"/>
              <w:bottom w:val="single" w:sz="4" w:space="0" w:color="auto"/>
              <w:right w:val="single" w:sz="8" w:space="0" w:color="auto"/>
            </w:tcBorders>
            <w:shd w:val="clear" w:color="auto" w:fill="auto"/>
            <w:noWrap/>
            <w:vAlign w:val="bottom"/>
            <w:hideMark/>
          </w:tcPr>
          <w:p w:rsidR="0058307D" w:rsidRPr="0058307D" w:rsidRDefault="0058307D" w:rsidP="007C3517">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w:t>
            </w:r>
            <w:r w:rsidR="007C3517">
              <w:rPr>
                <w:rFonts w:ascii="Arial" w:eastAsia="Times New Roman" w:hAnsi="Arial" w:cs="Arial"/>
                <w:kern w:val="0"/>
                <w:sz w:val="20"/>
                <w:szCs w:val="20"/>
                <w:lang w:eastAsia="en-US" w:bidi="ar-SA"/>
              </w:rPr>
              <w:t>7</w:t>
            </w:r>
            <w:r w:rsidRPr="0058307D">
              <w:rPr>
                <w:rFonts w:ascii="Arial" w:eastAsia="Times New Roman" w:hAnsi="Arial" w:cs="Arial"/>
                <w:kern w:val="0"/>
                <w:sz w:val="20"/>
                <w:szCs w:val="20"/>
                <w:lang w:eastAsia="en-US" w:bidi="ar-SA"/>
              </w:rPr>
              <w:t>,</w:t>
            </w:r>
            <w:r w:rsidR="007C3517">
              <w:rPr>
                <w:rFonts w:ascii="Arial" w:eastAsia="Times New Roman" w:hAnsi="Arial" w:cs="Arial"/>
                <w:kern w:val="0"/>
                <w:sz w:val="20"/>
                <w:szCs w:val="20"/>
                <w:lang w:eastAsia="en-US" w:bidi="ar-SA"/>
              </w:rPr>
              <w:t>828</w:t>
            </w:r>
          </w:p>
        </w:tc>
      </w:tr>
      <w:tr w:rsidR="0058307D" w:rsidRPr="0058307D" w:rsidTr="0058307D">
        <w:trPr>
          <w:trHeight w:val="390"/>
        </w:trPr>
        <w:tc>
          <w:tcPr>
            <w:tcW w:w="4200" w:type="dxa"/>
            <w:tcBorders>
              <w:top w:val="nil"/>
              <w:left w:val="single" w:sz="8" w:space="0" w:color="auto"/>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New CDX Registrations at $103/hour</w:t>
            </w:r>
          </w:p>
        </w:tc>
        <w:tc>
          <w:tcPr>
            <w:tcW w:w="136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15</w:t>
            </w:r>
          </w:p>
        </w:tc>
        <w:tc>
          <w:tcPr>
            <w:tcW w:w="130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w:t>
            </w:r>
          </w:p>
        </w:tc>
        <w:tc>
          <w:tcPr>
            <w:tcW w:w="144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15</w:t>
            </w:r>
          </w:p>
        </w:tc>
        <w:tc>
          <w:tcPr>
            <w:tcW w:w="118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w:t>
            </w:r>
          </w:p>
        </w:tc>
        <w:tc>
          <w:tcPr>
            <w:tcW w:w="126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$206</w:t>
            </w:r>
          </w:p>
        </w:tc>
        <w:tc>
          <w:tcPr>
            <w:tcW w:w="1020" w:type="dxa"/>
            <w:tcBorders>
              <w:top w:val="nil"/>
              <w:left w:val="nil"/>
              <w:bottom w:val="nil"/>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30</w:t>
            </w:r>
          </w:p>
        </w:tc>
        <w:tc>
          <w:tcPr>
            <w:tcW w:w="1180" w:type="dxa"/>
            <w:tcBorders>
              <w:top w:val="nil"/>
              <w:left w:val="nil"/>
              <w:bottom w:val="nil"/>
              <w:right w:val="single" w:sz="8"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$3,090</w:t>
            </w:r>
          </w:p>
        </w:tc>
      </w:tr>
      <w:tr w:rsidR="0058307D" w:rsidRPr="0058307D" w:rsidTr="0058307D">
        <w:trPr>
          <w:trHeight w:val="495"/>
        </w:trPr>
        <w:tc>
          <w:tcPr>
            <w:tcW w:w="42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TOTALS</w:t>
            </w:r>
          </w:p>
        </w:tc>
        <w:tc>
          <w:tcPr>
            <w:tcW w:w="136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61</w:t>
            </w:r>
          </w:p>
        </w:tc>
        <w:tc>
          <w:tcPr>
            <w:tcW w:w="130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 </w:t>
            </w:r>
          </w:p>
        </w:tc>
        <w:tc>
          <w:tcPr>
            <w:tcW w:w="144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61</w:t>
            </w:r>
          </w:p>
        </w:tc>
        <w:tc>
          <w:tcPr>
            <w:tcW w:w="118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 </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58307D" w:rsidP="0058307D">
            <w:pPr>
              <w:widowControl/>
              <w:suppressAutoHyphens w:val="0"/>
              <w:autoSpaceDN/>
              <w:jc w:val="center"/>
              <w:textAlignment w:val="auto"/>
              <w:rPr>
                <w:rFonts w:ascii="Arial" w:eastAsia="Times New Roman" w:hAnsi="Arial" w:cs="Arial"/>
                <w:b/>
                <w:bCs/>
                <w:kern w:val="0"/>
                <w:sz w:val="20"/>
                <w:szCs w:val="20"/>
                <w:lang w:eastAsia="en-US" w:bidi="ar-SA"/>
              </w:rPr>
            </w:pPr>
            <w:r w:rsidRPr="0058307D">
              <w:rPr>
                <w:rFonts w:ascii="Arial" w:eastAsia="Times New Roman" w:hAnsi="Arial" w:cs="Arial"/>
                <w:b/>
                <w:bCs/>
                <w:kern w:val="0"/>
                <w:sz w:val="20"/>
                <w:szCs w:val="20"/>
                <w:lang w:eastAsia="en-US" w:bidi="ar-SA"/>
              </w:rPr>
              <w:t> </w:t>
            </w:r>
          </w:p>
        </w:tc>
        <w:tc>
          <w:tcPr>
            <w:tcW w:w="1020" w:type="dxa"/>
            <w:tcBorders>
              <w:top w:val="single" w:sz="4" w:space="0" w:color="auto"/>
              <w:left w:val="nil"/>
              <w:bottom w:val="single" w:sz="8" w:space="0" w:color="auto"/>
              <w:right w:val="single" w:sz="4" w:space="0" w:color="auto"/>
            </w:tcBorders>
            <w:shd w:val="clear" w:color="auto" w:fill="auto"/>
            <w:noWrap/>
            <w:vAlign w:val="bottom"/>
            <w:hideMark/>
          </w:tcPr>
          <w:p w:rsidR="0058307D" w:rsidRPr="0058307D" w:rsidRDefault="00956424" w:rsidP="00956424">
            <w:pPr>
              <w:widowControl/>
              <w:suppressAutoHyphens w:val="0"/>
              <w:autoSpaceDN/>
              <w:jc w:val="center"/>
              <w:textAlignment w:val="auto"/>
              <w:rPr>
                <w:rFonts w:ascii="Arial" w:eastAsia="Times New Roman" w:hAnsi="Arial" w:cs="Arial"/>
                <w:b/>
                <w:bCs/>
                <w:kern w:val="0"/>
                <w:sz w:val="20"/>
                <w:szCs w:val="20"/>
                <w:lang w:eastAsia="en-US" w:bidi="ar-SA"/>
              </w:rPr>
            </w:pPr>
            <w:r>
              <w:rPr>
                <w:rFonts w:ascii="Arial" w:eastAsia="Times New Roman" w:hAnsi="Arial" w:cs="Arial"/>
                <w:b/>
                <w:bCs/>
                <w:kern w:val="0"/>
                <w:sz w:val="20"/>
                <w:szCs w:val="20"/>
                <w:lang w:eastAsia="en-US" w:bidi="ar-SA"/>
              </w:rPr>
              <w:t>170</w:t>
            </w:r>
          </w:p>
        </w:tc>
        <w:tc>
          <w:tcPr>
            <w:tcW w:w="1180" w:type="dxa"/>
            <w:tcBorders>
              <w:top w:val="single" w:sz="4" w:space="0" w:color="auto"/>
              <w:left w:val="nil"/>
              <w:bottom w:val="single" w:sz="8" w:space="0" w:color="auto"/>
              <w:right w:val="single" w:sz="8" w:space="0" w:color="auto"/>
            </w:tcBorders>
            <w:shd w:val="clear" w:color="auto" w:fill="auto"/>
            <w:noWrap/>
            <w:vAlign w:val="bottom"/>
            <w:hideMark/>
          </w:tcPr>
          <w:p w:rsidR="0058307D" w:rsidRPr="0058307D" w:rsidRDefault="007C3517" w:rsidP="0058307D">
            <w:pPr>
              <w:widowControl/>
              <w:suppressAutoHyphens w:val="0"/>
              <w:autoSpaceDN/>
              <w:jc w:val="center"/>
              <w:textAlignment w:val="auto"/>
              <w:rPr>
                <w:rFonts w:ascii="Arial" w:eastAsia="Times New Roman" w:hAnsi="Arial" w:cs="Arial"/>
                <w:b/>
                <w:bCs/>
                <w:kern w:val="0"/>
                <w:sz w:val="20"/>
                <w:szCs w:val="20"/>
                <w:lang w:eastAsia="en-US" w:bidi="ar-SA"/>
              </w:rPr>
            </w:pPr>
            <w:r>
              <w:rPr>
                <w:rFonts w:ascii="Arial" w:eastAsia="Times New Roman" w:hAnsi="Arial" w:cs="Arial"/>
                <w:b/>
                <w:bCs/>
                <w:kern w:val="0"/>
                <w:sz w:val="20"/>
                <w:szCs w:val="20"/>
                <w:lang w:eastAsia="en-US" w:bidi="ar-SA"/>
              </w:rPr>
              <w:t>17,510</w:t>
            </w:r>
          </w:p>
        </w:tc>
      </w:tr>
      <w:tr w:rsidR="0058307D" w:rsidRPr="0058307D" w:rsidTr="0058307D">
        <w:trPr>
          <w:trHeight w:val="255"/>
        </w:trPr>
        <w:tc>
          <w:tcPr>
            <w:tcW w:w="4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3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3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4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02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58307D">
        <w:trPr>
          <w:trHeight w:val="255"/>
        </w:trPr>
        <w:tc>
          <w:tcPr>
            <w:tcW w:w="42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Assumptions:</w:t>
            </w:r>
          </w:p>
        </w:tc>
        <w:tc>
          <w:tcPr>
            <w:tcW w:w="13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3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4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02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58307D">
        <w:trPr>
          <w:trHeight w:val="255"/>
        </w:trPr>
        <w:tc>
          <w:tcPr>
            <w:tcW w:w="5560" w:type="dxa"/>
            <w:gridSpan w:val="2"/>
            <w:tcBorders>
              <w:top w:val="nil"/>
              <w:left w:val="nil"/>
              <w:bottom w:val="nil"/>
              <w:right w:val="nil"/>
            </w:tcBorders>
            <w:shd w:val="clear" w:color="auto" w:fill="auto"/>
            <w:noWrap/>
            <w:vAlign w:val="bottom"/>
            <w:hideMark/>
          </w:tcPr>
          <w:p w:rsidR="0058307D" w:rsidRPr="0058307D" w:rsidRDefault="0058307D" w:rsidP="008E509B">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xml:space="preserve">150 companies registered </w:t>
            </w:r>
            <w:r w:rsidR="00CC00C1">
              <w:rPr>
                <w:rFonts w:ascii="Arial" w:eastAsia="Times New Roman" w:hAnsi="Arial" w:cs="Arial"/>
                <w:kern w:val="0"/>
                <w:sz w:val="20"/>
                <w:szCs w:val="20"/>
                <w:lang w:eastAsia="en-US" w:bidi="ar-SA"/>
              </w:rPr>
              <w:t xml:space="preserve">as </w:t>
            </w:r>
            <w:r w:rsidR="008E509B">
              <w:rPr>
                <w:rFonts w:ascii="Arial" w:eastAsia="Times New Roman" w:hAnsi="Arial" w:cs="Arial"/>
                <w:kern w:val="0"/>
                <w:sz w:val="20"/>
                <w:szCs w:val="20"/>
                <w:lang w:eastAsia="en-US" w:bidi="ar-SA"/>
              </w:rPr>
              <w:t>o</w:t>
            </w:r>
            <w:r w:rsidRPr="0058307D">
              <w:rPr>
                <w:rFonts w:ascii="Arial" w:eastAsia="Times New Roman" w:hAnsi="Arial" w:cs="Arial"/>
                <w:kern w:val="0"/>
                <w:sz w:val="20"/>
                <w:szCs w:val="20"/>
                <w:lang w:eastAsia="en-US" w:bidi="ar-SA"/>
              </w:rPr>
              <w:t xml:space="preserve">bligated </w:t>
            </w:r>
            <w:r w:rsidR="008E509B">
              <w:rPr>
                <w:rFonts w:ascii="Arial" w:eastAsia="Times New Roman" w:hAnsi="Arial" w:cs="Arial"/>
                <w:kern w:val="0"/>
                <w:sz w:val="20"/>
                <w:szCs w:val="20"/>
                <w:lang w:eastAsia="en-US" w:bidi="ar-SA"/>
              </w:rPr>
              <w:t>p</w:t>
            </w:r>
            <w:r w:rsidRPr="0058307D">
              <w:rPr>
                <w:rFonts w:ascii="Arial" w:eastAsia="Times New Roman" w:hAnsi="Arial" w:cs="Arial"/>
                <w:kern w:val="0"/>
                <w:sz w:val="20"/>
                <w:szCs w:val="20"/>
                <w:lang w:eastAsia="en-US" w:bidi="ar-SA"/>
              </w:rPr>
              <w:t>art</w:t>
            </w:r>
            <w:r w:rsidR="00CC00C1">
              <w:rPr>
                <w:rFonts w:ascii="Arial" w:eastAsia="Times New Roman" w:hAnsi="Arial" w:cs="Arial"/>
                <w:kern w:val="0"/>
                <w:sz w:val="20"/>
                <w:szCs w:val="20"/>
                <w:lang w:eastAsia="en-US" w:bidi="ar-SA"/>
              </w:rPr>
              <w:t>ies</w:t>
            </w:r>
          </w:p>
        </w:tc>
        <w:tc>
          <w:tcPr>
            <w:tcW w:w="13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4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02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58307D">
        <w:trPr>
          <w:trHeight w:val="255"/>
        </w:trPr>
        <w:tc>
          <w:tcPr>
            <w:tcW w:w="6860" w:type="dxa"/>
            <w:gridSpan w:val="3"/>
            <w:tcBorders>
              <w:top w:val="nil"/>
              <w:left w:val="nil"/>
              <w:bottom w:val="nil"/>
              <w:right w:val="nil"/>
            </w:tcBorders>
            <w:shd w:val="clear" w:color="auto" w:fill="auto"/>
            <w:noWrap/>
            <w:vAlign w:val="bottom"/>
            <w:hideMark/>
          </w:tcPr>
          <w:p w:rsidR="0058307D" w:rsidRPr="0058307D" w:rsidRDefault="00CC00C1" w:rsidP="008E509B">
            <w:pPr>
              <w:widowControl/>
              <w:suppressAutoHyphens w:val="0"/>
              <w:autoSpaceDN/>
              <w:textAlignment w:val="auto"/>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 xml:space="preserve">25% </w:t>
            </w:r>
            <w:r w:rsidR="008E509B">
              <w:rPr>
                <w:rFonts w:ascii="Arial" w:eastAsia="Times New Roman" w:hAnsi="Arial" w:cs="Arial"/>
                <w:kern w:val="0"/>
                <w:sz w:val="20"/>
                <w:szCs w:val="20"/>
                <w:lang w:eastAsia="en-US" w:bidi="ar-SA"/>
              </w:rPr>
              <w:t xml:space="preserve">registration </w:t>
            </w:r>
            <w:r w:rsidR="0058307D" w:rsidRPr="0058307D">
              <w:rPr>
                <w:rFonts w:ascii="Arial" w:eastAsia="Times New Roman" w:hAnsi="Arial" w:cs="Arial"/>
                <w:kern w:val="0"/>
                <w:sz w:val="20"/>
                <w:szCs w:val="20"/>
                <w:lang w:eastAsia="en-US" w:bidi="ar-SA"/>
              </w:rPr>
              <w:t>updates and corrections</w:t>
            </w:r>
          </w:p>
        </w:tc>
        <w:tc>
          <w:tcPr>
            <w:tcW w:w="14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02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58307D">
        <w:trPr>
          <w:trHeight w:val="255"/>
        </w:trPr>
        <w:tc>
          <w:tcPr>
            <w:tcW w:w="5560" w:type="dxa"/>
            <w:gridSpan w:val="2"/>
            <w:tcBorders>
              <w:top w:val="nil"/>
              <w:left w:val="nil"/>
              <w:bottom w:val="nil"/>
              <w:right w:val="nil"/>
            </w:tcBorders>
            <w:shd w:val="clear" w:color="auto" w:fill="auto"/>
            <w:noWrap/>
            <w:vAlign w:val="bottom"/>
            <w:hideMark/>
          </w:tcPr>
          <w:p w:rsidR="0058307D" w:rsidRPr="0058307D" w:rsidRDefault="0058307D" w:rsidP="008E509B">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xml:space="preserve">5% new </w:t>
            </w:r>
            <w:r w:rsidR="008E509B">
              <w:rPr>
                <w:rFonts w:ascii="Arial" w:eastAsia="Times New Roman" w:hAnsi="Arial" w:cs="Arial"/>
                <w:kern w:val="0"/>
                <w:sz w:val="20"/>
                <w:szCs w:val="20"/>
                <w:lang w:eastAsia="en-US" w:bidi="ar-SA"/>
              </w:rPr>
              <w:t xml:space="preserve">obligated party </w:t>
            </w:r>
            <w:r w:rsidRPr="0058307D">
              <w:rPr>
                <w:rFonts w:ascii="Arial" w:eastAsia="Times New Roman" w:hAnsi="Arial" w:cs="Arial"/>
                <w:kern w:val="0"/>
                <w:sz w:val="20"/>
                <w:szCs w:val="20"/>
                <w:lang w:eastAsia="en-US" w:bidi="ar-SA"/>
              </w:rPr>
              <w:t xml:space="preserve">registrations </w:t>
            </w:r>
          </w:p>
        </w:tc>
        <w:tc>
          <w:tcPr>
            <w:tcW w:w="13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4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02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r w:rsidR="0058307D" w:rsidRPr="0058307D" w:rsidTr="0058307D">
        <w:trPr>
          <w:trHeight w:val="255"/>
        </w:trPr>
        <w:tc>
          <w:tcPr>
            <w:tcW w:w="5560" w:type="dxa"/>
            <w:gridSpan w:val="2"/>
            <w:tcBorders>
              <w:top w:val="nil"/>
              <w:left w:val="nil"/>
              <w:bottom w:val="nil"/>
              <w:right w:val="nil"/>
            </w:tcBorders>
            <w:shd w:val="clear" w:color="auto" w:fill="auto"/>
            <w:noWrap/>
            <w:vAlign w:val="bottom"/>
            <w:hideMark/>
          </w:tcPr>
          <w:p w:rsidR="0058307D" w:rsidRPr="0058307D" w:rsidRDefault="0058307D" w:rsidP="008E509B">
            <w:pPr>
              <w:widowControl/>
              <w:suppressAutoHyphens w:val="0"/>
              <w:autoSpaceDN/>
              <w:textAlignment w:val="auto"/>
              <w:rPr>
                <w:rFonts w:ascii="Arial" w:eastAsia="Times New Roman" w:hAnsi="Arial" w:cs="Arial"/>
                <w:kern w:val="0"/>
                <w:sz w:val="20"/>
                <w:szCs w:val="20"/>
                <w:lang w:eastAsia="en-US" w:bidi="ar-SA"/>
              </w:rPr>
            </w:pPr>
            <w:r w:rsidRPr="0058307D">
              <w:rPr>
                <w:rFonts w:ascii="Arial" w:eastAsia="Times New Roman" w:hAnsi="Arial" w:cs="Arial"/>
                <w:kern w:val="0"/>
                <w:sz w:val="20"/>
                <w:szCs w:val="20"/>
                <w:lang w:eastAsia="en-US" w:bidi="ar-SA"/>
              </w:rPr>
              <w:t xml:space="preserve">10% new </w:t>
            </w:r>
            <w:r w:rsidR="008E509B" w:rsidRPr="0058307D">
              <w:rPr>
                <w:rFonts w:ascii="Arial" w:eastAsia="Times New Roman" w:hAnsi="Arial" w:cs="Arial"/>
                <w:kern w:val="0"/>
                <w:sz w:val="20"/>
                <w:szCs w:val="20"/>
                <w:lang w:eastAsia="en-US" w:bidi="ar-SA"/>
              </w:rPr>
              <w:t xml:space="preserve">CDX </w:t>
            </w:r>
            <w:r w:rsidRPr="0058307D">
              <w:rPr>
                <w:rFonts w:ascii="Arial" w:eastAsia="Times New Roman" w:hAnsi="Arial" w:cs="Arial"/>
                <w:kern w:val="0"/>
                <w:sz w:val="20"/>
                <w:szCs w:val="20"/>
                <w:lang w:eastAsia="en-US" w:bidi="ar-SA"/>
              </w:rPr>
              <w:t>registrations by obligated part</w:t>
            </w:r>
            <w:r w:rsidR="00CC00C1">
              <w:rPr>
                <w:rFonts w:ascii="Arial" w:eastAsia="Times New Roman" w:hAnsi="Arial" w:cs="Arial"/>
                <w:kern w:val="0"/>
                <w:sz w:val="20"/>
                <w:szCs w:val="20"/>
                <w:lang w:eastAsia="en-US" w:bidi="ar-SA"/>
              </w:rPr>
              <w:t>ies</w:t>
            </w:r>
          </w:p>
        </w:tc>
        <w:tc>
          <w:tcPr>
            <w:tcW w:w="130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44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02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58307D" w:rsidRPr="0058307D" w:rsidRDefault="0058307D" w:rsidP="0058307D">
            <w:pPr>
              <w:widowControl/>
              <w:suppressAutoHyphens w:val="0"/>
              <w:autoSpaceDN/>
              <w:textAlignment w:val="auto"/>
              <w:rPr>
                <w:rFonts w:ascii="Arial" w:eastAsia="Times New Roman" w:hAnsi="Arial" w:cs="Arial"/>
                <w:kern w:val="0"/>
                <w:sz w:val="20"/>
                <w:szCs w:val="20"/>
                <w:lang w:eastAsia="en-US" w:bidi="ar-SA"/>
              </w:rPr>
            </w:pPr>
          </w:p>
        </w:tc>
      </w:tr>
    </w:tbl>
    <w:p w:rsidR="0058307D" w:rsidRDefault="0058307D">
      <w:pPr>
        <w:suppressAutoHyphens w:val="0"/>
      </w:pPr>
      <w:r>
        <w:br w:type="page"/>
      </w:r>
    </w:p>
    <w:tbl>
      <w:tblPr>
        <w:tblW w:w="12617" w:type="dxa"/>
        <w:tblInd w:w="91" w:type="dxa"/>
        <w:tblLook w:val="04A0"/>
      </w:tblPr>
      <w:tblGrid>
        <w:gridCol w:w="4020"/>
        <w:gridCol w:w="1460"/>
        <w:gridCol w:w="1287"/>
        <w:gridCol w:w="1440"/>
        <w:gridCol w:w="1260"/>
        <w:gridCol w:w="1170"/>
        <w:gridCol w:w="810"/>
        <w:gridCol w:w="1170"/>
      </w:tblGrid>
      <w:tr w:rsidR="008E509B" w:rsidRPr="008E509B" w:rsidTr="008E509B">
        <w:trPr>
          <w:trHeight w:val="480"/>
        </w:trPr>
        <w:tc>
          <w:tcPr>
            <w:tcW w:w="12617" w:type="dxa"/>
            <w:gridSpan w:val="8"/>
            <w:tcBorders>
              <w:top w:val="single" w:sz="8" w:space="0" w:color="auto"/>
              <w:left w:val="single" w:sz="8" w:space="0" w:color="auto"/>
              <w:bottom w:val="nil"/>
              <w:right w:val="single" w:sz="8" w:space="0" w:color="000000"/>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b/>
                <w:bCs/>
                <w:kern w:val="0"/>
                <w:sz w:val="20"/>
                <w:szCs w:val="20"/>
                <w:lang w:eastAsia="en-US" w:bidi="ar-SA"/>
              </w:rPr>
            </w:pPr>
            <w:r w:rsidRPr="008E509B">
              <w:rPr>
                <w:rFonts w:ascii="Arial" w:eastAsia="Times New Roman" w:hAnsi="Arial" w:cs="Arial"/>
                <w:b/>
                <w:bCs/>
                <w:kern w:val="0"/>
                <w:sz w:val="20"/>
                <w:szCs w:val="20"/>
                <w:lang w:eastAsia="en-US" w:bidi="ar-SA"/>
              </w:rPr>
              <w:lastRenderedPageBreak/>
              <w:t>Information Collection Burden by Type of Party</w:t>
            </w:r>
          </w:p>
        </w:tc>
      </w:tr>
      <w:tr w:rsidR="008E509B" w:rsidRPr="008E509B" w:rsidTr="008E509B">
        <w:trPr>
          <w:trHeight w:val="435"/>
        </w:trPr>
        <w:tc>
          <w:tcPr>
            <w:tcW w:w="12617" w:type="dxa"/>
            <w:gridSpan w:val="8"/>
            <w:tcBorders>
              <w:top w:val="nil"/>
              <w:left w:val="single" w:sz="8" w:space="0" w:color="auto"/>
              <w:bottom w:val="single" w:sz="8" w:space="0" w:color="auto"/>
              <w:right w:val="single" w:sz="8" w:space="0" w:color="000000"/>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i/>
                <w:iCs/>
                <w:kern w:val="0"/>
                <w:sz w:val="20"/>
                <w:szCs w:val="20"/>
                <w:lang w:eastAsia="en-US" w:bidi="ar-SA"/>
              </w:rPr>
            </w:pPr>
            <w:r w:rsidRPr="008E509B">
              <w:rPr>
                <w:rFonts w:ascii="Arial" w:eastAsia="Times New Roman" w:hAnsi="Arial" w:cs="Arial"/>
                <w:i/>
                <w:iCs/>
                <w:kern w:val="0"/>
                <w:sz w:val="20"/>
                <w:szCs w:val="20"/>
                <w:lang w:eastAsia="en-US" w:bidi="ar-SA"/>
              </w:rPr>
              <w:t>Table IV - Any Party Who Owns/Intends to Own RINS (including blenders, brokers, marketers, etc.)</w:t>
            </w:r>
            <w:r>
              <w:rPr>
                <w:rFonts w:ascii="Arial" w:eastAsia="Times New Roman" w:hAnsi="Arial" w:cs="Arial"/>
                <w:i/>
                <w:iCs/>
                <w:kern w:val="0"/>
                <w:sz w:val="20"/>
                <w:szCs w:val="20"/>
                <w:lang w:eastAsia="en-US" w:bidi="ar-SA"/>
              </w:rPr>
              <w:t xml:space="preserve"> (RIN Owners)</w:t>
            </w:r>
          </w:p>
        </w:tc>
      </w:tr>
      <w:tr w:rsidR="008E509B" w:rsidRPr="008E509B" w:rsidTr="008E509B">
        <w:trPr>
          <w:trHeight w:val="1335"/>
        </w:trPr>
        <w:tc>
          <w:tcPr>
            <w:tcW w:w="4020" w:type="dxa"/>
            <w:tcBorders>
              <w:top w:val="nil"/>
              <w:left w:val="single" w:sz="8" w:space="0" w:color="auto"/>
              <w:bottom w:val="single" w:sz="8" w:space="0" w:color="auto"/>
              <w:right w:val="single" w:sz="4" w:space="0" w:color="auto"/>
            </w:tcBorders>
            <w:shd w:val="clear" w:color="auto" w:fill="auto"/>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Collection Activity</w:t>
            </w:r>
          </w:p>
        </w:tc>
        <w:tc>
          <w:tcPr>
            <w:tcW w:w="1460" w:type="dxa"/>
            <w:tcBorders>
              <w:top w:val="nil"/>
              <w:left w:val="nil"/>
              <w:bottom w:val="single" w:sz="8" w:space="0" w:color="auto"/>
              <w:right w:val="single" w:sz="4" w:space="0" w:color="auto"/>
            </w:tcBorders>
            <w:shd w:val="clear" w:color="auto" w:fill="auto"/>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Number of Respondents</w:t>
            </w:r>
          </w:p>
        </w:tc>
        <w:tc>
          <w:tcPr>
            <w:tcW w:w="1287" w:type="dxa"/>
            <w:tcBorders>
              <w:top w:val="nil"/>
              <w:left w:val="nil"/>
              <w:bottom w:val="single" w:sz="8" w:space="0" w:color="auto"/>
              <w:right w:val="single" w:sz="4" w:space="0" w:color="auto"/>
            </w:tcBorders>
            <w:shd w:val="clear" w:color="auto" w:fill="auto"/>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Number of Responses per Party</w:t>
            </w:r>
          </w:p>
        </w:tc>
        <w:tc>
          <w:tcPr>
            <w:tcW w:w="1440" w:type="dxa"/>
            <w:tcBorders>
              <w:top w:val="nil"/>
              <w:left w:val="nil"/>
              <w:bottom w:val="single" w:sz="8" w:space="0" w:color="auto"/>
              <w:right w:val="single" w:sz="4" w:space="0" w:color="auto"/>
            </w:tcBorders>
            <w:shd w:val="clear" w:color="auto" w:fill="auto"/>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Total Number of Responses</w:t>
            </w:r>
          </w:p>
        </w:tc>
        <w:tc>
          <w:tcPr>
            <w:tcW w:w="1260" w:type="dxa"/>
            <w:tcBorders>
              <w:top w:val="nil"/>
              <w:left w:val="nil"/>
              <w:bottom w:val="single" w:sz="8" w:space="0" w:color="auto"/>
              <w:right w:val="single" w:sz="4" w:space="0" w:color="auto"/>
            </w:tcBorders>
            <w:shd w:val="clear" w:color="auto" w:fill="auto"/>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Time per Response (hours)</w:t>
            </w:r>
          </w:p>
        </w:tc>
        <w:tc>
          <w:tcPr>
            <w:tcW w:w="1170" w:type="dxa"/>
            <w:tcBorders>
              <w:top w:val="nil"/>
              <w:left w:val="nil"/>
              <w:bottom w:val="single" w:sz="8" w:space="0" w:color="auto"/>
              <w:right w:val="single" w:sz="4" w:space="0" w:color="auto"/>
            </w:tcBorders>
            <w:shd w:val="clear" w:color="auto" w:fill="auto"/>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Cost per Response (dollars)</w:t>
            </w:r>
          </w:p>
        </w:tc>
        <w:tc>
          <w:tcPr>
            <w:tcW w:w="810" w:type="dxa"/>
            <w:tcBorders>
              <w:top w:val="nil"/>
              <w:left w:val="nil"/>
              <w:bottom w:val="single" w:sz="8" w:space="0" w:color="auto"/>
              <w:right w:val="single" w:sz="4" w:space="0" w:color="auto"/>
            </w:tcBorders>
            <w:shd w:val="clear" w:color="auto" w:fill="auto"/>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Total Hours</w:t>
            </w:r>
          </w:p>
        </w:tc>
        <w:tc>
          <w:tcPr>
            <w:tcW w:w="1170" w:type="dxa"/>
            <w:tcBorders>
              <w:top w:val="nil"/>
              <w:left w:val="nil"/>
              <w:bottom w:val="single" w:sz="8" w:space="0" w:color="auto"/>
              <w:right w:val="single" w:sz="8" w:space="0" w:color="auto"/>
            </w:tcBorders>
            <w:shd w:val="clear" w:color="auto" w:fill="auto"/>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Total Cost (dollars)</w:t>
            </w:r>
          </w:p>
        </w:tc>
      </w:tr>
      <w:tr w:rsidR="008E509B" w:rsidRPr="008E509B" w:rsidTr="008E509B">
        <w:trPr>
          <w:trHeight w:val="510"/>
        </w:trPr>
        <w:tc>
          <w:tcPr>
            <w:tcW w:w="40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80.1450</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 </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 </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 </w:t>
            </w:r>
          </w:p>
        </w:tc>
        <w:tc>
          <w:tcPr>
            <w:tcW w:w="1170" w:type="dxa"/>
            <w:tcBorders>
              <w:top w:val="single" w:sz="4" w:space="0" w:color="auto"/>
              <w:left w:val="nil"/>
              <w:bottom w:val="single" w:sz="4" w:space="0" w:color="auto"/>
              <w:right w:val="single" w:sz="8"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 </w:t>
            </w:r>
          </w:p>
        </w:tc>
      </w:tr>
      <w:tr w:rsidR="008E509B" w:rsidRPr="008E509B" w:rsidTr="008E509B">
        <w:trPr>
          <w:trHeight w:val="720"/>
        </w:trPr>
        <w:tc>
          <w:tcPr>
            <w:tcW w:w="4020" w:type="dxa"/>
            <w:tcBorders>
              <w:top w:val="nil"/>
              <w:left w:val="single" w:sz="8" w:space="0" w:color="auto"/>
              <w:bottom w:val="single" w:sz="4" w:space="0" w:color="auto"/>
              <w:right w:val="single" w:sz="4" w:space="0" w:color="auto"/>
            </w:tcBorders>
            <w:shd w:val="clear" w:color="auto" w:fill="auto"/>
            <w:vAlign w:val="bottom"/>
            <w:hideMark/>
          </w:tcPr>
          <w:p w:rsidR="008E509B" w:rsidRPr="008E509B" w:rsidRDefault="008E509B" w:rsidP="008E509B">
            <w:pPr>
              <w:widowControl/>
              <w:suppressAutoHyphens w:val="0"/>
              <w:autoSpaceDN/>
              <w:ind w:firstLineChars="100" w:firstLine="200"/>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(d) Registration updates and corrections at $103/hour</w:t>
            </w:r>
          </w:p>
        </w:tc>
        <w:tc>
          <w:tcPr>
            <w:tcW w:w="146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238</w:t>
            </w:r>
          </w:p>
        </w:tc>
        <w:tc>
          <w:tcPr>
            <w:tcW w:w="1287"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1</w:t>
            </w:r>
          </w:p>
        </w:tc>
        <w:tc>
          <w:tcPr>
            <w:tcW w:w="144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238</w:t>
            </w:r>
          </w:p>
        </w:tc>
        <w:tc>
          <w:tcPr>
            <w:tcW w:w="126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2</w:t>
            </w:r>
          </w:p>
        </w:tc>
        <w:tc>
          <w:tcPr>
            <w:tcW w:w="117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$206</w:t>
            </w:r>
          </w:p>
        </w:tc>
        <w:tc>
          <w:tcPr>
            <w:tcW w:w="81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476</w:t>
            </w:r>
          </w:p>
        </w:tc>
        <w:tc>
          <w:tcPr>
            <w:tcW w:w="1170" w:type="dxa"/>
            <w:tcBorders>
              <w:top w:val="nil"/>
              <w:left w:val="nil"/>
              <w:bottom w:val="single" w:sz="4" w:space="0" w:color="auto"/>
              <w:right w:val="single" w:sz="8"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$49,028</w:t>
            </w:r>
          </w:p>
        </w:tc>
      </w:tr>
      <w:tr w:rsidR="008E509B" w:rsidRPr="008E509B" w:rsidTr="008E509B">
        <w:trPr>
          <w:trHeight w:val="510"/>
        </w:trPr>
        <w:tc>
          <w:tcPr>
            <w:tcW w:w="4020" w:type="dxa"/>
            <w:tcBorders>
              <w:top w:val="nil"/>
              <w:left w:val="single" w:sz="8" w:space="0" w:color="auto"/>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ind w:firstLineChars="100" w:firstLine="200"/>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(e) New registrations at $103/hour</w:t>
            </w:r>
          </w:p>
        </w:tc>
        <w:tc>
          <w:tcPr>
            <w:tcW w:w="146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48</w:t>
            </w:r>
          </w:p>
        </w:tc>
        <w:tc>
          <w:tcPr>
            <w:tcW w:w="1287"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1</w:t>
            </w:r>
          </w:p>
        </w:tc>
        <w:tc>
          <w:tcPr>
            <w:tcW w:w="144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48</w:t>
            </w:r>
          </w:p>
        </w:tc>
        <w:tc>
          <w:tcPr>
            <w:tcW w:w="126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8</w:t>
            </w:r>
          </w:p>
        </w:tc>
        <w:tc>
          <w:tcPr>
            <w:tcW w:w="117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$824</w:t>
            </w:r>
          </w:p>
        </w:tc>
        <w:tc>
          <w:tcPr>
            <w:tcW w:w="81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384</w:t>
            </w:r>
          </w:p>
        </w:tc>
        <w:tc>
          <w:tcPr>
            <w:tcW w:w="1170" w:type="dxa"/>
            <w:tcBorders>
              <w:top w:val="nil"/>
              <w:left w:val="nil"/>
              <w:bottom w:val="single" w:sz="4" w:space="0" w:color="auto"/>
              <w:right w:val="single" w:sz="8"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$39,552</w:t>
            </w:r>
          </w:p>
        </w:tc>
      </w:tr>
      <w:tr w:rsidR="008E509B" w:rsidRPr="008E509B" w:rsidTr="008E509B">
        <w:trPr>
          <w:trHeight w:val="510"/>
        </w:trPr>
        <w:tc>
          <w:tcPr>
            <w:tcW w:w="4020" w:type="dxa"/>
            <w:tcBorders>
              <w:top w:val="nil"/>
              <w:left w:val="single" w:sz="8" w:space="0" w:color="auto"/>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New CDX Registrations at $103/hour</w:t>
            </w:r>
          </w:p>
        </w:tc>
        <w:tc>
          <w:tcPr>
            <w:tcW w:w="146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48</w:t>
            </w:r>
          </w:p>
        </w:tc>
        <w:tc>
          <w:tcPr>
            <w:tcW w:w="1287"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1</w:t>
            </w:r>
          </w:p>
        </w:tc>
        <w:tc>
          <w:tcPr>
            <w:tcW w:w="144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48</w:t>
            </w:r>
          </w:p>
        </w:tc>
        <w:tc>
          <w:tcPr>
            <w:tcW w:w="126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2</w:t>
            </w:r>
          </w:p>
        </w:tc>
        <w:tc>
          <w:tcPr>
            <w:tcW w:w="117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$206</w:t>
            </w:r>
          </w:p>
        </w:tc>
        <w:tc>
          <w:tcPr>
            <w:tcW w:w="810" w:type="dxa"/>
            <w:tcBorders>
              <w:top w:val="nil"/>
              <w:left w:val="nil"/>
              <w:bottom w:val="single" w:sz="4"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96</w:t>
            </w:r>
          </w:p>
        </w:tc>
        <w:tc>
          <w:tcPr>
            <w:tcW w:w="1170" w:type="dxa"/>
            <w:tcBorders>
              <w:top w:val="nil"/>
              <w:left w:val="nil"/>
              <w:bottom w:val="single" w:sz="4" w:space="0" w:color="auto"/>
              <w:right w:val="single" w:sz="8"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$9,888</w:t>
            </w:r>
          </w:p>
        </w:tc>
      </w:tr>
      <w:tr w:rsidR="008E509B" w:rsidRPr="008E509B" w:rsidTr="008E509B">
        <w:trPr>
          <w:trHeight w:val="540"/>
        </w:trPr>
        <w:tc>
          <w:tcPr>
            <w:tcW w:w="4020" w:type="dxa"/>
            <w:tcBorders>
              <w:top w:val="nil"/>
              <w:left w:val="single" w:sz="8" w:space="0" w:color="auto"/>
              <w:bottom w:val="single" w:sz="8"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b/>
                <w:bCs/>
                <w:kern w:val="0"/>
                <w:sz w:val="20"/>
                <w:szCs w:val="20"/>
                <w:lang w:eastAsia="en-US" w:bidi="ar-SA"/>
              </w:rPr>
            </w:pPr>
            <w:r w:rsidRPr="008E509B">
              <w:rPr>
                <w:rFonts w:ascii="Arial" w:eastAsia="Times New Roman" w:hAnsi="Arial" w:cs="Arial"/>
                <w:b/>
                <w:bCs/>
                <w:kern w:val="0"/>
                <w:sz w:val="20"/>
                <w:szCs w:val="20"/>
                <w:lang w:eastAsia="en-US" w:bidi="ar-SA"/>
              </w:rPr>
              <w:t>TOTALS</w:t>
            </w:r>
          </w:p>
        </w:tc>
        <w:tc>
          <w:tcPr>
            <w:tcW w:w="1460" w:type="dxa"/>
            <w:tcBorders>
              <w:top w:val="nil"/>
              <w:left w:val="nil"/>
              <w:bottom w:val="single" w:sz="8"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b/>
                <w:bCs/>
                <w:kern w:val="0"/>
                <w:sz w:val="20"/>
                <w:szCs w:val="20"/>
                <w:lang w:eastAsia="en-US" w:bidi="ar-SA"/>
              </w:rPr>
            </w:pPr>
            <w:r w:rsidRPr="008E509B">
              <w:rPr>
                <w:rFonts w:ascii="Arial" w:eastAsia="Times New Roman" w:hAnsi="Arial" w:cs="Arial"/>
                <w:b/>
                <w:bCs/>
                <w:kern w:val="0"/>
                <w:sz w:val="20"/>
                <w:szCs w:val="20"/>
                <w:lang w:eastAsia="en-US" w:bidi="ar-SA"/>
              </w:rPr>
              <w:t>334</w:t>
            </w:r>
          </w:p>
        </w:tc>
        <w:tc>
          <w:tcPr>
            <w:tcW w:w="1287" w:type="dxa"/>
            <w:tcBorders>
              <w:top w:val="nil"/>
              <w:left w:val="nil"/>
              <w:bottom w:val="single" w:sz="8"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b/>
                <w:bCs/>
                <w:kern w:val="0"/>
                <w:sz w:val="20"/>
                <w:szCs w:val="20"/>
                <w:lang w:eastAsia="en-US" w:bidi="ar-SA"/>
              </w:rPr>
            </w:pPr>
            <w:r w:rsidRPr="008E509B">
              <w:rPr>
                <w:rFonts w:ascii="Arial" w:eastAsia="Times New Roman" w:hAnsi="Arial" w:cs="Arial"/>
                <w:b/>
                <w:bCs/>
                <w:kern w:val="0"/>
                <w:sz w:val="20"/>
                <w:szCs w:val="20"/>
                <w:lang w:eastAsia="en-US" w:bidi="ar-SA"/>
              </w:rPr>
              <w:t> </w:t>
            </w:r>
          </w:p>
        </w:tc>
        <w:tc>
          <w:tcPr>
            <w:tcW w:w="1440" w:type="dxa"/>
            <w:tcBorders>
              <w:top w:val="nil"/>
              <w:left w:val="nil"/>
              <w:bottom w:val="single" w:sz="8"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b/>
                <w:bCs/>
                <w:kern w:val="0"/>
                <w:sz w:val="20"/>
                <w:szCs w:val="20"/>
                <w:lang w:eastAsia="en-US" w:bidi="ar-SA"/>
              </w:rPr>
            </w:pPr>
            <w:r w:rsidRPr="008E509B">
              <w:rPr>
                <w:rFonts w:ascii="Arial" w:eastAsia="Times New Roman" w:hAnsi="Arial" w:cs="Arial"/>
                <w:b/>
                <w:bCs/>
                <w:kern w:val="0"/>
                <w:sz w:val="20"/>
                <w:szCs w:val="20"/>
                <w:lang w:eastAsia="en-US" w:bidi="ar-SA"/>
              </w:rPr>
              <w:t>334</w:t>
            </w:r>
          </w:p>
        </w:tc>
        <w:tc>
          <w:tcPr>
            <w:tcW w:w="1260" w:type="dxa"/>
            <w:tcBorders>
              <w:top w:val="nil"/>
              <w:left w:val="nil"/>
              <w:bottom w:val="single" w:sz="8"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b/>
                <w:bCs/>
                <w:kern w:val="0"/>
                <w:sz w:val="20"/>
                <w:szCs w:val="20"/>
                <w:lang w:eastAsia="en-US" w:bidi="ar-SA"/>
              </w:rPr>
            </w:pPr>
            <w:r w:rsidRPr="008E509B">
              <w:rPr>
                <w:rFonts w:ascii="Arial" w:eastAsia="Times New Roman" w:hAnsi="Arial" w:cs="Arial"/>
                <w:b/>
                <w:bCs/>
                <w:kern w:val="0"/>
                <w:sz w:val="20"/>
                <w:szCs w:val="20"/>
                <w:lang w:eastAsia="en-US" w:bidi="ar-SA"/>
              </w:rPr>
              <w:t> </w:t>
            </w:r>
          </w:p>
        </w:tc>
        <w:tc>
          <w:tcPr>
            <w:tcW w:w="1170" w:type="dxa"/>
            <w:tcBorders>
              <w:top w:val="nil"/>
              <w:left w:val="nil"/>
              <w:bottom w:val="single" w:sz="8"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b/>
                <w:bCs/>
                <w:kern w:val="0"/>
                <w:sz w:val="20"/>
                <w:szCs w:val="20"/>
                <w:lang w:eastAsia="en-US" w:bidi="ar-SA"/>
              </w:rPr>
            </w:pPr>
            <w:r w:rsidRPr="008E509B">
              <w:rPr>
                <w:rFonts w:ascii="Arial" w:eastAsia="Times New Roman" w:hAnsi="Arial" w:cs="Arial"/>
                <w:b/>
                <w:bCs/>
                <w:kern w:val="0"/>
                <w:sz w:val="20"/>
                <w:szCs w:val="20"/>
                <w:lang w:eastAsia="en-US" w:bidi="ar-SA"/>
              </w:rPr>
              <w:t> </w:t>
            </w:r>
          </w:p>
        </w:tc>
        <w:tc>
          <w:tcPr>
            <w:tcW w:w="810" w:type="dxa"/>
            <w:tcBorders>
              <w:top w:val="nil"/>
              <w:left w:val="nil"/>
              <w:bottom w:val="single" w:sz="8" w:space="0" w:color="auto"/>
              <w:right w:val="single" w:sz="4"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b/>
                <w:bCs/>
                <w:kern w:val="0"/>
                <w:sz w:val="20"/>
                <w:szCs w:val="20"/>
                <w:lang w:eastAsia="en-US" w:bidi="ar-SA"/>
              </w:rPr>
            </w:pPr>
            <w:r w:rsidRPr="008E509B">
              <w:rPr>
                <w:rFonts w:ascii="Arial" w:eastAsia="Times New Roman" w:hAnsi="Arial" w:cs="Arial"/>
                <w:b/>
                <w:bCs/>
                <w:kern w:val="0"/>
                <w:sz w:val="20"/>
                <w:szCs w:val="20"/>
                <w:lang w:eastAsia="en-US" w:bidi="ar-SA"/>
              </w:rPr>
              <w:t>956</w:t>
            </w:r>
          </w:p>
        </w:tc>
        <w:tc>
          <w:tcPr>
            <w:tcW w:w="1170" w:type="dxa"/>
            <w:tcBorders>
              <w:top w:val="nil"/>
              <w:left w:val="nil"/>
              <w:bottom w:val="single" w:sz="8" w:space="0" w:color="auto"/>
              <w:right w:val="single" w:sz="8" w:space="0" w:color="auto"/>
            </w:tcBorders>
            <w:shd w:val="clear" w:color="auto" w:fill="auto"/>
            <w:noWrap/>
            <w:vAlign w:val="bottom"/>
            <w:hideMark/>
          </w:tcPr>
          <w:p w:rsidR="008E509B" w:rsidRPr="008E509B" w:rsidRDefault="008E509B" w:rsidP="008E509B">
            <w:pPr>
              <w:widowControl/>
              <w:suppressAutoHyphens w:val="0"/>
              <w:autoSpaceDN/>
              <w:jc w:val="center"/>
              <w:textAlignment w:val="auto"/>
              <w:rPr>
                <w:rFonts w:ascii="Arial" w:eastAsia="Times New Roman" w:hAnsi="Arial" w:cs="Arial"/>
                <w:b/>
                <w:bCs/>
                <w:kern w:val="0"/>
                <w:sz w:val="20"/>
                <w:szCs w:val="20"/>
                <w:lang w:eastAsia="en-US" w:bidi="ar-SA"/>
              </w:rPr>
            </w:pPr>
            <w:r w:rsidRPr="008E509B">
              <w:rPr>
                <w:rFonts w:ascii="Arial" w:eastAsia="Times New Roman" w:hAnsi="Arial" w:cs="Arial"/>
                <w:b/>
                <w:bCs/>
                <w:kern w:val="0"/>
                <w:sz w:val="20"/>
                <w:szCs w:val="20"/>
                <w:lang w:eastAsia="en-US" w:bidi="ar-SA"/>
              </w:rPr>
              <w:t>$98,468</w:t>
            </w:r>
          </w:p>
        </w:tc>
      </w:tr>
      <w:tr w:rsidR="008E509B" w:rsidRPr="008E509B" w:rsidTr="008E509B">
        <w:trPr>
          <w:trHeight w:val="510"/>
        </w:trPr>
        <w:tc>
          <w:tcPr>
            <w:tcW w:w="402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Assumptions:</w:t>
            </w:r>
          </w:p>
        </w:tc>
        <w:tc>
          <w:tcPr>
            <w:tcW w:w="146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287"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44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17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81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17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r>
      <w:tr w:rsidR="008E509B" w:rsidRPr="008E509B" w:rsidTr="008E509B">
        <w:trPr>
          <w:trHeight w:val="300"/>
        </w:trPr>
        <w:tc>
          <w:tcPr>
            <w:tcW w:w="6767" w:type="dxa"/>
            <w:gridSpan w:val="3"/>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 xml:space="preserve">950 </w:t>
            </w:r>
            <w:r>
              <w:rPr>
                <w:rFonts w:ascii="Arial" w:eastAsia="Times New Roman" w:hAnsi="Arial" w:cs="Arial"/>
                <w:kern w:val="0"/>
                <w:sz w:val="20"/>
                <w:szCs w:val="20"/>
                <w:lang w:eastAsia="en-US" w:bidi="ar-SA"/>
              </w:rPr>
              <w:t>registered RIN owners</w:t>
            </w:r>
            <w:r w:rsidRPr="008E509B">
              <w:rPr>
                <w:rFonts w:ascii="Arial" w:eastAsia="Times New Roman" w:hAnsi="Arial" w:cs="Arial"/>
                <w:kern w:val="0"/>
                <w:sz w:val="20"/>
                <w:szCs w:val="20"/>
                <w:lang w:eastAsia="en-US" w:bidi="ar-SA"/>
              </w:rPr>
              <w:t xml:space="preserve"> </w:t>
            </w:r>
          </w:p>
        </w:tc>
        <w:tc>
          <w:tcPr>
            <w:tcW w:w="144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17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81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17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r>
      <w:tr w:rsidR="008E509B" w:rsidRPr="008E509B" w:rsidTr="00B15ED8">
        <w:trPr>
          <w:trHeight w:val="300"/>
        </w:trPr>
        <w:tc>
          <w:tcPr>
            <w:tcW w:w="6767" w:type="dxa"/>
            <w:gridSpan w:val="3"/>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25% registration updates and corrections</w:t>
            </w:r>
          </w:p>
        </w:tc>
        <w:tc>
          <w:tcPr>
            <w:tcW w:w="144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17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81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17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r>
      <w:tr w:rsidR="008E509B" w:rsidRPr="008E509B" w:rsidTr="008E509B">
        <w:trPr>
          <w:trHeight w:val="300"/>
        </w:trPr>
        <w:tc>
          <w:tcPr>
            <w:tcW w:w="6767" w:type="dxa"/>
            <w:gridSpan w:val="3"/>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 xml:space="preserve">5% new </w:t>
            </w:r>
            <w:r>
              <w:rPr>
                <w:rFonts w:ascii="Arial" w:eastAsia="Times New Roman" w:hAnsi="Arial" w:cs="Arial"/>
                <w:kern w:val="0"/>
                <w:sz w:val="20"/>
                <w:szCs w:val="20"/>
                <w:lang w:eastAsia="en-US" w:bidi="ar-SA"/>
              </w:rPr>
              <w:t xml:space="preserve">RIN owner </w:t>
            </w:r>
            <w:r w:rsidRPr="008E509B">
              <w:rPr>
                <w:rFonts w:ascii="Arial" w:eastAsia="Times New Roman" w:hAnsi="Arial" w:cs="Arial"/>
                <w:kern w:val="0"/>
                <w:sz w:val="20"/>
                <w:szCs w:val="20"/>
                <w:lang w:eastAsia="en-US" w:bidi="ar-SA"/>
              </w:rPr>
              <w:t xml:space="preserve">registration applications </w:t>
            </w:r>
          </w:p>
        </w:tc>
        <w:tc>
          <w:tcPr>
            <w:tcW w:w="144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17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81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17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r>
      <w:tr w:rsidR="008E509B" w:rsidRPr="008E509B" w:rsidTr="008E509B">
        <w:trPr>
          <w:trHeight w:val="300"/>
        </w:trPr>
        <w:tc>
          <w:tcPr>
            <w:tcW w:w="402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r w:rsidRPr="008E509B">
              <w:rPr>
                <w:rFonts w:ascii="Arial" w:eastAsia="Times New Roman" w:hAnsi="Arial" w:cs="Arial"/>
                <w:kern w:val="0"/>
                <w:sz w:val="20"/>
                <w:szCs w:val="20"/>
                <w:lang w:eastAsia="en-US" w:bidi="ar-SA"/>
              </w:rPr>
              <w:t xml:space="preserve">5% new CDX registrations </w:t>
            </w:r>
            <w:r>
              <w:rPr>
                <w:rFonts w:ascii="Arial" w:eastAsia="Times New Roman" w:hAnsi="Arial" w:cs="Arial"/>
                <w:kern w:val="0"/>
                <w:sz w:val="20"/>
                <w:szCs w:val="20"/>
                <w:lang w:eastAsia="en-US" w:bidi="ar-SA"/>
              </w:rPr>
              <w:t>by RIN owners</w:t>
            </w:r>
          </w:p>
        </w:tc>
        <w:tc>
          <w:tcPr>
            <w:tcW w:w="146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287"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44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17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81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c>
          <w:tcPr>
            <w:tcW w:w="1170" w:type="dxa"/>
            <w:tcBorders>
              <w:top w:val="nil"/>
              <w:left w:val="nil"/>
              <w:bottom w:val="nil"/>
              <w:right w:val="nil"/>
            </w:tcBorders>
            <w:shd w:val="clear" w:color="auto" w:fill="auto"/>
            <w:noWrap/>
            <w:vAlign w:val="bottom"/>
            <w:hideMark/>
          </w:tcPr>
          <w:p w:rsidR="008E509B" w:rsidRPr="008E509B" w:rsidRDefault="008E509B" w:rsidP="008E509B">
            <w:pPr>
              <w:widowControl/>
              <w:suppressAutoHyphens w:val="0"/>
              <w:autoSpaceDN/>
              <w:textAlignment w:val="auto"/>
              <w:rPr>
                <w:rFonts w:ascii="Arial" w:eastAsia="Times New Roman" w:hAnsi="Arial" w:cs="Arial"/>
                <w:kern w:val="0"/>
                <w:sz w:val="20"/>
                <w:szCs w:val="20"/>
                <w:lang w:eastAsia="en-US" w:bidi="ar-SA"/>
              </w:rPr>
            </w:pPr>
          </w:p>
        </w:tc>
      </w:tr>
    </w:tbl>
    <w:p w:rsidR="0058307D" w:rsidRDefault="0058307D">
      <w:pPr>
        <w:suppressAutoHyphens w:val="0"/>
      </w:pPr>
    </w:p>
    <w:p w:rsidR="0058307D" w:rsidRDefault="0058307D">
      <w:pPr>
        <w:suppressAutoHyphens w:val="0"/>
      </w:pPr>
      <w:r>
        <w:br w:type="page"/>
      </w:r>
    </w:p>
    <w:p w:rsidR="0058307D" w:rsidRDefault="0058307D">
      <w:pPr>
        <w:suppressAutoHyphens w:val="0"/>
      </w:pPr>
    </w:p>
    <w:tbl>
      <w:tblPr>
        <w:tblW w:w="12800" w:type="dxa"/>
        <w:tblInd w:w="91" w:type="dxa"/>
        <w:tblLook w:val="04A0"/>
      </w:tblPr>
      <w:tblGrid>
        <w:gridCol w:w="3880"/>
        <w:gridCol w:w="1280"/>
        <w:gridCol w:w="1380"/>
        <w:gridCol w:w="1540"/>
        <w:gridCol w:w="1260"/>
        <w:gridCol w:w="1300"/>
        <w:gridCol w:w="980"/>
        <w:gridCol w:w="1180"/>
      </w:tblGrid>
      <w:tr w:rsidR="00CC00C1" w:rsidRPr="00CC00C1" w:rsidTr="00CC00C1">
        <w:trPr>
          <w:trHeight w:val="255"/>
        </w:trPr>
        <w:tc>
          <w:tcPr>
            <w:tcW w:w="12800" w:type="dxa"/>
            <w:gridSpan w:val="8"/>
            <w:tcBorders>
              <w:top w:val="single" w:sz="8" w:space="0" w:color="auto"/>
              <w:left w:val="single" w:sz="8" w:space="0" w:color="auto"/>
              <w:bottom w:val="nil"/>
              <w:right w:val="single" w:sz="8" w:space="0" w:color="000000"/>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Information Collection Burden by Type of Party</w:t>
            </w:r>
          </w:p>
        </w:tc>
      </w:tr>
      <w:tr w:rsidR="00CC00C1" w:rsidRPr="00CC00C1" w:rsidTr="00CC00C1">
        <w:trPr>
          <w:trHeight w:val="270"/>
        </w:trPr>
        <w:tc>
          <w:tcPr>
            <w:tcW w:w="12800" w:type="dxa"/>
            <w:gridSpan w:val="8"/>
            <w:tcBorders>
              <w:top w:val="nil"/>
              <w:left w:val="single" w:sz="8" w:space="0" w:color="auto"/>
              <w:bottom w:val="single" w:sz="8" w:space="0" w:color="auto"/>
              <w:right w:val="single" w:sz="8" w:space="0" w:color="000000"/>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i/>
                <w:iCs/>
                <w:kern w:val="0"/>
                <w:sz w:val="20"/>
                <w:szCs w:val="20"/>
                <w:lang w:eastAsia="en-US" w:bidi="ar-SA"/>
              </w:rPr>
            </w:pPr>
            <w:r w:rsidRPr="00CC00C1">
              <w:rPr>
                <w:rFonts w:ascii="Arial" w:eastAsia="Times New Roman" w:hAnsi="Arial" w:cs="Arial"/>
                <w:i/>
                <w:iCs/>
                <w:kern w:val="0"/>
                <w:sz w:val="20"/>
                <w:szCs w:val="20"/>
                <w:lang w:eastAsia="en-US" w:bidi="ar-SA"/>
              </w:rPr>
              <w:t>Table V- Additional Items of Reporting for Foreign RIN Owners</w:t>
            </w:r>
          </w:p>
        </w:tc>
      </w:tr>
      <w:tr w:rsidR="00CC00C1" w:rsidRPr="00CC00C1" w:rsidTr="00CC00C1">
        <w:trPr>
          <w:trHeight w:val="1155"/>
        </w:trPr>
        <w:tc>
          <w:tcPr>
            <w:tcW w:w="3880" w:type="dxa"/>
            <w:tcBorders>
              <w:top w:val="nil"/>
              <w:left w:val="single" w:sz="8" w:space="0" w:color="auto"/>
              <w:bottom w:val="single" w:sz="4" w:space="0" w:color="auto"/>
              <w:right w:val="single" w:sz="4" w:space="0" w:color="auto"/>
            </w:tcBorders>
            <w:shd w:val="clear" w:color="auto" w:fill="auto"/>
            <w:vAlign w:val="bottom"/>
            <w:hideMark/>
          </w:tcPr>
          <w:p w:rsidR="00CC00C1" w:rsidRPr="00CC00C1" w:rsidRDefault="00CC00C1" w:rsidP="00CC00C1">
            <w:pPr>
              <w:widowControl/>
              <w:suppressAutoHyphens w:val="0"/>
              <w:autoSpaceDN/>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Collection Activity</w:t>
            </w:r>
          </w:p>
        </w:tc>
        <w:tc>
          <w:tcPr>
            <w:tcW w:w="1280" w:type="dxa"/>
            <w:tcBorders>
              <w:top w:val="nil"/>
              <w:left w:val="nil"/>
              <w:bottom w:val="single" w:sz="4" w:space="0" w:color="auto"/>
              <w:right w:val="single" w:sz="4" w:space="0" w:color="auto"/>
            </w:tcBorders>
            <w:shd w:val="clear" w:color="auto" w:fill="auto"/>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Number of Parties</w:t>
            </w:r>
          </w:p>
        </w:tc>
        <w:tc>
          <w:tcPr>
            <w:tcW w:w="1380" w:type="dxa"/>
            <w:tcBorders>
              <w:top w:val="nil"/>
              <w:left w:val="nil"/>
              <w:bottom w:val="single" w:sz="4" w:space="0" w:color="auto"/>
              <w:right w:val="single" w:sz="4" w:space="0" w:color="auto"/>
            </w:tcBorders>
            <w:shd w:val="clear" w:color="auto" w:fill="auto"/>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Number of Responses per Party</w:t>
            </w:r>
          </w:p>
        </w:tc>
        <w:tc>
          <w:tcPr>
            <w:tcW w:w="1540" w:type="dxa"/>
            <w:tcBorders>
              <w:top w:val="nil"/>
              <w:left w:val="nil"/>
              <w:bottom w:val="single" w:sz="4" w:space="0" w:color="auto"/>
              <w:right w:val="single" w:sz="4" w:space="0" w:color="auto"/>
            </w:tcBorders>
            <w:shd w:val="clear" w:color="auto" w:fill="auto"/>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Total Number of Responses</w:t>
            </w:r>
          </w:p>
        </w:tc>
        <w:tc>
          <w:tcPr>
            <w:tcW w:w="1260" w:type="dxa"/>
            <w:tcBorders>
              <w:top w:val="nil"/>
              <w:left w:val="nil"/>
              <w:bottom w:val="single" w:sz="4" w:space="0" w:color="auto"/>
              <w:right w:val="single" w:sz="4" w:space="0" w:color="auto"/>
            </w:tcBorders>
            <w:shd w:val="clear" w:color="auto" w:fill="auto"/>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Time per Response (hours)</w:t>
            </w:r>
          </w:p>
        </w:tc>
        <w:tc>
          <w:tcPr>
            <w:tcW w:w="1300" w:type="dxa"/>
            <w:tcBorders>
              <w:top w:val="nil"/>
              <w:left w:val="nil"/>
              <w:bottom w:val="single" w:sz="4" w:space="0" w:color="auto"/>
              <w:right w:val="single" w:sz="4" w:space="0" w:color="auto"/>
            </w:tcBorders>
            <w:shd w:val="clear" w:color="auto" w:fill="auto"/>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Cost per Response (dollars)</w:t>
            </w:r>
          </w:p>
        </w:tc>
        <w:tc>
          <w:tcPr>
            <w:tcW w:w="980" w:type="dxa"/>
            <w:tcBorders>
              <w:top w:val="nil"/>
              <w:left w:val="nil"/>
              <w:bottom w:val="single" w:sz="4" w:space="0" w:color="auto"/>
              <w:right w:val="single" w:sz="4" w:space="0" w:color="auto"/>
            </w:tcBorders>
            <w:shd w:val="clear" w:color="auto" w:fill="auto"/>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Total Hours</w:t>
            </w:r>
          </w:p>
        </w:tc>
        <w:tc>
          <w:tcPr>
            <w:tcW w:w="1180" w:type="dxa"/>
            <w:tcBorders>
              <w:top w:val="nil"/>
              <w:left w:val="nil"/>
              <w:bottom w:val="single" w:sz="4" w:space="0" w:color="auto"/>
              <w:right w:val="single" w:sz="8" w:space="0" w:color="auto"/>
            </w:tcBorders>
            <w:shd w:val="clear" w:color="auto" w:fill="auto"/>
            <w:vAlign w:val="bottom"/>
            <w:hideMark/>
          </w:tcPr>
          <w:p w:rsid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Total Cost</w:t>
            </w:r>
          </w:p>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(dollars)</w:t>
            </w:r>
          </w:p>
        </w:tc>
      </w:tr>
      <w:tr w:rsidR="00CC00C1" w:rsidRPr="00CC00C1" w:rsidTr="00CC00C1">
        <w:trPr>
          <w:trHeight w:val="630"/>
        </w:trPr>
        <w:tc>
          <w:tcPr>
            <w:tcW w:w="3880" w:type="dxa"/>
            <w:tcBorders>
              <w:top w:val="nil"/>
              <w:left w:val="single" w:sz="8" w:space="0" w:color="auto"/>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i/>
                <w:iCs/>
                <w:kern w:val="0"/>
                <w:sz w:val="20"/>
                <w:szCs w:val="20"/>
                <w:lang w:eastAsia="en-US" w:bidi="ar-SA"/>
              </w:rPr>
            </w:pPr>
            <w:r w:rsidRPr="00CC00C1">
              <w:rPr>
                <w:rFonts w:ascii="Arial" w:eastAsia="Times New Roman" w:hAnsi="Arial" w:cs="Arial"/>
                <w:i/>
                <w:iCs/>
                <w:kern w:val="0"/>
                <w:sz w:val="20"/>
                <w:szCs w:val="20"/>
                <w:lang w:eastAsia="en-US" w:bidi="ar-SA"/>
              </w:rPr>
              <w:t>80.1467</w:t>
            </w:r>
          </w:p>
        </w:tc>
        <w:tc>
          <w:tcPr>
            <w:tcW w:w="128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 </w:t>
            </w:r>
          </w:p>
        </w:tc>
        <w:tc>
          <w:tcPr>
            <w:tcW w:w="138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 </w:t>
            </w:r>
          </w:p>
        </w:tc>
        <w:tc>
          <w:tcPr>
            <w:tcW w:w="154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 </w:t>
            </w:r>
          </w:p>
        </w:tc>
        <w:tc>
          <w:tcPr>
            <w:tcW w:w="126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 </w:t>
            </w:r>
          </w:p>
        </w:tc>
        <w:tc>
          <w:tcPr>
            <w:tcW w:w="130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 </w:t>
            </w:r>
          </w:p>
        </w:tc>
        <w:tc>
          <w:tcPr>
            <w:tcW w:w="98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 </w:t>
            </w:r>
          </w:p>
        </w:tc>
        <w:tc>
          <w:tcPr>
            <w:tcW w:w="1180" w:type="dxa"/>
            <w:tcBorders>
              <w:top w:val="nil"/>
              <w:left w:val="nil"/>
              <w:bottom w:val="single" w:sz="4" w:space="0" w:color="auto"/>
              <w:right w:val="single" w:sz="8"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 </w:t>
            </w:r>
          </w:p>
        </w:tc>
      </w:tr>
      <w:tr w:rsidR="00CC00C1" w:rsidRPr="00CC00C1" w:rsidTr="00CC00C1">
        <w:trPr>
          <w:trHeight w:val="600"/>
        </w:trPr>
        <w:tc>
          <w:tcPr>
            <w:tcW w:w="3880" w:type="dxa"/>
            <w:tcBorders>
              <w:top w:val="nil"/>
              <w:left w:val="single" w:sz="8" w:space="0" w:color="auto"/>
              <w:bottom w:val="single" w:sz="4" w:space="0" w:color="auto"/>
              <w:right w:val="single" w:sz="4" w:space="0" w:color="auto"/>
            </w:tcBorders>
            <w:shd w:val="clear" w:color="auto" w:fill="auto"/>
            <w:vAlign w:val="bottom"/>
            <w:hideMark/>
          </w:tcPr>
          <w:p w:rsidR="00CC00C1" w:rsidRPr="00CC00C1" w:rsidRDefault="00CC00C1" w:rsidP="00CC00C1">
            <w:pPr>
              <w:widowControl/>
              <w:suppressAutoHyphens w:val="0"/>
              <w:autoSpaceDN/>
              <w:ind w:firstLineChars="100" w:firstLine="200"/>
              <w:textAlignment w:val="auto"/>
              <w:rPr>
                <w:rFonts w:ascii="Arial" w:eastAsia="Times New Roman" w:hAnsi="Arial" w:cs="Arial"/>
                <w:i/>
                <w:iCs/>
                <w:kern w:val="0"/>
                <w:sz w:val="20"/>
                <w:szCs w:val="20"/>
                <w:lang w:eastAsia="en-US" w:bidi="ar-SA"/>
              </w:rPr>
            </w:pPr>
            <w:r w:rsidRPr="00CC00C1">
              <w:rPr>
                <w:rFonts w:ascii="Arial" w:eastAsia="Times New Roman" w:hAnsi="Arial" w:cs="Arial"/>
                <w:i/>
                <w:iCs/>
                <w:kern w:val="0"/>
                <w:sz w:val="20"/>
                <w:szCs w:val="20"/>
                <w:lang w:eastAsia="en-US" w:bidi="ar-SA"/>
              </w:rPr>
              <w:t>New Applications submitted to be a foreign RIN owner at $103/hour</w:t>
            </w:r>
          </w:p>
        </w:tc>
        <w:tc>
          <w:tcPr>
            <w:tcW w:w="128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1</w:t>
            </w:r>
          </w:p>
        </w:tc>
        <w:tc>
          <w:tcPr>
            <w:tcW w:w="138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1</w:t>
            </w:r>
          </w:p>
        </w:tc>
        <w:tc>
          <w:tcPr>
            <w:tcW w:w="154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1</w:t>
            </w:r>
          </w:p>
        </w:tc>
        <w:tc>
          <w:tcPr>
            <w:tcW w:w="1260" w:type="dxa"/>
            <w:tcBorders>
              <w:top w:val="nil"/>
              <w:left w:val="nil"/>
              <w:bottom w:val="single" w:sz="4" w:space="0" w:color="auto"/>
              <w:right w:val="single" w:sz="4" w:space="0" w:color="auto"/>
            </w:tcBorders>
            <w:shd w:val="clear" w:color="auto" w:fill="auto"/>
            <w:noWrap/>
            <w:vAlign w:val="bottom"/>
            <w:hideMark/>
          </w:tcPr>
          <w:p w:rsidR="00CC00C1" w:rsidRPr="00CC00C1" w:rsidRDefault="00357665" w:rsidP="00357665">
            <w:pPr>
              <w:widowControl/>
              <w:suppressAutoHyphens w:val="0"/>
              <w:autoSpaceDN/>
              <w:jc w:val="center"/>
              <w:textAlignment w:val="auto"/>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8</w:t>
            </w:r>
          </w:p>
        </w:tc>
        <w:tc>
          <w:tcPr>
            <w:tcW w:w="130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357665">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w:t>
            </w:r>
            <w:r w:rsidR="00357665">
              <w:rPr>
                <w:rFonts w:ascii="Arial" w:eastAsia="Times New Roman" w:hAnsi="Arial" w:cs="Arial"/>
                <w:kern w:val="0"/>
                <w:sz w:val="20"/>
                <w:szCs w:val="20"/>
                <w:lang w:eastAsia="en-US" w:bidi="ar-SA"/>
              </w:rPr>
              <w:t>824</w:t>
            </w:r>
          </w:p>
        </w:tc>
        <w:tc>
          <w:tcPr>
            <w:tcW w:w="980" w:type="dxa"/>
            <w:tcBorders>
              <w:top w:val="nil"/>
              <w:left w:val="nil"/>
              <w:bottom w:val="single" w:sz="4" w:space="0" w:color="auto"/>
              <w:right w:val="single" w:sz="4" w:space="0" w:color="auto"/>
            </w:tcBorders>
            <w:shd w:val="clear" w:color="auto" w:fill="auto"/>
            <w:noWrap/>
            <w:vAlign w:val="bottom"/>
            <w:hideMark/>
          </w:tcPr>
          <w:p w:rsidR="00CC00C1" w:rsidRPr="00CC00C1" w:rsidRDefault="00357665" w:rsidP="00CC00C1">
            <w:pPr>
              <w:widowControl/>
              <w:suppressAutoHyphens w:val="0"/>
              <w:autoSpaceDN/>
              <w:jc w:val="center"/>
              <w:textAlignment w:val="auto"/>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8</w:t>
            </w:r>
          </w:p>
        </w:tc>
        <w:tc>
          <w:tcPr>
            <w:tcW w:w="1180" w:type="dxa"/>
            <w:tcBorders>
              <w:top w:val="nil"/>
              <w:left w:val="nil"/>
              <w:bottom w:val="single" w:sz="4" w:space="0" w:color="auto"/>
              <w:right w:val="single" w:sz="8" w:space="0" w:color="auto"/>
            </w:tcBorders>
            <w:shd w:val="clear" w:color="auto" w:fill="auto"/>
            <w:noWrap/>
            <w:vAlign w:val="bottom"/>
            <w:hideMark/>
          </w:tcPr>
          <w:p w:rsidR="00CC00C1" w:rsidRPr="00CC00C1" w:rsidRDefault="00CC00C1" w:rsidP="00B15ED8">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w:t>
            </w:r>
            <w:r w:rsidR="00B15ED8">
              <w:rPr>
                <w:rFonts w:ascii="Arial" w:eastAsia="Times New Roman" w:hAnsi="Arial" w:cs="Arial"/>
                <w:kern w:val="0"/>
                <w:sz w:val="20"/>
                <w:szCs w:val="20"/>
                <w:lang w:eastAsia="en-US" w:bidi="ar-SA"/>
              </w:rPr>
              <w:t>103</w:t>
            </w:r>
          </w:p>
        </w:tc>
      </w:tr>
      <w:tr w:rsidR="00CC00C1" w:rsidRPr="00CC00C1" w:rsidTr="00CC00C1">
        <w:trPr>
          <w:trHeight w:val="600"/>
        </w:trPr>
        <w:tc>
          <w:tcPr>
            <w:tcW w:w="3880" w:type="dxa"/>
            <w:tcBorders>
              <w:top w:val="nil"/>
              <w:left w:val="single" w:sz="8" w:space="0" w:color="auto"/>
              <w:bottom w:val="single" w:sz="4" w:space="0" w:color="auto"/>
              <w:right w:val="single" w:sz="4" w:space="0" w:color="auto"/>
            </w:tcBorders>
            <w:shd w:val="clear" w:color="auto" w:fill="auto"/>
            <w:vAlign w:val="bottom"/>
            <w:hideMark/>
          </w:tcPr>
          <w:p w:rsidR="00CC00C1" w:rsidRPr="00CC00C1" w:rsidRDefault="00CC00C1" w:rsidP="00CC00C1">
            <w:pPr>
              <w:widowControl/>
              <w:suppressAutoHyphens w:val="0"/>
              <w:autoSpaceDN/>
              <w:ind w:firstLineChars="100" w:firstLine="200"/>
              <w:textAlignment w:val="auto"/>
              <w:rPr>
                <w:rFonts w:ascii="Arial" w:eastAsia="Times New Roman" w:hAnsi="Arial" w:cs="Arial"/>
                <w:i/>
                <w:iCs/>
                <w:kern w:val="0"/>
                <w:sz w:val="20"/>
                <w:szCs w:val="20"/>
                <w:lang w:eastAsia="en-US" w:bidi="ar-SA"/>
              </w:rPr>
            </w:pPr>
            <w:r w:rsidRPr="00CC00C1">
              <w:rPr>
                <w:rFonts w:ascii="Arial" w:eastAsia="Times New Roman" w:hAnsi="Arial" w:cs="Arial"/>
                <w:i/>
                <w:iCs/>
                <w:kern w:val="0"/>
                <w:sz w:val="20"/>
                <w:szCs w:val="20"/>
                <w:lang w:eastAsia="en-US" w:bidi="ar-SA"/>
              </w:rPr>
              <w:t>Registration Corrections and updates at $103/hour</w:t>
            </w:r>
          </w:p>
        </w:tc>
        <w:tc>
          <w:tcPr>
            <w:tcW w:w="128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3</w:t>
            </w:r>
          </w:p>
        </w:tc>
        <w:tc>
          <w:tcPr>
            <w:tcW w:w="138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1</w:t>
            </w:r>
          </w:p>
        </w:tc>
        <w:tc>
          <w:tcPr>
            <w:tcW w:w="154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3</w:t>
            </w:r>
          </w:p>
        </w:tc>
        <w:tc>
          <w:tcPr>
            <w:tcW w:w="1260" w:type="dxa"/>
            <w:tcBorders>
              <w:top w:val="nil"/>
              <w:left w:val="nil"/>
              <w:bottom w:val="single" w:sz="4" w:space="0" w:color="auto"/>
              <w:right w:val="single" w:sz="4" w:space="0" w:color="auto"/>
            </w:tcBorders>
            <w:shd w:val="clear" w:color="auto" w:fill="auto"/>
            <w:noWrap/>
            <w:vAlign w:val="bottom"/>
            <w:hideMark/>
          </w:tcPr>
          <w:p w:rsidR="00CC00C1" w:rsidRPr="00CC00C1" w:rsidRDefault="007C3517" w:rsidP="007C3517">
            <w:pPr>
              <w:widowControl/>
              <w:suppressAutoHyphens w:val="0"/>
              <w:autoSpaceDN/>
              <w:jc w:val="center"/>
              <w:textAlignment w:val="auto"/>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2</w:t>
            </w:r>
          </w:p>
        </w:tc>
        <w:tc>
          <w:tcPr>
            <w:tcW w:w="130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357665">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w:t>
            </w:r>
            <w:r w:rsidR="00357665">
              <w:rPr>
                <w:rFonts w:ascii="Arial" w:eastAsia="Times New Roman" w:hAnsi="Arial" w:cs="Arial"/>
                <w:kern w:val="0"/>
                <w:sz w:val="20"/>
                <w:szCs w:val="20"/>
                <w:lang w:eastAsia="en-US" w:bidi="ar-SA"/>
              </w:rPr>
              <w:t>206</w:t>
            </w:r>
          </w:p>
        </w:tc>
        <w:tc>
          <w:tcPr>
            <w:tcW w:w="980" w:type="dxa"/>
            <w:tcBorders>
              <w:top w:val="nil"/>
              <w:left w:val="nil"/>
              <w:bottom w:val="single" w:sz="4" w:space="0" w:color="auto"/>
              <w:right w:val="single" w:sz="4" w:space="0" w:color="auto"/>
            </w:tcBorders>
            <w:shd w:val="clear" w:color="auto" w:fill="auto"/>
            <w:noWrap/>
            <w:vAlign w:val="bottom"/>
            <w:hideMark/>
          </w:tcPr>
          <w:p w:rsidR="00CC00C1" w:rsidRPr="00CC00C1" w:rsidRDefault="00357665" w:rsidP="00CC00C1">
            <w:pPr>
              <w:widowControl/>
              <w:suppressAutoHyphens w:val="0"/>
              <w:autoSpaceDN/>
              <w:jc w:val="center"/>
              <w:textAlignment w:val="auto"/>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6</w:t>
            </w:r>
          </w:p>
        </w:tc>
        <w:tc>
          <w:tcPr>
            <w:tcW w:w="1180" w:type="dxa"/>
            <w:tcBorders>
              <w:top w:val="nil"/>
              <w:left w:val="nil"/>
              <w:bottom w:val="single" w:sz="4" w:space="0" w:color="auto"/>
              <w:right w:val="single" w:sz="8"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$309</w:t>
            </w:r>
          </w:p>
        </w:tc>
      </w:tr>
      <w:tr w:rsidR="00CC00C1" w:rsidRPr="00CC00C1" w:rsidTr="00CC00C1">
        <w:trPr>
          <w:trHeight w:val="435"/>
        </w:trPr>
        <w:tc>
          <w:tcPr>
            <w:tcW w:w="3880" w:type="dxa"/>
            <w:tcBorders>
              <w:top w:val="nil"/>
              <w:left w:val="single" w:sz="8" w:space="0" w:color="auto"/>
              <w:bottom w:val="single" w:sz="4" w:space="0" w:color="auto"/>
              <w:right w:val="single" w:sz="4" w:space="0" w:color="auto"/>
            </w:tcBorders>
            <w:shd w:val="clear" w:color="auto" w:fill="auto"/>
            <w:vAlign w:val="bottom"/>
            <w:hideMark/>
          </w:tcPr>
          <w:p w:rsidR="00CC00C1" w:rsidRPr="00CC00C1" w:rsidRDefault="00CC00C1" w:rsidP="00CC00C1">
            <w:pPr>
              <w:widowControl/>
              <w:suppressAutoHyphens w:val="0"/>
              <w:autoSpaceDN/>
              <w:ind w:firstLineChars="100" w:firstLine="200"/>
              <w:textAlignment w:val="auto"/>
              <w:rPr>
                <w:rFonts w:ascii="Arial" w:eastAsia="Times New Roman" w:hAnsi="Arial" w:cs="Arial"/>
                <w:i/>
                <w:iCs/>
                <w:kern w:val="0"/>
                <w:sz w:val="20"/>
                <w:szCs w:val="20"/>
                <w:lang w:eastAsia="en-US" w:bidi="ar-SA"/>
              </w:rPr>
            </w:pPr>
            <w:r w:rsidRPr="00CC00C1">
              <w:rPr>
                <w:rFonts w:ascii="Arial" w:eastAsia="Times New Roman" w:hAnsi="Arial" w:cs="Arial"/>
                <w:i/>
                <w:iCs/>
                <w:kern w:val="0"/>
                <w:sz w:val="20"/>
                <w:szCs w:val="20"/>
                <w:lang w:eastAsia="en-US" w:bidi="ar-SA"/>
              </w:rPr>
              <w:t>New CDX Registrations at $103/hour</w:t>
            </w:r>
          </w:p>
        </w:tc>
        <w:tc>
          <w:tcPr>
            <w:tcW w:w="128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1</w:t>
            </w:r>
          </w:p>
        </w:tc>
        <w:tc>
          <w:tcPr>
            <w:tcW w:w="138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1</w:t>
            </w:r>
          </w:p>
        </w:tc>
        <w:tc>
          <w:tcPr>
            <w:tcW w:w="154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1</w:t>
            </w:r>
          </w:p>
        </w:tc>
        <w:tc>
          <w:tcPr>
            <w:tcW w:w="1260" w:type="dxa"/>
            <w:tcBorders>
              <w:top w:val="nil"/>
              <w:left w:val="nil"/>
              <w:bottom w:val="single" w:sz="4" w:space="0" w:color="auto"/>
              <w:right w:val="single" w:sz="4" w:space="0" w:color="auto"/>
            </w:tcBorders>
            <w:shd w:val="clear" w:color="auto" w:fill="auto"/>
            <w:noWrap/>
            <w:vAlign w:val="bottom"/>
            <w:hideMark/>
          </w:tcPr>
          <w:p w:rsidR="00CC00C1" w:rsidRPr="00CC00C1" w:rsidRDefault="007C3517" w:rsidP="007C3517">
            <w:pPr>
              <w:widowControl/>
              <w:suppressAutoHyphens w:val="0"/>
              <w:autoSpaceDN/>
              <w:jc w:val="center"/>
              <w:textAlignment w:val="auto"/>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2</w:t>
            </w:r>
          </w:p>
        </w:tc>
        <w:tc>
          <w:tcPr>
            <w:tcW w:w="1300" w:type="dxa"/>
            <w:tcBorders>
              <w:top w:val="nil"/>
              <w:left w:val="nil"/>
              <w:bottom w:val="single" w:sz="4" w:space="0" w:color="auto"/>
              <w:right w:val="single" w:sz="4" w:space="0" w:color="auto"/>
            </w:tcBorders>
            <w:shd w:val="clear" w:color="auto" w:fill="auto"/>
            <w:noWrap/>
            <w:vAlign w:val="bottom"/>
            <w:hideMark/>
          </w:tcPr>
          <w:p w:rsidR="00CC00C1" w:rsidRPr="00CC00C1" w:rsidRDefault="00CC00C1" w:rsidP="00357665">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w:t>
            </w:r>
            <w:r w:rsidR="00357665">
              <w:rPr>
                <w:rFonts w:ascii="Arial" w:eastAsia="Times New Roman" w:hAnsi="Arial" w:cs="Arial"/>
                <w:kern w:val="0"/>
                <w:sz w:val="20"/>
                <w:szCs w:val="20"/>
                <w:lang w:eastAsia="en-US" w:bidi="ar-SA"/>
              </w:rPr>
              <w:t>206</w:t>
            </w:r>
          </w:p>
        </w:tc>
        <w:tc>
          <w:tcPr>
            <w:tcW w:w="980" w:type="dxa"/>
            <w:tcBorders>
              <w:top w:val="nil"/>
              <w:left w:val="nil"/>
              <w:bottom w:val="single" w:sz="4" w:space="0" w:color="auto"/>
              <w:right w:val="single" w:sz="4" w:space="0" w:color="auto"/>
            </w:tcBorders>
            <w:shd w:val="clear" w:color="auto" w:fill="auto"/>
            <w:noWrap/>
            <w:vAlign w:val="bottom"/>
            <w:hideMark/>
          </w:tcPr>
          <w:p w:rsidR="00CC00C1" w:rsidRPr="00CC00C1" w:rsidRDefault="00357665" w:rsidP="00CC00C1">
            <w:pPr>
              <w:widowControl/>
              <w:suppressAutoHyphens w:val="0"/>
              <w:autoSpaceDN/>
              <w:jc w:val="center"/>
              <w:textAlignment w:val="auto"/>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30</w:t>
            </w:r>
          </w:p>
        </w:tc>
        <w:tc>
          <w:tcPr>
            <w:tcW w:w="1180" w:type="dxa"/>
            <w:tcBorders>
              <w:top w:val="nil"/>
              <w:left w:val="nil"/>
              <w:bottom w:val="single" w:sz="4" w:space="0" w:color="auto"/>
              <w:right w:val="single" w:sz="8"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w:t>
            </w:r>
            <w:r w:rsidR="00143988">
              <w:rPr>
                <w:rFonts w:ascii="Arial" w:eastAsia="Times New Roman" w:hAnsi="Arial" w:cs="Arial"/>
                <w:kern w:val="0"/>
                <w:sz w:val="20"/>
                <w:szCs w:val="20"/>
                <w:lang w:eastAsia="en-US" w:bidi="ar-SA"/>
              </w:rPr>
              <w:t>103</w:t>
            </w:r>
          </w:p>
        </w:tc>
      </w:tr>
      <w:tr w:rsidR="00CC00C1" w:rsidRPr="00CC00C1" w:rsidTr="00CC00C1">
        <w:trPr>
          <w:trHeight w:val="705"/>
        </w:trPr>
        <w:tc>
          <w:tcPr>
            <w:tcW w:w="3880" w:type="dxa"/>
            <w:tcBorders>
              <w:top w:val="nil"/>
              <w:left w:val="single" w:sz="8" w:space="0" w:color="auto"/>
              <w:bottom w:val="single" w:sz="8"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TOTAL</w:t>
            </w:r>
          </w:p>
        </w:tc>
        <w:tc>
          <w:tcPr>
            <w:tcW w:w="1280" w:type="dxa"/>
            <w:tcBorders>
              <w:top w:val="nil"/>
              <w:left w:val="nil"/>
              <w:bottom w:val="single" w:sz="8"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5</w:t>
            </w:r>
          </w:p>
        </w:tc>
        <w:tc>
          <w:tcPr>
            <w:tcW w:w="1380" w:type="dxa"/>
            <w:tcBorders>
              <w:top w:val="nil"/>
              <w:left w:val="nil"/>
              <w:bottom w:val="single" w:sz="8"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 </w:t>
            </w:r>
          </w:p>
        </w:tc>
        <w:tc>
          <w:tcPr>
            <w:tcW w:w="1540" w:type="dxa"/>
            <w:tcBorders>
              <w:top w:val="nil"/>
              <w:left w:val="nil"/>
              <w:bottom w:val="single" w:sz="8"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5</w:t>
            </w:r>
          </w:p>
        </w:tc>
        <w:tc>
          <w:tcPr>
            <w:tcW w:w="1260" w:type="dxa"/>
            <w:tcBorders>
              <w:top w:val="nil"/>
              <w:left w:val="nil"/>
              <w:bottom w:val="single" w:sz="8"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 </w:t>
            </w:r>
          </w:p>
        </w:tc>
        <w:tc>
          <w:tcPr>
            <w:tcW w:w="1300" w:type="dxa"/>
            <w:tcBorders>
              <w:top w:val="nil"/>
              <w:left w:val="nil"/>
              <w:bottom w:val="single" w:sz="8" w:space="0" w:color="auto"/>
              <w:right w:val="single" w:sz="4" w:space="0" w:color="auto"/>
            </w:tcBorders>
            <w:shd w:val="clear" w:color="auto" w:fill="auto"/>
            <w:noWrap/>
            <w:vAlign w:val="bottom"/>
            <w:hideMark/>
          </w:tcPr>
          <w:p w:rsidR="00CC00C1" w:rsidRPr="00CC00C1" w:rsidRDefault="00CC00C1" w:rsidP="00CC00C1">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 </w:t>
            </w:r>
          </w:p>
        </w:tc>
        <w:tc>
          <w:tcPr>
            <w:tcW w:w="980" w:type="dxa"/>
            <w:tcBorders>
              <w:top w:val="nil"/>
              <w:left w:val="nil"/>
              <w:bottom w:val="single" w:sz="8" w:space="0" w:color="auto"/>
              <w:right w:val="single" w:sz="4" w:space="0" w:color="auto"/>
            </w:tcBorders>
            <w:shd w:val="clear" w:color="auto" w:fill="auto"/>
            <w:noWrap/>
            <w:vAlign w:val="bottom"/>
            <w:hideMark/>
          </w:tcPr>
          <w:p w:rsidR="00CC00C1" w:rsidRPr="00CC00C1" w:rsidRDefault="00357665" w:rsidP="00CC00C1">
            <w:pPr>
              <w:widowControl/>
              <w:suppressAutoHyphens w:val="0"/>
              <w:autoSpaceDN/>
              <w:jc w:val="center"/>
              <w:textAlignment w:val="auto"/>
              <w:rPr>
                <w:rFonts w:ascii="Arial" w:eastAsia="Times New Roman" w:hAnsi="Arial" w:cs="Arial"/>
                <w:b/>
                <w:bCs/>
                <w:kern w:val="0"/>
                <w:sz w:val="20"/>
                <w:szCs w:val="20"/>
                <w:lang w:eastAsia="en-US" w:bidi="ar-SA"/>
              </w:rPr>
            </w:pPr>
            <w:r>
              <w:rPr>
                <w:rFonts w:ascii="Arial" w:eastAsia="Times New Roman" w:hAnsi="Arial" w:cs="Arial"/>
                <w:b/>
                <w:bCs/>
                <w:kern w:val="0"/>
                <w:sz w:val="20"/>
                <w:szCs w:val="20"/>
                <w:lang w:eastAsia="en-US" w:bidi="ar-SA"/>
              </w:rPr>
              <w:t>44</w:t>
            </w:r>
          </w:p>
        </w:tc>
        <w:tc>
          <w:tcPr>
            <w:tcW w:w="1180" w:type="dxa"/>
            <w:tcBorders>
              <w:top w:val="nil"/>
              <w:left w:val="nil"/>
              <w:bottom w:val="single" w:sz="8" w:space="0" w:color="auto"/>
              <w:right w:val="single" w:sz="8" w:space="0" w:color="auto"/>
            </w:tcBorders>
            <w:shd w:val="clear" w:color="auto" w:fill="auto"/>
            <w:noWrap/>
            <w:vAlign w:val="bottom"/>
            <w:hideMark/>
          </w:tcPr>
          <w:p w:rsidR="00CC00C1" w:rsidRPr="00CC00C1" w:rsidRDefault="00CC00C1" w:rsidP="00357665">
            <w:pPr>
              <w:widowControl/>
              <w:suppressAutoHyphens w:val="0"/>
              <w:autoSpaceDN/>
              <w:jc w:val="center"/>
              <w:textAlignment w:val="auto"/>
              <w:rPr>
                <w:rFonts w:ascii="Arial" w:eastAsia="Times New Roman" w:hAnsi="Arial" w:cs="Arial"/>
                <w:b/>
                <w:bCs/>
                <w:kern w:val="0"/>
                <w:sz w:val="20"/>
                <w:szCs w:val="20"/>
                <w:lang w:eastAsia="en-US" w:bidi="ar-SA"/>
              </w:rPr>
            </w:pPr>
            <w:r w:rsidRPr="00CC00C1">
              <w:rPr>
                <w:rFonts w:ascii="Arial" w:eastAsia="Times New Roman" w:hAnsi="Arial" w:cs="Arial"/>
                <w:b/>
                <w:bCs/>
                <w:kern w:val="0"/>
                <w:sz w:val="20"/>
                <w:szCs w:val="20"/>
                <w:lang w:eastAsia="en-US" w:bidi="ar-SA"/>
              </w:rPr>
              <w:t>$</w:t>
            </w:r>
            <w:r w:rsidR="00357665">
              <w:rPr>
                <w:rFonts w:ascii="Arial" w:eastAsia="Times New Roman" w:hAnsi="Arial" w:cs="Arial"/>
                <w:b/>
                <w:bCs/>
                <w:kern w:val="0"/>
                <w:sz w:val="20"/>
                <w:szCs w:val="20"/>
                <w:lang w:eastAsia="en-US" w:bidi="ar-SA"/>
              </w:rPr>
              <w:t>4532</w:t>
            </w:r>
          </w:p>
        </w:tc>
      </w:tr>
      <w:tr w:rsidR="00CC00C1" w:rsidRPr="00CC00C1" w:rsidTr="00CC00C1">
        <w:trPr>
          <w:trHeight w:val="255"/>
        </w:trPr>
        <w:tc>
          <w:tcPr>
            <w:tcW w:w="38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color w:val="339966"/>
                <w:kern w:val="0"/>
                <w:sz w:val="20"/>
                <w:szCs w:val="20"/>
                <w:lang w:eastAsia="en-US" w:bidi="ar-SA"/>
              </w:rPr>
            </w:pPr>
          </w:p>
        </w:tc>
        <w:tc>
          <w:tcPr>
            <w:tcW w:w="12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3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54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30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u w:val="single"/>
                <w:lang w:eastAsia="en-US" w:bidi="ar-SA"/>
              </w:rPr>
            </w:pPr>
          </w:p>
        </w:tc>
        <w:tc>
          <w:tcPr>
            <w:tcW w:w="9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r>
      <w:tr w:rsidR="00CC00C1" w:rsidRPr="00CC00C1" w:rsidTr="00CC00C1">
        <w:trPr>
          <w:trHeight w:val="255"/>
        </w:trPr>
        <w:tc>
          <w:tcPr>
            <w:tcW w:w="38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Assumptions:</w:t>
            </w:r>
          </w:p>
        </w:tc>
        <w:tc>
          <w:tcPr>
            <w:tcW w:w="12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3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54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30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9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r>
      <w:tr w:rsidR="00CC00C1" w:rsidRPr="00CC00C1" w:rsidTr="00CC00C1">
        <w:trPr>
          <w:trHeight w:val="255"/>
        </w:trPr>
        <w:tc>
          <w:tcPr>
            <w:tcW w:w="38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10 F</w:t>
            </w:r>
            <w:r w:rsidRPr="00CC00C1">
              <w:rPr>
                <w:rFonts w:ascii="Arial" w:eastAsia="Times New Roman" w:hAnsi="Arial" w:cs="Arial"/>
                <w:kern w:val="0"/>
                <w:sz w:val="20"/>
                <w:szCs w:val="20"/>
                <w:lang w:eastAsia="en-US" w:bidi="ar-SA"/>
              </w:rPr>
              <w:t>oreign RIN Owners in party</w:t>
            </w:r>
          </w:p>
        </w:tc>
        <w:tc>
          <w:tcPr>
            <w:tcW w:w="12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3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54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30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9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r>
      <w:tr w:rsidR="00CC00C1" w:rsidRPr="00CC00C1" w:rsidTr="00CC00C1">
        <w:trPr>
          <w:trHeight w:val="255"/>
        </w:trPr>
        <w:tc>
          <w:tcPr>
            <w:tcW w:w="5160" w:type="dxa"/>
            <w:gridSpan w:val="2"/>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r w:rsidRPr="00CC00C1">
              <w:rPr>
                <w:rFonts w:ascii="Arial" w:eastAsia="Times New Roman" w:hAnsi="Arial" w:cs="Arial"/>
                <w:kern w:val="0"/>
                <w:sz w:val="20"/>
                <w:szCs w:val="20"/>
                <w:lang w:eastAsia="en-US" w:bidi="ar-SA"/>
              </w:rPr>
              <w:t xml:space="preserve">10% </w:t>
            </w:r>
            <w:r>
              <w:rPr>
                <w:rFonts w:ascii="Arial" w:eastAsia="Times New Roman" w:hAnsi="Arial" w:cs="Arial"/>
                <w:kern w:val="0"/>
                <w:sz w:val="20"/>
                <w:szCs w:val="20"/>
                <w:lang w:eastAsia="en-US" w:bidi="ar-SA"/>
              </w:rPr>
              <w:t>n</w:t>
            </w:r>
            <w:r w:rsidRPr="00CC00C1">
              <w:rPr>
                <w:rFonts w:ascii="Arial" w:eastAsia="Times New Roman" w:hAnsi="Arial" w:cs="Arial"/>
                <w:kern w:val="0"/>
                <w:sz w:val="20"/>
                <w:szCs w:val="20"/>
                <w:lang w:eastAsia="en-US" w:bidi="ar-SA"/>
              </w:rPr>
              <w:t xml:space="preserve">ew foreign RIN owner applications </w:t>
            </w:r>
          </w:p>
        </w:tc>
        <w:tc>
          <w:tcPr>
            <w:tcW w:w="13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54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30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9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r>
      <w:tr w:rsidR="00CC00C1" w:rsidRPr="00CC00C1" w:rsidTr="00CC00C1">
        <w:trPr>
          <w:trHeight w:val="255"/>
        </w:trPr>
        <w:tc>
          <w:tcPr>
            <w:tcW w:w="6540" w:type="dxa"/>
            <w:gridSpan w:val="3"/>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r>
              <w:rPr>
                <w:rFonts w:ascii="Arial" w:eastAsia="Times New Roman" w:hAnsi="Arial" w:cs="Arial"/>
                <w:kern w:val="0"/>
                <w:sz w:val="20"/>
                <w:szCs w:val="20"/>
                <w:lang w:eastAsia="en-US" w:bidi="ar-SA"/>
              </w:rPr>
              <w:t xml:space="preserve">30% </w:t>
            </w:r>
            <w:r w:rsidRPr="00CC00C1">
              <w:rPr>
                <w:rFonts w:ascii="Arial" w:eastAsia="Times New Roman" w:hAnsi="Arial" w:cs="Arial"/>
                <w:kern w:val="0"/>
                <w:sz w:val="20"/>
                <w:szCs w:val="20"/>
                <w:lang w:eastAsia="en-US" w:bidi="ar-SA"/>
              </w:rPr>
              <w:t>updates and corrections in Registration in CDX</w:t>
            </w:r>
          </w:p>
        </w:tc>
        <w:tc>
          <w:tcPr>
            <w:tcW w:w="154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26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30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9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c>
          <w:tcPr>
            <w:tcW w:w="1180" w:type="dxa"/>
            <w:tcBorders>
              <w:top w:val="nil"/>
              <w:left w:val="nil"/>
              <w:bottom w:val="nil"/>
              <w:right w:val="nil"/>
            </w:tcBorders>
            <w:shd w:val="clear" w:color="auto" w:fill="auto"/>
            <w:noWrap/>
            <w:vAlign w:val="bottom"/>
            <w:hideMark/>
          </w:tcPr>
          <w:p w:rsidR="00CC00C1" w:rsidRPr="00CC00C1" w:rsidRDefault="00CC00C1" w:rsidP="00CC00C1">
            <w:pPr>
              <w:widowControl/>
              <w:suppressAutoHyphens w:val="0"/>
              <w:autoSpaceDN/>
              <w:textAlignment w:val="auto"/>
              <w:rPr>
                <w:rFonts w:ascii="Arial" w:eastAsia="Times New Roman" w:hAnsi="Arial" w:cs="Arial"/>
                <w:kern w:val="0"/>
                <w:sz w:val="20"/>
                <w:szCs w:val="20"/>
                <w:lang w:eastAsia="en-US" w:bidi="ar-SA"/>
              </w:rPr>
            </w:pPr>
          </w:p>
        </w:tc>
      </w:tr>
    </w:tbl>
    <w:p w:rsidR="0058307D" w:rsidRDefault="0058307D">
      <w:pPr>
        <w:pStyle w:val="Standard"/>
        <w:sectPr w:rsidR="0058307D" w:rsidSect="008F3583">
          <w:pgSz w:w="15840" w:h="12240" w:orient="landscape"/>
          <w:pgMar w:top="1440" w:right="1440" w:bottom="1440" w:left="1440" w:header="720" w:footer="720" w:gutter="0"/>
          <w:cols w:space="720"/>
          <w:docGrid w:linePitch="326"/>
        </w:sectPr>
      </w:pPr>
    </w:p>
    <w:p w:rsidR="00DE102F" w:rsidRDefault="00012A9B">
      <w:pPr>
        <w:pStyle w:val="Standard"/>
      </w:pPr>
      <w:r>
        <w:lastRenderedPageBreak/>
        <w:tab/>
        <w:t>(</w:t>
      </w:r>
      <w:r w:rsidR="006E10B1">
        <w:t>c</w:t>
      </w:r>
      <w:r>
        <w:t>)</w:t>
      </w:r>
      <w:r w:rsidR="006E10B1">
        <w:t xml:space="preserve">  </w:t>
      </w:r>
      <w:r w:rsidR="006E10B1">
        <w:tab/>
        <w:t xml:space="preserve">Estimating the Agency Burden and Cost  </w:t>
      </w:r>
    </w:p>
    <w:p w:rsidR="00DE102F" w:rsidRDefault="00DE102F">
      <w:pPr>
        <w:pStyle w:val="Standard"/>
      </w:pPr>
    </w:p>
    <w:p w:rsidR="00DE102F" w:rsidRDefault="006E10B1">
      <w:pPr>
        <w:pStyle w:val="Standard"/>
      </w:pPr>
      <w:r>
        <w:tab/>
        <w:t>EPA must generate company and facility registration number(s) for new registrants and notify them of these numbers, which must appear on reports. Report formats and instructions/guidance must be prepared by Agency personnel.  Reports will be processed by contractors and must be reviewed by Agency personnel.  Reporting parties must be contacted if there is a problem with their submission. We have developed forms for RFS2 reporting to include four types, rather than one type, of RIN unlike the RFS1 templates. We have provided RFS2 reporting templates as an attachment to this document.</w:t>
      </w:r>
    </w:p>
    <w:p w:rsidR="00DE102F" w:rsidRDefault="006E10B1">
      <w:pPr>
        <w:pStyle w:val="Standard"/>
      </w:pPr>
      <w:r>
        <w:t xml:space="preserve"> </w:t>
      </w:r>
    </w:p>
    <w:p w:rsidR="00DE102F" w:rsidRDefault="006E10B1">
      <w:pPr>
        <w:pStyle w:val="Standard"/>
        <w:ind w:firstLine="720"/>
      </w:pPr>
      <w:r>
        <w:rPr>
          <w:i/>
        </w:rPr>
        <w:t>This supporting statement considers all Agency costs associated with accepting new registrants and new reports associated with RFS2, as expressed in EPA ICR Number 2333.02.</w:t>
      </w:r>
      <w:r>
        <w:t xml:space="preserve"> Using the RFS1, and the RFG and anti-dumping ICR, and other recent fuels-related ICRs as a guide in developing these initial estimates for RFS, we anticipate that RFS2 may require the equivalent labor of one full time GS-13 technical employees for a total of $115,000, and labor costs of $54,875 in the clerical category and $19,438 in the management category.</w:t>
      </w:r>
      <w:r w:rsidRPr="00DE102F">
        <w:rPr>
          <w:rStyle w:val="FootnoteReference"/>
        </w:rPr>
        <w:footnoteReference w:id="1"/>
      </w:r>
      <w:r>
        <w:t xml:space="preserve">  Since we are using the CDX, some costs incurred by the Agency will be tied to the number of registrants who send us reports.  Specifically, there is an annual "subscription cost" associated with the use of CDX that is passed on to the EPA program office and we estimate that registrants due to RFS2 will cost our office approximately $200,000 per year in 2013, 2015 and 2015.  We anticipate $266,666 in annual contract costs related to registration and reporting activities.  We anticipate IT development and testing costs at $ 600,000 divided by three years to yield an annual cost of $200,000.  Adding the following values results in an annual estimated Agency burden as follows:</w:t>
      </w:r>
    </w:p>
    <w:p w:rsidR="00DE102F" w:rsidRDefault="00DE102F">
      <w:pPr>
        <w:pStyle w:val="Standard"/>
        <w:ind w:firstLine="720"/>
      </w:pPr>
    </w:p>
    <w:p w:rsidR="00DE102F" w:rsidRDefault="006E10B1">
      <w:pPr>
        <w:pStyle w:val="Standard"/>
        <w:ind w:firstLine="720"/>
      </w:pPr>
      <w:r>
        <w:t xml:space="preserve">One GS-13 technical employee (full time) = </w:t>
      </w:r>
      <w:r>
        <w:tab/>
      </w:r>
      <w:r>
        <w:tab/>
        <w:t>$   115,000</w:t>
      </w:r>
    </w:p>
    <w:p w:rsidR="00DE102F" w:rsidRDefault="006E10B1">
      <w:pPr>
        <w:pStyle w:val="Standard"/>
        <w:ind w:firstLine="720"/>
      </w:pPr>
      <w:r>
        <w:t xml:space="preserve">One GS-7 clerical worker (full-time) </w:t>
      </w:r>
      <w:r>
        <w:tab/>
        <w:t xml:space="preserve"> = </w:t>
      </w:r>
      <w:r>
        <w:tab/>
        <w:t xml:space="preserve">      </w:t>
      </w:r>
      <w:r>
        <w:tab/>
        <w:t xml:space="preserve">       54,875</w:t>
      </w:r>
    </w:p>
    <w:p w:rsidR="00DE102F" w:rsidRDefault="006E10B1">
      <w:pPr>
        <w:pStyle w:val="Standard"/>
        <w:ind w:firstLine="720"/>
      </w:pPr>
      <w:r>
        <w:t xml:space="preserve">One GS-15 manager (1/8 time) </w:t>
      </w:r>
      <w:r>
        <w:tab/>
        <w:t xml:space="preserve"> = </w:t>
      </w:r>
      <w:r>
        <w:tab/>
      </w:r>
      <w:r>
        <w:tab/>
        <w:t xml:space="preserve">       19,438</w:t>
      </w:r>
    </w:p>
    <w:p w:rsidR="00DE102F" w:rsidRDefault="006E10B1">
      <w:pPr>
        <w:pStyle w:val="Standard"/>
        <w:ind w:firstLine="720"/>
      </w:pPr>
      <w:r>
        <w:t xml:space="preserve">Annual CDX subscription fee = </w:t>
      </w:r>
      <w:r>
        <w:tab/>
      </w:r>
      <w:r>
        <w:tab/>
      </w:r>
      <w:r>
        <w:tab/>
        <w:t xml:space="preserve">     200,000</w:t>
      </w:r>
    </w:p>
    <w:p w:rsidR="00DE102F" w:rsidRDefault="006E10B1">
      <w:pPr>
        <w:pStyle w:val="Standard"/>
        <w:ind w:firstLine="720"/>
      </w:pPr>
      <w:r>
        <w:t xml:space="preserve">Annual contract costs = </w:t>
      </w:r>
      <w:r>
        <w:tab/>
      </w:r>
      <w:r>
        <w:tab/>
      </w:r>
      <w:r>
        <w:tab/>
      </w:r>
      <w:r>
        <w:tab/>
        <w:t xml:space="preserve">     266,666</w:t>
      </w:r>
    </w:p>
    <w:p w:rsidR="00DE102F" w:rsidRDefault="006E10B1">
      <w:pPr>
        <w:pStyle w:val="Standard"/>
        <w:ind w:firstLine="720"/>
      </w:pPr>
      <w:r>
        <w:t xml:space="preserve">Testing and development= </w:t>
      </w:r>
      <w:r>
        <w:tab/>
      </w:r>
      <w:r>
        <w:tab/>
      </w:r>
      <w:r>
        <w:tab/>
      </w:r>
      <w:r>
        <w:tab/>
        <w:t xml:space="preserve">     200,000</w:t>
      </w:r>
    </w:p>
    <w:p w:rsidR="00DE102F" w:rsidRDefault="006E10B1">
      <w:pPr>
        <w:pStyle w:val="Standard"/>
        <w:ind w:firstLine="720"/>
        <w:rPr>
          <w:b/>
        </w:rPr>
      </w:pPr>
      <w:r>
        <w:rPr>
          <w:b/>
        </w:rPr>
        <w:t xml:space="preserve">TOTAL = </w:t>
      </w:r>
      <w:r>
        <w:rPr>
          <w:b/>
        </w:rPr>
        <w:tab/>
      </w:r>
      <w:r>
        <w:rPr>
          <w:b/>
        </w:rPr>
        <w:tab/>
      </w:r>
      <w:r>
        <w:rPr>
          <w:b/>
        </w:rPr>
        <w:tab/>
      </w:r>
      <w:r>
        <w:rPr>
          <w:b/>
        </w:rPr>
        <w:tab/>
      </w:r>
      <w:r>
        <w:rPr>
          <w:b/>
        </w:rPr>
        <w:tab/>
      </w:r>
      <w:r>
        <w:rPr>
          <w:b/>
        </w:rPr>
        <w:tab/>
        <w:t xml:space="preserve">   $855,979</w:t>
      </w:r>
    </w:p>
    <w:p w:rsidR="00DE102F" w:rsidRDefault="00DE102F">
      <w:pPr>
        <w:pStyle w:val="Standard"/>
        <w:ind w:firstLine="720"/>
      </w:pPr>
    </w:p>
    <w:p w:rsidR="00DE102F" w:rsidRDefault="006E10B1">
      <w:pPr>
        <w:pStyle w:val="Standard"/>
        <w:ind w:firstLine="720"/>
      </w:pPr>
      <w:r>
        <w:t xml:space="preserve">  As with all items in this supporting statement, we strongly encourage comment on the estimated Agency burden and on the Agency activities associated with this proposed information collection.    </w:t>
      </w:r>
    </w:p>
    <w:p w:rsidR="00DE102F" w:rsidRDefault="006E10B1">
      <w:pPr>
        <w:pStyle w:val="Standard"/>
      </w:pPr>
      <w:r>
        <w:tab/>
        <w:t xml:space="preserve">  </w:t>
      </w:r>
    </w:p>
    <w:p w:rsidR="00E103BE" w:rsidRDefault="00E103BE">
      <w:pPr>
        <w:pStyle w:val="Standard"/>
      </w:pPr>
    </w:p>
    <w:p w:rsidR="00E103BE" w:rsidRDefault="00E103BE">
      <w:pPr>
        <w:pStyle w:val="Standard"/>
      </w:pPr>
    </w:p>
    <w:p w:rsidR="00DE102F" w:rsidRDefault="00012A9B">
      <w:pPr>
        <w:pStyle w:val="Standard"/>
      </w:pPr>
      <w:r>
        <w:tab/>
        <w:t>(</w:t>
      </w:r>
      <w:r w:rsidR="006E10B1">
        <w:t>d</w:t>
      </w:r>
      <w:r>
        <w:t>)</w:t>
      </w:r>
      <w:r w:rsidR="006E10B1">
        <w:tab/>
        <w:t>Estimating the Respondent Universe</w:t>
      </w:r>
      <w:r w:rsidR="00935A21">
        <w:t xml:space="preserve"> </w:t>
      </w:r>
    </w:p>
    <w:p w:rsidR="00DE102F" w:rsidRDefault="00DE102F">
      <w:pPr>
        <w:pStyle w:val="Standard"/>
      </w:pPr>
    </w:p>
    <w:p w:rsidR="00DE102F" w:rsidRDefault="006E10B1">
      <w:pPr>
        <w:pStyle w:val="Standard"/>
      </w:pPr>
      <w:r>
        <w:tab/>
        <w:t xml:space="preserve">We were able to estimate the number of regulated entities drawing upon experience regulating the same or similar entities.  </w:t>
      </w:r>
    </w:p>
    <w:p w:rsidR="00DE102F" w:rsidRDefault="00DE102F">
      <w:pPr>
        <w:pStyle w:val="Standard"/>
      </w:pPr>
    </w:p>
    <w:p w:rsidR="00DE102F" w:rsidRDefault="00012A9B">
      <w:pPr>
        <w:pStyle w:val="Standard"/>
      </w:pPr>
      <w:r>
        <w:tab/>
        <w:t>(</w:t>
      </w:r>
      <w:r w:rsidR="006E10B1">
        <w:t>e</w:t>
      </w:r>
      <w:r>
        <w:t>)</w:t>
      </w:r>
      <w:r w:rsidR="006E10B1">
        <w:tab/>
        <w:t>Bottom Line Burden Hours and Costs</w:t>
      </w:r>
    </w:p>
    <w:p w:rsidR="00DE102F" w:rsidRDefault="00DE102F">
      <w:pPr>
        <w:pStyle w:val="Standard"/>
      </w:pPr>
    </w:p>
    <w:p w:rsidR="00DE102F" w:rsidRDefault="006E10B1">
      <w:pPr>
        <w:pStyle w:val="Standard"/>
      </w:pPr>
      <w:r>
        <w:tab/>
        <w:t>From the tables, we estimate the following annual totals:</w:t>
      </w:r>
    </w:p>
    <w:p w:rsidR="00DE102F" w:rsidRDefault="00DE102F">
      <w:pPr>
        <w:pStyle w:val="Standard"/>
      </w:pPr>
    </w:p>
    <w:p w:rsidR="00087888" w:rsidRDefault="006E10B1">
      <w:pPr>
        <w:pStyle w:val="Standard"/>
        <w:rPr>
          <w:b/>
        </w:rPr>
      </w:pPr>
      <w:r>
        <w:rPr>
          <w:b/>
        </w:rPr>
        <w:t xml:space="preserve">TOTAL NO. OF RESPONDENTS:    </w:t>
      </w:r>
      <w:r w:rsidR="00A32F1D">
        <w:rPr>
          <w:b/>
        </w:rPr>
        <w:t xml:space="preserve"> </w:t>
      </w:r>
      <w:r w:rsidR="00756EF6">
        <w:rPr>
          <w:b/>
        </w:rPr>
        <w:tab/>
      </w:r>
      <w:r w:rsidR="00C64E15">
        <w:rPr>
          <w:b/>
        </w:rPr>
        <w:t xml:space="preserve">  </w:t>
      </w:r>
      <w:r w:rsidR="00087888">
        <w:rPr>
          <w:b/>
        </w:rPr>
        <w:t>1</w:t>
      </w:r>
      <w:r w:rsidR="009303E7">
        <w:rPr>
          <w:b/>
        </w:rPr>
        <w:t>,</w:t>
      </w:r>
      <w:r w:rsidR="00C475A0" w:rsidDel="00C475A0">
        <w:rPr>
          <w:b/>
        </w:rPr>
        <w:t xml:space="preserve"> </w:t>
      </w:r>
      <w:r w:rsidR="00C475A0">
        <w:rPr>
          <w:b/>
        </w:rPr>
        <w:t>67</w:t>
      </w:r>
      <w:bookmarkStart w:id="0" w:name="_GoBack"/>
      <w:bookmarkEnd w:id="0"/>
      <w:r w:rsidR="00C475A0">
        <w:rPr>
          <w:b/>
        </w:rPr>
        <w:t>2</w:t>
      </w:r>
      <w:r w:rsidR="0040166A">
        <w:rPr>
          <w:b/>
        </w:rPr>
        <w:t xml:space="preserve"> </w:t>
      </w:r>
    </w:p>
    <w:p w:rsidR="00087888" w:rsidRDefault="006E10B1">
      <w:pPr>
        <w:pStyle w:val="Standard"/>
        <w:rPr>
          <w:b/>
        </w:rPr>
      </w:pPr>
      <w:r>
        <w:rPr>
          <w:b/>
        </w:rPr>
        <w:t>TOTAL NO. OF RESPONSES:</w:t>
      </w:r>
      <w:r>
        <w:rPr>
          <w:b/>
        </w:rPr>
        <w:tab/>
      </w:r>
      <w:r w:rsidR="00A32F1D">
        <w:rPr>
          <w:b/>
        </w:rPr>
        <w:t xml:space="preserve">     </w:t>
      </w:r>
      <w:r w:rsidR="00756EF6">
        <w:rPr>
          <w:b/>
        </w:rPr>
        <w:tab/>
      </w:r>
      <w:r w:rsidR="00C64E15">
        <w:rPr>
          <w:b/>
        </w:rPr>
        <w:t xml:space="preserve">   </w:t>
      </w:r>
      <w:r w:rsidR="00087888">
        <w:rPr>
          <w:b/>
        </w:rPr>
        <w:t>1</w:t>
      </w:r>
      <w:r w:rsidR="009303E7">
        <w:rPr>
          <w:b/>
        </w:rPr>
        <w:t>,</w:t>
      </w:r>
      <w:r w:rsidR="00087888">
        <w:rPr>
          <w:b/>
        </w:rPr>
        <w:t>192</w:t>
      </w:r>
    </w:p>
    <w:p w:rsidR="00143988" w:rsidRDefault="006E10B1">
      <w:pPr>
        <w:pStyle w:val="Standard"/>
        <w:rPr>
          <w:b/>
        </w:rPr>
      </w:pPr>
      <w:r>
        <w:rPr>
          <w:b/>
        </w:rPr>
        <w:t>TOTAL BURDEN HOURS:</w:t>
      </w:r>
      <w:r w:rsidR="00756EF6" w:rsidDel="00756EF6">
        <w:rPr>
          <w:b/>
        </w:rPr>
        <w:t xml:space="preserve"> </w:t>
      </w:r>
      <w:r w:rsidR="00756EF6">
        <w:rPr>
          <w:b/>
        </w:rPr>
        <w:tab/>
        <w:t xml:space="preserve">          </w:t>
      </w:r>
      <w:r w:rsidR="00C64E15">
        <w:rPr>
          <w:b/>
        </w:rPr>
        <w:t xml:space="preserve">   </w:t>
      </w:r>
      <w:r w:rsidR="004D2552">
        <w:rPr>
          <w:b/>
        </w:rPr>
        <w:t>15,</w:t>
      </w:r>
      <w:r w:rsidR="00756EF6">
        <w:rPr>
          <w:b/>
        </w:rPr>
        <w:t>518</w:t>
      </w:r>
    </w:p>
    <w:p w:rsidR="00DE102F" w:rsidRDefault="006E10B1">
      <w:pPr>
        <w:pStyle w:val="Standard"/>
        <w:rPr>
          <w:b/>
          <w:sz w:val="18"/>
          <w:szCs w:val="18"/>
        </w:rPr>
      </w:pPr>
      <w:r>
        <w:rPr>
          <w:b/>
        </w:rPr>
        <w:t xml:space="preserve">TOTAL COST TO RESPONDENTS: $ </w:t>
      </w:r>
      <w:r w:rsidR="00087888">
        <w:rPr>
          <w:b/>
        </w:rPr>
        <w:t>3,</w:t>
      </w:r>
      <w:r w:rsidR="00756EF6">
        <w:rPr>
          <w:b/>
        </w:rPr>
        <w:t>019</w:t>
      </w:r>
      <w:r w:rsidR="004D2552">
        <w:rPr>
          <w:b/>
        </w:rPr>
        <w:t>,</w:t>
      </w:r>
      <w:r w:rsidR="00756EF6">
        <w:rPr>
          <w:b/>
        </w:rPr>
        <w:t>754</w:t>
      </w:r>
    </w:p>
    <w:p w:rsidR="00143988" w:rsidRDefault="00143988">
      <w:pPr>
        <w:pStyle w:val="Standard"/>
      </w:pPr>
    </w:p>
    <w:p w:rsidR="00DE102F" w:rsidRDefault="00012A9B">
      <w:pPr>
        <w:pStyle w:val="Standard"/>
      </w:pPr>
      <w:r>
        <w:tab/>
        <w:t>(</w:t>
      </w:r>
      <w:r w:rsidR="006E10B1">
        <w:t>f</w:t>
      </w:r>
      <w:r>
        <w:t>)</w:t>
      </w:r>
      <w:r w:rsidR="006E10B1">
        <w:tab/>
        <w:t>Reason for Change in Burden</w:t>
      </w:r>
    </w:p>
    <w:p w:rsidR="00DE102F" w:rsidRDefault="00DE102F">
      <w:pPr>
        <w:pStyle w:val="Standard"/>
      </w:pPr>
    </w:p>
    <w:p w:rsidR="002E43FB" w:rsidRDefault="006E10B1" w:rsidP="002E43FB">
      <w:pPr>
        <w:pStyle w:val="Standard"/>
        <w:rPr>
          <w:rFonts w:cs="Times New Roman"/>
        </w:rPr>
      </w:pPr>
      <w:r>
        <w:tab/>
      </w:r>
      <w:r w:rsidR="002E43FB">
        <w:rPr>
          <w:rFonts w:cs="Times New Roman"/>
          <w:noProof/>
        </w:rPr>
        <w:t xml:space="preserve">There is a sharp decrease of  </w:t>
      </w:r>
      <w:r w:rsidR="004D2552">
        <w:rPr>
          <w:rFonts w:cs="Times New Roman"/>
          <w:noProof/>
        </w:rPr>
        <w:t>43,</w:t>
      </w:r>
      <w:r w:rsidR="00BB4191">
        <w:rPr>
          <w:rFonts w:cs="Times New Roman"/>
          <w:noProof/>
        </w:rPr>
        <w:t xml:space="preserve">215 </w:t>
      </w:r>
      <w:r w:rsidR="002E43FB">
        <w:rPr>
          <w:rFonts w:cs="Times New Roman"/>
          <w:noProof/>
        </w:rPr>
        <w:t xml:space="preserve">hours in the total estimated respondent burden compared to the ICR currently approved by OMB. The total burden hours will decrease from 58,733 to </w:t>
      </w:r>
      <w:r w:rsidR="005B1B60">
        <w:rPr>
          <w:rFonts w:cs="Times New Roman"/>
          <w:noProof/>
        </w:rPr>
        <w:t>15,</w:t>
      </w:r>
      <w:r w:rsidR="00756EF6">
        <w:rPr>
          <w:rFonts w:cs="Times New Roman"/>
          <w:noProof/>
        </w:rPr>
        <w:t xml:space="preserve">518 </w:t>
      </w:r>
      <w:r w:rsidR="002E43FB">
        <w:rPr>
          <w:rFonts w:cs="Times New Roman"/>
          <w:noProof/>
        </w:rPr>
        <w:t>and the total number of responses from 7</w:t>
      </w:r>
      <w:r w:rsidR="009303E7">
        <w:rPr>
          <w:rFonts w:cs="Times New Roman"/>
          <w:noProof/>
        </w:rPr>
        <w:t>,</w:t>
      </w:r>
      <w:r w:rsidR="002E43FB">
        <w:rPr>
          <w:rFonts w:cs="Times New Roman"/>
          <w:noProof/>
        </w:rPr>
        <w:t>396 to 1</w:t>
      </w:r>
      <w:r w:rsidR="009303E7">
        <w:rPr>
          <w:rFonts w:cs="Times New Roman"/>
          <w:noProof/>
        </w:rPr>
        <w:t>,</w:t>
      </w:r>
      <w:r w:rsidR="002E43FB">
        <w:rPr>
          <w:rFonts w:cs="Times New Roman"/>
          <w:noProof/>
        </w:rPr>
        <w:t>192, both notable drops.  This decrease was caused by members in the obligated parties once registered not being required to re-register their companies in this renewal. New registrations are required if a company aquires another or when a new company enters into a party.  The requirements of the current members in the obligated party are to submit updates and corrections to their current registration when needed in CDX.  The number in the respondent universe will decreased in all categories for the obligated parties thus lessoning the reporting burden for its members.</w:t>
      </w:r>
    </w:p>
    <w:p w:rsidR="00BD64A1" w:rsidRPr="00BB7D06" w:rsidRDefault="00BD64A1" w:rsidP="0097656B">
      <w:pPr>
        <w:pStyle w:val="Standard"/>
        <w:rPr>
          <w:rFonts w:cs="Times New Roman"/>
        </w:rPr>
      </w:pPr>
    </w:p>
    <w:p w:rsidR="00DE102F" w:rsidRDefault="006E10B1">
      <w:pPr>
        <w:pStyle w:val="Standard"/>
      </w:pPr>
      <w:r>
        <w:t xml:space="preserve"> </w:t>
      </w:r>
      <w:r w:rsidR="00E103BE">
        <w:tab/>
        <w:t>6(g)</w:t>
      </w:r>
      <w:r w:rsidR="00E103BE">
        <w:tab/>
      </w:r>
      <w:r>
        <w:t>Burden Statement</w:t>
      </w:r>
    </w:p>
    <w:p w:rsidR="00DE102F" w:rsidRDefault="00DE102F">
      <w:pPr>
        <w:pStyle w:val="Standard"/>
      </w:pPr>
    </w:p>
    <w:p w:rsidR="00DE102F" w:rsidRDefault="006E10B1">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 annual public reporting and recordkeeping burden for this collection of information is estimated to be</w:t>
      </w:r>
      <w:r w:rsidR="003D05B9">
        <w:t xml:space="preserve"> </w:t>
      </w:r>
      <w:r w:rsidR="007C20EC">
        <w:t>1</w:t>
      </w:r>
      <w:r w:rsidR="005B1B60">
        <w:t>3</w:t>
      </w:r>
      <w:r w:rsidR="003B71E7">
        <w:t xml:space="preserve"> </w:t>
      </w:r>
      <w:r>
        <w:t xml:space="preserve">hours per response (total number of hours divided by total number of responses).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DE102F" w:rsidRDefault="00DE102F">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102F" w:rsidRDefault="006E10B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EPA-HQ-OAR-2005-0161, which is available for online viewing at </w:t>
      </w:r>
      <w:hyperlink r:id="rId14" w:history="1">
        <w:r>
          <w:rPr>
            <w:color w:val="00000A"/>
          </w:rPr>
          <w:t>www.regulations.gov</w:t>
        </w:r>
      </w:hyperlink>
      <w:r>
        <w:t xml:space="preserve">,or in person viewing at the Air Docket in the EPA Docket Center in </w:t>
      </w:r>
      <w:r>
        <w:lastRenderedPageBreak/>
        <w:t>Washington, DC (EPA/DC).  The docket is located in the EPA West Building, 1301 Constitution Avenue, NW, Room 3334, and is open from 8:30 a.m. to 4:30 p.m., Eastern Standard Time, Monday through Friday, excluding legal holidays.  The telephone number for the Reading Room is (202) 566-1744, and the telephone number for the Air Docket is (202) 566-1742.</w:t>
      </w:r>
    </w:p>
    <w:p w:rsidR="00DE102F" w:rsidRDefault="006E10B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p>
    <w:p w:rsidR="00DE102F" w:rsidRDefault="006E10B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r w:rsidR="004D2552">
        <w:rPr>
          <w:color w:val="0F0F0F"/>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t>Also, you can send comments to the Office of Information and Regulatory Affairs, Office of Management and Budget, 725 17th Street, NW, Washington, D.C. 20503, Attention: Desk Officer for EPA.  Please include the EPA Docket ID Number EPA-HQ-OAR-2005-0161 and OMB Control Number 2060-0637 in any</w:t>
      </w:r>
      <w:r>
        <w:rPr>
          <w:color w:val="000000"/>
        </w:rPr>
        <w:t xml:space="preserve"> correspondence.</w:t>
      </w:r>
    </w:p>
    <w:p w:rsidR="00DE102F" w:rsidRDefault="006E10B1">
      <w:pPr>
        <w:pStyle w:val="Standard"/>
      </w:pPr>
      <w:r>
        <w:rPr>
          <w:color w:val="000000"/>
        </w:rPr>
        <w:t xml:space="preserve">       </w:t>
      </w:r>
    </w:p>
    <w:sectPr w:rsidR="00DE102F" w:rsidSect="0058307D">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ECB" w:rsidRDefault="002E1ECB" w:rsidP="00DE102F">
      <w:r>
        <w:separator/>
      </w:r>
    </w:p>
  </w:endnote>
  <w:endnote w:type="continuationSeparator" w:id="0">
    <w:p w:rsidR="002E1ECB" w:rsidRDefault="002E1ECB" w:rsidP="00DE10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F7" w:rsidRDefault="006514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F7" w:rsidRDefault="006514F7">
    <w:pPr>
      <w:pStyle w:val="Footer"/>
    </w:pPr>
  </w:p>
  <w:p w:rsidR="006514F7" w:rsidRDefault="006514F7">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F7" w:rsidRDefault="006514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ECB" w:rsidRDefault="002E1ECB" w:rsidP="00DE102F">
      <w:r w:rsidRPr="00DE102F">
        <w:rPr>
          <w:color w:val="000000"/>
        </w:rPr>
        <w:separator/>
      </w:r>
    </w:p>
  </w:footnote>
  <w:footnote w:type="continuationSeparator" w:id="0">
    <w:p w:rsidR="002E1ECB" w:rsidRDefault="002E1ECB" w:rsidP="00DE102F">
      <w:r>
        <w:continuationSeparator/>
      </w:r>
    </w:p>
  </w:footnote>
  <w:footnote w:id="1">
    <w:p w:rsidR="006514F7" w:rsidRDefault="006514F7">
      <w:pPr>
        <w:pStyle w:val="FootnoteText"/>
      </w:pPr>
      <w:r w:rsidRPr="00DE102F">
        <w:rPr>
          <w:rStyle w:val="FootnoteReference"/>
        </w:rPr>
        <w:footnoteRef/>
      </w:r>
      <w:r>
        <w:t xml:space="preserve"> These estimates are derived from "OPM Salary Table 2012-DCB," effective January 2012.  This table may be found at http://www.opm.gov/oca/06tables/indexGS.asp.  The extreme of step 10 was assumed for all categories.  We have assumed a full-time GS-7 clerical worker, one full-time GS-13 technical worker, and a GS-15 manager working one-eighth of his/her time managing this project (0.125).  All values were multiplied by 1.6 (which is a common factor utilized in ICRs to account for overhead costs). We rounded the resulting dollar value to the nearest thousand.  This cost is per year.</w:t>
      </w:r>
    </w:p>
    <w:p w:rsidR="006514F7" w:rsidRDefault="006514F7">
      <w:pPr>
        <w:pStyle w:val="FootnoteText"/>
      </w:pPr>
    </w:p>
    <w:p w:rsidR="006514F7" w:rsidRDefault="006514F7">
      <w:pPr>
        <w:pStyle w:val="Footnot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F7" w:rsidRDefault="006514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F7" w:rsidRDefault="006514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F7" w:rsidRDefault="006514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429"/>
    <w:multiLevelType w:val="multilevel"/>
    <w:tmpl w:val="7E260FD2"/>
    <w:styleLink w:val="WWNum8"/>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55B0993"/>
    <w:multiLevelType w:val="hybridMultilevel"/>
    <w:tmpl w:val="9B654A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47AF5"/>
    <w:multiLevelType w:val="multilevel"/>
    <w:tmpl w:val="A2DC6548"/>
    <w:styleLink w:val="WWNum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8E207DD"/>
    <w:multiLevelType w:val="multilevel"/>
    <w:tmpl w:val="B9E40A4E"/>
    <w:styleLink w:val="WWNum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C4610EA"/>
    <w:multiLevelType w:val="multilevel"/>
    <w:tmpl w:val="2AAEB7D8"/>
    <w:styleLink w:val="WWNum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nsid w:val="0D9B3242"/>
    <w:multiLevelType w:val="hybridMultilevel"/>
    <w:tmpl w:val="877C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AB79E0"/>
    <w:multiLevelType w:val="multilevel"/>
    <w:tmpl w:val="C2EA3FFA"/>
    <w:styleLink w:val="WWNum13"/>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3C40160"/>
    <w:multiLevelType w:val="multilevel"/>
    <w:tmpl w:val="C8029B96"/>
    <w:styleLink w:val="WWNum1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6D40318"/>
    <w:multiLevelType w:val="hybridMultilevel"/>
    <w:tmpl w:val="9530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617144"/>
    <w:multiLevelType w:val="multilevel"/>
    <w:tmpl w:val="33662240"/>
    <w:styleLink w:val="WWNum4"/>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nsid w:val="25833AAB"/>
    <w:multiLevelType w:val="multilevel"/>
    <w:tmpl w:val="C646E8E2"/>
    <w:styleLink w:val="WWNum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690233B"/>
    <w:multiLevelType w:val="multilevel"/>
    <w:tmpl w:val="6C682DA0"/>
    <w:styleLink w:val="WWNum1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nsid w:val="2A3E4D29"/>
    <w:multiLevelType w:val="multilevel"/>
    <w:tmpl w:val="E9F03C90"/>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2A7E7181"/>
    <w:multiLevelType w:val="multilevel"/>
    <w:tmpl w:val="4C98CE14"/>
    <w:styleLink w:val="WWNum1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CC37700"/>
    <w:multiLevelType w:val="hybridMultilevel"/>
    <w:tmpl w:val="CA24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45069"/>
    <w:multiLevelType w:val="hybridMultilevel"/>
    <w:tmpl w:val="FF00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4558B2"/>
    <w:multiLevelType w:val="hybridMultilevel"/>
    <w:tmpl w:val="31B8B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41EC0"/>
    <w:multiLevelType w:val="multilevel"/>
    <w:tmpl w:val="AF944D8A"/>
    <w:styleLink w:val="WWNum1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33A04BFA"/>
    <w:multiLevelType w:val="multilevel"/>
    <w:tmpl w:val="E86E6E82"/>
    <w:styleLink w:val="WWNum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351368FE"/>
    <w:multiLevelType w:val="hybridMultilevel"/>
    <w:tmpl w:val="2C0E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246DA8"/>
    <w:multiLevelType w:val="hybridMultilevel"/>
    <w:tmpl w:val="4540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24038"/>
    <w:multiLevelType w:val="hybridMultilevel"/>
    <w:tmpl w:val="BE8A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F36E87"/>
    <w:multiLevelType w:val="hybridMultilevel"/>
    <w:tmpl w:val="EAD4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893CC2"/>
    <w:multiLevelType w:val="hybridMultilevel"/>
    <w:tmpl w:val="9CB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8C066C"/>
    <w:multiLevelType w:val="hybridMultilevel"/>
    <w:tmpl w:val="125E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6930DC"/>
    <w:multiLevelType w:val="hybridMultilevel"/>
    <w:tmpl w:val="DD74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913F59"/>
    <w:multiLevelType w:val="hybridMultilevel"/>
    <w:tmpl w:val="40103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94149"/>
    <w:multiLevelType w:val="multilevel"/>
    <w:tmpl w:val="8676FCEA"/>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63E75B3F"/>
    <w:multiLevelType w:val="multilevel"/>
    <w:tmpl w:val="B8D8CBA8"/>
    <w:styleLink w:val="WWNum1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69982906"/>
    <w:multiLevelType w:val="multilevel"/>
    <w:tmpl w:val="2DF8C9FA"/>
    <w:styleLink w:val="WWNum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0">
    <w:nsid w:val="6A6B6758"/>
    <w:multiLevelType w:val="multilevel"/>
    <w:tmpl w:val="DF427752"/>
    <w:styleLink w:val="WWNum2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757C5CAB"/>
    <w:multiLevelType w:val="multilevel"/>
    <w:tmpl w:val="CFEC0F72"/>
    <w:styleLink w:val="WWNum1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77AC5728"/>
    <w:multiLevelType w:val="multilevel"/>
    <w:tmpl w:val="A60A756C"/>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795A4912"/>
    <w:multiLevelType w:val="multilevel"/>
    <w:tmpl w:val="EF4A81CC"/>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795E705F"/>
    <w:multiLevelType w:val="multilevel"/>
    <w:tmpl w:val="7576A816"/>
    <w:styleLink w:val="WWNum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29"/>
  </w:num>
  <w:num w:numId="3">
    <w:abstractNumId w:val="4"/>
  </w:num>
  <w:num w:numId="4">
    <w:abstractNumId w:val="9"/>
  </w:num>
  <w:num w:numId="5">
    <w:abstractNumId w:val="18"/>
  </w:num>
  <w:num w:numId="6">
    <w:abstractNumId w:val="2"/>
  </w:num>
  <w:num w:numId="7">
    <w:abstractNumId w:val="34"/>
  </w:num>
  <w:num w:numId="8">
    <w:abstractNumId w:val="0"/>
  </w:num>
  <w:num w:numId="9">
    <w:abstractNumId w:val="10"/>
  </w:num>
  <w:num w:numId="10">
    <w:abstractNumId w:val="31"/>
  </w:num>
  <w:num w:numId="11">
    <w:abstractNumId w:val="28"/>
  </w:num>
  <w:num w:numId="12">
    <w:abstractNumId w:val="17"/>
  </w:num>
  <w:num w:numId="13">
    <w:abstractNumId w:val="6"/>
  </w:num>
  <w:num w:numId="14">
    <w:abstractNumId w:val="32"/>
  </w:num>
  <w:num w:numId="15">
    <w:abstractNumId w:val="7"/>
  </w:num>
  <w:num w:numId="16">
    <w:abstractNumId w:val="13"/>
  </w:num>
  <w:num w:numId="17">
    <w:abstractNumId w:val="11"/>
  </w:num>
  <w:num w:numId="18">
    <w:abstractNumId w:val="27"/>
  </w:num>
  <w:num w:numId="19">
    <w:abstractNumId w:val="12"/>
  </w:num>
  <w:num w:numId="20">
    <w:abstractNumId w:val="33"/>
  </w:num>
  <w:num w:numId="21">
    <w:abstractNumId w:val="30"/>
  </w:num>
  <w:num w:numId="22">
    <w:abstractNumId w:val="29"/>
    <w:lvlOverride w:ilvl="0">
      <w:startOverride w:val="1"/>
    </w:lvlOverride>
  </w:num>
  <w:num w:numId="23">
    <w:abstractNumId w:val="12"/>
  </w:num>
  <w:num w:numId="24">
    <w:abstractNumId w:val="3"/>
  </w:num>
  <w:num w:numId="25">
    <w:abstractNumId w:val="8"/>
  </w:num>
  <w:num w:numId="26">
    <w:abstractNumId w:val="22"/>
  </w:num>
  <w:num w:numId="27">
    <w:abstractNumId w:val="26"/>
  </w:num>
  <w:num w:numId="28">
    <w:abstractNumId w:val="16"/>
  </w:num>
  <w:num w:numId="29">
    <w:abstractNumId w:val="25"/>
  </w:num>
  <w:num w:numId="30">
    <w:abstractNumId w:val="14"/>
  </w:num>
  <w:num w:numId="31">
    <w:abstractNumId w:val="1"/>
  </w:num>
  <w:num w:numId="32">
    <w:abstractNumId w:val="23"/>
  </w:num>
  <w:num w:numId="33">
    <w:abstractNumId w:val="20"/>
  </w:num>
  <w:num w:numId="34">
    <w:abstractNumId w:val="19"/>
  </w:num>
  <w:num w:numId="35">
    <w:abstractNumId w:val="21"/>
  </w:num>
  <w:num w:numId="36">
    <w:abstractNumId w:val="24"/>
  </w:num>
  <w:num w:numId="37">
    <w:abstractNumId w:val="5"/>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20"/>
  <w:autoHyphenation/>
  <w:evenAndOddHeaders/>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DE102F"/>
    <w:rsid w:val="00004FA4"/>
    <w:rsid w:val="00012A9B"/>
    <w:rsid w:val="000144A7"/>
    <w:rsid w:val="00016FCA"/>
    <w:rsid w:val="0002278E"/>
    <w:rsid w:val="00033BB5"/>
    <w:rsid w:val="00042D35"/>
    <w:rsid w:val="000463DD"/>
    <w:rsid w:val="00046432"/>
    <w:rsid w:val="00053294"/>
    <w:rsid w:val="00057A50"/>
    <w:rsid w:val="000604A7"/>
    <w:rsid w:val="00062914"/>
    <w:rsid w:val="00072012"/>
    <w:rsid w:val="00080FB8"/>
    <w:rsid w:val="00087888"/>
    <w:rsid w:val="000913D0"/>
    <w:rsid w:val="000A0B0A"/>
    <w:rsid w:val="000A5FC7"/>
    <w:rsid w:val="000A64C2"/>
    <w:rsid w:val="000A74DD"/>
    <w:rsid w:val="000B259B"/>
    <w:rsid w:val="000B3C3D"/>
    <w:rsid w:val="000C35F7"/>
    <w:rsid w:val="000D40C3"/>
    <w:rsid w:val="000E2DBD"/>
    <w:rsid w:val="001133E2"/>
    <w:rsid w:val="001148E5"/>
    <w:rsid w:val="00131D61"/>
    <w:rsid w:val="001329E2"/>
    <w:rsid w:val="00143988"/>
    <w:rsid w:val="001521FB"/>
    <w:rsid w:val="00160F92"/>
    <w:rsid w:val="001833F7"/>
    <w:rsid w:val="0018438A"/>
    <w:rsid w:val="00184A19"/>
    <w:rsid w:val="00187B5D"/>
    <w:rsid w:val="001A5BCC"/>
    <w:rsid w:val="001B0488"/>
    <w:rsid w:val="001B454E"/>
    <w:rsid w:val="001B4A57"/>
    <w:rsid w:val="001B73B1"/>
    <w:rsid w:val="001C1BFF"/>
    <w:rsid w:val="001C4657"/>
    <w:rsid w:val="001C5583"/>
    <w:rsid w:val="001E0F0D"/>
    <w:rsid w:val="00206746"/>
    <w:rsid w:val="00216B04"/>
    <w:rsid w:val="002175AD"/>
    <w:rsid w:val="00217A23"/>
    <w:rsid w:val="0022640C"/>
    <w:rsid w:val="002268DC"/>
    <w:rsid w:val="002318FF"/>
    <w:rsid w:val="00244304"/>
    <w:rsid w:val="00247A72"/>
    <w:rsid w:val="002613D1"/>
    <w:rsid w:val="00270DE6"/>
    <w:rsid w:val="00281F33"/>
    <w:rsid w:val="002A76D0"/>
    <w:rsid w:val="002B13AF"/>
    <w:rsid w:val="002C0239"/>
    <w:rsid w:val="002C7554"/>
    <w:rsid w:val="002D3BA3"/>
    <w:rsid w:val="002E1ECB"/>
    <w:rsid w:val="002E43FB"/>
    <w:rsid w:val="002E4E2A"/>
    <w:rsid w:val="002E516B"/>
    <w:rsid w:val="002E6B24"/>
    <w:rsid w:val="002F5D43"/>
    <w:rsid w:val="00313FDE"/>
    <w:rsid w:val="00314B0A"/>
    <w:rsid w:val="00320FF7"/>
    <w:rsid w:val="003418FF"/>
    <w:rsid w:val="00344BE2"/>
    <w:rsid w:val="00357264"/>
    <w:rsid w:val="00357665"/>
    <w:rsid w:val="003747BE"/>
    <w:rsid w:val="00376C60"/>
    <w:rsid w:val="0037793A"/>
    <w:rsid w:val="00381DB7"/>
    <w:rsid w:val="00391F28"/>
    <w:rsid w:val="003A1CCA"/>
    <w:rsid w:val="003A5DA4"/>
    <w:rsid w:val="003A6FAC"/>
    <w:rsid w:val="003B71E7"/>
    <w:rsid w:val="003C2A55"/>
    <w:rsid w:val="003C3E1D"/>
    <w:rsid w:val="003D05B9"/>
    <w:rsid w:val="003D0E4D"/>
    <w:rsid w:val="003F10F7"/>
    <w:rsid w:val="003F6BFD"/>
    <w:rsid w:val="0040166A"/>
    <w:rsid w:val="00403CC7"/>
    <w:rsid w:val="004115DB"/>
    <w:rsid w:val="0042401A"/>
    <w:rsid w:val="00447675"/>
    <w:rsid w:val="0045380F"/>
    <w:rsid w:val="004554A9"/>
    <w:rsid w:val="004667A0"/>
    <w:rsid w:val="00466B4C"/>
    <w:rsid w:val="004672A9"/>
    <w:rsid w:val="00471289"/>
    <w:rsid w:val="00477183"/>
    <w:rsid w:val="00496D5B"/>
    <w:rsid w:val="004D2552"/>
    <w:rsid w:val="004D593B"/>
    <w:rsid w:val="004D6681"/>
    <w:rsid w:val="004D7FAB"/>
    <w:rsid w:val="004F6261"/>
    <w:rsid w:val="0050492E"/>
    <w:rsid w:val="0053658F"/>
    <w:rsid w:val="005415C1"/>
    <w:rsid w:val="005456E3"/>
    <w:rsid w:val="005603A5"/>
    <w:rsid w:val="005668A9"/>
    <w:rsid w:val="0058307D"/>
    <w:rsid w:val="005967BE"/>
    <w:rsid w:val="005A7C19"/>
    <w:rsid w:val="005B1B60"/>
    <w:rsid w:val="005C4F80"/>
    <w:rsid w:val="005C52C0"/>
    <w:rsid w:val="005D3FBE"/>
    <w:rsid w:val="005D780E"/>
    <w:rsid w:val="005E5294"/>
    <w:rsid w:val="005F2B21"/>
    <w:rsid w:val="006107BA"/>
    <w:rsid w:val="00610E34"/>
    <w:rsid w:val="00626C85"/>
    <w:rsid w:val="00632914"/>
    <w:rsid w:val="00637DA2"/>
    <w:rsid w:val="00641175"/>
    <w:rsid w:val="006514F7"/>
    <w:rsid w:val="00651A15"/>
    <w:rsid w:val="00652464"/>
    <w:rsid w:val="006623FD"/>
    <w:rsid w:val="006662AA"/>
    <w:rsid w:val="00672ED7"/>
    <w:rsid w:val="00675EDF"/>
    <w:rsid w:val="006770FF"/>
    <w:rsid w:val="006808AE"/>
    <w:rsid w:val="00683740"/>
    <w:rsid w:val="0069574F"/>
    <w:rsid w:val="006A1955"/>
    <w:rsid w:val="006A3B24"/>
    <w:rsid w:val="006A625E"/>
    <w:rsid w:val="006B7E80"/>
    <w:rsid w:val="006E10B1"/>
    <w:rsid w:val="006E59E6"/>
    <w:rsid w:val="006F2270"/>
    <w:rsid w:val="006F4761"/>
    <w:rsid w:val="007025B7"/>
    <w:rsid w:val="00706497"/>
    <w:rsid w:val="00706595"/>
    <w:rsid w:val="00706FEC"/>
    <w:rsid w:val="00707BA2"/>
    <w:rsid w:val="00710EC8"/>
    <w:rsid w:val="00713339"/>
    <w:rsid w:val="007200DE"/>
    <w:rsid w:val="0072344B"/>
    <w:rsid w:val="0073681E"/>
    <w:rsid w:val="007372BB"/>
    <w:rsid w:val="00741533"/>
    <w:rsid w:val="0074371A"/>
    <w:rsid w:val="007479A5"/>
    <w:rsid w:val="00756EF6"/>
    <w:rsid w:val="00760196"/>
    <w:rsid w:val="00762D88"/>
    <w:rsid w:val="00763279"/>
    <w:rsid w:val="00763D70"/>
    <w:rsid w:val="00775627"/>
    <w:rsid w:val="00783D3A"/>
    <w:rsid w:val="00786B87"/>
    <w:rsid w:val="007A1E11"/>
    <w:rsid w:val="007B039B"/>
    <w:rsid w:val="007C119D"/>
    <w:rsid w:val="007C20EC"/>
    <w:rsid w:val="007C21E6"/>
    <w:rsid w:val="007C3517"/>
    <w:rsid w:val="007C6494"/>
    <w:rsid w:val="007D4CD0"/>
    <w:rsid w:val="007F1696"/>
    <w:rsid w:val="00816EB5"/>
    <w:rsid w:val="0082282C"/>
    <w:rsid w:val="00822F09"/>
    <w:rsid w:val="008356DD"/>
    <w:rsid w:val="00842ACB"/>
    <w:rsid w:val="0087549A"/>
    <w:rsid w:val="00877ADC"/>
    <w:rsid w:val="00892C56"/>
    <w:rsid w:val="008A3D25"/>
    <w:rsid w:val="008A5A23"/>
    <w:rsid w:val="008A6053"/>
    <w:rsid w:val="008B073A"/>
    <w:rsid w:val="008B5B6D"/>
    <w:rsid w:val="008D20CB"/>
    <w:rsid w:val="008D2A12"/>
    <w:rsid w:val="008E2991"/>
    <w:rsid w:val="008E2C9A"/>
    <w:rsid w:val="008E3D35"/>
    <w:rsid w:val="008E4C81"/>
    <w:rsid w:val="008E509B"/>
    <w:rsid w:val="008E7DCE"/>
    <w:rsid w:val="008F05ED"/>
    <w:rsid w:val="008F3583"/>
    <w:rsid w:val="008F5609"/>
    <w:rsid w:val="009031F1"/>
    <w:rsid w:val="009212E6"/>
    <w:rsid w:val="009303E7"/>
    <w:rsid w:val="00933EE8"/>
    <w:rsid w:val="0093507C"/>
    <w:rsid w:val="00935A21"/>
    <w:rsid w:val="00956424"/>
    <w:rsid w:val="009606F1"/>
    <w:rsid w:val="0096644A"/>
    <w:rsid w:val="00970F97"/>
    <w:rsid w:val="00973D80"/>
    <w:rsid w:val="0097656B"/>
    <w:rsid w:val="00984E7C"/>
    <w:rsid w:val="009A6504"/>
    <w:rsid w:val="009A7B16"/>
    <w:rsid w:val="009B536F"/>
    <w:rsid w:val="009B69CC"/>
    <w:rsid w:val="009C4028"/>
    <w:rsid w:val="009C46B6"/>
    <w:rsid w:val="009C5222"/>
    <w:rsid w:val="009D41BC"/>
    <w:rsid w:val="009D4623"/>
    <w:rsid w:val="009D77A6"/>
    <w:rsid w:val="009E3D9E"/>
    <w:rsid w:val="009E7775"/>
    <w:rsid w:val="009F15FE"/>
    <w:rsid w:val="009F440E"/>
    <w:rsid w:val="009F59C1"/>
    <w:rsid w:val="009F7286"/>
    <w:rsid w:val="00A01A7D"/>
    <w:rsid w:val="00A32F1D"/>
    <w:rsid w:val="00A5472F"/>
    <w:rsid w:val="00A60030"/>
    <w:rsid w:val="00A63C47"/>
    <w:rsid w:val="00A67293"/>
    <w:rsid w:val="00A81CB5"/>
    <w:rsid w:val="00A82030"/>
    <w:rsid w:val="00A867DF"/>
    <w:rsid w:val="00A9403C"/>
    <w:rsid w:val="00A97468"/>
    <w:rsid w:val="00AA322A"/>
    <w:rsid w:val="00AA6057"/>
    <w:rsid w:val="00AA6A7B"/>
    <w:rsid w:val="00AD0D08"/>
    <w:rsid w:val="00AD109D"/>
    <w:rsid w:val="00AD53B1"/>
    <w:rsid w:val="00AD6FEC"/>
    <w:rsid w:val="00AE537F"/>
    <w:rsid w:val="00B00E9B"/>
    <w:rsid w:val="00B110E4"/>
    <w:rsid w:val="00B149F4"/>
    <w:rsid w:val="00B15ED8"/>
    <w:rsid w:val="00B26E87"/>
    <w:rsid w:val="00B4055C"/>
    <w:rsid w:val="00B83022"/>
    <w:rsid w:val="00B84178"/>
    <w:rsid w:val="00B92436"/>
    <w:rsid w:val="00BA021E"/>
    <w:rsid w:val="00BA769D"/>
    <w:rsid w:val="00BB1D87"/>
    <w:rsid w:val="00BB3C91"/>
    <w:rsid w:val="00BB4191"/>
    <w:rsid w:val="00BB4E05"/>
    <w:rsid w:val="00BB70B2"/>
    <w:rsid w:val="00BD63FF"/>
    <w:rsid w:val="00BD64A1"/>
    <w:rsid w:val="00BF4C26"/>
    <w:rsid w:val="00C03191"/>
    <w:rsid w:val="00C1454B"/>
    <w:rsid w:val="00C15594"/>
    <w:rsid w:val="00C30C66"/>
    <w:rsid w:val="00C31670"/>
    <w:rsid w:val="00C355AE"/>
    <w:rsid w:val="00C420DB"/>
    <w:rsid w:val="00C45EA7"/>
    <w:rsid w:val="00C475A0"/>
    <w:rsid w:val="00C51170"/>
    <w:rsid w:val="00C62191"/>
    <w:rsid w:val="00C64E15"/>
    <w:rsid w:val="00C70B4B"/>
    <w:rsid w:val="00C75930"/>
    <w:rsid w:val="00C93423"/>
    <w:rsid w:val="00CA748D"/>
    <w:rsid w:val="00CC00C1"/>
    <w:rsid w:val="00CE326D"/>
    <w:rsid w:val="00CF4B48"/>
    <w:rsid w:val="00D4293F"/>
    <w:rsid w:val="00D56B92"/>
    <w:rsid w:val="00D650C0"/>
    <w:rsid w:val="00D71663"/>
    <w:rsid w:val="00D92BDE"/>
    <w:rsid w:val="00D94D0D"/>
    <w:rsid w:val="00D95F3D"/>
    <w:rsid w:val="00DA163D"/>
    <w:rsid w:val="00DA31E4"/>
    <w:rsid w:val="00DA4B0A"/>
    <w:rsid w:val="00DA666A"/>
    <w:rsid w:val="00DA72DD"/>
    <w:rsid w:val="00DB6FE2"/>
    <w:rsid w:val="00DD6E8C"/>
    <w:rsid w:val="00DD6EE6"/>
    <w:rsid w:val="00DD7EEA"/>
    <w:rsid w:val="00DE102F"/>
    <w:rsid w:val="00DE4C74"/>
    <w:rsid w:val="00E0613B"/>
    <w:rsid w:val="00E06AE9"/>
    <w:rsid w:val="00E103BE"/>
    <w:rsid w:val="00E17E29"/>
    <w:rsid w:val="00E31540"/>
    <w:rsid w:val="00E33BEC"/>
    <w:rsid w:val="00E36434"/>
    <w:rsid w:val="00E4087A"/>
    <w:rsid w:val="00E415F0"/>
    <w:rsid w:val="00E424F6"/>
    <w:rsid w:val="00E53EEC"/>
    <w:rsid w:val="00E56E3D"/>
    <w:rsid w:val="00E63D31"/>
    <w:rsid w:val="00E661EF"/>
    <w:rsid w:val="00E830D2"/>
    <w:rsid w:val="00E83348"/>
    <w:rsid w:val="00E85A8B"/>
    <w:rsid w:val="00E9461D"/>
    <w:rsid w:val="00E94794"/>
    <w:rsid w:val="00EA5403"/>
    <w:rsid w:val="00EB2E34"/>
    <w:rsid w:val="00EC4803"/>
    <w:rsid w:val="00EC690D"/>
    <w:rsid w:val="00ED14AA"/>
    <w:rsid w:val="00ED2351"/>
    <w:rsid w:val="00ED5CA8"/>
    <w:rsid w:val="00EF6701"/>
    <w:rsid w:val="00F03C9D"/>
    <w:rsid w:val="00F03DB7"/>
    <w:rsid w:val="00F177E4"/>
    <w:rsid w:val="00F17C18"/>
    <w:rsid w:val="00F2090D"/>
    <w:rsid w:val="00F54C13"/>
    <w:rsid w:val="00F94FE5"/>
    <w:rsid w:val="00FA6FE9"/>
    <w:rsid w:val="00FB0DD0"/>
    <w:rsid w:val="00FC11B7"/>
    <w:rsid w:val="00FC3A7D"/>
    <w:rsid w:val="00FC48FF"/>
    <w:rsid w:val="00FE500B"/>
    <w:rsid w:val="00FF39BD"/>
    <w:rsid w:val="00FF5B8E"/>
    <w:rsid w:val="00FF7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102F"/>
    <w:pPr>
      <w:suppressAutoHyphens/>
    </w:pPr>
  </w:style>
  <w:style w:type="paragraph" w:styleId="Heading1">
    <w:name w:val="heading 1"/>
    <w:basedOn w:val="Normal"/>
    <w:next w:val="Normal"/>
    <w:link w:val="Heading1Char"/>
    <w:uiPriority w:val="9"/>
    <w:qFormat/>
    <w:rsid w:val="00FE500B"/>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E102F"/>
    <w:pPr>
      <w:widowControl/>
      <w:suppressAutoHyphens/>
    </w:pPr>
  </w:style>
  <w:style w:type="paragraph" w:customStyle="1" w:styleId="Heading">
    <w:name w:val="Heading"/>
    <w:basedOn w:val="Standard"/>
    <w:next w:val="Textbody"/>
    <w:rsid w:val="00DE102F"/>
    <w:pPr>
      <w:keepNext/>
      <w:spacing w:before="240" w:after="120"/>
    </w:pPr>
    <w:rPr>
      <w:rFonts w:ascii="Arial" w:eastAsia="Microsoft YaHei" w:hAnsi="Arial"/>
      <w:sz w:val="28"/>
      <w:szCs w:val="28"/>
    </w:rPr>
  </w:style>
  <w:style w:type="paragraph" w:customStyle="1" w:styleId="Textbody">
    <w:name w:val="Text body"/>
    <w:basedOn w:val="Standard"/>
    <w:rsid w:val="00DE102F"/>
    <w:pPr>
      <w:spacing w:after="120"/>
    </w:pPr>
  </w:style>
  <w:style w:type="paragraph" w:styleId="List">
    <w:name w:val="List"/>
    <w:basedOn w:val="Textbody"/>
    <w:rsid w:val="00DE102F"/>
  </w:style>
  <w:style w:type="paragraph" w:styleId="Caption">
    <w:name w:val="caption"/>
    <w:basedOn w:val="Standard"/>
    <w:rsid w:val="00DE102F"/>
    <w:pPr>
      <w:suppressLineNumbers/>
      <w:spacing w:before="120" w:after="120"/>
    </w:pPr>
    <w:rPr>
      <w:i/>
      <w:iCs/>
    </w:rPr>
  </w:style>
  <w:style w:type="paragraph" w:customStyle="1" w:styleId="Index">
    <w:name w:val="Index"/>
    <w:basedOn w:val="Standard"/>
    <w:rsid w:val="00DE102F"/>
    <w:pPr>
      <w:suppressLineNumbers/>
    </w:pPr>
  </w:style>
  <w:style w:type="paragraph" w:styleId="Footer">
    <w:name w:val="footer"/>
    <w:basedOn w:val="Standard"/>
    <w:rsid w:val="00DE102F"/>
    <w:pPr>
      <w:suppressLineNumbers/>
      <w:tabs>
        <w:tab w:val="center" w:pos="4320"/>
        <w:tab w:val="right" w:pos="8640"/>
      </w:tabs>
    </w:pPr>
  </w:style>
  <w:style w:type="paragraph" w:styleId="BalloonText">
    <w:name w:val="Balloon Text"/>
    <w:basedOn w:val="Standard"/>
    <w:rsid w:val="00DE102F"/>
    <w:rPr>
      <w:rFonts w:ascii="Tahoma" w:hAnsi="Tahoma" w:cs="Tahoma"/>
      <w:sz w:val="16"/>
      <w:szCs w:val="16"/>
    </w:rPr>
  </w:style>
  <w:style w:type="paragraph" w:styleId="FootnoteText">
    <w:name w:val="footnote text"/>
    <w:basedOn w:val="Standard"/>
    <w:rsid w:val="00DE102F"/>
    <w:rPr>
      <w:sz w:val="20"/>
    </w:rPr>
  </w:style>
  <w:style w:type="paragraph" w:styleId="DocumentMap">
    <w:name w:val="Document Map"/>
    <w:basedOn w:val="Standard"/>
    <w:rsid w:val="00DE102F"/>
    <w:pPr>
      <w:shd w:val="clear" w:color="auto" w:fill="000080"/>
    </w:pPr>
    <w:rPr>
      <w:rFonts w:ascii="Tahoma" w:hAnsi="Tahoma" w:cs="Tahoma"/>
      <w:sz w:val="20"/>
    </w:rPr>
  </w:style>
  <w:style w:type="paragraph" w:styleId="Header">
    <w:name w:val="header"/>
    <w:basedOn w:val="Standard"/>
    <w:rsid w:val="00DE102F"/>
    <w:pPr>
      <w:suppressLineNumbers/>
      <w:tabs>
        <w:tab w:val="center" w:pos="4320"/>
        <w:tab w:val="right" w:pos="8640"/>
      </w:tabs>
    </w:pPr>
  </w:style>
  <w:style w:type="paragraph" w:styleId="CommentText">
    <w:name w:val="annotation text"/>
    <w:basedOn w:val="Standard"/>
    <w:rsid w:val="00DE102F"/>
    <w:rPr>
      <w:sz w:val="20"/>
    </w:rPr>
  </w:style>
  <w:style w:type="paragraph" w:styleId="CommentSubject">
    <w:name w:val="annotation subject"/>
    <w:basedOn w:val="CommentText"/>
    <w:rsid w:val="00DE102F"/>
    <w:rPr>
      <w:b/>
      <w:bCs/>
    </w:rPr>
  </w:style>
  <w:style w:type="paragraph" w:styleId="Revision">
    <w:name w:val="Revision"/>
    <w:rsid w:val="00DE102F"/>
    <w:pPr>
      <w:widowControl/>
      <w:suppressAutoHyphens/>
    </w:pPr>
  </w:style>
  <w:style w:type="paragraph" w:styleId="ListParagraph">
    <w:name w:val="List Paragraph"/>
    <w:basedOn w:val="Standard"/>
    <w:rsid w:val="00DE102F"/>
    <w:pPr>
      <w:ind w:left="720"/>
    </w:pPr>
  </w:style>
  <w:style w:type="paragraph" w:customStyle="1" w:styleId="Footnote">
    <w:name w:val="Footnote"/>
    <w:basedOn w:val="Standard"/>
    <w:rsid w:val="00DE102F"/>
    <w:pPr>
      <w:suppressLineNumbers/>
      <w:ind w:left="283" w:hanging="283"/>
    </w:pPr>
    <w:rPr>
      <w:sz w:val="20"/>
      <w:szCs w:val="20"/>
    </w:rPr>
  </w:style>
  <w:style w:type="character" w:customStyle="1" w:styleId="Internetlink">
    <w:name w:val="Internet link"/>
    <w:basedOn w:val="DefaultParagraphFont"/>
    <w:rsid w:val="00DE102F"/>
    <w:rPr>
      <w:rFonts w:cs="Times New Roman"/>
      <w:color w:val="0000FF"/>
      <w:u w:val="single"/>
    </w:rPr>
  </w:style>
  <w:style w:type="character" w:customStyle="1" w:styleId="FooterChar">
    <w:name w:val="Footer Char"/>
    <w:basedOn w:val="DefaultParagraphFont"/>
    <w:rsid w:val="00DE102F"/>
    <w:rPr>
      <w:sz w:val="24"/>
      <w:lang w:val="en-US" w:eastAsia="en-US" w:bidi="ar-SA"/>
    </w:rPr>
  </w:style>
  <w:style w:type="character" w:styleId="PageNumber">
    <w:name w:val="page number"/>
    <w:basedOn w:val="DefaultParagraphFont"/>
    <w:rsid w:val="00DE102F"/>
    <w:rPr>
      <w:rFonts w:cs="Times New Roman"/>
    </w:rPr>
  </w:style>
  <w:style w:type="character" w:customStyle="1" w:styleId="BalloonTextChar">
    <w:name w:val="Balloon Text Char"/>
    <w:basedOn w:val="DefaultParagraphFont"/>
    <w:rsid w:val="00DE102F"/>
    <w:rPr>
      <w:rFonts w:ascii="Tahoma" w:hAnsi="Tahoma" w:cs="Tahoma"/>
      <w:sz w:val="16"/>
      <w:szCs w:val="16"/>
      <w:lang w:val="en-US" w:eastAsia="en-US" w:bidi="ar-SA"/>
    </w:rPr>
  </w:style>
  <w:style w:type="character" w:customStyle="1" w:styleId="FootnoteTextChar">
    <w:name w:val="Footnote Text Char"/>
    <w:basedOn w:val="DefaultParagraphFont"/>
    <w:rsid w:val="00DE102F"/>
    <w:rPr>
      <w:lang w:val="en-US" w:eastAsia="en-US" w:bidi="ar-SA"/>
    </w:rPr>
  </w:style>
  <w:style w:type="character" w:styleId="FootnoteReference">
    <w:name w:val="footnote reference"/>
    <w:basedOn w:val="DefaultParagraphFont"/>
    <w:rsid w:val="00DE102F"/>
    <w:rPr>
      <w:rFonts w:cs="Times New Roman"/>
      <w:position w:val="0"/>
      <w:vertAlign w:val="superscript"/>
    </w:rPr>
  </w:style>
  <w:style w:type="character" w:customStyle="1" w:styleId="DocumentMapChar">
    <w:name w:val="Document Map Char"/>
    <w:basedOn w:val="DefaultParagraphFont"/>
    <w:rsid w:val="00DE102F"/>
    <w:rPr>
      <w:rFonts w:ascii="Tahoma" w:hAnsi="Tahoma" w:cs="Tahoma"/>
      <w:lang w:val="en-US" w:eastAsia="en-US" w:bidi="ar-SA"/>
    </w:rPr>
  </w:style>
  <w:style w:type="character" w:customStyle="1" w:styleId="HeaderChar">
    <w:name w:val="Header Char"/>
    <w:basedOn w:val="DefaultParagraphFont"/>
    <w:rsid w:val="00DE102F"/>
    <w:rPr>
      <w:sz w:val="24"/>
      <w:lang w:val="en-US" w:eastAsia="en-US" w:bidi="ar-SA"/>
    </w:rPr>
  </w:style>
  <w:style w:type="character" w:customStyle="1" w:styleId="CommentTextChar">
    <w:name w:val="Comment Text Char"/>
    <w:basedOn w:val="DefaultParagraphFont"/>
    <w:rsid w:val="00DE102F"/>
    <w:rPr>
      <w:lang w:val="en-US" w:eastAsia="en-US" w:bidi="ar-SA"/>
    </w:rPr>
  </w:style>
  <w:style w:type="character" w:customStyle="1" w:styleId="CommentSubjectChar">
    <w:name w:val="Comment Subject Char"/>
    <w:basedOn w:val="CommentTextChar"/>
    <w:rsid w:val="00DE102F"/>
    <w:rPr>
      <w:b/>
      <w:bCs/>
      <w:lang w:val="en-US" w:eastAsia="en-US" w:bidi="ar-SA"/>
    </w:rPr>
  </w:style>
  <w:style w:type="character" w:styleId="CommentReference">
    <w:name w:val="annotation reference"/>
    <w:basedOn w:val="DefaultParagraphFont"/>
    <w:rsid w:val="00DE102F"/>
    <w:rPr>
      <w:sz w:val="16"/>
      <w:szCs w:val="16"/>
    </w:rPr>
  </w:style>
  <w:style w:type="character" w:customStyle="1" w:styleId="ListLabel1">
    <w:name w:val="ListLabel 1"/>
    <w:rsid w:val="00DE102F"/>
    <w:rPr>
      <w:rFonts w:cs="Times New Roman"/>
    </w:rPr>
  </w:style>
  <w:style w:type="character" w:customStyle="1" w:styleId="ListLabel2">
    <w:name w:val="ListLabel 2"/>
    <w:rsid w:val="00DE102F"/>
    <w:rPr>
      <w:rFonts w:cs="Courier New"/>
    </w:rPr>
  </w:style>
  <w:style w:type="character" w:customStyle="1" w:styleId="FootnoteSymbol">
    <w:name w:val="Footnote Symbol"/>
    <w:rsid w:val="00DE102F"/>
  </w:style>
  <w:style w:type="character" w:customStyle="1" w:styleId="Footnoteanchor">
    <w:name w:val="Footnote anchor"/>
    <w:rsid w:val="00DE102F"/>
    <w:rPr>
      <w:position w:val="0"/>
      <w:vertAlign w:val="superscript"/>
    </w:rPr>
  </w:style>
  <w:style w:type="numbering" w:customStyle="1" w:styleId="WWNum1">
    <w:name w:val="WWNum1"/>
    <w:basedOn w:val="NoList"/>
    <w:rsid w:val="00DE102F"/>
    <w:pPr>
      <w:numPr>
        <w:numId w:val="1"/>
      </w:numPr>
    </w:pPr>
  </w:style>
  <w:style w:type="numbering" w:customStyle="1" w:styleId="WWNum2">
    <w:name w:val="WWNum2"/>
    <w:basedOn w:val="NoList"/>
    <w:rsid w:val="00DE102F"/>
    <w:pPr>
      <w:numPr>
        <w:numId w:val="2"/>
      </w:numPr>
    </w:pPr>
  </w:style>
  <w:style w:type="numbering" w:customStyle="1" w:styleId="WWNum3">
    <w:name w:val="WWNum3"/>
    <w:basedOn w:val="NoList"/>
    <w:rsid w:val="00DE102F"/>
    <w:pPr>
      <w:numPr>
        <w:numId w:val="3"/>
      </w:numPr>
    </w:pPr>
  </w:style>
  <w:style w:type="numbering" w:customStyle="1" w:styleId="WWNum4">
    <w:name w:val="WWNum4"/>
    <w:basedOn w:val="NoList"/>
    <w:rsid w:val="00DE102F"/>
    <w:pPr>
      <w:numPr>
        <w:numId w:val="4"/>
      </w:numPr>
    </w:pPr>
  </w:style>
  <w:style w:type="numbering" w:customStyle="1" w:styleId="WWNum5">
    <w:name w:val="WWNum5"/>
    <w:basedOn w:val="NoList"/>
    <w:rsid w:val="00DE102F"/>
    <w:pPr>
      <w:numPr>
        <w:numId w:val="5"/>
      </w:numPr>
    </w:pPr>
  </w:style>
  <w:style w:type="numbering" w:customStyle="1" w:styleId="WWNum6">
    <w:name w:val="WWNum6"/>
    <w:basedOn w:val="NoList"/>
    <w:rsid w:val="00DE102F"/>
    <w:pPr>
      <w:numPr>
        <w:numId w:val="6"/>
      </w:numPr>
    </w:pPr>
  </w:style>
  <w:style w:type="numbering" w:customStyle="1" w:styleId="WWNum7">
    <w:name w:val="WWNum7"/>
    <w:basedOn w:val="NoList"/>
    <w:rsid w:val="00DE102F"/>
    <w:pPr>
      <w:numPr>
        <w:numId w:val="7"/>
      </w:numPr>
    </w:pPr>
  </w:style>
  <w:style w:type="numbering" w:customStyle="1" w:styleId="WWNum8">
    <w:name w:val="WWNum8"/>
    <w:basedOn w:val="NoList"/>
    <w:rsid w:val="00DE102F"/>
    <w:pPr>
      <w:numPr>
        <w:numId w:val="8"/>
      </w:numPr>
    </w:pPr>
  </w:style>
  <w:style w:type="numbering" w:customStyle="1" w:styleId="WWNum9">
    <w:name w:val="WWNum9"/>
    <w:basedOn w:val="NoList"/>
    <w:rsid w:val="00DE102F"/>
    <w:pPr>
      <w:numPr>
        <w:numId w:val="9"/>
      </w:numPr>
    </w:pPr>
  </w:style>
  <w:style w:type="numbering" w:customStyle="1" w:styleId="WWNum10">
    <w:name w:val="WWNum10"/>
    <w:basedOn w:val="NoList"/>
    <w:rsid w:val="00DE102F"/>
    <w:pPr>
      <w:numPr>
        <w:numId w:val="10"/>
      </w:numPr>
    </w:pPr>
  </w:style>
  <w:style w:type="numbering" w:customStyle="1" w:styleId="WWNum11">
    <w:name w:val="WWNum11"/>
    <w:basedOn w:val="NoList"/>
    <w:rsid w:val="00DE102F"/>
    <w:pPr>
      <w:numPr>
        <w:numId w:val="11"/>
      </w:numPr>
    </w:pPr>
  </w:style>
  <w:style w:type="numbering" w:customStyle="1" w:styleId="WWNum12">
    <w:name w:val="WWNum12"/>
    <w:basedOn w:val="NoList"/>
    <w:rsid w:val="00DE102F"/>
    <w:pPr>
      <w:numPr>
        <w:numId w:val="12"/>
      </w:numPr>
    </w:pPr>
  </w:style>
  <w:style w:type="numbering" w:customStyle="1" w:styleId="WWNum13">
    <w:name w:val="WWNum13"/>
    <w:basedOn w:val="NoList"/>
    <w:rsid w:val="00DE102F"/>
    <w:pPr>
      <w:numPr>
        <w:numId w:val="13"/>
      </w:numPr>
    </w:pPr>
  </w:style>
  <w:style w:type="numbering" w:customStyle="1" w:styleId="WWNum14">
    <w:name w:val="WWNum14"/>
    <w:basedOn w:val="NoList"/>
    <w:rsid w:val="00DE102F"/>
    <w:pPr>
      <w:numPr>
        <w:numId w:val="14"/>
      </w:numPr>
    </w:pPr>
  </w:style>
  <w:style w:type="numbering" w:customStyle="1" w:styleId="WWNum15">
    <w:name w:val="WWNum15"/>
    <w:basedOn w:val="NoList"/>
    <w:rsid w:val="00DE102F"/>
    <w:pPr>
      <w:numPr>
        <w:numId w:val="15"/>
      </w:numPr>
    </w:pPr>
  </w:style>
  <w:style w:type="numbering" w:customStyle="1" w:styleId="WWNum16">
    <w:name w:val="WWNum16"/>
    <w:basedOn w:val="NoList"/>
    <w:rsid w:val="00DE102F"/>
    <w:pPr>
      <w:numPr>
        <w:numId w:val="16"/>
      </w:numPr>
    </w:pPr>
  </w:style>
  <w:style w:type="numbering" w:customStyle="1" w:styleId="WWNum17">
    <w:name w:val="WWNum17"/>
    <w:basedOn w:val="NoList"/>
    <w:rsid w:val="00DE102F"/>
    <w:pPr>
      <w:numPr>
        <w:numId w:val="17"/>
      </w:numPr>
    </w:pPr>
  </w:style>
  <w:style w:type="numbering" w:customStyle="1" w:styleId="WWNum18">
    <w:name w:val="WWNum18"/>
    <w:basedOn w:val="NoList"/>
    <w:rsid w:val="00DE102F"/>
    <w:pPr>
      <w:numPr>
        <w:numId w:val="18"/>
      </w:numPr>
    </w:pPr>
  </w:style>
  <w:style w:type="numbering" w:customStyle="1" w:styleId="WWNum19">
    <w:name w:val="WWNum19"/>
    <w:basedOn w:val="NoList"/>
    <w:rsid w:val="00DE102F"/>
    <w:pPr>
      <w:numPr>
        <w:numId w:val="19"/>
      </w:numPr>
    </w:pPr>
  </w:style>
  <w:style w:type="numbering" w:customStyle="1" w:styleId="WWNum20">
    <w:name w:val="WWNum20"/>
    <w:basedOn w:val="NoList"/>
    <w:rsid w:val="00DE102F"/>
    <w:pPr>
      <w:numPr>
        <w:numId w:val="20"/>
      </w:numPr>
    </w:pPr>
  </w:style>
  <w:style w:type="numbering" w:customStyle="1" w:styleId="WWNum21">
    <w:name w:val="WWNum21"/>
    <w:basedOn w:val="NoList"/>
    <w:rsid w:val="00DE102F"/>
    <w:pPr>
      <w:numPr>
        <w:numId w:val="21"/>
      </w:numPr>
    </w:pPr>
  </w:style>
  <w:style w:type="character" w:customStyle="1" w:styleId="st1">
    <w:name w:val="st1"/>
    <w:basedOn w:val="DefaultParagraphFont"/>
    <w:rsid w:val="008D20CB"/>
  </w:style>
  <w:style w:type="character" w:customStyle="1" w:styleId="bodywhite161">
    <w:name w:val="bodywhite161"/>
    <w:basedOn w:val="DefaultParagraphFont"/>
    <w:rsid w:val="000B3C3D"/>
    <w:rPr>
      <w:rFonts w:ascii="Arial" w:hAnsi="Arial" w:cs="Arial" w:hint="default"/>
      <w:b w:val="0"/>
      <w:bCs w:val="0"/>
      <w:i w:val="0"/>
      <w:iCs w:val="0"/>
      <w:color w:val="FFFFFF"/>
      <w:sz w:val="18"/>
      <w:szCs w:val="18"/>
    </w:rPr>
  </w:style>
  <w:style w:type="character" w:customStyle="1" w:styleId="Heading1Char">
    <w:name w:val="Heading 1 Char"/>
    <w:basedOn w:val="DefaultParagraphFont"/>
    <w:link w:val="Heading1"/>
    <w:uiPriority w:val="9"/>
    <w:rsid w:val="00FE500B"/>
    <w:rPr>
      <w:rFonts w:asciiTheme="majorHAnsi" w:eastAsiaTheme="majorEastAsia" w:hAnsiTheme="majorHAnsi"/>
      <w:b/>
      <w:bCs/>
      <w:color w:val="365F91" w:themeColor="accent1" w:themeShade="BF"/>
      <w:sz w:val="28"/>
      <w:szCs w:val="25"/>
    </w:rPr>
  </w:style>
  <w:style w:type="paragraph" w:customStyle="1" w:styleId="Default">
    <w:name w:val="Default"/>
    <w:rsid w:val="000604A7"/>
    <w:pPr>
      <w:widowControl/>
      <w:autoSpaceDE w:val="0"/>
      <w:adjustRightInd w:val="0"/>
      <w:textAlignment w:val="auto"/>
    </w:pPr>
    <w:rPr>
      <w:rFonts w:ascii="Arial" w:hAnsi="Arial" w:cs="Arial"/>
      <w:color w:val="000000"/>
      <w:kern w:val="0"/>
      <w:lang w:bidi="ar-SA"/>
    </w:rPr>
  </w:style>
  <w:style w:type="paragraph" w:customStyle="1" w:styleId="CM27">
    <w:name w:val="CM27"/>
    <w:basedOn w:val="Default"/>
    <w:next w:val="Default"/>
    <w:uiPriority w:val="99"/>
    <w:rsid w:val="000604A7"/>
    <w:rPr>
      <w:color w:val="auto"/>
    </w:rPr>
  </w:style>
  <w:style w:type="paragraph" w:customStyle="1" w:styleId="CM17">
    <w:name w:val="CM17"/>
    <w:basedOn w:val="Default"/>
    <w:next w:val="Default"/>
    <w:uiPriority w:val="99"/>
    <w:rsid w:val="00C03191"/>
    <w:pPr>
      <w:spacing w:line="276" w:lineRule="atLeast"/>
    </w:pPr>
    <w:rPr>
      <w:color w:val="auto"/>
    </w:rPr>
  </w:style>
  <w:style w:type="table" w:styleId="TableGrid">
    <w:name w:val="Table Grid"/>
    <w:basedOn w:val="TableNormal"/>
    <w:uiPriority w:val="59"/>
    <w:rsid w:val="00DE4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E4C7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DE4C7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E4C7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E4C74"/>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Emphasis">
    <w:name w:val="Emphasis"/>
    <w:basedOn w:val="DefaultParagraphFont"/>
    <w:uiPriority w:val="20"/>
    <w:qFormat/>
    <w:rsid w:val="00016FCA"/>
    <w:rPr>
      <w:b/>
      <w:bCs/>
      <w:i w:val="0"/>
      <w:iCs w:val="0"/>
    </w:rPr>
  </w:style>
</w:styles>
</file>

<file path=word/webSettings.xml><?xml version="1.0" encoding="utf-8"?>
<w:webSettings xmlns:r="http://schemas.openxmlformats.org/officeDocument/2006/relationships" xmlns:w="http://schemas.openxmlformats.org/wordprocessingml/2006/main">
  <w:divs>
    <w:div w:id="77097888">
      <w:bodyDiv w:val="1"/>
      <w:marLeft w:val="0"/>
      <w:marRight w:val="0"/>
      <w:marTop w:val="0"/>
      <w:marBottom w:val="0"/>
      <w:divBdr>
        <w:top w:val="none" w:sz="0" w:space="0" w:color="auto"/>
        <w:left w:val="none" w:sz="0" w:space="0" w:color="auto"/>
        <w:bottom w:val="none" w:sz="0" w:space="0" w:color="auto"/>
        <w:right w:val="none" w:sz="0" w:space="0" w:color="auto"/>
      </w:divBdr>
    </w:div>
    <w:div w:id="81805691">
      <w:bodyDiv w:val="1"/>
      <w:marLeft w:val="0"/>
      <w:marRight w:val="0"/>
      <w:marTop w:val="0"/>
      <w:marBottom w:val="0"/>
      <w:divBdr>
        <w:top w:val="none" w:sz="0" w:space="0" w:color="auto"/>
        <w:left w:val="none" w:sz="0" w:space="0" w:color="auto"/>
        <w:bottom w:val="none" w:sz="0" w:space="0" w:color="auto"/>
        <w:right w:val="none" w:sz="0" w:space="0" w:color="auto"/>
      </w:divBdr>
    </w:div>
    <w:div w:id="99302050">
      <w:bodyDiv w:val="1"/>
      <w:marLeft w:val="0"/>
      <w:marRight w:val="0"/>
      <w:marTop w:val="0"/>
      <w:marBottom w:val="0"/>
      <w:divBdr>
        <w:top w:val="none" w:sz="0" w:space="0" w:color="auto"/>
        <w:left w:val="none" w:sz="0" w:space="0" w:color="auto"/>
        <w:bottom w:val="none" w:sz="0" w:space="0" w:color="auto"/>
        <w:right w:val="none" w:sz="0" w:space="0" w:color="auto"/>
      </w:divBdr>
    </w:div>
    <w:div w:id="133379459">
      <w:bodyDiv w:val="1"/>
      <w:marLeft w:val="0"/>
      <w:marRight w:val="0"/>
      <w:marTop w:val="0"/>
      <w:marBottom w:val="0"/>
      <w:divBdr>
        <w:top w:val="none" w:sz="0" w:space="0" w:color="auto"/>
        <w:left w:val="none" w:sz="0" w:space="0" w:color="auto"/>
        <w:bottom w:val="none" w:sz="0" w:space="0" w:color="auto"/>
        <w:right w:val="none" w:sz="0" w:space="0" w:color="auto"/>
      </w:divBdr>
    </w:div>
    <w:div w:id="246690860">
      <w:bodyDiv w:val="1"/>
      <w:marLeft w:val="0"/>
      <w:marRight w:val="0"/>
      <w:marTop w:val="0"/>
      <w:marBottom w:val="0"/>
      <w:divBdr>
        <w:top w:val="none" w:sz="0" w:space="0" w:color="auto"/>
        <w:left w:val="none" w:sz="0" w:space="0" w:color="auto"/>
        <w:bottom w:val="none" w:sz="0" w:space="0" w:color="auto"/>
        <w:right w:val="none" w:sz="0" w:space="0" w:color="auto"/>
      </w:divBdr>
    </w:div>
    <w:div w:id="290675874">
      <w:bodyDiv w:val="1"/>
      <w:marLeft w:val="0"/>
      <w:marRight w:val="0"/>
      <w:marTop w:val="0"/>
      <w:marBottom w:val="0"/>
      <w:divBdr>
        <w:top w:val="none" w:sz="0" w:space="0" w:color="auto"/>
        <w:left w:val="none" w:sz="0" w:space="0" w:color="auto"/>
        <w:bottom w:val="none" w:sz="0" w:space="0" w:color="auto"/>
        <w:right w:val="none" w:sz="0" w:space="0" w:color="auto"/>
      </w:divBdr>
    </w:div>
    <w:div w:id="331566633">
      <w:bodyDiv w:val="1"/>
      <w:marLeft w:val="0"/>
      <w:marRight w:val="0"/>
      <w:marTop w:val="0"/>
      <w:marBottom w:val="0"/>
      <w:divBdr>
        <w:top w:val="none" w:sz="0" w:space="0" w:color="auto"/>
        <w:left w:val="none" w:sz="0" w:space="0" w:color="auto"/>
        <w:bottom w:val="none" w:sz="0" w:space="0" w:color="auto"/>
        <w:right w:val="none" w:sz="0" w:space="0" w:color="auto"/>
      </w:divBdr>
    </w:div>
    <w:div w:id="415133514">
      <w:bodyDiv w:val="1"/>
      <w:marLeft w:val="0"/>
      <w:marRight w:val="0"/>
      <w:marTop w:val="0"/>
      <w:marBottom w:val="0"/>
      <w:divBdr>
        <w:top w:val="none" w:sz="0" w:space="0" w:color="auto"/>
        <w:left w:val="none" w:sz="0" w:space="0" w:color="auto"/>
        <w:bottom w:val="none" w:sz="0" w:space="0" w:color="auto"/>
        <w:right w:val="none" w:sz="0" w:space="0" w:color="auto"/>
      </w:divBdr>
    </w:div>
    <w:div w:id="426000382">
      <w:bodyDiv w:val="1"/>
      <w:marLeft w:val="0"/>
      <w:marRight w:val="0"/>
      <w:marTop w:val="0"/>
      <w:marBottom w:val="0"/>
      <w:divBdr>
        <w:top w:val="none" w:sz="0" w:space="0" w:color="auto"/>
        <w:left w:val="none" w:sz="0" w:space="0" w:color="auto"/>
        <w:bottom w:val="none" w:sz="0" w:space="0" w:color="auto"/>
        <w:right w:val="none" w:sz="0" w:space="0" w:color="auto"/>
      </w:divBdr>
    </w:div>
    <w:div w:id="428430190">
      <w:bodyDiv w:val="1"/>
      <w:marLeft w:val="0"/>
      <w:marRight w:val="0"/>
      <w:marTop w:val="0"/>
      <w:marBottom w:val="0"/>
      <w:divBdr>
        <w:top w:val="none" w:sz="0" w:space="0" w:color="auto"/>
        <w:left w:val="none" w:sz="0" w:space="0" w:color="auto"/>
        <w:bottom w:val="none" w:sz="0" w:space="0" w:color="auto"/>
        <w:right w:val="none" w:sz="0" w:space="0" w:color="auto"/>
      </w:divBdr>
    </w:div>
    <w:div w:id="442457951">
      <w:bodyDiv w:val="1"/>
      <w:marLeft w:val="0"/>
      <w:marRight w:val="0"/>
      <w:marTop w:val="0"/>
      <w:marBottom w:val="0"/>
      <w:divBdr>
        <w:top w:val="none" w:sz="0" w:space="0" w:color="auto"/>
        <w:left w:val="none" w:sz="0" w:space="0" w:color="auto"/>
        <w:bottom w:val="none" w:sz="0" w:space="0" w:color="auto"/>
        <w:right w:val="none" w:sz="0" w:space="0" w:color="auto"/>
      </w:divBdr>
    </w:div>
    <w:div w:id="449054972">
      <w:bodyDiv w:val="1"/>
      <w:marLeft w:val="0"/>
      <w:marRight w:val="0"/>
      <w:marTop w:val="0"/>
      <w:marBottom w:val="0"/>
      <w:divBdr>
        <w:top w:val="none" w:sz="0" w:space="0" w:color="auto"/>
        <w:left w:val="none" w:sz="0" w:space="0" w:color="auto"/>
        <w:bottom w:val="none" w:sz="0" w:space="0" w:color="auto"/>
        <w:right w:val="none" w:sz="0" w:space="0" w:color="auto"/>
      </w:divBdr>
    </w:div>
    <w:div w:id="549338847">
      <w:bodyDiv w:val="1"/>
      <w:marLeft w:val="0"/>
      <w:marRight w:val="0"/>
      <w:marTop w:val="0"/>
      <w:marBottom w:val="0"/>
      <w:divBdr>
        <w:top w:val="none" w:sz="0" w:space="0" w:color="auto"/>
        <w:left w:val="none" w:sz="0" w:space="0" w:color="auto"/>
        <w:bottom w:val="none" w:sz="0" w:space="0" w:color="auto"/>
        <w:right w:val="none" w:sz="0" w:space="0" w:color="auto"/>
      </w:divBdr>
    </w:div>
    <w:div w:id="556622419">
      <w:bodyDiv w:val="1"/>
      <w:marLeft w:val="0"/>
      <w:marRight w:val="0"/>
      <w:marTop w:val="0"/>
      <w:marBottom w:val="0"/>
      <w:divBdr>
        <w:top w:val="none" w:sz="0" w:space="0" w:color="auto"/>
        <w:left w:val="none" w:sz="0" w:space="0" w:color="auto"/>
        <w:bottom w:val="none" w:sz="0" w:space="0" w:color="auto"/>
        <w:right w:val="none" w:sz="0" w:space="0" w:color="auto"/>
      </w:divBdr>
    </w:div>
    <w:div w:id="669601734">
      <w:bodyDiv w:val="1"/>
      <w:marLeft w:val="0"/>
      <w:marRight w:val="0"/>
      <w:marTop w:val="0"/>
      <w:marBottom w:val="0"/>
      <w:divBdr>
        <w:top w:val="none" w:sz="0" w:space="0" w:color="auto"/>
        <w:left w:val="none" w:sz="0" w:space="0" w:color="auto"/>
        <w:bottom w:val="none" w:sz="0" w:space="0" w:color="auto"/>
        <w:right w:val="none" w:sz="0" w:space="0" w:color="auto"/>
      </w:divBdr>
    </w:div>
    <w:div w:id="677075137">
      <w:bodyDiv w:val="1"/>
      <w:marLeft w:val="0"/>
      <w:marRight w:val="0"/>
      <w:marTop w:val="0"/>
      <w:marBottom w:val="0"/>
      <w:divBdr>
        <w:top w:val="none" w:sz="0" w:space="0" w:color="auto"/>
        <w:left w:val="none" w:sz="0" w:space="0" w:color="auto"/>
        <w:bottom w:val="none" w:sz="0" w:space="0" w:color="auto"/>
        <w:right w:val="none" w:sz="0" w:space="0" w:color="auto"/>
      </w:divBdr>
    </w:div>
    <w:div w:id="703285449">
      <w:bodyDiv w:val="1"/>
      <w:marLeft w:val="0"/>
      <w:marRight w:val="0"/>
      <w:marTop w:val="0"/>
      <w:marBottom w:val="0"/>
      <w:divBdr>
        <w:top w:val="none" w:sz="0" w:space="0" w:color="auto"/>
        <w:left w:val="none" w:sz="0" w:space="0" w:color="auto"/>
        <w:bottom w:val="none" w:sz="0" w:space="0" w:color="auto"/>
        <w:right w:val="none" w:sz="0" w:space="0" w:color="auto"/>
      </w:divBdr>
    </w:div>
    <w:div w:id="751009056">
      <w:bodyDiv w:val="1"/>
      <w:marLeft w:val="0"/>
      <w:marRight w:val="0"/>
      <w:marTop w:val="0"/>
      <w:marBottom w:val="0"/>
      <w:divBdr>
        <w:top w:val="none" w:sz="0" w:space="0" w:color="auto"/>
        <w:left w:val="none" w:sz="0" w:space="0" w:color="auto"/>
        <w:bottom w:val="none" w:sz="0" w:space="0" w:color="auto"/>
        <w:right w:val="none" w:sz="0" w:space="0" w:color="auto"/>
      </w:divBdr>
    </w:div>
    <w:div w:id="757216949">
      <w:bodyDiv w:val="1"/>
      <w:marLeft w:val="0"/>
      <w:marRight w:val="0"/>
      <w:marTop w:val="0"/>
      <w:marBottom w:val="0"/>
      <w:divBdr>
        <w:top w:val="none" w:sz="0" w:space="0" w:color="auto"/>
        <w:left w:val="none" w:sz="0" w:space="0" w:color="auto"/>
        <w:bottom w:val="none" w:sz="0" w:space="0" w:color="auto"/>
        <w:right w:val="none" w:sz="0" w:space="0" w:color="auto"/>
      </w:divBdr>
    </w:div>
    <w:div w:id="804390409">
      <w:bodyDiv w:val="1"/>
      <w:marLeft w:val="0"/>
      <w:marRight w:val="0"/>
      <w:marTop w:val="0"/>
      <w:marBottom w:val="0"/>
      <w:divBdr>
        <w:top w:val="none" w:sz="0" w:space="0" w:color="auto"/>
        <w:left w:val="none" w:sz="0" w:space="0" w:color="auto"/>
        <w:bottom w:val="none" w:sz="0" w:space="0" w:color="auto"/>
        <w:right w:val="none" w:sz="0" w:space="0" w:color="auto"/>
      </w:divBdr>
    </w:div>
    <w:div w:id="818352660">
      <w:bodyDiv w:val="1"/>
      <w:marLeft w:val="0"/>
      <w:marRight w:val="0"/>
      <w:marTop w:val="0"/>
      <w:marBottom w:val="0"/>
      <w:divBdr>
        <w:top w:val="none" w:sz="0" w:space="0" w:color="auto"/>
        <w:left w:val="none" w:sz="0" w:space="0" w:color="auto"/>
        <w:bottom w:val="none" w:sz="0" w:space="0" w:color="auto"/>
        <w:right w:val="none" w:sz="0" w:space="0" w:color="auto"/>
      </w:divBdr>
    </w:div>
    <w:div w:id="927233040">
      <w:bodyDiv w:val="1"/>
      <w:marLeft w:val="0"/>
      <w:marRight w:val="0"/>
      <w:marTop w:val="0"/>
      <w:marBottom w:val="0"/>
      <w:divBdr>
        <w:top w:val="none" w:sz="0" w:space="0" w:color="auto"/>
        <w:left w:val="none" w:sz="0" w:space="0" w:color="auto"/>
        <w:bottom w:val="none" w:sz="0" w:space="0" w:color="auto"/>
        <w:right w:val="none" w:sz="0" w:space="0" w:color="auto"/>
      </w:divBdr>
    </w:div>
    <w:div w:id="931471509">
      <w:bodyDiv w:val="1"/>
      <w:marLeft w:val="0"/>
      <w:marRight w:val="0"/>
      <w:marTop w:val="0"/>
      <w:marBottom w:val="0"/>
      <w:divBdr>
        <w:top w:val="none" w:sz="0" w:space="0" w:color="auto"/>
        <w:left w:val="none" w:sz="0" w:space="0" w:color="auto"/>
        <w:bottom w:val="none" w:sz="0" w:space="0" w:color="auto"/>
        <w:right w:val="none" w:sz="0" w:space="0" w:color="auto"/>
      </w:divBdr>
    </w:div>
    <w:div w:id="1030766176">
      <w:bodyDiv w:val="1"/>
      <w:marLeft w:val="0"/>
      <w:marRight w:val="0"/>
      <w:marTop w:val="0"/>
      <w:marBottom w:val="0"/>
      <w:divBdr>
        <w:top w:val="none" w:sz="0" w:space="0" w:color="auto"/>
        <w:left w:val="none" w:sz="0" w:space="0" w:color="auto"/>
        <w:bottom w:val="none" w:sz="0" w:space="0" w:color="auto"/>
        <w:right w:val="none" w:sz="0" w:space="0" w:color="auto"/>
      </w:divBdr>
    </w:div>
    <w:div w:id="1042828697">
      <w:bodyDiv w:val="1"/>
      <w:marLeft w:val="0"/>
      <w:marRight w:val="0"/>
      <w:marTop w:val="0"/>
      <w:marBottom w:val="0"/>
      <w:divBdr>
        <w:top w:val="none" w:sz="0" w:space="0" w:color="auto"/>
        <w:left w:val="none" w:sz="0" w:space="0" w:color="auto"/>
        <w:bottom w:val="none" w:sz="0" w:space="0" w:color="auto"/>
        <w:right w:val="none" w:sz="0" w:space="0" w:color="auto"/>
      </w:divBdr>
    </w:div>
    <w:div w:id="1044521505">
      <w:bodyDiv w:val="1"/>
      <w:marLeft w:val="0"/>
      <w:marRight w:val="0"/>
      <w:marTop w:val="0"/>
      <w:marBottom w:val="0"/>
      <w:divBdr>
        <w:top w:val="none" w:sz="0" w:space="0" w:color="auto"/>
        <w:left w:val="none" w:sz="0" w:space="0" w:color="auto"/>
        <w:bottom w:val="none" w:sz="0" w:space="0" w:color="auto"/>
        <w:right w:val="none" w:sz="0" w:space="0" w:color="auto"/>
      </w:divBdr>
    </w:div>
    <w:div w:id="1082481871">
      <w:bodyDiv w:val="1"/>
      <w:marLeft w:val="0"/>
      <w:marRight w:val="0"/>
      <w:marTop w:val="0"/>
      <w:marBottom w:val="0"/>
      <w:divBdr>
        <w:top w:val="none" w:sz="0" w:space="0" w:color="auto"/>
        <w:left w:val="none" w:sz="0" w:space="0" w:color="auto"/>
        <w:bottom w:val="none" w:sz="0" w:space="0" w:color="auto"/>
        <w:right w:val="none" w:sz="0" w:space="0" w:color="auto"/>
      </w:divBdr>
    </w:div>
    <w:div w:id="1083604744">
      <w:bodyDiv w:val="1"/>
      <w:marLeft w:val="0"/>
      <w:marRight w:val="0"/>
      <w:marTop w:val="0"/>
      <w:marBottom w:val="0"/>
      <w:divBdr>
        <w:top w:val="none" w:sz="0" w:space="0" w:color="auto"/>
        <w:left w:val="none" w:sz="0" w:space="0" w:color="auto"/>
        <w:bottom w:val="none" w:sz="0" w:space="0" w:color="auto"/>
        <w:right w:val="none" w:sz="0" w:space="0" w:color="auto"/>
      </w:divBdr>
    </w:div>
    <w:div w:id="1088624814">
      <w:bodyDiv w:val="1"/>
      <w:marLeft w:val="0"/>
      <w:marRight w:val="0"/>
      <w:marTop w:val="0"/>
      <w:marBottom w:val="0"/>
      <w:divBdr>
        <w:top w:val="none" w:sz="0" w:space="0" w:color="auto"/>
        <w:left w:val="none" w:sz="0" w:space="0" w:color="auto"/>
        <w:bottom w:val="none" w:sz="0" w:space="0" w:color="auto"/>
        <w:right w:val="none" w:sz="0" w:space="0" w:color="auto"/>
      </w:divBdr>
    </w:div>
    <w:div w:id="1097484765">
      <w:bodyDiv w:val="1"/>
      <w:marLeft w:val="0"/>
      <w:marRight w:val="0"/>
      <w:marTop w:val="0"/>
      <w:marBottom w:val="0"/>
      <w:divBdr>
        <w:top w:val="none" w:sz="0" w:space="0" w:color="auto"/>
        <w:left w:val="none" w:sz="0" w:space="0" w:color="auto"/>
        <w:bottom w:val="none" w:sz="0" w:space="0" w:color="auto"/>
        <w:right w:val="none" w:sz="0" w:space="0" w:color="auto"/>
      </w:divBdr>
    </w:div>
    <w:div w:id="1105729232">
      <w:bodyDiv w:val="1"/>
      <w:marLeft w:val="0"/>
      <w:marRight w:val="0"/>
      <w:marTop w:val="0"/>
      <w:marBottom w:val="0"/>
      <w:divBdr>
        <w:top w:val="none" w:sz="0" w:space="0" w:color="auto"/>
        <w:left w:val="none" w:sz="0" w:space="0" w:color="auto"/>
        <w:bottom w:val="none" w:sz="0" w:space="0" w:color="auto"/>
        <w:right w:val="none" w:sz="0" w:space="0" w:color="auto"/>
      </w:divBdr>
    </w:div>
    <w:div w:id="1163355077">
      <w:bodyDiv w:val="1"/>
      <w:marLeft w:val="0"/>
      <w:marRight w:val="0"/>
      <w:marTop w:val="0"/>
      <w:marBottom w:val="0"/>
      <w:divBdr>
        <w:top w:val="none" w:sz="0" w:space="0" w:color="auto"/>
        <w:left w:val="none" w:sz="0" w:space="0" w:color="auto"/>
        <w:bottom w:val="none" w:sz="0" w:space="0" w:color="auto"/>
        <w:right w:val="none" w:sz="0" w:space="0" w:color="auto"/>
      </w:divBdr>
    </w:div>
    <w:div w:id="1217936187">
      <w:bodyDiv w:val="1"/>
      <w:marLeft w:val="0"/>
      <w:marRight w:val="0"/>
      <w:marTop w:val="0"/>
      <w:marBottom w:val="0"/>
      <w:divBdr>
        <w:top w:val="none" w:sz="0" w:space="0" w:color="auto"/>
        <w:left w:val="none" w:sz="0" w:space="0" w:color="auto"/>
        <w:bottom w:val="none" w:sz="0" w:space="0" w:color="auto"/>
        <w:right w:val="none" w:sz="0" w:space="0" w:color="auto"/>
      </w:divBdr>
      <w:divsChild>
        <w:div w:id="1196701261">
          <w:marLeft w:val="0"/>
          <w:marRight w:val="0"/>
          <w:marTop w:val="0"/>
          <w:marBottom w:val="0"/>
          <w:divBdr>
            <w:top w:val="none" w:sz="0" w:space="0" w:color="auto"/>
            <w:left w:val="none" w:sz="0" w:space="0" w:color="auto"/>
            <w:bottom w:val="none" w:sz="0" w:space="0" w:color="auto"/>
            <w:right w:val="none" w:sz="0" w:space="0" w:color="auto"/>
          </w:divBdr>
          <w:divsChild>
            <w:div w:id="2070224016">
              <w:marLeft w:val="0"/>
              <w:marRight w:val="0"/>
              <w:marTop w:val="0"/>
              <w:marBottom w:val="0"/>
              <w:divBdr>
                <w:top w:val="none" w:sz="0" w:space="0" w:color="auto"/>
                <w:left w:val="none" w:sz="0" w:space="0" w:color="auto"/>
                <w:bottom w:val="none" w:sz="0" w:space="0" w:color="auto"/>
                <w:right w:val="none" w:sz="0" w:space="0" w:color="auto"/>
              </w:divBdr>
              <w:divsChild>
                <w:div w:id="1057971556">
                  <w:marLeft w:val="0"/>
                  <w:marRight w:val="0"/>
                  <w:marTop w:val="0"/>
                  <w:marBottom w:val="0"/>
                  <w:divBdr>
                    <w:top w:val="none" w:sz="0" w:space="0" w:color="auto"/>
                    <w:left w:val="none" w:sz="0" w:space="0" w:color="auto"/>
                    <w:bottom w:val="none" w:sz="0" w:space="0" w:color="auto"/>
                    <w:right w:val="none" w:sz="0" w:space="0" w:color="auto"/>
                  </w:divBdr>
                  <w:divsChild>
                    <w:div w:id="1426268908">
                      <w:marLeft w:val="0"/>
                      <w:marRight w:val="0"/>
                      <w:marTop w:val="0"/>
                      <w:marBottom w:val="0"/>
                      <w:divBdr>
                        <w:top w:val="none" w:sz="0" w:space="0" w:color="auto"/>
                        <w:left w:val="none" w:sz="0" w:space="0" w:color="auto"/>
                        <w:bottom w:val="none" w:sz="0" w:space="0" w:color="auto"/>
                        <w:right w:val="none" w:sz="0" w:space="0" w:color="auto"/>
                      </w:divBdr>
                      <w:divsChild>
                        <w:div w:id="17583882">
                          <w:marLeft w:val="0"/>
                          <w:marRight w:val="0"/>
                          <w:marTop w:val="0"/>
                          <w:marBottom w:val="0"/>
                          <w:divBdr>
                            <w:top w:val="none" w:sz="0" w:space="0" w:color="auto"/>
                            <w:left w:val="none" w:sz="0" w:space="0" w:color="auto"/>
                            <w:bottom w:val="none" w:sz="0" w:space="0" w:color="auto"/>
                            <w:right w:val="none" w:sz="0" w:space="0" w:color="auto"/>
                          </w:divBdr>
                          <w:divsChild>
                            <w:div w:id="1289780309">
                              <w:marLeft w:val="0"/>
                              <w:marRight w:val="0"/>
                              <w:marTop w:val="0"/>
                              <w:marBottom w:val="0"/>
                              <w:divBdr>
                                <w:top w:val="none" w:sz="0" w:space="0" w:color="auto"/>
                                <w:left w:val="none" w:sz="0" w:space="0" w:color="auto"/>
                                <w:bottom w:val="none" w:sz="0" w:space="0" w:color="auto"/>
                                <w:right w:val="none" w:sz="0" w:space="0" w:color="auto"/>
                              </w:divBdr>
                              <w:divsChild>
                                <w:div w:id="1073047107">
                                  <w:marLeft w:val="0"/>
                                  <w:marRight w:val="0"/>
                                  <w:marTop w:val="0"/>
                                  <w:marBottom w:val="0"/>
                                  <w:divBdr>
                                    <w:top w:val="none" w:sz="0" w:space="0" w:color="auto"/>
                                    <w:left w:val="none" w:sz="0" w:space="0" w:color="auto"/>
                                    <w:bottom w:val="none" w:sz="0" w:space="0" w:color="auto"/>
                                    <w:right w:val="none" w:sz="0" w:space="0" w:color="auto"/>
                                  </w:divBdr>
                                  <w:divsChild>
                                    <w:div w:id="1244337101">
                                      <w:marLeft w:val="0"/>
                                      <w:marRight w:val="0"/>
                                      <w:marTop w:val="0"/>
                                      <w:marBottom w:val="0"/>
                                      <w:divBdr>
                                        <w:top w:val="none" w:sz="0" w:space="0" w:color="auto"/>
                                        <w:left w:val="none" w:sz="0" w:space="0" w:color="auto"/>
                                        <w:bottom w:val="none" w:sz="0" w:space="0" w:color="auto"/>
                                        <w:right w:val="none" w:sz="0" w:space="0" w:color="auto"/>
                                      </w:divBdr>
                                      <w:divsChild>
                                        <w:div w:id="1236863048">
                                          <w:marLeft w:val="0"/>
                                          <w:marRight w:val="0"/>
                                          <w:marTop w:val="0"/>
                                          <w:marBottom w:val="0"/>
                                          <w:divBdr>
                                            <w:top w:val="none" w:sz="0" w:space="0" w:color="auto"/>
                                            <w:left w:val="none" w:sz="0" w:space="0" w:color="auto"/>
                                            <w:bottom w:val="none" w:sz="0" w:space="0" w:color="auto"/>
                                            <w:right w:val="none" w:sz="0" w:space="0" w:color="auto"/>
                                          </w:divBdr>
                                          <w:divsChild>
                                            <w:div w:id="6561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347817">
      <w:bodyDiv w:val="1"/>
      <w:marLeft w:val="0"/>
      <w:marRight w:val="0"/>
      <w:marTop w:val="0"/>
      <w:marBottom w:val="0"/>
      <w:divBdr>
        <w:top w:val="none" w:sz="0" w:space="0" w:color="auto"/>
        <w:left w:val="none" w:sz="0" w:space="0" w:color="auto"/>
        <w:bottom w:val="none" w:sz="0" w:space="0" w:color="auto"/>
        <w:right w:val="none" w:sz="0" w:space="0" w:color="auto"/>
      </w:divBdr>
    </w:div>
    <w:div w:id="1318455014">
      <w:bodyDiv w:val="1"/>
      <w:marLeft w:val="0"/>
      <w:marRight w:val="0"/>
      <w:marTop w:val="0"/>
      <w:marBottom w:val="0"/>
      <w:divBdr>
        <w:top w:val="none" w:sz="0" w:space="0" w:color="auto"/>
        <w:left w:val="none" w:sz="0" w:space="0" w:color="auto"/>
        <w:bottom w:val="none" w:sz="0" w:space="0" w:color="auto"/>
        <w:right w:val="none" w:sz="0" w:space="0" w:color="auto"/>
      </w:divBdr>
    </w:div>
    <w:div w:id="1346439228">
      <w:bodyDiv w:val="1"/>
      <w:marLeft w:val="0"/>
      <w:marRight w:val="0"/>
      <w:marTop w:val="0"/>
      <w:marBottom w:val="0"/>
      <w:divBdr>
        <w:top w:val="none" w:sz="0" w:space="0" w:color="auto"/>
        <w:left w:val="none" w:sz="0" w:space="0" w:color="auto"/>
        <w:bottom w:val="none" w:sz="0" w:space="0" w:color="auto"/>
        <w:right w:val="none" w:sz="0" w:space="0" w:color="auto"/>
      </w:divBdr>
    </w:div>
    <w:div w:id="1373727979">
      <w:bodyDiv w:val="1"/>
      <w:marLeft w:val="0"/>
      <w:marRight w:val="0"/>
      <w:marTop w:val="0"/>
      <w:marBottom w:val="0"/>
      <w:divBdr>
        <w:top w:val="none" w:sz="0" w:space="0" w:color="auto"/>
        <w:left w:val="none" w:sz="0" w:space="0" w:color="auto"/>
        <w:bottom w:val="none" w:sz="0" w:space="0" w:color="auto"/>
        <w:right w:val="none" w:sz="0" w:space="0" w:color="auto"/>
      </w:divBdr>
    </w:div>
    <w:div w:id="1397509352">
      <w:bodyDiv w:val="1"/>
      <w:marLeft w:val="0"/>
      <w:marRight w:val="0"/>
      <w:marTop w:val="0"/>
      <w:marBottom w:val="0"/>
      <w:divBdr>
        <w:top w:val="none" w:sz="0" w:space="0" w:color="auto"/>
        <w:left w:val="none" w:sz="0" w:space="0" w:color="auto"/>
        <w:bottom w:val="none" w:sz="0" w:space="0" w:color="auto"/>
        <w:right w:val="none" w:sz="0" w:space="0" w:color="auto"/>
      </w:divBdr>
    </w:div>
    <w:div w:id="1427767617">
      <w:bodyDiv w:val="1"/>
      <w:marLeft w:val="0"/>
      <w:marRight w:val="0"/>
      <w:marTop w:val="0"/>
      <w:marBottom w:val="0"/>
      <w:divBdr>
        <w:top w:val="none" w:sz="0" w:space="0" w:color="auto"/>
        <w:left w:val="none" w:sz="0" w:space="0" w:color="auto"/>
        <w:bottom w:val="none" w:sz="0" w:space="0" w:color="auto"/>
        <w:right w:val="none" w:sz="0" w:space="0" w:color="auto"/>
      </w:divBdr>
    </w:div>
    <w:div w:id="1495687325">
      <w:bodyDiv w:val="1"/>
      <w:marLeft w:val="0"/>
      <w:marRight w:val="0"/>
      <w:marTop w:val="0"/>
      <w:marBottom w:val="0"/>
      <w:divBdr>
        <w:top w:val="none" w:sz="0" w:space="0" w:color="auto"/>
        <w:left w:val="none" w:sz="0" w:space="0" w:color="auto"/>
        <w:bottom w:val="none" w:sz="0" w:space="0" w:color="auto"/>
        <w:right w:val="none" w:sz="0" w:space="0" w:color="auto"/>
      </w:divBdr>
    </w:div>
    <w:div w:id="1502967838">
      <w:bodyDiv w:val="1"/>
      <w:marLeft w:val="0"/>
      <w:marRight w:val="0"/>
      <w:marTop w:val="0"/>
      <w:marBottom w:val="0"/>
      <w:divBdr>
        <w:top w:val="none" w:sz="0" w:space="0" w:color="auto"/>
        <w:left w:val="none" w:sz="0" w:space="0" w:color="auto"/>
        <w:bottom w:val="none" w:sz="0" w:space="0" w:color="auto"/>
        <w:right w:val="none" w:sz="0" w:space="0" w:color="auto"/>
      </w:divBdr>
    </w:div>
    <w:div w:id="1510217654">
      <w:bodyDiv w:val="1"/>
      <w:marLeft w:val="0"/>
      <w:marRight w:val="0"/>
      <w:marTop w:val="0"/>
      <w:marBottom w:val="0"/>
      <w:divBdr>
        <w:top w:val="none" w:sz="0" w:space="0" w:color="auto"/>
        <w:left w:val="none" w:sz="0" w:space="0" w:color="auto"/>
        <w:bottom w:val="none" w:sz="0" w:space="0" w:color="auto"/>
        <w:right w:val="none" w:sz="0" w:space="0" w:color="auto"/>
      </w:divBdr>
    </w:div>
    <w:div w:id="1520660548">
      <w:bodyDiv w:val="1"/>
      <w:marLeft w:val="0"/>
      <w:marRight w:val="0"/>
      <w:marTop w:val="0"/>
      <w:marBottom w:val="0"/>
      <w:divBdr>
        <w:top w:val="none" w:sz="0" w:space="0" w:color="auto"/>
        <w:left w:val="none" w:sz="0" w:space="0" w:color="auto"/>
        <w:bottom w:val="none" w:sz="0" w:space="0" w:color="auto"/>
        <w:right w:val="none" w:sz="0" w:space="0" w:color="auto"/>
      </w:divBdr>
    </w:div>
    <w:div w:id="1622031829">
      <w:bodyDiv w:val="1"/>
      <w:marLeft w:val="0"/>
      <w:marRight w:val="0"/>
      <w:marTop w:val="0"/>
      <w:marBottom w:val="0"/>
      <w:divBdr>
        <w:top w:val="none" w:sz="0" w:space="0" w:color="auto"/>
        <w:left w:val="none" w:sz="0" w:space="0" w:color="auto"/>
        <w:bottom w:val="none" w:sz="0" w:space="0" w:color="auto"/>
        <w:right w:val="none" w:sz="0" w:space="0" w:color="auto"/>
      </w:divBdr>
    </w:div>
    <w:div w:id="1622953877">
      <w:bodyDiv w:val="1"/>
      <w:marLeft w:val="0"/>
      <w:marRight w:val="0"/>
      <w:marTop w:val="0"/>
      <w:marBottom w:val="0"/>
      <w:divBdr>
        <w:top w:val="none" w:sz="0" w:space="0" w:color="auto"/>
        <w:left w:val="none" w:sz="0" w:space="0" w:color="auto"/>
        <w:bottom w:val="none" w:sz="0" w:space="0" w:color="auto"/>
        <w:right w:val="none" w:sz="0" w:space="0" w:color="auto"/>
      </w:divBdr>
    </w:div>
    <w:div w:id="1649824578">
      <w:bodyDiv w:val="1"/>
      <w:marLeft w:val="0"/>
      <w:marRight w:val="0"/>
      <w:marTop w:val="0"/>
      <w:marBottom w:val="0"/>
      <w:divBdr>
        <w:top w:val="none" w:sz="0" w:space="0" w:color="auto"/>
        <w:left w:val="none" w:sz="0" w:space="0" w:color="auto"/>
        <w:bottom w:val="none" w:sz="0" w:space="0" w:color="auto"/>
        <w:right w:val="none" w:sz="0" w:space="0" w:color="auto"/>
      </w:divBdr>
      <w:divsChild>
        <w:div w:id="2142919215">
          <w:marLeft w:val="0"/>
          <w:marRight w:val="0"/>
          <w:marTop w:val="0"/>
          <w:marBottom w:val="0"/>
          <w:divBdr>
            <w:top w:val="none" w:sz="0" w:space="0" w:color="auto"/>
            <w:left w:val="none" w:sz="0" w:space="0" w:color="auto"/>
            <w:bottom w:val="none" w:sz="0" w:space="0" w:color="auto"/>
            <w:right w:val="none" w:sz="0" w:space="0" w:color="auto"/>
          </w:divBdr>
          <w:divsChild>
            <w:div w:id="550044489">
              <w:marLeft w:val="0"/>
              <w:marRight w:val="0"/>
              <w:marTop w:val="0"/>
              <w:marBottom w:val="0"/>
              <w:divBdr>
                <w:top w:val="none" w:sz="0" w:space="0" w:color="auto"/>
                <w:left w:val="none" w:sz="0" w:space="0" w:color="auto"/>
                <w:bottom w:val="none" w:sz="0" w:space="0" w:color="auto"/>
                <w:right w:val="none" w:sz="0" w:space="0" w:color="auto"/>
              </w:divBdr>
              <w:divsChild>
                <w:div w:id="1126581731">
                  <w:marLeft w:val="0"/>
                  <w:marRight w:val="0"/>
                  <w:marTop w:val="0"/>
                  <w:marBottom w:val="0"/>
                  <w:divBdr>
                    <w:top w:val="none" w:sz="0" w:space="0" w:color="auto"/>
                    <w:left w:val="none" w:sz="0" w:space="0" w:color="auto"/>
                    <w:bottom w:val="none" w:sz="0" w:space="0" w:color="auto"/>
                    <w:right w:val="none" w:sz="0" w:space="0" w:color="auto"/>
                  </w:divBdr>
                  <w:divsChild>
                    <w:div w:id="1026903427">
                      <w:marLeft w:val="0"/>
                      <w:marRight w:val="0"/>
                      <w:marTop w:val="0"/>
                      <w:marBottom w:val="0"/>
                      <w:divBdr>
                        <w:top w:val="none" w:sz="0" w:space="0" w:color="auto"/>
                        <w:left w:val="none" w:sz="0" w:space="0" w:color="auto"/>
                        <w:bottom w:val="none" w:sz="0" w:space="0" w:color="auto"/>
                        <w:right w:val="none" w:sz="0" w:space="0" w:color="auto"/>
                      </w:divBdr>
                      <w:divsChild>
                        <w:div w:id="832641251">
                          <w:marLeft w:val="0"/>
                          <w:marRight w:val="0"/>
                          <w:marTop w:val="0"/>
                          <w:marBottom w:val="0"/>
                          <w:divBdr>
                            <w:top w:val="none" w:sz="0" w:space="0" w:color="auto"/>
                            <w:left w:val="none" w:sz="0" w:space="0" w:color="auto"/>
                            <w:bottom w:val="none" w:sz="0" w:space="0" w:color="auto"/>
                            <w:right w:val="none" w:sz="0" w:space="0" w:color="auto"/>
                          </w:divBdr>
                          <w:divsChild>
                            <w:div w:id="1903713077">
                              <w:marLeft w:val="0"/>
                              <w:marRight w:val="0"/>
                              <w:marTop w:val="0"/>
                              <w:marBottom w:val="0"/>
                              <w:divBdr>
                                <w:top w:val="none" w:sz="0" w:space="0" w:color="auto"/>
                                <w:left w:val="none" w:sz="0" w:space="0" w:color="auto"/>
                                <w:bottom w:val="none" w:sz="0" w:space="0" w:color="auto"/>
                                <w:right w:val="none" w:sz="0" w:space="0" w:color="auto"/>
                              </w:divBdr>
                              <w:divsChild>
                                <w:div w:id="1792161312">
                                  <w:marLeft w:val="0"/>
                                  <w:marRight w:val="0"/>
                                  <w:marTop w:val="0"/>
                                  <w:marBottom w:val="0"/>
                                  <w:divBdr>
                                    <w:top w:val="none" w:sz="0" w:space="0" w:color="auto"/>
                                    <w:left w:val="none" w:sz="0" w:space="0" w:color="auto"/>
                                    <w:bottom w:val="none" w:sz="0" w:space="0" w:color="auto"/>
                                    <w:right w:val="none" w:sz="0" w:space="0" w:color="auto"/>
                                  </w:divBdr>
                                  <w:divsChild>
                                    <w:div w:id="1099568896">
                                      <w:marLeft w:val="0"/>
                                      <w:marRight w:val="0"/>
                                      <w:marTop w:val="0"/>
                                      <w:marBottom w:val="0"/>
                                      <w:divBdr>
                                        <w:top w:val="none" w:sz="0" w:space="0" w:color="auto"/>
                                        <w:left w:val="none" w:sz="0" w:space="0" w:color="auto"/>
                                        <w:bottom w:val="none" w:sz="0" w:space="0" w:color="auto"/>
                                        <w:right w:val="none" w:sz="0" w:space="0" w:color="auto"/>
                                      </w:divBdr>
                                      <w:divsChild>
                                        <w:div w:id="1042748319">
                                          <w:marLeft w:val="0"/>
                                          <w:marRight w:val="0"/>
                                          <w:marTop w:val="0"/>
                                          <w:marBottom w:val="0"/>
                                          <w:divBdr>
                                            <w:top w:val="none" w:sz="0" w:space="0" w:color="auto"/>
                                            <w:left w:val="none" w:sz="0" w:space="0" w:color="auto"/>
                                            <w:bottom w:val="none" w:sz="0" w:space="0" w:color="auto"/>
                                            <w:right w:val="none" w:sz="0" w:space="0" w:color="auto"/>
                                          </w:divBdr>
                                          <w:divsChild>
                                            <w:div w:id="1480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524703">
      <w:bodyDiv w:val="1"/>
      <w:marLeft w:val="0"/>
      <w:marRight w:val="0"/>
      <w:marTop w:val="0"/>
      <w:marBottom w:val="0"/>
      <w:divBdr>
        <w:top w:val="none" w:sz="0" w:space="0" w:color="auto"/>
        <w:left w:val="none" w:sz="0" w:space="0" w:color="auto"/>
        <w:bottom w:val="none" w:sz="0" w:space="0" w:color="auto"/>
        <w:right w:val="none" w:sz="0" w:space="0" w:color="auto"/>
      </w:divBdr>
    </w:div>
    <w:div w:id="1766882941">
      <w:bodyDiv w:val="1"/>
      <w:marLeft w:val="0"/>
      <w:marRight w:val="0"/>
      <w:marTop w:val="0"/>
      <w:marBottom w:val="0"/>
      <w:divBdr>
        <w:top w:val="none" w:sz="0" w:space="0" w:color="auto"/>
        <w:left w:val="none" w:sz="0" w:space="0" w:color="auto"/>
        <w:bottom w:val="none" w:sz="0" w:space="0" w:color="auto"/>
        <w:right w:val="none" w:sz="0" w:space="0" w:color="auto"/>
      </w:divBdr>
    </w:div>
    <w:div w:id="1802111195">
      <w:bodyDiv w:val="1"/>
      <w:marLeft w:val="0"/>
      <w:marRight w:val="0"/>
      <w:marTop w:val="0"/>
      <w:marBottom w:val="0"/>
      <w:divBdr>
        <w:top w:val="none" w:sz="0" w:space="0" w:color="auto"/>
        <w:left w:val="none" w:sz="0" w:space="0" w:color="auto"/>
        <w:bottom w:val="none" w:sz="0" w:space="0" w:color="auto"/>
        <w:right w:val="none" w:sz="0" w:space="0" w:color="auto"/>
      </w:divBdr>
    </w:div>
    <w:div w:id="1823890014">
      <w:bodyDiv w:val="1"/>
      <w:marLeft w:val="0"/>
      <w:marRight w:val="0"/>
      <w:marTop w:val="0"/>
      <w:marBottom w:val="0"/>
      <w:divBdr>
        <w:top w:val="none" w:sz="0" w:space="0" w:color="auto"/>
        <w:left w:val="none" w:sz="0" w:space="0" w:color="auto"/>
        <w:bottom w:val="none" w:sz="0" w:space="0" w:color="auto"/>
        <w:right w:val="none" w:sz="0" w:space="0" w:color="auto"/>
      </w:divBdr>
    </w:div>
    <w:div w:id="1945769945">
      <w:bodyDiv w:val="1"/>
      <w:marLeft w:val="0"/>
      <w:marRight w:val="0"/>
      <w:marTop w:val="0"/>
      <w:marBottom w:val="0"/>
      <w:divBdr>
        <w:top w:val="none" w:sz="0" w:space="0" w:color="auto"/>
        <w:left w:val="none" w:sz="0" w:space="0" w:color="auto"/>
        <w:bottom w:val="none" w:sz="0" w:space="0" w:color="auto"/>
        <w:right w:val="none" w:sz="0" w:space="0" w:color="auto"/>
      </w:divBdr>
    </w:div>
    <w:div w:id="1954899762">
      <w:bodyDiv w:val="1"/>
      <w:marLeft w:val="0"/>
      <w:marRight w:val="0"/>
      <w:marTop w:val="0"/>
      <w:marBottom w:val="0"/>
      <w:divBdr>
        <w:top w:val="none" w:sz="0" w:space="0" w:color="auto"/>
        <w:left w:val="none" w:sz="0" w:space="0" w:color="auto"/>
        <w:bottom w:val="none" w:sz="0" w:space="0" w:color="auto"/>
        <w:right w:val="none" w:sz="0" w:space="0" w:color="auto"/>
      </w:divBdr>
    </w:div>
    <w:div w:id="1991670117">
      <w:bodyDiv w:val="1"/>
      <w:marLeft w:val="0"/>
      <w:marRight w:val="0"/>
      <w:marTop w:val="0"/>
      <w:marBottom w:val="0"/>
      <w:divBdr>
        <w:top w:val="none" w:sz="0" w:space="0" w:color="auto"/>
        <w:left w:val="none" w:sz="0" w:space="0" w:color="auto"/>
        <w:bottom w:val="none" w:sz="0" w:space="0" w:color="auto"/>
        <w:right w:val="none" w:sz="0" w:space="0" w:color="auto"/>
      </w:divBdr>
    </w:div>
    <w:div w:id="1993562141">
      <w:bodyDiv w:val="1"/>
      <w:marLeft w:val="0"/>
      <w:marRight w:val="0"/>
      <w:marTop w:val="0"/>
      <w:marBottom w:val="0"/>
      <w:divBdr>
        <w:top w:val="none" w:sz="0" w:space="0" w:color="auto"/>
        <w:left w:val="none" w:sz="0" w:space="0" w:color="auto"/>
        <w:bottom w:val="none" w:sz="0" w:space="0" w:color="auto"/>
        <w:right w:val="none" w:sz="0" w:space="0" w:color="auto"/>
      </w:divBdr>
    </w:div>
    <w:div w:id="2083676519">
      <w:bodyDiv w:val="1"/>
      <w:marLeft w:val="0"/>
      <w:marRight w:val="0"/>
      <w:marTop w:val="0"/>
      <w:marBottom w:val="0"/>
      <w:divBdr>
        <w:top w:val="none" w:sz="0" w:space="0" w:color="auto"/>
        <w:left w:val="none" w:sz="0" w:space="0" w:color="auto"/>
        <w:bottom w:val="none" w:sz="0" w:space="0" w:color="auto"/>
        <w:right w:val="none" w:sz="0" w:space="0" w:color="auto"/>
      </w:divBdr>
    </w:div>
    <w:div w:id="2091847721">
      <w:bodyDiv w:val="1"/>
      <w:marLeft w:val="0"/>
      <w:marRight w:val="0"/>
      <w:marTop w:val="0"/>
      <w:marBottom w:val="0"/>
      <w:divBdr>
        <w:top w:val="none" w:sz="0" w:space="0" w:color="auto"/>
        <w:left w:val="none" w:sz="0" w:space="0" w:color="auto"/>
        <w:bottom w:val="none" w:sz="0" w:space="0" w:color="auto"/>
        <w:right w:val="none" w:sz="0" w:space="0" w:color="auto"/>
      </w:divBdr>
    </w:div>
    <w:div w:id="2104495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EF4EB-9D7C-447C-952E-5AC1C1BC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4269</Words>
  <Characters>24337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2014-07-11T13:30:00Z</dcterms:created>
  <dcterms:modified xsi:type="dcterms:W3CDTF">2014-07-11T13:30:00Z</dcterms:modified>
</cp:coreProperties>
</file>