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DA" w:rsidRDefault="00B556DA">
      <w:pPr>
        <w:jc w:val="center"/>
      </w:pPr>
      <w:bookmarkStart w:id="0" w:name="_GoBack"/>
      <w:bookmarkEnd w:id="0"/>
      <w:r>
        <w:rPr>
          <w:rFonts w:ascii="Helvetica" w:hAnsi="Helvetica"/>
          <w:b/>
          <w:sz w:val="28"/>
        </w:rPr>
        <w:t>Paperwork Reduction Act Submission</w:t>
      </w:r>
    </w:p>
    <w:p w:rsidR="00B556DA" w:rsidRDefault="00B556DA">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B556DA">
        <w:tc>
          <w:tcPr>
            <w:tcW w:w="7428" w:type="dxa"/>
            <w:gridSpan w:val="2"/>
            <w:tcBorders>
              <w:top w:val="single" w:sz="6" w:space="0" w:color="auto"/>
            </w:tcBorders>
          </w:tcPr>
          <w:p w:rsidR="00B556DA" w:rsidRDefault="00B556DA">
            <w:pPr>
              <w:rPr>
                <w:rFonts w:ascii="Helvetica" w:hAnsi="Helvetica"/>
                <w:sz w:val="14"/>
              </w:rPr>
            </w:pPr>
            <w:r>
              <w:rPr>
                <w:rFonts w:ascii="Helvetica" w:hAnsi="Helvetica"/>
                <w:sz w:val="16"/>
              </w:rPr>
              <w:t>1</w:t>
            </w:r>
            <w:r>
              <w:rPr>
                <w:rFonts w:ascii="Helvetica" w:hAnsi="Helvetica"/>
                <w:sz w:val="14"/>
              </w:rPr>
              <w:t>. Agency/</w:t>
            </w:r>
            <w:proofErr w:type="spellStart"/>
            <w:r>
              <w:rPr>
                <w:rFonts w:ascii="Helvetica" w:hAnsi="Helvetica"/>
                <w:sz w:val="14"/>
              </w:rPr>
              <w:t>Subagency</w:t>
            </w:r>
            <w:proofErr w:type="spellEnd"/>
            <w:r>
              <w:rPr>
                <w:rFonts w:ascii="Helvetica" w:hAnsi="Helvetica"/>
                <w:sz w:val="14"/>
              </w:rPr>
              <w:t xml:space="preserve"> Originating Request:</w:t>
            </w:r>
          </w:p>
          <w:p w:rsidR="00B556DA" w:rsidRDefault="00B556DA">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772B02" w:rsidRDefault="00772B02" w:rsidP="00772B02">
            <w:pPr>
              <w:spacing w:before="40" w:after="40"/>
              <w:ind w:left="120"/>
              <w:rPr>
                <w:rFonts w:ascii="Helvetica" w:hAnsi="Helvetica"/>
                <w:sz w:val="18"/>
              </w:rPr>
            </w:pPr>
            <w:r>
              <w:rPr>
                <w:rFonts w:ascii="Helvetica" w:hAnsi="Helvetica"/>
                <w:sz w:val="18"/>
              </w:rPr>
              <w:t>Office of Public and Indian Housing</w:t>
            </w:r>
          </w:p>
          <w:p w:rsidR="00B556DA" w:rsidRDefault="00B556DA" w:rsidP="00772B02">
            <w:pPr>
              <w:spacing w:before="40" w:after="40"/>
              <w:ind w:left="120"/>
              <w:rPr>
                <w:rFonts w:ascii="Helvetica" w:hAnsi="Helvetica"/>
                <w:sz w:val="16"/>
              </w:rPr>
            </w:pPr>
          </w:p>
        </w:tc>
        <w:tc>
          <w:tcPr>
            <w:tcW w:w="1800" w:type="dxa"/>
            <w:tcBorders>
              <w:top w:val="single" w:sz="6" w:space="0" w:color="auto"/>
              <w:left w:val="single" w:sz="6" w:space="0" w:color="auto"/>
            </w:tcBorders>
          </w:tcPr>
          <w:p w:rsidR="00B556DA" w:rsidRDefault="00B556DA">
            <w:pPr>
              <w:rPr>
                <w:rFonts w:ascii="Helvetica" w:hAnsi="Helvetica"/>
                <w:sz w:val="16"/>
              </w:rPr>
            </w:pPr>
            <w:r>
              <w:rPr>
                <w:rFonts w:ascii="Helvetica" w:hAnsi="Helvetica"/>
                <w:sz w:val="16"/>
              </w:rPr>
              <w:t xml:space="preserve">2. </w:t>
            </w:r>
            <w:r>
              <w:rPr>
                <w:rFonts w:ascii="Helvetica" w:hAnsi="Helvetica"/>
                <w:sz w:val="14"/>
              </w:rPr>
              <w:t>OMB Control Number:</w:t>
            </w:r>
          </w:p>
          <w:p w:rsidR="00B556DA" w:rsidRDefault="00B556DA">
            <w:pPr>
              <w:spacing w:before="40" w:after="40"/>
              <w:ind w:left="132"/>
              <w:rPr>
                <w:rFonts w:ascii="Helvetica" w:hAnsi="Helvetica"/>
                <w:sz w:val="16"/>
              </w:rPr>
            </w:pPr>
            <w:r>
              <w:rPr>
                <w:rFonts w:ascii="Helvetica" w:hAnsi="Helvetica"/>
                <w:sz w:val="16"/>
              </w:rPr>
              <w:t xml:space="preserve">a. </w:t>
            </w:r>
            <w:r w:rsidR="00751128">
              <w:rPr>
                <w:rFonts w:ascii="Helvetica" w:hAnsi="Helvetica"/>
                <w:b/>
                <w:color w:val="000080"/>
              </w:rPr>
              <w:t>2577-0266</w:t>
            </w:r>
          </w:p>
          <w:p w:rsidR="00B556DA" w:rsidRDefault="00B556DA">
            <w:pPr>
              <w:ind w:left="-120"/>
              <w:rPr>
                <w:rFonts w:ascii="Helvetica" w:hAnsi="Helvetica"/>
                <w:sz w:val="16"/>
              </w:rPr>
            </w:pPr>
          </w:p>
        </w:tc>
        <w:tc>
          <w:tcPr>
            <w:tcW w:w="1788" w:type="dxa"/>
            <w:tcBorders>
              <w:top w:val="single" w:sz="6" w:space="0" w:color="auto"/>
            </w:tcBorders>
          </w:tcPr>
          <w:p w:rsidR="00B556DA" w:rsidRDefault="00B556DA">
            <w:pPr>
              <w:spacing w:before="120"/>
              <w:rPr>
                <w:rFonts w:ascii="Helvetica" w:hAnsi="Helvetica"/>
                <w:sz w:val="18"/>
              </w:rPr>
            </w:pPr>
            <w:r>
              <w:rPr>
                <w:rFonts w:ascii="Helvetica" w:hAnsi="Helvetica"/>
                <w:sz w:val="16"/>
              </w:rPr>
              <w:t xml:space="preserve">b. </w:t>
            </w:r>
            <w:r w:rsidR="00751128">
              <w:rPr>
                <w:rFonts w:ascii="Helvetica" w:hAnsi="Helvetica"/>
                <w:b/>
                <w:color w:val="000080"/>
              </w:rPr>
              <w:t xml:space="preserve"> </w:t>
            </w:r>
            <w:r w:rsidR="00751128">
              <w:rPr>
                <w:rFonts w:ascii="Helvetica" w:hAnsi="Helvetica"/>
                <w:b/>
                <w:sz w:val="18"/>
              </w:rPr>
              <w:fldChar w:fldCharType="begin">
                <w:ffData>
                  <w:name w:val="Check10"/>
                  <w:enabled/>
                  <w:calcOnExit w:val="0"/>
                  <w:checkBox>
                    <w:sizeAuto/>
                    <w:default w:val="0"/>
                  </w:checkBox>
                </w:ffData>
              </w:fldChar>
            </w:r>
            <w:r w:rsidR="00751128">
              <w:rPr>
                <w:rFonts w:ascii="Helvetica" w:hAnsi="Helvetica"/>
                <w:b/>
                <w:sz w:val="18"/>
              </w:rPr>
              <w:instrText xml:space="preserve"> FORMCHECKBOX </w:instrText>
            </w:r>
            <w:r w:rsidR="00751128">
              <w:rPr>
                <w:rFonts w:ascii="Helvetica" w:hAnsi="Helvetica"/>
                <w:b/>
                <w:sz w:val="18"/>
              </w:rPr>
            </w:r>
            <w:r w:rsidR="00751128">
              <w:rPr>
                <w:rFonts w:ascii="Helvetica" w:hAnsi="Helvetica"/>
                <w:b/>
                <w:sz w:val="18"/>
              </w:rPr>
              <w:fldChar w:fldCharType="end"/>
            </w:r>
            <w:r w:rsidR="00751128">
              <w:rPr>
                <w:rFonts w:ascii="Helvetica" w:hAnsi="Helvetica"/>
                <w:b/>
                <w:color w:val="800000"/>
              </w:rPr>
              <w:t xml:space="preserve"> </w:t>
            </w:r>
            <w:r>
              <w:rPr>
                <w:rFonts w:ascii="Helvetica" w:hAnsi="Helvetica"/>
                <w:sz w:val="18"/>
              </w:rPr>
              <w:t>None</w:t>
            </w:r>
          </w:p>
          <w:p w:rsidR="00B556DA" w:rsidRDefault="00B556DA" w:rsidP="00751128">
            <w:pPr>
              <w:spacing w:before="40" w:after="40"/>
              <w:ind w:left="252"/>
              <w:rPr>
                <w:rFonts w:ascii="Helvetica" w:hAnsi="Helvetica"/>
                <w:color w:val="000080"/>
              </w:rPr>
            </w:pPr>
            <w:r>
              <w:rPr>
                <w:rFonts w:ascii="Helvetica" w:hAnsi="Helvetica"/>
                <w:sz w:val="16"/>
              </w:rPr>
              <w:t xml:space="preserve"> </w:t>
            </w:r>
          </w:p>
        </w:tc>
      </w:tr>
      <w:tr w:rsidR="00B556DA">
        <w:tc>
          <w:tcPr>
            <w:tcW w:w="5508" w:type="dxa"/>
            <w:tcBorders>
              <w:top w:val="single" w:sz="6" w:space="0" w:color="auto"/>
            </w:tcBorders>
          </w:tcPr>
          <w:p w:rsidR="00B556DA" w:rsidRDefault="00B556DA">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B556DA" w:rsidRDefault="00751128">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sidR="00B556DA">
              <w:rPr>
                <w:rFonts w:ascii="Helvetica" w:hAnsi="Helvetica"/>
                <w:sz w:val="16"/>
              </w:rPr>
              <w:t xml:space="preserve">New Collection </w:t>
            </w:r>
          </w:p>
          <w:p w:rsidR="00B556DA" w:rsidRDefault="005008B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Revision of a currently approved collection</w:t>
            </w:r>
          </w:p>
          <w:p w:rsidR="00B556DA" w:rsidRDefault="00D53783">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sidR="00B556DA">
              <w:rPr>
                <w:rFonts w:ascii="Helvetica" w:hAnsi="Helvetica"/>
                <w:sz w:val="16"/>
              </w:rPr>
              <w:t>Extension of a currently approved collection</w:t>
            </w:r>
          </w:p>
          <w:p w:rsidR="00B556DA" w:rsidRDefault="005008B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without change</w:t>
            </w:r>
            <w:r w:rsidR="00B556DA">
              <w:rPr>
                <w:rFonts w:ascii="Helvetica" w:hAnsi="Helvetica"/>
                <w:sz w:val="16"/>
              </w:rPr>
              <w:t xml:space="preserve">, of previously approved </w:t>
            </w:r>
          </w:p>
          <w:p w:rsidR="00B556DA" w:rsidRDefault="00B556DA">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B556DA" w:rsidRDefault="00D53783">
            <w:pPr>
              <w:numPr>
                <w:ilvl w:val="0"/>
                <w:numId w:val="1"/>
              </w:numPr>
              <w:tabs>
                <w:tab w:val="left" w:pos="480"/>
                <w:tab w:val="left" w:pos="720"/>
              </w:tabs>
              <w:rPr>
                <w:rFonts w:ascii="Helvetica" w:hAnsi="Helvetica"/>
                <w:sz w:val="16"/>
              </w:rPr>
            </w:pPr>
            <w:r>
              <w:rPr>
                <w:rFonts w:ascii="Helvetica" w:hAnsi="Helvetica"/>
                <w:b/>
              </w:rPr>
              <w:fldChar w:fldCharType="begin">
                <w:ffData>
                  <w:name w:val="Check10"/>
                  <w:enabled/>
                  <w:calcOnExit w:val="0"/>
                  <w:checkBox>
                    <w:sizeAuto/>
                    <w:default w:val="1"/>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r>
              <w:rPr>
                <w:rFonts w:ascii="Helvetica" w:hAnsi="Helvetica"/>
                <w:b/>
                <w:color w:val="800000"/>
              </w:rPr>
              <w:t xml:space="preserve"> </w:t>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 change</w:t>
            </w:r>
            <w:r w:rsidR="00B556DA">
              <w:rPr>
                <w:rFonts w:ascii="Helvetica" w:hAnsi="Helvetica"/>
                <w:sz w:val="16"/>
              </w:rPr>
              <w:t xml:space="preserve">, of previously approved collection </w:t>
            </w:r>
          </w:p>
          <w:p w:rsidR="00B556DA" w:rsidRDefault="00B556DA">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B556DA" w:rsidRDefault="005008B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Existing collection in use without an OMB control number</w:t>
            </w:r>
          </w:p>
          <w:p w:rsidR="00B556DA" w:rsidRDefault="00B556DA">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r w:rsidR="00D53783">
              <w:rPr>
                <w:rFonts w:ascii="Helvetica" w:hAnsi="Helvetica"/>
                <w:sz w:val="16"/>
              </w:rPr>
              <w:t xml:space="preserve"> </w:t>
            </w:r>
          </w:p>
        </w:tc>
        <w:tc>
          <w:tcPr>
            <w:tcW w:w="5508" w:type="dxa"/>
            <w:gridSpan w:val="3"/>
            <w:tcBorders>
              <w:top w:val="single" w:sz="6" w:space="0" w:color="auto"/>
              <w:left w:val="single" w:sz="6" w:space="0" w:color="auto"/>
            </w:tcBorders>
          </w:tcPr>
          <w:p w:rsidR="00B556DA" w:rsidRDefault="00B556DA">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1" w:name="Check10"/>
          <w:p w:rsidR="00B556DA" w:rsidRDefault="005008BB">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r w:rsidR="00772B02">
              <w:rPr>
                <w:rFonts w:ascii="Helvetica" w:hAnsi="Helvetica"/>
                <w:b/>
              </w:rPr>
              <w:instrText xml:space="preserve"> FORMCHECKBOX </w:instrText>
            </w:r>
            <w:r>
              <w:rPr>
                <w:rFonts w:ascii="Helvetica" w:hAnsi="Helvetica"/>
                <w:b/>
              </w:rPr>
            </w:r>
            <w:r>
              <w:rPr>
                <w:rFonts w:ascii="Helvetica" w:hAnsi="Helvetica"/>
                <w:b/>
              </w:rPr>
              <w:fldChar w:fldCharType="end"/>
            </w:r>
            <w:bookmarkEnd w:id="1"/>
            <w:r w:rsidR="00B556DA">
              <w:rPr>
                <w:rFonts w:ascii="Helvetica" w:hAnsi="Helvetica"/>
                <w:b/>
                <w:color w:val="800000"/>
              </w:rPr>
              <w:t xml:space="preserve">  </w:t>
            </w:r>
            <w:r w:rsidR="00B556DA">
              <w:rPr>
                <w:rFonts w:ascii="Helvetica" w:hAnsi="Helvetica"/>
                <w:sz w:val="16"/>
              </w:rPr>
              <w:t>Regular</w:t>
            </w:r>
          </w:p>
          <w:p w:rsidR="00B556DA" w:rsidRDefault="005008BB">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sidR="00B556DA">
              <w:rPr>
                <w:rFonts w:ascii="Helvetica" w:hAnsi="Helvetica"/>
                <w:b/>
              </w:rPr>
              <w:instrText xml:space="preserve"> FORMCHECKBOX </w:instrText>
            </w:r>
            <w:r>
              <w:rPr>
                <w:rFonts w:ascii="Helvetica" w:hAnsi="Helvetica"/>
                <w:b/>
              </w:rPr>
            </w:r>
            <w:r>
              <w:rPr>
                <w:rFonts w:ascii="Helvetica" w:hAnsi="Helvetica"/>
                <w:b/>
              </w:rPr>
              <w:fldChar w:fldCharType="end"/>
            </w:r>
            <w:r w:rsidR="00B556DA">
              <w:rPr>
                <w:rFonts w:ascii="Helvetica" w:hAnsi="Helvetica"/>
                <w:b/>
                <w:color w:val="800000"/>
              </w:rPr>
              <w:t xml:space="preserve">  </w:t>
            </w:r>
            <w:r w:rsidR="00B556DA">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2" w:name="Text4"/>
            <w:r w:rsidR="00B556DA">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Pr>
                <w:rFonts w:ascii="Helvetica" w:hAnsi="Helvetica"/>
                <w:color w:val="000080"/>
                <w:sz w:val="18"/>
              </w:rPr>
              <w:fldChar w:fldCharType="end"/>
            </w:r>
            <w:bookmarkEnd w:id="2"/>
          </w:p>
          <w:p w:rsidR="00B556DA" w:rsidRDefault="005008BB">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sz w:val="18"/>
              </w:rPr>
              <w:t xml:space="preserve"> </w:t>
            </w:r>
            <w:r w:rsidR="00B556DA">
              <w:rPr>
                <w:rFonts w:ascii="Helvetica" w:hAnsi="Helvetica"/>
                <w:b/>
                <w:color w:val="800000"/>
              </w:rPr>
              <w:t xml:space="preserve"> </w:t>
            </w:r>
            <w:r w:rsidR="00B556DA">
              <w:rPr>
                <w:rFonts w:ascii="Helvetica" w:hAnsi="Helvetica"/>
                <w:sz w:val="16"/>
              </w:rPr>
              <w:t>Delegated</w:t>
            </w:r>
          </w:p>
          <w:p w:rsidR="00B556DA" w:rsidRDefault="00B556D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B556DA" w:rsidRDefault="005008BB">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772B02">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B556DA" w:rsidRDefault="00B556DA">
            <w:pPr>
              <w:tabs>
                <w:tab w:val="left" w:pos="240"/>
                <w:tab w:val="left" w:pos="3132"/>
              </w:tabs>
              <w:ind w:left="252"/>
              <w:rPr>
                <w:rFonts w:ascii="Helvetica" w:hAnsi="Helvetica"/>
                <w:sz w:val="16"/>
              </w:rPr>
            </w:pPr>
            <w:r>
              <w:rPr>
                <w:rFonts w:ascii="Helvetica" w:hAnsi="Helvetica"/>
                <w:sz w:val="16"/>
              </w:rPr>
              <w:t xml:space="preserve">a. </w:t>
            </w:r>
            <w:r w:rsidR="005008BB">
              <w:rPr>
                <w:rFonts w:ascii="Helvetica" w:hAnsi="Helvetica"/>
                <w:b/>
                <w:sz w:val="18"/>
              </w:rPr>
              <w:fldChar w:fldCharType="begin">
                <w:ffData>
                  <w:name w:val=""/>
                  <w:enabled/>
                  <w:calcOnExit w:val="0"/>
                  <w:checkBox>
                    <w:sizeAuto/>
                    <w:default w:val="1"/>
                  </w:checkBox>
                </w:ffData>
              </w:fldChar>
            </w:r>
            <w:r w:rsidR="00772B02">
              <w:rPr>
                <w:rFonts w:ascii="Helvetica" w:hAnsi="Helvetica"/>
                <w:b/>
                <w:sz w:val="18"/>
              </w:rPr>
              <w:instrText xml:space="preserve"> FORMCHECKBOX </w:instrText>
            </w:r>
            <w:r w:rsidR="005008BB">
              <w:rPr>
                <w:rFonts w:ascii="Helvetica" w:hAnsi="Helvetica"/>
                <w:b/>
                <w:sz w:val="18"/>
              </w:rPr>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008BB">
              <w:rPr>
                <w:rFonts w:ascii="Helvetica" w:hAnsi="Helvetica"/>
                <w:b/>
                <w:sz w:val="18"/>
              </w:rPr>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B556DA" w:rsidRDefault="00B556DA" w:rsidP="00E67EE2">
            <w:pPr>
              <w:tabs>
                <w:tab w:val="left" w:pos="3252"/>
              </w:tabs>
              <w:spacing w:after="60"/>
              <w:rPr>
                <w:rFonts w:ascii="Helvetica" w:hAnsi="Helvetica"/>
                <w:color w:val="000080"/>
                <w:sz w:val="16"/>
              </w:rPr>
            </w:pPr>
            <w:r>
              <w:rPr>
                <w:rFonts w:ascii="Helvetica" w:hAnsi="Helvetica"/>
                <w:sz w:val="18"/>
              </w:rPr>
              <w:tab/>
              <w:t xml:space="preserve"> </w:t>
            </w:r>
          </w:p>
        </w:tc>
      </w:tr>
    </w:tbl>
    <w:p w:rsidR="00B556DA" w:rsidRDefault="00B556DA">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B556DA" w:rsidRDefault="00C91807">
      <w:pPr>
        <w:tabs>
          <w:tab w:val="left" w:pos="240"/>
        </w:tabs>
        <w:spacing w:after="40"/>
        <w:ind w:left="120" w:right="-120"/>
        <w:rPr>
          <w:rFonts w:ascii="Helvetica" w:hAnsi="Helvetica"/>
          <w:color w:val="000080"/>
          <w:sz w:val="18"/>
        </w:rPr>
      </w:pPr>
      <w:r>
        <w:rPr>
          <w:rFonts w:ascii="Helvetica" w:hAnsi="Helvetica"/>
          <w:b/>
          <w:sz w:val="18"/>
        </w:rPr>
        <w:t xml:space="preserve">Enterprise Income Verification (EIV) System - </w:t>
      </w:r>
      <w:r w:rsidR="00772B02">
        <w:rPr>
          <w:rFonts w:ascii="Helvetica" w:hAnsi="Helvetica"/>
          <w:b/>
          <w:sz w:val="18"/>
        </w:rPr>
        <w:t xml:space="preserve">Debts Owed to PHAs </w:t>
      </w:r>
      <w:r w:rsidR="00FB60FF">
        <w:rPr>
          <w:rFonts w:ascii="Helvetica" w:hAnsi="Helvetica"/>
          <w:b/>
          <w:sz w:val="18"/>
        </w:rPr>
        <w:t xml:space="preserve">and </w:t>
      </w:r>
      <w:r w:rsidR="00772B02">
        <w:rPr>
          <w:rFonts w:ascii="Helvetica" w:hAnsi="Helvetica"/>
          <w:b/>
          <w:sz w:val="18"/>
        </w:rPr>
        <w:t>Terminations</w:t>
      </w:r>
    </w:p>
    <w:p w:rsidR="00B556DA" w:rsidRDefault="00B556DA">
      <w:pPr>
        <w:tabs>
          <w:tab w:val="left" w:pos="240"/>
        </w:tabs>
        <w:spacing w:after="40"/>
        <w:ind w:left="120" w:right="-120"/>
        <w:rPr>
          <w:rFonts w:ascii="Helvetica" w:hAnsi="Helvetica"/>
          <w:sz w:val="18"/>
        </w:rPr>
      </w:pPr>
    </w:p>
    <w:p w:rsidR="00B556DA" w:rsidRDefault="00B556DA">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B556DA" w:rsidRDefault="00D130B0">
      <w:pPr>
        <w:spacing w:after="40"/>
        <w:ind w:left="120" w:right="-120"/>
        <w:rPr>
          <w:rFonts w:ascii="Helvetica" w:hAnsi="Helvetica"/>
          <w:color w:val="000080"/>
          <w:sz w:val="18"/>
        </w:rPr>
      </w:pPr>
      <w:r>
        <w:rPr>
          <w:rFonts w:ascii="Helvetica" w:hAnsi="Helvetica"/>
          <w:sz w:val="18"/>
        </w:rPr>
        <w:t>HUD-</w:t>
      </w:r>
      <w:r w:rsidR="00C74072">
        <w:rPr>
          <w:rFonts w:ascii="Helvetica" w:hAnsi="Helvetica"/>
          <w:sz w:val="18"/>
        </w:rPr>
        <w:t>52675</w:t>
      </w:r>
    </w:p>
    <w:p w:rsidR="00B556DA" w:rsidRDefault="00B556DA">
      <w:pPr>
        <w:spacing w:after="40"/>
        <w:ind w:left="120" w:right="-120"/>
        <w:rPr>
          <w:rFonts w:ascii="Helvetica" w:hAnsi="Helvetica"/>
          <w:color w:val="000080"/>
          <w:sz w:val="18"/>
        </w:rPr>
      </w:pPr>
    </w:p>
    <w:p w:rsidR="00B556DA" w:rsidRDefault="00B556DA">
      <w:pPr>
        <w:pBdr>
          <w:top w:val="single" w:sz="6" w:space="0" w:color="auto"/>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B556DA" w:rsidRDefault="00751128">
      <w:pPr>
        <w:spacing w:after="40"/>
        <w:ind w:left="120" w:right="-120"/>
        <w:rPr>
          <w:rFonts w:ascii="Helvetica" w:hAnsi="Helvetica"/>
          <w:color w:val="000080"/>
          <w:sz w:val="18"/>
        </w:rPr>
      </w:pPr>
      <w:r>
        <w:rPr>
          <w:rFonts w:ascii="Helvetica" w:hAnsi="Helvetica"/>
          <w:sz w:val="18"/>
        </w:rPr>
        <w:t xml:space="preserve">Housing, </w:t>
      </w:r>
      <w:r w:rsidR="00D130B0">
        <w:rPr>
          <w:rFonts w:ascii="Helvetica" w:hAnsi="Helvetica"/>
          <w:sz w:val="18"/>
        </w:rPr>
        <w:t>Debts Owed to PHAs, Terminations, Public Housing, Section 8, E</w:t>
      </w:r>
      <w:r w:rsidR="009F3171">
        <w:rPr>
          <w:rFonts w:ascii="Helvetica" w:hAnsi="Helvetica"/>
          <w:sz w:val="18"/>
        </w:rPr>
        <w:t xml:space="preserve">nterprise Income Verification (EIV) </w:t>
      </w:r>
      <w:r w:rsidR="00D130B0">
        <w:rPr>
          <w:rFonts w:ascii="Helvetica" w:hAnsi="Helvetica"/>
          <w:sz w:val="18"/>
        </w:rPr>
        <w:t>System</w:t>
      </w:r>
    </w:p>
    <w:p w:rsidR="00B556DA" w:rsidRDefault="00B556DA">
      <w:pPr>
        <w:spacing w:after="40"/>
        <w:ind w:left="120" w:right="-120"/>
        <w:rPr>
          <w:rFonts w:ascii="Helvetica" w:hAnsi="Helvetica"/>
          <w:color w:val="000080"/>
          <w:sz w:val="18"/>
        </w:rPr>
      </w:pPr>
    </w:p>
    <w:p w:rsidR="00B556DA" w:rsidRDefault="00B556DA">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00B556DA" w:rsidRDefault="00D130B0">
      <w:pPr>
        <w:tabs>
          <w:tab w:val="left" w:pos="240"/>
        </w:tabs>
        <w:spacing w:after="60"/>
        <w:ind w:left="120" w:right="-120"/>
        <w:rPr>
          <w:rFonts w:ascii="Helvetica" w:hAnsi="Helvetica"/>
          <w:color w:val="000080"/>
          <w:sz w:val="16"/>
        </w:rPr>
      </w:pPr>
      <w:r>
        <w:rPr>
          <w:rFonts w:ascii="Helvetica" w:hAnsi="Helvetica"/>
          <w:sz w:val="18"/>
        </w:rPr>
        <w:t xml:space="preserve">This information collection is required to </w:t>
      </w:r>
      <w:r w:rsidRPr="00B17855">
        <w:rPr>
          <w:rFonts w:ascii="Helvetica" w:hAnsi="Helvetica"/>
          <w:sz w:val="18"/>
        </w:rPr>
        <w:t>identify families who no longer participate in a HUD rental assistance program due to adverse termination of tenancy and/or assistance, and owe a debt to a Public Housing Agency (PHA</w:t>
      </w:r>
      <w:r>
        <w:rPr>
          <w:rFonts w:ascii="Helvetica" w:hAnsi="Helvetica"/>
          <w:sz w:val="18"/>
        </w:rPr>
        <w:t>). The information</w:t>
      </w:r>
      <w:r w:rsidR="00434AC7">
        <w:rPr>
          <w:rFonts w:ascii="Helvetica" w:hAnsi="Helvetica"/>
          <w:sz w:val="18"/>
        </w:rPr>
        <w:t xml:space="preserve"> is</w:t>
      </w:r>
      <w:r>
        <w:rPr>
          <w:rFonts w:ascii="Helvetica" w:hAnsi="Helvetica"/>
          <w:sz w:val="18"/>
        </w:rPr>
        <w:t xml:space="preserve"> used by PHAs</w:t>
      </w:r>
      <w:r w:rsidRPr="00B17855">
        <w:rPr>
          <w:rFonts w:ascii="Helvetica" w:hAnsi="Helvetica"/>
          <w:sz w:val="18"/>
        </w:rPr>
        <w:t xml:space="preserve"> to determine a family’s suitability for rental assistance, and avoid providing limited Federal housing assistance to families who have previously </w:t>
      </w:r>
      <w:r>
        <w:rPr>
          <w:rFonts w:ascii="Helvetica" w:hAnsi="Helvetica"/>
          <w:sz w:val="18"/>
        </w:rPr>
        <w:t>demonstrated an inability</w:t>
      </w:r>
      <w:r w:rsidR="00A61E50">
        <w:rPr>
          <w:rFonts w:ascii="Helvetica" w:hAnsi="Helvetica"/>
          <w:sz w:val="18"/>
        </w:rPr>
        <w:t xml:space="preserve"> </w:t>
      </w:r>
      <w:r w:rsidRPr="00B17855">
        <w:rPr>
          <w:rFonts w:ascii="Helvetica" w:hAnsi="Helvetica"/>
          <w:sz w:val="18"/>
        </w:rPr>
        <w:t>to comply with HUD program requirements</w:t>
      </w:r>
      <w:r>
        <w:rPr>
          <w:rFonts w:ascii="Helvetica" w:hAnsi="Helvetica"/>
          <w:sz w:val="18"/>
        </w:rPr>
        <w:t xml:space="preserve"> or who have an unpaid debt to a PHA</w:t>
      </w:r>
      <w:r w:rsidRPr="00B17855">
        <w:rPr>
          <w:rFonts w:ascii="Helvetica" w:hAnsi="Helvetica"/>
          <w:sz w:val="18"/>
        </w:rPr>
        <w:t>.</w:t>
      </w:r>
    </w:p>
    <w:tbl>
      <w:tblPr>
        <w:tblW w:w="0" w:type="auto"/>
        <w:tblLayout w:type="fixed"/>
        <w:tblLook w:val="0000" w:firstRow="0" w:lastRow="0" w:firstColumn="0" w:lastColumn="0" w:noHBand="0" w:noVBand="0"/>
      </w:tblPr>
      <w:tblGrid>
        <w:gridCol w:w="4908"/>
        <w:gridCol w:w="720"/>
        <w:gridCol w:w="5388"/>
      </w:tblGrid>
      <w:tr w:rsidR="00B556DA">
        <w:trPr>
          <w:trHeight w:val="1129"/>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B556DA" w:rsidRDefault="00B556D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D130B0">
              <w:rPr>
                <w:rFonts w:ascii="Helvetica" w:hAnsi="Helvetica"/>
                <w:b/>
                <w:sz w:val="18"/>
              </w:rPr>
              <w:t>X</w:t>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5008B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Helvetica" w:hAnsi="Helvetica"/>
                <w:b/>
                <w:noProof/>
                <w:sz w:val="18"/>
              </w:rPr>
              <w:t> </w:t>
            </w:r>
            <w:r w:rsidR="005008BB">
              <w:rPr>
                <w:rFonts w:ascii="Helvetica" w:hAnsi="Helvetica"/>
                <w:b/>
                <w:sz w:val="18"/>
              </w:rPr>
              <w:fldChar w:fldCharType="end"/>
            </w:r>
            <w:r>
              <w:rPr>
                <w:rFonts w:ascii="Helvetica" w:hAnsi="Helvetica"/>
                <w:b/>
                <w:sz w:val="18"/>
              </w:rPr>
              <w:tab/>
            </w:r>
            <w:r>
              <w:rPr>
                <w:rFonts w:ascii="Helvetica" w:hAnsi="Helvetica"/>
                <w:sz w:val="16"/>
              </w:rPr>
              <w:t>Farms</w:t>
            </w:r>
          </w:p>
          <w:p w:rsidR="00B556DA"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5008B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Helvetica" w:hAnsi="Helvetica"/>
                <w:b/>
                <w:noProof/>
                <w:sz w:val="18"/>
              </w:rPr>
              <w:t> </w:t>
            </w:r>
            <w:r w:rsidR="005008BB">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5008B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Helvetica" w:hAnsi="Helvetica"/>
                <w:b/>
                <w:noProof/>
                <w:sz w:val="18"/>
              </w:rPr>
              <w:t> </w:t>
            </w:r>
            <w:r w:rsidR="005008BB">
              <w:rPr>
                <w:rFonts w:ascii="Helvetica" w:hAnsi="Helvetica"/>
                <w:b/>
                <w:sz w:val="18"/>
              </w:rPr>
              <w:fldChar w:fldCharType="end"/>
            </w:r>
            <w:r>
              <w:rPr>
                <w:rFonts w:ascii="Helvetica" w:hAnsi="Helvetica"/>
                <w:b/>
                <w:sz w:val="18"/>
              </w:rPr>
              <w:tab/>
            </w:r>
            <w:r>
              <w:rPr>
                <w:rFonts w:ascii="Helvetica" w:hAnsi="Helvetica"/>
                <w:sz w:val="16"/>
              </w:rPr>
              <w:t>Federal Government</w:t>
            </w:r>
          </w:p>
          <w:p w:rsidR="00B556DA" w:rsidRDefault="00B556DA" w:rsidP="00D130B0">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5008B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Cambria Math" w:hAnsi="Cambria Math" w:cs="Cambria Math"/>
                <w:b/>
                <w:noProof/>
                <w:sz w:val="18"/>
              </w:rPr>
              <w:t> </w:t>
            </w:r>
            <w:r w:rsidR="005008BB">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D130B0">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B556DA" w:rsidRDefault="00B556DA">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B556DA" w:rsidRDefault="00B556D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5008BB">
              <w:rPr>
                <w:rFonts w:ascii="Helvetica" w:hAnsi="Helvetica"/>
                <w:b/>
                <w:sz w:val="18"/>
              </w:rPr>
              <w:fldChar w:fldCharType="begin">
                <w:ffData>
                  <w:name w:val="Text25"/>
                  <w:enabled/>
                  <w:calcOnExit w:val="0"/>
                  <w:textInput>
                    <w:maxLength w:val="1"/>
                  </w:textInput>
                </w:ffData>
              </w:fldChar>
            </w:r>
            <w:bookmarkStart w:id="3" w:name="Text25"/>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Helvetica" w:hAnsi="Helvetica"/>
                <w:b/>
                <w:noProof/>
                <w:sz w:val="18"/>
              </w:rPr>
              <w:t> </w:t>
            </w:r>
            <w:r w:rsidR="005008BB">
              <w:rPr>
                <w:rFonts w:ascii="Helvetica" w:hAnsi="Helvetica"/>
                <w:b/>
                <w:sz w:val="18"/>
              </w:rPr>
              <w:fldChar w:fldCharType="end"/>
            </w:r>
            <w:bookmarkEnd w:id="3"/>
            <w:r>
              <w:rPr>
                <w:rFonts w:ascii="Helvetica" w:hAnsi="Helvetica"/>
                <w:sz w:val="14"/>
              </w:rPr>
              <w:tab/>
            </w:r>
            <w:r>
              <w:rPr>
                <w:rFonts w:ascii="Helvetica" w:hAnsi="Helvetica"/>
                <w:sz w:val="16"/>
              </w:rPr>
              <w:t>Voluntary</w:t>
            </w:r>
          </w:p>
          <w:p w:rsidR="00B556DA" w:rsidRDefault="00B556DA">
            <w:pPr>
              <w:tabs>
                <w:tab w:val="left" w:pos="492"/>
                <w:tab w:val="left" w:pos="2520"/>
              </w:tabs>
              <w:ind w:left="120"/>
              <w:rPr>
                <w:rFonts w:ascii="Helvetica" w:hAnsi="Helvetica"/>
                <w:sz w:val="16"/>
              </w:rPr>
            </w:pPr>
            <w:r>
              <w:rPr>
                <w:rFonts w:ascii="Helvetica" w:hAnsi="Helvetica"/>
                <w:sz w:val="16"/>
              </w:rPr>
              <w:t xml:space="preserve">b. </w:t>
            </w:r>
            <w:r w:rsidR="00D130B0">
              <w:rPr>
                <w:rFonts w:ascii="Helvetica" w:hAnsi="Helvetica"/>
                <w:b/>
                <w:sz w:val="18"/>
              </w:rPr>
              <w:t>P</w:t>
            </w:r>
            <w:r>
              <w:rPr>
                <w:rFonts w:ascii="Helvetica" w:hAnsi="Helvetica"/>
                <w:sz w:val="16"/>
              </w:rPr>
              <w:tab/>
              <w:t xml:space="preserve">Required to obtain or retain </w:t>
            </w:r>
            <w:r w:rsidR="00E3441C">
              <w:rPr>
                <w:rFonts w:ascii="Helvetica" w:hAnsi="Helvetica"/>
                <w:sz w:val="16"/>
              </w:rPr>
              <w:t>benefits</w:t>
            </w:r>
          </w:p>
          <w:p w:rsidR="00B556DA" w:rsidRDefault="00B556DA">
            <w:pPr>
              <w:tabs>
                <w:tab w:val="left" w:pos="492"/>
              </w:tabs>
              <w:spacing w:after="60"/>
              <w:ind w:left="120"/>
              <w:rPr>
                <w:rFonts w:ascii="Helvetica" w:hAnsi="Helvetica"/>
                <w:sz w:val="16"/>
              </w:rPr>
            </w:pPr>
            <w:r>
              <w:rPr>
                <w:rFonts w:ascii="Helvetica" w:hAnsi="Helvetica"/>
                <w:sz w:val="16"/>
              </w:rPr>
              <w:t xml:space="preserve">c. </w:t>
            </w:r>
            <w:r w:rsidR="005008BB">
              <w:rPr>
                <w:rFonts w:ascii="Helvetica" w:hAnsi="Helvetica"/>
                <w:b/>
                <w:sz w:val="18"/>
              </w:rPr>
              <w:fldChar w:fldCharType="begin">
                <w:ffData>
                  <w:name w:val="Text27"/>
                  <w:enabled/>
                  <w:calcOnExit w:val="0"/>
                  <w:textInput>
                    <w:maxLength w:val="1"/>
                  </w:textInput>
                </w:ffData>
              </w:fldChar>
            </w:r>
            <w:bookmarkStart w:id="4" w:name="Text27"/>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Helvetica" w:hAnsi="Helvetica"/>
                <w:b/>
                <w:noProof/>
                <w:sz w:val="18"/>
              </w:rPr>
              <w:t> </w:t>
            </w:r>
            <w:r w:rsidR="005008BB">
              <w:rPr>
                <w:rFonts w:ascii="Helvetica" w:hAnsi="Helvetica"/>
                <w:b/>
                <w:sz w:val="18"/>
              </w:rPr>
              <w:fldChar w:fldCharType="end"/>
            </w:r>
            <w:bookmarkEnd w:id="4"/>
            <w:r>
              <w:rPr>
                <w:rFonts w:ascii="Helvetica" w:hAnsi="Helvetica"/>
                <w:sz w:val="16"/>
              </w:rPr>
              <w:tab/>
              <w:t>Mandatory</w:t>
            </w:r>
          </w:p>
        </w:tc>
      </w:tr>
      <w:tr w:rsidR="00B556DA">
        <w:trPr>
          <w:trHeight w:val="2146"/>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B556DA" w:rsidRDefault="00B556DA">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A61E50" w:rsidRPr="00A61E50">
              <w:rPr>
                <w:rFonts w:ascii="Helvetica" w:hAnsi="Helvetica"/>
                <w:sz w:val="18"/>
                <w:szCs w:val="18"/>
              </w:rPr>
              <w:t>3</w:t>
            </w:r>
            <w:r w:rsidR="00A61E50">
              <w:rPr>
                <w:rFonts w:ascii="Helvetica" w:hAnsi="Helvetica"/>
                <w:sz w:val="18"/>
                <w:szCs w:val="18"/>
              </w:rPr>
              <w:t>,</w:t>
            </w:r>
            <w:r w:rsidR="00A61E50" w:rsidRPr="00A61E50">
              <w:rPr>
                <w:rFonts w:ascii="Helvetica" w:hAnsi="Helvetica"/>
                <w:sz w:val="18"/>
                <w:szCs w:val="18"/>
              </w:rPr>
              <w:t>974</w:t>
            </w:r>
          </w:p>
          <w:p w:rsidR="00B556DA" w:rsidRDefault="00B556DA">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6F665C">
              <w:rPr>
                <w:rFonts w:ascii="Helvetica" w:hAnsi="Helvetica"/>
                <w:sz w:val="18"/>
              </w:rPr>
              <w:t>47,688</w:t>
            </w:r>
          </w:p>
          <w:p w:rsidR="00B556DA" w:rsidRDefault="00B556DA">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6B4B02">
              <w:rPr>
                <w:rFonts w:ascii="Helvetica" w:hAnsi="Helvetica"/>
                <w:sz w:val="18"/>
              </w:rPr>
              <w:t>100%</w:t>
            </w:r>
          </w:p>
          <w:p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A61E50">
              <w:rPr>
                <w:rFonts w:ascii="Helvetica" w:hAnsi="Helvetica"/>
                <w:sz w:val="16"/>
              </w:rPr>
              <w:t xml:space="preserve">  </w:t>
            </w:r>
            <w:r w:rsidR="006B4B02">
              <w:rPr>
                <w:rFonts w:ascii="Helvetica" w:hAnsi="Helvetica"/>
                <w:sz w:val="18"/>
              </w:rPr>
              <w:t>2</w:t>
            </w:r>
            <w:r w:rsidR="00CF23FA">
              <w:rPr>
                <w:rFonts w:ascii="Helvetica" w:hAnsi="Helvetica"/>
                <w:sz w:val="18"/>
              </w:rPr>
              <w:t>3,26</w:t>
            </w:r>
            <w:r w:rsidR="00A61E50">
              <w:rPr>
                <w:rFonts w:ascii="Helvetica" w:hAnsi="Helvetica"/>
                <w:sz w:val="18"/>
              </w:rPr>
              <w:t>8</w:t>
            </w:r>
          </w:p>
          <w:p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2134F3" w:rsidRPr="002134F3">
              <w:rPr>
                <w:rFonts w:ascii="Helvetica" w:hAnsi="Helvetica"/>
                <w:sz w:val="18"/>
                <w:szCs w:val="18"/>
              </w:rPr>
              <w:t>29,68</w:t>
            </w:r>
            <w:r w:rsidR="00A61E50">
              <w:rPr>
                <w:rFonts w:ascii="Helvetica" w:hAnsi="Helvetica"/>
                <w:sz w:val="18"/>
                <w:szCs w:val="18"/>
              </w:rPr>
              <w:t>8</w:t>
            </w:r>
          </w:p>
          <w:p w:rsidR="00B556DA" w:rsidRDefault="00B556DA">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2134F3">
              <w:rPr>
                <w:rFonts w:ascii="Helvetica" w:hAnsi="Helvetica"/>
                <w:sz w:val="18"/>
              </w:rPr>
              <w:t>-</w:t>
            </w:r>
            <w:r w:rsidR="00CF23FA">
              <w:rPr>
                <w:rFonts w:ascii="Helvetica" w:hAnsi="Helvetica"/>
                <w:sz w:val="18"/>
              </w:rPr>
              <w:t>6,4</w:t>
            </w:r>
            <w:r w:rsidR="00A61E50">
              <w:rPr>
                <w:rFonts w:ascii="Helvetica" w:hAnsi="Helvetica"/>
                <w:sz w:val="18"/>
              </w:rPr>
              <w:t>20</w:t>
            </w:r>
          </w:p>
          <w:p w:rsidR="00B556DA" w:rsidRDefault="00B556DA">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B556DA" w:rsidRDefault="00B556DA">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6B4B02">
              <w:rPr>
                <w:rFonts w:ascii="Helvetica" w:hAnsi="Helvetica"/>
                <w:sz w:val="18"/>
              </w:rPr>
              <w:t>0</w:t>
            </w:r>
          </w:p>
          <w:p w:rsidR="00B556DA" w:rsidRDefault="00B556DA" w:rsidP="006B4B02">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6B4B02">
              <w:rPr>
                <w:rFonts w:ascii="Helvetica" w:hAnsi="Helvetica"/>
                <w:sz w:val="18"/>
              </w:rPr>
              <w:t>0</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B556DA" w:rsidRDefault="00B556DA">
            <w:pPr>
              <w:tabs>
                <w:tab w:val="left" w:pos="240"/>
              </w:tabs>
              <w:rPr>
                <w:rFonts w:ascii="Helvetica" w:hAnsi="Helvetica"/>
                <w:sz w:val="14"/>
              </w:rPr>
            </w:pPr>
            <w:r>
              <w:rPr>
                <w:rFonts w:ascii="Helvetica" w:hAnsi="Helvetica"/>
                <w:sz w:val="14"/>
              </w:rPr>
              <w:tab/>
              <w:t>Do not include costs based on the hours in item 13.</w:t>
            </w:r>
          </w:p>
          <w:p w:rsidR="00B556DA" w:rsidRDefault="00B556D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6B4B02">
              <w:rPr>
                <w:rFonts w:ascii="Helvetica" w:hAnsi="Helvetica"/>
                <w:sz w:val="18"/>
              </w:rPr>
              <w:t>0</w:t>
            </w:r>
          </w:p>
          <w:p w:rsidR="00B556DA" w:rsidRDefault="00B556D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6B4B02">
              <w:rPr>
                <w:rFonts w:ascii="Helvetica" w:hAnsi="Helvetica"/>
                <w:sz w:val="18"/>
              </w:rPr>
              <w:t>0</w:t>
            </w:r>
          </w:p>
          <w:p w:rsidR="00B556DA" w:rsidRDefault="00B556D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6B4B02">
              <w:rPr>
                <w:rFonts w:ascii="Helvetica" w:hAnsi="Helvetica"/>
                <w:sz w:val="18"/>
              </w:rPr>
              <w:t>0</w:t>
            </w:r>
          </w:p>
          <w:p w:rsidR="00B556DA" w:rsidRDefault="00B556DA">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6B4B02">
              <w:rPr>
                <w:rFonts w:ascii="Helvetica" w:hAnsi="Helvetica"/>
                <w:sz w:val="18"/>
              </w:rPr>
              <w:t>0</w:t>
            </w:r>
          </w:p>
          <w:p w:rsidR="00B556DA" w:rsidRDefault="00B556DA">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6B4B02">
              <w:rPr>
                <w:rFonts w:ascii="Helvetica" w:hAnsi="Helvetica"/>
                <w:sz w:val="18"/>
              </w:rPr>
              <w:t>0</w:t>
            </w:r>
          </w:p>
          <w:p w:rsidR="00B556DA" w:rsidRDefault="00B556DA">
            <w:pPr>
              <w:tabs>
                <w:tab w:val="left" w:pos="240"/>
                <w:tab w:val="right" w:pos="4800"/>
              </w:tabs>
              <w:ind w:left="132"/>
              <w:rPr>
                <w:rFonts w:ascii="Helvetica" w:hAnsi="Helvetica"/>
                <w:sz w:val="16"/>
              </w:rPr>
            </w:pPr>
            <w:r>
              <w:rPr>
                <w:rFonts w:ascii="Helvetica" w:hAnsi="Helvetica"/>
                <w:sz w:val="16"/>
              </w:rPr>
              <w:t>f. Explanation of difference:</w:t>
            </w:r>
          </w:p>
          <w:p w:rsidR="00B556DA" w:rsidRDefault="00B556DA">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6B4B02">
              <w:rPr>
                <w:rFonts w:ascii="Helvetica" w:hAnsi="Helvetica"/>
                <w:sz w:val="18"/>
              </w:rPr>
              <w:t>0</w:t>
            </w:r>
          </w:p>
          <w:p w:rsidR="00B556DA" w:rsidRDefault="00B556DA" w:rsidP="006B4B02">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6B4B02">
              <w:rPr>
                <w:rFonts w:ascii="Helvetica" w:hAnsi="Helvetica"/>
                <w:sz w:val="18"/>
              </w:rPr>
              <w:t>0</w:t>
            </w:r>
          </w:p>
        </w:tc>
      </w:tr>
      <w:tr w:rsidR="00B556DA">
        <w:trPr>
          <w:trHeight w:val="1474"/>
        </w:trPr>
        <w:tc>
          <w:tcPr>
            <w:tcW w:w="5628" w:type="dxa"/>
            <w:gridSpan w:val="2"/>
            <w:tcBorders>
              <w:top w:val="single" w:sz="6" w:space="0" w:color="auto"/>
              <w:right w:val="single" w:sz="6" w:space="0" w:color="auto"/>
            </w:tcBorders>
          </w:tcPr>
          <w:p w:rsidR="00B556DA" w:rsidRDefault="00B556DA">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a. </w:t>
            </w:r>
            <w:r w:rsidR="006B4B02" w:rsidRPr="006B4B02">
              <w:rPr>
                <w:rFonts w:ascii="Helvetica" w:hAnsi="Helvetica"/>
                <w:b/>
              </w:rPr>
              <w:t>P</w:t>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B556DA" w:rsidRDefault="00B556DA">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c.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proofErr w:type="spellStart"/>
            <w:r>
              <w:rPr>
                <w:rFonts w:ascii="Helvetica" w:hAnsi="Helvetica"/>
                <w:sz w:val="16"/>
              </w:rPr>
              <w:t>Requlatory</w:t>
            </w:r>
            <w:proofErr w:type="spellEnd"/>
            <w:r>
              <w:rPr>
                <w:rFonts w:ascii="Helvetica" w:hAnsi="Helvetica"/>
                <w:sz w:val="16"/>
              </w:rPr>
              <w:t xml:space="preserve"> or compliance</w:t>
            </w:r>
          </w:p>
          <w:p w:rsidR="00B556DA" w:rsidRDefault="00B556DA">
            <w:pPr>
              <w:keepLines/>
              <w:tabs>
                <w:tab w:val="left" w:pos="480"/>
                <w:tab w:val="left" w:pos="2880"/>
              </w:tabs>
              <w:spacing w:after="60"/>
              <w:ind w:left="120"/>
              <w:rPr>
                <w:rFonts w:ascii="Helvetica" w:hAnsi="Helvetica"/>
                <w:sz w:val="16"/>
              </w:rPr>
            </w:pPr>
            <w:r>
              <w:rPr>
                <w:rFonts w:ascii="Helvetica" w:hAnsi="Helvetica"/>
                <w:sz w:val="16"/>
              </w:rPr>
              <w:t xml:space="preserve">d.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B556DA" w:rsidRDefault="00B556DA">
            <w:pPr>
              <w:tabs>
                <w:tab w:val="left" w:pos="240"/>
                <w:tab w:val="left" w:pos="1932"/>
              </w:tabs>
              <w:ind w:left="120"/>
              <w:rPr>
                <w:rFonts w:ascii="Helvetica" w:hAnsi="Helvetica"/>
                <w:sz w:val="16"/>
              </w:rPr>
            </w:pPr>
            <w:r>
              <w:rPr>
                <w:rFonts w:ascii="Helvetica" w:hAnsi="Helvetica"/>
                <w:sz w:val="16"/>
              </w:rPr>
              <w:t xml:space="preserve">a.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008BB">
              <w:rPr>
                <w:rFonts w:ascii="Helvetica" w:hAnsi="Helvetica"/>
                <w:b/>
                <w:sz w:val="18"/>
              </w:rPr>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008BB">
              <w:rPr>
                <w:rFonts w:ascii="Helvetica" w:hAnsi="Helvetica"/>
                <w:b/>
                <w:sz w:val="18"/>
              </w:rPr>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B556DA" w:rsidRDefault="00B556DA">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5008BB">
              <w:rPr>
                <w:rFonts w:ascii="Helvetica" w:hAnsi="Helvetica"/>
                <w:b/>
                <w:sz w:val="18"/>
              </w:rPr>
              <w:fldChar w:fldCharType="begin">
                <w:ffData>
                  <w:name w:val=""/>
                  <w:enabled/>
                  <w:calcOnExit w:val="0"/>
                  <w:checkBox>
                    <w:sizeAuto/>
                    <w:default w:val="1"/>
                  </w:checkBox>
                </w:ffData>
              </w:fldChar>
            </w:r>
            <w:r w:rsidR="006B4B02">
              <w:rPr>
                <w:rFonts w:ascii="Helvetica" w:hAnsi="Helvetica"/>
                <w:b/>
                <w:sz w:val="18"/>
              </w:rPr>
              <w:instrText xml:space="preserve"> FORMCHECKBOX </w:instrText>
            </w:r>
            <w:r w:rsidR="005008BB">
              <w:rPr>
                <w:rFonts w:ascii="Helvetica" w:hAnsi="Helvetica"/>
                <w:b/>
                <w:sz w:val="18"/>
              </w:rPr>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1. </w:t>
            </w:r>
            <w:r w:rsidR="00A62273">
              <w:rPr>
                <w:rFonts w:ascii="Helvetica" w:hAnsi="Helvetica"/>
                <w:b/>
                <w:sz w:val="18"/>
              </w:rPr>
              <w:fldChar w:fldCharType="begin">
                <w:ffData>
                  <w:name w:val=""/>
                  <w:enabled/>
                  <w:calcOnExit w:val="0"/>
                  <w:checkBox>
                    <w:sizeAuto/>
                    <w:default w:val="0"/>
                  </w:checkBox>
                </w:ffData>
              </w:fldChar>
            </w:r>
            <w:r w:rsidR="00A62273">
              <w:rPr>
                <w:rFonts w:ascii="Helvetica" w:hAnsi="Helvetica"/>
                <w:b/>
                <w:sz w:val="18"/>
              </w:rPr>
              <w:instrText xml:space="preserve"> FORMCHECKBOX </w:instrText>
            </w:r>
            <w:r w:rsidR="00A62273">
              <w:rPr>
                <w:rFonts w:ascii="Helvetica" w:hAnsi="Helvetica"/>
                <w:b/>
                <w:sz w:val="18"/>
              </w:rPr>
            </w:r>
            <w:r w:rsidR="00A62273">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008BB">
              <w:rPr>
                <w:rFonts w:ascii="Helvetica" w:hAnsi="Helvetica"/>
                <w:b/>
                <w:sz w:val="18"/>
              </w:rPr>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A62273">
              <w:rPr>
                <w:rFonts w:ascii="Helvetica" w:hAnsi="Helvetica"/>
                <w:b/>
                <w:sz w:val="18"/>
              </w:rPr>
              <w:fldChar w:fldCharType="begin">
                <w:ffData>
                  <w:name w:val=""/>
                  <w:enabled/>
                  <w:calcOnExit w:val="0"/>
                  <w:checkBox>
                    <w:sizeAuto/>
                    <w:default w:val="1"/>
                  </w:checkBox>
                </w:ffData>
              </w:fldChar>
            </w:r>
            <w:r w:rsidR="00A62273">
              <w:rPr>
                <w:rFonts w:ascii="Helvetica" w:hAnsi="Helvetica"/>
                <w:b/>
                <w:sz w:val="18"/>
              </w:rPr>
              <w:instrText xml:space="preserve"> FORMCHECKBOX </w:instrText>
            </w:r>
            <w:r w:rsidR="00A62273">
              <w:rPr>
                <w:rFonts w:ascii="Helvetica" w:hAnsi="Helvetica"/>
                <w:b/>
                <w:sz w:val="18"/>
              </w:rPr>
            </w:r>
            <w:r w:rsidR="00A62273">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4.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008BB">
              <w:rPr>
                <w:rFonts w:ascii="Helvetica" w:hAnsi="Helvetica"/>
                <w:b/>
                <w:sz w:val="18"/>
              </w:rPr>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008BB">
              <w:rPr>
                <w:rFonts w:ascii="Helvetica" w:hAnsi="Helvetica"/>
                <w:b/>
                <w:sz w:val="18"/>
              </w:rPr>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008BB">
              <w:rPr>
                <w:rFonts w:ascii="Helvetica" w:hAnsi="Helvetica"/>
                <w:b/>
                <w:sz w:val="18"/>
              </w:rPr>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B556DA" w:rsidRDefault="00B556DA">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008BB">
              <w:rPr>
                <w:rFonts w:ascii="Helvetica" w:hAnsi="Helvetica"/>
                <w:b/>
                <w:sz w:val="18"/>
              </w:rPr>
            </w:r>
            <w:r w:rsidR="005008BB">
              <w:rPr>
                <w:rFonts w:ascii="Helvetica" w:hAnsi="Helvetica"/>
                <w:b/>
                <w:sz w:val="18"/>
              </w:rPr>
              <w:fldChar w:fldCharType="end"/>
            </w:r>
            <w:r>
              <w:rPr>
                <w:rFonts w:ascii="Helvetica" w:hAnsi="Helvetica"/>
                <w:b/>
                <w:color w:val="800000"/>
              </w:rPr>
              <w:t xml:space="preserve">  </w:t>
            </w:r>
            <w:proofErr w:type="spellStart"/>
            <w:r>
              <w:rPr>
                <w:rFonts w:ascii="Helvetica" w:hAnsi="Helvetica"/>
                <w:sz w:val="16"/>
              </w:rPr>
              <w:t>Biennually</w:t>
            </w:r>
            <w:proofErr w:type="spellEnd"/>
            <w:r>
              <w:rPr>
                <w:rFonts w:ascii="Helvetica" w:hAnsi="Helvetica"/>
                <w:sz w:val="16"/>
              </w:rPr>
              <w:tab/>
              <w:t xml:space="preserve">8.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5008BB">
              <w:rPr>
                <w:rFonts w:ascii="Helvetica" w:hAnsi="Helvetica"/>
                <w:b/>
                <w:sz w:val="18"/>
              </w:rPr>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5008BB">
              <w:rPr>
                <w:rFonts w:ascii="Helvetica" w:hAnsi="Helvetica"/>
                <w:color w:val="000080"/>
                <w:sz w:val="16"/>
              </w:rPr>
              <w:fldChar w:fldCharType="begin">
                <w:ffData>
                  <w:name w:val="Text18"/>
                  <w:enabled/>
                  <w:calcOnExit w:val="0"/>
                  <w:textInput/>
                </w:ffData>
              </w:fldChar>
            </w:r>
            <w:bookmarkStart w:id="5" w:name="Text18"/>
            <w:r>
              <w:rPr>
                <w:rFonts w:ascii="Helvetica" w:hAnsi="Helvetica"/>
                <w:color w:val="000080"/>
                <w:sz w:val="16"/>
              </w:rPr>
              <w:instrText xml:space="preserve"> FORMTEXT </w:instrText>
            </w:r>
            <w:r w:rsidR="005008BB">
              <w:rPr>
                <w:rFonts w:ascii="Helvetica" w:hAnsi="Helvetica"/>
                <w:color w:val="000080"/>
                <w:sz w:val="16"/>
              </w:rPr>
            </w:r>
            <w:r w:rsidR="005008BB">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5008BB">
              <w:rPr>
                <w:rFonts w:ascii="Helvetica" w:hAnsi="Helvetica"/>
                <w:color w:val="000080"/>
                <w:sz w:val="16"/>
              </w:rPr>
              <w:fldChar w:fldCharType="end"/>
            </w:r>
            <w:bookmarkEnd w:id="5"/>
          </w:p>
          <w:p w:rsidR="00B556DA" w:rsidRDefault="00B556DA">
            <w:pPr>
              <w:tabs>
                <w:tab w:val="left" w:pos="240"/>
              </w:tabs>
              <w:rPr>
                <w:rFonts w:ascii="Helvetica" w:hAnsi="Helvetica"/>
                <w:sz w:val="16"/>
              </w:rPr>
            </w:pPr>
          </w:p>
        </w:tc>
      </w:tr>
      <w:tr w:rsidR="00B556DA">
        <w:tc>
          <w:tcPr>
            <w:tcW w:w="4908" w:type="dxa"/>
            <w:tcBorders>
              <w:top w:val="single" w:sz="6" w:space="0" w:color="auto"/>
              <w:bottom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B556DA" w:rsidRDefault="00B556DA">
            <w:pPr>
              <w:keepLines/>
              <w:ind w:left="240"/>
              <w:rPr>
                <w:rFonts w:ascii="Helvetica" w:hAnsi="Helvetica"/>
                <w:sz w:val="16"/>
              </w:rPr>
            </w:pPr>
            <w:r>
              <w:rPr>
                <w:rFonts w:ascii="Helvetica" w:hAnsi="Helvetica"/>
                <w:sz w:val="16"/>
              </w:rPr>
              <w:t>Does this information collection employ statistical methods?</w:t>
            </w:r>
          </w:p>
          <w:p w:rsidR="00B556DA" w:rsidRDefault="005008BB">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6B4B02">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556DA" w:rsidRDefault="00B556DA">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B556DA" w:rsidRPr="006B4B02" w:rsidRDefault="00B556DA">
            <w:pPr>
              <w:ind w:left="252"/>
              <w:rPr>
                <w:rFonts w:ascii="Helvetica" w:hAnsi="Helvetica"/>
                <w:sz w:val="16"/>
              </w:rPr>
            </w:pPr>
            <w:r>
              <w:rPr>
                <w:rFonts w:ascii="Helvetica" w:hAnsi="Helvetica"/>
                <w:sz w:val="16"/>
              </w:rPr>
              <w:t xml:space="preserve">Name: </w:t>
            </w:r>
            <w:r w:rsidR="00917501">
              <w:rPr>
                <w:rFonts w:ascii="Helvetica" w:hAnsi="Helvetica"/>
                <w:sz w:val="18"/>
              </w:rPr>
              <w:t xml:space="preserve"> Victoria Alston</w:t>
            </w:r>
          </w:p>
          <w:p w:rsidR="00B556DA" w:rsidRPr="006B4B02" w:rsidRDefault="00B556DA">
            <w:pPr>
              <w:ind w:left="252"/>
              <w:rPr>
                <w:rFonts w:ascii="Helvetica" w:hAnsi="Helvetica"/>
                <w:sz w:val="16"/>
              </w:rPr>
            </w:pPr>
            <w:r w:rsidRPr="006B4B02">
              <w:rPr>
                <w:rFonts w:ascii="Helvetica" w:hAnsi="Helvetica"/>
                <w:sz w:val="16"/>
              </w:rPr>
              <w:t xml:space="preserve">Phone: </w:t>
            </w:r>
            <w:r w:rsidR="006B4B02" w:rsidRPr="006B4B02">
              <w:rPr>
                <w:rFonts w:ascii="Helvetica" w:hAnsi="Helvetica"/>
                <w:sz w:val="18"/>
              </w:rPr>
              <w:t>(202) 4</w:t>
            </w:r>
            <w:r w:rsidR="00064C47">
              <w:rPr>
                <w:rFonts w:ascii="Helvetica" w:hAnsi="Helvetica"/>
                <w:sz w:val="18"/>
              </w:rPr>
              <w:t>75-7993</w:t>
            </w:r>
          </w:p>
          <w:p w:rsidR="00B556DA" w:rsidRDefault="00B556DA">
            <w:pPr>
              <w:tabs>
                <w:tab w:val="left" w:pos="240"/>
              </w:tabs>
              <w:rPr>
                <w:rFonts w:ascii="Helvetica" w:hAnsi="Helvetica"/>
                <w:sz w:val="16"/>
              </w:rPr>
            </w:pPr>
          </w:p>
        </w:tc>
      </w:tr>
    </w:tbl>
    <w:p w:rsidR="00B556DA" w:rsidRDefault="00B556DA">
      <w:pPr>
        <w:tabs>
          <w:tab w:val="left" w:pos="240"/>
        </w:tabs>
        <w:rPr>
          <w:rFonts w:ascii="Helvetica" w:hAnsi="Helvetica"/>
          <w:sz w:val="16"/>
        </w:rPr>
      </w:pPr>
    </w:p>
    <w:p w:rsidR="00B556DA" w:rsidRDefault="00B556DA">
      <w:pPr>
        <w:pBdr>
          <w:top w:val="single" w:sz="6" w:space="1" w:color="auto"/>
        </w:pBdr>
        <w:tabs>
          <w:tab w:val="left" w:pos="240"/>
        </w:tabs>
        <w:jc w:val="center"/>
        <w:rPr>
          <w:rFonts w:ascii="Helvetica" w:hAnsi="Helvetica"/>
          <w:sz w:val="16"/>
        </w:rPr>
        <w:sectPr w:rsidR="00B556DA">
          <w:footerReference w:type="default" r:id="rId9"/>
          <w:pgSz w:w="12240" w:h="15840"/>
          <w:pgMar w:top="480" w:right="600" w:bottom="480" w:left="720" w:header="480" w:footer="480" w:gutter="0"/>
          <w:cols w:space="480" w:equalWidth="0">
            <w:col w:w="10920"/>
          </w:cols>
        </w:sectPr>
      </w:pPr>
    </w:p>
    <w:p w:rsidR="00B556DA" w:rsidRDefault="00B556D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B556DA" w:rsidRDefault="00B556D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B556DA" w:rsidRDefault="00B556DA">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B556DA" w:rsidRDefault="00B556DA">
      <w:pPr>
        <w:tabs>
          <w:tab w:val="left" w:pos="240"/>
        </w:tabs>
        <w:spacing w:line="280" w:lineRule="exact"/>
        <w:rPr>
          <w:sz w:val="22"/>
        </w:rPr>
      </w:pPr>
    </w:p>
    <w:p w:rsidR="00B556DA" w:rsidRDefault="00B556DA">
      <w:pPr>
        <w:tabs>
          <w:tab w:val="left" w:pos="240"/>
        </w:tabs>
        <w:spacing w:line="280" w:lineRule="exact"/>
        <w:rPr>
          <w:sz w:val="22"/>
        </w:rPr>
      </w:pPr>
      <w:r>
        <w:rPr>
          <w:sz w:val="22"/>
        </w:rPr>
        <w:t xml:space="preserve">The following is a summary of the topics, regarding the proposed collections of </w:t>
      </w:r>
      <w:r w:rsidR="00E3441C">
        <w:rPr>
          <w:sz w:val="22"/>
        </w:rPr>
        <w:t>information that</w:t>
      </w:r>
      <w:r>
        <w:rPr>
          <w:sz w:val="22"/>
        </w:rPr>
        <w:t xml:space="preserve"> the certification covers:</w:t>
      </w:r>
    </w:p>
    <w:p w:rsidR="00B556DA" w:rsidRDefault="00B556DA">
      <w:pPr>
        <w:numPr>
          <w:ilvl w:val="0"/>
          <w:numId w:val="3"/>
        </w:numPr>
        <w:tabs>
          <w:tab w:val="left" w:pos="720"/>
        </w:tabs>
        <w:spacing w:line="280" w:lineRule="exact"/>
        <w:rPr>
          <w:sz w:val="22"/>
        </w:rPr>
      </w:pPr>
      <w:r>
        <w:rPr>
          <w:sz w:val="22"/>
        </w:rPr>
        <w:t>It is necessary for the proper performance of agency functions;</w:t>
      </w:r>
    </w:p>
    <w:p w:rsidR="00B556DA" w:rsidRDefault="00B556DA">
      <w:pPr>
        <w:numPr>
          <w:ilvl w:val="0"/>
          <w:numId w:val="3"/>
        </w:numPr>
        <w:tabs>
          <w:tab w:val="left" w:pos="720"/>
        </w:tabs>
        <w:spacing w:line="280" w:lineRule="exact"/>
        <w:rPr>
          <w:sz w:val="22"/>
        </w:rPr>
      </w:pPr>
      <w:r>
        <w:rPr>
          <w:sz w:val="22"/>
        </w:rPr>
        <w:t>It avoids unnecessary duplication;</w:t>
      </w:r>
    </w:p>
    <w:p w:rsidR="00B556DA" w:rsidRDefault="00B556DA">
      <w:pPr>
        <w:numPr>
          <w:ilvl w:val="0"/>
          <w:numId w:val="3"/>
        </w:numPr>
        <w:tabs>
          <w:tab w:val="left" w:pos="720"/>
        </w:tabs>
        <w:spacing w:line="280" w:lineRule="exact"/>
        <w:rPr>
          <w:sz w:val="22"/>
        </w:rPr>
      </w:pPr>
      <w:r>
        <w:rPr>
          <w:sz w:val="22"/>
        </w:rPr>
        <w:t>It reduces burden on small entities;</w:t>
      </w:r>
    </w:p>
    <w:p w:rsidR="00B556DA" w:rsidRDefault="00B556DA">
      <w:pPr>
        <w:numPr>
          <w:ilvl w:val="0"/>
          <w:numId w:val="3"/>
        </w:numPr>
        <w:tabs>
          <w:tab w:val="left" w:pos="720"/>
        </w:tabs>
        <w:spacing w:line="280" w:lineRule="exact"/>
        <w:rPr>
          <w:sz w:val="22"/>
        </w:rPr>
      </w:pPr>
      <w:r>
        <w:rPr>
          <w:sz w:val="22"/>
        </w:rPr>
        <w:t>It uses plain, coherent, and unambiguous terminology that is understandable to respondents;</w:t>
      </w:r>
    </w:p>
    <w:p w:rsidR="00B556DA" w:rsidRDefault="00B556D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B556DA" w:rsidRDefault="00B556DA">
      <w:pPr>
        <w:numPr>
          <w:ilvl w:val="0"/>
          <w:numId w:val="3"/>
        </w:numPr>
        <w:tabs>
          <w:tab w:val="left" w:pos="720"/>
        </w:tabs>
        <w:spacing w:line="280" w:lineRule="exact"/>
        <w:rPr>
          <w:sz w:val="22"/>
        </w:rPr>
      </w:pPr>
      <w:r>
        <w:rPr>
          <w:sz w:val="22"/>
        </w:rPr>
        <w:t>It indicates the retention periods for recordkeeping requirements;</w:t>
      </w:r>
    </w:p>
    <w:p w:rsidR="00B556DA" w:rsidRDefault="00B556DA">
      <w:pPr>
        <w:numPr>
          <w:ilvl w:val="0"/>
          <w:numId w:val="3"/>
        </w:numPr>
        <w:tabs>
          <w:tab w:val="left" w:pos="720"/>
        </w:tabs>
        <w:spacing w:line="280" w:lineRule="exact"/>
        <w:rPr>
          <w:sz w:val="22"/>
        </w:rPr>
      </w:pPr>
      <w:r>
        <w:rPr>
          <w:sz w:val="22"/>
        </w:rPr>
        <w:t>It informs respondents of the information called for under 5 CFR 1320.8(b)(3):</w:t>
      </w:r>
    </w:p>
    <w:p w:rsidR="00B556DA" w:rsidRDefault="00B556DA">
      <w:pPr>
        <w:numPr>
          <w:ilvl w:val="0"/>
          <w:numId w:val="4"/>
        </w:numPr>
        <w:tabs>
          <w:tab w:val="left" w:pos="720"/>
        </w:tabs>
        <w:spacing w:line="280" w:lineRule="exact"/>
        <w:rPr>
          <w:sz w:val="22"/>
        </w:rPr>
      </w:pPr>
      <w:r>
        <w:rPr>
          <w:sz w:val="22"/>
        </w:rPr>
        <w:t>Why the information is being collected;</w:t>
      </w:r>
    </w:p>
    <w:p w:rsidR="00B556DA" w:rsidRDefault="00B556DA">
      <w:pPr>
        <w:numPr>
          <w:ilvl w:val="0"/>
          <w:numId w:val="4"/>
        </w:numPr>
        <w:tabs>
          <w:tab w:val="left" w:pos="720"/>
        </w:tabs>
        <w:spacing w:line="280" w:lineRule="exact"/>
        <w:rPr>
          <w:sz w:val="22"/>
        </w:rPr>
      </w:pPr>
      <w:r>
        <w:rPr>
          <w:sz w:val="22"/>
        </w:rPr>
        <w:t>Use of the information;</w:t>
      </w:r>
    </w:p>
    <w:p w:rsidR="00B556DA" w:rsidRDefault="00B556DA">
      <w:pPr>
        <w:numPr>
          <w:ilvl w:val="0"/>
          <w:numId w:val="4"/>
        </w:numPr>
        <w:tabs>
          <w:tab w:val="left" w:pos="720"/>
        </w:tabs>
        <w:spacing w:line="280" w:lineRule="exact"/>
        <w:rPr>
          <w:sz w:val="22"/>
        </w:rPr>
      </w:pPr>
      <w:r>
        <w:rPr>
          <w:sz w:val="22"/>
        </w:rPr>
        <w:t>Burden estimate;</w:t>
      </w:r>
    </w:p>
    <w:p w:rsidR="00B556DA" w:rsidRDefault="00B556DA">
      <w:pPr>
        <w:numPr>
          <w:ilvl w:val="0"/>
          <w:numId w:val="4"/>
        </w:numPr>
        <w:tabs>
          <w:tab w:val="left" w:pos="720"/>
        </w:tabs>
        <w:spacing w:line="280" w:lineRule="exact"/>
        <w:rPr>
          <w:sz w:val="22"/>
        </w:rPr>
      </w:pPr>
      <w:r>
        <w:rPr>
          <w:sz w:val="22"/>
        </w:rPr>
        <w:t>Nature of response (voluntary, required for a benefit, or mandatory);</w:t>
      </w:r>
    </w:p>
    <w:p w:rsidR="00B556DA" w:rsidRDefault="00B556DA">
      <w:pPr>
        <w:numPr>
          <w:ilvl w:val="0"/>
          <w:numId w:val="4"/>
        </w:numPr>
        <w:tabs>
          <w:tab w:val="left" w:pos="720"/>
        </w:tabs>
        <w:spacing w:line="280" w:lineRule="exact"/>
        <w:rPr>
          <w:sz w:val="22"/>
        </w:rPr>
      </w:pPr>
      <w:r>
        <w:rPr>
          <w:sz w:val="22"/>
        </w:rPr>
        <w:t>Nature and extent of confidentiality; and</w:t>
      </w:r>
    </w:p>
    <w:p w:rsidR="00B556DA" w:rsidRDefault="00B556DA">
      <w:pPr>
        <w:numPr>
          <w:ilvl w:val="0"/>
          <w:numId w:val="4"/>
        </w:numPr>
        <w:tabs>
          <w:tab w:val="left" w:pos="720"/>
        </w:tabs>
        <w:spacing w:line="280" w:lineRule="exact"/>
        <w:rPr>
          <w:sz w:val="22"/>
        </w:rPr>
      </w:pPr>
      <w:r>
        <w:rPr>
          <w:sz w:val="22"/>
        </w:rPr>
        <w:t>Need to display currently valid OMB control number;</w:t>
      </w:r>
    </w:p>
    <w:p w:rsidR="00B556DA" w:rsidRDefault="00B556D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B556DA" w:rsidRDefault="00B556DA">
      <w:pPr>
        <w:numPr>
          <w:ilvl w:val="0"/>
          <w:numId w:val="6"/>
        </w:numPr>
        <w:tabs>
          <w:tab w:val="left" w:pos="720"/>
        </w:tabs>
        <w:spacing w:line="280" w:lineRule="exact"/>
        <w:rPr>
          <w:sz w:val="22"/>
        </w:rPr>
      </w:pPr>
      <w:r>
        <w:rPr>
          <w:sz w:val="22"/>
        </w:rPr>
        <w:t>It uses effective and efficient statistical survey methodology; and</w:t>
      </w:r>
    </w:p>
    <w:p w:rsidR="00B556DA" w:rsidRDefault="00B556DA">
      <w:pPr>
        <w:numPr>
          <w:ilvl w:val="0"/>
          <w:numId w:val="6"/>
        </w:numPr>
        <w:tabs>
          <w:tab w:val="left" w:pos="720"/>
        </w:tabs>
        <w:spacing w:line="280" w:lineRule="exact"/>
        <w:rPr>
          <w:sz w:val="22"/>
        </w:rPr>
      </w:pPr>
      <w:r>
        <w:rPr>
          <w:sz w:val="22"/>
        </w:rPr>
        <w:t>It makes appropriate use of information technology.</w:t>
      </w:r>
    </w:p>
    <w:p w:rsidR="00B556DA" w:rsidRDefault="00B556DA">
      <w:pPr>
        <w:tabs>
          <w:tab w:val="left" w:pos="600"/>
        </w:tabs>
        <w:spacing w:line="280" w:lineRule="exact"/>
        <w:rPr>
          <w:sz w:val="22"/>
        </w:rPr>
      </w:pPr>
    </w:p>
    <w:p w:rsidR="00B556DA" w:rsidRDefault="00B556DA">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B556DA" w:rsidRDefault="008317BD">
      <w:pPr>
        <w:tabs>
          <w:tab w:val="left" w:pos="240"/>
        </w:tabs>
        <w:ind w:left="240"/>
      </w:pPr>
      <w:r>
        <w:t>N/A</w:t>
      </w:r>
    </w:p>
    <w:p w:rsidR="00B556DA" w:rsidRDefault="00B556DA">
      <w:pPr>
        <w:tabs>
          <w:tab w:val="left" w:pos="240"/>
        </w:tabs>
      </w:pPr>
    </w:p>
    <w:tbl>
      <w:tblPr>
        <w:tblW w:w="0" w:type="auto"/>
        <w:tblLayout w:type="fixed"/>
        <w:tblLook w:val="0000" w:firstRow="0" w:lastRow="0" w:firstColumn="0" w:lastColumn="0" w:noHBand="0" w:noVBand="0"/>
      </w:tblPr>
      <w:tblGrid>
        <w:gridCol w:w="8388"/>
        <w:gridCol w:w="2628"/>
      </w:tblGrid>
      <w:tr w:rsidR="00B556DA">
        <w:tc>
          <w:tcPr>
            <w:tcW w:w="8388" w:type="dxa"/>
            <w:tcBorders>
              <w:top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Signature of Program Official:</w:t>
            </w: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F32486" w:rsidRDefault="00B556DA" w:rsidP="00F32486">
            <w:pPr>
              <w:tabs>
                <w:tab w:val="left" w:pos="240"/>
              </w:tabs>
              <w:rPr>
                <w:rFonts w:ascii="Helvetica" w:hAnsi="Helvetica"/>
                <w:sz w:val="16"/>
              </w:rPr>
            </w:pPr>
            <w:r>
              <w:rPr>
                <w:rFonts w:ascii="Helvetica" w:hAnsi="Helvetica"/>
                <w:sz w:val="16"/>
              </w:rPr>
              <w:t>X</w:t>
            </w:r>
            <w:r w:rsidR="00F32486">
              <w:rPr>
                <w:rFonts w:ascii="Helvetica" w:hAnsi="Helvetica"/>
                <w:sz w:val="16"/>
              </w:rPr>
              <w:t xml:space="preserve"> </w:t>
            </w:r>
          </w:p>
          <w:p w:rsidR="00F32486" w:rsidRDefault="00F32486" w:rsidP="00F32486">
            <w:pPr>
              <w:tabs>
                <w:tab w:val="left" w:pos="240"/>
              </w:tabs>
              <w:rPr>
                <w:rFonts w:ascii="Helvetica" w:hAnsi="Helvetica"/>
                <w:sz w:val="16"/>
              </w:rPr>
            </w:pPr>
            <w:r>
              <w:rPr>
                <w:rFonts w:ascii="Helvetica" w:hAnsi="Helvetica"/>
                <w:sz w:val="16"/>
              </w:rPr>
              <w:t>D</w:t>
            </w:r>
            <w:r w:rsidR="00AC43CF">
              <w:rPr>
                <w:rFonts w:ascii="Helvetica" w:hAnsi="Helvetica"/>
                <w:sz w:val="16"/>
              </w:rPr>
              <w:t>elton Nichols</w:t>
            </w:r>
            <w:r>
              <w:rPr>
                <w:rFonts w:ascii="Helvetica" w:hAnsi="Helvetica"/>
                <w:sz w:val="16"/>
              </w:rPr>
              <w:t xml:space="preserve">, Deputy </w:t>
            </w:r>
            <w:r w:rsidR="00AC43CF">
              <w:rPr>
                <w:rFonts w:ascii="Helvetica" w:hAnsi="Helvetica"/>
                <w:sz w:val="16"/>
              </w:rPr>
              <w:t xml:space="preserve">Director </w:t>
            </w:r>
          </w:p>
          <w:p w:rsidR="00B556DA" w:rsidRDefault="00F32486" w:rsidP="00F32486">
            <w:pPr>
              <w:tabs>
                <w:tab w:val="left" w:pos="240"/>
              </w:tabs>
              <w:rPr>
                <w:rFonts w:ascii="Helvetica" w:hAnsi="Helvetica"/>
                <w:sz w:val="16"/>
              </w:rPr>
            </w:pPr>
            <w:r>
              <w:rPr>
                <w:rFonts w:ascii="Helvetica" w:hAnsi="Helvetica"/>
                <w:sz w:val="16"/>
              </w:rPr>
              <w:t>Office of Public and Indian Housing, Real Estate Assessment Center</w:t>
            </w:r>
          </w:p>
        </w:tc>
        <w:tc>
          <w:tcPr>
            <w:tcW w:w="2628" w:type="dxa"/>
            <w:tcBorders>
              <w:top w:val="single" w:sz="6" w:space="0" w:color="auto"/>
              <w:left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Date:</w:t>
            </w:r>
          </w:p>
        </w:tc>
      </w:tr>
    </w:tbl>
    <w:p w:rsidR="00B556DA" w:rsidRDefault="00B556DA"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F32486" w:rsidRDefault="00F32486" w:rsidP="00F32486">
      <w:pPr>
        <w:jc w:val="center"/>
        <w:rPr>
          <w:b/>
          <w:bCs/>
          <w:sz w:val="24"/>
          <w:szCs w:val="24"/>
        </w:rPr>
      </w:pPr>
      <w:r>
        <w:rPr>
          <w:rFonts w:ascii="Helvetica" w:hAnsi="Helvetica"/>
          <w:b/>
          <w:sz w:val="28"/>
        </w:rPr>
        <w:lastRenderedPageBreak/>
        <w:t>Supporting Statement for Paperwork Reduction Act Submissions</w:t>
      </w:r>
    </w:p>
    <w:p w:rsidR="00F32486" w:rsidRDefault="00F32486" w:rsidP="00F32486">
      <w:pPr>
        <w:jc w:val="center"/>
        <w:rPr>
          <w:b/>
          <w:bCs/>
          <w:sz w:val="24"/>
          <w:szCs w:val="24"/>
        </w:rPr>
      </w:pPr>
    </w:p>
    <w:p w:rsidR="00F32486" w:rsidRDefault="00F32486" w:rsidP="00F32486">
      <w:pPr>
        <w:rPr>
          <w:b/>
          <w:bCs/>
          <w:sz w:val="24"/>
          <w:szCs w:val="24"/>
        </w:rPr>
      </w:pPr>
      <w:r w:rsidRPr="00D9454A">
        <w:rPr>
          <w:b/>
          <w:bCs/>
          <w:sz w:val="24"/>
          <w:szCs w:val="24"/>
        </w:rPr>
        <w:t>A. Justification</w:t>
      </w:r>
    </w:p>
    <w:p w:rsidR="00F32486" w:rsidRPr="00D9454A" w:rsidRDefault="00F32486" w:rsidP="00F32486">
      <w:pPr>
        <w:rPr>
          <w:b/>
          <w:bCs/>
          <w:sz w:val="24"/>
          <w:szCs w:val="24"/>
        </w:rPr>
      </w:pPr>
    </w:p>
    <w:p w:rsidR="00F32486" w:rsidRPr="00CD6868" w:rsidRDefault="00F32486" w:rsidP="00F32486">
      <w:pPr>
        <w:rPr>
          <w:b/>
          <w:sz w:val="24"/>
          <w:szCs w:val="24"/>
        </w:rPr>
      </w:pPr>
      <w:r w:rsidRPr="00CD6868">
        <w:rPr>
          <w:b/>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AC392A" w:rsidRDefault="00AC392A" w:rsidP="00F32486">
      <w:pPr>
        <w:rPr>
          <w:sz w:val="24"/>
          <w:szCs w:val="24"/>
        </w:rPr>
      </w:pPr>
    </w:p>
    <w:p w:rsidR="00D45891" w:rsidRPr="001D4564" w:rsidRDefault="00D45891" w:rsidP="00D45891">
      <w:pPr>
        <w:rPr>
          <w:sz w:val="24"/>
          <w:szCs w:val="24"/>
        </w:rPr>
      </w:pPr>
      <w:r>
        <w:rPr>
          <w:sz w:val="24"/>
          <w:szCs w:val="24"/>
        </w:rPr>
        <w:t>P</w:t>
      </w:r>
      <w:r w:rsidR="00AC392A">
        <w:rPr>
          <w:sz w:val="24"/>
          <w:szCs w:val="24"/>
        </w:rPr>
        <w:t xml:space="preserve">ublic housing agencies (PHAs) administering federal assisted housing programs </w:t>
      </w:r>
      <w:r>
        <w:rPr>
          <w:sz w:val="24"/>
          <w:szCs w:val="24"/>
        </w:rPr>
        <w:t xml:space="preserve">(i.e., public housing, Section 8 Housing Choice Voucher and Moderate Rehabilitation programs) </w:t>
      </w:r>
      <w:r w:rsidR="00AC392A">
        <w:rPr>
          <w:sz w:val="24"/>
          <w:szCs w:val="24"/>
        </w:rPr>
        <w:t xml:space="preserve">using federal funds </w:t>
      </w:r>
      <w:r>
        <w:rPr>
          <w:sz w:val="24"/>
          <w:szCs w:val="24"/>
        </w:rPr>
        <w:t xml:space="preserve">are required </w:t>
      </w:r>
      <w:r w:rsidR="00AC392A">
        <w:rPr>
          <w:sz w:val="24"/>
          <w:szCs w:val="24"/>
        </w:rPr>
        <w:t xml:space="preserve">to solicit </w:t>
      </w:r>
      <w:r w:rsidRPr="001D4564">
        <w:rPr>
          <w:sz w:val="24"/>
          <w:szCs w:val="24"/>
        </w:rPr>
        <w:t xml:space="preserve">demographic, family profile, income and housing information on the entire nationwide population of tenants residing in assisted housing. </w:t>
      </w:r>
      <w:r>
        <w:rPr>
          <w:sz w:val="24"/>
          <w:szCs w:val="24"/>
        </w:rPr>
        <w:t xml:space="preserve"> With t</w:t>
      </w:r>
      <w:r w:rsidRPr="001D4564">
        <w:rPr>
          <w:sz w:val="24"/>
          <w:szCs w:val="24"/>
        </w:rPr>
        <w:t xml:space="preserve">his information </w:t>
      </w:r>
      <w:r>
        <w:rPr>
          <w:sz w:val="24"/>
          <w:szCs w:val="24"/>
        </w:rPr>
        <w:t xml:space="preserve">the programs can be </w:t>
      </w:r>
      <w:r w:rsidRPr="001D4564">
        <w:rPr>
          <w:sz w:val="24"/>
          <w:szCs w:val="24"/>
        </w:rPr>
        <w:t>monitor</w:t>
      </w:r>
      <w:r>
        <w:rPr>
          <w:sz w:val="24"/>
          <w:szCs w:val="24"/>
        </w:rPr>
        <w:t>ed</w:t>
      </w:r>
      <w:r w:rsidRPr="001D4564">
        <w:rPr>
          <w:sz w:val="24"/>
          <w:szCs w:val="24"/>
        </w:rPr>
        <w:t xml:space="preserve"> and evaluate</w:t>
      </w:r>
      <w:r>
        <w:rPr>
          <w:sz w:val="24"/>
          <w:szCs w:val="24"/>
        </w:rPr>
        <w:t>d</w:t>
      </w:r>
      <w:r w:rsidRPr="001D4564">
        <w:rPr>
          <w:sz w:val="24"/>
          <w:szCs w:val="24"/>
        </w:rPr>
        <w:t xml:space="preserve"> as required under the following:</w:t>
      </w:r>
    </w:p>
    <w:p w:rsidR="00D45891" w:rsidRPr="001D4564" w:rsidRDefault="00D45891" w:rsidP="00D45891">
      <w:pPr>
        <w:jc w:val="both"/>
        <w:rPr>
          <w:color w:val="FF0000"/>
          <w:sz w:val="24"/>
          <w:szCs w:val="24"/>
        </w:rPr>
      </w:pPr>
    </w:p>
    <w:p w:rsidR="00D45891" w:rsidRPr="001D4564" w:rsidRDefault="00D45891" w:rsidP="00D45891">
      <w:pPr>
        <w:overflowPunct/>
        <w:ind w:firstLine="360"/>
        <w:jc w:val="both"/>
        <w:textAlignment w:val="auto"/>
        <w:rPr>
          <w:sz w:val="24"/>
          <w:szCs w:val="24"/>
        </w:rPr>
      </w:pPr>
      <w:r w:rsidRPr="001D4564">
        <w:rPr>
          <w:sz w:val="24"/>
          <w:szCs w:val="24"/>
        </w:rPr>
        <w:t>•</w:t>
      </w:r>
      <w:r w:rsidRPr="001D4564">
        <w:rPr>
          <w:sz w:val="24"/>
          <w:szCs w:val="24"/>
        </w:rPr>
        <w:tab/>
        <w:t xml:space="preserve">The United States Housing Act of 1937 (42 U.S.C 1437 et seq.) </w:t>
      </w:r>
    </w:p>
    <w:p w:rsidR="00D45891" w:rsidRPr="001D4564" w:rsidRDefault="00D45891" w:rsidP="0053139A">
      <w:pPr>
        <w:overflowPunct/>
        <w:ind w:left="720" w:hanging="360"/>
        <w:jc w:val="both"/>
        <w:textAlignment w:val="auto"/>
        <w:rPr>
          <w:sz w:val="24"/>
          <w:szCs w:val="24"/>
        </w:rPr>
      </w:pPr>
      <w:r w:rsidRPr="001D4564">
        <w:rPr>
          <w:sz w:val="24"/>
          <w:szCs w:val="24"/>
        </w:rPr>
        <w:t>•</w:t>
      </w:r>
      <w:r w:rsidRPr="001D4564">
        <w:rPr>
          <w:sz w:val="24"/>
          <w:szCs w:val="24"/>
        </w:rPr>
        <w:tab/>
        <w:t>Housing and Community Development Act of 1987 (42 U.S.C. 3543(a) – authorizes PHAs to collect social security data)</w:t>
      </w:r>
    </w:p>
    <w:p w:rsidR="00D45891" w:rsidRPr="001D4564" w:rsidRDefault="00D45891" w:rsidP="00D45891">
      <w:pPr>
        <w:numPr>
          <w:ilvl w:val="0"/>
          <w:numId w:val="16"/>
        </w:numPr>
        <w:overflowPunct/>
        <w:jc w:val="both"/>
        <w:textAlignment w:val="auto"/>
        <w:rPr>
          <w:sz w:val="24"/>
          <w:szCs w:val="24"/>
        </w:rPr>
      </w:pPr>
      <w:r w:rsidRPr="001D4564">
        <w:rPr>
          <w:sz w:val="24"/>
          <w:szCs w:val="24"/>
        </w:rPr>
        <w:t>Title VI of the Civil Rights Act of 1964 (42 U. S. C. 2000d)</w:t>
      </w:r>
    </w:p>
    <w:p w:rsidR="00D45891" w:rsidRPr="001D4564" w:rsidRDefault="00A9134C" w:rsidP="00D45891">
      <w:pPr>
        <w:numPr>
          <w:ilvl w:val="0"/>
          <w:numId w:val="16"/>
        </w:numPr>
        <w:overflowPunct/>
        <w:jc w:val="both"/>
        <w:textAlignment w:val="auto"/>
        <w:rPr>
          <w:sz w:val="24"/>
          <w:szCs w:val="24"/>
        </w:rPr>
      </w:pPr>
      <w:r>
        <w:rPr>
          <w:sz w:val="24"/>
          <w:szCs w:val="24"/>
        </w:rPr>
        <w:t>T</w:t>
      </w:r>
      <w:r w:rsidR="00D45891" w:rsidRPr="001D4564">
        <w:rPr>
          <w:sz w:val="24"/>
          <w:szCs w:val="24"/>
        </w:rPr>
        <w:t>he Fair Housing Act (42 U. S. C. 3601-19)</w:t>
      </w:r>
    </w:p>
    <w:p w:rsidR="00D45891" w:rsidRPr="001D4564" w:rsidRDefault="00D45891" w:rsidP="00D45891">
      <w:pPr>
        <w:numPr>
          <w:ilvl w:val="0"/>
          <w:numId w:val="16"/>
        </w:numPr>
        <w:overflowPunct/>
        <w:jc w:val="both"/>
        <w:textAlignment w:val="auto"/>
        <w:rPr>
          <w:sz w:val="24"/>
          <w:szCs w:val="24"/>
        </w:rPr>
      </w:pPr>
      <w:r w:rsidRPr="001D4564">
        <w:rPr>
          <w:sz w:val="24"/>
          <w:szCs w:val="24"/>
        </w:rPr>
        <w:t>Quality Housing and Work Responsibility Act of 1998 (Public Law 105-276 Title V)</w:t>
      </w:r>
    </w:p>
    <w:p w:rsidR="00D45891" w:rsidRPr="001D4564" w:rsidRDefault="00D45891" w:rsidP="00D45891">
      <w:pPr>
        <w:numPr>
          <w:ilvl w:val="0"/>
          <w:numId w:val="16"/>
        </w:numPr>
        <w:overflowPunct/>
        <w:jc w:val="both"/>
        <w:textAlignment w:val="auto"/>
        <w:rPr>
          <w:sz w:val="24"/>
          <w:szCs w:val="24"/>
        </w:rPr>
      </w:pPr>
      <w:r w:rsidRPr="001D4564">
        <w:rPr>
          <w:sz w:val="24"/>
          <w:szCs w:val="24"/>
        </w:rPr>
        <w:t>HUD Appropriations Act of 1996 (Public Law 104-134 Section 204)</w:t>
      </w:r>
    </w:p>
    <w:p w:rsidR="00D45891" w:rsidRPr="001D4564" w:rsidRDefault="00D45891" w:rsidP="00D45891">
      <w:pPr>
        <w:numPr>
          <w:ilvl w:val="0"/>
          <w:numId w:val="16"/>
        </w:numPr>
        <w:overflowPunct/>
        <w:jc w:val="both"/>
        <w:textAlignment w:val="auto"/>
        <w:rPr>
          <w:sz w:val="24"/>
          <w:szCs w:val="24"/>
        </w:rPr>
      </w:pPr>
      <w:r w:rsidRPr="001D4564">
        <w:rPr>
          <w:sz w:val="24"/>
          <w:szCs w:val="24"/>
        </w:rPr>
        <w:t xml:space="preserve"> “Electronic Transmission of Required Family Data for Public Housing, Indian Housing, and the Section 8 Rental Certificate, Rental Voucher, and Moderate Rehabilitation Programs” (24 CFR Part 908)</w:t>
      </w:r>
    </w:p>
    <w:p w:rsidR="00D45891" w:rsidRPr="001D4564" w:rsidRDefault="00D45891" w:rsidP="00D45891">
      <w:pPr>
        <w:numPr>
          <w:ilvl w:val="0"/>
          <w:numId w:val="16"/>
        </w:numPr>
        <w:overflowPunct/>
        <w:jc w:val="both"/>
        <w:textAlignment w:val="auto"/>
        <w:rPr>
          <w:b/>
          <w:sz w:val="24"/>
          <w:szCs w:val="24"/>
        </w:rPr>
      </w:pPr>
      <w:r w:rsidRPr="001D4564">
        <w:rPr>
          <w:sz w:val="24"/>
          <w:szCs w:val="24"/>
        </w:rPr>
        <w:t>24 CFR Part 5 (5.210 through 5.240)</w:t>
      </w:r>
    </w:p>
    <w:p w:rsidR="00D45891" w:rsidRPr="00227AC9" w:rsidRDefault="00D45891" w:rsidP="00D45891">
      <w:pPr>
        <w:overflowPunct/>
        <w:jc w:val="both"/>
        <w:textAlignment w:val="auto"/>
        <w:rPr>
          <w:rFonts w:ascii="Verdana" w:hAnsi="Verdana"/>
          <w:sz w:val="24"/>
          <w:szCs w:val="24"/>
        </w:rPr>
      </w:pPr>
    </w:p>
    <w:p w:rsidR="00F32486" w:rsidRDefault="00D45891" w:rsidP="00F32486">
      <w:pPr>
        <w:rPr>
          <w:sz w:val="24"/>
          <w:szCs w:val="24"/>
        </w:rPr>
      </w:pPr>
      <w:r>
        <w:rPr>
          <w:sz w:val="24"/>
          <w:szCs w:val="24"/>
        </w:rPr>
        <w:t>In addition, pursuant to</w:t>
      </w:r>
      <w:r w:rsidR="00F32486">
        <w:rPr>
          <w:sz w:val="24"/>
          <w:szCs w:val="24"/>
        </w:rPr>
        <w:t xml:space="preserve"> 24 CFR 5.233</w:t>
      </w:r>
      <w:r w:rsidR="00E204F7">
        <w:rPr>
          <w:sz w:val="24"/>
          <w:szCs w:val="24"/>
        </w:rPr>
        <w:t xml:space="preserve"> </w:t>
      </w:r>
      <w:r w:rsidR="00E204F7" w:rsidRPr="00630F09">
        <w:rPr>
          <w:sz w:val="24"/>
          <w:szCs w:val="24"/>
        </w:rPr>
        <w:t>(See Exhibit A)</w:t>
      </w:r>
      <w:r w:rsidR="00F32486" w:rsidRPr="00630F09">
        <w:rPr>
          <w:sz w:val="24"/>
          <w:szCs w:val="24"/>
        </w:rPr>
        <w:t>,</w:t>
      </w:r>
      <w:r>
        <w:rPr>
          <w:sz w:val="24"/>
          <w:szCs w:val="24"/>
        </w:rPr>
        <w:t xml:space="preserve"> these</w:t>
      </w:r>
      <w:r w:rsidR="00F32486">
        <w:rPr>
          <w:sz w:val="24"/>
          <w:szCs w:val="24"/>
        </w:rPr>
        <w:t xml:space="preserve"> </w:t>
      </w:r>
      <w:r>
        <w:rPr>
          <w:sz w:val="24"/>
          <w:szCs w:val="24"/>
        </w:rPr>
        <w:t>PHAs</w:t>
      </w:r>
      <w:r w:rsidR="00F32486">
        <w:rPr>
          <w:sz w:val="24"/>
          <w:szCs w:val="24"/>
        </w:rPr>
        <w:t xml:space="preserve"> are required to use HUD’s Enterprise Income Verification (EIV) system to verify employment and income information of program participants and to reduce administrative and subsidy payment errors. </w:t>
      </w:r>
      <w:r w:rsidR="002372F4">
        <w:rPr>
          <w:sz w:val="24"/>
          <w:szCs w:val="24"/>
        </w:rPr>
        <w:t xml:space="preserve"> PHAs also use the information in </w:t>
      </w:r>
      <w:r w:rsidR="002B6D20">
        <w:rPr>
          <w:sz w:val="24"/>
          <w:szCs w:val="24"/>
        </w:rPr>
        <w:t xml:space="preserve">the </w:t>
      </w:r>
      <w:r w:rsidR="002372F4">
        <w:rPr>
          <w:sz w:val="24"/>
          <w:szCs w:val="24"/>
        </w:rPr>
        <w:t>Debts Owed module</w:t>
      </w:r>
      <w:r w:rsidR="002B6D20">
        <w:rPr>
          <w:sz w:val="24"/>
          <w:szCs w:val="24"/>
        </w:rPr>
        <w:t>, which</w:t>
      </w:r>
      <w:r w:rsidR="002372F4">
        <w:rPr>
          <w:sz w:val="24"/>
          <w:szCs w:val="24"/>
        </w:rPr>
        <w:t xml:space="preserve"> identifies families who no longer participate in assisted housing programs due to adverse termination of tenancy and/or assistance, and owe a debt to a PHA, in determining eligibility for assistance and continued program participation</w:t>
      </w:r>
      <w:r w:rsidR="002B6D20">
        <w:rPr>
          <w:sz w:val="24"/>
          <w:szCs w:val="24"/>
        </w:rPr>
        <w:t xml:space="preserve"> pursuant to 24 CFR 982.552 and 960.203</w:t>
      </w:r>
      <w:r w:rsidR="002372F4">
        <w:rPr>
          <w:sz w:val="24"/>
          <w:szCs w:val="24"/>
        </w:rPr>
        <w:t xml:space="preserve">. </w:t>
      </w:r>
    </w:p>
    <w:p w:rsidR="0053139A" w:rsidRPr="00E71D51" w:rsidRDefault="0053139A" w:rsidP="00F32486">
      <w:pPr>
        <w:rPr>
          <w:sz w:val="24"/>
          <w:szCs w:val="24"/>
        </w:rPr>
      </w:pPr>
    </w:p>
    <w:p w:rsidR="00F32486" w:rsidRPr="00CD6868" w:rsidRDefault="00F32486" w:rsidP="00F32486">
      <w:pPr>
        <w:rPr>
          <w:b/>
          <w:sz w:val="24"/>
          <w:szCs w:val="24"/>
        </w:rPr>
      </w:pPr>
      <w:r w:rsidRPr="00CD6868">
        <w:rPr>
          <w:b/>
          <w:sz w:val="24"/>
          <w:szCs w:val="24"/>
        </w:rPr>
        <w:t>2. Indicate how, by whom, and for what purpose the information is to be used. Except for a new collection, indicate the actual use the agency has made of the information received from the current collection.</w:t>
      </w:r>
    </w:p>
    <w:p w:rsidR="00F32486" w:rsidRDefault="00F32486" w:rsidP="00F32486">
      <w:pPr>
        <w:rPr>
          <w:b/>
          <w:sz w:val="24"/>
          <w:szCs w:val="24"/>
        </w:rPr>
      </w:pPr>
    </w:p>
    <w:p w:rsidR="00F549C5" w:rsidRDefault="00F549C5" w:rsidP="00F549C5">
      <w:pPr>
        <w:rPr>
          <w:sz w:val="24"/>
          <w:szCs w:val="24"/>
        </w:rPr>
      </w:pPr>
      <w:r w:rsidRPr="000B22F2">
        <w:rPr>
          <w:sz w:val="24"/>
          <w:szCs w:val="24"/>
        </w:rPr>
        <w:t>Th</w:t>
      </w:r>
      <w:r>
        <w:rPr>
          <w:sz w:val="24"/>
          <w:szCs w:val="24"/>
        </w:rPr>
        <w:t xml:space="preserve">e EIV Debts Owed module </w:t>
      </w:r>
      <w:r w:rsidRPr="000B22F2">
        <w:rPr>
          <w:sz w:val="24"/>
          <w:szCs w:val="24"/>
        </w:rPr>
        <w:t xml:space="preserve">is a national repository of families that owe a debt to a PHA and/or have been terminated from a federally assisted housing program.  </w:t>
      </w:r>
      <w:r>
        <w:rPr>
          <w:sz w:val="24"/>
          <w:szCs w:val="24"/>
        </w:rPr>
        <w:t>Only PHA authorized EIV users access</w:t>
      </w:r>
      <w:r w:rsidRPr="000B22F2">
        <w:rPr>
          <w:sz w:val="24"/>
          <w:szCs w:val="24"/>
        </w:rPr>
        <w:t xml:space="preserve"> th</w:t>
      </w:r>
      <w:r>
        <w:rPr>
          <w:sz w:val="24"/>
          <w:szCs w:val="24"/>
        </w:rPr>
        <w:t>e information in the module when determining</w:t>
      </w:r>
      <w:r w:rsidRPr="000B22F2">
        <w:rPr>
          <w:sz w:val="24"/>
          <w:szCs w:val="24"/>
        </w:rPr>
        <w:t xml:space="preserve"> a family’s suitability for rental assistance</w:t>
      </w:r>
      <w:r>
        <w:rPr>
          <w:sz w:val="24"/>
          <w:szCs w:val="24"/>
        </w:rPr>
        <w:t xml:space="preserve">.  PHAs, in accordance with their policies, may deny </w:t>
      </w:r>
      <w:r w:rsidRPr="000B22F2">
        <w:rPr>
          <w:sz w:val="24"/>
          <w:szCs w:val="24"/>
        </w:rPr>
        <w:t xml:space="preserve">Federal housing assistance to families </w:t>
      </w:r>
      <w:r>
        <w:rPr>
          <w:sz w:val="24"/>
          <w:szCs w:val="24"/>
        </w:rPr>
        <w:t xml:space="preserve">who </w:t>
      </w:r>
      <w:r w:rsidRPr="009B243D">
        <w:rPr>
          <w:sz w:val="24"/>
          <w:szCs w:val="24"/>
        </w:rPr>
        <w:t>either: 1) owe a debt to a PHA; or 2) have previously been unable to comply with HUD program requirements.</w:t>
      </w:r>
    </w:p>
    <w:p w:rsidR="00F549C5" w:rsidRDefault="00F549C5" w:rsidP="00F32486">
      <w:pPr>
        <w:rPr>
          <w:sz w:val="24"/>
          <w:szCs w:val="24"/>
        </w:rPr>
      </w:pPr>
    </w:p>
    <w:p w:rsidR="00DE67D0" w:rsidRDefault="00DE67D0" w:rsidP="00F32486">
      <w:pPr>
        <w:rPr>
          <w:sz w:val="24"/>
          <w:szCs w:val="24"/>
        </w:rPr>
      </w:pPr>
      <w:r>
        <w:rPr>
          <w:sz w:val="24"/>
          <w:szCs w:val="24"/>
        </w:rPr>
        <w:t xml:space="preserve">At the end of </w:t>
      </w:r>
      <w:r w:rsidR="00F549C5">
        <w:rPr>
          <w:sz w:val="24"/>
          <w:szCs w:val="24"/>
        </w:rPr>
        <w:t xml:space="preserve">a family’s </w:t>
      </w:r>
      <w:r>
        <w:rPr>
          <w:sz w:val="24"/>
          <w:szCs w:val="24"/>
        </w:rPr>
        <w:t xml:space="preserve">participation </w:t>
      </w:r>
      <w:r w:rsidR="00F549C5">
        <w:rPr>
          <w:sz w:val="24"/>
          <w:szCs w:val="24"/>
        </w:rPr>
        <w:t xml:space="preserve">in a Federal housing assistance program </w:t>
      </w:r>
      <w:r>
        <w:rPr>
          <w:sz w:val="24"/>
          <w:szCs w:val="24"/>
        </w:rPr>
        <w:t>(EOP)</w:t>
      </w:r>
      <w:r w:rsidR="00F549C5">
        <w:rPr>
          <w:sz w:val="24"/>
          <w:szCs w:val="24"/>
        </w:rPr>
        <w:t xml:space="preserve">, PHAs enter the following information in the Debts </w:t>
      </w:r>
      <w:r w:rsidR="00996CCE">
        <w:rPr>
          <w:sz w:val="24"/>
          <w:szCs w:val="24"/>
        </w:rPr>
        <w:t>O</w:t>
      </w:r>
      <w:r w:rsidR="00F549C5">
        <w:rPr>
          <w:sz w:val="24"/>
          <w:szCs w:val="24"/>
        </w:rPr>
        <w:t xml:space="preserve">wed module, as applicable: </w:t>
      </w:r>
      <w:r>
        <w:rPr>
          <w:sz w:val="24"/>
          <w:szCs w:val="24"/>
        </w:rPr>
        <w:t xml:space="preserve"> </w:t>
      </w:r>
    </w:p>
    <w:p w:rsidR="00F32486" w:rsidRDefault="00F32486" w:rsidP="00F32486">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0B22F2">
        <w:rPr>
          <w:rFonts w:ascii="Times New Roman" w:hAnsi="Times New Roman" w:cs="Times New Roman"/>
          <w:sz w:val="24"/>
          <w:szCs w:val="24"/>
        </w:rPr>
        <w:t xml:space="preserve">mount of debt owed by </w:t>
      </w:r>
      <w:r w:rsidR="00996CCE">
        <w:rPr>
          <w:rFonts w:ascii="Times New Roman" w:hAnsi="Times New Roman" w:cs="Times New Roman"/>
          <w:sz w:val="24"/>
          <w:szCs w:val="24"/>
        </w:rPr>
        <w:t>the</w:t>
      </w:r>
      <w:r w:rsidRPr="000B22F2">
        <w:rPr>
          <w:rFonts w:ascii="Times New Roman" w:hAnsi="Times New Roman" w:cs="Times New Roman"/>
          <w:sz w:val="24"/>
          <w:szCs w:val="24"/>
        </w:rPr>
        <w:t xml:space="preserve"> former tenant to a PHA</w:t>
      </w:r>
      <w:r>
        <w:rPr>
          <w:rFonts w:ascii="Times New Roman" w:hAnsi="Times New Roman" w:cs="Times New Roman"/>
          <w:sz w:val="24"/>
          <w:szCs w:val="24"/>
        </w:rPr>
        <w:t>;</w:t>
      </w:r>
    </w:p>
    <w:p w:rsidR="00F32486" w:rsidRDefault="00996CCE" w:rsidP="00F32486">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F32486">
        <w:rPr>
          <w:rFonts w:ascii="Times New Roman" w:hAnsi="Times New Roman" w:cs="Times New Roman"/>
          <w:sz w:val="24"/>
          <w:szCs w:val="24"/>
        </w:rPr>
        <w:t>ndication of executed repayment agreement;</w:t>
      </w:r>
    </w:p>
    <w:p w:rsidR="00F32486" w:rsidRDefault="00996CCE" w:rsidP="00F32486">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F32486">
        <w:rPr>
          <w:rFonts w:ascii="Times New Roman" w:hAnsi="Times New Roman" w:cs="Times New Roman"/>
          <w:sz w:val="24"/>
          <w:szCs w:val="24"/>
        </w:rPr>
        <w:t>ndication of bankruptcy filing;</w:t>
      </w:r>
    </w:p>
    <w:p w:rsidR="00F32486" w:rsidRDefault="00996CCE" w:rsidP="00F32486">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F32486" w:rsidRPr="000B22F2">
        <w:rPr>
          <w:rFonts w:ascii="Times New Roman" w:hAnsi="Times New Roman" w:cs="Times New Roman"/>
          <w:sz w:val="24"/>
          <w:szCs w:val="24"/>
        </w:rPr>
        <w:t xml:space="preserve">he reason for an adverse termination of the family from a Federally assisted housing program.  </w:t>
      </w:r>
    </w:p>
    <w:p w:rsidR="00F32486" w:rsidRDefault="00F32486" w:rsidP="00F32486">
      <w:pPr>
        <w:rPr>
          <w:sz w:val="24"/>
          <w:szCs w:val="24"/>
        </w:rPr>
      </w:pPr>
    </w:p>
    <w:p w:rsidR="00205BD5" w:rsidRDefault="00205BD5" w:rsidP="00F32486">
      <w:pPr>
        <w:rPr>
          <w:sz w:val="24"/>
          <w:szCs w:val="24"/>
        </w:rPr>
      </w:pPr>
      <w:r>
        <w:rPr>
          <w:sz w:val="24"/>
          <w:szCs w:val="24"/>
        </w:rPr>
        <w:t>The Debts Owed module is the only means by which PHAs can report this information.</w:t>
      </w:r>
    </w:p>
    <w:p w:rsidR="00D44D20" w:rsidRPr="009B243D" w:rsidRDefault="00D44D20" w:rsidP="00F32486">
      <w:pPr>
        <w:rPr>
          <w:b/>
          <w:sz w:val="24"/>
          <w:szCs w:val="24"/>
        </w:rPr>
      </w:pPr>
    </w:p>
    <w:p w:rsidR="00F32486" w:rsidRDefault="00F32486" w:rsidP="00F32486">
      <w:pPr>
        <w:rPr>
          <w:b/>
          <w:sz w:val="24"/>
          <w:szCs w:val="24"/>
        </w:rPr>
      </w:pPr>
      <w:r w:rsidRPr="00CD6868">
        <w:rPr>
          <w:b/>
          <w:sz w:val="24"/>
          <w:szCs w:val="24"/>
        </w:rPr>
        <w:t>3. Describe whether, and to what extent, the collection of information involves the use of automated, electronic, mechanical, or other technological collection techniques or</w:t>
      </w:r>
      <w:r>
        <w:rPr>
          <w:b/>
          <w:sz w:val="24"/>
          <w:szCs w:val="24"/>
        </w:rPr>
        <w:t xml:space="preserve"> </w:t>
      </w:r>
      <w:r w:rsidRPr="00CD6868">
        <w:rPr>
          <w:b/>
          <w:sz w:val="24"/>
          <w:szCs w:val="24"/>
        </w:rPr>
        <w:t xml:space="preserve">other forms of information technology, e.g., permitting electronic submission of responses, and the basis for the decision for adopting this means of collection. Also describe any consideration of using information technology to reduce burden. </w:t>
      </w:r>
    </w:p>
    <w:p w:rsidR="00F32486" w:rsidRDefault="00F32486" w:rsidP="00F32486">
      <w:pPr>
        <w:rPr>
          <w:sz w:val="24"/>
          <w:szCs w:val="24"/>
        </w:rPr>
      </w:pPr>
    </w:p>
    <w:p w:rsidR="00F32486" w:rsidRDefault="00F32486" w:rsidP="00F32486">
      <w:pPr>
        <w:rPr>
          <w:sz w:val="24"/>
          <w:szCs w:val="24"/>
        </w:rPr>
      </w:pPr>
      <w:r w:rsidRPr="000B22F2">
        <w:rPr>
          <w:sz w:val="24"/>
          <w:szCs w:val="24"/>
        </w:rPr>
        <w:t xml:space="preserve">This information </w:t>
      </w:r>
      <w:r w:rsidR="001D24B0">
        <w:rPr>
          <w:sz w:val="24"/>
          <w:szCs w:val="24"/>
        </w:rPr>
        <w:t xml:space="preserve">is </w:t>
      </w:r>
      <w:r w:rsidRPr="000B22F2">
        <w:rPr>
          <w:sz w:val="24"/>
          <w:szCs w:val="24"/>
        </w:rPr>
        <w:t xml:space="preserve">collected electronically from PHAs via HUD’s EIV system.  </w:t>
      </w:r>
      <w:r>
        <w:rPr>
          <w:sz w:val="24"/>
          <w:szCs w:val="24"/>
        </w:rPr>
        <w:t>The PHA log</w:t>
      </w:r>
      <w:r w:rsidR="001D24B0">
        <w:rPr>
          <w:sz w:val="24"/>
          <w:szCs w:val="24"/>
        </w:rPr>
        <w:t>s</w:t>
      </w:r>
      <w:r>
        <w:rPr>
          <w:sz w:val="24"/>
          <w:szCs w:val="24"/>
        </w:rPr>
        <w:t xml:space="preserve"> into the EIV system and access</w:t>
      </w:r>
      <w:r w:rsidR="001D24B0">
        <w:rPr>
          <w:sz w:val="24"/>
          <w:szCs w:val="24"/>
        </w:rPr>
        <w:t>es</w:t>
      </w:r>
      <w:r>
        <w:rPr>
          <w:sz w:val="24"/>
          <w:szCs w:val="24"/>
        </w:rPr>
        <w:t xml:space="preserve"> the Debts Owed to PHAs &amp; Termination module and </w:t>
      </w:r>
      <w:r w:rsidR="00DE67D0">
        <w:rPr>
          <w:sz w:val="24"/>
          <w:szCs w:val="24"/>
        </w:rPr>
        <w:t xml:space="preserve">identifies </w:t>
      </w:r>
      <w:r>
        <w:rPr>
          <w:sz w:val="24"/>
          <w:szCs w:val="24"/>
        </w:rPr>
        <w:t>the family and enter</w:t>
      </w:r>
      <w:r w:rsidR="001D24B0">
        <w:rPr>
          <w:sz w:val="24"/>
          <w:szCs w:val="24"/>
        </w:rPr>
        <w:t>s</w:t>
      </w:r>
      <w:r>
        <w:rPr>
          <w:sz w:val="24"/>
          <w:szCs w:val="24"/>
        </w:rPr>
        <w:t xml:space="preserve"> any amount owed, check</w:t>
      </w:r>
      <w:r w:rsidR="00DE67D0">
        <w:rPr>
          <w:sz w:val="24"/>
          <w:szCs w:val="24"/>
        </w:rPr>
        <w:t>s</w:t>
      </w:r>
      <w:r>
        <w:rPr>
          <w:sz w:val="24"/>
          <w:szCs w:val="24"/>
        </w:rPr>
        <w:t xml:space="preserve"> a checkbox if the PHA has entered into a repayment agreement for the outstanding debt, check</w:t>
      </w:r>
      <w:r w:rsidR="00DE67D0">
        <w:rPr>
          <w:sz w:val="24"/>
          <w:szCs w:val="24"/>
        </w:rPr>
        <w:t>s</w:t>
      </w:r>
      <w:r>
        <w:rPr>
          <w:sz w:val="24"/>
          <w:szCs w:val="24"/>
        </w:rPr>
        <w:t xml:space="preserve"> a checkbox if the PHA has been notified of a bankruptcy filing, and if applicable, select a reason, from a pre-populated list, for adverse termination from </w:t>
      </w:r>
      <w:r w:rsidR="001D24B0">
        <w:rPr>
          <w:sz w:val="24"/>
          <w:szCs w:val="24"/>
        </w:rPr>
        <w:t>F</w:t>
      </w:r>
      <w:r>
        <w:rPr>
          <w:sz w:val="24"/>
          <w:szCs w:val="24"/>
        </w:rPr>
        <w:t>ederally assisted housing.  Once the PHA has entered or selected the applicable information, the PHA clicks on the submit button and then confirms submission by clicking on the OK button.</w:t>
      </w:r>
    </w:p>
    <w:p w:rsidR="00F32486" w:rsidRPr="001D69B2" w:rsidRDefault="00F32486" w:rsidP="00F32486">
      <w:pPr>
        <w:rPr>
          <w:sz w:val="24"/>
          <w:szCs w:val="24"/>
        </w:rPr>
      </w:pPr>
    </w:p>
    <w:p w:rsidR="00F32486" w:rsidRDefault="00F32486" w:rsidP="00F32486">
      <w:pPr>
        <w:rPr>
          <w:b/>
          <w:sz w:val="24"/>
          <w:szCs w:val="24"/>
        </w:rPr>
      </w:pPr>
      <w:r w:rsidRPr="00CD6868">
        <w:rPr>
          <w:b/>
          <w:sz w:val="24"/>
          <w:szCs w:val="24"/>
        </w:rPr>
        <w:t>4. Describe efforts to identify duplication. Show specifically why any similar information already available cannot be used or modified for use for the purposes described in Item 2 above.</w:t>
      </w:r>
    </w:p>
    <w:p w:rsidR="00F32486" w:rsidRDefault="00F32486" w:rsidP="00F32486">
      <w:pPr>
        <w:rPr>
          <w:b/>
          <w:sz w:val="24"/>
          <w:szCs w:val="24"/>
        </w:rPr>
      </w:pPr>
    </w:p>
    <w:p w:rsidR="00F32486" w:rsidRDefault="00F32486" w:rsidP="00F32486">
      <w:pPr>
        <w:rPr>
          <w:sz w:val="24"/>
          <w:szCs w:val="24"/>
        </w:rPr>
      </w:pPr>
      <w:r>
        <w:rPr>
          <w:sz w:val="24"/>
          <w:szCs w:val="24"/>
        </w:rPr>
        <w:t>There is no similar information collected or available under previous collections of information.  As such, there is no duplication.</w:t>
      </w:r>
    </w:p>
    <w:p w:rsidR="00F32486" w:rsidRPr="001D69B2" w:rsidRDefault="00F32486" w:rsidP="00F32486">
      <w:pPr>
        <w:rPr>
          <w:sz w:val="24"/>
          <w:szCs w:val="24"/>
        </w:rPr>
      </w:pPr>
    </w:p>
    <w:p w:rsidR="00F32486" w:rsidRDefault="00F32486" w:rsidP="00F32486">
      <w:pPr>
        <w:rPr>
          <w:b/>
          <w:sz w:val="24"/>
          <w:szCs w:val="24"/>
        </w:rPr>
      </w:pPr>
      <w:r w:rsidRPr="00CD6868">
        <w:rPr>
          <w:b/>
          <w:sz w:val="24"/>
          <w:szCs w:val="24"/>
        </w:rPr>
        <w:t xml:space="preserve">5. If the collection of information impacts small businesses or other small entities (Item 5 of OMB Form 83-I), describe any methods used to minimize burden. </w:t>
      </w:r>
    </w:p>
    <w:p w:rsidR="00F32486" w:rsidRDefault="00F32486" w:rsidP="00F32486">
      <w:pPr>
        <w:rPr>
          <w:b/>
          <w:sz w:val="24"/>
          <w:szCs w:val="24"/>
        </w:rPr>
      </w:pPr>
    </w:p>
    <w:p w:rsidR="00C61D3D" w:rsidRDefault="00C61D3D" w:rsidP="00F32486">
      <w:pPr>
        <w:rPr>
          <w:sz w:val="24"/>
          <w:szCs w:val="24"/>
        </w:rPr>
      </w:pPr>
    </w:p>
    <w:p w:rsidR="00F32486" w:rsidRPr="00CD6868" w:rsidRDefault="0082769C" w:rsidP="00F32486">
      <w:pPr>
        <w:rPr>
          <w:b/>
          <w:sz w:val="24"/>
          <w:szCs w:val="24"/>
        </w:rPr>
      </w:pPr>
      <w:r>
        <w:rPr>
          <w:sz w:val="24"/>
          <w:szCs w:val="24"/>
        </w:rPr>
        <w:t>The information being collected has not significant impact on small businesses.</w:t>
      </w:r>
    </w:p>
    <w:p w:rsidR="00F32486" w:rsidRPr="00CD6868" w:rsidRDefault="00F32486" w:rsidP="00F32486">
      <w:pPr>
        <w:rPr>
          <w:b/>
          <w:sz w:val="24"/>
          <w:szCs w:val="24"/>
        </w:rPr>
      </w:pPr>
      <w:r w:rsidRPr="00CD6868">
        <w:rPr>
          <w:b/>
          <w:sz w:val="24"/>
          <w:szCs w:val="24"/>
        </w:rPr>
        <w:t>6. Describe the consequence to Federal program or policy activities if the collection is not conducted or is conducted less frequently, as well as any technical or legal obstacles to reducing burden.</w:t>
      </w:r>
    </w:p>
    <w:p w:rsidR="00F32486" w:rsidRDefault="00F32486" w:rsidP="00F32486">
      <w:pPr>
        <w:rPr>
          <w:b/>
          <w:sz w:val="24"/>
          <w:szCs w:val="24"/>
        </w:rPr>
      </w:pPr>
    </w:p>
    <w:p w:rsidR="00F32486" w:rsidRPr="00DB39E0" w:rsidRDefault="00F32486" w:rsidP="00F32486">
      <w:pPr>
        <w:rPr>
          <w:sz w:val="24"/>
          <w:szCs w:val="24"/>
        </w:rPr>
      </w:pPr>
      <w:r>
        <w:rPr>
          <w:sz w:val="24"/>
          <w:szCs w:val="24"/>
        </w:rPr>
        <w:t>If this information is not collected, the Department is at risk of paying limited Federal dollars on behalf of families who should not be eligible to receive such assistance.  Furthermore, if this information is not collected, the public will perceive that there are no consequences for a family’s failure to comply with HUD program requirements.</w:t>
      </w:r>
    </w:p>
    <w:p w:rsidR="00F32486" w:rsidRPr="00CD6868" w:rsidRDefault="00F32486" w:rsidP="00F32486">
      <w:pPr>
        <w:rPr>
          <w:b/>
          <w:sz w:val="24"/>
          <w:szCs w:val="24"/>
        </w:rPr>
      </w:pPr>
    </w:p>
    <w:p w:rsidR="00F32486" w:rsidRPr="00CD6868" w:rsidRDefault="00F32486" w:rsidP="00F32486">
      <w:pPr>
        <w:rPr>
          <w:b/>
          <w:sz w:val="24"/>
          <w:szCs w:val="24"/>
        </w:rPr>
      </w:pPr>
      <w:r w:rsidRPr="00CD6868">
        <w:rPr>
          <w:b/>
          <w:sz w:val="24"/>
          <w:szCs w:val="24"/>
        </w:rPr>
        <w:t>7. Explain any special circumstances that would cause an information collection to be conducted in a manner:</w:t>
      </w:r>
    </w:p>
    <w:p w:rsidR="00F32486" w:rsidRPr="00CD6868" w:rsidRDefault="00F32486" w:rsidP="00F32486">
      <w:pPr>
        <w:rPr>
          <w:b/>
          <w:sz w:val="24"/>
          <w:szCs w:val="24"/>
        </w:rPr>
      </w:pPr>
    </w:p>
    <w:p w:rsidR="00F32486" w:rsidRDefault="00F32486" w:rsidP="00F32486">
      <w:pPr>
        <w:rPr>
          <w:b/>
          <w:sz w:val="24"/>
          <w:szCs w:val="24"/>
        </w:rPr>
      </w:pPr>
      <w:r w:rsidRPr="00CD6868">
        <w:rPr>
          <w:b/>
          <w:sz w:val="24"/>
          <w:szCs w:val="24"/>
        </w:rPr>
        <w:t xml:space="preserve">* </w:t>
      </w:r>
      <w:r>
        <w:rPr>
          <w:b/>
          <w:sz w:val="24"/>
          <w:szCs w:val="24"/>
        </w:rPr>
        <w:t>R</w:t>
      </w:r>
      <w:r w:rsidRPr="00CD6868">
        <w:rPr>
          <w:b/>
          <w:sz w:val="24"/>
          <w:szCs w:val="24"/>
        </w:rPr>
        <w:t>equiring respondents to report information to the agency more often than quarterly;</w:t>
      </w:r>
    </w:p>
    <w:p w:rsidR="00F32486" w:rsidRDefault="00F32486" w:rsidP="00F32486">
      <w:pPr>
        <w:rPr>
          <w:b/>
          <w:sz w:val="24"/>
          <w:szCs w:val="24"/>
        </w:rPr>
      </w:pPr>
    </w:p>
    <w:p w:rsidR="00F32486" w:rsidRPr="00DB39E0" w:rsidRDefault="00F32486" w:rsidP="00F32486">
      <w:pPr>
        <w:rPr>
          <w:sz w:val="24"/>
          <w:szCs w:val="24"/>
        </w:rPr>
      </w:pPr>
      <w:r>
        <w:rPr>
          <w:sz w:val="24"/>
          <w:szCs w:val="24"/>
        </w:rPr>
        <w:t>None – at a minimum, the respondent would have to report information within 15 months of the date the family moved out of Federally assisted housing.</w:t>
      </w:r>
    </w:p>
    <w:p w:rsidR="00F32486" w:rsidRPr="00CD6868" w:rsidRDefault="00F32486" w:rsidP="00F32486">
      <w:pPr>
        <w:rPr>
          <w:b/>
          <w:sz w:val="24"/>
          <w:szCs w:val="24"/>
        </w:rPr>
      </w:pPr>
      <w:r>
        <w:rPr>
          <w:b/>
          <w:sz w:val="24"/>
          <w:szCs w:val="24"/>
        </w:rPr>
        <w:tab/>
      </w:r>
    </w:p>
    <w:p w:rsidR="00F32486" w:rsidRDefault="00F32486" w:rsidP="00F32486">
      <w:pPr>
        <w:rPr>
          <w:b/>
          <w:sz w:val="24"/>
          <w:szCs w:val="24"/>
        </w:rPr>
      </w:pPr>
      <w:r>
        <w:rPr>
          <w:b/>
          <w:sz w:val="24"/>
          <w:szCs w:val="24"/>
        </w:rPr>
        <w:t>* R</w:t>
      </w:r>
      <w:r w:rsidRPr="00CD6868">
        <w:rPr>
          <w:b/>
          <w:sz w:val="24"/>
          <w:szCs w:val="24"/>
        </w:rPr>
        <w:t>equiring respondents to prepare a written response to a collection of information in fewer than 30 days after receipt of it;</w:t>
      </w:r>
    </w:p>
    <w:p w:rsidR="00F32486" w:rsidRDefault="00F32486" w:rsidP="00F32486">
      <w:pPr>
        <w:rPr>
          <w:sz w:val="24"/>
          <w:szCs w:val="24"/>
        </w:rPr>
      </w:pPr>
    </w:p>
    <w:p w:rsidR="00F32486" w:rsidRPr="00DB39E0" w:rsidRDefault="00F32486" w:rsidP="00F32486">
      <w:pPr>
        <w:rPr>
          <w:sz w:val="24"/>
          <w:szCs w:val="24"/>
        </w:rPr>
      </w:pPr>
      <w:r>
        <w:rPr>
          <w:sz w:val="24"/>
          <w:szCs w:val="24"/>
        </w:rPr>
        <w:t>None</w:t>
      </w:r>
    </w:p>
    <w:p w:rsidR="0053139A" w:rsidRDefault="0053139A">
      <w:pPr>
        <w:overflowPunct/>
        <w:autoSpaceDE/>
        <w:autoSpaceDN/>
        <w:adjustRightInd/>
        <w:textAlignment w:val="auto"/>
        <w:rPr>
          <w:b/>
          <w:sz w:val="24"/>
          <w:szCs w:val="24"/>
        </w:rPr>
      </w:pPr>
      <w:r>
        <w:rPr>
          <w:b/>
          <w:sz w:val="24"/>
          <w:szCs w:val="24"/>
        </w:rPr>
        <w:br w:type="page"/>
      </w:r>
    </w:p>
    <w:p w:rsidR="00F32486" w:rsidRPr="00CD6868" w:rsidRDefault="00F32486" w:rsidP="00F32486">
      <w:pPr>
        <w:rPr>
          <w:b/>
          <w:sz w:val="24"/>
          <w:szCs w:val="24"/>
        </w:rPr>
      </w:pPr>
      <w:r>
        <w:rPr>
          <w:b/>
          <w:sz w:val="24"/>
          <w:szCs w:val="24"/>
        </w:rPr>
        <w:lastRenderedPageBreak/>
        <w:tab/>
      </w:r>
    </w:p>
    <w:p w:rsidR="00F32486" w:rsidRDefault="00F32486" w:rsidP="00F32486">
      <w:pPr>
        <w:rPr>
          <w:b/>
          <w:sz w:val="24"/>
          <w:szCs w:val="24"/>
        </w:rPr>
      </w:pPr>
      <w:r>
        <w:rPr>
          <w:b/>
          <w:sz w:val="24"/>
          <w:szCs w:val="24"/>
        </w:rPr>
        <w:t>* R</w:t>
      </w:r>
      <w:r w:rsidRPr="00CD6868">
        <w:rPr>
          <w:b/>
          <w:sz w:val="24"/>
          <w:szCs w:val="24"/>
        </w:rPr>
        <w:t>equiring respondents to submit more than an original and two copies of any document;</w:t>
      </w:r>
    </w:p>
    <w:p w:rsidR="00F32486" w:rsidRDefault="00F32486" w:rsidP="00F32486">
      <w:pPr>
        <w:rPr>
          <w:b/>
          <w:sz w:val="24"/>
          <w:szCs w:val="24"/>
        </w:rPr>
      </w:pPr>
    </w:p>
    <w:p w:rsidR="00F32486" w:rsidRDefault="00F32486" w:rsidP="00F32486">
      <w:pPr>
        <w:rPr>
          <w:b/>
          <w:sz w:val="24"/>
          <w:szCs w:val="24"/>
        </w:rPr>
      </w:pPr>
      <w:r>
        <w:rPr>
          <w:sz w:val="24"/>
          <w:szCs w:val="24"/>
        </w:rPr>
        <w:t>None</w:t>
      </w:r>
      <w:r>
        <w:rPr>
          <w:b/>
          <w:sz w:val="24"/>
          <w:szCs w:val="24"/>
        </w:rPr>
        <w:tab/>
      </w:r>
    </w:p>
    <w:p w:rsidR="00F32486" w:rsidRPr="00CD6868" w:rsidRDefault="00F32486" w:rsidP="00F32486">
      <w:pPr>
        <w:rPr>
          <w:b/>
          <w:sz w:val="24"/>
          <w:szCs w:val="24"/>
        </w:rPr>
      </w:pPr>
    </w:p>
    <w:p w:rsidR="00F32486" w:rsidRDefault="00F32486" w:rsidP="00F32486">
      <w:pPr>
        <w:rPr>
          <w:b/>
          <w:sz w:val="24"/>
          <w:szCs w:val="24"/>
        </w:rPr>
      </w:pPr>
      <w:r w:rsidRPr="00CD6868">
        <w:rPr>
          <w:b/>
          <w:sz w:val="24"/>
          <w:szCs w:val="24"/>
        </w:rPr>
        <w:t xml:space="preserve">* </w:t>
      </w:r>
      <w:r>
        <w:rPr>
          <w:b/>
          <w:sz w:val="24"/>
          <w:szCs w:val="24"/>
        </w:rPr>
        <w:t>R</w:t>
      </w:r>
      <w:r w:rsidRPr="00CD6868">
        <w:rPr>
          <w:b/>
          <w:sz w:val="24"/>
          <w:szCs w:val="24"/>
        </w:rPr>
        <w:t>equiring respondents to retain records, other than health, medical, government contract, grant-in-aid, or tax records, for more than three years;</w:t>
      </w:r>
    </w:p>
    <w:p w:rsidR="00F32486" w:rsidRDefault="00F32486" w:rsidP="00F32486">
      <w:pPr>
        <w:rPr>
          <w:b/>
          <w:sz w:val="24"/>
          <w:szCs w:val="24"/>
        </w:rPr>
      </w:pPr>
    </w:p>
    <w:p w:rsidR="00F32486" w:rsidRPr="00DB39E0" w:rsidRDefault="00F32486" w:rsidP="00F32486">
      <w:pPr>
        <w:rPr>
          <w:sz w:val="24"/>
          <w:szCs w:val="24"/>
        </w:rPr>
      </w:pPr>
      <w:r>
        <w:rPr>
          <w:sz w:val="24"/>
          <w:szCs w:val="24"/>
        </w:rPr>
        <w:t>None</w:t>
      </w:r>
    </w:p>
    <w:p w:rsidR="00F32486" w:rsidRPr="00CD6868" w:rsidRDefault="00F32486" w:rsidP="00F32486">
      <w:pPr>
        <w:rPr>
          <w:b/>
          <w:sz w:val="24"/>
          <w:szCs w:val="24"/>
        </w:rPr>
      </w:pPr>
    </w:p>
    <w:p w:rsidR="00F32486" w:rsidRDefault="00F32486" w:rsidP="00F32486">
      <w:pPr>
        <w:rPr>
          <w:b/>
          <w:sz w:val="24"/>
          <w:szCs w:val="24"/>
        </w:rPr>
      </w:pPr>
      <w:r>
        <w:rPr>
          <w:b/>
          <w:sz w:val="24"/>
          <w:szCs w:val="24"/>
        </w:rPr>
        <w:t>* I</w:t>
      </w:r>
      <w:r w:rsidRPr="00CD6868">
        <w:rPr>
          <w:b/>
          <w:sz w:val="24"/>
          <w:szCs w:val="24"/>
        </w:rPr>
        <w:t>n connection with a statistical survey, that is not designed to produce valid and reliable results that can be generalized to the universe of study;</w:t>
      </w:r>
    </w:p>
    <w:p w:rsidR="00F32486" w:rsidRDefault="00F32486" w:rsidP="00F32486">
      <w:pPr>
        <w:rPr>
          <w:b/>
          <w:sz w:val="24"/>
          <w:szCs w:val="24"/>
        </w:rPr>
      </w:pPr>
    </w:p>
    <w:p w:rsidR="00F32486" w:rsidRPr="00A72E92" w:rsidRDefault="00F32486" w:rsidP="00F32486">
      <w:pPr>
        <w:rPr>
          <w:sz w:val="24"/>
          <w:szCs w:val="24"/>
        </w:rPr>
      </w:pPr>
      <w:r>
        <w:rPr>
          <w:sz w:val="24"/>
          <w:szCs w:val="24"/>
        </w:rPr>
        <w:t>None</w:t>
      </w:r>
    </w:p>
    <w:p w:rsidR="00F32486" w:rsidRPr="00CD6868" w:rsidRDefault="00F32486" w:rsidP="00F32486">
      <w:pPr>
        <w:rPr>
          <w:b/>
          <w:sz w:val="24"/>
          <w:szCs w:val="24"/>
        </w:rPr>
      </w:pPr>
    </w:p>
    <w:p w:rsidR="00F32486" w:rsidRDefault="00F32486" w:rsidP="00F32486">
      <w:pPr>
        <w:rPr>
          <w:b/>
          <w:sz w:val="24"/>
          <w:szCs w:val="24"/>
        </w:rPr>
      </w:pPr>
      <w:r w:rsidRPr="00CD6868">
        <w:rPr>
          <w:b/>
          <w:sz w:val="24"/>
          <w:szCs w:val="24"/>
        </w:rPr>
        <w:t xml:space="preserve">* </w:t>
      </w:r>
      <w:r>
        <w:rPr>
          <w:b/>
          <w:sz w:val="24"/>
          <w:szCs w:val="24"/>
        </w:rPr>
        <w:t>R</w:t>
      </w:r>
      <w:r w:rsidRPr="00CD6868">
        <w:rPr>
          <w:b/>
          <w:sz w:val="24"/>
          <w:szCs w:val="24"/>
        </w:rPr>
        <w:t>equiring the use of a statistical data classification that has not been reviewed and approved by OMB;</w:t>
      </w:r>
    </w:p>
    <w:p w:rsidR="00F32486" w:rsidRDefault="00F32486" w:rsidP="00F32486">
      <w:pPr>
        <w:rPr>
          <w:b/>
          <w:sz w:val="24"/>
          <w:szCs w:val="24"/>
        </w:rPr>
      </w:pPr>
    </w:p>
    <w:p w:rsidR="00F32486" w:rsidRDefault="00F32486" w:rsidP="00F32486">
      <w:pPr>
        <w:rPr>
          <w:sz w:val="24"/>
          <w:szCs w:val="24"/>
        </w:rPr>
      </w:pPr>
      <w:r>
        <w:rPr>
          <w:sz w:val="24"/>
          <w:szCs w:val="24"/>
        </w:rPr>
        <w:t>None</w:t>
      </w:r>
    </w:p>
    <w:p w:rsidR="00F32486" w:rsidRPr="00DB39E0" w:rsidRDefault="00F32486" w:rsidP="00F32486">
      <w:pPr>
        <w:rPr>
          <w:sz w:val="24"/>
          <w:szCs w:val="24"/>
        </w:rPr>
      </w:pPr>
    </w:p>
    <w:p w:rsidR="00F32486" w:rsidRPr="00CD6868" w:rsidRDefault="00F32486" w:rsidP="00F32486">
      <w:pPr>
        <w:rPr>
          <w:b/>
          <w:sz w:val="24"/>
          <w:szCs w:val="24"/>
        </w:rPr>
      </w:pPr>
      <w:r>
        <w:rPr>
          <w:b/>
          <w:sz w:val="24"/>
          <w:szCs w:val="24"/>
        </w:rPr>
        <w:t>*T</w:t>
      </w:r>
      <w:r w:rsidRPr="00CD6868">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32486" w:rsidRDefault="00F32486" w:rsidP="00F32486">
      <w:pPr>
        <w:rPr>
          <w:b/>
          <w:sz w:val="24"/>
          <w:szCs w:val="24"/>
        </w:rPr>
      </w:pPr>
    </w:p>
    <w:p w:rsidR="00F32486" w:rsidRDefault="00F32486" w:rsidP="00F32486">
      <w:pPr>
        <w:rPr>
          <w:sz w:val="24"/>
          <w:szCs w:val="24"/>
        </w:rPr>
      </w:pPr>
      <w:r>
        <w:rPr>
          <w:sz w:val="24"/>
          <w:szCs w:val="24"/>
        </w:rPr>
        <w:t>A pledge of confidentiality is supported by the statutory authority established at 42 USC 1437d(q)(5) .</w:t>
      </w:r>
    </w:p>
    <w:p w:rsidR="00F32486" w:rsidRPr="00F114A8" w:rsidRDefault="00F32486" w:rsidP="00F32486">
      <w:pPr>
        <w:rPr>
          <w:sz w:val="24"/>
          <w:szCs w:val="24"/>
        </w:rPr>
      </w:pPr>
    </w:p>
    <w:p w:rsidR="00F32486" w:rsidRPr="00CD6868" w:rsidRDefault="00F32486" w:rsidP="00F32486">
      <w:pPr>
        <w:rPr>
          <w:b/>
          <w:sz w:val="24"/>
          <w:szCs w:val="24"/>
        </w:rPr>
      </w:pPr>
      <w:r>
        <w:rPr>
          <w:b/>
          <w:sz w:val="24"/>
          <w:szCs w:val="24"/>
        </w:rPr>
        <w:t>* R</w:t>
      </w:r>
      <w:r w:rsidRPr="00CD6868">
        <w:rPr>
          <w:b/>
          <w:sz w:val="24"/>
          <w:szCs w:val="24"/>
        </w:rPr>
        <w:t>equiring respondents to submit proprietary trade secrets, or other confidential information unless the agency can demonstrate that it has instituted procedures to protect the information's confidentiality to the extent permitted by law.</w:t>
      </w:r>
    </w:p>
    <w:p w:rsidR="00F32486" w:rsidRDefault="00F32486" w:rsidP="00F32486">
      <w:pPr>
        <w:rPr>
          <w:b/>
          <w:sz w:val="24"/>
          <w:szCs w:val="24"/>
        </w:rPr>
      </w:pPr>
    </w:p>
    <w:p w:rsidR="00F32486" w:rsidRPr="00F114A8" w:rsidRDefault="00F32486" w:rsidP="00F32486">
      <w:pPr>
        <w:rPr>
          <w:sz w:val="24"/>
          <w:szCs w:val="24"/>
        </w:rPr>
      </w:pPr>
      <w:r>
        <w:rPr>
          <w:sz w:val="24"/>
          <w:szCs w:val="24"/>
        </w:rPr>
        <w:t>None</w:t>
      </w:r>
    </w:p>
    <w:p w:rsidR="00F32486" w:rsidRPr="00CD6868" w:rsidRDefault="00F32486" w:rsidP="00F32486">
      <w:pPr>
        <w:rPr>
          <w:b/>
          <w:sz w:val="24"/>
          <w:szCs w:val="24"/>
        </w:rPr>
      </w:pPr>
    </w:p>
    <w:p w:rsidR="00F32486" w:rsidRPr="00CD6868" w:rsidRDefault="00F32486" w:rsidP="00F32486">
      <w:pPr>
        <w:rPr>
          <w:b/>
          <w:sz w:val="24"/>
          <w:szCs w:val="24"/>
        </w:rPr>
      </w:pPr>
      <w:r w:rsidRPr="00CD6868">
        <w:rPr>
          <w:b/>
          <w:sz w:val="24"/>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F32486" w:rsidRDefault="00F32486" w:rsidP="00F32486">
      <w:pPr>
        <w:rPr>
          <w:sz w:val="24"/>
          <w:szCs w:val="24"/>
        </w:rPr>
      </w:pPr>
    </w:p>
    <w:p w:rsidR="00F32486" w:rsidRDefault="00F32486" w:rsidP="00F32486">
      <w:pPr>
        <w:rPr>
          <w:sz w:val="24"/>
          <w:szCs w:val="24"/>
        </w:rPr>
      </w:pPr>
      <w:r>
        <w:rPr>
          <w:sz w:val="24"/>
          <w:szCs w:val="24"/>
        </w:rPr>
        <w:t xml:space="preserve">The Notice of Proposed Information Collection was published in the Federal Register on </w:t>
      </w:r>
      <w:r w:rsidR="00014F4C">
        <w:rPr>
          <w:sz w:val="24"/>
          <w:szCs w:val="24"/>
        </w:rPr>
        <w:t xml:space="preserve">March 3, </w:t>
      </w:r>
      <w:r>
        <w:rPr>
          <w:sz w:val="24"/>
          <w:szCs w:val="24"/>
        </w:rPr>
        <w:t>20</w:t>
      </w:r>
      <w:r w:rsidR="001B4375">
        <w:rPr>
          <w:sz w:val="24"/>
          <w:szCs w:val="24"/>
        </w:rPr>
        <w:t>13,</w:t>
      </w:r>
      <w:r>
        <w:rPr>
          <w:sz w:val="24"/>
          <w:szCs w:val="24"/>
        </w:rPr>
        <w:t xml:space="preserve"> at </w:t>
      </w:r>
      <w:r w:rsidR="00014F4C">
        <w:rPr>
          <w:sz w:val="24"/>
          <w:szCs w:val="24"/>
        </w:rPr>
        <w:t>78 FR 14106</w:t>
      </w:r>
      <w:r>
        <w:rPr>
          <w:sz w:val="24"/>
          <w:szCs w:val="24"/>
        </w:rPr>
        <w:t xml:space="preserve"> </w:t>
      </w:r>
      <w:r w:rsidR="00904D4D" w:rsidRPr="00630F09">
        <w:rPr>
          <w:sz w:val="24"/>
          <w:szCs w:val="24"/>
        </w:rPr>
        <w:t>(See Exhibit C</w:t>
      </w:r>
      <w:r w:rsidR="00E204F7" w:rsidRPr="00630F09">
        <w:rPr>
          <w:sz w:val="24"/>
          <w:szCs w:val="24"/>
        </w:rPr>
        <w:t>)</w:t>
      </w:r>
      <w:r w:rsidR="00CF01B2" w:rsidRPr="00CF01B2">
        <w:rPr>
          <w:sz w:val="24"/>
          <w:szCs w:val="24"/>
        </w:rPr>
        <w:t>.</w:t>
      </w:r>
      <w:r w:rsidR="00E204F7" w:rsidRPr="00CF01B2">
        <w:rPr>
          <w:sz w:val="24"/>
          <w:szCs w:val="24"/>
        </w:rPr>
        <w:t xml:space="preserve">  </w:t>
      </w:r>
      <w:r w:rsidR="001B4375">
        <w:rPr>
          <w:sz w:val="24"/>
          <w:szCs w:val="24"/>
        </w:rPr>
        <w:t>The publ</w:t>
      </w:r>
      <w:r w:rsidR="00556D88">
        <w:rPr>
          <w:sz w:val="24"/>
          <w:szCs w:val="24"/>
        </w:rPr>
        <w:t>ic was given until</w:t>
      </w:r>
      <w:r w:rsidR="00014F4C">
        <w:rPr>
          <w:sz w:val="24"/>
          <w:szCs w:val="24"/>
        </w:rPr>
        <w:t xml:space="preserve"> May 3</w:t>
      </w:r>
      <w:r w:rsidR="00556D88">
        <w:rPr>
          <w:sz w:val="24"/>
          <w:szCs w:val="24"/>
        </w:rPr>
        <w:t>, 2013</w:t>
      </w:r>
      <w:r w:rsidR="001B4375">
        <w:rPr>
          <w:sz w:val="24"/>
          <w:szCs w:val="24"/>
        </w:rPr>
        <w:t>, to comment.  HUD received</w:t>
      </w:r>
      <w:r w:rsidR="0005017E">
        <w:rPr>
          <w:sz w:val="24"/>
          <w:szCs w:val="24"/>
        </w:rPr>
        <w:t xml:space="preserve"> no</w:t>
      </w:r>
      <w:r w:rsidR="001B4375">
        <w:rPr>
          <w:sz w:val="24"/>
          <w:szCs w:val="24"/>
        </w:rPr>
        <w:t xml:space="preserve"> comments.  </w:t>
      </w:r>
    </w:p>
    <w:p w:rsidR="00F32486" w:rsidRDefault="00F32486" w:rsidP="00F32486">
      <w:pPr>
        <w:rPr>
          <w:sz w:val="24"/>
          <w:szCs w:val="24"/>
        </w:rPr>
      </w:pPr>
    </w:p>
    <w:p w:rsidR="00F32486" w:rsidRDefault="00F32486" w:rsidP="00F32486">
      <w:pPr>
        <w:rPr>
          <w:b/>
          <w:sz w:val="24"/>
          <w:szCs w:val="24"/>
        </w:rPr>
      </w:pPr>
      <w:r w:rsidRPr="00CD6868">
        <w:rPr>
          <w:b/>
          <w:sz w:val="24"/>
          <w:szCs w:val="24"/>
        </w:rPr>
        <w:t>9. Explain any decision to provide any payment or gift to respondents, other than re</w:t>
      </w:r>
      <w:r w:rsidR="00673FE7">
        <w:rPr>
          <w:b/>
          <w:sz w:val="24"/>
          <w:szCs w:val="24"/>
        </w:rPr>
        <w:t>m</w:t>
      </w:r>
      <w:r w:rsidRPr="00CD6868">
        <w:rPr>
          <w:b/>
          <w:sz w:val="24"/>
          <w:szCs w:val="24"/>
        </w:rPr>
        <w:t>u</w:t>
      </w:r>
      <w:r w:rsidR="003E66C5">
        <w:rPr>
          <w:b/>
          <w:sz w:val="24"/>
          <w:szCs w:val="24"/>
        </w:rPr>
        <w:t>n</w:t>
      </w:r>
      <w:r w:rsidRPr="00CD6868">
        <w:rPr>
          <w:b/>
          <w:sz w:val="24"/>
          <w:szCs w:val="24"/>
        </w:rPr>
        <w:t>eration of contractors or grantees.</w:t>
      </w:r>
    </w:p>
    <w:p w:rsidR="00F32486" w:rsidRDefault="00F32486" w:rsidP="00F32486">
      <w:pPr>
        <w:rPr>
          <w:b/>
          <w:sz w:val="24"/>
          <w:szCs w:val="24"/>
        </w:rPr>
      </w:pPr>
    </w:p>
    <w:p w:rsidR="00F32486" w:rsidRPr="00FE0EE6" w:rsidRDefault="00F32486" w:rsidP="00F32486">
      <w:pPr>
        <w:rPr>
          <w:sz w:val="24"/>
          <w:szCs w:val="24"/>
        </w:rPr>
      </w:pPr>
      <w:r>
        <w:rPr>
          <w:sz w:val="24"/>
          <w:szCs w:val="24"/>
        </w:rPr>
        <w:t>No payment or gift</w:t>
      </w:r>
      <w:r w:rsidR="0064338B">
        <w:rPr>
          <w:sz w:val="24"/>
          <w:szCs w:val="24"/>
        </w:rPr>
        <w:t>s</w:t>
      </w:r>
      <w:r>
        <w:rPr>
          <w:sz w:val="24"/>
          <w:szCs w:val="24"/>
        </w:rPr>
        <w:t xml:space="preserve"> </w:t>
      </w:r>
      <w:r w:rsidR="00434AC7">
        <w:rPr>
          <w:sz w:val="24"/>
          <w:szCs w:val="24"/>
        </w:rPr>
        <w:t>are</w:t>
      </w:r>
      <w:r>
        <w:rPr>
          <w:sz w:val="24"/>
          <w:szCs w:val="24"/>
        </w:rPr>
        <w:t xml:space="preserve"> provided to respondents.</w:t>
      </w:r>
    </w:p>
    <w:p w:rsidR="0053139A" w:rsidRDefault="0053139A">
      <w:pPr>
        <w:overflowPunct/>
        <w:autoSpaceDE/>
        <w:autoSpaceDN/>
        <w:adjustRightInd/>
        <w:textAlignment w:val="auto"/>
        <w:rPr>
          <w:b/>
          <w:sz w:val="24"/>
          <w:szCs w:val="24"/>
        </w:rPr>
      </w:pPr>
      <w:r>
        <w:rPr>
          <w:b/>
          <w:sz w:val="24"/>
          <w:szCs w:val="24"/>
        </w:rPr>
        <w:br w:type="page"/>
      </w:r>
    </w:p>
    <w:p w:rsidR="00F32486" w:rsidRDefault="00F32486" w:rsidP="00F32486">
      <w:pPr>
        <w:rPr>
          <w:b/>
          <w:sz w:val="24"/>
          <w:szCs w:val="24"/>
        </w:rPr>
      </w:pPr>
      <w:r w:rsidRPr="00CD6868">
        <w:rPr>
          <w:b/>
          <w:sz w:val="24"/>
          <w:szCs w:val="24"/>
        </w:rPr>
        <w:lastRenderedPageBreak/>
        <w:t>10. Describe any assurance of confidentiality provided to respondents and the basis for the assurance in statute, regulation, or agency policy.</w:t>
      </w:r>
    </w:p>
    <w:p w:rsidR="00F32486" w:rsidRDefault="00F32486" w:rsidP="00F32486">
      <w:pPr>
        <w:rPr>
          <w:b/>
          <w:sz w:val="24"/>
          <w:szCs w:val="24"/>
        </w:rPr>
      </w:pPr>
    </w:p>
    <w:p w:rsidR="009A0666" w:rsidRPr="009A0666" w:rsidRDefault="00532AE9" w:rsidP="009A0666">
      <w:pPr>
        <w:rPr>
          <w:sz w:val="24"/>
          <w:szCs w:val="24"/>
        </w:rPr>
      </w:pPr>
      <w:r>
        <w:rPr>
          <w:sz w:val="24"/>
          <w:szCs w:val="24"/>
        </w:rPr>
        <w:t xml:space="preserve">Section 3544 of the Housing and Community Development Act of 1987 requires the confidential treatment of </w:t>
      </w:r>
      <w:r w:rsidR="00C3052B">
        <w:rPr>
          <w:sz w:val="24"/>
          <w:szCs w:val="24"/>
        </w:rPr>
        <w:t>personally identifiable information (PII)</w:t>
      </w:r>
      <w:r>
        <w:rPr>
          <w:sz w:val="24"/>
          <w:szCs w:val="24"/>
        </w:rPr>
        <w:t xml:space="preserve">, subject to civil and criminal penalties, as do HUD regulations at 24 CFR part 5.  </w:t>
      </w:r>
      <w:r w:rsidR="001E5CED">
        <w:rPr>
          <w:sz w:val="24"/>
          <w:szCs w:val="24"/>
        </w:rPr>
        <w:t xml:space="preserve">The form HUD 50058, Family Report </w:t>
      </w:r>
      <w:r w:rsidR="001E5CED" w:rsidRPr="001E5CED">
        <w:rPr>
          <w:sz w:val="24"/>
          <w:szCs w:val="24"/>
        </w:rPr>
        <w:t xml:space="preserve">(OMB </w:t>
      </w:r>
      <w:r>
        <w:rPr>
          <w:sz w:val="24"/>
          <w:szCs w:val="24"/>
        </w:rPr>
        <w:t>a</w:t>
      </w:r>
      <w:r w:rsidR="001E5CED" w:rsidRPr="001E5CED">
        <w:rPr>
          <w:sz w:val="24"/>
          <w:szCs w:val="24"/>
        </w:rPr>
        <w:t xml:space="preserve">pproval </w:t>
      </w:r>
      <w:r>
        <w:rPr>
          <w:sz w:val="24"/>
          <w:szCs w:val="24"/>
        </w:rPr>
        <w:t>n</w:t>
      </w:r>
      <w:r w:rsidR="001E5CED" w:rsidRPr="001E5CED">
        <w:rPr>
          <w:sz w:val="24"/>
          <w:szCs w:val="24"/>
        </w:rPr>
        <w:t>umber 2577-0083</w:t>
      </w:r>
      <w:r w:rsidR="001E5CED">
        <w:rPr>
          <w:sz w:val="24"/>
          <w:szCs w:val="24"/>
        </w:rPr>
        <w:t xml:space="preserve">, </w:t>
      </w:r>
      <w:r w:rsidR="001E5CED" w:rsidRPr="001E5CED">
        <w:rPr>
          <w:sz w:val="24"/>
          <w:szCs w:val="24"/>
        </w:rPr>
        <w:t>expir</w:t>
      </w:r>
      <w:r w:rsidR="009A0666">
        <w:rPr>
          <w:sz w:val="24"/>
          <w:szCs w:val="24"/>
        </w:rPr>
        <w:t>ing</w:t>
      </w:r>
      <w:r w:rsidR="001E5CED" w:rsidRPr="001E5CED">
        <w:rPr>
          <w:sz w:val="24"/>
          <w:szCs w:val="24"/>
        </w:rPr>
        <w:t xml:space="preserve"> 9/30/2013)</w:t>
      </w:r>
      <w:r>
        <w:rPr>
          <w:sz w:val="24"/>
          <w:szCs w:val="24"/>
        </w:rPr>
        <w:t>,</w:t>
      </w:r>
      <w:r w:rsidR="001E5CED">
        <w:rPr>
          <w:sz w:val="24"/>
          <w:szCs w:val="24"/>
        </w:rPr>
        <w:t xml:space="preserve"> </w:t>
      </w:r>
      <w:r>
        <w:rPr>
          <w:sz w:val="24"/>
          <w:szCs w:val="24"/>
        </w:rPr>
        <w:t>on which families provide the</w:t>
      </w:r>
      <w:r w:rsidR="001E5CED">
        <w:rPr>
          <w:sz w:val="24"/>
          <w:szCs w:val="24"/>
        </w:rPr>
        <w:t xml:space="preserve"> confidential information</w:t>
      </w:r>
      <w:r>
        <w:rPr>
          <w:sz w:val="24"/>
          <w:szCs w:val="24"/>
        </w:rPr>
        <w:t xml:space="preserve"> that</w:t>
      </w:r>
      <w:r w:rsidR="009A0666">
        <w:rPr>
          <w:sz w:val="24"/>
          <w:szCs w:val="24"/>
        </w:rPr>
        <w:t xml:space="preserve"> respondents</w:t>
      </w:r>
      <w:r>
        <w:rPr>
          <w:sz w:val="24"/>
          <w:szCs w:val="24"/>
        </w:rPr>
        <w:t xml:space="preserve"> may use when entering data in the EIV Debts Owed module,</w:t>
      </w:r>
      <w:r w:rsidR="001E5CED">
        <w:rPr>
          <w:sz w:val="24"/>
          <w:szCs w:val="24"/>
        </w:rPr>
        <w:t xml:space="preserve"> </w:t>
      </w:r>
      <w:r>
        <w:rPr>
          <w:sz w:val="24"/>
          <w:szCs w:val="24"/>
        </w:rPr>
        <w:t xml:space="preserve">includes a </w:t>
      </w:r>
      <w:r w:rsidR="009A0666">
        <w:rPr>
          <w:sz w:val="24"/>
          <w:szCs w:val="24"/>
        </w:rPr>
        <w:t xml:space="preserve">Privacy Act </w:t>
      </w:r>
      <w:r>
        <w:rPr>
          <w:sz w:val="24"/>
          <w:szCs w:val="24"/>
        </w:rPr>
        <w:t xml:space="preserve">statement </w:t>
      </w:r>
      <w:r w:rsidR="009A0666">
        <w:rPr>
          <w:sz w:val="24"/>
          <w:szCs w:val="24"/>
        </w:rPr>
        <w:t xml:space="preserve">advising </w:t>
      </w:r>
      <w:r>
        <w:rPr>
          <w:sz w:val="24"/>
          <w:szCs w:val="24"/>
        </w:rPr>
        <w:t>th</w:t>
      </w:r>
      <w:r w:rsidR="009A0666">
        <w:rPr>
          <w:sz w:val="24"/>
          <w:szCs w:val="24"/>
        </w:rPr>
        <w:t>e family that</w:t>
      </w:r>
      <w:r>
        <w:rPr>
          <w:sz w:val="24"/>
          <w:szCs w:val="24"/>
        </w:rPr>
        <w:t xml:space="preserve"> th</w:t>
      </w:r>
      <w:r w:rsidR="009A0666">
        <w:rPr>
          <w:sz w:val="24"/>
          <w:szCs w:val="24"/>
        </w:rPr>
        <w:t>e</w:t>
      </w:r>
      <w:r>
        <w:rPr>
          <w:sz w:val="24"/>
          <w:szCs w:val="24"/>
        </w:rPr>
        <w:t xml:space="preserve"> information </w:t>
      </w:r>
      <w:r w:rsidR="009A0666">
        <w:rPr>
          <w:sz w:val="24"/>
          <w:szCs w:val="24"/>
        </w:rPr>
        <w:t xml:space="preserve">on the form (PII) </w:t>
      </w:r>
      <w:r>
        <w:rPr>
          <w:sz w:val="24"/>
          <w:szCs w:val="24"/>
        </w:rPr>
        <w:t xml:space="preserve">is confidential and protected by the Privacy Act of 1974 (5 USC 552a). </w:t>
      </w:r>
      <w:r w:rsidR="009A0666">
        <w:rPr>
          <w:sz w:val="24"/>
          <w:szCs w:val="24"/>
        </w:rPr>
        <w:t>The Privacy Act statement also informs the family that</w:t>
      </w:r>
      <w:r w:rsidR="009A0666" w:rsidRPr="009A0666">
        <w:rPr>
          <w:sz w:val="24"/>
          <w:szCs w:val="24"/>
        </w:rPr>
        <w:t xml:space="preserve"> </w:t>
      </w:r>
      <w:r w:rsidR="009A0666">
        <w:rPr>
          <w:sz w:val="24"/>
          <w:szCs w:val="24"/>
        </w:rPr>
        <w:t>t</w:t>
      </w:r>
      <w:r w:rsidR="009A0666" w:rsidRPr="009A0666">
        <w:rPr>
          <w:sz w:val="24"/>
          <w:szCs w:val="24"/>
        </w:rPr>
        <w:t>h</w:t>
      </w:r>
      <w:r w:rsidR="009A0666">
        <w:rPr>
          <w:sz w:val="24"/>
          <w:szCs w:val="24"/>
        </w:rPr>
        <w:t>e</w:t>
      </w:r>
      <w:r w:rsidR="009A0666" w:rsidRPr="009A0666">
        <w:rPr>
          <w:sz w:val="24"/>
          <w:szCs w:val="24"/>
        </w:rPr>
        <w:t xml:space="preserve"> collection is mandatory</w:t>
      </w:r>
      <w:r w:rsidR="009A0666">
        <w:rPr>
          <w:sz w:val="24"/>
          <w:szCs w:val="24"/>
        </w:rPr>
        <w:t xml:space="preserve"> and t</w:t>
      </w:r>
      <w:r w:rsidR="009A0666" w:rsidRPr="009A0666">
        <w:rPr>
          <w:sz w:val="24"/>
          <w:szCs w:val="24"/>
        </w:rPr>
        <w:t>he information requested is required to obtain and retain benefits</w:t>
      </w:r>
      <w:r w:rsidR="009A0666">
        <w:rPr>
          <w:sz w:val="24"/>
          <w:szCs w:val="24"/>
        </w:rPr>
        <w:t xml:space="preserve"> pursuant to </w:t>
      </w:r>
      <w:r w:rsidR="009A0666" w:rsidRPr="009A0666">
        <w:rPr>
          <w:sz w:val="24"/>
          <w:szCs w:val="24"/>
        </w:rPr>
        <w:t xml:space="preserve">24 CFR </w:t>
      </w:r>
      <w:r w:rsidR="009A0666">
        <w:rPr>
          <w:sz w:val="24"/>
          <w:szCs w:val="24"/>
        </w:rPr>
        <w:t>part 5 subpart B.</w:t>
      </w:r>
    </w:p>
    <w:p w:rsidR="00F32486" w:rsidRPr="00CD6868" w:rsidRDefault="00F32486" w:rsidP="00F32486">
      <w:pPr>
        <w:rPr>
          <w:b/>
          <w:sz w:val="24"/>
          <w:szCs w:val="24"/>
        </w:rPr>
      </w:pPr>
    </w:p>
    <w:p w:rsidR="00F32486" w:rsidRDefault="00F32486" w:rsidP="00F32486">
      <w:pPr>
        <w:rPr>
          <w:b/>
          <w:sz w:val="24"/>
          <w:szCs w:val="24"/>
        </w:rPr>
      </w:pPr>
      <w:r w:rsidRPr="00CD6868">
        <w:rPr>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w:t>
      </w:r>
      <w:r>
        <w:rPr>
          <w:b/>
          <w:sz w:val="24"/>
          <w:szCs w:val="24"/>
        </w:rPr>
        <w:t xml:space="preserve"> </w:t>
      </w:r>
      <w:r w:rsidRPr="00CD6868">
        <w:rPr>
          <w:b/>
          <w:sz w:val="24"/>
          <w:szCs w:val="24"/>
        </w:rPr>
        <w:t>whom the information is requested, and any steps to be taken to obtain their consent.</w:t>
      </w:r>
    </w:p>
    <w:p w:rsidR="00F32486" w:rsidRDefault="00F32486" w:rsidP="00F32486">
      <w:pPr>
        <w:rPr>
          <w:b/>
          <w:sz w:val="24"/>
          <w:szCs w:val="24"/>
        </w:rPr>
      </w:pPr>
    </w:p>
    <w:p w:rsidR="0053139A" w:rsidRDefault="00D44D20" w:rsidP="00F32486">
      <w:pPr>
        <w:rPr>
          <w:sz w:val="24"/>
          <w:szCs w:val="24"/>
        </w:rPr>
      </w:pPr>
      <w:r w:rsidRPr="0012497A">
        <w:rPr>
          <w:sz w:val="24"/>
          <w:szCs w:val="24"/>
        </w:rPr>
        <w:t>The P</w:t>
      </w:r>
      <w:r>
        <w:rPr>
          <w:sz w:val="24"/>
          <w:szCs w:val="24"/>
        </w:rPr>
        <w:t>I</w:t>
      </w:r>
      <w:r w:rsidRPr="0012497A">
        <w:rPr>
          <w:sz w:val="24"/>
          <w:szCs w:val="24"/>
        </w:rPr>
        <w:t xml:space="preserve">I </w:t>
      </w:r>
      <w:r w:rsidR="00C3052B">
        <w:rPr>
          <w:sz w:val="24"/>
          <w:szCs w:val="24"/>
        </w:rPr>
        <w:t xml:space="preserve">may be </w:t>
      </w:r>
      <w:r w:rsidRPr="0012497A">
        <w:rPr>
          <w:sz w:val="24"/>
          <w:szCs w:val="24"/>
        </w:rPr>
        <w:t xml:space="preserve">used </w:t>
      </w:r>
      <w:r>
        <w:rPr>
          <w:sz w:val="24"/>
          <w:szCs w:val="24"/>
        </w:rPr>
        <w:t xml:space="preserve">by the PHA respondent to </w:t>
      </w:r>
      <w:r w:rsidRPr="0012497A">
        <w:rPr>
          <w:sz w:val="24"/>
          <w:szCs w:val="24"/>
        </w:rPr>
        <w:t>identif</w:t>
      </w:r>
      <w:r>
        <w:rPr>
          <w:sz w:val="24"/>
          <w:szCs w:val="24"/>
        </w:rPr>
        <w:t>y</w:t>
      </w:r>
      <w:r w:rsidRPr="0012497A">
        <w:rPr>
          <w:sz w:val="24"/>
          <w:szCs w:val="24"/>
        </w:rPr>
        <w:t xml:space="preserve"> the </w:t>
      </w:r>
      <w:r>
        <w:rPr>
          <w:sz w:val="24"/>
          <w:szCs w:val="24"/>
        </w:rPr>
        <w:t xml:space="preserve">former program participant when the PHA is recording a debt owed by that person to that PHA or the applicable termination information.  </w:t>
      </w:r>
      <w:r w:rsidR="00AC392A">
        <w:rPr>
          <w:sz w:val="24"/>
          <w:szCs w:val="24"/>
        </w:rPr>
        <w:t>Th</w:t>
      </w:r>
      <w:r w:rsidR="0012497A">
        <w:rPr>
          <w:sz w:val="24"/>
          <w:szCs w:val="24"/>
        </w:rPr>
        <w:t>e debt owed and termination</w:t>
      </w:r>
      <w:r w:rsidR="00AC392A">
        <w:rPr>
          <w:sz w:val="24"/>
          <w:szCs w:val="24"/>
        </w:rPr>
        <w:t xml:space="preserve"> information</w:t>
      </w:r>
      <w:r w:rsidR="00C3052B">
        <w:rPr>
          <w:sz w:val="24"/>
          <w:szCs w:val="24"/>
        </w:rPr>
        <w:t xml:space="preserve"> in this module</w:t>
      </w:r>
      <w:r w:rsidR="00AC392A">
        <w:rPr>
          <w:sz w:val="24"/>
          <w:szCs w:val="24"/>
        </w:rPr>
        <w:t xml:space="preserve"> is then used by other PHAs when determining </w:t>
      </w:r>
      <w:r w:rsidR="0082769C">
        <w:rPr>
          <w:sz w:val="24"/>
          <w:szCs w:val="24"/>
        </w:rPr>
        <w:t xml:space="preserve">program eligibility. </w:t>
      </w:r>
    </w:p>
    <w:p w:rsidR="0053139A" w:rsidRDefault="0053139A" w:rsidP="00F32486">
      <w:pPr>
        <w:rPr>
          <w:sz w:val="24"/>
          <w:szCs w:val="24"/>
        </w:rPr>
      </w:pPr>
    </w:p>
    <w:p w:rsidR="00F32486" w:rsidRPr="00CD6868" w:rsidRDefault="00F32486" w:rsidP="00F32486">
      <w:pPr>
        <w:rPr>
          <w:b/>
          <w:sz w:val="24"/>
          <w:szCs w:val="24"/>
        </w:rPr>
      </w:pPr>
      <w:r w:rsidRPr="00CD6868">
        <w:rPr>
          <w:b/>
          <w:sz w:val="24"/>
          <w:szCs w:val="24"/>
        </w:rPr>
        <w:t>12. Provide estimates of the hour burden of the collection of information. The statement should:</w:t>
      </w:r>
    </w:p>
    <w:p w:rsidR="00F32486" w:rsidRDefault="00F32486" w:rsidP="00F32486">
      <w:pPr>
        <w:rPr>
          <w:b/>
          <w:sz w:val="24"/>
          <w:szCs w:val="24"/>
        </w:rPr>
      </w:pPr>
    </w:p>
    <w:p w:rsidR="00F32486" w:rsidRPr="00CD6868" w:rsidRDefault="00F32486" w:rsidP="00F32486">
      <w:pPr>
        <w:rPr>
          <w:b/>
          <w:sz w:val="24"/>
          <w:szCs w:val="24"/>
        </w:rPr>
      </w:pPr>
      <w:r w:rsidRPr="00CD6868">
        <w:rPr>
          <w:b/>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w:t>
      </w:r>
      <w:r>
        <w:rPr>
          <w:b/>
          <w:sz w:val="24"/>
          <w:szCs w:val="24"/>
        </w:rPr>
        <w:t xml:space="preserve"> </w:t>
      </w:r>
      <w:r w:rsidRPr="00CD6868">
        <w:rPr>
          <w:b/>
          <w:sz w:val="24"/>
          <w:szCs w:val="24"/>
        </w:rPr>
        <w:t>burden on respondents is expected to vary widely because of differences in activity, size, or</w:t>
      </w:r>
      <w:r>
        <w:rPr>
          <w:b/>
          <w:sz w:val="24"/>
          <w:szCs w:val="24"/>
        </w:rPr>
        <w:t xml:space="preserve"> </w:t>
      </w:r>
      <w:r w:rsidRPr="00CD6868">
        <w:rPr>
          <w:b/>
          <w:sz w:val="24"/>
          <w:szCs w:val="24"/>
        </w:rPr>
        <w:t>complexity, show the range of estimated hour burden, and explain the reasons for the variance.</w:t>
      </w:r>
      <w:r>
        <w:rPr>
          <w:b/>
          <w:sz w:val="24"/>
          <w:szCs w:val="24"/>
        </w:rPr>
        <w:t xml:space="preserve"> </w:t>
      </w:r>
      <w:r w:rsidRPr="00CD6868">
        <w:rPr>
          <w:b/>
          <w:sz w:val="24"/>
          <w:szCs w:val="24"/>
        </w:rPr>
        <w:t>Generally, estimates should not include burden hours for customary and usual business practices.</w:t>
      </w:r>
    </w:p>
    <w:p w:rsidR="00F32486" w:rsidRDefault="00F32486" w:rsidP="00F32486">
      <w:pPr>
        <w:rPr>
          <w:b/>
          <w:sz w:val="24"/>
          <w:szCs w:val="24"/>
        </w:rPr>
      </w:pPr>
    </w:p>
    <w:tbl>
      <w:tblPr>
        <w:tblStyle w:val="TableGrid"/>
        <w:tblW w:w="0" w:type="auto"/>
        <w:tblInd w:w="468" w:type="dxa"/>
        <w:tblLook w:val="04A0" w:firstRow="1" w:lastRow="0" w:firstColumn="1" w:lastColumn="0" w:noHBand="0" w:noVBand="1"/>
      </w:tblPr>
      <w:tblGrid>
        <w:gridCol w:w="4320"/>
        <w:gridCol w:w="4590"/>
      </w:tblGrid>
      <w:tr w:rsidR="00F32486" w:rsidTr="00F32486">
        <w:tc>
          <w:tcPr>
            <w:tcW w:w="8910" w:type="dxa"/>
            <w:gridSpan w:val="2"/>
            <w:shd w:val="clear" w:color="auto" w:fill="DBE5F1" w:themeFill="accent1" w:themeFillTint="33"/>
          </w:tcPr>
          <w:p w:rsidR="00F32486" w:rsidRDefault="00F32486" w:rsidP="002372F4">
            <w:pPr>
              <w:jc w:val="center"/>
              <w:rPr>
                <w:rFonts w:ascii="Times New Roman" w:hAnsi="Times New Roman" w:cs="Times New Roman"/>
                <w:b/>
                <w:sz w:val="24"/>
                <w:szCs w:val="24"/>
              </w:rPr>
            </w:pPr>
            <w:r>
              <w:rPr>
                <w:rFonts w:ascii="Times New Roman" w:hAnsi="Times New Roman" w:cs="Times New Roman"/>
                <w:b/>
                <w:sz w:val="24"/>
                <w:szCs w:val="24"/>
              </w:rPr>
              <w:t>Estimate of the Hour Burden of the Collection of Information</w:t>
            </w:r>
          </w:p>
        </w:tc>
      </w:tr>
      <w:tr w:rsidR="00F32486" w:rsidRPr="00401FB4" w:rsidTr="00F32486">
        <w:tc>
          <w:tcPr>
            <w:tcW w:w="4320" w:type="dxa"/>
          </w:tcPr>
          <w:p w:rsidR="00F32486" w:rsidRPr="00401FB4" w:rsidRDefault="00F32486" w:rsidP="002372F4">
            <w:pPr>
              <w:rPr>
                <w:rFonts w:ascii="Times New Roman" w:hAnsi="Times New Roman" w:cs="Times New Roman"/>
                <w:sz w:val="24"/>
                <w:szCs w:val="24"/>
              </w:rPr>
            </w:pPr>
            <w:r w:rsidRPr="00401FB4">
              <w:rPr>
                <w:rFonts w:ascii="Times New Roman" w:hAnsi="Times New Roman" w:cs="Times New Roman"/>
                <w:sz w:val="24"/>
                <w:szCs w:val="24"/>
              </w:rPr>
              <w:t>Number of respondents</w:t>
            </w:r>
          </w:p>
        </w:tc>
        <w:tc>
          <w:tcPr>
            <w:tcW w:w="4590" w:type="dxa"/>
          </w:tcPr>
          <w:p w:rsidR="00F32486" w:rsidRPr="00401FB4" w:rsidRDefault="00A61E50" w:rsidP="00D91243">
            <w:pPr>
              <w:rPr>
                <w:rFonts w:ascii="Times New Roman" w:hAnsi="Times New Roman" w:cs="Times New Roman"/>
                <w:sz w:val="24"/>
                <w:szCs w:val="24"/>
              </w:rPr>
            </w:pPr>
            <w:r>
              <w:rPr>
                <w:rFonts w:ascii="Times New Roman" w:hAnsi="Times New Roman" w:cs="Times New Roman"/>
                <w:sz w:val="24"/>
                <w:szCs w:val="24"/>
              </w:rPr>
              <w:t>3974</w:t>
            </w:r>
          </w:p>
        </w:tc>
      </w:tr>
      <w:tr w:rsidR="00F32486" w:rsidRPr="00401FB4" w:rsidTr="00F32486">
        <w:tc>
          <w:tcPr>
            <w:tcW w:w="4320" w:type="dxa"/>
          </w:tcPr>
          <w:p w:rsidR="00F32486" w:rsidRPr="00401FB4" w:rsidRDefault="00F32486" w:rsidP="002372F4">
            <w:pPr>
              <w:rPr>
                <w:rFonts w:ascii="Times New Roman" w:hAnsi="Times New Roman" w:cs="Times New Roman"/>
                <w:sz w:val="24"/>
                <w:szCs w:val="24"/>
              </w:rPr>
            </w:pPr>
            <w:r>
              <w:rPr>
                <w:rFonts w:ascii="Times New Roman" w:hAnsi="Times New Roman" w:cs="Times New Roman"/>
                <w:sz w:val="24"/>
                <w:szCs w:val="24"/>
              </w:rPr>
              <w:t>Frequency of Response</w:t>
            </w:r>
          </w:p>
        </w:tc>
        <w:tc>
          <w:tcPr>
            <w:tcW w:w="4590" w:type="dxa"/>
          </w:tcPr>
          <w:p w:rsidR="00F32486" w:rsidRPr="00401FB4" w:rsidRDefault="00F32486" w:rsidP="002372F4">
            <w:pPr>
              <w:rPr>
                <w:rFonts w:ascii="Times New Roman" w:hAnsi="Times New Roman" w:cs="Times New Roman"/>
                <w:sz w:val="24"/>
                <w:szCs w:val="24"/>
              </w:rPr>
            </w:pPr>
            <w:r>
              <w:rPr>
                <w:rFonts w:ascii="Times New Roman" w:hAnsi="Times New Roman" w:cs="Times New Roman"/>
                <w:sz w:val="24"/>
                <w:szCs w:val="24"/>
              </w:rPr>
              <w:t>Monthly</w:t>
            </w:r>
          </w:p>
        </w:tc>
      </w:tr>
      <w:tr w:rsidR="00F32486" w:rsidRPr="00401FB4" w:rsidTr="00F32486">
        <w:tc>
          <w:tcPr>
            <w:tcW w:w="4320" w:type="dxa"/>
          </w:tcPr>
          <w:p w:rsidR="00F32486" w:rsidRPr="00401FB4" w:rsidRDefault="00F32486" w:rsidP="002372F4">
            <w:pPr>
              <w:rPr>
                <w:rFonts w:ascii="Times New Roman" w:hAnsi="Times New Roman" w:cs="Times New Roman"/>
                <w:sz w:val="24"/>
                <w:szCs w:val="24"/>
              </w:rPr>
            </w:pPr>
            <w:r>
              <w:rPr>
                <w:rFonts w:ascii="Times New Roman" w:hAnsi="Times New Roman" w:cs="Times New Roman"/>
                <w:sz w:val="24"/>
                <w:szCs w:val="24"/>
              </w:rPr>
              <w:t>Annual Hour Burden</w:t>
            </w:r>
          </w:p>
        </w:tc>
        <w:tc>
          <w:tcPr>
            <w:tcW w:w="4590" w:type="dxa"/>
          </w:tcPr>
          <w:p w:rsidR="00F32486" w:rsidRPr="00401FB4" w:rsidRDefault="00F32486" w:rsidP="00404B4A">
            <w:pPr>
              <w:rPr>
                <w:rFonts w:ascii="Times New Roman" w:hAnsi="Times New Roman" w:cs="Times New Roman"/>
                <w:sz w:val="24"/>
                <w:szCs w:val="24"/>
              </w:rPr>
            </w:pPr>
            <w:r>
              <w:rPr>
                <w:rFonts w:ascii="Times New Roman" w:hAnsi="Times New Roman" w:cs="Times New Roman"/>
                <w:sz w:val="24"/>
                <w:szCs w:val="24"/>
              </w:rPr>
              <w:t>2</w:t>
            </w:r>
            <w:r w:rsidR="00763D08">
              <w:rPr>
                <w:rFonts w:ascii="Times New Roman" w:hAnsi="Times New Roman" w:cs="Times New Roman"/>
                <w:sz w:val="24"/>
                <w:szCs w:val="24"/>
              </w:rPr>
              <w:t>3,26</w:t>
            </w:r>
            <w:r w:rsidR="00404B4A">
              <w:rPr>
                <w:rFonts w:ascii="Times New Roman" w:hAnsi="Times New Roman" w:cs="Times New Roman"/>
                <w:sz w:val="24"/>
                <w:szCs w:val="24"/>
              </w:rPr>
              <w:t>8</w:t>
            </w:r>
          </w:p>
        </w:tc>
      </w:tr>
      <w:tr w:rsidR="00F32486" w:rsidRPr="00401FB4" w:rsidTr="00F32486">
        <w:tc>
          <w:tcPr>
            <w:tcW w:w="4320" w:type="dxa"/>
          </w:tcPr>
          <w:p w:rsidR="00F32486" w:rsidRDefault="00F32486" w:rsidP="002372F4">
            <w:pPr>
              <w:rPr>
                <w:rFonts w:ascii="Times New Roman" w:hAnsi="Times New Roman" w:cs="Times New Roman"/>
                <w:sz w:val="24"/>
                <w:szCs w:val="24"/>
              </w:rPr>
            </w:pPr>
            <w:r>
              <w:rPr>
                <w:rFonts w:ascii="Times New Roman" w:hAnsi="Times New Roman" w:cs="Times New Roman"/>
                <w:sz w:val="24"/>
                <w:szCs w:val="24"/>
              </w:rPr>
              <w:t>Estimated Annual Cost to Respondents</w:t>
            </w:r>
          </w:p>
        </w:tc>
        <w:tc>
          <w:tcPr>
            <w:tcW w:w="4590" w:type="dxa"/>
          </w:tcPr>
          <w:p w:rsidR="00F32486" w:rsidRDefault="00F32486" w:rsidP="0005017E">
            <w:pPr>
              <w:rPr>
                <w:rFonts w:ascii="Times New Roman" w:hAnsi="Times New Roman" w:cs="Times New Roman"/>
                <w:sz w:val="24"/>
                <w:szCs w:val="24"/>
              </w:rPr>
            </w:pPr>
            <w:r>
              <w:rPr>
                <w:rFonts w:ascii="Times New Roman" w:hAnsi="Times New Roman" w:cs="Times New Roman"/>
                <w:sz w:val="24"/>
                <w:szCs w:val="24"/>
              </w:rPr>
              <w:t>$</w:t>
            </w:r>
            <w:r w:rsidR="00763D08">
              <w:rPr>
                <w:rFonts w:ascii="Times New Roman" w:hAnsi="Times New Roman" w:cs="Times New Roman"/>
                <w:sz w:val="24"/>
                <w:szCs w:val="24"/>
              </w:rPr>
              <w:t>461,</w:t>
            </w:r>
            <w:r w:rsidR="001E2815">
              <w:rPr>
                <w:rFonts w:ascii="Times New Roman" w:hAnsi="Times New Roman" w:cs="Times New Roman"/>
                <w:sz w:val="24"/>
                <w:szCs w:val="24"/>
              </w:rPr>
              <w:t>4</w:t>
            </w:r>
            <w:r w:rsidR="0005017E">
              <w:rPr>
                <w:rFonts w:ascii="Times New Roman" w:hAnsi="Times New Roman" w:cs="Times New Roman"/>
                <w:sz w:val="24"/>
                <w:szCs w:val="24"/>
              </w:rPr>
              <w:t>24</w:t>
            </w:r>
          </w:p>
        </w:tc>
      </w:tr>
    </w:tbl>
    <w:p w:rsidR="00F32486" w:rsidRDefault="00F32486" w:rsidP="00F32486">
      <w:pPr>
        <w:rPr>
          <w:b/>
          <w:sz w:val="24"/>
          <w:szCs w:val="24"/>
        </w:rPr>
      </w:pPr>
    </w:p>
    <w:p w:rsidR="00AC70D0" w:rsidRDefault="00F32486" w:rsidP="00F32486">
      <w:pPr>
        <w:rPr>
          <w:sz w:val="24"/>
          <w:szCs w:val="24"/>
        </w:rPr>
      </w:pPr>
      <w:r>
        <w:rPr>
          <w:sz w:val="24"/>
          <w:szCs w:val="24"/>
        </w:rPr>
        <w:t xml:space="preserve">Families end participation in HUD rental assistance programs each month.  As a part of </w:t>
      </w:r>
      <w:r w:rsidR="006F665C">
        <w:rPr>
          <w:sz w:val="24"/>
          <w:szCs w:val="24"/>
        </w:rPr>
        <w:t>the</w:t>
      </w:r>
      <w:r>
        <w:rPr>
          <w:sz w:val="24"/>
          <w:szCs w:val="24"/>
        </w:rPr>
        <w:t xml:space="preserve"> PHA</w:t>
      </w:r>
      <w:r w:rsidR="006F665C">
        <w:rPr>
          <w:sz w:val="24"/>
          <w:szCs w:val="24"/>
        </w:rPr>
        <w:t>’s</w:t>
      </w:r>
      <w:r>
        <w:rPr>
          <w:sz w:val="24"/>
          <w:szCs w:val="24"/>
        </w:rPr>
        <w:t xml:space="preserve"> monthly occupancy processes, </w:t>
      </w:r>
      <w:r w:rsidR="006F665C">
        <w:rPr>
          <w:sz w:val="24"/>
          <w:szCs w:val="24"/>
        </w:rPr>
        <w:t>PHAs enter</w:t>
      </w:r>
      <w:r w:rsidR="00F25A21">
        <w:rPr>
          <w:sz w:val="24"/>
          <w:szCs w:val="24"/>
        </w:rPr>
        <w:t>,</w:t>
      </w:r>
      <w:r w:rsidR="006F665C">
        <w:rPr>
          <w:sz w:val="24"/>
          <w:szCs w:val="24"/>
        </w:rPr>
        <w:t xml:space="preserve"> as applicable,</w:t>
      </w:r>
      <w:r w:rsidR="00F25A21">
        <w:rPr>
          <w:sz w:val="24"/>
          <w:szCs w:val="24"/>
        </w:rPr>
        <w:t xml:space="preserve"> debts owned and termination </w:t>
      </w:r>
      <w:r w:rsidR="006F665C">
        <w:rPr>
          <w:sz w:val="24"/>
          <w:szCs w:val="24"/>
        </w:rPr>
        <w:t xml:space="preserve">information in the </w:t>
      </w:r>
      <w:r w:rsidR="00F25A21">
        <w:rPr>
          <w:sz w:val="24"/>
          <w:szCs w:val="24"/>
        </w:rPr>
        <w:t xml:space="preserve">EIV </w:t>
      </w:r>
      <w:r w:rsidR="006F665C">
        <w:rPr>
          <w:sz w:val="24"/>
          <w:szCs w:val="24"/>
        </w:rPr>
        <w:t>Debts Owed Module</w:t>
      </w:r>
      <w:r w:rsidR="003D4497">
        <w:rPr>
          <w:sz w:val="24"/>
          <w:szCs w:val="24"/>
        </w:rPr>
        <w:t>, as described in Question 1 above</w:t>
      </w:r>
      <w:r w:rsidR="006F665C">
        <w:rPr>
          <w:sz w:val="24"/>
          <w:szCs w:val="24"/>
        </w:rPr>
        <w:t xml:space="preserve">.   </w:t>
      </w:r>
    </w:p>
    <w:p w:rsidR="00AC70D0" w:rsidRDefault="00AC70D0" w:rsidP="00F32486">
      <w:pPr>
        <w:rPr>
          <w:sz w:val="24"/>
          <w:szCs w:val="24"/>
        </w:rPr>
      </w:pPr>
    </w:p>
    <w:p w:rsidR="00F25A21" w:rsidRDefault="00F25A21" w:rsidP="00F32486">
      <w:pPr>
        <w:rPr>
          <w:sz w:val="24"/>
          <w:szCs w:val="24"/>
        </w:rPr>
      </w:pPr>
    </w:p>
    <w:p w:rsidR="006F665C" w:rsidRDefault="00AC70D0" w:rsidP="00F32486">
      <w:pPr>
        <w:rPr>
          <w:sz w:val="24"/>
          <w:szCs w:val="24"/>
        </w:rPr>
      </w:pPr>
      <w:r>
        <w:rPr>
          <w:sz w:val="24"/>
          <w:szCs w:val="24"/>
        </w:rPr>
        <w:t>T</w:t>
      </w:r>
      <w:r w:rsidR="006F665C">
        <w:rPr>
          <w:sz w:val="24"/>
          <w:szCs w:val="24"/>
        </w:rPr>
        <w:t>he total number of annual responses was determined as follows:</w:t>
      </w:r>
    </w:p>
    <w:p w:rsidR="00AC70D0" w:rsidRDefault="00AC70D0">
      <w:pPr>
        <w:overflowPunct/>
        <w:autoSpaceDE/>
        <w:autoSpaceDN/>
        <w:adjustRightInd/>
        <w:textAlignment w:val="auto"/>
        <w:rPr>
          <w:sz w:val="24"/>
          <w:szCs w:val="24"/>
        </w:rPr>
      </w:pPr>
    </w:p>
    <w:tbl>
      <w:tblPr>
        <w:tblStyle w:val="TableGrid"/>
        <w:tblW w:w="0" w:type="auto"/>
        <w:tblLook w:val="04A0" w:firstRow="1" w:lastRow="0" w:firstColumn="1" w:lastColumn="0" w:noHBand="0" w:noVBand="1"/>
      </w:tblPr>
      <w:tblGrid>
        <w:gridCol w:w="2718"/>
        <w:gridCol w:w="450"/>
        <w:gridCol w:w="2922"/>
        <w:gridCol w:w="1488"/>
        <w:gridCol w:w="2574"/>
      </w:tblGrid>
      <w:tr w:rsidR="00F25A21" w:rsidTr="00F25A21">
        <w:tc>
          <w:tcPr>
            <w:tcW w:w="2718" w:type="dxa"/>
          </w:tcPr>
          <w:p w:rsidR="00F25A21" w:rsidRPr="00F25A21" w:rsidRDefault="00F25A21">
            <w:pPr>
              <w:overflowPunct/>
              <w:autoSpaceDE/>
              <w:autoSpaceDN/>
              <w:adjustRightInd/>
              <w:textAlignment w:val="auto"/>
              <w:rPr>
                <w:b/>
                <w:sz w:val="24"/>
                <w:szCs w:val="24"/>
              </w:rPr>
            </w:pPr>
            <w:r w:rsidRPr="00F25A21">
              <w:rPr>
                <w:b/>
                <w:sz w:val="24"/>
                <w:szCs w:val="24"/>
              </w:rPr>
              <w:lastRenderedPageBreak/>
              <w:t>Number of Respondents</w:t>
            </w:r>
          </w:p>
        </w:tc>
        <w:tc>
          <w:tcPr>
            <w:tcW w:w="450" w:type="dxa"/>
          </w:tcPr>
          <w:p w:rsidR="00F25A21" w:rsidRDefault="00F25A21" w:rsidP="00F25A21">
            <w:pPr>
              <w:overflowPunct/>
              <w:autoSpaceDE/>
              <w:autoSpaceDN/>
              <w:adjustRightInd/>
              <w:jc w:val="center"/>
              <w:textAlignment w:val="auto"/>
              <w:rPr>
                <w:b/>
                <w:sz w:val="24"/>
                <w:szCs w:val="24"/>
              </w:rPr>
            </w:pPr>
            <w:r>
              <w:rPr>
                <w:b/>
                <w:sz w:val="24"/>
                <w:szCs w:val="24"/>
              </w:rPr>
              <w:t>X</w:t>
            </w:r>
          </w:p>
          <w:p w:rsidR="00F25A21" w:rsidRPr="00F25A21" w:rsidRDefault="00F25A21">
            <w:pPr>
              <w:overflowPunct/>
              <w:autoSpaceDE/>
              <w:autoSpaceDN/>
              <w:adjustRightInd/>
              <w:textAlignment w:val="auto"/>
              <w:rPr>
                <w:b/>
                <w:sz w:val="24"/>
                <w:szCs w:val="24"/>
              </w:rPr>
            </w:pPr>
          </w:p>
        </w:tc>
        <w:tc>
          <w:tcPr>
            <w:tcW w:w="2922" w:type="dxa"/>
          </w:tcPr>
          <w:p w:rsidR="00F25A21" w:rsidRPr="00F25A21" w:rsidRDefault="00F25A21">
            <w:pPr>
              <w:overflowPunct/>
              <w:autoSpaceDE/>
              <w:autoSpaceDN/>
              <w:adjustRightInd/>
              <w:textAlignment w:val="auto"/>
              <w:rPr>
                <w:b/>
                <w:sz w:val="24"/>
                <w:szCs w:val="24"/>
              </w:rPr>
            </w:pPr>
            <w:r w:rsidRPr="00F25A21">
              <w:rPr>
                <w:b/>
                <w:sz w:val="24"/>
                <w:szCs w:val="24"/>
              </w:rPr>
              <w:t>Frequency of Response</w:t>
            </w:r>
            <w:r>
              <w:rPr>
                <w:b/>
                <w:sz w:val="24"/>
                <w:szCs w:val="24"/>
              </w:rPr>
              <w:t>s</w:t>
            </w:r>
          </w:p>
          <w:p w:rsidR="00F25A21" w:rsidRPr="00F25A21" w:rsidRDefault="00F25A21">
            <w:pPr>
              <w:overflowPunct/>
              <w:autoSpaceDE/>
              <w:autoSpaceDN/>
              <w:adjustRightInd/>
              <w:textAlignment w:val="auto"/>
              <w:rPr>
                <w:b/>
                <w:sz w:val="24"/>
                <w:szCs w:val="24"/>
              </w:rPr>
            </w:pPr>
            <w:r w:rsidRPr="00F25A21">
              <w:rPr>
                <w:b/>
                <w:sz w:val="24"/>
                <w:szCs w:val="24"/>
              </w:rPr>
              <w:t>(Monthly)</w:t>
            </w:r>
          </w:p>
        </w:tc>
        <w:tc>
          <w:tcPr>
            <w:tcW w:w="1488" w:type="dxa"/>
          </w:tcPr>
          <w:p w:rsidR="00F25A21" w:rsidRPr="00F25A21" w:rsidRDefault="00F25A21" w:rsidP="00F25A21">
            <w:pPr>
              <w:overflowPunct/>
              <w:autoSpaceDE/>
              <w:autoSpaceDN/>
              <w:adjustRightInd/>
              <w:jc w:val="center"/>
              <w:textAlignment w:val="auto"/>
              <w:rPr>
                <w:b/>
                <w:sz w:val="24"/>
                <w:szCs w:val="24"/>
              </w:rPr>
            </w:pPr>
            <w:r>
              <w:rPr>
                <w:b/>
                <w:sz w:val="24"/>
                <w:szCs w:val="24"/>
              </w:rPr>
              <w:t>=</w:t>
            </w:r>
          </w:p>
        </w:tc>
        <w:tc>
          <w:tcPr>
            <w:tcW w:w="2574" w:type="dxa"/>
          </w:tcPr>
          <w:p w:rsidR="00F25A21" w:rsidRPr="00F25A21" w:rsidRDefault="00F25A21">
            <w:pPr>
              <w:overflowPunct/>
              <w:autoSpaceDE/>
              <w:autoSpaceDN/>
              <w:adjustRightInd/>
              <w:textAlignment w:val="auto"/>
              <w:rPr>
                <w:b/>
                <w:sz w:val="24"/>
                <w:szCs w:val="24"/>
              </w:rPr>
            </w:pPr>
            <w:r>
              <w:rPr>
                <w:b/>
                <w:sz w:val="24"/>
                <w:szCs w:val="24"/>
              </w:rPr>
              <w:t xml:space="preserve">Annual </w:t>
            </w:r>
            <w:r w:rsidRPr="00F25A21">
              <w:rPr>
                <w:b/>
                <w:sz w:val="24"/>
                <w:szCs w:val="24"/>
              </w:rPr>
              <w:t>Number of Responses</w:t>
            </w:r>
          </w:p>
        </w:tc>
      </w:tr>
      <w:tr w:rsidR="00F25A21" w:rsidTr="00F25A21">
        <w:tc>
          <w:tcPr>
            <w:tcW w:w="2718" w:type="dxa"/>
          </w:tcPr>
          <w:p w:rsidR="00F25A21" w:rsidRDefault="00F25A21" w:rsidP="00F25A21">
            <w:pPr>
              <w:overflowPunct/>
              <w:autoSpaceDE/>
              <w:autoSpaceDN/>
              <w:adjustRightInd/>
              <w:jc w:val="center"/>
              <w:textAlignment w:val="auto"/>
              <w:rPr>
                <w:sz w:val="24"/>
                <w:szCs w:val="24"/>
              </w:rPr>
            </w:pPr>
            <w:r>
              <w:rPr>
                <w:sz w:val="24"/>
                <w:szCs w:val="24"/>
              </w:rPr>
              <w:t>3974*</w:t>
            </w:r>
          </w:p>
        </w:tc>
        <w:tc>
          <w:tcPr>
            <w:tcW w:w="450" w:type="dxa"/>
          </w:tcPr>
          <w:p w:rsidR="00F25A21" w:rsidRDefault="00F25A21">
            <w:pPr>
              <w:overflowPunct/>
              <w:autoSpaceDE/>
              <w:autoSpaceDN/>
              <w:adjustRightInd/>
              <w:textAlignment w:val="auto"/>
              <w:rPr>
                <w:sz w:val="24"/>
                <w:szCs w:val="24"/>
              </w:rPr>
            </w:pPr>
          </w:p>
        </w:tc>
        <w:tc>
          <w:tcPr>
            <w:tcW w:w="2922" w:type="dxa"/>
          </w:tcPr>
          <w:p w:rsidR="00F25A21" w:rsidRDefault="00F25A21" w:rsidP="00F25A21">
            <w:pPr>
              <w:overflowPunct/>
              <w:autoSpaceDE/>
              <w:autoSpaceDN/>
              <w:adjustRightInd/>
              <w:jc w:val="center"/>
              <w:textAlignment w:val="auto"/>
              <w:rPr>
                <w:sz w:val="24"/>
                <w:szCs w:val="24"/>
              </w:rPr>
            </w:pPr>
            <w:r>
              <w:rPr>
                <w:sz w:val="24"/>
                <w:szCs w:val="24"/>
              </w:rPr>
              <w:t>12</w:t>
            </w:r>
          </w:p>
        </w:tc>
        <w:tc>
          <w:tcPr>
            <w:tcW w:w="1488" w:type="dxa"/>
          </w:tcPr>
          <w:p w:rsidR="00F25A21" w:rsidRDefault="00F25A21">
            <w:pPr>
              <w:overflowPunct/>
              <w:autoSpaceDE/>
              <w:autoSpaceDN/>
              <w:adjustRightInd/>
              <w:textAlignment w:val="auto"/>
              <w:rPr>
                <w:sz w:val="24"/>
                <w:szCs w:val="24"/>
              </w:rPr>
            </w:pPr>
          </w:p>
        </w:tc>
        <w:tc>
          <w:tcPr>
            <w:tcW w:w="2574" w:type="dxa"/>
          </w:tcPr>
          <w:p w:rsidR="00F25A21" w:rsidRDefault="00F25A21" w:rsidP="00F25A21">
            <w:pPr>
              <w:overflowPunct/>
              <w:autoSpaceDE/>
              <w:autoSpaceDN/>
              <w:adjustRightInd/>
              <w:jc w:val="center"/>
              <w:textAlignment w:val="auto"/>
              <w:rPr>
                <w:sz w:val="24"/>
                <w:szCs w:val="24"/>
              </w:rPr>
            </w:pPr>
            <w:r>
              <w:rPr>
                <w:sz w:val="24"/>
                <w:szCs w:val="24"/>
              </w:rPr>
              <w:t>47,688</w:t>
            </w:r>
          </w:p>
        </w:tc>
      </w:tr>
    </w:tbl>
    <w:p w:rsidR="00F25A21" w:rsidRDefault="00F25A21">
      <w:pPr>
        <w:overflowPunct/>
        <w:autoSpaceDE/>
        <w:autoSpaceDN/>
        <w:adjustRightInd/>
        <w:textAlignment w:val="auto"/>
        <w:rPr>
          <w:sz w:val="24"/>
          <w:szCs w:val="24"/>
        </w:rPr>
      </w:pPr>
    </w:p>
    <w:p w:rsidR="00AC70D0" w:rsidRPr="00F25A21" w:rsidRDefault="00F25A21" w:rsidP="00F25A21">
      <w:pPr>
        <w:rPr>
          <w:sz w:val="24"/>
          <w:szCs w:val="24"/>
        </w:rPr>
      </w:pPr>
      <w:r>
        <w:rPr>
          <w:sz w:val="24"/>
          <w:szCs w:val="24"/>
        </w:rPr>
        <w:t>*</w:t>
      </w:r>
      <w:r w:rsidR="00AC70D0" w:rsidRPr="00F25A21">
        <w:rPr>
          <w:sz w:val="24"/>
          <w:szCs w:val="24"/>
        </w:rPr>
        <w:t>The number of respondents is from the list of active PHAs in HUD’s Public and Indian Housing Information Center (PIC)</w:t>
      </w:r>
      <w:r>
        <w:rPr>
          <w:sz w:val="24"/>
          <w:szCs w:val="24"/>
        </w:rPr>
        <w:t xml:space="preserve"> system</w:t>
      </w:r>
      <w:r w:rsidR="00AC70D0" w:rsidRPr="00F25A21">
        <w:rPr>
          <w:sz w:val="24"/>
          <w:szCs w:val="24"/>
        </w:rPr>
        <w:t xml:space="preserve">.  </w:t>
      </w:r>
    </w:p>
    <w:p w:rsidR="00AC70D0" w:rsidRDefault="00AC70D0" w:rsidP="00AC70D0">
      <w:pPr>
        <w:rPr>
          <w:sz w:val="24"/>
          <w:szCs w:val="24"/>
        </w:rPr>
      </w:pPr>
    </w:p>
    <w:p w:rsidR="00F32486" w:rsidRDefault="00F32486" w:rsidP="00F32486">
      <w:pPr>
        <w:rPr>
          <w:sz w:val="24"/>
          <w:szCs w:val="24"/>
        </w:rPr>
      </w:pPr>
      <w:r>
        <w:rPr>
          <w:sz w:val="24"/>
          <w:szCs w:val="24"/>
        </w:rPr>
        <w:t xml:space="preserve">The annual burden </w:t>
      </w:r>
      <w:r w:rsidR="00AC70D0">
        <w:rPr>
          <w:sz w:val="24"/>
          <w:szCs w:val="24"/>
        </w:rPr>
        <w:t>hours were d</w:t>
      </w:r>
      <w:r w:rsidR="0053139A">
        <w:rPr>
          <w:sz w:val="24"/>
          <w:szCs w:val="24"/>
        </w:rPr>
        <w:t>etermined as follows:</w:t>
      </w:r>
      <w:r>
        <w:rPr>
          <w:sz w:val="24"/>
          <w:szCs w:val="24"/>
        </w:rPr>
        <w:t xml:space="preserve"> </w:t>
      </w:r>
    </w:p>
    <w:p w:rsidR="00F32486" w:rsidRDefault="00F32486" w:rsidP="00F32486">
      <w:pPr>
        <w:rPr>
          <w:sz w:val="24"/>
          <w:szCs w:val="24"/>
        </w:rPr>
      </w:pPr>
    </w:p>
    <w:p w:rsidR="00F32486" w:rsidRDefault="00F32486" w:rsidP="00F32486">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401FB4">
        <w:rPr>
          <w:rFonts w:ascii="Times New Roman" w:hAnsi="Times New Roman" w:cs="Times New Roman"/>
          <w:sz w:val="24"/>
          <w:szCs w:val="24"/>
        </w:rPr>
        <w:t xml:space="preserve">he number of families that ended participation in all PIH programs </w:t>
      </w:r>
      <w:r w:rsidR="00AC70D0">
        <w:rPr>
          <w:rFonts w:ascii="Times New Roman" w:hAnsi="Times New Roman" w:cs="Times New Roman"/>
          <w:sz w:val="24"/>
          <w:szCs w:val="24"/>
        </w:rPr>
        <w:t xml:space="preserve">from </w:t>
      </w:r>
      <w:r w:rsidR="001E2815">
        <w:rPr>
          <w:rFonts w:ascii="Times New Roman" w:hAnsi="Times New Roman" w:cs="Times New Roman"/>
          <w:sz w:val="24"/>
          <w:szCs w:val="24"/>
        </w:rPr>
        <w:t xml:space="preserve">February </w:t>
      </w:r>
      <w:r w:rsidR="00235C06">
        <w:rPr>
          <w:rFonts w:ascii="Times New Roman" w:hAnsi="Times New Roman" w:cs="Times New Roman"/>
          <w:sz w:val="24"/>
          <w:szCs w:val="24"/>
        </w:rPr>
        <w:t xml:space="preserve">1, 2012 </w:t>
      </w:r>
      <w:r w:rsidRPr="00401FB4">
        <w:rPr>
          <w:rFonts w:ascii="Times New Roman" w:hAnsi="Times New Roman" w:cs="Times New Roman"/>
          <w:sz w:val="24"/>
          <w:szCs w:val="24"/>
        </w:rPr>
        <w:t xml:space="preserve">through </w:t>
      </w:r>
      <w:r w:rsidR="001E2815">
        <w:rPr>
          <w:rFonts w:ascii="Times New Roman" w:hAnsi="Times New Roman" w:cs="Times New Roman"/>
          <w:sz w:val="24"/>
          <w:szCs w:val="24"/>
        </w:rPr>
        <w:t xml:space="preserve">January </w:t>
      </w:r>
      <w:r w:rsidR="00235C06">
        <w:rPr>
          <w:rFonts w:ascii="Times New Roman" w:hAnsi="Times New Roman" w:cs="Times New Roman"/>
          <w:sz w:val="24"/>
          <w:szCs w:val="24"/>
        </w:rPr>
        <w:t>31, 201</w:t>
      </w:r>
      <w:r w:rsidR="001E2815">
        <w:rPr>
          <w:rFonts w:ascii="Times New Roman" w:hAnsi="Times New Roman" w:cs="Times New Roman"/>
          <w:sz w:val="24"/>
          <w:szCs w:val="24"/>
        </w:rPr>
        <w:t>3</w:t>
      </w:r>
      <w:r w:rsidR="00235C06">
        <w:rPr>
          <w:rFonts w:ascii="Times New Roman" w:hAnsi="Times New Roman" w:cs="Times New Roman"/>
          <w:sz w:val="24"/>
          <w:szCs w:val="24"/>
        </w:rPr>
        <w:t xml:space="preserve">, which equals </w:t>
      </w:r>
      <w:r w:rsidR="001E2815">
        <w:rPr>
          <w:rFonts w:ascii="Times New Roman" w:hAnsi="Times New Roman" w:cs="Times New Roman"/>
          <w:sz w:val="24"/>
          <w:szCs w:val="24"/>
        </w:rPr>
        <w:t>279,334.</w:t>
      </w:r>
      <w:r>
        <w:rPr>
          <w:rFonts w:ascii="Times New Roman" w:hAnsi="Times New Roman" w:cs="Times New Roman"/>
          <w:sz w:val="24"/>
          <w:szCs w:val="24"/>
        </w:rPr>
        <w:t xml:space="preserve">  This </w:t>
      </w:r>
      <w:r w:rsidR="00AC70D0">
        <w:rPr>
          <w:rFonts w:ascii="Times New Roman" w:hAnsi="Times New Roman" w:cs="Times New Roman"/>
          <w:sz w:val="24"/>
          <w:szCs w:val="24"/>
        </w:rPr>
        <w:t xml:space="preserve">number </w:t>
      </w:r>
      <w:r>
        <w:rPr>
          <w:rFonts w:ascii="Times New Roman" w:hAnsi="Times New Roman" w:cs="Times New Roman"/>
          <w:sz w:val="24"/>
          <w:szCs w:val="24"/>
        </w:rPr>
        <w:t>was derived from</w:t>
      </w:r>
      <w:r w:rsidR="001B761C">
        <w:rPr>
          <w:rFonts w:ascii="Times New Roman" w:hAnsi="Times New Roman" w:cs="Times New Roman"/>
          <w:sz w:val="24"/>
          <w:szCs w:val="24"/>
        </w:rPr>
        <w:t xml:space="preserve"> the</w:t>
      </w:r>
      <w:r>
        <w:rPr>
          <w:rFonts w:ascii="Times New Roman" w:hAnsi="Times New Roman" w:cs="Times New Roman"/>
          <w:sz w:val="24"/>
          <w:szCs w:val="24"/>
        </w:rPr>
        <w:t xml:space="preserve"> PIC </w:t>
      </w:r>
      <w:r w:rsidR="0012497A">
        <w:rPr>
          <w:rFonts w:ascii="Times New Roman" w:hAnsi="Times New Roman" w:cs="Times New Roman"/>
          <w:sz w:val="24"/>
          <w:szCs w:val="24"/>
        </w:rPr>
        <w:t>EOP</w:t>
      </w:r>
      <w:r>
        <w:rPr>
          <w:rFonts w:ascii="Times New Roman" w:hAnsi="Times New Roman" w:cs="Times New Roman"/>
          <w:sz w:val="24"/>
          <w:szCs w:val="24"/>
        </w:rPr>
        <w:t xml:space="preserve"> </w:t>
      </w:r>
      <w:r w:rsidR="001B761C">
        <w:rPr>
          <w:rFonts w:ascii="Times New Roman" w:hAnsi="Times New Roman" w:cs="Times New Roman"/>
          <w:sz w:val="24"/>
          <w:szCs w:val="24"/>
        </w:rPr>
        <w:t xml:space="preserve">information </w:t>
      </w:r>
      <w:r>
        <w:rPr>
          <w:rFonts w:ascii="Times New Roman" w:hAnsi="Times New Roman" w:cs="Times New Roman"/>
          <w:sz w:val="24"/>
          <w:szCs w:val="24"/>
        </w:rPr>
        <w:t xml:space="preserve">as of </w:t>
      </w:r>
      <w:r w:rsidR="001E2815">
        <w:rPr>
          <w:rFonts w:ascii="Times New Roman" w:hAnsi="Times New Roman" w:cs="Times New Roman"/>
          <w:sz w:val="24"/>
          <w:szCs w:val="24"/>
        </w:rPr>
        <w:t>January 31, 2013</w:t>
      </w:r>
      <w:r w:rsidR="00235C06">
        <w:rPr>
          <w:rFonts w:ascii="Times New Roman" w:hAnsi="Times New Roman" w:cs="Times New Roman"/>
          <w:sz w:val="24"/>
          <w:szCs w:val="24"/>
        </w:rPr>
        <w:t xml:space="preserve">.  </w:t>
      </w:r>
    </w:p>
    <w:p w:rsidR="00F32486" w:rsidRDefault="00F32486" w:rsidP="00F32486">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amount of time </w:t>
      </w:r>
      <w:r w:rsidR="00AC70D0">
        <w:rPr>
          <w:rFonts w:ascii="Times New Roman" w:hAnsi="Times New Roman" w:cs="Times New Roman"/>
          <w:sz w:val="24"/>
          <w:szCs w:val="24"/>
        </w:rPr>
        <w:t>f</w:t>
      </w:r>
      <w:r>
        <w:rPr>
          <w:rFonts w:ascii="Times New Roman" w:hAnsi="Times New Roman" w:cs="Times New Roman"/>
          <w:sz w:val="24"/>
          <w:szCs w:val="24"/>
        </w:rPr>
        <w:t xml:space="preserve">or the PHA to retrieve information from tenant file, access EIV system, and enter </w:t>
      </w:r>
      <w:r w:rsidR="00AC70D0">
        <w:rPr>
          <w:rFonts w:ascii="Times New Roman" w:hAnsi="Times New Roman" w:cs="Times New Roman"/>
          <w:sz w:val="24"/>
          <w:szCs w:val="24"/>
        </w:rPr>
        <w:t>i</w:t>
      </w:r>
      <w:r>
        <w:rPr>
          <w:rFonts w:ascii="Times New Roman" w:hAnsi="Times New Roman" w:cs="Times New Roman"/>
          <w:sz w:val="24"/>
          <w:szCs w:val="24"/>
        </w:rPr>
        <w:t>nformation into EIV, which equals 0.0833 hours (or 5 minutes per family).</w:t>
      </w:r>
    </w:p>
    <w:p w:rsidR="00F32486" w:rsidRDefault="00F32486" w:rsidP="00F32486">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product of items</w:t>
      </w:r>
      <w:r w:rsidR="00811EBB">
        <w:rPr>
          <w:rFonts w:ascii="Times New Roman" w:hAnsi="Times New Roman" w:cs="Times New Roman"/>
          <w:sz w:val="24"/>
          <w:szCs w:val="24"/>
        </w:rPr>
        <w:t xml:space="preserve"> 1 and 2, abo</w:t>
      </w:r>
      <w:r w:rsidR="001F32AE">
        <w:rPr>
          <w:rFonts w:ascii="Times New Roman" w:hAnsi="Times New Roman" w:cs="Times New Roman"/>
          <w:sz w:val="24"/>
          <w:szCs w:val="24"/>
        </w:rPr>
        <w:t xml:space="preserve">ve, which equals </w:t>
      </w:r>
      <w:r w:rsidR="001E2815">
        <w:rPr>
          <w:rFonts w:ascii="Times New Roman" w:hAnsi="Times New Roman" w:cs="Times New Roman"/>
          <w:sz w:val="24"/>
          <w:szCs w:val="24"/>
        </w:rPr>
        <w:t>23,26</w:t>
      </w:r>
      <w:r w:rsidR="00A61E50">
        <w:rPr>
          <w:rFonts w:ascii="Times New Roman" w:hAnsi="Times New Roman" w:cs="Times New Roman"/>
          <w:sz w:val="24"/>
          <w:szCs w:val="24"/>
        </w:rPr>
        <w:t>8</w:t>
      </w:r>
      <w:r w:rsidR="001B07A3">
        <w:rPr>
          <w:rFonts w:ascii="Times New Roman" w:hAnsi="Times New Roman" w:cs="Times New Roman"/>
          <w:sz w:val="24"/>
          <w:szCs w:val="24"/>
        </w:rPr>
        <w:t xml:space="preserve"> hours</w:t>
      </w:r>
      <w:r w:rsidR="001E2815">
        <w:rPr>
          <w:rFonts w:ascii="Times New Roman" w:hAnsi="Times New Roman" w:cs="Times New Roman"/>
          <w:sz w:val="24"/>
          <w:szCs w:val="24"/>
        </w:rPr>
        <w:t>.</w:t>
      </w:r>
    </w:p>
    <w:p w:rsidR="00F32486" w:rsidRDefault="00F32486" w:rsidP="00F32486">
      <w:pPr>
        <w:rPr>
          <w:sz w:val="24"/>
          <w:szCs w:val="24"/>
        </w:rPr>
      </w:pPr>
    </w:p>
    <w:p w:rsidR="00F32486" w:rsidRPr="0096671B" w:rsidRDefault="00F32486" w:rsidP="00F32486">
      <w:pPr>
        <w:rPr>
          <w:sz w:val="24"/>
          <w:szCs w:val="24"/>
        </w:rPr>
      </w:pPr>
      <w:r>
        <w:rPr>
          <w:sz w:val="24"/>
          <w:szCs w:val="24"/>
        </w:rPr>
        <w:t>The estimated annual cost to respondents is determined by multiplying t</w:t>
      </w:r>
      <w:r w:rsidR="00514698">
        <w:rPr>
          <w:sz w:val="24"/>
          <w:szCs w:val="24"/>
        </w:rPr>
        <w:t>he annual hour burden by $19.83</w:t>
      </w:r>
      <w:r>
        <w:rPr>
          <w:sz w:val="24"/>
          <w:szCs w:val="24"/>
        </w:rPr>
        <w:t xml:space="preserve"> per hour, which is the </w:t>
      </w:r>
      <w:r w:rsidR="001E2815">
        <w:rPr>
          <w:sz w:val="24"/>
          <w:szCs w:val="24"/>
        </w:rPr>
        <w:t xml:space="preserve">2011, </w:t>
      </w:r>
      <w:r>
        <w:rPr>
          <w:sz w:val="24"/>
          <w:szCs w:val="24"/>
        </w:rPr>
        <w:t>median rate of pay for community and social service occupations, according to the Department of Labor’s Bureau of Labor Statistics.  By multiplying the a</w:t>
      </w:r>
      <w:r w:rsidR="00514698">
        <w:rPr>
          <w:sz w:val="24"/>
          <w:szCs w:val="24"/>
        </w:rPr>
        <w:t>nnual hour burden rate of $19.83</w:t>
      </w:r>
      <w:r>
        <w:rPr>
          <w:sz w:val="24"/>
          <w:szCs w:val="24"/>
        </w:rPr>
        <w:t xml:space="preserve"> and annual hour burden of </w:t>
      </w:r>
      <w:r w:rsidR="00333179">
        <w:rPr>
          <w:sz w:val="24"/>
          <w:szCs w:val="24"/>
        </w:rPr>
        <w:t>2</w:t>
      </w:r>
      <w:r w:rsidR="001E2815">
        <w:rPr>
          <w:sz w:val="24"/>
          <w:szCs w:val="24"/>
        </w:rPr>
        <w:t>3,26</w:t>
      </w:r>
      <w:r w:rsidR="0005017E">
        <w:rPr>
          <w:sz w:val="24"/>
          <w:szCs w:val="24"/>
        </w:rPr>
        <w:t>9</w:t>
      </w:r>
      <w:r>
        <w:rPr>
          <w:sz w:val="24"/>
          <w:szCs w:val="24"/>
        </w:rPr>
        <w:t xml:space="preserve">, the estimated annual cost to respondents is determined to be </w:t>
      </w:r>
      <w:r>
        <w:rPr>
          <w:b/>
          <w:sz w:val="24"/>
          <w:szCs w:val="24"/>
        </w:rPr>
        <w:t>$</w:t>
      </w:r>
      <w:r w:rsidR="001E2815">
        <w:rPr>
          <w:b/>
          <w:sz w:val="24"/>
          <w:szCs w:val="24"/>
        </w:rPr>
        <w:t>461,4</w:t>
      </w:r>
      <w:r w:rsidR="0005017E">
        <w:rPr>
          <w:b/>
          <w:sz w:val="24"/>
          <w:szCs w:val="24"/>
        </w:rPr>
        <w:t>24</w:t>
      </w:r>
      <w:r>
        <w:rPr>
          <w:sz w:val="24"/>
          <w:szCs w:val="24"/>
        </w:rPr>
        <w:t>.</w:t>
      </w:r>
    </w:p>
    <w:p w:rsidR="00F32486" w:rsidRDefault="00F32486" w:rsidP="00F32486">
      <w:pPr>
        <w:rPr>
          <w:sz w:val="24"/>
          <w:szCs w:val="24"/>
        </w:rPr>
      </w:pPr>
    </w:p>
    <w:p w:rsidR="00F32486" w:rsidRDefault="00F32486" w:rsidP="00F32486">
      <w:pPr>
        <w:rPr>
          <w:sz w:val="24"/>
          <w:szCs w:val="24"/>
        </w:rPr>
      </w:pPr>
      <w:r>
        <w:rPr>
          <w:sz w:val="24"/>
          <w:szCs w:val="24"/>
        </w:rPr>
        <w:t>The number of families a PHA report</w:t>
      </w:r>
      <w:r w:rsidR="0035226E">
        <w:rPr>
          <w:sz w:val="24"/>
          <w:szCs w:val="24"/>
        </w:rPr>
        <w:t>s</w:t>
      </w:r>
      <w:r>
        <w:rPr>
          <w:sz w:val="24"/>
          <w:szCs w:val="24"/>
        </w:rPr>
        <w:t xml:space="preserve"> depend</w:t>
      </w:r>
      <w:r w:rsidR="0035226E">
        <w:rPr>
          <w:sz w:val="24"/>
          <w:szCs w:val="24"/>
        </w:rPr>
        <w:t>s</w:t>
      </w:r>
      <w:r>
        <w:rPr>
          <w:sz w:val="24"/>
          <w:szCs w:val="24"/>
        </w:rPr>
        <w:t xml:space="preserve"> on the PHA’s size (</w:t>
      </w:r>
      <w:r w:rsidR="001B07A3">
        <w:rPr>
          <w:sz w:val="24"/>
          <w:szCs w:val="24"/>
        </w:rPr>
        <w:t xml:space="preserve">i.e. the </w:t>
      </w:r>
      <w:r>
        <w:rPr>
          <w:sz w:val="24"/>
          <w:szCs w:val="24"/>
        </w:rPr>
        <w:t>number of families assisted</w:t>
      </w:r>
      <w:r w:rsidR="0035226E">
        <w:rPr>
          <w:sz w:val="24"/>
          <w:szCs w:val="24"/>
        </w:rPr>
        <w:t>)</w:t>
      </w:r>
      <w:r>
        <w:rPr>
          <w:sz w:val="24"/>
          <w:szCs w:val="24"/>
        </w:rPr>
        <w:t xml:space="preserve">.  The national average of families that end participation in </w:t>
      </w:r>
      <w:r w:rsidR="00BF13A4">
        <w:rPr>
          <w:sz w:val="24"/>
          <w:szCs w:val="24"/>
        </w:rPr>
        <w:t>a PIH program is 10</w:t>
      </w:r>
      <w:r>
        <w:rPr>
          <w:sz w:val="24"/>
          <w:szCs w:val="24"/>
        </w:rPr>
        <w:t>%</w:t>
      </w:r>
      <w:r w:rsidR="001B07A3">
        <w:rPr>
          <w:sz w:val="24"/>
          <w:szCs w:val="24"/>
        </w:rPr>
        <w:t xml:space="preserve"> of the number of families the PHA assists</w:t>
      </w:r>
      <w:r>
        <w:rPr>
          <w:sz w:val="24"/>
          <w:szCs w:val="24"/>
        </w:rPr>
        <w:t xml:space="preserve">.  Smaller PHAs report </w:t>
      </w:r>
      <w:r w:rsidR="00411C35">
        <w:rPr>
          <w:sz w:val="24"/>
          <w:szCs w:val="24"/>
        </w:rPr>
        <w:t xml:space="preserve">fewer families </w:t>
      </w:r>
      <w:r>
        <w:rPr>
          <w:sz w:val="24"/>
          <w:szCs w:val="24"/>
        </w:rPr>
        <w:t>than larger PHA</w:t>
      </w:r>
      <w:r w:rsidR="00826AB9">
        <w:rPr>
          <w:sz w:val="24"/>
          <w:szCs w:val="24"/>
        </w:rPr>
        <w:t>s</w:t>
      </w:r>
      <w:r>
        <w:rPr>
          <w:sz w:val="24"/>
          <w:szCs w:val="24"/>
        </w:rPr>
        <w:t>.  As such the variation of estimated burden hours and annual cost</w:t>
      </w:r>
      <w:r w:rsidR="001B07A3">
        <w:rPr>
          <w:sz w:val="24"/>
          <w:szCs w:val="24"/>
        </w:rPr>
        <w:t>s</w:t>
      </w:r>
      <w:r>
        <w:rPr>
          <w:sz w:val="24"/>
          <w:szCs w:val="24"/>
        </w:rPr>
        <w:t xml:space="preserve"> to respondents for PHAs based on their size and applying the 1</w:t>
      </w:r>
      <w:r w:rsidR="00BF13A4">
        <w:rPr>
          <w:sz w:val="24"/>
          <w:szCs w:val="24"/>
        </w:rPr>
        <w:t>0</w:t>
      </w:r>
      <w:r>
        <w:rPr>
          <w:sz w:val="24"/>
          <w:szCs w:val="24"/>
        </w:rPr>
        <w:t>% national end of participation (EOP) rate is:</w:t>
      </w:r>
    </w:p>
    <w:p w:rsidR="00F32486" w:rsidRDefault="00F32486" w:rsidP="00F32486">
      <w:pPr>
        <w:rPr>
          <w:sz w:val="24"/>
          <w:szCs w:val="24"/>
        </w:rPr>
      </w:pPr>
    </w:p>
    <w:tbl>
      <w:tblPr>
        <w:tblStyle w:val="TableGrid"/>
        <w:tblW w:w="10080" w:type="dxa"/>
        <w:tblInd w:w="288" w:type="dxa"/>
        <w:tblLook w:val="04A0" w:firstRow="1" w:lastRow="0" w:firstColumn="1" w:lastColumn="0" w:noHBand="0" w:noVBand="1"/>
      </w:tblPr>
      <w:tblGrid>
        <w:gridCol w:w="1260"/>
        <w:gridCol w:w="1440"/>
        <w:gridCol w:w="1350"/>
        <w:gridCol w:w="1530"/>
        <w:gridCol w:w="1530"/>
        <w:gridCol w:w="1440"/>
        <w:gridCol w:w="1530"/>
      </w:tblGrid>
      <w:tr w:rsidR="00D06BAC" w:rsidRPr="008604A9" w:rsidTr="00D170BE">
        <w:tc>
          <w:tcPr>
            <w:tcW w:w="1260" w:type="dxa"/>
            <w:shd w:val="clear" w:color="auto" w:fill="DBE5F1" w:themeFill="accent1" w:themeFillTint="33"/>
            <w:vAlign w:val="center"/>
          </w:tcPr>
          <w:p w:rsidR="00D06BAC" w:rsidRPr="002134F3" w:rsidRDefault="00D06BAC" w:rsidP="002372F4">
            <w:pPr>
              <w:jc w:val="center"/>
              <w:rPr>
                <w:rFonts w:ascii="Times New Roman" w:hAnsi="Times New Roman" w:cs="Times New Roman"/>
                <w:b/>
              </w:rPr>
            </w:pPr>
            <w:r w:rsidRPr="002134F3">
              <w:rPr>
                <w:rFonts w:ascii="Times New Roman" w:hAnsi="Times New Roman" w:cs="Times New Roman"/>
                <w:b/>
              </w:rPr>
              <w:t>Number of Families</w:t>
            </w:r>
          </w:p>
        </w:tc>
        <w:tc>
          <w:tcPr>
            <w:tcW w:w="1440" w:type="dxa"/>
            <w:shd w:val="clear" w:color="auto" w:fill="DBE5F1" w:themeFill="accent1" w:themeFillTint="33"/>
            <w:vAlign w:val="center"/>
          </w:tcPr>
          <w:p w:rsidR="00D06BAC" w:rsidRPr="002134F3" w:rsidRDefault="00D06BAC" w:rsidP="002372F4">
            <w:pPr>
              <w:jc w:val="center"/>
              <w:rPr>
                <w:rFonts w:ascii="Times New Roman" w:hAnsi="Times New Roman" w:cs="Times New Roman"/>
                <w:b/>
              </w:rPr>
            </w:pPr>
            <w:r w:rsidRPr="002134F3">
              <w:rPr>
                <w:rFonts w:ascii="Times New Roman" w:hAnsi="Times New Roman" w:cs="Times New Roman"/>
                <w:b/>
              </w:rPr>
              <w:t>PHA Size</w:t>
            </w:r>
          </w:p>
        </w:tc>
        <w:tc>
          <w:tcPr>
            <w:tcW w:w="1350" w:type="dxa"/>
            <w:shd w:val="clear" w:color="auto" w:fill="DBE5F1" w:themeFill="accent1" w:themeFillTint="33"/>
            <w:vAlign w:val="center"/>
          </w:tcPr>
          <w:p w:rsidR="00D06BAC" w:rsidRPr="002134F3" w:rsidRDefault="00D06BAC" w:rsidP="002372F4">
            <w:pPr>
              <w:jc w:val="center"/>
              <w:rPr>
                <w:rFonts w:ascii="Times New Roman" w:hAnsi="Times New Roman" w:cs="Times New Roman"/>
                <w:b/>
              </w:rPr>
            </w:pPr>
            <w:r w:rsidRPr="002134F3">
              <w:rPr>
                <w:rFonts w:ascii="Times New Roman" w:hAnsi="Times New Roman" w:cs="Times New Roman"/>
                <w:b/>
              </w:rPr>
              <w:t>Number of PHAs Reporting</w:t>
            </w:r>
          </w:p>
        </w:tc>
        <w:tc>
          <w:tcPr>
            <w:tcW w:w="1530" w:type="dxa"/>
            <w:shd w:val="clear" w:color="auto" w:fill="DBE5F1" w:themeFill="accent1" w:themeFillTint="33"/>
            <w:vAlign w:val="center"/>
          </w:tcPr>
          <w:p w:rsidR="00D06BAC" w:rsidRPr="002134F3" w:rsidRDefault="00D06BAC" w:rsidP="002372F4">
            <w:pPr>
              <w:jc w:val="center"/>
              <w:rPr>
                <w:rFonts w:ascii="Times New Roman" w:hAnsi="Times New Roman" w:cs="Times New Roman"/>
                <w:b/>
              </w:rPr>
            </w:pPr>
            <w:r w:rsidRPr="002134F3">
              <w:rPr>
                <w:rFonts w:ascii="Times New Roman" w:hAnsi="Times New Roman" w:cs="Times New Roman"/>
                <w:b/>
              </w:rPr>
              <w:t>Average Number of EOP Families Per PHA (Annually)</w:t>
            </w:r>
          </w:p>
        </w:tc>
        <w:tc>
          <w:tcPr>
            <w:tcW w:w="1530" w:type="dxa"/>
            <w:shd w:val="clear" w:color="auto" w:fill="DBE5F1" w:themeFill="accent1" w:themeFillTint="33"/>
            <w:vAlign w:val="center"/>
          </w:tcPr>
          <w:p w:rsidR="00D06BAC" w:rsidRPr="002134F3" w:rsidRDefault="00D06BAC" w:rsidP="002372F4">
            <w:pPr>
              <w:jc w:val="center"/>
              <w:rPr>
                <w:rFonts w:ascii="Times New Roman" w:hAnsi="Times New Roman" w:cs="Times New Roman"/>
                <w:b/>
              </w:rPr>
            </w:pPr>
            <w:r w:rsidRPr="002134F3">
              <w:rPr>
                <w:rFonts w:ascii="Times New Roman" w:hAnsi="Times New Roman" w:cs="Times New Roman"/>
                <w:b/>
              </w:rPr>
              <w:t>Average Annual Hour Burden Per PHA</w:t>
            </w:r>
          </w:p>
        </w:tc>
        <w:tc>
          <w:tcPr>
            <w:tcW w:w="1440" w:type="dxa"/>
            <w:shd w:val="clear" w:color="auto" w:fill="DBE5F1" w:themeFill="accent1" w:themeFillTint="33"/>
          </w:tcPr>
          <w:p w:rsidR="00D06BAC" w:rsidRDefault="00D06BAC" w:rsidP="002372F4">
            <w:pPr>
              <w:jc w:val="center"/>
              <w:rPr>
                <w:rFonts w:ascii="Times New Roman" w:hAnsi="Times New Roman" w:cs="Times New Roman"/>
                <w:b/>
              </w:rPr>
            </w:pPr>
          </w:p>
          <w:p w:rsidR="00D06BAC" w:rsidRPr="002134F3" w:rsidRDefault="00D06BAC" w:rsidP="00D170BE">
            <w:pPr>
              <w:jc w:val="center"/>
              <w:rPr>
                <w:rFonts w:ascii="Times New Roman" w:hAnsi="Times New Roman" w:cs="Times New Roman"/>
                <w:b/>
              </w:rPr>
            </w:pPr>
            <w:r w:rsidRPr="002134F3">
              <w:rPr>
                <w:rFonts w:ascii="Times New Roman" w:hAnsi="Times New Roman" w:cs="Times New Roman"/>
                <w:b/>
              </w:rPr>
              <w:t xml:space="preserve">Estimated Annual Cost </w:t>
            </w:r>
            <w:r w:rsidR="00D170BE">
              <w:rPr>
                <w:rFonts w:ascii="Times New Roman" w:hAnsi="Times New Roman" w:cs="Times New Roman"/>
                <w:b/>
              </w:rPr>
              <w:t>Per</w:t>
            </w:r>
            <w:r w:rsidRPr="002134F3">
              <w:rPr>
                <w:rFonts w:ascii="Times New Roman" w:hAnsi="Times New Roman" w:cs="Times New Roman"/>
                <w:b/>
              </w:rPr>
              <w:t xml:space="preserve"> </w:t>
            </w:r>
            <w:r w:rsidR="00D170BE">
              <w:rPr>
                <w:rFonts w:ascii="Times New Roman" w:hAnsi="Times New Roman" w:cs="Times New Roman"/>
                <w:b/>
              </w:rPr>
              <w:t xml:space="preserve">PHA </w:t>
            </w:r>
            <w:r w:rsidRPr="002134F3">
              <w:rPr>
                <w:rFonts w:ascii="Times New Roman" w:hAnsi="Times New Roman" w:cs="Times New Roman"/>
                <w:b/>
              </w:rPr>
              <w:t>Respondent</w:t>
            </w:r>
          </w:p>
        </w:tc>
        <w:tc>
          <w:tcPr>
            <w:tcW w:w="1530" w:type="dxa"/>
            <w:shd w:val="clear" w:color="auto" w:fill="DBE5F1" w:themeFill="accent1" w:themeFillTint="33"/>
          </w:tcPr>
          <w:p w:rsidR="00D06BAC" w:rsidRDefault="00D06BAC" w:rsidP="002372F4">
            <w:pPr>
              <w:jc w:val="center"/>
              <w:rPr>
                <w:rFonts w:ascii="Times New Roman" w:hAnsi="Times New Roman" w:cs="Times New Roman"/>
                <w:b/>
              </w:rPr>
            </w:pPr>
          </w:p>
          <w:p w:rsidR="00D06BAC" w:rsidRPr="002134F3" w:rsidRDefault="00D06BAC" w:rsidP="00D170BE">
            <w:pPr>
              <w:jc w:val="center"/>
              <w:rPr>
                <w:rFonts w:ascii="Times New Roman" w:hAnsi="Times New Roman" w:cs="Times New Roman"/>
                <w:b/>
              </w:rPr>
            </w:pPr>
            <w:r>
              <w:rPr>
                <w:rFonts w:ascii="Times New Roman" w:hAnsi="Times New Roman" w:cs="Times New Roman"/>
                <w:b/>
              </w:rPr>
              <w:t xml:space="preserve">Estimated Annual Cost for </w:t>
            </w:r>
            <w:r w:rsidR="00D170BE">
              <w:rPr>
                <w:rFonts w:ascii="Times New Roman" w:hAnsi="Times New Roman" w:cs="Times New Roman"/>
                <w:b/>
              </w:rPr>
              <w:t>PHA</w:t>
            </w:r>
            <w:r w:rsidRPr="002134F3">
              <w:rPr>
                <w:rFonts w:ascii="Times New Roman" w:hAnsi="Times New Roman" w:cs="Times New Roman"/>
                <w:b/>
              </w:rPr>
              <w:t xml:space="preserve"> Respondents</w:t>
            </w:r>
          </w:p>
        </w:tc>
      </w:tr>
      <w:tr w:rsidR="00D06BAC" w:rsidTr="00D170BE">
        <w:tc>
          <w:tcPr>
            <w:tcW w:w="126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1 - 49</w:t>
            </w:r>
          </w:p>
        </w:tc>
        <w:tc>
          <w:tcPr>
            <w:tcW w:w="144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Very Small</w:t>
            </w:r>
          </w:p>
        </w:tc>
        <w:tc>
          <w:tcPr>
            <w:tcW w:w="135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739</w:t>
            </w:r>
          </w:p>
        </w:tc>
        <w:tc>
          <w:tcPr>
            <w:tcW w:w="153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3</w:t>
            </w:r>
          </w:p>
        </w:tc>
        <w:tc>
          <w:tcPr>
            <w:tcW w:w="153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0.25</w:t>
            </w:r>
          </w:p>
        </w:tc>
        <w:tc>
          <w:tcPr>
            <w:tcW w:w="1440" w:type="dxa"/>
            <w:vAlign w:val="bottom"/>
          </w:tcPr>
          <w:p w:rsidR="00D06BAC" w:rsidRPr="009F4A28" w:rsidRDefault="00D06BAC" w:rsidP="002372F4">
            <w:pPr>
              <w:rPr>
                <w:rFonts w:ascii="Times New Roman" w:hAnsi="Times New Roman" w:cs="Times New Roman"/>
                <w:color w:val="000000"/>
                <w:sz w:val="24"/>
                <w:szCs w:val="24"/>
              </w:rPr>
            </w:pPr>
            <w:r>
              <w:rPr>
                <w:rFonts w:ascii="Times New Roman" w:hAnsi="Times New Roman" w:cs="Times New Roman"/>
                <w:color w:val="000000"/>
                <w:sz w:val="24"/>
                <w:szCs w:val="24"/>
              </w:rPr>
              <w:t>$</w:t>
            </w:r>
            <w:r w:rsidR="00634A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4.96</w:t>
            </w:r>
          </w:p>
        </w:tc>
        <w:tc>
          <w:tcPr>
            <w:tcW w:w="1530" w:type="dxa"/>
            <w:vAlign w:val="bottom"/>
          </w:tcPr>
          <w:p w:rsidR="00D06BAC" w:rsidRPr="009F4A28" w:rsidRDefault="00D06BAC" w:rsidP="002372F4">
            <w:pPr>
              <w:rPr>
                <w:rFonts w:ascii="Times New Roman" w:hAnsi="Times New Roman" w:cs="Times New Roman"/>
                <w:color w:val="000000"/>
                <w:sz w:val="24"/>
                <w:szCs w:val="24"/>
              </w:rPr>
            </w:pPr>
            <w:r>
              <w:rPr>
                <w:rFonts w:ascii="Times New Roman" w:hAnsi="Times New Roman" w:cs="Times New Roman"/>
                <w:color w:val="000000"/>
                <w:sz w:val="24"/>
                <w:szCs w:val="24"/>
              </w:rPr>
              <w:t>$</w:t>
            </w:r>
            <w:r w:rsidR="00411C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3,665.44</w:t>
            </w:r>
          </w:p>
        </w:tc>
      </w:tr>
      <w:tr w:rsidR="00D06BAC" w:rsidTr="00D170BE">
        <w:tc>
          <w:tcPr>
            <w:tcW w:w="126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50 – 249</w:t>
            </w:r>
          </w:p>
        </w:tc>
        <w:tc>
          <w:tcPr>
            <w:tcW w:w="144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Small</w:t>
            </w:r>
          </w:p>
        </w:tc>
        <w:tc>
          <w:tcPr>
            <w:tcW w:w="135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1,522</w:t>
            </w:r>
          </w:p>
        </w:tc>
        <w:tc>
          <w:tcPr>
            <w:tcW w:w="153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10</w:t>
            </w:r>
          </w:p>
        </w:tc>
        <w:tc>
          <w:tcPr>
            <w:tcW w:w="153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0.83</w:t>
            </w:r>
          </w:p>
        </w:tc>
        <w:tc>
          <w:tcPr>
            <w:tcW w:w="1440" w:type="dxa"/>
            <w:vAlign w:val="bottom"/>
          </w:tcPr>
          <w:p w:rsidR="00D06BAC" w:rsidRPr="009F4A28" w:rsidRDefault="00D06BAC" w:rsidP="002372F4">
            <w:pPr>
              <w:rPr>
                <w:rFonts w:ascii="Times New Roman" w:hAnsi="Times New Roman" w:cs="Times New Roman"/>
                <w:color w:val="000000"/>
                <w:sz w:val="24"/>
                <w:szCs w:val="24"/>
              </w:rPr>
            </w:pPr>
            <w:r>
              <w:rPr>
                <w:rFonts w:ascii="Times New Roman" w:hAnsi="Times New Roman" w:cs="Times New Roman"/>
                <w:color w:val="000000"/>
                <w:sz w:val="24"/>
                <w:szCs w:val="24"/>
              </w:rPr>
              <w:t>$</w:t>
            </w:r>
            <w:r w:rsidR="00634A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16.46</w:t>
            </w:r>
          </w:p>
        </w:tc>
        <w:tc>
          <w:tcPr>
            <w:tcW w:w="1530" w:type="dxa"/>
            <w:vAlign w:val="bottom"/>
          </w:tcPr>
          <w:p w:rsidR="00D06BAC" w:rsidRPr="009F4A28" w:rsidRDefault="00D06BAC" w:rsidP="002372F4">
            <w:pPr>
              <w:rPr>
                <w:rFonts w:ascii="Times New Roman" w:hAnsi="Times New Roman" w:cs="Times New Roman"/>
                <w:color w:val="000000"/>
                <w:sz w:val="24"/>
                <w:szCs w:val="24"/>
              </w:rPr>
            </w:pPr>
            <w:r>
              <w:rPr>
                <w:rFonts w:ascii="Times New Roman" w:hAnsi="Times New Roman" w:cs="Times New Roman"/>
                <w:color w:val="000000"/>
                <w:sz w:val="24"/>
                <w:szCs w:val="24"/>
              </w:rPr>
              <w:t>$</w:t>
            </w:r>
            <w:r w:rsidR="00411C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25,052.12</w:t>
            </w:r>
          </w:p>
        </w:tc>
      </w:tr>
      <w:tr w:rsidR="00D06BAC" w:rsidTr="00D170BE">
        <w:tc>
          <w:tcPr>
            <w:tcW w:w="126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250 – 499</w:t>
            </w:r>
          </w:p>
        </w:tc>
        <w:tc>
          <w:tcPr>
            <w:tcW w:w="144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Medium-Low</w:t>
            </w:r>
          </w:p>
        </w:tc>
        <w:tc>
          <w:tcPr>
            <w:tcW w:w="1350" w:type="dxa"/>
          </w:tcPr>
          <w:p w:rsidR="00D06BAC" w:rsidRDefault="00D06BAC" w:rsidP="002372F4">
            <w:pPr>
              <w:rPr>
                <w:rFonts w:ascii="Times New Roman" w:hAnsi="Times New Roman" w:cs="Times New Roman"/>
                <w:sz w:val="24"/>
                <w:szCs w:val="24"/>
              </w:rPr>
            </w:pPr>
          </w:p>
          <w:p w:rsidR="0036186A" w:rsidRDefault="0036186A" w:rsidP="002372F4">
            <w:pPr>
              <w:rPr>
                <w:rFonts w:ascii="Times New Roman" w:hAnsi="Times New Roman" w:cs="Times New Roman"/>
                <w:sz w:val="24"/>
                <w:szCs w:val="24"/>
              </w:rPr>
            </w:pPr>
            <w:r>
              <w:rPr>
                <w:rFonts w:ascii="Times New Roman" w:hAnsi="Times New Roman" w:cs="Times New Roman"/>
                <w:sz w:val="24"/>
                <w:szCs w:val="24"/>
              </w:rPr>
              <w:t>614</w:t>
            </w:r>
          </w:p>
        </w:tc>
        <w:tc>
          <w:tcPr>
            <w:tcW w:w="1530" w:type="dxa"/>
          </w:tcPr>
          <w:p w:rsidR="00D06BAC" w:rsidRDefault="00D06BAC" w:rsidP="002372F4">
            <w:pPr>
              <w:rPr>
                <w:rFonts w:ascii="Times New Roman" w:hAnsi="Times New Roman" w:cs="Times New Roman"/>
                <w:sz w:val="24"/>
                <w:szCs w:val="24"/>
              </w:rPr>
            </w:pPr>
          </w:p>
          <w:p w:rsidR="0036186A" w:rsidRDefault="0036186A" w:rsidP="002372F4">
            <w:pPr>
              <w:rPr>
                <w:rFonts w:ascii="Times New Roman" w:hAnsi="Times New Roman" w:cs="Times New Roman"/>
                <w:sz w:val="24"/>
                <w:szCs w:val="24"/>
              </w:rPr>
            </w:pPr>
            <w:r>
              <w:rPr>
                <w:rFonts w:ascii="Times New Roman" w:hAnsi="Times New Roman" w:cs="Times New Roman"/>
                <w:sz w:val="24"/>
                <w:szCs w:val="24"/>
              </w:rPr>
              <w:t>13</w:t>
            </w:r>
          </w:p>
        </w:tc>
        <w:tc>
          <w:tcPr>
            <w:tcW w:w="1530" w:type="dxa"/>
          </w:tcPr>
          <w:p w:rsidR="00D06BAC" w:rsidRDefault="00D06BAC" w:rsidP="002372F4">
            <w:pPr>
              <w:rPr>
                <w:rFonts w:ascii="Times New Roman" w:hAnsi="Times New Roman" w:cs="Times New Roman"/>
                <w:sz w:val="24"/>
                <w:szCs w:val="24"/>
              </w:rPr>
            </w:pPr>
          </w:p>
          <w:p w:rsidR="0036186A" w:rsidRDefault="0036186A" w:rsidP="002372F4">
            <w:pPr>
              <w:rPr>
                <w:rFonts w:ascii="Times New Roman" w:hAnsi="Times New Roman" w:cs="Times New Roman"/>
                <w:sz w:val="24"/>
                <w:szCs w:val="24"/>
              </w:rPr>
            </w:pPr>
            <w:r>
              <w:rPr>
                <w:rFonts w:ascii="Times New Roman" w:hAnsi="Times New Roman" w:cs="Times New Roman"/>
                <w:sz w:val="24"/>
                <w:szCs w:val="24"/>
              </w:rPr>
              <w:t>1.08</w:t>
            </w:r>
          </w:p>
        </w:tc>
        <w:tc>
          <w:tcPr>
            <w:tcW w:w="1440" w:type="dxa"/>
            <w:vAlign w:val="bottom"/>
          </w:tcPr>
          <w:p w:rsidR="00D06BAC" w:rsidRPr="009F4A28" w:rsidRDefault="00D06BAC" w:rsidP="002372F4">
            <w:pPr>
              <w:rPr>
                <w:rFonts w:ascii="Times New Roman" w:hAnsi="Times New Roman" w:cs="Times New Roman"/>
                <w:color w:val="000000"/>
                <w:sz w:val="24"/>
                <w:szCs w:val="24"/>
              </w:rPr>
            </w:pPr>
            <w:r>
              <w:rPr>
                <w:rFonts w:ascii="Times New Roman" w:hAnsi="Times New Roman" w:cs="Times New Roman"/>
                <w:color w:val="000000"/>
                <w:sz w:val="24"/>
                <w:szCs w:val="24"/>
              </w:rPr>
              <w:t>$</w:t>
            </w:r>
            <w:r w:rsidR="00634A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21.42</w:t>
            </w:r>
          </w:p>
        </w:tc>
        <w:tc>
          <w:tcPr>
            <w:tcW w:w="1530" w:type="dxa"/>
            <w:vAlign w:val="bottom"/>
          </w:tcPr>
          <w:p w:rsidR="00D06BAC" w:rsidRPr="009F4A28" w:rsidRDefault="00D06BAC" w:rsidP="002372F4">
            <w:pPr>
              <w:rPr>
                <w:rFonts w:ascii="Times New Roman" w:hAnsi="Times New Roman" w:cs="Times New Roman"/>
                <w:color w:val="000000"/>
                <w:sz w:val="24"/>
                <w:szCs w:val="24"/>
              </w:rPr>
            </w:pPr>
            <w:r>
              <w:rPr>
                <w:rFonts w:ascii="Times New Roman" w:hAnsi="Times New Roman" w:cs="Times New Roman"/>
                <w:color w:val="000000"/>
                <w:sz w:val="24"/>
                <w:szCs w:val="24"/>
              </w:rPr>
              <w:t>$</w:t>
            </w:r>
            <w:r w:rsidR="00411C35">
              <w:rPr>
                <w:rFonts w:ascii="Times New Roman" w:hAnsi="Times New Roman" w:cs="Times New Roman"/>
                <w:color w:val="000000"/>
                <w:sz w:val="24"/>
                <w:szCs w:val="24"/>
              </w:rPr>
              <w:t xml:space="preserve"> </w:t>
            </w:r>
            <w:r w:rsidR="0036186A">
              <w:rPr>
                <w:rFonts w:ascii="Times New Roman" w:hAnsi="Times New Roman" w:cs="Times New Roman"/>
                <w:color w:val="000000"/>
                <w:sz w:val="24"/>
                <w:szCs w:val="24"/>
              </w:rPr>
              <w:t>13,151.88</w:t>
            </w:r>
          </w:p>
        </w:tc>
      </w:tr>
      <w:tr w:rsidR="00D06BAC" w:rsidTr="00D170BE">
        <w:tc>
          <w:tcPr>
            <w:tcW w:w="126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500 – 1,249</w:t>
            </w:r>
          </w:p>
        </w:tc>
        <w:tc>
          <w:tcPr>
            <w:tcW w:w="144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Medium-High</w:t>
            </w:r>
          </w:p>
        </w:tc>
        <w:tc>
          <w:tcPr>
            <w:tcW w:w="1350" w:type="dxa"/>
          </w:tcPr>
          <w:p w:rsidR="00D06BAC" w:rsidRDefault="00D06BAC" w:rsidP="002372F4">
            <w:pPr>
              <w:rPr>
                <w:rFonts w:ascii="Times New Roman" w:hAnsi="Times New Roman" w:cs="Times New Roman"/>
                <w:sz w:val="24"/>
                <w:szCs w:val="24"/>
              </w:rPr>
            </w:pPr>
          </w:p>
          <w:p w:rsidR="0036186A" w:rsidRDefault="0036186A" w:rsidP="002372F4">
            <w:pPr>
              <w:rPr>
                <w:rFonts w:ascii="Times New Roman" w:hAnsi="Times New Roman" w:cs="Times New Roman"/>
                <w:sz w:val="24"/>
                <w:szCs w:val="24"/>
              </w:rPr>
            </w:pPr>
            <w:r>
              <w:rPr>
                <w:rFonts w:ascii="Times New Roman" w:hAnsi="Times New Roman" w:cs="Times New Roman"/>
                <w:sz w:val="24"/>
                <w:szCs w:val="24"/>
              </w:rPr>
              <w:t>586</w:t>
            </w:r>
          </w:p>
        </w:tc>
        <w:tc>
          <w:tcPr>
            <w:tcW w:w="1530" w:type="dxa"/>
          </w:tcPr>
          <w:p w:rsidR="00D06BAC" w:rsidRDefault="00D06BAC" w:rsidP="002372F4">
            <w:pPr>
              <w:rPr>
                <w:rFonts w:ascii="Times New Roman" w:hAnsi="Times New Roman" w:cs="Times New Roman"/>
                <w:sz w:val="24"/>
                <w:szCs w:val="24"/>
              </w:rPr>
            </w:pPr>
          </w:p>
          <w:p w:rsidR="0036186A" w:rsidRDefault="0036186A" w:rsidP="002372F4">
            <w:pPr>
              <w:rPr>
                <w:rFonts w:ascii="Times New Roman" w:hAnsi="Times New Roman" w:cs="Times New Roman"/>
                <w:sz w:val="24"/>
                <w:szCs w:val="24"/>
              </w:rPr>
            </w:pPr>
            <w:r>
              <w:rPr>
                <w:rFonts w:ascii="Times New Roman" w:hAnsi="Times New Roman" w:cs="Times New Roman"/>
                <w:sz w:val="24"/>
                <w:szCs w:val="24"/>
              </w:rPr>
              <w:t>38</w:t>
            </w:r>
          </w:p>
        </w:tc>
        <w:tc>
          <w:tcPr>
            <w:tcW w:w="1530" w:type="dxa"/>
          </w:tcPr>
          <w:p w:rsidR="00D06BAC" w:rsidRDefault="00D06BAC" w:rsidP="002372F4">
            <w:pPr>
              <w:rPr>
                <w:rFonts w:ascii="Times New Roman" w:hAnsi="Times New Roman" w:cs="Times New Roman"/>
                <w:sz w:val="24"/>
                <w:szCs w:val="24"/>
              </w:rPr>
            </w:pPr>
          </w:p>
          <w:p w:rsidR="0036186A" w:rsidRDefault="0036186A" w:rsidP="002372F4">
            <w:pPr>
              <w:rPr>
                <w:rFonts w:ascii="Times New Roman" w:hAnsi="Times New Roman" w:cs="Times New Roman"/>
                <w:sz w:val="24"/>
                <w:szCs w:val="24"/>
              </w:rPr>
            </w:pPr>
            <w:r>
              <w:rPr>
                <w:rFonts w:ascii="Times New Roman" w:hAnsi="Times New Roman" w:cs="Times New Roman"/>
                <w:sz w:val="24"/>
                <w:szCs w:val="24"/>
              </w:rPr>
              <w:t>3.16</w:t>
            </w:r>
          </w:p>
        </w:tc>
        <w:tc>
          <w:tcPr>
            <w:tcW w:w="1440" w:type="dxa"/>
            <w:vAlign w:val="bottom"/>
          </w:tcPr>
          <w:p w:rsidR="00D06BAC" w:rsidRPr="009F4A28" w:rsidRDefault="00D06BAC" w:rsidP="002372F4">
            <w:pPr>
              <w:rPr>
                <w:rFonts w:ascii="Times New Roman" w:hAnsi="Times New Roman" w:cs="Times New Roman"/>
                <w:color w:val="000000"/>
                <w:sz w:val="24"/>
                <w:szCs w:val="24"/>
              </w:rPr>
            </w:pPr>
            <w:r>
              <w:rPr>
                <w:rFonts w:ascii="Times New Roman" w:hAnsi="Times New Roman" w:cs="Times New Roman"/>
                <w:color w:val="000000"/>
                <w:sz w:val="24"/>
                <w:szCs w:val="24"/>
              </w:rPr>
              <w:t>$</w:t>
            </w:r>
            <w:r w:rsidR="00634A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62.66</w:t>
            </w:r>
          </w:p>
        </w:tc>
        <w:tc>
          <w:tcPr>
            <w:tcW w:w="1530" w:type="dxa"/>
            <w:vAlign w:val="bottom"/>
          </w:tcPr>
          <w:p w:rsidR="00D06BAC" w:rsidRPr="009F4A28" w:rsidRDefault="00D06BAC" w:rsidP="002372F4">
            <w:pPr>
              <w:rPr>
                <w:rFonts w:ascii="Times New Roman" w:hAnsi="Times New Roman" w:cs="Times New Roman"/>
                <w:color w:val="000000"/>
                <w:sz w:val="24"/>
                <w:szCs w:val="24"/>
              </w:rPr>
            </w:pPr>
            <w:r>
              <w:rPr>
                <w:rFonts w:ascii="Times New Roman" w:hAnsi="Times New Roman" w:cs="Times New Roman"/>
                <w:color w:val="000000"/>
                <w:sz w:val="24"/>
                <w:szCs w:val="24"/>
              </w:rPr>
              <w:t>$</w:t>
            </w:r>
            <w:r w:rsidR="00411C35">
              <w:rPr>
                <w:rFonts w:ascii="Times New Roman" w:hAnsi="Times New Roman" w:cs="Times New Roman"/>
                <w:color w:val="000000"/>
                <w:sz w:val="24"/>
                <w:szCs w:val="24"/>
              </w:rPr>
              <w:t xml:space="preserve"> </w:t>
            </w:r>
            <w:r w:rsidR="0036186A">
              <w:rPr>
                <w:rFonts w:ascii="Times New Roman" w:hAnsi="Times New Roman" w:cs="Times New Roman"/>
                <w:color w:val="000000"/>
                <w:sz w:val="24"/>
                <w:szCs w:val="24"/>
              </w:rPr>
              <w:t>36,718.76</w:t>
            </w:r>
          </w:p>
        </w:tc>
      </w:tr>
      <w:tr w:rsidR="00D06BAC" w:rsidTr="00D170BE">
        <w:tc>
          <w:tcPr>
            <w:tcW w:w="126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1,250 – 9,999</w:t>
            </w:r>
          </w:p>
        </w:tc>
        <w:tc>
          <w:tcPr>
            <w:tcW w:w="144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Large</w:t>
            </w:r>
          </w:p>
        </w:tc>
        <w:tc>
          <w:tcPr>
            <w:tcW w:w="1350" w:type="dxa"/>
          </w:tcPr>
          <w:p w:rsidR="00D06BAC" w:rsidRDefault="00D06BAC" w:rsidP="002372F4">
            <w:pPr>
              <w:rPr>
                <w:rFonts w:ascii="Times New Roman" w:hAnsi="Times New Roman" w:cs="Times New Roman"/>
                <w:sz w:val="24"/>
                <w:szCs w:val="24"/>
              </w:rPr>
            </w:pPr>
          </w:p>
          <w:p w:rsidR="0036186A" w:rsidRDefault="0036186A" w:rsidP="002372F4">
            <w:pPr>
              <w:rPr>
                <w:rFonts w:ascii="Times New Roman" w:hAnsi="Times New Roman" w:cs="Times New Roman"/>
                <w:sz w:val="24"/>
                <w:szCs w:val="24"/>
              </w:rPr>
            </w:pPr>
            <w:r>
              <w:rPr>
                <w:rFonts w:ascii="Times New Roman" w:hAnsi="Times New Roman" w:cs="Times New Roman"/>
                <w:sz w:val="24"/>
                <w:szCs w:val="24"/>
              </w:rPr>
              <w:t>462</w:t>
            </w:r>
          </w:p>
        </w:tc>
        <w:tc>
          <w:tcPr>
            <w:tcW w:w="1530" w:type="dxa"/>
          </w:tcPr>
          <w:p w:rsidR="00D06BAC" w:rsidRDefault="00D06BAC" w:rsidP="002372F4">
            <w:pPr>
              <w:rPr>
                <w:rFonts w:ascii="Times New Roman" w:hAnsi="Times New Roman" w:cs="Times New Roman"/>
                <w:sz w:val="24"/>
                <w:szCs w:val="24"/>
              </w:rPr>
            </w:pPr>
          </w:p>
          <w:p w:rsidR="0036186A" w:rsidRDefault="0036186A" w:rsidP="002372F4">
            <w:pPr>
              <w:rPr>
                <w:rFonts w:ascii="Times New Roman" w:hAnsi="Times New Roman" w:cs="Times New Roman"/>
                <w:sz w:val="24"/>
                <w:szCs w:val="24"/>
              </w:rPr>
            </w:pPr>
            <w:r>
              <w:rPr>
                <w:rFonts w:ascii="Times New Roman" w:hAnsi="Times New Roman" w:cs="Times New Roman"/>
                <w:sz w:val="24"/>
                <w:szCs w:val="24"/>
              </w:rPr>
              <w:t>438</w:t>
            </w:r>
          </w:p>
        </w:tc>
        <w:tc>
          <w:tcPr>
            <w:tcW w:w="1530" w:type="dxa"/>
          </w:tcPr>
          <w:p w:rsidR="00D06BAC" w:rsidRDefault="00D06BAC" w:rsidP="002372F4">
            <w:pPr>
              <w:rPr>
                <w:rFonts w:ascii="Times New Roman" w:hAnsi="Times New Roman" w:cs="Times New Roman"/>
                <w:sz w:val="24"/>
                <w:szCs w:val="24"/>
              </w:rPr>
            </w:pPr>
          </w:p>
          <w:p w:rsidR="0036186A" w:rsidRDefault="0036186A" w:rsidP="002372F4">
            <w:pPr>
              <w:rPr>
                <w:rFonts w:ascii="Times New Roman" w:hAnsi="Times New Roman" w:cs="Times New Roman"/>
                <w:sz w:val="24"/>
                <w:szCs w:val="24"/>
              </w:rPr>
            </w:pPr>
            <w:r>
              <w:rPr>
                <w:rFonts w:ascii="Times New Roman" w:hAnsi="Times New Roman" w:cs="Times New Roman"/>
                <w:sz w:val="24"/>
                <w:szCs w:val="24"/>
              </w:rPr>
              <w:t>36.48</w:t>
            </w:r>
          </w:p>
        </w:tc>
        <w:tc>
          <w:tcPr>
            <w:tcW w:w="1440" w:type="dxa"/>
            <w:vAlign w:val="bottom"/>
          </w:tcPr>
          <w:p w:rsidR="00D06BAC" w:rsidRPr="009F4A28" w:rsidRDefault="00D06BAC" w:rsidP="002372F4">
            <w:pPr>
              <w:rPr>
                <w:rFonts w:ascii="Times New Roman" w:hAnsi="Times New Roman" w:cs="Times New Roman"/>
                <w:color w:val="000000"/>
                <w:sz w:val="24"/>
                <w:szCs w:val="24"/>
              </w:rPr>
            </w:pPr>
            <w:r>
              <w:rPr>
                <w:rFonts w:ascii="Times New Roman" w:hAnsi="Times New Roman" w:cs="Times New Roman"/>
                <w:color w:val="000000"/>
                <w:sz w:val="24"/>
                <w:szCs w:val="24"/>
              </w:rPr>
              <w:t>$</w:t>
            </w:r>
            <w:r w:rsidR="00634A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723.40</w:t>
            </w:r>
          </w:p>
        </w:tc>
        <w:tc>
          <w:tcPr>
            <w:tcW w:w="1530" w:type="dxa"/>
            <w:vAlign w:val="bottom"/>
          </w:tcPr>
          <w:p w:rsidR="00D06BAC" w:rsidRPr="009F4A28" w:rsidRDefault="00D06BAC" w:rsidP="002372F4">
            <w:pPr>
              <w:rPr>
                <w:rFonts w:ascii="Times New Roman" w:hAnsi="Times New Roman" w:cs="Times New Roman"/>
                <w:color w:val="000000"/>
                <w:sz w:val="24"/>
                <w:szCs w:val="24"/>
              </w:rPr>
            </w:pPr>
            <w:r>
              <w:rPr>
                <w:rFonts w:ascii="Times New Roman" w:hAnsi="Times New Roman" w:cs="Times New Roman"/>
                <w:color w:val="000000"/>
                <w:sz w:val="24"/>
                <w:szCs w:val="24"/>
              </w:rPr>
              <w:t>$</w:t>
            </w:r>
            <w:r w:rsidR="0036186A">
              <w:rPr>
                <w:rFonts w:ascii="Times New Roman" w:hAnsi="Times New Roman" w:cs="Times New Roman"/>
                <w:color w:val="000000"/>
                <w:sz w:val="24"/>
                <w:szCs w:val="24"/>
              </w:rPr>
              <w:t>334,210.80</w:t>
            </w:r>
          </w:p>
        </w:tc>
      </w:tr>
      <w:tr w:rsidR="00D06BAC" w:rsidTr="00D170BE">
        <w:tc>
          <w:tcPr>
            <w:tcW w:w="126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10,000+</w:t>
            </w:r>
          </w:p>
        </w:tc>
        <w:tc>
          <w:tcPr>
            <w:tcW w:w="144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Extra Large</w:t>
            </w:r>
          </w:p>
        </w:tc>
        <w:tc>
          <w:tcPr>
            <w:tcW w:w="135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51</w:t>
            </w:r>
          </w:p>
        </w:tc>
        <w:tc>
          <w:tcPr>
            <w:tcW w:w="153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1,000+</w:t>
            </w:r>
          </w:p>
        </w:tc>
        <w:tc>
          <w:tcPr>
            <w:tcW w:w="153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83.3+</w:t>
            </w:r>
          </w:p>
        </w:tc>
        <w:tc>
          <w:tcPr>
            <w:tcW w:w="1440" w:type="dxa"/>
          </w:tcPr>
          <w:p w:rsidR="00D06BAC" w:rsidRDefault="00D06BAC" w:rsidP="002372F4">
            <w:pPr>
              <w:rPr>
                <w:rFonts w:ascii="Times New Roman" w:hAnsi="Times New Roman" w:cs="Times New Roman"/>
                <w:sz w:val="24"/>
                <w:szCs w:val="24"/>
              </w:rPr>
            </w:pPr>
            <w:r>
              <w:rPr>
                <w:rFonts w:ascii="Times New Roman" w:hAnsi="Times New Roman" w:cs="Times New Roman"/>
                <w:sz w:val="24"/>
                <w:szCs w:val="24"/>
              </w:rPr>
              <w:t>$1,651.84</w:t>
            </w:r>
          </w:p>
        </w:tc>
        <w:tc>
          <w:tcPr>
            <w:tcW w:w="1530" w:type="dxa"/>
          </w:tcPr>
          <w:p w:rsidR="00D06BAC" w:rsidRDefault="00D06BAC" w:rsidP="00411C35">
            <w:pPr>
              <w:rPr>
                <w:rFonts w:ascii="Times New Roman" w:hAnsi="Times New Roman" w:cs="Times New Roman"/>
                <w:sz w:val="24"/>
                <w:szCs w:val="24"/>
              </w:rPr>
            </w:pPr>
            <w:r>
              <w:rPr>
                <w:rFonts w:ascii="Times New Roman" w:hAnsi="Times New Roman" w:cs="Times New Roman"/>
                <w:sz w:val="24"/>
                <w:szCs w:val="24"/>
              </w:rPr>
              <w:t>$</w:t>
            </w:r>
            <w:r w:rsidR="00411C35">
              <w:rPr>
                <w:rFonts w:ascii="Times New Roman" w:hAnsi="Times New Roman" w:cs="Times New Roman"/>
                <w:sz w:val="24"/>
                <w:szCs w:val="24"/>
              </w:rPr>
              <w:t xml:space="preserve"> </w:t>
            </w:r>
            <w:r w:rsidR="00E07798">
              <w:rPr>
                <w:rFonts w:ascii="Times New Roman" w:hAnsi="Times New Roman" w:cs="Times New Roman"/>
                <w:sz w:val="24"/>
                <w:szCs w:val="24"/>
              </w:rPr>
              <w:t xml:space="preserve"> </w:t>
            </w:r>
            <w:r w:rsidR="0036186A">
              <w:rPr>
                <w:rFonts w:ascii="Times New Roman" w:hAnsi="Times New Roman" w:cs="Times New Roman"/>
                <w:sz w:val="24"/>
                <w:szCs w:val="24"/>
              </w:rPr>
              <w:t>84,243</w:t>
            </w:r>
            <w:r w:rsidR="00411C35">
              <w:rPr>
                <w:rFonts w:ascii="Times New Roman" w:hAnsi="Times New Roman" w:cs="Times New Roman"/>
                <w:sz w:val="24"/>
                <w:szCs w:val="24"/>
              </w:rPr>
              <w:t>.</w:t>
            </w:r>
            <w:r w:rsidR="0036186A">
              <w:rPr>
                <w:rFonts w:ascii="Times New Roman" w:hAnsi="Times New Roman" w:cs="Times New Roman"/>
                <w:sz w:val="24"/>
                <w:szCs w:val="24"/>
              </w:rPr>
              <w:t>84</w:t>
            </w:r>
          </w:p>
        </w:tc>
      </w:tr>
    </w:tbl>
    <w:p w:rsidR="00D170BE" w:rsidRDefault="00D170BE" w:rsidP="00F32486">
      <w:pPr>
        <w:rPr>
          <w:b/>
          <w:sz w:val="24"/>
          <w:szCs w:val="24"/>
        </w:rPr>
      </w:pPr>
    </w:p>
    <w:p w:rsidR="00D170BE" w:rsidRDefault="00D170BE">
      <w:pPr>
        <w:overflowPunct/>
        <w:autoSpaceDE/>
        <w:autoSpaceDN/>
        <w:adjustRightInd/>
        <w:textAlignment w:val="auto"/>
        <w:rPr>
          <w:b/>
          <w:sz w:val="24"/>
          <w:szCs w:val="24"/>
        </w:rPr>
      </w:pPr>
    </w:p>
    <w:p w:rsidR="00F32486" w:rsidRPr="00CD6868" w:rsidRDefault="00F32486" w:rsidP="00F32486">
      <w:pPr>
        <w:rPr>
          <w:b/>
          <w:sz w:val="24"/>
          <w:szCs w:val="24"/>
        </w:rPr>
      </w:pPr>
      <w:r w:rsidRPr="00CD6868">
        <w:rPr>
          <w:b/>
          <w:sz w:val="24"/>
          <w:szCs w:val="24"/>
        </w:rPr>
        <w:t>13. Provide an estimate for the total annual cost burden to respondents or record</w:t>
      </w:r>
      <w:r w:rsidR="00880216">
        <w:rPr>
          <w:b/>
          <w:sz w:val="24"/>
          <w:szCs w:val="24"/>
        </w:rPr>
        <w:t xml:space="preserve"> </w:t>
      </w:r>
      <w:r w:rsidRPr="00CD6868">
        <w:rPr>
          <w:b/>
          <w:sz w:val="24"/>
          <w:szCs w:val="24"/>
        </w:rPr>
        <w:t>keepers resulting</w:t>
      </w:r>
      <w:r>
        <w:rPr>
          <w:b/>
          <w:sz w:val="24"/>
          <w:szCs w:val="24"/>
        </w:rPr>
        <w:t xml:space="preserve"> </w:t>
      </w:r>
      <w:r w:rsidRPr="00CD6868">
        <w:rPr>
          <w:b/>
          <w:sz w:val="24"/>
          <w:szCs w:val="24"/>
        </w:rPr>
        <w:t>from the collection of information. (Do not include the cost of any hour burden shown in Items 12 and 14).</w:t>
      </w:r>
    </w:p>
    <w:p w:rsidR="00F32486" w:rsidRPr="00CD6868" w:rsidRDefault="00F32486" w:rsidP="00F32486">
      <w:pPr>
        <w:rPr>
          <w:b/>
          <w:sz w:val="24"/>
          <w:szCs w:val="24"/>
        </w:rPr>
      </w:pPr>
    </w:p>
    <w:p w:rsidR="00F32486" w:rsidRDefault="00F32486" w:rsidP="00F32486">
      <w:pPr>
        <w:rPr>
          <w:sz w:val="24"/>
          <w:szCs w:val="24"/>
        </w:rPr>
      </w:pPr>
      <w:r>
        <w:rPr>
          <w:sz w:val="24"/>
          <w:szCs w:val="24"/>
        </w:rPr>
        <w:lastRenderedPageBreak/>
        <w:t>Notwithstanding HUD’s request to collect this information, PHAs already collect and maintain this information.  As such, there is no annual cost burden to respondents or record</w:t>
      </w:r>
      <w:r w:rsidR="00BA560A">
        <w:rPr>
          <w:sz w:val="24"/>
          <w:szCs w:val="24"/>
        </w:rPr>
        <w:t xml:space="preserve"> </w:t>
      </w:r>
      <w:r>
        <w:rPr>
          <w:sz w:val="24"/>
          <w:szCs w:val="24"/>
        </w:rPr>
        <w:t xml:space="preserve">keepers resulting from this collection of information. </w:t>
      </w:r>
    </w:p>
    <w:p w:rsidR="0053139A" w:rsidRDefault="0053139A">
      <w:pPr>
        <w:overflowPunct/>
        <w:autoSpaceDE/>
        <w:autoSpaceDN/>
        <w:adjustRightInd/>
        <w:textAlignment w:val="auto"/>
        <w:rPr>
          <w:sz w:val="24"/>
          <w:szCs w:val="24"/>
        </w:rPr>
      </w:pPr>
    </w:p>
    <w:p w:rsidR="00F32486" w:rsidRDefault="00F32486" w:rsidP="00F32486">
      <w:pPr>
        <w:rPr>
          <w:b/>
          <w:sz w:val="24"/>
          <w:szCs w:val="24"/>
        </w:rPr>
      </w:pPr>
      <w:r w:rsidRPr="00CD6868">
        <w:rPr>
          <w:b/>
          <w:sz w:val="24"/>
          <w:szCs w:val="24"/>
        </w:rPr>
        <w:t>14. Provide estimates of annualized costs to the Federal government. Also, provide a description of the method used to estimate cost, which should include quantification of hours, operational</w:t>
      </w:r>
      <w:r>
        <w:rPr>
          <w:b/>
          <w:sz w:val="24"/>
          <w:szCs w:val="24"/>
        </w:rPr>
        <w:t xml:space="preserve"> </w:t>
      </w:r>
      <w:r w:rsidRPr="00CD6868">
        <w:rPr>
          <w:b/>
          <w:sz w:val="24"/>
          <w:szCs w:val="24"/>
        </w:rPr>
        <w:t>expenses (such as equipment, overhead, printing, and support staff), and any other expense that</w:t>
      </w:r>
      <w:r>
        <w:rPr>
          <w:b/>
          <w:sz w:val="24"/>
          <w:szCs w:val="24"/>
        </w:rPr>
        <w:t xml:space="preserve"> </w:t>
      </w:r>
      <w:r w:rsidRPr="00CD6868">
        <w:rPr>
          <w:b/>
          <w:sz w:val="24"/>
          <w:szCs w:val="24"/>
        </w:rPr>
        <w:t>would not have been incurred without this collection of information. Agencies may also aggregate cost estimates from Items 12, 13, and 14 in a single table.</w:t>
      </w:r>
    </w:p>
    <w:p w:rsidR="00F32486" w:rsidRDefault="00F32486" w:rsidP="00F32486">
      <w:pPr>
        <w:rPr>
          <w:b/>
          <w:sz w:val="24"/>
          <w:szCs w:val="24"/>
        </w:rPr>
      </w:pPr>
    </w:p>
    <w:p w:rsidR="00F32486" w:rsidRPr="00FE0EE6" w:rsidRDefault="00F32486" w:rsidP="00F32486">
      <w:pPr>
        <w:rPr>
          <w:sz w:val="24"/>
          <w:szCs w:val="24"/>
        </w:rPr>
      </w:pPr>
      <w:r>
        <w:rPr>
          <w:sz w:val="24"/>
          <w:szCs w:val="24"/>
        </w:rPr>
        <w:t>There is no additional cost to HUD for the collection of this information.</w:t>
      </w:r>
    </w:p>
    <w:p w:rsidR="0053139A" w:rsidRDefault="0053139A">
      <w:pPr>
        <w:overflowPunct/>
        <w:autoSpaceDE/>
        <w:autoSpaceDN/>
        <w:adjustRightInd/>
        <w:textAlignment w:val="auto"/>
        <w:rPr>
          <w:b/>
          <w:sz w:val="24"/>
          <w:szCs w:val="24"/>
        </w:rPr>
      </w:pPr>
    </w:p>
    <w:p w:rsidR="00F32486" w:rsidRDefault="00F32486" w:rsidP="00F32486">
      <w:pPr>
        <w:rPr>
          <w:b/>
          <w:sz w:val="24"/>
          <w:szCs w:val="24"/>
        </w:rPr>
      </w:pPr>
      <w:r w:rsidRPr="00CD6868">
        <w:rPr>
          <w:b/>
          <w:sz w:val="24"/>
          <w:szCs w:val="24"/>
        </w:rPr>
        <w:t xml:space="preserve">15. Explain the reasons for any program changes or adjustments reported in Items 13 or 14 of the OMB Form 83-I. </w:t>
      </w:r>
    </w:p>
    <w:p w:rsidR="00F32486" w:rsidRDefault="00F32486" w:rsidP="00F32486">
      <w:pPr>
        <w:rPr>
          <w:b/>
          <w:sz w:val="24"/>
          <w:szCs w:val="24"/>
        </w:rPr>
      </w:pPr>
    </w:p>
    <w:p w:rsidR="00F32486" w:rsidRDefault="00A131A2" w:rsidP="00F32486">
      <w:pPr>
        <w:rPr>
          <w:sz w:val="24"/>
          <w:szCs w:val="24"/>
        </w:rPr>
      </w:pPr>
      <w:r>
        <w:rPr>
          <w:sz w:val="24"/>
          <w:szCs w:val="24"/>
        </w:rPr>
        <w:t>Th</w:t>
      </w:r>
      <w:r w:rsidR="00BA560A">
        <w:rPr>
          <w:sz w:val="24"/>
          <w:szCs w:val="24"/>
        </w:rPr>
        <w:t xml:space="preserve">e number of respondents has decreased.  </w:t>
      </w:r>
    </w:p>
    <w:p w:rsidR="00BA560A" w:rsidRPr="00FE0EE6" w:rsidRDefault="00BA560A" w:rsidP="00F32486">
      <w:pPr>
        <w:rPr>
          <w:sz w:val="24"/>
          <w:szCs w:val="24"/>
        </w:rPr>
      </w:pPr>
    </w:p>
    <w:p w:rsidR="00F32486" w:rsidRDefault="00F32486" w:rsidP="00F32486">
      <w:pPr>
        <w:rPr>
          <w:b/>
          <w:sz w:val="24"/>
          <w:szCs w:val="24"/>
        </w:rPr>
      </w:pPr>
      <w:r w:rsidRPr="00CD6868">
        <w:rPr>
          <w:b/>
          <w:sz w:val="24"/>
          <w:szCs w:val="24"/>
        </w:rPr>
        <w:t>16. For collections of information whose results will be published, outline plans for tabulation and publication. Address any complex analytical techniques that will be used. Provide the time</w:t>
      </w:r>
      <w:r>
        <w:rPr>
          <w:b/>
          <w:sz w:val="24"/>
          <w:szCs w:val="24"/>
        </w:rPr>
        <w:t xml:space="preserve"> </w:t>
      </w:r>
      <w:r w:rsidRPr="00CD6868">
        <w:rPr>
          <w:b/>
          <w:sz w:val="24"/>
          <w:szCs w:val="24"/>
        </w:rPr>
        <w:t>schedule for the entire project, including beginning and ending dates of the collection of information, completion of report, publication dates, and other actions.</w:t>
      </w:r>
    </w:p>
    <w:p w:rsidR="00F32486" w:rsidRDefault="00F32486" w:rsidP="00F32486">
      <w:pPr>
        <w:rPr>
          <w:b/>
          <w:sz w:val="24"/>
          <w:szCs w:val="24"/>
        </w:rPr>
      </w:pPr>
    </w:p>
    <w:p w:rsidR="00F32486" w:rsidRPr="001B519A" w:rsidRDefault="00F32486" w:rsidP="00F32486">
      <w:pPr>
        <w:rPr>
          <w:sz w:val="24"/>
          <w:szCs w:val="24"/>
        </w:rPr>
      </w:pPr>
      <w:r>
        <w:rPr>
          <w:sz w:val="24"/>
          <w:szCs w:val="24"/>
        </w:rPr>
        <w:t xml:space="preserve">The information collected by PHAs </w:t>
      </w:r>
      <w:r w:rsidR="00434AC7">
        <w:rPr>
          <w:sz w:val="24"/>
          <w:szCs w:val="24"/>
        </w:rPr>
        <w:t>is</w:t>
      </w:r>
      <w:r>
        <w:rPr>
          <w:sz w:val="24"/>
          <w:szCs w:val="24"/>
        </w:rPr>
        <w:t xml:space="preserve"> not published or made available to the public.</w:t>
      </w:r>
    </w:p>
    <w:p w:rsidR="00F32486" w:rsidRPr="00CD6868" w:rsidRDefault="00F32486" w:rsidP="00F32486">
      <w:pPr>
        <w:rPr>
          <w:b/>
          <w:sz w:val="24"/>
          <w:szCs w:val="24"/>
        </w:rPr>
      </w:pPr>
    </w:p>
    <w:p w:rsidR="00F32486" w:rsidRDefault="00F32486" w:rsidP="00F32486">
      <w:pPr>
        <w:rPr>
          <w:b/>
          <w:sz w:val="24"/>
          <w:szCs w:val="24"/>
        </w:rPr>
      </w:pPr>
      <w:r w:rsidRPr="00CD6868">
        <w:rPr>
          <w:b/>
          <w:sz w:val="24"/>
          <w:szCs w:val="24"/>
        </w:rPr>
        <w:t>17. If seeking approval to not display the expiration date for OMB approval of the information collection, explain the reasons that display would be inappropriate.</w:t>
      </w:r>
    </w:p>
    <w:p w:rsidR="00F32486" w:rsidRDefault="00F32486" w:rsidP="00F32486">
      <w:pPr>
        <w:rPr>
          <w:b/>
          <w:sz w:val="24"/>
          <w:szCs w:val="24"/>
        </w:rPr>
      </w:pPr>
    </w:p>
    <w:p w:rsidR="00F32486" w:rsidRPr="001B519A" w:rsidRDefault="00F32486" w:rsidP="00F32486">
      <w:pPr>
        <w:rPr>
          <w:sz w:val="24"/>
          <w:szCs w:val="24"/>
        </w:rPr>
      </w:pPr>
      <w:r>
        <w:rPr>
          <w:sz w:val="24"/>
          <w:szCs w:val="24"/>
        </w:rPr>
        <w:t>Not applicable.  HUD display</w:t>
      </w:r>
      <w:r w:rsidR="00434AC7">
        <w:rPr>
          <w:sz w:val="24"/>
          <w:szCs w:val="24"/>
        </w:rPr>
        <w:t>s</w:t>
      </w:r>
      <w:r>
        <w:rPr>
          <w:sz w:val="24"/>
          <w:szCs w:val="24"/>
        </w:rPr>
        <w:t xml:space="preserve"> the OMB control number and expiration date with EIV’s Debts Owed to PHAs and Terminations module; as well as on electronic and paper documents that pertain to this information collection effort.</w:t>
      </w:r>
      <w:r w:rsidR="00E204F7">
        <w:rPr>
          <w:sz w:val="24"/>
          <w:szCs w:val="24"/>
        </w:rPr>
        <w:t xml:space="preserve">  </w:t>
      </w:r>
      <w:r w:rsidR="00904D4D" w:rsidRPr="00630F09">
        <w:rPr>
          <w:sz w:val="24"/>
          <w:szCs w:val="24"/>
        </w:rPr>
        <w:t xml:space="preserve">(See </w:t>
      </w:r>
      <w:r w:rsidR="00E204F7" w:rsidRPr="00630F09">
        <w:rPr>
          <w:bCs/>
          <w:color w:val="000000"/>
          <w:sz w:val="24"/>
        </w:rPr>
        <w:t>Exhibit D</w:t>
      </w:r>
      <w:r w:rsidR="00904D4D" w:rsidRPr="00630F09">
        <w:rPr>
          <w:bCs/>
          <w:color w:val="000000"/>
          <w:sz w:val="24"/>
        </w:rPr>
        <w:t>)</w:t>
      </w:r>
    </w:p>
    <w:p w:rsidR="00F32486" w:rsidRPr="00CD6868" w:rsidRDefault="00F32486" w:rsidP="00F32486">
      <w:pPr>
        <w:rPr>
          <w:b/>
          <w:sz w:val="24"/>
          <w:szCs w:val="24"/>
        </w:rPr>
      </w:pPr>
    </w:p>
    <w:p w:rsidR="00F32486" w:rsidRPr="00CD6868" w:rsidRDefault="00F32486" w:rsidP="00F32486">
      <w:pPr>
        <w:rPr>
          <w:b/>
          <w:sz w:val="24"/>
          <w:szCs w:val="24"/>
        </w:rPr>
      </w:pPr>
      <w:r w:rsidRPr="00CD6868">
        <w:rPr>
          <w:b/>
          <w:sz w:val="24"/>
          <w:szCs w:val="24"/>
        </w:rPr>
        <w:t>18. Explain each exception to the certification statement identified in Item 19, "Certification for</w:t>
      </w:r>
      <w:r>
        <w:rPr>
          <w:b/>
          <w:sz w:val="24"/>
          <w:szCs w:val="24"/>
        </w:rPr>
        <w:t xml:space="preserve"> </w:t>
      </w:r>
      <w:r w:rsidRPr="00CD6868">
        <w:rPr>
          <w:b/>
          <w:sz w:val="24"/>
          <w:szCs w:val="24"/>
        </w:rPr>
        <w:t>Paperwork Reduction Act Submissions," of OMB Form 83-I.</w:t>
      </w:r>
    </w:p>
    <w:p w:rsidR="00F32486" w:rsidRPr="00CD6868" w:rsidRDefault="00F32486" w:rsidP="00F32486">
      <w:pPr>
        <w:rPr>
          <w:b/>
          <w:sz w:val="24"/>
          <w:szCs w:val="24"/>
        </w:rPr>
      </w:pPr>
    </w:p>
    <w:p w:rsidR="00F32486" w:rsidRPr="001B519A" w:rsidRDefault="00F32486" w:rsidP="00F32486">
      <w:pPr>
        <w:rPr>
          <w:bCs/>
          <w:sz w:val="24"/>
          <w:szCs w:val="24"/>
        </w:rPr>
      </w:pPr>
      <w:r>
        <w:rPr>
          <w:bCs/>
          <w:sz w:val="24"/>
          <w:szCs w:val="24"/>
        </w:rPr>
        <w:t>There are no exceptions to the certification statement.</w:t>
      </w:r>
    </w:p>
    <w:p w:rsidR="00F32486" w:rsidRPr="00CD6868" w:rsidRDefault="00F32486" w:rsidP="00F32486">
      <w:pPr>
        <w:rPr>
          <w:b/>
          <w:bCs/>
          <w:sz w:val="24"/>
          <w:szCs w:val="24"/>
        </w:rPr>
      </w:pPr>
    </w:p>
    <w:p w:rsidR="00F32486" w:rsidRDefault="00F32486" w:rsidP="00F32486">
      <w:pPr>
        <w:rPr>
          <w:b/>
          <w:bCs/>
          <w:sz w:val="24"/>
          <w:szCs w:val="24"/>
        </w:rPr>
      </w:pPr>
      <w:r w:rsidRPr="00D9454A">
        <w:rPr>
          <w:b/>
          <w:bCs/>
          <w:sz w:val="24"/>
          <w:szCs w:val="24"/>
        </w:rPr>
        <w:t>B. Collections of Information Employing</w:t>
      </w:r>
      <w:r>
        <w:rPr>
          <w:b/>
          <w:bCs/>
          <w:sz w:val="24"/>
          <w:szCs w:val="24"/>
        </w:rPr>
        <w:t xml:space="preserve"> </w:t>
      </w:r>
      <w:r w:rsidRPr="00D9454A">
        <w:rPr>
          <w:b/>
          <w:bCs/>
          <w:sz w:val="24"/>
          <w:szCs w:val="24"/>
        </w:rPr>
        <w:t>Statistical Methods</w:t>
      </w:r>
      <w:r>
        <w:rPr>
          <w:b/>
          <w:bCs/>
          <w:sz w:val="24"/>
          <w:szCs w:val="24"/>
        </w:rPr>
        <w:t xml:space="preserve"> </w:t>
      </w:r>
    </w:p>
    <w:p w:rsidR="00F32486" w:rsidRDefault="00F32486" w:rsidP="00F32486">
      <w:pPr>
        <w:rPr>
          <w:b/>
          <w:bCs/>
          <w:sz w:val="24"/>
          <w:szCs w:val="24"/>
        </w:rPr>
      </w:pPr>
    </w:p>
    <w:p w:rsidR="00F32486" w:rsidRPr="00FD10E2" w:rsidRDefault="00F32486" w:rsidP="00F32486">
      <w:pPr>
        <w:rPr>
          <w:bCs/>
          <w:sz w:val="24"/>
          <w:szCs w:val="24"/>
        </w:rPr>
      </w:pPr>
      <w:r>
        <w:rPr>
          <w:bCs/>
          <w:sz w:val="24"/>
          <w:szCs w:val="24"/>
        </w:rPr>
        <w:t>This collection of information does not employ statistical methods.</w:t>
      </w:r>
    </w:p>
    <w:p w:rsidR="00F32486" w:rsidRPr="00D9454A" w:rsidRDefault="00F32486" w:rsidP="00F32486">
      <w:pPr>
        <w:rPr>
          <w:b/>
          <w:bCs/>
          <w:sz w:val="24"/>
          <w:szCs w:val="24"/>
        </w:rPr>
      </w:pPr>
    </w:p>
    <w:p w:rsidR="00ED74D1" w:rsidRDefault="00ED74D1" w:rsidP="00ED74D1">
      <w:pPr>
        <w:rPr>
          <w:b/>
          <w:bCs/>
          <w:sz w:val="24"/>
          <w:szCs w:val="24"/>
        </w:rPr>
      </w:pPr>
    </w:p>
    <w:p w:rsidR="00F32486" w:rsidRDefault="00F32486" w:rsidP="00ED74D1">
      <w:pPr>
        <w:rPr>
          <w:b/>
          <w:bCs/>
          <w:sz w:val="24"/>
          <w:szCs w:val="24"/>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F32486" w:rsidRPr="00E90DF3" w:rsidRDefault="00F32486"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sectPr w:rsidR="00F32486" w:rsidRPr="00E90DF3" w:rsidSect="00ED74D1">
      <w:headerReference w:type="default" r:id="rId10"/>
      <w:footerReference w:type="default" r:id="rId11"/>
      <w:footerReference w:type="first" r:id="rId12"/>
      <w:pgSz w:w="12240" w:h="15840"/>
      <w:pgMar w:top="1008" w:right="1152" w:bottom="1008" w:left="1152" w:header="475" w:footer="475" w:gutter="0"/>
      <w:cols w:space="480" w:equalWidth="0">
        <w:col w:w="10368"/>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D43" w:rsidRDefault="00462D43">
      <w:r>
        <w:separator/>
      </w:r>
    </w:p>
  </w:endnote>
  <w:endnote w:type="continuationSeparator" w:id="0">
    <w:p w:rsidR="00462D43" w:rsidRDefault="0046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AE9" w:rsidRDefault="00532AE9">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AE9" w:rsidRDefault="00532AE9">
    <w:pPr>
      <w:pStyle w:val="Footer"/>
      <w:pBdr>
        <w:top w:val="single" w:sz="6" w:space="1" w:color="auto"/>
      </w:pBdr>
      <w:tabs>
        <w:tab w:val="clear" w:pos="4320"/>
        <w:tab w:val="clear" w:pos="8640"/>
        <w:tab w:val="right" w:pos="10920"/>
      </w:tabs>
      <w:ind w:left="-120" w:right="-120"/>
    </w:pPr>
    <w:r>
      <w:rPr>
        <w:rFonts w:ascii="Helvetica" w:hAnsi="Helvetica"/>
        <w:b/>
        <w:sz w:val="18"/>
      </w:rPr>
      <w:t>OMB 83-I                                                                                                                                                                                  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532AE9">
      <w:tc>
        <w:tcPr>
          <w:tcW w:w="8388" w:type="dxa"/>
          <w:tcBorders>
            <w:top w:val="single" w:sz="6" w:space="0" w:color="auto"/>
            <w:left w:val="nil"/>
            <w:right w:val="single" w:sz="6" w:space="0" w:color="auto"/>
          </w:tcBorders>
        </w:tcPr>
        <w:p w:rsidR="00532AE9" w:rsidRDefault="00532AE9">
          <w:pPr>
            <w:pStyle w:val="Footer"/>
            <w:rPr>
              <w:rFonts w:ascii="Helvetica" w:hAnsi="Helvetica"/>
              <w:sz w:val="16"/>
            </w:rPr>
          </w:pPr>
          <w:r>
            <w:rPr>
              <w:rFonts w:ascii="Helvetica" w:hAnsi="Helvetica"/>
              <w:sz w:val="16"/>
            </w:rPr>
            <w:t>Signature of Senior Officer or Designee:</w:t>
          </w:r>
        </w:p>
        <w:p w:rsidR="00532AE9" w:rsidRDefault="00532AE9">
          <w:pPr>
            <w:pStyle w:val="Footer"/>
            <w:rPr>
              <w:rFonts w:ascii="Helvetica" w:hAnsi="Helvetica"/>
              <w:sz w:val="16"/>
            </w:rPr>
          </w:pPr>
        </w:p>
        <w:p w:rsidR="00532AE9" w:rsidRDefault="00532AE9">
          <w:pPr>
            <w:pStyle w:val="Footer"/>
            <w:rPr>
              <w:rFonts w:ascii="Helvetica" w:hAnsi="Helvetica"/>
              <w:sz w:val="16"/>
            </w:rPr>
          </w:pPr>
        </w:p>
        <w:p w:rsidR="00532AE9" w:rsidRDefault="00532AE9">
          <w:pPr>
            <w:pStyle w:val="Footer"/>
            <w:rPr>
              <w:rFonts w:ascii="Helvetica" w:hAnsi="Helvetica"/>
              <w:sz w:val="16"/>
            </w:rPr>
          </w:pPr>
          <w:r>
            <w:rPr>
              <w:rFonts w:ascii="Helvetica" w:hAnsi="Helvetica"/>
              <w:sz w:val="16"/>
            </w:rPr>
            <w:t>X</w:t>
          </w:r>
        </w:p>
        <w:p w:rsidR="00532AE9" w:rsidRDefault="00532AE9" w:rsidP="00F32486">
          <w:pPr>
            <w:pStyle w:val="Footer"/>
            <w:rPr>
              <w:rFonts w:ascii="Helvetica" w:hAnsi="Helvetica"/>
              <w:sz w:val="16"/>
            </w:rPr>
          </w:pPr>
          <w:r>
            <w:rPr>
              <w:rFonts w:ascii="Helvetica" w:hAnsi="Helvetica"/>
              <w:sz w:val="16"/>
            </w:rPr>
            <w:t>Colette Pollard, Departmental Reports Management Officer,</w:t>
          </w:r>
        </w:p>
        <w:p w:rsidR="00532AE9" w:rsidRDefault="00532AE9" w:rsidP="00F32486">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532AE9" w:rsidRDefault="00532AE9">
          <w:pPr>
            <w:pStyle w:val="Footer"/>
            <w:rPr>
              <w:rFonts w:ascii="Helvetica" w:hAnsi="Helvetica"/>
              <w:sz w:val="16"/>
            </w:rPr>
          </w:pPr>
          <w:r>
            <w:rPr>
              <w:rFonts w:ascii="Helvetica" w:hAnsi="Helvetica"/>
              <w:sz w:val="16"/>
            </w:rPr>
            <w:t xml:space="preserve">Date: </w:t>
          </w:r>
        </w:p>
      </w:tc>
    </w:tr>
  </w:tbl>
  <w:p w:rsidR="00532AE9" w:rsidRDefault="00532AE9">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D43" w:rsidRDefault="00462D43">
      <w:r>
        <w:separator/>
      </w:r>
    </w:p>
  </w:footnote>
  <w:footnote w:type="continuationSeparator" w:id="0">
    <w:p w:rsidR="00462D43" w:rsidRDefault="00462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AE9" w:rsidRDefault="00532A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2023C8C"/>
    <w:multiLevelType w:val="hybridMultilevel"/>
    <w:tmpl w:val="2F60C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1910F7"/>
    <w:multiLevelType w:val="hybridMultilevel"/>
    <w:tmpl w:val="0A62ADCA"/>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406B0894"/>
    <w:multiLevelType w:val="hybridMultilevel"/>
    <w:tmpl w:val="8F30C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147741"/>
    <w:multiLevelType w:val="singleLevel"/>
    <w:tmpl w:val="A60A7726"/>
    <w:lvl w:ilvl="0">
      <w:start w:val="10"/>
      <w:numFmt w:val="decimal"/>
      <w:lvlText w:val="%1. "/>
      <w:legacy w:legacy="1" w:legacySpace="0" w:legacyIndent="360"/>
      <w:lvlJc w:val="left"/>
      <w:pPr>
        <w:ind w:left="360" w:hanging="360"/>
      </w:pPr>
      <w:rPr>
        <w:b w:val="0"/>
        <w:i w:val="0"/>
        <w:sz w:val="24"/>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7F13BEA"/>
    <w:multiLevelType w:val="hybridMultilevel"/>
    <w:tmpl w:val="A6824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12"/>
  </w:num>
  <w:num w:numId="3">
    <w:abstractNumId w:val="3"/>
  </w:num>
  <w:num w:numId="4">
    <w:abstractNumId w:val="11"/>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5"/>
  </w:num>
  <w:num w:numId="16">
    <w:abstractNumId w:val="10"/>
  </w:num>
  <w:num w:numId="17">
    <w:abstractNumId w:val="8"/>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F3"/>
    <w:rsid w:val="00014F4C"/>
    <w:rsid w:val="0005017E"/>
    <w:rsid w:val="00064C47"/>
    <w:rsid w:val="00073D62"/>
    <w:rsid w:val="000B1659"/>
    <w:rsid w:val="000B674B"/>
    <w:rsid w:val="000F7070"/>
    <w:rsid w:val="00121B90"/>
    <w:rsid w:val="0012497A"/>
    <w:rsid w:val="00150944"/>
    <w:rsid w:val="00163D04"/>
    <w:rsid w:val="001B07A3"/>
    <w:rsid w:val="001B4375"/>
    <w:rsid w:val="001B761C"/>
    <w:rsid w:val="001D01E3"/>
    <w:rsid w:val="001D24B0"/>
    <w:rsid w:val="001E2815"/>
    <w:rsid w:val="001E4FF7"/>
    <w:rsid w:val="001E5CED"/>
    <w:rsid w:val="001F32AE"/>
    <w:rsid w:val="00205BD5"/>
    <w:rsid w:val="002134F3"/>
    <w:rsid w:val="00235C06"/>
    <w:rsid w:val="002372F4"/>
    <w:rsid w:val="002837B1"/>
    <w:rsid w:val="002B6D20"/>
    <w:rsid w:val="002B729C"/>
    <w:rsid w:val="002C0BAD"/>
    <w:rsid w:val="00307FE0"/>
    <w:rsid w:val="0031191D"/>
    <w:rsid w:val="00333179"/>
    <w:rsid w:val="0035226E"/>
    <w:rsid w:val="0036186A"/>
    <w:rsid w:val="0036342C"/>
    <w:rsid w:val="003D4497"/>
    <w:rsid w:val="003E66C5"/>
    <w:rsid w:val="00404B4A"/>
    <w:rsid w:val="00411C35"/>
    <w:rsid w:val="00412999"/>
    <w:rsid w:val="00434AC7"/>
    <w:rsid w:val="00460A55"/>
    <w:rsid w:val="00462D43"/>
    <w:rsid w:val="004C17B1"/>
    <w:rsid w:val="005008BB"/>
    <w:rsid w:val="00514698"/>
    <w:rsid w:val="005159B5"/>
    <w:rsid w:val="0053139A"/>
    <w:rsid w:val="00532AE9"/>
    <w:rsid w:val="005515CF"/>
    <w:rsid w:val="00556D88"/>
    <w:rsid w:val="00562F61"/>
    <w:rsid w:val="0057306A"/>
    <w:rsid w:val="006146C6"/>
    <w:rsid w:val="0063069B"/>
    <w:rsid w:val="00630F09"/>
    <w:rsid w:val="00634A56"/>
    <w:rsid w:val="0064338B"/>
    <w:rsid w:val="00673FE7"/>
    <w:rsid w:val="006B4B02"/>
    <w:rsid w:val="006F337F"/>
    <w:rsid w:val="006F665C"/>
    <w:rsid w:val="007358CE"/>
    <w:rsid w:val="00751128"/>
    <w:rsid w:val="00763D08"/>
    <w:rsid w:val="00772B02"/>
    <w:rsid w:val="00797876"/>
    <w:rsid w:val="007B5F90"/>
    <w:rsid w:val="007F355B"/>
    <w:rsid w:val="00811EBB"/>
    <w:rsid w:val="00824D91"/>
    <w:rsid w:val="00826AB9"/>
    <w:rsid w:val="0082769C"/>
    <w:rsid w:val="008317BD"/>
    <w:rsid w:val="008705AF"/>
    <w:rsid w:val="00873817"/>
    <w:rsid w:val="00880216"/>
    <w:rsid w:val="00904D4D"/>
    <w:rsid w:val="00917501"/>
    <w:rsid w:val="00996CCE"/>
    <w:rsid w:val="009A0666"/>
    <w:rsid w:val="009F3171"/>
    <w:rsid w:val="00A02497"/>
    <w:rsid w:val="00A131A2"/>
    <w:rsid w:val="00A357C0"/>
    <w:rsid w:val="00A61E50"/>
    <w:rsid w:val="00A62273"/>
    <w:rsid w:val="00A9134C"/>
    <w:rsid w:val="00AC392A"/>
    <w:rsid w:val="00AC43CF"/>
    <w:rsid w:val="00AC70D0"/>
    <w:rsid w:val="00AD453B"/>
    <w:rsid w:val="00B47097"/>
    <w:rsid w:val="00B556DA"/>
    <w:rsid w:val="00BA560A"/>
    <w:rsid w:val="00BF13A4"/>
    <w:rsid w:val="00C01246"/>
    <w:rsid w:val="00C3052B"/>
    <w:rsid w:val="00C611B6"/>
    <w:rsid w:val="00C61D3D"/>
    <w:rsid w:val="00C74072"/>
    <w:rsid w:val="00C91807"/>
    <w:rsid w:val="00CB459F"/>
    <w:rsid w:val="00CD25FC"/>
    <w:rsid w:val="00CF01B2"/>
    <w:rsid w:val="00CF23FA"/>
    <w:rsid w:val="00D06BAC"/>
    <w:rsid w:val="00D130B0"/>
    <w:rsid w:val="00D170BE"/>
    <w:rsid w:val="00D44D20"/>
    <w:rsid w:val="00D45891"/>
    <w:rsid w:val="00D50A5A"/>
    <w:rsid w:val="00D53783"/>
    <w:rsid w:val="00D82E9F"/>
    <w:rsid w:val="00D91243"/>
    <w:rsid w:val="00DE6127"/>
    <w:rsid w:val="00DE67D0"/>
    <w:rsid w:val="00E07798"/>
    <w:rsid w:val="00E204F7"/>
    <w:rsid w:val="00E20829"/>
    <w:rsid w:val="00E20A3F"/>
    <w:rsid w:val="00E2246C"/>
    <w:rsid w:val="00E254B0"/>
    <w:rsid w:val="00E3441C"/>
    <w:rsid w:val="00E67EE2"/>
    <w:rsid w:val="00E90DF3"/>
    <w:rsid w:val="00EA1F6B"/>
    <w:rsid w:val="00ED74D1"/>
    <w:rsid w:val="00EF1737"/>
    <w:rsid w:val="00F25A21"/>
    <w:rsid w:val="00F32486"/>
    <w:rsid w:val="00F549C5"/>
    <w:rsid w:val="00F7455A"/>
    <w:rsid w:val="00FA0FB2"/>
    <w:rsid w:val="00FB3BF1"/>
    <w:rsid w:val="00FB60FF"/>
    <w:rsid w:val="00FD55AB"/>
    <w:rsid w:val="00FD6181"/>
    <w:rsid w:val="00FE4F6E"/>
    <w:rsid w:val="00FF1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8B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8BB"/>
    <w:pPr>
      <w:tabs>
        <w:tab w:val="center" w:pos="4320"/>
        <w:tab w:val="right" w:pos="8640"/>
      </w:tabs>
    </w:pPr>
  </w:style>
  <w:style w:type="paragraph" w:styleId="Footer">
    <w:name w:val="footer"/>
    <w:basedOn w:val="Normal"/>
    <w:rsid w:val="005008BB"/>
    <w:pPr>
      <w:tabs>
        <w:tab w:val="center" w:pos="4320"/>
        <w:tab w:val="right" w:pos="8640"/>
      </w:tabs>
    </w:pPr>
  </w:style>
  <w:style w:type="paragraph" w:styleId="HTMLPreformatted">
    <w:name w:val="HTML Preformatted"/>
    <w:basedOn w:val="Normal"/>
    <w:link w:val="HTMLPreformattedChar"/>
    <w:uiPriority w:val="99"/>
    <w:unhideWhenUsed/>
    <w:rsid w:val="00ED7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PreformattedChar">
    <w:name w:val="HTML Preformatted Char"/>
    <w:basedOn w:val="DefaultParagraphFont"/>
    <w:link w:val="HTMLPreformatted"/>
    <w:uiPriority w:val="99"/>
    <w:rsid w:val="00ED74D1"/>
    <w:rPr>
      <w:rFonts w:ascii="Courier New" w:hAnsi="Courier New" w:cs="Courier New"/>
      <w:color w:val="000000"/>
    </w:rPr>
  </w:style>
  <w:style w:type="paragraph" w:styleId="ListParagraph">
    <w:name w:val="List Paragraph"/>
    <w:basedOn w:val="Normal"/>
    <w:uiPriority w:val="34"/>
    <w:qFormat/>
    <w:rsid w:val="00ED74D1"/>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ED74D1"/>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D45891"/>
    <w:rPr>
      <w:rFonts w:ascii="Tahoma" w:hAnsi="Tahoma" w:cs="Tahoma"/>
      <w:sz w:val="16"/>
      <w:szCs w:val="16"/>
    </w:rPr>
  </w:style>
  <w:style w:type="character" w:customStyle="1" w:styleId="BalloonTextChar">
    <w:name w:val="Balloon Text Char"/>
    <w:basedOn w:val="DefaultParagraphFont"/>
    <w:link w:val="BalloonText"/>
    <w:rsid w:val="00D45891"/>
    <w:rPr>
      <w:rFonts w:ascii="Tahoma" w:hAnsi="Tahoma" w:cs="Tahoma"/>
      <w:sz w:val="16"/>
      <w:szCs w:val="16"/>
    </w:rPr>
  </w:style>
  <w:style w:type="paragraph" w:styleId="Revision">
    <w:name w:val="Revision"/>
    <w:hidden/>
    <w:uiPriority w:val="99"/>
    <w:semiHidden/>
    <w:rsid w:val="004C17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8B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8BB"/>
    <w:pPr>
      <w:tabs>
        <w:tab w:val="center" w:pos="4320"/>
        <w:tab w:val="right" w:pos="8640"/>
      </w:tabs>
    </w:pPr>
  </w:style>
  <w:style w:type="paragraph" w:styleId="Footer">
    <w:name w:val="footer"/>
    <w:basedOn w:val="Normal"/>
    <w:rsid w:val="005008BB"/>
    <w:pPr>
      <w:tabs>
        <w:tab w:val="center" w:pos="4320"/>
        <w:tab w:val="right" w:pos="8640"/>
      </w:tabs>
    </w:pPr>
  </w:style>
  <w:style w:type="paragraph" w:styleId="HTMLPreformatted">
    <w:name w:val="HTML Preformatted"/>
    <w:basedOn w:val="Normal"/>
    <w:link w:val="HTMLPreformattedChar"/>
    <w:uiPriority w:val="99"/>
    <w:unhideWhenUsed/>
    <w:rsid w:val="00ED7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PreformattedChar">
    <w:name w:val="HTML Preformatted Char"/>
    <w:basedOn w:val="DefaultParagraphFont"/>
    <w:link w:val="HTMLPreformatted"/>
    <w:uiPriority w:val="99"/>
    <w:rsid w:val="00ED74D1"/>
    <w:rPr>
      <w:rFonts w:ascii="Courier New" w:hAnsi="Courier New" w:cs="Courier New"/>
      <w:color w:val="000000"/>
    </w:rPr>
  </w:style>
  <w:style w:type="paragraph" w:styleId="ListParagraph">
    <w:name w:val="List Paragraph"/>
    <w:basedOn w:val="Normal"/>
    <w:uiPriority w:val="34"/>
    <w:qFormat/>
    <w:rsid w:val="00ED74D1"/>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ED74D1"/>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D45891"/>
    <w:rPr>
      <w:rFonts w:ascii="Tahoma" w:hAnsi="Tahoma" w:cs="Tahoma"/>
      <w:sz w:val="16"/>
      <w:szCs w:val="16"/>
    </w:rPr>
  </w:style>
  <w:style w:type="character" w:customStyle="1" w:styleId="BalloonTextChar">
    <w:name w:val="Balloon Text Char"/>
    <w:basedOn w:val="DefaultParagraphFont"/>
    <w:link w:val="BalloonText"/>
    <w:rsid w:val="00D45891"/>
    <w:rPr>
      <w:rFonts w:ascii="Tahoma" w:hAnsi="Tahoma" w:cs="Tahoma"/>
      <w:sz w:val="16"/>
      <w:szCs w:val="16"/>
    </w:rPr>
  </w:style>
  <w:style w:type="paragraph" w:styleId="Revision">
    <w:name w:val="Revision"/>
    <w:hidden/>
    <w:uiPriority w:val="99"/>
    <w:semiHidden/>
    <w:rsid w:val="004C1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66104">
      <w:bodyDiv w:val="1"/>
      <w:marLeft w:val="0"/>
      <w:marRight w:val="0"/>
      <w:marTop w:val="0"/>
      <w:marBottom w:val="0"/>
      <w:divBdr>
        <w:top w:val="none" w:sz="0" w:space="0" w:color="auto"/>
        <w:left w:val="none" w:sz="0" w:space="0" w:color="auto"/>
        <w:bottom w:val="none" w:sz="0" w:space="0" w:color="auto"/>
        <w:right w:val="none" w:sz="0" w:space="0" w:color="auto"/>
      </w:divBdr>
    </w:div>
    <w:div w:id="375549970">
      <w:bodyDiv w:val="1"/>
      <w:marLeft w:val="0"/>
      <w:marRight w:val="0"/>
      <w:marTop w:val="0"/>
      <w:marBottom w:val="0"/>
      <w:divBdr>
        <w:top w:val="none" w:sz="0" w:space="0" w:color="auto"/>
        <w:left w:val="none" w:sz="0" w:space="0" w:color="auto"/>
        <w:bottom w:val="none" w:sz="0" w:space="0" w:color="auto"/>
        <w:right w:val="none" w:sz="0" w:space="0" w:color="auto"/>
      </w:divBdr>
    </w:div>
    <w:div w:id="1747075229">
      <w:bodyDiv w:val="1"/>
      <w:marLeft w:val="0"/>
      <w:marRight w:val="0"/>
      <w:marTop w:val="0"/>
      <w:marBottom w:val="0"/>
      <w:divBdr>
        <w:top w:val="none" w:sz="0" w:space="0" w:color="auto"/>
        <w:left w:val="none" w:sz="0" w:space="0" w:color="auto"/>
        <w:bottom w:val="none" w:sz="0" w:space="0" w:color="auto"/>
        <w:right w:val="none" w:sz="0" w:space="0" w:color="auto"/>
      </w:divBdr>
    </w:div>
    <w:div w:id="175617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9F736-D078-4375-AC6D-385A19E8B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3381</Words>
  <Characters>18884</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Arlette Annette Mussington</cp:lastModifiedBy>
  <cp:revision>2</cp:revision>
  <cp:lastPrinted>2013-07-31T18:52:00Z</cp:lastPrinted>
  <dcterms:created xsi:type="dcterms:W3CDTF">2013-07-31T18:56:00Z</dcterms:created>
  <dcterms:modified xsi:type="dcterms:W3CDTF">2013-07-31T18:56:00Z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1973192009</vt:i4>
  </property>
  <property fmtid="{D5CDD505-2E9C-101B-9397-08002B2CF9AE}" pid="3" name="_NewReviewCycle">
    <vt:lpwstr/>
  </property>
  <property fmtid="{D5CDD505-2E9C-101B-9397-08002B2CF9AE}" pid="4" name="_EmailSubject">
    <vt:lpwstr>Comments on ICR 2577-0266</vt:lpwstr>
  </property>
  <property fmtid="{D5CDD505-2E9C-101B-9397-08002B2CF9AE}" pid="5" name="_AuthorEmail">
    <vt:lpwstr>Claudia.J.Yarus@hud.gov</vt:lpwstr>
  </property>
  <property fmtid="{D5CDD505-2E9C-101B-9397-08002B2CF9AE}" pid="6" name="_AuthorEmailDisplayName">
    <vt:lpwstr>Yarus, Claudia J</vt:lpwstr>
  </property>
  <property fmtid="{D5CDD505-2E9C-101B-9397-08002B2CF9AE}" pid="7" name="_PreviousAdHocReviewCycleID">
    <vt:i4>-1148833506</vt:i4>
  </property>
  <property fmtid="{D5CDD505-2E9C-101B-9397-08002B2CF9AE}" pid="8" name="_ReviewingToolsShownOnce">
    <vt:lpwstr/>
  </property>
</Properties>
</file>