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64" w:rsidRPr="008B5064" w:rsidRDefault="008B5064" w:rsidP="008B5064">
      <w:pPr>
        <w:shd w:val="clear" w:color="auto" w:fill="FFFFFF"/>
        <w:spacing w:after="0" w:line="240" w:lineRule="auto"/>
        <w:jc w:val="center"/>
        <w:rPr>
          <w:rFonts w:ascii="Calibri" w:eastAsia="Times New Roman" w:hAnsi="Calibri" w:cs="Calibri"/>
          <w:color w:val="000000"/>
        </w:rPr>
      </w:pPr>
      <w:r w:rsidRPr="008B5064">
        <w:rPr>
          <w:rFonts w:ascii="Calibri" w:eastAsia="Times New Roman" w:hAnsi="Calibri" w:cs="Calibri"/>
          <w:b/>
          <w:bCs/>
          <w:color w:val="000000"/>
          <w:sz w:val="24"/>
          <w:szCs w:val="24"/>
        </w:rPr>
        <w:t xml:space="preserve">Supporting Statement for Paperwork Reduction Act Generic Information Collection Submissions for </w:t>
      </w:r>
    </w:p>
    <w:p w:rsidR="008B5064" w:rsidRPr="008B5064" w:rsidRDefault="008B5064" w:rsidP="008B5064">
      <w:pPr>
        <w:shd w:val="clear" w:color="auto" w:fill="FFFFFF"/>
        <w:spacing w:after="0" w:line="240" w:lineRule="auto"/>
        <w:jc w:val="center"/>
        <w:rPr>
          <w:rFonts w:ascii="Calibri" w:eastAsia="Times New Roman" w:hAnsi="Calibri" w:cs="Calibri"/>
          <w:color w:val="000000"/>
        </w:rPr>
      </w:pPr>
      <w:r w:rsidRPr="008B5064">
        <w:rPr>
          <w:rFonts w:ascii="Calibri" w:eastAsia="Times New Roman" w:hAnsi="Calibri" w:cs="Calibri"/>
          <w:b/>
          <w:bCs/>
          <w:color w:val="000000"/>
          <w:sz w:val="24"/>
          <w:szCs w:val="24"/>
        </w:rPr>
        <w:t>“Generic Clearance for the Collection of Qualitative Feedback on Agency Service Delivery”</w:t>
      </w:r>
    </w:p>
    <w:p w:rsidR="008B5064" w:rsidRPr="00E17F86" w:rsidRDefault="008B5064" w:rsidP="0037512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JUSTIFICATION</w:t>
      </w:r>
    </w:p>
    <w:p w:rsidR="008B5064" w:rsidRPr="00E17F86" w:rsidRDefault="008B5064" w:rsidP="008B5064">
      <w:pPr>
        <w:numPr>
          <w:ilvl w:val="0"/>
          <w:numId w:val="2"/>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Circumstances Making the Collection of Information Necessary</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Executive Order 12862 directs Federal agencies to provide service to the public that matches or exceeds the best service available in the private sector. In order to work continuously to ensure that our programs are effective and meet our customers’ needs, the United States Agency of International Development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This collection of information is necessary to enable the Agency to garner customer and stakeholder feedback in an efficient, timely manner, in accordance with our commitment to improving service delivery.  This is in line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information.  These collections will allow for ongoing, collaborative and actionable communications between the Agency and its customers and stakeholders.  It will also allow feedback to contribute directly to the improvement of information delivery via the website.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3"/>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Purpose and Use of the Information Collection</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the current services, information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The Agency will only submit a collection for approval under this generic clearance if it meets the following conditions:   </w:t>
      </w:r>
    </w:p>
    <w:p w:rsidR="008B5064" w:rsidRPr="00E17F86" w:rsidRDefault="008B5064" w:rsidP="008B5064">
      <w:pPr>
        <w:numPr>
          <w:ilvl w:val="0"/>
          <w:numId w:val="4"/>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Information gathered will be used only internally  for general service improvement and program management purposes and is not intended for release outside of the agency (if released, procedures outlined in Question 16 wi</w:t>
      </w:r>
      <w:r w:rsidR="00575735" w:rsidRPr="00E17F86">
        <w:rPr>
          <w:rFonts w:ascii="Times New Roman" w:eastAsia="Times New Roman" w:hAnsi="Times New Roman" w:cs="Times New Roman"/>
          <w:color w:val="000000"/>
          <w:sz w:val="24"/>
          <w:szCs w:val="24"/>
        </w:rPr>
        <w:t>l</w:t>
      </w:r>
      <w:r w:rsidRPr="00E17F86">
        <w:rPr>
          <w:rFonts w:ascii="Times New Roman" w:eastAsia="Times New Roman" w:hAnsi="Times New Roman" w:cs="Times New Roman"/>
          <w:color w:val="000000"/>
          <w:sz w:val="24"/>
          <w:szCs w:val="24"/>
        </w:rPr>
        <w:t>l be followed);</w:t>
      </w:r>
    </w:p>
    <w:p w:rsidR="008B5064" w:rsidRPr="00E17F86" w:rsidRDefault="008B5064" w:rsidP="008B5064">
      <w:pPr>
        <w:numPr>
          <w:ilvl w:val="0"/>
          <w:numId w:val="5"/>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Information gathered will not be used for the purpose of substantially informing influential policy decisions;</w:t>
      </w:r>
    </w:p>
    <w:p w:rsidR="008B5064" w:rsidRPr="00E17F86" w:rsidRDefault="008B5064" w:rsidP="008B5064">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Information gathered  will yield qualitative information; the collections will not be designed or expected to yield statistically reliable results or used as though the results are generalizable to the population of study ;  </w:t>
      </w:r>
    </w:p>
    <w:p w:rsidR="008B5064" w:rsidRPr="00E17F86" w:rsidRDefault="008B5064" w:rsidP="008B5064">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lastRenderedPageBreak/>
        <w:t xml:space="preserve">The collections are voluntary; </w:t>
      </w:r>
    </w:p>
    <w:p w:rsidR="008B5064" w:rsidRPr="00E17F86" w:rsidRDefault="008B5064" w:rsidP="008B5064">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The collections are low-burden for respondents (based on considerations of total burden hours, total number of respondents, or burden-hours per respondent) and are low-cost for both the respondents and the Federal Government; </w:t>
      </w:r>
    </w:p>
    <w:p w:rsidR="008B5064" w:rsidRPr="00E17F86" w:rsidRDefault="008B5064" w:rsidP="008B5064">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The collections are non-controversial and do not raise issues of  concern to other Federal agencies; </w:t>
      </w:r>
    </w:p>
    <w:p w:rsidR="008B5064" w:rsidRPr="00E17F86" w:rsidRDefault="008B5064" w:rsidP="008B5064">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Any collection is targeted to the solicitation of opinions from respondents who have experience with the program or may have experience with the program in the near future; and </w:t>
      </w:r>
    </w:p>
    <w:p w:rsidR="008B5064" w:rsidRPr="00E17F86" w:rsidRDefault="008B5064" w:rsidP="008B5064">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With the exception of information needed to provide </w:t>
      </w:r>
      <w:r w:rsidR="00BC58CB" w:rsidRPr="00E17F86">
        <w:rPr>
          <w:rFonts w:ascii="Times New Roman" w:eastAsia="Times New Roman" w:hAnsi="Times New Roman" w:cs="Times New Roman"/>
          <w:color w:val="000000"/>
          <w:sz w:val="24"/>
          <w:szCs w:val="24"/>
        </w:rPr>
        <w:t>remunerations</w:t>
      </w:r>
      <w:r w:rsidRPr="00E17F86">
        <w:rPr>
          <w:rFonts w:ascii="Times New Roman" w:eastAsia="Times New Roman" w:hAnsi="Times New Roman" w:cs="Times New Roman"/>
          <w:color w:val="000000"/>
          <w:sz w:val="24"/>
          <w:szCs w:val="24"/>
        </w:rPr>
        <w:t xml:space="preserve"> for participants of focus groups and cognitive laboratory studies, personally identifiable information (PII) is collected only to the extent necessary and is not retained.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If these conditions are not met, the Agency will submit an information collection request to OMB for approval through the normal PRA process.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The types of collections that this generic clearance covers include, but are not limited to:</w:t>
      </w:r>
    </w:p>
    <w:p w:rsidR="008B5064" w:rsidRPr="00E17F86" w:rsidRDefault="008B5064" w:rsidP="008B5064">
      <w:pPr>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Customer comment cards/complaint forms </w:t>
      </w:r>
    </w:p>
    <w:p w:rsidR="008B5064" w:rsidRPr="00E17F86" w:rsidRDefault="008B5064" w:rsidP="008B5064">
      <w:pPr>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Small discussion groups </w:t>
      </w:r>
    </w:p>
    <w:p w:rsidR="008B5064" w:rsidRPr="00E17F86" w:rsidRDefault="008B5064" w:rsidP="008B5064">
      <w:pPr>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 Focus Groups of customers, potential customers, delivery partners, or other stakeholders </w:t>
      </w:r>
    </w:p>
    <w:p w:rsidR="008B5064" w:rsidRPr="00E17F86" w:rsidRDefault="008B5064" w:rsidP="008B5064">
      <w:pPr>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Cognitive laboratory studies, such as those used to refine questions or assess usability of a website </w:t>
      </w:r>
    </w:p>
    <w:p w:rsidR="008B5064" w:rsidRPr="00E17F86" w:rsidRDefault="008B5064" w:rsidP="008B5064">
      <w:pPr>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Qualitative customer satisfaction surveys (e.g., post-transaction surveys; opt-out web surveys) </w:t>
      </w:r>
    </w:p>
    <w:p w:rsidR="008B5064" w:rsidRPr="00E17F86" w:rsidRDefault="008B5064" w:rsidP="008B5064">
      <w:pPr>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In-person observation testing (e.g., website or software usability tests)</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8"/>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Consideration Given to Information Technology</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The agency will collect information electronically and/or use online collaboration tools to reduce burden.</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9"/>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 Duplication of Information</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No similar data are gathered or maintained by the Agency or are available from other sources known to the Agency.</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10"/>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 Reducing the Burden on Small Entities</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11"/>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 xml:space="preserve">Consequences of Not Conducting Collection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lastRenderedPageBreak/>
        <w:t>Without these types of feedback, the Agency will not have timely information to adjust its services to meet customer needs.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12"/>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Special Circumstances</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There are no special circumstances. The information collected will be voluntary and will not be used for statistical purposes.</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13"/>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Consultations with Persons Outside the Agency</w:t>
      </w:r>
    </w:p>
    <w:p w:rsidR="008377A6" w:rsidRPr="008377A6" w:rsidRDefault="008377A6" w:rsidP="008377A6">
      <w:pPr>
        <w:shd w:val="clear" w:color="auto" w:fill="FFFFFF"/>
        <w:spacing w:after="0" w:line="240" w:lineRule="auto"/>
        <w:rPr>
          <w:rFonts w:ascii="Times New Roman" w:eastAsia="Times New Roman" w:hAnsi="Times New Roman" w:cs="Times New Roman"/>
          <w:color w:val="000000"/>
          <w:sz w:val="24"/>
          <w:szCs w:val="24"/>
        </w:rPr>
      </w:pPr>
      <w:r w:rsidRPr="008377A6">
        <w:rPr>
          <w:rFonts w:ascii="Times New Roman" w:eastAsia="Times New Roman" w:hAnsi="Times New Roman" w:cs="Times New Roman"/>
          <w:color w:val="000000"/>
          <w:sz w:val="24"/>
          <w:szCs w:val="24"/>
        </w:rPr>
        <w:t xml:space="preserve">On December 22, 2010 a 60-day notices was published in the Federal Register, Document Citation 75 FR 80542, Pages 80542-80543, </w:t>
      </w:r>
      <w:r>
        <w:rPr>
          <w:rFonts w:ascii="Times New Roman" w:eastAsia="Times New Roman" w:hAnsi="Times New Roman" w:cs="Times New Roman"/>
          <w:color w:val="000000"/>
          <w:sz w:val="24"/>
          <w:szCs w:val="24"/>
        </w:rPr>
        <w:t>and Document</w:t>
      </w:r>
      <w:r w:rsidRPr="008377A6">
        <w:rPr>
          <w:rFonts w:ascii="Times New Roman" w:eastAsia="Times New Roman" w:hAnsi="Times New Roman" w:cs="Times New Roman"/>
          <w:color w:val="000000"/>
          <w:sz w:val="24"/>
          <w:szCs w:val="24"/>
        </w:rPr>
        <w:t xml:space="preserve"> Number 2010-32084.</w:t>
      </w:r>
      <w:r>
        <w:rPr>
          <w:rFonts w:ascii="Times New Roman" w:eastAsia="Times New Roman" w:hAnsi="Times New Roman" w:cs="Times New Roman"/>
          <w:color w:val="000000"/>
          <w:sz w:val="24"/>
          <w:szCs w:val="24"/>
        </w:rPr>
        <w:t xml:space="preserve"> And </w:t>
      </w:r>
    </w:p>
    <w:p w:rsidR="008B5064" w:rsidRPr="00E17F86" w:rsidRDefault="008377A6" w:rsidP="008B5064">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bookmarkStart w:id="0" w:name="_GoBack"/>
      <w:bookmarkEnd w:id="0"/>
      <w:r w:rsidR="008B5064" w:rsidRPr="00E17F86">
        <w:rPr>
          <w:rFonts w:ascii="Times New Roman" w:eastAsia="Times New Roman" w:hAnsi="Times New Roman" w:cs="Times New Roman"/>
          <w:color w:val="000000"/>
          <w:sz w:val="24"/>
          <w:szCs w:val="24"/>
        </w:rPr>
        <w:t xml:space="preserve">n accordance with 5 CFR 1320.8(d) December 11, 2012 a </w:t>
      </w:r>
      <w:r w:rsidR="005D2114" w:rsidRPr="00E17F86">
        <w:rPr>
          <w:rFonts w:ascii="Times New Roman" w:eastAsia="Times New Roman" w:hAnsi="Times New Roman" w:cs="Times New Roman"/>
          <w:color w:val="000000"/>
          <w:sz w:val="24"/>
          <w:szCs w:val="24"/>
        </w:rPr>
        <w:t>3</w:t>
      </w:r>
      <w:r w:rsidR="008B5064" w:rsidRPr="00E17F86">
        <w:rPr>
          <w:rFonts w:ascii="Times New Roman" w:eastAsia="Times New Roman" w:hAnsi="Times New Roman" w:cs="Times New Roman"/>
          <w:color w:val="000000"/>
          <w:sz w:val="24"/>
          <w:szCs w:val="24"/>
        </w:rPr>
        <w:t xml:space="preserve">0-day notice for public comment was published in the </w:t>
      </w:r>
      <w:r w:rsidR="008B5064" w:rsidRPr="00E17F86">
        <w:rPr>
          <w:rFonts w:ascii="Times New Roman" w:eastAsia="Times New Roman" w:hAnsi="Times New Roman" w:cs="Times New Roman"/>
          <w:i/>
          <w:iCs/>
          <w:color w:val="000000"/>
          <w:sz w:val="24"/>
          <w:szCs w:val="24"/>
        </w:rPr>
        <w:t>Federal Register, Document Citation 77 FR 73611, Page 73611, Document Number 2012-29644</w:t>
      </w:r>
      <w:r w:rsidR="008B5064" w:rsidRPr="00E17F86">
        <w:rPr>
          <w:rFonts w:ascii="Times New Roman" w:eastAsia="Times New Roman" w:hAnsi="Times New Roman" w:cs="Times New Roman"/>
          <w:color w:val="000000"/>
          <w:sz w:val="24"/>
          <w:szCs w:val="24"/>
        </w:rPr>
        <w:t>.  No comments were received.</w:t>
      </w:r>
      <w:r>
        <w:rPr>
          <w:rFonts w:ascii="Times New Roman" w:eastAsia="Times New Roman" w:hAnsi="Times New Roman" w:cs="Times New Roman"/>
          <w:color w:val="000000"/>
          <w:sz w:val="24"/>
          <w:szCs w:val="24"/>
        </w:rPr>
        <w:t xml:space="preserve">  </w:t>
      </w:r>
    </w:p>
    <w:p w:rsidR="008B5064" w:rsidRPr="00E17F86" w:rsidRDefault="008B5064" w:rsidP="008B5064">
      <w:pPr>
        <w:numPr>
          <w:ilvl w:val="0"/>
          <w:numId w:val="14"/>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Payment or Gift</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The Agency will not provide payment or other forms of remuneration to respondents of its various forms of collecting feedback.  Focus groups and cognitive laboratory studies are the exceptions.</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15"/>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 xml:space="preserve"> Confidentiality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 that is guided by the Privacy Act of 1974, 5 U.S.C 552a.</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16"/>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Sensitive Nature</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No questions will be asked that are of a personal or sensitive nature.</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17"/>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Burden of Information Collection</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A variety of instruments and platforms will be used to collect information from respondents.  The annual burden hours requested (</w:t>
      </w:r>
      <w:r w:rsidR="00020959" w:rsidRPr="00E17F86">
        <w:rPr>
          <w:rFonts w:ascii="Times New Roman" w:eastAsia="Times New Roman" w:hAnsi="Times New Roman" w:cs="Times New Roman"/>
          <w:color w:val="000000"/>
          <w:sz w:val="24"/>
          <w:szCs w:val="24"/>
        </w:rPr>
        <w:t>250</w:t>
      </w:r>
      <w:r w:rsidRPr="00E17F86">
        <w:rPr>
          <w:rFonts w:ascii="Times New Roman" w:eastAsia="Times New Roman" w:hAnsi="Times New Roman" w:cs="Times New Roman"/>
          <w:color w:val="000000"/>
          <w:sz w:val="24"/>
          <w:szCs w:val="24"/>
        </w:rPr>
        <w:t>00) are based on the number of collections we expect to conduct over the requested period for this clearance.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2880"/>
        <w:gridCol w:w="1710"/>
        <w:gridCol w:w="1710"/>
        <w:gridCol w:w="1800"/>
        <w:gridCol w:w="1260"/>
      </w:tblGrid>
      <w:tr w:rsidR="008B5064" w:rsidRPr="00E17F86" w:rsidTr="008B5064">
        <w:trPr>
          <w:tblCellSpacing w:w="0" w:type="dxa"/>
        </w:trPr>
        <w:tc>
          <w:tcPr>
            <w:tcW w:w="288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0" w:lineRule="atLeast"/>
              <w:jc w:val="center"/>
              <w:rPr>
                <w:rFonts w:ascii="Times New Roman" w:eastAsia="Times New Roman" w:hAnsi="Times New Roman" w:cs="Times New Roman"/>
                <w:color w:val="000000"/>
                <w:sz w:val="24"/>
                <w:szCs w:val="24"/>
              </w:rPr>
            </w:pPr>
            <w:bookmarkStart w:id="1" w:name="0.1_4f0a94b902b5334ddc7f04981074da91aede"/>
            <w:bookmarkStart w:id="2" w:name="0.1_0"/>
            <w:bookmarkEnd w:id="1"/>
            <w:bookmarkEnd w:id="2"/>
            <w:r w:rsidRPr="00E17F86">
              <w:rPr>
                <w:rFonts w:ascii="Times New Roman" w:eastAsia="Times New Roman" w:hAnsi="Times New Roman" w:cs="Times New Roman"/>
                <w:color w:val="000000"/>
                <w:sz w:val="24"/>
                <w:szCs w:val="24"/>
              </w:rPr>
              <w:t>          Estimated Annual Reporting Burden</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240" w:lineRule="auto"/>
              <w:rPr>
                <w:rFonts w:ascii="Times New Roman" w:eastAsia="Times New Roman" w:hAnsi="Times New Roman" w:cs="Times New Roman"/>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240" w:lineRule="auto"/>
              <w:rPr>
                <w:rFonts w:ascii="Times New Roman" w:eastAsia="Times New Roman" w:hAnsi="Times New Roman" w:cs="Times New Roman"/>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240" w:lineRule="auto"/>
              <w:rPr>
                <w:rFonts w:ascii="Times New Roman" w:eastAsia="Times New Roman" w:hAnsi="Times New Roman" w:cs="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240" w:lineRule="auto"/>
              <w:rPr>
                <w:rFonts w:ascii="Times New Roman" w:eastAsia="Times New Roman" w:hAnsi="Times New Roman" w:cs="Times New Roman"/>
                <w:sz w:val="24"/>
                <w:szCs w:val="24"/>
              </w:rPr>
            </w:pPr>
          </w:p>
        </w:tc>
      </w:tr>
      <w:tr w:rsidR="008B5064" w:rsidRPr="00E17F86" w:rsidTr="008B5064">
        <w:trPr>
          <w:tblCellSpacing w:w="0" w:type="dxa"/>
        </w:trPr>
        <w:tc>
          <w:tcPr>
            <w:tcW w:w="288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0" w:lineRule="atLeast"/>
              <w:jc w:val="center"/>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Type of Collection</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0" w:lineRule="atLeast"/>
              <w:jc w:val="center"/>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No. of </w:t>
            </w:r>
            <w:r w:rsidRPr="00E17F86">
              <w:rPr>
                <w:rFonts w:ascii="Times New Roman" w:eastAsia="Times New Roman" w:hAnsi="Times New Roman" w:cs="Times New Roman"/>
                <w:color w:val="000000"/>
                <w:sz w:val="24"/>
                <w:szCs w:val="24"/>
              </w:rPr>
              <w:lastRenderedPageBreak/>
              <w:t>Respondents</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0" w:lineRule="atLeast"/>
              <w:jc w:val="center"/>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lastRenderedPageBreak/>
              <w:t xml:space="preserve">Annual </w:t>
            </w:r>
            <w:r w:rsidRPr="00E17F86">
              <w:rPr>
                <w:rFonts w:ascii="Times New Roman" w:eastAsia="Times New Roman" w:hAnsi="Times New Roman" w:cs="Times New Roman"/>
                <w:color w:val="000000"/>
                <w:sz w:val="24"/>
                <w:szCs w:val="24"/>
              </w:rPr>
              <w:lastRenderedPageBreak/>
              <w:t>Frequency per Response</w:t>
            </w:r>
          </w:p>
        </w:tc>
        <w:tc>
          <w:tcPr>
            <w:tcW w:w="180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0" w:lineRule="atLeast"/>
              <w:jc w:val="center"/>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lastRenderedPageBreak/>
              <w:t xml:space="preserve">Hours per </w:t>
            </w:r>
            <w:r w:rsidRPr="00E17F86">
              <w:rPr>
                <w:rFonts w:ascii="Times New Roman" w:eastAsia="Times New Roman" w:hAnsi="Times New Roman" w:cs="Times New Roman"/>
                <w:color w:val="000000"/>
                <w:sz w:val="24"/>
                <w:szCs w:val="24"/>
              </w:rPr>
              <w:lastRenderedPageBreak/>
              <w:t>Response</w:t>
            </w:r>
          </w:p>
        </w:tc>
        <w:tc>
          <w:tcPr>
            <w:tcW w:w="126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0" w:lineRule="atLeast"/>
              <w:jc w:val="center"/>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lastRenderedPageBreak/>
              <w:t xml:space="preserve">Total </w:t>
            </w:r>
            <w:r w:rsidRPr="00E17F86">
              <w:rPr>
                <w:rFonts w:ascii="Times New Roman" w:eastAsia="Times New Roman" w:hAnsi="Times New Roman" w:cs="Times New Roman"/>
                <w:color w:val="000000"/>
                <w:sz w:val="24"/>
                <w:szCs w:val="24"/>
              </w:rPr>
              <w:lastRenderedPageBreak/>
              <w:t>Hours</w:t>
            </w:r>
          </w:p>
        </w:tc>
      </w:tr>
      <w:tr w:rsidR="008B5064" w:rsidRPr="00E17F86" w:rsidTr="008B5064">
        <w:trPr>
          <w:tblCellSpacing w:w="0" w:type="dxa"/>
        </w:trPr>
        <w:tc>
          <w:tcPr>
            <w:tcW w:w="288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0" w:lineRule="atLeast"/>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lastRenderedPageBreak/>
              <w:t> Customer Satisfaction Survey</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575735" w:rsidP="008B5064">
            <w:pPr>
              <w:spacing w:after="0" w:line="0" w:lineRule="atLeast"/>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10</w:t>
            </w:r>
            <w:r w:rsidR="008B5064" w:rsidRPr="00E17F86">
              <w:rPr>
                <w:rFonts w:ascii="Times New Roman" w:eastAsia="Times New Roman" w:hAnsi="Times New Roman" w:cs="Times New Roman"/>
                <w:color w:val="000000"/>
                <w:sz w:val="24"/>
                <w:szCs w:val="24"/>
              </w:rPr>
              <w:t>0,000</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0" w:lineRule="atLeast"/>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1</w:t>
            </w:r>
          </w:p>
        </w:tc>
        <w:tc>
          <w:tcPr>
            <w:tcW w:w="180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0" w:lineRule="atLeast"/>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.25</w:t>
            </w:r>
          </w:p>
        </w:tc>
        <w:tc>
          <w:tcPr>
            <w:tcW w:w="126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bottom"/>
            <w:hideMark/>
          </w:tcPr>
          <w:p w:rsidR="008B5064" w:rsidRPr="00E17F86" w:rsidRDefault="00575735" w:rsidP="00575735">
            <w:pPr>
              <w:spacing w:after="0" w:line="0" w:lineRule="atLeast"/>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25</w:t>
            </w:r>
            <w:r w:rsidR="008B5064" w:rsidRPr="00E17F86">
              <w:rPr>
                <w:rFonts w:ascii="Times New Roman" w:eastAsia="Times New Roman" w:hAnsi="Times New Roman" w:cs="Times New Roman"/>
                <w:color w:val="000000"/>
                <w:sz w:val="24"/>
                <w:szCs w:val="24"/>
              </w:rPr>
              <w:t>,</w:t>
            </w:r>
            <w:r w:rsidRPr="00E17F86">
              <w:rPr>
                <w:rFonts w:ascii="Times New Roman" w:eastAsia="Times New Roman" w:hAnsi="Times New Roman" w:cs="Times New Roman"/>
                <w:color w:val="000000"/>
                <w:sz w:val="24"/>
                <w:szCs w:val="24"/>
              </w:rPr>
              <w:t>0</w:t>
            </w:r>
            <w:r w:rsidR="008B5064" w:rsidRPr="00E17F86">
              <w:rPr>
                <w:rFonts w:ascii="Times New Roman" w:eastAsia="Times New Roman" w:hAnsi="Times New Roman" w:cs="Times New Roman"/>
                <w:color w:val="000000"/>
                <w:sz w:val="24"/>
                <w:szCs w:val="24"/>
              </w:rPr>
              <w:t>00</w:t>
            </w:r>
          </w:p>
        </w:tc>
      </w:tr>
      <w:tr w:rsidR="008B5064" w:rsidRPr="00E17F86" w:rsidTr="008B5064">
        <w:trPr>
          <w:tblCellSpacing w:w="0" w:type="dxa"/>
        </w:trPr>
        <w:tc>
          <w:tcPr>
            <w:tcW w:w="288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tcPr>
          <w:p w:rsidR="008B5064" w:rsidRPr="00E17F86" w:rsidRDefault="008B5064" w:rsidP="008B5064">
            <w:pPr>
              <w:spacing w:after="0" w:line="0" w:lineRule="atLeast"/>
              <w:rPr>
                <w:rFonts w:ascii="Times New Roman" w:eastAsia="Times New Roman" w:hAnsi="Times New Roman" w:cs="Times New Roman"/>
                <w:color w:val="000000"/>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tcPr>
          <w:p w:rsidR="008B5064" w:rsidRPr="00E17F86" w:rsidRDefault="008B5064" w:rsidP="008B5064">
            <w:pPr>
              <w:spacing w:after="0" w:line="0" w:lineRule="atLeast"/>
              <w:rPr>
                <w:rFonts w:ascii="Times New Roman" w:eastAsia="Times New Roman" w:hAnsi="Times New Roman" w:cs="Times New Roman"/>
                <w:color w:val="000000"/>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tcPr>
          <w:p w:rsidR="008B5064" w:rsidRPr="00E17F86" w:rsidRDefault="008B5064" w:rsidP="008B5064">
            <w:pPr>
              <w:spacing w:after="0" w:line="0" w:lineRule="atLeast"/>
              <w:rPr>
                <w:rFonts w:ascii="Times New Roman" w:eastAsia="Times New Roman" w:hAnsi="Times New Roman" w:cs="Times New Roman"/>
                <w:color w:val="000000"/>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tcPr>
          <w:p w:rsidR="008B5064" w:rsidRPr="00E17F86" w:rsidRDefault="008B5064" w:rsidP="008B5064">
            <w:pPr>
              <w:spacing w:after="0" w:line="0" w:lineRule="atLeast"/>
              <w:rPr>
                <w:rFonts w:ascii="Times New Roman" w:eastAsia="Times New Roman" w:hAnsi="Times New Roman" w:cs="Times New Roman"/>
                <w:color w:val="000000"/>
                <w:sz w:val="24"/>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bottom"/>
          </w:tcPr>
          <w:p w:rsidR="008B5064" w:rsidRPr="00E17F86" w:rsidRDefault="008B5064" w:rsidP="008B5064">
            <w:pPr>
              <w:spacing w:after="0" w:line="0" w:lineRule="atLeast"/>
              <w:rPr>
                <w:rFonts w:ascii="Times New Roman" w:eastAsia="Times New Roman" w:hAnsi="Times New Roman" w:cs="Times New Roman"/>
                <w:color w:val="000000"/>
                <w:sz w:val="24"/>
                <w:szCs w:val="24"/>
              </w:rPr>
            </w:pPr>
          </w:p>
        </w:tc>
      </w:tr>
    </w:tbl>
    <w:p w:rsidR="008B5064" w:rsidRPr="00E17F86" w:rsidRDefault="008B5064" w:rsidP="008B5064">
      <w:pPr>
        <w:numPr>
          <w:ilvl w:val="0"/>
          <w:numId w:val="18"/>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Costs to Respondents</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No costs are anticipated.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19"/>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Costs to Federal Government</w:t>
      </w:r>
    </w:p>
    <w:p w:rsidR="008B5064" w:rsidRPr="00E17F86" w:rsidRDefault="008B5064" w:rsidP="00DE5B87">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The anticipated cost to the Federal Government is approximately $356,300 annually.  These costs are comprised of contractor development, analysis, and project write-up costs. </w:t>
      </w:r>
    </w:p>
    <w:p w:rsidR="008B5064" w:rsidRPr="00E17F86" w:rsidRDefault="008B5064" w:rsidP="008B5064">
      <w:pPr>
        <w:shd w:val="clear" w:color="auto" w:fill="FFFFFF"/>
        <w:spacing w:after="0" w:line="240" w:lineRule="auto"/>
        <w:ind w:left="720"/>
        <w:rPr>
          <w:rFonts w:ascii="Times New Roman" w:eastAsia="Times New Roman" w:hAnsi="Times New Roman" w:cs="Times New Roman"/>
          <w:color w:val="000000"/>
          <w:sz w:val="24"/>
          <w:szCs w:val="24"/>
        </w:rPr>
      </w:pPr>
    </w:p>
    <w:p w:rsidR="008B5064" w:rsidRPr="00E17F86" w:rsidRDefault="008B5064" w:rsidP="008B5064">
      <w:pPr>
        <w:numPr>
          <w:ilvl w:val="0"/>
          <w:numId w:val="20"/>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Reason for Change</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Not applicable.  This is a new request for a generic ICR.</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DE5B87" w:rsidRDefault="008B5064" w:rsidP="008B5064">
      <w:pPr>
        <w:numPr>
          <w:ilvl w:val="0"/>
          <w:numId w:val="21"/>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Tabulation of Results, Schedule, Analysis Plans</w:t>
      </w:r>
    </w:p>
    <w:p w:rsidR="00DE5B87" w:rsidRPr="00DE5B87" w:rsidRDefault="00DE5B87" w:rsidP="00DE5B87">
      <w:pPr>
        <w:shd w:val="clear" w:color="auto" w:fill="FFFFFF"/>
        <w:spacing w:after="0" w:line="240" w:lineRule="auto"/>
        <w:rPr>
          <w:rFonts w:ascii="Times New Roman" w:eastAsia="Times New Roman" w:hAnsi="Times New Roman" w:cs="Times New Roman"/>
          <w:color w:val="222222"/>
          <w:sz w:val="24"/>
          <w:szCs w:val="24"/>
        </w:rPr>
      </w:pPr>
      <w:r w:rsidRPr="00DE5B87">
        <w:rPr>
          <w:rFonts w:ascii="Times New Roman" w:eastAsia="Times New Roman" w:hAnsi="Times New Roman" w:cs="Times New Roman"/>
          <w:color w:val="222222"/>
          <w:sz w:val="24"/>
          <w:szCs w:val="24"/>
        </w:rPr>
        <w:t>Feedback collected under this generic clearance provides useful information, but it does not yield data that can be generalized to the overall population. Findings will be used for general service improvement, but are not for publication or other public release. </w:t>
      </w:r>
    </w:p>
    <w:p w:rsidR="00DE5B87" w:rsidRPr="00DE5B87" w:rsidRDefault="00DE5B87" w:rsidP="00DE5B87">
      <w:pPr>
        <w:shd w:val="clear" w:color="auto" w:fill="FFFFFF"/>
        <w:spacing w:after="0" w:line="240" w:lineRule="auto"/>
        <w:rPr>
          <w:rFonts w:ascii="Times New Roman" w:eastAsia="Times New Roman" w:hAnsi="Times New Roman" w:cs="Times New Roman"/>
          <w:color w:val="222222"/>
          <w:sz w:val="24"/>
          <w:szCs w:val="24"/>
        </w:rPr>
      </w:pPr>
      <w:r w:rsidRPr="00DE5B87">
        <w:rPr>
          <w:rFonts w:ascii="Times New Roman" w:eastAsia="Times New Roman" w:hAnsi="Times New Roman" w:cs="Times New Roman"/>
          <w:color w:val="222222"/>
          <w:sz w:val="24"/>
          <w:szCs w:val="24"/>
        </w:rPr>
        <w:t> </w:t>
      </w:r>
    </w:p>
    <w:p w:rsidR="00DE5B87" w:rsidRPr="00DE5B87" w:rsidRDefault="00DE5B87" w:rsidP="00DE5B87">
      <w:pPr>
        <w:shd w:val="clear" w:color="auto" w:fill="FFFFFF"/>
        <w:spacing w:after="0" w:line="240" w:lineRule="auto"/>
        <w:rPr>
          <w:rFonts w:ascii="Times New Roman" w:eastAsia="Times New Roman" w:hAnsi="Times New Roman" w:cs="Times New Roman"/>
          <w:color w:val="222222"/>
          <w:sz w:val="24"/>
          <w:szCs w:val="24"/>
        </w:rPr>
      </w:pPr>
      <w:r w:rsidRPr="00DE5B87">
        <w:rPr>
          <w:rFonts w:ascii="Times New Roman" w:eastAsia="Times New Roman" w:hAnsi="Times New Roman" w:cs="Times New Roman"/>
          <w:color w:val="222222"/>
          <w:sz w:val="24"/>
          <w:szCs w:val="24"/>
        </w:rPr>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p>
    <w:p w:rsidR="00DE5B87" w:rsidRPr="00DE5B87" w:rsidRDefault="00DE5B87" w:rsidP="00DE5B87">
      <w:pPr>
        <w:shd w:val="clear" w:color="auto" w:fill="FFFFFF"/>
        <w:spacing w:after="0" w:line="240" w:lineRule="auto"/>
        <w:ind w:left="360"/>
        <w:rPr>
          <w:rFonts w:ascii="Times New Roman" w:eastAsia="Times New Roman" w:hAnsi="Times New Roman" w:cs="Times New Roman"/>
          <w:color w:val="000000"/>
          <w:sz w:val="24"/>
          <w:szCs w:val="24"/>
        </w:rPr>
      </w:pPr>
    </w:p>
    <w:p w:rsidR="008B5064" w:rsidRPr="00E17F86" w:rsidRDefault="008B5064" w:rsidP="008B5064">
      <w:pPr>
        <w:numPr>
          <w:ilvl w:val="0"/>
          <w:numId w:val="22"/>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Display of OMB Approval Date</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We are requesting no exemption.</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23"/>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Exceptions to Certification for Paperwork Reduction Act Submissions</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These activities comply with the requirements in 5 CFR 1320.9.</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8B5064" w:rsidRDefault="008377A6" w:rsidP="008B506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ca899" stroked="f"/>
        </w:pict>
      </w:r>
    </w:p>
    <w:sectPr w:rsidR="008B5064" w:rsidRPr="008B5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E94"/>
    <w:multiLevelType w:val="multilevel"/>
    <w:tmpl w:val="75E41D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014209"/>
    <w:multiLevelType w:val="multilevel"/>
    <w:tmpl w:val="4716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8140D"/>
    <w:multiLevelType w:val="multilevel"/>
    <w:tmpl w:val="B46663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B97AC8"/>
    <w:multiLevelType w:val="multilevel"/>
    <w:tmpl w:val="4C2CB5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F0458F"/>
    <w:multiLevelType w:val="multilevel"/>
    <w:tmpl w:val="7F66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F46C0"/>
    <w:multiLevelType w:val="multilevel"/>
    <w:tmpl w:val="D63AE7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FB6EAF"/>
    <w:multiLevelType w:val="multilevel"/>
    <w:tmpl w:val="F39E8C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9709BE"/>
    <w:multiLevelType w:val="multilevel"/>
    <w:tmpl w:val="EE8C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062F6F"/>
    <w:multiLevelType w:val="multilevel"/>
    <w:tmpl w:val="F0126C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2D1465"/>
    <w:multiLevelType w:val="multilevel"/>
    <w:tmpl w:val="541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513AD3"/>
    <w:multiLevelType w:val="multilevel"/>
    <w:tmpl w:val="BAEA25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B55BD5"/>
    <w:multiLevelType w:val="multilevel"/>
    <w:tmpl w:val="645A4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B94757"/>
    <w:multiLevelType w:val="multilevel"/>
    <w:tmpl w:val="389406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454D11"/>
    <w:multiLevelType w:val="multilevel"/>
    <w:tmpl w:val="942A95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536A36"/>
    <w:multiLevelType w:val="multilevel"/>
    <w:tmpl w:val="D84EB6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587D51"/>
    <w:multiLevelType w:val="multilevel"/>
    <w:tmpl w:val="D2FA3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A65DA9"/>
    <w:multiLevelType w:val="multilevel"/>
    <w:tmpl w:val="D542BE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43096241"/>
    <w:multiLevelType w:val="multilevel"/>
    <w:tmpl w:val="61AA4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C5416F"/>
    <w:multiLevelType w:val="multilevel"/>
    <w:tmpl w:val="03DC92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7D4EF5"/>
    <w:multiLevelType w:val="multilevel"/>
    <w:tmpl w:val="82E87F3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E0768D"/>
    <w:multiLevelType w:val="multilevel"/>
    <w:tmpl w:val="840A0C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2E0597"/>
    <w:multiLevelType w:val="multilevel"/>
    <w:tmpl w:val="202CB8A2"/>
    <w:lvl w:ilvl="0">
      <w:start w:val="16"/>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5D5CB1"/>
    <w:multiLevelType w:val="multilevel"/>
    <w:tmpl w:val="86529E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5"/>
  </w:num>
  <w:num w:numId="3">
    <w:abstractNumId w:val="10"/>
  </w:num>
  <w:num w:numId="4">
    <w:abstractNumId w:val="1"/>
  </w:num>
  <w:num w:numId="5">
    <w:abstractNumId w:val="4"/>
  </w:num>
  <w:num w:numId="6">
    <w:abstractNumId w:val="7"/>
  </w:num>
  <w:num w:numId="7">
    <w:abstractNumId w:val="9"/>
  </w:num>
  <w:num w:numId="8">
    <w:abstractNumId w:val="11"/>
  </w:num>
  <w:num w:numId="9">
    <w:abstractNumId w:val="2"/>
  </w:num>
  <w:num w:numId="10">
    <w:abstractNumId w:val="22"/>
  </w:num>
  <w:num w:numId="11">
    <w:abstractNumId w:val="8"/>
  </w:num>
  <w:num w:numId="12">
    <w:abstractNumId w:val="17"/>
  </w:num>
  <w:num w:numId="13">
    <w:abstractNumId w:val="5"/>
  </w:num>
  <w:num w:numId="14">
    <w:abstractNumId w:val="12"/>
  </w:num>
  <w:num w:numId="15">
    <w:abstractNumId w:val="20"/>
  </w:num>
  <w:num w:numId="16">
    <w:abstractNumId w:val="13"/>
  </w:num>
  <w:num w:numId="17">
    <w:abstractNumId w:val="0"/>
  </w:num>
  <w:num w:numId="18">
    <w:abstractNumId w:val="18"/>
  </w:num>
  <w:num w:numId="19">
    <w:abstractNumId w:val="6"/>
  </w:num>
  <w:num w:numId="20">
    <w:abstractNumId w:val="3"/>
  </w:num>
  <w:num w:numId="21">
    <w:abstractNumId w:val="2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64"/>
    <w:rsid w:val="00020959"/>
    <w:rsid w:val="00160069"/>
    <w:rsid w:val="00375124"/>
    <w:rsid w:val="00575735"/>
    <w:rsid w:val="005D2114"/>
    <w:rsid w:val="00717A48"/>
    <w:rsid w:val="007C6456"/>
    <w:rsid w:val="008377A6"/>
    <w:rsid w:val="008638A3"/>
    <w:rsid w:val="008B5064"/>
    <w:rsid w:val="009D4EFC"/>
    <w:rsid w:val="00AA071C"/>
    <w:rsid w:val="00BC58CB"/>
    <w:rsid w:val="00DE5B87"/>
    <w:rsid w:val="00E1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B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311307">
      <w:bodyDiv w:val="1"/>
      <w:marLeft w:val="0"/>
      <w:marRight w:val="0"/>
      <w:marTop w:val="0"/>
      <w:marBottom w:val="0"/>
      <w:divBdr>
        <w:top w:val="none" w:sz="0" w:space="0" w:color="auto"/>
        <w:left w:val="none" w:sz="0" w:space="0" w:color="auto"/>
        <w:bottom w:val="none" w:sz="0" w:space="0" w:color="auto"/>
        <w:right w:val="none" w:sz="0" w:space="0" w:color="auto"/>
      </w:divBdr>
      <w:divsChild>
        <w:div w:id="2117014108">
          <w:marLeft w:val="0"/>
          <w:marRight w:val="0"/>
          <w:marTop w:val="0"/>
          <w:marBottom w:val="0"/>
          <w:divBdr>
            <w:top w:val="none" w:sz="0" w:space="0" w:color="auto"/>
            <w:left w:val="none" w:sz="0" w:space="0" w:color="auto"/>
            <w:bottom w:val="none" w:sz="0" w:space="0" w:color="auto"/>
            <w:right w:val="none" w:sz="0" w:space="0" w:color="auto"/>
          </w:divBdr>
          <w:divsChild>
            <w:div w:id="1226914171">
              <w:marLeft w:val="0"/>
              <w:marRight w:val="0"/>
              <w:marTop w:val="0"/>
              <w:marBottom w:val="0"/>
              <w:divBdr>
                <w:top w:val="none" w:sz="0" w:space="0" w:color="auto"/>
                <w:left w:val="none" w:sz="0" w:space="0" w:color="auto"/>
                <w:bottom w:val="none" w:sz="0" w:space="0" w:color="auto"/>
                <w:right w:val="none" w:sz="0" w:space="0" w:color="auto"/>
              </w:divBdr>
            </w:div>
            <w:div w:id="952981215">
              <w:marLeft w:val="75"/>
              <w:marRight w:val="75"/>
              <w:marTop w:val="75"/>
              <w:marBottom w:val="75"/>
              <w:divBdr>
                <w:top w:val="single" w:sz="6" w:space="0" w:color="000000"/>
                <w:left w:val="single" w:sz="6" w:space="0" w:color="000000"/>
                <w:bottom w:val="single" w:sz="6" w:space="0" w:color="000000"/>
                <w:right w:val="single" w:sz="6" w:space="0" w:color="000000"/>
              </w:divBdr>
            </w:div>
            <w:div w:id="1270239494">
              <w:marLeft w:val="75"/>
              <w:marRight w:val="75"/>
              <w:marTop w:val="75"/>
              <w:marBottom w:val="75"/>
              <w:divBdr>
                <w:top w:val="single" w:sz="6" w:space="0" w:color="000000"/>
                <w:left w:val="single" w:sz="6" w:space="0" w:color="000000"/>
                <w:bottom w:val="single" w:sz="6" w:space="0" w:color="000000"/>
                <w:right w:val="single" w:sz="6" w:space="0" w:color="000000"/>
              </w:divBdr>
            </w:div>
          </w:divsChild>
        </w:div>
      </w:divsChild>
    </w:div>
    <w:div w:id="1557005338">
      <w:bodyDiv w:val="1"/>
      <w:marLeft w:val="0"/>
      <w:marRight w:val="0"/>
      <w:marTop w:val="0"/>
      <w:marBottom w:val="0"/>
      <w:divBdr>
        <w:top w:val="none" w:sz="0" w:space="0" w:color="auto"/>
        <w:left w:val="none" w:sz="0" w:space="0" w:color="auto"/>
        <w:bottom w:val="none" w:sz="0" w:space="0" w:color="auto"/>
        <w:right w:val="none" w:sz="0" w:space="0" w:color="auto"/>
      </w:divBdr>
    </w:div>
    <w:div w:id="212660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10421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Joyner, Sylvia B(M/AS/IRD)</dc:creator>
  <cp:lastModifiedBy>Joyner, Sylvia B(M/AS/IRD)</cp:lastModifiedBy>
  <cp:revision>4</cp:revision>
  <cp:lastPrinted>2013-12-23T15:34:00Z</cp:lastPrinted>
  <dcterms:created xsi:type="dcterms:W3CDTF">2013-12-23T16:57:00Z</dcterms:created>
  <dcterms:modified xsi:type="dcterms:W3CDTF">2013-12-23T17:27:00Z</dcterms:modified>
</cp:coreProperties>
</file>