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DC" w:rsidRPr="005B2EBB" w:rsidRDefault="000821DC" w:rsidP="00487510">
      <w:pPr>
        <w:spacing w:line="480" w:lineRule="auto"/>
        <w:rPr>
          <w:sz w:val="52"/>
          <w:szCs w:val="22"/>
        </w:rPr>
      </w:pPr>
      <w:r w:rsidRPr="005B2EBB">
        <w:rPr>
          <w:sz w:val="52"/>
          <w:szCs w:val="22"/>
        </w:rPr>
        <w:t xml:space="preserve">Supporting Statement for </w:t>
      </w:r>
    </w:p>
    <w:p w:rsidR="000821DC" w:rsidRPr="005B2EBB" w:rsidRDefault="000821DC" w:rsidP="00487510">
      <w:pPr>
        <w:spacing w:line="480" w:lineRule="auto"/>
        <w:rPr>
          <w:sz w:val="52"/>
          <w:szCs w:val="22"/>
        </w:rPr>
      </w:pPr>
      <w:r w:rsidRPr="005B2EBB">
        <w:rPr>
          <w:sz w:val="52"/>
          <w:szCs w:val="22"/>
        </w:rPr>
        <w:t xml:space="preserve">Paperwork Reduction Act </w:t>
      </w:r>
    </w:p>
    <w:p w:rsidR="000821DC" w:rsidRPr="005B2EBB" w:rsidRDefault="000821DC" w:rsidP="00487510">
      <w:pPr>
        <w:spacing w:line="480" w:lineRule="auto"/>
        <w:rPr>
          <w:sz w:val="52"/>
          <w:szCs w:val="22"/>
        </w:rPr>
      </w:pPr>
      <w:r w:rsidRPr="005B2EBB">
        <w:rPr>
          <w:sz w:val="52"/>
          <w:szCs w:val="22"/>
        </w:rPr>
        <w:t>Submission for</w:t>
      </w:r>
      <w:r w:rsidR="002D0174" w:rsidRPr="005B2EBB">
        <w:rPr>
          <w:sz w:val="52"/>
          <w:szCs w:val="22"/>
        </w:rPr>
        <w:t xml:space="preserve">, </w:t>
      </w:r>
      <w:r w:rsidR="009A4C40" w:rsidRPr="005B2EBB">
        <w:rPr>
          <w:sz w:val="52"/>
          <w:szCs w:val="22"/>
        </w:rPr>
        <w:t>Supplemental Nutrition Assistance Program Regulations, Part 275- Quality Control</w:t>
      </w:r>
    </w:p>
    <w:p w:rsidR="000821DC" w:rsidRPr="00897BAE" w:rsidRDefault="000821DC" w:rsidP="00487510">
      <w:pPr>
        <w:spacing w:line="480" w:lineRule="auto"/>
        <w:rPr>
          <w:sz w:val="22"/>
          <w:szCs w:val="22"/>
        </w:rPr>
      </w:pPr>
      <w:r w:rsidRPr="005B2EBB">
        <w:rPr>
          <w:sz w:val="52"/>
          <w:szCs w:val="22"/>
        </w:rPr>
        <w:t xml:space="preserve">OMB Number </w:t>
      </w:r>
      <w:r w:rsidR="002533CC" w:rsidRPr="005B2EBB">
        <w:rPr>
          <w:sz w:val="52"/>
          <w:szCs w:val="22"/>
        </w:rPr>
        <w:t>0584-</w:t>
      </w:r>
      <w:r w:rsidR="00D27C3A" w:rsidRPr="005B2EBB">
        <w:rPr>
          <w:sz w:val="52"/>
          <w:szCs w:val="22"/>
        </w:rPr>
        <w:t>0303</w:t>
      </w:r>
    </w:p>
    <w:p w:rsidR="000821DC" w:rsidRPr="00897BAE" w:rsidRDefault="000821DC" w:rsidP="0020378A">
      <w:pPr>
        <w:rPr>
          <w:b/>
          <w:sz w:val="22"/>
          <w:szCs w:val="22"/>
        </w:rPr>
      </w:pPr>
    </w:p>
    <w:p w:rsidR="000821DC" w:rsidRPr="00897BAE" w:rsidRDefault="000821DC" w:rsidP="0020378A">
      <w:pPr>
        <w:rPr>
          <w:sz w:val="22"/>
          <w:szCs w:val="22"/>
        </w:rPr>
      </w:pPr>
    </w:p>
    <w:p w:rsidR="000821DC" w:rsidRPr="00897BAE" w:rsidRDefault="000821DC" w:rsidP="0020378A">
      <w:pPr>
        <w:rPr>
          <w:sz w:val="22"/>
          <w:szCs w:val="22"/>
        </w:rPr>
      </w:pPr>
    </w:p>
    <w:p w:rsidR="000821DC" w:rsidRPr="00897BAE" w:rsidRDefault="000821DC" w:rsidP="0020378A">
      <w:pPr>
        <w:rPr>
          <w:sz w:val="22"/>
          <w:szCs w:val="22"/>
        </w:rPr>
      </w:pPr>
    </w:p>
    <w:p w:rsidR="003F65A9" w:rsidRPr="00897BAE" w:rsidRDefault="003F65A9" w:rsidP="0020378A">
      <w:pPr>
        <w:rPr>
          <w:sz w:val="22"/>
          <w:szCs w:val="22"/>
        </w:rPr>
      </w:pPr>
    </w:p>
    <w:p w:rsidR="007A23C3" w:rsidRPr="00897BAE" w:rsidRDefault="007A23C3" w:rsidP="0020378A">
      <w:pPr>
        <w:rPr>
          <w:b/>
          <w:i/>
          <w:iCs/>
          <w:sz w:val="22"/>
          <w:szCs w:val="22"/>
        </w:rPr>
      </w:pPr>
    </w:p>
    <w:p w:rsidR="00D703A0" w:rsidRPr="00897BAE" w:rsidRDefault="00D703A0" w:rsidP="0020378A">
      <w:pPr>
        <w:rPr>
          <w:b/>
          <w:i/>
          <w:iCs/>
          <w:sz w:val="22"/>
          <w:szCs w:val="22"/>
        </w:rPr>
      </w:pPr>
    </w:p>
    <w:p w:rsidR="00D703A0" w:rsidRPr="00897BAE" w:rsidRDefault="00D703A0" w:rsidP="0020378A">
      <w:pPr>
        <w:rPr>
          <w:b/>
          <w:i/>
          <w:iCs/>
          <w:sz w:val="22"/>
          <w:szCs w:val="22"/>
        </w:rPr>
      </w:pPr>
    </w:p>
    <w:p w:rsidR="00D703A0" w:rsidRPr="00897BAE" w:rsidRDefault="00D703A0" w:rsidP="0020378A">
      <w:pPr>
        <w:rPr>
          <w:b/>
          <w:i/>
          <w:iCs/>
          <w:sz w:val="22"/>
          <w:szCs w:val="22"/>
        </w:rPr>
      </w:pPr>
    </w:p>
    <w:p w:rsidR="007A23C3" w:rsidRPr="00897BAE" w:rsidRDefault="007A23C3" w:rsidP="0020378A">
      <w:pPr>
        <w:rPr>
          <w:b/>
          <w:i/>
          <w:iCs/>
          <w:sz w:val="22"/>
          <w:szCs w:val="22"/>
        </w:rPr>
      </w:pPr>
    </w:p>
    <w:p w:rsidR="007A23C3" w:rsidRPr="00897BAE" w:rsidRDefault="007A23C3" w:rsidP="0020378A">
      <w:pPr>
        <w:rPr>
          <w:b/>
          <w:i/>
          <w:iCs/>
          <w:sz w:val="22"/>
          <w:szCs w:val="22"/>
        </w:rPr>
      </w:pPr>
    </w:p>
    <w:p w:rsidR="007A23C3" w:rsidRPr="00897BAE" w:rsidRDefault="007A23C3" w:rsidP="0020378A">
      <w:pPr>
        <w:rPr>
          <w:b/>
          <w:i/>
          <w:iCs/>
          <w:sz w:val="22"/>
          <w:szCs w:val="22"/>
        </w:rPr>
      </w:pPr>
    </w:p>
    <w:p w:rsidR="007A23C3" w:rsidRPr="00897BAE" w:rsidRDefault="007A23C3" w:rsidP="0020378A">
      <w:pPr>
        <w:rPr>
          <w:b/>
          <w:i/>
          <w:iCs/>
          <w:sz w:val="22"/>
          <w:szCs w:val="22"/>
        </w:rPr>
      </w:pPr>
    </w:p>
    <w:p w:rsidR="007A23C3" w:rsidRPr="00897BAE" w:rsidRDefault="007A23C3" w:rsidP="0020378A">
      <w:pPr>
        <w:rPr>
          <w:b/>
          <w:i/>
          <w:iCs/>
          <w:sz w:val="22"/>
          <w:szCs w:val="22"/>
        </w:rPr>
      </w:pPr>
    </w:p>
    <w:p w:rsidR="000821DC" w:rsidRPr="00897BAE" w:rsidRDefault="000821DC" w:rsidP="0020378A">
      <w:pPr>
        <w:rPr>
          <w:b/>
          <w:i/>
          <w:iCs/>
          <w:sz w:val="22"/>
          <w:szCs w:val="22"/>
        </w:rPr>
      </w:pPr>
      <w:r w:rsidRPr="00897BAE">
        <w:rPr>
          <w:b/>
          <w:i/>
          <w:iCs/>
          <w:sz w:val="22"/>
          <w:szCs w:val="22"/>
        </w:rPr>
        <w:t>Prepared by:</w:t>
      </w:r>
    </w:p>
    <w:p w:rsidR="000821DC" w:rsidRPr="00897BAE" w:rsidRDefault="000821DC" w:rsidP="0020378A">
      <w:pPr>
        <w:rPr>
          <w:b/>
          <w:sz w:val="22"/>
          <w:szCs w:val="22"/>
        </w:rPr>
      </w:pPr>
      <w:r w:rsidRPr="00897BAE">
        <w:rPr>
          <w:b/>
          <w:sz w:val="22"/>
          <w:szCs w:val="22"/>
        </w:rPr>
        <w:t xml:space="preserve">Tiffany </w:t>
      </w:r>
      <w:r w:rsidR="002452BD" w:rsidRPr="00897BAE">
        <w:rPr>
          <w:b/>
          <w:sz w:val="22"/>
          <w:szCs w:val="22"/>
        </w:rPr>
        <w:t>Wilkinson</w:t>
      </w:r>
    </w:p>
    <w:p w:rsidR="000821DC" w:rsidRPr="00897BAE" w:rsidRDefault="000821DC" w:rsidP="0020378A">
      <w:pPr>
        <w:rPr>
          <w:sz w:val="22"/>
          <w:szCs w:val="22"/>
        </w:rPr>
      </w:pPr>
      <w:r w:rsidRPr="00897BAE">
        <w:rPr>
          <w:sz w:val="22"/>
          <w:szCs w:val="22"/>
        </w:rPr>
        <w:t>U.S. Department of Agriculture</w:t>
      </w:r>
    </w:p>
    <w:p w:rsidR="000821DC" w:rsidRPr="00897BAE" w:rsidRDefault="000821DC" w:rsidP="0020378A">
      <w:pPr>
        <w:rPr>
          <w:sz w:val="22"/>
          <w:szCs w:val="22"/>
        </w:rPr>
      </w:pPr>
      <w:r w:rsidRPr="00897BAE">
        <w:rPr>
          <w:sz w:val="22"/>
          <w:szCs w:val="22"/>
        </w:rPr>
        <w:t>Food and Nutrition Service</w:t>
      </w:r>
    </w:p>
    <w:p w:rsidR="000821DC" w:rsidRPr="00897BAE" w:rsidRDefault="000821DC" w:rsidP="0020378A">
      <w:pPr>
        <w:rPr>
          <w:sz w:val="22"/>
          <w:szCs w:val="22"/>
        </w:rPr>
      </w:pPr>
      <w:r w:rsidRPr="00897BAE">
        <w:rPr>
          <w:sz w:val="22"/>
          <w:szCs w:val="22"/>
        </w:rPr>
        <w:t>3101 Park Center Drive</w:t>
      </w:r>
      <w:r w:rsidR="002337F2" w:rsidRPr="00897BAE">
        <w:rPr>
          <w:sz w:val="22"/>
          <w:szCs w:val="22"/>
        </w:rPr>
        <w:t xml:space="preserve">, Room </w:t>
      </w:r>
      <w:r w:rsidR="002452BD" w:rsidRPr="00897BAE">
        <w:rPr>
          <w:sz w:val="22"/>
          <w:szCs w:val="22"/>
        </w:rPr>
        <w:t>822</w:t>
      </w:r>
    </w:p>
    <w:p w:rsidR="000821DC" w:rsidRPr="00897BAE" w:rsidRDefault="000821DC" w:rsidP="0020378A">
      <w:pPr>
        <w:rPr>
          <w:sz w:val="22"/>
          <w:szCs w:val="22"/>
          <w:lang w:val="fr-FR"/>
        </w:rPr>
      </w:pPr>
      <w:r w:rsidRPr="00897BAE">
        <w:rPr>
          <w:sz w:val="22"/>
          <w:szCs w:val="22"/>
          <w:lang w:val="fr-FR"/>
        </w:rPr>
        <w:t>Alexandria, VA 22302</w:t>
      </w:r>
    </w:p>
    <w:p w:rsidR="000821DC" w:rsidRPr="00897BAE" w:rsidRDefault="000821DC" w:rsidP="0020378A">
      <w:pPr>
        <w:rPr>
          <w:sz w:val="22"/>
          <w:szCs w:val="22"/>
          <w:lang w:val="fr-FR"/>
        </w:rPr>
      </w:pPr>
      <w:r w:rsidRPr="00897BAE">
        <w:rPr>
          <w:sz w:val="22"/>
          <w:szCs w:val="22"/>
          <w:lang w:val="fr-FR"/>
        </w:rPr>
        <w:t>703-305-</w:t>
      </w:r>
      <w:r w:rsidR="002452BD" w:rsidRPr="00897BAE">
        <w:rPr>
          <w:sz w:val="22"/>
          <w:szCs w:val="22"/>
          <w:lang w:val="fr-FR"/>
        </w:rPr>
        <w:t>2410</w:t>
      </w:r>
    </w:p>
    <w:p w:rsidR="007A23C3" w:rsidRPr="00897BAE" w:rsidRDefault="00982B9C" w:rsidP="0020378A">
      <w:pPr>
        <w:rPr>
          <w:b/>
          <w:sz w:val="22"/>
          <w:szCs w:val="22"/>
          <w:lang w:val="fr-FR"/>
        </w:rPr>
      </w:pPr>
      <w:hyperlink r:id="rId9" w:history="1">
        <w:r w:rsidR="002452BD" w:rsidRPr="00897BAE">
          <w:rPr>
            <w:rStyle w:val="Hyperlink"/>
            <w:sz w:val="22"/>
            <w:szCs w:val="22"/>
            <w:lang w:val="fr-FR"/>
          </w:rPr>
          <w:t>Tiffany.Wilkinson@fns.usda.gov</w:t>
        </w:r>
      </w:hyperlink>
    </w:p>
    <w:p w:rsidR="006105B8" w:rsidRPr="00897BAE" w:rsidRDefault="007A23C3" w:rsidP="0020378A">
      <w:pPr>
        <w:rPr>
          <w:b/>
          <w:sz w:val="22"/>
          <w:szCs w:val="22"/>
        </w:rPr>
      </w:pPr>
      <w:r w:rsidRPr="00897BAE">
        <w:rPr>
          <w:b/>
          <w:sz w:val="22"/>
          <w:szCs w:val="22"/>
          <w:lang w:val="fr-FR"/>
        </w:rPr>
        <w:br w:type="page"/>
      </w:r>
      <w:bookmarkStart w:id="0" w:name="_Toc235245386"/>
      <w:bookmarkStart w:id="1" w:name="_Toc237659379"/>
      <w:r w:rsidR="000821DC" w:rsidRPr="00897BAE">
        <w:rPr>
          <w:b/>
          <w:sz w:val="22"/>
          <w:szCs w:val="22"/>
        </w:rPr>
        <w:lastRenderedPageBreak/>
        <w:t>Table of Contents</w:t>
      </w:r>
      <w:bookmarkEnd w:id="0"/>
      <w:bookmarkEnd w:id="1"/>
      <w:r w:rsidR="000821DC" w:rsidRPr="00897BAE">
        <w:rPr>
          <w:b/>
          <w:sz w:val="22"/>
          <w:szCs w:val="22"/>
        </w:rPr>
        <w:t xml:space="preserve"> </w:t>
      </w:r>
    </w:p>
    <w:p w:rsidR="00A851B6" w:rsidRPr="00897BAE" w:rsidRDefault="00A851B6" w:rsidP="0020378A">
      <w:pPr>
        <w:keepNext/>
        <w:autoSpaceDE w:val="0"/>
        <w:autoSpaceDN w:val="0"/>
        <w:adjustRightInd w:val="0"/>
        <w:outlineLvl w:val="0"/>
        <w:rPr>
          <w:b/>
          <w:sz w:val="22"/>
          <w:szCs w:val="22"/>
        </w:rPr>
      </w:pPr>
    </w:p>
    <w:p w:rsidR="006105B8" w:rsidRPr="00897BAE" w:rsidRDefault="006105B8" w:rsidP="0020378A">
      <w:pPr>
        <w:keepNext/>
        <w:autoSpaceDE w:val="0"/>
        <w:autoSpaceDN w:val="0"/>
        <w:adjustRightInd w:val="0"/>
        <w:outlineLvl w:val="0"/>
        <w:rPr>
          <w:sz w:val="22"/>
          <w:szCs w:val="22"/>
          <w:u w:val="single"/>
        </w:rPr>
      </w:pPr>
      <w:r w:rsidRPr="00897BAE">
        <w:rPr>
          <w:sz w:val="22"/>
          <w:szCs w:val="22"/>
          <w:u w:val="single"/>
        </w:rPr>
        <w:t>Justification</w:t>
      </w:r>
    </w:p>
    <w:tbl>
      <w:tblPr>
        <w:tblW w:w="8718" w:type="dxa"/>
        <w:tblInd w:w="91" w:type="dxa"/>
        <w:tblLook w:val="04A0" w:firstRow="1" w:lastRow="0" w:firstColumn="1" w:lastColumn="0" w:noHBand="0" w:noVBand="1"/>
      </w:tblPr>
      <w:tblGrid>
        <w:gridCol w:w="551"/>
        <w:gridCol w:w="7618"/>
        <w:gridCol w:w="549"/>
      </w:tblGrid>
      <w:tr w:rsidR="00E63AE6" w:rsidRPr="00897BAE" w:rsidTr="00664E01">
        <w:trPr>
          <w:trHeight w:val="288"/>
        </w:trPr>
        <w:tc>
          <w:tcPr>
            <w:tcW w:w="551" w:type="dxa"/>
            <w:tcBorders>
              <w:top w:val="nil"/>
              <w:left w:val="nil"/>
              <w:bottom w:val="nil"/>
              <w:right w:val="nil"/>
            </w:tcBorders>
          </w:tcPr>
          <w:p w:rsidR="00E63AE6" w:rsidRPr="00897BAE" w:rsidRDefault="00E63AE6" w:rsidP="00664E01">
            <w:pPr>
              <w:rPr>
                <w:color w:val="000000"/>
                <w:sz w:val="22"/>
                <w:szCs w:val="22"/>
              </w:rPr>
            </w:pPr>
            <w:r w:rsidRPr="00897BAE">
              <w:rPr>
                <w:color w:val="000000"/>
                <w:sz w:val="22"/>
                <w:szCs w:val="22"/>
              </w:rPr>
              <w:t>1.</w:t>
            </w:r>
          </w:p>
        </w:tc>
        <w:tc>
          <w:tcPr>
            <w:tcW w:w="7618" w:type="dxa"/>
            <w:tcBorders>
              <w:top w:val="nil"/>
              <w:left w:val="nil"/>
              <w:bottom w:val="nil"/>
              <w:right w:val="nil"/>
            </w:tcBorders>
            <w:shd w:val="clear" w:color="auto" w:fill="auto"/>
            <w:noWrap/>
            <w:vAlign w:val="bottom"/>
            <w:hideMark/>
          </w:tcPr>
          <w:p w:rsidR="00E63AE6" w:rsidRPr="00897BAE" w:rsidRDefault="00E63AE6" w:rsidP="00664E01">
            <w:pPr>
              <w:rPr>
                <w:color w:val="000000"/>
                <w:sz w:val="22"/>
                <w:szCs w:val="22"/>
              </w:rPr>
            </w:pPr>
            <w:r w:rsidRPr="00897BAE">
              <w:rPr>
                <w:color w:val="000000"/>
                <w:sz w:val="22"/>
                <w:szCs w:val="22"/>
              </w:rPr>
              <w:t xml:space="preserve">Explanation of Circumstances That Make Collection of Data Necessary  </w:t>
            </w:r>
          </w:p>
        </w:tc>
        <w:tc>
          <w:tcPr>
            <w:tcW w:w="549" w:type="dxa"/>
            <w:tcBorders>
              <w:top w:val="nil"/>
              <w:left w:val="nil"/>
              <w:bottom w:val="nil"/>
              <w:right w:val="nil"/>
            </w:tcBorders>
          </w:tcPr>
          <w:p w:rsidR="00E63AE6" w:rsidRPr="00897BAE" w:rsidRDefault="00E63AE6" w:rsidP="00664E01">
            <w:pPr>
              <w:rPr>
                <w:color w:val="000000"/>
                <w:sz w:val="22"/>
                <w:szCs w:val="22"/>
              </w:rPr>
            </w:pPr>
            <w:r w:rsidRPr="00897BAE">
              <w:rPr>
                <w:color w:val="000000"/>
                <w:sz w:val="22"/>
                <w:szCs w:val="22"/>
              </w:rPr>
              <w:t>3</w:t>
            </w:r>
          </w:p>
        </w:tc>
      </w:tr>
      <w:tr w:rsidR="00E63AE6" w:rsidRPr="00897BAE" w:rsidTr="00664E01">
        <w:trPr>
          <w:trHeight w:val="288"/>
        </w:trPr>
        <w:tc>
          <w:tcPr>
            <w:tcW w:w="551" w:type="dxa"/>
            <w:tcBorders>
              <w:top w:val="nil"/>
              <w:left w:val="nil"/>
              <w:bottom w:val="nil"/>
              <w:right w:val="nil"/>
            </w:tcBorders>
          </w:tcPr>
          <w:p w:rsidR="00E63AE6" w:rsidRPr="00897BAE" w:rsidRDefault="00E63AE6" w:rsidP="00664E01">
            <w:pPr>
              <w:rPr>
                <w:color w:val="000000"/>
                <w:sz w:val="22"/>
                <w:szCs w:val="22"/>
              </w:rPr>
            </w:pPr>
            <w:r w:rsidRPr="00897BAE">
              <w:rPr>
                <w:color w:val="000000"/>
                <w:sz w:val="22"/>
                <w:szCs w:val="22"/>
              </w:rPr>
              <w:t>2.</w:t>
            </w:r>
          </w:p>
        </w:tc>
        <w:tc>
          <w:tcPr>
            <w:tcW w:w="7618" w:type="dxa"/>
            <w:tcBorders>
              <w:top w:val="nil"/>
              <w:left w:val="nil"/>
              <w:bottom w:val="nil"/>
              <w:right w:val="nil"/>
            </w:tcBorders>
            <w:shd w:val="clear" w:color="auto" w:fill="auto"/>
            <w:noWrap/>
            <w:vAlign w:val="bottom"/>
            <w:hideMark/>
          </w:tcPr>
          <w:p w:rsidR="00E63AE6" w:rsidRPr="00897BAE" w:rsidRDefault="00E63AE6" w:rsidP="00664E01">
            <w:pPr>
              <w:rPr>
                <w:color w:val="000000"/>
                <w:sz w:val="22"/>
                <w:szCs w:val="22"/>
              </w:rPr>
            </w:pPr>
            <w:r w:rsidRPr="00897BAE">
              <w:rPr>
                <w:color w:val="000000"/>
                <w:sz w:val="22"/>
                <w:szCs w:val="22"/>
              </w:rPr>
              <w:t xml:space="preserve">Purpose and Use of the Information    </w:t>
            </w:r>
          </w:p>
        </w:tc>
        <w:tc>
          <w:tcPr>
            <w:tcW w:w="549" w:type="dxa"/>
            <w:tcBorders>
              <w:top w:val="nil"/>
              <w:left w:val="nil"/>
              <w:bottom w:val="nil"/>
              <w:right w:val="nil"/>
            </w:tcBorders>
          </w:tcPr>
          <w:p w:rsidR="00E63AE6" w:rsidRPr="00897BAE" w:rsidRDefault="009A7DA0" w:rsidP="00664E01">
            <w:pPr>
              <w:rPr>
                <w:color w:val="000000"/>
                <w:sz w:val="22"/>
                <w:szCs w:val="22"/>
              </w:rPr>
            </w:pPr>
            <w:r w:rsidRPr="00897BAE">
              <w:rPr>
                <w:color w:val="000000"/>
                <w:sz w:val="22"/>
                <w:szCs w:val="22"/>
              </w:rPr>
              <w:t>5</w:t>
            </w:r>
          </w:p>
        </w:tc>
      </w:tr>
      <w:tr w:rsidR="00E63AE6" w:rsidRPr="00897BAE" w:rsidTr="00664E01">
        <w:trPr>
          <w:trHeight w:val="288"/>
        </w:trPr>
        <w:tc>
          <w:tcPr>
            <w:tcW w:w="551" w:type="dxa"/>
            <w:tcBorders>
              <w:top w:val="nil"/>
              <w:left w:val="nil"/>
              <w:bottom w:val="nil"/>
              <w:right w:val="nil"/>
            </w:tcBorders>
          </w:tcPr>
          <w:p w:rsidR="00E63AE6" w:rsidRPr="00897BAE" w:rsidRDefault="00E63AE6" w:rsidP="00664E01">
            <w:pPr>
              <w:rPr>
                <w:color w:val="000000"/>
                <w:sz w:val="22"/>
                <w:szCs w:val="22"/>
              </w:rPr>
            </w:pPr>
            <w:r w:rsidRPr="00897BAE">
              <w:rPr>
                <w:color w:val="000000"/>
                <w:sz w:val="22"/>
                <w:szCs w:val="22"/>
              </w:rPr>
              <w:t>3.</w:t>
            </w:r>
          </w:p>
        </w:tc>
        <w:tc>
          <w:tcPr>
            <w:tcW w:w="7618" w:type="dxa"/>
            <w:tcBorders>
              <w:top w:val="nil"/>
              <w:left w:val="nil"/>
              <w:bottom w:val="nil"/>
              <w:right w:val="nil"/>
            </w:tcBorders>
            <w:shd w:val="clear" w:color="auto" w:fill="auto"/>
            <w:noWrap/>
            <w:vAlign w:val="bottom"/>
            <w:hideMark/>
          </w:tcPr>
          <w:p w:rsidR="00E63AE6" w:rsidRPr="00897BAE" w:rsidRDefault="00E63AE6" w:rsidP="00664E01">
            <w:pPr>
              <w:rPr>
                <w:color w:val="000000"/>
                <w:sz w:val="22"/>
                <w:szCs w:val="22"/>
              </w:rPr>
            </w:pPr>
            <w:r w:rsidRPr="00897BAE">
              <w:rPr>
                <w:color w:val="000000"/>
                <w:sz w:val="22"/>
                <w:szCs w:val="22"/>
              </w:rPr>
              <w:t xml:space="preserve">Use of Information Technology to Burden Reduction   </w:t>
            </w:r>
          </w:p>
        </w:tc>
        <w:tc>
          <w:tcPr>
            <w:tcW w:w="549" w:type="dxa"/>
            <w:tcBorders>
              <w:top w:val="nil"/>
              <w:left w:val="nil"/>
              <w:bottom w:val="nil"/>
              <w:right w:val="nil"/>
            </w:tcBorders>
          </w:tcPr>
          <w:p w:rsidR="00E63AE6" w:rsidRPr="00897BAE" w:rsidRDefault="009A7DA0" w:rsidP="00664E01">
            <w:pPr>
              <w:rPr>
                <w:color w:val="000000"/>
                <w:sz w:val="22"/>
                <w:szCs w:val="22"/>
              </w:rPr>
            </w:pPr>
            <w:r w:rsidRPr="00897BAE">
              <w:rPr>
                <w:color w:val="000000"/>
                <w:sz w:val="22"/>
                <w:szCs w:val="22"/>
              </w:rPr>
              <w:t>6</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4.</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Efforts to Identify Duplication and Use of Similar Information   </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7</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5.</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Impacts Small Businesses or Other Small Entities    </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7</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6.</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Consequences of Collecting the Information Less Frequently    </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7</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7.</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Special Circumstances Relating to the Guideline of 5 CFR 1320.5</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8</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8.</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Comments in Response to the Federal Register Notice and Efforts to Consult Outside Agency         </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8</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9.</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Explanation of Any Payment or Gift to Respondents       </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8</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10.</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Assurance of Confidentiality Provided to Respondents       </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9</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11.</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Justification for Sensitive Questions </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9</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12.</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Estimates of Hour Burden Including Annualized Hourly Costs </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9</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13.</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Estimates of Other Total Annual Cost Burden to Respondents or Record Keepers</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1</w:t>
            </w:r>
            <w:r w:rsidR="000F4E0C">
              <w:rPr>
                <w:color w:val="000000"/>
                <w:sz w:val="22"/>
                <w:szCs w:val="22"/>
              </w:rPr>
              <w:t>4</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14.</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Annualized Cost to Federal Government </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1</w:t>
            </w:r>
            <w:r w:rsidR="000F4E0C">
              <w:rPr>
                <w:color w:val="000000"/>
                <w:sz w:val="22"/>
                <w:szCs w:val="22"/>
              </w:rPr>
              <w:t>4</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15.</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Explanation for Program Changes or Adjustments    </w:t>
            </w:r>
          </w:p>
        </w:tc>
        <w:tc>
          <w:tcPr>
            <w:tcW w:w="549" w:type="dxa"/>
            <w:tcBorders>
              <w:top w:val="nil"/>
              <w:left w:val="nil"/>
              <w:bottom w:val="nil"/>
              <w:right w:val="nil"/>
            </w:tcBorders>
          </w:tcPr>
          <w:p w:rsidR="009A7DA0" w:rsidRPr="00897BAE" w:rsidRDefault="009A7DA0" w:rsidP="00531B4B">
            <w:pPr>
              <w:rPr>
                <w:color w:val="000000"/>
                <w:sz w:val="22"/>
                <w:szCs w:val="22"/>
              </w:rPr>
            </w:pPr>
            <w:r w:rsidRPr="00897BAE">
              <w:rPr>
                <w:color w:val="000000"/>
                <w:sz w:val="22"/>
                <w:szCs w:val="22"/>
              </w:rPr>
              <w:t>1</w:t>
            </w:r>
            <w:r w:rsidR="000F4E0C">
              <w:rPr>
                <w:color w:val="000000"/>
                <w:sz w:val="22"/>
                <w:szCs w:val="22"/>
              </w:rPr>
              <w:t>5</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16.</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Plans for Tabulation and Publication and Project Time Schedule </w:t>
            </w:r>
          </w:p>
        </w:tc>
        <w:tc>
          <w:tcPr>
            <w:tcW w:w="549"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w:t>
            </w:r>
            <w:r w:rsidR="005B2EBB">
              <w:rPr>
                <w:color w:val="000000"/>
                <w:sz w:val="22"/>
                <w:szCs w:val="22"/>
              </w:rPr>
              <w:t>6</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17.</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Reason(s) Display of OMB Expiration Date is Inappropriate  </w:t>
            </w:r>
          </w:p>
        </w:tc>
        <w:tc>
          <w:tcPr>
            <w:tcW w:w="549"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w:t>
            </w:r>
            <w:r w:rsidR="005B2EBB">
              <w:rPr>
                <w:color w:val="000000"/>
                <w:sz w:val="22"/>
                <w:szCs w:val="22"/>
              </w:rPr>
              <w:t>6</w:t>
            </w:r>
          </w:p>
        </w:tc>
      </w:tr>
      <w:tr w:rsidR="009A7DA0" w:rsidRPr="00897BAE" w:rsidTr="00664E01">
        <w:trPr>
          <w:trHeight w:val="288"/>
        </w:trPr>
        <w:tc>
          <w:tcPr>
            <w:tcW w:w="551"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18.</w:t>
            </w:r>
          </w:p>
        </w:tc>
        <w:tc>
          <w:tcPr>
            <w:tcW w:w="7618" w:type="dxa"/>
            <w:tcBorders>
              <w:top w:val="nil"/>
              <w:left w:val="nil"/>
              <w:bottom w:val="nil"/>
              <w:right w:val="nil"/>
            </w:tcBorders>
            <w:shd w:val="clear" w:color="auto" w:fill="auto"/>
            <w:noWrap/>
            <w:vAlign w:val="bottom"/>
            <w:hideMark/>
          </w:tcPr>
          <w:p w:rsidR="009A7DA0" w:rsidRPr="00897BAE" w:rsidRDefault="009A7DA0" w:rsidP="00664E01">
            <w:pPr>
              <w:rPr>
                <w:color w:val="000000"/>
                <w:sz w:val="22"/>
                <w:szCs w:val="22"/>
              </w:rPr>
            </w:pPr>
            <w:r w:rsidRPr="00897BAE">
              <w:rPr>
                <w:color w:val="000000"/>
                <w:sz w:val="22"/>
                <w:szCs w:val="22"/>
              </w:rPr>
              <w:t xml:space="preserve">Exceptions to Certification for Paperwork Reduction Act Submission   </w:t>
            </w:r>
          </w:p>
        </w:tc>
        <w:tc>
          <w:tcPr>
            <w:tcW w:w="549" w:type="dxa"/>
            <w:tcBorders>
              <w:top w:val="nil"/>
              <w:left w:val="nil"/>
              <w:bottom w:val="nil"/>
              <w:right w:val="nil"/>
            </w:tcBorders>
          </w:tcPr>
          <w:p w:rsidR="009A7DA0" w:rsidRPr="00897BAE" w:rsidRDefault="009A7DA0" w:rsidP="00664E01">
            <w:pPr>
              <w:rPr>
                <w:color w:val="000000"/>
                <w:sz w:val="22"/>
                <w:szCs w:val="22"/>
              </w:rPr>
            </w:pPr>
            <w:r w:rsidRPr="00897BAE">
              <w:rPr>
                <w:color w:val="000000"/>
                <w:sz w:val="22"/>
                <w:szCs w:val="22"/>
              </w:rPr>
              <w:t>1</w:t>
            </w:r>
            <w:r w:rsidR="005B2EBB">
              <w:rPr>
                <w:color w:val="000000"/>
                <w:sz w:val="22"/>
                <w:szCs w:val="22"/>
              </w:rPr>
              <w:t>6</w:t>
            </w:r>
          </w:p>
        </w:tc>
      </w:tr>
    </w:tbl>
    <w:p w:rsidR="006105B8" w:rsidRPr="00897BAE" w:rsidRDefault="006105B8" w:rsidP="0020378A">
      <w:pPr>
        <w:keepNext/>
        <w:autoSpaceDE w:val="0"/>
        <w:autoSpaceDN w:val="0"/>
        <w:adjustRightInd w:val="0"/>
        <w:outlineLvl w:val="0"/>
        <w:rPr>
          <w:sz w:val="22"/>
          <w:szCs w:val="22"/>
        </w:rPr>
      </w:pPr>
    </w:p>
    <w:p w:rsidR="00ED7327" w:rsidRPr="00897BAE" w:rsidRDefault="00C82026" w:rsidP="00A51FFC">
      <w:pPr>
        <w:numPr>
          <w:ilvl w:val="0"/>
          <w:numId w:val="10"/>
        </w:numPr>
        <w:spacing w:line="480" w:lineRule="auto"/>
        <w:ind w:left="90" w:right="-180" w:firstLine="0"/>
        <w:contextualSpacing/>
        <w:rPr>
          <w:b/>
          <w:sz w:val="22"/>
          <w:szCs w:val="22"/>
          <w:u w:val="single"/>
        </w:rPr>
      </w:pPr>
      <w:r w:rsidRPr="00897BAE">
        <w:rPr>
          <w:b/>
          <w:sz w:val="22"/>
          <w:szCs w:val="22"/>
          <w:u w:val="single"/>
        </w:rPr>
        <w:br w:type="page"/>
      </w:r>
      <w:r w:rsidR="00664E01" w:rsidRPr="00897BAE">
        <w:rPr>
          <w:b/>
          <w:sz w:val="22"/>
          <w:szCs w:val="22"/>
          <w:u w:val="single"/>
        </w:rPr>
        <w:lastRenderedPageBreak/>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107BD" w:rsidRPr="00897BAE">
        <w:rPr>
          <w:b/>
          <w:sz w:val="22"/>
          <w:szCs w:val="22"/>
          <w:u w:val="single"/>
        </w:rPr>
        <w:t>.</w:t>
      </w:r>
    </w:p>
    <w:p w:rsidR="00BF17ED" w:rsidRPr="00897BAE" w:rsidRDefault="00BF333B" w:rsidP="00A51FFC">
      <w:pPr>
        <w:suppressAutoHyphens/>
        <w:spacing w:line="480" w:lineRule="auto"/>
        <w:ind w:left="90"/>
        <w:rPr>
          <w:sz w:val="22"/>
          <w:szCs w:val="22"/>
        </w:rPr>
      </w:pPr>
      <w:r w:rsidRPr="00897BAE">
        <w:rPr>
          <w:sz w:val="22"/>
          <w:szCs w:val="22"/>
        </w:rPr>
        <w:t xml:space="preserve">This is a revision of a currently approved data collection.  The </w:t>
      </w:r>
      <w:r w:rsidR="00982B9C" w:rsidRPr="00897BAE">
        <w:rPr>
          <w:sz w:val="22"/>
          <w:szCs w:val="22"/>
        </w:rPr>
        <w:t xml:space="preserve">collection </w:t>
      </w:r>
      <w:r w:rsidRPr="00897BAE">
        <w:rPr>
          <w:sz w:val="22"/>
          <w:szCs w:val="22"/>
        </w:rPr>
        <w:t xml:space="preserve">includes </w:t>
      </w:r>
      <w:r w:rsidR="00982B9C" w:rsidRPr="00897BAE">
        <w:rPr>
          <w:sz w:val="22"/>
          <w:szCs w:val="22"/>
        </w:rPr>
        <w:t>the sample plan, arbitration, and good cause aspects of the Supplemental Nutrition Assistance Program’s (SNAP) Quality Control (QC) System.</w:t>
      </w:r>
    </w:p>
    <w:p w:rsidR="007669ED" w:rsidRPr="00897BAE" w:rsidRDefault="007669ED" w:rsidP="00A51FFC">
      <w:pPr>
        <w:suppressAutoHyphens/>
        <w:spacing w:line="480" w:lineRule="auto"/>
        <w:ind w:left="90"/>
        <w:rPr>
          <w:sz w:val="22"/>
          <w:szCs w:val="22"/>
        </w:rPr>
      </w:pPr>
    </w:p>
    <w:p w:rsidR="00BF17ED" w:rsidRPr="00897BAE" w:rsidRDefault="00982B9C" w:rsidP="00A51FFC">
      <w:pPr>
        <w:spacing w:line="480" w:lineRule="auto"/>
        <w:ind w:left="90"/>
        <w:rPr>
          <w:sz w:val="22"/>
          <w:szCs w:val="22"/>
        </w:rPr>
      </w:pPr>
      <w:r w:rsidRPr="00897BAE">
        <w:rPr>
          <w:b/>
          <w:sz w:val="22"/>
          <w:szCs w:val="22"/>
        </w:rPr>
        <w:t>a.</w:t>
      </w:r>
      <w:r w:rsidRPr="00897BAE">
        <w:rPr>
          <w:b/>
          <w:sz w:val="22"/>
          <w:szCs w:val="22"/>
        </w:rPr>
        <w:tab/>
        <w:t>Reporting</w:t>
      </w:r>
    </w:p>
    <w:p w:rsidR="00BF17ED" w:rsidRPr="00897BAE" w:rsidRDefault="00BF17ED" w:rsidP="00A51FFC">
      <w:pPr>
        <w:spacing w:line="480" w:lineRule="auto"/>
        <w:rPr>
          <w:sz w:val="22"/>
          <w:szCs w:val="22"/>
        </w:rPr>
      </w:pPr>
    </w:p>
    <w:p w:rsidR="00BF17ED" w:rsidRPr="00897BAE" w:rsidRDefault="00982B9C" w:rsidP="00534224">
      <w:pPr>
        <w:spacing w:line="480" w:lineRule="auto"/>
        <w:rPr>
          <w:sz w:val="22"/>
          <w:szCs w:val="22"/>
        </w:rPr>
      </w:pPr>
      <w:r w:rsidRPr="00897BAE">
        <w:rPr>
          <w:sz w:val="22"/>
          <w:szCs w:val="22"/>
        </w:rPr>
        <w:t>Section 11(d) of the Food and Nutrition Act of 2008, as amended (the Act),</w:t>
      </w:r>
      <w:r w:rsidRPr="00897BAE">
        <w:rPr>
          <w:b/>
          <w:sz w:val="22"/>
          <w:szCs w:val="22"/>
        </w:rPr>
        <w:t xml:space="preserve"> </w:t>
      </w:r>
      <w:r w:rsidRPr="00897BAE">
        <w:rPr>
          <w:sz w:val="22"/>
          <w:szCs w:val="22"/>
        </w:rPr>
        <w:t>requires each State agency administering SNAP to submit a plan of operation specifying the manner in which the program is conducted.  In addition to certain specific areas of program administration, Section 11(e) of the Act authorizes the inclusion of other provisions as required by regulation.</w:t>
      </w:r>
    </w:p>
    <w:p w:rsidR="00BF17ED" w:rsidRPr="00897BAE" w:rsidRDefault="00BF17ED" w:rsidP="00A51FFC">
      <w:pPr>
        <w:spacing w:line="480" w:lineRule="auto"/>
        <w:ind w:left="720"/>
        <w:rPr>
          <w:sz w:val="22"/>
          <w:szCs w:val="22"/>
        </w:rPr>
      </w:pPr>
    </w:p>
    <w:p w:rsidR="00BF17ED" w:rsidRPr="00897BAE" w:rsidRDefault="00982B9C" w:rsidP="00534224">
      <w:pPr>
        <w:pStyle w:val="BodyTextIndent"/>
        <w:spacing w:line="480" w:lineRule="auto"/>
        <w:ind w:left="0"/>
        <w:rPr>
          <w:sz w:val="22"/>
          <w:szCs w:val="22"/>
        </w:rPr>
      </w:pPr>
      <w:r w:rsidRPr="00897BAE">
        <w:rPr>
          <w:sz w:val="22"/>
          <w:szCs w:val="22"/>
        </w:rPr>
        <w:t xml:space="preserve">The legislative basis for the operation of SNAP’s QC system is provided by Section 16 of the Act.  Section 16 requires the U.S. Department of Agriculture (USDA) to establish a system that enhances payment accuracy and improves administration by determining payment error rates, liabilities and performance bonuses.  Section 16(c) allows the Department to require a State agency to report any data deemed necessary for determining these factors.  Two of the items covered by this burden, the sampling plan and arbitrations of State-Federal differences must be completed prior to determination of the payment and </w:t>
      </w:r>
      <w:r w:rsidR="00774441" w:rsidRPr="00897BAE">
        <w:rPr>
          <w:sz w:val="22"/>
          <w:szCs w:val="22"/>
        </w:rPr>
        <w:t>case and procedural (formerly known as negative)</w:t>
      </w:r>
      <w:r w:rsidRPr="00897BAE">
        <w:rPr>
          <w:sz w:val="22"/>
          <w:szCs w:val="22"/>
        </w:rPr>
        <w:t xml:space="preserve"> error rates, the national average payment and </w:t>
      </w:r>
      <w:r w:rsidR="00774441" w:rsidRPr="00897BAE">
        <w:rPr>
          <w:sz w:val="22"/>
          <w:szCs w:val="22"/>
        </w:rPr>
        <w:t xml:space="preserve">case and procedural </w:t>
      </w:r>
      <w:r w:rsidRPr="00897BAE">
        <w:rPr>
          <w:sz w:val="22"/>
          <w:szCs w:val="22"/>
        </w:rPr>
        <w:t>error rate, any liability amounts established and applicable performance bonuses awarded.</w:t>
      </w:r>
    </w:p>
    <w:p w:rsidR="00BF17ED" w:rsidRPr="00897BAE" w:rsidRDefault="00BF17ED" w:rsidP="00A51FFC">
      <w:pPr>
        <w:spacing w:line="480" w:lineRule="auto"/>
        <w:ind w:left="720"/>
        <w:rPr>
          <w:sz w:val="22"/>
          <w:szCs w:val="22"/>
        </w:rPr>
      </w:pPr>
    </w:p>
    <w:p w:rsidR="00BF17ED" w:rsidRPr="00897BAE" w:rsidRDefault="00982B9C" w:rsidP="00534224">
      <w:pPr>
        <w:spacing w:line="480" w:lineRule="auto"/>
        <w:rPr>
          <w:sz w:val="22"/>
          <w:szCs w:val="22"/>
        </w:rPr>
      </w:pPr>
      <w:r w:rsidRPr="00897BAE">
        <w:rPr>
          <w:sz w:val="22"/>
          <w:szCs w:val="22"/>
        </w:rPr>
        <w:lastRenderedPageBreak/>
        <w:t>Part 275 of SNAP regulations implements the QC legislative mandate.  The QC system is designed to provide a basis for determining each State agency’s error rate through a review of a sample of</w:t>
      </w:r>
      <w:r w:rsidR="00546ADC" w:rsidRPr="00897BAE">
        <w:rPr>
          <w:sz w:val="22"/>
          <w:szCs w:val="22"/>
        </w:rPr>
        <w:t xml:space="preserve"> (SNAP QC) </w:t>
      </w:r>
      <w:r w:rsidRPr="00897BAE">
        <w:rPr>
          <w:sz w:val="22"/>
          <w:szCs w:val="22"/>
        </w:rPr>
        <w:t>cases.  QC data serves as an objective measure of program operations at the State level and is essential to the determination of a State agency’s entitlement to a performance bonus or liability for excessive overpayments.</w:t>
      </w:r>
    </w:p>
    <w:p w:rsidR="00BF17ED" w:rsidRPr="00897BAE" w:rsidRDefault="00BF17ED" w:rsidP="00A51FFC">
      <w:pPr>
        <w:spacing w:line="480" w:lineRule="auto"/>
        <w:ind w:left="720"/>
        <w:rPr>
          <w:sz w:val="22"/>
          <w:szCs w:val="22"/>
        </w:rPr>
      </w:pPr>
    </w:p>
    <w:p w:rsidR="00BF17ED" w:rsidRPr="00897BAE" w:rsidRDefault="00982B9C" w:rsidP="00534224">
      <w:pPr>
        <w:spacing w:line="480" w:lineRule="auto"/>
        <w:rPr>
          <w:sz w:val="22"/>
          <w:szCs w:val="22"/>
        </w:rPr>
      </w:pPr>
      <w:r w:rsidRPr="00897BAE">
        <w:rPr>
          <w:sz w:val="22"/>
          <w:szCs w:val="22"/>
        </w:rPr>
        <w:t>To help ensure that QC data is reliable and unbiased, paragraph 275.11(a) requires each State agency to submit a QC sampling plan to the Food and Nutrition Service (FNS) for approval.  The sampling plan is a part of the inclusive State Plan of Operation.</w:t>
      </w:r>
    </w:p>
    <w:p w:rsidR="00BF17ED" w:rsidRPr="00897BAE" w:rsidRDefault="00BF17ED" w:rsidP="00A51FFC">
      <w:pPr>
        <w:spacing w:line="480" w:lineRule="auto"/>
        <w:ind w:left="720"/>
        <w:rPr>
          <w:sz w:val="22"/>
          <w:szCs w:val="22"/>
        </w:rPr>
      </w:pPr>
    </w:p>
    <w:p w:rsidR="00BF17ED" w:rsidRPr="00897BAE" w:rsidRDefault="00982B9C" w:rsidP="00534224">
      <w:pPr>
        <w:spacing w:line="480" w:lineRule="auto"/>
        <w:rPr>
          <w:sz w:val="22"/>
          <w:szCs w:val="22"/>
        </w:rPr>
      </w:pPr>
      <w:r w:rsidRPr="00897BAE">
        <w:rPr>
          <w:sz w:val="22"/>
          <w:szCs w:val="22"/>
        </w:rPr>
        <w:t>When a State agency disagrees with a Federal QC finding on an individual case selected for review, the regulations at 7 CFR 275.3(c)(4) provide that the State agency may request that the dispute be arbitrated by a FNS Arbitrator, subject to some limitations.</w:t>
      </w:r>
    </w:p>
    <w:p w:rsidR="00BF17ED" w:rsidRPr="00897BAE" w:rsidRDefault="00BF17ED" w:rsidP="00A51FFC">
      <w:pPr>
        <w:spacing w:line="480" w:lineRule="auto"/>
        <w:ind w:left="720"/>
        <w:rPr>
          <w:sz w:val="22"/>
          <w:szCs w:val="22"/>
        </w:rPr>
      </w:pPr>
    </w:p>
    <w:p w:rsidR="00BF17ED" w:rsidRPr="00897BAE" w:rsidRDefault="00982B9C" w:rsidP="00534224">
      <w:pPr>
        <w:spacing w:line="480" w:lineRule="auto"/>
        <w:rPr>
          <w:sz w:val="22"/>
          <w:szCs w:val="22"/>
        </w:rPr>
      </w:pPr>
      <w:r w:rsidRPr="00897BAE">
        <w:rPr>
          <w:sz w:val="22"/>
          <w:szCs w:val="22"/>
        </w:rPr>
        <w:t xml:space="preserve">Paragraph 275.23(e)(7) provides a process for a State agency to seek relief from a QC liability that would otherwise be levied on the basis that the State agency had good cause for not achieving the payment error rate below the tolerance level.  State agencies desiring such relief must file an appeal with the USDA’s Administrative Law Judge in accordance with the procedures established under Part 283.  </w:t>
      </w:r>
    </w:p>
    <w:p w:rsidR="00534224" w:rsidRPr="00897BAE" w:rsidRDefault="00534224">
      <w:pPr>
        <w:rPr>
          <w:b/>
          <w:sz w:val="22"/>
          <w:szCs w:val="22"/>
        </w:rPr>
      </w:pPr>
    </w:p>
    <w:p w:rsidR="00BF17ED" w:rsidRPr="00897BAE" w:rsidRDefault="00982B9C" w:rsidP="00A51FFC">
      <w:pPr>
        <w:spacing w:line="480" w:lineRule="auto"/>
        <w:ind w:left="360"/>
        <w:rPr>
          <w:sz w:val="22"/>
          <w:szCs w:val="22"/>
        </w:rPr>
      </w:pPr>
      <w:r w:rsidRPr="00897BAE">
        <w:rPr>
          <w:b/>
          <w:sz w:val="22"/>
          <w:szCs w:val="22"/>
        </w:rPr>
        <w:t>b.</w:t>
      </w:r>
      <w:r w:rsidRPr="00897BAE">
        <w:rPr>
          <w:b/>
          <w:sz w:val="22"/>
          <w:szCs w:val="22"/>
        </w:rPr>
        <w:tab/>
        <w:t>Recordkeeping:</w:t>
      </w:r>
    </w:p>
    <w:p w:rsidR="00BF17ED" w:rsidRPr="00897BAE" w:rsidRDefault="00BF17ED" w:rsidP="00A51FFC">
      <w:pPr>
        <w:spacing w:line="480" w:lineRule="auto"/>
        <w:rPr>
          <w:sz w:val="22"/>
          <w:szCs w:val="22"/>
        </w:rPr>
      </w:pPr>
    </w:p>
    <w:p w:rsidR="004C2299" w:rsidRPr="00897BAE" w:rsidRDefault="00982B9C" w:rsidP="00A51FFC">
      <w:pPr>
        <w:spacing w:line="480" w:lineRule="auto"/>
        <w:ind w:right="-180"/>
        <w:contextualSpacing/>
        <w:rPr>
          <w:sz w:val="22"/>
          <w:szCs w:val="22"/>
        </w:rPr>
      </w:pPr>
      <w:r w:rsidRPr="00897BAE">
        <w:rPr>
          <w:sz w:val="22"/>
          <w:szCs w:val="22"/>
        </w:rPr>
        <w:t xml:space="preserve">Section 11(a) of the Act mandates that State agencies shall keep "…such records as may be necessary to ascertain whether the program is being conducted in compliance with the provisions of this Act and the regulations issued pursuant to this Act..."  The Act also specifies that these records "shall be preserved for such period of time, not less than three years, as may be specified in the regulations issued pursuant to this </w:t>
      </w:r>
      <w:r w:rsidRPr="00897BAE">
        <w:rPr>
          <w:sz w:val="22"/>
          <w:szCs w:val="22"/>
        </w:rPr>
        <w:lastRenderedPageBreak/>
        <w:t>Act."  SNAP regulations at 7 CFR 272.1(f) specify that program records are to be retained for a period of three years from the month of origin.</w:t>
      </w:r>
    </w:p>
    <w:p w:rsidR="00CC26A7" w:rsidRPr="00897BAE" w:rsidRDefault="00CC26A7" w:rsidP="00A51FFC">
      <w:pPr>
        <w:spacing w:line="480" w:lineRule="auto"/>
        <w:ind w:right="-180"/>
        <w:contextualSpacing/>
        <w:rPr>
          <w:b/>
          <w:sz w:val="22"/>
          <w:szCs w:val="22"/>
          <w:u w:val="single"/>
        </w:rPr>
      </w:pPr>
    </w:p>
    <w:p w:rsidR="00A1784D" w:rsidRPr="00897BAE" w:rsidRDefault="00664E01" w:rsidP="00A51FFC">
      <w:pPr>
        <w:numPr>
          <w:ilvl w:val="0"/>
          <w:numId w:val="10"/>
        </w:numPr>
        <w:spacing w:line="480" w:lineRule="auto"/>
        <w:ind w:left="90" w:right="-180" w:firstLine="0"/>
        <w:contextualSpacing/>
        <w:rPr>
          <w:b/>
          <w:sz w:val="22"/>
          <w:szCs w:val="22"/>
          <w:u w:val="single"/>
        </w:rPr>
      </w:pPr>
      <w:r w:rsidRPr="00897BAE">
        <w:rPr>
          <w:b/>
          <w:sz w:val="22"/>
          <w:szCs w:val="22"/>
          <w:u w:val="single"/>
        </w:rPr>
        <w:t>Indicate how, by whom, how frequently, and for what purpose the information is to be used.  Except for a new collection, indicate the actual use the agency has made of the information received from the current collection</w:t>
      </w:r>
      <w:r w:rsidR="00AE2E0F" w:rsidRPr="00897BAE">
        <w:rPr>
          <w:b/>
          <w:sz w:val="22"/>
          <w:szCs w:val="22"/>
          <w:u w:val="single"/>
        </w:rPr>
        <w:t>:</w:t>
      </w:r>
      <w:r w:rsidR="00A1784D" w:rsidRPr="00897BAE">
        <w:rPr>
          <w:b/>
          <w:sz w:val="22"/>
          <w:szCs w:val="22"/>
          <w:u w:val="single"/>
        </w:rPr>
        <w:t xml:space="preserve"> </w:t>
      </w:r>
    </w:p>
    <w:p w:rsidR="006A0CB3" w:rsidRPr="00897BAE" w:rsidRDefault="006A0CB3" w:rsidP="00A51FFC">
      <w:pPr>
        <w:tabs>
          <w:tab w:val="left" w:pos="450"/>
        </w:tabs>
        <w:spacing w:line="480" w:lineRule="auto"/>
        <w:ind w:right="-180"/>
        <w:contextualSpacing/>
        <w:rPr>
          <w:sz w:val="22"/>
          <w:szCs w:val="22"/>
        </w:rPr>
      </w:pPr>
      <w:r w:rsidRPr="00897BAE">
        <w:rPr>
          <w:sz w:val="22"/>
          <w:szCs w:val="22"/>
          <w:u w:val="single"/>
        </w:rPr>
        <w:t>Sampling Plan</w:t>
      </w:r>
      <w:r w:rsidRPr="00897BAE">
        <w:rPr>
          <w:sz w:val="22"/>
          <w:szCs w:val="22"/>
        </w:rPr>
        <w:t>:  All State agencies are required to select a QC sample of households from two universes:</w:t>
      </w:r>
      <w:r w:rsidRPr="00897BAE">
        <w:rPr>
          <w:sz w:val="22"/>
          <w:szCs w:val="22"/>
        </w:rPr>
        <w:br/>
      </w:r>
    </w:p>
    <w:p w:rsidR="006A0CB3" w:rsidRPr="00897BAE" w:rsidRDefault="006A0CB3" w:rsidP="00A51FFC">
      <w:pPr>
        <w:tabs>
          <w:tab w:val="left" w:pos="450"/>
        </w:tabs>
        <w:spacing w:line="480" w:lineRule="auto"/>
        <w:ind w:right="-180"/>
        <w:contextualSpacing/>
        <w:rPr>
          <w:sz w:val="22"/>
          <w:szCs w:val="22"/>
        </w:rPr>
      </w:pPr>
      <w:r w:rsidRPr="00897BAE">
        <w:rPr>
          <w:sz w:val="22"/>
          <w:szCs w:val="22"/>
        </w:rPr>
        <w:t>(a)</w:t>
      </w:r>
      <w:r w:rsidRPr="00897BAE">
        <w:rPr>
          <w:sz w:val="22"/>
          <w:szCs w:val="22"/>
        </w:rPr>
        <w:tab/>
        <w:t xml:space="preserve">The active universe of households that are participating in </w:t>
      </w:r>
      <w:r w:rsidR="007669ED" w:rsidRPr="00897BAE">
        <w:rPr>
          <w:sz w:val="22"/>
          <w:szCs w:val="22"/>
        </w:rPr>
        <w:t>SNAP</w:t>
      </w:r>
      <w:r w:rsidRPr="00897BAE">
        <w:rPr>
          <w:sz w:val="22"/>
          <w:szCs w:val="22"/>
        </w:rPr>
        <w:t>; and</w:t>
      </w:r>
    </w:p>
    <w:p w:rsidR="006A0CB3" w:rsidRPr="00897BAE" w:rsidRDefault="006A0CB3" w:rsidP="00A51FFC">
      <w:pPr>
        <w:tabs>
          <w:tab w:val="left" w:pos="450"/>
        </w:tabs>
        <w:spacing w:line="480" w:lineRule="auto"/>
        <w:ind w:right="-180"/>
        <w:contextualSpacing/>
        <w:rPr>
          <w:sz w:val="22"/>
          <w:szCs w:val="22"/>
        </w:rPr>
      </w:pPr>
      <w:r w:rsidRPr="00897BAE">
        <w:rPr>
          <w:sz w:val="22"/>
          <w:szCs w:val="22"/>
        </w:rPr>
        <w:t>(b)</w:t>
      </w:r>
      <w:r w:rsidRPr="00897BAE">
        <w:rPr>
          <w:sz w:val="22"/>
          <w:szCs w:val="22"/>
        </w:rPr>
        <w:tab/>
        <w:t xml:space="preserve">The </w:t>
      </w:r>
      <w:r w:rsidR="00774441" w:rsidRPr="00897BAE">
        <w:rPr>
          <w:sz w:val="22"/>
          <w:szCs w:val="22"/>
        </w:rPr>
        <w:t>case and procedural</w:t>
      </w:r>
      <w:r w:rsidRPr="00897BAE">
        <w:rPr>
          <w:sz w:val="22"/>
          <w:szCs w:val="22"/>
        </w:rPr>
        <w:t xml:space="preserve"> universe of </w:t>
      </w:r>
      <w:r w:rsidR="003B1C47" w:rsidRPr="00897BAE">
        <w:rPr>
          <w:sz w:val="22"/>
          <w:szCs w:val="22"/>
        </w:rPr>
        <w:t>households,</w:t>
      </w:r>
      <w:r w:rsidRPr="00897BAE">
        <w:rPr>
          <w:sz w:val="22"/>
          <w:szCs w:val="22"/>
        </w:rPr>
        <w:t xml:space="preserve"> whose participation was denied, suspended or terminated.</w:t>
      </w:r>
      <w:r w:rsidRPr="00897BAE">
        <w:rPr>
          <w:sz w:val="22"/>
          <w:szCs w:val="22"/>
        </w:rPr>
        <w:br/>
      </w:r>
    </w:p>
    <w:p w:rsidR="00DB5F37" w:rsidRPr="00897BAE" w:rsidRDefault="00DB5F37" w:rsidP="00DB5F37">
      <w:pPr>
        <w:spacing w:line="480" w:lineRule="auto"/>
        <w:rPr>
          <w:color w:val="0000CC"/>
          <w:sz w:val="22"/>
          <w:szCs w:val="22"/>
        </w:rPr>
      </w:pPr>
      <w:r w:rsidRPr="00897BAE">
        <w:rPr>
          <w:sz w:val="22"/>
          <w:szCs w:val="22"/>
        </w:rPr>
        <w:t xml:space="preserve">Each State agency is responsible for the design and selection of the QC samples, subject to the regulations at 7 CFR 275.11 and FNS approval.  Each State agency must submit a QC sampling plan and subsequent modifications of sample design, frame, or procedures to FNS.  </w:t>
      </w:r>
      <w:r w:rsidR="00780D7E" w:rsidRPr="00897BAE">
        <w:rPr>
          <w:sz w:val="22"/>
          <w:szCs w:val="22"/>
        </w:rPr>
        <w:t>States presently send their sampling plans mostly through email, though a handful still send their plans using the postal service</w:t>
      </w:r>
      <w:r w:rsidR="00350E73" w:rsidRPr="00897BAE">
        <w:rPr>
          <w:sz w:val="22"/>
          <w:szCs w:val="22"/>
        </w:rPr>
        <w:t xml:space="preserve">.  </w:t>
      </w:r>
      <w:r w:rsidRPr="00897BAE">
        <w:rPr>
          <w:sz w:val="22"/>
          <w:szCs w:val="22"/>
        </w:rPr>
        <w:t>The sampling plan must include a complete description of the frame, the method of sample selection, and methods for estimating characteristics of the population and sampling errors.  In addition, the sampling plan must include a description of its relationship, if any, to other Federally mandated programs.  All sampling procedures used by the State agency, including frame composition and construction, must be fully documented and available for review by FNS.</w:t>
      </w:r>
    </w:p>
    <w:p w:rsidR="006A0CB3" w:rsidRPr="00897BAE" w:rsidRDefault="006A0CB3" w:rsidP="00A51FFC">
      <w:pPr>
        <w:tabs>
          <w:tab w:val="left" w:pos="450"/>
        </w:tabs>
        <w:spacing w:line="480" w:lineRule="auto"/>
        <w:ind w:right="-180"/>
        <w:contextualSpacing/>
        <w:rPr>
          <w:sz w:val="22"/>
          <w:szCs w:val="22"/>
        </w:rPr>
      </w:pPr>
    </w:p>
    <w:p w:rsidR="006A0CB3" w:rsidRPr="00897BAE" w:rsidRDefault="006A0CB3" w:rsidP="00A51FFC">
      <w:pPr>
        <w:tabs>
          <w:tab w:val="left" w:pos="450"/>
        </w:tabs>
        <w:spacing w:line="480" w:lineRule="auto"/>
        <w:ind w:right="-180"/>
        <w:contextualSpacing/>
        <w:rPr>
          <w:sz w:val="22"/>
          <w:szCs w:val="22"/>
        </w:rPr>
      </w:pPr>
    </w:p>
    <w:p w:rsidR="006A0CB3" w:rsidRPr="00897BAE" w:rsidRDefault="006A0CB3" w:rsidP="00A51FFC">
      <w:pPr>
        <w:tabs>
          <w:tab w:val="left" w:pos="450"/>
        </w:tabs>
        <w:spacing w:line="480" w:lineRule="auto"/>
        <w:ind w:right="-180"/>
        <w:contextualSpacing/>
        <w:rPr>
          <w:sz w:val="22"/>
          <w:szCs w:val="22"/>
        </w:rPr>
      </w:pPr>
      <w:r w:rsidRPr="00897BAE">
        <w:rPr>
          <w:sz w:val="22"/>
          <w:szCs w:val="22"/>
          <w:u w:val="single"/>
        </w:rPr>
        <w:t>Arbitration Process</w:t>
      </w:r>
      <w:r w:rsidRPr="00897BAE">
        <w:rPr>
          <w:sz w:val="22"/>
          <w:szCs w:val="22"/>
        </w:rPr>
        <w:t xml:space="preserve">:  The arbitration process at 7 CFR 275.3 (c)(4) provides a process for State agencies to dispute individual case findings when the State disagrees with Federal findings.  State agencies may request arbitration for individual QC cases by filing this request within 20 calendar days of the date of receipt by </w:t>
      </w:r>
      <w:r w:rsidRPr="00897BAE">
        <w:rPr>
          <w:sz w:val="22"/>
          <w:szCs w:val="22"/>
        </w:rPr>
        <w:lastRenderedPageBreak/>
        <w:t xml:space="preserve">the State agency of regional office findings.  State agencies are required to submit </w:t>
      </w:r>
      <w:r w:rsidRPr="009B4233">
        <w:rPr>
          <w:sz w:val="22"/>
          <w:szCs w:val="22"/>
        </w:rPr>
        <w:t xml:space="preserve">all required documentation to the FNS National Arbitrator.  </w:t>
      </w:r>
      <w:r w:rsidR="003E66C8" w:rsidRPr="009B4233">
        <w:rPr>
          <w:sz w:val="22"/>
          <w:szCs w:val="22"/>
        </w:rPr>
        <w:t xml:space="preserve">Arbitration requests </w:t>
      </w:r>
      <w:r w:rsidR="00440495" w:rsidRPr="009B4233">
        <w:rPr>
          <w:sz w:val="22"/>
          <w:szCs w:val="22"/>
        </w:rPr>
        <w:t>may be made over the phone</w:t>
      </w:r>
      <w:r w:rsidR="00780D7E" w:rsidRPr="009B4233">
        <w:rPr>
          <w:sz w:val="22"/>
          <w:szCs w:val="22"/>
        </w:rPr>
        <w:t>, but there is no standard form</w:t>
      </w:r>
      <w:r w:rsidR="006A4C2B" w:rsidRPr="009B4233">
        <w:rPr>
          <w:sz w:val="22"/>
          <w:szCs w:val="22"/>
        </w:rPr>
        <w:t>at</w:t>
      </w:r>
      <w:r w:rsidR="00780D7E" w:rsidRPr="009B4233">
        <w:rPr>
          <w:sz w:val="22"/>
          <w:szCs w:val="22"/>
        </w:rPr>
        <w:t xml:space="preserve"> required to submit </w:t>
      </w:r>
      <w:r w:rsidR="006A4C2B" w:rsidRPr="009B4233">
        <w:rPr>
          <w:sz w:val="22"/>
          <w:szCs w:val="22"/>
        </w:rPr>
        <w:t>the documentation</w:t>
      </w:r>
      <w:r w:rsidR="00780D7E" w:rsidRPr="009B4233">
        <w:rPr>
          <w:sz w:val="22"/>
          <w:szCs w:val="22"/>
        </w:rPr>
        <w:t xml:space="preserve"> </w:t>
      </w:r>
      <w:r w:rsidR="006A4C2B" w:rsidRPr="009B4233">
        <w:rPr>
          <w:sz w:val="22"/>
          <w:szCs w:val="22"/>
        </w:rPr>
        <w:t xml:space="preserve">and therefore may be sent </w:t>
      </w:r>
      <w:r w:rsidR="00780D7E" w:rsidRPr="009B4233">
        <w:rPr>
          <w:sz w:val="22"/>
          <w:szCs w:val="22"/>
        </w:rPr>
        <w:t>via fax, email or US Postal Mail</w:t>
      </w:r>
      <w:r w:rsidR="003E66C8" w:rsidRPr="009B4233">
        <w:rPr>
          <w:sz w:val="22"/>
          <w:szCs w:val="22"/>
        </w:rPr>
        <w:t xml:space="preserve">.  </w:t>
      </w:r>
      <w:r w:rsidRPr="009B4233">
        <w:rPr>
          <w:sz w:val="22"/>
          <w:szCs w:val="22"/>
        </w:rPr>
        <w:t>The arbitration process provides due process protection for the State agency for individual</w:t>
      </w:r>
      <w:r w:rsidRPr="00897BAE">
        <w:rPr>
          <w:sz w:val="22"/>
          <w:szCs w:val="22"/>
        </w:rPr>
        <w:t xml:space="preserve"> QC cases that are selected for Federal review.  If the National Arbitrator rules that the findings in the individual case should be changed, this change may have an impact on the calculation for the State agency’s payment and </w:t>
      </w:r>
      <w:r w:rsidR="00774441" w:rsidRPr="00897BAE">
        <w:rPr>
          <w:sz w:val="22"/>
          <w:szCs w:val="22"/>
        </w:rPr>
        <w:t>case and procedural</w:t>
      </w:r>
      <w:r w:rsidRPr="00897BAE">
        <w:rPr>
          <w:sz w:val="22"/>
          <w:szCs w:val="22"/>
        </w:rPr>
        <w:t xml:space="preserve"> error rate and on the national average payment or </w:t>
      </w:r>
      <w:r w:rsidR="00774441" w:rsidRPr="00897BAE">
        <w:rPr>
          <w:sz w:val="22"/>
          <w:szCs w:val="22"/>
        </w:rPr>
        <w:t>case and procedural</w:t>
      </w:r>
      <w:r w:rsidRPr="00897BAE">
        <w:rPr>
          <w:sz w:val="22"/>
          <w:szCs w:val="22"/>
        </w:rPr>
        <w:t xml:space="preserve"> error rate.</w:t>
      </w:r>
    </w:p>
    <w:p w:rsidR="006A0CB3" w:rsidRPr="00897BAE" w:rsidRDefault="006A0CB3" w:rsidP="00A51FFC">
      <w:pPr>
        <w:tabs>
          <w:tab w:val="left" w:pos="450"/>
        </w:tabs>
        <w:spacing w:line="480" w:lineRule="auto"/>
        <w:ind w:right="-180"/>
        <w:contextualSpacing/>
        <w:rPr>
          <w:sz w:val="22"/>
          <w:szCs w:val="22"/>
        </w:rPr>
      </w:pPr>
    </w:p>
    <w:p w:rsidR="006A0CB3" w:rsidRPr="00897BAE" w:rsidRDefault="006A0CB3" w:rsidP="00A51FFC">
      <w:pPr>
        <w:tabs>
          <w:tab w:val="left" w:pos="450"/>
        </w:tabs>
        <w:spacing w:line="480" w:lineRule="auto"/>
        <w:ind w:right="-180"/>
        <w:contextualSpacing/>
        <w:rPr>
          <w:sz w:val="22"/>
          <w:szCs w:val="22"/>
        </w:rPr>
      </w:pPr>
      <w:r w:rsidRPr="00897BAE">
        <w:rPr>
          <w:sz w:val="22"/>
          <w:szCs w:val="22"/>
        </w:rPr>
        <w:t>Under the Good Cause process at 7 CFR 275.23(</w:t>
      </w:r>
      <w:r w:rsidR="00CB618B">
        <w:rPr>
          <w:sz w:val="22"/>
          <w:szCs w:val="22"/>
        </w:rPr>
        <w:t>f</w:t>
      </w:r>
      <w:r w:rsidRPr="00897BAE">
        <w:rPr>
          <w:sz w:val="22"/>
          <w:szCs w:val="22"/>
        </w:rPr>
        <w:t>), a State agency may seek relief from a QC liability claim on the basis that the State agency had good cause for not achieving a payment error rate below tolerance.  A State agency desiring such relief must file an appeal with the USDA’s Administrative Law Judge in accordance with the procedures under Part 283.  This process provides due process protection to the State agency for the QC liability.  The outcome of this request could affect the validity and amount of a QC liability.</w:t>
      </w:r>
    </w:p>
    <w:p w:rsidR="0042567F" w:rsidRPr="00897BAE" w:rsidRDefault="00EE4665" w:rsidP="00A51FFC">
      <w:pPr>
        <w:tabs>
          <w:tab w:val="left" w:pos="450"/>
        </w:tabs>
        <w:spacing w:line="480" w:lineRule="auto"/>
        <w:ind w:right="-180"/>
        <w:contextualSpacing/>
        <w:rPr>
          <w:sz w:val="22"/>
          <w:szCs w:val="22"/>
        </w:rPr>
      </w:pPr>
      <w:r w:rsidRPr="00897BAE">
        <w:rPr>
          <w:sz w:val="22"/>
          <w:szCs w:val="22"/>
        </w:rPr>
        <w:t xml:space="preserve">  </w:t>
      </w:r>
    </w:p>
    <w:p w:rsidR="00D703A0" w:rsidRPr="00897BAE" w:rsidRDefault="00D703A0" w:rsidP="00A51FFC">
      <w:pPr>
        <w:tabs>
          <w:tab w:val="left" w:pos="450"/>
        </w:tabs>
        <w:spacing w:line="480" w:lineRule="auto"/>
        <w:ind w:right="-180"/>
        <w:contextualSpacing/>
        <w:rPr>
          <w:b/>
          <w:sz w:val="22"/>
          <w:szCs w:val="22"/>
        </w:rPr>
      </w:pPr>
    </w:p>
    <w:p w:rsidR="00AE2E0F" w:rsidRPr="00897BAE" w:rsidRDefault="00664E01" w:rsidP="00A51FFC">
      <w:pPr>
        <w:numPr>
          <w:ilvl w:val="0"/>
          <w:numId w:val="10"/>
        </w:numPr>
        <w:tabs>
          <w:tab w:val="left" w:pos="-630"/>
        </w:tabs>
        <w:spacing w:line="480" w:lineRule="auto"/>
        <w:ind w:left="0" w:right="-180" w:firstLine="0"/>
        <w:contextualSpacing/>
        <w:rPr>
          <w:b/>
          <w:sz w:val="22"/>
          <w:szCs w:val="22"/>
        </w:rPr>
      </w:pPr>
      <w:r w:rsidRPr="00897BAE">
        <w:rPr>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A05197" w:rsidRPr="00897BAE">
        <w:rPr>
          <w:b/>
          <w:sz w:val="22"/>
          <w:szCs w:val="22"/>
          <w:u w:val="single"/>
        </w:rPr>
        <w:t>:</w:t>
      </w:r>
      <w:r w:rsidR="00A1784D" w:rsidRPr="00897BAE">
        <w:rPr>
          <w:b/>
          <w:sz w:val="22"/>
          <w:szCs w:val="22"/>
        </w:rPr>
        <w:t xml:space="preserve"> </w:t>
      </w:r>
    </w:p>
    <w:p w:rsidR="005936B3" w:rsidRPr="00897BAE" w:rsidRDefault="005936B3" w:rsidP="005936B3">
      <w:pPr>
        <w:spacing w:line="480" w:lineRule="auto"/>
        <w:ind w:right="-180"/>
        <w:contextualSpacing/>
        <w:rPr>
          <w:sz w:val="22"/>
          <w:szCs w:val="22"/>
        </w:rPr>
      </w:pPr>
      <w:r w:rsidRPr="00897BAE">
        <w:rPr>
          <w:sz w:val="22"/>
          <w:szCs w:val="22"/>
        </w:rPr>
        <w:br/>
        <w:t xml:space="preserve">FNS is committed to comply with the requirements under the E-Government Act of 2002 in the implementation of information technologies in delivery of services to the public.  This specific type of collection is not amenable to automated, electronic, mechanical or other technological techniques or other </w:t>
      </w:r>
      <w:r w:rsidRPr="00897BAE">
        <w:rPr>
          <w:sz w:val="22"/>
          <w:szCs w:val="22"/>
        </w:rPr>
        <w:lastRenderedPageBreak/>
        <w:t>forms of information technology.  However, States are encouraged to automate their sampling plans but are not mandated to do so.</w:t>
      </w:r>
    </w:p>
    <w:p w:rsidR="00A16F49" w:rsidRPr="00897BAE" w:rsidRDefault="00A16F49" w:rsidP="00A51FFC">
      <w:pPr>
        <w:spacing w:line="480" w:lineRule="auto"/>
        <w:ind w:right="-180"/>
        <w:contextualSpacing/>
        <w:rPr>
          <w:sz w:val="22"/>
          <w:szCs w:val="22"/>
        </w:rPr>
      </w:pPr>
    </w:p>
    <w:p w:rsidR="00AE2E0F" w:rsidRPr="00897BAE" w:rsidRDefault="00664E01" w:rsidP="00A51FFC">
      <w:pPr>
        <w:numPr>
          <w:ilvl w:val="0"/>
          <w:numId w:val="10"/>
        </w:numPr>
        <w:spacing w:line="480" w:lineRule="auto"/>
        <w:ind w:left="0" w:right="-180" w:firstLine="0"/>
        <w:contextualSpacing/>
        <w:rPr>
          <w:b/>
          <w:sz w:val="22"/>
          <w:szCs w:val="22"/>
        </w:rPr>
      </w:pPr>
      <w:r w:rsidRPr="00897BAE">
        <w:rPr>
          <w:b/>
          <w:sz w:val="22"/>
          <w:szCs w:val="22"/>
          <w:u w:val="single"/>
        </w:rPr>
        <w:t>Describe efforts to identify duplication.  Show specifically why any similar information already available cannot be used or modified for use for the purpose described in item 2 above</w:t>
      </w:r>
      <w:r w:rsidR="00A05197" w:rsidRPr="00897BAE">
        <w:rPr>
          <w:b/>
          <w:sz w:val="22"/>
          <w:szCs w:val="22"/>
          <w:u w:val="single"/>
        </w:rPr>
        <w:t>:</w:t>
      </w:r>
    </w:p>
    <w:p w:rsidR="00A1784D" w:rsidRPr="00897BAE" w:rsidRDefault="00A1784D" w:rsidP="00A51FFC">
      <w:pPr>
        <w:spacing w:line="480" w:lineRule="auto"/>
        <w:ind w:right="-180"/>
        <w:contextualSpacing/>
        <w:rPr>
          <w:b/>
          <w:sz w:val="22"/>
          <w:szCs w:val="22"/>
        </w:rPr>
      </w:pPr>
    </w:p>
    <w:p w:rsidR="00AB501C" w:rsidRPr="00897BAE" w:rsidRDefault="00AB501C" w:rsidP="00A51FFC">
      <w:pPr>
        <w:spacing w:line="480" w:lineRule="auto"/>
        <w:ind w:right="-180"/>
        <w:contextualSpacing/>
        <w:rPr>
          <w:sz w:val="22"/>
          <w:szCs w:val="22"/>
        </w:rPr>
      </w:pPr>
      <w:r w:rsidRPr="00897BAE">
        <w:rPr>
          <w:sz w:val="22"/>
          <w:szCs w:val="22"/>
        </w:rPr>
        <w:t xml:space="preserve">The sample plan, arbitration and good cause processes are unique to the QC system and are not found elsewhere in </w:t>
      </w:r>
      <w:r w:rsidR="007669ED" w:rsidRPr="00897BAE">
        <w:rPr>
          <w:sz w:val="22"/>
          <w:szCs w:val="22"/>
        </w:rPr>
        <w:t>SNAP</w:t>
      </w:r>
      <w:r w:rsidRPr="00897BAE">
        <w:rPr>
          <w:sz w:val="22"/>
          <w:szCs w:val="22"/>
        </w:rPr>
        <w:t>.  As such, duplication is not a potential issue with this information collection.</w:t>
      </w:r>
    </w:p>
    <w:p w:rsidR="001C0EFD" w:rsidRPr="00897BAE" w:rsidRDefault="001C0EFD" w:rsidP="00A51FFC">
      <w:pPr>
        <w:spacing w:line="480" w:lineRule="auto"/>
        <w:ind w:right="-180"/>
        <w:contextualSpacing/>
        <w:rPr>
          <w:b/>
          <w:sz w:val="22"/>
          <w:szCs w:val="22"/>
        </w:rPr>
      </w:pPr>
    </w:p>
    <w:p w:rsidR="00AE2E0F" w:rsidRPr="00897BAE" w:rsidRDefault="00664E01" w:rsidP="00A51FFC">
      <w:pPr>
        <w:numPr>
          <w:ilvl w:val="0"/>
          <w:numId w:val="10"/>
        </w:numPr>
        <w:spacing w:line="480" w:lineRule="auto"/>
        <w:ind w:left="0" w:right="-180" w:firstLine="0"/>
        <w:contextualSpacing/>
        <w:rPr>
          <w:b/>
          <w:sz w:val="22"/>
          <w:szCs w:val="22"/>
          <w:u w:val="single"/>
        </w:rPr>
      </w:pPr>
      <w:r w:rsidRPr="00897BAE">
        <w:rPr>
          <w:b/>
          <w:sz w:val="22"/>
          <w:szCs w:val="22"/>
          <w:u w:val="single"/>
        </w:rPr>
        <w:t>If the collection of information impacts small businesses or other small entities, describe any methods used to minimize burden</w:t>
      </w:r>
      <w:r w:rsidR="00A1784D" w:rsidRPr="00897BAE">
        <w:rPr>
          <w:b/>
          <w:sz w:val="22"/>
          <w:szCs w:val="22"/>
          <w:u w:val="single"/>
        </w:rPr>
        <w:t>:</w:t>
      </w:r>
      <w:r w:rsidR="00A1784D" w:rsidRPr="00897BAE">
        <w:rPr>
          <w:b/>
          <w:sz w:val="22"/>
          <w:szCs w:val="22"/>
        </w:rPr>
        <w:t xml:space="preserve">  </w:t>
      </w:r>
    </w:p>
    <w:p w:rsidR="0042567F" w:rsidRPr="00897BAE" w:rsidRDefault="0042567F" w:rsidP="00A51FFC">
      <w:pPr>
        <w:tabs>
          <w:tab w:val="left" w:pos="450"/>
        </w:tabs>
        <w:spacing w:line="480" w:lineRule="auto"/>
        <w:ind w:right="-180"/>
        <w:contextualSpacing/>
        <w:rPr>
          <w:b/>
          <w:sz w:val="22"/>
          <w:szCs w:val="22"/>
        </w:rPr>
      </w:pPr>
    </w:p>
    <w:p w:rsidR="00DE4C5A" w:rsidRPr="00897BAE" w:rsidRDefault="00DE4C5A" w:rsidP="00A51FFC">
      <w:pPr>
        <w:tabs>
          <w:tab w:val="left" w:pos="450"/>
        </w:tabs>
        <w:spacing w:line="480" w:lineRule="auto"/>
        <w:ind w:right="-180"/>
        <w:contextualSpacing/>
        <w:rPr>
          <w:sz w:val="22"/>
          <w:szCs w:val="22"/>
        </w:rPr>
      </w:pPr>
      <w:r w:rsidRPr="00897BAE">
        <w:rPr>
          <w:sz w:val="22"/>
          <w:szCs w:val="22"/>
        </w:rPr>
        <w:t>The collection of information does not involve any small businesses or other small entities.</w:t>
      </w:r>
      <w:r w:rsidR="00774441" w:rsidRPr="00897BAE">
        <w:rPr>
          <w:sz w:val="22"/>
          <w:szCs w:val="22"/>
        </w:rPr>
        <w:br/>
      </w:r>
    </w:p>
    <w:p w:rsidR="00A1784D" w:rsidRPr="00897BAE" w:rsidRDefault="00664E01" w:rsidP="00A51FFC">
      <w:pPr>
        <w:numPr>
          <w:ilvl w:val="0"/>
          <w:numId w:val="10"/>
        </w:numPr>
        <w:tabs>
          <w:tab w:val="left" w:pos="-1260"/>
        </w:tabs>
        <w:spacing w:line="480" w:lineRule="auto"/>
        <w:ind w:left="0" w:right="-180" w:firstLine="0"/>
        <w:contextualSpacing/>
        <w:rPr>
          <w:b/>
          <w:sz w:val="22"/>
          <w:szCs w:val="22"/>
          <w:u w:val="single"/>
        </w:rPr>
      </w:pPr>
      <w:r w:rsidRPr="00897BAE">
        <w:rPr>
          <w:b/>
          <w:sz w:val="22"/>
          <w:szCs w:val="22"/>
          <w:u w:val="single"/>
        </w:rPr>
        <w:t>Describe the consequence to Federal program or policy activities if the collection is not conducted or is conducted less frequently, as well as any technical or legal obstacles to reducing burden</w:t>
      </w:r>
      <w:r w:rsidR="00AE2E0F" w:rsidRPr="00897BAE">
        <w:rPr>
          <w:b/>
          <w:sz w:val="22"/>
          <w:szCs w:val="22"/>
          <w:u w:val="single"/>
        </w:rPr>
        <w:t>:</w:t>
      </w:r>
    </w:p>
    <w:p w:rsidR="00D37EB8" w:rsidRPr="00897BAE" w:rsidRDefault="005936B3" w:rsidP="00D37EB8">
      <w:pPr>
        <w:tabs>
          <w:tab w:val="left" w:pos="-1260"/>
        </w:tabs>
        <w:spacing w:line="480" w:lineRule="auto"/>
        <w:ind w:right="-180"/>
        <w:contextualSpacing/>
        <w:rPr>
          <w:sz w:val="22"/>
          <w:szCs w:val="22"/>
        </w:rPr>
      </w:pPr>
      <w:r w:rsidRPr="00897BAE">
        <w:rPr>
          <w:sz w:val="22"/>
          <w:szCs w:val="22"/>
          <w:u w:val="single"/>
        </w:rPr>
        <w:br/>
      </w:r>
      <w:r w:rsidR="00D37EB8" w:rsidRPr="00897BAE">
        <w:rPr>
          <w:sz w:val="22"/>
          <w:szCs w:val="22"/>
          <w:u w:val="single"/>
        </w:rPr>
        <w:t>Sampling Plan</w:t>
      </w:r>
      <w:r w:rsidR="00D37EB8" w:rsidRPr="00897BAE">
        <w:rPr>
          <w:sz w:val="22"/>
          <w:szCs w:val="22"/>
        </w:rPr>
        <w:t>: Less frequent collection could allow incorrect or inappropriate State agency sampling methodology to go undetected.  Without a QC sampling plan there would be no assurance that State agencies operate their QC system in compliance with the Act and the FSP regulations.  This can potentially introduce a bias and adversely affect the integrity of the QC system.  There are no technical or legal obstacles to reducing the burden for the sampling plan.</w:t>
      </w:r>
    </w:p>
    <w:p w:rsidR="00D37EB8" w:rsidRPr="00897BAE" w:rsidRDefault="00D37EB8" w:rsidP="00D37EB8">
      <w:pPr>
        <w:tabs>
          <w:tab w:val="left" w:pos="-1260"/>
        </w:tabs>
        <w:spacing w:line="480" w:lineRule="auto"/>
        <w:ind w:right="-180"/>
        <w:contextualSpacing/>
        <w:rPr>
          <w:sz w:val="22"/>
          <w:szCs w:val="22"/>
        </w:rPr>
      </w:pPr>
    </w:p>
    <w:p w:rsidR="00D37EB8" w:rsidRPr="00897BAE" w:rsidRDefault="00D37EB8" w:rsidP="00D37EB8">
      <w:pPr>
        <w:tabs>
          <w:tab w:val="left" w:pos="-1260"/>
        </w:tabs>
        <w:spacing w:line="480" w:lineRule="auto"/>
        <w:ind w:right="-180"/>
        <w:contextualSpacing/>
        <w:rPr>
          <w:sz w:val="22"/>
          <w:szCs w:val="22"/>
        </w:rPr>
      </w:pPr>
      <w:r w:rsidRPr="00897BAE">
        <w:rPr>
          <w:sz w:val="22"/>
          <w:szCs w:val="22"/>
          <w:u w:val="single"/>
        </w:rPr>
        <w:t>Arbitration and Good Cause</w:t>
      </w:r>
      <w:r w:rsidRPr="00897BAE">
        <w:rPr>
          <w:sz w:val="22"/>
          <w:szCs w:val="22"/>
        </w:rPr>
        <w:t xml:space="preserve">:  Less frequent reporting or the elimination of the reporting burdens for the arbitration and good cause processes would not be in the interest of the State agencies.  It would affect their </w:t>
      </w:r>
      <w:r w:rsidRPr="00897BAE">
        <w:rPr>
          <w:sz w:val="22"/>
          <w:szCs w:val="22"/>
        </w:rPr>
        <w:lastRenderedPageBreak/>
        <w:t>ability to challenge individual case findings and QC system liabilities levied against them.  Because of due process protections that these processes provide, there could potentially be technical or legal obstacles to eliminating these burdens.</w:t>
      </w:r>
    </w:p>
    <w:p w:rsidR="00374537" w:rsidRPr="00897BAE" w:rsidRDefault="00374537" w:rsidP="00A51FFC">
      <w:pPr>
        <w:spacing w:line="480" w:lineRule="auto"/>
        <w:ind w:right="-180"/>
        <w:contextualSpacing/>
        <w:rPr>
          <w:sz w:val="22"/>
          <w:szCs w:val="22"/>
        </w:rPr>
      </w:pPr>
    </w:p>
    <w:p w:rsidR="007F670A" w:rsidRPr="00B37933" w:rsidRDefault="007F670A" w:rsidP="007F670A">
      <w:pPr>
        <w:pStyle w:val="BodyText2"/>
        <w:numPr>
          <w:ilvl w:val="0"/>
          <w:numId w:val="10"/>
        </w:numPr>
        <w:spacing w:line="480" w:lineRule="auto"/>
        <w:ind w:left="0" w:right="-180" w:firstLine="0"/>
        <w:contextualSpacing/>
        <w:rPr>
          <w:b/>
          <w:sz w:val="22"/>
          <w:szCs w:val="22"/>
        </w:rPr>
      </w:pPr>
      <w:r w:rsidRPr="00B37933">
        <w:rPr>
          <w:b/>
          <w:sz w:val="22"/>
          <w:szCs w:val="22"/>
        </w:rPr>
        <w:t>Explain any special circumstances that would cause an information collecti</w:t>
      </w:r>
      <w:r w:rsidRPr="00B37933">
        <w:rPr>
          <w:b/>
          <w:sz w:val="22"/>
          <w:szCs w:val="22"/>
        </w:rPr>
        <w:softHyphen/>
        <w:t>on to be con</w:t>
      </w:r>
      <w:r w:rsidRPr="00B37933">
        <w:rPr>
          <w:b/>
          <w:sz w:val="22"/>
          <w:szCs w:val="22"/>
        </w:rPr>
        <w:softHyphen/>
        <w:t>ducted in a manner:</w:t>
      </w:r>
    </w:p>
    <w:p w:rsidR="007F670A" w:rsidRPr="00B37933" w:rsidRDefault="007F670A" w:rsidP="007F670A">
      <w:pPr>
        <w:numPr>
          <w:ilvl w:val="0"/>
          <w:numId w:val="29"/>
        </w:numPr>
        <w:tabs>
          <w:tab w:val="clear" w:pos="360"/>
        </w:tabs>
        <w:spacing w:after="80"/>
        <w:ind w:left="1170" w:hanging="450"/>
        <w:rPr>
          <w:b/>
          <w:sz w:val="22"/>
          <w:szCs w:val="22"/>
        </w:rPr>
      </w:pPr>
      <w:r w:rsidRPr="00B37933">
        <w:rPr>
          <w:b/>
          <w:sz w:val="22"/>
          <w:szCs w:val="22"/>
        </w:rPr>
        <w:t>requiring respondents to report informa</w:t>
      </w:r>
      <w:r w:rsidRPr="00B37933">
        <w:rPr>
          <w:b/>
          <w:sz w:val="22"/>
          <w:szCs w:val="22"/>
        </w:rPr>
        <w:softHyphen/>
        <w:t>tion to the agency more often than quarterly;</w:t>
      </w:r>
    </w:p>
    <w:p w:rsidR="007F670A" w:rsidRPr="00B37933" w:rsidRDefault="007F670A" w:rsidP="007F670A">
      <w:pPr>
        <w:numPr>
          <w:ilvl w:val="0"/>
          <w:numId w:val="30"/>
        </w:numPr>
        <w:tabs>
          <w:tab w:val="clear" w:pos="360"/>
        </w:tabs>
        <w:spacing w:after="80"/>
        <w:ind w:left="1170" w:hanging="450"/>
        <w:rPr>
          <w:b/>
          <w:sz w:val="22"/>
          <w:szCs w:val="22"/>
        </w:rPr>
      </w:pPr>
      <w:r w:rsidRPr="00B37933">
        <w:rPr>
          <w:b/>
          <w:sz w:val="22"/>
          <w:szCs w:val="22"/>
        </w:rPr>
        <w:t>requiring respondents to prepare a writ</w:t>
      </w:r>
      <w:r w:rsidRPr="00B37933">
        <w:rPr>
          <w:b/>
          <w:sz w:val="22"/>
          <w:szCs w:val="22"/>
        </w:rPr>
        <w:softHyphen/>
        <w:t>ten response to a collection of infor</w:t>
      </w:r>
      <w:r w:rsidRPr="00B37933">
        <w:rPr>
          <w:b/>
          <w:sz w:val="22"/>
          <w:szCs w:val="22"/>
        </w:rPr>
        <w:softHyphen/>
        <w:t>ma</w:t>
      </w:r>
      <w:r w:rsidRPr="00B37933">
        <w:rPr>
          <w:b/>
          <w:sz w:val="22"/>
          <w:szCs w:val="22"/>
        </w:rPr>
        <w:softHyphen/>
        <w:t>tion in fewer than 30 days after receipt of it;</w:t>
      </w:r>
    </w:p>
    <w:p w:rsidR="007F670A" w:rsidRPr="00B37933" w:rsidRDefault="007F670A" w:rsidP="007F670A">
      <w:pPr>
        <w:numPr>
          <w:ilvl w:val="0"/>
          <w:numId w:val="31"/>
        </w:numPr>
        <w:tabs>
          <w:tab w:val="clear" w:pos="360"/>
        </w:tabs>
        <w:spacing w:after="80"/>
        <w:ind w:left="1170" w:hanging="450"/>
        <w:rPr>
          <w:b/>
          <w:sz w:val="22"/>
          <w:szCs w:val="22"/>
        </w:rPr>
      </w:pPr>
      <w:r w:rsidRPr="00B37933">
        <w:rPr>
          <w:b/>
          <w:sz w:val="22"/>
          <w:szCs w:val="22"/>
        </w:rPr>
        <w:t>requiring respondents to submit more than an original and two copies of any docu</w:t>
      </w:r>
      <w:r w:rsidRPr="00B37933">
        <w:rPr>
          <w:b/>
          <w:sz w:val="22"/>
          <w:szCs w:val="22"/>
        </w:rPr>
        <w:softHyphen/>
        <w:t>ment;</w:t>
      </w:r>
    </w:p>
    <w:p w:rsidR="007F670A" w:rsidRPr="00B37933" w:rsidRDefault="007F670A" w:rsidP="007F670A">
      <w:pPr>
        <w:numPr>
          <w:ilvl w:val="0"/>
          <w:numId w:val="32"/>
        </w:numPr>
        <w:tabs>
          <w:tab w:val="clear" w:pos="360"/>
        </w:tabs>
        <w:spacing w:after="80"/>
        <w:ind w:left="1170" w:hanging="450"/>
        <w:rPr>
          <w:b/>
          <w:sz w:val="22"/>
          <w:szCs w:val="22"/>
        </w:rPr>
      </w:pPr>
      <w:r w:rsidRPr="00B37933">
        <w:rPr>
          <w:b/>
          <w:sz w:val="22"/>
          <w:szCs w:val="22"/>
        </w:rPr>
        <w:t>requiring respondents to retain re</w:t>
      </w:r>
      <w:r w:rsidRPr="00B37933">
        <w:rPr>
          <w:b/>
          <w:sz w:val="22"/>
          <w:szCs w:val="22"/>
        </w:rPr>
        <w:softHyphen/>
        <w:t>cords, other than health, medical, governm</w:t>
      </w:r>
      <w:r w:rsidRPr="00B37933">
        <w:rPr>
          <w:b/>
          <w:sz w:val="22"/>
          <w:szCs w:val="22"/>
        </w:rPr>
        <w:softHyphen/>
        <w:t>ent contract, grant-in-aid, or tax records for more than three years;</w:t>
      </w:r>
    </w:p>
    <w:p w:rsidR="007F670A" w:rsidRPr="00B37933" w:rsidRDefault="007F670A" w:rsidP="007F670A">
      <w:pPr>
        <w:numPr>
          <w:ilvl w:val="0"/>
          <w:numId w:val="33"/>
        </w:numPr>
        <w:tabs>
          <w:tab w:val="clear" w:pos="360"/>
        </w:tabs>
        <w:spacing w:after="80"/>
        <w:ind w:left="1170" w:hanging="450"/>
        <w:rPr>
          <w:b/>
          <w:sz w:val="22"/>
          <w:szCs w:val="22"/>
        </w:rPr>
      </w:pPr>
      <w:r w:rsidRPr="00B37933">
        <w:rPr>
          <w:b/>
          <w:sz w:val="22"/>
          <w:szCs w:val="22"/>
        </w:rPr>
        <w:t>in connection with a statisti</w:t>
      </w:r>
      <w:r w:rsidRPr="00B37933">
        <w:rPr>
          <w:b/>
          <w:sz w:val="22"/>
          <w:szCs w:val="22"/>
        </w:rPr>
        <w:softHyphen/>
        <w:t>cal sur</w:t>
      </w:r>
      <w:r w:rsidRPr="00B37933">
        <w:rPr>
          <w:b/>
          <w:sz w:val="22"/>
          <w:szCs w:val="22"/>
        </w:rPr>
        <w:softHyphen/>
        <w:t>vey, that is not de</w:t>
      </w:r>
      <w:r w:rsidRPr="00B37933">
        <w:rPr>
          <w:b/>
          <w:sz w:val="22"/>
          <w:szCs w:val="22"/>
        </w:rPr>
        <w:softHyphen/>
        <w:t>signed to produce valid and reli</w:t>
      </w:r>
      <w:r w:rsidRPr="00B37933">
        <w:rPr>
          <w:b/>
          <w:sz w:val="22"/>
          <w:szCs w:val="22"/>
        </w:rPr>
        <w:softHyphen/>
        <w:t>able results that can be general</w:t>
      </w:r>
      <w:r w:rsidRPr="00B37933">
        <w:rPr>
          <w:b/>
          <w:sz w:val="22"/>
          <w:szCs w:val="22"/>
        </w:rPr>
        <w:softHyphen/>
        <w:t>ized to the uni</w:t>
      </w:r>
      <w:r w:rsidRPr="00B37933">
        <w:rPr>
          <w:b/>
          <w:sz w:val="22"/>
          <w:szCs w:val="22"/>
        </w:rPr>
        <w:softHyphen/>
        <w:t>verse of study;</w:t>
      </w:r>
    </w:p>
    <w:p w:rsidR="007F670A" w:rsidRPr="00B37933" w:rsidRDefault="007F670A" w:rsidP="007F670A">
      <w:pPr>
        <w:numPr>
          <w:ilvl w:val="0"/>
          <w:numId w:val="34"/>
        </w:numPr>
        <w:tabs>
          <w:tab w:val="clear" w:pos="360"/>
        </w:tabs>
        <w:spacing w:after="80"/>
        <w:ind w:left="1170" w:hanging="450"/>
        <w:rPr>
          <w:b/>
          <w:sz w:val="22"/>
          <w:szCs w:val="22"/>
        </w:rPr>
      </w:pPr>
      <w:r w:rsidRPr="00B37933">
        <w:rPr>
          <w:b/>
          <w:sz w:val="22"/>
          <w:szCs w:val="22"/>
        </w:rPr>
        <w:t>requiring the use of a statis</w:t>
      </w:r>
      <w:r w:rsidRPr="00B37933">
        <w:rPr>
          <w:b/>
          <w:sz w:val="22"/>
          <w:szCs w:val="22"/>
        </w:rPr>
        <w:softHyphen/>
        <w:t>tical data classi</w:t>
      </w:r>
      <w:r w:rsidRPr="00B37933">
        <w:rPr>
          <w:b/>
          <w:sz w:val="22"/>
          <w:szCs w:val="22"/>
        </w:rPr>
        <w:softHyphen/>
        <w:t>fication that has not been re</w:t>
      </w:r>
      <w:r w:rsidRPr="00B37933">
        <w:rPr>
          <w:b/>
          <w:sz w:val="22"/>
          <w:szCs w:val="22"/>
        </w:rPr>
        <w:softHyphen/>
        <w:t>vie</w:t>
      </w:r>
      <w:r w:rsidRPr="00B37933">
        <w:rPr>
          <w:b/>
          <w:sz w:val="22"/>
          <w:szCs w:val="22"/>
        </w:rPr>
        <w:softHyphen/>
        <w:t>wed and approved by OMB;</w:t>
      </w:r>
    </w:p>
    <w:p w:rsidR="007F670A" w:rsidRPr="00B37933" w:rsidRDefault="007F670A" w:rsidP="007F670A">
      <w:pPr>
        <w:numPr>
          <w:ilvl w:val="0"/>
          <w:numId w:val="35"/>
        </w:numPr>
        <w:tabs>
          <w:tab w:val="clear" w:pos="360"/>
        </w:tabs>
        <w:spacing w:after="80"/>
        <w:ind w:left="1170" w:hanging="450"/>
        <w:rPr>
          <w:b/>
          <w:sz w:val="22"/>
          <w:szCs w:val="22"/>
        </w:rPr>
      </w:pPr>
      <w:r w:rsidRPr="00B37933">
        <w:rPr>
          <w:b/>
          <w:sz w:val="22"/>
          <w:szCs w:val="22"/>
        </w:rPr>
        <w:t>that includes a pledge of confiden</w:t>
      </w:r>
      <w:r w:rsidRPr="00B37933">
        <w:rPr>
          <w:b/>
          <w:sz w:val="22"/>
          <w:szCs w:val="22"/>
        </w:rPr>
        <w:softHyphen/>
        <w:t>tiali</w:t>
      </w:r>
      <w:r w:rsidRPr="00B37933">
        <w:rPr>
          <w:b/>
          <w:sz w:val="22"/>
          <w:szCs w:val="22"/>
        </w:rPr>
        <w:softHyphen/>
        <w:t>ty that is not supported by au</w:t>
      </w:r>
      <w:r w:rsidRPr="00B37933">
        <w:rPr>
          <w:b/>
          <w:sz w:val="22"/>
          <w:szCs w:val="22"/>
        </w:rPr>
        <w:softHyphen/>
        <w:t>thority estab</w:t>
      </w:r>
      <w:r w:rsidRPr="00B37933">
        <w:rPr>
          <w:b/>
          <w:sz w:val="22"/>
          <w:szCs w:val="22"/>
        </w:rPr>
        <w:softHyphen/>
        <w:t>lished in statute or regu</w:t>
      </w:r>
      <w:r w:rsidRPr="00B37933">
        <w:rPr>
          <w:b/>
          <w:sz w:val="22"/>
          <w:szCs w:val="22"/>
        </w:rPr>
        <w:softHyphen/>
        <w:t>la</w:t>
      </w:r>
      <w:r w:rsidRPr="00B37933">
        <w:rPr>
          <w:b/>
          <w:sz w:val="22"/>
          <w:szCs w:val="22"/>
        </w:rPr>
        <w:softHyphen/>
        <w:t>tion, that is not sup</w:t>
      </w:r>
      <w:r w:rsidRPr="00B37933">
        <w:rPr>
          <w:b/>
          <w:sz w:val="22"/>
          <w:szCs w:val="22"/>
        </w:rPr>
        <w:softHyphen/>
        <w:t>ported by dis</w:t>
      </w:r>
      <w:r w:rsidRPr="00B37933">
        <w:rPr>
          <w:b/>
          <w:sz w:val="22"/>
          <w:szCs w:val="22"/>
        </w:rPr>
        <w:softHyphen/>
        <w:t>closure and data security policies that are consistent with the pledge, or which unneces</w:t>
      </w:r>
      <w:r w:rsidRPr="00B37933">
        <w:rPr>
          <w:b/>
          <w:sz w:val="22"/>
          <w:szCs w:val="22"/>
        </w:rPr>
        <w:softHyphen/>
        <w:t>sarily impedes shar</w:t>
      </w:r>
      <w:r w:rsidRPr="00B37933">
        <w:rPr>
          <w:b/>
          <w:sz w:val="22"/>
          <w:szCs w:val="22"/>
        </w:rPr>
        <w:softHyphen/>
        <w:t>ing of data with other agencies for com</w:t>
      </w:r>
      <w:r w:rsidRPr="00B37933">
        <w:rPr>
          <w:b/>
          <w:sz w:val="22"/>
          <w:szCs w:val="22"/>
        </w:rPr>
        <w:softHyphen/>
        <w:t>patible confiden</w:t>
      </w:r>
      <w:r w:rsidRPr="00B37933">
        <w:rPr>
          <w:b/>
          <w:sz w:val="22"/>
          <w:szCs w:val="22"/>
        </w:rPr>
        <w:softHyphen/>
        <w:t>tial use; or</w:t>
      </w:r>
    </w:p>
    <w:p w:rsidR="007F670A" w:rsidRPr="00B37933" w:rsidRDefault="007F670A" w:rsidP="007F670A">
      <w:pPr>
        <w:numPr>
          <w:ilvl w:val="0"/>
          <w:numId w:val="36"/>
        </w:numPr>
        <w:tabs>
          <w:tab w:val="clear" w:pos="360"/>
          <w:tab w:val="num" w:pos="648"/>
        </w:tabs>
        <w:spacing w:after="80"/>
        <w:ind w:left="1170" w:hanging="450"/>
        <w:rPr>
          <w:sz w:val="22"/>
          <w:szCs w:val="22"/>
        </w:rPr>
      </w:pPr>
      <w:r w:rsidRPr="00B37933">
        <w:rPr>
          <w:b/>
          <w:sz w:val="22"/>
          <w:szCs w:val="22"/>
        </w:rPr>
        <w:t>requiring respondents to submit propri</w:t>
      </w:r>
      <w:r w:rsidRPr="00B37933">
        <w:rPr>
          <w:b/>
          <w:sz w:val="22"/>
          <w:szCs w:val="22"/>
        </w:rPr>
        <w:softHyphen/>
        <w:t>etary trade secret, or other confidential information unless the agency can demon</w:t>
      </w:r>
      <w:r w:rsidRPr="00B37933">
        <w:rPr>
          <w:b/>
          <w:sz w:val="22"/>
          <w:szCs w:val="22"/>
        </w:rPr>
        <w:softHyphen/>
        <w:t>strate that it has instituted procedures to protect the information's confidentiality to the extent permit</w:t>
      </w:r>
      <w:r w:rsidRPr="00B37933">
        <w:rPr>
          <w:b/>
          <w:sz w:val="22"/>
          <w:szCs w:val="22"/>
        </w:rPr>
        <w:softHyphen/>
        <w:t>ted by law.</w:t>
      </w:r>
    </w:p>
    <w:p w:rsidR="007F670A" w:rsidRPr="009A3085" w:rsidRDefault="007F670A" w:rsidP="007F670A">
      <w:pPr>
        <w:spacing w:after="80"/>
        <w:ind w:left="1170"/>
      </w:pPr>
    </w:p>
    <w:p w:rsidR="00227CB4" w:rsidRPr="00897BAE" w:rsidRDefault="00FC3141" w:rsidP="00A51FFC">
      <w:pPr>
        <w:spacing w:line="480" w:lineRule="auto"/>
        <w:ind w:right="-180"/>
        <w:contextualSpacing/>
        <w:rPr>
          <w:sz w:val="22"/>
          <w:szCs w:val="22"/>
        </w:rPr>
      </w:pPr>
      <w:r w:rsidRPr="00897BAE">
        <w:rPr>
          <w:sz w:val="22"/>
          <w:szCs w:val="22"/>
        </w:rPr>
        <w:t>There are no special circumstances that require collection inconsistent with 5 CFR 1320.</w:t>
      </w:r>
      <w:r w:rsidR="00534224" w:rsidRPr="00897BAE">
        <w:rPr>
          <w:sz w:val="22"/>
          <w:szCs w:val="22"/>
        </w:rPr>
        <w:t>5</w:t>
      </w:r>
      <w:r w:rsidRPr="00897BAE">
        <w:rPr>
          <w:sz w:val="22"/>
          <w:szCs w:val="22"/>
        </w:rPr>
        <w:t>.</w:t>
      </w:r>
    </w:p>
    <w:p w:rsidR="00227CB4" w:rsidRPr="00897BAE" w:rsidRDefault="00227CB4" w:rsidP="00A51FFC">
      <w:pPr>
        <w:spacing w:line="480" w:lineRule="auto"/>
        <w:ind w:right="-180"/>
        <w:contextualSpacing/>
        <w:rPr>
          <w:sz w:val="22"/>
          <w:szCs w:val="22"/>
        </w:rPr>
      </w:pPr>
    </w:p>
    <w:p w:rsidR="00A1784D" w:rsidRPr="00897BAE" w:rsidRDefault="00664E01" w:rsidP="00A51FFC">
      <w:pPr>
        <w:pStyle w:val="ListParagraph"/>
        <w:numPr>
          <w:ilvl w:val="0"/>
          <w:numId w:val="10"/>
        </w:numPr>
        <w:spacing w:line="480" w:lineRule="auto"/>
        <w:ind w:left="360" w:right="-180"/>
        <w:rPr>
          <w:b/>
          <w:sz w:val="22"/>
          <w:szCs w:val="22"/>
        </w:rPr>
      </w:pPr>
      <w:r w:rsidRPr="00897BAE">
        <w:rPr>
          <w:b/>
          <w:sz w:val="22"/>
          <w:szCs w:val="22"/>
          <w:u w:val="single"/>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00F5188E" w:rsidRPr="00897BAE">
        <w:rPr>
          <w:b/>
          <w:sz w:val="22"/>
          <w:szCs w:val="22"/>
          <w:u w:val="single"/>
        </w:rPr>
        <w:t>:</w:t>
      </w:r>
    </w:p>
    <w:p w:rsidR="00D37EB8" w:rsidRPr="00897BAE" w:rsidRDefault="00617B20" w:rsidP="00D37EB8">
      <w:pPr>
        <w:pStyle w:val="BodyText2"/>
        <w:spacing w:line="480" w:lineRule="auto"/>
        <w:ind w:right="-180"/>
        <w:contextualSpacing/>
        <w:rPr>
          <w:sz w:val="22"/>
          <w:szCs w:val="22"/>
          <w:u w:val="none"/>
        </w:rPr>
      </w:pPr>
      <w:r w:rsidRPr="00897BAE">
        <w:rPr>
          <w:sz w:val="22"/>
          <w:szCs w:val="22"/>
          <w:u w:val="none"/>
        </w:rPr>
        <w:t xml:space="preserve">A notice was published in the Federal Register at </w:t>
      </w:r>
      <w:r w:rsidR="00FC3141" w:rsidRPr="00897BAE">
        <w:rPr>
          <w:sz w:val="22"/>
          <w:szCs w:val="22"/>
          <w:u w:val="none"/>
        </w:rPr>
        <w:t>7</w:t>
      </w:r>
      <w:r w:rsidR="001C2FCB" w:rsidRPr="00897BAE">
        <w:rPr>
          <w:sz w:val="22"/>
          <w:szCs w:val="22"/>
          <w:u w:val="none"/>
        </w:rPr>
        <w:t>8</w:t>
      </w:r>
      <w:r w:rsidR="00FC3141" w:rsidRPr="00897BAE">
        <w:rPr>
          <w:sz w:val="22"/>
          <w:szCs w:val="22"/>
          <w:u w:val="none"/>
        </w:rPr>
        <w:t xml:space="preserve"> FR </w:t>
      </w:r>
      <w:r w:rsidR="001C2FCB" w:rsidRPr="00897BAE">
        <w:rPr>
          <w:sz w:val="22"/>
          <w:szCs w:val="22"/>
          <w:u w:val="none"/>
        </w:rPr>
        <w:t>30844</w:t>
      </w:r>
      <w:r w:rsidR="00FC3141" w:rsidRPr="00897BAE">
        <w:rPr>
          <w:sz w:val="22"/>
          <w:szCs w:val="22"/>
          <w:u w:val="none"/>
        </w:rPr>
        <w:t xml:space="preserve"> </w:t>
      </w:r>
      <w:r w:rsidRPr="00897BAE">
        <w:rPr>
          <w:sz w:val="22"/>
          <w:szCs w:val="22"/>
          <w:u w:val="none"/>
        </w:rPr>
        <w:t xml:space="preserve">on </w:t>
      </w:r>
      <w:r w:rsidR="00FC3141" w:rsidRPr="00897BAE">
        <w:rPr>
          <w:sz w:val="22"/>
          <w:szCs w:val="22"/>
          <w:u w:val="none"/>
        </w:rPr>
        <w:t xml:space="preserve">May </w:t>
      </w:r>
      <w:r w:rsidR="00123FFA" w:rsidRPr="00897BAE">
        <w:rPr>
          <w:sz w:val="22"/>
          <w:szCs w:val="22"/>
          <w:u w:val="none"/>
        </w:rPr>
        <w:t>23, 2013</w:t>
      </w:r>
      <w:r w:rsidR="00D37EB8" w:rsidRPr="00897BAE">
        <w:rPr>
          <w:sz w:val="22"/>
          <w:szCs w:val="22"/>
          <w:u w:val="none"/>
        </w:rPr>
        <w:t xml:space="preserve">, and no comments were received during the 60 day notice.  </w:t>
      </w:r>
    </w:p>
    <w:p w:rsidR="00B06A8D" w:rsidRPr="00897BAE" w:rsidRDefault="00B06A8D" w:rsidP="00D37EB8">
      <w:pPr>
        <w:pStyle w:val="BodyText2"/>
        <w:spacing w:line="480" w:lineRule="auto"/>
        <w:ind w:right="-180"/>
        <w:contextualSpacing/>
        <w:rPr>
          <w:sz w:val="22"/>
          <w:szCs w:val="22"/>
          <w:u w:val="none"/>
        </w:rPr>
      </w:pPr>
    </w:p>
    <w:p w:rsidR="004A6D20" w:rsidRPr="00897BAE" w:rsidRDefault="00637555" w:rsidP="00A51FFC">
      <w:pPr>
        <w:pStyle w:val="BodyText2"/>
        <w:spacing w:line="480" w:lineRule="auto"/>
        <w:ind w:right="-180"/>
        <w:contextualSpacing/>
        <w:rPr>
          <w:b/>
          <w:sz w:val="22"/>
          <w:szCs w:val="22"/>
        </w:rPr>
      </w:pPr>
      <w:r w:rsidRPr="00897BAE">
        <w:rPr>
          <w:b/>
          <w:sz w:val="22"/>
          <w:szCs w:val="22"/>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7107BD" w:rsidRPr="00897BAE">
        <w:rPr>
          <w:b/>
          <w:sz w:val="22"/>
          <w:szCs w:val="22"/>
        </w:rPr>
        <w:t>:</w:t>
      </w:r>
    </w:p>
    <w:p w:rsidR="007107BD" w:rsidRPr="00897BAE" w:rsidRDefault="007107BD" w:rsidP="007107BD">
      <w:pPr>
        <w:pStyle w:val="BodyText2"/>
        <w:spacing w:line="480" w:lineRule="auto"/>
        <w:ind w:right="-180"/>
        <w:contextualSpacing/>
        <w:rPr>
          <w:sz w:val="22"/>
          <w:szCs w:val="22"/>
          <w:u w:val="none"/>
        </w:rPr>
      </w:pPr>
      <w:r w:rsidRPr="00897BAE">
        <w:rPr>
          <w:sz w:val="22"/>
          <w:szCs w:val="22"/>
          <w:u w:val="none"/>
        </w:rPr>
        <w:t xml:space="preserve">FNS attends an annual meeting with the National Association of Program Information and Performance Measurement (NAPIPM) organization and holds calls regularly with the Quality Control Technical Advisory Group (QC TAG) of this organization, an association made up of state SNAP QC Directors, to discuss various QC topics including requirements of the 275 regulations.  </w:t>
      </w:r>
    </w:p>
    <w:p w:rsidR="007107BD" w:rsidRPr="00897BAE" w:rsidRDefault="007107BD" w:rsidP="00A51FFC">
      <w:pPr>
        <w:pStyle w:val="BodyText2"/>
        <w:spacing w:line="480" w:lineRule="auto"/>
        <w:ind w:right="-180"/>
        <w:contextualSpacing/>
        <w:rPr>
          <w:b/>
          <w:sz w:val="22"/>
          <w:szCs w:val="22"/>
        </w:rPr>
      </w:pPr>
    </w:p>
    <w:p w:rsidR="00A1784D" w:rsidRPr="00897BAE" w:rsidRDefault="00637555" w:rsidP="00A51FFC">
      <w:pPr>
        <w:pStyle w:val="BodyText2"/>
        <w:numPr>
          <w:ilvl w:val="0"/>
          <w:numId w:val="10"/>
        </w:numPr>
        <w:spacing w:line="480" w:lineRule="auto"/>
        <w:ind w:left="0" w:right="-180" w:firstLine="0"/>
        <w:contextualSpacing/>
        <w:rPr>
          <w:b/>
          <w:sz w:val="22"/>
          <w:szCs w:val="22"/>
          <w:u w:val="none"/>
        </w:rPr>
      </w:pPr>
      <w:r w:rsidRPr="00897BAE">
        <w:rPr>
          <w:b/>
          <w:sz w:val="22"/>
          <w:szCs w:val="22"/>
        </w:rPr>
        <w:t>Explain any decision to provide any payment or gift to respondents, other than remuneration of contractors or grantees</w:t>
      </w:r>
      <w:r w:rsidR="00AE2E0F" w:rsidRPr="00897BAE">
        <w:rPr>
          <w:b/>
          <w:sz w:val="22"/>
          <w:szCs w:val="22"/>
        </w:rPr>
        <w:t>:</w:t>
      </w:r>
      <w:r w:rsidR="00A1784D" w:rsidRPr="00897BAE">
        <w:rPr>
          <w:b/>
          <w:sz w:val="22"/>
          <w:szCs w:val="22"/>
          <w:u w:val="none"/>
        </w:rPr>
        <w:t xml:space="preserve"> </w:t>
      </w:r>
    </w:p>
    <w:p w:rsidR="00A1784D" w:rsidRPr="00897BAE" w:rsidRDefault="001C0EFD" w:rsidP="00A51FFC">
      <w:pPr>
        <w:pStyle w:val="BodyText2"/>
        <w:spacing w:line="480" w:lineRule="auto"/>
        <w:ind w:right="-180"/>
        <w:contextualSpacing/>
        <w:rPr>
          <w:sz w:val="22"/>
          <w:szCs w:val="22"/>
          <w:u w:val="none"/>
        </w:rPr>
      </w:pPr>
      <w:r w:rsidRPr="00897BAE">
        <w:rPr>
          <w:sz w:val="22"/>
          <w:szCs w:val="22"/>
          <w:u w:val="none"/>
        </w:rPr>
        <w:t xml:space="preserve">No payments or gifts </w:t>
      </w:r>
      <w:r w:rsidR="007107BD" w:rsidRPr="00897BAE">
        <w:rPr>
          <w:sz w:val="22"/>
          <w:szCs w:val="22"/>
          <w:u w:val="none"/>
        </w:rPr>
        <w:t>were</w:t>
      </w:r>
      <w:r w:rsidRPr="00897BAE">
        <w:rPr>
          <w:sz w:val="22"/>
          <w:szCs w:val="22"/>
          <w:u w:val="none"/>
        </w:rPr>
        <w:t xml:space="preserve"> made to respondents</w:t>
      </w:r>
      <w:r w:rsidR="00F5188E" w:rsidRPr="00897BAE">
        <w:rPr>
          <w:sz w:val="22"/>
          <w:szCs w:val="22"/>
          <w:u w:val="none"/>
        </w:rPr>
        <w:t>.</w:t>
      </w:r>
    </w:p>
    <w:p w:rsidR="001C0EFD" w:rsidRPr="00897BAE" w:rsidRDefault="001C0EFD" w:rsidP="00A51FFC">
      <w:pPr>
        <w:pStyle w:val="BodyText2"/>
        <w:spacing w:line="480" w:lineRule="auto"/>
        <w:ind w:right="-180"/>
        <w:contextualSpacing/>
        <w:rPr>
          <w:sz w:val="22"/>
          <w:szCs w:val="22"/>
          <w:u w:val="none"/>
        </w:rPr>
      </w:pPr>
    </w:p>
    <w:p w:rsidR="00A1784D" w:rsidRPr="00897BAE" w:rsidRDefault="00637555" w:rsidP="00A51FFC">
      <w:pPr>
        <w:pStyle w:val="BodyText2"/>
        <w:numPr>
          <w:ilvl w:val="0"/>
          <w:numId w:val="10"/>
        </w:numPr>
        <w:spacing w:line="480" w:lineRule="auto"/>
        <w:ind w:left="0" w:right="-180" w:firstLine="0"/>
        <w:contextualSpacing/>
        <w:rPr>
          <w:sz w:val="22"/>
          <w:szCs w:val="22"/>
        </w:rPr>
      </w:pPr>
      <w:r w:rsidRPr="00897BAE">
        <w:rPr>
          <w:b/>
          <w:sz w:val="22"/>
          <w:szCs w:val="22"/>
        </w:rPr>
        <w:t>Describe any assurance of confidentiality provided to respondents and the basis for the assurance in statute, regulation, or agency policy</w:t>
      </w:r>
      <w:r w:rsidR="00AE2E0F" w:rsidRPr="00897BAE">
        <w:rPr>
          <w:b/>
          <w:sz w:val="22"/>
          <w:szCs w:val="22"/>
        </w:rPr>
        <w:t>:</w:t>
      </w:r>
    </w:p>
    <w:p w:rsidR="00374537" w:rsidRPr="00897BAE" w:rsidRDefault="004A6D20" w:rsidP="00A51FFC">
      <w:pPr>
        <w:pStyle w:val="BodyText2"/>
        <w:spacing w:line="480" w:lineRule="auto"/>
        <w:ind w:right="-180"/>
        <w:contextualSpacing/>
        <w:rPr>
          <w:sz w:val="22"/>
          <w:szCs w:val="22"/>
          <w:u w:val="none"/>
        </w:rPr>
      </w:pPr>
      <w:r w:rsidRPr="00897BAE">
        <w:rPr>
          <w:sz w:val="22"/>
          <w:szCs w:val="22"/>
          <w:u w:val="none"/>
        </w:rPr>
        <w:t>The Department complies with the Privacy Act of 1974.</w:t>
      </w:r>
    </w:p>
    <w:p w:rsidR="00374537" w:rsidRPr="00897BAE" w:rsidRDefault="00374537" w:rsidP="00A51FFC">
      <w:pPr>
        <w:pStyle w:val="BodyText2"/>
        <w:spacing w:line="480" w:lineRule="auto"/>
        <w:ind w:right="-180"/>
        <w:contextualSpacing/>
        <w:rPr>
          <w:sz w:val="22"/>
          <w:szCs w:val="22"/>
          <w:u w:val="none"/>
        </w:rPr>
      </w:pPr>
    </w:p>
    <w:p w:rsidR="00A1784D" w:rsidRPr="00897BAE" w:rsidRDefault="00A51A5A" w:rsidP="00A51FFC">
      <w:pPr>
        <w:pStyle w:val="BodyText2"/>
        <w:numPr>
          <w:ilvl w:val="0"/>
          <w:numId w:val="10"/>
        </w:numPr>
        <w:spacing w:line="480" w:lineRule="auto"/>
        <w:ind w:left="0" w:right="-180" w:firstLine="0"/>
        <w:contextualSpacing/>
        <w:rPr>
          <w:sz w:val="22"/>
          <w:szCs w:val="22"/>
          <w:u w:val="none"/>
        </w:rPr>
      </w:pPr>
      <w:r w:rsidRPr="00897BAE">
        <w:rPr>
          <w:b/>
          <w:sz w:val="22"/>
          <w:szCs w:val="22"/>
        </w:rPr>
        <w:t xml:space="preserve"> </w:t>
      </w:r>
      <w:r w:rsidR="00637555" w:rsidRPr="00897BAE">
        <w:rPr>
          <w:b/>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A05197" w:rsidRPr="00897BAE">
        <w:rPr>
          <w:b/>
          <w:sz w:val="22"/>
          <w:szCs w:val="22"/>
        </w:rPr>
        <w:t>:</w:t>
      </w:r>
    </w:p>
    <w:p w:rsidR="00720B47" w:rsidRPr="00897BAE" w:rsidRDefault="00720B47" w:rsidP="00A51FFC">
      <w:pPr>
        <w:pStyle w:val="BodyText2"/>
        <w:spacing w:line="480" w:lineRule="auto"/>
        <w:ind w:right="-180"/>
        <w:contextualSpacing/>
        <w:rPr>
          <w:sz w:val="22"/>
          <w:szCs w:val="22"/>
          <w:u w:val="none"/>
        </w:rPr>
      </w:pPr>
    </w:p>
    <w:p w:rsidR="00D703A0" w:rsidRPr="00897BAE" w:rsidRDefault="004A6D20" w:rsidP="00A51FFC">
      <w:pPr>
        <w:pStyle w:val="BodyText2"/>
        <w:spacing w:line="480" w:lineRule="auto"/>
        <w:ind w:right="-180"/>
        <w:contextualSpacing/>
        <w:rPr>
          <w:sz w:val="22"/>
          <w:szCs w:val="22"/>
          <w:u w:val="none"/>
        </w:rPr>
      </w:pPr>
      <w:r w:rsidRPr="00897BAE">
        <w:rPr>
          <w:sz w:val="22"/>
          <w:szCs w:val="22"/>
          <w:u w:val="none"/>
        </w:rPr>
        <w:t>There are no questions of a sensitive nature included in this clearance.</w:t>
      </w:r>
    </w:p>
    <w:p w:rsidR="00637555" w:rsidRPr="00897BAE" w:rsidRDefault="00637555" w:rsidP="00637555">
      <w:pPr>
        <w:pStyle w:val="BodyText2"/>
        <w:numPr>
          <w:ilvl w:val="0"/>
          <w:numId w:val="10"/>
        </w:numPr>
        <w:spacing w:line="480" w:lineRule="auto"/>
        <w:ind w:left="90" w:right="-180" w:firstLine="0"/>
        <w:contextualSpacing/>
        <w:rPr>
          <w:b/>
          <w:sz w:val="22"/>
          <w:szCs w:val="22"/>
        </w:rPr>
      </w:pPr>
      <w:r w:rsidRPr="00897BAE">
        <w:rPr>
          <w:b/>
          <w:sz w:val="22"/>
          <w:szCs w:val="22"/>
        </w:rPr>
        <w:t>Provide estimates of the hour burden of the collection of information.  The statement should:</w:t>
      </w:r>
    </w:p>
    <w:p w:rsidR="00637555" w:rsidRPr="00897BAE" w:rsidRDefault="00637555" w:rsidP="00637555">
      <w:pPr>
        <w:pStyle w:val="BodyText2"/>
        <w:numPr>
          <w:ilvl w:val="0"/>
          <w:numId w:val="26"/>
        </w:numPr>
        <w:spacing w:line="480" w:lineRule="auto"/>
        <w:ind w:right="-180"/>
        <w:contextualSpacing/>
        <w:rPr>
          <w:b/>
          <w:sz w:val="22"/>
          <w:szCs w:val="22"/>
        </w:rPr>
      </w:pPr>
      <w:r w:rsidRPr="00897BAE">
        <w:rPr>
          <w:b/>
          <w:sz w:val="22"/>
          <w:szCs w:val="22"/>
        </w:rPr>
        <w:lastRenderedPageBreak/>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1784D" w:rsidRPr="00897BAE" w:rsidRDefault="00637555" w:rsidP="00637555">
      <w:pPr>
        <w:pStyle w:val="BodyText2"/>
        <w:numPr>
          <w:ilvl w:val="0"/>
          <w:numId w:val="26"/>
        </w:numPr>
        <w:spacing w:line="480" w:lineRule="auto"/>
        <w:ind w:right="-180"/>
        <w:contextualSpacing/>
        <w:rPr>
          <w:b/>
          <w:sz w:val="22"/>
          <w:szCs w:val="22"/>
        </w:rPr>
      </w:pPr>
      <w:r w:rsidRPr="00897BAE">
        <w:rPr>
          <w:b/>
          <w:sz w:val="22"/>
          <w:szCs w:val="22"/>
        </w:rPr>
        <w:t>Provide estimates of annualized cost to respondents for the hour burdens for collections of information, identifying and using appropriate wage rate categories</w:t>
      </w:r>
      <w:r w:rsidR="00A05197" w:rsidRPr="00897BAE">
        <w:rPr>
          <w:b/>
          <w:sz w:val="22"/>
          <w:szCs w:val="22"/>
        </w:rPr>
        <w:t>:</w:t>
      </w:r>
    </w:p>
    <w:p w:rsidR="00BC759B" w:rsidRPr="00897BAE" w:rsidRDefault="00BB32CD" w:rsidP="00A51FFC">
      <w:pPr>
        <w:tabs>
          <w:tab w:val="left" w:pos="-720"/>
          <w:tab w:val="left" w:pos="0"/>
        </w:tabs>
        <w:suppressAutoHyphens/>
        <w:spacing w:line="480" w:lineRule="auto"/>
        <w:rPr>
          <w:b/>
          <w:sz w:val="22"/>
          <w:szCs w:val="22"/>
        </w:rPr>
      </w:pPr>
      <w:r w:rsidRPr="00897BAE">
        <w:rPr>
          <w:b/>
          <w:sz w:val="22"/>
          <w:szCs w:val="22"/>
        </w:rPr>
        <w:t>Reporting Burden:</w:t>
      </w:r>
    </w:p>
    <w:p w:rsidR="003518CD" w:rsidRPr="00897BAE" w:rsidRDefault="004A6D20" w:rsidP="00A51FFC">
      <w:pPr>
        <w:spacing w:line="480" w:lineRule="auto"/>
        <w:rPr>
          <w:sz w:val="22"/>
          <w:szCs w:val="22"/>
        </w:rPr>
      </w:pPr>
      <w:r w:rsidRPr="00897BAE">
        <w:rPr>
          <w:sz w:val="22"/>
          <w:szCs w:val="22"/>
          <w:u w:val="single"/>
        </w:rPr>
        <w:t>Sampling Plan</w:t>
      </w:r>
      <w:r w:rsidRPr="00897BAE">
        <w:rPr>
          <w:sz w:val="22"/>
          <w:szCs w:val="22"/>
        </w:rPr>
        <w:t xml:space="preserve">:  </w:t>
      </w:r>
      <w:r w:rsidR="00534224" w:rsidRPr="00897BAE">
        <w:rPr>
          <w:sz w:val="22"/>
          <w:szCs w:val="22"/>
        </w:rPr>
        <w:tab/>
      </w:r>
      <w:r w:rsidRPr="00897BAE">
        <w:rPr>
          <w:sz w:val="22"/>
          <w:szCs w:val="22"/>
        </w:rPr>
        <w:t>Fifty-three State agencies are required to have an acceptable sampling plan in place for each annual reporting period.  The number of annual responses from each State agency will vary depending upon the revisions needed in a State agency’s sampling plan.  We estimate that one revision will be needed per State agency per year.</w:t>
      </w:r>
      <w:r w:rsidR="003518CD" w:rsidRPr="00897BAE">
        <w:rPr>
          <w:sz w:val="22"/>
          <w:szCs w:val="22"/>
        </w:rPr>
        <w:t xml:space="preserve"> </w:t>
      </w:r>
    </w:p>
    <w:p w:rsidR="003518CD" w:rsidRPr="00897BAE" w:rsidRDefault="003518CD" w:rsidP="00A51FFC">
      <w:pPr>
        <w:spacing w:line="480" w:lineRule="auto"/>
        <w:rPr>
          <w:sz w:val="22"/>
          <w:szCs w:val="22"/>
        </w:rPr>
      </w:pPr>
    </w:p>
    <w:p w:rsidR="003518CD" w:rsidRPr="00897BAE" w:rsidRDefault="003518CD" w:rsidP="00A51FFC">
      <w:pPr>
        <w:spacing w:line="480" w:lineRule="auto"/>
        <w:rPr>
          <w:sz w:val="22"/>
          <w:szCs w:val="22"/>
        </w:rPr>
      </w:pPr>
      <w:r w:rsidRPr="00897BAE">
        <w:rPr>
          <w:sz w:val="22"/>
          <w:szCs w:val="22"/>
        </w:rPr>
        <w:t>FNS estimates that the number of hours per response will vary from 1 to 20 hours, depending upon the extent of the revision to the sampling plan.  If the current sampling plan meets the State’s needs and includes all required information as identified in SNAP regulations, State agencies may simply submit the existing plan.  Otherwise, the plan must be modified as necessary.  Before the initial submission, the respondent burden is dependent upon the frequency and magnitude of the proposed changes to an approved plan.  Based on operational experience, FNS estimates an average annual burden of approximately 5 hours per response resulting in a total burden of 265 hours.</w:t>
      </w:r>
    </w:p>
    <w:p w:rsidR="00915A7C" w:rsidRPr="00897BAE" w:rsidRDefault="00915A7C" w:rsidP="00A51FFC">
      <w:pPr>
        <w:suppressAutoHyphens/>
        <w:spacing w:line="480" w:lineRule="auto"/>
        <w:ind w:left="90"/>
        <w:rPr>
          <w:sz w:val="22"/>
          <w:szCs w:val="22"/>
          <w:u w:val="single"/>
        </w:rPr>
      </w:pPr>
    </w:p>
    <w:p w:rsidR="00915A7C" w:rsidRPr="00897BAE" w:rsidRDefault="00915A7C" w:rsidP="00A51FFC">
      <w:pPr>
        <w:suppressAutoHyphens/>
        <w:spacing w:line="480" w:lineRule="auto"/>
        <w:rPr>
          <w:sz w:val="22"/>
          <w:szCs w:val="22"/>
        </w:rPr>
      </w:pPr>
      <w:r w:rsidRPr="00897BAE">
        <w:rPr>
          <w:sz w:val="22"/>
          <w:szCs w:val="22"/>
          <w:u w:val="single"/>
        </w:rPr>
        <w:t>Arbitration</w:t>
      </w:r>
      <w:r w:rsidRPr="00897BAE">
        <w:rPr>
          <w:sz w:val="22"/>
          <w:szCs w:val="22"/>
        </w:rPr>
        <w:t xml:space="preserve">:  </w:t>
      </w:r>
      <w:r w:rsidR="00534224" w:rsidRPr="00897BAE">
        <w:rPr>
          <w:sz w:val="22"/>
          <w:szCs w:val="22"/>
        </w:rPr>
        <w:tab/>
      </w:r>
      <w:r w:rsidR="00534224" w:rsidRPr="00897BAE">
        <w:rPr>
          <w:sz w:val="22"/>
          <w:szCs w:val="22"/>
        </w:rPr>
        <w:tab/>
      </w:r>
      <w:r w:rsidRPr="00897BAE">
        <w:rPr>
          <w:sz w:val="22"/>
          <w:szCs w:val="22"/>
        </w:rPr>
        <w:t>Fifty-three State agencies participate in the QC System.  The number of annual requests for arbitration of Federal findings for cases in which the State agency disagrees with the Federal finding will vary from year to year and by State agency.  On average, we estimate that fifteen State agencies will request arbitration of 2.</w:t>
      </w:r>
      <w:r w:rsidR="00E66063" w:rsidRPr="00897BAE">
        <w:rPr>
          <w:sz w:val="22"/>
          <w:szCs w:val="22"/>
        </w:rPr>
        <w:t>2</w:t>
      </w:r>
      <w:r w:rsidRPr="00897BAE">
        <w:rPr>
          <w:sz w:val="22"/>
          <w:szCs w:val="22"/>
        </w:rPr>
        <w:t xml:space="preserve"> cases per year</w:t>
      </w:r>
      <w:r w:rsidR="001A53DB" w:rsidRPr="00897BAE">
        <w:rPr>
          <w:sz w:val="22"/>
          <w:szCs w:val="22"/>
        </w:rPr>
        <w:t>, totaling 3</w:t>
      </w:r>
      <w:r w:rsidR="00E66063" w:rsidRPr="00897BAE">
        <w:rPr>
          <w:sz w:val="22"/>
          <w:szCs w:val="22"/>
        </w:rPr>
        <w:t>3</w:t>
      </w:r>
      <w:r w:rsidR="001A53DB" w:rsidRPr="00897BAE">
        <w:rPr>
          <w:sz w:val="22"/>
          <w:szCs w:val="22"/>
        </w:rPr>
        <w:t xml:space="preserve"> arbitrations a year</w:t>
      </w:r>
      <w:r w:rsidRPr="00897BAE">
        <w:rPr>
          <w:sz w:val="22"/>
          <w:szCs w:val="22"/>
        </w:rPr>
        <w:t>.  This estimate is based on the actual number of cases arbitrated over the past 3 years and the actual number of States that submitted requests for arbitration.</w:t>
      </w:r>
    </w:p>
    <w:p w:rsidR="00915A7C" w:rsidRPr="00897BAE" w:rsidRDefault="00915A7C" w:rsidP="00A51FFC">
      <w:pPr>
        <w:suppressAutoHyphens/>
        <w:spacing w:line="480" w:lineRule="auto"/>
        <w:ind w:left="720"/>
        <w:rPr>
          <w:sz w:val="22"/>
          <w:szCs w:val="22"/>
        </w:rPr>
      </w:pPr>
    </w:p>
    <w:p w:rsidR="004A6D20" w:rsidRPr="00897BAE" w:rsidRDefault="00915A7C" w:rsidP="00A51FFC">
      <w:pPr>
        <w:spacing w:line="480" w:lineRule="auto"/>
        <w:rPr>
          <w:sz w:val="22"/>
          <w:szCs w:val="22"/>
        </w:rPr>
      </w:pPr>
      <w:r w:rsidRPr="00897BAE">
        <w:rPr>
          <w:sz w:val="22"/>
          <w:szCs w:val="22"/>
        </w:rPr>
        <w:t xml:space="preserve">The number of hours per arbitrated case will vary depending on how long the State generally takes to prepare a case and the complexity of the case.  Based on operational experience with these cases and the comments received, we estimate that it takes an average of 24 hours per response.  This results in an estimated reporting burden relating to the arbitration process of </w:t>
      </w:r>
      <w:r w:rsidR="00E66063" w:rsidRPr="00897BAE">
        <w:rPr>
          <w:sz w:val="22"/>
          <w:szCs w:val="22"/>
        </w:rPr>
        <w:t>792</w:t>
      </w:r>
      <w:r w:rsidRPr="00897BAE">
        <w:rPr>
          <w:sz w:val="22"/>
          <w:szCs w:val="22"/>
        </w:rPr>
        <w:t xml:space="preserve"> hours.</w:t>
      </w:r>
    </w:p>
    <w:p w:rsidR="008866EF" w:rsidRPr="00897BAE" w:rsidRDefault="008866EF" w:rsidP="00A51FFC">
      <w:pPr>
        <w:spacing w:line="480" w:lineRule="auto"/>
        <w:ind w:left="90"/>
        <w:rPr>
          <w:sz w:val="22"/>
          <w:szCs w:val="22"/>
        </w:rPr>
      </w:pPr>
    </w:p>
    <w:p w:rsidR="008866EF" w:rsidRPr="00897BAE" w:rsidRDefault="008866EF" w:rsidP="00A51FFC">
      <w:pPr>
        <w:spacing w:line="480" w:lineRule="auto"/>
        <w:rPr>
          <w:sz w:val="22"/>
          <w:szCs w:val="22"/>
        </w:rPr>
      </w:pPr>
      <w:r w:rsidRPr="00897BAE">
        <w:rPr>
          <w:sz w:val="22"/>
          <w:szCs w:val="22"/>
          <w:u w:val="single"/>
        </w:rPr>
        <w:t>Good Cause</w:t>
      </w:r>
      <w:r w:rsidRPr="00897BAE">
        <w:rPr>
          <w:sz w:val="22"/>
          <w:szCs w:val="22"/>
        </w:rPr>
        <w:t xml:space="preserve">:  </w:t>
      </w:r>
      <w:r w:rsidR="00534224" w:rsidRPr="00897BAE">
        <w:rPr>
          <w:sz w:val="22"/>
          <w:szCs w:val="22"/>
        </w:rPr>
        <w:tab/>
      </w:r>
      <w:r w:rsidR="00534224" w:rsidRPr="00897BAE">
        <w:rPr>
          <w:sz w:val="22"/>
          <w:szCs w:val="22"/>
        </w:rPr>
        <w:tab/>
      </w:r>
      <w:r w:rsidRPr="00897BAE">
        <w:rPr>
          <w:sz w:val="22"/>
          <w:szCs w:val="22"/>
        </w:rPr>
        <w:t xml:space="preserve">Fifty-three State agencies participate in the QC System.  The number of good cause requests by State agencies will be driven by the number of State agencies that are subject to QC liabilities and fail to pay or settle the claim.  Based on operational experience we estimate that only </w:t>
      </w:r>
      <w:r w:rsidR="00266B83" w:rsidRPr="00897BAE">
        <w:rPr>
          <w:sz w:val="22"/>
          <w:szCs w:val="22"/>
        </w:rPr>
        <w:t>two</w:t>
      </w:r>
      <w:r w:rsidRPr="00897BAE">
        <w:rPr>
          <w:sz w:val="22"/>
          <w:szCs w:val="22"/>
        </w:rPr>
        <w:t xml:space="preserve"> State agenc</w:t>
      </w:r>
      <w:r w:rsidR="00266B83" w:rsidRPr="00897BAE">
        <w:rPr>
          <w:sz w:val="22"/>
          <w:szCs w:val="22"/>
        </w:rPr>
        <w:t>ies</w:t>
      </w:r>
      <w:r w:rsidRPr="00897BAE">
        <w:rPr>
          <w:sz w:val="22"/>
          <w:szCs w:val="22"/>
        </w:rPr>
        <w:t xml:space="preserve"> will submit one good cause request per year.  The number of hours for preparing a good cause request could vary greatly since the grounds for the request will differ according to State circumstances.  We estimate a State agency will take about 160 hours </w:t>
      </w:r>
      <w:r w:rsidR="00266B83" w:rsidRPr="00897BAE">
        <w:rPr>
          <w:sz w:val="22"/>
          <w:szCs w:val="22"/>
        </w:rPr>
        <w:t>to process a good cause request, therefore making a 320 hour good cause annual burden over the last three years.</w:t>
      </w:r>
    </w:p>
    <w:p w:rsidR="005936B3" w:rsidRPr="00897BAE" w:rsidRDefault="005936B3" w:rsidP="00A51FFC">
      <w:pPr>
        <w:spacing w:line="480" w:lineRule="auto"/>
        <w:rPr>
          <w:sz w:val="22"/>
          <w:szCs w:val="22"/>
        </w:rPr>
      </w:pPr>
    </w:p>
    <w:p w:rsidR="004A6D20" w:rsidRPr="00897BAE" w:rsidRDefault="00BB32CD" w:rsidP="00A51FFC">
      <w:pPr>
        <w:spacing w:line="480" w:lineRule="auto"/>
        <w:rPr>
          <w:b/>
          <w:sz w:val="22"/>
          <w:szCs w:val="22"/>
        </w:rPr>
      </w:pPr>
      <w:r w:rsidRPr="00897BAE">
        <w:rPr>
          <w:b/>
          <w:sz w:val="22"/>
          <w:szCs w:val="22"/>
        </w:rPr>
        <w:t>Recordkeeping Burden:</w:t>
      </w:r>
    </w:p>
    <w:p w:rsidR="004A6D20" w:rsidRPr="00897BAE" w:rsidRDefault="008866EF" w:rsidP="00A51FFC">
      <w:pPr>
        <w:spacing w:line="480" w:lineRule="auto"/>
        <w:rPr>
          <w:sz w:val="22"/>
          <w:szCs w:val="22"/>
          <w:u w:val="single"/>
        </w:rPr>
      </w:pPr>
      <w:r w:rsidRPr="00897BAE">
        <w:rPr>
          <w:sz w:val="22"/>
          <w:szCs w:val="22"/>
          <w:u w:val="single"/>
        </w:rPr>
        <w:t>Sampling Plan:</w:t>
      </w:r>
      <w:r w:rsidR="00534224" w:rsidRPr="00897BAE">
        <w:rPr>
          <w:sz w:val="22"/>
          <w:szCs w:val="22"/>
        </w:rPr>
        <w:tab/>
      </w:r>
      <w:r w:rsidRPr="00897BAE">
        <w:rPr>
          <w:sz w:val="22"/>
          <w:szCs w:val="22"/>
        </w:rPr>
        <w:t>All</w:t>
      </w:r>
      <w:r w:rsidR="004A6D20" w:rsidRPr="00897BAE">
        <w:rPr>
          <w:sz w:val="22"/>
          <w:szCs w:val="22"/>
        </w:rPr>
        <w:t xml:space="preserve"> 53 State agencies are required to maintain records of their sampling plans for the recordkeeping requirement.  We estimate that the burden is 1½ minutes (0.0236 hours) per record resulting in a to</w:t>
      </w:r>
      <w:r w:rsidR="00374537" w:rsidRPr="00897BAE">
        <w:rPr>
          <w:sz w:val="22"/>
          <w:szCs w:val="22"/>
        </w:rPr>
        <w:t>tal annual burden of</w:t>
      </w:r>
      <w:r w:rsidR="001A53DB" w:rsidRPr="00897BAE">
        <w:rPr>
          <w:sz w:val="22"/>
          <w:szCs w:val="22"/>
        </w:rPr>
        <w:t xml:space="preserve"> about</w:t>
      </w:r>
      <w:r w:rsidR="00374537" w:rsidRPr="00897BAE">
        <w:rPr>
          <w:sz w:val="22"/>
          <w:szCs w:val="22"/>
        </w:rPr>
        <w:t xml:space="preserve"> 1.25 hours.</w:t>
      </w:r>
    </w:p>
    <w:p w:rsidR="008866EF" w:rsidRPr="00897BAE" w:rsidRDefault="008866EF" w:rsidP="00A51FFC">
      <w:pPr>
        <w:suppressAutoHyphens/>
        <w:spacing w:line="480" w:lineRule="auto"/>
        <w:rPr>
          <w:sz w:val="22"/>
          <w:szCs w:val="22"/>
        </w:rPr>
      </w:pPr>
    </w:p>
    <w:p w:rsidR="004A6D20" w:rsidRPr="00897BAE" w:rsidRDefault="008866EF" w:rsidP="00A51FFC">
      <w:pPr>
        <w:suppressAutoHyphens/>
        <w:spacing w:line="480" w:lineRule="auto"/>
        <w:rPr>
          <w:sz w:val="22"/>
          <w:szCs w:val="22"/>
          <w:u w:val="single"/>
        </w:rPr>
      </w:pPr>
      <w:r w:rsidRPr="00897BAE">
        <w:rPr>
          <w:sz w:val="22"/>
          <w:szCs w:val="22"/>
          <w:u w:val="single"/>
        </w:rPr>
        <w:t>Arbitration:</w:t>
      </w:r>
      <w:r w:rsidR="00534224" w:rsidRPr="00897BAE">
        <w:rPr>
          <w:sz w:val="22"/>
          <w:szCs w:val="22"/>
        </w:rPr>
        <w:tab/>
      </w:r>
      <w:r w:rsidR="00534224" w:rsidRPr="00897BAE">
        <w:rPr>
          <w:sz w:val="22"/>
          <w:szCs w:val="22"/>
        </w:rPr>
        <w:tab/>
      </w:r>
      <w:r w:rsidRPr="00897BAE">
        <w:rPr>
          <w:sz w:val="22"/>
          <w:szCs w:val="22"/>
        </w:rPr>
        <w:t>E</w:t>
      </w:r>
      <w:r w:rsidR="004A6D20" w:rsidRPr="00897BAE">
        <w:rPr>
          <w:sz w:val="22"/>
          <w:szCs w:val="22"/>
        </w:rPr>
        <w:t xml:space="preserve">ach State agency is required to maintain records for the recordkeeping requirement.  On average, we estimate that </w:t>
      </w:r>
      <w:r w:rsidRPr="00897BAE">
        <w:rPr>
          <w:sz w:val="22"/>
          <w:szCs w:val="22"/>
        </w:rPr>
        <w:t>fifteen</w:t>
      </w:r>
      <w:r w:rsidR="004A6D20" w:rsidRPr="00897BAE">
        <w:rPr>
          <w:sz w:val="22"/>
          <w:szCs w:val="22"/>
        </w:rPr>
        <w:t xml:space="preserve"> State agencies will maintain records of </w:t>
      </w:r>
      <w:r w:rsidR="00611AEE" w:rsidRPr="00897BAE">
        <w:rPr>
          <w:sz w:val="22"/>
          <w:szCs w:val="22"/>
        </w:rPr>
        <w:t>2.2 cases</w:t>
      </w:r>
      <w:r w:rsidR="004A6D20" w:rsidRPr="00897BAE">
        <w:rPr>
          <w:sz w:val="22"/>
          <w:szCs w:val="22"/>
        </w:rPr>
        <w:t xml:space="preserve"> per year and the time it takes is 1½ minutes (0.0236 hours) per record resulting in a total annual burden of </w:t>
      </w:r>
      <w:r w:rsidR="001A53DB" w:rsidRPr="00897BAE">
        <w:rPr>
          <w:sz w:val="22"/>
          <w:szCs w:val="22"/>
        </w:rPr>
        <w:t xml:space="preserve">approximately </w:t>
      </w:r>
      <w:r w:rsidR="004A6D20" w:rsidRPr="00897BAE">
        <w:rPr>
          <w:sz w:val="22"/>
          <w:szCs w:val="22"/>
        </w:rPr>
        <w:t>0.</w:t>
      </w:r>
      <w:r w:rsidR="00E66063" w:rsidRPr="00897BAE">
        <w:rPr>
          <w:sz w:val="22"/>
          <w:szCs w:val="22"/>
        </w:rPr>
        <w:t>7788</w:t>
      </w:r>
      <w:r w:rsidR="004A6D20" w:rsidRPr="00897BAE">
        <w:rPr>
          <w:sz w:val="22"/>
          <w:szCs w:val="22"/>
        </w:rPr>
        <w:t xml:space="preserve"> </w:t>
      </w:r>
      <w:r w:rsidR="00152E02" w:rsidRPr="00897BAE">
        <w:rPr>
          <w:sz w:val="22"/>
          <w:szCs w:val="22"/>
        </w:rPr>
        <w:t>hours.</w:t>
      </w:r>
    </w:p>
    <w:p w:rsidR="004A6D20" w:rsidRPr="00897BAE" w:rsidRDefault="004A6D20" w:rsidP="00A51FFC">
      <w:pPr>
        <w:suppressAutoHyphens/>
        <w:spacing w:line="480" w:lineRule="auto"/>
        <w:rPr>
          <w:sz w:val="22"/>
          <w:szCs w:val="22"/>
        </w:rPr>
      </w:pPr>
    </w:p>
    <w:p w:rsidR="008866EF" w:rsidRPr="00897BAE" w:rsidRDefault="008866EF" w:rsidP="00A51FFC">
      <w:pPr>
        <w:suppressAutoHyphens/>
        <w:spacing w:line="480" w:lineRule="auto"/>
        <w:rPr>
          <w:sz w:val="22"/>
          <w:szCs w:val="22"/>
          <w:u w:val="single"/>
        </w:rPr>
      </w:pPr>
      <w:r w:rsidRPr="00897BAE">
        <w:rPr>
          <w:sz w:val="22"/>
          <w:szCs w:val="22"/>
          <w:u w:val="single"/>
        </w:rPr>
        <w:t>Good Cause:</w:t>
      </w:r>
      <w:r w:rsidR="00534224" w:rsidRPr="00897BAE">
        <w:rPr>
          <w:sz w:val="22"/>
          <w:szCs w:val="22"/>
        </w:rPr>
        <w:tab/>
      </w:r>
      <w:r w:rsidR="00534224" w:rsidRPr="00897BAE">
        <w:rPr>
          <w:sz w:val="22"/>
          <w:szCs w:val="22"/>
        </w:rPr>
        <w:tab/>
      </w:r>
      <w:r w:rsidRPr="00897BAE">
        <w:rPr>
          <w:sz w:val="22"/>
          <w:szCs w:val="22"/>
        </w:rPr>
        <w:t xml:space="preserve">Each State agency is required to maintain records for the recordkeeping requirement.  Based on operational experience we estimate that </w:t>
      </w:r>
      <w:r w:rsidR="004C0AAB" w:rsidRPr="00897BAE">
        <w:rPr>
          <w:sz w:val="22"/>
          <w:szCs w:val="22"/>
        </w:rPr>
        <w:t>two</w:t>
      </w:r>
      <w:r w:rsidRPr="00897BAE">
        <w:rPr>
          <w:sz w:val="22"/>
          <w:szCs w:val="22"/>
        </w:rPr>
        <w:t xml:space="preserve"> State agenc</w:t>
      </w:r>
      <w:r w:rsidR="004C0AAB" w:rsidRPr="00897BAE">
        <w:rPr>
          <w:sz w:val="22"/>
          <w:szCs w:val="22"/>
        </w:rPr>
        <w:t>ies</w:t>
      </w:r>
      <w:r w:rsidRPr="00897BAE">
        <w:rPr>
          <w:sz w:val="22"/>
          <w:szCs w:val="22"/>
        </w:rPr>
        <w:t xml:space="preserve"> will maintain one </w:t>
      </w:r>
      <w:r w:rsidRPr="00897BAE">
        <w:rPr>
          <w:sz w:val="22"/>
          <w:szCs w:val="22"/>
        </w:rPr>
        <w:lastRenderedPageBreak/>
        <w:t xml:space="preserve">record per year.  We estimate the burden is 1½ minutes (0.0236 hours) per record resulting in a total annual burden of </w:t>
      </w:r>
      <w:r w:rsidR="001A53DB" w:rsidRPr="00897BAE">
        <w:rPr>
          <w:sz w:val="22"/>
          <w:szCs w:val="22"/>
        </w:rPr>
        <w:t xml:space="preserve">about </w:t>
      </w:r>
      <w:r w:rsidRPr="00897BAE">
        <w:rPr>
          <w:sz w:val="22"/>
          <w:szCs w:val="22"/>
        </w:rPr>
        <w:t>0.</w:t>
      </w:r>
      <w:r w:rsidR="00721B9E" w:rsidRPr="00897BAE">
        <w:rPr>
          <w:sz w:val="22"/>
          <w:szCs w:val="22"/>
        </w:rPr>
        <w:t>05</w:t>
      </w:r>
      <w:r w:rsidRPr="00897BAE">
        <w:rPr>
          <w:sz w:val="22"/>
          <w:szCs w:val="22"/>
        </w:rPr>
        <w:t xml:space="preserve"> hours.</w:t>
      </w:r>
    </w:p>
    <w:p w:rsidR="008866EF" w:rsidRPr="00897BAE" w:rsidRDefault="008866EF" w:rsidP="00A51FFC">
      <w:pPr>
        <w:suppressAutoHyphens/>
        <w:spacing w:line="480" w:lineRule="auto"/>
        <w:rPr>
          <w:sz w:val="22"/>
          <w:szCs w:val="22"/>
        </w:rPr>
      </w:pPr>
    </w:p>
    <w:p w:rsidR="008866EF" w:rsidRPr="00897BAE" w:rsidRDefault="008866EF" w:rsidP="00A51FFC">
      <w:pPr>
        <w:suppressAutoHyphens/>
        <w:spacing w:line="480" w:lineRule="auto"/>
        <w:rPr>
          <w:sz w:val="22"/>
          <w:szCs w:val="22"/>
        </w:rPr>
      </w:pPr>
      <w:r w:rsidRPr="00897BAE">
        <w:rPr>
          <w:sz w:val="22"/>
          <w:szCs w:val="22"/>
        </w:rPr>
        <w:t xml:space="preserve">The overall estimated reporting burden for this collection is </w:t>
      </w:r>
      <w:r w:rsidR="003300F4" w:rsidRPr="00897BAE">
        <w:rPr>
          <w:sz w:val="22"/>
          <w:szCs w:val="22"/>
        </w:rPr>
        <w:t>1,377 hours</w:t>
      </w:r>
      <w:r w:rsidRPr="00897BAE">
        <w:rPr>
          <w:sz w:val="22"/>
          <w:szCs w:val="22"/>
        </w:rPr>
        <w:t xml:space="preserve"> and the overall estimated Recordkeeping burden for this collection is </w:t>
      </w:r>
      <w:r w:rsidR="00E66063" w:rsidRPr="00897BAE">
        <w:rPr>
          <w:sz w:val="22"/>
          <w:szCs w:val="22"/>
        </w:rPr>
        <w:t>2.076</w:t>
      </w:r>
      <w:r w:rsidRPr="00897BAE">
        <w:rPr>
          <w:sz w:val="22"/>
          <w:szCs w:val="22"/>
        </w:rPr>
        <w:t xml:space="preserve"> hours.  Therefore, the total estimated </w:t>
      </w:r>
      <w:r w:rsidR="001A53DB" w:rsidRPr="00897BAE">
        <w:rPr>
          <w:sz w:val="22"/>
          <w:szCs w:val="22"/>
        </w:rPr>
        <w:t xml:space="preserve">reporting and recordkeeping </w:t>
      </w:r>
      <w:r w:rsidRPr="00897BAE">
        <w:rPr>
          <w:sz w:val="22"/>
          <w:szCs w:val="22"/>
        </w:rPr>
        <w:t>bu</w:t>
      </w:r>
      <w:r w:rsidR="00E66063" w:rsidRPr="00897BAE">
        <w:rPr>
          <w:sz w:val="22"/>
          <w:szCs w:val="22"/>
        </w:rPr>
        <w:t>rden for this collection is 1,379.08</w:t>
      </w:r>
      <w:r w:rsidR="00534224" w:rsidRPr="00897BAE">
        <w:rPr>
          <w:sz w:val="22"/>
          <w:szCs w:val="22"/>
        </w:rPr>
        <w:t xml:space="preserve"> </w:t>
      </w:r>
      <w:r w:rsidRPr="00897BAE">
        <w:rPr>
          <w:sz w:val="22"/>
          <w:szCs w:val="22"/>
        </w:rPr>
        <w:t>hours.</w:t>
      </w:r>
    </w:p>
    <w:p w:rsidR="00483E33" w:rsidRPr="00897BAE" w:rsidRDefault="00483E33" w:rsidP="00E0621B">
      <w:pPr>
        <w:suppressAutoHyphens/>
        <w:rPr>
          <w:sz w:val="22"/>
          <w:szCs w:val="22"/>
        </w:rPr>
      </w:pPr>
    </w:p>
    <w:p w:rsidR="00534224" w:rsidRPr="00897BAE" w:rsidRDefault="00A60948" w:rsidP="001A53DB">
      <w:pPr>
        <w:spacing w:line="480" w:lineRule="auto"/>
        <w:rPr>
          <w:b/>
          <w:sz w:val="22"/>
          <w:szCs w:val="22"/>
        </w:rPr>
      </w:pPr>
      <w:r w:rsidRPr="00897BAE">
        <w:rPr>
          <w:sz w:val="22"/>
          <w:szCs w:val="22"/>
        </w:rPr>
        <w:t xml:space="preserve">To estimate public cost, FNS consulted with the U.S. Department of Labor’s May </w:t>
      </w:r>
      <w:r w:rsidR="009F7DAC" w:rsidRPr="00897BAE">
        <w:rPr>
          <w:sz w:val="22"/>
          <w:szCs w:val="22"/>
        </w:rPr>
        <w:t>2012</w:t>
      </w:r>
      <w:r w:rsidRPr="00897BAE">
        <w:rPr>
          <w:sz w:val="22"/>
          <w:szCs w:val="22"/>
        </w:rPr>
        <w:t xml:space="preserve"> Occupational and Wage statistics – </w:t>
      </w:r>
      <w:r w:rsidR="00C14216" w:rsidRPr="00897BAE">
        <w:rPr>
          <w:sz w:val="22"/>
          <w:szCs w:val="22"/>
        </w:rPr>
        <w:t>21-0000 Community and Social Services Occupations</w:t>
      </w:r>
      <w:r w:rsidR="00C14216" w:rsidRPr="00897BAE">
        <w:rPr>
          <w:color w:val="505050"/>
          <w:sz w:val="22"/>
          <w:szCs w:val="22"/>
        </w:rPr>
        <w:t xml:space="preserve"> </w:t>
      </w:r>
      <w:r w:rsidRPr="00897BAE">
        <w:rPr>
          <w:sz w:val="22"/>
          <w:szCs w:val="22"/>
        </w:rPr>
        <w:t>(</w:t>
      </w:r>
      <w:hyperlink r:id="rId10" w:history="1">
        <w:r w:rsidR="009F7DAC" w:rsidRPr="00897BAE">
          <w:rPr>
            <w:rStyle w:val="Hyperlink"/>
            <w:sz w:val="22"/>
            <w:szCs w:val="22"/>
          </w:rPr>
          <w:t>http://www.bls.gov/oes/2012/may/oes210000.htm</w:t>
        </w:r>
      </w:hyperlink>
      <w:r w:rsidR="002B1610" w:rsidRPr="00897BAE">
        <w:rPr>
          <w:sz w:val="22"/>
          <w:szCs w:val="22"/>
        </w:rPr>
        <w:t xml:space="preserve">).  The average hourly </w:t>
      </w:r>
      <w:r w:rsidR="00487510" w:rsidRPr="00897BAE">
        <w:rPr>
          <w:sz w:val="22"/>
          <w:szCs w:val="22"/>
        </w:rPr>
        <w:t>wage of this occupation area is</w:t>
      </w:r>
      <w:r w:rsidR="002B1610" w:rsidRPr="00897BAE">
        <w:rPr>
          <w:sz w:val="22"/>
          <w:szCs w:val="22"/>
        </w:rPr>
        <w:t xml:space="preserve"> at $</w:t>
      </w:r>
      <w:r w:rsidR="009F7DAC" w:rsidRPr="00897BAE">
        <w:rPr>
          <w:sz w:val="22"/>
          <w:szCs w:val="22"/>
        </w:rPr>
        <w:t>21.27</w:t>
      </w:r>
      <w:r w:rsidR="002B1610" w:rsidRPr="00897BAE">
        <w:rPr>
          <w:sz w:val="22"/>
          <w:szCs w:val="22"/>
        </w:rPr>
        <w:t>.  However, since State agencies only pay 50 percent of their administrative costs, $</w:t>
      </w:r>
      <w:r w:rsidR="009F7DAC" w:rsidRPr="00897BAE">
        <w:rPr>
          <w:sz w:val="22"/>
          <w:szCs w:val="22"/>
        </w:rPr>
        <w:t>10.64</w:t>
      </w:r>
      <w:r w:rsidR="002B1610" w:rsidRPr="00897BAE">
        <w:rPr>
          <w:sz w:val="22"/>
          <w:szCs w:val="22"/>
        </w:rPr>
        <w:t xml:space="preserve"> is used as minimum wage in our calculations to determine</w:t>
      </w:r>
      <w:r w:rsidR="00814C11" w:rsidRPr="00897BAE">
        <w:rPr>
          <w:sz w:val="22"/>
          <w:szCs w:val="22"/>
        </w:rPr>
        <w:t xml:space="preserve"> the annualized State costs, bringing the overall </w:t>
      </w:r>
      <w:r w:rsidR="00487510" w:rsidRPr="00897BAE">
        <w:rPr>
          <w:sz w:val="22"/>
          <w:szCs w:val="22"/>
        </w:rPr>
        <w:t xml:space="preserve">estimated </w:t>
      </w:r>
      <w:r w:rsidR="00814C11" w:rsidRPr="00897BAE">
        <w:rPr>
          <w:sz w:val="22"/>
          <w:szCs w:val="22"/>
        </w:rPr>
        <w:t xml:space="preserve">annualized costs for State agencies to </w:t>
      </w:r>
      <w:r w:rsidR="0042739D" w:rsidRPr="00897BAE">
        <w:rPr>
          <w:sz w:val="22"/>
          <w:szCs w:val="22"/>
        </w:rPr>
        <w:t>$</w:t>
      </w:r>
      <w:r w:rsidR="00EB66CD" w:rsidRPr="00897BAE">
        <w:rPr>
          <w:sz w:val="22"/>
          <w:szCs w:val="22"/>
        </w:rPr>
        <w:t>14</w:t>
      </w:r>
      <w:r w:rsidR="0042739D" w:rsidRPr="00897BAE">
        <w:rPr>
          <w:sz w:val="22"/>
          <w:szCs w:val="22"/>
        </w:rPr>
        <w:t>,</w:t>
      </w:r>
      <w:r w:rsidR="00493E47" w:rsidRPr="00897BAE">
        <w:rPr>
          <w:sz w:val="22"/>
          <w:szCs w:val="22"/>
        </w:rPr>
        <w:t>673.38</w:t>
      </w:r>
      <w:r w:rsidR="00814C11" w:rsidRPr="00897BAE">
        <w:rPr>
          <w:sz w:val="22"/>
          <w:szCs w:val="22"/>
        </w:rPr>
        <w:t>.</w:t>
      </w:r>
      <w:r w:rsidR="0042739D" w:rsidRPr="00897BAE">
        <w:rPr>
          <w:sz w:val="22"/>
          <w:szCs w:val="22"/>
        </w:rPr>
        <w:t xml:space="preserve">  This is a $</w:t>
      </w:r>
      <w:r w:rsidR="00E33F3D" w:rsidRPr="00897BAE">
        <w:rPr>
          <w:sz w:val="22"/>
          <w:szCs w:val="22"/>
        </w:rPr>
        <w:t>673.37</w:t>
      </w:r>
      <w:r w:rsidR="0042739D" w:rsidRPr="00897BAE">
        <w:rPr>
          <w:sz w:val="22"/>
          <w:szCs w:val="22"/>
        </w:rPr>
        <w:t xml:space="preserve"> increase </w:t>
      </w:r>
      <w:r w:rsidR="00534224" w:rsidRPr="00897BAE">
        <w:rPr>
          <w:sz w:val="22"/>
          <w:szCs w:val="22"/>
        </w:rPr>
        <w:t>from</w:t>
      </w:r>
      <w:r w:rsidR="0042739D" w:rsidRPr="00897BAE">
        <w:rPr>
          <w:sz w:val="22"/>
          <w:szCs w:val="22"/>
        </w:rPr>
        <w:t xml:space="preserve"> the </w:t>
      </w:r>
      <w:r w:rsidR="001A53DB" w:rsidRPr="00897BAE">
        <w:rPr>
          <w:sz w:val="22"/>
          <w:szCs w:val="22"/>
        </w:rPr>
        <w:t>$</w:t>
      </w:r>
      <w:r w:rsidR="00E33F3D" w:rsidRPr="00897BAE">
        <w:rPr>
          <w:sz w:val="22"/>
          <w:szCs w:val="22"/>
        </w:rPr>
        <w:t>14,000.01</w:t>
      </w:r>
      <w:r w:rsidR="001A53DB" w:rsidRPr="00897BAE">
        <w:rPr>
          <w:sz w:val="22"/>
          <w:szCs w:val="22"/>
        </w:rPr>
        <w:t xml:space="preserve"> </w:t>
      </w:r>
      <w:r w:rsidR="0042739D" w:rsidRPr="00897BAE">
        <w:rPr>
          <w:sz w:val="22"/>
          <w:szCs w:val="22"/>
        </w:rPr>
        <w:t>collection</w:t>
      </w:r>
      <w:r w:rsidR="001A53DB" w:rsidRPr="00897BAE">
        <w:rPr>
          <w:sz w:val="22"/>
          <w:szCs w:val="22"/>
        </w:rPr>
        <w:t xml:space="preserve"> burden</w:t>
      </w:r>
      <w:r w:rsidR="0042739D" w:rsidRPr="00897BAE">
        <w:rPr>
          <w:sz w:val="22"/>
          <w:szCs w:val="22"/>
        </w:rPr>
        <w:t xml:space="preserve"> report</w:t>
      </w:r>
      <w:r w:rsidR="001A53DB" w:rsidRPr="00897BAE">
        <w:rPr>
          <w:sz w:val="22"/>
          <w:szCs w:val="22"/>
        </w:rPr>
        <w:t>ed</w:t>
      </w:r>
      <w:r w:rsidR="0042739D" w:rsidRPr="00897BAE">
        <w:rPr>
          <w:sz w:val="22"/>
          <w:szCs w:val="22"/>
        </w:rPr>
        <w:t xml:space="preserve"> in </w:t>
      </w:r>
      <w:r w:rsidR="00E33F3D" w:rsidRPr="00897BAE">
        <w:rPr>
          <w:sz w:val="22"/>
          <w:szCs w:val="22"/>
        </w:rPr>
        <w:t>20</w:t>
      </w:r>
      <w:r w:rsidR="00267B1A" w:rsidRPr="00897BAE">
        <w:rPr>
          <w:sz w:val="22"/>
          <w:szCs w:val="22"/>
        </w:rPr>
        <w:t>10</w:t>
      </w:r>
      <w:r w:rsidR="0042739D" w:rsidRPr="00897BAE">
        <w:rPr>
          <w:sz w:val="22"/>
          <w:szCs w:val="22"/>
        </w:rPr>
        <w:t xml:space="preserve">.  This increase is </w:t>
      </w:r>
      <w:r w:rsidR="00E33F3D" w:rsidRPr="00897BAE">
        <w:rPr>
          <w:sz w:val="22"/>
          <w:szCs w:val="22"/>
        </w:rPr>
        <w:t xml:space="preserve">mostly </w:t>
      </w:r>
      <w:r w:rsidR="0042739D" w:rsidRPr="00897BAE">
        <w:rPr>
          <w:sz w:val="22"/>
          <w:szCs w:val="22"/>
        </w:rPr>
        <w:t xml:space="preserve">due to </w:t>
      </w:r>
      <w:r w:rsidR="003300F4" w:rsidRPr="00897BAE">
        <w:rPr>
          <w:sz w:val="22"/>
          <w:szCs w:val="22"/>
        </w:rPr>
        <w:t xml:space="preserve">the increase in number of states using the good cause process claim at the end of the fiscal year. </w:t>
      </w:r>
    </w:p>
    <w:p w:rsidR="001A53DB" w:rsidRPr="00897BAE" w:rsidRDefault="001A53DB" w:rsidP="00712D5D">
      <w:pPr>
        <w:numPr>
          <w:ilvl w:val="2"/>
          <w:numId w:val="25"/>
        </w:numPr>
        <w:suppressAutoHyphens/>
        <w:rPr>
          <w:b/>
          <w:sz w:val="22"/>
          <w:szCs w:val="22"/>
        </w:rPr>
      </w:pPr>
      <w:r w:rsidRPr="00897BAE">
        <w:rPr>
          <w:b/>
          <w:sz w:val="22"/>
          <w:szCs w:val="22"/>
        </w:rPr>
        <w:t xml:space="preserve">Reporting and Recordkeeping </w:t>
      </w:r>
      <w:r w:rsidR="00404618" w:rsidRPr="00897BAE">
        <w:rPr>
          <w:b/>
          <w:sz w:val="22"/>
          <w:szCs w:val="22"/>
        </w:rPr>
        <w:t xml:space="preserve">Estimate </w:t>
      </w:r>
      <w:r w:rsidRPr="00897BAE">
        <w:rPr>
          <w:b/>
          <w:sz w:val="22"/>
          <w:szCs w:val="22"/>
        </w:rPr>
        <w:t>breakdown:</w:t>
      </w:r>
    </w:p>
    <w:p w:rsidR="001A53DB" w:rsidRPr="00897BAE" w:rsidRDefault="001A53DB" w:rsidP="001A53DB">
      <w:pPr>
        <w:suppressAutoHyphens/>
        <w:rPr>
          <w:b/>
          <w:sz w:val="22"/>
          <w:szCs w:val="22"/>
        </w:rPr>
      </w:pPr>
    </w:p>
    <w:tbl>
      <w:tblPr>
        <w:tblW w:w="11020" w:type="dxa"/>
        <w:jc w:val="center"/>
        <w:tblInd w:w="91" w:type="dxa"/>
        <w:tblLook w:val="04A0" w:firstRow="1" w:lastRow="0" w:firstColumn="1" w:lastColumn="0" w:noHBand="0" w:noVBand="1"/>
      </w:tblPr>
      <w:tblGrid>
        <w:gridCol w:w="1620"/>
        <w:gridCol w:w="1920"/>
        <w:gridCol w:w="1603"/>
        <w:gridCol w:w="1640"/>
        <w:gridCol w:w="1363"/>
        <w:gridCol w:w="1240"/>
        <w:gridCol w:w="1634"/>
      </w:tblGrid>
      <w:tr w:rsidR="00525AA9" w:rsidRPr="00897BAE" w:rsidTr="00525AA9">
        <w:trPr>
          <w:trHeight w:val="315"/>
          <w:jc w:val="center"/>
        </w:trPr>
        <w:tc>
          <w:tcPr>
            <w:tcW w:w="11020" w:type="dxa"/>
            <w:gridSpan w:val="7"/>
            <w:tcBorders>
              <w:top w:val="single" w:sz="8" w:space="0" w:color="auto"/>
              <w:left w:val="single" w:sz="8" w:space="0" w:color="auto"/>
              <w:bottom w:val="single" w:sz="8" w:space="0" w:color="auto"/>
              <w:right w:val="single" w:sz="8" w:space="0" w:color="000000"/>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Reporting Burden</w:t>
            </w:r>
          </w:p>
        </w:tc>
      </w:tr>
      <w:tr w:rsidR="00525AA9" w:rsidRPr="00897BAE" w:rsidTr="009F5368">
        <w:trPr>
          <w:trHeight w:val="585"/>
          <w:jc w:val="center"/>
        </w:trPr>
        <w:tc>
          <w:tcPr>
            <w:tcW w:w="1620" w:type="dxa"/>
            <w:vMerge w:val="restart"/>
            <w:tcBorders>
              <w:top w:val="nil"/>
              <w:left w:val="single" w:sz="8" w:space="0" w:color="auto"/>
              <w:bottom w:val="single" w:sz="8" w:space="0" w:color="000000"/>
              <w:right w:val="single" w:sz="4" w:space="0" w:color="auto"/>
            </w:tcBorders>
            <w:shd w:val="clear" w:color="auto" w:fill="auto"/>
            <w:noWrap/>
            <w:hideMark/>
          </w:tcPr>
          <w:p w:rsidR="00525AA9" w:rsidRPr="00897BAE" w:rsidRDefault="00525AA9" w:rsidP="00525AA9">
            <w:pPr>
              <w:rPr>
                <w:b/>
                <w:bCs/>
                <w:color w:val="000000"/>
                <w:sz w:val="22"/>
                <w:szCs w:val="22"/>
              </w:rPr>
            </w:pPr>
            <w:r w:rsidRPr="00897BAE">
              <w:rPr>
                <w:b/>
                <w:bCs/>
                <w:color w:val="000000"/>
                <w:sz w:val="22"/>
                <w:szCs w:val="22"/>
              </w:rPr>
              <w:t>Affected Public</w:t>
            </w:r>
          </w:p>
        </w:tc>
        <w:tc>
          <w:tcPr>
            <w:tcW w:w="192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Requirement</w:t>
            </w:r>
          </w:p>
        </w:tc>
        <w:tc>
          <w:tcPr>
            <w:tcW w:w="1603"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 xml:space="preserve">Estimated </w:t>
            </w:r>
          </w:p>
          <w:p w:rsidR="00525AA9" w:rsidRPr="00897BAE" w:rsidRDefault="00525AA9" w:rsidP="00525AA9">
            <w:pPr>
              <w:jc w:val="center"/>
              <w:rPr>
                <w:b/>
                <w:bCs/>
                <w:color w:val="000000"/>
                <w:sz w:val="22"/>
                <w:szCs w:val="22"/>
              </w:rPr>
            </w:pPr>
            <w:r w:rsidRPr="00897BAE">
              <w:rPr>
                <w:b/>
                <w:bCs/>
                <w:color w:val="000000"/>
                <w:sz w:val="22"/>
                <w:szCs w:val="22"/>
              </w:rPr>
              <w:t># of Respondents</w:t>
            </w:r>
          </w:p>
        </w:tc>
        <w:tc>
          <w:tcPr>
            <w:tcW w:w="1640" w:type="dxa"/>
            <w:vMerge w:val="restart"/>
            <w:tcBorders>
              <w:top w:val="nil"/>
              <w:left w:val="single" w:sz="4" w:space="0" w:color="auto"/>
              <w:bottom w:val="single" w:sz="8" w:space="0" w:color="000000"/>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Responses Annually per Respondent</w:t>
            </w:r>
          </w:p>
        </w:tc>
        <w:tc>
          <w:tcPr>
            <w:tcW w:w="1363" w:type="dxa"/>
            <w:vMerge w:val="restart"/>
            <w:tcBorders>
              <w:top w:val="nil"/>
              <w:left w:val="single" w:sz="4" w:space="0" w:color="auto"/>
              <w:bottom w:val="single" w:sz="8" w:space="0" w:color="000000"/>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Total Annual Responses (Col. bxc)</w:t>
            </w:r>
          </w:p>
        </w:tc>
        <w:tc>
          <w:tcPr>
            <w:tcW w:w="1240" w:type="dxa"/>
            <w:vMerge w:val="restart"/>
            <w:tcBorders>
              <w:top w:val="nil"/>
              <w:left w:val="single" w:sz="4" w:space="0" w:color="auto"/>
              <w:bottom w:val="single" w:sz="8" w:space="0" w:color="000000"/>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Estimated Avg. # of Hours per Response</w:t>
            </w:r>
          </w:p>
        </w:tc>
        <w:tc>
          <w:tcPr>
            <w:tcW w:w="1634" w:type="dxa"/>
            <w:vMerge w:val="restart"/>
            <w:tcBorders>
              <w:top w:val="nil"/>
              <w:left w:val="single" w:sz="4" w:space="0" w:color="auto"/>
              <w:bottom w:val="single" w:sz="8" w:space="0" w:color="000000"/>
              <w:right w:val="single" w:sz="8"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Estimated Total Hours (Col. dxe)</w:t>
            </w:r>
          </w:p>
        </w:tc>
      </w:tr>
      <w:tr w:rsidR="00525AA9" w:rsidRPr="00897BAE" w:rsidTr="009F5368">
        <w:trPr>
          <w:trHeight w:val="585"/>
          <w:jc w:val="center"/>
        </w:trPr>
        <w:tc>
          <w:tcPr>
            <w:tcW w:w="1620" w:type="dxa"/>
            <w:vMerge/>
            <w:tcBorders>
              <w:top w:val="nil"/>
              <w:left w:val="single" w:sz="8"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920" w:type="dxa"/>
            <w:vMerge/>
            <w:tcBorders>
              <w:top w:val="single" w:sz="8" w:space="0" w:color="auto"/>
              <w:left w:val="single" w:sz="4"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603" w:type="dxa"/>
            <w:vMerge/>
            <w:tcBorders>
              <w:top w:val="single" w:sz="8" w:space="0" w:color="auto"/>
              <w:left w:val="single" w:sz="4"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640" w:type="dxa"/>
            <w:vMerge/>
            <w:tcBorders>
              <w:top w:val="nil"/>
              <w:left w:val="single" w:sz="4"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363" w:type="dxa"/>
            <w:vMerge/>
            <w:tcBorders>
              <w:top w:val="nil"/>
              <w:left w:val="single" w:sz="4"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240" w:type="dxa"/>
            <w:vMerge/>
            <w:tcBorders>
              <w:top w:val="nil"/>
              <w:left w:val="single" w:sz="4"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634" w:type="dxa"/>
            <w:vMerge/>
            <w:tcBorders>
              <w:top w:val="nil"/>
              <w:left w:val="single" w:sz="4" w:space="0" w:color="auto"/>
              <w:bottom w:val="single" w:sz="8" w:space="0" w:color="000000"/>
              <w:right w:val="single" w:sz="8" w:space="0" w:color="auto"/>
            </w:tcBorders>
            <w:vAlign w:val="center"/>
            <w:hideMark/>
          </w:tcPr>
          <w:p w:rsidR="00525AA9" w:rsidRPr="00897BAE" w:rsidRDefault="00525AA9" w:rsidP="00525AA9">
            <w:pPr>
              <w:rPr>
                <w:b/>
                <w:bCs/>
                <w:color w:val="000000"/>
                <w:sz w:val="22"/>
                <w:szCs w:val="22"/>
              </w:rPr>
            </w:pPr>
          </w:p>
        </w:tc>
      </w:tr>
      <w:tr w:rsidR="00525AA9" w:rsidRPr="00897BAE" w:rsidTr="009F5368">
        <w:trPr>
          <w:trHeight w:val="300"/>
          <w:jc w:val="center"/>
        </w:trPr>
        <w:tc>
          <w:tcPr>
            <w:tcW w:w="1620"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525AA9" w:rsidRPr="00897BAE" w:rsidRDefault="00525AA9" w:rsidP="00525AA9">
            <w:pPr>
              <w:rPr>
                <w:color w:val="000000"/>
                <w:sz w:val="22"/>
                <w:szCs w:val="22"/>
              </w:rPr>
            </w:pPr>
            <w:r w:rsidRPr="00897BAE">
              <w:rPr>
                <w:color w:val="000000"/>
                <w:sz w:val="22"/>
                <w:szCs w:val="22"/>
              </w:rPr>
              <w:t>State Agencies</w:t>
            </w:r>
          </w:p>
        </w:tc>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Sampling Plan</w:t>
            </w:r>
          </w:p>
        </w:tc>
        <w:tc>
          <w:tcPr>
            <w:tcW w:w="1603" w:type="dxa"/>
            <w:vMerge w:val="restart"/>
            <w:tcBorders>
              <w:top w:val="nil"/>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53</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1</w:t>
            </w:r>
          </w:p>
        </w:tc>
        <w:tc>
          <w:tcPr>
            <w:tcW w:w="1363" w:type="dxa"/>
            <w:vMerge w:val="restart"/>
            <w:tcBorders>
              <w:top w:val="nil"/>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53</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5</w:t>
            </w:r>
          </w:p>
        </w:tc>
        <w:tc>
          <w:tcPr>
            <w:tcW w:w="1634" w:type="dxa"/>
            <w:vMerge w:val="restart"/>
            <w:tcBorders>
              <w:top w:val="nil"/>
              <w:left w:val="single" w:sz="4" w:space="0" w:color="auto"/>
              <w:bottom w:val="single" w:sz="4" w:space="0" w:color="auto"/>
              <w:right w:val="single" w:sz="8"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265</w:t>
            </w:r>
          </w:p>
        </w:tc>
      </w:tr>
      <w:tr w:rsidR="00525AA9" w:rsidRPr="00897BAE" w:rsidTr="009F5368">
        <w:trPr>
          <w:trHeight w:val="300"/>
          <w:jc w:val="center"/>
        </w:trPr>
        <w:tc>
          <w:tcPr>
            <w:tcW w:w="1620" w:type="dxa"/>
            <w:vMerge/>
            <w:tcBorders>
              <w:top w:val="nil"/>
              <w:left w:val="single" w:sz="8"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92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03"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363"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2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34" w:type="dxa"/>
            <w:vMerge/>
            <w:tcBorders>
              <w:top w:val="nil"/>
              <w:left w:val="single" w:sz="4" w:space="0" w:color="auto"/>
              <w:bottom w:val="single" w:sz="4" w:space="0" w:color="auto"/>
              <w:right w:val="single" w:sz="8" w:space="0" w:color="auto"/>
            </w:tcBorders>
            <w:vAlign w:val="center"/>
            <w:hideMark/>
          </w:tcPr>
          <w:p w:rsidR="00525AA9" w:rsidRPr="00897BAE" w:rsidRDefault="00525AA9" w:rsidP="00525AA9">
            <w:pPr>
              <w:rPr>
                <w:color w:val="000000"/>
                <w:sz w:val="22"/>
                <w:szCs w:val="22"/>
              </w:rPr>
            </w:pPr>
          </w:p>
        </w:tc>
      </w:tr>
      <w:tr w:rsidR="00525AA9" w:rsidRPr="00897BAE" w:rsidTr="009F5368">
        <w:trPr>
          <w:trHeight w:val="300"/>
          <w:jc w:val="center"/>
        </w:trPr>
        <w:tc>
          <w:tcPr>
            <w:tcW w:w="1620"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525AA9" w:rsidRPr="00897BAE" w:rsidRDefault="00525AA9" w:rsidP="00525AA9">
            <w:pPr>
              <w:rPr>
                <w:color w:val="000000"/>
                <w:sz w:val="22"/>
                <w:szCs w:val="22"/>
              </w:rPr>
            </w:pPr>
            <w:r w:rsidRPr="00897BAE">
              <w:rPr>
                <w:color w:val="000000"/>
                <w:sz w:val="22"/>
                <w:szCs w:val="22"/>
              </w:rPr>
              <w:t>State Agencies</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Arbitration Process</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15</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2.2</w:t>
            </w:r>
          </w:p>
        </w:tc>
        <w:tc>
          <w:tcPr>
            <w:tcW w:w="1363" w:type="dxa"/>
            <w:vMerge w:val="restart"/>
            <w:tcBorders>
              <w:top w:val="nil"/>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33</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24</w:t>
            </w:r>
          </w:p>
        </w:tc>
        <w:tc>
          <w:tcPr>
            <w:tcW w:w="1634" w:type="dxa"/>
            <w:vMerge w:val="restart"/>
            <w:tcBorders>
              <w:top w:val="nil"/>
              <w:left w:val="single" w:sz="4" w:space="0" w:color="auto"/>
              <w:bottom w:val="single" w:sz="4" w:space="0" w:color="auto"/>
              <w:right w:val="single" w:sz="8"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792</w:t>
            </w:r>
          </w:p>
        </w:tc>
      </w:tr>
      <w:tr w:rsidR="00525AA9" w:rsidRPr="00897BAE" w:rsidTr="009F5368">
        <w:trPr>
          <w:trHeight w:val="300"/>
          <w:jc w:val="center"/>
        </w:trPr>
        <w:tc>
          <w:tcPr>
            <w:tcW w:w="1620" w:type="dxa"/>
            <w:vMerge/>
            <w:tcBorders>
              <w:top w:val="nil"/>
              <w:left w:val="single" w:sz="8"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363"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2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34" w:type="dxa"/>
            <w:vMerge/>
            <w:tcBorders>
              <w:top w:val="nil"/>
              <w:left w:val="single" w:sz="4" w:space="0" w:color="auto"/>
              <w:bottom w:val="single" w:sz="4" w:space="0" w:color="auto"/>
              <w:right w:val="single" w:sz="8" w:space="0" w:color="auto"/>
            </w:tcBorders>
            <w:vAlign w:val="center"/>
            <w:hideMark/>
          </w:tcPr>
          <w:p w:rsidR="00525AA9" w:rsidRPr="00897BAE" w:rsidRDefault="00525AA9" w:rsidP="00525AA9">
            <w:pPr>
              <w:rPr>
                <w:color w:val="000000"/>
                <w:sz w:val="22"/>
                <w:szCs w:val="22"/>
              </w:rPr>
            </w:pPr>
          </w:p>
        </w:tc>
      </w:tr>
      <w:tr w:rsidR="00525AA9" w:rsidRPr="00897BAE" w:rsidTr="009F5368">
        <w:trPr>
          <w:trHeight w:val="300"/>
          <w:jc w:val="center"/>
        </w:trPr>
        <w:tc>
          <w:tcPr>
            <w:tcW w:w="1620" w:type="dxa"/>
            <w:vMerge w:val="restart"/>
            <w:tcBorders>
              <w:top w:val="nil"/>
              <w:left w:val="single" w:sz="8" w:space="0" w:color="auto"/>
              <w:bottom w:val="single" w:sz="4" w:space="0" w:color="auto"/>
              <w:right w:val="single" w:sz="4" w:space="0" w:color="auto"/>
            </w:tcBorders>
            <w:shd w:val="clear" w:color="auto" w:fill="auto"/>
            <w:vAlign w:val="bottom"/>
            <w:hideMark/>
          </w:tcPr>
          <w:p w:rsidR="00525AA9" w:rsidRPr="00897BAE" w:rsidRDefault="00525AA9" w:rsidP="00525AA9">
            <w:pPr>
              <w:rPr>
                <w:color w:val="000000"/>
                <w:sz w:val="22"/>
                <w:szCs w:val="22"/>
              </w:rPr>
            </w:pPr>
            <w:r w:rsidRPr="00897BAE">
              <w:rPr>
                <w:color w:val="000000"/>
                <w:sz w:val="22"/>
                <w:szCs w:val="22"/>
              </w:rPr>
              <w:t>State Agencies</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Good Cause Process</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2</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1</w:t>
            </w:r>
          </w:p>
        </w:tc>
        <w:tc>
          <w:tcPr>
            <w:tcW w:w="1363" w:type="dxa"/>
            <w:vMerge w:val="restart"/>
            <w:tcBorders>
              <w:top w:val="nil"/>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2</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160</w:t>
            </w:r>
          </w:p>
        </w:tc>
        <w:tc>
          <w:tcPr>
            <w:tcW w:w="1634" w:type="dxa"/>
            <w:vMerge w:val="restart"/>
            <w:tcBorders>
              <w:top w:val="nil"/>
              <w:left w:val="single" w:sz="4" w:space="0" w:color="auto"/>
              <w:bottom w:val="single" w:sz="4" w:space="0" w:color="auto"/>
              <w:right w:val="single" w:sz="8"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320</w:t>
            </w:r>
          </w:p>
        </w:tc>
      </w:tr>
      <w:tr w:rsidR="00525AA9" w:rsidRPr="00897BAE" w:rsidTr="009F5368">
        <w:trPr>
          <w:trHeight w:val="300"/>
          <w:jc w:val="center"/>
        </w:trPr>
        <w:tc>
          <w:tcPr>
            <w:tcW w:w="1620" w:type="dxa"/>
            <w:vMerge/>
            <w:tcBorders>
              <w:top w:val="nil"/>
              <w:left w:val="single" w:sz="8"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363"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2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34" w:type="dxa"/>
            <w:vMerge/>
            <w:tcBorders>
              <w:top w:val="nil"/>
              <w:left w:val="single" w:sz="4" w:space="0" w:color="auto"/>
              <w:bottom w:val="single" w:sz="4" w:space="0" w:color="auto"/>
              <w:right w:val="single" w:sz="8" w:space="0" w:color="auto"/>
            </w:tcBorders>
            <w:vAlign w:val="center"/>
            <w:hideMark/>
          </w:tcPr>
          <w:p w:rsidR="00525AA9" w:rsidRPr="00897BAE" w:rsidRDefault="00525AA9" w:rsidP="00525AA9">
            <w:pPr>
              <w:rPr>
                <w:color w:val="000000"/>
                <w:sz w:val="22"/>
                <w:szCs w:val="22"/>
              </w:rPr>
            </w:pPr>
          </w:p>
        </w:tc>
      </w:tr>
      <w:tr w:rsidR="00525AA9" w:rsidRPr="00897BAE" w:rsidTr="009F5368">
        <w:trPr>
          <w:trHeight w:val="1005"/>
          <w:jc w:val="center"/>
        </w:trPr>
        <w:tc>
          <w:tcPr>
            <w:tcW w:w="3540" w:type="dxa"/>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rsidR="00525AA9" w:rsidRPr="00897BAE" w:rsidRDefault="00525AA9" w:rsidP="00525AA9">
            <w:pPr>
              <w:rPr>
                <w:b/>
                <w:bCs/>
                <w:color w:val="000000"/>
                <w:sz w:val="22"/>
                <w:szCs w:val="22"/>
              </w:rPr>
            </w:pPr>
            <w:r w:rsidRPr="00897BAE">
              <w:rPr>
                <w:b/>
                <w:bCs/>
                <w:color w:val="000000"/>
                <w:sz w:val="22"/>
                <w:szCs w:val="22"/>
              </w:rPr>
              <w:t>Grand Total Reporting</w:t>
            </w:r>
          </w:p>
        </w:tc>
        <w:tc>
          <w:tcPr>
            <w:tcW w:w="1603" w:type="dxa"/>
            <w:tcBorders>
              <w:top w:val="single" w:sz="4" w:space="0" w:color="auto"/>
              <w:left w:val="nil"/>
              <w:bottom w:val="single" w:sz="8" w:space="0" w:color="auto"/>
              <w:right w:val="single" w:sz="4" w:space="0" w:color="000000"/>
            </w:tcBorders>
            <w:shd w:val="clear" w:color="auto" w:fill="auto"/>
            <w:vAlign w:val="bottom"/>
            <w:hideMark/>
          </w:tcPr>
          <w:p w:rsidR="00525AA9" w:rsidRPr="00897BAE" w:rsidRDefault="00602FF8" w:rsidP="00525AA9">
            <w:pPr>
              <w:jc w:val="center"/>
              <w:rPr>
                <w:b/>
                <w:bCs/>
                <w:color w:val="000000"/>
                <w:sz w:val="22"/>
                <w:szCs w:val="22"/>
              </w:rPr>
            </w:pPr>
            <w:r w:rsidRPr="00897BAE">
              <w:rPr>
                <w:b/>
                <w:bCs/>
                <w:color w:val="000000"/>
                <w:sz w:val="22"/>
                <w:szCs w:val="22"/>
              </w:rPr>
              <w:t>53</w:t>
            </w:r>
          </w:p>
        </w:tc>
        <w:tc>
          <w:tcPr>
            <w:tcW w:w="1640" w:type="dxa"/>
            <w:tcBorders>
              <w:top w:val="nil"/>
              <w:left w:val="nil"/>
              <w:bottom w:val="single" w:sz="8" w:space="0" w:color="auto"/>
              <w:right w:val="single" w:sz="4" w:space="0" w:color="auto"/>
            </w:tcBorders>
            <w:shd w:val="clear" w:color="auto" w:fill="auto"/>
            <w:noWrap/>
            <w:vAlign w:val="bottom"/>
            <w:hideMark/>
          </w:tcPr>
          <w:p w:rsidR="00525AA9" w:rsidRPr="00897BAE" w:rsidRDefault="00525AA9" w:rsidP="00525AA9">
            <w:pPr>
              <w:jc w:val="center"/>
              <w:rPr>
                <w:b/>
                <w:bCs/>
                <w:color w:val="000000"/>
                <w:sz w:val="22"/>
                <w:szCs w:val="22"/>
              </w:rPr>
            </w:pPr>
            <w:r w:rsidRPr="00897BAE">
              <w:rPr>
                <w:b/>
                <w:bCs/>
                <w:color w:val="000000"/>
                <w:sz w:val="22"/>
                <w:szCs w:val="22"/>
              </w:rPr>
              <w:t>----</w:t>
            </w:r>
          </w:p>
        </w:tc>
        <w:tc>
          <w:tcPr>
            <w:tcW w:w="1363" w:type="dxa"/>
            <w:tcBorders>
              <w:top w:val="nil"/>
              <w:left w:val="nil"/>
              <w:bottom w:val="single" w:sz="8" w:space="0" w:color="auto"/>
              <w:right w:val="single" w:sz="4" w:space="0" w:color="auto"/>
            </w:tcBorders>
            <w:shd w:val="clear" w:color="auto" w:fill="auto"/>
            <w:vAlign w:val="bottom"/>
            <w:hideMark/>
          </w:tcPr>
          <w:p w:rsidR="00525AA9" w:rsidRPr="00897BAE" w:rsidRDefault="00525AA9" w:rsidP="00525AA9">
            <w:pPr>
              <w:jc w:val="center"/>
              <w:rPr>
                <w:b/>
                <w:bCs/>
                <w:color w:val="000000"/>
                <w:sz w:val="22"/>
                <w:szCs w:val="22"/>
              </w:rPr>
            </w:pPr>
            <w:r w:rsidRPr="00897BAE">
              <w:rPr>
                <w:b/>
                <w:bCs/>
                <w:color w:val="000000"/>
                <w:sz w:val="22"/>
                <w:szCs w:val="22"/>
              </w:rPr>
              <w:t>88</w:t>
            </w:r>
          </w:p>
        </w:tc>
        <w:tc>
          <w:tcPr>
            <w:tcW w:w="1240" w:type="dxa"/>
            <w:tcBorders>
              <w:top w:val="nil"/>
              <w:left w:val="nil"/>
              <w:bottom w:val="single" w:sz="8" w:space="0" w:color="auto"/>
              <w:right w:val="single" w:sz="4" w:space="0" w:color="auto"/>
            </w:tcBorders>
            <w:shd w:val="clear" w:color="auto" w:fill="auto"/>
            <w:noWrap/>
            <w:vAlign w:val="bottom"/>
            <w:hideMark/>
          </w:tcPr>
          <w:p w:rsidR="00525AA9" w:rsidRPr="00897BAE" w:rsidRDefault="00525AA9" w:rsidP="00525AA9">
            <w:pPr>
              <w:jc w:val="center"/>
              <w:rPr>
                <w:b/>
                <w:bCs/>
                <w:color w:val="000000"/>
                <w:sz w:val="22"/>
                <w:szCs w:val="22"/>
              </w:rPr>
            </w:pPr>
            <w:r w:rsidRPr="00897BAE">
              <w:rPr>
                <w:b/>
                <w:bCs/>
                <w:color w:val="000000"/>
                <w:sz w:val="22"/>
                <w:szCs w:val="22"/>
              </w:rPr>
              <w:t>----</w:t>
            </w:r>
          </w:p>
        </w:tc>
        <w:tc>
          <w:tcPr>
            <w:tcW w:w="1634" w:type="dxa"/>
            <w:tcBorders>
              <w:top w:val="nil"/>
              <w:left w:val="nil"/>
              <w:bottom w:val="single" w:sz="8" w:space="0" w:color="auto"/>
              <w:right w:val="single" w:sz="8" w:space="0" w:color="auto"/>
            </w:tcBorders>
            <w:shd w:val="clear" w:color="auto" w:fill="auto"/>
            <w:noWrap/>
            <w:vAlign w:val="bottom"/>
            <w:hideMark/>
          </w:tcPr>
          <w:p w:rsidR="00525AA9" w:rsidRPr="00897BAE" w:rsidRDefault="00525AA9" w:rsidP="00525AA9">
            <w:pPr>
              <w:jc w:val="center"/>
              <w:rPr>
                <w:b/>
                <w:bCs/>
                <w:color w:val="000000"/>
                <w:sz w:val="22"/>
                <w:szCs w:val="22"/>
              </w:rPr>
            </w:pPr>
            <w:r w:rsidRPr="00897BAE">
              <w:rPr>
                <w:b/>
                <w:bCs/>
                <w:color w:val="000000"/>
                <w:sz w:val="22"/>
                <w:szCs w:val="22"/>
              </w:rPr>
              <w:t>1,377</w:t>
            </w:r>
          </w:p>
        </w:tc>
      </w:tr>
      <w:tr w:rsidR="00525AA9" w:rsidRPr="00897BAE" w:rsidTr="00525AA9">
        <w:trPr>
          <w:trHeight w:val="555"/>
          <w:jc w:val="center"/>
        </w:trPr>
        <w:tc>
          <w:tcPr>
            <w:tcW w:w="11020" w:type="dxa"/>
            <w:gridSpan w:val="7"/>
            <w:tcBorders>
              <w:top w:val="nil"/>
              <w:left w:val="single" w:sz="8" w:space="0" w:color="auto"/>
              <w:bottom w:val="nil"/>
              <w:right w:val="single" w:sz="8" w:space="0" w:color="000000"/>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Recordkeeping Burden</w:t>
            </w:r>
          </w:p>
        </w:tc>
      </w:tr>
      <w:tr w:rsidR="00525AA9" w:rsidRPr="00897BAE" w:rsidTr="009F5368">
        <w:trPr>
          <w:trHeight w:val="630"/>
          <w:jc w:val="center"/>
        </w:trPr>
        <w:tc>
          <w:tcPr>
            <w:tcW w:w="162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rsidR="00525AA9" w:rsidRPr="00897BAE" w:rsidRDefault="00525AA9" w:rsidP="00525AA9">
            <w:pPr>
              <w:rPr>
                <w:b/>
                <w:bCs/>
                <w:color w:val="000000"/>
                <w:sz w:val="22"/>
                <w:szCs w:val="22"/>
              </w:rPr>
            </w:pPr>
            <w:r w:rsidRPr="00897BAE">
              <w:rPr>
                <w:b/>
                <w:bCs/>
                <w:color w:val="000000"/>
                <w:sz w:val="22"/>
                <w:szCs w:val="22"/>
              </w:rPr>
              <w:lastRenderedPageBreak/>
              <w:t>Affected Public</w:t>
            </w:r>
          </w:p>
        </w:tc>
        <w:tc>
          <w:tcPr>
            <w:tcW w:w="192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Requirement</w:t>
            </w:r>
          </w:p>
        </w:tc>
        <w:tc>
          <w:tcPr>
            <w:tcW w:w="1603"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 xml:space="preserve">Estimated </w:t>
            </w:r>
          </w:p>
          <w:p w:rsidR="00525AA9" w:rsidRPr="00897BAE" w:rsidRDefault="00525AA9" w:rsidP="00525AA9">
            <w:pPr>
              <w:jc w:val="center"/>
              <w:rPr>
                <w:b/>
                <w:bCs/>
                <w:color w:val="000000"/>
                <w:sz w:val="22"/>
                <w:szCs w:val="22"/>
              </w:rPr>
            </w:pPr>
            <w:r w:rsidRPr="00897BAE">
              <w:rPr>
                <w:b/>
                <w:bCs/>
                <w:color w:val="000000"/>
                <w:sz w:val="22"/>
                <w:szCs w:val="22"/>
              </w:rPr>
              <w:t># of Respondents</w:t>
            </w:r>
          </w:p>
        </w:tc>
        <w:tc>
          <w:tcPr>
            <w:tcW w:w="164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Number of Reports Annually per State</w:t>
            </w:r>
          </w:p>
        </w:tc>
        <w:tc>
          <w:tcPr>
            <w:tcW w:w="1363"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Number of Total Annual Records</w:t>
            </w:r>
          </w:p>
        </w:tc>
        <w:tc>
          <w:tcPr>
            <w:tcW w:w="124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Estimated Time per Record</w:t>
            </w:r>
          </w:p>
        </w:tc>
        <w:tc>
          <w:tcPr>
            <w:tcW w:w="1634"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Estimated Total Recordkeeping  Hours</w:t>
            </w:r>
          </w:p>
        </w:tc>
      </w:tr>
      <w:tr w:rsidR="00525AA9" w:rsidRPr="00897BAE" w:rsidTr="009F5368">
        <w:trPr>
          <w:trHeight w:val="630"/>
          <w:jc w:val="center"/>
        </w:trPr>
        <w:tc>
          <w:tcPr>
            <w:tcW w:w="1620" w:type="dxa"/>
            <w:vMerge/>
            <w:tcBorders>
              <w:top w:val="single" w:sz="8" w:space="0" w:color="auto"/>
              <w:left w:val="single" w:sz="8"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920" w:type="dxa"/>
            <w:vMerge/>
            <w:tcBorders>
              <w:top w:val="single" w:sz="8" w:space="0" w:color="auto"/>
              <w:left w:val="single" w:sz="4"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603" w:type="dxa"/>
            <w:vMerge/>
            <w:tcBorders>
              <w:top w:val="single" w:sz="8" w:space="0" w:color="auto"/>
              <w:left w:val="single" w:sz="4"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640" w:type="dxa"/>
            <w:vMerge/>
            <w:tcBorders>
              <w:top w:val="single" w:sz="8" w:space="0" w:color="auto"/>
              <w:left w:val="single" w:sz="4"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363" w:type="dxa"/>
            <w:vMerge/>
            <w:tcBorders>
              <w:top w:val="single" w:sz="8" w:space="0" w:color="auto"/>
              <w:left w:val="single" w:sz="4"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rsidR="00525AA9" w:rsidRPr="00897BAE" w:rsidRDefault="00525AA9" w:rsidP="00525AA9">
            <w:pPr>
              <w:rPr>
                <w:b/>
                <w:bCs/>
                <w:color w:val="000000"/>
                <w:sz w:val="22"/>
                <w:szCs w:val="22"/>
              </w:rPr>
            </w:pPr>
          </w:p>
        </w:tc>
        <w:tc>
          <w:tcPr>
            <w:tcW w:w="1634" w:type="dxa"/>
            <w:vMerge/>
            <w:tcBorders>
              <w:top w:val="single" w:sz="8" w:space="0" w:color="auto"/>
              <w:left w:val="single" w:sz="4" w:space="0" w:color="auto"/>
              <w:bottom w:val="single" w:sz="8" w:space="0" w:color="000000"/>
              <w:right w:val="single" w:sz="8" w:space="0" w:color="auto"/>
            </w:tcBorders>
            <w:vAlign w:val="center"/>
            <w:hideMark/>
          </w:tcPr>
          <w:p w:rsidR="00525AA9" w:rsidRPr="00897BAE" w:rsidRDefault="00525AA9" w:rsidP="00525AA9">
            <w:pPr>
              <w:rPr>
                <w:b/>
                <w:bCs/>
                <w:color w:val="000000"/>
                <w:sz w:val="22"/>
                <w:szCs w:val="22"/>
              </w:rPr>
            </w:pPr>
          </w:p>
        </w:tc>
      </w:tr>
      <w:tr w:rsidR="00525AA9" w:rsidRPr="00897BAE" w:rsidTr="009F5368">
        <w:trPr>
          <w:trHeight w:val="300"/>
          <w:jc w:val="center"/>
        </w:trPr>
        <w:tc>
          <w:tcPr>
            <w:tcW w:w="1620"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525AA9" w:rsidRPr="00897BAE" w:rsidRDefault="00525AA9" w:rsidP="00525AA9">
            <w:pPr>
              <w:rPr>
                <w:color w:val="000000"/>
                <w:sz w:val="22"/>
                <w:szCs w:val="22"/>
              </w:rPr>
            </w:pPr>
            <w:r w:rsidRPr="00897BAE">
              <w:rPr>
                <w:color w:val="000000"/>
                <w:sz w:val="22"/>
                <w:szCs w:val="22"/>
              </w:rPr>
              <w:t>State Agencies</w:t>
            </w:r>
          </w:p>
        </w:tc>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Sampling Plan</w:t>
            </w:r>
          </w:p>
        </w:tc>
        <w:tc>
          <w:tcPr>
            <w:tcW w:w="1603" w:type="dxa"/>
            <w:vMerge w:val="restart"/>
            <w:tcBorders>
              <w:top w:val="nil"/>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53</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1</w:t>
            </w:r>
          </w:p>
        </w:tc>
        <w:tc>
          <w:tcPr>
            <w:tcW w:w="1363" w:type="dxa"/>
            <w:vMerge w:val="restart"/>
            <w:tcBorders>
              <w:top w:val="nil"/>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53</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0.0236</w:t>
            </w:r>
          </w:p>
        </w:tc>
        <w:tc>
          <w:tcPr>
            <w:tcW w:w="1634" w:type="dxa"/>
            <w:vMerge w:val="restart"/>
            <w:tcBorders>
              <w:top w:val="nil"/>
              <w:left w:val="single" w:sz="4" w:space="0" w:color="auto"/>
              <w:bottom w:val="single" w:sz="4" w:space="0" w:color="auto"/>
              <w:right w:val="single" w:sz="8"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1.25</w:t>
            </w:r>
          </w:p>
        </w:tc>
      </w:tr>
      <w:tr w:rsidR="00525AA9" w:rsidRPr="00897BAE" w:rsidTr="009F5368">
        <w:trPr>
          <w:trHeight w:val="300"/>
          <w:jc w:val="center"/>
        </w:trPr>
        <w:tc>
          <w:tcPr>
            <w:tcW w:w="1620" w:type="dxa"/>
            <w:vMerge/>
            <w:tcBorders>
              <w:top w:val="nil"/>
              <w:left w:val="single" w:sz="8"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92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03"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363"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2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34" w:type="dxa"/>
            <w:vMerge/>
            <w:tcBorders>
              <w:top w:val="nil"/>
              <w:left w:val="single" w:sz="4" w:space="0" w:color="auto"/>
              <w:bottom w:val="single" w:sz="4" w:space="0" w:color="auto"/>
              <w:right w:val="single" w:sz="8" w:space="0" w:color="auto"/>
            </w:tcBorders>
            <w:vAlign w:val="center"/>
            <w:hideMark/>
          </w:tcPr>
          <w:p w:rsidR="00525AA9" w:rsidRPr="00897BAE" w:rsidRDefault="00525AA9" w:rsidP="00525AA9">
            <w:pPr>
              <w:rPr>
                <w:color w:val="000000"/>
                <w:sz w:val="22"/>
                <w:szCs w:val="22"/>
              </w:rPr>
            </w:pPr>
          </w:p>
        </w:tc>
      </w:tr>
      <w:tr w:rsidR="00525AA9" w:rsidRPr="00897BAE" w:rsidTr="009F5368">
        <w:trPr>
          <w:trHeight w:val="300"/>
          <w:jc w:val="center"/>
        </w:trPr>
        <w:tc>
          <w:tcPr>
            <w:tcW w:w="1620"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525AA9" w:rsidRPr="00897BAE" w:rsidRDefault="00525AA9" w:rsidP="00525AA9">
            <w:pPr>
              <w:rPr>
                <w:color w:val="000000"/>
                <w:sz w:val="22"/>
                <w:szCs w:val="22"/>
              </w:rPr>
            </w:pPr>
            <w:r w:rsidRPr="00897BAE">
              <w:rPr>
                <w:color w:val="000000"/>
                <w:sz w:val="22"/>
                <w:szCs w:val="22"/>
              </w:rPr>
              <w:t>State Agencies</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Arbitration Process</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15</w:t>
            </w:r>
          </w:p>
        </w:tc>
        <w:tc>
          <w:tcPr>
            <w:tcW w:w="1640" w:type="dxa"/>
            <w:vMerge w:val="restart"/>
            <w:tcBorders>
              <w:top w:val="nil"/>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2.2</w:t>
            </w:r>
          </w:p>
        </w:tc>
        <w:tc>
          <w:tcPr>
            <w:tcW w:w="1363" w:type="dxa"/>
            <w:vMerge w:val="restart"/>
            <w:tcBorders>
              <w:top w:val="nil"/>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33</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0.0236</w:t>
            </w:r>
          </w:p>
        </w:tc>
        <w:tc>
          <w:tcPr>
            <w:tcW w:w="1634" w:type="dxa"/>
            <w:vMerge w:val="restart"/>
            <w:tcBorders>
              <w:top w:val="nil"/>
              <w:left w:val="single" w:sz="4" w:space="0" w:color="auto"/>
              <w:bottom w:val="single" w:sz="4" w:space="0" w:color="auto"/>
              <w:right w:val="single" w:sz="8"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0.7788</w:t>
            </w:r>
          </w:p>
        </w:tc>
      </w:tr>
      <w:tr w:rsidR="00525AA9" w:rsidRPr="00897BAE" w:rsidTr="009F5368">
        <w:trPr>
          <w:trHeight w:val="300"/>
          <w:jc w:val="center"/>
        </w:trPr>
        <w:tc>
          <w:tcPr>
            <w:tcW w:w="1620" w:type="dxa"/>
            <w:vMerge/>
            <w:tcBorders>
              <w:top w:val="nil"/>
              <w:left w:val="single" w:sz="8"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363"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2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34" w:type="dxa"/>
            <w:vMerge/>
            <w:tcBorders>
              <w:top w:val="nil"/>
              <w:left w:val="single" w:sz="4" w:space="0" w:color="auto"/>
              <w:bottom w:val="single" w:sz="4" w:space="0" w:color="auto"/>
              <w:right w:val="single" w:sz="8" w:space="0" w:color="auto"/>
            </w:tcBorders>
            <w:vAlign w:val="center"/>
            <w:hideMark/>
          </w:tcPr>
          <w:p w:rsidR="00525AA9" w:rsidRPr="00897BAE" w:rsidRDefault="00525AA9" w:rsidP="00525AA9">
            <w:pPr>
              <w:rPr>
                <w:color w:val="000000"/>
                <w:sz w:val="22"/>
                <w:szCs w:val="22"/>
              </w:rPr>
            </w:pPr>
          </w:p>
        </w:tc>
      </w:tr>
      <w:tr w:rsidR="00525AA9" w:rsidRPr="00897BAE" w:rsidTr="009F5368">
        <w:trPr>
          <w:trHeight w:val="300"/>
          <w:jc w:val="center"/>
        </w:trPr>
        <w:tc>
          <w:tcPr>
            <w:tcW w:w="1620" w:type="dxa"/>
            <w:vMerge w:val="restart"/>
            <w:tcBorders>
              <w:top w:val="nil"/>
              <w:left w:val="single" w:sz="8" w:space="0" w:color="auto"/>
              <w:bottom w:val="single" w:sz="4" w:space="0" w:color="auto"/>
              <w:right w:val="single" w:sz="4" w:space="0" w:color="auto"/>
            </w:tcBorders>
            <w:shd w:val="clear" w:color="auto" w:fill="auto"/>
            <w:vAlign w:val="bottom"/>
            <w:hideMark/>
          </w:tcPr>
          <w:p w:rsidR="00525AA9" w:rsidRPr="00897BAE" w:rsidRDefault="00525AA9" w:rsidP="00525AA9">
            <w:pPr>
              <w:rPr>
                <w:color w:val="000000"/>
                <w:sz w:val="22"/>
                <w:szCs w:val="22"/>
              </w:rPr>
            </w:pPr>
            <w:r w:rsidRPr="00897BAE">
              <w:rPr>
                <w:color w:val="000000"/>
                <w:sz w:val="22"/>
                <w:szCs w:val="22"/>
              </w:rPr>
              <w:t>State Agencies</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Good Cause Process</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2</w:t>
            </w:r>
          </w:p>
        </w:tc>
        <w:tc>
          <w:tcPr>
            <w:tcW w:w="1640" w:type="dxa"/>
            <w:vMerge w:val="restart"/>
            <w:tcBorders>
              <w:top w:val="nil"/>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1</w:t>
            </w:r>
          </w:p>
        </w:tc>
        <w:tc>
          <w:tcPr>
            <w:tcW w:w="1363" w:type="dxa"/>
            <w:vMerge w:val="restart"/>
            <w:tcBorders>
              <w:top w:val="nil"/>
              <w:left w:val="single" w:sz="4" w:space="0" w:color="auto"/>
              <w:bottom w:val="single" w:sz="4" w:space="0" w:color="auto"/>
              <w:right w:val="single" w:sz="4" w:space="0" w:color="auto"/>
            </w:tcBorders>
            <w:shd w:val="clear" w:color="auto" w:fill="auto"/>
            <w:vAlign w:val="bottom"/>
            <w:hideMark/>
          </w:tcPr>
          <w:p w:rsidR="00525AA9" w:rsidRPr="00897BAE" w:rsidRDefault="00525AA9" w:rsidP="00525AA9">
            <w:pPr>
              <w:jc w:val="center"/>
              <w:rPr>
                <w:color w:val="000000"/>
                <w:sz w:val="22"/>
                <w:szCs w:val="22"/>
              </w:rPr>
            </w:pPr>
            <w:r w:rsidRPr="00897BAE">
              <w:rPr>
                <w:color w:val="000000"/>
                <w:sz w:val="22"/>
                <w:szCs w:val="22"/>
              </w:rPr>
              <w:t>2</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0.0236</w:t>
            </w:r>
          </w:p>
        </w:tc>
        <w:tc>
          <w:tcPr>
            <w:tcW w:w="1634" w:type="dxa"/>
            <w:vMerge w:val="restart"/>
            <w:tcBorders>
              <w:top w:val="nil"/>
              <w:left w:val="single" w:sz="4" w:space="0" w:color="auto"/>
              <w:bottom w:val="single" w:sz="4" w:space="0" w:color="auto"/>
              <w:right w:val="single" w:sz="8" w:space="0" w:color="auto"/>
            </w:tcBorders>
            <w:shd w:val="clear" w:color="auto" w:fill="auto"/>
            <w:noWrap/>
            <w:vAlign w:val="bottom"/>
            <w:hideMark/>
          </w:tcPr>
          <w:p w:rsidR="00525AA9" w:rsidRPr="00897BAE" w:rsidRDefault="00525AA9" w:rsidP="00525AA9">
            <w:pPr>
              <w:jc w:val="center"/>
              <w:rPr>
                <w:color w:val="000000"/>
                <w:sz w:val="22"/>
                <w:szCs w:val="22"/>
              </w:rPr>
            </w:pPr>
            <w:r w:rsidRPr="00897BAE">
              <w:rPr>
                <w:color w:val="000000"/>
                <w:sz w:val="22"/>
                <w:szCs w:val="22"/>
              </w:rPr>
              <w:t>0.0472 </w:t>
            </w:r>
          </w:p>
        </w:tc>
      </w:tr>
      <w:tr w:rsidR="00525AA9" w:rsidRPr="00897BAE" w:rsidTr="009F5368">
        <w:trPr>
          <w:trHeight w:val="300"/>
          <w:jc w:val="center"/>
        </w:trPr>
        <w:tc>
          <w:tcPr>
            <w:tcW w:w="1620" w:type="dxa"/>
            <w:vMerge/>
            <w:tcBorders>
              <w:top w:val="nil"/>
              <w:left w:val="single" w:sz="8"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363"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240" w:type="dxa"/>
            <w:vMerge/>
            <w:tcBorders>
              <w:top w:val="nil"/>
              <w:left w:val="single" w:sz="4" w:space="0" w:color="auto"/>
              <w:bottom w:val="single" w:sz="4" w:space="0" w:color="auto"/>
              <w:right w:val="single" w:sz="4" w:space="0" w:color="auto"/>
            </w:tcBorders>
            <w:vAlign w:val="center"/>
            <w:hideMark/>
          </w:tcPr>
          <w:p w:rsidR="00525AA9" w:rsidRPr="00897BAE" w:rsidRDefault="00525AA9" w:rsidP="00525AA9">
            <w:pPr>
              <w:rPr>
                <w:color w:val="000000"/>
                <w:sz w:val="22"/>
                <w:szCs w:val="22"/>
              </w:rPr>
            </w:pPr>
          </w:p>
        </w:tc>
        <w:tc>
          <w:tcPr>
            <w:tcW w:w="1634" w:type="dxa"/>
            <w:vMerge/>
            <w:tcBorders>
              <w:top w:val="nil"/>
              <w:left w:val="single" w:sz="4" w:space="0" w:color="auto"/>
              <w:bottom w:val="single" w:sz="4" w:space="0" w:color="auto"/>
              <w:right w:val="single" w:sz="8" w:space="0" w:color="auto"/>
            </w:tcBorders>
            <w:vAlign w:val="center"/>
            <w:hideMark/>
          </w:tcPr>
          <w:p w:rsidR="00525AA9" w:rsidRPr="00897BAE" w:rsidRDefault="00525AA9" w:rsidP="00525AA9">
            <w:pPr>
              <w:rPr>
                <w:color w:val="000000"/>
                <w:sz w:val="22"/>
                <w:szCs w:val="22"/>
              </w:rPr>
            </w:pPr>
          </w:p>
        </w:tc>
      </w:tr>
      <w:tr w:rsidR="00525AA9" w:rsidRPr="00897BAE" w:rsidTr="009F5368">
        <w:trPr>
          <w:trHeight w:val="345"/>
          <w:jc w:val="center"/>
        </w:trPr>
        <w:tc>
          <w:tcPr>
            <w:tcW w:w="3540" w:type="dxa"/>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525AA9" w:rsidRPr="00897BAE" w:rsidRDefault="00525AA9" w:rsidP="00525AA9">
            <w:pPr>
              <w:rPr>
                <w:b/>
                <w:bCs/>
                <w:color w:val="000000"/>
                <w:sz w:val="22"/>
                <w:szCs w:val="22"/>
              </w:rPr>
            </w:pPr>
            <w:r w:rsidRPr="00897BAE">
              <w:rPr>
                <w:b/>
                <w:bCs/>
                <w:color w:val="000000"/>
                <w:sz w:val="22"/>
                <w:szCs w:val="22"/>
              </w:rPr>
              <w:t>Grand Total Recordkeeping</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53</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525AA9" w:rsidRPr="00897BAE" w:rsidRDefault="00525AA9" w:rsidP="00525AA9">
            <w:pPr>
              <w:jc w:val="center"/>
              <w:rPr>
                <w:b/>
                <w:bCs/>
                <w:color w:val="000000"/>
                <w:sz w:val="22"/>
                <w:szCs w:val="22"/>
              </w:rPr>
            </w:pPr>
            <w:r w:rsidRPr="00897BAE">
              <w:rPr>
                <w:b/>
                <w:bCs/>
                <w:color w:val="000000"/>
                <w:sz w:val="22"/>
                <w:szCs w:val="22"/>
              </w:rPr>
              <w:t>----</w:t>
            </w:r>
          </w:p>
        </w:tc>
        <w:tc>
          <w:tcPr>
            <w:tcW w:w="1363" w:type="dxa"/>
            <w:tcBorders>
              <w:top w:val="single" w:sz="4" w:space="0" w:color="auto"/>
              <w:left w:val="nil"/>
              <w:bottom w:val="single" w:sz="4" w:space="0" w:color="auto"/>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88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25AA9" w:rsidRPr="00897BAE" w:rsidRDefault="00525AA9" w:rsidP="00525AA9">
            <w:pPr>
              <w:jc w:val="center"/>
              <w:rPr>
                <w:b/>
                <w:bCs/>
                <w:color w:val="000000"/>
                <w:sz w:val="22"/>
                <w:szCs w:val="22"/>
              </w:rPr>
            </w:pPr>
            <w:r w:rsidRPr="00897BAE">
              <w:rPr>
                <w:b/>
                <w:bCs/>
                <w:color w:val="000000"/>
                <w:sz w:val="22"/>
                <w:szCs w:val="22"/>
              </w:rPr>
              <w:t>----</w:t>
            </w:r>
          </w:p>
        </w:tc>
        <w:tc>
          <w:tcPr>
            <w:tcW w:w="1634" w:type="dxa"/>
            <w:tcBorders>
              <w:top w:val="single" w:sz="4" w:space="0" w:color="auto"/>
              <w:left w:val="nil"/>
              <w:bottom w:val="single" w:sz="4" w:space="0" w:color="auto"/>
              <w:right w:val="single" w:sz="4" w:space="0" w:color="auto"/>
            </w:tcBorders>
            <w:shd w:val="clear" w:color="auto" w:fill="auto"/>
            <w:hideMark/>
          </w:tcPr>
          <w:p w:rsidR="00525AA9" w:rsidRPr="00897BAE" w:rsidRDefault="00525AA9" w:rsidP="00525AA9">
            <w:pPr>
              <w:jc w:val="center"/>
              <w:rPr>
                <w:b/>
                <w:bCs/>
                <w:color w:val="000000"/>
                <w:sz w:val="22"/>
                <w:szCs w:val="22"/>
              </w:rPr>
            </w:pPr>
            <w:r w:rsidRPr="00897BAE">
              <w:rPr>
                <w:b/>
                <w:bCs/>
                <w:color w:val="000000"/>
                <w:sz w:val="22"/>
                <w:szCs w:val="22"/>
              </w:rPr>
              <w:t>2.076</w:t>
            </w:r>
          </w:p>
        </w:tc>
      </w:tr>
    </w:tbl>
    <w:p w:rsidR="005A30EC" w:rsidRDefault="005A30EC" w:rsidP="00440495">
      <w:pPr>
        <w:pStyle w:val="ListParagraph"/>
        <w:tabs>
          <w:tab w:val="left" w:pos="1080"/>
        </w:tabs>
        <w:suppressAutoHyphens/>
        <w:rPr>
          <w:b/>
          <w:color w:val="0070C0"/>
          <w:sz w:val="22"/>
          <w:szCs w:val="22"/>
        </w:rPr>
      </w:pPr>
    </w:p>
    <w:p w:rsidR="005A30EC" w:rsidRDefault="005A30EC" w:rsidP="00440495">
      <w:pPr>
        <w:pStyle w:val="ListParagraph"/>
        <w:tabs>
          <w:tab w:val="left" w:pos="1080"/>
        </w:tabs>
        <w:suppressAutoHyphens/>
        <w:rPr>
          <w:b/>
          <w:color w:val="0070C0"/>
          <w:sz w:val="22"/>
          <w:szCs w:val="22"/>
        </w:rPr>
      </w:pPr>
    </w:p>
    <w:p w:rsidR="005A30EC" w:rsidRPr="00897BAE" w:rsidRDefault="005A30EC" w:rsidP="00440495">
      <w:pPr>
        <w:pStyle w:val="ListParagraph"/>
        <w:tabs>
          <w:tab w:val="left" w:pos="1080"/>
        </w:tabs>
        <w:suppressAutoHyphens/>
        <w:rPr>
          <w:b/>
          <w:color w:val="0070C0"/>
          <w:sz w:val="22"/>
          <w:szCs w:val="22"/>
        </w:rPr>
      </w:pPr>
    </w:p>
    <w:p w:rsidR="00712D5D" w:rsidRPr="00897BAE" w:rsidRDefault="00712D5D" w:rsidP="00712D5D">
      <w:pPr>
        <w:pStyle w:val="ListParagraph"/>
        <w:numPr>
          <w:ilvl w:val="2"/>
          <w:numId w:val="25"/>
        </w:numPr>
        <w:tabs>
          <w:tab w:val="left" w:pos="1080"/>
        </w:tabs>
        <w:suppressAutoHyphens/>
        <w:rPr>
          <w:b/>
          <w:sz w:val="22"/>
          <w:szCs w:val="22"/>
        </w:rPr>
      </w:pPr>
      <w:r w:rsidRPr="00897BAE">
        <w:rPr>
          <w:b/>
          <w:sz w:val="22"/>
          <w:szCs w:val="22"/>
        </w:rPr>
        <w:t>Combined Reporting and Recordkeeping Burden Hours</w:t>
      </w:r>
    </w:p>
    <w:p w:rsidR="00712D5D" w:rsidRPr="00897BAE" w:rsidRDefault="00712D5D" w:rsidP="00712D5D">
      <w:pPr>
        <w:pStyle w:val="ListParagraph"/>
        <w:tabs>
          <w:tab w:val="left" w:pos="1080"/>
        </w:tabs>
        <w:suppressAutoHyphens/>
        <w:ind w:left="2340"/>
        <w:rPr>
          <w:b/>
          <w:sz w:val="22"/>
          <w:szCs w:val="22"/>
        </w:rPr>
      </w:pPr>
    </w:p>
    <w:tbl>
      <w:tblPr>
        <w:tblW w:w="11020" w:type="dxa"/>
        <w:jc w:val="center"/>
        <w:tblInd w:w="91" w:type="dxa"/>
        <w:tblLook w:val="04A0" w:firstRow="1" w:lastRow="0" w:firstColumn="1" w:lastColumn="0" w:noHBand="0" w:noVBand="1"/>
      </w:tblPr>
      <w:tblGrid>
        <w:gridCol w:w="1620"/>
        <w:gridCol w:w="1920"/>
        <w:gridCol w:w="1536"/>
        <w:gridCol w:w="1640"/>
        <w:gridCol w:w="1299"/>
        <w:gridCol w:w="1371"/>
        <w:gridCol w:w="1634"/>
      </w:tblGrid>
      <w:tr w:rsidR="00712D5D" w:rsidRPr="00897BAE" w:rsidTr="00C5295A">
        <w:trPr>
          <w:trHeight w:val="315"/>
          <w:jc w:val="center"/>
        </w:trPr>
        <w:tc>
          <w:tcPr>
            <w:tcW w:w="11020" w:type="dxa"/>
            <w:gridSpan w:val="7"/>
            <w:tcBorders>
              <w:top w:val="single" w:sz="8" w:space="0" w:color="auto"/>
              <w:left w:val="single" w:sz="8" w:space="0" w:color="auto"/>
              <w:bottom w:val="single" w:sz="8" w:space="0" w:color="auto"/>
              <w:right w:val="single" w:sz="8" w:space="0" w:color="000000"/>
            </w:tcBorders>
            <w:shd w:val="clear" w:color="auto" w:fill="auto"/>
            <w:hideMark/>
          </w:tcPr>
          <w:p w:rsidR="00712D5D" w:rsidRPr="00897BAE" w:rsidRDefault="00712D5D" w:rsidP="00C5295A">
            <w:pPr>
              <w:jc w:val="center"/>
              <w:rPr>
                <w:b/>
                <w:bCs/>
                <w:sz w:val="22"/>
                <w:szCs w:val="22"/>
              </w:rPr>
            </w:pPr>
            <w:r w:rsidRPr="00897BAE">
              <w:rPr>
                <w:b/>
                <w:bCs/>
                <w:sz w:val="22"/>
                <w:szCs w:val="22"/>
              </w:rPr>
              <w:t>Reporting Burden</w:t>
            </w:r>
          </w:p>
        </w:tc>
      </w:tr>
      <w:tr w:rsidR="00712D5D" w:rsidRPr="00897BAE" w:rsidTr="00C5295A">
        <w:trPr>
          <w:trHeight w:val="585"/>
          <w:jc w:val="center"/>
        </w:trPr>
        <w:tc>
          <w:tcPr>
            <w:tcW w:w="1620" w:type="dxa"/>
            <w:vMerge w:val="restart"/>
            <w:tcBorders>
              <w:top w:val="nil"/>
              <w:left w:val="single" w:sz="8" w:space="0" w:color="auto"/>
              <w:bottom w:val="single" w:sz="8" w:space="0" w:color="000000"/>
              <w:right w:val="single" w:sz="4" w:space="0" w:color="auto"/>
            </w:tcBorders>
            <w:shd w:val="clear" w:color="auto" w:fill="auto"/>
            <w:noWrap/>
            <w:hideMark/>
          </w:tcPr>
          <w:p w:rsidR="00712D5D" w:rsidRPr="00897BAE" w:rsidRDefault="00712D5D" w:rsidP="00C5295A">
            <w:pPr>
              <w:rPr>
                <w:b/>
                <w:bCs/>
                <w:sz w:val="22"/>
                <w:szCs w:val="22"/>
              </w:rPr>
            </w:pPr>
            <w:r w:rsidRPr="00897BAE">
              <w:rPr>
                <w:b/>
                <w:bCs/>
                <w:sz w:val="22"/>
                <w:szCs w:val="22"/>
              </w:rPr>
              <w:t>Affected Public</w:t>
            </w:r>
          </w:p>
        </w:tc>
        <w:tc>
          <w:tcPr>
            <w:tcW w:w="192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712D5D" w:rsidRPr="00897BAE" w:rsidRDefault="00712D5D" w:rsidP="00C5295A">
            <w:pPr>
              <w:jc w:val="center"/>
              <w:rPr>
                <w:b/>
                <w:bCs/>
                <w:sz w:val="22"/>
                <w:szCs w:val="22"/>
              </w:rPr>
            </w:pPr>
            <w:r w:rsidRPr="00897BAE">
              <w:rPr>
                <w:b/>
                <w:bCs/>
                <w:sz w:val="22"/>
                <w:szCs w:val="22"/>
              </w:rPr>
              <w:t>Requirement</w:t>
            </w:r>
          </w:p>
        </w:tc>
        <w:tc>
          <w:tcPr>
            <w:tcW w:w="1603"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712D5D" w:rsidRPr="00897BAE" w:rsidRDefault="00712D5D" w:rsidP="00C5295A">
            <w:pPr>
              <w:jc w:val="center"/>
              <w:rPr>
                <w:b/>
                <w:bCs/>
                <w:sz w:val="22"/>
                <w:szCs w:val="22"/>
              </w:rPr>
            </w:pPr>
            <w:r w:rsidRPr="00897BAE">
              <w:rPr>
                <w:b/>
                <w:bCs/>
                <w:sz w:val="22"/>
                <w:szCs w:val="22"/>
              </w:rPr>
              <w:t xml:space="preserve">Estimated </w:t>
            </w:r>
          </w:p>
          <w:p w:rsidR="00712D5D" w:rsidRPr="00897BAE" w:rsidRDefault="00712D5D" w:rsidP="00C5295A">
            <w:pPr>
              <w:jc w:val="center"/>
              <w:rPr>
                <w:b/>
                <w:bCs/>
                <w:sz w:val="22"/>
                <w:szCs w:val="22"/>
              </w:rPr>
            </w:pPr>
            <w:r w:rsidRPr="00897BAE">
              <w:rPr>
                <w:b/>
                <w:bCs/>
                <w:sz w:val="22"/>
                <w:szCs w:val="22"/>
              </w:rPr>
              <w:t># of Respondents</w:t>
            </w:r>
          </w:p>
        </w:tc>
        <w:tc>
          <w:tcPr>
            <w:tcW w:w="1640" w:type="dxa"/>
            <w:vMerge w:val="restart"/>
            <w:tcBorders>
              <w:top w:val="nil"/>
              <w:left w:val="single" w:sz="4" w:space="0" w:color="auto"/>
              <w:bottom w:val="single" w:sz="8" w:space="0" w:color="000000"/>
              <w:right w:val="single" w:sz="4" w:space="0" w:color="auto"/>
            </w:tcBorders>
            <w:shd w:val="clear" w:color="auto" w:fill="auto"/>
            <w:hideMark/>
          </w:tcPr>
          <w:p w:rsidR="00712D5D" w:rsidRPr="00897BAE" w:rsidRDefault="00712D5D" w:rsidP="00C5295A">
            <w:pPr>
              <w:jc w:val="center"/>
              <w:rPr>
                <w:b/>
                <w:bCs/>
                <w:sz w:val="22"/>
                <w:szCs w:val="22"/>
              </w:rPr>
            </w:pPr>
            <w:r w:rsidRPr="00897BAE">
              <w:rPr>
                <w:b/>
                <w:bCs/>
                <w:sz w:val="22"/>
                <w:szCs w:val="22"/>
              </w:rPr>
              <w:t>Responses Annually per Respondent</w:t>
            </w:r>
          </w:p>
        </w:tc>
        <w:tc>
          <w:tcPr>
            <w:tcW w:w="1363" w:type="dxa"/>
            <w:vMerge w:val="restart"/>
            <w:tcBorders>
              <w:top w:val="nil"/>
              <w:left w:val="single" w:sz="4" w:space="0" w:color="auto"/>
              <w:bottom w:val="single" w:sz="8" w:space="0" w:color="000000"/>
              <w:right w:val="single" w:sz="4" w:space="0" w:color="auto"/>
            </w:tcBorders>
            <w:shd w:val="clear" w:color="auto" w:fill="auto"/>
            <w:hideMark/>
          </w:tcPr>
          <w:p w:rsidR="00712D5D" w:rsidRPr="00897BAE" w:rsidRDefault="00712D5D" w:rsidP="00C5295A">
            <w:pPr>
              <w:jc w:val="center"/>
              <w:rPr>
                <w:b/>
                <w:bCs/>
                <w:sz w:val="22"/>
                <w:szCs w:val="22"/>
              </w:rPr>
            </w:pPr>
            <w:r w:rsidRPr="00897BAE">
              <w:rPr>
                <w:b/>
                <w:bCs/>
                <w:sz w:val="22"/>
                <w:szCs w:val="22"/>
              </w:rPr>
              <w:t>Total Annual Responses (Col. bxc)</w:t>
            </w:r>
          </w:p>
        </w:tc>
        <w:tc>
          <w:tcPr>
            <w:tcW w:w="1240" w:type="dxa"/>
            <w:vMerge w:val="restart"/>
            <w:tcBorders>
              <w:top w:val="nil"/>
              <w:left w:val="single" w:sz="4" w:space="0" w:color="auto"/>
              <w:bottom w:val="single" w:sz="8" w:space="0" w:color="000000"/>
              <w:right w:val="single" w:sz="4" w:space="0" w:color="auto"/>
            </w:tcBorders>
            <w:shd w:val="clear" w:color="auto" w:fill="auto"/>
            <w:hideMark/>
          </w:tcPr>
          <w:p w:rsidR="00712D5D" w:rsidRPr="00897BAE" w:rsidRDefault="00712D5D" w:rsidP="00C5295A">
            <w:pPr>
              <w:jc w:val="center"/>
              <w:rPr>
                <w:b/>
                <w:bCs/>
                <w:sz w:val="22"/>
                <w:szCs w:val="22"/>
              </w:rPr>
            </w:pPr>
            <w:r w:rsidRPr="00897BAE">
              <w:rPr>
                <w:b/>
                <w:bCs/>
                <w:sz w:val="22"/>
                <w:szCs w:val="22"/>
              </w:rPr>
              <w:t>Estimated Avg. # of Hours per Response</w:t>
            </w:r>
          </w:p>
        </w:tc>
        <w:tc>
          <w:tcPr>
            <w:tcW w:w="1634" w:type="dxa"/>
            <w:vMerge w:val="restart"/>
            <w:tcBorders>
              <w:top w:val="nil"/>
              <w:left w:val="single" w:sz="4" w:space="0" w:color="auto"/>
              <w:bottom w:val="single" w:sz="8" w:space="0" w:color="000000"/>
              <w:right w:val="single" w:sz="8" w:space="0" w:color="auto"/>
            </w:tcBorders>
            <w:shd w:val="clear" w:color="auto" w:fill="auto"/>
            <w:hideMark/>
          </w:tcPr>
          <w:p w:rsidR="00712D5D" w:rsidRPr="00897BAE" w:rsidRDefault="00712D5D" w:rsidP="00C5295A">
            <w:pPr>
              <w:jc w:val="center"/>
              <w:rPr>
                <w:b/>
                <w:bCs/>
                <w:sz w:val="22"/>
                <w:szCs w:val="22"/>
              </w:rPr>
            </w:pPr>
            <w:r w:rsidRPr="00897BAE">
              <w:rPr>
                <w:b/>
                <w:bCs/>
                <w:sz w:val="22"/>
                <w:szCs w:val="22"/>
              </w:rPr>
              <w:t>Estimated Total Hours (Col. dxe)</w:t>
            </w:r>
          </w:p>
        </w:tc>
      </w:tr>
      <w:tr w:rsidR="00712D5D" w:rsidRPr="00897BAE" w:rsidTr="00C5295A">
        <w:trPr>
          <w:trHeight w:val="585"/>
          <w:jc w:val="center"/>
        </w:trPr>
        <w:tc>
          <w:tcPr>
            <w:tcW w:w="1620" w:type="dxa"/>
            <w:vMerge/>
            <w:tcBorders>
              <w:top w:val="nil"/>
              <w:left w:val="single" w:sz="8" w:space="0" w:color="auto"/>
              <w:bottom w:val="single" w:sz="8" w:space="0" w:color="000000"/>
              <w:right w:val="single" w:sz="4" w:space="0" w:color="auto"/>
            </w:tcBorders>
            <w:vAlign w:val="center"/>
            <w:hideMark/>
          </w:tcPr>
          <w:p w:rsidR="00712D5D" w:rsidRPr="00897BAE" w:rsidRDefault="00712D5D" w:rsidP="00C5295A">
            <w:pPr>
              <w:rPr>
                <w:b/>
                <w:bCs/>
                <w:sz w:val="22"/>
                <w:szCs w:val="22"/>
              </w:rPr>
            </w:pPr>
          </w:p>
        </w:tc>
        <w:tc>
          <w:tcPr>
            <w:tcW w:w="1920" w:type="dxa"/>
            <w:vMerge/>
            <w:tcBorders>
              <w:top w:val="single" w:sz="8" w:space="0" w:color="auto"/>
              <w:left w:val="single" w:sz="4" w:space="0" w:color="auto"/>
              <w:bottom w:val="single" w:sz="8" w:space="0" w:color="000000"/>
              <w:right w:val="single" w:sz="4" w:space="0" w:color="auto"/>
            </w:tcBorders>
            <w:vAlign w:val="center"/>
            <w:hideMark/>
          </w:tcPr>
          <w:p w:rsidR="00712D5D" w:rsidRPr="00897BAE" w:rsidRDefault="00712D5D" w:rsidP="00C5295A">
            <w:pPr>
              <w:rPr>
                <w:b/>
                <w:bCs/>
                <w:sz w:val="22"/>
                <w:szCs w:val="22"/>
              </w:rPr>
            </w:pPr>
          </w:p>
        </w:tc>
        <w:tc>
          <w:tcPr>
            <w:tcW w:w="1603" w:type="dxa"/>
            <w:vMerge/>
            <w:tcBorders>
              <w:top w:val="single" w:sz="8" w:space="0" w:color="auto"/>
              <w:left w:val="single" w:sz="4" w:space="0" w:color="auto"/>
              <w:bottom w:val="single" w:sz="8" w:space="0" w:color="000000"/>
              <w:right w:val="single" w:sz="4" w:space="0" w:color="auto"/>
            </w:tcBorders>
            <w:vAlign w:val="center"/>
            <w:hideMark/>
          </w:tcPr>
          <w:p w:rsidR="00712D5D" w:rsidRPr="00897BAE" w:rsidRDefault="00712D5D" w:rsidP="00C5295A">
            <w:pPr>
              <w:rPr>
                <w:b/>
                <w:bCs/>
                <w:sz w:val="22"/>
                <w:szCs w:val="22"/>
              </w:rPr>
            </w:pPr>
          </w:p>
        </w:tc>
        <w:tc>
          <w:tcPr>
            <w:tcW w:w="1640" w:type="dxa"/>
            <w:vMerge/>
            <w:tcBorders>
              <w:top w:val="nil"/>
              <w:left w:val="single" w:sz="4" w:space="0" w:color="auto"/>
              <w:bottom w:val="single" w:sz="8" w:space="0" w:color="000000"/>
              <w:right w:val="single" w:sz="4" w:space="0" w:color="auto"/>
            </w:tcBorders>
            <w:vAlign w:val="center"/>
            <w:hideMark/>
          </w:tcPr>
          <w:p w:rsidR="00712D5D" w:rsidRPr="00897BAE" w:rsidRDefault="00712D5D" w:rsidP="00C5295A">
            <w:pPr>
              <w:rPr>
                <w:b/>
                <w:bCs/>
                <w:sz w:val="22"/>
                <w:szCs w:val="22"/>
              </w:rPr>
            </w:pPr>
          </w:p>
        </w:tc>
        <w:tc>
          <w:tcPr>
            <w:tcW w:w="1363" w:type="dxa"/>
            <w:vMerge/>
            <w:tcBorders>
              <w:top w:val="nil"/>
              <w:left w:val="single" w:sz="4" w:space="0" w:color="auto"/>
              <w:bottom w:val="single" w:sz="8" w:space="0" w:color="000000"/>
              <w:right w:val="single" w:sz="4" w:space="0" w:color="auto"/>
            </w:tcBorders>
            <w:vAlign w:val="center"/>
            <w:hideMark/>
          </w:tcPr>
          <w:p w:rsidR="00712D5D" w:rsidRPr="00897BAE" w:rsidRDefault="00712D5D" w:rsidP="00C5295A">
            <w:pPr>
              <w:rPr>
                <w:b/>
                <w:bCs/>
                <w:sz w:val="22"/>
                <w:szCs w:val="22"/>
              </w:rPr>
            </w:pPr>
          </w:p>
        </w:tc>
        <w:tc>
          <w:tcPr>
            <w:tcW w:w="1240" w:type="dxa"/>
            <w:vMerge/>
            <w:tcBorders>
              <w:top w:val="nil"/>
              <w:left w:val="single" w:sz="4" w:space="0" w:color="auto"/>
              <w:bottom w:val="single" w:sz="8" w:space="0" w:color="000000"/>
              <w:right w:val="single" w:sz="4" w:space="0" w:color="auto"/>
            </w:tcBorders>
            <w:vAlign w:val="center"/>
            <w:hideMark/>
          </w:tcPr>
          <w:p w:rsidR="00712D5D" w:rsidRPr="00897BAE" w:rsidRDefault="00712D5D" w:rsidP="00C5295A">
            <w:pPr>
              <w:rPr>
                <w:b/>
                <w:bCs/>
                <w:sz w:val="22"/>
                <w:szCs w:val="22"/>
              </w:rPr>
            </w:pPr>
          </w:p>
        </w:tc>
        <w:tc>
          <w:tcPr>
            <w:tcW w:w="1634" w:type="dxa"/>
            <w:vMerge/>
            <w:tcBorders>
              <w:top w:val="nil"/>
              <w:left w:val="single" w:sz="4" w:space="0" w:color="auto"/>
              <w:bottom w:val="single" w:sz="8" w:space="0" w:color="000000"/>
              <w:right w:val="single" w:sz="8" w:space="0" w:color="auto"/>
            </w:tcBorders>
            <w:vAlign w:val="center"/>
            <w:hideMark/>
          </w:tcPr>
          <w:p w:rsidR="00712D5D" w:rsidRPr="00897BAE" w:rsidRDefault="00712D5D" w:rsidP="00C5295A">
            <w:pPr>
              <w:rPr>
                <w:b/>
                <w:bCs/>
                <w:sz w:val="22"/>
                <w:szCs w:val="22"/>
              </w:rPr>
            </w:pPr>
          </w:p>
        </w:tc>
      </w:tr>
      <w:tr w:rsidR="00712D5D" w:rsidRPr="00897BAE" w:rsidTr="00C5295A">
        <w:trPr>
          <w:trHeight w:val="600"/>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712D5D" w:rsidRPr="00897BAE" w:rsidRDefault="00712D5D" w:rsidP="00C5295A">
            <w:pPr>
              <w:rPr>
                <w:sz w:val="22"/>
                <w:szCs w:val="22"/>
              </w:rPr>
            </w:pPr>
            <w:r w:rsidRPr="00897BAE">
              <w:rPr>
                <w:sz w:val="22"/>
                <w:szCs w:val="22"/>
              </w:rPr>
              <w:t>State Agencies Reporting</w:t>
            </w:r>
          </w:p>
        </w:tc>
        <w:tc>
          <w:tcPr>
            <w:tcW w:w="1920" w:type="dxa"/>
            <w:vMerge w:val="restart"/>
            <w:tcBorders>
              <w:top w:val="nil"/>
              <w:left w:val="single" w:sz="4" w:space="0" w:color="auto"/>
              <w:bottom w:val="nil"/>
              <w:right w:val="single" w:sz="4" w:space="0" w:color="auto"/>
            </w:tcBorders>
            <w:shd w:val="clear" w:color="auto" w:fill="auto"/>
            <w:noWrap/>
            <w:vAlign w:val="bottom"/>
            <w:hideMark/>
          </w:tcPr>
          <w:p w:rsidR="00712D5D" w:rsidRPr="00897BAE" w:rsidRDefault="00712D5D" w:rsidP="00C5295A">
            <w:pPr>
              <w:jc w:val="center"/>
              <w:rPr>
                <w:sz w:val="22"/>
                <w:szCs w:val="22"/>
              </w:rPr>
            </w:pPr>
            <w:r w:rsidRPr="00897BAE">
              <w:rPr>
                <w:sz w:val="22"/>
                <w:szCs w:val="22"/>
              </w:rPr>
              <w:t xml:space="preserve">Sampling Plan Arbitration Process </w:t>
            </w:r>
            <w:r w:rsidR="008B4C6A" w:rsidRPr="00897BAE">
              <w:rPr>
                <w:sz w:val="22"/>
                <w:szCs w:val="22"/>
              </w:rPr>
              <w:t xml:space="preserve">          </w:t>
            </w:r>
            <w:r w:rsidRPr="00897BAE">
              <w:rPr>
                <w:sz w:val="22"/>
                <w:szCs w:val="22"/>
              </w:rPr>
              <w:t>Good Cause Process</w:t>
            </w:r>
          </w:p>
          <w:p w:rsidR="00712D5D" w:rsidRPr="00897BAE" w:rsidRDefault="00712D5D" w:rsidP="00C5295A">
            <w:pPr>
              <w:jc w:val="center"/>
              <w:rPr>
                <w:sz w:val="22"/>
                <w:szCs w:val="22"/>
              </w:rPr>
            </w:pPr>
          </w:p>
        </w:tc>
        <w:tc>
          <w:tcPr>
            <w:tcW w:w="1603" w:type="dxa"/>
            <w:tcBorders>
              <w:top w:val="nil"/>
              <w:left w:val="single" w:sz="4" w:space="0" w:color="auto"/>
              <w:bottom w:val="single" w:sz="4" w:space="0" w:color="auto"/>
              <w:right w:val="single" w:sz="4" w:space="0" w:color="auto"/>
            </w:tcBorders>
            <w:shd w:val="clear" w:color="auto" w:fill="auto"/>
            <w:vAlign w:val="bottom"/>
            <w:hideMark/>
          </w:tcPr>
          <w:p w:rsidR="00712D5D" w:rsidRPr="00897BAE" w:rsidRDefault="00712D5D" w:rsidP="00C5295A">
            <w:pPr>
              <w:jc w:val="center"/>
              <w:rPr>
                <w:sz w:val="22"/>
                <w:szCs w:val="22"/>
              </w:rPr>
            </w:pPr>
            <w:r w:rsidRPr="00897BAE">
              <w:rPr>
                <w:sz w:val="22"/>
                <w:szCs w:val="22"/>
              </w:rPr>
              <w:t>53</w:t>
            </w: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12D5D" w:rsidRPr="00897BAE" w:rsidRDefault="00D7334F" w:rsidP="00C5295A">
            <w:pPr>
              <w:jc w:val="center"/>
              <w:rPr>
                <w:sz w:val="22"/>
                <w:szCs w:val="22"/>
              </w:rPr>
            </w:pPr>
            <w:r w:rsidRPr="00897BAE">
              <w:rPr>
                <w:sz w:val="22"/>
                <w:szCs w:val="22"/>
              </w:rPr>
              <w:t>1.660377</w:t>
            </w:r>
          </w:p>
        </w:tc>
        <w:tc>
          <w:tcPr>
            <w:tcW w:w="1363" w:type="dxa"/>
            <w:tcBorders>
              <w:top w:val="nil"/>
              <w:left w:val="single" w:sz="4" w:space="0" w:color="auto"/>
              <w:bottom w:val="single" w:sz="4" w:space="0" w:color="auto"/>
              <w:right w:val="single" w:sz="4" w:space="0" w:color="auto"/>
            </w:tcBorders>
            <w:shd w:val="clear" w:color="auto" w:fill="auto"/>
            <w:vAlign w:val="bottom"/>
            <w:hideMark/>
          </w:tcPr>
          <w:p w:rsidR="00712D5D" w:rsidRPr="00897BAE" w:rsidRDefault="00712D5D" w:rsidP="00C5295A">
            <w:pPr>
              <w:jc w:val="center"/>
              <w:rPr>
                <w:sz w:val="22"/>
                <w:szCs w:val="22"/>
              </w:rPr>
            </w:pPr>
            <w:r w:rsidRPr="00897BAE">
              <w:rPr>
                <w:sz w:val="22"/>
                <w:szCs w:val="22"/>
              </w:rPr>
              <w:t>88</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712D5D" w:rsidRPr="00897BAE" w:rsidRDefault="00D7334F" w:rsidP="00C5295A">
            <w:pPr>
              <w:jc w:val="center"/>
              <w:rPr>
                <w:sz w:val="22"/>
                <w:szCs w:val="22"/>
              </w:rPr>
            </w:pPr>
            <w:r w:rsidRPr="00897BAE">
              <w:rPr>
                <w:sz w:val="22"/>
                <w:szCs w:val="22"/>
              </w:rPr>
              <w:t>15.64772727</w:t>
            </w:r>
          </w:p>
        </w:tc>
        <w:tc>
          <w:tcPr>
            <w:tcW w:w="1634" w:type="dxa"/>
            <w:tcBorders>
              <w:top w:val="nil"/>
              <w:left w:val="single" w:sz="4" w:space="0" w:color="auto"/>
              <w:bottom w:val="single" w:sz="4" w:space="0" w:color="auto"/>
              <w:right w:val="single" w:sz="8" w:space="0" w:color="auto"/>
            </w:tcBorders>
            <w:shd w:val="clear" w:color="auto" w:fill="auto"/>
            <w:noWrap/>
            <w:vAlign w:val="bottom"/>
            <w:hideMark/>
          </w:tcPr>
          <w:p w:rsidR="00712D5D" w:rsidRPr="00897BAE" w:rsidRDefault="00712D5D" w:rsidP="00C5295A">
            <w:pPr>
              <w:jc w:val="center"/>
              <w:rPr>
                <w:sz w:val="22"/>
                <w:szCs w:val="22"/>
              </w:rPr>
            </w:pPr>
            <w:r w:rsidRPr="00897BAE">
              <w:rPr>
                <w:sz w:val="22"/>
                <w:szCs w:val="22"/>
              </w:rPr>
              <w:t>1,377</w:t>
            </w:r>
          </w:p>
        </w:tc>
      </w:tr>
      <w:tr w:rsidR="00712D5D" w:rsidRPr="00897BAE" w:rsidTr="008B4C6A">
        <w:trPr>
          <w:trHeight w:val="566"/>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712D5D" w:rsidRPr="00897BAE" w:rsidRDefault="00712D5D" w:rsidP="00C5295A">
            <w:pPr>
              <w:rPr>
                <w:sz w:val="22"/>
                <w:szCs w:val="22"/>
              </w:rPr>
            </w:pPr>
            <w:r w:rsidRPr="00897BAE">
              <w:rPr>
                <w:sz w:val="22"/>
                <w:szCs w:val="22"/>
              </w:rPr>
              <w:t>State Agencies Recordkeeping</w:t>
            </w:r>
          </w:p>
        </w:tc>
        <w:tc>
          <w:tcPr>
            <w:tcW w:w="1920" w:type="dxa"/>
            <w:vMerge/>
            <w:tcBorders>
              <w:left w:val="single" w:sz="4" w:space="0" w:color="auto"/>
              <w:bottom w:val="nil"/>
              <w:right w:val="single" w:sz="4" w:space="0" w:color="auto"/>
            </w:tcBorders>
            <w:shd w:val="clear" w:color="auto" w:fill="auto"/>
            <w:noWrap/>
            <w:vAlign w:val="bottom"/>
            <w:hideMark/>
          </w:tcPr>
          <w:p w:rsidR="00712D5D" w:rsidRPr="00897BAE" w:rsidRDefault="00712D5D" w:rsidP="00C5295A">
            <w:pPr>
              <w:jc w:val="center"/>
              <w:rPr>
                <w:sz w:val="22"/>
                <w:szCs w:val="22"/>
              </w:rPr>
            </w:pP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2D5D" w:rsidRPr="00897BAE" w:rsidRDefault="00712D5D" w:rsidP="00C5295A">
            <w:pPr>
              <w:jc w:val="center"/>
              <w:rPr>
                <w:sz w:val="22"/>
                <w:szCs w:val="22"/>
              </w:rPr>
            </w:pPr>
            <w:r w:rsidRPr="00897BAE">
              <w:rPr>
                <w:sz w:val="22"/>
                <w:szCs w:val="22"/>
              </w:rPr>
              <w:t>53</w:t>
            </w: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12D5D" w:rsidRPr="00897BAE" w:rsidRDefault="00D7334F" w:rsidP="00C5295A">
            <w:pPr>
              <w:jc w:val="center"/>
              <w:rPr>
                <w:sz w:val="22"/>
                <w:szCs w:val="22"/>
              </w:rPr>
            </w:pPr>
            <w:r w:rsidRPr="00897BAE">
              <w:rPr>
                <w:sz w:val="22"/>
                <w:szCs w:val="22"/>
              </w:rPr>
              <w:t>1.660377</w:t>
            </w:r>
          </w:p>
        </w:tc>
        <w:tc>
          <w:tcPr>
            <w:tcW w:w="1363" w:type="dxa"/>
            <w:tcBorders>
              <w:top w:val="nil"/>
              <w:left w:val="single" w:sz="4" w:space="0" w:color="auto"/>
              <w:bottom w:val="single" w:sz="4" w:space="0" w:color="auto"/>
              <w:right w:val="single" w:sz="4" w:space="0" w:color="auto"/>
            </w:tcBorders>
            <w:shd w:val="clear" w:color="auto" w:fill="auto"/>
            <w:vAlign w:val="bottom"/>
            <w:hideMark/>
          </w:tcPr>
          <w:p w:rsidR="00712D5D" w:rsidRPr="00897BAE" w:rsidRDefault="00712D5D" w:rsidP="00C5295A">
            <w:pPr>
              <w:jc w:val="center"/>
              <w:rPr>
                <w:sz w:val="22"/>
                <w:szCs w:val="22"/>
              </w:rPr>
            </w:pPr>
            <w:r w:rsidRPr="00897BAE">
              <w:rPr>
                <w:sz w:val="22"/>
                <w:szCs w:val="22"/>
              </w:rPr>
              <w:t>88</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712D5D" w:rsidRPr="00897BAE" w:rsidRDefault="00D7334F" w:rsidP="00C5295A">
            <w:pPr>
              <w:jc w:val="center"/>
              <w:rPr>
                <w:sz w:val="22"/>
                <w:szCs w:val="22"/>
              </w:rPr>
            </w:pPr>
            <w:r w:rsidRPr="00897BAE">
              <w:rPr>
                <w:sz w:val="22"/>
                <w:szCs w:val="22"/>
              </w:rPr>
              <w:t>0.02359090</w:t>
            </w:r>
          </w:p>
        </w:tc>
        <w:tc>
          <w:tcPr>
            <w:tcW w:w="1634" w:type="dxa"/>
            <w:tcBorders>
              <w:top w:val="nil"/>
              <w:left w:val="single" w:sz="4" w:space="0" w:color="auto"/>
              <w:bottom w:val="single" w:sz="4" w:space="0" w:color="auto"/>
              <w:right w:val="single" w:sz="8" w:space="0" w:color="auto"/>
            </w:tcBorders>
            <w:shd w:val="clear" w:color="auto" w:fill="auto"/>
            <w:noWrap/>
            <w:vAlign w:val="bottom"/>
            <w:hideMark/>
          </w:tcPr>
          <w:p w:rsidR="00712D5D" w:rsidRPr="00897BAE" w:rsidRDefault="00712D5D" w:rsidP="00C5295A">
            <w:pPr>
              <w:jc w:val="center"/>
              <w:rPr>
                <w:sz w:val="22"/>
                <w:szCs w:val="22"/>
              </w:rPr>
            </w:pPr>
            <w:r w:rsidRPr="00897BAE">
              <w:rPr>
                <w:sz w:val="22"/>
                <w:szCs w:val="22"/>
              </w:rPr>
              <w:t>2.076</w:t>
            </w:r>
          </w:p>
        </w:tc>
      </w:tr>
      <w:tr w:rsidR="00712D5D" w:rsidRPr="00897BAE" w:rsidTr="008B4C6A">
        <w:trPr>
          <w:trHeight w:val="710"/>
          <w:jc w:val="center"/>
        </w:trPr>
        <w:tc>
          <w:tcPr>
            <w:tcW w:w="3540" w:type="dxa"/>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rsidR="00712D5D" w:rsidRPr="00897BAE" w:rsidRDefault="00712D5D" w:rsidP="00C5295A">
            <w:pPr>
              <w:rPr>
                <w:b/>
                <w:bCs/>
                <w:sz w:val="22"/>
                <w:szCs w:val="22"/>
              </w:rPr>
            </w:pPr>
            <w:r w:rsidRPr="00897BAE">
              <w:rPr>
                <w:b/>
                <w:bCs/>
                <w:sz w:val="22"/>
                <w:szCs w:val="22"/>
              </w:rPr>
              <w:t>Grand Total Reporting &amp; Recordkeeping Burden Hours</w:t>
            </w:r>
          </w:p>
        </w:tc>
        <w:tc>
          <w:tcPr>
            <w:tcW w:w="1603" w:type="dxa"/>
            <w:tcBorders>
              <w:top w:val="single" w:sz="4" w:space="0" w:color="auto"/>
              <w:left w:val="nil"/>
              <w:bottom w:val="single" w:sz="8" w:space="0" w:color="auto"/>
              <w:right w:val="single" w:sz="4" w:space="0" w:color="000000"/>
            </w:tcBorders>
            <w:shd w:val="clear" w:color="auto" w:fill="auto"/>
            <w:vAlign w:val="bottom"/>
            <w:hideMark/>
          </w:tcPr>
          <w:p w:rsidR="00712D5D" w:rsidRPr="00897BAE" w:rsidRDefault="00712D5D" w:rsidP="00C5295A">
            <w:pPr>
              <w:jc w:val="center"/>
              <w:rPr>
                <w:b/>
                <w:bCs/>
                <w:sz w:val="22"/>
                <w:szCs w:val="22"/>
              </w:rPr>
            </w:pPr>
            <w:r w:rsidRPr="00897BAE">
              <w:rPr>
                <w:b/>
                <w:bCs/>
                <w:sz w:val="22"/>
                <w:szCs w:val="22"/>
              </w:rPr>
              <w:t>53</w:t>
            </w:r>
          </w:p>
        </w:tc>
        <w:tc>
          <w:tcPr>
            <w:tcW w:w="1640" w:type="dxa"/>
            <w:tcBorders>
              <w:top w:val="nil"/>
              <w:left w:val="nil"/>
              <w:bottom w:val="single" w:sz="8" w:space="0" w:color="auto"/>
              <w:right w:val="single" w:sz="4" w:space="0" w:color="auto"/>
            </w:tcBorders>
            <w:shd w:val="clear" w:color="auto" w:fill="auto"/>
            <w:noWrap/>
            <w:vAlign w:val="bottom"/>
            <w:hideMark/>
          </w:tcPr>
          <w:p w:rsidR="00712D5D" w:rsidRPr="00897BAE" w:rsidRDefault="00712D5D" w:rsidP="00C5295A">
            <w:pPr>
              <w:jc w:val="center"/>
              <w:rPr>
                <w:b/>
                <w:bCs/>
                <w:sz w:val="22"/>
                <w:szCs w:val="22"/>
              </w:rPr>
            </w:pPr>
            <w:r w:rsidRPr="00897BAE">
              <w:rPr>
                <w:b/>
                <w:bCs/>
                <w:sz w:val="22"/>
                <w:szCs w:val="22"/>
              </w:rPr>
              <w:t>----</w:t>
            </w:r>
          </w:p>
        </w:tc>
        <w:tc>
          <w:tcPr>
            <w:tcW w:w="1363" w:type="dxa"/>
            <w:tcBorders>
              <w:top w:val="nil"/>
              <w:left w:val="nil"/>
              <w:bottom w:val="single" w:sz="8" w:space="0" w:color="auto"/>
              <w:right w:val="single" w:sz="4" w:space="0" w:color="auto"/>
            </w:tcBorders>
            <w:shd w:val="clear" w:color="auto" w:fill="auto"/>
            <w:vAlign w:val="bottom"/>
            <w:hideMark/>
          </w:tcPr>
          <w:p w:rsidR="00712D5D" w:rsidRPr="00897BAE" w:rsidRDefault="00712D5D" w:rsidP="00C5295A">
            <w:pPr>
              <w:jc w:val="center"/>
              <w:rPr>
                <w:b/>
                <w:bCs/>
                <w:sz w:val="22"/>
                <w:szCs w:val="22"/>
              </w:rPr>
            </w:pPr>
            <w:r w:rsidRPr="00897BAE">
              <w:rPr>
                <w:b/>
                <w:bCs/>
                <w:sz w:val="22"/>
                <w:szCs w:val="22"/>
              </w:rPr>
              <w:t>176</w:t>
            </w:r>
          </w:p>
        </w:tc>
        <w:tc>
          <w:tcPr>
            <w:tcW w:w="1240" w:type="dxa"/>
            <w:tcBorders>
              <w:top w:val="nil"/>
              <w:left w:val="nil"/>
              <w:bottom w:val="single" w:sz="8" w:space="0" w:color="auto"/>
              <w:right w:val="single" w:sz="4" w:space="0" w:color="auto"/>
            </w:tcBorders>
            <w:shd w:val="clear" w:color="auto" w:fill="auto"/>
            <w:noWrap/>
            <w:vAlign w:val="bottom"/>
            <w:hideMark/>
          </w:tcPr>
          <w:p w:rsidR="00712D5D" w:rsidRPr="00897BAE" w:rsidRDefault="00712D5D" w:rsidP="00C5295A">
            <w:pPr>
              <w:jc w:val="center"/>
              <w:rPr>
                <w:b/>
                <w:bCs/>
                <w:sz w:val="22"/>
                <w:szCs w:val="22"/>
              </w:rPr>
            </w:pPr>
            <w:r w:rsidRPr="00897BAE">
              <w:rPr>
                <w:b/>
                <w:bCs/>
                <w:sz w:val="22"/>
                <w:szCs w:val="22"/>
              </w:rPr>
              <w:t>----</w:t>
            </w:r>
          </w:p>
        </w:tc>
        <w:tc>
          <w:tcPr>
            <w:tcW w:w="1634" w:type="dxa"/>
            <w:tcBorders>
              <w:top w:val="nil"/>
              <w:left w:val="nil"/>
              <w:bottom w:val="single" w:sz="8" w:space="0" w:color="auto"/>
              <w:right w:val="single" w:sz="8" w:space="0" w:color="auto"/>
            </w:tcBorders>
            <w:shd w:val="clear" w:color="auto" w:fill="auto"/>
            <w:noWrap/>
            <w:vAlign w:val="bottom"/>
            <w:hideMark/>
          </w:tcPr>
          <w:p w:rsidR="00712D5D" w:rsidRPr="00897BAE" w:rsidRDefault="00712D5D" w:rsidP="00712D5D">
            <w:pPr>
              <w:jc w:val="center"/>
              <w:rPr>
                <w:b/>
                <w:bCs/>
                <w:sz w:val="22"/>
                <w:szCs w:val="22"/>
              </w:rPr>
            </w:pPr>
            <w:r w:rsidRPr="00897BAE">
              <w:rPr>
                <w:b/>
                <w:bCs/>
                <w:sz w:val="22"/>
                <w:szCs w:val="22"/>
              </w:rPr>
              <w:t>1,379.08</w:t>
            </w:r>
          </w:p>
        </w:tc>
      </w:tr>
    </w:tbl>
    <w:p w:rsidR="00712D5D" w:rsidRPr="00897BAE" w:rsidRDefault="00712D5D" w:rsidP="00712D5D">
      <w:pPr>
        <w:pStyle w:val="ListParagraph"/>
        <w:tabs>
          <w:tab w:val="left" w:pos="1080"/>
        </w:tabs>
        <w:suppressAutoHyphens/>
        <w:ind w:left="2340"/>
        <w:rPr>
          <w:b/>
          <w:sz w:val="22"/>
          <w:szCs w:val="22"/>
        </w:rPr>
      </w:pPr>
    </w:p>
    <w:p w:rsidR="00712D5D" w:rsidRPr="00897BAE" w:rsidRDefault="00712D5D" w:rsidP="00712D5D">
      <w:pPr>
        <w:pStyle w:val="ListParagraph"/>
        <w:tabs>
          <w:tab w:val="left" w:pos="1080"/>
        </w:tabs>
        <w:suppressAutoHyphens/>
        <w:ind w:left="2340"/>
        <w:rPr>
          <w:b/>
          <w:sz w:val="22"/>
          <w:szCs w:val="22"/>
        </w:rPr>
      </w:pPr>
    </w:p>
    <w:p w:rsidR="00712D5D" w:rsidRPr="00897BAE" w:rsidRDefault="00712D5D" w:rsidP="00712D5D">
      <w:pPr>
        <w:pStyle w:val="ListParagraph"/>
        <w:tabs>
          <w:tab w:val="left" w:pos="1080"/>
        </w:tabs>
        <w:suppressAutoHyphens/>
        <w:ind w:left="2340"/>
        <w:rPr>
          <w:b/>
          <w:sz w:val="22"/>
          <w:szCs w:val="22"/>
        </w:rPr>
      </w:pPr>
    </w:p>
    <w:p w:rsidR="001A53DB" w:rsidRPr="00897BAE" w:rsidRDefault="001A53DB" w:rsidP="00712D5D">
      <w:pPr>
        <w:pStyle w:val="ListParagraph"/>
        <w:numPr>
          <w:ilvl w:val="2"/>
          <w:numId w:val="25"/>
        </w:numPr>
        <w:tabs>
          <w:tab w:val="left" w:pos="1080"/>
        </w:tabs>
        <w:suppressAutoHyphens/>
        <w:rPr>
          <w:b/>
          <w:sz w:val="22"/>
          <w:szCs w:val="22"/>
        </w:rPr>
      </w:pPr>
      <w:r w:rsidRPr="00897BAE">
        <w:rPr>
          <w:b/>
          <w:sz w:val="22"/>
          <w:szCs w:val="22"/>
        </w:rPr>
        <w:t xml:space="preserve">Annualized Reporting Costs </w:t>
      </w:r>
      <w:r w:rsidR="00792167" w:rsidRPr="00897BAE">
        <w:rPr>
          <w:b/>
          <w:sz w:val="22"/>
          <w:szCs w:val="22"/>
        </w:rPr>
        <w:t>–</w:t>
      </w:r>
      <w:r w:rsidRPr="00897BAE">
        <w:rPr>
          <w:b/>
          <w:sz w:val="22"/>
          <w:szCs w:val="22"/>
        </w:rPr>
        <w:t xml:space="preserve"> States</w:t>
      </w:r>
    </w:p>
    <w:p w:rsidR="00792167" w:rsidRPr="00897BAE" w:rsidRDefault="00792167" w:rsidP="00792167">
      <w:pPr>
        <w:pStyle w:val="ListParagraph"/>
        <w:tabs>
          <w:tab w:val="left" w:pos="1080"/>
        </w:tabs>
        <w:suppressAutoHyphens/>
        <w:rPr>
          <w:b/>
          <w:sz w:val="22"/>
          <w:szCs w:val="22"/>
        </w:rPr>
      </w:pPr>
    </w:p>
    <w:tbl>
      <w:tblPr>
        <w:tblW w:w="9572" w:type="dxa"/>
        <w:jc w:val="center"/>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86"/>
        <w:gridCol w:w="1918"/>
        <w:gridCol w:w="1813"/>
        <w:gridCol w:w="1756"/>
        <w:gridCol w:w="1281"/>
        <w:gridCol w:w="1318"/>
      </w:tblGrid>
      <w:tr w:rsidR="0073087F" w:rsidRPr="00897BAE" w:rsidTr="00131EB0">
        <w:trPr>
          <w:trHeight w:val="1016"/>
          <w:jc w:val="center"/>
        </w:trPr>
        <w:tc>
          <w:tcPr>
            <w:tcW w:w="1486" w:type="dxa"/>
            <w:vAlign w:val="center"/>
          </w:tcPr>
          <w:p w:rsidR="0073087F" w:rsidRPr="00897BAE" w:rsidRDefault="0073087F" w:rsidP="00D37EB8">
            <w:pPr>
              <w:suppressAutoHyphens/>
              <w:jc w:val="center"/>
              <w:rPr>
                <w:b/>
                <w:sz w:val="22"/>
                <w:szCs w:val="22"/>
              </w:rPr>
            </w:pPr>
            <w:r w:rsidRPr="00897BAE">
              <w:rPr>
                <w:b/>
                <w:sz w:val="22"/>
                <w:szCs w:val="22"/>
              </w:rPr>
              <w:t>Type of Respondent</w:t>
            </w:r>
          </w:p>
        </w:tc>
        <w:tc>
          <w:tcPr>
            <w:tcW w:w="1918" w:type="dxa"/>
            <w:vAlign w:val="center"/>
          </w:tcPr>
          <w:p w:rsidR="0073087F" w:rsidRPr="00897BAE" w:rsidRDefault="0073087F" w:rsidP="00D37EB8">
            <w:pPr>
              <w:suppressAutoHyphens/>
              <w:jc w:val="center"/>
              <w:rPr>
                <w:b/>
                <w:sz w:val="22"/>
                <w:szCs w:val="22"/>
              </w:rPr>
            </w:pPr>
            <w:r w:rsidRPr="00897BAE">
              <w:rPr>
                <w:b/>
                <w:sz w:val="22"/>
                <w:szCs w:val="22"/>
              </w:rPr>
              <w:t>Requirement</w:t>
            </w:r>
          </w:p>
        </w:tc>
        <w:tc>
          <w:tcPr>
            <w:tcW w:w="1813" w:type="dxa"/>
            <w:vAlign w:val="center"/>
          </w:tcPr>
          <w:p w:rsidR="0073087F" w:rsidRPr="00897BAE" w:rsidRDefault="0073087F" w:rsidP="00D37EB8">
            <w:pPr>
              <w:suppressAutoHyphens/>
              <w:jc w:val="center"/>
              <w:rPr>
                <w:b/>
                <w:sz w:val="22"/>
                <w:szCs w:val="22"/>
              </w:rPr>
            </w:pPr>
            <w:r w:rsidRPr="00897BAE">
              <w:rPr>
                <w:b/>
                <w:sz w:val="22"/>
                <w:szCs w:val="22"/>
              </w:rPr>
              <w:t>Responses Per Year</w:t>
            </w:r>
          </w:p>
        </w:tc>
        <w:tc>
          <w:tcPr>
            <w:tcW w:w="1756" w:type="dxa"/>
            <w:vAlign w:val="center"/>
          </w:tcPr>
          <w:p w:rsidR="0073087F" w:rsidRPr="00897BAE" w:rsidRDefault="0073087F" w:rsidP="00D37EB8">
            <w:pPr>
              <w:suppressAutoHyphens/>
              <w:jc w:val="center"/>
              <w:rPr>
                <w:b/>
                <w:sz w:val="22"/>
                <w:szCs w:val="22"/>
              </w:rPr>
            </w:pPr>
            <w:r w:rsidRPr="00897BAE">
              <w:rPr>
                <w:b/>
                <w:sz w:val="22"/>
                <w:szCs w:val="22"/>
              </w:rPr>
              <w:t>Hours Per Response</w:t>
            </w:r>
          </w:p>
        </w:tc>
        <w:tc>
          <w:tcPr>
            <w:tcW w:w="1281" w:type="dxa"/>
            <w:vAlign w:val="center"/>
          </w:tcPr>
          <w:p w:rsidR="0073087F" w:rsidRPr="00897BAE" w:rsidRDefault="0073087F" w:rsidP="00D37EB8">
            <w:pPr>
              <w:suppressAutoHyphens/>
              <w:jc w:val="center"/>
              <w:rPr>
                <w:b/>
                <w:sz w:val="22"/>
                <w:szCs w:val="22"/>
              </w:rPr>
            </w:pPr>
            <w:r w:rsidRPr="00897BAE">
              <w:rPr>
                <w:b/>
                <w:sz w:val="22"/>
                <w:szCs w:val="22"/>
              </w:rPr>
              <w:t>Wage-50% Cost Per Hour</w:t>
            </w:r>
          </w:p>
        </w:tc>
        <w:tc>
          <w:tcPr>
            <w:tcW w:w="1318" w:type="dxa"/>
            <w:vAlign w:val="center"/>
          </w:tcPr>
          <w:p w:rsidR="0073087F" w:rsidRPr="00897BAE" w:rsidRDefault="0073087F" w:rsidP="00D37EB8">
            <w:pPr>
              <w:suppressAutoHyphens/>
              <w:jc w:val="center"/>
              <w:rPr>
                <w:b/>
                <w:sz w:val="22"/>
                <w:szCs w:val="22"/>
              </w:rPr>
            </w:pPr>
            <w:r w:rsidRPr="00897BAE">
              <w:rPr>
                <w:b/>
                <w:sz w:val="22"/>
                <w:szCs w:val="22"/>
              </w:rPr>
              <w:t>Total Reporting Cost</w:t>
            </w:r>
          </w:p>
        </w:tc>
      </w:tr>
      <w:tr w:rsidR="009F7DAC" w:rsidRPr="00897BAE" w:rsidTr="00131EB0">
        <w:trPr>
          <w:trHeight w:val="253"/>
          <w:jc w:val="center"/>
        </w:trPr>
        <w:tc>
          <w:tcPr>
            <w:tcW w:w="1486" w:type="dxa"/>
            <w:vAlign w:val="center"/>
          </w:tcPr>
          <w:p w:rsidR="009F7DAC" w:rsidRPr="00897BAE" w:rsidRDefault="007A7D20" w:rsidP="00D37EB8">
            <w:pPr>
              <w:suppressAutoHyphens/>
              <w:jc w:val="center"/>
              <w:rPr>
                <w:b/>
                <w:sz w:val="22"/>
                <w:szCs w:val="22"/>
              </w:rPr>
            </w:pPr>
            <w:r w:rsidRPr="00897BAE">
              <w:rPr>
                <w:b/>
                <w:sz w:val="22"/>
                <w:szCs w:val="22"/>
              </w:rPr>
              <w:t>State Agencies</w:t>
            </w:r>
          </w:p>
        </w:tc>
        <w:tc>
          <w:tcPr>
            <w:tcW w:w="1918" w:type="dxa"/>
            <w:vAlign w:val="center"/>
          </w:tcPr>
          <w:p w:rsidR="009F7DAC" w:rsidRPr="00897BAE" w:rsidRDefault="009F7DAC" w:rsidP="00D37EB8">
            <w:pPr>
              <w:suppressAutoHyphens/>
              <w:rPr>
                <w:b/>
                <w:sz w:val="22"/>
                <w:szCs w:val="22"/>
              </w:rPr>
            </w:pPr>
            <w:r w:rsidRPr="00897BAE">
              <w:rPr>
                <w:b/>
                <w:sz w:val="22"/>
                <w:szCs w:val="22"/>
              </w:rPr>
              <w:t>Sampling Plan</w:t>
            </w:r>
          </w:p>
        </w:tc>
        <w:tc>
          <w:tcPr>
            <w:tcW w:w="1813" w:type="dxa"/>
            <w:vAlign w:val="bottom"/>
          </w:tcPr>
          <w:p w:rsidR="009F7DAC" w:rsidRPr="00897BAE" w:rsidRDefault="009F7DAC" w:rsidP="00493E47">
            <w:pPr>
              <w:jc w:val="center"/>
              <w:rPr>
                <w:color w:val="000000"/>
                <w:sz w:val="22"/>
                <w:szCs w:val="22"/>
              </w:rPr>
            </w:pPr>
            <w:r w:rsidRPr="00897BAE">
              <w:rPr>
                <w:color w:val="000000"/>
                <w:sz w:val="22"/>
                <w:szCs w:val="22"/>
              </w:rPr>
              <w:t>53</w:t>
            </w:r>
          </w:p>
        </w:tc>
        <w:tc>
          <w:tcPr>
            <w:tcW w:w="1756" w:type="dxa"/>
            <w:vAlign w:val="center"/>
          </w:tcPr>
          <w:p w:rsidR="009F7DAC" w:rsidRPr="00897BAE" w:rsidRDefault="009F7DAC" w:rsidP="00D37EB8">
            <w:pPr>
              <w:jc w:val="center"/>
              <w:rPr>
                <w:color w:val="000000"/>
                <w:sz w:val="22"/>
                <w:szCs w:val="22"/>
              </w:rPr>
            </w:pPr>
            <w:r w:rsidRPr="00897BAE">
              <w:rPr>
                <w:color w:val="000000"/>
                <w:sz w:val="22"/>
                <w:szCs w:val="22"/>
              </w:rPr>
              <w:t>5</w:t>
            </w:r>
          </w:p>
        </w:tc>
        <w:tc>
          <w:tcPr>
            <w:tcW w:w="1281" w:type="dxa"/>
            <w:vAlign w:val="center"/>
          </w:tcPr>
          <w:p w:rsidR="009F7DAC" w:rsidRPr="00897BAE" w:rsidRDefault="009F7DAC" w:rsidP="009F7DAC">
            <w:pPr>
              <w:jc w:val="center"/>
              <w:rPr>
                <w:color w:val="000000"/>
                <w:sz w:val="22"/>
                <w:szCs w:val="22"/>
              </w:rPr>
            </w:pPr>
            <w:r w:rsidRPr="00897BAE">
              <w:rPr>
                <w:color w:val="000000"/>
                <w:sz w:val="22"/>
                <w:szCs w:val="22"/>
              </w:rPr>
              <w:t xml:space="preserve">$10.64 </w:t>
            </w:r>
          </w:p>
        </w:tc>
        <w:tc>
          <w:tcPr>
            <w:tcW w:w="1318" w:type="dxa"/>
            <w:vAlign w:val="center"/>
          </w:tcPr>
          <w:p w:rsidR="009F7DAC" w:rsidRPr="00897BAE" w:rsidRDefault="009F7DAC" w:rsidP="00D37EB8">
            <w:pPr>
              <w:jc w:val="center"/>
              <w:rPr>
                <w:color w:val="000000"/>
                <w:sz w:val="22"/>
                <w:szCs w:val="22"/>
              </w:rPr>
            </w:pPr>
            <w:r w:rsidRPr="00897BAE">
              <w:rPr>
                <w:color w:val="000000"/>
                <w:sz w:val="22"/>
                <w:szCs w:val="22"/>
              </w:rPr>
              <w:t>$2819.60</w:t>
            </w:r>
          </w:p>
        </w:tc>
      </w:tr>
      <w:tr w:rsidR="007A7D20" w:rsidRPr="00897BAE" w:rsidTr="00131EB0">
        <w:trPr>
          <w:trHeight w:val="145"/>
          <w:jc w:val="center"/>
        </w:trPr>
        <w:tc>
          <w:tcPr>
            <w:tcW w:w="1486" w:type="dxa"/>
            <w:vAlign w:val="center"/>
          </w:tcPr>
          <w:p w:rsidR="007A7D20" w:rsidRPr="00897BAE" w:rsidRDefault="007A7D20" w:rsidP="00D37EB8">
            <w:pPr>
              <w:suppressAutoHyphens/>
              <w:rPr>
                <w:b/>
                <w:sz w:val="22"/>
                <w:szCs w:val="22"/>
                <w:u w:val="single"/>
              </w:rPr>
            </w:pPr>
            <w:r w:rsidRPr="00897BAE">
              <w:rPr>
                <w:b/>
                <w:sz w:val="22"/>
                <w:szCs w:val="22"/>
              </w:rPr>
              <w:t>State Agencies</w:t>
            </w:r>
          </w:p>
        </w:tc>
        <w:tc>
          <w:tcPr>
            <w:tcW w:w="1918" w:type="dxa"/>
            <w:vAlign w:val="center"/>
          </w:tcPr>
          <w:p w:rsidR="007A7D20" w:rsidRPr="00897BAE" w:rsidRDefault="007A7D20" w:rsidP="00D37EB8">
            <w:pPr>
              <w:suppressAutoHyphens/>
              <w:rPr>
                <w:b/>
                <w:sz w:val="22"/>
                <w:szCs w:val="22"/>
              </w:rPr>
            </w:pPr>
            <w:r w:rsidRPr="00897BAE">
              <w:rPr>
                <w:b/>
                <w:sz w:val="22"/>
                <w:szCs w:val="22"/>
              </w:rPr>
              <w:t>Arbitration</w:t>
            </w:r>
          </w:p>
        </w:tc>
        <w:tc>
          <w:tcPr>
            <w:tcW w:w="1813" w:type="dxa"/>
            <w:vAlign w:val="center"/>
          </w:tcPr>
          <w:p w:rsidR="007A7D20" w:rsidRPr="00897BAE" w:rsidRDefault="007A7D20" w:rsidP="009F7DAC">
            <w:pPr>
              <w:jc w:val="center"/>
              <w:rPr>
                <w:color w:val="000000"/>
                <w:sz w:val="22"/>
                <w:szCs w:val="22"/>
              </w:rPr>
            </w:pPr>
            <w:r w:rsidRPr="00897BAE">
              <w:rPr>
                <w:color w:val="000000"/>
                <w:sz w:val="22"/>
                <w:szCs w:val="22"/>
              </w:rPr>
              <w:t>33</w:t>
            </w:r>
          </w:p>
        </w:tc>
        <w:tc>
          <w:tcPr>
            <w:tcW w:w="1756" w:type="dxa"/>
            <w:vAlign w:val="center"/>
          </w:tcPr>
          <w:p w:rsidR="007A7D20" w:rsidRPr="00897BAE" w:rsidRDefault="007A7D20" w:rsidP="00D37EB8">
            <w:pPr>
              <w:jc w:val="center"/>
              <w:rPr>
                <w:color w:val="000000"/>
                <w:sz w:val="22"/>
                <w:szCs w:val="22"/>
              </w:rPr>
            </w:pPr>
            <w:r w:rsidRPr="00897BAE">
              <w:rPr>
                <w:color w:val="000000"/>
                <w:sz w:val="22"/>
                <w:szCs w:val="22"/>
              </w:rPr>
              <w:t>24</w:t>
            </w:r>
          </w:p>
        </w:tc>
        <w:tc>
          <w:tcPr>
            <w:tcW w:w="1281" w:type="dxa"/>
            <w:vAlign w:val="center"/>
          </w:tcPr>
          <w:p w:rsidR="007A7D20" w:rsidRPr="00897BAE" w:rsidRDefault="007A7D20" w:rsidP="00493E47">
            <w:pPr>
              <w:jc w:val="center"/>
              <w:rPr>
                <w:color w:val="000000"/>
                <w:sz w:val="22"/>
                <w:szCs w:val="22"/>
              </w:rPr>
            </w:pPr>
            <w:r w:rsidRPr="00897BAE">
              <w:rPr>
                <w:color w:val="000000"/>
                <w:sz w:val="22"/>
                <w:szCs w:val="22"/>
              </w:rPr>
              <w:t xml:space="preserve">$10.64 </w:t>
            </w:r>
          </w:p>
        </w:tc>
        <w:tc>
          <w:tcPr>
            <w:tcW w:w="1318" w:type="dxa"/>
            <w:vAlign w:val="center"/>
          </w:tcPr>
          <w:p w:rsidR="007A7D20" w:rsidRPr="00897BAE" w:rsidRDefault="007A7D20" w:rsidP="00D37EB8">
            <w:pPr>
              <w:jc w:val="center"/>
              <w:rPr>
                <w:color w:val="000000"/>
                <w:sz w:val="22"/>
                <w:szCs w:val="22"/>
              </w:rPr>
            </w:pPr>
            <w:r w:rsidRPr="00897BAE">
              <w:rPr>
                <w:color w:val="000000"/>
                <w:sz w:val="22"/>
                <w:szCs w:val="22"/>
              </w:rPr>
              <w:t>$8426.88</w:t>
            </w:r>
          </w:p>
        </w:tc>
      </w:tr>
      <w:tr w:rsidR="007A7D20" w:rsidRPr="00897BAE" w:rsidTr="00131EB0">
        <w:trPr>
          <w:trHeight w:val="145"/>
          <w:jc w:val="center"/>
        </w:trPr>
        <w:tc>
          <w:tcPr>
            <w:tcW w:w="1486" w:type="dxa"/>
            <w:vAlign w:val="center"/>
          </w:tcPr>
          <w:p w:rsidR="007A7D20" w:rsidRPr="00897BAE" w:rsidRDefault="007A7D20" w:rsidP="00D37EB8">
            <w:pPr>
              <w:suppressAutoHyphens/>
              <w:rPr>
                <w:b/>
                <w:sz w:val="22"/>
                <w:szCs w:val="22"/>
                <w:u w:val="single"/>
              </w:rPr>
            </w:pPr>
            <w:r w:rsidRPr="00897BAE">
              <w:rPr>
                <w:b/>
                <w:sz w:val="22"/>
                <w:szCs w:val="22"/>
              </w:rPr>
              <w:t>State Agencies</w:t>
            </w:r>
          </w:p>
        </w:tc>
        <w:tc>
          <w:tcPr>
            <w:tcW w:w="1918" w:type="dxa"/>
            <w:vAlign w:val="center"/>
          </w:tcPr>
          <w:p w:rsidR="007A7D20" w:rsidRPr="00897BAE" w:rsidRDefault="007A7D20" w:rsidP="00D37EB8">
            <w:pPr>
              <w:suppressAutoHyphens/>
              <w:rPr>
                <w:b/>
                <w:sz w:val="22"/>
                <w:szCs w:val="22"/>
              </w:rPr>
            </w:pPr>
            <w:r w:rsidRPr="00897BAE">
              <w:rPr>
                <w:b/>
                <w:sz w:val="22"/>
                <w:szCs w:val="22"/>
              </w:rPr>
              <w:t>Good Cause</w:t>
            </w:r>
          </w:p>
        </w:tc>
        <w:tc>
          <w:tcPr>
            <w:tcW w:w="1813" w:type="dxa"/>
            <w:vAlign w:val="bottom"/>
          </w:tcPr>
          <w:p w:rsidR="007A7D20" w:rsidRPr="00897BAE" w:rsidRDefault="007A7D20" w:rsidP="00493E47">
            <w:pPr>
              <w:jc w:val="center"/>
              <w:rPr>
                <w:color w:val="000000"/>
                <w:sz w:val="22"/>
                <w:szCs w:val="22"/>
              </w:rPr>
            </w:pPr>
            <w:r w:rsidRPr="00897BAE">
              <w:rPr>
                <w:color w:val="000000"/>
                <w:sz w:val="22"/>
                <w:szCs w:val="22"/>
              </w:rPr>
              <w:t>2</w:t>
            </w:r>
          </w:p>
        </w:tc>
        <w:tc>
          <w:tcPr>
            <w:tcW w:w="1756" w:type="dxa"/>
            <w:vAlign w:val="center"/>
          </w:tcPr>
          <w:p w:rsidR="007A7D20" w:rsidRPr="00897BAE" w:rsidRDefault="007A7D20" w:rsidP="00D37EB8">
            <w:pPr>
              <w:jc w:val="center"/>
              <w:rPr>
                <w:color w:val="000000"/>
                <w:sz w:val="22"/>
                <w:szCs w:val="22"/>
              </w:rPr>
            </w:pPr>
            <w:r w:rsidRPr="00897BAE">
              <w:rPr>
                <w:color w:val="000000"/>
                <w:sz w:val="22"/>
                <w:szCs w:val="22"/>
              </w:rPr>
              <w:t>160</w:t>
            </w:r>
          </w:p>
        </w:tc>
        <w:tc>
          <w:tcPr>
            <w:tcW w:w="1281" w:type="dxa"/>
            <w:vAlign w:val="center"/>
          </w:tcPr>
          <w:p w:rsidR="007A7D20" w:rsidRPr="00897BAE" w:rsidRDefault="007A7D20" w:rsidP="00493E47">
            <w:pPr>
              <w:jc w:val="center"/>
              <w:rPr>
                <w:color w:val="000000"/>
                <w:sz w:val="22"/>
                <w:szCs w:val="22"/>
              </w:rPr>
            </w:pPr>
            <w:r w:rsidRPr="00897BAE">
              <w:rPr>
                <w:color w:val="000000"/>
                <w:sz w:val="22"/>
                <w:szCs w:val="22"/>
              </w:rPr>
              <w:t xml:space="preserve">$10.64 </w:t>
            </w:r>
          </w:p>
        </w:tc>
        <w:tc>
          <w:tcPr>
            <w:tcW w:w="1318" w:type="dxa"/>
            <w:vAlign w:val="center"/>
          </w:tcPr>
          <w:p w:rsidR="007A7D20" w:rsidRPr="00897BAE" w:rsidRDefault="007A7D20" w:rsidP="00D37EB8">
            <w:pPr>
              <w:jc w:val="center"/>
              <w:rPr>
                <w:color w:val="000000"/>
                <w:sz w:val="22"/>
                <w:szCs w:val="22"/>
              </w:rPr>
            </w:pPr>
            <w:r w:rsidRPr="00897BAE">
              <w:rPr>
                <w:color w:val="000000"/>
                <w:sz w:val="22"/>
                <w:szCs w:val="22"/>
              </w:rPr>
              <w:t>$3404.80</w:t>
            </w:r>
          </w:p>
        </w:tc>
      </w:tr>
      <w:tr w:rsidR="007A7D20" w:rsidRPr="00897BAE" w:rsidTr="00131EB0">
        <w:trPr>
          <w:trHeight w:val="294"/>
          <w:jc w:val="center"/>
        </w:trPr>
        <w:tc>
          <w:tcPr>
            <w:tcW w:w="5217" w:type="dxa"/>
            <w:gridSpan w:val="3"/>
            <w:vAlign w:val="center"/>
          </w:tcPr>
          <w:p w:rsidR="007A7D20" w:rsidRPr="00897BAE" w:rsidRDefault="007A7D20" w:rsidP="00D37EB8">
            <w:pPr>
              <w:suppressAutoHyphens/>
              <w:rPr>
                <w:sz w:val="22"/>
                <w:szCs w:val="22"/>
              </w:rPr>
            </w:pPr>
            <w:r w:rsidRPr="00897BAE">
              <w:rPr>
                <w:b/>
                <w:sz w:val="22"/>
                <w:szCs w:val="22"/>
              </w:rPr>
              <w:t>Total Reporting Cost</w:t>
            </w:r>
          </w:p>
        </w:tc>
        <w:tc>
          <w:tcPr>
            <w:tcW w:w="1756" w:type="dxa"/>
            <w:vAlign w:val="center"/>
          </w:tcPr>
          <w:p w:rsidR="007A7D20" w:rsidRPr="00897BAE" w:rsidRDefault="007A7D20" w:rsidP="00D37EB8">
            <w:pPr>
              <w:suppressAutoHyphens/>
              <w:jc w:val="center"/>
              <w:rPr>
                <w:sz w:val="22"/>
                <w:szCs w:val="22"/>
              </w:rPr>
            </w:pPr>
          </w:p>
        </w:tc>
        <w:tc>
          <w:tcPr>
            <w:tcW w:w="1281" w:type="dxa"/>
            <w:vAlign w:val="center"/>
          </w:tcPr>
          <w:p w:rsidR="007A7D20" w:rsidRPr="00897BAE" w:rsidRDefault="007A7D20" w:rsidP="00D37EB8">
            <w:pPr>
              <w:suppressAutoHyphens/>
              <w:jc w:val="center"/>
              <w:rPr>
                <w:sz w:val="22"/>
                <w:szCs w:val="22"/>
              </w:rPr>
            </w:pPr>
          </w:p>
        </w:tc>
        <w:tc>
          <w:tcPr>
            <w:tcW w:w="1318" w:type="dxa"/>
            <w:vAlign w:val="center"/>
          </w:tcPr>
          <w:p w:rsidR="007A7D20" w:rsidRPr="00897BAE" w:rsidRDefault="007A7D20" w:rsidP="00D37EB8">
            <w:pPr>
              <w:jc w:val="center"/>
              <w:rPr>
                <w:color w:val="000000"/>
                <w:sz w:val="22"/>
                <w:szCs w:val="22"/>
              </w:rPr>
            </w:pPr>
            <w:r w:rsidRPr="00897BAE">
              <w:rPr>
                <w:color w:val="000000"/>
                <w:sz w:val="22"/>
                <w:szCs w:val="22"/>
              </w:rPr>
              <w:t>$14,651.28</w:t>
            </w:r>
          </w:p>
        </w:tc>
      </w:tr>
    </w:tbl>
    <w:p w:rsidR="001A53DB" w:rsidRPr="00897BAE" w:rsidRDefault="001A53DB">
      <w:pPr>
        <w:rPr>
          <w:sz w:val="22"/>
          <w:szCs w:val="22"/>
        </w:rPr>
      </w:pPr>
    </w:p>
    <w:p w:rsidR="001A53DB" w:rsidRPr="00897BAE" w:rsidRDefault="001A53DB" w:rsidP="001A53DB">
      <w:pPr>
        <w:suppressAutoHyphens/>
        <w:ind w:left="720" w:right="1440"/>
        <w:rPr>
          <w:sz w:val="22"/>
          <w:szCs w:val="22"/>
        </w:rPr>
      </w:pPr>
    </w:p>
    <w:p w:rsidR="001A53DB" w:rsidRPr="00897BAE" w:rsidRDefault="001A53DB" w:rsidP="00404618">
      <w:pPr>
        <w:pStyle w:val="ListParagraph"/>
        <w:numPr>
          <w:ilvl w:val="2"/>
          <w:numId w:val="25"/>
        </w:numPr>
        <w:suppressAutoHyphens/>
        <w:ind w:right="1440"/>
        <w:rPr>
          <w:b/>
          <w:bCs/>
          <w:sz w:val="22"/>
          <w:szCs w:val="22"/>
        </w:rPr>
      </w:pPr>
      <w:r w:rsidRPr="00897BAE">
        <w:rPr>
          <w:b/>
          <w:bCs/>
          <w:sz w:val="22"/>
          <w:szCs w:val="22"/>
        </w:rPr>
        <w:t>Annualized Recordkeeping Costs – States</w:t>
      </w:r>
    </w:p>
    <w:p w:rsidR="00D04573" w:rsidRPr="00897BAE" w:rsidRDefault="00D04573" w:rsidP="00D04573">
      <w:pPr>
        <w:pStyle w:val="ListParagraph"/>
        <w:suppressAutoHyphens/>
        <w:ind w:left="2340" w:right="1440"/>
        <w:rPr>
          <w:b/>
          <w:bCs/>
          <w:sz w:val="22"/>
          <w:szCs w:val="22"/>
        </w:rPr>
      </w:pPr>
    </w:p>
    <w:tbl>
      <w:tblPr>
        <w:tblW w:w="956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87"/>
        <w:gridCol w:w="1943"/>
        <w:gridCol w:w="1839"/>
        <w:gridCol w:w="1786"/>
        <w:gridCol w:w="1306"/>
        <w:gridCol w:w="1206"/>
      </w:tblGrid>
      <w:tr w:rsidR="0073087F" w:rsidRPr="00897BAE" w:rsidTr="00E826E7">
        <w:trPr>
          <w:trHeight w:val="917"/>
          <w:jc w:val="center"/>
        </w:trPr>
        <w:tc>
          <w:tcPr>
            <w:tcW w:w="1488" w:type="dxa"/>
            <w:vAlign w:val="center"/>
          </w:tcPr>
          <w:p w:rsidR="0073087F" w:rsidRPr="00897BAE" w:rsidRDefault="0073087F" w:rsidP="00D37EB8">
            <w:pPr>
              <w:suppressAutoHyphens/>
              <w:jc w:val="center"/>
              <w:rPr>
                <w:b/>
                <w:sz w:val="22"/>
                <w:szCs w:val="22"/>
              </w:rPr>
            </w:pPr>
            <w:r w:rsidRPr="00897BAE">
              <w:rPr>
                <w:b/>
                <w:sz w:val="22"/>
                <w:szCs w:val="22"/>
              </w:rPr>
              <w:t>Type of Respondent</w:t>
            </w:r>
          </w:p>
        </w:tc>
        <w:tc>
          <w:tcPr>
            <w:tcW w:w="1945" w:type="dxa"/>
            <w:vAlign w:val="center"/>
          </w:tcPr>
          <w:p w:rsidR="0073087F" w:rsidRPr="00897BAE" w:rsidRDefault="0073087F" w:rsidP="00D37EB8">
            <w:pPr>
              <w:suppressAutoHyphens/>
              <w:jc w:val="center"/>
              <w:rPr>
                <w:b/>
                <w:sz w:val="22"/>
                <w:szCs w:val="22"/>
              </w:rPr>
            </w:pPr>
            <w:r w:rsidRPr="00897BAE">
              <w:rPr>
                <w:b/>
                <w:sz w:val="22"/>
                <w:szCs w:val="22"/>
              </w:rPr>
              <w:t>Requirement</w:t>
            </w:r>
          </w:p>
        </w:tc>
        <w:tc>
          <w:tcPr>
            <w:tcW w:w="1842" w:type="dxa"/>
            <w:vAlign w:val="center"/>
          </w:tcPr>
          <w:p w:rsidR="0073087F" w:rsidRPr="00897BAE" w:rsidRDefault="0073087F" w:rsidP="00D37EB8">
            <w:pPr>
              <w:suppressAutoHyphens/>
              <w:jc w:val="center"/>
              <w:rPr>
                <w:b/>
                <w:sz w:val="22"/>
                <w:szCs w:val="22"/>
              </w:rPr>
            </w:pPr>
            <w:r w:rsidRPr="00897BAE">
              <w:rPr>
                <w:b/>
                <w:sz w:val="22"/>
                <w:szCs w:val="22"/>
              </w:rPr>
              <w:t>Responses Per Year</w:t>
            </w:r>
          </w:p>
        </w:tc>
        <w:tc>
          <w:tcPr>
            <w:tcW w:w="1789" w:type="dxa"/>
            <w:vAlign w:val="center"/>
          </w:tcPr>
          <w:p w:rsidR="0073087F" w:rsidRPr="00897BAE" w:rsidRDefault="0073087F" w:rsidP="00D37EB8">
            <w:pPr>
              <w:suppressAutoHyphens/>
              <w:jc w:val="center"/>
              <w:rPr>
                <w:b/>
                <w:sz w:val="22"/>
                <w:szCs w:val="22"/>
              </w:rPr>
            </w:pPr>
            <w:r w:rsidRPr="00897BAE">
              <w:rPr>
                <w:b/>
                <w:sz w:val="22"/>
                <w:szCs w:val="22"/>
              </w:rPr>
              <w:t>Hours Per Response</w:t>
            </w:r>
          </w:p>
        </w:tc>
        <w:tc>
          <w:tcPr>
            <w:tcW w:w="1308" w:type="dxa"/>
            <w:vAlign w:val="center"/>
          </w:tcPr>
          <w:p w:rsidR="0073087F" w:rsidRPr="00897BAE" w:rsidRDefault="0073087F" w:rsidP="00D37EB8">
            <w:pPr>
              <w:suppressAutoHyphens/>
              <w:jc w:val="center"/>
              <w:rPr>
                <w:b/>
                <w:sz w:val="22"/>
                <w:szCs w:val="22"/>
              </w:rPr>
            </w:pPr>
            <w:r w:rsidRPr="00897BAE">
              <w:rPr>
                <w:b/>
                <w:sz w:val="22"/>
                <w:szCs w:val="22"/>
              </w:rPr>
              <w:t>Wage-50% Cost Per Hour</w:t>
            </w:r>
          </w:p>
        </w:tc>
        <w:tc>
          <w:tcPr>
            <w:tcW w:w="1195" w:type="dxa"/>
            <w:vAlign w:val="center"/>
          </w:tcPr>
          <w:p w:rsidR="0073087F" w:rsidRPr="00897BAE" w:rsidRDefault="0073087F" w:rsidP="00D37EB8">
            <w:pPr>
              <w:suppressAutoHyphens/>
              <w:jc w:val="center"/>
              <w:rPr>
                <w:b/>
                <w:sz w:val="22"/>
                <w:szCs w:val="22"/>
              </w:rPr>
            </w:pPr>
            <w:r w:rsidRPr="00897BAE">
              <w:rPr>
                <w:b/>
                <w:sz w:val="22"/>
                <w:szCs w:val="22"/>
              </w:rPr>
              <w:t>Total Reporting Cost</w:t>
            </w:r>
          </w:p>
        </w:tc>
      </w:tr>
      <w:tr w:rsidR="009F7DAC" w:rsidRPr="00897BAE" w:rsidTr="00E826E7">
        <w:trPr>
          <w:trHeight w:val="253"/>
          <w:jc w:val="center"/>
        </w:trPr>
        <w:tc>
          <w:tcPr>
            <w:tcW w:w="1488" w:type="dxa"/>
            <w:vMerge w:val="restart"/>
            <w:vAlign w:val="center"/>
          </w:tcPr>
          <w:p w:rsidR="009F7DAC" w:rsidRPr="00897BAE" w:rsidRDefault="009F7DAC" w:rsidP="00D37EB8">
            <w:pPr>
              <w:suppressAutoHyphens/>
              <w:jc w:val="center"/>
              <w:rPr>
                <w:b/>
                <w:sz w:val="22"/>
                <w:szCs w:val="22"/>
              </w:rPr>
            </w:pPr>
            <w:r w:rsidRPr="00897BAE">
              <w:rPr>
                <w:b/>
                <w:sz w:val="22"/>
                <w:szCs w:val="22"/>
              </w:rPr>
              <w:t>State Agency</w:t>
            </w:r>
          </w:p>
        </w:tc>
        <w:tc>
          <w:tcPr>
            <w:tcW w:w="1945" w:type="dxa"/>
            <w:vAlign w:val="center"/>
          </w:tcPr>
          <w:p w:rsidR="009F7DAC" w:rsidRPr="00897BAE" w:rsidRDefault="009F7DAC" w:rsidP="00D37EB8">
            <w:pPr>
              <w:suppressAutoHyphens/>
              <w:rPr>
                <w:b/>
                <w:sz w:val="22"/>
                <w:szCs w:val="22"/>
              </w:rPr>
            </w:pPr>
            <w:r w:rsidRPr="00897BAE">
              <w:rPr>
                <w:b/>
                <w:sz w:val="22"/>
                <w:szCs w:val="22"/>
              </w:rPr>
              <w:t>Sampling Plan</w:t>
            </w:r>
          </w:p>
        </w:tc>
        <w:tc>
          <w:tcPr>
            <w:tcW w:w="1842" w:type="dxa"/>
            <w:vAlign w:val="bottom"/>
          </w:tcPr>
          <w:p w:rsidR="009F7DAC" w:rsidRPr="00897BAE" w:rsidRDefault="009F7DAC" w:rsidP="00493E47">
            <w:pPr>
              <w:jc w:val="center"/>
              <w:rPr>
                <w:color w:val="000000"/>
                <w:sz w:val="22"/>
                <w:szCs w:val="22"/>
              </w:rPr>
            </w:pPr>
            <w:r w:rsidRPr="00897BAE">
              <w:rPr>
                <w:color w:val="000000"/>
                <w:sz w:val="22"/>
                <w:szCs w:val="22"/>
              </w:rPr>
              <w:t>53</w:t>
            </w:r>
          </w:p>
        </w:tc>
        <w:tc>
          <w:tcPr>
            <w:tcW w:w="1789" w:type="dxa"/>
            <w:vAlign w:val="center"/>
          </w:tcPr>
          <w:p w:rsidR="009F7DAC" w:rsidRPr="00897BAE" w:rsidRDefault="009F7DAC" w:rsidP="00D37EB8">
            <w:pPr>
              <w:jc w:val="center"/>
              <w:rPr>
                <w:color w:val="000000"/>
                <w:sz w:val="22"/>
                <w:szCs w:val="22"/>
              </w:rPr>
            </w:pPr>
            <w:r w:rsidRPr="00897BAE">
              <w:rPr>
                <w:color w:val="000000"/>
                <w:sz w:val="22"/>
                <w:szCs w:val="22"/>
              </w:rPr>
              <w:t>0.0236</w:t>
            </w:r>
          </w:p>
        </w:tc>
        <w:tc>
          <w:tcPr>
            <w:tcW w:w="1308" w:type="dxa"/>
            <w:vAlign w:val="center"/>
          </w:tcPr>
          <w:p w:rsidR="009F7DAC" w:rsidRPr="00897BAE" w:rsidRDefault="009F7DAC" w:rsidP="00493E47">
            <w:pPr>
              <w:jc w:val="center"/>
              <w:rPr>
                <w:color w:val="000000"/>
                <w:sz w:val="22"/>
                <w:szCs w:val="22"/>
              </w:rPr>
            </w:pPr>
            <w:r w:rsidRPr="00897BAE">
              <w:rPr>
                <w:color w:val="000000"/>
                <w:sz w:val="22"/>
                <w:szCs w:val="22"/>
              </w:rPr>
              <w:t xml:space="preserve">$10.64 </w:t>
            </w:r>
          </w:p>
        </w:tc>
        <w:tc>
          <w:tcPr>
            <w:tcW w:w="1195" w:type="dxa"/>
            <w:vAlign w:val="center"/>
          </w:tcPr>
          <w:p w:rsidR="009F7DAC" w:rsidRPr="00897BAE" w:rsidRDefault="009F7DAC" w:rsidP="00D37EB8">
            <w:pPr>
              <w:jc w:val="center"/>
              <w:rPr>
                <w:color w:val="000000"/>
                <w:sz w:val="22"/>
                <w:szCs w:val="22"/>
              </w:rPr>
            </w:pPr>
            <w:r w:rsidRPr="00897BAE">
              <w:rPr>
                <w:color w:val="000000"/>
                <w:sz w:val="22"/>
                <w:szCs w:val="22"/>
              </w:rPr>
              <w:t>$13.31</w:t>
            </w:r>
          </w:p>
        </w:tc>
      </w:tr>
      <w:tr w:rsidR="009F7DAC" w:rsidRPr="00897BAE" w:rsidTr="00E826E7">
        <w:trPr>
          <w:trHeight w:val="145"/>
          <w:jc w:val="center"/>
        </w:trPr>
        <w:tc>
          <w:tcPr>
            <w:tcW w:w="1488" w:type="dxa"/>
            <w:vMerge/>
            <w:vAlign w:val="center"/>
          </w:tcPr>
          <w:p w:rsidR="009F7DAC" w:rsidRPr="00897BAE" w:rsidRDefault="009F7DAC" w:rsidP="00D37EB8">
            <w:pPr>
              <w:suppressAutoHyphens/>
              <w:rPr>
                <w:b/>
                <w:sz w:val="22"/>
                <w:szCs w:val="22"/>
                <w:u w:val="single"/>
              </w:rPr>
            </w:pPr>
          </w:p>
        </w:tc>
        <w:tc>
          <w:tcPr>
            <w:tcW w:w="1945" w:type="dxa"/>
            <w:vAlign w:val="center"/>
          </w:tcPr>
          <w:p w:rsidR="009F7DAC" w:rsidRPr="00897BAE" w:rsidRDefault="009F7DAC" w:rsidP="00D37EB8">
            <w:pPr>
              <w:suppressAutoHyphens/>
              <w:rPr>
                <w:b/>
                <w:sz w:val="22"/>
                <w:szCs w:val="22"/>
              </w:rPr>
            </w:pPr>
            <w:r w:rsidRPr="00897BAE">
              <w:rPr>
                <w:b/>
                <w:sz w:val="22"/>
                <w:szCs w:val="22"/>
              </w:rPr>
              <w:t>Arbitration</w:t>
            </w:r>
          </w:p>
        </w:tc>
        <w:tc>
          <w:tcPr>
            <w:tcW w:w="1842" w:type="dxa"/>
            <w:vAlign w:val="center"/>
          </w:tcPr>
          <w:p w:rsidR="009F7DAC" w:rsidRPr="00897BAE" w:rsidRDefault="009F7DAC" w:rsidP="00493E47">
            <w:pPr>
              <w:jc w:val="center"/>
              <w:rPr>
                <w:color w:val="000000"/>
                <w:sz w:val="22"/>
                <w:szCs w:val="22"/>
              </w:rPr>
            </w:pPr>
            <w:r w:rsidRPr="00897BAE">
              <w:rPr>
                <w:color w:val="000000"/>
                <w:sz w:val="22"/>
                <w:szCs w:val="22"/>
              </w:rPr>
              <w:t>33</w:t>
            </w:r>
          </w:p>
        </w:tc>
        <w:tc>
          <w:tcPr>
            <w:tcW w:w="1789" w:type="dxa"/>
            <w:vAlign w:val="center"/>
          </w:tcPr>
          <w:p w:rsidR="009F7DAC" w:rsidRPr="00897BAE" w:rsidRDefault="009F7DAC" w:rsidP="00D37EB8">
            <w:pPr>
              <w:jc w:val="center"/>
              <w:rPr>
                <w:color w:val="000000"/>
                <w:sz w:val="22"/>
                <w:szCs w:val="22"/>
              </w:rPr>
            </w:pPr>
            <w:r w:rsidRPr="00897BAE">
              <w:rPr>
                <w:color w:val="000000"/>
                <w:sz w:val="22"/>
                <w:szCs w:val="22"/>
              </w:rPr>
              <w:t>0.0236</w:t>
            </w:r>
          </w:p>
        </w:tc>
        <w:tc>
          <w:tcPr>
            <w:tcW w:w="1308" w:type="dxa"/>
            <w:vAlign w:val="center"/>
          </w:tcPr>
          <w:p w:rsidR="009F7DAC" w:rsidRPr="00897BAE" w:rsidRDefault="009F7DAC" w:rsidP="00493E47">
            <w:pPr>
              <w:jc w:val="center"/>
              <w:rPr>
                <w:color w:val="000000"/>
                <w:sz w:val="22"/>
                <w:szCs w:val="22"/>
              </w:rPr>
            </w:pPr>
            <w:r w:rsidRPr="00897BAE">
              <w:rPr>
                <w:color w:val="000000"/>
                <w:sz w:val="22"/>
                <w:szCs w:val="22"/>
              </w:rPr>
              <w:t xml:space="preserve">$10.64 </w:t>
            </w:r>
          </w:p>
        </w:tc>
        <w:tc>
          <w:tcPr>
            <w:tcW w:w="1195" w:type="dxa"/>
            <w:vAlign w:val="center"/>
          </w:tcPr>
          <w:p w:rsidR="009F7DAC" w:rsidRPr="00897BAE" w:rsidRDefault="009F7DAC" w:rsidP="00D37EB8">
            <w:pPr>
              <w:jc w:val="center"/>
              <w:rPr>
                <w:color w:val="000000"/>
                <w:sz w:val="22"/>
                <w:szCs w:val="22"/>
              </w:rPr>
            </w:pPr>
            <w:r w:rsidRPr="00897BAE">
              <w:rPr>
                <w:color w:val="000000"/>
                <w:sz w:val="22"/>
                <w:szCs w:val="22"/>
              </w:rPr>
              <w:t>$8.29</w:t>
            </w:r>
          </w:p>
        </w:tc>
      </w:tr>
      <w:tr w:rsidR="009F7DAC" w:rsidRPr="00897BAE" w:rsidTr="00E826E7">
        <w:trPr>
          <w:trHeight w:val="323"/>
          <w:jc w:val="center"/>
        </w:trPr>
        <w:tc>
          <w:tcPr>
            <w:tcW w:w="1488" w:type="dxa"/>
            <w:vMerge/>
            <w:vAlign w:val="center"/>
          </w:tcPr>
          <w:p w:rsidR="009F7DAC" w:rsidRPr="00897BAE" w:rsidRDefault="009F7DAC" w:rsidP="00D37EB8">
            <w:pPr>
              <w:suppressAutoHyphens/>
              <w:rPr>
                <w:b/>
                <w:sz w:val="22"/>
                <w:szCs w:val="22"/>
                <w:u w:val="single"/>
              </w:rPr>
            </w:pPr>
          </w:p>
        </w:tc>
        <w:tc>
          <w:tcPr>
            <w:tcW w:w="1945" w:type="dxa"/>
            <w:vAlign w:val="center"/>
          </w:tcPr>
          <w:p w:rsidR="009F7DAC" w:rsidRPr="00897BAE" w:rsidRDefault="009F7DAC" w:rsidP="00D37EB8">
            <w:pPr>
              <w:suppressAutoHyphens/>
              <w:rPr>
                <w:b/>
                <w:sz w:val="22"/>
                <w:szCs w:val="22"/>
              </w:rPr>
            </w:pPr>
            <w:r w:rsidRPr="00897BAE">
              <w:rPr>
                <w:b/>
                <w:sz w:val="22"/>
                <w:szCs w:val="22"/>
              </w:rPr>
              <w:t>Good Cause</w:t>
            </w:r>
          </w:p>
        </w:tc>
        <w:tc>
          <w:tcPr>
            <w:tcW w:w="1842" w:type="dxa"/>
            <w:vAlign w:val="bottom"/>
          </w:tcPr>
          <w:p w:rsidR="009F7DAC" w:rsidRPr="00897BAE" w:rsidRDefault="009F7DAC" w:rsidP="00493E47">
            <w:pPr>
              <w:jc w:val="center"/>
              <w:rPr>
                <w:color w:val="000000"/>
                <w:sz w:val="22"/>
                <w:szCs w:val="22"/>
              </w:rPr>
            </w:pPr>
            <w:r w:rsidRPr="00897BAE">
              <w:rPr>
                <w:color w:val="000000"/>
                <w:sz w:val="22"/>
                <w:szCs w:val="22"/>
              </w:rPr>
              <w:t>2</w:t>
            </w:r>
          </w:p>
        </w:tc>
        <w:tc>
          <w:tcPr>
            <w:tcW w:w="1789" w:type="dxa"/>
            <w:vAlign w:val="center"/>
          </w:tcPr>
          <w:p w:rsidR="009F7DAC" w:rsidRPr="00897BAE" w:rsidRDefault="009F7DAC" w:rsidP="00D37EB8">
            <w:pPr>
              <w:jc w:val="center"/>
              <w:rPr>
                <w:color w:val="000000"/>
                <w:sz w:val="22"/>
                <w:szCs w:val="22"/>
              </w:rPr>
            </w:pPr>
            <w:r w:rsidRPr="00897BAE">
              <w:rPr>
                <w:color w:val="000000"/>
                <w:sz w:val="22"/>
                <w:szCs w:val="22"/>
              </w:rPr>
              <w:t>0.0236</w:t>
            </w:r>
          </w:p>
        </w:tc>
        <w:tc>
          <w:tcPr>
            <w:tcW w:w="1308" w:type="dxa"/>
            <w:vAlign w:val="center"/>
          </w:tcPr>
          <w:p w:rsidR="009F7DAC" w:rsidRPr="00897BAE" w:rsidRDefault="009F7DAC" w:rsidP="00493E47">
            <w:pPr>
              <w:jc w:val="center"/>
              <w:rPr>
                <w:color w:val="000000"/>
                <w:sz w:val="22"/>
                <w:szCs w:val="22"/>
              </w:rPr>
            </w:pPr>
            <w:r w:rsidRPr="00897BAE">
              <w:rPr>
                <w:color w:val="000000"/>
                <w:sz w:val="22"/>
                <w:szCs w:val="22"/>
              </w:rPr>
              <w:t xml:space="preserve">$10.64 </w:t>
            </w:r>
          </w:p>
        </w:tc>
        <w:tc>
          <w:tcPr>
            <w:tcW w:w="1195" w:type="dxa"/>
            <w:vAlign w:val="center"/>
          </w:tcPr>
          <w:p w:rsidR="009F7DAC" w:rsidRPr="00897BAE" w:rsidRDefault="009F7DAC" w:rsidP="00D37EB8">
            <w:pPr>
              <w:jc w:val="center"/>
              <w:rPr>
                <w:color w:val="000000"/>
                <w:sz w:val="22"/>
                <w:szCs w:val="22"/>
              </w:rPr>
            </w:pPr>
            <w:r w:rsidRPr="00897BAE">
              <w:rPr>
                <w:color w:val="000000"/>
                <w:sz w:val="22"/>
                <w:szCs w:val="22"/>
              </w:rPr>
              <w:t>$0.50</w:t>
            </w:r>
          </w:p>
        </w:tc>
      </w:tr>
      <w:tr w:rsidR="0073087F" w:rsidRPr="00897BAE" w:rsidTr="00E826E7">
        <w:trPr>
          <w:trHeight w:val="294"/>
          <w:jc w:val="center"/>
        </w:trPr>
        <w:tc>
          <w:tcPr>
            <w:tcW w:w="5275" w:type="dxa"/>
            <w:gridSpan w:val="3"/>
            <w:vAlign w:val="center"/>
          </w:tcPr>
          <w:p w:rsidR="0073087F" w:rsidRPr="00897BAE" w:rsidRDefault="0073087F" w:rsidP="00D37EB8">
            <w:pPr>
              <w:suppressAutoHyphens/>
              <w:rPr>
                <w:sz w:val="22"/>
                <w:szCs w:val="22"/>
              </w:rPr>
            </w:pPr>
            <w:r w:rsidRPr="00897BAE">
              <w:rPr>
                <w:b/>
                <w:sz w:val="22"/>
                <w:szCs w:val="22"/>
              </w:rPr>
              <w:t>Total Recordkeeping Cost</w:t>
            </w:r>
          </w:p>
        </w:tc>
        <w:tc>
          <w:tcPr>
            <w:tcW w:w="1789" w:type="dxa"/>
            <w:vAlign w:val="center"/>
          </w:tcPr>
          <w:p w:rsidR="0073087F" w:rsidRPr="00897BAE" w:rsidRDefault="0073087F" w:rsidP="00D37EB8">
            <w:pPr>
              <w:suppressAutoHyphens/>
              <w:jc w:val="center"/>
              <w:rPr>
                <w:sz w:val="22"/>
                <w:szCs w:val="22"/>
              </w:rPr>
            </w:pPr>
          </w:p>
        </w:tc>
        <w:tc>
          <w:tcPr>
            <w:tcW w:w="1308" w:type="dxa"/>
            <w:vAlign w:val="center"/>
          </w:tcPr>
          <w:p w:rsidR="0073087F" w:rsidRPr="00897BAE" w:rsidRDefault="0073087F" w:rsidP="00D37EB8">
            <w:pPr>
              <w:suppressAutoHyphens/>
              <w:jc w:val="center"/>
              <w:rPr>
                <w:sz w:val="22"/>
                <w:szCs w:val="22"/>
              </w:rPr>
            </w:pPr>
          </w:p>
        </w:tc>
        <w:tc>
          <w:tcPr>
            <w:tcW w:w="1195" w:type="dxa"/>
            <w:vAlign w:val="center"/>
          </w:tcPr>
          <w:p w:rsidR="0073087F" w:rsidRPr="00897BAE" w:rsidRDefault="009F7DAC" w:rsidP="009F7DAC">
            <w:pPr>
              <w:suppressAutoHyphens/>
              <w:jc w:val="center"/>
              <w:rPr>
                <w:sz w:val="22"/>
                <w:szCs w:val="22"/>
              </w:rPr>
            </w:pPr>
            <w:r w:rsidRPr="00897BAE">
              <w:rPr>
                <w:sz w:val="22"/>
                <w:szCs w:val="22"/>
              </w:rPr>
              <w:t>$22.10</w:t>
            </w:r>
          </w:p>
        </w:tc>
      </w:tr>
      <w:tr w:rsidR="00E826E7" w:rsidRPr="00897BAE" w:rsidTr="00E826E7">
        <w:trPr>
          <w:trHeight w:val="40"/>
          <w:jc w:val="center"/>
        </w:trPr>
        <w:tc>
          <w:tcPr>
            <w:tcW w:w="8372" w:type="dxa"/>
            <w:gridSpan w:val="5"/>
            <w:vAlign w:val="bottom"/>
          </w:tcPr>
          <w:p w:rsidR="00E826E7" w:rsidRPr="00897BAE" w:rsidRDefault="00E826E7" w:rsidP="00E826E7">
            <w:pPr>
              <w:spacing w:line="480" w:lineRule="auto"/>
              <w:rPr>
                <w:sz w:val="22"/>
                <w:szCs w:val="22"/>
              </w:rPr>
            </w:pPr>
            <w:r w:rsidRPr="00897BAE">
              <w:rPr>
                <w:b/>
                <w:sz w:val="22"/>
                <w:szCs w:val="22"/>
              </w:rPr>
              <w:t>Total State Reporting and Recordkeeping annualized costs</w:t>
            </w:r>
            <w:r w:rsidRPr="00897BAE">
              <w:rPr>
                <w:sz w:val="22"/>
                <w:szCs w:val="22"/>
              </w:rPr>
              <w:t>:</w:t>
            </w:r>
          </w:p>
        </w:tc>
        <w:tc>
          <w:tcPr>
            <w:tcW w:w="1195" w:type="dxa"/>
            <w:vAlign w:val="center"/>
          </w:tcPr>
          <w:p w:rsidR="00E826E7" w:rsidRPr="00897BAE" w:rsidRDefault="00E826E7" w:rsidP="00E826E7">
            <w:pPr>
              <w:suppressAutoHyphens/>
              <w:jc w:val="center"/>
              <w:rPr>
                <w:sz w:val="22"/>
                <w:szCs w:val="22"/>
              </w:rPr>
            </w:pPr>
            <w:r w:rsidRPr="00897BAE">
              <w:rPr>
                <w:sz w:val="22"/>
                <w:szCs w:val="22"/>
              </w:rPr>
              <w:t>$14,673.38</w:t>
            </w:r>
          </w:p>
        </w:tc>
      </w:tr>
    </w:tbl>
    <w:p w:rsidR="004827F4" w:rsidRPr="00897BAE" w:rsidRDefault="004827F4" w:rsidP="00A51FFC">
      <w:pPr>
        <w:spacing w:line="480" w:lineRule="auto"/>
        <w:rPr>
          <w:sz w:val="22"/>
          <w:szCs w:val="22"/>
        </w:rPr>
      </w:pPr>
    </w:p>
    <w:p w:rsidR="00A1784D" w:rsidRPr="00897BAE" w:rsidRDefault="00637555" w:rsidP="00A51FFC">
      <w:pPr>
        <w:pStyle w:val="BodyText2"/>
        <w:numPr>
          <w:ilvl w:val="0"/>
          <w:numId w:val="10"/>
        </w:numPr>
        <w:tabs>
          <w:tab w:val="left" w:pos="-630"/>
        </w:tabs>
        <w:spacing w:line="480" w:lineRule="auto"/>
        <w:ind w:left="0" w:right="-187" w:firstLine="0"/>
        <w:contextualSpacing/>
        <w:rPr>
          <w:b/>
          <w:sz w:val="22"/>
          <w:szCs w:val="22"/>
        </w:rPr>
      </w:pPr>
      <w:r w:rsidRPr="00897BAE">
        <w:rPr>
          <w:b/>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00A05197" w:rsidRPr="00897BAE">
        <w:rPr>
          <w:b/>
          <w:sz w:val="22"/>
          <w:szCs w:val="22"/>
        </w:rPr>
        <w:t>:</w:t>
      </w:r>
    </w:p>
    <w:p w:rsidR="00720B47" w:rsidRPr="00897BAE" w:rsidRDefault="00720B47" w:rsidP="00A51FFC">
      <w:pPr>
        <w:pStyle w:val="BodyText2"/>
        <w:tabs>
          <w:tab w:val="left" w:pos="-630"/>
        </w:tabs>
        <w:spacing w:line="480" w:lineRule="auto"/>
        <w:ind w:right="-187"/>
        <w:contextualSpacing/>
        <w:rPr>
          <w:b/>
          <w:sz w:val="22"/>
          <w:szCs w:val="22"/>
        </w:rPr>
      </w:pPr>
    </w:p>
    <w:p w:rsidR="00A1784D" w:rsidRPr="00897BAE" w:rsidRDefault="00A1784D" w:rsidP="00A51FFC">
      <w:pPr>
        <w:pStyle w:val="BodyText2"/>
        <w:spacing w:line="480" w:lineRule="auto"/>
        <w:ind w:right="-187"/>
        <w:contextualSpacing/>
        <w:rPr>
          <w:sz w:val="22"/>
          <w:szCs w:val="22"/>
          <w:u w:val="none"/>
        </w:rPr>
      </w:pPr>
      <w:r w:rsidRPr="00897BAE">
        <w:rPr>
          <w:sz w:val="22"/>
          <w:szCs w:val="22"/>
          <w:u w:val="none"/>
        </w:rPr>
        <w:t>There are no capital</w:t>
      </w:r>
      <w:r w:rsidR="00555057" w:rsidRPr="00897BAE">
        <w:rPr>
          <w:sz w:val="22"/>
          <w:szCs w:val="22"/>
          <w:u w:val="none"/>
        </w:rPr>
        <w:t>/</w:t>
      </w:r>
      <w:r w:rsidRPr="00897BAE">
        <w:rPr>
          <w:sz w:val="22"/>
          <w:szCs w:val="22"/>
          <w:u w:val="none"/>
        </w:rPr>
        <w:t xml:space="preserve">start-up or </w:t>
      </w:r>
      <w:r w:rsidR="00555057" w:rsidRPr="00897BAE">
        <w:rPr>
          <w:sz w:val="22"/>
          <w:szCs w:val="22"/>
          <w:u w:val="none"/>
        </w:rPr>
        <w:t xml:space="preserve">ongoing operation/ </w:t>
      </w:r>
      <w:r w:rsidRPr="00897BAE">
        <w:rPr>
          <w:sz w:val="22"/>
          <w:szCs w:val="22"/>
          <w:u w:val="none"/>
        </w:rPr>
        <w:t>maintenance cost</w:t>
      </w:r>
      <w:r w:rsidR="00555057" w:rsidRPr="00897BAE">
        <w:rPr>
          <w:sz w:val="22"/>
          <w:szCs w:val="22"/>
          <w:u w:val="none"/>
        </w:rPr>
        <w:t>s</w:t>
      </w:r>
      <w:r w:rsidRPr="00897BAE">
        <w:rPr>
          <w:sz w:val="22"/>
          <w:szCs w:val="22"/>
          <w:u w:val="none"/>
        </w:rPr>
        <w:t xml:space="preserve"> associated with this </w:t>
      </w:r>
      <w:r w:rsidR="00555057" w:rsidRPr="00897BAE">
        <w:rPr>
          <w:sz w:val="22"/>
          <w:szCs w:val="22"/>
          <w:u w:val="none"/>
        </w:rPr>
        <w:t>information collection</w:t>
      </w:r>
      <w:r w:rsidR="00D56A46" w:rsidRPr="00897BAE">
        <w:rPr>
          <w:sz w:val="22"/>
          <w:szCs w:val="22"/>
          <w:u w:val="none"/>
        </w:rPr>
        <w:t>.</w:t>
      </w:r>
      <w:r w:rsidRPr="00897BAE">
        <w:rPr>
          <w:sz w:val="22"/>
          <w:szCs w:val="22"/>
          <w:u w:val="none"/>
        </w:rPr>
        <w:t xml:space="preserve"> </w:t>
      </w:r>
    </w:p>
    <w:p w:rsidR="00A1784D" w:rsidRPr="00897BAE" w:rsidRDefault="00A1784D" w:rsidP="00A51FFC">
      <w:pPr>
        <w:pStyle w:val="BodyText2"/>
        <w:spacing w:line="480" w:lineRule="auto"/>
        <w:ind w:right="-187"/>
        <w:contextualSpacing/>
        <w:rPr>
          <w:b/>
          <w:sz w:val="22"/>
          <w:szCs w:val="22"/>
          <w:u w:val="none"/>
        </w:rPr>
      </w:pPr>
    </w:p>
    <w:p w:rsidR="00331B84" w:rsidRPr="00897BAE" w:rsidRDefault="00637555" w:rsidP="009A7DA0">
      <w:pPr>
        <w:pStyle w:val="BodyText2"/>
        <w:numPr>
          <w:ilvl w:val="0"/>
          <w:numId w:val="10"/>
        </w:numPr>
        <w:spacing w:line="480" w:lineRule="auto"/>
        <w:ind w:right="-187" w:hanging="720"/>
        <w:contextualSpacing/>
        <w:rPr>
          <w:sz w:val="22"/>
          <w:szCs w:val="22"/>
          <w:u w:val="none"/>
        </w:rPr>
      </w:pPr>
      <w:r w:rsidRPr="00897BAE">
        <w:rPr>
          <w:b/>
          <w:sz w:val="22"/>
          <w:szCs w:val="22"/>
        </w:rPr>
        <w:t>Provide estimates of annualized cost to the Federal government.  Also, provide a description of the method used to estimate cost and any other expense that would not have been incurred without this collection of information</w:t>
      </w:r>
      <w:r w:rsidR="00A1784D" w:rsidRPr="00897BAE">
        <w:rPr>
          <w:b/>
          <w:sz w:val="22"/>
          <w:szCs w:val="22"/>
        </w:rPr>
        <w:t xml:space="preserve"> </w:t>
      </w:r>
    </w:p>
    <w:p w:rsidR="0027768D" w:rsidRPr="00897BAE" w:rsidRDefault="00331B84" w:rsidP="00331B84">
      <w:pPr>
        <w:pStyle w:val="BodyText2"/>
        <w:spacing w:line="480" w:lineRule="auto"/>
        <w:rPr>
          <w:sz w:val="22"/>
          <w:szCs w:val="22"/>
          <w:u w:val="none"/>
        </w:rPr>
      </w:pPr>
      <w:r w:rsidRPr="00897BAE">
        <w:rPr>
          <w:sz w:val="22"/>
          <w:szCs w:val="22"/>
          <w:u w:val="none"/>
        </w:rPr>
        <w:t xml:space="preserve">The </w:t>
      </w:r>
      <w:r w:rsidR="007F670A">
        <w:rPr>
          <w:sz w:val="22"/>
          <w:szCs w:val="22"/>
          <w:u w:val="none"/>
        </w:rPr>
        <w:t xml:space="preserve">total </w:t>
      </w:r>
      <w:r w:rsidRPr="00897BAE">
        <w:rPr>
          <w:sz w:val="22"/>
          <w:szCs w:val="22"/>
          <w:u w:val="none"/>
        </w:rPr>
        <w:t xml:space="preserve">annualized cost to the Federal Government </w:t>
      </w:r>
      <w:r w:rsidR="007F670A">
        <w:rPr>
          <w:sz w:val="22"/>
          <w:szCs w:val="22"/>
          <w:u w:val="none"/>
        </w:rPr>
        <w:t xml:space="preserve">(using Federal Salary Table for GS 11/12) </w:t>
      </w:r>
      <w:r w:rsidRPr="00897BAE">
        <w:rPr>
          <w:sz w:val="22"/>
          <w:szCs w:val="22"/>
          <w:u w:val="none"/>
        </w:rPr>
        <w:t>on oversight of the states’ sampling plans, arbitrat</w:t>
      </w:r>
      <w:r w:rsidR="00CC615A" w:rsidRPr="00897BAE">
        <w:rPr>
          <w:sz w:val="22"/>
          <w:szCs w:val="22"/>
          <w:u w:val="none"/>
        </w:rPr>
        <w:t>ion activities, and good cause action is estimated at $</w:t>
      </w:r>
      <w:r w:rsidR="007F670A">
        <w:rPr>
          <w:sz w:val="22"/>
          <w:szCs w:val="22"/>
          <w:u w:val="none"/>
        </w:rPr>
        <w:t>90,051.04</w:t>
      </w:r>
      <w:r w:rsidRPr="00897BAE">
        <w:rPr>
          <w:sz w:val="22"/>
          <w:szCs w:val="22"/>
          <w:u w:val="none"/>
        </w:rPr>
        <w:t xml:space="preserve">.  This cost includes the </w:t>
      </w:r>
      <w:r w:rsidR="00CC615A" w:rsidRPr="00897BAE">
        <w:rPr>
          <w:sz w:val="22"/>
          <w:szCs w:val="22"/>
          <w:u w:val="none"/>
        </w:rPr>
        <w:t xml:space="preserve">federal </w:t>
      </w:r>
      <w:r w:rsidRPr="00897BAE">
        <w:rPr>
          <w:sz w:val="22"/>
          <w:szCs w:val="22"/>
          <w:u w:val="none"/>
        </w:rPr>
        <w:t xml:space="preserve">government’s share for (1) </w:t>
      </w:r>
      <w:r w:rsidR="00CC615A" w:rsidRPr="00897BAE">
        <w:rPr>
          <w:sz w:val="22"/>
          <w:szCs w:val="22"/>
          <w:u w:val="none"/>
        </w:rPr>
        <w:t>printing and postage for arbitration and good cause claims</w:t>
      </w:r>
      <w:r w:rsidR="0027768D" w:rsidRPr="00897BAE">
        <w:rPr>
          <w:sz w:val="22"/>
          <w:szCs w:val="22"/>
          <w:u w:val="none"/>
        </w:rPr>
        <w:t xml:space="preserve">, </w:t>
      </w:r>
      <w:r w:rsidR="008A38CE" w:rsidRPr="00897BAE">
        <w:rPr>
          <w:sz w:val="22"/>
          <w:szCs w:val="22"/>
          <w:u w:val="none"/>
        </w:rPr>
        <w:t>(2)</w:t>
      </w:r>
      <w:r w:rsidR="0027768D" w:rsidRPr="00897BAE">
        <w:rPr>
          <w:sz w:val="22"/>
          <w:szCs w:val="22"/>
          <w:u w:val="none"/>
        </w:rPr>
        <w:t xml:space="preserve"> </w:t>
      </w:r>
      <w:r w:rsidR="00CC615A" w:rsidRPr="00897BAE">
        <w:rPr>
          <w:sz w:val="22"/>
          <w:szCs w:val="22"/>
          <w:u w:val="none"/>
        </w:rPr>
        <w:t>50% of the states’ reporting and recordkeeping costs</w:t>
      </w:r>
      <w:r w:rsidR="00897BAE" w:rsidRPr="00897BAE">
        <w:rPr>
          <w:sz w:val="22"/>
          <w:szCs w:val="22"/>
          <w:u w:val="none"/>
        </w:rPr>
        <w:t xml:space="preserve"> of the three activities</w:t>
      </w:r>
      <w:r w:rsidR="0027768D" w:rsidRPr="00897BAE">
        <w:rPr>
          <w:sz w:val="22"/>
          <w:szCs w:val="22"/>
          <w:u w:val="none"/>
        </w:rPr>
        <w:t>, and (3)</w:t>
      </w:r>
      <w:r w:rsidR="00C82954" w:rsidRPr="00897BAE">
        <w:rPr>
          <w:sz w:val="22"/>
          <w:szCs w:val="22"/>
          <w:u w:val="none"/>
        </w:rPr>
        <w:t xml:space="preserve"> </w:t>
      </w:r>
      <w:r w:rsidR="0027768D" w:rsidRPr="00897BAE">
        <w:rPr>
          <w:sz w:val="22"/>
          <w:szCs w:val="22"/>
          <w:u w:val="none"/>
        </w:rPr>
        <w:t xml:space="preserve">the </w:t>
      </w:r>
      <w:r w:rsidR="00C82954" w:rsidRPr="00897BAE">
        <w:rPr>
          <w:sz w:val="22"/>
          <w:szCs w:val="22"/>
          <w:u w:val="none"/>
        </w:rPr>
        <w:t xml:space="preserve">average </w:t>
      </w:r>
      <w:r w:rsidR="0027768D" w:rsidRPr="00897BAE">
        <w:rPr>
          <w:sz w:val="22"/>
          <w:szCs w:val="22"/>
          <w:u w:val="none"/>
        </w:rPr>
        <w:t xml:space="preserve">cost for </w:t>
      </w:r>
      <w:r w:rsidR="00C82954" w:rsidRPr="00897BAE">
        <w:rPr>
          <w:sz w:val="22"/>
          <w:szCs w:val="22"/>
          <w:u w:val="none"/>
        </w:rPr>
        <w:t xml:space="preserve">associated federal staff to work on </w:t>
      </w:r>
      <w:r w:rsidR="00897BAE" w:rsidRPr="00897BAE">
        <w:rPr>
          <w:sz w:val="22"/>
          <w:szCs w:val="22"/>
          <w:u w:val="none"/>
        </w:rPr>
        <w:t>the three</w:t>
      </w:r>
      <w:r w:rsidR="00C82954" w:rsidRPr="00897BAE">
        <w:rPr>
          <w:sz w:val="22"/>
          <w:szCs w:val="22"/>
          <w:u w:val="none"/>
        </w:rPr>
        <w:t xml:space="preserve"> </w:t>
      </w:r>
      <w:r w:rsidR="00761F32" w:rsidRPr="00897BAE">
        <w:rPr>
          <w:sz w:val="22"/>
          <w:szCs w:val="22"/>
          <w:u w:val="none"/>
        </w:rPr>
        <w:t>activities</w:t>
      </w:r>
      <w:r w:rsidR="00C82954" w:rsidRPr="00897BAE">
        <w:rPr>
          <w:sz w:val="22"/>
          <w:szCs w:val="22"/>
          <w:u w:val="none"/>
        </w:rPr>
        <w:t xml:space="preserve"> each year.</w:t>
      </w:r>
      <w:r w:rsidRPr="00897BAE">
        <w:rPr>
          <w:sz w:val="22"/>
          <w:szCs w:val="22"/>
          <w:u w:val="none"/>
        </w:rPr>
        <w:t xml:space="preserve"> </w:t>
      </w:r>
      <w:r w:rsidR="00CD4D92" w:rsidRPr="00897BAE">
        <w:rPr>
          <w:sz w:val="22"/>
          <w:szCs w:val="22"/>
          <w:u w:val="none"/>
        </w:rPr>
        <w:t xml:space="preserve">The Federal salary costs were not in </w:t>
      </w:r>
      <w:r w:rsidR="00CD4D92" w:rsidRPr="00897BAE">
        <w:rPr>
          <w:sz w:val="22"/>
          <w:szCs w:val="22"/>
          <w:u w:val="none"/>
        </w:rPr>
        <w:lastRenderedPageBreak/>
        <w:t xml:space="preserve">previous OMB submissions and therefore </w:t>
      </w:r>
      <w:r w:rsidR="00897BAE" w:rsidRPr="00897BAE">
        <w:rPr>
          <w:sz w:val="22"/>
          <w:szCs w:val="22"/>
          <w:u w:val="none"/>
        </w:rPr>
        <w:t>the federal costs appear</w:t>
      </w:r>
      <w:r w:rsidR="00761F32" w:rsidRPr="00897BAE">
        <w:rPr>
          <w:sz w:val="22"/>
          <w:szCs w:val="22"/>
          <w:u w:val="none"/>
        </w:rPr>
        <w:t xml:space="preserve"> to have gone up with this submission.  </w:t>
      </w:r>
      <w:r w:rsidR="00CD4D92" w:rsidRPr="00897BAE">
        <w:rPr>
          <w:sz w:val="22"/>
          <w:szCs w:val="22"/>
          <w:u w:val="none"/>
        </w:rPr>
        <w:t xml:space="preserve"> </w:t>
      </w:r>
      <w:r w:rsidRPr="00897BAE">
        <w:rPr>
          <w:sz w:val="22"/>
          <w:szCs w:val="22"/>
          <w:u w:val="none"/>
        </w:rPr>
        <w:t>These costs are operational costs only</w:t>
      </w:r>
      <w:r w:rsidR="00CC615A" w:rsidRPr="00897BAE">
        <w:rPr>
          <w:sz w:val="22"/>
          <w:szCs w:val="22"/>
          <w:u w:val="none"/>
        </w:rPr>
        <w:t xml:space="preserve"> as there are no automation costs for these functions</w:t>
      </w:r>
      <w:r w:rsidRPr="00897BAE">
        <w:rPr>
          <w:sz w:val="22"/>
          <w:szCs w:val="22"/>
          <w:u w:val="none"/>
        </w:rPr>
        <w:t xml:space="preserve">. </w:t>
      </w:r>
    </w:p>
    <w:p w:rsidR="00BB2105" w:rsidRPr="00897BAE" w:rsidRDefault="00BB2105" w:rsidP="00331B84">
      <w:pPr>
        <w:pStyle w:val="BodyText2"/>
        <w:spacing w:line="480" w:lineRule="auto"/>
        <w:rPr>
          <w:sz w:val="22"/>
          <w:szCs w:val="22"/>
          <w:u w:val="none"/>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07"/>
        <w:gridCol w:w="1390"/>
        <w:gridCol w:w="1596"/>
        <w:gridCol w:w="1595"/>
        <w:gridCol w:w="1595"/>
        <w:gridCol w:w="1593"/>
      </w:tblGrid>
      <w:tr w:rsidR="00083BC9" w:rsidRPr="00897BAE" w:rsidTr="00083BC9">
        <w:trPr>
          <w:trHeight w:val="768"/>
        </w:trPr>
        <w:tc>
          <w:tcPr>
            <w:tcW w:w="943" w:type="pct"/>
            <w:vAlign w:val="center"/>
          </w:tcPr>
          <w:p w:rsidR="00083BC9" w:rsidRPr="00897BAE" w:rsidRDefault="00083BC9" w:rsidP="00C82954">
            <w:pPr>
              <w:suppressAutoHyphens/>
              <w:jc w:val="center"/>
              <w:rPr>
                <w:b/>
                <w:sz w:val="22"/>
                <w:szCs w:val="22"/>
              </w:rPr>
            </w:pPr>
            <w:r w:rsidRPr="00897BAE">
              <w:rPr>
                <w:b/>
                <w:sz w:val="22"/>
                <w:szCs w:val="22"/>
              </w:rPr>
              <w:t>Requirement</w:t>
            </w:r>
          </w:p>
          <w:p w:rsidR="00083BC9" w:rsidRPr="00897BAE" w:rsidRDefault="00083BC9" w:rsidP="00C82954">
            <w:pPr>
              <w:suppressAutoHyphens/>
              <w:jc w:val="center"/>
              <w:rPr>
                <w:b/>
                <w:sz w:val="22"/>
                <w:szCs w:val="22"/>
              </w:rPr>
            </w:pPr>
            <w:r w:rsidRPr="00897BAE">
              <w:rPr>
                <w:b/>
                <w:sz w:val="22"/>
                <w:szCs w:val="22"/>
              </w:rPr>
              <w:t>Regional Offices</w:t>
            </w:r>
          </w:p>
        </w:tc>
        <w:tc>
          <w:tcPr>
            <w:tcW w:w="725" w:type="pct"/>
            <w:vAlign w:val="center"/>
          </w:tcPr>
          <w:p w:rsidR="00083BC9" w:rsidRPr="00897BAE" w:rsidRDefault="00083BC9" w:rsidP="00C82954">
            <w:pPr>
              <w:suppressAutoHyphens/>
              <w:jc w:val="center"/>
              <w:rPr>
                <w:b/>
                <w:sz w:val="22"/>
                <w:szCs w:val="22"/>
              </w:rPr>
            </w:pPr>
            <w:r w:rsidRPr="00897BAE">
              <w:rPr>
                <w:b/>
                <w:sz w:val="22"/>
                <w:szCs w:val="22"/>
              </w:rPr>
              <w:t>Total Responses Per Year</w:t>
            </w:r>
          </w:p>
        </w:tc>
        <w:tc>
          <w:tcPr>
            <w:tcW w:w="833" w:type="pct"/>
            <w:vAlign w:val="center"/>
          </w:tcPr>
          <w:p w:rsidR="00083BC9" w:rsidRPr="00897BAE" w:rsidRDefault="00083BC9" w:rsidP="00C82954">
            <w:pPr>
              <w:suppressAutoHyphens/>
              <w:jc w:val="center"/>
              <w:rPr>
                <w:b/>
                <w:sz w:val="22"/>
                <w:szCs w:val="22"/>
              </w:rPr>
            </w:pPr>
            <w:r w:rsidRPr="00897BAE">
              <w:rPr>
                <w:b/>
                <w:sz w:val="22"/>
                <w:szCs w:val="22"/>
              </w:rPr>
              <w:t>Hrs Per Response</w:t>
            </w:r>
          </w:p>
        </w:tc>
        <w:tc>
          <w:tcPr>
            <w:tcW w:w="833" w:type="pct"/>
            <w:vAlign w:val="center"/>
          </w:tcPr>
          <w:p w:rsidR="00083BC9" w:rsidRPr="00897BAE" w:rsidRDefault="00083BC9" w:rsidP="00C82954">
            <w:pPr>
              <w:suppressAutoHyphens/>
              <w:jc w:val="center"/>
              <w:rPr>
                <w:b/>
                <w:sz w:val="22"/>
                <w:szCs w:val="22"/>
              </w:rPr>
            </w:pPr>
            <w:r w:rsidRPr="00897BAE">
              <w:rPr>
                <w:b/>
                <w:sz w:val="22"/>
                <w:szCs w:val="22"/>
              </w:rPr>
              <w:t>Regional Office Respondents per Response</w:t>
            </w:r>
          </w:p>
        </w:tc>
        <w:tc>
          <w:tcPr>
            <w:tcW w:w="833" w:type="pct"/>
            <w:vAlign w:val="center"/>
          </w:tcPr>
          <w:p w:rsidR="00083BC9" w:rsidRPr="00897BAE" w:rsidRDefault="00083BC9" w:rsidP="00571CA0">
            <w:pPr>
              <w:suppressAutoHyphens/>
              <w:jc w:val="center"/>
              <w:rPr>
                <w:b/>
                <w:sz w:val="22"/>
                <w:szCs w:val="22"/>
              </w:rPr>
            </w:pPr>
            <w:r w:rsidRPr="00897BAE">
              <w:rPr>
                <w:b/>
                <w:sz w:val="22"/>
                <w:szCs w:val="22"/>
              </w:rPr>
              <w:t>Regional Ofc Salary</w:t>
            </w:r>
          </w:p>
          <w:p w:rsidR="00083BC9" w:rsidRPr="00897BAE" w:rsidRDefault="00083BC9" w:rsidP="00C82954">
            <w:pPr>
              <w:suppressAutoHyphens/>
              <w:jc w:val="center"/>
              <w:rPr>
                <w:b/>
                <w:sz w:val="22"/>
                <w:szCs w:val="22"/>
              </w:rPr>
            </w:pPr>
            <w:r w:rsidRPr="00897BAE">
              <w:rPr>
                <w:b/>
                <w:sz w:val="22"/>
                <w:szCs w:val="22"/>
              </w:rPr>
              <w:t>GS11/2</w:t>
            </w:r>
          </w:p>
        </w:tc>
        <w:tc>
          <w:tcPr>
            <w:tcW w:w="832" w:type="pct"/>
          </w:tcPr>
          <w:p w:rsidR="00083BC9" w:rsidRPr="00897BAE" w:rsidRDefault="00083BC9" w:rsidP="00C82954">
            <w:pPr>
              <w:suppressAutoHyphens/>
              <w:jc w:val="center"/>
              <w:rPr>
                <w:b/>
                <w:sz w:val="22"/>
                <w:szCs w:val="22"/>
              </w:rPr>
            </w:pPr>
          </w:p>
          <w:p w:rsidR="00083BC9" w:rsidRPr="00897BAE" w:rsidRDefault="00083BC9" w:rsidP="00C82954">
            <w:pPr>
              <w:suppressAutoHyphens/>
              <w:jc w:val="center"/>
              <w:rPr>
                <w:b/>
                <w:sz w:val="22"/>
                <w:szCs w:val="22"/>
              </w:rPr>
            </w:pPr>
            <w:r w:rsidRPr="00897BAE">
              <w:rPr>
                <w:b/>
                <w:sz w:val="22"/>
                <w:szCs w:val="22"/>
              </w:rPr>
              <w:t>Regional Office Salary Costs</w:t>
            </w:r>
          </w:p>
          <w:p w:rsidR="00083BC9" w:rsidRPr="00897BAE" w:rsidRDefault="00083BC9" w:rsidP="00C82954">
            <w:pPr>
              <w:suppressAutoHyphens/>
              <w:jc w:val="center"/>
              <w:rPr>
                <w:b/>
                <w:sz w:val="22"/>
                <w:szCs w:val="22"/>
              </w:rPr>
            </w:pPr>
          </w:p>
          <w:p w:rsidR="00083BC9" w:rsidRPr="00897BAE" w:rsidRDefault="00083BC9" w:rsidP="00AE4011">
            <w:pPr>
              <w:suppressAutoHyphens/>
              <w:rPr>
                <w:b/>
                <w:sz w:val="22"/>
                <w:szCs w:val="22"/>
              </w:rPr>
            </w:pPr>
          </w:p>
        </w:tc>
      </w:tr>
      <w:tr w:rsidR="00083BC9" w:rsidRPr="00897BAE" w:rsidTr="00083BC9">
        <w:trPr>
          <w:trHeight w:val="768"/>
        </w:trPr>
        <w:tc>
          <w:tcPr>
            <w:tcW w:w="943" w:type="pct"/>
            <w:vAlign w:val="center"/>
          </w:tcPr>
          <w:p w:rsidR="00083BC9" w:rsidRPr="00897BAE" w:rsidRDefault="00083BC9" w:rsidP="00C82954">
            <w:pPr>
              <w:suppressAutoHyphens/>
              <w:jc w:val="center"/>
              <w:rPr>
                <w:b/>
                <w:sz w:val="22"/>
                <w:szCs w:val="22"/>
              </w:rPr>
            </w:pPr>
            <w:r w:rsidRPr="00897BAE">
              <w:rPr>
                <w:b/>
                <w:sz w:val="22"/>
                <w:szCs w:val="22"/>
              </w:rPr>
              <w:t>Sampling Plan</w:t>
            </w:r>
          </w:p>
        </w:tc>
        <w:tc>
          <w:tcPr>
            <w:tcW w:w="725" w:type="pct"/>
            <w:vAlign w:val="center"/>
          </w:tcPr>
          <w:p w:rsidR="00083BC9" w:rsidRPr="00897BAE" w:rsidRDefault="00083BC9" w:rsidP="008737C5">
            <w:pPr>
              <w:jc w:val="center"/>
              <w:rPr>
                <w:color w:val="000000"/>
                <w:sz w:val="22"/>
                <w:szCs w:val="22"/>
              </w:rPr>
            </w:pPr>
            <w:r w:rsidRPr="00897BAE">
              <w:rPr>
                <w:color w:val="000000"/>
                <w:sz w:val="22"/>
                <w:szCs w:val="22"/>
              </w:rPr>
              <w:t>53</w:t>
            </w:r>
          </w:p>
        </w:tc>
        <w:tc>
          <w:tcPr>
            <w:tcW w:w="833" w:type="pct"/>
            <w:vAlign w:val="center"/>
          </w:tcPr>
          <w:p w:rsidR="00083BC9" w:rsidRPr="00897BAE" w:rsidRDefault="00083BC9" w:rsidP="008737C5">
            <w:pPr>
              <w:jc w:val="center"/>
              <w:rPr>
                <w:color w:val="000000"/>
                <w:sz w:val="22"/>
                <w:szCs w:val="22"/>
              </w:rPr>
            </w:pPr>
            <w:r w:rsidRPr="00897BAE">
              <w:rPr>
                <w:color w:val="000000"/>
                <w:sz w:val="22"/>
                <w:szCs w:val="22"/>
              </w:rPr>
              <w:t>24</w:t>
            </w:r>
          </w:p>
        </w:tc>
        <w:tc>
          <w:tcPr>
            <w:tcW w:w="833" w:type="pct"/>
            <w:vAlign w:val="center"/>
          </w:tcPr>
          <w:p w:rsidR="00083BC9" w:rsidRPr="00897BAE" w:rsidRDefault="00083BC9" w:rsidP="008737C5">
            <w:pPr>
              <w:jc w:val="center"/>
              <w:rPr>
                <w:color w:val="000000"/>
                <w:sz w:val="22"/>
                <w:szCs w:val="22"/>
              </w:rPr>
            </w:pPr>
            <w:r w:rsidRPr="00897BAE">
              <w:rPr>
                <w:color w:val="000000"/>
                <w:sz w:val="22"/>
                <w:szCs w:val="22"/>
              </w:rPr>
              <w:t>1</w:t>
            </w:r>
          </w:p>
        </w:tc>
        <w:tc>
          <w:tcPr>
            <w:tcW w:w="833" w:type="pct"/>
            <w:vAlign w:val="center"/>
          </w:tcPr>
          <w:p w:rsidR="00083BC9" w:rsidRPr="00897BAE" w:rsidRDefault="00083BC9" w:rsidP="008737C5">
            <w:pPr>
              <w:jc w:val="center"/>
              <w:rPr>
                <w:color w:val="000000"/>
                <w:sz w:val="22"/>
                <w:szCs w:val="22"/>
              </w:rPr>
            </w:pPr>
            <w:r w:rsidRPr="00897BAE">
              <w:rPr>
                <w:color w:val="000000"/>
                <w:sz w:val="22"/>
                <w:szCs w:val="22"/>
              </w:rPr>
              <w:t>$24.90</w:t>
            </w:r>
          </w:p>
        </w:tc>
        <w:tc>
          <w:tcPr>
            <w:tcW w:w="832" w:type="pct"/>
            <w:vAlign w:val="center"/>
          </w:tcPr>
          <w:p w:rsidR="00083BC9" w:rsidRPr="00897BAE" w:rsidRDefault="00083BC9" w:rsidP="008737C5">
            <w:pPr>
              <w:jc w:val="center"/>
              <w:rPr>
                <w:color w:val="000000"/>
                <w:sz w:val="22"/>
                <w:szCs w:val="22"/>
              </w:rPr>
            </w:pPr>
            <w:r w:rsidRPr="00897BAE">
              <w:rPr>
                <w:color w:val="000000"/>
                <w:sz w:val="22"/>
                <w:szCs w:val="22"/>
              </w:rPr>
              <w:t>$31,672.80</w:t>
            </w:r>
          </w:p>
        </w:tc>
      </w:tr>
      <w:tr w:rsidR="00083BC9" w:rsidRPr="00897BAE" w:rsidTr="00083BC9">
        <w:trPr>
          <w:trHeight w:val="768"/>
        </w:trPr>
        <w:tc>
          <w:tcPr>
            <w:tcW w:w="943" w:type="pct"/>
            <w:vAlign w:val="center"/>
          </w:tcPr>
          <w:p w:rsidR="00083BC9" w:rsidRPr="00897BAE" w:rsidRDefault="00083BC9" w:rsidP="00C82954">
            <w:pPr>
              <w:suppressAutoHyphens/>
              <w:jc w:val="center"/>
              <w:rPr>
                <w:b/>
                <w:sz w:val="22"/>
                <w:szCs w:val="22"/>
              </w:rPr>
            </w:pPr>
            <w:r w:rsidRPr="00897BAE">
              <w:rPr>
                <w:b/>
                <w:sz w:val="22"/>
                <w:szCs w:val="22"/>
              </w:rPr>
              <w:t>Arbitration</w:t>
            </w:r>
          </w:p>
        </w:tc>
        <w:tc>
          <w:tcPr>
            <w:tcW w:w="725" w:type="pct"/>
            <w:vAlign w:val="center"/>
          </w:tcPr>
          <w:p w:rsidR="00083BC9" w:rsidRPr="00897BAE" w:rsidRDefault="00083BC9" w:rsidP="008737C5">
            <w:pPr>
              <w:jc w:val="center"/>
              <w:rPr>
                <w:color w:val="000000"/>
                <w:sz w:val="22"/>
                <w:szCs w:val="22"/>
              </w:rPr>
            </w:pPr>
            <w:r w:rsidRPr="00897BAE">
              <w:rPr>
                <w:color w:val="000000"/>
                <w:sz w:val="22"/>
                <w:szCs w:val="22"/>
              </w:rPr>
              <w:t>33</w:t>
            </w:r>
          </w:p>
        </w:tc>
        <w:tc>
          <w:tcPr>
            <w:tcW w:w="833" w:type="pct"/>
            <w:vAlign w:val="center"/>
          </w:tcPr>
          <w:p w:rsidR="00083BC9" w:rsidRPr="00897BAE" w:rsidRDefault="00083BC9" w:rsidP="008737C5">
            <w:pPr>
              <w:jc w:val="center"/>
              <w:rPr>
                <w:color w:val="000000"/>
                <w:sz w:val="22"/>
                <w:szCs w:val="22"/>
              </w:rPr>
            </w:pPr>
            <w:r w:rsidRPr="00897BAE">
              <w:rPr>
                <w:color w:val="000000"/>
                <w:sz w:val="22"/>
                <w:szCs w:val="22"/>
              </w:rPr>
              <w:t>5</w:t>
            </w:r>
          </w:p>
        </w:tc>
        <w:tc>
          <w:tcPr>
            <w:tcW w:w="833" w:type="pct"/>
            <w:vAlign w:val="center"/>
          </w:tcPr>
          <w:p w:rsidR="00083BC9" w:rsidRPr="00897BAE" w:rsidRDefault="00083BC9" w:rsidP="00FC0BB8">
            <w:pPr>
              <w:jc w:val="center"/>
              <w:rPr>
                <w:color w:val="000000"/>
                <w:sz w:val="22"/>
                <w:szCs w:val="22"/>
              </w:rPr>
            </w:pPr>
            <w:r w:rsidRPr="00897BAE">
              <w:rPr>
                <w:color w:val="000000"/>
                <w:sz w:val="22"/>
                <w:szCs w:val="22"/>
              </w:rPr>
              <w:t>2</w:t>
            </w:r>
          </w:p>
        </w:tc>
        <w:tc>
          <w:tcPr>
            <w:tcW w:w="833" w:type="pct"/>
            <w:vAlign w:val="center"/>
          </w:tcPr>
          <w:p w:rsidR="00083BC9" w:rsidRPr="00897BAE" w:rsidRDefault="00083BC9" w:rsidP="008737C5">
            <w:pPr>
              <w:jc w:val="center"/>
              <w:rPr>
                <w:color w:val="000000"/>
                <w:sz w:val="22"/>
                <w:szCs w:val="22"/>
              </w:rPr>
            </w:pPr>
            <w:r w:rsidRPr="00897BAE">
              <w:rPr>
                <w:color w:val="000000"/>
                <w:sz w:val="22"/>
                <w:szCs w:val="22"/>
              </w:rPr>
              <w:t>$24.90</w:t>
            </w:r>
          </w:p>
        </w:tc>
        <w:tc>
          <w:tcPr>
            <w:tcW w:w="832" w:type="pct"/>
            <w:vAlign w:val="center"/>
          </w:tcPr>
          <w:p w:rsidR="00083BC9" w:rsidRPr="00897BAE" w:rsidRDefault="00083BC9" w:rsidP="008737C5">
            <w:pPr>
              <w:jc w:val="center"/>
              <w:rPr>
                <w:color w:val="000000"/>
                <w:sz w:val="22"/>
                <w:szCs w:val="22"/>
              </w:rPr>
            </w:pPr>
            <w:r w:rsidRPr="00897BAE">
              <w:rPr>
                <w:color w:val="000000"/>
                <w:sz w:val="22"/>
                <w:szCs w:val="22"/>
              </w:rPr>
              <w:t>$8,217.00</w:t>
            </w:r>
          </w:p>
        </w:tc>
      </w:tr>
      <w:tr w:rsidR="00083BC9" w:rsidRPr="00897BAE" w:rsidTr="00083BC9">
        <w:trPr>
          <w:trHeight w:val="768"/>
        </w:trPr>
        <w:tc>
          <w:tcPr>
            <w:tcW w:w="943" w:type="pct"/>
            <w:vAlign w:val="center"/>
          </w:tcPr>
          <w:p w:rsidR="00083BC9" w:rsidRPr="00897BAE" w:rsidRDefault="00083BC9" w:rsidP="00C82954">
            <w:pPr>
              <w:suppressAutoHyphens/>
              <w:jc w:val="center"/>
              <w:rPr>
                <w:b/>
                <w:sz w:val="22"/>
                <w:szCs w:val="22"/>
              </w:rPr>
            </w:pPr>
            <w:r w:rsidRPr="00897BAE">
              <w:rPr>
                <w:b/>
                <w:sz w:val="22"/>
                <w:szCs w:val="22"/>
              </w:rPr>
              <w:t>Good Cause</w:t>
            </w:r>
          </w:p>
        </w:tc>
        <w:tc>
          <w:tcPr>
            <w:tcW w:w="725" w:type="pct"/>
            <w:vAlign w:val="center"/>
          </w:tcPr>
          <w:p w:rsidR="00083BC9" w:rsidRPr="00897BAE" w:rsidRDefault="00083BC9" w:rsidP="008737C5">
            <w:pPr>
              <w:jc w:val="center"/>
              <w:rPr>
                <w:color w:val="000000"/>
                <w:sz w:val="22"/>
                <w:szCs w:val="22"/>
              </w:rPr>
            </w:pPr>
            <w:r w:rsidRPr="00897BAE">
              <w:rPr>
                <w:color w:val="000000"/>
                <w:sz w:val="22"/>
                <w:szCs w:val="22"/>
              </w:rPr>
              <w:t>2</w:t>
            </w:r>
          </w:p>
        </w:tc>
        <w:tc>
          <w:tcPr>
            <w:tcW w:w="833" w:type="pct"/>
            <w:vAlign w:val="center"/>
          </w:tcPr>
          <w:p w:rsidR="00083BC9" w:rsidRPr="00897BAE" w:rsidRDefault="00083BC9" w:rsidP="008737C5">
            <w:pPr>
              <w:jc w:val="center"/>
              <w:rPr>
                <w:color w:val="000000"/>
                <w:sz w:val="22"/>
                <w:szCs w:val="22"/>
              </w:rPr>
            </w:pPr>
            <w:r w:rsidRPr="00897BAE">
              <w:rPr>
                <w:color w:val="000000"/>
                <w:sz w:val="22"/>
                <w:szCs w:val="22"/>
              </w:rPr>
              <w:t>0</w:t>
            </w:r>
          </w:p>
        </w:tc>
        <w:tc>
          <w:tcPr>
            <w:tcW w:w="833" w:type="pct"/>
            <w:vAlign w:val="center"/>
          </w:tcPr>
          <w:p w:rsidR="00083BC9" w:rsidRPr="00897BAE" w:rsidRDefault="00083BC9" w:rsidP="008737C5">
            <w:pPr>
              <w:jc w:val="center"/>
              <w:rPr>
                <w:color w:val="000000"/>
                <w:sz w:val="22"/>
                <w:szCs w:val="22"/>
              </w:rPr>
            </w:pPr>
            <w:r w:rsidRPr="00897BAE">
              <w:rPr>
                <w:color w:val="000000"/>
                <w:sz w:val="22"/>
                <w:szCs w:val="22"/>
              </w:rPr>
              <w:t>0</w:t>
            </w:r>
          </w:p>
        </w:tc>
        <w:tc>
          <w:tcPr>
            <w:tcW w:w="833" w:type="pct"/>
            <w:vAlign w:val="center"/>
          </w:tcPr>
          <w:p w:rsidR="00083BC9" w:rsidRPr="00897BAE" w:rsidRDefault="00083BC9" w:rsidP="008737C5">
            <w:pPr>
              <w:jc w:val="center"/>
              <w:rPr>
                <w:color w:val="000000"/>
                <w:sz w:val="22"/>
                <w:szCs w:val="22"/>
              </w:rPr>
            </w:pPr>
            <w:r w:rsidRPr="00897BAE">
              <w:rPr>
                <w:color w:val="000000"/>
                <w:sz w:val="22"/>
                <w:szCs w:val="22"/>
              </w:rPr>
              <w:t>$24.90</w:t>
            </w:r>
          </w:p>
        </w:tc>
        <w:tc>
          <w:tcPr>
            <w:tcW w:w="832" w:type="pct"/>
            <w:vAlign w:val="center"/>
          </w:tcPr>
          <w:p w:rsidR="00083BC9" w:rsidRPr="00897BAE" w:rsidRDefault="00083BC9" w:rsidP="008737C5">
            <w:pPr>
              <w:jc w:val="center"/>
              <w:rPr>
                <w:color w:val="000000"/>
                <w:sz w:val="22"/>
                <w:szCs w:val="22"/>
              </w:rPr>
            </w:pPr>
            <w:r w:rsidRPr="00897BAE">
              <w:rPr>
                <w:color w:val="000000"/>
                <w:sz w:val="22"/>
                <w:szCs w:val="22"/>
              </w:rPr>
              <w:t>$0</w:t>
            </w:r>
          </w:p>
        </w:tc>
      </w:tr>
    </w:tbl>
    <w:p w:rsidR="005A5E7E" w:rsidRPr="00897BAE" w:rsidRDefault="005A5E7E" w:rsidP="002977C0">
      <w:pPr>
        <w:pStyle w:val="BodyText2"/>
        <w:ind w:left="90" w:right="-180"/>
        <w:contextualSpacing/>
        <w:rPr>
          <w:sz w:val="22"/>
          <w:szCs w:val="22"/>
          <w:u w:val="none"/>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18"/>
        <w:gridCol w:w="1354"/>
        <w:gridCol w:w="1682"/>
        <w:gridCol w:w="1574"/>
        <w:gridCol w:w="1574"/>
        <w:gridCol w:w="1574"/>
        <w:tblGridChange w:id="2">
          <w:tblGrid>
            <w:gridCol w:w="1818"/>
            <w:gridCol w:w="1354"/>
            <w:gridCol w:w="1682"/>
            <w:gridCol w:w="1574"/>
            <w:gridCol w:w="1574"/>
            <w:gridCol w:w="1574"/>
          </w:tblGrid>
        </w:tblGridChange>
      </w:tblGrid>
      <w:tr w:rsidR="00AE4011" w:rsidRPr="00897BAE" w:rsidTr="00AE4011">
        <w:trPr>
          <w:trHeight w:val="552"/>
        </w:trPr>
        <w:tc>
          <w:tcPr>
            <w:tcW w:w="949" w:type="pct"/>
            <w:vAlign w:val="center"/>
          </w:tcPr>
          <w:p w:rsidR="00AE4011" w:rsidRPr="00897BAE" w:rsidRDefault="00AE4011" w:rsidP="00571CA0">
            <w:pPr>
              <w:suppressAutoHyphens/>
              <w:jc w:val="center"/>
              <w:rPr>
                <w:b/>
                <w:sz w:val="22"/>
                <w:szCs w:val="22"/>
              </w:rPr>
            </w:pPr>
            <w:r w:rsidRPr="00897BAE">
              <w:rPr>
                <w:b/>
                <w:sz w:val="22"/>
                <w:szCs w:val="22"/>
              </w:rPr>
              <w:t>Requirement</w:t>
            </w:r>
          </w:p>
          <w:p w:rsidR="00AE4011" w:rsidRPr="00897BAE" w:rsidRDefault="00AE4011" w:rsidP="00571CA0">
            <w:pPr>
              <w:suppressAutoHyphens/>
              <w:jc w:val="center"/>
              <w:rPr>
                <w:b/>
                <w:sz w:val="22"/>
                <w:szCs w:val="22"/>
              </w:rPr>
            </w:pPr>
            <w:r w:rsidRPr="00897BAE">
              <w:rPr>
                <w:b/>
                <w:sz w:val="22"/>
                <w:szCs w:val="22"/>
              </w:rPr>
              <w:t>National Offices</w:t>
            </w:r>
          </w:p>
        </w:tc>
        <w:tc>
          <w:tcPr>
            <w:tcW w:w="707" w:type="pct"/>
            <w:vAlign w:val="center"/>
          </w:tcPr>
          <w:p w:rsidR="00AE4011" w:rsidRPr="00897BAE" w:rsidRDefault="00AE4011" w:rsidP="00571CA0">
            <w:pPr>
              <w:suppressAutoHyphens/>
              <w:jc w:val="center"/>
              <w:rPr>
                <w:b/>
                <w:sz w:val="22"/>
                <w:szCs w:val="22"/>
              </w:rPr>
            </w:pPr>
            <w:r w:rsidRPr="00897BAE">
              <w:rPr>
                <w:b/>
                <w:sz w:val="22"/>
                <w:szCs w:val="22"/>
              </w:rPr>
              <w:t>Total Responses Per Year</w:t>
            </w:r>
          </w:p>
        </w:tc>
        <w:tc>
          <w:tcPr>
            <w:tcW w:w="878" w:type="pct"/>
            <w:vAlign w:val="center"/>
          </w:tcPr>
          <w:p w:rsidR="00AE4011" w:rsidRPr="00897BAE" w:rsidRDefault="00AE4011" w:rsidP="00571CA0">
            <w:pPr>
              <w:suppressAutoHyphens/>
              <w:jc w:val="center"/>
              <w:rPr>
                <w:b/>
                <w:sz w:val="22"/>
                <w:szCs w:val="22"/>
              </w:rPr>
            </w:pPr>
            <w:r w:rsidRPr="00897BAE">
              <w:rPr>
                <w:b/>
                <w:sz w:val="22"/>
                <w:szCs w:val="22"/>
              </w:rPr>
              <w:t>Hrs Per Response</w:t>
            </w:r>
          </w:p>
        </w:tc>
        <w:tc>
          <w:tcPr>
            <w:tcW w:w="822" w:type="pct"/>
            <w:vAlign w:val="center"/>
          </w:tcPr>
          <w:p w:rsidR="00AE4011" w:rsidRPr="00897BAE" w:rsidRDefault="00AE4011" w:rsidP="00AE4011">
            <w:pPr>
              <w:suppressAutoHyphens/>
              <w:jc w:val="center"/>
              <w:rPr>
                <w:b/>
                <w:sz w:val="22"/>
                <w:szCs w:val="22"/>
              </w:rPr>
            </w:pPr>
            <w:r w:rsidRPr="00897BAE">
              <w:rPr>
                <w:b/>
                <w:sz w:val="22"/>
                <w:szCs w:val="22"/>
              </w:rPr>
              <w:t>N.O Respondents</w:t>
            </w:r>
            <w:r w:rsidR="00083BC9" w:rsidRPr="00897BAE">
              <w:rPr>
                <w:b/>
                <w:sz w:val="22"/>
                <w:szCs w:val="22"/>
              </w:rPr>
              <w:t xml:space="preserve"> per Response</w:t>
            </w:r>
          </w:p>
        </w:tc>
        <w:tc>
          <w:tcPr>
            <w:tcW w:w="822" w:type="pct"/>
          </w:tcPr>
          <w:p w:rsidR="00AE4011" w:rsidRPr="00897BAE" w:rsidRDefault="00AE4011" w:rsidP="00571CA0">
            <w:pPr>
              <w:suppressAutoHyphens/>
              <w:jc w:val="center"/>
              <w:rPr>
                <w:b/>
                <w:sz w:val="22"/>
                <w:szCs w:val="22"/>
              </w:rPr>
            </w:pPr>
            <w:r w:rsidRPr="00897BAE">
              <w:rPr>
                <w:b/>
                <w:sz w:val="22"/>
                <w:szCs w:val="22"/>
              </w:rPr>
              <w:t>N.O</w:t>
            </w:r>
          </w:p>
          <w:p w:rsidR="00AE4011" w:rsidRPr="00897BAE" w:rsidRDefault="00AE4011" w:rsidP="00571CA0">
            <w:pPr>
              <w:suppressAutoHyphens/>
              <w:jc w:val="center"/>
              <w:rPr>
                <w:b/>
                <w:sz w:val="22"/>
                <w:szCs w:val="22"/>
              </w:rPr>
            </w:pPr>
            <w:r w:rsidRPr="00897BAE">
              <w:rPr>
                <w:b/>
                <w:sz w:val="22"/>
                <w:szCs w:val="22"/>
              </w:rPr>
              <w:t>Salary</w:t>
            </w:r>
          </w:p>
          <w:p w:rsidR="00AE4011" w:rsidRPr="00897BAE" w:rsidRDefault="00AE4011" w:rsidP="00571CA0">
            <w:pPr>
              <w:suppressAutoHyphens/>
              <w:jc w:val="center"/>
              <w:rPr>
                <w:b/>
                <w:sz w:val="22"/>
                <w:szCs w:val="22"/>
              </w:rPr>
            </w:pPr>
            <w:r w:rsidRPr="00897BAE">
              <w:rPr>
                <w:b/>
                <w:sz w:val="22"/>
                <w:szCs w:val="22"/>
              </w:rPr>
              <w:t>GS 12/6 base</w:t>
            </w:r>
          </w:p>
        </w:tc>
        <w:tc>
          <w:tcPr>
            <w:tcW w:w="822" w:type="pct"/>
          </w:tcPr>
          <w:p w:rsidR="00AE4011" w:rsidRPr="00897BAE" w:rsidRDefault="00AE4011" w:rsidP="00571CA0">
            <w:pPr>
              <w:suppressAutoHyphens/>
              <w:jc w:val="center"/>
              <w:rPr>
                <w:b/>
                <w:sz w:val="22"/>
                <w:szCs w:val="22"/>
              </w:rPr>
            </w:pPr>
            <w:r w:rsidRPr="00897BAE">
              <w:rPr>
                <w:b/>
                <w:sz w:val="22"/>
                <w:szCs w:val="22"/>
              </w:rPr>
              <w:t>National Office Salary Costs</w:t>
            </w:r>
          </w:p>
        </w:tc>
      </w:tr>
      <w:tr w:rsidR="00AE4011" w:rsidRPr="00897BAE" w:rsidTr="00AE4011">
        <w:trPr>
          <w:trHeight w:val="552"/>
        </w:trPr>
        <w:tc>
          <w:tcPr>
            <w:tcW w:w="949" w:type="pct"/>
            <w:vAlign w:val="center"/>
          </w:tcPr>
          <w:p w:rsidR="00AE4011" w:rsidRPr="00897BAE" w:rsidRDefault="00AE4011" w:rsidP="00571CA0">
            <w:pPr>
              <w:suppressAutoHyphens/>
              <w:jc w:val="center"/>
              <w:rPr>
                <w:b/>
                <w:sz w:val="22"/>
                <w:szCs w:val="22"/>
              </w:rPr>
            </w:pPr>
            <w:r w:rsidRPr="00897BAE">
              <w:rPr>
                <w:b/>
                <w:sz w:val="22"/>
                <w:szCs w:val="22"/>
              </w:rPr>
              <w:t>Sampling Plan</w:t>
            </w:r>
          </w:p>
        </w:tc>
        <w:tc>
          <w:tcPr>
            <w:tcW w:w="707" w:type="pct"/>
            <w:vAlign w:val="center"/>
          </w:tcPr>
          <w:p w:rsidR="00AE4011" w:rsidRPr="00897BAE" w:rsidRDefault="00AE4011" w:rsidP="00571CA0">
            <w:pPr>
              <w:jc w:val="center"/>
              <w:rPr>
                <w:color w:val="000000"/>
                <w:sz w:val="22"/>
                <w:szCs w:val="22"/>
              </w:rPr>
            </w:pPr>
            <w:r w:rsidRPr="00897BAE">
              <w:rPr>
                <w:color w:val="000000"/>
                <w:sz w:val="22"/>
                <w:szCs w:val="22"/>
              </w:rPr>
              <w:t>53</w:t>
            </w:r>
          </w:p>
        </w:tc>
        <w:tc>
          <w:tcPr>
            <w:tcW w:w="878" w:type="pct"/>
            <w:vAlign w:val="center"/>
          </w:tcPr>
          <w:p w:rsidR="00AE4011" w:rsidRPr="00897BAE" w:rsidRDefault="00083BC9" w:rsidP="00571CA0">
            <w:pPr>
              <w:jc w:val="center"/>
              <w:rPr>
                <w:color w:val="000000"/>
                <w:sz w:val="22"/>
                <w:szCs w:val="22"/>
              </w:rPr>
            </w:pPr>
            <w:r w:rsidRPr="00897BAE">
              <w:rPr>
                <w:color w:val="000000"/>
                <w:sz w:val="22"/>
                <w:szCs w:val="22"/>
              </w:rPr>
              <w:t>0</w:t>
            </w:r>
          </w:p>
        </w:tc>
        <w:tc>
          <w:tcPr>
            <w:tcW w:w="822" w:type="pct"/>
            <w:vAlign w:val="center"/>
          </w:tcPr>
          <w:p w:rsidR="00AE4011" w:rsidRPr="00897BAE" w:rsidRDefault="00AE4011" w:rsidP="00571CA0">
            <w:pPr>
              <w:jc w:val="center"/>
              <w:rPr>
                <w:color w:val="000000"/>
                <w:sz w:val="22"/>
                <w:szCs w:val="22"/>
              </w:rPr>
            </w:pPr>
            <w:r w:rsidRPr="00897BAE">
              <w:rPr>
                <w:color w:val="000000"/>
                <w:sz w:val="22"/>
                <w:szCs w:val="22"/>
              </w:rPr>
              <w:t>0</w:t>
            </w:r>
          </w:p>
        </w:tc>
        <w:tc>
          <w:tcPr>
            <w:tcW w:w="822" w:type="pct"/>
            <w:vAlign w:val="center"/>
          </w:tcPr>
          <w:p w:rsidR="00AE4011" w:rsidRPr="00897BAE" w:rsidRDefault="00AE4011" w:rsidP="00571CA0">
            <w:pPr>
              <w:jc w:val="center"/>
              <w:rPr>
                <w:color w:val="000000"/>
                <w:sz w:val="22"/>
                <w:szCs w:val="22"/>
              </w:rPr>
            </w:pPr>
            <w:r w:rsidRPr="00897BAE">
              <w:rPr>
                <w:color w:val="000000"/>
                <w:sz w:val="22"/>
                <w:szCs w:val="22"/>
              </w:rPr>
              <w:t>$33.69</w:t>
            </w:r>
          </w:p>
        </w:tc>
        <w:tc>
          <w:tcPr>
            <w:tcW w:w="822" w:type="pct"/>
            <w:vAlign w:val="center"/>
          </w:tcPr>
          <w:p w:rsidR="00AE4011" w:rsidRPr="00897BAE" w:rsidRDefault="00AE4011" w:rsidP="00571CA0">
            <w:pPr>
              <w:jc w:val="center"/>
              <w:rPr>
                <w:color w:val="000000"/>
                <w:sz w:val="22"/>
                <w:szCs w:val="22"/>
              </w:rPr>
            </w:pPr>
            <w:r w:rsidRPr="00897BAE">
              <w:rPr>
                <w:color w:val="000000"/>
                <w:sz w:val="22"/>
                <w:szCs w:val="22"/>
              </w:rPr>
              <w:t>0</w:t>
            </w:r>
          </w:p>
        </w:tc>
      </w:tr>
      <w:tr w:rsidR="00AE4011" w:rsidRPr="00897BAE" w:rsidTr="00AE4011">
        <w:trPr>
          <w:trHeight w:val="552"/>
        </w:trPr>
        <w:tc>
          <w:tcPr>
            <w:tcW w:w="949" w:type="pct"/>
            <w:vAlign w:val="center"/>
          </w:tcPr>
          <w:p w:rsidR="00AE4011" w:rsidRPr="00897BAE" w:rsidRDefault="00AE4011" w:rsidP="00571CA0">
            <w:pPr>
              <w:suppressAutoHyphens/>
              <w:jc w:val="center"/>
              <w:rPr>
                <w:b/>
                <w:sz w:val="22"/>
                <w:szCs w:val="22"/>
              </w:rPr>
            </w:pPr>
            <w:r w:rsidRPr="00897BAE">
              <w:rPr>
                <w:b/>
                <w:sz w:val="22"/>
                <w:szCs w:val="22"/>
              </w:rPr>
              <w:t>Arbitration</w:t>
            </w:r>
          </w:p>
        </w:tc>
        <w:tc>
          <w:tcPr>
            <w:tcW w:w="707" w:type="pct"/>
            <w:vAlign w:val="center"/>
          </w:tcPr>
          <w:p w:rsidR="00AE4011" w:rsidRPr="00897BAE" w:rsidRDefault="00AE4011" w:rsidP="00571CA0">
            <w:pPr>
              <w:jc w:val="center"/>
              <w:rPr>
                <w:color w:val="000000"/>
                <w:sz w:val="22"/>
                <w:szCs w:val="22"/>
              </w:rPr>
            </w:pPr>
            <w:r w:rsidRPr="00897BAE">
              <w:rPr>
                <w:color w:val="000000"/>
                <w:sz w:val="22"/>
                <w:szCs w:val="22"/>
              </w:rPr>
              <w:t>33</w:t>
            </w:r>
          </w:p>
        </w:tc>
        <w:tc>
          <w:tcPr>
            <w:tcW w:w="878" w:type="pct"/>
            <w:vAlign w:val="center"/>
          </w:tcPr>
          <w:p w:rsidR="00AE4011" w:rsidRPr="00897BAE" w:rsidRDefault="002B2003" w:rsidP="00571CA0">
            <w:pPr>
              <w:jc w:val="center"/>
              <w:rPr>
                <w:color w:val="000000"/>
                <w:sz w:val="22"/>
                <w:szCs w:val="22"/>
              </w:rPr>
            </w:pPr>
            <w:r>
              <w:rPr>
                <w:color w:val="000000"/>
                <w:sz w:val="22"/>
                <w:szCs w:val="22"/>
              </w:rPr>
              <w:t>18</w:t>
            </w:r>
          </w:p>
        </w:tc>
        <w:tc>
          <w:tcPr>
            <w:tcW w:w="822" w:type="pct"/>
            <w:vAlign w:val="center"/>
          </w:tcPr>
          <w:p w:rsidR="00AE4011" w:rsidRPr="00897BAE" w:rsidRDefault="00AE4011" w:rsidP="00571CA0">
            <w:pPr>
              <w:jc w:val="center"/>
              <w:rPr>
                <w:color w:val="000000"/>
                <w:sz w:val="22"/>
                <w:szCs w:val="22"/>
              </w:rPr>
            </w:pPr>
            <w:r w:rsidRPr="00897BAE">
              <w:rPr>
                <w:color w:val="000000"/>
                <w:sz w:val="22"/>
                <w:szCs w:val="22"/>
              </w:rPr>
              <w:t>1</w:t>
            </w:r>
          </w:p>
        </w:tc>
        <w:tc>
          <w:tcPr>
            <w:tcW w:w="822" w:type="pct"/>
            <w:vAlign w:val="center"/>
          </w:tcPr>
          <w:p w:rsidR="00AE4011" w:rsidRPr="00897BAE" w:rsidRDefault="00AE4011" w:rsidP="00571CA0">
            <w:pPr>
              <w:jc w:val="center"/>
              <w:rPr>
                <w:color w:val="000000"/>
                <w:sz w:val="22"/>
                <w:szCs w:val="22"/>
              </w:rPr>
            </w:pPr>
            <w:r w:rsidRPr="00897BAE">
              <w:rPr>
                <w:color w:val="000000"/>
                <w:sz w:val="22"/>
                <w:szCs w:val="22"/>
              </w:rPr>
              <w:t>$33.69</w:t>
            </w:r>
          </w:p>
        </w:tc>
        <w:tc>
          <w:tcPr>
            <w:tcW w:w="822" w:type="pct"/>
            <w:vAlign w:val="center"/>
          </w:tcPr>
          <w:p w:rsidR="00AE4011" w:rsidRPr="00897BAE" w:rsidRDefault="00AE4011" w:rsidP="002B2003">
            <w:pPr>
              <w:jc w:val="center"/>
              <w:rPr>
                <w:color w:val="000000"/>
                <w:sz w:val="22"/>
                <w:szCs w:val="22"/>
              </w:rPr>
            </w:pPr>
            <w:r w:rsidRPr="00897BAE">
              <w:rPr>
                <w:color w:val="000000"/>
                <w:sz w:val="22"/>
                <w:szCs w:val="22"/>
              </w:rPr>
              <w:t>$</w:t>
            </w:r>
            <w:r w:rsidR="002B2003">
              <w:rPr>
                <w:color w:val="000000"/>
                <w:sz w:val="22"/>
                <w:szCs w:val="22"/>
              </w:rPr>
              <w:t>20,011.86</w:t>
            </w:r>
          </w:p>
        </w:tc>
      </w:tr>
      <w:tr w:rsidR="00AE4011" w:rsidRPr="00897BAE" w:rsidTr="00AE4011">
        <w:trPr>
          <w:trHeight w:val="552"/>
        </w:trPr>
        <w:tc>
          <w:tcPr>
            <w:tcW w:w="949" w:type="pct"/>
            <w:vAlign w:val="center"/>
          </w:tcPr>
          <w:p w:rsidR="00AE4011" w:rsidRPr="00897BAE" w:rsidRDefault="00AE4011" w:rsidP="00571CA0">
            <w:pPr>
              <w:suppressAutoHyphens/>
              <w:jc w:val="center"/>
              <w:rPr>
                <w:b/>
                <w:sz w:val="22"/>
                <w:szCs w:val="22"/>
              </w:rPr>
            </w:pPr>
            <w:r w:rsidRPr="00897BAE">
              <w:rPr>
                <w:b/>
                <w:sz w:val="22"/>
                <w:szCs w:val="22"/>
              </w:rPr>
              <w:t>Good Cause</w:t>
            </w:r>
          </w:p>
        </w:tc>
        <w:tc>
          <w:tcPr>
            <w:tcW w:w="707" w:type="pct"/>
            <w:vAlign w:val="center"/>
          </w:tcPr>
          <w:p w:rsidR="00AE4011" w:rsidRPr="00897BAE" w:rsidRDefault="00AE4011" w:rsidP="00571CA0">
            <w:pPr>
              <w:jc w:val="center"/>
              <w:rPr>
                <w:color w:val="000000"/>
                <w:sz w:val="22"/>
                <w:szCs w:val="22"/>
              </w:rPr>
            </w:pPr>
            <w:r w:rsidRPr="00897BAE">
              <w:rPr>
                <w:color w:val="000000"/>
                <w:sz w:val="22"/>
                <w:szCs w:val="22"/>
              </w:rPr>
              <w:t>2</w:t>
            </w:r>
          </w:p>
        </w:tc>
        <w:tc>
          <w:tcPr>
            <w:tcW w:w="878" w:type="pct"/>
            <w:vAlign w:val="center"/>
          </w:tcPr>
          <w:p w:rsidR="00AE4011" w:rsidRPr="00897BAE" w:rsidRDefault="00AE4011" w:rsidP="00571CA0">
            <w:pPr>
              <w:jc w:val="center"/>
              <w:rPr>
                <w:color w:val="000000"/>
                <w:sz w:val="22"/>
                <w:szCs w:val="22"/>
              </w:rPr>
            </w:pPr>
            <w:r w:rsidRPr="00897BAE">
              <w:rPr>
                <w:color w:val="000000"/>
                <w:sz w:val="22"/>
                <w:szCs w:val="22"/>
              </w:rPr>
              <w:t>50</w:t>
            </w:r>
          </w:p>
        </w:tc>
        <w:tc>
          <w:tcPr>
            <w:tcW w:w="822" w:type="pct"/>
            <w:vAlign w:val="center"/>
          </w:tcPr>
          <w:p w:rsidR="00AE4011" w:rsidRPr="00897BAE" w:rsidRDefault="00AE4011" w:rsidP="00571CA0">
            <w:pPr>
              <w:jc w:val="center"/>
              <w:rPr>
                <w:color w:val="000000"/>
                <w:sz w:val="22"/>
                <w:szCs w:val="22"/>
              </w:rPr>
            </w:pPr>
            <w:r w:rsidRPr="00897BAE">
              <w:rPr>
                <w:color w:val="000000"/>
                <w:sz w:val="22"/>
                <w:szCs w:val="22"/>
              </w:rPr>
              <w:t>4</w:t>
            </w:r>
          </w:p>
        </w:tc>
        <w:tc>
          <w:tcPr>
            <w:tcW w:w="822" w:type="pct"/>
            <w:vAlign w:val="center"/>
          </w:tcPr>
          <w:p w:rsidR="00AE4011" w:rsidRPr="00897BAE" w:rsidRDefault="00AE4011" w:rsidP="00571CA0">
            <w:pPr>
              <w:jc w:val="center"/>
              <w:rPr>
                <w:color w:val="000000"/>
                <w:sz w:val="22"/>
                <w:szCs w:val="22"/>
              </w:rPr>
            </w:pPr>
            <w:r w:rsidRPr="00897BAE">
              <w:rPr>
                <w:color w:val="000000"/>
                <w:sz w:val="22"/>
                <w:szCs w:val="22"/>
              </w:rPr>
              <w:t>$33.69</w:t>
            </w:r>
          </w:p>
        </w:tc>
        <w:tc>
          <w:tcPr>
            <w:tcW w:w="822" w:type="pct"/>
            <w:vAlign w:val="center"/>
          </w:tcPr>
          <w:p w:rsidR="00AE4011" w:rsidRPr="00897BAE" w:rsidRDefault="00AE4011" w:rsidP="00571CA0">
            <w:pPr>
              <w:jc w:val="center"/>
              <w:rPr>
                <w:color w:val="000000"/>
                <w:sz w:val="22"/>
                <w:szCs w:val="22"/>
              </w:rPr>
            </w:pPr>
            <w:r w:rsidRPr="00897BAE">
              <w:rPr>
                <w:color w:val="000000"/>
                <w:sz w:val="22"/>
                <w:szCs w:val="22"/>
              </w:rPr>
              <w:t>$13,476</w:t>
            </w:r>
          </w:p>
        </w:tc>
      </w:tr>
    </w:tbl>
    <w:p w:rsidR="00571CA0" w:rsidRPr="00897BAE" w:rsidRDefault="00571CA0" w:rsidP="007578E8">
      <w:pPr>
        <w:pStyle w:val="BodyText2"/>
        <w:ind w:right="-180"/>
        <w:contextualSpacing/>
        <w:rPr>
          <w:sz w:val="22"/>
          <w:szCs w:val="22"/>
          <w:u w:val="none"/>
        </w:rPr>
      </w:pPr>
    </w:p>
    <w:p w:rsidR="00571CA0" w:rsidRPr="00897BAE" w:rsidRDefault="00571CA0" w:rsidP="002977C0">
      <w:pPr>
        <w:pStyle w:val="BodyText2"/>
        <w:ind w:left="90" w:right="-180"/>
        <w:contextualSpacing/>
        <w:rPr>
          <w:sz w:val="22"/>
          <w:szCs w:val="22"/>
          <w:u w:val="none"/>
        </w:rPr>
      </w:pPr>
    </w:p>
    <w:tbl>
      <w:tblPr>
        <w:tblW w:w="9558" w:type="dxa"/>
        <w:jc w:val="center"/>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89"/>
        <w:gridCol w:w="2390"/>
        <w:gridCol w:w="2389"/>
        <w:gridCol w:w="2390"/>
      </w:tblGrid>
      <w:tr w:rsidR="00A04D8B" w:rsidRPr="00897BAE" w:rsidTr="00815AC0">
        <w:trPr>
          <w:trHeight w:val="1059"/>
          <w:jc w:val="center"/>
        </w:trPr>
        <w:tc>
          <w:tcPr>
            <w:tcW w:w="2389" w:type="dxa"/>
            <w:shd w:val="clear" w:color="000000" w:fill="auto"/>
            <w:vAlign w:val="center"/>
            <w:hideMark/>
          </w:tcPr>
          <w:p w:rsidR="00A04D8B" w:rsidRPr="00897BAE" w:rsidRDefault="00A04D8B" w:rsidP="00815AC0">
            <w:pPr>
              <w:jc w:val="center"/>
              <w:rPr>
                <w:b/>
                <w:sz w:val="22"/>
                <w:szCs w:val="22"/>
              </w:rPr>
            </w:pPr>
            <w:r w:rsidRPr="00897BAE">
              <w:rPr>
                <w:b/>
                <w:sz w:val="22"/>
                <w:szCs w:val="22"/>
              </w:rPr>
              <w:t>Printing/ Postage Costs</w:t>
            </w:r>
          </w:p>
        </w:tc>
        <w:tc>
          <w:tcPr>
            <w:tcW w:w="2390" w:type="dxa"/>
            <w:shd w:val="clear" w:color="000000" w:fill="auto"/>
            <w:vAlign w:val="center"/>
            <w:hideMark/>
          </w:tcPr>
          <w:p w:rsidR="00A04D8B" w:rsidRPr="00897BAE" w:rsidRDefault="00A04D8B" w:rsidP="00815AC0">
            <w:pPr>
              <w:jc w:val="center"/>
              <w:rPr>
                <w:b/>
                <w:sz w:val="22"/>
                <w:szCs w:val="22"/>
              </w:rPr>
            </w:pPr>
            <w:r w:rsidRPr="00897BAE">
              <w:rPr>
                <w:b/>
                <w:sz w:val="22"/>
                <w:szCs w:val="22"/>
              </w:rPr>
              <w:t xml:space="preserve">50 % Of States’ Reporting and </w:t>
            </w:r>
            <w:r w:rsidR="00BF2D86">
              <w:rPr>
                <w:b/>
                <w:sz w:val="22"/>
                <w:szCs w:val="22"/>
              </w:rPr>
              <w:t>R</w:t>
            </w:r>
            <w:r w:rsidRPr="00897BAE">
              <w:rPr>
                <w:b/>
                <w:sz w:val="22"/>
                <w:szCs w:val="22"/>
              </w:rPr>
              <w:t>ecordkeeping Costs</w:t>
            </w:r>
          </w:p>
        </w:tc>
        <w:tc>
          <w:tcPr>
            <w:tcW w:w="2389" w:type="dxa"/>
            <w:shd w:val="clear" w:color="000000" w:fill="auto"/>
            <w:vAlign w:val="center"/>
          </w:tcPr>
          <w:p w:rsidR="00A04D8B" w:rsidRPr="00897BAE" w:rsidRDefault="00A04D8B" w:rsidP="00815AC0">
            <w:pPr>
              <w:jc w:val="center"/>
              <w:rPr>
                <w:b/>
                <w:sz w:val="22"/>
                <w:szCs w:val="22"/>
              </w:rPr>
            </w:pPr>
            <w:r w:rsidRPr="00897BAE">
              <w:rPr>
                <w:b/>
                <w:sz w:val="22"/>
                <w:szCs w:val="22"/>
              </w:rPr>
              <w:t>Fede</w:t>
            </w:r>
            <w:r w:rsidR="004C0944" w:rsidRPr="00897BAE">
              <w:rPr>
                <w:b/>
                <w:sz w:val="22"/>
                <w:szCs w:val="22"/>
              </w:rPr>
              <w:t xml:space="preserve">ral Salary </w:t>
            </w:r>
            <w:r w:rsidRPr="00897BAE">
              <w:rPr>
                <w:b/>
                <w:sz w:val="22"/>
                <w:szCs w:val="22"/>
              </w:rPr>
              <w:t>Cost</w:t>
            </w:r>
            <w:r w:rsidR="004C0944" w:rsidRPr="00897BAE">
              <w:rPr>
                <w:b/>
                <w:sz w:val="22"/>
                <w:szCs w:val="22"/>
              </w:rPr>
              <w:t>s</w:t>
            </w:r>
          </w:p>
        </w:tc>
        <w:tc>
          <w:tcPr>
            <w:tcW w:w="2390" w:type="dxa"/>
            <w:shd w:val="clear" w:color="000000" w:fill="auto"/>
            <w:vAlign w:val="center"/>
            <w:hideMark/>
          </w:tcPr>
          <w:p w:rsidR="00A04D8B" w:rsidRPr="00897BAE" w:rsidRDefault="00A04D8B" w:rsidP="00815AC0">
            <w:pPr>
              <w:jc w:val="center"/>
              <w:rPr>
                <w:b/>
                <w:sz w:val="22"/>
                <w:szCs w:val="22"/>
              </w:rPr>
            </w:pPr>
            <w:r w:rsidRPr="00897BAE">
              <w:rPr>
                <w:b/>
                <w:sz w:val="22"/>
                <w:szCs w:val="22"/>
              </w:rPr>
              <w:t>Total Federal Costs</w:t>
            </w:r>
          </w:p>
        </w:tc>
      </w:tr>
      <w:tr w:rsidR="00A04D8B" w:rsidRPr="00897BAE" w:rsidTr="001E7D2F">
        <w:trPr>
          <w:trHeight w:val="582"/>
          <w:jc w:val="center"/>
        </w:trPr>
        <w:tc>
          <w:tcPr>
            <w:tcW w:w="2389" w:type="dxa"/>
            <w:shd w:val="clear" w:color="auto" w:fill="auto"/>
            <w:vAlign w:val="center"/>
            <w:hideMark/>
          </w:tcPr>
          <w:p w:rsidR="00A04D8B" w:rsidRPr="00897BAE" w:rsidRDefault="00A04D8B" w:rsidP="00F52EC9">
            <w:pPr>
              <w:spacing w:line="480" w:lineRule="auto"/>
              <w:jc w:val="center"/>
              <w:rPr>
                <w:b/>
                <w:sz w:val="22"/>
                <w:szCs w:val="22"/>
              </w:rPr>
            </w:pPr>
            <w:r w:rsidRPr="00897BAE">
              <w:rPr>
                <w:b/>
                <w:sz w:val="22"/>
                <w:szCs w:val="22"/>
              </w:rPr>
              <w:t>$2,000</w:t>
            </w:r>
          </w:p>
        </w:tc>
        <w:tc>
          <w:tcPr>
            <w:tcW w:w="2390" w:type="dxa"/>
            <w:shd w:val="clear" w:color="auto" w:fill="auto"/>
            <w:vAlign w:val="center"/>
            <w:hideMark/>
          </w:tcPr>
          <w:p w:rsidR="00A04D8B" w:rsidRPr="00897BAE" w:rsidRDefault="00A04D8B" w:rsidP="00F52EC9">
            <w:pPr>
              <w:spacing w:line="480" w:lineRule="auto"/>
              <w:jc w:val="center"/>
              <w:rPr>
                <w:b/>
                <w:sz w:val="22"/>
                <w:szCs w:val="22"/>
              </w:rPr>
            </w:pPr>
            <w:r w:rsidRPr="00897BAE">
              <w:rPr>
                <w:b/>
                <w:sz w:val="22"/>
                <w:szCs w:val="22"/>
              </w:rPr>
              <w:t>$14,673.38</w:t>
            </w:r>
          </w:p>
        </w:tc>
        <w:tc>
          <w:tcPr>
            <w:tcW w:w="2389" w:type="dxa"/>
            <w:shd w:val="clear" w:color="auto" w:fill="auto"/>
          </w:tcPr>
          <w:p w:rsidR="00A04D8B" w:rsidRPr="001E7D2F" w:rsidRDefault="006D6AA1" w:rsidP="002B2003">
            <w:pPr>
              <w:spacing w:line="480" w:lineRule="auto"/>
              <w:jc w:val="center"/>
              <w:rPr>
                <w:b/>
                <w:sz w:val="22"/>
                <w:szCs w:val="22"/>
              </w:rPr>
            </w:pPr>
            <w:r w:rsidRPr="001E7D2F">
              <w:rPr>
                <w:b/>
                <w:sz w:val="22"/>
                <w:szCs w:val="22"/>
              </w:rPr>
              <w:t>$</w:t>
            </w:r>
            <w:r w:rsidR="002B2003" w:rsidRPr="001E7D2F">
              <w:rPr>
                <w:b/>
                <w:sz w:val="22"/>
                <w:szCs w:val="22"/>
              </w:rPr>
              <w:t>73,377.66</w:t>
            </w:r>
          </w:p>
        </w:tc>
        <w:tc>
          <w:tcPr>
            <w:tcW w:w="2390" w:type="dxa"/>
            <w:shd w:val="clear" w:color="auto" w:fill="auto"/>
            <w:vAlign w:val="center"/>
            <w:hideMark/>
          </w:tcPr>
          <w:p w:rsidR="00A04D8B" w:rsidRPr="00897BAE" w:rsidRDefault="002B2003" w:rsidP="002B2003">
            <w:pPr>
              <w:spacing w:line="480" w:lineRule="auto"/>
              <w:jc w:val="center"/>
              <w:rPr>
                <w:b/>
                <w:sz w:val="22"/>
                <w:szCs w:val="22"/>
              </w:rPr>
            </w:pPr>
            <w:r>
              <w:rPr>
                <w:b/>
                <w:sz w:val="22"/>
                <w:szCs w:val="22"/>
              </w:rPr>
              <w:t>$90,051.04</w:t>
            </w:r>
          </w:p>
        </w:tc>
      </w:tr>
    </w:tbl>
    <w:p w:rsidR="005A5E7E" w:rsidRPr="00897BAE" w:rsidRDefault="00CC615A" w:rsidP="002977C0">
      <w:pPr>
        <w:pStyle w:val="BodyText2"/>
        <w:ind w:left="90" w:right="-180"/>
        <w:contextualSpacing/>
        <w:rPr>
          <w:sz w:val="22"/>
          <w:szCs w:val="22"/>
          <w:u w:val="none"/>
        </w:rPr>
      </w:pPr>
      <w:r w:rsidRPr="00897BAE">
        <w:rPr>
          <w:sz w:val="22"/>
          <w:szCs w:val="22"/>
          <w:u w:val="none"/>
        </w:rPr>
        <w:br/>
      </w:r>
    </w:p>
    <w:p w:rsidR="00893C79" w:rsidRPr="00897BAE" w:rsidRDefault="00637555" w:rsidP="00CC615A">
      <w:pPr>
        <w:pStyle w:val="BodyText2"/>
        <w:numPr>
          <w:ilvl w:val="0"/>
          <w:numId w:val="10"/>
        </w:numPr>
        <w:tabs>
          <w:tab w:val="left" w:pos="90"/>
        </w:tabs>
        <w:spacing w:line="480" w:lineRule="auto"/>
        <w:ind w:left="0" w:right="-187" w:firstLine="0"/>
        <w:contextualSpacing/>
        <w:rPr>
          <w:b/>
          <w:sz w:val="22"/>
          <w:szCs w:val="22"/>
        </w:rPr>
      </w:pPr>
      <w:r w:rsidRPr="00897BAE">
        <w:rPr>
          <w:b/>
          <w:sz w:val="22"/>
          <w:szCs w:val="22"/>
        </w:rPr>
        <w:t>Explain the reasons for any program changes or adjustments reported in Items 13 or 14 of the OMB Form 83-i</w:t>
      </w:r>
      <w:r w:rsidR="00AE2E0F" w:rsidRPr="00897BAE">
        <w:rPr>
          <w:b/>
          <w:sz w:val="22"/>
          <w:szCs w:val="22"/>
        </w:rPr>
        <w:t>:</w:t>
      </w:r>
    </w:p>
    <w:p w:rsidR="000F3AA5" w:rsidRPr="00897BAE" w:rsidRDefault="004512FB" w:rsidP="00CC615A">
      <w:pPr>
        <w:pStyle w:val="BodyText2"/>
        <w:spacing w:line="480" w:lineRule="auto"/>
        <w:ind w:right="-187"/>
        <w:contextualSpacing/>
        <w:rPr>
          <w:b/>
          <w:sz w:val="22"/>
          <w:szCs w:val="22"/>
        </w:rPr>
      </w:pPr>
      <w:bookmarkStart w:id="3" w:name="_GoBack"/>
      <w:r w:rsidRPr="00897BAE">
        <w:rPr>
          <w:sz w:val="22"/>
          <w:szCs w:val="22"/>
          <w:u w:val="none"/>
        </w:rPr>
        <w:t>This is a revision of a currently approved data collection</w:t>
      </w:r>
      <w:r w:rsidR="00470887">
        <w:rPr>
          <w:sz w:val="22"/>
          <w:szCs w:val="22"/>
          <w:u w:val="none"/>
        </w:rPr>
        <w:t xml:space="preserve">.  </w:t>
      </w:r>
      <w:r w:rsidR="000F3AA5" w:rsidRPr="00897BAE">
        <w:rPr>
          <w:sz w:val="22"/>
          <w:szCs w:val="22"/>
          <w:u w:val="none"/>
        </w:rPr>
        <w:t xml:space="preserve">The </w:t>
      </w:r>
      <w:r w:rsidR="00470887">
        <w:rPr>
          <w:sz w:val="22"/>
          <w:szCs w:val="22"/>
          <w:u w:val="none"/>
        </w:rPr>
        <w:t xml:space="preserve">annual responses per respondent decreased for the arbitration process (from 2.6 annually to 2.2).  The number of respondents for the </w:t>
      </w:r>
      <w:r w:rsidR="009F5368" w:rsidRPr="00897BAE">
        <w:rPr>
          <w:sz w:val="22"/>
          <w:szCs w:val="22"/>
          <w:u w:val="none"/>
        </w:rPr>
        <w:t xml:space="preserve">good cause </w:t>
      </w:r>
      <w:r w:rsidR="00470887">
        <w:rPr>
          <w:sz w:val="22"/>
          <w:szCs w:val="22"/>
          <w:u w:val="none"/>
        </w:rPr>
        <w:lastRenderedPageBreak/>
        <w:t xml:space="preserve">process increased </w:t>
      </w:r>
      <w:r w:rsidR="009F5368" w:rsidRPr="00897BAE">
        <w:rPr>
          <w:sz w:val="22"/>
          <w:szCs w:val="22"/>
          <w:u w:val="none"/>
        </w:rPr>
        <w:t xml:space="preserve">from one </w:t>
      </w:r>
      <w:r w:rsidR="00470887">
        <w:rPr>
          <w:sz w:val="22"/>
          <w:szCs w:val="22"/>
          <w:u w:val="none"/>
        </w:rPr>
        <w:t xml:space="preserve">state </w:t>
      </w:r>
      <w:r w:rsidR="009F5368" w:rsidRPr="00897BAE">
        <w:rPr>
          <w:sz w:val="22"/>
          <w:szCs w:val="22"/>
          <w:u w:val="none"/>
        </w:rPr>
        <w:t>to two states per year</w:t>
      </w:r>
      <w:r w:rsidR="000F3AA5" w:rsidRPr="00897BAE">
        <w:rPr>
          <w:sz w:val="22"/>
          <w:szCs w:val="22"/>
          <w:u w:val="none"/>
        </w:rPr>
        <w:t>.  Th</w:t>
      </w:r>
      <w:r w:rsidR="00470887">
        <w:rPr>
          <w:sz w:val="22"/>
          <w:szCs w:val="22"/>
          <w:u w:val="none"/>
        </w:rPr>
        <w:t>e</w:t>
      </w:r>
      <w:r w:rsidR="000F3AA5" w:rsidRPr="00897BAE">
        <w:rPr>
          <w:sz w:val="22"/>
          <w:szCs w:val="22"/>
          <w:u w:val="none"/>
        </w:rPr>
        <w:t xml:space="preserve"> adjustment</w:t>
      </w:r>
      <w:r w:rsidR="00470887">
        <w:rPr>
          <w:sz w:val="22"/>
          <w:szCs w:val="22"/>
          <w:u w:val="none"/>
        </w:rPr>
        <w:t>s</w:t>
      </w:r>
      <w:r w:rsidR="000F3AA5" w:rsidRPr="00897BAE">
        <w:rPr>
          <w:sz w:val="22"/>
          <w:szCs w:val="22"/>
          <w:u w:val="none"/>
        </w:rPr>
        <w:t xml:space="preserve"> w</w:t>
      </w:r>
      <w:r w:rsidR="00470887">
        <w:rPr>
          <w:sz w:val="22"/>
          <w:szCs w:val="22"/>
          <w:u w:val="none"/>
        </w:rPr>
        <w:t>ere</w:t>
      </w:r>
      <w:r w:rsidR="000F3AA5" w:rsidRPr="00897BAE">
        <w:rPr>
          <w:sz w:val="22"/>
          <w:szCs w:val="22"/>
          <w:u w:val="none"/>
        </w:rPr>
        <w:t xml:space="preserve"> based on the average number of responses actually received for the FY 2</w:t>
      </w:r>
      <w:r w:rsidR="00E33F3D" w:rsidRPr="00897BAE">
        <w:rPr>
          <w:sz w:val="22"/>
          <w:szCs w:val="22"/>
          <w:u w:val="none"/>
        </w:rPr>
        <w:t>010</w:t>
      </w:r>
      <w:r w:rsidR="000F3AA5" w:rsidRPr="00897BAE">
        <w:rPr>
          <w:sz w:val="22"/>
          <w:szCs w:val="22"/>
          <w:u w:val="none"/>
        </w:rPr>
        <w:t xml:space="preserve">, </w:t>
      </w:r>
      <w:r w:rsidR="00E33F3D" w:rsidRPr="00897BAE">
        <w:rPr>
          <w:sz w:val="22"/>
          <w:szCs w:val="22"/>
          <w:u w:val="none"/>
        </w:rPr>
        <w:t>2011</w:t>
      </w:r>
      <w:r w:rsidR="000F3AA5" w:rsidRPr="00897BAE">
        <w:rPr>
          <w:sz w:val="22"/>
          <w:szCs w:val="22"/>
          <w:u w:val="none"/>
        </w:rPr>
        <w:t xml:space="preserve"> and </w:t>
      </w:r>
      <w:r w:rsidR="00E33F3D" w:rsidRPr="00897BAE">
        <w:rPr>
          <w:sz w:val="22"/>
          <w:szCs w:val="22"/>
          <w:u w:val="none"/>
        </w:rPr>
        <w:t>2012</w:t>
      </w:r>
      <w:r w:rsidR="000F3AA5" w:rsidRPr="00897BAE">
        <w:rPr>
          <w:sz w:val="22"/>
          <w:szCs w:val="22"/>
          <w:u w:val="none"/>
        </w:rPr>
        <w:t xml:space="preserve"> QC review periods.  The end result yields a </w:t>
      </w:r>
      <w:r w:rsidR="00470887">
        <w:rPr>
          <w:sz w:val="22"/>
          <w:szCs w:val="22"/>
          <w:u w:val="none"/>
        </w:rPr>
        <w:t xml:space="preserve">net increase of 16 estimated annual burden hours, </w:t>
      </w:r>
      <w:r w:rsidR="000F3AA5" w:rsidRPr="00897BAE">
        <w:rPr>
          <w:sz w:val="22"/>
          <w:szCs w:val="22"/>
          <w:u w:val="none"/>
        </w:rPr>
        <w:t xml:space="preserve">from </w:t>
      </w:r>
      <w:r w:rsidR="00E33F3D" w:rsidRPr="00897BAE">
        <w:rPr>
          <w:sz w:val="22"/>
          <w:szCs w:val="22"/>
          <w:u w:val="none"/>
        </w:rPr>
        <w:t xml:space="preserve">1,363 </w:t>
      </w:r>
      <w:r w:rsidR="000F3AA5" w:rsidRPr="00897BAE">
        <w:rPr>
          <w:sz w:val="22"/>
          <w:szCs w:val="22"/>
          <w:u w:val="none"/>
        </w:rPr>
        <w:t>hours to</w:t>
      </w:r>
      <w:r w:rsidR="00E33F3D" w:rsidRPr="00897BAE">
        <w:rPr>
          <w:sz w:val="22"/>
          <w:szCs w:val="22"/>
          <w:u w:val="none"/>
        </w:rPr>
        <w:t xml:space="preserve"> 1,379.08</w:t>
      </w:r>
      <w:r w:rsidR="000F3AA5" w:rsidRPr="00897BAE">
        <w:rPr>
          <w:sz w:val="22"/>
          <w:szCs w:val="22"/>
          <w:u w:val="none"/>
        </w:rPr>
        <w:t xml:space="preserve"> hours. </w:t>
      </w:r>
      <w:r w:rsidR="00470887">
        <w:rPr>
          <w:sz w:val="22"/>
          <w:szCs w:val="22"/>
          <w:u w:val="none"/>
        </w:rPr>
        <w:t xml:space="preserve">Additionally, the annual responses have increased due to an error in the prior ROCIS submission.  The annual responses are 176, an increase of 135 responses.  </w:t>
      </w:r>
      <w:bookmarkEnd w:id="3"/>
      <w:r w:rsidR="00F31410">
        <w:rPr>
          <w:sz w:val="22"/>
          <w:szCs w:val="22"/>
          <w:u w:val="none"/>
        </w:rPr>
        <w:br/>
      </w:r>
    </w:p>
    <w:p w:rsidR="00A1784D" w:rsidRPr="00897BAE" w:rsidRDefault="00637555" w:rsidP="00A51FFC">
      <w:pPr>
        <w:pStyle w:val="BodyText2"/>
        <w:numPr>
          <w:ilvl w:val="2"/>
          <w:numId w:val="13"/>
        </w:numPr>
        <w:spacing w:line="480" w:lineRule="auto"/>
        <w:ind w:left="720" w:right="-187" w:hanging="900"/>
        <w:contextualSpacing/>
        <w:rPr>
          <w:b/>
          <w:sz w:val="22"/>
          <w:szCs w:val="22"/>
        </w:rPr>
      </w:pPr>
      <w:r w:rsidRPr="00897BAE">
        <w:rPr>
          <w:b/>
          <w:sz w:val="22"/>
          <w:szCs w:val="22"/>
        </w:rPr>
        <w:t>For collections of information whose results are planned to be published, outline plans for tabulation and publication</w:t>
      </w:r>
      <w:r w:rsidR="00AE2E0F" w:rsidRPr="00897BAE">
        <w:rPr>
          <w:b/>
          <w:sz w:val="22"/>
          <w:szCs w:val="22"/>
        </w:rPr>
        <w:t>:</w:t>
      </w:r>
    </w:p>
    <w:p w:rsidR="00601B79" w:rsidRPr="00897BAE" w:rsidRDefault="00601B79" w:rsidP="00A51FFC">
      <w:pPr>
        <w:pStyle w:val="BodyText2"/>
        <w:spacing w:line="480" w:lineRule="auto"/>
        <w:ind w:right="-187"/>
        <w:contextualSpacing/>
        <w:rPr>
          <w:b/>
          <w:sz w:val="22"/>
          <w:szCs w:val="22"/>
        </w:rPr>
      </w:pPr>
    </w:p>
    <w:p w:rsidR="00387764" w:rsidRPr="00897BAE" w:rsidRDefault="009E58C6" w:rsidP="00A51FFC">
      <w:pPr>
        <w:pStyle w:val="BodyText2"/>
        <w:spacing w:line="480" w:lineRule="auto"/>
        <w:ind w:right="-187"/>
        <w:contextualSpacing/>
        <w:rPr>
          <w:sz w:val="22"/>
          <w:szCs w:val="22"/>
          <w:u w:val="none"/>
        </w:rPr>
      </w:pPr>
      <w:r w:rsidRPr="00897BAE">
        <w:rPr>
          <w:sz w:val="22"/>
          <w:szCs w:val="22"/>
          <w:u w:val="none"/>
        </w:rPr>
        <w:t>There are no plans for tabulation and publication.</w:t>
      </w:r>
    </w:p>
    <w:p w:rsidR="009A7DA0" w:rsidRPr="00897BAE" w:rsidRDefault="009A7DA0" w:rsidP="00A51FFC">
      <w:pPr>
        <w:pStyle w:val="BodyText2"/>
        <w:spacing w:line="480" w:lineRule="auto"/>
        <w:ind w:right="-187"/>
        <w:contextualSpacing/>
        <w:rPr>
          <w:sz w:val="22"/>
          <w:szCs w:val="22"/>
          <w:u w:val="none"/>
        </w:rPr>
      </w:pPr>
    </w:p>
    <w:p w:rsidR="00A1784D" w:rsidRPr="00897BAE" w:rsidRDefault="00637555" w:rsidP="00A51FFC">
      <w:pPr>
        <w:pStyle w:val="BodyText2"/>
        <w:numPr>
          <w:ilvl w:val="2"/>
          <w:numId w:val="13"/>
        </w:numPr>
        <w:spacing w:line="480" w:lineRule="auto"/>
        <w:ind w:left="720" w:right="-187" w:hanging="900"/>
        <w:contextualSpacing/>
        <w:rPr>
          <w:b/>
          <w:sz w:val="22"/>
          <w:szCs w:val="22"/>
        </w:rPr>
      </w:pPr>
      <w:r w:rsidRPr="00897BAE">
        <w:rPr>
          <w:b/>
          <w:sz w:val="22"/>
          <w:szCs w:val="22"/>
        </w:rPr>
        <w:t>If seeking approval to not display the expiration date for OMB approval of the information collection, explain the reasons that display would be inappropriate</w:t>
      </w:r>
      <w:r w:rsidR="00AE2E0F" w:rsidRPr="00897BAE">
        <w:rPr>
          <w:b/>
          <w:sz w:val="22"/>
          <w:szCs w:val="22"/>
        </w:rPr>
        <w:t>:</w:t>
      </w:r>
    </w:p>
    <w:p w:rsidR="004A6D20" w:rsidRPr="00897BAE" w:rsidRDefault="004A6D20" w:rsidP="00A51FFC">
      <w:pPr>
        <w:pStyle w:val="BodyText2"/>
        <w:spacing w:line="480" w:lineRule="auto"/>
        <w:ind w:right="-187"/>
        <w:contextualSpacing/>
        <w:rPr>
          <w:sz w:val="22"/>
          <w:szCs w:val="22"/>
          <w:u w:val="none"/>
        </w:rPr>
      </w:pPr>
    </w:p>
    <w:p w:rsidR="00A1784D" w:rsidRPr="00897BAE" w:rsidRDefault="00440495" w:rsidP="00A51FFC">
      <w:pPr>
        <w:pStyle w:val="BodyText2"/>
        <w:spacing w:line="480" w:lineRule="auto"/>
        <w:ind w:right="-187"/>
        <w:contextualSpacing/>
        <w:rPr>
          <w:sz w:val="22"/>
          <w:szCs w:val="22"/>
          <w:u w:val="none"/>
        </w:rPr>
      </w:pPr>
      <w:r w:rsidRPr="00897BAE">
        <w:rPr>
          <w:sz w:val="22"/>
          <w:szCs w:val="22"/>
          <w:u w:val="none"/>
        </w:rPr>
        <w:t>There are no forms tied to this collection and therefore displaying the expiration date will not be necessary.</w:t>
      </w:r>
    </w:p>
    <w:p w:rsidR="004A6D20" w:rsidRPr="00897BAE" w:rsidRDefault="004A6D20" w:rsidP="00A51FFC">
      <w:pPr>
        <w:pStyle w:val="BodyText2"/>
        <w:spacing w:line="480" w:lineRule="auto"/>
        <w:ind w:right="-187"/>
        <w:contextualSpacing/>
        <w:rPr>
          <w:sz w:val="22"/>
          <w:szCs w:val="22"/>
          <w:u w:val="none"/>
        </w:rPr>
      </w:pPr>
    </w:p>
    <w:p w:rsidR="00A1784D" w:rsidRPr="00897BAE" w:rsidRDefault="00637555" w:rsidP="00637555">
      <w:pPr>
        <w:pStyle w:val="BodyText2"/>
        <w:numPr>
          <w:ilvl w:val="2"/>
          <w:numId w:val="13"/>
        </w:numPr>
        <w:tabs>
          <w:tab w:val="left" w:pos="540"/>
        </w:tabs>
        <w:spacing w:line="480" w:lineRule="auto"/>
        <w:ind w:left="90" w:right="-187"/>
        <w:contextualSpacing/>
        <w:rPr>
          <w:b/>
          <w:sz w:val="22"/>
          <w:szCs w:val="22"/>
        </w:rPr>
      </w:pPr>
      <w:r w:rsidRPr="00897BAE">
        <w:rPr>
          <w:b/>
          <w:sz w:val="22"/>
          <w:szCs w:val="22"/>
        </w:rPr>
        <w:t>Explain each exception to the certification statement identified in Item 19 "Certification for Paperwork Reduction Act."</w:t>
      </w:r>
      <w:r w:rsidR="00AE2E0F" w:rsidRPr="00897BAE">
        <w:rPr>
          <w:b/>
          <w:sz w:val="22"/>
          <w:szCs w:val="22"/>
        </w:rPr>
        <w:t>:</w:t>
      </w:r>
    </w:p>
    <w:p w:rsidR="00A1784D" w:rsidRPr="00897BAE" w:rsidRDefault="00A1784D" w:rsidP="00A51FFC">
      <w:pPr>
        <w:pStyle w:val="BodyText2"/>
        <w:spacing w:line="480" w:lineRule="auto"/>
        <w:ind w:right="-187"/>
        <w:contextualSpacing/>
        <w:rPr>
          <w:sz w:val="22"/>
          <w:szCs w:val="22"/>
        </w:rPr>
      </w:pPr>
    </w:p>
    <w:p w:rsidR="00A1784D" w:rsidRPr="00897BAE" w:rsidRDefault="004364BA" w:rsidP="00A51FFC">
      <w:pPr>
        <w:pStyle w:val="BodyText2"/>
        <w:spacing w:line="480" w:lineRule="auto"/>
        <w:ind w:right="-187"/>
        <w:contextualSpacing/>
        <w:rPr>
          <w:sz w:val="22"/>
          <w:szCs w:val="22"/>
          <w:u w:val="none"/>
        </w:rPr>
      </w:pPr>
      <w:r w:rsidRPr="00897BAE">
        <w:rPr>
          <w:sz w:val="22"/>
          <w:szCs w:val="22"/>
          <w:u w:val="none"/>
        </w:rPr>
        <w:t>This information collection conforms to the requirements of 5 CFR 1320.9.  There are no exceptions to the certification statement.</w:t>
      </w:r>
    </w:p>
    <w:sectPr w:rsidR="00A1784D" w:rsidRPr="00897BAE" w:rsidSect="00EB043E">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C93" w:rsidRDefault="00EF5C93">
      <w:r>
        <w:separator/>
      </w:r>
    </w:p>
  </w:endnote>
  <w:endnote w:type="continuationSeparator" w:id="0">
    <w:p w:rsidR="00EF5C93" w:rsidRDefault="00EF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AD" w:rsidRDefault="00323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36AD" w:rsidRDefault="003236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AD" w:rsidRDefault="00323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887">
      <w:rPr>
        <w:rStyle w:val="PageNumber"/>
        <w:noProof/>
      </w:rPr>
      <w:t>15</w:t>
    </w:r>
    <w:r>
      <w:rPr>
        <w:rStyle w:val="PageNumber"/>
      </w:rPr>
      <w:fldChar w:fldCharType="end"/>
    </w:r>
  </w:p>
  <w:p w:rsidR="003236AD" w:rsidRDefault="00323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C93" w:rsidRDefault="00EF5C93">
      <w:r>
        <w:separator/>
      </w:r>
    </w:p>
  </w:footnote>
  <w:footnote w:type="continuationSeparator" w:id="0">
    <w:p w:rsidR="00EF5C93" w:rsidRDefault="00EF5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DB4"/>
    <w:multiLevelType w:val="hybridMultilevel"/>
    <w:tmpl w:val="D49AA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1233F"/>
    <w:multiLevelType w:val="hybridMultilevel"/>
    <w:tmpl w:val="CEAE9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D4BD7"/>
    <w:multiLevelType w:val="hybridMultilevel"/>
    <w:tmpl w:val="5B1CB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B019F"/>
    <w:multiLevelType w:val="hybridMultilevel"/>
    <w:tmpl w:val="BD80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7454C9"/>
    <w:multiLevelType w:val="hybridMultilevel"/>
    <w:tmpl w:val="B28A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206B4"/>
    <w:multiLevelType w:val="hybridMultilevel"/>
    <w:tmpl w:val="8AB0E3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F71461"/>
    <w:multiLevelType w:val="hybridMultilevel"/>
    <w:tmpl w:val="40BE045E"/>
    <w:lvl w:ilvl="0" w:tplc="04090015">
      <w:start w:val="1"/>
      <w:numFmt w:val="upperLetter"/>
      <w:lvlText w:val="%1."/>
      <w:lvlJc w:val="left"/>
      <w:pPr>
        <w:tabs>
          <w:tab w:val="num" w:pos="720"/>
        </w:tabs>
        <w:ind w:left="720" w:hanging="360"/>
      </w:pPr>
      <w:rPr>
        <w:rFonts w:hint="default"/>
      </w:rPr>
    </w:lvl>
    <w:lvl w:ilvl="1" w:tplc="83E68C4E">
      <w:start w:val="1"/>
      <w:numFmt w:val="decimal"/>
      <w:lvlText w:val="%2."/>
      <w:lvlJc w:val="left"/>
      <w:pPr>
        <w:tabs>
          <w:tab w:val="num" w:pos="1350"/>
        </w:tabs>
        <w:ind w:left="1350" w:hanging="360"/>
      </w:pPr>
      <w:rPr>
        <w:rFonts w:hint="default"/>
      </w:rPr>
    </w:lvl>
    <w:lvl w:ilvl="2" w:tplc="CEBC7FCC">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3A5831"/>
    <w:multiLevelType w:val="hybridMultilevel"/>
    <w:tmpl w:val="33165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B1DA9BAC">
      <w:start w:val="1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D09A7"/>
    <w:multiLevelType w:val="hybridMultilevel"/>
    <w:tmpl w:val="2194A4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7406DEF"/>
    <w:multiLevelType w:val="hybridMultilevel"/>
    <w:tmpl w:val="9260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32BFB"/>
    <w:multiLevelType w:val="hybridMultilevel"/>
    <w:tmpl w:val="5ED0F030"/>
    <w:lvl w:ilvl="0" w:tplc="083A0E00">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AE135FC"/>
    <w:multiLevelType w:val="hybridMultilevel"/>
    <w:tmpl w:val="12909C5A"/>
    <w:lvl w:ilvl="0" w:tplc="2AF4507A">
      <w:start w:val="1"/>
      <w:numFmt w:val="upperLetter"/>
      <w:lvlText w:val="%1."/>
      <w:lvlJc w:val="left"/>
      <w:pPr>
        <w:ind w:left="900" w:hanging="360"/>
      </w:pPr>
      <w:rPr>
        <w:b w:val="0"/>
      </w:rPr>
    </w:lvl>
    <w:lvl w:ilvl="1" w:tplc="04090019">
      <w:start w:val="1"/>
      <w:numFmt w:val="lowerLetter"/>
      <w:lvlText w:val="%2."/>
      <w:lvlJc w:val="left"/>
      <w:pPr>
        <w:ind w:left="1440" w:hanging="360"/>
      </w:pPr>
    </w:lvl>
    <w:lvl w:ilvl="2" w:tplc="B372952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D61A2"/>
    <w:multiLevelType w:val="hybridMultilevel"/>
    <w:tmpl w:val="A628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B312C4"/>
    <w:multiLevelType w:val="hybridMultilevel"/>
    <w:tmpl w:val="F072EA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6B1EBE"/>
    <w:multiLevelType w:val="hybridMultilevel"/>
    <w:tmpl w:val="7B32B0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7694C7B"/>
    <w:multiLevelType w:val="hybridMultilevel"/>
    <w:tmpl w:val="2B801100"/>
    <w:lvl w:ilvl="0" w:tplc="0A1ADB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734F0D"/>
    <w:multiLevelType w:val="hybridMultilevel"/>
    <w:tmpl w:val="48FA35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A5D1924"/>
    <w:multiLevelType w:val="hybridMultilevel"/>
    <w:tmpl w:val="82CEA38C"/>
    <w:lvl w:ilvl="0" w:tplc="B3BE2B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EA25C18"/>
    <w:multiLevelType w:val="hybridMultilevel"/>
    <w:tmpl w:val="8B5837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02A304D"/>
    <w:multiLevelType w:val="hybridMultilevel"/>
    <w:tmpl w:val="4A503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A1C1F5D"/>
    <w:multiLevelType w:val="hybridMultilevel"/>
    <w:tmpl w:val="2FF66B1A"/>
    <w:lvl w:ilvl="0" w:tplc="1EF28F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03406CD"/>
    <w:multiLevelType w:val="hybridMultilevel"/>
    <w:tmpl w:val="1D6C3D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984B4A"/>
    <w:multiLevelType w:val="hybridMultilevel"/>
    <w:tmpl w:val="DD72DC22"/>
    <w:lvl w:ilvl="0" w:tplc="CF044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9007EF"/>
    <w:multiLevelType w:val="hybridMultilevel"/>
    <w:tmpl w:val="FD2C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2723DB"/>
    <w:multiLevelType w:val="hybridMultilevel"/>
    <w:tmpl w:val="86B67078"/>
    <w:lvl w:ilvl="0" w:tplc="F894DC2E">
      <w:start w:val="1"/>
      <w:numFmt w:val="decimal"/>
      <w:suff w:val="space"/>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EDA3E50"/>
    <w:multiLevelType w:val="hybridMultilevel"/>
    <w:tmpl w:val="AD0424C4"/>
    <w:lvl w:ilvl="0" w:tplc="E06C22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F0005E"/>
    <w:multiLevelType w:val="hybridMultilevel"/>
    <w:tmpl w:val="652A5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DF6321"/>
    <w:multiLevelType w:val="hybridMultilevel"/>
    <w:tmpl w:val="9ADEC3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7"/>
  </w:num>
  <w:num w:numId="3">
    <w:abstractNumId w:val="18"/>
  </w:num>
  <w:num w:numId="4">
    <w:abstractNumId w:val="14"/>
  </w:num>
  <w:num w:numId="5">
    <w:abstractNumId w:val="6"/>
  </w:num>
  <w:num w:numId="6">
    <w:abstractNumId w:val="3"/>
  </w:num>
  <w:num w:numId="7">
    <w:abstractNumId w:val="28"/>
  </w:num>
  <w:num w:numId="8">
    <w:abstractNumId w:val="2"/>
  </w:num>
  <w:num w:numId="9">
    <w:abstractNumId w:val="1"/>
  </w:num>
  <w:num w:numId="10">
    <w:abstractNumId w:val="20"/>
  </w:num>
  <w:num w:numId="11">
    <w:abstractNumId w:val="10"/>
  </w:num>
  <w:num w:numId="12">
    <w:abstractNumId w:val="4"/>
  </w:num>
  <w:num w:numId="13">
    <w:abstractNumId w:val="7"/>
  </w:num>
  <w:num w:numId="14">
    <w:abstractNumId w:val="34"/>
  </w:num>
  <w:num w:numId="15">
    <w:abstractNumId w:val="17"/>
  </w:num>
  <w:num w:numId="16">
    <w:abstractNumId w:val="30"/>
  </w:num>
  <w:num w:numId="17">
    <w:abstractNumId w:val="29"/>
  </w:num>
  <w:num w:numId="18">
    <w:abstractNumId w:val="26"/>
  </w:num>
  <w:num w:numId="19">
    <w:abstractNumId w:val="11"/>
  </w:num>
  <w:num w:numId="20">
    <w:abstractNumId w:val="24"/>
  </w:num>
  <w:num w:numId="21">
    <w:abstractNumId w:val="8"/>
  </w:num>
  <w:num w:numId="22">
    <w:abstractNumId w:val="33"/>
  </w:num>
  <w:num w:numId="23">
    <w:abstractNumId w:val="35"/>
  </w:num>
  <w:num w:numId="24">
    <w:abstractNumId w:val="5"/>
  </w:num>
  <w:num w:numId="25">
    <w:abstractNumId w:val="12"/>
  </w:num>
  <w:num w:numId="26">
    <w:abstractNumId w:val="15"/>
  </w:num>
  <w:num w:numId="27">
    <w:abstractNumId w:val="13"/>
  </w:num>
  <w:num w:numId="28">
    <w:abstractNumId w:val="0"/>
  </w:num>
  <w:num w:numId="29">
    <w:abstractNumId w:val="19"/>
  </w:num>
  <w:num w:numId="30">
    <w:abstractNumId w:val="16"/>
  </w:num>
  <w:num w:numId="31">
    <w:abstractNumId w:val="32"/>
  </w:num>
  <w:num w:numId="32">
    <w:abstractNumId w:val="31"/>
  </w:num>
  <w:num w:numId="33">
    <w:abstractNumId w:val="23"/>
  </w:num>
  <w:num w:numId="34">
    <w:abstractNumId w:val="9"/>
  </w:num>
  <w:num w:numId="35">
    <w:abstractNumId w:val="2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BC6"/>
    <w:rsid w:val="00003C2F"/>
    <w:rsid w:val="00013ACA"/>
    <w:rsid w:val="00020D28"/>
    <w:rsid w:val="0002298D"/>
    <w:rsid w:val="00026B97"/>
    <w:rsid w:val="00027030"/>
    <w:rsid w:val="00030767"/>
    <w:rsid w:val="00030DA1"/>
    <w:rsid w:val="000351ED"/>
    <w:rsid w:val="00037481"/>
    <w:rsid w:val="00042D6A"/>
    <w:rsid w:val="000432AF"/>
    <w:rsid w:val="00046147"/>
    <w:rsid w:val="0004665C"/>
    <w:rsid w:val="00046FB5"/>
    <w:rsid w:val="00054C2C"/>
    <w:rsid w:val="00057D10"/>
    <w:rsid w:val="00060FE9"/>
    <w:rsid w:val="00061192"/>
    <w:rsid w:val="00061C62"/>
    <w:rsid w:val="000621AD"/>
    <w:rsid w:val="00071CF3"/>
    <w:rsid w:val="000759EA"/>
    <w:rsid w:val="0007635A"/>
    <w:rsid w:val="00076816"/>
    <w:rsid w:val="00080859"/>
    <w:rsid w:val="000821DC"/>
    <w:rsid w:val="00083BC9"/>
    <w:rsid w:val="000900FC"/>
    <w:rsid w:val="00090B4B"/>
    <w:rsid w:val="00095176"/>
    <w:rsid w:val="000A1A2E"/>
    <w:rsid w:val="000A65FC"/>
    <w:rsid w:val="000B16F6"/>
    <w:rsid w:val="000B7130"/>
    <w:rsid w:val="000C0A0C"/>
    <w:rsid w:val="000C7D86"/>
    <w:rsid w:val="000D1C5B"/>
    <w:rsid w:val="000E2BC9"/>
    <w:rsid w:val="000F3AA5"/>
    <w:rsid w:val="000F4E0C"/>
    <w:rsid w:val="000F7E6C"/>
    <w:rsid w:val="00100776"/>
    <w:rsid w:val="0010582D"/>
    <w:rsid w:val="00117E24"/>
    <w:rsid w:val="00120650"/>
    <w:rsid w:val="00123361"/>
    <w:rsid w:val="00123FFA"/>
    <w:rsid w:val="00131EB0"/>
    <w:rsid w:val="0013258A"/>
    <w:rsid w:val="00136834"/>
    <w:rsid w:val="00141CB1"/>
    <w:rsid w:val="00147AFB"/>
    <w:rsid w:val="00152E02"/>
    <w:rsid w:val="001536CE"/>
    <w:rsid w:val="0016623A"/>
    <w:rsid w:val="00171841"/>
    <w:rsid w:val="00176FE1"/>
    <w:rsid w:val="00186346"/>
    <w:rsid w:val="00195B1B"/>
    <w:rsid w:val="001A36FB"/>
    <w:rsid w:val="001A53DB"/>
    <w:rsid w:val="001B539D"/>
    <w:rsid w:val="001B5A21"/>
    <w:rsid w:val="001B5D4F"/>
    <w:rsid w:val="001C0EFD"/>
    <w:rsid w:val="001C0F9B"/>
    <w:rsid w:val="001C2FCB"/>
    <w:rsid w:val="001C5668"/>
    <w:rsid w:val="001C7B3A"/>
    <w:rsid w:val="001D7E98"/>
    <w:rsid w:val="001E2BC6"/>
    <w:rsid w:val="001E69C3"/>
    <w:rsid w:val="001E7D2F"/>
    <w:rsid w:val="001F4C20"/>
    <w:rsid w:val="001F73A3"/>
    <w:rsid w:val="00202D3F"/>
    <w:rsid w:val="00203780"/>
    <w:rsid w:val="0020378A"/>
    <w:rsid w:val="00214D84"/>
    <w:rsid w:val="00216A62"/>
    <w:rsid w:val="00221192"/>
    <w:rsid w:val="00221492"/>
    <w:rsid w:val="00221B08"/>
    <w:rsid w:val="0022598A"/>
    <w:rsid w:val="00227CB4"/>
    <w:rsid w:val="00230EFE"/>
    <w:rsid w:val="00233273"/>
    <w:rsid w:val="002337F2"/>
    <w:rsid w:val="00242E0A"/>
    <w:rsid w:val="00244A03"/>
    <w:rsid w:val="002452BD"/>
    <w:rsid w:val="0025001C"/>
    <w:rsid w:val="002504E5"/>
    <w:rsid w:val="002533CC"/>
    <w:rsid w:val="002560F0"/>
    <w:rsid w:val="00262733"/>
    <w:rsid w:val="00266B83"/>
    <w:rsid w:val="00267B1A"/>
    <w:rsid w:val="0027361F"/>
    <w:rsid w:val="0027768D"/>
    <w:rsid w:val="00280303"/>
    <w:rsid w:val="002853A1"/>
    <w:rsid w:val="0028713D"/>
    <w:rsid w:val="0028743F"/>
    <w:rsid w:val="00292E8F"/>
    <w:rsid w:val="002936C9"/>
    <w:rsid w:val="00297530"/>
    <w:rsid w:val="002977C0"/>
    <w:rsid w:val="002A31F6"/>
    <w:rsid w:val="002A34AB"/>
    <w:rsid w:val="002A36BF"/>
    <w:rsid w:val="002B11A7"/>
    <w:rsid w:val="002B1610"/>
    <w:rsid w:val="002B2003"/>
    <w:rsid w:val="002C056B"/>
    <w:rsid w:val="002C3A80"/>
    <w:rsid w:val="002D0174"/>
    <w:rsid w:val="002D29A7"/>
    <w:rsid w:val="002D2B3F"/>
    <w:rsid w:val="002D6B4B"/>
    <w:rsid w:val="002D7EE1"/>
    <w:rsid w:val="002E6AF8"/>
    <w:rsid w:val="002E7D12"/>
    <w:rsid w:val="002F0A4F"/>
    <w:rsid w:val="002F3684"/>
    <w:rsid w:val="002F4CA1"/>
    <w:rsid w:val="002F5589"/>
    <w:rsid w:val="00300AD5"/>
    <w:rsid w:val="00303516"/>
    <w:rsid w:val="00307724"/>
    <w:rsid w:val="00307ED8"/>
    <w:rsid w:val="00310C17"/>
    <w:rsid w:val="0031352F"/>
    <w:rsid w:val="0032115E"/>
    <w:rsid w:val="003236AD"/>
    <w:rsid w:val="00326A3F"/>
    <w:rsid w:val="00327769"/>
    <w:rsid w:val="003300F4"/>
    <w:rsid w:val="00331B84"/>
    <w:rsid w:val="0033261A"/>
    <w:rsid w:val="00346F73"/>
    <w:rsid w:val="00350A86"/>
    <w:rsid w:val="00350E73"/>
    <w:rsid w:val="003518CD"/>
    <w:rsid w:val="00360D41"/>
    <w:rsid w:val="00364784"/>
    <w:rsid w:val="00374537"/>
    <w:rsid w:val="0038200C"/>
    <w:rsid w:val="00382551"/>
    <w:rsid w:val="00383501"/>
    <w:rsid w:val="003842B9"/>
    <w:rsid w:val="00386860"/>
    <w:rsid w:val="00387764"/>
    <w:rsid w:val="0039224E"/>
    <w:rsid w:val="003A18DA"/>
    <w:rsid w:val="003A3278"/>
    <w:rsid w:val="003A546C"/>
    <w:rsid w:val="003B1C47"/>
    <w:rsid w:val="003B209E"/>
    <w:rsid w:val="003B47C0"/>
    <w:rsid w:val="003C078A"/>
    <w:rsid w:val="003D0F3F"/>
    <w:rsid w:val="003D5316"/>
    <w:rsid w:val="003E05E7"/>
    <w:rsid w:val="003E529E"/>
    <w:rsid w:val="003E6425"/>
    <w:rsid w:val="003E66C8"/>
    <w:rsid w:val="003F25E8"/>
    <w:rsid w:val="003F2D0A"/>
    <w:rsid w:val="003F5F74"/>
    <w:rsid w:val="003F65A9"/>
    <w:rsid w:val="003F6659"/>
    <w:rsid w:val="00404618"/>
    <w:rsid w:val="00407070"/>
    <w:rsid w:val="00411E47"/>
    <w:rsid w:val="0042567F"/>
    <w:rsid w:val="00426FD1"/>
    <w:rsid w:val="0042739D"/>
    <w:rsid w:val="004364BA"/>
    <w:rsid w:val="00440495"/>
    <w:rsid w:val="0044060B"/>
    <w:rsid w:val="004425E6"/>
    <w:rsid w:val="00445BBD"/>
    <w:rsid w:val="00446B3D"/>
    <w:rsid w:val="004512FB"/>
    <w:rsid w:val="00451AD8"/>
    <w:rsid w:val="00454EB5"/>
    <w:rsid w:val="00455A37"/>
    <w:rsid w:val="0046268A"/>
    <w:rsid w:val="004651A8"/>
    <w:rsid w:val="00467A43"/>
    <w:rsid w:val="00470887"/>
    <w:rsid w:val="00472FF7"/>
    <w:rsid w:val="00477A19"/>
    <w:rsid w:val="00481551"/>
    <w:rsid w:val="004827F4"/>
    <w:rsid w:val="00482B80"/>
    <w:rsid w:val="00483E33"/>
    <w:rsid w:val="00487510"/>
    <w:rsid w:val="004904F4"/>
    <w:rsid w:val="0049091B"/>
    <w:rsid w:val="00490982"/>
    <w:rsid w:val="00492716"/>
    <w:rsid w:val="00492DDB"/>
    <w:rsid w:val="00493975"/>
    <w:rsid w:val="00493A3F"/>
    <w:rsid w:val="00493A58"/>
    <w:rsid w:val="00493E47"/>
    <w:rsid w:val="00496452"/>
    <w:rsid w:val="004A33EC"/>
    <w:rsid w:val="004A5A97"/>
    <w:rsid w:val="004A6D20"/>
    <w:rsid w:val="004A7DB0"/>
    <w:rsid w:val="004B254C"/>
    <w:rsid w:val="004B4A6A"/>
    <w:rsid w:val="004C0944"/>
    <w:rsid w:val="004C0AAB"/>
    <w:rsid w:val="004C1185"/>
    <w:rsid w:val="004C125B"/>
    <w:rsid w:val="004C2299"/>
    <w:rsid w:val="004C45A1"/>
    <w:rsid w:val="004D4041"/>
    <w:rsid w:val="004D586E"/>
    <w:rsid w:val="004D6CDF"/>
    <w:rsid w:val="004E3785"/>
    <w:rsid w:val="004F00E7"/>
    <w:rsid w:val="004F3692"/>
    <w:rsid w:val="004F3AFC"/>
    <w:rsid w:val="004F4AC5"/>
    <w:rsid w:val="004F66E2"/>
    <w:rsid w:val="00500970"/>
    <w:rsid w:val="005046E8"/>
    <w:rsid w:val="00505A75"/>
    <w:rsid w:val="0051483D"/>
    <w:rsid w:val="00515627"/>
    <w:rsid w:val="00515E08"/>
    <w:rsid w:val="005161B0"/>
    <w:rsid w:val="00525AA9"/>
    <w:rsid w:val="0053156F"/>
    <w:rsid w:val="00531B4B"/>
    <w:rsid w:val="00533A0F"/>
    <w:rsid w:val="00533EE8"/>
    <w:rsid w:val="00534224"/>
    <w:rsid w:val="005407A7"/>
    <w:rsid w:val="00546ADC"/>
    <w:rsid w:val="005531E7"/>
    <w:rsid w:val="00555057"/>
    <w:rsid w:val="00555396"/>
    <w:rsid w:val="005569F5"/>
    <w:rsid w:val="0056344D"/>
    <w:rsid w:val="005649C2"/>
    <w:rsid w:val="00565573"/>
    <w:rsid w:val="005702E8"/>
    <w:rsid w:val="00571CA0"/>
    <w:rsid w:val="00573F79"/>
    <w:rsid w:val="00574130"/>
    <w:rsid w:val="00574C9C"/>
    <w:rsid w:val="00580441"/>
    <w:rsid w:val="0058328A"/>
    <w:rsid w:val="005868C4"/>
    <w:rsid w:val="00587130"/>
    <w:rsid w:val="005936B3"/>
    <w:rsid w:val="00596EA9"/>
    <w:rsid w:val="005975EF"/>
    <w:rsid w:val="005A0B73"/>
    <w:rsid w:val="005A1C19"/>
    <w:rsid w:val="005A30EC"/>
    <w:rsid w:val="005A5D39"/>
    <w:rsid w:val="005A5E7E"/>
    <w:rsid w:val="005A7571"/>
    <w:rsid w:val="005B2EBB"/>
    <w:rsid w:val="005B3EF3"/>
    <w:rsid w:val="005B5E87"/>
    <w:rsid w:val="005C2544"/>
    <w:rsid w:val="005C2F52"/>
    <w:rsid w:val="005D20B0"/>
    <w:rsid w:val="005D266B"/>
    <w:rsid w:val="005D5073"/>
    <w:rsid w:val="005E15AC"/>
    <w:rsid w:val="005E731C"/>
    <w:rsid w:val="005F0FCA"/>
    <w:rsid w:val="005F4BD1"/>
    <w:rsid w:val="00601B79"/>
    <w:rsid w:val="0060205C"/>
    <w:rsid w:val="00602FF8"/>
    <w:rsid w:val="006035DB"/>
    <w:rsid w:val="006058F1"/>
    <w:rsid w:val="006059C4"/>
    <w:rsid w:val="006105B8"/>
    <w:rsid w:val="00611AEE"/>
    <w:rsid w:val="00617B20"/>
    <w:rsid w:val="00621792"/>
    <w:rsid w:val="00624BDF"/>
    <w:rsid w:val="00625420"/>
    <w:rsid w:val="006262D9"/>
    <w:rsid w:val="0062667F"/>
    <w:rsid w:val="00626CCE"/>
    <w:rsid w:val="0062702E"/>
    <w:rsid w:val="006324A5"/>
    <w:rsid w:val="00637555"/>
    <w:rsid w:val="00644D4A"/>
    <w:rsid w:val="00646CBC"/>
    <w:rsid w:val="00647FC8"/>
    <w:rsid w:val="00651754"/>
    <w:rsid w:val="00653D08"/>
    <w:rsid w:val="006559F5"/>
    <w:rsid w:val="006568AD"/>
    <w:rsid w:val="006649B2"/>
    <w:rsid w:val="00664E01"/>
    <w:rsid w:val="00670341"/>
    <w:rsid w:val="00682158"/>
    <w:rsid w:val="00682E07"/>
    <w:rsid w:val="0068328E"/>
    <w:rsid w:val="00691BA8"/>
    <w:rsid w:val="006A0CB3"/>
    <w:rsid w:val="006A4C2B"/>
    <w:rsid w:val="006B2354"/>
    <w:rsid w:val="006C0169"/>
    <w:rsid w:val="006C7A1E"/>
    <w:rsid w:val="006D1D73"/>
    <w:rsid w:val="006D22CD"/>
    <w:rsid w:val="006D5809"/>
    <w:rsid w:val="006D6AA1"/>
    <w:rsid w:val="006E6DDE"/>
    <w:rsid w:val="006F3D7D"/>
    <w:rsid w:val="006F488B"/>
    <w:rsid w:val="006F7EA3"/>
    <w:rsid w:val="00700862"/>
    <w:rsid w:val="007014A0"/>
    <w:rsid w:val="007107BD"/>
    <w:rsid w:val="00712D5D"/>
    <w:rsid w:val="00720B47"/>
    <w:rsid w:val="00721B9E"/>
    <w:rsid w:val="00722B40"/>
    <w:rsid w:val="00724ACB"/>
    <w:rsid w:val="00727F5F"/>
    <w:rsid w:val="0073087F"/>
    <w:rsid w:val="0073180A"/>
    <w:rsid w:val="00731F7A"/>
    <w:rsid w:val="0073292A"/>
    <w:rsid w:val="0074194A"/>
    <w:rsid w:val="00746761"/>
    <w:rsid w:val="00752747"/>
    <w:rsid w:val="00757789"/>
    <w:rsid w:val="007578E8"/>
    <w:rsid w:val="007613CC"/>
    <w:rsid w:val="00761F32"/>
    <w:rsid w:val="00762852"/>
    <w:rsid w:val="00762D3E"/>
    <w:rsid w:val="007633CC"/>
    <w:rsid w:val="00763594"/>
    <w:rsid w:val="007669ED"/>
    <w:rsid w:val="0076705E"/>
    <w:rsid w:val="00767C2A"/>
    <w:rsid w:val="0077153D"/>
    <w:rsid w:val="007725D2"/>
    <w:rsid w:val="007729E0"/>
    <w:rsid w:val="00774181"/>
    <w:rsid w:val="00774441"/>
    <w:rsid w:val="00775CF5"/>
    <w:rsid w:val="00776306"/>
    <w:rsid w:val="00776F96"/>
    <w:rsid w:val="00780D7E"/>
    <w:rsid w:val="00792167"/>
    <w:rsid w:val="007A23C3"/>
    <w:rsid w:val="007A6482"/>
    <w:rsid w:val="007A6585"/>
    <w:rsid w:val="007A71E2"/>
    <w:rsid w:val="007A7D20"/>
    <w:rsid w:val="007B6699"/>
    <w:rsid w:val="007B7368"/>
    <w:rsid w:val="007B7E07"/>
    <w:rsid w:val="007C137D"/>
    <w:rsid w:val="007D0102"/>
    <w:rsid w:val="007D23CF"/>
    <w:rsid w:val="007E6F8F"/>
    <w:rsid w:val="007F4BB8"/>
    <w:rsid w:val="007F670A"/>
    <w:rsid w:val="007F68DF"/>
    <w:rsid w:val="00800538"/>
    <w:rsid w:val="0080722F"/>
    <w:rsid w:val="00814C11"/>
    <w:rsid w:val="00815AC0"/>
    <w:rsid w:val="00815BD4"/>
    <w:rsid w:val="00817299"/>
    <w:rsid w:val="008259B9"/>
    <w:rsid w:val="00837B9E"/>
    <w:rsid w:val="0085462C"/>
    <w:rsid w:val="00856142"/>
    <w:rsid w:val="0086548E"/>
    <w:rsid w:val="008661CB"/>
    <w:rsid w:val="00866457"/>
    <w:rsid w:val="008737C5"/>
    <w:rsid w:val="00874487"/>
    <w:rsid w:val="00875020"/>
    <w:rsid w:val="00882E88"/>
    <w:rsid w:val="00884826"/>
    <w:rsid w:val="00884B94"/>
    <w:rsid w:val="0088518E"/>
    <w:rsid w:val="008855ED"/>
    <w:rsid w:val="008866EF"/>
    <w:rsid w:val="00886FC3"/>
    <w:rsid w:val="00891D4E"/>
    <w:rsid w:val="00892AD9"/>
    <w:rsid w:val="00893977"/>
    <w:rsid w:val="00893C79"/>
    <w:rsid w:val="00897BAE"/>
    <w:rsid w:val="008A25C5"/>
    <w:rsid w:val="008A38CE"/>
    <w:rsid w:val="008A733F"/>
    <w:rsid w:val="008B0998"/>
    <w:rsid w:val="008B1E3C"/>
    <w:rsid w:val="008B23E0"/>
    <w:rsid w:val="008B4950"/>
    <w:rsid w:val="008B4C6A"/>
    <w:rsid w:val="008C34E1"/>
    <w:rsid w:val="008C4296"/>
    <w:rsid w:val="008C55EF"/>
    <w:rsid w:val="008C576F"/>
    <w:rsid w:val="008D5A83"/>
    <w:rsid w:val="008D6F70"/>
    <w:rsid w:val="008E2EC4"/>
    <w:rsid w:val="008E3D81"/>
    <w:rsid w:val="008E429F"/>
    <w:rsid w:val="008E596C"/>
    <w:rsid w:val="008E5DF0"/>
    <w:rsid w:val="008E7FD5"/>
    <w:rsid w:val="008F13E7"/>
    <w:rsid w:val="00904E45"/>
    <w:rsid w:val="00910731"/>
    <w:rsid w:val="00915A7C"/>
    <w:rsid w:val="00927556"/>
    <w:rsid w:val="00930CD7"/>
    <w:rsid w:val="00932E47"/>
    <w:rsid w:val="009358EB"/>
    <w:rsid w:val="00946F6A"/>
    <w:rsid w:val="00954625"/>
    <w:rsid w:val="0095576D"/>
    <w:rsid w:val="009561FE"/>
    <w:rsid w:val="00962647"/>
    <w:rsid w:val="00965FA0"/>
    <w:rsid w:val="00971E3A"/>
    <w:rsid w:val="00972AF6"/>
    <w:rsid w:val="00982B9C"/>
    <w:rsid w:val="00990D27"/>
    <w:rsid w:val="00991BCD"/>
    <w:rsid w:val="009A2AFB"/>
    <w:rsid w:val="009A2EBF"/>
    <w:rsid w:val="009A4AE8"/>
    <w:rsid w:val="009A4C40"/>
    <w:rsid w:val="009A7DA0"/>
    <w:rsid w:val="009A7F4F"/>
    <w:rsid w:val="009B07D8"/>
    <w:rsid w:val="009B30AF"/>
    <w:rsid w:val="009B36DB"/>
    <w:rsid w:val="009B4233"/>
    <w:rsid w:val="009C5280"/>
    <w:rsid w:val="009C6A4F"/>
    <w:rsid w:val="009D0E27"/>
    <w:rsid w:val="009D4A90"/>
    <w:rsid w:val="009D60E6"/>
    <w:rsid w:val="009E052E"/>
    <w:rsid w:val="009E58C6"/>
    <w:rsid w:val="009E7D05"/>
    <w:rsid w:val="009F5368"/>
    <w:rsid w:val="009F5879"/>
    <w:rsid w:val="009F7DAC"/>
    <w:rsid w:val="00A02C6D"/>
    <w:rsid w:val="00A04D8B"/>
    <w:rsid w:val="00A05197"/>
    <w:rsid w:val="00A057AD"/>
    <w:rsid w:val="00A1094B"/>
    <w:rsid w:val="00A11811"/>
    <w:rsid w:val="00A16BA4"/>
    <w:rsid w:val="00A16F49"/>
    <w:rsid w:val="00A1784D"/>
    <w:rsid w:val="00A207FB"/>
    <w:rsid w:val="00A23B37"/>
    <w:rsid w:val="00A241B3"/>
    <w:rsid w:val="00A2547D"/>
    <w:rsid w:val="00A255B7"/>
    <w:rsid w:val="00A278AE"/>
    <w:rsid w:val="00A33592"/>
    <w:rsid w:val="00A36BAA"/>
    <w:rsid w:val="00A455F7"/>
    <w:rsid w:val="00A46222"/>
    <w:rsid w:val="00A51110"/>
    <w:rsid w:val="00A51A5A"/>
    <w:rsid w:val="00A51FFC"/>
    <w:rsid w:val="00A60948"/>
    <w:rsid w:val="00A61530"/>
    <w:rsid w:val="00A65F46"/>
    <w:rsid w:val="00A6632C"/>
    <w:rsid w:val="00A770DC"/>
    <w:rsid w:val="00A8062C"/>
    <w:rsid w:val="00A806BA"/>
    <w:rsid w:val="00A848F1"/>
    <w:rsid w:val="00A851B6"/>
    <w:rsid w:val="00A90C95"/>
    <w:rsid w:val="00A9130C"/>
    <w:rsid w:val="00A96078"/>
    <w:rsid w:val="00AA4E01"/>
    <w:rsid w:val="00AB22DE"/>
    <w:rsid w:val="00AB501C"/>
    <w:rsid w:val="00AB7888"/>
    <w:rsid w:val="00AC0FE9"/>
    <w:rsid w:val="00AC44DD"/>
    <w:rsid w:val="00AD4B88"/>
    <w:rsid w:val="00AE2E0F"/>
    <w:rsid w:val="00AE4011"/>
    <w:rsid w:val="00AE53FF"/>
    <w:rsid w:val="00AE5BC6"/>
    <w:rsid w:val="00AF2F83"/>
    <w:rsid w:val="00AF7DAF"/>
    <w:rsid w:val="00B06A8D"/>
    <w:rsid w:val="00B12259"/>
    <w:rsid w:val="00B122B7"/>
    <w:rsid w:val="00B14611"/>
    <w:rsid w:val="00B162C8"/>
    <w:rsid w:val="00B2351D"/>
    <w:rsid w:val="00B25C3A"/>
    <w:rsid w:val="00B31670"/>
    <w:rsid w:val="00B33442"/>
    <w:rsid w:val="00B37933"/>
    <w:rsid w:val="00B45919"/>
    <w:rsid w:val="00B54C04"/>
    <w:rsid w:val="00B5543D"/>
    <w:rsid w:val="00B55F88"/>
    <w:rsid w:val="00B64D98"/>
    <w:rsid w:val="00B66D80"/>
    <w:rsid w:val="00B67249"/>
    <w:rsid w:val="00B67380"/>
    <w:rsid w:val="00B67C6D"/>
    <w:rsid w:val="00B81BE9"/>
    <w:rsid w:val="00B826D4"/>
    <w:rsid w:val="00B8522F"/>
    <w:rsid w:val="00B857B5"/>
    <w:rsid w:val="00B86D23"/>
    <w:rsid w:val="00BA2E08"/>
    <w:rsid w:val="00BA42B3"/>
    <w:rsid w:val="00BB2105"/>
    <w:rsid w:val="00BB32CD"/>
    <w:rsid w:val="00BC2AE1"/>
    <w:rsid w:val="00BC759B"/>
    <w:rsid w:val="00BD3393"/>
    <w:rsid w:val="00BD7032"/>
    <w:rsid w:val="00BE11E1"/>
    <w:rsid w:val="00BE2771"/>
    <w:rsid w:val="00BE3AD8"/>
    <w:rsid w:val="00BE7019"/>
    <w:rsid w:val="00BE7459"/>
    <w:rsid w:val="00BE7F3B"/>
    <w:rsid w:val="00BF17ED"/>
    <w:rsid w:val="00BF2D86"/>
    <w:rsid w:val="00BF333B"/>
    <w:rsid w:val="00BF37F0"/>
    <w:rsid w:val="00BF4E06"/>
    <w:rsid w:val="00C0729C"/>
    <w:rsid w:val="00C11E51"/>
    <w:rsid w:val="00C14216"/>
    <w:rsid w:val="00C16EA3"/>
    <w:rsid w:val="00C205A4"/>
    <w:rsid w:val="00C23AEA"/>
    <w:rsid w:val="00C24486"/>
    <w:rsid w:val="00C36D69"/>
    <w:rsid w:val="00C37E1C"/>
    <w:rsid w:val="00C44E78"/>
    <w:rsid w:val="00C4544C"/>
    <w:rsid w:val="00C45C66"/>
    <w:rsid w:val="00C5295A"/>
    <w:rsid w:val="00C5611A"/>
    <w:rsid w:val="00C61B29"/>
    <w:rsid w:val="00C61CC1"/>
    <w:rsid w:val="00C62C76"/>
    <w:rsid w:val="00C648D4"/>
    <w:rsid w:val="00C6616F"/>
    <w:rsid w:val="00C662D5"/>
    <w:rsid w:val="00C72BBC"/>
    <w:rsid w:val="00C76A42"/>
    <w:rsid w:val="00C80492"/>
    <w:rsid w:val="00C815D5"/>
    <w:rsid w:val="00C8183C"/>
    <w:rsid w:val="00C82026"/>
    <w:rsid w:val="00C82954"/>
    <w:rsid w:val="00C95E05"/>
    <w:rsid w:val="00C965D3"/>
    <w:rsid w:val="00CA427A"/>
    <w:rsid w:val="00CB194C"/>
    <w:rsid w:val="00CB1C2F"/>
    <w:rsid w:val="00CB3061"/>
    <w:rsid w:val="00CB618B"/>
    <w:rsid w:val="00CB7A3B"/>
    <w:rsid w:val="00CC2524"/>
    <w:rsid w:val="00CC26A7"/>
    <w:rsid w:val="00CC2BE8"/>
    <w:rsid w:val="00CC615A"/>
    <w:rsid w:val="00CD2BD4"/>
    <w:rsid w:val="00CD4D92"/>
    <w:rsid w:val="00CD62DB"/>
    <w:rsid w:val="00CE0480"/>
    <w:rsid w:val="00CE2307"/>
    <w:rsid w:val="00CE3302"/>
    <w:rsid w:val="00CE78E1"/>
    <w:rsid w:val="00CF0CDC"/>
    <w:rsid w:val="00CF4C7D"/>
    <w:rsid w:val="00CF7204"/>
    <w:rsid w:val="00D04573"/>
    <w:rsid w:val="00D129D0"/>
    <w:rsid w:val="00D1735A"/>
    <w:rsid w:val="00D27C3A"/>
    <w:rsid w:val="00D31CB0"/>
    <w:rsid w:val="00D37EB8"/>
    <w:rsid w:val="00D37F97"/>
    <w:rsid w:val="00D47A7E"/>
    <w:rsid w:val="00D519B4"/>
    <w:rsid w:val="00D5669D"/>
    <w:rsid w:val="00D56A46"/>
    <w:rsid w:val="00D639AF"/>
    <w:rsid w:val="00D6689A"/>
    <w:rsid w:val="00D7039B"/>
    <w:rsid w:val="00D703A0"/>
    <w:rsid w:val="00D72B13"/>
    <w:rsid w:val="00D7334F"/>
    <w:rsid w:val="00D736A6"/>
    <w:rsid w:val="00D80D92"/>
    <w:rsid w:val="00D82E5C"/>
    <w:rsid w:val="00D91317"/>
    <w:rsid w:val="00D927BE"/>
    <w:rsid w:val="00DA0820"/>
    <w:rsid w:val="00DA1435"/>
    <w:rsid w:val="00DA1910"/>
    <w:rsid w:val="00DA6A20"/>
    <w:rsid w:val="00DA7A5E"/>
    <w:rsid w:val="00DB001B"/>
    <w:rsid w:val="00DB2E29"/>
    <w:rsid w:val="00DB5F37"/>
    <w:rsid w:val="00DD323D"/>
    <w:rsid w:val="00DE49B5"/>
    <w:rsid w:val="00DE4C5A"/>
    <w:rsid w:val="00DE4D66"/>
    <w:rsid w:val="00DE4EC4"/>
    <w:rsid w:val="00DF3B28"/>
    <w:rsid w:val="00E00834"/>
    <w:rsid w:val="00E02D65"/>
    <w:rsid w:val="00E02F12"/>
    <w:rsid w:val="00E0621B"/>
    <w:rsid w:val="00E256CA"/>
    <w:rsid w:val="00E2587C"/>
    <w:rsid w:val="00E2763E"/>
    <w:rsid w:val="00E27CEF"/>
    <w:rsid w:val="00E327CA"/>
    <w:rsid w:val="00E33C1E"/>
    <w:rsid w:val="00E33F3D"/>
    <w:rsid w:val="00E34A1F"/>
    <w:rsid w:val="00E35F0D"/>
    <w:rsid w:val="00E46DF0"/>
    <w:rsid w:val="00E53B44"/>
    <w:rsid w:val="00E5420F"/>
    <w:rsid w:val="00E57014"/>
    <w:rsid w:val="00E57262"/>
    <w:rsid w:val="00E63AE6"/>
    <w:rsid w:val="00E66063"/>
    <w:rsid w:val="00E66D1A"/>
    <w:rsid w:val="00E71DAD"/>
    <w:rsid w:val="00E71F04"/>
    <w:rsid w:val="00E73F99"/>
    <w:rsid w:val="00E76049"/>
    <w:rsid w:val="00E826E7"/>
    <w:rsid w:val="00E86792"/>
    <w:rsid w:val="00E9004F"/>
    <w:rsid w:val="00E91BEA"/>
    <w:rsid w:val="00E93E4F"/>
    <w:rsid w:val="00EA00F3"/>
    <w:rsid w:val="00EA12D4"/>
    <w:rsid w:val="00EA515D"/>
    <w:rsid w:val="00EA77A0"/>
    <w:rsid w:val="00EB043E"/>
    <w:rsid w:val="00EB0595"/>
    <w:rsid w:val="00EB5A61"/>
    <w:rsid w:val="00EB66CD"/>
    <w:rsid w:val="00EC539B"/>
    <w:rsid w:val="00EC54F6"/>
    <w:rsid w:val="00EC6A44"/>
    <w:rsid w:val="00ED7327"/>
    <w:rsid w:val="00EE3B38"/>
    <w:rsid w:val="00EE4665"/>
    <w:rsid w:val="00EE497B"/>
    <w:rsid w:val="00EF160F"/>
    <w:rsid w:val="00EF19AB"/>
    <w:rsid w:val="00EF53EC"/>
    <w:rsid w:val="00EF5C93"/>
    <w:rsid w:val="00EF5F41"/>
    <w:rsid w:val="00EF7CE4"/>
    <w:rsid w:val="00F01069"/>
    <w:rsid w:val="00F01CF7"/>
    <w:rsid w:val="00F02D17"/>
    <w:rsid w:val="00F07AC0"/>
    <w:rsid w:val="00F07FC4"/>
    <w:rsid w:val="00F1044F"/>
    <w:rsid w:val="00F10CEB"/>
    <w:rsid w:val="00F12A54"/>
    <w:rsid w:val="00F13736"/>
    <w:rsid w:val="00F14B83"/>
    <w:rsid w:val="00F1749C"/>
    <w:rsid w:val="00F205A2"/>
    <w:rsid w:val="00F23183"/>
    <w:rsid w:val="00F2343E"/>
    <w:rsid w:val="00F25E66"/>
    <w:rsid w:val="00F30179"/>
    <w:rsid w:val="00F31410"/>
    <w:rsid w:val="00F349D1"/>
    <w:rsid w:val="00F43AD7"/>
    <w:rsid w:val="00F5188E"/>
    <w:rsid w:val="00F52102"/>
    <w:rsid w:val="00F52EC9"/>
    <w:rsid w:val="00F56878"/>
    <w:rsid w:val="00F56DF6"/>
    <w:rsid w:val="00F66A60"/>
    <w:rsid w:val="00F71A87"/>
    <w:rsid w:val="00F724AF"/>
    <w:rsid w:val="00F73956"/>
    <w:rsid w:val="00F801E0"/>
    <w:rsid w:val="00F849B4"/>
    <w:rsid w:val="00F85B60"/>
    <w:rsid w:val="00F9008A"/>
    <w:rsid w:val="00F911F3"/>
    <w:rsid w:val="00F91A85"/>
    <w:rsid w:val="00F92768"/>
    <w:rsid w:val="00F92D11"/>
    <w:rsid w:val="00FA2CF7"/>
    <w:rsid w:val="00FA6FE6"/>
    <w:rsid w:val="00FB5B78"/>
    <w:rsid w:val="00FC0BB8"/>
    <w:rsid w:val="00FC1D21"/>
    <w:rsid w:val="00FC3141"/>
    <w:rsid w:val="00FD03B0"/>
    <w:rsid w:val="00FD1ECD"/>
    <w:rsid w:val="00FD23B2"/>
    <w:rsid w:val="00FD3C77"/>
    <w:rsid w:val="00FE05B5"/>
    <w:rsid w:val="00FF0C31"/>
    <w:rsid w:val="00FF24D6"/>
    <w:rsid w:val="00FF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1E0"/>
    <w:rPr>
      <w:sz w:val="24"/>
      <w:szCs w:val="24"/>
    </w:rPr>
  </w:style>
  <w:style w:type="paragraph" w:styleId="Heading1">
    <w:name w:val="heading 1"/>
    <w:basedOn w:val="Normal"/>
    <w:next w:val="Normal"/>
    <w:qFormat/>
    <w:rsid w:val="00F801E0"/>
    <w:pPr>
      <w:keepNext/>
      <w:outlineLvl w:val="0"/>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01E0"/>
    <w:pPr>
      <w:ind w:right="-360"/>
    </w:pPr>
  </w:style>
  <w:style w:type="paragraph" w:styleId="BodyText2">
    <w:name w:val="Body Text 2"/>
    <w:basedOn w:val="Normal"/>
    <w:link w:val="BodyText2Char"/>
    <w:rsid w:val="00F801E0"/>
    <w:pPr>
      <w:ind w:right="-360"/>
    </w:pPr>
    <w:rPr>
      <w:u w:val="single"/>
    </w:rPr>
  </w:style>
  <w:style w:type="paragraph" w:styleId="Footer">
    <w:name w:val="footer"/>
    <w:basedOn w:val="Normal"/>
    <w:rsid w:val="00F801E0"/>
    <w:pPr>
      <w:tabs>
        <w:tab w:val="center" w:pos="4320"/>
        <w:tab w:val="right" w:pos="8640"/>
      </w:tabs>
    </w:pPr>
  </w:style>
  <w:style w:type="character" w:styleId="PageNumber">
    <w:name w:val="page number"/>
    <w:basedOn w:val="DefaultParagraphFont"/>
    <w:rsid w:val="00F801E0"/>
  </w:style>
  <w:style w:type="paragraph" w:styleId="BalloonText">
    <w:name w:val="Balloon Text"/>
    <w:basedOn w:val="Normal"/>
    <w:link w:val="BalloonTextChar"/>
    <w:rsid w:val="00837B9E"/>
    <w:rPr>
      <w:rFonts w:ascii="Tahoma" w:hAnsi="Tahoma" w:cs="Tahoma"/>
      <w:sz w:val="16"/>
      <w:szCs w:val="16"/>
    </w:rPr>
  </w:style>
  <w:style w:type="character" w:customStyle="1" w:styleId="BalloonTextChar">
    <w:name w:val="Balloon Text Char"/>
    <w:basedOn w:val="DefaultParagraphFont"/>
    <w:link w:val="BalloonText"/>
    <w:rsid w:val="00837B9E"/>
    <w:rPr>
      <w:rFonts w:ascii="Tahoma" w:hAnsi="Tahoma" w:cs="Tahoma"/>
      <w:sz w:val="16"/>
      <w:szCs w:val="16"/>
    </w:rPr>
  </w:style>
  <w:style w:type="character" w:styleId="CommentReference">
    <w:name w:val="annotation reference"/>
    <w:basedOn w:val="DefaultParagraphFont"/>
    <w:semiHidden/>
    <w:rsid w:val="00CB7A3B"/>
    <w:rPr>
      <w:sz w:val="16"/>
      <w:szCs w:val="16"/>
    </w:rPr>
  </w:style>
  <w:style w:type="paragraph" w:styleId="CommentText">
    <w:name w:val="annotation text"/>
    <w:basedOn w:val="Normal"/>
    <w:link w:val="CommentTextChar"/>
    <w:rsid w:val="00CB7A3B"/>
    <w:rPr>
      <w:sz w:val="20"/>
      <w:szCs w:val="20"/>
    </w:rPr>
  </w:style>
  <w:style w:type="paragraph" w:styleId="CommentSubject">
    <w:name w:val="annotation subject"/>
    <w:basedOn w:val="CommentText"/>
    <w:next w:val="CommentText"/>
    <w:semiHidden/>
    <w:rsid w:val="00CB7A3B"/>
    <w:rPr>
      <w:b/>
      <w:bCs/>
    </w:rPr>
  </w:style>
  <w:style w:type="character" w:styleId="Hyperlink">
    <w:name w:val="Hyperlink"/>
    <w:basedOn w:val="DefaultParagraphFont"/>
    <w:rsid w:val="00493A58"/>
    <w:rPr>
      <w:color w:val="0000FF"/>
      <w:u w:val="single"/>
    </w:rPr>
  </w:style>
  <w:style w:type="paragraph" w:styleId="BlockText">
    <w:name w:val="Block Text"/>
    <w:basedOn w:val="Normal"/>
    <w:rsid w:val="0042567F"/>
    <w:pPr>
      <w:widowControl w:val="0"/>
      <w:tabs>
        <w:tab w:val="left" w:pos="-720"/>
      </w:tabs>
      <w:suppressAutoHyphens/>
      <w:overflowPunct w:val="0"/>
      <w:autoSpaceDE w:val="0"/>
      <w:autoSpaceDN w:val="0"/>
      <w:adjustRightInd w:val="0"/>
      <w:ind w:left="720" w:right="720"/>
      <w:textAlignment w:val="baseline"/>
    </w:pPr>
    <w:rPr>
      <w:rFonts w:ascii="CG Times" w:hAnsi="CG Times"/>
      <w:szCs w:val="20"/>
    </w:rPr>
  </w:style>
  <w:style w:type="table" w:styleId="TableGrid">
    <w:name w:val="Table Grid"/>
    <w:basedOn w:val="TableNormal"/>
    <w:rsid w:val="00F66A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
    <w:name w:val="Comment Text Char"/>
    <w:basedOn w:val="DefaultParagraphFont"/>
    <w:link w:val="CommentText"/>
    <w:rsid w:val="00307ED8"/>
  </w:style>
  <w:style w:type="paragraph" w:styleId="Revision">
    <w:name w:val="Revision"/>
    <w:hidden/>
    <w:uiPriority w:val="99"/>
    <w:semiHidden/>
    <w:rsid w:val="00892AD9"/>
    <w:rPr>
      <w:sz w:val="24"/>
      <w:szCs w:val="24"/>
    </w:rPr>
  </w:style>
  <w:style w:type="paragraph" w:styleId="EndnoteText">
    <w:name w:val="endnote text"/>
    <w:basedOn w:val="Normal"/>
    <w:link w:val="EndnoteTextChar"/>
    <w:rsid w:val="00DE4C5A"/>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basedOn w:val="DefaultParagraphFont"/>
    <w:link w:val="EndnoteText"/>
    <w:rsid w:val="00DE4C5A"/>
    <w:rPr>
      <w:rFonts w:ascii="Courier New" w:hAnsi="Courier New"/>
      <w:sz w:val="24"/>
    </w:rPr>
  </w:style>
  <w:style w:type="paragraph" w:styleId="Header">
    <w:name w:val="header"/>
    <w:basedOn w:val="Normal"/>
    <w:link w:val="HeaderChar"/>
    <w:rsid w:val="00762D3E"/>
    <w:pPr>
      <w:tabs>
        <w:tab w:val="center" w:pos="4680"/>
        <w:tab w:val="right" w:pos="9360"/>
      </w:tabs>
    </w:pPr>
  </w:style>
  <w:style w:type="character" w:customStyle="1" w:styleId="HeaderChar">
    <w:name w:val="Header Char"/>
    <w:basedOn w:val="DefaultParagraphFont"/>
    <w:link w:val="Header"/>
    <w:rsid w:val="00762D3E"/>
    <w:rPr>
      <w:sz w:val="24"/>
      <w:szCs w:val="24"/>
    </w:rPr>
  </w:style>
  <w:style w:type="paragraph" w:styleId="ListParagraph">
    <w:name w:val="List Paragraph"/>
    <w:basedOn w:val="Normal"/>
    <w:uiPriority w:val="34"/>
    <w:qFormat/>
    <w:rsid w:val="00F2343E"/>
    <w:pPr>
      <w:ind w:left="720"/>
      <w:contextualSpacing/>
    </w:pPr>
  </w:style>
  <w:style w:type="paragraph" w:styleId="BodyTextIndent">
    <w:name w:val="Body Text Indent"/>
    <w:basedOn w:val="Normal"/>
    <w:link w:val="BodyTextIndentChar"/>
    <w:rsid w:val="00BF17ED"/>
    <w:pPr>
      <w:spacing w:after="120"/>
      <w:ind w:left="360"/>
    </w:pPr>
  </w:style>
  <w:style w:type="character" w:customStyle="1" w:styleId="BodyTextIndentChar">
    <w:name w:val="Body Text Indent Char"/>
    <w:basedOn w:val="DefaultParagraphFont"/>
    <w:link w:val="BodyTextIndent"/>
    <w:rsid w:val="00BF17ED"/>
    <w:rPr>
      <w:sz w:val="24"/>
      <w:szCs w:val="24"/>
    </w:rPr>
  </w:style>
  <w:style w:type="character" w:styleId="FollowedHyperlink">
    <w:name w:val="FollowedHyperlink"/>
    <w:basedOn w:val="DefaultParagraphFont"/>
    <w:rsid w:val="002C3A80"/>
    <w:rPr>
      <w:color w:val="800080"/>
      <w:u w:val="single"/>
    </w:rPr>
  </w:style>
  <w:style w:type="character" w:customStyle="1" w:styleId="BodyText2Char">
    <w:name w:val="Body Text 2 Char"/>
    <w:basedOn w:val="DefaultParagraphFont"/>
    <w:link w:val="BodyText2"/>
    <w:rsid w:val="00637555"/>
    <w:rPr>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1E0"/>
    <w:rPr>
      <w:sz w:val="24"/>
      <w:szCs w:val="24"/>
    </w:rPr>
  </w:style>
  <w:style w:type="paragraph" w:styleId="Heading1">
    <w:name w:val="heading 1"/>
    <w:basedOn w:val="Normal"/>
    <w:next w:val="Normal"/>
    <w:qFormat/>
    <w:rsid w:val="00F801E0"/>
    <w:pPr>
      <w:keepNext/>
      <w:outlineLvl w:val="0"/>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01E0"/>
    <w:pPr>
      <w:ind w:right="-360"/>
    </w:pPr>
  </w:style>
  <w:style w:type="paragraph" w:styleId="BodyText2">
    <w:name w:val="Body Text 2"/>
    <w:basedOn w:val="Normal"/>
    <w:link w:val="BodyText2Char"/>
    <w:rsid w:val="00F801E0"/>
    <w:pPr>
      <w:ind w:right="-360"/>
    </w:pPr>
    <w:rPr>
      <w:u w:val="single"/>
    </w:rPr>
  </w:style>
  <w:style w:type="paragraph" w:styleId="Footer">
    <w:name w:val="footer"/>
    <w:basedOn w:val="Normal"/>
    <w:rsid w:val="00F801E0"/>
    <w:pPr>
      <w:tabs>
        <w:tab w:val="center" w:pos="4320"/>
        <w:tab w:val="right" w:pos="8640"/>
      </w:tabs>
    </w:pPr>
  </w:style>
  <w:style w:type="character" w:styleId="PageNumber">
    <w:name w:val="page number"/>
    <w:basedOn w:val="DefaultParagraphFont"/>
    <w:rsid w:val="00F801E0"/>
  </w:style>
  <w:style w:type="paragraph" w:styleId="BalloonText">
    <w:name w:val="Balloon Text"/>
    <w:basedOn w:val="Normal"/>
    <w:link w:val="BalloonTextChar"/>
    <w:rsid w:val="00837B9E"/>
    <w:rPr>
      <w:rFonts w:ascii="Tahoma" w:hAnsi="Tahoma" w:cs="Tahoma"/>
      <w:sz w:val="16"/>
      <w:szCs w:val="16"/>
    </w:rPr>
  </w:style>
  <w:style w:type="character" w:customStyle="1" w:styleId="BalloonTextChar">
    <w:name w:val="Balloon Text Char"/>
    <w:basedOn w:val="DefaultParagraphFont"/>
    <w:link w:val="BalloonText"/>
    <w:rsid w:val="00837B9E"/>
    <w:rPr>
      <w:rFonts w:ascii="Tahoma" w:hAnsi="Tahoma" w:cs="Tahoma"/>
      <w:sz w:val="16"/>
      <w:szCs w:val="16"/>
    </w:rPr>
  </w:style>
  <w:style w:type="character" w:styleId="CommentReference">
    <w:name w:val="annotation reference"/>
    <w:basedOn w:val="DefaultParagraphFont"/>
    <w:semiHidden/>
    <w:rsid w:val="00CB7A3B"/>
    <w:rPr>
      <w:sz w:val="16"/>
      <w:szCs w:val="16"/>
    </w:rPr>
  </w:style>
  <w:style w:type="paragraph" w:styleId="CommentText">
    <w:name w:val="annotation text"/>
    <w:basedOn w:val="Normal"/>
    <w:link w:val="CommentTextChar"/>
    <w:rsid w:val="00CB7A3B"/>
    <w:rPr>
      <w:sz w:val="20"/>
      <w:szCs w:val="20"/>
    </w:rPr>
  </w:style>
  <w:style w:type="paragraph" w:styleId="CommentSubject">
    <w:name w:val="annotation subject"/>
    <w:basedOn w:val="CommentText"/>
    <w:next w:val="CommentText"/>
    <w:semiHidden/>
    <w:rsid w:val="00CB7A3B"/>
    <w:rPr>
      <w:b/>
      <w:bCs/>
    </w:rPr>
  </w:style>
  <w:style w:type="character" w:styleId="Hyperlink">
    <w:name w:val="Hyperlink"/>
    <w:basedOn w:val="DefaultParagraphFont"/>
    <w:rsid w:val="00493A58"/>
    <w:rPr>
      <w:color w:val="0000FF"/>
      <w:u w:val="single"/>
    </w:rPr>
  </w:style>
  <w:style w:type="paragraph" w:styleId="BlockText">
    <w:name w:val="Block Text"/>
    <w:basedOn w:val="Normal"/>
    <w:rsid w:val="0042567F"/>
    <w:pPr>
      <w:widowControl w:val="0"/>
      <w:tabs>
        <w:tab w:val="left" w:pos="-720"/>
      </w:tabs>
      <w:suppressAutoHyphens/>
      <w:overflowPunct w:val="0"/>
      <w:autoSpaceDE w:val="0"/>
      <w:autoSpaceDN w:val="0"/>
      <w:adjustRightInd w:val="0"/>
      <w:ind w:left="720" w:right="720"/>
      <w:textAlignment w:val="baseline"/>
    </w:pPr>
    <w:rPr>
      <w:rFonts w:ascii="CG Times" w:hAnsi="CG Times"/>
      <w:szCs w:val="20"/>
    </w:rPr>
  </w:style>
  <w:style w:type="table" w:styleId="TableGrid">
    <w:name w:val="Table Grid"/>
    <w:basedOn w:val="TableNormal"/>
    <w:rsid w:val="00F66A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
    <w:name w:val="Comment Text Char"/>
    <w:basedOn w:val="DefaultParagraphFont"/>
    <w:link w:val="CommentText"/>
    <w:rsid w:val="00307ED8"/>
  </w:style>
  <w:style w:type="paragraph" w:styleId="Revision">
    <w:name w:val="Revision"/>
    <w:hidden/>
    <w:uiPriority w:val="99"/>
    <w:semiHidden/>
    <w:rsid w:val="00892AD9"/>
    <w:rPr>
      <w:sz w:val="24"/>
      <w:szCs w:val="24"/>
    </w:rPr>
  </w:style>
  <w:style w:type="paragraph" w:styleId="EndnoteText">
    <w:name w:val="endnote text"/>
    <w:basedOn w:val="Normal"/>
    <w:link w:val="EndnoteTextChar"/>
    <w:rsid w:val="00DE4C5A"/>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basedOn w:val="DefaultParagraphFont"/>
    <w:link w:val="EndnoteText"/>
    <w:rsid w:val="00DE4C5A"/>
    <w:rPr>
      <w:rFonts w:ascii="Courier New" w:hAnsi="Courier New"/>
      <w:sz w:val="24"/>
    </w:rPr>
  </w:style>
  <w:style w:type="paragraph" w:styleId="Header">
    <w:name w:val="header"/>
    <w:basedOn w:val="Normal"/>
    <w:link w:val="HeaderChar"/>
    <w:rsid w:val="00762D3E"/>
    <w:pPr>
      <w:tabs>
        <w:tab w:val="center" w:pos="4680"/>
        <w:tab w:val="right" w:pos="9360"/>
      </w:tabs>
    </w:pPr>
  </w:style>
  <w:style w:type="character" w:customStyle="1" w:styleId="HeaderChar">
    <w:name w:val="Header Char"/>
    <w:basedOn w:val="DefaultParagraphFont"/>
    <w:link w:val="Header"/>
    <w:rsid w:val="00762D3E"/>
    <w:rPr>
      <w:sz w:val="24"/>
      <w:szCs w:val="24"/>
    </w:rPr>
  </w:style>
  <w:style w:type="paragraph" w:styleId="ListParagraph">
    <w:name w:val="List Paragraph"/>
    <w:basedOn w:val="Normal"/>
    <w:uiPriority w:val="34"/>
    <w:qFormat/>
    <w:rsid w:val="00F2343E"/>
    <w:pPr>
      <w:ind w:left="720"/>
      <w:contextualSpacing/>
    </w:pPr>
  </w:style>
  <w:style w:type="paragraph" w:styleId="BodyTextIndent">
    <w:name w:val="Body Text Indent"/>
    <w:basedOn w:val="Normal"/>
    <w:link w:val="BodyTextIndentChar"/>
    <w:rsid w:val="00BF17ED"/>
    <w:pPr>
      <w:spacing w:after="120"/>
      <w:ind w:left="360"/>
    </w:pPr>
  </w:style>
  <w:style w:type="character" w:customStyle="1" w:styleId="BodyTextIndentChar">
    <w:name w:val="Body Text Indent Char"/>
    <w:basedOn w:val="DefaultParagraphFont"/>
    <w:link w:val="BodyTextIndent"/>
    <w:rsid w:val="00BF17ED"/>
    <w:rPr>
      <w:sz w:val="24"/>
      <w:szCs w:val="24"/>
    </w:rPr>
  </w:style>
  <w:style w:type="character" w:styleId="FollowedHyperlink">
    <w:name w:val="FollowedHyperlink"/>
    <w:basedOn w:val="DefaultParagraphFont"/>
    <w:rsid w:val="002C3A80"/>
    <w:rPr>
      <w:color w:val="800080"/>
      <w:u w:val="single"/>
    </w:rPr>
  </w:style>
  <w:style w:type="character" w:customStyle="1" w:styleId="BodyText2Char">
    <w:name w:val="Body Text 2 Char"/>
    <w:basedOn w:val="DefaultParagraphFont"/>
    <w:link w:val="BodyText2"/>
    <w:rsid w:val="00637555"/>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3874">
      <w:bodyDiv w:val="1"/>
      <w:marLeft w:val="0"/>
      <w:marRight w:val="0"/>
      <w:marTop w:val="0"/>
      <w:marBottom w:val="0"/>
      <w:divBdr>
        <w:top w:val="none" w:sz="0" w:space="0" w:color="auto"/>
        <w:left w:val="none" w:sz="0" w:space="0" w:color="auto"/>
        <w:bottom w:val="none" w:sz="0" w:space="0" w:color="auto"/>
        <w:right w:val="none" w:sz="0" w:space="0" w:color="auto"/>
      </w:divBdr>
    </w:div>
    <w:div w:id="215043414">
      <w:bodyDiv w:val="1"/>
      <w:marLeft w:val="0"/>
      <w:marRight w:val="0"/>
      <w:marTop w:val="0"/>
      <w:marBottom w:val="0"/>
      <w:divBdr>
        <w:top w:val="none" w:sz="0" w:space="0" w:color="auto"/>
        <w:left w:val="none" w:sz="0" w:space="0" w:color="auto"/>
        <w:bottom w:val="none" w:sz="0" w:space="0" w:color="auto"/>
        <w:right w:val="none" w:sz="0" w:space="0" w:color="auto"/>
      </w:divBdr>
    </w:div>
    <w:div w:id="260189757">
      <w:bodyDiv w:val="1"/>
      <w:marLeft w:val="0"/>
      <w:marRight w:val="0"/>
      <w:marTop w:val="0"/>
      <w:marBottom w:val="0"/>
      <w:divBdr>
        <w:top w:val="none" w:sz="0" w:space="0" w:color="auto"/>
        <w:left w:val="none" w:sz="0" w:space="0" w:color="auto"/>
        <w:bottom w:val="none" w:sz="0" w:space="0" w:color="auto"/>
        <w:right w:val="none" w:sz="0" w:space="0" w:color="auto"/>
      </w:divBdr>
    </w:div>
    <w:div w:id="339115217">
      <w:bodyDiv w:val="1"/>
      <w:marLeft w:val="0"/>
      <w:marRight w:val="0"/>
      <w:marTop w:val="0"/>
      <w:marBottom w:val="0"/>
      <w:divBdr>
        <w:top w:val="none" w:sz="0" w:space="0" w:color="auto"/>
        <w:left w:val="none" w:sz="0" w:space="0" w:color="auto"/>
        <w:bottom w:val="none" w:sz="0" w:space="0" w:color="auto"/>
        <w:right w:val="none" w:sz="0" w:space="0" w:color="auto"/>
      </w:divBdr>
    </w:div>
    <w:div w:id="388649726">
      <w:bodyDiv w:val="1"/>
      <w:marLeft w:val="0"/>
      <w:marRight w:val="0"/>
      <w:marTop w:val="0"/>
      <w:marBottom w:val="0"/>
      <w:divBdr>
        <w:top w:val="none" w:sz="0" w:space="0" w:color="auto"/>
        <w:left w:val="none" w:sz="0" w:space="0" w:color="auto"/>
        <w:bottom w:val="none" w:sz="0" w:space="0" w:color="auto"/>
        <w:right w:val="none" w:sz="0" w:space="0" w:color="auto"/>
      </w:divBdr>
    </w:div>
    <w:div w:id="513418700">
      <w:bodyDiv w:val="1"/>
      <w:marLeft w:val="0"/>
      <w:marRight w:val="0"/>
      <w:marTop w:val="0"/>
      <w:marBottom w:val="0"/>
      <w:divBdr>
        <w:top w:val="none" w:sz="0" w:space="0" w:color="auto"/>
        <w:left w:val="none" w:sz="0" w:space="0" w:color="auto"/>
        <w:bottom w:val="none" w:sz="0" w:space="0" w:color="auto"/>
        <w:right w:val="none" w:sz="0" w:space="0" w:color="auto"/>
      </w:divBdr>
    </w:div>
    <w:div w:id="551118867">
      <w:bodyDiv w:val="1"/>
      <w:marLeft w:val="0"/>
      <w:marRight w:val="0"/>
      <w:marTop w:val="0"/>
      <w:marBottom w:val="0"/>
      <w:divBdr>
        <w:top w:val="none" w:sz="0" w:space="0" w:color="auto"/>
        <w:left w:val="none" w:sz="0" w:space="0" w:color="auto"/>
        <w:bottom w:val="none" w:sz="0" w:space="0" w:color="auto"/>
        <w:right w:val="none" w:sz="0" w:space="0" w:color="auto"/>
      </w:divBdr>
    </w:div>
    <w:div w:id="561989118">
      <w:bodyDiv w:val="1"/>
      <w:marLeft w:val="0"/>
      <w:marRight w:val="0"/>
      <w:marTop w:val="0"/>
      <w:marBottom w:val="0"/>
      <w:divBdr>
        <w:top w:val="none" w:sz="0" w:space="0" w:color="auto"/>
        <w:left w:val="none" w:sz="0" w:space="0" w:color="auto"/>
        <w:bottom w:val="none" w:sz="0" w:space="0" w:color="auto"/>
        <w:right w:val="none" w:sz="0" w:space="0" w:color="auto"/>
      </w:divBdr>
    </w:div>
    <w:div w:id="564725806">
      <w:bodyDiv w:val="1"/>
      <w:marLeft w:val="0"/>
      <w:marRight w:val="0"/>
      <w:marTop w:val="0"/>
      <w:marBottom w:val="0"/>
      <w:divBdr>
        <w:top w:val="none" w:sz="0" w:space="0" w:color="auto"/>
        <w:left w:val="none" w:sz="0" w:space="0" w:color="auto"/>
        <w:bottom w:val="none" w:sz="0" w:space="0" w:color="auto"/>
        <w:right w:val="none" w:sz="0" w:space="0" w:color="auto"/>
      </w:divBdr>
    </w:div>
    <w:div w:id="731731577">
      <w:bodyDiv w:val="1"/>
      <w:marLeft w:val="0"/>
      <w:marRight w:val="0"/>
      <w:marTop w:val="0"/>
      <w:marBottom w:val="0"/>
      <w:divBdr>
        <w:top w:val="none" w:sz="0" w:space="0" w:color="auto"/>
        <w:left w:val="none" w:sz="0" w:space="0" w:color="auto"/>
        <w:bottom w:val="none" w:sz="0" w:space="0" w:color="auto"/>
        <w:right w:val="none" w:sz="0" w:space="0" w:color="auto"/>
      </w:divBdr>
    </w:div>
    <w:div w:id="755055200">
      <w:bodyDiv w:val="1"/>
      <w:marLeft w:val="0"/>
      <w:marRight w:val="0"/>
      <w:marTop w:val="0"/>
      <w:marBottom w:val="0"/>
      <w:divBdr>
        <w:top w:val="none" w:sz="0" w:space="0" w:color="auto"/>
        <w:left w:val="none" w:sz="0" w:space="0" w:color="auto"/>
        <w:bottom w:val="none" w:sz="0" w:space="0" w:color="auto"/>
        <w:right w:val="none" w:sz="0" w:space="0" w:color="auto"/>
      </w:divBdr>
    </w:div>
    <w:div w:id="775290998">
      <w:bodyDiv w:val="1"/>
      <w:marLeft w:val="0"/>
      <w:marRight w:val="0"/>
      <w:marTop w:val="0"/>
      <w:marBottom w:val="0"/>
      <w:divBdr>
        <w:top w:val="none" w:sz="0" w:space="0" w:color="auto"/>
        <w:left w:val="none" w:sz="0" w:space="0" w:color="auto"/>
        <w:bottom w:val="none" w:sz="0" w:space="0" w:color="auto"/>
        <w:right w:val="none" w:sz="0" w:space="0" w:color="auto"/>
      </w:divBdr>
    </w:div>
    <w:div w:id="855313683">
      <w:bodyDiv w:val="1"/>
      <w:marLeft w:val="0"/>
      <w:marRight w:val="0"/>
      <w:marTop w:val="0"/>
      <w:marBottom w:val="0"/>
      <w:divBdr>
        <w:top w:val="none" w:sz="0" w:space="0" w:color="auto"/>
        <w:left w:val="none" w:sz="0" w:space="0" w:color="auto"/>
        <w:bottom w:val="none" w:sz="0" w:space="0" w:color="auto"/>
        <w:right w:val="none" w:sz="0" w:space="0" w:color="auto"/>
      </w:divBdr>
    </w:div>
    <w:div w:id="902258962">
      <w:bodyDiv w:val="1"/>
      <w:marLeft w:val="0"/>
      <w:marRight w:val="0"/>
      <w:marTop w:val="0"/>
      <w:marBottom w:val="0"/>
      <w:divBdr>
        <w:top w:val="none" w:sz="0" w:space="0" w:color="auto"/>
        <w:left w:val="none" w:sz="0" w:space="0" w:color="auto"/>
        <w:bottom w:val="none" w:sz="0" w:space="0" w:color="auto"/>
        <w:right w:val="none" w:sz="0" w:space="0" w:color="auto"/>
      </w:divBdr>
    </w:div>
    <w:div w:id="963652591">
      <w:bodyDiv w:val="1"/>
      <w:marLeft w:val="0"/>
      <w:marRight w:val="0"/>
      <w:marTop w:val="0"/>
      <w:marBottom w:val="0"/>
      <w:divBdr>
        <w:top w:val="none" w:sz="0" w:space="0" w:color="auto"/>
        <w:left w:val="none" w:sz="0" w:space="0" w:color="auto"/>
        <w:bottom w:val="none" w:sz="0" w:space="0" w:color="auto"/>
        <w:right w:val="none" w:sz="0" w:space="0" w:color="auto"/>
      </w:divBdr>
    </w:div>
    <w:div w:id="1038168218">
      <w:bodyDiv w:val="1"/>
      <w:marLeft w:val="0"/>
      <w:marRight w:val="0"/>
      <w:marTop w:val="0"/>
      <w:marBottom w:val="0"/>
      <w:divBdr>
        <w:top w:val="none" w:sz="0" w:space="0" w:color="auto"/>
        <w:left w:val="none" w:sz="0" w:space="0" w:color="auto"/>
        <w:bottom w:val="none" w:sz="0" w:space="0" w:color="auto"/>
        <w:right w:val="none" w:sz="0" w:space="0" w:color="auto"/>
      </w:divBdr>
    </w:div>
    <w:div w:id="1129472535">
      <w:bodyDiv w:val="1"/>
      <w:marLeft w:val="0"/>
      <w:marRight w:val="0"/>
      <w:marTop w:val="0"/>
      <w:marBottom w:val="0"/>
      <w:divBdr>
        <w:top w:val="none" w:sz="0" w:space="0" w:color="auto"/>
        <w:left w:val="none" w:sz="0" w:space="0" w:color="auto"/>
        <w:bottom w:val="none" w:sz="0" w:space="0" w:color="auto"/>
        <w:right w:val="none" w:sz="0" w:space="0" w:color="auto"/>
      </w:divBdr>
    </w:div>
    <w:div w:id="1253205074">
      <w:bodyDiv w:val="1"/>
      <w:marLeft w:val="0"/>
      <w:marRight w:val="0"/>
      <w:marTop w:val="0"/>
      <w:marBottom w:val="0"/>
      <w:divBdr>
        <w:top w:val="none" w:sz="0" w:space="0" w:color="auto"/>
        <w:left w:val="none" w:sz="0" w:space="0" w:color="auto"/>
        <w:bottom w:val="none" w:sz="0" w:space="0" w:color="auto"/>
        <w:right w:val="none" w:sz="0" w:space="0" w:color="auto"/>
      </w:divBdr>
    </w:div>
    <w:div w:id="1319847705">
      <w:bodyDiv w:val="1"/>
      <w:marLeft w:val="0"/>
      <w:marRight w:val="0"/>
      <w:marTop w:val="0"/>
      <w:marBottom w:val="0"/>
      <w:divBdr>
        <w:top w:val="none" w:sz="0" w:space="0" w:color="auto"/>
        <w:left w:val="none" w:sz="0" w:space="0" w:color="auto"/>
        <w:bottom w:val="none" w:sz="0" w:space="0" w:color="auto"/>
        <w:right w:val="none" w:sz="0" w:space="0" w:color="auto"/>
      </w:divBdr>
    </w:div>
    <w:div w:id="1360163655">
      <w:bodyDiv w:val="1"/>
      <w:marLeft w:val="0"/>
      <w:marRight w:val="0"/>
      <w:marTop w:val="0"/>
      <w:marBottom w:val="0"/>
      <w:divBdr>
        <w:top w:val="none" w:sz="0" w:space="0" w:color="auto"/>
        <w:left w:val="none" w:sz="0" w:space="0" w:color="auto"/>
        <w:bottom w:val="none" w:sz="0" w:space="0" w:color="auto"/>
        <w:right w:val="none" w:sz="0" w:space="0" w:color="auto"/>
      </w:divBdr>
    </w:div>
    <w:div w:id="1516765841">
      <w:bodyDiv w:val="1"/>
      <w:marLeft w:val="0"/>
      <w:marRight w:val="0"/>
      <w:marTop w:val="0"/>
      <w:marBottom w:val="0"/>
      <w:divBdr>
        <w:top w:val="none" w:sz="0" w:space="0" w:color="auto"/>
        <w:left w:val="none" w:sz="0" w:space="0" w:color="auto"/>
        <w:bottom w:val="none" w:sz="0" w:space="0" w:color="auto"/>
        <w:right w:val="none" w:sz="0" w:space="0" w:color="auto"/>
      </w:divBdr>
    </w:div>
    <w:div w:id="1523856071">
      <w:bodyDiv w:val="1"/>
      <w:marLeft w:val="0"/>
      <w:marRight w:val="0"/>
      <w:marTop w:val="0"/>
      <w:marBottom w:val="0"/>
      <w:divBdr>
        <w:top w:val="none" w:sz="0" w:space="0" w:color="auto"/>
        <w:left w:val="none" w:sz="0" w:space="0" w:color="auto"/>
        <w:bottom w:val="none" w:sz="0" w:space="0" w:color="auto"/>
        <w:right w:val="none" w:sz="0" w:space="0" w:color="auto"/>
      </w:divBdr>
    </w:div>
    <w:div w:id="1588610438">
      <w:bodyDiv w:val="1"/>
      <w:marLeft w:val="0"/>
      <w:marRight w:val="0"/>
      <w:marTop w:val="0"/>
      <w:marBottom w:val="0"/>
      <w:divBdr>
        <w:top w:val="none" w:sz="0" w:space="0" w:color="auto"/>
        <w:left w:val="none" w:sz="0" w:space="0" w:color="auto"/>
        <w:bottom w:val="none" w:sz="0" w:space="0" w:color="auto"/>
        <w:right w:val="none" w:sz="0" w:space="0" w:color="auto"/>
      </w:divBdr>
    </w:div>
    <w:div w:id="1704866168">
      <w:bodyDiv w:val="1"/>
      <w:marLeft w:val="0"/>
      <w:marRight w:val="0"/>
      <w:marTop w:val="0"/>
      <w:marBottom w:val="0"/>
      <w:divBdr>
        <w:top w:val="none" w:sz="0" w:space="0" w:color="auto"/>
        <w:left w:val="none" w:sz="0" w:space="0" w:color="auto"/>
        <w:bottom w:val="none" w:sz="0" w:space="0" w:color="auto"/>
        <w:right w:val="none" w:sz="0" w:space="0" w:color="auto"/>
      </w:divBdr>
    </w:div>
    <w:div w:id="1726947822">
      <w:bodyDiv w:val="1"/>
      <w:marLeft w:val="0"/>
      <w:marRight w:val="0"/>
      <w:marTop w:val="0"/>
      <w:marBottom w:val="0"/>
      <w:divBdr>
        <w:top w:val="none" w:sz="0" w:space="0" w:color="auto"/>
        <w:left w:val="none" w:sz="0" w:space="0" w:color="auto"/>
        <w:bottom w:val="none" w:sz="0" w:space="0" w:color="auto"/>
        <w:right w:val="none" w:sz="0" w:space="0" w:color="auto"/>
      </w:divBdr>
    </w:div>
    <w:div w:id="1885943889">
      <w:bodyDiv w:val="1"/>
      <w:marLeft w:val="0"/>
      <w:marRight w:val="0"/>
      <w:marTop w:val="0"/>
      <w:marBottom w:val="0"/>
      <w:divBdr>
        <w:top w:val="none" w:sz="0" w:space="0" w:color="auto"/>
        <w:left w:val="none" w:sz="0" w:space="0" w:color="auto"/>
        <w:bottom w:val="none" w:sz="0" w:space="0" w:color="auto"/>
        <w:right w:val="none" w:sz="0" w:space="0" w:color="auto"/>
      </w:divBdr>
    </w:div>
    <w:div w:id="2003661061">
      <w:bodyDiv w:val="1"/>
      <w:marLeft w:val="0"/>
      <w:marRight w:val="0"/>
      <w:marTop w:val="0"/>
      <w:marBottom w:val="0"/>
      <w:divBdr>
        <w:top w:val="none" w:sz="0" w:space="0" w:color="auto"/>
        <w:left w:val="none" w:sz="0" w:space="0" w:color="auto"/>
        <w:bottom w:val="none" w:sz="0" w:space="0" w:color="auto"/>
        <w:right w:val="none" w:sz="0" w:space="0" w:color="auto"/>
      </w:divBdr>
    </w:div>
    <w:div w:id="2022200345">
      <w:bodyDiv w:val="1"/>
      <w:marLeft w:val="0"/>
      <w:marRight w:val="0"/>
      <w:marTop w:val="0"/>
      <w:marBottom w:val="0"/>
      <w:divBdr>
        <w:top w:val="none" w:sz="0" w:space="0" w:color="auto"/>
        <w:left w:val="none" w:sz="0" w:space="0" w:color="auto"/>
        <w:bottom w:val="none" w:sz="0" w:space="0" w:color="auto"/>
        <w:right w:val="none" w:sz="0" w:space="0" w:color="auto"/>
      </w:divBdr>
    </w:div>
    <w:div w:id="2073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2012/may/oes210000.htm" TargetMode="External"/><Relationship Id="rId4" Type="http://schemas.microsoft.com/office/2007/relationships/stylesWithEffects" Target="stylesWithEffects.xml"/><Relationship Id="rId9" Type="http://schemas.openxmlformats.org/officeDocument/2006/relationships/hyperlink" Target="mailto:Tiffany.Wilkinson@fn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65D6-6832-416B-8E2D-4361E3EE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Action:   Request for an Extension of a Currently Approved Information Collection</vt:lpstr>
    </vt:vector>
  </TitlesOfParts>
  <Company>USDA-FNS</Company>
  <LinksUpToDate>false</LinksUpToDate>
  <CharactersWithSpaces>25506</CharactersWithSpaces>
  <SharedDoc>false</SharedDoc>
  <HLinks>
    <vt:vector size="12" baseType="variant">
      <vt:variant>
        <vt:i4>5767243</vt:i4>
      </vt:variant>
      <vt:variant>
        <vt:i4>3</vt:i4>
      </vt:variant>
      <vt:variant>
        <vt:i4>0</vt:i4>
      </vt:variant>
      <vt:variant>
        <vt:i4>5</vt:i4>
      </vt:variant>
      <vt:variant>
        <vt:lpwstr>http://www.bls.gov/oes/2012/may/oes210000.htm</vt:lpwstr>
      </vt:variant>
      <vt:variant>
        <vt:lpwstr/>
      </vt:variant>
      <vt:variant>
        <vt:i4>4325491</vt:i4>
      </vt:variant>
      <vt:variant>
        <vt:i4>0</vt:i4>
      </vt:variant>
      <vt:variant>
        <vt:i4>0</vt:i4>
      </vt:variant>
      <vt:variant>
        <vt:i4>5</vt:i4>
      </vt:variant>
      <vt:variant>
        <vt:lpwstr>mailto:Tiffany.Wilkinson@fns.usda.gov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Request for an Extension of a Currently Approved Information Collection</dc:title>
  <dc:creator>Administrator</dc:creator>
  <cp:lastModifiedBy>lywilliams</cp:lastModifiedBy>
  <cp:revision>2</cp:revision>
  <cp:lastPrinted>2013-08-12T18:40:00Z</cp:lastPrinted>
  <dcterms:created xsi:type="dcterms:W3CDTF">2013-12-18T17:23:00Z</dcterms:created>
  <dcterms:modified xsi:type="dcterms:W3CDTF">2013-12-18T17:23:00Z</dcterms:modified>
</cp:coreProperties>
</file>