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A0C" w:rsidRDefault="009B3794" w:rsidP="00CE5AA9">
      <w:pPr>
        <w:tabs>
          <w:tab w:val="center" w:pos="4680"/>
        </w:tabs>
        <w:spacing w:before="120"/>
        <w:jc w:val="center"/>
        <w:rPr>
          <w:b/>
          <w:bCs/>
          <w:sz w:val="32"/>
          <w:szCs w:val="32"/>
        </w:rPr>
      </w:pPr>
      <w:r>
        <w:rPr>
          <w:b/>
          <w:bCs/>
          <w:sz w:val="32"/>
          <w:szCs w:val="32"/>
        </w:rPr>
        <w:t xml:space="preserve">Supporting Statement </w:t>
      </w:r>
      <w:r w:rsidR="00BA1A0C">
        <w:rPr>
          <w:b/>
          <w:bCs/>
          <w:sz w:val="32"/>
          <w:szCs w:val="32"/>
        </w:rPr>
        <w:t>A</w:t>
      </w:r>
    </w:p>
    <w:p w:rsidR="00BA1A0C" w:rsidRDefault="00175D3B" w:rsidP="00CE5AA9">
      <w:pPr>
        <w:tabs>
          <w:tab w:val="center" w:pos="4680"/>
        </w:tabs>
        <w:spacing w:before="120"/>
        <w:jc w:val="center"/>
        <w:rPr>
          <w:b/>
          <w:bCs/>
          <w:sz w:val="32"/>
          <w:szCs w:val="32"/>
        </w:rPr>
      </w:pPr>
      <w:r>
        <w:rPr>
          <w:b/>
          <w:bCs/>
          <w:sz w:val="32"/>
          <w:szCs w:val="32"/>
        </w:rPr>
        <w:t>Corps Community Day Event Form</w:t>
      </w:r>
    </w:p>
    <w:p w:rsidR="00BA1A0C" w:rsidRDefault="00BA1A0C" w:rsidP="00CE5AA9">
      <w:pPr>
        <w:tabs>
          <w:tab w:val="center" w:pos="4680"/>
        </w:tabs>
        <w:spacing w:before="120"/>
        <w:jc w:val="center"/>
        <w:rPr>
          <w:b/>
          <w:bCs/>
          <w:sz w:val="32"/>
          <w:szCs w:val="32"/>
        </w:rPr>
      </w:pPr>
      <w:r>
        <w:rPr>
          <w:b/>
          <w:bCs/>
          <w:sz w:val="32"/>
          <w:szCs w:val="32"/>
        </w:rPr>
        <w:t>OMB Control No. 09</w:t>
      </w:r>
      <w:r w:rsidR="00E34A1F">
        <w:rPr>
          <w:b/>
          <w:bCs/>
          <w:sz w:val="32"/>
          <w:szCs w:val="32"/>
        </w:rPr>
        <w:t>15</w:t>
      </w:r>
      <w:r>
        <w:rPr>
          <w:b/>
          <w:bCs/>
          <w:sz w:val="32"/>
          <w:szCs w:val="32"/>
        </w:rPr>
        <w:t>-XXXX</w:t>
      </w:r>
    </w:p>
    <w:p w:rsidR="009B3794" w:rsidRPr="00BA1A0C" w:rsidRDefault="009B3794" w:rsidP="00CE5AA9">
      <w:pPr>
        <w:tabs>
          <w:tab w:val="center" w:pos="4680"/>
        </w:tabs>
        <w:spacing w:before="120"/>
        <w:jc w:val="center"/>
        <w:rPr>
          <w:b/>
          <w:bCs/>
          <w:sz w:val="32"/>
          <w:szCs w:val="32"/>
        </w:rPr>
      </w:pPr>
    </w:p>
    <w:p w:rsidR="009B3794" w:rsidRDefault="009B3794" w:rsidP="00CA3DA6">
      <w:pPr>
        <w:spacing w:before="120"/>
        <w:rPr>
          <w:b/>
          <w:bCs/>
          <w:sz w:val="24"/>
        </w:rPr>
      </w:pPr>
      <w:r>
        <w:rPr>
          <w:b/>
          <w:bCs/>
          <w:sz w:val="24"/>
        </w:rPr>
        <w:t>A.</w:t>
      </w:r>
      <w:r>
        <w:rPr>
          <w:b/>
          <w:bCs/>
          <w:sz w:val="24"/>
        </w:rPr>
        <w:tab/>
        <w:t>Justification</w:t>
      </w:r>
    </w:p>
    <w:p w:rsidR="009B3794" w:rsidRDefault="009B3794" w:rsidP="00CA3DA6">
      <w:pPr>
        <w:numPr>
          <w:ilvl w:val="0"/>
          <w:numId w:val="2"/>
        </w:numPr>
        <w:tabs>
          <w:tab w:val="clear" w:pos="1080"/>
          <w:tab w:val="num" w:pos="360"/>
        </w:tabs>
        <w:spacing w:before="240"/>
        <w:ind w:left="360"/>
        <w:rPr>
          <w:b/>
          <w:sz w:val="24"/>
        </w:rPr>
      </w:pPr>
      <w:r>
        <w:rPr>
          <w:b/>
          <w:sz w:val="24"/>
          <w:u w:val="single"/>
        </w:rPr>
        <w:t>Circumstances Making the Collection of Information Necessary</w:t>
      </w:r>
    </w:p>
    <w:p w:rsidR="009A5EEA" w:rsidRPr="009A5EEA" w:rsidRDefault="00577AD0" w:rsidP="009A5EEA">
      <w:pPr>
        <w:spacing w:before="120"/>
        <w:rPr>
          <w:sz w:val="24"/>
        </w:rPr>
      </w:pPr>
      <w:r w:rsidRPr="007B255A">
        <w:rPr>
          <w:sz w:val="24"/>
        </w:rPr>
        <w:t>The N</w:t>
      </w:r>
      <w:r>
        <w:rPr>
          <w:sz w:val="24"/>
        </w:rPr>
        <w:t xml:space="preserve">ational </w:t>
      </w:r>
      <w:r w:rsidRPr="007B255A">
        <w:rPr>
          <w:sz w:val="24"/>
        </w:rPr>
        <w:t>H</w:t>
      </w:r>
      <w:r>
        <w:rPr>
          <w:sz w:val="24"/>
        </w:rPr>
        <w:t xml:space="preserve">ealth </w:t>
      </w:r>
      <w:r w:rsidRPr="007B255A">
        <w:rPr>
          <w:sz w:val="24"/>
        </w:rPr>
        <w:t>S</w:t>
      </w:r>
      <w:r>
        <w:rPr>
          <w:sz w:val="24"/>
        </w:rPr>
        <w:t xml:space="preserve">ervice </w:t>
      </w:r>
      <w:r w:rsidRPr="007B255A">
        <w:rPr>
          <w:sz w:val="24"/>
        </w:rPr>
        <w:t>C</w:t>
      </w:r>
      <w:r>
        <w:rPr>
          <w:sz w:val="24"/>
        </w:rPr>
        <w:t>orps (NHSC)</w:t>
      </w:r>
      <w:r w:rsidRPr="007B255A">
        <w:rPr>
          <w:sz w:val="24"/>
        </w:rPr>
        <w:t xml:space="preserve"> is a program administered by the Bureau of Clinician Recruitment and Service (BCRS) within HRSA.  </w:t>
      </w:r>
      <w:r w:rsidR="009A5EEA" w:rsidRPr="009A5EEA">
        <w:rPr>
          <w:sz w:val="24"/>
        </w:rPr>
        <w:t xml:space="preserve">The </w:t>
      </w:r>
      <w:r>
        <w:rPr>
          <w:sz w:val="24"/>
        </w:rPr>
        <w:t>NHSC</w:t>
      </w:r>
      <w:r w:rsidR="009A5EEA" w:rsidRPr="009A5EEA">
        <w:rPr>
          <w:sz w:val="24"/>
        </w:rPr>
        <w:t xml:space="preserve"> is mandated by Congress to recruit and retain primary care clinicians to work in underserved communities across the Nation. The FY 2010 Affordable Care Act allocated an additional $1.5 billion over five years to the NHSC.   The following is a list of statutory authorit</w:t>
      </w:r>
      <w:r>
        <w:rPr>
          <w:sz w:val="24"/>
        </w:rPr>
        <w:t>ies</w:t>
      </w:r>
      <w:r w:rsidR="009A5EEA" w:rsidRPr="009A5EEA">
        <w:rPr>
          <w:sz w:val="24"/>
        </w:rPr>
        <w:t xml:space="preserve"> that </w:t>
      </w:r>
      <w:r>
        <w:rPr>
          <w:sz w:val="24"/>
        </w:rPr>
        <w:t xml:space="preserve">are </w:t>
      </w:r>
      <w:r w:rsidR="009A5EEA" w:rsidRPr="009A5EEA">
        <w:rPr>
          <w:sz w:val="24"/>
        </w:rPr>
        <w:t>used to implement NHSC recruitment activities.</w:t>
      </w:r>
    </w:p>
    <w:p w:rsidR="009A5EEA" w:rsidRPr="00F4244E" w:rsidRDefault="009A5EEA" w:rsidP="00F4244E">
      <w:pPr>
        <w:pStyle w:val="ListParagraph"/>
        <w:numPr>
          <w:ilvl w:val="0"/>
          <w:numId w:val="45"/>
        </w:numPr>
        <w:spacing w:before="120"/>
        <w:rPr>
          <w:sz w:val="24"/>
        </w:rPr>
      </w:pPr>
      <w:r w:rsidRPr="00F4244E">
        <w:rPr>
          <w:sz w:val="24"/>
        </w:rPr>
        <w:t xml:space="preserve">Section 254d.(b) (1) authorizes the Secretary to conduct "recruiting programs for the Corps, the Scholarship Program and the Loan Repayment Program. Such recruiting programs shall include efforts to recruit individuals who will serve in the Corps other than pursuant to obligated service under the Scholarship or Loan Repayment Programs" </w:t>
      </w:r>
    </w:p>
    <w:p w:rsidR="009A5EEA" w:rsidRPr="00F4244E" w:rsidRDefault="009A5EEA" w:rsidP="00F4244E">
      <w:pPr>
        <w:pStyle w:val="ListParagraph"/>
        <w:numPr>
          <w:ilvl w:val="0"/>
          <w:numId w:val="45"/>
        </w:numPr>
        <w:spacing w:before="120"/>
        <w:rPr>
          <w:sz w:val="24"/>
        </w:rPr>
      </w:pPr>
      <w:r w:rsidRPr="00F4244E">
        <w:rPr>
          <w:sz w:val="24"/>
        </w:rPr>
        <w:t>Section 254e.(h) authorizes the Secretary to "conduct such information programs in areas, among populations groups and in medical facilities and other public facilities designed under this section as health professional shortage areas as may be necessary to inform public and nonprofit private entities which are located or have a demonstrated interest in such areas of the assistance available" from the NHSC.”</w:t>
      </w:r>
    </w:p>
    <w:p w:rsidR="009A5EEA" w:rsidRPr="00F4244E" w:rsidRDefault="009A5EEA" w:rsidP="00F4244E">
      <w:pPr>
        <w:pStyle w:val="ListParagraph"/>
        <w:numPr>
          <w:ilvl w:val="0"/>
          <w:numId w:val="45"/>
        </w:numPr>
        <w:spacing w:before="120"/>
        <w:rPr>
          <w:sz w:val="24"/>
        </w:rPr>
      </w:pPr>
      <w:r w:rsidRPr="00F4244E">
        <w:rPr>
          <w:sz w:val="24"/>
        </w:rPr>
        <w:t>Section 254l(c)(3)(A) "The Secretary shall distribute to health professions schools materials providing information on the Scholarship Program and shall encourage the schools to disseminate the materials to the students of the schools."</w:t>
      </w:r>
    </w:p>
    <w:p w:rsidR="00FB6FDF" w:rsidRPr="00F4244E" w:rsidRDefault="009A5EEA" w:rsidP="00F4244E">
      <w:pPr>
        <w:pStyle w:val="ListParagraph"/>
        <w:numPr>
          <w:ilvl w:val="0"/>
          <w:numId w:val="45"/>
        </w:numPr>
        <w:spacing w:before="120"/>
        <w:rPr>
          <w:sz w:val="24"/>
        </w:rPr>
      </w:pPr>
      <w:r w:rsidRPr="00F4244E">
        <w:rPr>
          <w:sz w:val="24"/>
        </w:rPr>
        <w:t>Section 254l-1(c)(4)(a) "The Secretary shall distribute to health professions schools materials providing information on the Loan Repayment Program and shall encourage the schools to disseminate the materials to the students of the schools."</w:t>
      </w:r>
    </w:p>
    <w:p w:rsidR="00175D3B" w:rsidRDefault="00175D3B" w:rsidP="00F4244E">
      <w:pPr>
        <w:pStyle w:val="Heading2"/>
        <w:keepNext w:val="0"/>
        <w:keepLines w:val="0"/>
        <w:widowControl/>
        <w:numPr>
          <w:ilvl w:val="0"/>
          <w:numId w:val="45"/>
        </w:numPr>
        <w:autoSpaceDE/>
        <w:autoSpaceDN/>
        <w:adjustRightInd/>
        <w:spacing w:before="86" w:after="51"/>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175D3B" w:rsidRPr="009A5EEA" w:rsidRDefault="00577AD0" w:rsidP="009A5EEA">
      <w:pPr>
        <w:spacing w:before="120"/>
        <w:rPr>
          <w:sz w:val="24"/>
        </w:rPr>
      </w:pPr>
      <w:r w:rsidRPr="007B255A">
        <w:rPr>
          <w:sz w:val="24"/>
        </w:rPr>
        <w:t>Corps Community Day was created in 2011 and celebrates the National Health Service Corps (NHSC) every October during National Primary Care Week</w:t>
      </w:r>
      <w:r w:rsidR="00510D64">
        <w:rPr>
          <w:sz w:val="24"/>
        </w:rPr>
        <w:t xml:space="preserve"> through community-based activities which are held by </w:t>
      </w:r>
      <w:r w:rsidR="00510D64" w:rsidRPr="007B255A">
        <w:rPr>
          <w:sz w:val="24"/>
        </w:rPr>
        <w:t xml:space="preserve">NHSC program participants, alumni, </w:t>
      </w:r>
      <w:r w:rsidR="00A7659B">
        <w:rPr>
          <w:sz w:val="24"/>
        </w:rPr>
        <w:t xml:space="preserve">and </w:t>
      </w:r>
      <w:r w:rsidR="00510D64" w:rsidRPr="007B255A">
        <w:rPr>
          <w:sz w:val="24"/>
        </w:rPr>
        <w:t>partners</w:t>
      </w:r>
      <w:r>
        <w:rPr>
          <w:sz w:val="24"/>
        </w:rPr>
        <w:t>.</w:t>
      </w:r>
      <w:r w:rsidRPr="009A5EEA">
        <w:rPr>
          <w:sz w:val="24"/>
        </w:rPr>
        <w:t xml:space="preserve"> </w:t>
      </w:r>
      <w:r w:rsidR="00510D64">
        <w:rPr>
          <w:sz w:val="24"/>
        </w:rPr>
        <w:t xml:space="preserve"> BCRS needs to collect d</w:t>
      </w:r>
      <w:r w:rsidR="00510D64" w:rsidRPr="007B255A">
        <w:rPr>
          <w:sz w:val="24"/>
        </w:rPr>
        <w:t xml:space="preserve">etails </w:t>
      </w:r>
      <w:r w:rsidR="00510D64">
        <w:rPr>
          <w:sz w:val="24"/>
        </w:rPr>
        <w:t xml:space="preserve">on the </w:t>
      </w:r>
      <w:r w:rsidR="00510D64" w:rsidRPr="007B255A">
        <w:rPr>
          <w:sz w:val="24"/>
        </w:rPr>
        <w:t xml:space="preserve">events </w:t>
      </w:r>
      <w:r w:rsidR="00510D64">
        <w:rPr>
          <w:sz w:val="24"/>
        </w:rPr>
        <w:t xml:space="preserve">that are planned so they can </w:t>
      </w:r>
      <w:r w:rsidR="00510D64" w:rsidRPr="007B255A">
        <w:rPr>
          <w:sz w:val="24"/>
        </w:rPr>
        <w:t>be added to the state-by-state map of events</w:t>
      </w:r>
      <w:r w:rsidR="00510D64">
        <w:rPr>
          <w:sz w:val="24"/>
        </w:rPr>
        <w:t xml:space="preserve"> in order to coordinate and promote these activities,</w:t>
      </w:r>
    </w:p>
    <w:p w:rsidR="00FB6FDF" w:rsidRDefault="00FB6FDF" w:rsidP="00FB6FDF">
      <w:pPr>
        <w:spacing w:before="120"/>
        <w:ind w:left="360"/>
        <w:rPr>
          <w:color w:val="000000"/>
          <w:sz w:val="24"/>
        </w:rPr>
      </w:pPr>
    </w:p>
    <w:p w:rsidR="009B3794" w:rsidRDefault="009B3794" w:rsidP="00CA3DA6">
      <w:pPr>
        <w:numPr>
          <w:ilvl w:val="0"/>
          <w:numId w:val="2"/>
        </w:numPr>
        <w:tabs>
          <w:tab w:val="clear" w:pos="1080"/>
          <w:tab w:val="num" w:pos="360"/>
        </w:tabs>
        <w:spacing w:before="240"/>
        <w:ind w:left="360"/>
        <w:rPr>
          <w:b/>
          <w:sz w:val="24"/>
        </w:rPr>
      </w:pPr>
      <w:r>
        <w:rPr>
          <w:b/>
          <w:sz w:val="24"/>
          <w:u w:val="single"/>
        </w:rPr>
        <w:t>Purpose and Use of Information Collection</w:t>
      </w:r>
    </w:p>
    <w:p w:rsidR="009B3794" w:rsidRDefault="007B255A" w:rsidP="007B255A">
      <w:pPr>
        <w:widowControl/>
        <w:autoSpaceDE/>
        <w:autoSpaceDN/>
        <w:adjustRightInd/>
        <w:spacing w:before="120"/>
        <w:rPr>
          <w:sz w:val="24"/>
        </w:rPr>
      </w:pPr>
      <w:r w:rsidRPr="007B255A">
        <w:rPr>
          <w:sz w:val="24"/>
        </w:rPr>
        <w:t xml:space="preserve">The goals of Corps Community Day encompass the following: increase awareness of the NHSC to potential applicants and the greater primary health community; create a sense of community and connectedness among NHSC program participants, alumni, partners and staff; and underscore the NHSC’s role in bringing primary health care services to the nation’s neediest communities.  Current program participants, alumni, NHSC Ambassadors, sites, primary care organizations, and professional associations plan events and report the details of their events to BCRS so that they can be added to the state-by-state map of events.  In order to avoid duplication of effort, eliminate confusion regarding allowable event dates, avoid data entry errors, and implement a brief post-event satisfaction survey, BCRS would like to implement a standard form that event planners will use to report to BCRS.  The fillable form will be available online and will have less than 20 fields for event planners to populate to submit for inclusion on the map.  There will also be approximately 5 fields to populate following the event to measure satisfaction.  Both the pre-event and post-event data fields will be held in one form.  </w:t>
      </w:r>
    </w:p>
    <w:p w:rsidR="008E1CFD" w:rsidRDefault="008E1CFD" w:rsidP="007B255A">
      <w:pPr>
        <w:widowControl/>
        <w:autoSpaceDE/>
        <w:autoSpaceDN/>
        <w:adjustRightInd/>
        <w:spacing w:before="120"/>
        <w:rPr>
          <w:b/>
          <w:color w:val="000000"/>
          <w:sz w:val="24"/>
        </w:rPr>
      </w:pPr>
    </w:p>
    <w:p w:rsidR="009B3794" w:rsidRDefault="009B3794" w:rsidP="00CA3DA6">
      <w:pPr>
        <w:numPr>
          <w:ilvl w:val="0"/>
          <w:numId w:val="2"/>
        </w:numPr>
        <w:tabs>
          <w:tab w:val="clear" w:pos="1080"/>
          <w:tab w:val="num" w:pos="360"/>
        </w:tabs>
        <w:spacing w:before="240"/>
        <w:ind w:left="360"/>
        <w:rPr>
          <w:sz w:val="24"/>
        </w:rPr>
      </w:pPr>
      <w:r>
        <w:rPr>
          <w:b/>
          <w:sz w:val="24"/>
          <w:u w:val="single"/>
        </w:rPr>
        <w:t>Use of Improved Information Technology and Burden Reduction</w:t>
      </w:r>
    </w:p>
    <w:p w:rsidR="009B3794" w:rsidRDefault="00FB53DD" w:rsidP="00FB53DD">
      <w:pPr>
        <w:widowControl/>
        <w:spacing w:before="120"/>
        <w:rPr>
          <w:sz w:val="24"/>
        </w:rPr>
      </w:pPr>
      <w:r w:rsidRPr="00FB53DD">
        <w:rPr>
          <w:sz w:val="24"/>
        </w:rPr>
        <w:t xml:space="preserve">The </w:t>
      </w:r>
      <w:r w:rsidR="00D51200">
        <w:rPr>
          <w:sz w:val="24"/>
        </w:rPr>
        <w:t>form</w:t>
      </w:r>
      <w:r w:rsidRPr="00FB53DD">
        <w:rPr>
          <w:sz w:val="24"/>
        </w:rPr>
        <w:t xml:space="preserve"> will employ information technology by collecting the information online </w:t>
      </w:r>
      <w:r w:rsidR="008E1CFD" w:rsidRPr="00FB53DD">
        <w:rPr>
          <w:sz w:val="24"/>
        </w:rPr>
        <w:t xml:space="preserve">through </w:t>
      </w:r>
      <w:r w:rsidR="008E1CFD">
        <w:rPr>
          <w:sz w:val="24"/>
        </w:rPr>
        <w:t>the HHS/ASPA-approved online tool called</w:t>
      </w:r>
      <w:r w:rsidR="008E1CFD" w:rsidRPr="008E1CFD">
        <w:rPr>
          <w:sz w:val="24"/>
        </w:rPr>
        <w:t xml:space="preserve"> </w:t>
      </w:r>
      <w:r w:rsidR="008E1CFD">
        <w:rPr>
          <w:sz w:val="24"/>
        </w:rPr>
        <w:t>“</w:t>
      </w:r>
      <w:r w:rsidR="008E1CFD" w:rsidRPr="008E1CFD">
        <w:rPr>
          <w:sz w:val="24"/>
        </w:rPr>
        <w:t>Voice of the Consumer” (VOC)</w:t>
      </w:r>
      <w:r w:rsidR="00A7659B">
        <w:rPr>
          <w:sz w:val="24"/>
        </w:rPr>
        <w:t xml:space="preserve"> (</w:t>
      </w:r>
      <w:hyperlink r:id="rId9" w:history="1">
        <w:r w:rsidR="008E1CFD" w:rsidRPr="005052AC">
          <w:rPr>
            <w:rStyle w:val="Hyperlink"/>
            <w:sz w:val="24"/>
          </w:rPr>
          <w:t>http://comment-app.hhs.gov/</w:t>
        </w:r>
      </w:hyperlink>
      <w:r w:rsidR="00A7659B">
        <w:rPr>
          <w:rStyle w:val="Hyperlink"/>
          <w:sz w:val="24"/>
        </w:rPr>
        <w:t>)</w:t>
      </w:r>
      <w:r w:rsidR="008E1CFD">
        <w:rPr>
          <w:sz w:val="24"/>
        </w:rPr>
        <w:t>.</w:t>
      </w:r>
      <w:r w:rsidR="00D51200">
        <w:rPr>
          <w:sz w:val="24"/>
        </w:rPr>
        <w:t xml:space="preserve">  See attachment 1, for a rough design of the form.</w:t>
      </w:r>
      <w:r w:rsidR="009B3794" w:rsidRPr="00CA3DA6">
        <w:rPr>
          <w:sz w:val="24"/>
        </w:rPr>
        <w:tab/>
      </w:r>
      <w:r w:rsidR="008E1CFD">
        <w:rPr>
          <w:sz w:val="24"/>
        </w:rPr>
        <w:t xml:space="preserve"> </w:t>
      </w:r>
    </w:p>
    <w:p w:rsidR="008E1CFD" w:rsidRPr="00CA3DA6" w:rsidRDefault="008E1CFD" w:rsidP="00FB53DD">
      <w:pPr>
        <w:widowControl/>
        <w:spacing w:before="120"/>
        <w:rPr>
          <w:sz w:val="24"/>
        </w:rPr>
      </w:pPr>
    </w:p>
    <w:p w:rsidR="009B3794" w:rsidRDefault="009B3794" w:rsidP="00CA3DA6">
      <w:pPr>
        <w:numPr>
          <w:ilvl w:val="0"/>
          <w:numId w:val="2"/>
        </w:numPr>
        <w:tabs>
          <w:tab w:val="clear" w:pos="1080"/>
          <w:tab w:val="num" w:pos="360"/>
        </w:tabs>
        <w:spacing w:before="240"/>
        <w:ind w:left="360"/>
        <w:rPr>
          <w:b/>
          <w:sz w:val="24"/>
        </w:rPr>
      </w:pPr>
      <w:r>
        <w:rPr>
          <w:b/>
          <w:sz w:val="24"/>
          <w:u w:val="single"/>
        </w:rPr>
        <w:t>Efforts to  Identify Duplication and Use of Similar Information</w:t>
      </w:r>
    </w:p>
    <w:p w:rsidR="00AE6F50" w:rsidRDefault="00AE6F50" w:rsidP="00AE6F50">
      <w:pPr>
        <w:tabs>
          <w:tab w:val="left" w:pos="-720"/>
        </w:tabs>
        <w:rPr>
          <w:sz w:val="24"/>
        </w:rPr>
      </w:pPr>
      <w:r>
        <w:rPr>
          <w:sz w:val="24"/>
        </w:rPr>
        <w:br/>
        <w:t xml:space="preserve">The proposed form </w:t>
      </w:r>
      <w:r w:rsidR="00A7659B">
        <w:rPr>
          <w:sz w:val="24"/>
        </w:rPr>
        <w:t xml:space="preserve">is </w:t>
      </w:r>
      <w:r>
        <w:rPr>
          <w:sz w:val="24"/>
        </w:rPr>
        <w:t xml:space="preserve">unique to this activity and the information </w:t>
      </w:r>
      <w:r w:rsidR="00A7659B">
        <w:rPr>
          <w:sz w:val="24"/>
        </w:rPr>
        <w:t xml:space="preserve">collected </w:t>
      </w:r>
      <w:r>
        <w:rPr>
          <w:sz w:val="24"/>
        </w:rPr>
        <w:t>is not found elsewhere. The form ha</w:t>
      </w:r>
      <w:r w:rsidR="00A7659B">
        <w:rPr>
          <w:sz w:val="24"/>
        </w:rPr>
        <w:t>s</w:t>
      </w:r>
      <w:r>
        <w:rPr>
          <w:sz w:val="24"/>
        </w:rPr>
        <w:t xml:space="preserve"> been designed to collect only necessary information and ha</w:t>
      </w:r>
      <w:r w:rsidR="00A7659B">
        <w:rPr>
          <w:sz w:val="24"/>
        </w:rPr>
        <w:t>s</w:t>
      </w:r>
      <w:r>
        <w:rPr>
          <w:sz w:val="24"/>
        </w:rPr>
        <w:t xml:space="preserve"> been reviewed carefully to avoid potential duplication.</w:t>
      </w:r>
    </w:p>
    <w:p w:rsidR="00AE6F50" w:rsidRDefault="00AE6F50" w:rsidP="00AE6F50">
      <w:pPr>
        <w:tabs>
          <w:tab w:val="left" w:pos="-720"/>
        </w:tabs>
        <w:rPr>
          <w:b/>
          <w:sz w:val="24"/>
        </w:rPr>
      </w:pPr>
    </w:p>
    <w:p w:rsidR="009B3794" w:rsidRDefault="009B3794" w:rsidP="00CA3DA6">
      <w:pPr>
        <w:numPr>
          <w:ilvl w:val="0"/>
          <w:numId w:val="2"/>
        </w:numPr>
        <w:tabs>
          <w:tab w:val="clear" w:pos="1080"/>
          <w:tab w:val="num" w:pos="360"/>
        </w:tabs>
        <w:spacing w:before="240"/>
        <w:ind w:left="360"/>
        <w:rPr>
          <w:color w:val="000000"/>
          <w:sz w:val="24"/>
        </w:rPr>
      </w:pPr>
      <w:r>
        <w:rPr>
          <w:b/>
          <w:sz w:val="24"/>
          <w:u w:val="single"/>
        </w:rPr>
        <w:t>Impact on Small Businesses or Other Small Entities</w:t>
      </w:r>
    </w:p>
    <w:p w:rsidR="0069448E" w:rsidRPr="0069448E" w:rsidRDefault="00AE6F50" w:rsidP="0069448E">
      <w:pPr>
        <w:spacing w:before="120"/>
        <w:rPr>
          <w:sz w:val="24"/>
        </w:rPr>
      </w:pPr>
      <w:r w:rsidRPr="0069448E">
        <w:rPr>
          <w:sz w:val="24"/>
        </w:rPr>
        <w:t>The form will not have a significant impact on small businesses or other small entities.</w:t>
      </w:r>
      <w:r w:rsidR="0069448E">
        <w:rPr>
          <w:sz w:val="24"/>
        </w:rPr>
        <w:t xml:space="preserve">  </w:t>
      </w:r>
      <w:r w:rsidR="0069448E" w:rsidRPr="0069448E">
        <w:rPr>
          <w:rFonts w:cstheme="minorHAnsi"/>
          <w:sz w:val="24"/>
        </w:rPr>
        <w:t>It is estimated around half of the respondents will be small entities.</w:t>
      </w:r>
    </w:p>
    <w:p w:rsidR="00AE6F50" w:rsidRPr="00CE5AA9" w:rsidRDefault="00AE6F50" w:rsidP="00AE6F50">
      <w:pPr>
        <w:spacing w:before="120"/>
        <w:rPr>
          <w:b/>
          <w:i/>
          <w:sz w:val="24"/>
        </w:rPr>
      </w:pPr>
      <w:bookmarkStart w:id="0" w:name="_GoBack"/>
      <w:bookmarkEnd w:id="0"/>
    </w:p>
    <w:p w:rsidR="009B3794" w:rsidRDefault="009B3794" w:rsidP="00CA3DA6">
      <w:pPr>
        <w:numPr>
          <w:ilvl w:val="0"/>
          <w:numId w:val="2"/>
        </w:numPr>
        <w:tabs>
          <w:tab w:val="clear" w:pos="1080"/>
          <w:tab w:val="num" w:pos="360"/>
        </w:tabs>
        <w:spacing w:before="240"/>
        <w:ind w:left="360"/>
        <w:rPr>
          <w:b/>
          <w:sz w:val="24"/>
        </w:rPr>
      </w:pPr>
      <w:r>
        <w:rPr>
          <w:b/>
          <w:sz w:val="24"/>
          <w:u w:val="single"/>
        </w:rPr>
        <w:t>Consequences of Collecting the Information Less Frequent</w:t>
      </w:r>
      <w:r w:rsidR="001325B2">
        <w:rPr>
          <w:b/>
          <w:sz w:val="24"/>
          <w:u w:val="single"/>
        </w:rPr>
        <w:t>ly</w:t>
      </w:r>
    </w:p>
    <w:p w:rsidR="009B3794" w:rsidRDefault="009B3794" w:rsidP="00AE6F50">
      <w:pPr>
        <w:widowControl/>
        <w:autoSpaceDE/>
        <w:autoSpaceDN/>
        <w:adjustRightInd/>
        <w:spacing w:before="120"/>
        <w:rPr>
          <w:color w:val="000000"/>
          <w:sz w:val="24"/>
        </w:rPr>
      </w:pPr>
      <w:r w:rsidRPr="00AE6F50">
        <w:rPr>
          <w:color w:val="000000"/>
          <w:sz w:val="24"/>
        </w:rPr>
        <w:t>There are no legal obstacles to reduce the burden.</w:t>
      </w:r>
    </w:p>
    <w:p w:rsidR="00AE6F50" w:rsidRPr="00AE6F50" w:rsidRDefault="00AE6F50" w:rsidP="00AE6F50">
      <w:pPr>
        <w:widowControl/>
        <w:autoSpaceDE/>
        <w:autoSpaceDN/>
        <w:adjustRightInd/>
        <w:spacing w:before="120"/>
        <w:rPr>
          <w:sz w:val="24"/>
        </w:rPr>
      </w:pPr>
    </w:p>
    <w:p w:rsidR="00D51200" w:rsidRPr="00D51200" w:rsidRDefault="009B3794" w:rsidP="00D51200">
      <w:pPr>
        <w:numPr>
          <w:ilvl w:val="0"/>
          <w:numId w:val="2"/>
        </w:numPr>
        <w:tabs>
          <w:tab w:val="clear" w:pos="1080"/>
          <w:tab w:val="num" w:pos="360"/>
        </w:tabs>
        <w:spacing w:before="240"/>
        <w:ind w:left="360"/>
        <w:rPr>
          <w:sz w:val="24"/>
        </w:rPr>
      </w:pPr>
      <w:r w:rsidRPr="00D51200">
        <w:rPr>
          <w:b/>
          <w:sz w:val="24"/>
          <w:u w:val="single"/>
        </w:rPr>
        <w:t>Special Circumstances Relating to the Guidelines of 5 CFR 1320.5</w:t>
      </w:r>
    </w:p>
    <w:p w:rsidR="00D51200" w:rsidRDefault="00D51200" w:rsidP="00D51200">
      <w:pPr>
        <w:spacing w:before="240"/>
        <w:rPr>
          <w:sz w:val="24"/>
        </w:rPr>
      </w:pPr>
      <w:r w:rsidRPr="00D51200">
        <w:rPr>
          <w:sz w:val="24"/>
        </w:rPr>
        <w:lastRenderedPageBreak/>
        <w:t>The</w:t>
      </w:r>
      <w:r>
        <w:rPr>
          <w:sz w:val="24"/>
        </w:rPr>
        <w:t xml:space="preserve"> form</w:t>
      </w:r>
      <w:r w:rsidRPr="00D51200">
        <w:rPr>
          <w:sz w:val="24"/>
        </w:rPr>
        <w:t xml:space="preserve"> will be implemented in a manner fully consistent with 5 CFR 1320.5(d)(2).</w:t>
      </w:r>
    </w:p>
    <w:p w:rsidR="00D51200" w:rsidRPr="00D51200" w:rsidRDefault="00D51200" w:rsidP="00D51200">
      <w:pPr>
        <w:spacing w:before="240"/>
        <w:rPr>
          <w:sz w:val="24"/>
        </w:rPr>
      </w:pPr>
    </w:p>
    <w:p w:rsidR="009B3794" w:rsidRDefault="009B3794" w:rsidP="00CA3DA6">
      <w:pPr>
        <w:numPr>
          <w:ilvl w:val="0"/>
          <w:numId w:val="2"/>
        </w:numPr>
        <w:tabs>
          <w:tab w:val="clear" w:pos="1080"/>
          <w:tab w:val="num" w:pos="360"/>
        </w:tabs>
        <w:spacing w:before="240"/>
        <w:ind w:left="360"/>
        <w:rPr>
          <w:b/>
          <w:sz w:val="24"/>
        </w:rPr>
      </w:pPr>
      <w:r>
        <w:rPr>
          <w:b/>
          <w:iCs/>
          <w:sz w:val="24"/>
          <w:u w:val="single"/>
        </w:rPr>
        <w:t>Comments in Response to the Federal Register</w:t>
      </w:r>
      <w:r>
        <w:rPr>
          <w:b/>
          <w:sz w:val="24"/>
          <w:u w:val="single"/>
        </w:rPr>
        <w:t xml:space="preserve"> Notice/Outside Consultation</w:t>
      </w:r>
    </w:p>
    <w:p w:rsidR="00DE3A45" w:rsidRPr="00DE3A45" w:rsidRDefault="00DE3A45" w:rsidP="00CA3DA6">
      <w:pPr>
        <w:spacing w:before="120"/>
        <w:rPr>
          <w:b/>
          <w:sz w:val="24"/>
        </w:rPr>
      </w:pPr>
      <w:r w:rsidRPr="00DE3A45">
        <w:rPr>
          <w:b/>
          <w:sz w:val="24"/>
        </w:rPr>
        <w:t>Section 8A:</w:t>
      </w:r>
    </w:p>
    <w:p w:rsidR="009B3794" w:rsidRPr="00153891" w:rsidRDefault="009B3794" w:rsidP="00CA3DA6">
      <w:pPr>
        <w:numPr>
          <w:ilvl w:val="0"/>
          <w:numId w:val="25"/>
        </w:numPr>
        <w:tabs>
          <w:tab w:val="clear" w:pos="2160"/>
          <w:tab w:val="num" w:pos="360"/>
        </w:tabs>
        <w:spacing w:before="120"/>
        <w:ind w:left="360"/>
        <w:rPr>
          <w:sz w:val="24"/>
        </w:rPr>
      </w:pPr>
      <w:r w:rsidRPr="00153891">
        <w:rPr>
          <w:sz w:val="24"/>
        </w:rPr>
        <w:t xml:space="preserve">A 60-day Federal Register Notice was published in the </w:t>
      </w:r>
      <w:r w:rsidRPr="00153891">
        <w:rPr>
          <w:i/>
          <w:iCs/>
          <w:sz w:val="24"/>
        </w:rPr>
        <w:t xml:space="preserve">Federal Register </w:t>
      </w:r>
      <w:r w:rsidRPr="00153891">
        <w:rPr>
          <w:sz w:val="24"/>
        </w:rPr>
        <w:t xml:space="preserve">on </w:t>
      </w:r>
      <w:r w:rsidR="00153891">
        <w:rPr>
          <w:sz w:val="24"/>
        </w:rPr>
        <w:t>February 11,</w:t>
      </w:r>
      <w:r w:rsidRPr="00153891">
        <w:rPr>
          <w:sz w:val="24"/>
        </w:rPr>
        <w:t xml:space="preserve"> 2</w:t>
      </w:r>
      <w:r w:rsidR="00CE5AA9" w:rsidRPr="00153891">
        <w:rPr>
          <w:sz w:val="24"/>
        </w:rPr>
        <w:t>0</w:t>
      </w:r>
      <w:r w:rsidR="00153891">
        <w:rPr>
          <w:sz w:val="24"/>
        </w:rPr>
        <w:t>13</w:t>
      </w:r>
      <w:r w:rsidRPr="00153891">
        <w:rPr>
          <w:sz w:val="24"/>
        </w:rPr>
        <w:t xml:space="preserve">, vol. </w:t>
      </w:r>
      <w:r w:rsidR="00153891">
        <w:rPr>
          <w:sz w:val="24"/>
        </w:rPr>
        <w:t>78</w:t>
      </w:r>
      <w:r w:rsidRPr="00153891">
        <w:rPr>
          <w:sz w:val="24"/>
        </w:rPr>
        <w:t>, No.</w:t>
      </w:r>
      <w:r w:rsidR="00CE5AA9" w:rsidRPr="00153891">
        <w:rPr>
          <w:sz w:val="24"/>
        </w:rPr>
        <w:t xml:space="preserve"> </w:t>
      </w:r>
      <w:r w:rsidR="00153891">
        <w:rPr>
          <w:sz w:val="24"/>
        </w:rPr>
        <w:t>28</w:t>
      </w:r>
      <w:r w:rsidRPr="00153891">
        <w:rPr>
          <w:sz w:val="24"/>
        </w:rPr>
        <w:t>; pp.</w:t>
      </w:r>
      <w:r w:rsidR="00153891">
        <w:rPr>
          <w:sz w:val="24"/>
        </w:rPr>
        <w:t>9704-05</w:t>
      </w:r>
      <w:r w:rsidRPr="00153891">
        <w:rPr>
          <w:sz w:val="24"/>
        </w:rPr>
        <w:t xml:space="preserve"> (see attachment </w:t>
      </w:r>
      <w:r w:rsidR="00A05823">
        <w:rPr>
          <w:sz w:val="24"/>
        </w:rPr>
        <w:t>2</w:t>
      </w:r>
      <w:r w:rsidR="004879ED">
        <w:rPr>
          <w:sz w:val="24"/>
        </w:rPr>
        <w:t xml:space="preserve">). There </w:t>
      </w:r>
      <w:r w:rsidRPr="00153891">
        <w:rPr>
          <w:sz w:val="24"/>
        </w:rPr>
        <w:t>were no public comments.</w:t>
      </w:r>
    </w:p>
    <w:p w:rsidR="00D51200" w:rsidRDefault="00D51200" w:rsidP="00CA3DA6">
      <w:pPr>
        <w:spacing w:before="120"/>
        <w:rPr>
          <w:b/>
          <w:sz w:val="24"/>
        </w:rPr>
      </w:pPr>
    </w:p>
    <w:p w:rsidR="00DE3A45" w:rsidRPr="004879ED" w:rsidRDefault="00DE3A45" w:rsidP="00CA3DA6">
      <w:pPr>
        <w:spacing w:before="120"/>
        <w:rPr>
          <w:b/>
          <w:sz w:val="24"/>
        </w:rPr>
      </w:pPr>
      <w:r w:rsidRPr="004879ED">
        <w:rPr>
          <w:b/>
          <w:sz w:val="24"/>
        </w:rPr>
        <w:t>Section 8B:</w:t>
      </w:r>
    </w:p>
    <w:p w:rsidR="009B3794" w:rsidRPr="004879ED" w:rsidRDefault="004879ED" w:rsidP="00CA3DA6">
      <w:pPr>
        <w:numPr>
          <w:ilvl w:val="0"/>
          <w:numId w:val="25"/>
        </w:numPr>
        <w:tabs>
          <w:tab w:val="clear" w:pos="2160"/>
          <w:tab w:val="num" w:pos="360"/>
        </w:tabs>
        <w:spacing w:before="120"/>
        <w:ind w:left="360"/>
        <w:rPr>
          <w:sz w:val="24"/>
        </w:rPr>
      </w:pPr>
      <w:r w:rsidRPr="004879ED">
        <w:rPr>
          <w:sz w:val="24"/>
        </w:rPr>
        <w:t>Eight participants from Corps Community Day 2012 were emailed the link of the new tool and asked to enter their event information.</w:t>
      </w:r>
      <w:r>
        <w:rPr>
          <w:sz w:val="24"/>
        </w:rPr>
        <w:t xml:space="preserve">  </w:t>
      </w:r>
      <w:r w:rsidR="00850034">
        <w:rPr>
          <w:sz w:val="24"/>
        </w:rPr>
        <w:t>Four</w:t>
      </w:r>
      <w:r>
        <w:rPr>
          <w:sz w:val="24"/>
        </w:rPr>
        <w:t xml:space="preserve"> of them responded.  </w:t>
      </w:r>
      <w:r w:rsidRPr="004879ED">
        <w:rPr>
          <w:sz w:val="24"/>
        </w:rPr>
        <w:t>They were asked to time how long it took them to complete the form as well as any confusion they encountered or recommendations they had to improve the form.</w:t>
      </w:r>
      <w:r>
        <w:rPr>
          <w:sz w:val="24"/>
        </w:rPr>
        <w:t xml:space="preserve">  Apart from a few corrections regarding typos, there were no substantial recommendations to the form.</w:t>
      </w:r>
    </w:p>
    <w:p w:rsidR="009B3794" w:rsidRPr="004879ED" w:rsidRDefault="009B3794" w:rsidP="00CA3DA6">
      <w:pPr>
        <w:numPr>
          <w:ilvl w:val="0"/>
          <w:numId w:val="25"/>
        </w:numPr>
        <w:tabs>
          <w:tab w:val="clear" w:pos="2160"/>
          <w:tab w:val="num" w:pos="360"/>
        </w:tabs>
        <w:spacing w:before="120"/>
        <w:ind w:left="360"/>
        <w:rPr>
          <w:sz w:val="24"/>
        </w:rPr>
      </w:pPr>
      <w:r w:rsidRPr="004879ED">
        <w:rPr>
          <w:sz w:val="24"/>
        </w:rPr>
        <w:t>In this section of the supporting statement, provide:</w:t>
      </w:r>
    </w:p>
    <w:p w:rsidR="00FF0FB4" w:rsidRPr="004879ED" w:rsidRDefault="00FF0FB4" w:rsidP="00FF0FB4">
      <w:pPr>
        <w:numPr>
          <w:ilvl w:val="1"/>
          <w:numId w:val="25"/>
        </w:numPr>
        <w:tabs>
          <w:tab w:val="clear" w:pos="2880"/>
          <w:tab w:val="num" w:pos="1080"/>
        </w:tabs>
        <w:spacing w:before="120"/>
        <w:ind w:left="1080"/>
        <w:rPr>
          <w:sz w:val="24"/>
        </w:rPr>
      </w:pPr>
      <w:r w:rsidRPr="004879ED">
        <w:rPr>
          <w:sz w:val="24"/>
        </w:rPr>
        <w:t xml:space="preserve">The consultations via email took place in </w:t>
      </w:r>
      <w:r w:rsidR="004879ED">
        <w:rPr>
          <w:sz w:val="24"/>
        </w:rPr>
        <w:t xml:space="preserve">March </w:t>
      </w:r>
      <w:r w:rsidRPr="004879ED">
        <w:rPr>
          <w:sz w:val="24"/>
        </w:rPr>
        <w:t>2013.</w:t>
      </w:r>
    </w:p>
    <w:p w:rsidR="00FF0FB4" w:rsidRPr="004879ED" w:rsidRDefault="00FF0FB4" w:rsidP="00FF0FB4">
      <w:pPr>
        <w:spacing w:before="120"/>
        <w:ind w:left="1080"/>
        <w:rPr>
          <w:sz w:val="24"/>
        </w:rPr>
      </w:pPr>
    </w:p>
    <w:p w:rsidR="00FF0FB4" w:rsidRPr="004879ED" w:rsidRDefault="00FF0FB4" w:rsidP="00FF0FB4">
      <w:pPr>
        <w:numPr>
          <w:ilvl w:val="1"/>
          <w:numId w:val="25"/>
        </w:numPr>
        <w:tabs>
          <w:tab w:val="clear" w:pos="2880"/>
          <w:tab w:val="num" w:pos="1080"/>
        </w:tabs>
        <w:ind w:left="1080"/>
        <w:rPr>
          <w:sz w:val="24"/>
        </w:rPr>
      </w:pPr>
      <w:r w:rsidRPr="004879ED">
        <w:rPr>
          <w:sz w:val="24"/>
        </w:rPr>
        <w:t xml:space="preserve">Respondent 1: </w:t>
      </w:r>
      <w:r w:rsidRPr="004879ED">
        <w:rPr>
          <w:sz w:val="24"/>
        </w:rPr>
        <w:tab/>
        <w:t>Regina J Knox, MPH, CHES</w:t>
      </w:r>
    </w:p>
    <w:p w:rsidR="00FF0FB4" w:rsidRPr="004879ED" w:rsidRDefault="00FF0FB4" w:rsidP="00FF0FB4">
      <w:pPr>
        <w:ind w:left="2160" w:firstLine="720"/>
        <w:rPr>
          <w:sz w:val="24"/>
        </w:rPr>
      </w:pPr>
      <w:r w:rsidRPr="004879ED">
        <w:rPr>
          <w:sz w:val="24"/>
        </w:rPr>
        <w:t>Special Projects Coordinator, Texas AHEC East</w:t>
      </w:r>
    </w:p>
    <w:p w:rsidR="00FF0FB4" w:rsidRPr="004879ED" w:rsidRDefault="00FF0FB4" w:rsidP="00FF0FB4">
      <w:pPr>
        <w:ind w:left="2520" w:firstLine="360"/>
        <w:rPr>
          <w:sz w:val="24"/>
        </w:rPr>
      </w:pPr>
      <w:r w:rsidRPr="004879ED">
        <w:rPr>
          <w:sz w:val="24"/>
        </w:rPr>
        <w:t>University of Texas Medical Branch</w:t>
      </w:r>
    </w:p>
    <w:p w:rsidR="00FF0FB4" w:rsidRPr="004879ED" w:rsidRDefault="00FF0FB4" w:rsidP="00FF0FB4">
      <w:pPr>
        <w:ind w:left="2520" w:firstLine="360"/>
        <w:rPr>
          <w:sz w:val="24"/>
        </w:rPr>
      </w:pPr>
      <w:r w:rsidRPr="004879ED">
        <w:rPr>
          <w:sz w:val="24"/>
        </w:rPr>
        <w:t>301 University Blvd.</w:t>
      </w:r>
    </w:p>
    <w:p w:rsidR="00FF0FB4" w:rsidRPr="004879ED" w:rsidRDefault="00FF0FB4" w:rsidP="00FF0FB4">
      <w:pPr>
        <w:ind w:left="2520" w:firstLine="360"/>
        <w:rPr>
          <w:sz w:val="24"/>
        </w:rPr>
      </w:pPr>
      <w:r w:rsidRPr="004879ED">
        <w:rPr>
          <w:sz w:val="24"/>
        </w:rPr>
        <w:t>Galveston, TX 77555-1056</w:t>
      </w:r>
    </w:p>
    <w:p w:rsidR="00FF0FB4" w:rsidRPr="004879ED" w:rsidRDefault="00FF0FB4" w:rsidP="00FF0FB4">
      <w:pPr>
        <w:ind w:left="2520" w:firstLine="360"/>
        <w:rPr>
          <w:sz w:val="24"/>
        </w:rPr>
      </w:pPr>
      <w:r w:rsidRPr="004879ED">
        <w:rPr>
          <w:sz w:val="24"/>
        </w:rPr>
        <w:t xml:space="preserve">(409) 772-7884 </w:t>
      </w:r>
    </w:p>
    <w:p w:rsidR="00FF0FB4" w:rsidRPr="004879ED" w:rsidRDefault="0069448E" w:rsidP="00FF0FB4">
      <w:pPr>
        <w:ind w:left="2520" w:firstLine="360"/>
        <w:rPr>
          <w:sz w:val="24"/>
        </w:rPr>
      </w:pPr>
      <w:hyperlink r:id="rId10" w:history="1">
        <w:r w:rsidR="00FF0FB4" w:rsidRPr="004879ED">
          <w:rPr>
            <w:rStyle w:val="Hyperlink"/>
            <w:sz w:val="24"/>
          </w:rPr>
          <w:t>rjknox@UTMB.EDU</w:t>
        </w:r>
      </w:hyperlink>
    </w:p>
    <w:p w:rsidR="00FF0FB4" w:rsidRPr="004879ED" w:rsidRDefault="00FF0FB4" w:rsidP="00FF0FB4">
      <w:pPr>
        <w:ind w:left="2520" w:firstLine="360"/>
        <w:rPr>
          <w:sz w:val="24"/>
        </w:rPr>
      </w:pPr>
    </w:p>
    <w:p w:rsidR="00FF0FB4" w:rsidRPr="004879ED" w:rsidRDefault="00FF0FB4" w:rsidP="00FF0FB4">
      <w:pPr>
        <w:ind w:left="1080"/>
        <w:rPr>
          <w:sz w:val="24"/>
        </w:rPr>
      </w:pPr>
      <w:r w:rsidRPr="004879ED">
        <w:rPr>
          <w:sz w:val="24"/>
        </w:rPr>
        <w:t>Respondent 2:</w:t>
      </w:r>
      <w:r w:rsidRPr="004879ED">
        <w:rPr>
          <w:sz w:val="24"/>
        </w:rPr>
        <w:tab/>
        <w:t>Rashad A. Collins</w:t>
      </w:r>
    </w:p>
    <w:p w:rsidR="00FF0FB4" w:rsidRPr="004879ED" w:rsidRDefault="00FF0FB4" w:rsidP="00FF0FB4">
      <w:pPr>
        <w:ind w:left="2880"/>
        <w:rPr>
          <w:sz w:val="24"/>
        </w:rPr>
      </w:pPr>
      <w:r w:rsidRPr="004879ED">
        <w:rPr>
          <w:sz w:val="24"/>
        </w:rPr>
        <w:t xml:space="preserve">Director of Workforce Development </w:t>
      </w:r>
    </w:p>
    <w:p w:rsidR="00FF0FB4" w:rsidRPr="004879ED" w:rsidRDefault="00FF0FB4" w:rsidP="00FF0FB4">
      <w:pPr>
        <w:ind w:left="2880"/>
        <w:rPr>
          <w:sz w:val="24"/>
        </w:rPr>
      </w:pPr>
      <w:r w:rsidRPr="004879ED">
        <w:rPr>
          <w:sz w:val="24"/>
        </w:rPr>
        <w:t>Community Health Center Association of Connecticut</w:t>
      </w:r>
    </w:p>
    <w:p w:rsidR="00FF0FB4" w:rsidRPr="004879ED" w:rsidRDefault="00FF0FB4" w:rsidP="00FF0FB4">
      <w:pPr>
        <w:ind w:left="2880"/>
        <w:rPr>
          <w:sz w:val="24"/>
        </w:rPr>
      </w:pPr>
      <w:r w:rsidRPr="004879ED">
        <w:rPr>
          <w:sz w:val="24"/>
        </w:rPr>
        <w:t>100 Great Meadow Road, Suite 400</w:t>
      </w:r>
    </w:p>
    <w:p w:rsidR="00FF0FB4" w:rsidRPr="004879ED" w:rsidRDefault="00FF0FB4" w:rsidP="00FF0FB4">
      <w:pPr>
        <w:ind w:left="2880"/>
        <w:rPr>
          <w:sz w:val="24"/>
        </w:rPr>
      </w:pPr>
      <w:r w:rsidRPr="004879ED">
        <w:rPr>
          <w:sz w:val="24"/>
        </w:rPr>
        <w:t>Wethersfield, CT 06109</w:t>
      </w:r>
    </w:p>
    <w:p w:rsidR="00FF0FB4" w:rsidRPr="004879ED" w:rsidRDefault="00FF0FB4" w:rsidP="00FF0FB4">
      <w:pPr>
        <w:ind w:left="2880"/>
        <w:rPr>
          <w:sz w:val="24"/>
        </w:rPr>
      </w:pPr>
      <w:r w:rsidRPr="004879ED">
        <w:rPr>
          <w:sz w:val="24"/>
        </w:rPr>
        <w:t xml:space="preserve">(860) 667-7820 ext. 314 </w:t>
      </w:r>
    </w:p>
    <w:p w:rsidR="00FF0FB4" w:rsidRPr="004879ED" w:rsidRDefault="0069448E" w:rsidP="00FF0FB4">
      <w:pPr>
        <w:ind w:left="2880"/>
        <w:rPr>
          <w:sz w:val="24"/>
        </w:rPr>
      </w:pPr>
      <w:hyperlink r:id="rId11" w:history="1">
        <w:r w:rsidR="00FF0FB4" w:rsidRPr="004879ED">
          <w:rPr>
            <w:rStyle w:val="Hyperlink"/>
            <w:sz w:val="24"/>
          </w:rPr>
          <w:t>rcollins@chcact.org</w:t>
        </w:r>
      </w:hyperlink>
      <w:r w:rsidR="00FF0FB4" w:rsidRPr="004879ED">
        <w:rPr>
          <w:sz w:val="24"/>
        </w:rPr>
        <w:t xml:space="preserve"> </w:t>
      </w:r>
    </w:p>
    <w:p w:rsidR="00FF0FB4" w:rsidRPr="004879ED" w:rsidRDefault="00FF0FB4" w:rsidP="00FF0FB4">
      <w:pPr>
        <w:ind w:left="2520" w:firstLine="360"/>
        <w:rPr>
          <w:sz w:val="24"/>
        </w:rPr>
      </w:pPr>
    </w:p>
    <w:p w:rsidR="00FF0FB4" w:rsidRPr="004879ED" w:rsidRDefault="00FF0FB4" w:rsidP="00FF0FB4">
      <w:pPr>
        <w:ind w:left="720" w:firstLine="360"/>
        <w:rPr>
          <w:sz w:val="24"/>
        </w:rPr>
      </w:pPr>
      <w:r w:rsidRPr="004879ED">
        <w:rPr>
          <w:sz w:val="24"/>
        </w:rPr>
        <w:t>Respondent 3:</w:t>
      </w:r>
      <w:r w:rsidRPr="004879ED">
        <w:rPr>
          <w:sz w:val="24"/>
        </w:rPr>
        <w:tab/>
        <w:t>Britney Crawford, MPH</w:t>
      </w:r>
    </w:p>
    <w:p w:rsidR="00FF0FB4" w:rsidRPr="004879ED" w:rsidRDefault="00FF0FB4" w:rsidP="00FF0FB4">
      <w:pPr>
        <w:ind w:left="2520" w:firstLine="360"/>
        <w:rPr>
          <w:sz w:val="24"/>
        </w:rPr>
      </w:pPr>
      <w:r w:rsidRPr="004879ED">
        <w:rPr>
          <w:sz w:val="24"/>
        </w:rPr>
        <w:t>Rural Health Retention Coordinator</w:t>
      </w:r>
    </w:p>
    <w:p w:rsidR="00FF0FB4" w:rsidRPr="004879ED" w:rsidRDefault="00FF0FB4" w:rsidP="00FF0FB4">
      <w:pPr>
        <w:ind w:left="2520" w:firstLine="360"/>
        <w:rPr>
          <w:sz w:val="24"/>
        </w:rPr>
      </w:pPr>
      <w:r w:rsidRPr="004879ED">
        <w:rPr>
          <w:sz w:val="24"/>
        </w:rPr>
        <w:t>Office of Primary Care and Rural Health</w:t>
      </w:r>
    </w:p>
    <w:p w:rsidR="00FF0FB4" w:rsidRPr="004879ED" w:rsidRDefault="00FF0FB4" w:rsidP="00FF0FB4">
      <w:pPr>
        <w:ind w:left="2520" w:firstLine="360"/>
        <w:rPr>
          <w:sz w:val="24"/>
        </w:rPr>
      </w:pPr>
      <w:r w:rsidRPr="004879ED">
        <w:rPr>
          <w:sz w:val="24"/>
        </w:rPr>
        <w:t>The RSA Tower/Suite 1040</w:t>
      </w:r>
    </w:p>
    <w:p w:rsidR="00FF0FB4" w:rsidRPr="004879ED" w:rsidRDefault="00FF0FB4" w:rsidP="00FF0FB4">
      <w:pPr>
        <w:ind w:left="2520" w:firstLine="360"/>
        <w:rPr>
          <w:sz w:val="24"/>
        </w:rPr>
      </w:pPr>
      <w:r w:rsidRPr="004879ED">
        <w:rPr>
          <w:sz w:val="24"/>
        </w:rPr>
        <w:t>201 Monroe Street</w:t>
      </w:r>
    </w:p>
    <w:p w:rsidR="00FF0FB4" w:rsidRPr="004879ED" w:rsidRDefault="00FF0FB4" w:rsidP="00FF0FB4">
      <w:pPr>
        <w:ind w:left="2520" w:firstLine="360"/>
        <w:rPr>
          <w:sz w:val="24"/>
        </w:rPr>
      </w:pPr>
      <w:r w:rsidRPr="004879ED">
        <w:rPr>
          <w:sz w:val="24"/>
        </w:rPr>
        <w:t>Montgomery, A</w:t>
      </w:r>
      <w:r w:rsidR="00850034">
        <w:rPr>
          <w:sz w:val="24"/>
        </w:rPr>
        <w:t>L</w:t>
      </w:r>
      <w:r w:rsidRPr="004879ED">
        <w:rPr>
          <w:sz w:val="24"/>
        </w:rPr>
        <w:t xml:space="preserve"> 36104</w:t>
      </w:r>
    </w:p>
    <w:p w:rsidR="00FF0FB4" w:rsidRPr="004879ED" w:rsidRDefault="00FF0FB4" w:rsidP="00FF0FB4">
      <w:pPr>
        <w:ind w:left="2520" w:firstLine="360"/>
        <w:rPr>
          <w:sz w:val="24"/>
        </w:rPr>
      </w:pPr>
      <w:r w:rsidRPr="004879ED">
        <w:rPr>
          <w:sz w:val="24"/>
        </w:rPr>
        <w:t>(334) 206-3378</w:t>
      </w:r>
    </w:p>
    <w:p w:rsidR="00FF0FB4" w:rsidRDefault="0069448E" w:rsidP="00FF0FB4">
      <w:pPr>
        <w:ind w:left="2520" w:firstLine="360"/>
        <w:rPr>
          <w:sz w:val="24"/>
        </w:rPr>
      </w:pPr>
      <w:hyperlink r:id="rId12" w:history="1">
        <w:r w:rsidR="00FF0FB4" w:rsidRPr="004879ED">
          <w:rPr>
            <w:rStyle w:val="Hyperlink"/>
            <w:sz w:val="24"/>
          </w:rPr>
          <w:t>britney.crawford@adph.state.al.us</w:t>
        </w:r>
      </w:hyperlink>
      <w:r w:rsidR="00FF0FB4" w:rsidRPr="004879ED">
        <w:rPr>
          <w:sz w:val="24"/>
        </w:rPr>
        <w:t xml:space="preserve"> </w:t>
      </w:r>
    </w:p>
    <w:p w:rsidR="00850034" w:rsidRDefault="00850034" w:rsidP="00850034">
      <w:pPr>
        <w:ind w:left="720" w:firstLine="360"/>
        <w:rPr>
          <w:sz w:val="24"/>
        </w:rPr>
      </w:pPr>
    </w:p>
    <w:p w:rsidR="00850034" w:rsidRPr="00850034" w:rsidRDefault="00850034" w:rsidP="00850034">
      <w:pPr>
        <w:ind w:left="720" w:firstLine="360"/>
        <w:rPr>
          <w:sz w:val="24"/>
        </w:rPr>
      </w:pPr>
      <w:r w:rsidRPr="004879ED">
        <w:rPr>
          <w:sz w:val="24"/>
        </w:rPr>
        <w:t xml:space="preserve">Respondent </w:t>
      </w:r>
      <w:r>
        <w:rPr>
          <w:sz w:val="24"/>
        </w:rPr>
        <w:t>4</w:t>
      </w:r>
      <w:r w:rsidRPr="004879ED">
        <w:rPr>
          <w:sz w:val="24"/>
        </w:rPr>
        <w:t>:</w:t>
      </w:r>
      <w:r w:rsidRPr="004879ED">
        <w:rPr>
          <w:sz w:val="24"/>
        </w:rPr>
        <w:tab/>
      </w:r>
      <w:r w:rsidRPr="00850034">
        <w:rPr>
          <w:sz w:val="24"/>
        </w:rPr>
        <w:t>Aileen Edwards Harris</w:t>
      </w:r>
    </w:p>
    <w:p w:rsidR="00850034" w:rsidRPr="00850034" w:rsidRDefault="00850034" w:rsidP="00850034">
      <w:pPr>
        <w:ind w:left="2520" w:firstLine="360"/>
        <w:rPr>
          <w:sz w:val="24"/>
        </w:rPr>
      </w:pPr>
      <w:r w:rsidRPr="00850034">
        <w:rPr>
          <w:sz w:val="24"/>
        </w:rPr>
        <w:t>AEH Advising Health Professions, LLC</w:t>
      </w:r>
    </w:p>
    <w:p w:rsidR="00850034" w:rsidRPr="00850034" w:rsidRDefault="00850034" w:rsidP="00850034">
      <w:pPr>
        <w:ind w:left="2520" w:firstLine="360"/>
        <w:rPr>
          <w:sz w:val="24"/>
        </w:rPr>
      </w:pPr>
      <w:r w:rsidRPr="00850034">
        <w:rPr>
          <w:sz w:val="24"/>
        </w:rPr>
        <w:t>PO Box 78</w:t>
      </w:r>
    </w:p>
    <w:p w:rsidR="00850034" w:rsidRPr="00850034" w:rsidRDefault="00850034" w:rsidP="00850034">
      <w:pPr>
        <w:ind w:left="2520" w:firstLine="360"/>
        <w:rPr>
          <w:sz w:val="24"/>
        </w:rPr>
      </w:pPr>
      <w:r w:rsidRPr="00850034">
        <w:rPr>
          <w:sz w:val="24"/>
        </w:rPr>
        <w:t>Richmond, VA 23218</w:t>
      </w:r>
    </w:p>
    <w:p w:rsidR="00850034" w:rsidRPr="00850034" w:rsidRDefault="00850034" w:rsidP="00FF0FB4">
      <w:pPr>
        <w:ind w:left="2520" w:firstLine="360"/>
        <w:rPr>
          <w:sz w:val="24"/>
        </w:rPr>
      </w:pPr>
      <w:r w:rsidRPr="00850034">
        <w:rPr>
          <w:sz w:val="24"/>
        </w:rPr>
        <w:t>(804) 859-2808</w:t>
      </w:r>
    </w:p>
    <w:p w:rsidR="00850034" w:rsidRPr="00850034" w:rsidRDefault="0069448E" w:rsidP="00FF0FB4">
      <w:pPr>
        <w:ind w:left="2520" w:firstLine="360"/>
        <w:rPr>
          <w:sz w:val="24"/>
        </w:rPr>
      </w:pPr>
      <w:hyperlink r:id="rId13" w:history="1">
        <w:r w:rsidR="00850034" w:rsidRPr="00827630">
          <w:rPr>
            <w:rStyle w:val="Hyperlink"/>
            <w:sz w:val="24"/>
          </w:rPr>
          <w:t>a.harris@aehadvisinghealthprofessions.com</w:t>
        </w:r>
      </w:hyperlink>
      <w:r w:rsidR="00850034">
        <w:rPr>
          <w:sz w:val="24"/>
        </w:rPr>
        <w:t xml:space="preserve"> </w:t>
      </w:r>
    </w:p>
    <w:p w:rsidR="00FF0FB4" w:rsidRPr="004879ED" w:rsidRDefault="00FF0FB4" w:rsidP="00FF0FB4">
      <w:pPr>
        <w:ind w:left="2520" w:firstLine="360"/>
        <w:rPr>
          <w:sz w:val="24"/>
        </w:rPr>
      </w:pPr>
    </w:p>
    <w:p w:rsidR="004879ED" w:rsidRPr="004879ED" w:rsidRDefault="00FF0FB4" w:rsidP="004879ED">
      <w:pPr>
        <w:numPr>
          <w:ilvl w:val="1"/>
          <w:numId w:val="25"/>
        </w:numPr>
        <w:tabs>
          <w:tab w:val="clear" w:pos="2880"/>
          <w:tab w:val="num" w:pos="1080"/>
        </w:tabs>
        <w:spacing w:before="120"/>
        <w:ind w:left="1080"/>
        <w:rPr>
          <w:sz w:val="24"/>
        </w:rPr>
      </w:pPr>
      <w:r w:rsidRPr="004879ED">
        <w:rPr>
          <w:sz w:val="24"/>
        </w:rPr>
        <w:t>There were no problems encountered during the consultation.</w:t>
      </w:r>
    </w:p>
    <w:p w:rsidR="004879ED" w:rsidRPr="004879ED" w:rsidRDefault="004879ED" w:rsidP="004879ED">
      <w:pPr>
        <w:numPr>
          <w:ilvl w:val="1"/>
          <w:numId w:val="25"/>
        </w:numPr>
        <w:tabs>
          <w:tab w:val="clear" w:pos="2880"/>
          <w:tab w:val="num" w:pos="1080"/>
        </w:tabs>
        <w:spacing w:before="120"/>
        <w:ind w:left="1080"/>
        <w:rPr>
          <w:sz w:val="24"/>
        </w:rPr>
      </w:pPr>
      <w:r w:rsidRPr="004879ED">
        <w:rPr>
          <w:sz w:val="24"/>
        </w:rPr>
        <w:t>A 60-day Federal Register Notice was published in the Federal Register on February 11, 2013, vol. 78, No. 28; pp.9704-05</w:t>
      </w:r>
      <w:r>
        <w:rPr>
          <w:sz w:val="24"/>
        </w:rPr>
        <w:t xml:space="preserve">. There </w:t>
      </w:r>
      <w:r w:rsidRPr="004879ED">
        <w:rPr>
          <w:sz w:val="24"/>
        </w:rPr>
        <w:t>were no public comments.</w:t>
      </w:r>
    </w:p>
    <w:p w:rsidR="004879ED" w:rsidRPr="004879ED" w:rsidRDefault="004879ED" w:rsidP="004879ED">
      <w:pPr>
        <w:spacing w:before="240"/>
        <w:ind w:left="360"/>
        <w:rPr>
          <w:b/>
          <w:sz w:val="24"/>
        </w:rPr>
      </w:pPr>
    </w:p>
    <w:p w:rsidR="009B3794" w:rsidRDefault="009B3794" w:rsidP="00CA3DA6">
      <w:pPr>
        <w:numPr>
          <w:ilvl w:val="0"/>
          <w:numId w:val="2"/>
        </w:numPr>
        <w:tabs>
          <w:tab w:val="clear" w:pos="1080"/>
          <w:tab w:val="num" w:pos="360"/>
        </w:tabs>
        <w:spacing w:before="240"/>
        <w:ind w:left="360"/>
        <w:rPr>
          <w:b/>
          <w:sz w:val="24"/>
        </w:rPr>
      </w:pPr>
      <w:r>
        <w:rPr>
          <w:b/>
          <w:sz w:val="24"/>
          <w:u w:val="single"/>
        </w:rPr>
        <w:t>Explanation of any Payment/Gift to Respondents</w:t>
      </w:r>
    </w:p>
    <w:p w:rsidR="007B255A" w:rsidRDefault="007B255A" w:rsidP="007B255A">
      <w:pPr>
        <w:spacing w:before="240"/>
        <w:rPr>
          <w:sz w:val="24"/>
        </w:rPr>
      </w:pPr>
      <w:r w:rsidRPr="007B255A">
        <w:rPr>
          <w:sz w:val="24"/>
        </w:rPr>
        <w:t>Not applicable</w:t>
      </w:r>
    </w:p>
    <w:p w:rsidR="00175D3B" w:rsidRPr="007B255A" w:rsidRDefault="00175D3B" w:rsidP="007B255A">
      <w:pPr>
        <w:spacing w:before="240"/>
        <w:rPr>
          <w:sz w:val="24"/>
        </w:rPr>
      </w:pPr>
    </w:p>
    <w:p w:rsidR="009B3794" w:rsidRDefault="007B255A" w:rsidP="00CA3DA6">
      <w:pPr>
        <w:numPr>
          <w:ilvl w:val="0"/>
          <w:numId w:val="2"/>
        </w:numPr>
        <w:tabs>
          <w:tab w:val="clear" w:pos="1080"/>
          <w:tab w:val="num" w:pos="360"/>
        </w:tabs>
        <w:spacing w:before="240"/>
        <w:ind w:left="360"/>
        <w:rPr>
          <w:b/>
          <w:sz w:val="24"/>
        </w:rPr>
      </w:pPr>
      <w:r w:rsidRPr="007B255A">
        <w:rPr>
          <w:b/>
          <w:sz w:val="24"/>
        </w:rPr>
        <w:t xml:space="preserve"> </w:t>
      </w:r>
      <w:r w:rsidR="009B3794">
        <w:rPr>
          <w:b/>
          <w:sz w:val="24"/>
          <w:u w:val="single"/>
        </w:rPr>
        <w:t>Assurance of Confidentiality Provided to Respondents</w:t>
      </w:r>
    </w:p>
    <w:p w:rsidR="0083022B" w:rsidRDefault="0083022B" w:rsidP="0083022B">
      <w:pPr>
        <w:tabs>
          <w:tab w:val="left" w:pos="-720"/>
        </w:tabs>
        <w:rPr>
          <w:sz w:val="24"/>
        </w:rPr>
      </w:pPr>
    </w:p>
    <w:p w:rsidR="0083022B" w:rsidRPr="0083022B" w:rsidRDefault="0083022B" w:rsidP="0083022B">
      <w:pPr>
        <w:tabs>
          <w:tab w:val="left" w:pos="-720"/>
        </w:tabs>
        <w:rPr>
          <w:sz w:val="24"/>
        </w:rPr>
      </w:pPr>
      <w:r>
        <w:rPr>
          <w:sz w:val="24"/>
        </w:rPr>
        <w:t>There is no assurance of confidentiality in the form, because by using the form, the respondents are agreeing to have their information displayed on a public website.</w:t>
      </w:r>
    </w:p>
    <w:p w:rsidR="00175D3B" w:rsidRPr="00175D3B" w:rsidRDefault="00175D3B" w:rsidP="00175D3B">
      <w:pPr>
        <w:spacing w:before="240"/>
        <w:ind w:left="360"/>
        <w:rPr>
          <w:b/>
          <w:sz w:val="24"/>
        </w:rPr>
      </w:pPr>
    </w:p>
    <w:p w:rsidR="009B3794" w:rsidRDefault="009B3794" w:rsidP="00CA3DA6">
      <w:pPr>
        <w:numPr>
          <w:ilvl w:val="0"/>
          <w:numId w:val="2"/>
        </w:numPr>
        <w:tabs>
          <w:tab w:val="clear" w:pos="1080"/>
          <w:tab w:val="num" w:pos="360"/>
        </w:tabs>
        <w:spacing w:before="240"/>
        <w:ind w:left="360"/>
        <w:rPr>
          <w:b/>
          <w:sz w:val="24"/>
        </w:rPr>
      </w:pPr>
      <w:r>
        <w:rPr>
          <w:b/>
          <w:sz w:val="24"/>
          <w:u w:val="single"/>
        </w:rPr>
        <w:t>Justification for Sensitive Questions</w:t>
      </w:r>
    </w:p>
    <w:p w:rsidR="00175D3B" w:rsidRDefault="00175D3B" w:rsidP="00175D3B">
      <w:pPr>
        <w:tabs>
          <w:tab w:val="left" w:pos="-720"/>
        </w:tabs>
        <w:rPr>
          <w:sz w:val="24"/>
        </w:rPr>
      </w:pPr>
    </w:p>
    <w:p w:rsidR="00175D3B" w:rsidRPr="00175D3B" w:rsidRDefault="00175D3B" w:rsidP="00175D3B">
      <w:pPr>
        <w:tabs>
          <w:tab w:val="left" w:pos="-720"/>
        </w:tabs>
        <w:rPr>
          <w:sz w:val="24"/>
        </w:rPr>
      </w:pPr>
      <w:r w:rsidRPr="00175D3B">
        <w:rPr>
          <w:sz w:val="24"/>
        </w:rPr>
        <w:t xml:space="preserve">The </w:t>
      </w:r>
      <w:r w:rsidR="00F4244E">
        <w:rPr>
          <w:sz w:val="24"/>
        </w:rPr>
        <w:t>form</w:t>
      </w:r>
      <w:r w:rsidRPr="00175D3B">
        <w:rPr>
          <w:sz w:val="24"/>
        </w:rPr>
        <w:t xml:space="preserve"> do</w:t>
      </w:r>
      <w:r w:rsidR="00F4244E">
        <w:rPr>
          <w:sz w:val="24"/>
        </w:rPr>
        <w:t>es</w:t>
      </w:r>
      <w:r w:rsidRPr="00175D3B">
        <w:rPr>
          <w:sz w:val="24"/>
        </w:rPr>
        <w:t xml:space="preserve"> not contain questions of a sensitive nature.</w:t>
      </w:r>
    </w:p>
    <w:p w:rsidR="00175D3B" w:rsidRDefault="00175D3B" w:rsidP="00175D3B">
      <w:pPr>
        <w:widowControl/>
        <w:spacing w:before="120"/>
        <w:ind w:left="360"/>
        <w:rPr>
          <w:sz w:val="24"/>
        </w:rPr>
      </w:pPr>
    </w:p>
    <w:p w:rsidR="009B3794" w:rsidRDefault="009B3794" w:rsidP="00CA3DA6">
      <w:pPr>
        <w:numPr>
          <w:ilvl w:val="0"/>
          <w:numId w:val="2"/>
        </w:numPr>
        <w:tabs>
          <w:tab w:val="clear" w:pos="1080"/>
          <w:tab w:val="num" w:pos="360"/>
        </w:tabs>
        <w:spacing w:before="240"/>
        <w:ind w:left="360"/>
        <w:rPr>
          <w:sz w:val="24"/>
        </w:rPr>
      </w:pPr>
      <w:r>
        <w:rPr>
          <w:b/>
          <w:sz w:val="24"/>
          <w:u w:val="single"/>
        </w:rPr>
        <w:t xml:space="preserve">Estimates of Annualized Hour and Cost Burden  </w:t>
      </w:r>
    </w:p>
    <w:p w:rsidR="00AC6EC5" w:rsidRDefault="0083022B" w:rsidP="00CA3DA6">
      <w:pPr>
        <w:widowControl/>
        <w:tabs>
          <w:tab w:val="num" w:pos="720"/>
        </w:tabs>
        <w:spacing w:before="120"/>
        <w:rPr>
          <w:sz w:val="24"/>
        </w:rPr>
      </w:pPr>
      <w:r>
        <w:rPr>
          <w:sz w:val="24"/>
        </w:rPr>
        <w:t>Respondents will include c</w:t>
      </w:r>
      <w:r w:rsidR="00AC6EC5" w:rsidRPr="007B255A">
        <w:rPr>
          <w:sz w:val="24"/>
        </w:rPr>
        <w:t>urrent</w:t>
      </w:r>
      <w:r>
        <w:rPr>
          <w:sz w:val="24"/>
        </w:rPr>
        <w:t xml:space="preserve"> NHSC</w:t>
      </w:r>
      <w:r w:rsidR="00AC6EC5" w:rsidRPr="007B255A">
        <w:rPr>
          <w:sz w:val="24"/>
        </w:rPr>
        <w:t xml:space="preserve"> program participants, alumni, NHSC Ambassadors, sites, primary care organizations, and professional associations</w:t>
      </w:r>
      <w:r>
        <w:rPr>
          <w:sz w:val="24"/>
        </w:rPr>
        <w:t xml:space="preserve"> who are voluntarily planning Corps Community Day </w:t>
      </w:r>
      <w:r w:rsidR="00AC6EC5" w:rsidRPr="007B255A">
        <w:rPr>
          <w:sz w:val="24"/>
        </w:rPr>
        <w:t>events</w:t>
      </w:r>
      <w:r>
        <w:rPr>
          <w:sz w:val="24"/>
        </w:rPr>
        <w:t>.</w:t>
      </w:r>
      <w:r w:rsidR="00AC6EC5" w:rsidRPr="007B255A">
        <w:rPr>
          <w:sz w:val="24"/>
        </w:rPr>
        <w:t xml:space="preserve">  </w:t>
      </w:r>
    </w:p>
    <w:p w:rsidR="00AC6EC5" w:rsidRDefault="00AC6EC5" w:rsidP="00CA3DA6">
      <w:pPr>
        <w:widowControl/>
        <w:tabs>
          <w:tab w:val="num" w:pos="720"/>
        </w:tabs>
        <w:spacing w:before="120"/>
        <w:rPr>
          <w:sz w:val="24"/>
        </w:rPr>
      </w:pPr>
    </w:p>
    <w:p w:rsidR="009B3794" w:rsidRDefault="009B3794" w:rsidP="00CA3DA6">
      <w:pPr>
        <w:widowControl/>
        <w:tabs>
          <w:tab w:val="num" w:pos="720"/>
        </w:tabs>
        <w:spacing w:before="120"/>
        <w:rPr>
          <w:sz w:val="24"/>
        </w:rPr>
      </w:pPr>
      <w:r>
        <w:rPr>
          <w:b/>
          <w:sz w:val="24"/>
        </w:rPr>
        <w:t>12A.</w:t>
      </w:r>
      <w:r>
        <w:rPr>
          <w:sz w:val="24"/>
        </w:rPr>
        <w:t xml:space="preserve">        </w:t>
      </w:r>
      <w:r>
        <w:rPr>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172"/>
        <w:gridCol w:w="1632"/>
        <w:gridCol w:w="1532"/>
        <w:gridCol w:w="1261"/>
        <w:gridCol w:w="1061"/>
      </w:tblGrid>
      <w:tr w:rsidR="00CA3DA6" w:rsidRPr="00015505" w:rsidTr="00CA3DA6">
        <w:trPr>
          <w:trHeight w:val="2189"/>
        </w:trPr>
        <w:tc>
          <w:tcPr>
            <w:tcW w:w="1532" w:type="dxa"/>
          </w:tcPr>
          <w:p w:rsidR="00CA3DA6" w:rsidRPr="00015505" w:rsidRDefault="00CA3DA6" w:rsidP="00CA3DA6">
            <w:pPr>
              <w:widowControl/>
              <w:tabs>
                <w:tab w:val="num" w:pos="1080"/>
              </w:tabs>
              <w:spacing w:before="120"/>
              <w:rPr>
                <w:b/>
                <w:bCs/>
                <w:sz w:val="24"/>
              </w:rPr>
            </w:pPr>
            <w:r w:rsidRPr="00015505">
              <w:rPr>
                <w:b/>
                <w:bCs/>
                <w:sz w:val="24"/>
              </w:rPr>
              <w:lastRenderedPageBreak/>
              <w:t>Type of</w:t>
            </w:r>
          </w:p>
          <w:p w:rsidR="00CA3DA6" w:rsidRPr="00015505" w:rsidRDefault="00CA3DA6" w:rsidP="00CA3DA6">
            <w:pPr>
              <w:widowControl/>
              <w:tabs>
                <w:tab w:val="num" w:pos="1080"/>
              </w:tabs>
              <w:spacing w:before="120"/>
              <w:rPr>
                <w:b/>
                <w:bCs/>
                <w:sz w:val="24"/>
              </w:rPr>
            </w:pPr>
            <w:r w:rsidRPr="00015505">
              <w:rPr>
                <w:b/>
                <w:bCs/>
                <w:sz w:val="24"/>
              </w:rPr>
              <w:t>Respondent</w:t>
            </w:r>
          </w:p>
          <w:p w:rsidR="00CA3DA6" w:rsidRPr="00015505" w:rsidRDefault="00CA3DA6" w:rsidP="00CA3DA6">
            <w:pPr>
              <w:widowControl/>
              <w:tabs>
                <w:tab w:val="num" w:pos="1080"/>
              </w:tabs>
              <w:spacing w:before="120"/>
              <w:rPr>
                <w:b/>
                <w:bCs/>
                <w:sz w:val="24"/>
              </w:rPr>
            </w:pPr>
          </w:p>
        </w:tc>
        <w:tc>
          <w:tcPr>
            <w:tcW w:w="874" w:type="dxa"/>
          </w:tcPr>
          <w:p w:rsidR="00CA3DA6" w:rsidRPr="00015505" w:rsidRDefault="00CA3DA6" w:rsidP="00CA3DA6">
            <w:pPr>
              <w:widowControl/>
              <w:tabs>
                <w:tab w:val="num" w:pos="1080"/>
              </w:tabs>
              <w:spacing w:before="120"/>
              <w:rPr>
                <w:b/>
                <w:bCs/>
                <w:sz w:val="24"/>
              </w:rPr>
            </w:pPr>
            <w:r w:rsidRPr="00015505">
              <w:rPr>
                <w:b/>
                <w:bCs/>
                <w:sz w:val="24"/>
              </w:rPr>
              <w:t>Form</w:t>
            </w:r>
          </w:p>
          <w:p w:rsidR="00CA3DA6" w:rsidRPr="00015505" w:rsidRDefault="00CA3DA6" w:rsidP="00CA3DA6">
            <w:pPr>
              <w:widowControl/>
              <w:tabs>
                <w:tab w:val="num" w:pos="1080"/>
              </w:tabs>
              <w:spacing w:before="120"/>
              <w:rPr>
                <w:b/>
                <w:bCs/>
                <w:sz w:val="24"/>
              </w:rPr>
            </w:pPr>
            <w:r w:rsidRPr="00015505">
              <w:rPr>
                <w:b/>
                <w:bCs/>
                <w:sz w:val="24"/>
              </w:rPr>
              <w:t>Name</w:t>
            </w:r>
          </w:p>
          <w:p w:rsidR="00CA3DA6" w:rsidRPr="00015505" w:rsidRDefault="00CA3DA6" w:rsidP="00CA3DA6">
            <w:pPr>
              <w:widowControl/>
              <w:tabs>
                <w:tab w:val="num" w:pos="1080"/>
              </w:tabs>
              <w:spacing w:before="120"/>
              <w:rPr>
                <w:b/>
                <w:bCs/>
                <w:sz w:val="24"/>
              </w:rPr>
            </w:pPr>
          </w:p>
        </w:tc>
        <w:tc>
          <w:tcPr>
            <w:tcW w:w="1632" w:type="dxa"/>
          </w:tcPr>
          <w:p w:rsidR="00CA3DA6" w:rsidRPr="00015505" w:rsidRDefault="00CA3DA6" w:rsidP="00CA3DA6">
            <w:pPr>
              <w:widowControl/>
              <w:tabs>
                <w:tab w:val="num" w:pos="1080"/>
              </w:tabs>
              <w:spacing w:before="120"/>
              <w:rPr>
                <w:b/>
                <w:bCs/>
                <w:sz w:val="24"/>
              </w:rPr>
            </w:pPr>
            <w:r w:rsidRPr="00015505">
              <w:rPr>
                <w:b/>
                <w:bCs/>
                <w:sz w:val="24"/>
              </w:rPr>
              <w:t>No. of</w:t>
            </w:r>
          </w:p>
          <w:p w:rsidR="00CA3DA6" w:rsidRPr="00015505" w:rsidRDefault="00CA3DA6" w:rsidP="00CA3DA6">
            <w:pPr>
              <w:widowControl/>
              <w:tabs>
                <w:tab w:val="num" w:pos="1080"/>
              </w:tabs>
              <w:spacing w:before="120"/>
              <w:rPr>
                <w:b/>
                <w:bCs/>
                <w:sz w:val="24"/>
              </w:rPr>
            </w:pPr>
            <w:r w:rsidRPr="00015505">
              <w:rPr>
                <w:b/>
                <w:bCs/>
                <w:sz w:val="24"/>
              </w:rPr>
              <w:t>Respondents</w:t>
            </w:r>
          </w:p>
        </w:tc>
        <w:tc>
          <w:tcPr>
            <w:tcW w:w="1532" w:type="dxa"/>
          </w:tcPr>
          <w:p w:rsidR="00CA3DA6" w:rsidRPr="00015505" w:rsidRDefault="00CA3DA6" w:rsidP="00CA3DA6">
            <w:pPr>
              <w:widowControl/>
              <w:tabs>
                <w:tab w:val="num" w:pos="1080"/>
              </w:tabs>
              <w:spacing w:before="120"/>
              <w:rPr>
                <w:b/>
                <w:bCs/>
                <w:sz w:val="24"/>
              </w:rPr>
            </w:pPr>
            <w:r w:rsidRPr="00015505">
              <w:rPr>
                <w:b/>
                <w:bCs/>
                <w:sz w:val="24"/>
              </w:rPr>
              <w:t>No.</w:t>
            </w:r>
          </w:p>
          <w:p w:rsidR="00CA3DA6" w:rsidRPr="00015505" w:rsidRDefault="00CA3DA6" w:rsidP="00CA3DA6">
            <w:pPr>
              <w:widowControl/>
              <w:tabs>
                <w:tab w:val="num" w:pos="1080"/>
              </w:tabs>
              <w:spacing w:before="120"/>
              <w:rPr>
                <w:b/>
                <w:bCs/>
                <w:sz w:val="24"/>
              </w:rPr>
            </w:pPr>
            <w:r w:rsidRPr="00015505">
              <w:rPr>
                <w:b/>
                <w:bCs/>
                <w:sz w:val="24"/>
              </w:rPr>
              <w:t>Responses</w:t>
            </w:r>
          </w:p>
          <w:p w:rsidR="00CA3DA6" w:rsidRPr="00015505" w:rsidRDefault="00CA3DA6" w:rsidP="00CA3DA6">
            <w:pPr>
              <w:widowControl/>
              <w:tabs>
                <w:tab w:val="num" w:pos="1080"/>
              </w:tabs>
              <w:spacing w:before="120"/>
              <w:rPr>
                <w:b/>
                <w:bCs/>
                <w:sz w:val="24"/>
              </w:rPr>
            </w:pPr>
            <w:r w:rsidRPr="00015505">
              <w:rPr>
                <w:b/>
                <w:bCs/>
                <w:sz w:val="24"/>
              </w:rPr>
              <w:t>per</w:t>
            </w:r>
          </w:p>
          <w:p w:rsidR="00CA3DA6" w:rsidRPr="00015505" w:rsidRDefault="00CA3DA6" w:rsidP="00CA3DA6">
            <w:pPr>
              <w:widowControl/>
              <w:tabs>
                <w:tab w:val="num" w:pos="1080"/>
              </w:tabs>
              <w:spacing w:before="120"/>
              <w:rPr>
                <w:b/>
                <w:bCs/>
                <w:sz w:val="24"/>
              </w:rPr>
            </w:pPr>
            <w:r w:rsidRPr="00015505">
              <w:rPr>
                <w:b/>
                <w:bCs/>
                <w:sz w:val="24"/>
              </w:rPr>
              <w:t>Respondent</w:t>
            </w:r>
          </w:p>
        </w:tc>
        <w:tc>
          <w:tcPr>
            <w:tcW w:w="1261" w:type="dxa"/>
          </w:tcPr>
          <w:p w:rsidR="00CA3DA6" w:rsidRPr="00015505" w:rsidRDefault="00CA3DA6" w:rsidP="00CA3DA6">
            <w:pPr>
              <w:widowControl/>
              <w:tabs>
                <w:tab w:val="num" w:pos="1080"/>
              </w:tabs>
              <w:spacing w:before="120"/>
              <w:rPr>
                <w:b/>
                <w:bCs/>
                <w:sz w:val="24"/>
              </w:rPr>
            </w:pPr>
            <w:r w:rsidRPr="00015505">
              <w:rPr>
                <w:b/>
                <w:bCs/>
                <w:sz w:val="24"/>
              </w:rPr>
              <w:t>Average</w:t>
            </w:r>
          </w:p>
          <w:p w:rsidR="00CA3DA6" w:rsidRPr="00015505" w:rsidRDefault="00CA3DA6" w:rsidP="00CA3DA6">
            <w:pPr>
              <w:widowControl/>
              <w:tabs>
                <w:tab w:val="num" w:pos="1080"/>
              </w:tabs>
              <w:spacing w:before="120"/>
              <w:rPr>
                <w:b/>
                <w:bCs/>
                <w:sz w:val="24"/>
              </w:rPr>
            </w:pPr>
            <w:r w:rsidRPr="00015505">
              <w:rPr>
                <w:b/>
                <w:bCs/>
                <w:sz w:val="24"/>
              </w:rPr>
              <w:t>Burden per</w:t>
            </w:r>
          </w:p>
          <w:p w:rsidR="00CA3DA6" w:rsidRPr="00015505" w:rsidRDefault="00CA3DA6" w:rsidP="00CA3DA6">
            <w:pPr>
              <w:widowControl/>
              <w:tabs>
                <w:tab w:val="num" w:pos="1080"/>
              </w:tabs>
              <w:spacing w:before="120"/>
              <w:rPr>
                <w:b/>
                <w:bCs/>
                <w:sz w:val="24"/>
              </w:rPr>
            </w:pPr>
            <w:r w:rsidRPr="00015505">
              <w:rPr>
                <w:b/>
                <w:bCs/>
                <w:sz w:val="24"/>
              </w:rPr>
              <w:t>Response</w:t>
            </w:r>
          </w:p>
          <w:p w:rsidR="00CA3DA6" w:rsidRPr="00015505" w:rsidRDefault="00CA3DA6" w:rsidP="00CA3DA6">
            <w:pPr>
              <w:widowControl/>
              <w:tabs>
                <w:tab w:val="num" w:pos="1080"/>
              </w:tabs>
              <w:spacing w:before="120"/>
              <w:rPr>
                <w:b/>
                <w:bCs/>
                <w:sz w:val="24"/>
              </w:rPr>
            </w:pPr>
            <w:r w:rsidRPr="00015505">
              <w:rPr>
                <w:b/>
                <w:bCs/>
                <w:sz w:val="24"/>
              </w:rPr>
              <w:t>(in hours)</w:t>
            </w:r>
          </w:p>
        </w:tc>
        <w:tc>
          <w:tcPr>
            <w:tcW w:w="1061" w:type="dxa"/>
          </w:tcPr>
          <w:p w:rsidR="00CA3DA6" w:rsidRPr="00015505" w:rsidRDefault="00CA3DA6" w:rsidP="00CA3DA6">
            <w:pPr>
              <w:widowControl/>
              <w:tabs>
                <w:tab w:val="num" w:pos="1080"/>
              </w:tabs>
              <w:spacing w:before="120"/>
              <w:rPr>
                <w:b/>
                <w:bCs/>
                <w:sz w:val="24"/>
              </w:rPr>
            </w:pPr>
            <w:r w:rsidRPr="00015505">
              <w:rPr>
                <w:b/>
                <w:bCs/>
                <w:sz w:val="24"/>
              </w:rPr>
              <w:t>Total Burden Hours</w:t>
            </w:r>
          </w:p>
        </w:tc>
      </w:tr>
      <w:tr w:rsidR="008F58E0" w:rsidRPr="00015505" w:rsidTr="00CA3DA6">
        <w:trPr>
          <w:trHeight w:val="679"/>
        </w:trPr>
        <w:tc>
          <w:tcPr>
            <w:tcW w:w="1532" w:type="dxa"/>
          </w:tcPr>
          <w:p w:rsidR="008F58E0" w:rsidRPr="008F58E0" w:rsidRDefault="008F58E0" w:rsidP="00CA3DA6">
            <w:pPr>
              <w:widowControl/>
              <w:tabs>
                <w:tab w:val="num" w:pos="1080"/>
              </w:tabs>
              <w:spacing w:before="120"/>
              <w:rPr>
                <w:bCs/>
                <w:sz w:val="24"/>
              </w:rPr>
            </w:pPr>
            <w:r w:rsidRPr="008F58E0">
              <w:rPr>
                <w:bCs/>
                <w:sz w:val="24"/>
              </w:rPr>
              <w:t>Various event planners</w:t>
            </w:r>
          </w:p>
        </w:tc>
        <w:tc>
          <w:tcPr>
            <w:tcW w:w="874" w:type="dxa"/>
          </w:tcPr>
          <w:p w:rsidR="008F58E0" w:rsidRPr="00550FCC" w:rsidRDefault="008F58E0" w:rsidP="00CF70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820F8B">
              <w:t>Corps Community Day Event</w:t>
            </w:r>
            <w:r>
              <w:t xml:space="preserve"> </w:t>
            </w:r>
            <w:r w:rsidRPr="00820F8B">
              <w:t xml:space="preserve"> </w:t>
            </w:r>
            <w:r>
              <w:t>Planning Form</w:t>
            </w:r>
          </w:p>
        </w:tc>
        <w:tc>
          <w:tcPr>
            <w:tcW w:w="1632" w:type="dxa"/>
          </w:tcPr>
          <w:p w:rsidR="008F58E0" w:rsidRPr="00015505" w:rsidRDefault="008F58E0" w:rsidP="00CA3DA6">
            <w:pPr>
              <w:widowControl/>
              <w:tabs>
                <w:tab w:val="num" w:pos="1080"/>
              </w:tabs>
              <w:spacing w:before="120"/>
              <w:rPr>
                <w:b/>
                <w:bCs/>
                <w:sz w:val="24"/>
              </w:rPr>
            </w:pPr>
            <w:r>
              <w:rPr>
                <w:sz w:val="24"/>
              </w:rPr>
              <w:t>300</w:t>
            </w:r>
          </w:p>
        </w:tc>
        <w:tc>
          <w:tcPr>
            <w:tcW w:w="1532" w:type="dxa"/>
          </w:tcPr>
          <w:p w:rsidR="008F58E0" w:rsidRPr="00015505" w:rsidRDefault="008F58E0" w:rsidP="00CA3DA6">
            <w:pPr>
              <w:widowControl/>
              <w:tabs>
                <w:tab w:val="num" w:pos="1080"/>
              </w:tabs>
              <w:spacing w:before="120"/>
              <w:rPr>
                <w:b/>
                <w:bCs/>
                <w:sz w:val="24"/>
              </w:rPr>
            </w:pPr>
            <w:r>
              <w:rPr>
                <w:sz w:val="24"/>
              </w:rPr>
              <w:t>1</w:t>
            </w:r>
          </w:p>
        </w:tc>
        <w:tc>
          <w:tcPr>
            <w:tcW w:w="1261" w:type="dxa"/>
          </w:tcPr>
          <w:p w:rsidR="008F58E0" w:rsidRPr="00015505" w:rsidRDefault="008F58E0" w:rsidP="00CA3DA6">
            <w:pPr>
              <w:widowControl/>
              <w:tabs>
                <w:tab w:val="num" w:pos="1080"/>
              </w:tabs>
              <w:spacing w:before="120"/>
              <w:rPr>
                <w:b/>
                <w:bCs/>
                <w:sz w:val="24"/>
              </w:rPr>
            </w:pPr>
            <w:r>
              <w:rPr>
                <w:sz w:val="24"/>
              </w:rPr>
              <w:t>4</w:t>
            </w:r>
            <w:r w:rsidRPr="00015505">
              <w:rPr>
                <w:sz w:val="24"/>
              </w:rPr>
              <w:t>/60</w:t>
            </w:r>
          </w:p>
        </w:tc>
        <w:tc>
          <w:tcPr>
            <w:tcW w:w="1061" w:type="dxa"/>
          </w:tcPr>
          <w:p w:rsidR="008F58E0" w:rsidRPr="00015505" w:rsidRDefault="008F58E0" w:rsidP="00CA3DA6">
            <w:pPr>
              <w:widowControl/>
              <w:tabs>
                <w:tab w:val="num" w:pos="1080"/>
              </w:tabs>
              <w:spacing w:before="120"/>
              <w:rPr>
                <w:b/>
                <w:bCs/>
                <w:sz w:val="24"/>
              </w:rPr>
            </w:pPr>
            <w:r>
              <w:rPr>
                <w:sz w:val="24"/>
              </w:rPr>
              <w:t>20 hours</w:t>
            </w:r>
          </w:p>
        </w:tc>
      </w:tr>
      <w:tr w:rsidR="008F58E0" w:rsidRPr="00015505" w:rsidTr="00CA3DA6">
        <w:trPr>
          <w:trHeight w:val="800"/>
        </w:trPr>
        <w:tc>
          <w:tcPr>
            <w:tcW w:w="1532" w:type="dxa"/>
          </w:tcPr>
          <w:p w:rsidR="008F58E0" w:rsidRPr="00015505" w:rsidRDefault="008F58E0" w:rsidP="00CA3DA6">
            <w:pPr>
              <w:widowControl/>
              <w:tabs>
                <w:tab w:val="num" w:pos="1080"/>
              </w:tabs>
              <w:spacing w:before="120"/>
              <w:rPr>
                <w:b/>
                <w:bCs/>
                <w:sz w:val="24"/>
              </w:rPr>
            </w:pPr>
            <w:r w:rsidRPr="008F58E0">
              <w:rPr>
                <w:bCs/>
                <w:sz w:val="24"/>
              </w:rPr>
              <w:t>Various event planners</w:t>
            </w:r>
          </w:p>
        </w:tc>
        <w:tc>
          <w:tcPr>
            <w:tcW w:w="874" w:type="dxa"/>
          </w:tcPr>
          <w:p w:rsidR="008F58E0" w:rsidRPr="001A0A0D" w:rsidRDefault="008F58E0" w:rsidP="00CF70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20F8B">
              <w:t>Corps Community Day Event</w:t>
            </w:r>
            <w:r>
              <w:t xml:space="preserve"> </w:t>
            </w:r>
            <w:r w:rsidRPr="00820F8B">
              <w:t xml:space="preserve"> </w:t>
            </w:r>
            <w:r>
              <w:t>Satisfaction Form</w:t>
            </w:r>
          </w:p>
        </w:tc>
        <w:tc>
          <w:tcPr>
            <w:tcW w:w="1632" w:type="dxa"/>
          </w:tcPr>
          <w:p w:rsidR="008F58E0" w:rsidRPr="00015505" w:rsidRDefault="008F58E0" w:rsidP="00CA3DA6">
            <w:pPr>
              <w:widowControl/>
              <w:tabs>
                <w:tab w:val="num" w:pos="1080"/>
              </w:tabs>
              <w:spacing w:before="120"/>
              <w:rPr>
                <w:b/>
                <w:bCs/>
                <w:sz w:val="24"/>
              </w:rPr>
            </w:pPr>
            <w:r>
              <w:rPr>
                <w:sz w:val="24"/>
              </w:rPr>
              <w:t>300</w:t>
            </w:r>
          </w:p>
        </w:tc>
        <w:tc>
          <w:tcPr>
            <w:tcW w:w="1532" w:type="dxa"/>
          </w:tcPr>
          <w:p w:rsidR="008F58E0" w:rsidRPr="00015505" w:rsidRDefault="008F58E0" w:rsidP="00CA3DA6">
            <w:pPr>
              <w:widowControl/>
              <w:tabs>
                <w:tab w:val="num" w:pos="1080"/>
              </w:tabs>
              <w:spacing w:before="120"/>
              <w:rPr>
                <w:b/>
                <w:bCs/>
                <w:sz w:val="24"/>
              </w:rPr>
            </w:pPr>
            <w:r w:rsidRPr="00015505">
              <w:rPr>
                <w:sz w:val="24"/>
              </w:rPr>
              <w:t>1</w:t>
            </w:r>
          </w:p>
        </w:tc>
        <w:tc>
          <w:tcPr>
            <w:tcW w:w="1261" w:type="dxa"/>
          </w:tcPr>
          <w:p w:rsidR="008F58E0" w:rsidRPr="00015505" w:rsidRDefault="008F58E0" w:rsidP="00CA3DA6">
            <w:pPr>
              <w:widowControl/>
              <w:tabs>
                <w:tab w:val="num" w:pos="1080"/>
              </w:tabs>
              <w:spacing w:before="120"/>
              <w:rPr>
                <w:b/>
                <w:bCs/>
                <w:sz w:val="24"/>
              </w:rPr>
            </w:pPr>
            <w:r w:rsidRPr="00015505">
              <w:rPr>
                <w:sz w:val="24"/>
              </w:rPr>
              <w:t>2</w:t>
            </w:r>
            <w:r>
              <w:rPr>
                <w:sz w:val="24"/>
              </w:rPr>
              <w:t>/60</w:t>
            </w:r>
          </w:p>
        </w:tc>
        <w:tc>
          <w:tcPr>
            <w:tcW w:w="1061" w:type="dxa"/>
          </w:tcPr>
          <w:p w:rsidR="008F58E0" w:rsidRPr="00015505" w:rsidRDefault="008F58E0" w:rsidP="00CA3DA6">
            <w:pPr>
              <w:widowControl/>
              <w:tabs>
                <w:tab w:val="num" w:pos="1080"/>
              </w:tabs>
              <w:spacing w:before="120"/>
              <w:rPr>
                <w:sz w:val="24"/>
              </w:rPr>
            </w:pPr>
            <w:r>
              <w:rPr>
                <w:sz w:val="24"/>
              </w:rPr>
              <w:t>10 hours</w:t>
            </w:r>
          </w:p>
          <w:p w:rsidR="008F58E0" w:rsidRPr="00015505" w:rsidRDefault="008F58E0" w:rsidP="00CA3DA6">
            <w:pPr>
              <w:widowControl/>
              <w:tabs>
                <w:tab w:val="num" w:pos="1080"/>
              </w:tabs>
              <w:spacing w:before="120"/>
              <w:rPr>
                <w:b/>
                <w:bCs/>
                <w:sz w:val="24"/>
              </w:rPr>
            </w:pPr>
          </w:p>
        </w:tc>
      </w:tr>
      <w:tr w:rsidR="00CA3DA6" w:rsidRPr="00015505" w:rsidTr="00CA3DA6">
        <w:trPr>
          <w:trHeight w:val="815"/>
        </w:trPr>
        <w:tc>
          <w:tcPr>
            <w:tcW w:w="1532" w:type="dxa"/>
          </w:tcPr>
          <w:p w:rsidR="00CA3DA6" w:rsidRPr="00015505" w:rsidRDefault="00CA3DA6" w:rsidP="00CA3DA6">
            <w:pPr>
              <w:widowControl/>
              <w:tabs>
                <w:tab w:val="num" w:pos="1080"/>
              </w:tabs>
              <w:spacing w:before="120"/>
              <w:rPr>
                <w:b/>
                <w:bCs/>
                <w:sz w:val="24"/>
              </w:rPr>
            </w:pPr>
            <w:r w:rsidRPr="00015505">
              <w:rPr>
                <w:b/>
                <w:bCs/>
                <w:sz w:val="24"/>
              </w:rPr>
              <w:t>Total</w:t>
            </w:r>
          </w:p>
        </w:tc>
        <w:tc>
          <w:tcPr>
            <w:tcW w:w="874" w:type="dxa"/>
          </w:tcPr>
          <w:p w:rsidR="00CA3DA6" w:rsidRPr="00015505" w:rsidRDefault="00CA3DA6" w:rsidP="00CA3DA6">
            <w:pPr>
              <w:widowControl/>
              <w:tabs>
                <w:tab w:val="num" w:pos="1080"/>
              </w:tabs>
              <w:spacing w:before="120"/>
              <w:rPr>
                <w:sz w:val="24"/>
              </w:rPr>
            </w:pPr>
          </w:p>
        </w:tc>
        <w:tc>
          <w:tcPr>
            <w:tcW w:w="1632" w:type="dxa"/>
          </w:tcPr>
          <w:p w:rsidR="00CA3DA6" w:rsidRPr="00015505" w:rsidRDefault="00C0781D" w:rsidP="00CA3DA6">
            <w:pPr>
              <w:widowControl/>
              <w:tabs>
                <w:tab w:val="num" w:pos="1080"/>
              </w:tabs>
              <w:spacing w:before="120"/>
              <w:rPr>
                <w:sz w:val="24"/>
              </w:rPr>
            </w:pPr>
            <w:r>
              <w:rPr>
                <w:sz w:val="24"/>
              </w:rPr>
              <w:t>300</w:t>
            </w:r>
          </w:p>
        </w:tc>
        <w:tc>
          <w:tcPr>
            <w:tcW w:w="1532" w:type="dxa"/>
          </w:tcPr>
          <w:p w:rsidR="00CA3DA6" w:rsidRPr="00015505" w:rsidRDefault="00C0781D" w:rsidP="00CA3DA6">
            <w:pPr>
              <w:widowControl/>
              <w:tabs>
                <w:tab w:val="num" w:pos="1080"/>
              </w:tabs>
              <w:spacing w:before="120"/>
              <w:rPr>
                <w:sz w:val="24"/>
              </w:rPr>
            </w:pPr>
            <w:r>
              <w:rPr>
                <w:sz w:val="24"/>
              </w:rPr>
              <w:t>1</w:t>
            </w:r>
          </w:p>
        </w:tc>
        <w:tc>
          <w:tcPr>
            <w:tcW w:w="1261" w:type="dxa"/>
          </w:tcPr>
          <w:p w:rsidR="00CA3DA6" w:rsidRPr="00015505" w:rsidRDefault="00C0781D" w:rsidP="00CA3DA6">
            <w:pPr>
              <w:widowControl/>
              <w:tabs>
                <w:tab w:val="num" w:pos="1080"/>
              </w:tabs>
              <w:spacing w:before="120"/>
              <w:rPr>
                <w:sz w:val="24"/>
              </w:rPr>
            </w:pPr>
            <w:r>
              <w:rPr>
                <w:sz w:val="24"/>
              </w:rPr>
              <w:t>3</w:t>
            </w:r>
          </w:p>
        </w:tc>
        <w:tc>
          <w:tcPr>
            <w:tcW w:w="1061" w:type="dxa"/>
          </w:tcPr>
          <w:p w:rsidR="00CA3DA6" w:rsidRPr="00015505" w:rsidRDefault="008F58E0" w:rsidP="00CA3DA6">
            <w:pPr>
              <w:widowControl/>
              <w:tabs>
                <w:tab w:val="num" w:pos="1080"/>
              </w:tabs>
              <w:spacing w:before="120"/>
              <w:rPr>
                <w:sz w:val="24"/>
              </w:rPr>
            </w:pPr>
            <w:r>
              <w:rPr>
                <w:b/>
                <w:bCs/>
                <w:sz w:val="24"/>
              </w:rPr>
              <w:t>30 hours</w:t>
            </w:r>
          </w:p>
          <w:p w:rsidR="00CA3DA6" w:rsidRPr="00015505" w:rsidRDefault="00CA3DA6" w:rsidP="00CA3DA6">
            <w:pPr>
              <w:widowControl/>
              <w:tabs>
                <w:tab w:val="num" w:pos="1080"/>
              </w:tabs>
              <w:spacing w:before="120"/>
              <w:rPr>
                <w:sz w:val="24"/>
              </w:rPr>
            </w:pPr>
          </w:p>
        </w:tc>
      </w:tr>
    </w:tbl>
    <w:p w:rsidR="009B3794" w:rsidRDefault="009B3794" w:rsidP="00CA3DA6">
      <w:pPr>
        <w:widowControl/>
        <w:tabs>
          <w:tab w:val="num" w:pos="1080"/>
        </w:tabs>
        <w:spacing w:before="120"/>
        <w:rPr>
          <w:b/>
          <w:bCs/>
          <w:sz w:val="24"/>
        </w:rPr>
      </w:pPr>
    </w:p>
    <w:p w:rsidR="00D92E1D" w:rsidRDefault="00D92E1D" w:rsidP="00CA3DA6">
      <w:pPr>
        <w:widowControl/>
        <w:tabs>
          <w:tab w:val="num" w:pos="1080"/>
        </w:tabs>
        <w:spacing w:before="120"/>
        <w:ind w:left="2160"/>
        <w:rPr>
          <w:sz w:val="24"/>
        </w:rPr>
      </w:pPr>
    </w:p>
    <w:p w:rsidR="00D92E1D" w:rsidRDefault="00D92E1D" w:rsidP="00CA3DA6">
      <w:pPr>
        <w:widowControl/>
        <w:tabs>
          <w:tab w:val="num" w:pos="1080"/>
        </w:tabs>
        <w:spacing w:before="120"/>
        <w:ind w:left="2160"/>
        <w:rPr>
          <w:sz w:val="24"/>
        </w:rPr>
      </w:pPr>
    </w:p>
    <w:p w:rsidR="00D92E1D" w:rsidRDefault="00D92E1D" w:rsidP="00CA3DA6">
      <w:pPr>
        <w:widowControl/>
        <w:tabs>
          <w:tab w:val="num" w:pos="1080"/>
        </w:tabs>
        <w:spacing w:before="120"/>
        <w:ind w:left="2160"/>
        <w:rPr>
          <w:sz w:val="24"/>
        </w:rPr>
      </w:pPr>
    </w:p>
    <w:p w:rsidR="00424F6B" w:rsidRDefault="00424F6B" w:rsidP="00424F6B">
      <w:pPr>
        <w:widowControl/>
        <w:spacing w:before="120"/>
        <w:rPr>
          <w:b/>
          <w:sz w:val="24"/>
        </w:rPr>
      </w:pPr>
    </w:p>
    <w:p w:rsidR="00424F6B" w:rsidRDefault="00424F6B" w:rsidP="00424F6B">
      <w:pPr>
        <w:widowControl/>
        <w:spacing w:before="120"/>
        <w:rPr>
          <w:b/>
          <w:sz w:val="24"/>
        </w:rPr>
      </w:pPr>
    </w:p>
    <w:p w:rsidR="009B3794" w:rsidRPr="00424F6B" w:rsidRDefault="009B3794" w:rsidP="00424F6B">
      <w:pPr>
        <w:widowControl/>
        <w:spacing w:before="120"/>
        <w:rPr>
          <w:sz w:val="24"/>
        </w:rPr>
      </w:pPr>
      <w:r>
        <w:rPr>
          <w:b/>
          <w:sz w:val="24"/>
        </w:rPr>
        <w:t>12B</w:t>
      </w:r>
      <w:r>
        <w:rPr>
          <w:sz w:val="24"/>
        </w:rPr>
        <w:t xml:space="preserve">.  </w:t>
      </w:r>
      <w:r>
        <w:rPr>
          <w:b/>
          <w:sz w:val="24"/>
        </w:rPr>
        <w:t>Estimated Annualized Burden Costs</w:t>
      </w:r>
    </w:p>
    <w:tbl>
      <w:tblPr>
        <w:tblW w:w="810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1879"/>
        <w:gridCol w:w="1620"/>
        <w:gridCol w:w="1800"/>
      </w:tblGrid>
      <w:tr w:rsidR="009B3794" w:rsidRPr="00015505" w:rsidTr="00A05823">
        <w:tc>
          <w:tcPr>
            <w:tcW w:w="2801" w:type="dxa"/>
          </w:tcPr>
          <w:p w:rsidR="009B3794" w:rsidRPr="00015505" w:rsidRDefault="009B3794" w:rsidP="00CE5AA9">
            <w:pPr>
              <w:widowControl/>
              <w:spacing w:before="120"/>
              <w:rPr>
                <w:b/>
                <w:bCs/>
                <w:sz w:val="24"/>
              </w:rPr>
            </w:pPr>
            <w:r w:rsidRPr="00015505">
              <w:rPr>
                <w:b/>
                <w:bCs/>
                <w:sz w:val="24"/>
              </w:rPr>
              <w:t>Type of</w:t>
            </w:r>
          </w:p>
          <w:p w:rsidR="009B3794" w:rsidRPr="00015505" w:rsidRDefault="009B3794" w:rsidP="00CE5AA9">
            <w:pPr>
              <w:widowControl/>
              <w:spacing w:before="120"/>
              <w:rPr>
                <w:sz w:val="24"/>
              </w:rPr>
            </w:pPr>
            <w:r w:rsidRPr="00015505">
              <w:rPr>
                <w:b/>
                <w:bCs/>
                <w:sz w:val="24"/>
              </w:rPr>
              <w:t>Respondent</w:t>
            </w:r>
          </w:p>
          <w:p w:rsidR="009B3794" w:rsidRPr="00015505" w:rsidRDefault="009B3794" w:rsidP="00CE5AA9">
            <w:pPr>
              <w:widowControl/>
              <w:spacing w:before="120"/>
              <w:rPr>
                <w:b/>
                <w:bCs/>
                <w:sz w:val="24"/>
              </w:rPr>
            </w:pPr>
          </w:p>
        </w:tc>
        <w:tc>
          <w:tcPr>
            <w:tcW w:w="1879" w:type="dxa"/>
          </w:tcPr>
          <w:p w:rsidR="009B3794" w:rsidRPr="00015505" w:rsidRDefault="009B3794" w:rsidP="00CE5AA9">
            <w:pPr>
              <w:widowControl/>
              <w:spacing w:before="120"/>
              <w:rPr>
                <w:b/>
                <w:bCs/>
                <w:sz w:val="24"/>
              </w:rPr>
            </w:pPr>
            <w:r w:rsidRPr="00015505">
              <w:rPr>
                <w:b/>
                <w:bCs/>
                <w:sz w:val="24"/>
              </w:rPr>
              <w:t>Total Burden</w:t>
            </w:r>
          </w:p>
          <w:p w:rsidR="009B3794" w:rsidRPr="00015505" w:rsidRDefault="009B3794" w:rsidP="00CE5AA9">
            <w:pPr>
              <w:widowControl/>
              <w:spacing w:before="120"/>
              <w:rPr>
                <w:sz w:val="24"/>
              </w:rPr>
            </w:pPr>
            <w:r w:rsidRPr="00015505">
              <w:rPr>
                <w:b/>
                <w:bCs/>
                <w:sz w:val="24"/>
              </w:rPr>
              <w:t>Hours</w:t>
            </w:r>
          </w:p>
          <w:p w:rsidR="009B3794" w:rsidRPr="00015505" w:rsidRDefault="009B3794" w:rsidP="00CE5AA9">
            <w:pPr>
              <w:widowControl/>
              <w:spacing w:before="120"/>
              <w:rPr>
                <w:b/>
                <w:bCs/>
                <w:sz w:val="24"/>
              </w:rPr>
            </w:pPr>
          </w:p>
        </w:tc>
        <w:tc>
          <w:tcPr>
            <w:tcW w:w="1620" w:type="dxa"/>
          </w:tcPr>
          <w:p w:rsidR="009B3794" w:rsidRPr="00015505" w:rsidRDefault="009B3794" w:rsidP="00CE5AA9">
            <w:pPr>
              <w:widowControl/>
              <w:spacing w:before="120"/>
              <w:rPr>
                <w:b/>
                <w:bCs/>
                <w:sz w:val="24"/>
              </w:rPr>
            </w:pPr>
            <w:r w:rsidRPr="00015505">
              <w:rPr>
                <w:b/>
                <w:bCs/>
                <w:sz w:val="24"/>
              </w:rPr>
              <w:t>Hourly</w:t>
            </w:r>
          </w:p>
          <w:p w:rsidR="009B3794" w:rsidRPr="00015505" w:rsidRDefault="009B3794" w:rsidP="00CE5AA9">
            <w:pPr>
              <w:widowControl/>
              <w:spacing w:before="120"/>
              <w:rPr>
                <w:sz w:val="24"/>
              </w:rPr>
            </w:pPr>
            <w:r w:rsidRPr="00015505">
              <w:rPr>
                <w:b/>
                <w:bCs/>
                <w:sz w:val="24"/>
              </w:rPr>
              <w:t>Wage Rate</w:t>
            </w:r>
          </w:p>
          <w:p w:rsidR="009B3794" w:rsidRPr="00015505" w:rsidRDefault="009B3794" w:rsidP="00CE5AA9">
            <w:pPr>
              <w:widowControl/>
              <w:spacing w:before="120"/>
              <w:rPr>
                <w:b/>
                <w:bCs/>
                <w:sz w:val="24"/>
              </w:rPr>
            </w:pPr>
          </w:p>
        </w:tc>
        <w:tc>
          <w:tcPr>
            <w:tcW w:w="1800" w:type="dxa"/>
          </w:tcPr>
          <w:p w:rsidR="009B3794" w:rsidRPr="00015505" w:rsidRDefault="009B3794" w:rsidP="00CE5AA9">
            <w:pPr>
              <w:widowControl/>
              <w:spacing w:before="120"/>
              <w:rPr>
                <w:sz w:val="24"/>
              </w:rPr>
            </w:pPr>
            <w:r w:rsidRPr="00015505">
              <w:rPr>
                <w:b/>
                <w:bCs/>
                <w:sz w:val="24"/>
              </w:rPr>
              <w:t>Total Respondent Costs</w:t>
            </w:r>
          </w:p>
          <w:p w:rsidR="009B3794" w:rsidRPr="00015505" w:rsidRDefault="009B3794" w:rsidP="00CE5AA9">
            <w:pPr>
              <w:widowControl/>
              <w:spacing w:before="120"/>
              <w:rPr>
                <w:b/>
                <w:bCs/>
                <w:sz w:val="24"/>
              </w:rPr>
            </w:pPr>
          </w:p>
        </w:tc>
      </w:tr>
      <w:tr w:rsidR="009B3794" w:rsidRPr="00015505" w:rsidTr="00A05823">
        <w:tc>
          <w:tcPr>
            <w:tcW w:w="2801" w:type="dxa"/>
          </w:tcPr>
          <w:p w:rsidR="009B3794" w:rsidRPr="00015505" w:rsidRDefault="00A05823" w:rsidP="00CE5AA9">
            <w:pPr>
              <w:spacing w:before="120"/>
              <w:rPr>
                <w:sz w:val="24"/>
              </w:rPr>
            </w:pPr>
            <w:r w:rsidRPr="00A05823">
              <w:rPr>
                <w:bCs/>
                <w:sz w:val="24"/>
              </w:rPr>
              <w:t>Administrative Services Managers</w:t>
            </w:r>
          </w:p>
        </w:tc>
        <w:tc>
          <w:tcPr>
            <w:tcW w:w="1879" w:type="dxa"/>
          </w:tcPr>
          <w:p w:rsidR="009B3794" w:rsidRPr="00015505" w:rsidRDefault="00A05823" w:rsidP="00CE5AA9">
            <w:pPr>
              <w:spacing w:before="120"/>
              <w:rPr>
                <w:sz w:val="24"/>
              </w:rPr>
            </w:pPr>
            <w:r>
              <w:rPr>
                <w:sz w:val="24"/>
              </w:rPr>
              <w:t>15</w:t>
            </w:r>
          </w:p>
        </w:tc>
        <w:tc>
          <w:tcPr>
            <w:tcW w:w="1620" w:type="dxa"/>
          </w:tcPr>
          <w:p w:rsidR="009B3794" w:rsidRPr="00015505" w:rsidRDefault="00A05823" w:rsidP="00CE5AA9">
            <w:pPr>
              <w:spacing w:before="120"/>
              <w:jc w:val="right"/>
              <w:rPr>
                <w:sz w:val="24"/>
              </w:rPr>
            </w:pPr>
            <w:r w:rsidRPr="00A05823">
              <w:rPr>
                <w:sz w:val="24"/>
              </w:rPr>
              <w:t>$38.24</w:t>
            </w:r>
          </w:p>
        </w:tc>
        <w:tc>
          <w:tcPr>
            <w:tcW w:w="1800" w:type="dxa"/>
          </w:tcPr>
          <w:p w:rsidR="009B3794" w:rsidRPr="00015505" w:rsidRDefault="009B3794" w:rsidP="00CE5AA9">
            <w:pPr>
              <w:spacing w:before="120"/>
              <w:jc w:val="right"/>
              <w:rPr>
                <w:sz w:val="24"/>
              </w:rPr>
            </w:pPr>
            <w:r w:rsidRPr="00015505">
              <w:rPr>
                <w:sz w:val="24"/>
              </w:rPr>
              <w:t xml:space="preserve"> $</w:t>
            </w:r>
            <w:r w:rsidR="00A05823">
              <w:rPr>
                <w:sz w:val="24"/>
              </w:rPr>
              <w:t>573.60</w:t>
            </w:r>
          </w:p>
        </w:tc>
      </w:tr>
      <w:tr w:rsidR="009B3794" w:rsidRPr="00015505" w:rsidTr="00A05823">
        <w:tc>
          <w:tcPr>
            <w:tcW w:w="2801" w:type="dxa"/>
          </w:tcPr>
          <w:p w:rsidR="009B3794" w:rsidRPr="00015505" w:rsidRDefault="00A05823" w:rsidP="00CE5AA9">
            <w:pPr>
              <w:spacing w:before="120"/>
              <w:rPr>
                <w:sz w:val="24"/>
              </w:rPr>
            </w:pPr>
            <w:r w:rsidRPr="00A05823">
              <w:rPr>
                <w:sz w:val="24"/>
              </w:rPr>
              <w:t>Medical and Health Services Managers</w:t>
            </w:r>
          </w:p>
        </w:tc>
        <w:tc>
          <w:tcPr>
            <w:tcW w:w="1879" w:type="dxa"/>
          </w:tcPr>
          <w:p w:rsidR="009B3794" w:rsidRPr="00015505" w:rsidRDefault="00A05823" w:rsidP="00CE5AA9">
            <w:pPr>
              <w:spacing w:before="120"/>
              <w:rPr>
                <w:sz w:val="24"/>
              </w:rPr>
            </w:pPr>
            <w:r>
              <w:rPr>
                <w:sz w:val="24"/>
              </w:rPr>
              <w:t>15</w:t>
            </w:r>
          </w:p>
        </w:tc>
        <w:tc>
          <w:tcPr>
            <w:tcW w:w="1620" w:type="dxa"/>
          </w:tcPr>
          <w:p w:rsidR="009B3794" w:rsidRPr="00015505" w:rsidRDefault="009B3794" w:rsidP="00CE5AA9">
            <w:pPr>
              <w:spacing w:before="120"/>
              <w:jc w:val="right"/>
              <w:rPr>
                <w:sz w:val="24"/>
              </w:rPr>
            </w:pPr>
            <w:r w:rsidRPr="00015505">
              <w:rPr>
                <w:sz w:val="24"/>
              </w:rPr>
              <w:t xml:space="preserve"> </w:t>
            </w:r>
            <w:r w:rsidR="00A05823" w:rsidRPr="00A05823">
              <w:rPr>
                <w:sz w:val="24"/>
              </w:rPr>
              <w:t>$41.54</w:t>
            </w:r>
          </w:p>
        </w:tc>
        <w:tc>
          <w:tcPr>
            <w:tcW w:w="1800" w:type="dxa"/>
          </w:tcPr>
          <w:p w:rsidR="009B3794" w:rsidRPr="00015505" w:rsidRDefault="009B3794" w:rsidP="00A05823">
            <w:pPr>
              <w:spacing w:before="120"/>
              <w:jc w:val="right"/>
              <w:rPr>
                <w:sz w:val="24"/>
              </w:rPr>
            </w:pPr>
            <w:r w:rsidRPr="00015505">
              <w:rPr>
                <w:sz w:val="24"/>
              </w:rPr>
              <w:t xml:space="preserve"> $</w:t>
            </w:r>
            <w:r w:rsidR="00A05823">
              <w:rPr>
                <w:sz w:val="24"/>
              </w:rPr>
              <w:t>621.75</w:t>
            </w:r>
          </w:p>
        </w:tc>
      </w:tr>
      <w:tr w:rsidR="009B3794" w:rsidRPr="00015505" w:rsidTr="00A05823">
        <w:trPr>
          <w:trHeight w:val="440"/>
        </w:trPr>
        <w:tc>
          <w:tcPr>
            <w:tcW w:w="2801" w:type="dxa"/>
          </w:tcPr>
          <w:p w:rsidR="009B3794" w:rsidRPr="00015505" w:rsidRDefault="009B3794" w:rsidP="00CE5AA9">
            <w:pPr>
              <w:widowControl/>
              <w:spacing w:before="120"/>
              <w:rPr>
                <w:sz w:val="24"/>
              </w:rPr>
            </w:pPr>
            <w:r w:rsidRPr="00015505">
              <w:rPr>
                <w:sz w:val="24"/>
              </w:rPr>
              <w:t>Total</w:t>
            </w:r>
          </w:p>
        </w:tc>
        <w:tc>
          <w:tcPr>
            <w:tcW w:w="1879" w:type="dxa"/>
          </w:tcPr>
          <w:p w:rsidR="009B3794" w:rsidRPr="00015505" w:rsidRDefault="009B3794" w:rsidP="00CE5AA9">
            <w:pPr>
              <w:widowControl/>
              <w:spacing w:before="120"/>
              <w:rPr>
                <w:sz w:val="24"/>
              </w:rPr>
            </w:pPr>
          </w:p>
        </w:tc>
        <w:tc>
          <w:tcPr>
            <w:tcW w:w="1620" w:type="dxa"/>
          </w:tcPr>
          <w:p w:rsidR="009B3794" w:rsidRPr="00015505" w:rsidRDefault="009B3794" w:rsidP="00A05823">
            <w:pPr>
              <w:widowControl/>
              <w:spacing w:before="120"/>
              <w:jc w:val="center"/>
              <w:rPr>
                <w:sz w:val="24"/>
              </w:rPr>
            </w:pPr>
          </w:p>
        </w:tc>
        <w:tc>
          <w:tcPr>
            <w:tcW w:w="1800" w:type="dxa"/>
          </w:tcPr>
          <w:p w:rsidR="009B3794" w:rsidRPr="00015505" w:rsidRDefault="009B3794" w:rsidP="00A05823">
            <w:pPr>
              <w:widowControl/>
              <w:spacing w:before="120"/>
              <w:jc w:val="right"/>
              <w:rPr>
                <w:sz w:val="24"/>
              </w:rPr>
            </w:pPr>
            <w:r w:rsidRPr="00015505">
              <w:rPr>
                <w:sz w:val="24"/>
              </w:rPr>
              <w:t>$</w:t>
            </w:r>
            <w:r w:rsidR="00A05823">
              <w:rPr>
                <w:sz w:val="24"/>
              </w:rPr>
              <w:t>1,195.35</w:t>
            </w:r>
          </w:p>
        </w:tc>
      </w:tr>
    </w:tbl>
    <w:p w:rsidR="00424F6B" w:rsidRPr="00424F6B" w:rsidRDefault="00424F6B" w:rsidP="00424F6B">
      <w:pPr>
        <w:spacing w:before="240"/>
        <w:ind w:left="360"/>
        <w:rPr>
          <w:b/>
          <w:sz w:val="24"/>
        </w:rPr>
      </w:pPr>
    </w:p>
    <w:p w:rsidR="009B3794" w:rsidRDefault="009B3794" w:rsidP="00CA3DA6">
      <w:pPr>
        <w:numPr>
          <w:ilvl w:val="0"/>
          <w:numId w:val="2"/>
        </w:numPr>
        <w:tabs>
          <w:tab w:val="clear" w:pos="1080"/>
          <w:tab w:val="num" w:pos="360"/>
        </w:tabs>
        <w:spacing w:before="240"/>
        <w:ind w:left="360"/>
        <w:rPr>
          <w:b/>
          <w:sz w:val="24"/>
        </w:rPr>
      </w:pPr>
      <w:r>
        <w:rPr>
          <w:b/>
          <w:sz w:val="24"/>
          <w:u w:val="single"/>
        </w:rPr>
        <w:t>Estimates of other Total Annual Cost Burden to Respondents or Recordkeepers/Capital Costs</w:t>
      </w:r>
    </w:p>
    <w:p w:rsidR="00B178C1" w:rsidRDefault="00B178C1" w:rsidP="00B178C1">
      <w:pPr>
        <w:pStyle w:val="BodyTextIndent"/>
        <w:spacing w:before="120"/>
        <w:ind w:left="0"/>
        <w:rPr>
          <w:rFonts w:ascii="Times New Roman" w:hAnsi="Times New Roman"/>
        </w:rPr>
      </w:pPr>
      <w:r w:rsidRPr="00B178C1">
        <w:rPr>
          <w:rFonts w:ascii="Times New Roman" w:hAnsi="Times New Roman"/>
        </w:rPr>
        <w:t>The only associated cost to respondents is their time to provide the requested information.</w:t>
      </w:r>
    </w:p>
    <w:p w:rsidR="00B178C1" w:rsidRDefault="00B178C1" w:rsidP="00B178C1">
      <w:pPr>
        <w:pStyle w:val="BodyTextIndent"/>
        <w:spacing w:before="120"/>
        <w:ind w:left="0"/>
        <w:rPr>
          <w:rFonts w:ascii="Times New Roman" w:hAnsi="Times New Roman"/>
        </w:rPr>
      </w:pPr>
    </w:p>
    <w:p w:rsidR="009B3794" w:rsidRDefault="009B3794" w:rsidP="00CA3DA6">
      <w:pPr>
        <w:numPr>
          <w:ilvl w:val="0"/>
          <w:numId w:val="2"/>
        </w:numPr>
        <w:tabs>
          <w:tab w:val="clear" w:pos="1080"/>
          <w:tab w:val="num" w:pos="360"/>
        </w:tabs>
        <w:spacing w:before="240"/>
        <w:ind w:left="360"/>
        <w:rPr>
          <w:b/>
          <w:sz w:val="24"/>
        </w:rPr>
      </w:pPr>
      <w:r>
        <w:rPr>
          <w:b/>
          <w:sz w:val="24"/>
          <w:u w:val="single"/>
        </w:rPr>
        <w:t>Annualized Cost to Federal Government</w:t>
      </w:r>
    </w:p>
    <w:p w:rsidR="00B178C1" w:rsidRDefault="00B178C1" w:rsidP="00B178C1">
      <w:pPr>
        <w:pStyle w:val="BodyTextIndent"/>
        <w:spacing w:before="120"/>
        <w:ind w:left="0"/>
        <w:rPr>
          <w:rFonts w:ascii="Times New Roman" w:hAnsi="Times New Roman"/>
        </w:rPr>
      </w:pPr>
      <w:r w:rsidRPr="00B178C1">
        <w:rPr>
          <w:rFonts w:ascii="Times New Roman" w:hAnsi="Times New Roman"/>
        </w:rPr>
        <w:t xml:space="preserve">The online no-cost </w:t>
      </w:r>
      <w:r w:rsidR="00F4244E">
        <w:rPr>
          <w:rFonts w:ascii="Times New Roman" w:hAnsi="Times New Roman"/>
        </w:rPr>
        <w:t>form</w:t>
      </w:r>
      <w:r w:rsidR="00E107D8">
        <w:rPr>
          <w:rFonts w:ascii="Times New Roman" w:hAnsi="Times New Roman"/>
        </w:rPr>
        <w:t xml:space="preserve"> w</w:t>
      </w:r>
      <w:r w:rsidR="00F4244E">
        <w:rPr>
          <w:rFonts w:ascii="Times New Roman" w:hAnsi="Times New Roman"/>
        </w:rPr>
        <w:t>as</w:t>
      </w:r>
      <w:r w:rsidRPr="00B178C1">
        <w:rPr>
          <w:rFonts w:ascii="Times New Roman" w:hAnsi="Times New Roman"/>
        </w:rPr>
        <w:t xml:space="preserve"> developed by the HRSA DEA team. The estimated one-time c</w:t>
      </w:r>
      <w:r w:rsidR="00E107D8">
        <w:rPr>
          <w:rFonts w:ascii="Times New Roman" w:hAnsi="Times New Roman"/>
        </w:rPr>
        <w:t xml:space="preserve">ost to </w:t>
      </w:r>
      <w:r w:rsidR="00E107D8">
        <w:rPr>
          <w:rFonts w:ascii="Times New Roman" w:hAnsi="Times New Roman"/>
        </w:rPr>
        <w:lastRenderedPageBreak/>
        <w:t>the government for</w:t>
      </w:r>
      <w:r w:rsidRPr="00B178C1">
        <w:rPr>
          <w:rFonts w:ascii="Times New Roman" w:hAnsi="Times New Roman"/>
        </w:rPr>
        <w:t xml:space="preserve"> development and data analysis is $125, which includes .0014% from GS13 ($89,033).</w:t>
      </w:r>
    </w:p>
    <w:p w:rsidR="009B3794" w:rsidRDefault="009B3794" w:rsidP="00B178C1">
      <w:pPr>
        <w:pStyle w:val="BodyTextIndent"/>
        <w:spacing w:before="120"/>
        <w:ind w:left="360"/>
        <w:rPr>
          <w:rFonts w:ascii="Times New Roman" w:hAnsi="Times New Roman"/>
        </w:rPr>
      </w:pPr>
    </w:p>
    <w:p w:rsidR="009B3794" w:rsidRDefault="009B3794" w:rsidP="00CA3DA6">
      <w:pPr>
        <w:numPr>
          <w:ilvl w:val="0"/>
          <w:numId w:val="2"/>
        </w:numPr>
        <w:tabs>
          <w:tab w:val="clear" w:pos="1080"/>
          <w:tab w:val="num" w:pos="360"/>
        </w:tabs>
        <w:spacing w:before="240"/>
        <w:ind w:left="360"/>
        <w:rPr>
          <w:b/>
          <w:sz w:val="24"/>
        </w:rPr>
      </w:pPr>
      <w:r>
        <w:rPr>
          <w:b/>
          <w:sz w:val="24"/>
          <w:u w:val="single"/>
        </w:rPr>
        <w:t>Explanation for Program Changes or Adjustments</w:t>
      </w:r>
    </w:p>
    <w:p w:rsidR="00E962DB" w:rsidRPr="00371F19" w:rsidRDefault="009B3794" w:rsidP="00371F19">
      <w:pPr>
        <w:pStyle w:val="BodyTextIndent"/>
        <w:spacing w:before="120"/>
        <w:ind w:left="0"/>
        <w:rPr>
          <w:rFonts w:ascii="Times New Roman" w:hAnsi="Times New Roman"/>
        </w:rPr>
      </w:pPr>
      <w:r w:rsidRPr="00371F19">
        <w:rPr>
          <w:rFonts w:ascii="Times New Roman" w:hAnsi="Times New Roman"/>
        </w:rPr>
        <w:t>This is a new data collection.</w:t>
      </w:r>
    </w:p>
    <w:p w:rsidR="00B178C1" w:rsidRDefault="00B178C1" w:rsidP="00CA3DA6">
      <w:pPr>
        <w:pStyle w:val="BodyTextIndent"/>
        <w:spacing w:before="120"/>
        <w:ind w:left="360"/>
        <w:rPr>
          <w:rFonts w:ascii="Times New Roman" w:hAnsi="Times New Roman"/>
        </w:rPr>
      </w:pPr>
    </w:p>
    <w:p w:rsidR="009B3794" w:rsidRDefault="009B3794" w:rsidP="00CA3DA6">
      <w:pPr>
        <w:numPr>
          <w:ilvl w:val="0"/>
          <w:numId w:val="2"/>
        </w:numPr>
        <w:tabs>
          <w:tab w:val="clear" w:pos="1080"/>
          <w:tab w:val="num" w:pos="360"/>
        </w:tabs>
        <w:spacing w:before="240"/>
        <w:ind w:left="360"/>
        <w:rPr>
          <w:b/>
          <w:sz w:val="24"/>
        </w:rPr>
      </w:pPr>
      <w:r>
        <w:rPr>
          <w:b/>
          <w:sz w:val="24"/>
          <w:u w:val="single"/>
        </w:rPr>
        <w:t>Plans for Tabulation</w:t>
      </w:r>
      <w:r w:rsidR="002118B4">
        <w:rPr>
          <w:b/>
          <w:sz w:val="24"/>
          <w:u w:val="single"/>
        </w:rPr>
        <w:t xml:space="preserve">, </w:t>
      </w:r>
      <w:r>
        <w:rPr>
          <w:b/>
          <w:sz w:val="24"/>
          <w:u w:val="single"/>
        </w:rPr>
        <w:t>Publication</w:t>
      </w:r>
      <w:r w:rsidR="002118B4">
        <w:rPr>
          <w:b/>
          <w:sz w:val="24"/>
          <w:u w:val="single"/>
        </w:rPr>
        <w:t>,</w:t>
      </w:r>
      <w:r>
        <w:rPr>
          <w:b/>
          <w:sz w:val="24"/>
          <w:u w:val="single"/>
        </w:rPr>
        <w:t xml:space="preserve"> and Project Time Schedule</w:t>
      </w:r>
    </w:p>
    <w:p w:rsidR="00E107D8" w:rsidRDefault="00E107D8" w:rsidP="00B178C1">
      <w:pPr>
        <w:spacing w:before="120"/>
        <w:rPr>
          <w:sz w:val="24"/>
        </w:rPr>
      </w:pPr>
      <w:r>
        <w:rPr>
          <w:sz w:val="24"/>
        </w:rPr>
        <w:t xml:space="preserve">The event data will be collected from the online form until the beginning of October 2013 on a daily basis as they come in.  The event data will be analyzed using non-statistical frequencies to under which types of event, types of event planning organizations, and in which regions of the country were most common for future outreach for subsequent.  The summary of the event data will only be shared internally. </w:t>
      </w:r>
    </w:p>
    <w:p w:rsidR="00B178C1" w:rsidRDefault="00E107D8" w:rsidP="00B178C1">
      <w:pPr>
        <w:spacing w:before="120"/>
        <w:rPr>
          <w:sz w:val="24"/>
        </w:rPr>
      </w:pPr>
      <w:r>
        <w:rPr>
          <w:sz w:val="24"/>
        </w:rPr>
        <w:t>Th</w:t>
      </w:r>
      <w:r w:rsidR="00F4244E">
        <w:rPr>
          <w:sz w:val="24"/>
        </w:rPr>
        <w:t>e post-event satisfaction portion of the form</w:t>
      </w:r>
      <w:r>
        <w:rPr>
          <w:sz w:val="24"/>
        </w:rPr>
        <w:t xml:space="preserve"> will be distributed a week after Corps Community Day.  The responses from this form will be tabulated at the beginning of November and reviewed internally.  The summary will be used to improve future Corps Community Day events and to increase events in the future.  </w:t>
      </w:r>
    </w:p>
    <w:p w:rsidR="00B178C1" w:rsidRDefault="00B178C1" w:rsidP="00CA3DA6">
      <w:pPr>
        <w:spacing w:before="120"/>
        <w:ind w:left="360"/>
        <w:rPr>
          <w:sz w:val="24"/>
        </w:rPr>
      </w:pPr>
    </w:p>
    <w:p w:rsidR="008F0CE4" w:rsidRDefault="009B3794" w:rsidP="008F0CE4">
      <w:pPr>
        <w:numPr>
          <w:ilvl w:val="0"/>
          <w:numId w:val="2"/>
        </w:numPr>
        <w:tabs>
          <w:tab w:val="clear" w:pos="1080"/>
          <w:tab w:val="num" w:pos="360"/>
        </w:tabs>
        <w:spacing w:before="240"/>
        <w:ind w:left="360"/>
        <w:rPr>
          <w:b/>
          <w:sz w:val="24"/>
        </w:rPr>
      </w:pPr>
      <w:r>
        <w:rPr>
          <w:b/>
          <w:sz w:val="24"/>
          <w:u w:val="single"/>
        </w:rPr>
        <w:t>Reason(s) Display of OMB Expiration Date is Inappropriate</w:t>
      </w:r>
    </w:p>
    <w:p w:rsidR="00B178C1" w:rsidRPr="008F0CE4" w:rsidRDefault="008F0CE4" w:rsidP="008F0CE4">
      <w:pPr>
        <w:spacing w:before="240"/>
        <w:rPr>
          <w:b/>
          <w:sz w:val="24"/>
        </w:rPr>
      </w:pPr>
      <w:r w:rsidRPr="008F0CE4">
        <w:rPr>
          <w:sz w:val="24"/>
        </w:rPr>
        <w:t>No exemption is being requested.  The expiration date will be displayed.</w:t>
      </w:r>
    </w:p>
    <w:p w:rsidR="008F0CE4" w:rsidRPr="008F0CE4" w:rsidRDefault="008F0CE4" w:rsidP="008F0CE4">
      <w:pPr>
        <w:spacing w:before="240"/>
        <w:ind w:left="360"/>
        <w:rPr>
          <w:b/>
          <w:sz w:val="24"/>
        </w:rPr>
      </w:pPr>
    </w:p>
    <w:p w:rsidR="009B3794" w:rsidRDefault="009B3794" w:rsidP="00CA3DA6">
      <w:pPr>
        <w:numPr>
          <w:ilvl w:val="0"/>
          <w:numId w:val="2"/>
        </w:numPr>
        <w:tabs>
          <w:tab w:val="clear" w:pos="1080"/>
          <w:tab w:val="num" w:pos="360"/>
        </w:tabs>
        <w:spacing w:before="240"/>
        <w:ind w:left="360"/>
        <w:rPr>
          <w:b/>
          <w:sz w:val="24"/>
        </w:rPr>
      </w:pPr>
      <w:r>
        <w:rPr>
          <w:b/>
          <w:sz w:val="24"/>
          <w:u w:val="single"/>
        </w:rPr>
        <w:t>Exceptions to Certification for Paperwork Reduction Act Submissions</w:t>
      </w:r>
    </w:p>
    <w:p w:rsidR="009B3794" w:rsidRPr="008F0CE4" w:rsidRDefault="009B3794" w:rsidP="00B178C1">
      <w:pPr>
        <w:pStyle w:val="BodyTextIndent"/>
        <w:spacing w:before="120"/>
        <w:ind w:left="0"/>
      </w:pPr>
      <w:r w:rsidRPr="008F0CE4">
        <w:rPr>
          <w:rFonts w:ascii="Times New Roman" w:hAnsi="Times New Roman"/>
        </w:rPr>
        <w:t>There are no exceptions to the certification.</w:t>
      </w:r>
    </w:p>
    <w:sectPr w:rsidR="009B3794" w:rsidRPr="008F0CE4" w:rsidSect="001D4856">
      <w:footerReference w:type="default" r:id="rId1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77E" w:rsidRDefault="009D077E">
      <w:r>
        <w:separator/>
      </w:r>
    </w:p>
  </w:endnote>
  <w:endnote w:type="continuationSeparator" w:id="0">
    <w:p w:rsidR="009D077E" w:rsidRDefault="009D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200" w:rsidRDefault="00D51200">
    <w:pPr>
      <w:spacing w:line="240" w:lineRule="exact"/>
    </w:pPr>
  </w:p>
  <w:p w:rsidR="00D51200" w:rsidRDefault="00D51200">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69448E">
      <w:rPr>
        <w:noProof/>
        <w:sz w:val="24"/>
      </w:rPr>
      <w:t>6</w:t>
    </w:r>
    <w:r>
      <w:rPr>
        <w:sz w:val="24"/>
      </w:rPr>
      <w:fldChar w:fldCharType="end"/>
    </w:r>
  </w:p>
  <w:p w:rsidR="00D51200" w:rsidRDefault="00D51200">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77E" w:rsidRDefault="009D077E">
      <w:r>
        <w:separator/>
      </w:r>
    </w:p>
  </w:footnote>
  <w:footnote w:type="continuationSeparator" w:id="0">
    <w:p w:rsidR="009D077E" w:rsidRDefault="009D07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6">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7">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5">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6">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71DB23EF"/>
    <w:multiLevelType w:val="hybridMultilevel"/>
    <w:tmpl w:val="68A4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4">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4"/>
  </w:num>
  <w:num w:numId="2">
    <w:abstractNumId w:val="22"/>
  </w:num>
  <w:num w:numId="3">
    <w:abstractNumId w:val="14"/>
  </w:num>
  <w:num w:numId="4">
    <w:abstractNumId w:val="40"/>
  </w:num>
  <w:num w:numId="5">
    <w:abstractNumId w:val="43"/>
  </w:num>
  <w:num w:numId="6">
    <w:abstractNumId w:val="9"/>
  </w:num>
  <w:num w:numId="7">
    <w:abstractNumId w:val="35"/>
  </w:num>
  <w:num w:numId="8">
    <w:abstractNumId w:val="17"/>
  </w:num>
  <w:num w:numId="9">
    <w:abstractNumId w:val="26"/>
  </w:num>
  <w:num w:numId="10">
    <w:abstractNumId w:val="19"/>
  </w:num>
  <w:num w:numId="11">
    <w:abstractNumId w:val="8"/>
  </w:num>
  <w:num w:numId="12">
    <w:abstractNumId w:val="25"/>
  </w:num>
  <w:num w:numId="13">
    <w:abstractNumId w:val="20"/>
  </w:num>
  <w:num w:numId="14">
    <w:abstractNumId w:val="23"/>
  </w:num>
  <w:num w:numId="15">
    <w:abstractNumId w:val="7"/>
  </w:num>
  <w:num w:numId="16">
    <w:abstractNumId w:val="0"/>
  </w:num>
  <w:num w:numId="17">
    <w:abstractNumId w:val="1"/>
  </w:num>
  <w:num w:numId="18">
    <w:abstractNumId w:val="15"/>
  </w:num>
  <w:num w:numId="19">
    <w:abstractNumId w:val="34"/>
  </w:num>
  <w:num w:numId="20">
    <w:abstractNumId w:val="32"/>
  </w:num>
  <w:num w:numId="21">
    <w:abstractNumId w:val="18"/>
  </w:num>
  <w:num w:numId="22">
    <w:abstractNumId w:val="39"/>
  </w:num>
  <w:num w:numId="23">
    <w:abstractNumId w:val="30"/>
  </w:num>
  <w:num w:numId="24">
    <w:abstractNumId w:val="31"/>
  </w:num>
  <w:num w:numId="25">
    <w:abstractNumId w:val="42"/>
  </w:num>
  <w:num w:numId="26">
    <w:abstractNumId w:val="38"/>
  </w:num>
  <w:num w:numId="27">
    <w:abstractNumId w:val="3"/>
  </w:num>
  <w:num w:numId="28">
    <w:abstractNumId w:val="16"/>
  </w:num>
  <w:num w:numId="29">
    <w:abstractNumId w:val="41"/>
  </w:num>
  <w:num w:numId="30">
    <w:abstractNumId w:val="36"/>
  </w:num>
  <w:num w:numId="31">
    <w:abstractNumId w:val="33"/>
  </w:num>
  <w:num w:numId="32">
    <w:abstractNumId w:val="10"/>
  </w:num>
  <w:num w:numId="33">
    <w:abstractNumId w:val="2"/>
  </w:num>
  <w:num w:numId="34">
    <w:abstractNumId w:val="27"/>
  </w:num>
  <w:num w:numId="35">
    <w:abstractNumId w:val="12"/>
  </w:num>
  <w:num w:numId="36">
    <w:abstractNumId w:val="11"/>
  </w:num>
  <w:num w:numId="37">
    <w:abstractNumId w:val="13"/>
  </w:num>
  <w:num w:numId="38">
    <w:abstractNumId w:val="4"/>
  </w:num>
  <w:num w:numId="39">
    <w:abstractNumId w:val="29"/>
  </w:num>
  <w:num w:numId="40">
    <w:abstractNumId w:val="6"/>
  </w:num>
  <w:num w:numId="41">
    <w:abstractNumId w:val="28"/>
  </w:num>
  <w:num w:numId="42">
    <w:abstractNumId w:val="24"/>
  </w:num>
  <w:num w:numId="43">
    <w:abstractNumId w:val="5"/>
  </w:num>
  <w:num w:numId="44">
    <w:abstractNumId w:val="21"/>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5505"/>
    <w:rsid w:val="001325B2"/>
    <w:rsid w:val="00153891"/>
    <w:rsid w:val="00175D3B"/>
    <w:rsid w:val="001D4856"/>
    <w:rsid w:val="001F4BAF"/>
    <w:rsid w:val="002118B4"/>
    <w:rsid w:val="002640E7"/>
    <w:rsid w:val="00322313"/>
    <w:rsid w:val="00371F19"/>
    <w:rsid w:val="00391E16"/>
    <w:rsid w:val="003D23B1"/>
    <w:rsid w:val="00424F6B"/>
    <w:rsid w:val="00472847"/>
    <w:rsid w:val="004746CA"/>
    <w:rsid w:val="004879ED"/>
    <w:rsid w:val="00490720"/>
    <w:rsid w:val="004E687D"/>
    <w:rsid w:val="00503BAB"/>
    <w:rsid w:val="00510D64"/>
    <w:rsid w:val="00577AD0"/>
    <w:rsid w:val="005B09E9"/>
    <w:rsid w:val="005E1765"/>
    <w:rsid w:val="00624019"/>
    <w:rsid w:val="00641013"/>
    <w:rsid w:val="00680D76"/>
    <w:rsid w:val="0069448E"/>
    <w:rsid w:val="007B255A"/>
    <w:rsid w:val="007F047A"/>
    <w:rsid w:val="0083022B"/>
    <w:rsid w:val="00850034"/>
    <w:rsid w:val="008D2D67"/>
    <w:rsid w:val="008E1CFD"/>
    <w:rsid w:val="008F0CE4"/>
    <w:rsid w:val="008F58E0"/>
    <w:rsid w:val="009A5EEA"/>
    <w:rsid w:val="009B3794"/>
    <w:rsid w:val="009B7E4D"/>
    <w:rsid w:val="009D077E"/>
    <w:rsid w:val="00A05823"/>
    <w:rsid w:val="00A7659B"/>
    <w:rsid w:val="00A92CAB"/>
    <w:rsid w:val="00AC6EC5"/>
    <w:rsid w:val="00AE6F50"/>
    <w:rsid w:val="00AE7154"/>
    <w:rsid w:val="00B178C1"/>
    <w:rsid w:val="00B655C6"/>
    <w:rsid w:val="00BA1A0C"/>
    <w:rsid w:val="00C0781D"/>
    <w:rsid w:val="00C74B86"/>
    <w:rsid w:val="00CA3DA6"/>
    <w:rsid w:val="00CD36E7"/>
    <w:rsid w:val="00CE5AA9"/>
    <w:rsid w:val="00D46313"/>
    <w:rsid w:val="00D51200"/>
    <w:rsid w:val="00D74B86"/>
    <w:rsid w:val="00D92E1D"/>
    <w:rsid w:val="00DE3A45"/>
    <w:rsid w:val="00E107D8"/>
    <w:rsid w:val="00E203FA"/>
    <w:rsid w:val="00E34A1F"/>
    <w:rsid w:val="00E962DB"/>
    <w:rsid w:val="00ED18EA"/>
    <w:rsid w:val="00EE529C"/>
    <w:rsid w:val="00F4221E"/>
    <w:rsid w:val="00F4244E"/>
    <w:rsid w:val="00FB53DD"/>
    <w:rsid w:val="00FB6FDF"/>
    <w:rsid w:val="00FF0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semiHidden/>
    <w:unhideWhenUsed/>
    <w:qFormat/>
    <w:rsid w:val="00175D3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BodyText">
    <w:name w:val="Body Text"/>
    <w:basedOn w:val="Normal"/>
    <w:link w:val="BodyTextChar"/>
    <w:rsid w:val="007B255A"/>
    <w:pPr>
      <w:spacing w:after="120"/>
    </w:pPr>
  </w:style>
  <w:style w:type="character" w:customStyle="1" w:styleId="BodyTextChar">
    <w:name w:val="Body Text Char"/>
    <w:basedOn w:val="DefaultParagraphFont"/>
    <w:link w:val="BodyText"/>
    <w:rsid w:val="007B255A"/>
    <w:rPr>
      <w:szCs w:val="24"/>
    </w:rPr>
  </w:style>
  <w:style w:type="character" w:customStyle="1" w:styleId="Heading2Char">
    <w:name w:val="Heading 2 Char"/>
    <w:basedOn w:val="DefaultParagraphFont"/>
    <w:link w:val="Heading2"/>
    <w:semiHidden/>
    <w:rsid w:val="00175D3B"/>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rsid w:val="00424F6B"/>
    <w:rPr>
      <w:color w:val="800080" w:themeColor="followedHyperlink"/>
      <w:u w:val="single"/>
    </w:rPr>
  </w:style>
  <w:style w:type="character" w:styleId="CommentReference">
    <w:name w:val="annotation reference"/>
    <w:basedOn w:val="DefaultParagraphFont"/>
    <w:rsid w:val="00577AD0"/>
    <w:rPr>
      <w:sz w:val="16"/>
      <w:szCs w:val="16"/>
    </w:rPr>
  </w:style>
  <w:style w:type="paragraph" w:styleId="CommentText">
    <w:name w:val="annotation text"/>
    <w:basedOn w:val="Normal"/>
    <w:link w:val="CommentTextChar"/>
    <w:rsid w:val="00577AD0"/>
    <w:rPr>
      <w:szCs w:val="20"/>
    </w:rPr>
  </w:style>
  <w:style w:type="character" w:customStyle="1" w:styleId="CommentTextChar">
    <w:name w:val="Comment Text Char"/>
    <w:basedOn w:val="DefaultParagraphFont"/>
    <w:link w:val="CommentText"/>
    <w:rsid w:val="00577AD0"/>
  </w:style>
  <w:style w:type="paragraph" w:styleId="CommentSubject">
    <w:name w:val="annotation subject"/>
    <w:basedOn w:val="CommentText"/>
    <w:next w:val="CommentText"/>
    <w:link w:val="CommentSubjectChar"/>
    <w:rsid w:val="00577AD0"/>
    <w:rPr>
      <w:b/>
      <w:bCs/>
    </w:rPr>
  </w:style>
  <w:style w:type="character" w:customStyle="1" w:styleId="CommentSubjectChar">
    <w:name w:val="Comment Subject Char"/>
    <w:basedOn w:val="CommentTextChar"/>
    <w:link w:val="CommentSubject"/>
    <w:rsid w:val="00577A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semiHidden/>
    <w:unhideWhenUsed/>
    <w:qFormat/>
    <w:rsid w:val="00175D3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BodyText">
    <w:name w:val="Body Text"/>
    <w:basedOn w:val="Normal"/>
    <w:link w:val="BodyTextChar"/>
    <w:rsid w:val="007B255A"/>
    <w:pPr>
      <w:spacing w:after="120"/>
    </w:pPr>
  </w:style>
  <w:style w:type="character" w:customStyle="1" w:styleId="BodyTextChar">
    <w:name w:val="Body Text Char"/>
    <w:basedOn w:val="DefaultParagraphFont"/>
    <w:link w:val="BodyText"/>
    <w:rsid w:val="007B255A"/>
    <w:rPr>
      <w:szCs w:val="24"/>
    </w:rPr>
  </w:style>
  <w:style w:type="character" w:customStyle="1" w:styleId="Heading2Char">
    <w:name w:val="Heading 2 Char"/>
    <w:basedOn w:val="DefaultParagraphFont"/>
    <w:link w:val="Heading2"/>
    <w:semiHidden/>
    <w:rsid w:val="00175D3B"/>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rsid w:val="00424F6B"/>
    <w:rPr>
      <w:color w:val="800080" w:themeColor="followedHyperlink"/>
      <w:u w:val="single"/>
    </w:rPr>
  </w:style>
  <w:style w:type="character" w:styleId="CommentReference">
    <w:name w:val="annotation reference"/>
    <w:basedOn w:val="DefaultParagraphFont"/>
    <w:rsid w:val="00577AD0"/>
    <w:rPr>
      <w:sz w:val="16"/>
      <w:szCs w:val="16"/>
    </w:rPr>
  </w:style>
  <w:style w:type="paragraph" w:styleId="CommentText">
    <w:name w:val="annotation text"/>
    <w:basedOn w:val="Normal"/>
    <w:link w:val="CommentTextChar"/>
    <w:rsid w:val="00577AD0"/>
    <w:rPr>
      <w:szCs w:val="20"/>
    </w:rPr>
  </w:style>
  <w:style w:type="character" w:customStyle="1" w:styleId="CommentTextChar">
    <w:name w:val="Comment Text Char"/>
    <w:basedOn w:val="DefaultParagraphFont"/>
    <w:link w:val="CommentText"/>
    <w:rsid w:val="00577AD0"/>
  </w:style>
  <w:style w:type="paragraph" w:styleId="CommentSubject">
    <w:name w:val="annotation subject"/>
    <w:basedOn w:val="CommentText"/>
    <w:next w:val="CommentText"/>
    <w:link w:val="CommentSubjectChar"/>
    <w:rsid w:val="00577AD0"/>
    <w:rPr>
      <w:b/>
      <w:bCs/>
    </w:rPr>
  </w:style>
  <w:style w:type="character" w:customStyle="1" w:styleId="CommentSubjectChar">
    <w:name w:val="Comment Subject Char"/>
    <w:basedOn w:val="CommentTextChar"/>
    <w:link w:val="CommentSubject"/>
    <w:rsid w:val="00577A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75304">
      <w:bodyDiv w:val="1"/>
      <w:marLeft w:val="0"/>
      <w:marRight w:val="0"/>
      <w:marTop w:val="0"/>
      <w:marBottom w:val="0"/>
      <w:divBdr>
        <w:top w:val="none" w:sz="0" w:space="0" w:color="auto"/>
        <w:left w:val="none" w:sz="0" w:space="0" w:color="auto"/>
        <w:bottom w:val="none" w:sz="0" w:space="0" w:color="auto"/>
        <w:right w:val="none" w:sz="0" w:space="0" w:color="auto"/>
      </w:divBdr>
    </w:div>
    <w:div w:id="446047242">
      <w:bodyDiv w:val="1"/>
      <w:marLeft w:val="0"/>
      <w:marRight w:val="0"/>
      <w:marTop w:val="0"/>
      <w:marBottom w:val="0"/>
      <w:divBdr>
        <w:top w:val="none" w:sz="0" w:space="0" w:color="auto"/>
        <w:left w:val="none" w:sz="0" w:space="0" w:color="auto"/>
        <w:bottom w:val="none" w:sz="0" w:space="0" w:color="auto"/>
        <w:right w:val="none" w:sz="0" w:space="0" w:color="auto"/>
      </w:divBdr>
    </w:div>
    <w:div w:id="1528710366">
      <w:bodyDiv w:val="1"/>
      <w:marLeft w:val="0"/>
      <w:marRight w:val="0"/>
      <w:marTop w:val="0"/>
      <w:marBottom w:val="0"/>
      <w:divBdr>
        <w:top w:val="none" w:sz="0" w:space="0" w:color="auto"/>
        <w:left w:val="none" w:sz="0" w:space="0" w:color="auto"/>
        <w:bottom w:val="none" w:sz="0" w:space="0" w:color="auto"/>
        <w:right w:val="none" w:sz="0" w:space="0" w:color="auto"/>
      </w:divBdr>
    </w:div>
    <w:div w:id="1565094407">
      <w:bodyDiv w:val="1"/>
      <w:marLeft w:val="0"/>
      <w:marRight w:val="0"/>
      <w:marTop w:val="0"/>
      <w:marBottom w:val="0"/>
      <w:divBdr>
        <w:top w:val="none" w:sz="0" w:space="0" w:color="auto"/>
        <w:left w:val="none" w:sz="0" w:space="0" w:color="auto"/>
        <w:bottom w:val="none" w:sz="0" w:space="0" w:color="auto"/>
        <w:right w:val="none" w:sz="0" w:space="0" w:color="auto"/>
      </w:divBdr>
    </w:div>
    <w:div w:id="1904364301">
      <w:bodyDiv w:val="1"/>
      <w:marLeft w:val="0"/>
      <w:marRight w:val="0"/>
      <w:marTop w:val="0"/>
      <w:marBottom w:val="0"/>
      <w:divBdr>
        <w:top w:val="none" w:sz="0" w:space="0" w:color="auto"/>
        <w:left w:val="none" w:sz="0" w:space="0" w:color="auto"/>
        <w:bottom w:val="none" w:sz="0" w:space="0" w:color="auto"/>
        <w:right w:val="none" w:sz="0" w:space="0" w:color="auto"/>
      </w:divBdr>
    </w:div>
    <w:div w:id="212750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harris@aehadvisinghealthprofession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ritney.crawford@adph.state.al.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collins@chcact.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jknox@UTMB.EDU" TargetMode="External"/><Relationship Id="rId4" Type="http://schemas.microsoft.com/office/2007/relationships/stylesWithEffects" Target="stylesWithEffects.xml"/><Relationship Id="rId9" Type="http://schemas.openxmlformats.org/officeDocument/2006/relationships/hyperlink" Target="http://comment-app.hh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E0AF5-5A37-4BF5-8367-14A962CD6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1427</Words>
  <Characters>8315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9723</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Jodi Duckhorn</cp:lastModifiedBy>
  <cp:revision>4</cp:revision>
  <cp:lastPrinted>2010-10-14T13:41:00Z</cp:lastPrinted>
  <dcterms:created xsi:type="dcterms:W3CDTF">2013-03-28T21:38:00Z</dcterms:created>
  <dcterms:modified xsi:type="dcterms:W3CDTF">2013-04-16T16:11:00Z</dcterms:modified>
</cp:coreProperties>
</file>