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EFC" w:rsidRPr="00D526A9" w:rsidRDefault="00DF0EFC" w:rsidP="00DF0EFC">
      <w:pPr>
        <w:ind w:left="180"/>
        <w:jc w:val="center"/>
        <w:rPr>
          <w:b/>
          <w:sz w:val="32"/>
          <w:szCs w:val="32"/>
          <w:lang w:eastAsia="ja-JP"/>
        </w:rPr>
      </w:pPr>
      <w:r w:rsidRPr="00D526A9">
        <w:rPr>
          <w:b/>
          <w:sz w:val="32"/>
          <w:szCs w:val="32"/>
          <w:lang w:eastAsia="ja-JP"/>
        </w:rPr>
        <w:t>Research to Inform the Prevention of Asthma in Health Care</w:t>
      </w:r>
    </w:p>
    <w:p w:rsidR="00DF0EFC" w:rsidRPr="00FD3AF0" w:rsidRDefault="00DF0EFC" w:rsidP="00DF0EFC">
      <w:pPr>
        <w:ind w:left="180"/>
        <w:jc w:val="center"/>
        <w:rPr>
          <w:b/>
          <w:sz w:val="24"/>
          <w:lang w:eastAsia="ja-JP"/>
        </w:rPr>
      </w:pPr>
    </w:p>
    <w:p w:rsidR="00DF0EFC" w:rsidRDefault="00DF0EFC" w:rsidP="00DF0EFC">
      <w:pPr>
        <w:ind w:left="180"/>
        <w:jc w:val="center"/>
        <w:rPr>
          <w:b/>
          <w:sz w:val="24"/>
          <w:lang w:eastAsia="ja-JP"/>
        </w:rPr>
      </w:pPr>
      <w:r>
        <w:rPr>
          <w:b/>
          <w:sz w:val="24"/>
          <w:lang w:eastAsia="ja-JP"/>
        </w:rPr>
        <w:t>ICR SUPPORTING STATEMENT – PART B</w:t>
      </w:r>
    </w:p>
    <w:p w:rsidR="00DF0EFC" w:rsidRDefault="00DF0EFC" w:rsidP="00DF0EFC">
      <w:pPr>
        <w:ind w:left="180"/>
        <w:jc w:val="center"/>
        <w:rPr>
          <w:b/>
          <w:sz w:val="24"/>
          <w:lang w:eastAsia="ja-JP"/>
        </w:rPr>
      </w:pPr>
      <w:r>
        <w:rPr>
          <w:b/>
          <w:sz w:val="24"/>
          <w:lang w:eastAsia="ja-JP"/>
        </w:rPr>
        <w:t>Collections of Information Employing Statistical Methods</w:t>
      </w:r>
    </w:p>
    <w:p w:rsidR="00DF0EFC" w:rsidRDefault="00DF0EFC" w:rsidP="00DF0EFC">
      <w:pPr>
        <w:ind w:left="180"/>
        <w:jc w:val="center"/>
        <w:rPr>
          <w:b/>
          <w:sz w:val="24"/>
          <w:lang w:eastAsia="ja-JP"/>
        </w:rPr>
      </w:pPr>
    </w:p>
    <w:p w:rsidR="00DF0EFC" w:rsidRDefault="00DF0EFC" w:rsidP="00DF0EFC">
      <w:pPr>
        <w:ind w:left="180"/>
        <w:jc w:val="center"/>
        <w:rPr>
          <w:b/>
          <w:sz w:val="24"/>
          <w:lang w:eastAsia="ja-JP"/>
        </w:rPr>
      </w:pPr>
    </w:p>
    <w:p w:rsidR="00DF0EFC" w:rsidRDefault="00DF0EFC" w:rsidP="00DF0EFC">
      <w:pPr>
        <w:ind w:left="180"/>
        <w:jc w:val="center"/>
        <w:rPr>
          <w:b/>
          <w:sz w:val="24"/>
          <w:lang w:eastAsia="ja-JP"/>
        </w:rPr>
      </w:pPr>
    </w:p>
    <w:p w:rsidR="00DF0EFC" w:rsidRDefault="00DF0EFC" w:rsidP="00DF0EFC">
      <w:pPr>
        <w:ind w:left="180"/>
        <w:jc w:val="center"/>
        <w:rPr>
          <w:b/>
          <w:sz w:val="24"/>
          <w:lang w:eastAsia="ja-JP"/>
        </w:rPr>
      </w:pPr>
    </w:p>
    <w:p w:rsidR="00DF0EFC" w:rsidRPr="00FD3AF0" w:rsidRDefault="00DF0EFC" w:rsidP="00DF0EFC">
      <w:pPr>
        <w:ind w:left="180"/>
        <w:jc w:val="center"/>
        <w:rPr>
          <w:b/>
          <w:sz w:val="24"/>
          <w:lang w:eastAsia="ja-JP"/>
        </w:rPr>
      </w:pPr>
    </w:p>
    <w:p w:rsidR="00DF0EFC" w:rsidRPr="00FD3AF0" w:rsidRDefault="00DF0EFC" w:rsidP="00DF0EFC">
      <w:pPr>
        <w:ind w:left="180"/>
        <w:jc w:val="center"/>
        <w:rPr>
          <w:b/>
          <w:sz w:val="24"/>
          <w:lang w:eastAsia="ja-JP"/>
        </w:rPr>
      </w:pPr>
    </w:p>
    <w:p w:rsidR="00DF0EFC" w:rsidRPr="00FD3AF0" w:rsidRDefault="00DF0EFC" w:rsidP="00DF0EFC">
      <w:pPr>
        <w:widowControl w:val="0"/>
        <w:jc w:val="center"/>
        <w:rPr>
          <w:b/>
          <w:sz w:val="24"/>
          <w:szCs w:val="24"/>
        </w:rPr>
      </w:pPr>
      <w:r w:rsidRPr="00FD3AF0">
        <w:rPr>
          <w:b/>
          <w:sz w:val="24"/>
          <w:szCs w:val="24"/>
        </w:rPr>
        <w:t>DIVISION OF RESPIRATORY DISEASE STUDIES</w:t>
      </w:r>
    </w:p>
    <w:p w:rsidR="00DF0EFC" w:rsidRPr="00FD3AF0" w:rsidRDefault="00DF0EFC" w:rsidP="00DF0EFC">
      <w:pPr>
        <w:widowControl w:val="0"/>
        <w:jc w:val="center"/>
        <w:rPr>
          <w:b/>
          <w:sz w:val="24"/>
          <w:szCs w:val="24"/>
        </w:rPr>
      </w:pPr>
      <w:r w:rsidRPr="00FD3AF0">
        <w:rPr>
          <w:b/>
          <w:sz w:val="24"/>
          <w:szCs w:val="24"/>
        </w:rPr>
        <w:t>FIELD STUDIES BRANCH</w:t>
      </w:r>
    </w:p>
    <w:p w:rsidR="00DF0EFC" w:rsidRDefault="00DF0EFC" w:rsidP="00DF0EFC">
      <w:pPr>
        <w:widowControl w:val="0"/>
        <w:jc w:val="center"/>
        <w:rPr>
          <w:b/>
          <w:sz w:val="24"/>
          <w:szCs w:val="24"/>
        </w:rPr>
      </w:pPr>
      <w:r w:rsidRPr="00FD3AF0">
        <w:rPr>
          <w:b/>
          <w:sz w:val="24"/>
          <w:szCs w:val="24"/>
        </w:rPr>
        <w:t>NATIONAL INSTITUTE FOR OCCUPATIONAL SAFETY AND HEALTH</w:t>
      </w:r>
    </w:p>
    <w:p w:rsidR="00DF0EFC" w:rsidRPr="00FD3AF0" w:rsidRDefault="00DF0EFC" w:rsidP="00DF0EFC">
      <w:pPr>
        <w:widowControl w:val="0"/>
        <w:jc w:val="center"/>
        <w:rPr>
          <w:b/>
          <w:sz w:val="24"/>
          <w:szCs w:val="24"/>
        </w:rPr>
      </w:pPr>
    </w:p>
    <w:p w:rsidR="00DF0EFC" w:rsidRDefault="00DF0EFC" w:rsidP="00DF0EFC">
      <w:pPr>
        <w:ind w:left="180"/>
        <w:jc w:val="center"/>
        <w:rPr>
          <w:b/>
          <w:sz w:val="24"/>
          <w:szCs w:val="24"/>
        </w:rPr>
      </w:pPr>
    </w:p>
    <w:p w:rsidR="00DF0EFC" w:rsidRDefault="00DF0EFC" w:rsidP="00DF0EFC">
      <w:pPr>
        <w:ind w:left="180"/>
        <w:jc w:val="center"/>
        <w:rPr>
          <w:b/>
          <w:sz w:val="24"/>
          <w:lang w:eastAsia="ja-JP"/>
        </w:rPr>
      </w:pPr>
      <w:bookmarkStart w:id="0" w:name="_GoBack"/>
      <w:bookmarkEnd w:id="0"/>
    </w:p>
    <w:p w:rsidR="00DF0EFC" w:rsidRDefault="00DF0EFC" w:rsidP="00DF0EFC">
      <w:pPr>
        <w:ind w:left="180"/>
        <w:jc w:val="center"/>
        <w:rPr>
          <w:b/>
          <w:sz w:val="24"/>
          <w:lang w:eastAsia="ja-JP"/>
        </w:rPr>
      </w:pPr>
    </w:p>
    <w:p w:rsidR="00543A88" w:rsidRDefault="00BC6D12" w:rsidP="00DF0EFC">
      <w:pPr>
        <w:ind w:left="180"/>
        <w:jc w:val="center"/>
        <w:rPr>
          <w:b/>
          <w:sz w:val="24"/>
          <w:lang w:eastAsia="ja-JP"/>
        </w:rPr>
      </w:pPr>
      <w:r>
        <w:rPr>
          <w:b/>
          <w:sz w:val="24"/>
          <w:lang w:eastAsia="ja-JP"/>
        </w:rPr>
        <w:t>September 4</w:t>
      </w:r>
      <w:r w:rsidR="00543A88">
        <w:rPr>
          <w:b/>
          <w:sz w:val="24"/>
          <w:lang w:eastAsia="ja-JP"/>
        </w:rPr>
        <w:t>, 2013</w:t>
      </w:r>
    </w:p>
    <w:p w:rsidR="00DF0EFC" w:rsidRDefault="00DF0EFC" w:rsidP="00DF0EFC">
      <w:pPr>
        <w:ind w:left="180"/>
        <w:jc w:val="center"/>
        <w:rPr>
          <w:b/>
          <w:sz w:val="24"/>
          <w:lang w:eastAsia="ja-JP"/>
        </w:rPr>
      </w:pPr>
    </w:p>
    <w:p w:rsidR="00DF0EFC" w:rsidRDefault="00DF0EFC" w:rsidP="00DF0EFC">
      <w:pPr>
        <w:ind w:left="180"/>
        <w:jc w:val="center"/>
        <w:rPr>
          <w:b/>
          <w:sz w:val="24"/>
          <w:lang w:eastAsia="ja-JP"/>
        </w:rPr>
      </w:pPr>
    </w:p>
    <w:p w:rsidR="00DF0EFC" w:rsidRDefault="00DF0EFC" w:rsidP="00DF0EFC">
      <w:pPr>
        <w:ind w:left="180"/>
        <w:jc w:val="center"/>
        <w:rPr>
          <w:b/>
          <w:sz w:val="24"/>
          <w:lang w:eastAsia="ja-JP"/>
        </w:rPr>
      </w:pPr>
    </w:p>
    <w:p w:rsidR="00DF0EFC" w:rsidRDefault="00DF0EFC" w:rsidP="00DF0EFC">
      <w:pPr>
        <w:ind w:left="180"/>
        <w:jc w:val="center"/>
        <w:rPr>
          <w:b/>
          <w:sz w:val="24"/>
          <w:lang w:eastAsia="ja-JP"/>
        </w:rPr>
      </w:pPr>
    </w:p>
    <w:p w:rsidR="00DF0EFC" w:rsidRDefault="00DF0EFC" w:rsidP="00DF0EFC">
      <w:pPr>
        <w:ind w:left="180"/>
        <w:jc w:val="center"/>
        <w:rPr>
          <w:sz w:val="24"/>
          <w:lang w:eastAsia="ja-JP"/>
        </w:rPr>
      </w:pPr>
    </w:p>
    <w:p w:rsidR="00DF0EFC" w:rsidRDefault="00DF0EFC" w:rsidP="00DF0EFC">
      <w:pPr>
        <w:ind w:left="180"/>
        <w:jc w:val="center"/>
        <w:rPr>
          <w:b/>
          <w:sz w:val="24"/>
          <w:lang w:eastAsia="ja-JP"/>
        </w:rPr>
      </w:pPr>
    </w:p>
    <w:p w:rsidR="00DF0EFC" w:rsidRDefault="00DF0EFC" w:rsidP="00DF0EFC">
      <w:pPr>
        <w:ind w:left="180"/>
        <w:rPr>
          <w:b/>
          <w:sz w:val="24"/>
          <w:lang w:eastAsia="ja-JP"/>
        </w:rPr>
      </w:pPr>
      <w:r>
        <w:rPr>
          <w:b/>
          <w:sz w:val="24"/>
          <w:lang w:eastAsia="ja-JP"/>
        </w:rPr>
        <w:t>Principal Investigators:</w:t>
      </w:r>
    </w:p>
    <w:p w:rsidR="00DF0EFC" w:rsidRDefault="00DF0EFC" w:rsidP="00DF0EFC">
      <w:pPr>
        <w:ind w:left="180"/>
        <w:jc w:val="center"/>
        <w:rPr>
          <w:b/>
          <w:sz w:val="24"/>
          <w:lang w:eastAsia="ja-JP"/>
        </w:rPr>
      </w:pPr>
    </w:p>
    <w:p w:rsidR="00DF0EFC" w:rsidRDefault="00DF0EFC" w:rsidP="00DF0EFC">
      <w:pPr>
        <w:ind w:left="180"/>
        <w:rPr>
          <w:sz w:val="24"/>
          <w:lang w:eastAsia="ja-JP"/>
        </w:rPr>
      </w:pPr>
      <w:r w:rsidRPr="00D526A9">
        <w:rPr>
          <w:sz w:val="24"/>
          <w:lang w:eastAsia="ja-JP"/>
        </w:rPr>
        <w:t>Paul K. Henneberger</w:t>
      </w:r>
    </w:p>
    <w:p w:rsidR="00DF0EFC" w:rsidRDefault="00DF0EFC" w:rsidP="00DF0EFC">
      <w:pPr>
        <w:ind w:left="180"/>
        <w:rPr>
          <w:sz w:val="24"/>
          <w:lang w:eastAsia="ja-JP"/>
        </w:rPr>
      </w:pPr>
      <w:r>
        <w:rPr>
          <w:sz w:val="24"/>
          <w:lang w:eastAsia="ja-JP"/>
        </w:rPr>
        <w:t>Co-Project Officer/Epidemiologist</w:t>
      </w:r>
    </w:p>
    <w:p w:rsidR="00DF0EFC" w:rsidRDefault="00DF0EFC" w:rsidP="00DF0EFC">
      <w:pPr>
        <w:ind w:left="180"/>
        <w:rPr>
          <w:sz w:val="24"/>
          <w:lang w:eastAsia="ja-JP"/>
        </w:rPr>
      </w:pPr>
      <w:r>
        <w:rPr>
          <w:sz w:val="24"/>
          <w:lang w:eastAsia="ja-JP"/>
        </w:rPr>
        <w:t>Phone: 304-285-6161</w:t>
      </w:r>
    </w:p>
    <w:p w:rsidR="00010DA0" w:rsidRDefault="00DF0EFC" w:rsidP="00010DA0">
      <w:pPr>
        <w:ind w:left="180"/>
        <w:rPr>
          <w:sz w:val="24"/>
          <w:lang w:eastAsia="ja-JP"/>
        </w:rPr>
      </w:pPr>
      <w:r>
        <w:rPr>
          <w:sz w:val="24"/>
          <w:lang w:eastAsia="ja-JP"/>
        </w:rPr>
        <w:t>Fax: 304-285-5820</w:t>
      </w:r>
      <w:r w:rsidR="00010DA0" w:rsidRPr="00010DA0">
        <w:rPr>
          <w:sz w:val="24"/>
          <w:lang w:eastAsia="ja-JP"/>
        </w:rPr>
        <w:t xml:space="preserve"> </w:t>
      </w:r>
    </w:p>
    <w:p w:rsidR="00010DA0" w:rsidRDefault="00010DA0" w:rsidP="00010DA0">
      <w:pPr>
        <w:ind w:left="180"/>
        <w:rPr>
          <w:sz w:val="24"/>
          <w:lang w:eastAsia="ja-JP"/>
        </w:rPr>
      </w:pPr>
      <w:r>
        <w:rPr>
          <w:sz w:val="24"/>
          <w:lang w:eastAsia="ja-JP"/>
        </w:rPr>
        <w:t xml:space="preserve">Email: </w:t>
      </w:r>
      <w:r w:rsidR="00015C97">
        <w:rPr>
          <w:sz w:val="24"/>
          <w:lang w:eastAsia="ja-JP"/>
        </w:rPr>
        <w:t>pkh</w:t>
      </w:r>
      <w:r>
        <w:rPr>
          <w:sz w:val="24"/>
          <w:lang w:eastAsia="ja-JP"/>
        </w:rPr>
        <w:t>@cdc.gov</w:t>
      </w:r>
    </w:p>
    <w:p w:rsidR="00DF0EFC" w:rsidRPr="00D526A9" w:rsidRDefault="00DF0EFC" w:rsidP="00DF0EFC">
      <w:pPr>
        <w:ind w:left="180"/>
        <w:rPr>
          <w:sz w:val="24"/>
          <w:lang w:eastAsia="ja-JP"/>
        </w:rPr>
      </w:pPr>
    </w:p>
    <w:p w:rsidR="00DF0EFC" w:rsidRDefault="00280D11" w:rsidP="00DF0EFC">
      <w:pPr>
        <w:ind w:left="180"/>
        <w:rPr>
          <w:sz w:val="24"/>
          <w:lang w:eastAsia="ja-JP"/>
        </w:rPr>
      </w:pPr>
      <w:r>
        <w:rPr>
          <w:sz w:val="24"/>
          <w:lang w:eastAsia="ja-JP"/>
        </w:rPr>
        <w:t>M. Abbas Virji</w:t>
      </w:r>
    </w:p>
    <w:p w:rsidR="00280D11" w:rsidRDefault="00280D11" w:rsidP="00DF0EFC">
      <w:pPr>
        <w:ind w:left="180"/>
        <w:rPr>
          <w:sz w:val="24"/>
          <w:lang w:eastAsia="ja-JP"/>
        </w:rPr>
      </w:pPr>
      <w:r>
        <w:rPr>
          <w:sz w:val="24"/>
          <w:lang w:eastAsia="ja-JP"/>
        </w:rPr>
        <w:t>Co-Project Officer/Industrial Hygienist</w:t>
      </w:r>
    </w:p>
    <w:p w:rsidR="00280D11" w:rsidRDefault="00280D11" w:rsidP="00DF0EFC">
      <w:pPr>
        <w:ind w:left="180"/>
        <w:rPr>
          <w:sz w:val="24"/>
          <w:lang w:eastAsia="ja-JP"/>
        </w:rPr>
      </w:pPr>
      <w:r>
        <w:rPr>
          <w:sz w:val="24"/>
          <w:lang w:eastAsia="ja-JP"/>
        </w:rPr>
        <w:t>Phone: 304-285-5797</w:t>
      </w:r>
    </w:p>
    <w:p w:rsidR="00280D11" w:rsidRDefault="00280D11" w:rsidP="00DF0EFC">
      <w:pPr>
        <w:ind w:left="180"/>
        <w:rPr>
          <w:sz w:val="24"/>
          <w:lang w:eastAsia="ja-JP"/>
        </w:rPr>
      </w:pPr>
      <w:r>
        <w:rPr>
          <w:sz w:val="24"/>
          <w:lang w:eastAsia="ja-JP"/>
        </w:rPr>
        <w:t>Fax: 304-285-5820</w:t>
      </w:r>
    </w:p>
    <w:p w:rsidR="00280D11" w:rsidRDefault="00280D11" w:rsidP="00DF0EFC">
      <w:pPr>
        <w:ind w:left="180"/>
        <w:rPr>
          <w:sz w:val="24"/>
          <w:lang w:eastAsia="ja-JP"/>
        </w:rPr>
      </w:pPr>
      <w:r>
        <w:rPr>
          <w:sz w:val="24"/>
          <w:lang w:eastAsia="ja-JP"/>
        </w:rPr>
        <w:t>Email:</w:t>
      </w:r>
      <w:r w:rsidR="00015C97">
        <w:rPr>
          <w:sz w:val="24"/>
          <w:lang w:eastAsia="ja-JP"/>
        </w:rPr>
        <w:t xml:space="preserve"> fnb8@cdc.gov</w:t>
      </w:r>
    </w:p>
    <w:p w:rsidR="00DF0EFC" w:rsidRDefault="00DF0EFC" w:rsidP="00DF0EFC">
      <w:pPr>
        <w:spacing w:after="200" w:line="276" w:lineRule="auto"/>
      </w:pPr>
      <w:r>
        <w:br w:type="page"/>
      </w:r>
    </w:p>
    <w:p w:rsidR="00DF0EFC" w:rsidRDefault="00DF0EFC" w:rsidP="00DF0EFC">
      <w:pPr>
        <w:autoSpaceDE w:val="0"/>
        <w:autoSpaceDN w:val="0"/>
        <w:adjustRightInd w:val="0"/>
        <w:jc w:val="center"/>
        <w:rPr>
          <w:b/>
          <w:sz w:val="24"/>
          <w:lang w:eastAsia="ja-JP"/>
        </w:rPr>
      </w:pPr>
      <w:r>
        <w:rPr>
          <w:b/>
          <w:sz w:val="24"/>
          <w:lang w:eastAsia="ja-JP"/>
        </w:rPr>
        <w:lastRenderedPageBreak/>
        <w:t>Table of Contents</w:t>
      </w:r>
    </w:p>
    <w:p w:rsidR="00754BDA" w:rsidRDefault="00754BDA" w:rsidP="00C76E14">
      <w:pPr>
        <w:autoSpaceDE w:val="0"/>
        <w:autoSpaceDN w:val="0"/>
        <w:adjustRightInd w:val="0"/>
        <w:rPr>
          <w:b/>
          <w:sz w:val="24"/>
          <w:lang w:eastAsia="ja-JP"/>
        </w:rPr>
      </w:pPr>
      <w:r>
        <w:rPr>
          <w:b/>
          <w:sz w:val="24"/>
          <w:lang w:eastAsia="ja-JP"/>
        </w:rPr>
        <w:t>B.</w:t>
      </w:r>
      <w:r>
        <w:rPr>
          <w:b/>
          <w:sz w:val="24"/>
          <w:lang w:eastAsia="ja-JP"/>
        </w:rPr>
        <w:tab/>
        <w:t>Statistical Methods</w:t>
      </w:r>
    </w:p>
    <w:p w:rsidR="00DF0EFC" w:rsidRDefault="00DF0EFC" w:rsidP="00DF0EFC">
      <w:pPr>
        <w:autoSpaceDE w:val="0"/>
        <w:autoSpaceDN w:val="0"/>
        <w:adjustRightInd w:val="0"/>
        <w:jc w:val="center"/>
        <w:rPr>
          <w:b/>
          <w:sz w:val="24"/>
          <w:lang w:eastAsia="ja-JP"/>
        </w:rPr>
      </w:pPr>
    </w:p>
    <w:p w:rsidR="00DF0EFC" w:rsidRPr="005863FD" w:rsidRDefault="00754BDA" w:rsidP="00DF0EFC">
      <w:pPr>
        <w:autoSpaceDE w:val="0"/>
        <w:autoSpaceDN w:val="0"/>
        <w:adjustRightInd w:val="0"/>
        <w:spacing w:after="240"/>
        <w:rPr>
          <w:bCs/>
          <w:sz w:val="24"/>
          <w:szCs w:val="24"/>
        </w:rPr>
      </w:pPr>
      <w:r>
        <w:rPr>
          <w:bCs/>
          <w:sz w:val="24"/>
          <w:szCs w:val="24"/>
        </w:rPr>
        <w:t>1.</w:t>
      </w:r>
      <w:r>
        <w:rPr>
          <w:bCs/>
          <w:sz w:val="24"/>
          <w:szCs w:val="24"/>
        </w:rPr>
        <w:tab/>
      </w:r>
      <w:r w:rsidR="00DF0EFC">
        <w:rPr>
          <w:bCs/>
          <w:sz w:val="24"/>
          <w:szCs w:val="24"/>
        </w:rPr>
        <w:t>Respondent Universe and Sampling Methods</w:t>
      </w:r>
    </w:p>
    <w:p w:rsidR="00DF0EFC" w:rsidRPr="005863FD" w:rsidRDefault="00754BDA" w:rsidP="00DF0EFC">
      <w:pPr>
        <w:autoSpaceDE w:val="0"/>
        <w:autoSpaceDN w:val="0"/>
        <w:adjustRightInd w:val="0"/>
        <w:spacing w:after="240"/>
        <w:rPr>
          <w:bCs/>
          <w:sz w:val="24"/>
          <w:szCs w:val="24"/>
        </w:rPr>
      </w:pPr>
      <w:r>
        <w:rPr>
          <w:bCs/>
          <w:sz w:val="24"/>
          <w:szCs w:val="24"/>
        </w:rPr>
        <w:t>2.</w:t>
      </w:r>
      <w:r>
        <w:rPr>
          <w:bCs/>
          <w:sz w:val="24"/>
          <w:szCs w:val="24"/>
        </w:rPr>
        <w:tab/>
      </w:r>
      <w:r w:rsidR="00DF0EFC">
        <w:rPr>
          <w:bCs/>
          <w:sz w:val="24"/>
          <w:szCs w:val="24"/>
        </w:rPr>
        <w:t>Procedures for the Collection of Information</w:t>
      </w:r>
    </w:p>
    <w:p w:rsidR="00DF0EFC" w:rsidRPr="005863FD" w:rsidRDefault="00754BDA" w:rsidP="00DF0EFC">
      <w:pPr>
        <w:pStyle w:val="TOC1"/>
        <w:spacing w:before="0" w:after="240"/>
        <w:jc w:val="left"/>
        <w:rPr>
          <w:b w:val="0"/>
          <w:sz w:val="24"/>
          <w:szCs w:val="24"/>
        </w:rPr>
      </w:pPr>
      <w:r>
        <w:rPr>
          <w:b w:val="0"/>
          <w:sz w:val="24"/>
          <w:szCs w:val="24"/>
        </w:rPr>
        <w:t>3.</w:t>
      </w:r>
      <w:r>
        <w:rPr>
          <w:b w:val="0"/>
          <w:sz w:val="24"/>
          <w:szCs w:val="24"/>
        </w:rPr>
        <w:tab/>
      </w:r>
      <w:r w:rsidR="00C76E14">
        <w:rPr>
          <w:b w:val="0"/>
          <w:sz w:val="24"/>
          <w:szCs w:val="24"/>
        </w:rPr>
        <w:t xml:space="preserve">   </w:t>
      </w:r>
      <w:r w:rsidR="00DF0EFC">
        <w:rPr>
          <w:b w:val="0"/>
          <w:sz w:val="24"/>
          <w:szCs w:val="24"/>
        </w:rPr>
        <w:t>Methods to Maximize the Response Rates to Deal with Nonresponse</w:t>
      </w:r>
    </w:p>
    <w:p w:rsidR="00DF0EFC" w:rsidRPr="005863FD" w:rsidRDefault="00754BDA" w:rsidP="00DF0EFC">
      <w:pPr>
        <w:autoSpaceDE w:val="0"/>
        <w:autoSpaceDN w:val="0"/>
        <w:adjustRightInd w:val="0"/>
        <w:spacing w:after="240"/>
        <w:rPr>
          <w:bCs/>
          <w:sz w:val="24"/>
          <w:szCs w:val="24"/>
        </w:rPr>
      </w:pPr>
      <w:r>
        <w:rPr>
          <w:bCs/>
          <w:sz w:val="24"/>
          <w:szCs w:val="24"/>
        </w:rPr>
        <w:t>4.</w:t>
      </w:r>
      <w:r>
        <w:rPr>
          <w:bCs/>
          <w:sz w:val="24"/>
          <w:szCs w:val="24"/>
        </w:rPr>
        <w:tab/>
      </w:r>
      <w:r w:rsidR="00DF0EFC">
        <w:rPr>
          <w:bCs/>
          <w:sz w:val="24"/>
          <w:szCs w:val="24"/>
        </w:rPr>
        <w:t xml:space="preserve">Tests of Procedures or Methods to be </w:t>
      </w:r>
      <w:proofErr w:type="gramStart"/>
      <w:r w:rsidR="00DF0EFC">
        <w:rPr>
          <w:bCs/>
          <w:sz w:val="24"/>
          <w:szCs w:val="24"/>
        </w:rPr>
        <w:t>Undertaken</w:t>
      </w:r>
      <w:proofErr w:type="gramEnd"/>
    </w:p>
    <w:p w:rsidR="00754BDA" w:rsidRDefault="00754BDA" w:rsidP="00C76E14">
      <w:pPr>
        <w:autoSpaceDE w:val="0"/>
        <w:autoSpaceDN w:val="0"/>
        <w:adjustRightInd w:val="0"/>
        <w:spacing w:after="240"/>
        <w:ind w:left="720" w:hanging="720"/>
        <w:rPr>
          <w:bCs/>
          <w:sz w:val="24"/>
          <w:szCs w:val="24"/>
        </w:rPr>
      </w:pPr>
      <w:r>
        <w:rPr>
          <w:bCs/>
          <w:sz w:val="24"/>
          <w:szCs w:val="24"/>
        </w:rPr>
        <w:t>5.</w:t>
      </w:r>
      <w:r>
        <w:rPr>
          <w:bCs/>
          <w:sz w:val="24"/>
          <w:szCs w:val="24"/>
        </w:rPr>
        <w:tab/>
      </w:r>
      <w:r w:rsidR="00DF0EFC" w:rsidRPr="00DF0EFC">
        <w:rPr>
          <w:bCs/>
          <w:sz w:val="24"/>
          <w:szCs w:val="24"/>
        </w:rPr>
        <w:t>Individuals Consulted on Statistical Aspects</w:t>
      </w:r>
      <w:r>
        <w:rPr>
          <w:bCs/>
          <w:sz w:val="24"/>
          <w:szCs w:val="24"/>
        </w:rPr>
        <w:t xml:space="preserve"> and Individuals Collecting and/or Analyzing Data</w:t>
      </w:r>
    </w:p>
    <w:p w:rsidR="007541F6" w:rsidRDefault="007541F6">
      <w:pPr>
        <w:spacing w:after="200" w:line="276" w:lineRule="auto"/>
      </w:pPr>
    </w:p>
    <w:p w:rsidR="00EC43AE" w:rsidRDefault="00EC43AE">
      <w:pPr>
        <w:spacing w:after="200" w:line="276" w:lineRule="auto"/>
      </w:pPr>
      <w:r>
        <w:br w:type="page"/>
      </w:r>
    </w:p>
    <w:p w:rsidR="007541F6" w:rsidRPr="00854ACE" w:rsidRDefault="00754BDA" w:rsidP="00854ACE">
      <w:pPr>
        <w:spacing w:after="200" w:line="276" w:lineRule="auto"/>
        <w:rPr>
          <w:b/>
          <w:bCs/>
          <w:sz w:val="24"/>
          <w:szCs w:val="24"/>
        </w:rPr>
      </w:pPr>
      <w:r>
        <w:rPr>
          <w:b/>
          <w:bCs/>
          <w:sz w:val="24"/>
          <w:szCs w:val="24"/>
        </w:rPr>
        <w:lastRenderedPageBreak/>
        <w:t>1.</w:t>
      </w:r>
      <w:r>
        <w:rPr>
          <w:b/>
          <w:bCs/>
          <w:sz w:val="24"/>
          <w:szCs w:val="24"/>
        </w:rPr>
        <w:tab/>
      </w:r>
      <w:r w:rsidR="007541F6" w:rsidRPr="007541F6">
        <w:rPr>
          <w:b/>
          <w:bCs/>
          <w:sz w:val="24"/>
          <w:szCs w:val="24"/>
        </w:rPr>
        <w:t>Respondent Universe and Sampling Methods</w:t>
      </w:r>
      <w:r w:rsidR="007541F6" w:rsidRPr="007541F6">
        <w:rPr>
          <w:b/>
        </w:rPr>
        <w:t xml:space="preserve"> </w:t>
      </w:r>
    </w:p>
    <w:p w:rsidR="00E57490" w:rsidRPr="007541F6" w:rsidRDefault="00E57490" w:rsidP="00E57490">
      <w:pPr>
        <w:rPr>
          <w:b/>
        </w:rPr>
      </w:pPr>
    </w:p>
    <w:p w:rsidR="007541F6" w:rsidRDefault="007541F6" w:rsidP="00E57490">
      <w:pPr>
        <w:rPr>
          <w:sz w:val="24"/>
          <w:szCs w:val="24"/>
        </w:rPr>
      </w:pPr>
      <w:r>
        <w:tab/>
      </w:r>
      <w:r w:rsidRPr="007541F6">
        <w:rPr>
          <w:sz w:val="24"/>
          <w:szCs w:val="24"/>
        </w:rPr>
        <w:t xml:space="preserve">The </w:t>
      </w:r>
      <w:r>
        <w:rPr>
          <w:sz w:val="24"/>
          <w:szCs w:val="24"/>
        </w:rPr>
        <w:t xml:space="preserve">respondent universe comprises all members of the </w:t>
      </w:r>
      <w:r w:rsidR="00280D11">
        <w:rPr>
          <w:sz w:val="24"/>
          <w:szCs w:val="24"/>
        </w:rPr>
        <w:t>1199SEIU (Service Employees International Union) United Healthcare Workers East</w:t>
      </w:r>
      <w:r>
        <w:rPr>
          <w:sz w:val="24"/>
          <w:szCs w:val="24"/>
        </w:rPr>
        <w:t xml:space="preserve"> in New York City, who can be </w:t>
      </w:r>
      <w:r w:rsidR="004619F7">
        <w:rPr>
          <w:sz w:val="24"/>
          <w:szCs w:val="24"/>
        </w:rPr>
        <w:t xml:space="preserve">categorized </w:t>
      </w:r>
      <w:r>
        <w:rPr>
          <w:sz w:val="24"/>
          <w:szCs w:val="24"/>
        </w:rPr>
        <w:t xml:space="preserve">into </w:t>
      </w:r>
      <w:r w:rsidR="004730C3">
        <w:rPr>
          <w:sz w:val="24"/>
          <w:szCs w:val="24"/>
        </w:rPr>
        <w:t>one of the following job categories:</w:t>
      </w:r>
    </w:p>
    <w:p w:rsidR="004730C3" w:rsidRDefault="004730C3" w:rsidP="00E57490">
      <w:pPr>
        <w:rPr>
          <w:sz w:val="24"/>
          <w:szCs w:val="24"/>
        </w:rPr>
      </w:pPr>
    </w:p>
    <w:p w:rsidR="00E57490" w:rsidRPr="00E57490" w:rsidRDefault="00E57490" w:rsidP="00E57490">
      <w:pPr>
        <w:rPr>
          <w:sz w:val="24"/>
          <w:szCs w:val="24"/>
        </w:rPr>
        <w:sectPr w:rsidR="00E57490" w:rsidRPr="00E57490">
          <w:footerReference w:type="default" r:id="rId9"/>
          <w:pgSz w:w="12240" w:h="15840"/>
          <w:pgMar w:top="1440" w:right="1440" w:bottom="1440" w:left="1440" w:header="720" w:footer="720" w:gutter="0"/>
          <w:cols w:space="720"/>
          <w:docGrid w:linePitch="360"/>
        </w:sectPr>
      </w:pPr>
    </w:p>
    <w:p w:rsidR="004730C3" w:rsidRDefault="004730C3" w:rsidP="00E57490">
      <w:pPr>
        <w:pStyle w:val="ListParagraph"/>
        <w:numPr>
          <w:ilvl w:val="0"/>
          <w:numId w:val="1"/>
        </w:numPr>
        <w:rPr>
          <w:sz w:val="24"/>
          <w:szCs w:val="24"/>
        </w:rPr>
      </w:pPr>
      <w:r>
        <w:rPr>
          <w:sz w:val="24"/>
          <w:szCs w:val="24"/>
        </w:rPr>
        <w:lastRenderedPageBreak/>
        <w:t>Certified Nursing Assistant</w:t>
      </w:r>
    </w:p>
    <w:p w:rsidR="004730C3" w:rsidRDefault="004730C3" w:rsidP="00E57490">
      <w:pPr>
        <w:pStyle w:val="ListParagraph"/>
        <w:numPr>
          <w:ilvl w:val="0"/>
          <w:numId w:val="1"/>
        </w:numPr>
        <w:rPr>
          <w:sz w:val="24"/>
          <w:szCs w:val="24"/>
        </w:rPr>
      </w:pPr>
      <w:r>
        <w:rPr>
          <w:sz w:val="24"/>
          <w:szCs w:val="24"/>
        </w:rPr>
        <w:t>Licensed Practical Nurse</w:t>
      </w:r>
    </w:p>
    <w:p w:rsidR="004730C3" w:rsidRDefault="004730C3" w:rsidP="00E57490">
      <w:pPr>
        <w:pStyle w:val="ListParagraph"/>
        <w:numPr>
          <w:ilvl w:val="0"/>
          <w:numId w:val="1"/>
        </w:numPr>
        <w:rPr>
          <w:sz w:val="24"/>
          <w:szCs w:val="24"/>
        </w:rPr>
      </w:pPr>
      <w:r>
        <w:rPr>
          <w:sz w:val="24"/>
          <w:szCs w:val="24"/>
        </w:rPr>
        <w:t>Registered Nurse</w:t>
      </w:r>
    </w:p>
    <w:p w:rsidR="004730C3" w:rsidRDefault="004730C3" w:rsidP="00E57490">
      <w:pPr>
        <w:pStyle w:val="ListParagraph"/>
        <w:numPr>
          <w:ilvl w:val="0"/>
          <w:numId w:val="1"/>
        </w:numPr>
        <w:rPr>
          <w:sz w:val="24"/>
          <w:szCs w:val="24"/>
        </w:rPr>
      </w:pPr>
      <w:r>
        <w:rPr>
          <w:sz w:val="24"/>
          <w:szCs w:val="24"/>
        </w:rPr>
        <w:t>Central Supply Worker</w:t>
      </w:r>
    </w:p>
    <w:p w:rsidR="004730C3" w:rsidRDefault="004730C3" w:rsidP="00E57490">
      <w:pPr>
        <w:pStyle w:val="ListParagraph"/>
        <w:numPr>
          <w:ilvl w:val="0"/>
          <w:numId w:val="1"/>
        </w:numPr>
        <w:rPr>
          <w:sz w:val="24"/>
          <w:szCs w:val="24"/>
        </w:rPr>
      </w:pPr>
      <w:r>
        <w:rPr>
          <w:sz w:val="24"/>
          <w:szCs w:val="24"/>
        </w:rPr>
        <w:t>Environmental Service Worker</w:t>
      </w:r>
    </w:p>
    <w:p w:rsidR="004730C3" w:rsidRDefault="004730C3" w:rsidP="00E57490">
      <w:pPr>
        <w:pStyle w:val="ListParagraph"/>
        <w:numPr>
          <w:ilvl w:val="0"/>
          <w:numId w:val="1"/>
        </w:numPr>
        <w:rPr>
          <w:sz w:val="24"/>
          <w:szCs w:val="24"/>
        </w:rPr>
      </w:pPr>
      <w:r>
        <w:rPr>
          <w:sz w:val="24"/>
          <w:szCs w:val="24"/>
        </w:rPr>
        <w:lastRenderedPageBreak/>
        <w:t>Lab Technician</w:t>
      </w:r>
    </w:p>
    <w:p w:rsidR="004730C3" w:rsidRDefault="004730C3" w:rsidP="00E57490">
      <w:pPr>
        <w:pStyle w:val="ListParagraph"/>
        <w:numPr>
          <w:ilvl w:val="0"/>
          <w:numId w:val="1"/>
        </w:numPr>
        <w:rPr>
          <w:sz w:val="24"/>
          <w:szCs w:val="24"/>
        </w:rPr>
      </w:pPr>
      <w:r>
        <w:rPr>
          <w:sz w:val="24"/>
          <w:szCs w:val="24"/>
        </w:rPr>
        <w:t>Operating Room Technician</w:t>
      </w:r>
    </w:p>
    <w:p w:rsidR="004730C3" w:rsidRDefault="004730C3" w:rsidP="00E57490">
      <w:pPr>
        <w:pStyle w:val="ListParagraph"/>
        <w:numPr>
          <w:ilvl w:val="0"/>
          <w:numId w:val="1"/>
        </w:numPr>
        <w:rPr>
          <w:sz w:val="24"/>
          <w:szCs w:val="24"/>
        </w:rPr>
      </w:pPr>
      <w:r>
        <w:rPr>
          <w:sz w:val="24"/>
          <w:szCs w:val="24"/>
        </w:rPr>
        <w:t>Respiratory Therapist</w:t>
      </w:r>
    </w:p>
    <w:p w:rsidR="004730C3" w:rsidRPr="004730C3" w:rsidRDefault="004730C3" w:rsidP="00E57490">
      <w:pPr>
        <w:pStyle w:val="ListParagraph"/>
        <w:numPr>
          <w:ilvl w:val="0"/>
          <w:numId w:val="1"/>
        </w:numPr>
        <w:rPr>
          <w:sz w:val="24"/>
          <w:szCs w:val="24"/>
        </w:rPr>
      </w:pPr>
      <w:r>
        <w:rPr>
          <w:sz w:val="24"/>
          <w:szCs w:val="24"/>
        </w:rPr>
        <w:t>Dental Assistant</w:t>
      </w:r>
    </w:p>
    <w:p w:rsidR="004730C3" w:rsidRDefault="004730C3" w:rsidP="00E57490">
      <w:pPr>
        <w:rPr>
          <w:sz w:val="24"/>
          <w:szCs w:val="24"/>
        </w:rPr>
        <w:sectPr w:rsidR="004730C3" w:rsidSect="004730C3">
          <w:type w:val="continuous"/>
          <w:pgSz w:w="12240" w:h="15840"/>
          <w:pgMar w:top="1440" w:right="1440" w:bottom="1440" w:left="1440" w:header="720" w:footer="720" w:gutter="0"/>
          <w:cols w:num="2" w:space="720"/>
          <w:docGrid w:linePitch="360"/>
        </w:sectPr>
      </w:pPr>
    </w:p>
    <w:p w:rsidR="004730C3" w:rsidRDefault="004730C3" w:rsidP="00E57490">
      <w:pPr>
        <w:rPr>
          <w:sz w:val="24"/>
          <w:szCs w:val="24"/>
        </w:rPr>
      </w:pPr>
    </w:p>
    <w:p w:rsidR="00280D11" w:rsidRDefault="004730C3" w:rsidP="00E57490">
      <w:pPr>
        <w:ind w:firstLine="720"/>
        <w:rPr>
          <w:sz w:val="24"/>
          <w:szCs w:val="24"/>
        </w:rPr>
      </w:pPr>
      <w:r>
        <w:rPr>
          <w:sz w:val="24"/>
          <w:szCs w:val="24"/>
        </w:rPr>
        <w:t xml:space="preserve">Based on </w:t>
      </w:r>
      <w:r w:rsidR="00C10986">
        <w:rPr>
          <w:sz w:val="24"/>
          <w:szCs w:val="24"/>
        </w:rPr>
        <w:t>current</w:t>
      </w:r>
      <w:r>
        <w:rPr>
          <w:sz w:val="24"/>
          <w:szCs w:val="24"/>
        </w:rPr>
        <w:t xml:space="preserve"> information </w:t>
      </w:r>
      <w:r w:rsidR="00C10986">
        <w:rPr>
          <w:sz w:val="24"/>
          <w:szCs w:val="24"/>
        </w:rPr>
        <w:t>from</w:t>
      </w:r>
      <w:r>
        <w:rPr>
          <w:sz w:val="24"/>
          <w:szCs w:val="24"/>
        </w:rPr>
        <w:t xml:space="preserve"> </w:t>
      </w:r>
      <w:r w:rsidR="00280D11">
        <w:rPr>
          <w:sz w:val="24"/>
          <w:szCs w:val="24"/>
        </w:rPr>
        <w:t>1199</w:t>
      </w:r>
      <w:r>
        <w:rPr>
          <w:sz w:val="24"/>
          <w:szCs w:val="24"/>
        </w:rPr>
        <w:t>SEIU</w:t>
      </w:r>
      <w:r w:rsidR="00C10986">
        <w:rPr>
          <w:sz w:val="24"/>
          <w:szCs w:val="24"/>
        </w:rPr>
        <w:t>,</w:t>
      </w:r>
      <w:r>
        <w:rPr>
          <w:sz w:val="24"/>
          <w:szCs w:val="24"/>
        </w:rPr>
        <w:t xml:space="preserve"> there are approximately </w:t>
      </w:r>
      <w:r w:rsidR="00404C13">
        <w:rPr>
          <w:sz w:val="24"/>
          <w:szCs w:val="24"/>
        </w:rPr>
        <w:t>15</w:t>
      </w:r>
      <w:r>
        <w:rPr>
          <w:sz w:val="24"/>
          <w:szCs w:val="24"/>
        </w:rPr>
        <w:t xml:space="preserve">,000 union members who would be eligible to participate in this survey. </w:t>
      </w:r>
      <w:r w:rsidR="00015C97">
        <w:rPr>
          <w:sz w:val="24"/>
          <w:szCs w:val="24"/>
        </w:rPr>
        <w:t>U</w:t>
      </w:r>
      <w:r w:rsidR="00280D11">
        <w:rPr>
          <w:sz w:val="24"/>
          <w:szCs w:val="24"/>
        </w:rPr>
        <w:t>nion member from all job categories</w:t>
      </w:r>
      <w:r w:rsidR="00015C97">
        <w:rPr>
          <w:sz w:val="24"/>
          <w:szCs w:val="24"/>
        </w:rPr>
        <w:t xml:space="preserve"> will be</w:t>
      </w:r>
      <w:r w:rsidR="00280D11">
        <w:rPr>
          <w:sz w:val="24"/>
          <w:szCs w:val="24"/>
        </w:rPr>
        <w:t xml:space="preserve"> recruited</w:t>
      </w:r>
      <w:r w:rsidR="00015C97">
        <w:rPr>
          <w:sz w:val="24"/>
          <w:szCs w:val="24"/>
        </w:rPr>
        <w:t xml:space="preserve"> for participation</w:t>
      </w:r>
      <w:r w:rsidR="00280D11">
        <w:rPr>
          <w:sz w:val="24"/>
          <w:szCs w:val="24"/>
        </w:rPr>
        <w:t>.</w:t>
      </w:r>
      <w:r w:rsidR="00015C97">
        <w:rPr>
          <w:sz w:val="24"/>
          <w:szCs w:val="24"/>
        </w:rPr>
        <w:t xml:space="preserve">  A previous survey of asthma among healthcare workers achieved a response rate of 66%</w:t>
      </w:r>
      <w:r w:rsidR="005B4955">
        <w:rPr>
          <w:sz w:val="24"/>
          <w:szCs w:val="24"/>
        </w:rPr>
        <w:t xml:space="preserve"> (</w:t>
      </w:r>
      <w:proofErr w:type="spellStart"/>
      <w:r w:rsidR="005B4955">
        <w:rPr>
          <w:sz w:val="24"/>
          <w:szCs w:val="24"/>
        </w:rPr>
        <w:t>Delclos</w:t>
      </w:r>
      <w:proofErr w:type="spellEnd"/>
      <w:r w:rsidR="005B4955">
        <w:rPr>
          <w:sz w:val="24"/>
          <w:szCs w:val="24"/>
        </w:rPr>
        <w:t xml:space="preserve"> 2007)</w:t>
      </w:r>
      <w:r w:rsidR="00015C97">
        <w:rPr>
          <w:sz w:val="24"/>
          <w:szCs w:val="24"/>
        </w:rPr>
        <w:t xml:space="preserve">. Because we will be recruiting </w:t>
      </w:r>
      <w:r w:rsidR="005B4955">
        <w:rPr>
          <w:sz w:val="24"/>
          <w:szCs w:val="24"/>
        </w:rPr>
        <w:t>among</w:t>
      </w:r>
      <w:r w:rsidR="00015C97">
        <w:rPr>
          <w:sz w:val="24"/>
          <w:szCs w:val="24"/>
        </w:rPr>
        <w:t xml:space="preserve"> healthcare workers who are 1199SEIU members and all contact will be though official union channels</w:t>
      </w:r>
      <w:r w:rsidR="005B4955">
        <w:rPr>
          <w:sz w:val="24"/>
          <w:szCs w:val="24"/>
        </w:rPr>
        <w:t xml:space="preserve">, we expect to achieve a substantially better response rate (&gt;80%) to our recruitment effort. </w:t>
      </w:r>
      <w:r w:rsidR="00DC4565">
        <w:rPr>
          <w:sz w:val="24"/>
          <w:szCs w:val="24"/>
        </w:rPr>
        <w:t>Based on the response rate of the previously mentioned survey, a</w:t>
      </w:r>
      <w:r w:rsidR="005B4955">
        <w:rPr>
          <w:sz w:val="24"/>
          <w:szCs w:val="24"/>
        </w:rPr>
        <w:t xml:space="preserve"> sample of </w:t>
      </w:r>
      <w:r w:rsidR="007B4D15">
        <w:rPr>
          <w:sz w:val="24"/>
          <w:szCs w:val="24"/>
        </w:rPr>
        <w:t>6,250</w:t>
      </w:r>
      <w:r w:rsidR="005B4955">
        <w:rPr>
          <w:sz w:val="24"/>
          <w:szCs w:val="24"/>
        </w:rPr>
        <w:t xml:space="preserve"> union members will be recruited, with a goal of </w:t>
      </w:r>
      <w:r w:rsidR="005B4955" w:rsidRPr="00763D83">
        <w:rPr>
          <w:sz w:val="24"/>
          <w:szCs w:val="24"/>
        </w:rPr>
        <w:t xml:space="preserve">surveying </w:t>
      </w:r>
      <w:r w:rsidR="007B4D15">
        <w:rPr>
          <w:sz w:val="24"/>
          <w:szCs w:val="24"/>
        </w:rPr>
        <w:t>5,000</w:t>
      </w:r>
      <w:r w:rsidR="00DC4565">
        <w:rPr>
          <w:sz w:val="24"/>
          <w:szCs w:val="24"/>
        </w:rPr>
        <w:t xml:space="preserve"> healthcare workers</w:t>
      </w:r>
      <w:r w:rsidR="005B4955">
        <w:rPr>
          <w:sz w:val="24"/>
          <w:szCs w:val="24"/>
        </w:rPr>
        <w:t>.</w:t>
      </w:r>
      <w:r w:rsidR="00015C97">
        <w:rPr>
          <w:sz w:val="24"/>
          <w:szCs w:val="24"/>
        </w:rPr>
        <w:t xml:space="preserve">     </w:t>
      </w:r>
    </w:p>
    <w:p w:rsidR="00E57490" w:rsidRPr="007541F6" w:rsidRDefault="00E57490" w:rsidP="00E57490">
      <w:pPr>
        <w:rPr>
          <w:sz w:val="24"/>
          <w:szCs w:val="24"/>
        </w:rPr>
      </w:pPr>
    </w:p>
    <w:p w:rsidR="007541F6" w:rsidRDefault="00754BDA" w:rsidP="00E57490">
      <w:pPr>
        <w:rPr>
          <w:b/>
          <w:bCs/>
          <w:sz w:val="24"/>
          <w:szCs w:val="24"/>
        </w:rPr>
      </w:pPr>
      <w:r>
        <w:rPr>
          <w:b/>
          <w:bCs/>
          <w:sz w:val="24"/>
          <w:szCs w:val="24"/>
        </w:rPr>
        <w:t>2.</w:t>
      </w:r>
      <w:r>
        <w:rPr>
          <w:b/>
          <w:bCs/>
          <w:sz w:val="24"/>
          <w:szCs w:val="24"/>
        </w:rPr>
        <w:tab/>
      </w:r>
      <w:r w:rsidR="007541F6" w:rsidRPr="007541F6">
        <w:rPr>
          <w:b/>
          <w:bCs/>
          <w:sz w:val="24"/>
          <w:szCs w:val="24"/>
        </w:rPr>
        <w:t>Procedures for the Collection of Information</w:t>
      </w:r>
    </w:p>
    <w:p w:rsidR="00E57490" w:rsidRDefault="00E57490" w:rsidP="00E57490">
      <w:pPr>
        <w:rPr>
          <w:b/>
          <w:bCs/>
          <w:sz w:val="24"/>
          <w:szCs w:val="24"/>
        </w:rPr>
      </w:pPr>
    </w:p>
    <w:p w:rsidR="0085588B" w:rsidRPr="0085588B" w:rsidRDefault="0085588B" w:rsidP="00E57490">
      <w:pPr>
        <w:rPr>
          <w:bCs/>
          <w:sz w:val="24"/>
          <w:szCs w:val="24"/>
          <w:u w:val="single"/>
        </w:rPr>
      </w:pPr>
      <w:r w:rsidRPr="0085588B">
        <w:rPr>
          <w:bCs/>
          <w:sz w:val="24"/>
          <w:szCs w:val="24"/>
          <w:u w:val="single"/>
        </w:rPr>
        <w:t xml:space="preserve">Methods for Completing </w:t>
      </w:r>
      <w:r w:rsidR="009A7A62">
        <w:rPr>
          <w:bCs/>
          <w:sz w:val="24"/>
          <w:szCs w:val="24"/>
          <w:u w:val="single"/>
        </w:rPr>
        <w:t>Survey</w:t>
      </w:r>
    </w:p>
    <w:p w:rsidR="0085588B" w:rsidRDefault="0085588B" w:rsidP="00E57490">
      <w:pPr>
        <w:rPr>
          <w:b/>
          <w:bCs/>
          <w:sz w:val="24"/>
          <w:szCs w:val="24"/>
        </w:rPr>
      </w:pPr>
    </w:p>
    <w:p w:rsidR="00E57490" w:rsidRDefault="00E57490" w:rsidP="00E57490">
      <w:pPr>
        <w:ind w:firstLine="720"/>
        <w:rPr>
          <w:sz w:val="24"/>
          <w:szCs w:val="24"/>
        </w:rPr>
      </w:pPr>
      <w:r>
        <w:rPr>
          <w:sz w:val="24"/>
          <w:szCs w:val="24"/>
        </w:rPr>
        <w:t xml:space="preserve">Participation in this </w:t>
      </w:r>
      <w:r w:rsidR="00C10986">
        <w:rPr>
          <w:sz w:val="24"/>
          <w:szCs w:val="24"/>
        </w:rPr>
        <w:t>survey</w:t>
      </w:r>
      <w:r>
        <w:rPr>
          <w:sz w:val="24"/>
          <w:szCs w:val="24"/>
        </w:rPr>
        <w:t xml:space="preserve"> consists of </w:t>
      </w:r>
      <w:r w:rsidRPr="006B2748">
        <w:rPr>
          <w:sz w:val="24"/>
          <w:szCs w:val="24"/>
        </w:rPr>
        <w:t>complet</w:t>
      </w:r>
      <w:r>
        <w:rPr>
          <w:sz w:val="24"/>
          <w:szCs w:val="24"/>
        </w:rPr>
        <w:t xml:space="preserve">ion of the Asthma-in-Health-Care </w:t>
      </w:r>
      <w:r w:rsidR="009A7A62">
        <w:rPr>
          <w:sz w:val="24"/>
          <w:szCs w:val="24"/>
        </w:rPr>
        <w:t>survey</w:t>
      </w:r>
      <w:r>
        <w:rPr>
          <w:sz w:val="24"/>
          <w:szCs w:val="24"/>
        </w:rPr>
        <w:t xml:space="preserve">. Once a participant has been recruited they will be provided with two methods for completing the </w:t>
      </w:r>
      <w:r w:rsidR="009A7A62">
        <w:rPr>
          <w:sz w:val="24"/>
          <w:szCs w:val="24"/>
        </w:rPr>
        <w:t>survey</w:t>
      </w:r>
      <w:r>
        <w:rPr>
          <w:sz w:val="24"/>
          <w:szCs w:val="24"/>
        </w:rPr>
        <w:t xml:space="preserve">. </w:t>
      </w:r>
    </w:p>
    <w:p w:rsidR="00E57490" w:rsidRDefault="00E57490" w:rsidP="00E57490">
      <w:pPr>
        <w:ind w:firstLine="720"/>
        <w:rPr>
          <w:sz w:val="24"/>
          <w:szCs w:val="24"/>
        </w:rPr>
      </w:pPr>
    </w:p>
    <w:p w:rsidR="00E57490" w:rsidRDefault="00E57490" w:rsidP="00E57490">
      <w:pPr>
        <w:ind w:firstLine="720"/>
        <w:rPr>
          <w:sz w:val="24"/>
          <w:szCs w:val="24"/>
        </w:rPr>
      </w:pPr>
      <w:r>
        <w:rPr>
          <w:sz w:val="24"/>
          <w:szCs w:val="24"/>
        </w:rPr>
        <w:t xml:space="preserve">The first method available to participants is to complete the online version hosted on the CDC website. Participants will be able to access the website hosting the </w:t>
      </w:r>
      <w:r w:rsidR="009A7A62">
        <w:rPr>
          <w:sz w:val="24"/>
          <w:szCs w:val="24"/>
        </w:rPr>
        <w:t>survey</w:t>
      </w:r>
      <w:r>
        <w:rPr>
          <w:sz w:val="24"/>
          <w:szCs w:val="24"/>
        </w:rPr>
        <w:t xml:space="preserve"> using a unique identifier provided by </w:t>
      </w:r>
      <w:r w:rsidR="00280D11">
        <w:rPr>
          <w:sz w:val="24"/>
          <w:szCs w:val="24"/>
        </w:rPr>
        <w:t>1199</w:t>
      </w:r>
      <w:r>
        <w:rPr>
          <w:sz w:val="24"/>
          <w:szCs w:val="24"/>
        </w:rPr>
        <w:t xml:space="preserve">SEIU that accompanied the recruitment letter and informed consent </w:t>
      </w:r>
      <w:r w:rsidR="004619F7">
        <w:rPr>
          <w:sz w:val="24"/>
          <w:szCs w:val="24"/>
        </w:rPr>
        <w:t>information</w:t>
      </w:r>
      <w:r>
        <w:rPr>
          <w:sz w:val="24"/>
          <w:szCs w:val="24"/>
        </w:rPr>
        <w:t xml:space="preserve">. It is anticipated the online </w:t>
      </w:r>
      <w:r w:rsidR="009A7A62">
        <w:rPr>
          <w:sz w:val="24"/>
          <w:szCs w:val="24"/>
        </w:rPr>
        <w:t>survey</w:t>
      </w:r>
      <w:r>
        <w:rPr>
          <w:sz w:val="24"/>
          <w:szCs w:val="24"/>
        </w:rPr>
        <w:t xml:space="preserve"> will take approximately 3</w:t>
      </w:r>
      <w:r w:rsidR="00C10986">
        <w:rPr>
          <w:sz w:val="24"/>
          <w:szCs w:val="24"/>
        </w:rPr>
        <w:t>0</w:t>
      </w:r>
      <w:r>
        <w:rPr>
          <w:sz w:val="24"/>
          <w:szCs w:val="24"/>
        </w:rPr>
        <w:t xml:space="preserve"> minutes to complete. However, participants will have the option to complete the </w:t>
      </w:r>
      <w:r w:rsidR="009A7A62">
        <w:rPr>
          <w:sz w:val="24"/>
          <w:szCs w:val="24"/>
        </w:rPr>
        <w:t>survey</w:t>
      </w:r>
      <w:r>
        <w:rPr>
          <w:sz w:val="24"/>
          <w:szCs w:val="24"/>
        </w:rPr>
        <w:t xml:space="preserve"> in sections by logging onto the CDC website hosting the </w:t>
      </w:r>
      <w:r w:rsidR="009A7A62">
        <w:rPr>
          <w:sz w:val="24"/>
          <w:szCs w:val="24"/>
        </w:rPr>
        <w:t>survey</w:t>
      </w:r>
      <w:r>
        <w:rPr>
          <w:sz w:val="24"/>
          <w:szCs w:val="24"/>
        </w:rPr>
        <w:t xml:space="preserve"> using the login information provided in their recruitment letter. Participants will not have the option to return to previously answered questions </w:t>
      </w:r>
      <w:r w:rsidR="004619F7">
        <w:rPr>
          <w:sz w:val="24"/>
          <w:szCs w:val="24"/>
        </w:rPr>
        <w:t>if they return to complete the survey at a later date</w:t>
      </w:r>
      <w:r>
        <w:rPr>
          <w:sz w:val="24"/>
          <w:szCs w:val="24"/>
        </w:rPr>
        <w:t xml:space="preserve">. When the </w:t>
      </w:r>
      <w:r w:rsidR="009A7A62">
        <w:rPr>
          <w:sz w:val="24"/>
          <w:szCs w:val="24"/>
        </w:rPr>
        <w:t>survey</w:t>
      </w:r>
      <w:r>
        <w:rPr>
          <w:sz w:val="24"/>
          <w:szCs w:val="24"/>
        </w:rPr>
        <w:t xml:space="preserve"> is complete</w:t>
      </w:r>
      <w:r w:rsidR="006D081C">
        <w:rPr>
          <w:sz w:val="24"/>
          <w:szCs w:val="24"/>
        </w:rPr>
        <w:t>,</w:t>
      </w:r>
      <w:r>
        <w:rPr>
          <w:sz w:val="24"/>
          <w:szCs w:val="24"/>
        </w:rPr>
        <w:t xml:space="preserve"> the data will be stored initially at the CDC Mid-Tier Data Center and then sent to the CDC/NIOSH research team.</w:t>
      </w:r>
    </w:p>
    <w:p w:rsidR="00E57490" w:rsidRDefault="00E57490" w:rsidP="00E57490">
      <w:pPr>
        <w:ind w:firstLine="720"/>
        <w:rPr>
          <w:bCs/>
          <w:sz w:val="24"/>
          <w:szCs w:val="24"/>
        </w:rPr>
      </w:pPr>
    </w:p>
    <w:p w:rsidR="00E57490" w:rsidRDefault="00E57490" w:rsidP="00E57490">
      <w:pPr>
        <w:rPr>
          <w:bCs/>
          <w:sz w:val="24"/>
          <w:szCs w:val="24"/>
        </w:rPr>
      </w:pPr>
      <w:r>
        <w:rPr>
          <w:bCs/>
          <w:sz w:val="24"/>
          <w:szCs w:val="24"/>
        </w:rPr>
        <w:tab/>
        <w:t xml:space="preserve">The second method available to participants for completing the </w:t>
      </w:r>
      <w:r w:rsidR="009A7A62">
        <w:rPr>
          <w:bCs/>
          <w:sz w:val="24"/>
          <w:szCs w:val="24"/>
        </w:rPr>
        <w:t>survey</w:t>
      </w:r>
      <w:r>
        <w:rPr>
          <w:bCs/>
          <w:sz w:val="24"/>
          <w:szCs w:val="24"/>
        </w:rPr>
        <w:t xml:space="preserve"> is by </w:t>
      </w:r>
      <w:r w:rsidR="00C10986">
        <w:rPr>
          <w:bCs/>
          <w:sz w:val="24"/>
          <w:szCs w:val="24"/>
        </w:rPr>
        <w:t>Computer Assisted Telephone I</w:t>
      </w:r>
      <w:r>
        <w:rPr>
          <w:bCs/>
          <w:sz w:val="24"/>
          <w:szCs w:val="24"/>
        </w:rPr>
        <w:t>nterview</w:t>
      </w:r>
      <w:r w:rsidR="00C10986">
        <w:rPr>
          <w:bCs/>
          <w:sz w:val="24"/>
          <w:szCs w:val="24"/>
        </w:rPr>
        <w:t xml:space="preserve"> (CATI)</w:t>
      </w:r>
      <w:r>
        <w:rPr>
          <w:bCs/>
          <w:sz w:val="24"/>
          <w:szCs w:val="24"/>
        </w:rPr>
        <w:t xml:space="preserve">. </w:t>
      </w:r>
      <w:r w:rsidR="00071A52">
        <w:rPr>
          <w:bCs/>
          <w:sz w:val="24"/>
          <w:szCs w:val="24"/>
        </w:rPr>
        <w:t xml:space="preserve">NIOSH has contracted with Research Triangle Institute (RTI) International to provide epidemiology support and conduct the telephone interviews. RTI has subcontracted with the SEIU Communications Center (CC) (a subsidiary of 1199SEIU) to place the telephone calls and interview participants.  </w:t>
      </w:r>
      <w:r>
        <w:rPr>
          <w:bCs/>
          <w:sz w:val="24"/>
          <w:szCs w:val="24"/>
        </w:rPr>
        <w:t>Included in the recruitment letter will be a phone number that participants can use to call into the SEIU CC</w:t>
      </w:r>
      <w:r w:rsidR="00C10986">
        <w:rPr>
          <w:bCs/>
          <w:sz w:val="24"/>
          <w:szCs w:val="24"/>
        </w:rPr>
        <w:t xml:space="preserve"> </w:t>
      </w:r>
      <w:r>
        <w:rPr>
          <w:bCs/>
          <w:sz w:val="24"/>
          <w:szCs w:val="24"/>
        </w:rPr>
        <w:t xml:space="preserve">and complete the </w:t>
      </w:r>
      <w:r w:rsidR="009A7A62">
        <w:rPr>
          <w:bCs/>
          <w:sz w:val="24"/>
          <w:szCs w:val="24"/>
        </w:rPr>
        <w:t>survey</w:t>
      </w:r>
      <w:r>
        <w:rPr>
          <w:bCs/>
          <w:sz w:val="24"/>
          <w:szCs w:val="24"/>
        </w:rPr>
        <w:t xml:space="preserve"> by </w:t>
      </w:r>
      <w:r>
        <w:rPr>
          <w:bCs/>
          <w:sz w:val="24"/>
          <w:szCs w:val="24"/>
        </w:rPr>
        <w:lastRenderedPageBreak/>
        <w:t xml:space="preserve">interview with a SEIU CC staff member. Prior to completion of the </w:t>
      </w:r>
      <w:r w:rsidR="009A7A62">
        <w:rPr>
          <w:bCs/>
          <w:sz w:val="24"/>
          <w:szCs w:val="24"/>
        </w:rPr>
        <w:t>survey</w:t>
      </w:r>
      <w:r>
        <w:rPr>
          <w:bCs/>
          <w:sz w:val="24"/>
          <w:szCs w:val="24"/>
        </w:rPr>
        <w:t xml:space="preserve">, the SEIU CC staff member will ask if the participant has read the informed consent </w:t>
      </w:r>
      <w:r w:rsidR="006D081C">
        <w:rPr>
          <w:bCs/>
          <w:sz w:val="24"/>
          <w:szCs w:val="24"/>
        </w:rPr>
        <w:t>information</w:t>
      </w:r>
      <w:r>
        <w:rPr>
          <w:bCs/>
          <w:sz w:val="24"/>
          <w:szCs w:val="24"/>
        </w:rPr>
        <w:t xml:space="preserve">. If they have not, the interviewer will read the consent </w:t>
      </w:r>
      <w:r w:rsidR="006D081C">
        <w:rPr>
          <w:bCs/>
          <w:sz w:val="24"/>
          <w:szCs w:val="24"/>
        </w:rPr>
        <w:t xml:space="preserve">information </w:t>
      </w:r>
      <w:r>
        <w:rPr>
          <w:bCs/>
          <w:sz w:val="24"/>
          <w:szCs w:val="24"/>
        </w:rPr>
        <w:t xml:space="preserve">to the participant. After the participant has been given the informed consent information they will give verbal consent to the interviewer and then complete the </w:t>
      </w:r>
      <w:r w:rsidR="00B66196">
        <w:rPr>
          <w:bCs/>
          <w:sz w:val="24"/>
          <w:szCs w:val="24"/>
        </w:rPr>
        <w:t>survey</w:t>
      </w:r>
      <w:r>
        <w:rPr>
          <w:bCs/>
          <w:sz w:val="24"/>
          <w:szCs w:val="24"/>
        </w:rPr>
        <w:t xml:space="preserve">. It is anticipated that the phone interview will take approximately 30 minutes to complete. </w:t>
      </w:r>
      <w:r w:rsidR="006D081C">
        <w:rPr>
          <w:bCs/>
          <w:sz w:val="24"/>
          <w:szCs w:val="24"/>
        </w:rPr>
        <w:t>Data from c</w:t>
      </w:r>
      <w:r>
        <w:rPr>
          <w:bCs/>
          <w:sz w:val="24"/>
          <w:szCs w:val="24"/>
        </w:rPr>
        <w:t xml:space="preserve">ompleted </w:t>
      </w:r>
      <w:r w:rsidR="00B66196">
        <w:rPr>
          <w:bCs/>
          <w:sz w:val="24"/>
          <w:szCs w:val="24"/>
        </w:rPr>
        <w:t>survey</w:t>
      </w:r>
      <w:r>
        <w:rPr>
          <w:bCs/>
          <w:sz w:val="24"/>
          <w:szCs w:val="24"/>
        </w:rPr>
        <w:t>s will be copied onto CDs and sent by express mail service (</w:t>
      </w:r>
      <w:r w:rsidR="006D081C">
        <w:rPr>
          <w:bCs/>
          <w:sz w:val="24"/>
          <w:szCs w:val="24"/>
        </w:rPr>
        <w:t>e</w:t>
      </w:r>
      <w:r>
        <w:rPr>
          <w:bCs/>
          <w:sz w:val="24"/>
          <w:szCs w:val="24"/>
        </w:rPr>
        <w:t>.</w:t>
      </w:r>
      <w:r w:rsidR="006D081C">
        <w:rPr>
          <w:bCs/>
          <w:sz w:val="24"/>
          <w:szCs w:val="24"/>
        </w:rPr>
        <w:t>g</w:t>
      </w:r>
      <w:r>
        <w:rPr>
          <w:bCs/>
          <w:sz w:val="24"/>
          <w:szCs w:val="24"/>
        </w:rPr>
        <w:t xml:space="preserve">., </w:t>
      </w:r>
      <w:r w:rsidR="006D081C">
        <w:rPr>
          <w:bCs/>
          <w:sz w:val="24"/>
          <w:szCs w:val="24"/>
        </w:rPr>
        <w:t xml:space="preserve">FedEx </w:t>
      </w:r>
      <w:r>
        <w:rPr>
          <w:bCs/>
          <w:sz w:val="24"/>
          <w:szCs w:val="24"/>
        </w:rPr>
        <w:t>or UPS) to the CDC/NIOSH research team.</w:t>
      </w:r>
    </w:p>
    <w:p w:rsidR="00E57490" w:rsidRDefault="00E57490" w:rsidP="00E57490">
      <w:pPr>
        <w:rPr>
          <w:bCs/>
          <w:sz w:val="24"/>
          <w:szCs w:val="24"/>
        </w:rPr>
      </w:pPr>
    </w:p>
    <w:p w:rsidR="00E57490" w:rsidRDefault="00E57490" w:rsidP="00E57490">
      <w:pPr>
        <w:rPr>
          <w:bCs/>
          <w:sz w:val="24"/>
          <w:szCs w:val="24"/>
        </w:rPr>
      </w:pPr>
      <w:r>
        <w:rPr>
          <w:bCs/>
          <w:sz w:val="24"/>
          <w:szCs w:val="24"/>
        </w:rPr>
        <w:tab/>
        <w:t xml:space="preserve">Participants will have two weeks from receipt of the recruitment letter to complete the </w:t>
      </w:r>
      <w:r w:rsidR="00B66196">
        <w:rPr>
          <w:bCs/>
          <w:sz w:val="24"/>
          <w:szCs w:val="24"/>
        </w:rPr>
        <w:t>survey</w:t>
      </w:r>
      <w:r>
        <w:rPr>
          <w:bCs/>
          <w:sz w:val="24"/>
          <w:szCs w:val="24"/>
        </w:rPr>
        <w:t xml:space="preserve"> (either online or by phone). After this two week period, reminder postcards will be mailed to any non-responding potential participants. At the same time</w:t>
      </w:r>
      <w:r w:rsidR="00C10986">
        <w:rPr>
          <w:bCs/>
          <w:sz w:val="24"/>
          <w:szCs w:val="24"/>
        </w:rPr>
        <w:t>,</w:t>
      </w:r>
      <w:r>
        <w:rPr>
          <w:bCs/>
          <w:sz w:val="24"/>
          <w:szCs w:val="24"/>
        </w:rPr>
        <w:t xml:space="preserve"> the SEIU CC will also begin making phone calls to non-responders asking them to participate in the study and complete the </w:t>
      </w:r>
      <w:r w:rsidR="00B66196">
        <w:rPr>
          <w:bCs/>
          <w:sz w:val="24"/>
          <w:szCs w:val="24"/>
        </w:rPr>
        <w:t>survey</w:t>
      </w:r>
      <w:r>
        <w:rPr>
          <w:bCs/>
          <w:sz w:val="24"/>
          <w:szCs w:val="24"/>
        </w:rPr>
        <w:t xml:space="preserve"> by phone using the same interview procedure already described. The SEIU CC will attempt seven contacts with each potential participant before they will be labeled as a non-responder. If a union member agrees to participate and completes the online version of the </w:t>
      </w:r>
      <w:r w:rsidR="00B66196">
        <w:rPr>
          <w:bCs/>
          <w:sz w:val="24"/>
          <w:szCs w:val="24"/>
        </w:rPr>
        <w:t>survey</w:t>
      </w:r>
      <w:r>
        <w:rPr>
          <w:bCs/>
          <w:sz w:val="24"/>
          <w:szCs w:val="24"/>
        </w:rPr>
        <w:t xml:space="preserve"> in the timeframe when the SEIU CC is attempting phone calls they will be removed from the list of non-responders.</w:t>
      </w:r>
    </w:p>
    <w:p w:rsidR="00E57490" w:rsidRPr="007541F6" w:rsidRDefault="00E57490" w:rsidP="00E57490">
      <w:pPr>
        <w:spacing w:line="276" w:lineRule="auto"/>
        <w:rPr>
          <w:b/>
          <w:bCs/>
          <w:sz w:val="24"/>
          <w:szCs w:val="24"/>
        </w:rPr>
      </w:pPr>
    </w:p>
    <w:p w:rsidR="00E57490" w:rsidRDefault="00E57490" w:rsidP="00E57490">
      <w:pPr>
        <w:rPr>
          <w:bCs/>
          <w:sz w:val="24"/>
          <w:szCs w:val="24"/>
          <w:u w:val="single"/>
        </w:rPr>
      </w:pPr>
      <w:r w:rsidRPr="00715A6A">
        <w:rPr>
          <w:bCs/>
          <w:sz w:val="24"/>
          <w:szCs w:val="24"/>
          <w:u w:val="single"/>
        </w:rPr>
        <w:t>Power Analysis</w:t>
      </w:r>
    </w:p>
    <w:p w:rsidR="00E57490" w:rsidRPr="00715A6A" w:rsidRDefault="00E57490" w:rsidP="00E57490">
      <w:pPr>
        <w:rPr>
          <w:bCs/>
          <w:sz w:val="24"/>
          <w:szCs w:val="24"/>
          <w:u w:val="single"/>
        </w:rPr>
      </w:pPr>
    </w:p>
    <w:p w:rsidR="00E57490" w:rsidRDefault="00E57490" w:rsidP="00E57490">
      <w:pPr>
        <w:ind w:firstLine="708"/>
        <w:rPr>
          <w:sz w:val="24"/>
          <w:szCs w:val="24"/>
        </w:rPr>
      </w:pPr>
      <w:r w:rsidRPr="007C79B2">
        <w:rPr>
          <w:sz w:val="24"/>
          <w:szCs w:val="24"/>
        </w:rPr>
        <w:t>Sample size calculations were conducted</w:t>
      </w:r>
      <w:r w:rsidRPr="004F5796">
        <w:rPr>
          <w:sz w:val="24"/>
          <w:szCs w:val="24"/>
        </w:rPr>
        <w:t xml:space="preserve"> to estimate the number of participants from </w:t>
      </w:r>
      <w:r w:rsidR="00280D11">
        <w:rPr>
          <w:sz w:val="24"/>
          <w:szCs w:val="24"/>
        </w:rPr>
        <w:t>1199</w:t>
      </w:r>
      <w:r w:rsidRPr="004F5796">
        <w:rPr>
          <w:sz w:val="24"/>
          <w:szCs w:val="24"/>
        </w:rPr>
        <w:t xml:space="preserve">SEIU that will be needed to address exposures and outcomes of interest.  The findings reported by </w:t>
      </w:r>
      <w:proofErr w:type="spellStart"/>
      <w:r w:rsidRPr="004F5796">
        <w:rPr>
          <w:sz w:val="24"/>
          <w:szCs w:val="24"/>
        </w:rPr>
        <w:t>Delclos</w:t>
      </w:r>
      <w:proofErr w:type="spellEnd"/>
      <w:r w:rsidRPr="004F5796">
        <w:rPr>
          <w:sz w:val="24"/>
          <w:szCs w:val="24"/>
        </w:rPr>
        <w:t xml:space="preserve"> and colleagues provide clues about the frequency with which exposures occur in a cohort of healthcare workers (</w:t>
      </w:r>
      <w:proofErr w:type="spellStart"/>
      <w:r w:rsidRPr="004F5796">
        <w:rPr>
          <w:sz w:val="24"/>
          <w:szCs w:val="24"/>
        </w:rPr>
        <w:t>Delclos</w:t>
      </w:r>
      <w:proofErr w:type="spellEnd"/>
      <w:r w:rsidRPr="004F5796">
        <w:rPr>
          <w:sz w:val="24"/>
          <w:szCs w:val="24"/>
        </w:rPr>
        <w:t xml:space="preserve"> 2007).  </w:t>
      </w:r>
      <w:r>
        <w:rPr>
          <w:sz w:val="24"/>
          <w:szCs w:val="24"/>
        </w:rPr>
        <w:t>F</w:t>
      </w:r>
      <w:r w:rsidRPr="004F5796">
        <w:rPr>
          <w:sz w:val="24"/>
          <w:szCs w:val="24"/>
        </w:rPr>
        <w:t>our exposures</w:t>
      </w:r>
      <w:r>
        <w:rPr>
          <w:sz w:val="24"/>
          <w:szCs w:val="24"/>
        </w:rPr>
        <w:t xml:space="preserve"> were</w:t>
      </w:r>
      <w:r w:rsidRPr="004F5796">
        <w:rPr>
          <w:sz w:val="24"/>
          <w:szCs w:val="24"/>
        </w:rPr>
        <w:t xml:space="preserve"> selected from their publication to cover a range of frequencies:  6% spills at work, 21% contact with adhesives/solvents/gases on surfaces, 46% instrument cleaning, and 71% use of cleaning agents to clean surfaces (</w:t>
      </w:r>
      <w:proofErr w:type="spellStart"/>
      <w:r w:rsidRPr="004F5796">
        <w:rPr>
          <w:sz w:val="24"/>
          <w:szCs w:val="24"/>
        </w:rPr>
        <w:t>Delclos</w:t>
      </w:r>
      <w:proofErr w:type="spellEnd"/>
      <w:r w:rsidRPr="004F5796">
        <w:rPr>
          <w:sz w:val="24"/>
          <w:szCs w:val="24"/>
        </w:rPr>
        <w:t xml:space="preserve"> 2007).  </w:t>
      </w:r>
      <w:r>
        <w:rPr>
          <w:sz w:val="24"/>
          <w:szCs w:val="24"/>
        </w:rPr>
        <w:t>A</w:t>
      </w:r>
      <w:r w:rsidRPr="004F5796">
        <w:rPr>
          <w:sz w:val="24"/>
          <w:szCs w:val="24"/>
        </w:rPr>
        <w:t xml:space="preserve"> hypothetical exposure </w:t>
      </w:r>
      <w:r>
        <w:rPr>
          <w:sz w:val="24"/>
          <w:szCs w:val="24"/>
        </w:rPr>
        <w:t>was</w:t>
      </w:r>
      <w:r w:rsidRPr="004F5796">
        <w:rPr>
          <w:sz w:val="24"/>
          <w:szCs w:val="24"/>
        </w:rPr>
        <w:t xml:space="preserve"> also considered that occurred for 12% of participants.  We used a standard formula to compute sample sizes that was developed for logistic regression with one bivariate exposure variable and one bivariate confounder (</w:t>
      </w:r>
      <w:proofErr w:type="spellStart"/>
      <w:r w:rsidRPr="004F5796">
        <w:rPr>
          <w:sz w:val="24"/>
          <w:szCs w:val="24"/>
        </w:rPr>
        <w:t>Demidenko</w:t>
      </w:r>
      <w:proofErr w:type="spellEnd"/>
      <w:r w:rsidRPr="004F5796">
        <w:rPr>
          <w:sz w:val="24"/>
          <w:szCs w:val="24"/>
        </w:rPr>
        <w:t xml:space="preserve"> 2007).  For the calculations, the confounder was based on female gender, which we estimated at 68% of the participants using findings from the prior NIOSH</w:t>
      </w:r>
      <w:r>
        <w:rPr>
          <w:sz w:val="24"/>
          <w:szCs w:val="24"/>
        </w:rPr>
        <w:t>-VA</w:t>
      </w:r>
      <w:r w:rsidRPr="004F5796">
        <w:rPr>
          <w:sz w:val="24"/>
          <w:szCs w:val="24"/>
        </w:rPr>
        <w:t xml:space="preserve"> study (Zeiss 2003).  We consistently used a power of 0.80, a significance level (alpha) of 0.05, and an odds ratio (OR) of 2.0.  Three outcomes were considered:  the prevalence of asthma-like symptoms and the 10-year incidence of asthma among all participants, and the 1-year incidence of exacerbation among those with asthma.  The findings are presented in </w:t>
      </w:r>
      <w:r w:rsidR="00CB3AAB">
        <w:rPr>
          <w:sz w:val="24"/>
          <w:szCs w:val="24"/>
        </w:rPr>
        <w:t>Table 1</w:t>
      </w:r>
      <w:r w:rsidRPr="004F5796">
        <w:rPr>
          <w:sz w:val="24"/>
          <w:szCs w:val="24"/>
        </w:rPr>
        <w:t xml:space="preserve">.  For prevalence of asthma-like symptoms and the 10-year asthma incidence, a sample size of 4400 would be sufficient for all exposure-outcome pairs considered.   For 1-year exacerbation of asthma, a sample size of </w:t>
      </w:r>
      <w:r w:rsidR="00C32450">
        <w:rPr>
          <w:sz w:val="24"/>
          <w:szCs w:val="24"/>
        </w:rPr>
        <w:t>5,000</w:t>
      </w:r>
      <w:r w:rsidRPr="004F5796">
        <w:rPr>
          <w:sz w:val="24"/>
          <w:szCs w:val="24"/>
        </w:rPr>
        <w:t xml:space="preserve"> would suffice for the three higher-prevalence exposures, but not for the two exposures considered with </w:t>
      </w:r>
      <w:r w:rsidR="0085588B" w:rsidRPr="004F5796">
        <w:rPr>
          <w:sz w:val="24"/>
          <w:szCs w:val="24"/>
        </w:rPr>
        <w:t>prevalence</w:t>
      </w:r>
      <w:r w:rsidRPr="004F5796">
        <w:rPr>
          <w:sz w:val="24"/>
          <w:szCs w:val="24"/>
        </w:rPr>
        <w:t xml:space="preserve"> less than 21%.  The sample sizes required for the lower</w:t>
      </w:r>
      <w:r>
        <w:rPr>
          <w:sz w:val="24"/>
          <w:szCs w:val="24"/>
        </w:rPr>
        <w:t>-</w:t>
      </w:r>
      <w:r w:rsidRPr="004F5796">
        <w:rPr>
          <w:sz w:val="24"/>
          <w:szCs w:val="24"/>
        </w:rPr>
        <w:t xml:space="preserve">frequency exposures for this outcome are so much larger than 5,000 (i.e., 7,750 and 14,417) that they cannot be justified.  </w:t>
      </w:r>
    </w:p>
    <w:p w:rsidR="007541F6" w:rsidRDefault="007541F6" w:rsidP="00E57490">
      <w:pPr>
        <w:spacing w:line="276" w:lineRule="auto"/>
        <w:rPr>
          <w:bCs/>
          <w:sz w:val="24"/>
          <w:szCs w:val="24"/>
        </w:rPr>
      </w:pPr>
    </w:p>
    <w:p w:rsidR="00CB3AAB" w:rsidRDefault="00CB3AAB">
      <w:pPr>
        <w:spacing w:after="200" w:line="276" w:lineRule="auto"/>
        <w:rPr>
          <w:b/>
          <w:sz w:val="24"/>
          <w:szCs w:val="24"/>
          <w:lang w:eastAsia="ja-JP"/>
        </w:rPr>
      </w:pPr>
      <w:r>
        <w:rPr>
          <w:b/>
          <w:lang w:eastAsia="ja-JP"/>
        </w:rPr>
        <w:br w:type="page"/>
      </w:r>
    </w:p>
    <w:p w:rsidR="00CB3AAB" w:rsidRPr="009466ED" w:rsidRDefault="00CB3AAB" w:rsidP="00CB3AAB">
      <w:pPr>
        <w:pStyle w:val="NormalWeb"/>
        <w:spacing w:before="0" w:beforeAutospacing="0" w:after="0" w:afterAutospacing="0"/>
        <w:rPr>
          <w:lang w:eastAsia="ja-JP"/>
        </w:rPr>
      </w:pPr>
      <w:r w:rsidRPr="009466ED">
        <w:rPr>
          <w:lang w:eastAsia="ja-JP"/>
        </w:rPr>
        <w:lastRenderedPageBreak/>
        <w:t>Table</w:t>
      </w:r>
      <w:r w:rsidR="00C06B21">
        <w:rPr>
          <w:lang w:eastAsia="ja-JP"/>
        </w:rPr>
        <w:t>1</w:t>
      </w:r>
      <w:r w:rsidRPr="009466ED">
        <w:rPr>
          <w:lang w:eastAsia="ja-JP"/>
        </w:rPr>
        <w:t xml:space="preserve">:  Sample size calculations for logistic regression, binary exposure and a binary confounder* </w:t>
      </w:r>
    </w:p>
    <w:tbl>
      <w:tblPr>
        <w:tblW w:w="9375"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355"/>
        <w:gridCol w:w="1553"/>
        <w:gridCol w:w="1878"/>
        <w:gridCol w:w="1699"/>
        <w:gridCol w:w="1890"/>
      </w:tblGrid>
      <w:tr w:rsidR="00CB3AAB" w:rsidRPr="003A155C" w:rsidTr="00EB421F">
        <w:trPr>
          <w:trHeight w:val="283"/>
        </w:trPr>
        <w:tc>
          <w:tcPr>
            <w:tcW w:w="3908" w:type="dxa"/>
            <w:gridSpan w:val="2"/>
            <w:tcBorders>
              <w:bottom w:val="nil"/>
            </w:tcBorders>
            <w:shd w:val="clear" w:color="auto" w:fill="auto"/>
            <w:noWrap/>
            <w:vAlign w:val="bottom"/>
          </w:tcPr>
          <w:p w:rsidR="00CB3AAB" w:rsidRPr="00AE2BA4" w:rsidRDefault="00CB3AAB" w:rsidP="00CB3AAB">
            <w:pPr>
              <w:jc w:val="center"/>
              <w:rPr>
                <w:b/>
                <w:bCs/>
                <w:sz w:val="22"/>
                <w:szCs w:val="22"/>
                <w:u w:val="single"/>
              </w:rPr>
            </w:pPr>
            <w:r w:rsidRPr="00AE2BA4">
              <w:rPr>
                <w:b/>
                <w:sz w:val="22"/>
                <w:szCs w:val="22"/>
                <w:u w:val="single"/>
              </w:rPr>
              <w:t>Exposures</w:t>
            </w:r>
          </w:p>
        </w:tc>
        <w:tc>
          <w:tcPr>
            <w:tcW w:w="5467" w:type="dxa"/>
            <w:gridSpan w:val="3"/>
            <w:tcBorders>
              <w:bottom w:val="nil"/>
            </w:tcBorders>
          </w:tcPr>
          <w:p w:rsidR="00CB3AAB" w:rsidRPr="00AE2BA4" w:rsidRDefault="00CB3AAB" w:rsidP="00CB3AAB">
            <w:pPr>
              <w:jc w:val="center"/>
              <w:rPr>
                <w:b/>
                <w:bCs/>
                <w:sz w:val="22"/>
                <w:szCs w:val="22"/>
                <w:u w:val="single"/>
              </w:rPr>
            </w:pPr>
            <w:r w:rsidRPr="00AE2BA4">
              <w:rPr>
                <w:b/>
                <w:bCs/>
                <w:sz w:val="22"/>
                <w:szCs w:val="22"/>
                <w:u w:val="single"/>
              </w:rPr>
              <w:t>Sample sizes with different outcomes*</w:t>
            </w:r>
          </w:p>
        </w:tc>
      </w:tr>
      <w:tr w:rsidR="00CB3AAB" w:rsidRPr="003A155C" w:rsidTr="00EB421F">
        <w:trPr>
          <w:trHeight w:val="423"/>
        </w:trPr>
        <w:tc>
          <w:tcPr>
            <w:tcW w:w="2355" w:type="dxa"/>
            <w:tcBorders>
              <w:top w:val="nil"/>
            </w:tcBorders>
            <w:shd w:val="clear" w:color="auto" w:fill="auto"/>
            <w:noWrap/>
            <w:vAlign w:val="bottom"/>
          </w:tcPr>
          <w:p w:rsidR="00CB3AAB" w:rsidRPr="003A155C" w:rsidRDefault="00CB3AAB" w:rsidP="00CB3AAB">
            <w:pPr>
              <w:jc w:val="center"/>
              <w:rPr>
                <w:b/>
                <w:bCs/>
                <w:sz w:val="22"/>
                <w:szCs w:val="22"/>
              </w:rPr>
            </w:pPr>
            <w:r>
              <w:rPr>
                <w:b/>
                <w:bCs/>
                <w:sz w:val="22"/>
                <w:szCs w:val="22"/>
              </w:rPr>
              <w:t>Type of exposure</w:t>
            </w:r>
          </w:p>
        </w:tc>
        <w:tc>
          <w:tcPr>
            <w:tcW w:w="1553" w:type="dxa"/>
            <w:tcBorders>
              <w:top w:val="nil"/>
            </w:tcBorders>
            <w:shd w:val="clear" w:color="auto" w:fill="auto"/>
            <w:noWrap/>
            <w:vAlign w:val="bottom"/>
          </w:tcPr>
          <w:p w:rsidR="00CB3AAB" w:rsidRPr="00AE2BA4" w:rsidRDefault="00CB3AAB" w:rsidP="00CB3AAB">
            <w:pPr>
              <w:jc w:val="center"/>
              <w:rPr>
                <w:b/>
                <w:sz w:val="22"/>
                <w:szCs w:val="22"/>
              </w:rPr>
            </w:pPr>
            <w:r w:rsidRPr="00AE2BA4">
              <w:rPr>
                <w:b/>
                <w:sz w:val="22"/>
                <w:szCs w:val="22"/>
              </w:rPr>
              <w:t>Exposure Prev</w:t>
            </w:r>
            <w:r>
              <w:rPr>
                <w:b/>
                <w:sz w:val="22"/>
                <w:szCs w:val="22"/>
              </w:rPr>
              <w:t>alence</w:t>
            </w:r>
            <w:r w:rsidRPr="00AE2BA4">
              <w:rPr>
                <w:b/>
                <w:sz w:val="22"/>
                <w:szCs w:val="22"/>
              </w:rPr>
              <w:t>**</w:t>
            </w:r>
          </w:p>
        </w:tc>
        <w:tc>
          <w:tcPr>
            <w:tcW w:w="1878" w:type="dxa"/>
            <w:tcBorders>
              <w:top w:val="nil"/>
            </w:tcBorders>
            <w:vAlign w:val="center"/>
          </w:tcPr>
          <w:p w:rsidR="00CB3AAB" w:rsidRPr="003A155C" w:rsidRDefault="00CB3AAB" w:rsidP="00CB3AAB">
            <w:pPr>
              <w:jc w:val="center"/>
              <w:rPr>
                <w:sz w:val="22"/>
                <w:szCs w:val="22"/>
              </w:rPr>
            </w:pPr>
            <w:r w:rsidRPr="003A155C">
              <w:rPr>
                <w:b/>
                <w:bCs/>
                <w:sz w:val="22"/>
                <w:szCs w:val="22"/>
              </w:rPr>
              <w:t>Prev</w:t>
            </w:r>
            <w:r>
              <w:rPr>
                <w:b/>
                <w:bCs/>
                <w:sz w:val="22"/>
                <w:szCs w:val="22"/>
              </w:rPr>
              <w:t>.</w:t>
            </w:r>
            <w:r w:rsidRPr="003A155C">
              <w:rPr>
                <w:b/>
                <w:bCs/>
                <w:sz w:val="22"/>
                <w:szCs w:val="22"/>
              </w:rPr>
              <w:t xml:space="preserve"> asthma-like symptoms, 0.1</w:t>
            </w:r>
            <w:r w:rsidRPr="003A155C">
              <w:rPr>
                <w:rStyle w:val="psmall1"/>
                <w:iCs/>
                <w:sz w:val="22"/>
                <w:szCs w:val="22"/>
                <w:vertAlign w:val="superscript"/>
              </w:rPr>
              <w:t>§</w:t>
            </w:r>
          </w:p>
        </w:tc>
        <w:tc>
          <w:tcPr>
            <w:tcW w:w="1699" w:type="dxa"/>
            <w:tcBorders>
              <w:top w:val="nil"/>
            </w:tcBorders>
            <w:vAlign w:val="center"/>
          </w:tcPr>
          <w:p w:rsidR="00CB3AAB" w:rsidRPr="003A155C" w:rsidRDefault="00CB3AAB" w:rsidP="00CB3AAB">
            <w:pPr>
              <w:jc w:val="center"/>
              <w:rPr>
                <w:sz w:val="22"/>
                <w:szCs w:val="22"/>
              </w:rPr>
            </w:pPr>
            <w:r w:rsidRPr="003A155C">
              <w:rPr>
                <w:b/>
                <w:bCs/>
                <w:sz w:val="22"/>
                <w:szCs w:val="22"/>
              </w:rPr>
              <w:t xml:space="preserve">10-year </w:t>
            </w:r>
            <w:r>
              <w:rPr>
                <w:b/>
                <w:bCs/>
                <w:sz w:val="22"/>
                <w:szCs w:val="22"/>
              </w:rPr>
              <w:t xml:space="preserve">asthma </w:t>
            </w:r>
            <w:r w:rsidRPr="003A155C">
              <w:rPr>
                <w:b/>
                <w:bCs/>
                <w:sz w:val="22"/>
                <w:szCs w:val="22"/>
              </w:rPr>
              <w:t>incidence</w:t>
            </w:r>
            <w:r>
              <w:rPr>
                <w:b/>
                <w:bCs/>
                <w:sz w:val="22"/>
                <w:szCs w:val="22"/>
              </w:rPr>
              <w:t>, 0.02</w:t>
            </w:r>
            <w:r w:rsidRPr="003A155C">
              <w:rPr>
                <w:bCs/>
                <w:sz w:val="22"/>
                <w:szCs w:val="22"/>
                <w:vertAlign w:val="superscript"/>
              </w:rPr>
              <w:t>†</w:t>
            </w:r>
          </w:p>
        </w:tc>
        <w:tc>
          <w:tcPr>
            <w:tcW w:w="1890" w:type="dxa"/>
            <w:tcBorders>
              <w:top w:val="nil"/>
            </w:tcBorders>
            <w:shd w:val="clear" w:color="auto" w:fill="auto"/>
            <w:noWrap/>
            <w:vAlign w:val="center"/>
          </w:tcPr>
          <w:p w:rsidR="00CB3AAB" w:rsidRPr="003A155C" w:rsidRDefault="00CB3AAB" w:rsidP="00CB3AAB">
            <w:pPr>
              <w:jc w:val="center"/>
              <w:rPr>
                <w:sz w:val="22"/>
                <w:szCs w:val="22"/>
              </w:rPr>
            </w:pPr>
            <w:r>
              <w:rPr>
                <w:b/>
                <w:bCs/>
                <w:sz w:val="22"/>
                <w:szCs w:val="22"/>
              </w:rPr>
              <w:t>1-year e</w:t>
            </w:r>
            <w:r w:rsidRPr="003A155C">
              <w:rPr>
                <w:b/>
                <w:bCs/>
                <w:sz w:val="22"/>
                <w:szCs w:val="22"/>
              </w:rPr>
              <w:t>xacerbation of asthma</w:t>
            </w:r>
            <w:r>
              <w:rPr>
                <w:b/>
                <w:bCs/>
                <w:sz w:val="22"/>
                <w:szCs w:val="22"/>
              </w:rPr>
              <w:t>, 0.24 in asthmatics</w:t>
            </w:r>
            <w:r w:rsidRPr="003A155C">
              <w:rPr>
                <w:rStyle w:val="psmall1"/>
                <w:iCs/>
                <w:sz w:val="22"/>
                <w:szCs w:val="22"/>
                <w:vertAlign w:val="superscript"/>
              </w:rPr>
              <w:t>‡</w:t>
            </w:r>
          </w:p>
        </w:tc>
      </w:tr>
      <w:tr w:rsidR="00CB3AAB" w:rsidRPr="003A155C" w:rsidTr="00EB421F">
        <w:trPr>
          <w:trHeight w:val="255"/>
        </w:trPr>
        <w:tc>
          <w:tcPr>
            <w:tcW w:w="2355" w:type="dxa"/>
            <w:shd w:val="clear" w:color="auto" w:fill="auto"/>
            <w:noWrap/>
            <w:vAlign w:val="bottom"/>
          </w:tcPr>
          <w:p w:rsidR="00CB3AAB" w:rsidRPr="003A155C" w:rsidRDefault="00CB3AAB" w:rsidP="00CB3AAB">
            <w:pPr>
              <w:jc w:val="right"/>
              <w:rPr>
                <w:sz w:val="22"/>
                <w:szCs w:val="22"/>
              </w:rPr>
            </w:pPr>
            <w:r w:rsidRPr="003A155C">
              <w:rPr>
                <w:sz w:val="22"/>
                <w:szCs w:val="22"/>
              </w:rPr>
              <w:t>Spill at work</w:t>
            </w:r>
          </w:p>
        </w:tc>
        <w:tc>
          <w:tcPr>
            <w:tcW w:w="1553" w:type="dxa"/>
            <w:shd w:val="clear" w:color="auto" w:fill="auto"/>
            <w:noWrap/>
            <w:vAlign w:val="bottom"/>
          </w:tcPr>
          <w:p w:rsidR="00CB3AAB" w:rsidRPr="003A155C" w:rsidRDefault="00CB3AAB" w:rsidP="00CB3AAB">
            <w:pPr>
              <w:jc w:val="center"/>
              <w:rPr>
                <w:sz w:val="22"/>
                <w:szCs w:val="22"/>
              </w:rPr>
            </w:pPr>
            <w:r w:rsidRPr="003A155C">
              <w:rPr>
                <w:sz w:val="22"/>
                <w:szCs w:val="22"/>
              </w:rPr>
              <w:t>0.06</w:t>
            </w:r>
          </w:p>
        </w:tc>
        <w:tc>
          <w:tcPr>
            <w:tcW w:w="1878" w:type="dxa"/>
            <w:vAlign w:val="bottom"/>
          </w:tcPr>
          <w:p w:rsidR="00CB3AAB" w:rsidRPr="003A155C" w:rsidRDefault="00CB3AAB" w:rsidP="00CB3AAB">
            <w:pPr>
              <w:jc w:val="center"/>
              <w:rPr>
                <w:sz w:val="22"/>
                <w:szCs w:val="22"/>
              </w:rPr>
            </w:pPr>
            <w:r w:rsidRPr="003A155C">
              <w:rPr>
                <w:sz w:val="22"/>
                <w:szCs w:val="22"/>
              </w:rPr>
              <w:t>1431</w:t>
            </w:r>
          </w:p>
        </w:tc>
        <w:tc>
          <w:tcPr>
            <w:tcW w:w="1699" w:type="dxa"/>
            <w:vAlign w:val="bottom"/>
          </w:tcPr>
          <w:p w:rsidR="00CB3AAB" w:rsidRPr="003A155C" w:rsidRDefault="00CB3AAB" w:rsidP="00CB3AAB">
            <w:pPr>
              <w:jc w:val="center"/>
              <w:rPr>
                <w:sz w:val="22"/>
                <w:szCs w:val="22"/>
              </w:rPr>
            </w:pPr>
            <w:r w:rsidRPr="003A155C">
              <w:rPr>
                <w:sz w:val="22"/>
                <w:szCs w:val="22"/>
              </w:rPr>
              <w:t>4376</w:t>
            </w:r>
          </w:p>
        </w:tc>
        <w:tc>
          <w:tcPr>
            <w:tcW w:w="1890" w:type="dxa"/>
            <w:shd w:val="clear" w:color="auto" w:fill="auto"/>
            <w:noWrap/>
            <w:vAlign w:val="bottom"/>
          </w:tcPr>
          <w:p w:rsidR="00CB3AAB" w:rsidRPr="003A155C" w:rsidRDefault="00CB3AAB" w:rsidP="00CB3AAB">
            <w:pPr>
              <w:jc w:val="center"/>
              <w:rPr>
                <w:sz w:val="22"/>
                <w:szCs w:val="22"/>
              </w:rPr>
            </w:pPr>
            <w:r w:rsidRPr="003A155C">
              <w:rPr>
                <w:sz w:val="22"/>
                <w:szCs w:val="22"/>
              </w:rPr>
              <w:t>14417</w:t>
            </w:r>
          </w:p>
        </w:tc>
      </w:tr>
      <w:tr w:rsidR="00CB3AAB" w:rsidRPr="003A155C" w:rsidTr="00EB421F">
        <w:trPr>
          <w:trHeight w:val="255"/>
        </w:trPr>
        <w:tc>
          <w:tcPr>
            <w:tcW w:w="2355" w:type="dxa"/>
            <w:shd w:val="clear" w:color="auto" w:fill="auto"/>
            <w:noWrap/>
            <w:vAlign w:val="bottom"/>
          </w:tcPr>
          <w:p w:rsidR="00CB3AAB" w:rsidRPr="003A155C" w:rsidRDefault="00CB3AAB" w:rsidP="00CB3AAB">
            <w:pPr>
              <w:jc w:val="right"/>
              <w:rPr>
                <w:sz w:val="22"/>
                <w:szCs w:val="22"/>
              </w:rPr>
            </w:pPr>
            <w:r w:rsidRPr="003A155C">
              <w:rPr>
                <w:sz w:val="22"/>
                <w:szCs w:val="22"/>
              </w:rPr>
              <w:t>Hypothetical</w:t>
            </w:r>
          </w:p>
        </w:tc>
        <w:tc>
          <w:tcPr>
            <w:tcW w:w="1553" w:type="dxa"/>
            <w:shd w:val="clear" w:color="auto" w:fill="auto"/>
            <w:noWrap/>
            <w:vAlign w:val="bottom"/>
          </w:tcPr>
          <w:p w:rsidR="00CB3AAB" w:rsidRPr="003A155C" w:rsidRDefault="00CB3AAB" w:rsidP="00CB3AAB">
            <w:pPr>
              <w:jc w:val="center"/>
              <w:rPr>
                <w:sz w:val="22"/>
                <w:szCs w:val="22"/>
              </w:rPr>
            </w:pPr>
            <w:r w:rsidRPr="003A155C">
              <w:rPr>
                <w:sz w:val="22"/>
                <w:szCs w:val="22"/>
              </w:rPr>
              <w:t>0.12</w:t>
            </w:r>
          </w:p>
        </w:tc>
        <w:tc>
          <w:tcPr>
            <w:tcW w:w="1878" w:type="dxa"/>
            <w:vAlign w:val="bottom"/>
          </w:tcPr>
          <w:p w:rsidR="00CB3AAB" w:rsidRPr="003A155C" w:rsidRDefault="00CB3AAB" w:rsidP="00CB3AAB">
            <w:pPr>
              <w:jc w:val="center"/>
              <w:rPr>
                <w:sz w:val="22"/>
                <w:szCs w:val="22"/>
              </w:rPr>
            </w:pPr>
            <w:r w:rsidRPr="003A155C">
              <w:rPr>
                <w:sz w:val="22"/>
                <w:szCs w:val="22"/>
              </w:rPr>
              <w:t>791</w:t>
            </w:r>
          </w:p>
        </w:tc>
        <w:tc>
          <w:tcPr>
            <w:tcW w:w="1699" w:type="dxa"/>
            <w:vAlign w:val="bottom"/>
          </w:tcPr>
          <w:p w:rsidR="00CB3AAB" w:rsidRPr="003A155C" w:rsidRDefault="00CB3AAB" w:rsidP="00CB3AAB">
            <w:pPr>
              <w:jc w:val="center"/>
              <w:rPr>
                <w:sz w:val="22"/>
                <w:szCs w:val="22"/>
              </w:rPr>
            </w:pPr>
            <w:r w:rsidRPr="003A155C">
              <w:rPr>
                <w:sz w:val="22"/>
                <w:szCs w:val="22"/>
              </w:rPr>
              <w:t>2488</w:t>
            </w:r>
          </w:p>
        </w:tc>
        <w:tc>
          <w:tcPr>
            <w:tcW w:w="1890" w:type="dxa"/>
            <w:shd w:val="clear" w:color="auto" w:fill="auto"/>
            <w:noWrap/>
            <w:vAlign w:val="bottom"/>
          </w:tcPr>
          <w:p w:rsidR="00CB3AAB" w:rsidRPr="003A155C" w:rsidRDefault="00CB3AAB" w:rsidP="00CB3AAB">
            <w:pPr>
              <w:jc w:val="center"/>
              <w:rPr>
                <w:sz w:val="22"/>
                <w:szCs w:val="22"/>
              </w:rPr>
            </w:pPr>
            <w:r w:rsidRPr="003A155C">
              <w:rPr>
                <w:sz w:val="22"/>
                <w:szCs w:val="22"/>
              </w:rPr>
              <w:t>7750</w:t>
            </w:r>
          </w:p>
        </w:tc>
      </w:tr>
      <w:tr w:rsidR="00CB3AAB" w:rsidRPr="003A155C" w:rsidTr="00EB421F">
        <w:trPr>
          <w:trHeight w:val="255"/>
        </w:trPr>
        <w:tc>
          <w:tcPr>
            <w:tcW w:w="2355" w:type="dxa"/>
            <w:shd w:val="clear" w:color="auto" w:fill="auto"/>
            <w:noWrap/>
            <w:vAlign w:val="bottom"/>
          </w:tcPr>
          <w:p w:rsidR="00CB3AAB" w:rsidRPr="003A155C" w:rsidRDefault="00CB3AAB" w:rsidP="00CB3AAB">
            <w:pPr>
              <w:jc w:val="right"/>
              <w:rPr>
                <w:sz w:val="22"/>
                <w:szCs w:val="22"/>
                <w:lang w:val="fr-FR"/>
              </w:rPr>
            </w:pPr>
            <w:proofErr w:type="spellStart"/>
            <w:r w:rsidRPr="003A155C">
              <w:rPr>
                <w:sz w:val="22"/>
                <w:szCs w:val="22"/>
                <w:lang w:val="fr-FR"/>
              </w:rPr>
              <w:t>Adhesives</w:t>
            </w:r>
            <w:proofErr w:type="spellEnd"/>
            <w:r w:rsidRPr="003A155C">
              <w:rPr>
                <w:sz w:val="22"/>
                <w:szCs w:val="22"/>
                <w:lang w:val="fr-FR"/>
              </w:rPr>
              <w:t>/</w:t>
            </w:r>
            <w:proofErr w:type="spellStart"/>
            <w:r w:rsidRPr="003A155C">
              <w:rPr>
                <w:sz w:val="22"/>
                <w:szCs w:val="22"/>
                <w:lang w:val="fr-FR"/>
              </w:rPr>
              <w:t>solvents</w:t>
            </w:r>
            <w:proofErr w:type="spellEnd"/>
            <w:r w:rsidRPr="003A155C">
              <w:rPr>
                <w:sz w:val="22"/>
                <w:szCs w:val="22"/>
                <w:lang w:val="fr-FR"/>
              </w:rPr>
              <w:t xml:space="preserve">/ </w:t>
            </w:r>
            <w:proofErr w:type="spellStart"/>
            <w:r w:rsidRPr="003A155C">
              <w:rPr>
                <w:sz w:val="22"/>
                <w:szCs w:val="22"/>
                <w:lang w:val="fr-FR"/>
              </w:rPr>
              <w:t>gases</w:t>
            </w:r>
            <w:proofErr w:type="spellEnd"/>
            <w:r>
              <w:rPr>
                <w:sz w:val="22"/>
                <w:szCs w:val="22"/>
                <w:lang w:val="fr-FR"/>
              </w:rPr>
              <w:t xml:space="preserve"> </w:t>
            </w:r>
            <w:proofErr w:type="spellStart"/>
            <w:r>
              <w:rPr>
                <w:sz w:val="22"/>
                <w:szCs w:val="22"/>
                <w:lang w:val="fr-FR"/>
              </w:rPr>
              <w:t>used</w:t>
            </w:r>
            <w:proofErr w:type="spellEnd"/>
            <w:r>
              <w:rPr>
                <w:sz w:val="22"/>
                <w:szCs w:val="22"/>
                <w:lang w:val="fr-FR"/>
              </w:rPr>
              <w:t xml:space="preserve"> </w:t>
            </w:r>
            <w:r w:rsidRPr="003A155C">
              <w:rPr>
                <w:sz w:val="22"/>
                <w:szCs w:val="22"/>
                <w:lang w:val="fr-FR"/>
              </w:rPr>
              <w:t xml:space="preserve">on </w:t>
            </w:r>
            <w:proofErr w:type="gramStart"/>
            <w:r w:rsidRPr="003A155C">
              <w:rPr>
                <w:sz w:val="22"/>
                <w:szCs w:val="22"/>
                <w:lang w:val="fr-FR"/>
              </w:rPr>
              <w:t>surfaces</w:t>
            </w:r>
            <w:proofErr w:type="gramEnd"/>
          </w:p>
        </w:tc>
        <w:tc>
          <w:tcPr>
            <w:tcW w:w="1553" w:type="dxa"/>
            <w:shd w:val="clear" w:color="auto" w:fill="auto"/>
            <w:noWrap/>
            <w:vAlign w:val="bottom"/>
          </w:tcPr>
          <w:p w:rsidR="00CB3AAB" w:rsidRPr="003A155C" w:rsidRDefault="00CB3AAB" w:rsidP="00CB3AAB">
            <w:pPr>
              <w:jc w:val="center"/>
              <w:rPr>
                <w:sz w:val="22"/>
                <w:szCs w:val="22"/>
              </w:rPr>
            </w:pPr>
            <w:r w:rsidRPr="003A155C">
              <w:rPr>
                <w:sz w:val="22"/>
                <w:szCs w:val="22"/>
              </w:rPr>
              <w:t>0.21</w:t>
            </w:r>
          </w:p>
        </w:tc>
        <w:tc>
          <w:tcPr>
            <w:tcW w:w="1878" w:type="dxa"/>
            <w:vAlign w:val="bottom"/>
          </w:tcPr>
          <w:p w:rsidR="00CB3AAB" w:rsidRPr="003A155C" w:rsidRDefault="00CB3AAB" w:rsidP="00CB3AAB">
            <w:pPr>
              <w:jc w:val="center"/>
              <w:rPr>
                <w:sz w:val="22"/>
                <w:szCs w:val="22"/>
              </w:rPr>
            </w:pPr>
            <w:r w:rsidRPr="003A155C">
              <w:rPr>
                <w:sz w:val="22"/>
                <w:szCs w:val="22"/>
              </w:rPr>
              <w:t>529</w:t>
            </w:r>
          </w:p>
        </w:tc>
        <w:tc>
          <w:tcPr>
            <w:tcW w:w="1699" w:type="dxa"/>
            <w:vAlign w:val="bottom"/>
          </w:tcPr>
          <w:p w:rsidR="00CB3AAB" w:rsidRPr="003A155C" w:rsidRDefault="00CB3AAB" w:rsidP="00CB3AAB">
            <w:pPr>
              <w:jc w:val="center"/>
              <w:rPr>
                <w:sz w:val="22"/>
                <w:szCs w:val="22"/>
              </w:rPr>
            </w:pPr>
            <w:r w:rsidRPr="003A155C">
              <w:rPr>
                <w:sz w:val="22"/>
                <w:szCs w:val="22"/>
              </w:rPr>
              <w:t>1729</w:t>
            </w:r>
          </w:p>
        </w:tc>
        <w:tc>
          <w:tcPr>
            <w:tcW w:w="1890" w:type="dxa"/>
            <w:shd w:val="clear" w:color="auto" w:fill="auto"/>
            <w:noWrap/>
            <w:vAlign w:val="bottom"/>
          </w:tcPr>
          <w:p w:rsidR="00CB3AAB" w:rsidRPr="003A155C" w:rsidRDefault="00CB3AAB" w:rsidP="00CB3AAB">
            <w:pPr>
              <w:jc w:val="center"/>
              <w:rPr>
                <w:sz w:val="22"/>
                <w:szCs w:val="22"/>
              </w:rPr>
            </w:pPr>
            <w:r w:rsidRPr="003A155C">
              <w:rPr>
                <w:sz w:val="22"/>
                <w:szCs w:val="22"/>
              </w:rPr>
              <w:t>4988</w:t>
            </w:r>
          </w:p>
        </w:tc>
      </w:tr>
      <w:tr w:rsidR="00CB3AAB" w:rsidRPr="003A155C" w:rsidTr="00EB421F">
        <w:trPr>
          <w:trHeight w:val="255"/>
        </w:trPr>
        <w:tc>
          <w:tcPr>
            <w:tcW w:w="2355" w:type="dxa"/>
            <w:shd w:val="clear" w:color="auto" w:fill="auto"/>
            <w:noWrap/>
            <w:vAlign w:val="bottom"/>
          </w:tcPr>
          <w:p w:rsidR="00CB3AAB" w:rsidRPr="003A155C" w:rsidRDefault="00CB3AAB" w:rsidP="00CB3AAB">
            <w:pPr>
              <w:jc w:val="right"/>
              <w:rPr>
                <w:sz w:val="22"/>
                <w:szCs w:val="22"/>
              </w:rPr>
            </w:pPr>
            <w:r w:rsidRPr="003A155C">
              <w:rPr>
                <w:sz w:val="22"/>
                <w:szCs w:val="22"/>
              </w:rPr>
              <w:t>Instrument cleaning</w:t>
            </w:r>
          </w:p>
        </w:tc>
        <w:tc>
          <w:tcPr>
            <w:tcW w:w="1553" w:type="dxa"/>
            <w:shd w:val="clear" w:color="auto" w:fill="auto"/>
            <w:noWrap/>
            <w:vAlign w:val="bottom"/>
          </w:tcPr>
          <w:p w:rsidR="00CB3AAB" w:rsidRPr="003A155C" w:rsidRDefault="00CB3AAB" w:rsidP="00CB3AAB">
            <w:pPr>
              <w:jc w:val="center"/>
              <w:rPr>
                <w:sz w:val="22"/>
                <w:szCs w:val="22"/>
              </w:rPr>
            </w:pPr>
            <w:r w:rsidRPr="003A155C">
              <w:rPr>
                <w:sz w:val="22"/>
                <w:szCs w:val="22"/>
              </w:rPr>
              <w:t>0.46</w:t>
            </w:r>
          </w:p>
        </w:tc>
        <w:tc>
          <w:tcPr>
            <w:tcW w:w="1878" w:type="dxa"/>
            <w:vAlign w:val="bottom"/>
          </w:tcPr>
          <w:p w:rsidR="00CB3AAB" w:rsidRPr="003A155C" w:rsidRDefault="00CB3AAB" w:rsidP="00CB3AAB">
            <w:pPr>
              <w:jc w:val="center"/>
              <w:rPr>
                <w:sz w:val="22"/>
                <w:szCs w:val="22"/>
              </w:rPr>
            </w:pPr>
            <w:r w:rsidRPr="003A155C">
              <w:rPr>
                <w:sz w:val="22"/>
                <w:szCs w:val="22"/>
              </w:rPr>
              <w:t>403</w:t>
            </w:r>
          </w:p>
        </w:tc>
        <w:tc>
          <w:tcPr>
            <w:tcW w:w="1699" w:type="dxa"/>
            <w:vAlign w:val="bottom"/>
          </w:tcPr>
          <w:p w:rsidR="00CB3AAB" w:rsidRPr="003A155C" w:rsidRDefault="00CB3AAB" w:rsidP="00CB3AAB">
            <w:pPr>
              <w:jc w:val="center"/>
              <w:rPr>
                <w:sz w:val="22"/>
                <w:szCs w:val="22"/>
              </w:rPr>
            </w:pPr>
            <w:r w:rsidRPr="003A155C">
              <w:rPr>
                <w:sz w:val="22"/>
                <w:szCs w:val="22"/>
              </w:rPr>
              <w:t>1433</w:t>
            </w:r>
          </w:p>
        </w:tc>
        <w:tc>
          <w:tcPr>
            <w:tcW w:w="1890" w:type="dxa"/>
            <w:shd w:val="clear" w:color="auto" w:fill="auto"/>
            <w:noWrap/>
            <w:vAlign w:val="bottom"/>
          </w:tcPr>
          <w:p w:rsidR="00CB3AAB" w:rsidRPr="003A155C" w:rsidRDefault="00CB3AAB" w:rsidP="00CB3AAB">
            <w:pPr>
              <w:jc w:val="center"/>
              <w:rPr>
                <w:sz w:val="22"/>
                <w:szCs w:val="22"/>
              </w:rPr>
            </w:pPr>
            <w:r w:rsidRPr="003A155C">
              <w:rPr>
                <w:sz w:val="22"/>
                <w:szCs w:val="22"/>
              </w:rPr>
              <w:t>3429</w:t>
            </w:r>
          </w:p>
        </w:tc>
      </w:tr>
      <w:tr w:rsidR="00CB3AAB" w:rsidRPr="003A155C" w:rsidTr="00EB421F">
        <w:trPr>
          <w:trHeight w:val="255"/>
        </w:trPr>
        <w:tc>
          <w:tcPr>
            <w:tcW w:w="2355" w:type="dxa"/>
            <w:shd w:val="clear" w:color="auto" w:fill="auto"/>
            <w:noWrap/>
            <w:vAlign w:val="bottom"/>
          </w:tcPr>
          <w:p w:rsidR="00CB3AAB" w:rsidRPr="003A155C" w:rsidRDefault="00CB3AAB" w:rsidP="00CB3AAB">
            <w:pPr>
              <w:jc w:val="right"/>
              <w:rPr>
                <w:sz w:val="22"/>
                <w:szCs w:val="22"/>
              </w:rPr>
            </w:pPr>
            <w:r w:rsidRPr="003A155C">
              <w:rPr>
                <w:sz w:val="22"/>
                <w:szCs w:val="22"/>
              </w:rPr>
              <w:t>Cleaning surfaces</w:t>
            </w:r>
          </w:p>
        </w:tc>
        <w:tc>
          <w:tcPr>
            <w:tcW w:w="1553" w:type="dxa"/>
            <w:shd w:val="clear" w:color="auto" w:fill="auto"/>
            <w:noWrap/>
            <w:vAlign w:val="bottom"/>
          </w:tcPr>
          <w:p w:rsidR="00CB3AAB" w:rsidRPr="003A155C" w:rsidRDefault="00CB3AAB" w:rsidP="00CB3AAB">
            <w:pPr>
              <w:jc w:val="center"/>
              <w:rPr>
                <w:sz w:val="22"/>
                <w:szCs w:val="22"/>
              </w:rPr>
            </w:pPr>
            <w:r w:rsidRPr="003A155C">
              <w:rPr>
                <w:sz w:val="22"/>
                <w:szCs w:val="22"/>
              </w:rPr>
              <w:t>0.71</w:t>
            </w:r>
          </w:p>
        </w:tc>
        <w:tc>
          <w:tcPr>
            <w:tcW w:w="1878" w:type="dxa"/>
            <w:vAlign w:val="bottom"/>
          </w:tcPr>
          <w:p w:rsidR="00CB3AAB" w:rsidRPr="003A155C" w:rsidRDefault="00CB3AAB" w:rsidP="00CB3AAB">
            <w:pPr>
              <w:jc w:val="center"/>
              <w:rPr>
                <w:sz w:val="22"/>
                <w:szCs w:val="22"/>
              </w:rPr>
            </w:pPr>
            <w:r w:rsidRPr="003A155C">
              <w:rPr>
                <w:sz w:val="22"/>
                <w:szCs w:val="22"/>
              </w:rPr>
              <w:t>548</w:t>
            </w:r>
          </w:p>
        </w:tc>
        <w:tc>
          <w:tcPr>
            <w:tcW w:w="1699" w:type="dxa"/>
            <w:vAlign w:val="bottom"/>
          </w:tcPr>
          <w:p w:rsidR="00CB3AAB" w:rsidRPr="003A155C" w:rsidRDefault="00CB3AAB" w:rsidP="00CB3AAB">
            <w:pPr>
              <w:jc w:val="center"/>
              <w:rPr>
                <w:sz w:val="22"/>
                <w:szCs w:val="22"/>
              </w:rPr>
            </w:pPr>
            <w:r w:rsidRPr="003A155C">
              <w:rPr>
                <w:sz w:val="22"/>
                <w:szCs w:val="22"/>
              </w:rPr>
              <w:t>2081</w:t>
            </w:r>
          </w:p>
        </w:tc>
        <w:tc>
          <w:tcPr>
            <w:tcW w:w="1890" w:type="dxa"/>
            <w:shd w:val="clear" w:color="auto" w:fill="auto"/>
            <w:noWrap/>
            <w:vAlign w:val="bottom"/>
          </w:tcPr>
          <w:p w:rsidR="00CB3AAB" w:rsidRPr="003A155C" w:rsidRDefault="00CB3AAB" w:rsidP="00CB3AAB">
            <w:pPr>
              <w:jc w:val="center"/>
              <w:rPr>
                <w:sz w:val="22"/>
                <w:szCs w:val="22"/>
              </w:rPr>
            </w:pPr>
            <w:r w:rsidRPr="003A155C">
              <w:rPr>
                <w:sz w:val="22"/>
                <w:szCs w:val="22"/>
              </w:rPr>
              <w:t>4262</w:t>
            </w:r>
          </w:p>
        </w:tc>
      </w:tr>
    </w:tbl>
    <w:p w:rsidR="00CB3AAB" w:rsidRPr="002C250F" w:rsidRDefault="00CB3AAB" w:rsidP="00CB3AAB">
      <w:pPr>
        <w:ind w:firstLine="708"/>
        <w:rPr>
          <w:szCs w:val="24"/>
          <w:lang w:eastAsia="ja-JP"/>
        </w:rPr>
      </w:pPr>
      <w:r w:rsidRPr="002C250F">
        <w:rPr>
          <w:bCs/>
          <w:szCs w:val="24"/>
        </w:rPr>
        <w:t>* For these calculations,</w:t>
      </w:r>
      <w:r w:rsidRPr="002C250F">
        <w:rPr>
          <w:szCs w:val="24"/>
          <w:lang w:eastAsia="ja-JP"/>
        </w:rPr>
        <w:t xml:space="preserve"> power=0.80 and statistical significance=0.05 to detect an odds ratio (OR) of 2.0 for the exposure.  For the confounder, we assumed:  a prevalence of 68%, based on the prevalence of female gender as observed in VA-NIOSH study (Zeiss 2003); OR=2.3, </w:t>
      </w:r>
      <w:r>
        <w:rPr>
          <w:szCs w:val="24"/>
          <w:lang w:eastAsia="ja-JP"/>
        </w:rPr>
        <w:t>a</w:t>
      </w:r>
      <w:r w:rsidRPr="002C250F">
        <w:rPr>
          <w:szCs w:val="24"/>
          <w:lang w:eastAsia="ja-JP"/>
        </w:rPr>
        <w:t xml:space="preserve">s based on the association of female gender with the prevalence of asthma from the study by </w:t>
      </w:r>
      <w:proofErr w:type="spellStart"/>
      <w:r w:rsidRPr="002C250F">
        <w:rPr>
          <w:szCs w:val="24"/>
          <w:lang w:eastAsia="ja-JP"/>
        </w:rPr>
        <w:t>Delclos</w:t>
      </w:r>
      <w:proofErr w:type="spellEnd"/>
      <w:r w:rsidRPr="002C250F">
        <w:rPr>
          <w:szCs w:val="24"/>
          <w:lang w:eastAsia="ja-JP"/>
        </w:rPr>
        <w:t xml:space="preserve"> and colleagues (</w:t>
      </w:r>
      <w:proofErr w:type="spellStart"/>
      <w:r w:rsidRPr="002C250F">
        <w:rPr>
          <w:szCs w:val="24"/>
          <w:lang w:eastAsia="ja-JP"/>
        </w:rPr>
        <w:t>Delclos</w:t>
      </w:r>
      <w:proofErr w:type="spellEnd"/>
      <w:r w:rsidRPr="002C250F">
        <w:rPr>
          <w:szCs w:val="24"/>
          <w:lang w:eastAsia="ja-JP"/>
        </w:rPr>
        <w:t xml:space="preserve"> 2007); and OR=2.0 for the relationship between gender and the exposure.  </w:t>
      </w:r>
      <w:r>
        <w:rPr>
          <w:szCs w:val="24"/>
          <w:lang w:eastAsia="ja-JP"/>
        </w:rPr>
        <w:t xml:space="preserve">The estimated frequency of </w:t>
      </w:r>
      <w:r w:rsidRPr="00AE2BA4">
        <w:rPr>
          <w:bCs/>
        </w:rPr>
        <w:t>the different outcomes assumes there is no exposure and the confounder=0</w:t>
      </w:r>
    </w:p>
    <w:p w:rsidR="00CB3AAB" w:rsidRDefault="00CB3AAB" w:rsidP="00CB3AAB">
      <w:pPr>
        <w:ind w:firstLine="708"/>
        <w:rPr>
          <w:szCs w:val="24"/>
          <w:lang w:eastAsia="ja-JP"/>
        </w:rPr>
      </w:pPr>
      <w:r>
        <w:rPr>
          <w:szCs w:val="24"/>
          <w:lang w:eastAsia="ja-JP"/>
        </w:rPr>
        <w:t>** Exposure prevalence</w:t>
      </w:r>
      <w:r w:rsidRPr="00384BB6">
        <w:rPr>
          <w:szCs w:val="24"/>
          <w:lang w:eastAsia="ja-JP"/>
        </w:rPr>
        <w:t xml:space="preserve"> </w:t>
      </w:r>
      <w:r w:rsidRPr="002C250F">
        <w:rPr>
          <w:szCs w:val="24"/>
          <w:lang w:eastAsia="ja-JP"/>
        </w:rPr>
        <w:t xml:space="preserve">based on </w:t>
      </w:r>
      <w:r>
        <w:rPr>
          <w:szCs w:val="24"/>
          <w:lang w:eastAsia="ja-JP"/>
        </w:rPr>
        <w:t>findings from</w:t>
      </w:r>
      <w:r w:rsidRPr="002C250F">
        <w:rPr>
          <w:szCs w:val="24"/>
          <w:lang w:eastAsia="ja-JP"/>
        </w:rPr>
        <w:t xml:space="preserve"> study by </w:t>
      </w:r>
      <w:proofErr w:type="spellStart"/>
      <w:r w:rsidRPr="002C250F">
        <w:rPr>
          <w:szCs w:val="24"/>
          <w:lang w:eastAsia="ja-JP"/>
        </w:rPr>
        <w:t>Delclos</w:t>
      </w:r>
      <w:proofErr w:type="spellEnd"/>
      <w:r w:rsidRPr="002C250F">
        <w:rPr>
          <w:szCs w:val="24"/>
          <w:lang w:eastAsia="ja-JP"/>
        </w:rPr>
        <w:t xml:space="preserve"> (</w:t>
      </w:r>
      <w:proofErr w:type="spellStart"/>
      <w:r w:rsidRPr="002C250F">
        <w:rPr>
          <w:szCs w:val="24"/>
          <w:lang w:eastAsia="ja-JP"/>
        </w:rPr>
        <w:t>Delclos</w:t>
      </w:r>
      <w:proofErr w:type="spellEnd"/>
      <w:r w:rsidRPr="002C250F">
        <w:rPr>
          <w:szCs w:val="24"/>
          <w:lang w:eastAsia="ja-JP"/>
        </w:rPr>
        <w:t xml:space="preserve"> 2007)</w:t>
      </w:r>
      <w:r>
        <w:rPr>
          <w:szCs w:val="24"/>
          <w:lang w:eastAsia="ja-JP"/>
        </w:rPr>
        <w:t xml:space="preserve">, except for </w:t>
      </w:r>
      <w:r w:rsidRPr="002C250F">
        <w:rPr>
          <w:szCs w:val="24"/>
          <w:lang w:eastAsia="ja-JP"/>
        </w:rPr>
        <w:t>hypothetical 0.12</w:t>
      </w:r>
    </w:p>
    <w:p w:rsidR="00CB3AAB" w:rsidRPr="002C250F" w:rsidRDefault="00CB3AAB" w:rsidP="00CB3AAB">
      <w:pPr>
        <w:ind w:firstLine="708"/>
        <w:rPr>
          <w:bCs/>
          <w:szCs w:val="24"/>
        </w:rPr>
      </w:pPr>
      <w:r w:rsidRPr="002C250F">
        <w:rPr>
          <w:bCs/>
          <w:szCs w:val="24"/>
          <w:vertAlign w:val="superscript"/>
        </w:rPr>
        <w:t>†</w:t>
      </w:r>
      <w:r w:rsidRPr="002C250F">
        <w:rPr>
          <w:bCs/>
          <w:szCs w:val="24"/>
        </w:rPr>
        <w:t xml:space="preserve"> The 10-year incidence of asthma for adults is approximately 0.04 based on data from the National Health Interview Survey, 1980-1996 (Rudd 2007)</w:t>
      </w:r>
      <w:r>
        <w:rPr>
          <w:bCs/>
          <w:szCs w:val="24"/>
        </w:rPr>
        <w:t>.  We assumed incidence=0.02 if no exposure and confounder=0</w:t>
      </w:r>
      <w:r w:rsidRPr="002C250F">
        <w:rPr>
          <w:bCs/>
          <w:szCs w:val="24"/>
        </w:rPr>
        <w:t>.</w:t>
      </w:r>
    </w:p>
    <w:p w:rsidR="00CB3AAB" w:rsidRDefault="00CB3AAB" w:rsidP="00CB3AAB">
      <w:pPr>
        <w:ind w:firstLine="708"/>
        <w:rPr>
          <w:rStyle w:val="psmall1"/>
          <w:iCs/>
          <w:szCs w:val="24"/>
        </w:rPr>
      </w:pPr>
      <w:r w:rsidRPr="002C250F">
        <w:rPr>
          <w:rStyle w:val="psmall1"/>
          <w:iCs/>
          <w:szCs w:val="24"/>
          <w:vertAlign w:val="superscript"/>
        </w:rPr>
        <w:t xml:space="preserve">‡ </w:t>
      </w:r>
      <w:r w:rsidRPr="002C250F">
        <w:rPr>
          <w:bCs/>
          <w:szCs w:val="24"/>
        </w:rPr>
        <w:t xml:space="preserve">From the NIOSH Workplace Exacerbation of Asthma study, </w:t>
      </w:r>
      <w:r>
        <w:rPr>
          <w:bCs/>
          <w:szCs w:val="24"/>
        </w:rPr>
        <w:t>0.43</w:t>
      </w:r>
      <w:r w:rsidRPr="002C250F">
        <w:rPr>
          <w:bCs/>
          <w:szCs w:val="24"/>
        </w:rPr>
        <w:t xml:space="preserve"> of adults with asthma reported an exacerbation event (i.e., unplanned care for asthma) in the past 12 months (Henneberger 2008).  </w:t>
      </w:r>
      <w:r>
        <w:rPr>
          <w:bCs/>
          <w:szCs w:val="24"/>
        </w:rPr>
        <w:t>We assumed 1-year cumulative incidence=0.24 in those unexposed asthmatics with confounder=0</w:t>
      </w:r>
      <w:r w:rsidRPr="002C250F">
        <w:rPr>
          <w:bCs/>
          <w:szCs w:val="24"/>
        </w:rPr>
        <w:t>.</w:t>
      </w:r>
      <w:r>
        <w:rPr>
          <w:bCs/>
          <w:szCs w:val="24"/>
        </w:rPr>
        <w:t xml:space="preserve">  To derive the total number of participants needed, w</w:t>
      </w:r>
      <w:r w:rsidRPr="002C250F">
        <w:rPr>
          <w:bCs/>
          <w:szCs w:val="24"/>
        </w:rPr>
        <w:t xml:space="preserve">e first calculated the number of </w:t>
      </w:r>
      <w:r>
        <w:rPr>
          <w:bCs/>
          <w:szCs w:val="24"/>
        </w:rPr>
        <w:t xml:space="preserve">asthma </w:t>
      </w:r>
      <w:r w:rsidRPr="002C250F">
        <w:rPr>
          <w:bCs/>
          <w:szCs w:val="24"/>
        </w:rPr>
        <w:t xml:space="preserve">cases needed, then derived the total number of participants by assuming </w:t>
      </w:r>
      <w:r>
        <w:rPr>
          <w:bCs/>
          <w:szCs w:val="24"/>
        </w:rPr>
        <w:t xml:space="preserve">current asthma </w:t>
      </w:r>
      <w:r w:rsidRPr="002C250F">
        <w:rPr>
          <w:bCs/>
          <w:szCs w:val="24"/>
        </w:rPr>
        <w:t>prevalence</w:t>
      </w:r>
      <w:r>
        <w:rPr>
          <w:bCs/>
          <w:szCs w:val="24"/>
        </w:rPr>
        <w:t>=</w:t>
      </w:r>
      <w:r w:rsidRPr="002C250F">
        <w:rPr>
          <w:bCs/>
          <w:szCs w:val="24"/>
        </w:rPr>
        <w:t xml:space="preserve">8.4% </w:t>
      </w:r>
      <w:r w:rsidRPr="002C250F">
        <w:rPr>
          <w:rStyle w:val="psmall1"/>
          <w:iCs/>
          <w:szCs w:val="24"/>
        </w:rPr>
        <w:t>(CDC 2007).</w:t>
      </w:r>
      <w:r>
        <w:rPr>
          <w:rStyle w:val="psmall1"/>
          <w:iCs/>
          <w:szCs w:val="24"/>
        </w:rPr>
        <w:t xml:space="preserve">  </w:t>
      </w:r>
    </w:p>
    <w:p w:rsidR="00CB3AAB" w:rsidRDefault="00CB3AAB" w:rsidP="00CB3AAB">
      <w:pPr>
        <w:ind w:firstLine="708"/>
        <w:rPr>
          <w:bCs/>
          <w:szCs w:val="24"/>
        </w:rPr>
      </w:pPr>
      <w:r w:rsidRPr="002C250F">
        <w:rPr>
          <w:rStyle w:val="psmall1"/>
          <w:iCs/>
          <w:szCs w:val="24"/>
          <w:vertAlign w:val="superscript"/>
        </w:rPr>
        <w:t xml:space="preserve">§ </w:t>
      </w:r>
      <w:r w:rsidRPr="002C250F">
        <w:rPr>
          <w:bCs/>
          <w:szCs w:val="24"/>
        </w:rPr>
        <w:t xml:space="preserve">Based on unpublished data from </w:t>
      </w:r>
      <w:r>
        <w:rPr>
          <w:bCs/>
          <w:szCs w:val="24"/>
        </w:rPr>
        <w:t>a</w:t>
      </w:r>
      <w:r w:rsidRPr="002C250F">
        <w:rPr>
          <w:bCs/>
          <w:szCs w:val="24"/>
        </w:rPr>
        <w:t xml:space="preserve"> NIOSH</w:t>
      </w:r>
      <w:r>
        <w:rPr>
          <w:bCs/>
          <w:szCs w:val="24"/>
        </w:rPr>
        <w:t>-VA</w:t>
      </w:r>
      <w:r w:rsidRPr="002C250F">
        <w:rPr>
          <w:bCs/>
          <w:szCs w:val="24"/>
        </w:rPr>
        <w:t xml:space="preserve"> study of healthcare workers in 3 VA medical centers</w:t>
      </w:r>
      <w:r>
        <w:rPr>
          <w:bCs/>
          <w:szCs w:val="24"/>
        </w:rPr>
        <w:t>, in which</w:t>
      </w:r>
      <w:r w:rsidRPr="002C250F">
        <w:rPr>
          <w:bCs/>
          <w:szCs w:val="24"/>
        </w:rPr>
        <w:t xml:space="preserve"> 19% of participants reported an asthma-like symptom</w:t>
      </w:r>
      <w:r w:rsidRPr="00D24595">
        <w:t xml:space="preserve"> (Zeiss 2003)</w:t>
      </w:r>
      <w:r w:rsidRPr="00D24595">
        <w:rPr>
          <w:bCs/>
        </w:rPr>
        <w:t xml:space="preserve">.  </w:t>
      </w:r>
      <w:r>
        <w:rPr>
          <w:bCs/>
          <w:szCs w:val="24"/>
        </w:rPr>
        <w:t xml:space="preserve">We assumed prevalence= 0.10 if no exposure and confounder=0. </w:t>
      </w:r>
      <w:r w:rsidRPr="00194745">
        <w:rPr>
          <w:bCs/>
          <w:szCs w:val="24"/>
          <w:u w:val="single"/>
        </w:rPr>
        <w:t xml:space="preserve">       </w:t>
      </w:r>
    </w:p>
    <w:p w:rsidR="00CB3AAB" w:rsidRDefault="00CB3AAB" w:rsidP="00E57490">
      <w:pPr>
        <w:spacing w:line="276" w:lineRule="auto"/>
        <w:rPr>
          <w:bCs/>
          <w:sz w:val="24"/>
          <w:szCs w:val="24"/>
        </w:rPr>
      </w:pPr>
    </w:p>
    <w:p w:rsidR="00CB3AAB" w:rsidRDefault="00CB3AAB" w:rsidP="00E57490">
      <w:pPr>
        <w:spacing w:line="276" w:lineRule="auto"/>
        <w:rPr>
          <w:bCs/>
          <w:sz w:val="24"/>
          <w:szCs w:val="24"/>
        </w:rPr>
      </w:pPr>
    </w:p>
    <w:p w:rsidR="00CB3AAB" w:rsidRDefault="00754BDA" w:rsidP="00CB3AAB">
      <w:pPr>
        <w:spacing w:line="276" w:lineRule="auto"/>
        <w:rPr>
          <w:b/>
        </w:rPr>
      </w:pPr>
      <w:r>
        <w:rPr>
          <w:b/>
          <w:sz w:val="24"/>
          <w:szCs w:val="24"/>
        </w:rPr>
        <w:t>3.</w:t>
      </w:r>
      <w:r>
        <w:rPr>
          <w:b/>
          <w:sz w:val="24"/>
          <w:szCs w:val="24"/>
        </w:rPr>
        <w:tab/>
      </w:r>
      <w:r w:rsidR="007541F6" w:rsidRPr="007541F6">
        <w:rPr>
          <w:b/>
          <w:sz w:val="24"/>
          <w:szCs w:val="24"/>
        </w:rPr>
        <w:t>Methods to Maximize the Response Rates to Deal with Nonresponse</w:t>
      </w:r>
      <w:r w:rsidR="007541F6" w:rsidRPr="007541F6">
        <w:rPr>
          <w:b/>
        </w:rPr>
        <w:t xml:space="preserve"> </w:t>
      </w:r>
    </w:p>
    <w:p w:rsidR="00CB3AAB" w:rsidRDefault="00CB3AAB" w:rsidP="00CB3AAB">
      <w:pPr>
        <w:spacing w:line="276" w:lineRule="auto"/>
        <w:rPr>
          <w:b/>
        </w:rPr>
      </w:pPr>
    </w:p>
    <w:p w:rsidR="007541F6" w:rsidRPr="00CB3AAB" w:rsidRDefault="003400A8" w:rsidP="00CB3AAB">
      <w:pPr>
        <w:spacing w:line="276" w:lineRule="auto"/>
        <w:ind w:firstLine="720"/>
        <w:rPr>
          <w:b/>
        </w:rPr>
      </w:pPr>
      <w:r>
        <w:rPr>
          <w:sz w:val="24"/>
          <w:szCs w:val="24"/>
        </w:rPr>
        <w:t xml:space="preserve">In order to maximize the response rates, a standard recruitment process will be implemented. All communication with potential participants will be done through </w:t>
      </w:r>
      <w:r w:rsidR="00280D11">
        <w:rPr>
          <w:sz w:val="24"/>
          <w:szCs w:val="24"/>
        </w:rPr>
        <w:t>1199</w:t>
      </w:r>
      <w:r>
        <w:rPr>
          <w:sz w:val="24"/>
          <w:szCs w:val="24"/>
        </w:rPr>
        <w:t>SEIU or the SEIU CC. At no time will direct contact between NIOSH and the union members take place.</w:t>
      </w:r>
    </w:p>
    <w:p w:rsidR="003400A8" w:rsidRDefault="003400A8" w:rsidP="003400A8">
      <w:pPr>
        <w:rPr>
          <w:sz w:val="24"/>
          <w:szCs w:val="24"/>
        </w:rPr>
      </w:pPr>
    </w:p>
    <w:p w:rsidR="003400A8" w:rsidRDefault="003400A8" w:rsidP="003400A8">
      <w:pPr>
        <w:rPr>
          <w:sz w:val="24"/>
          <w:szCs w:val="24"/>
        </w:rPr>
      </w:pPr>
      <w:r>
        <w:rPr>
          <w:sz w:val="24"/>
          <w:szCs w:val="24"/>
        </w:rPr>
        <w:tab/>
        <w:t xml:space="preserve">An initial recruitment letter, briefly introducing the study will be sent to </w:t>
      </w:r>
      <w:r w:rsidR="00DC4565">
        <w:rPr>
          <w:sz w:val="24"/>
          <w:szCs w:val="24"/>
        </w:rPr>
        <w:t xml:space="preserve">a sample of </w:t>
      </w:r>
      <w:r w:rsidR="00C32450">
        <w:rPr>
          <w:sz w:val="24"/>
          <w:szCs w:val="24"/>
        </w:rPr>
        <w:t>6,250</w:t>
      </w:r>
      <w:r>
        <w:rPr>
          <w:sz w:val="24"/>
          <w:szCs w:val="24"/>
        </w:rPr>
        <w:t xml:space="preserve"> </w:t>
      </w:r>
      <w:r w:rsidR="00280D11">
        <w:rPr>
          <w:sz w:val="24"/>
          <w:szCs w:val="24"/>
        </w:rPr>
        <w:t>1199</w:t>
      </w:r>
      <w:r>
        <w:rPr>
          <w:sz w:val="24"/>
          <w:szCs w:val="24"/>
        </w:rPr>
        <w:t xml:space="preserve">SEIU members. At the same time, a short description of the study and its purpose will be posted in the </w:t>
      </w:r>
      <w:r w:rsidR="00280D11">
        <w:rPr>
          <w:sz w:val="24"/>
          <w:szCs w:val="24"/>
        </w:rPr>
        <w:t>1199</w:t>
      </w:r>
      <w:r>
        <w:rPr>
          <w:sz w:val="24"/>
          <w:szCs w:val="24"/>
        </w:rPr>
        <w:t>SEIU newsletter.</w:t>
      </w:r>
      <w:r w:rsidRPr="003400A8">
        <w:rPr>
          <w:sz w:val="24"/>
          <w:szCs w:val="24"/>
        </w:rPr>
        <w:t xml:space="preserve"> One week after the introductory</w:t>
      </w:r>
      <w:r>
        <w:rPr>
          <w:sz w:val="24"/>
          <w:szCs w:val="24"/>
        </w:rPr>
        <w:t xml:space="preserve"> recruitment</w:t>
      </w:r>
      <w:r w:rsidRPr="003400A8">
        <w:rPr>
          <w:sz w:val="24"/>
          <w:szCs w:val="24"/>
        </w:rPr>
        <w:t xml:space="preserve"> letter</w:t>
      </w:r>
      <w:r>
        <w:rPr>
          <w:sz w:val="24"/>
          <w:szCs w:val="24"/>
        </w:rPr>
        <w:t>,</w:t>
      </w:r>
      <w:r w:rsidRPr="003400A8">
        <w:rPr>
          <w:sz w:val="24"/>
          <w:szCs w:val="24"/>
        </w:rPr>
        <w:t xml:space="preserve"> a second mailing will be initiated by </w:t>
      </w:r>
      <w:r w:rsidR="00280D11" w:rsidRPr="003400A8">
        <w:rPr>
          <w:sz w:val="24"/>
          <w:szCs w:val="24"/>
        </w:rPr>
        <w:t>1199</w:t>
      </w:r>
      <w:r w:rsidRPr="003400A8">
        <w:rPr>
          <w:sz w:val="24"/>
          <w:szCs w:val="24"/>
        </w:rPr>
        <w:t xml:space="preserve">SEIU. The second mailing will include a letter requesting participation, instructions how to complete the Asthma-in-Health-Care </w:t>
      </w:r>
      <w:r w:rsidR="00B66196">
        <w:rPr>
          <w:sz w:val="24"/>
          <w:szCs w:val="24"/>
        </w:rPr>
        <w:t>survey</w:t>
      </w:r>
      <w:r>
        <w:rPr>
          <w:sz w:val="24"/>
          <w:szCs w:val="24"/>
        </w:rPr>
        <w:t xml:space="preserve">, and </w:t>
      </w:r>
      <w:r w:rsidRPr="003400A8">
        <w:rPr>
          <w:sz w:val="24"/>
          <w:szCs w:val="24"/>
        </w:rPr>
        <w:t xml:space="preserve">the informed consent </w:t>
      </w:r>
      <w:r w:rsidR="006D081C">
        <w:rPr>
          <w:sz w:val="24"/>
          <w:szCs w:val="24"/>
        </w:rPr>
        <w:t>information</w:t>
      </w:r>
      <w:r w:rsidR="00171DE0">
        <w:rPr>
          <w:sz w:val="24"/>
          <w:szCs w:val="24"/>
        </w:rPr>
        <w:t xml:space="preserve">. </w:t>
      </w:r>
    </w:p>
    <w:p w:rsidR="003400A8" w:rsidRPr="003400A8" w:rsidRDefault="003400A8" w:rsidP="003400A8">
      <w:pPr>
        <w:rPr>
          <w:sz w:val="24"/>
          <w:szCs w:val="24"/>
        </w:rPr>
      </w:pPr>
    </w:p>
    <w:p w:rsidR="00DC4565" w:rsidRPr="003400A8" w:rsidRDefault="003400A8" w:rsidP="003400A8">
      <w:pPr>
        <w:rPr>
          <w:sz w:val="24"/>
          <w:szCs w:val="24"/>
        </w:rPr>
      </w:pPr>
      <w:r w:rsidRPr="003400A8">
        <w:rPr>
          <w:sz w:val="24"/>
          <w:szCs w:val="24"/>
        </w:rPr>
        <w:tab/>
        <w:t xml:space="preserve">Two weeks after the second mailing, potential participants who have not completed the </w:t>
      </w:r>
      <w:r w:rsidR="00B66196">
        <w:rPr>
          <w:sz w:val="24"/>
          <w:szCs w:val="24"/>
        </w:rPr>
        <w:t>survey</w:t>
      </w:r>
      <w:r w:rsidRPr="003400A8">
        <w:rPr>
          <w:sz w:val="24"/>
          <w:szCs w:val="24"/>
        </w:rPr>
        <w:t xml:space="preserve"> online or by phone will be sent a reminder post card instructing union members interested in participating to complete the </w:t>
      </w:r>
      <w:r w:rsidR="00B66196">
        <w:rPr>
          <w:sz w:val="24"/>
          <w:szCs w:val="24"/>
        </w:rPr>
        <w:t>survey</w:t>
      </w:r>
      <w:r w:rsidRPr="003400A8">
        <w:rPr>
          <w:sz w:val="24"/>
          <w:szCs w:val="24"/>
        </w:rPr>
        <w:t xml:space="preserve"> online. At this time, phone calls will also be initiated by </w:t>
      </w:r>
      <w:r w:rsidRPr="003400A8">
        <w:rPr>
          <w:sz w:val="24"/>
          <w:szCs w:val="24"/>
        </w:rPr>
        <w:lastRenderedPageBreak/>
        <w:t xml:space="preserve">the SEIU CC contacting </w:t>
      </w:r>
      <w:r>
        <w:rPr>
          <w:sz w:val="24"/>
          <w:szCs w:val="24"/>
        </w:rPr>
        <w:t>union members</w:t>
      </w:r>
      <w:r w:rsidRPr="003400A8">
        <w:rPr>
          <w:sz w:val="24"/>
          <w:szCs w:val="24"/>
        </w:rPr>
        <w:t xml:space="preserve"> who have not completed the online </w:t>
      </w:r>
      <w:r w:rsidR="00B66196">
        <w:rPr>
          <w:sz w:val="24"/>
          <w:szCs w:val="24"/>
        </w:rPr>
        <w:t>survey</w:t>
      </w:r>
      <w:r w:rsidRPr="003400A8">
        <w:rPr>
          <w:sz w:val="24"/>
          <w:szCs w:val="24"/>
        </w:rPr>
        <w:t xml:space="preserve"> or </w:t>
      </w:r>
      <w:r w:rsidR="00B66196">
        <w:rPr>
          <w:sz w:val="24"/>
          <w:szCs w:val="24"/>
        </w:rPr>
        <w:t>dialed in to complete the survey</w:t>
      </w:r>
      <w:r w:rsidRPr="003400A8">
        <w:rPr>
          <w:sz w:val="24"/>
          <w:szCs w:val="24"/>
        </w:rPr>
        <w:t xml:space="preserve"> by phone. During this phone call SEIU CC staff will ask if the union member is interested in participating. If they would like to participate the SEIU CC staff will complete the consent procedure and conduct the </w:t>
      </w:r>
      <w:r w:rsidR="00B66196">
        <w:rPr>
          <w:sz w:val="24"/>
          <w:szCs w:val="24"/>
        </w:rPr>
        <w:t>survey</w:t>
      </w:r>
      <w:r w:rsidRPr="003400A8">
        <w:rPr>
          <w:sz w:val="24"/>
          <w:szCs w:val="24"/>
        </w:rPr>
        <w:t xml:space="preserve"> at that time.</w:t>
      </w:r>
      <w:r w:rsidR="00DC4565" w:rsidRPr="00DC4565">
        <w:rPr>
          <w:sz w:val="24"/>
          <w:szCs w:val="24"/>
        </w:rPr>
        <w:t xml:space="preserve"> </w:t>
      </w:r>
      <w:r w:rsidR="00DC4565">
        <w:rPr>
          <w:sz w:val="24"/>
          <w:szCs w:val="24"/>
        </w:rPr>
        <w:t>Copies of correspondence material</w:t>
      </w:r>
      <w:r w:rsidR="00796893">
        <w:rPr>
          <w:sz w:val="24"/>
          <w:szCs w:val="24"/>
        </w:rPr>
        <w:t xml:space="preserve"> (i.e., initial contact letter, recruitment letter and informed consent information, newsletter language,</w:t>
      </w:r>
      <w:r w:rsidR="00C67BF1">
        <w:rPr>
          <w:sz w:val="24"/>
          <w:szCs w:val="24"/>
        </w:rPr>
        <w:t xml:space="preserve"> reminder postcard,</w:t>
      </w:r>
      <w:r w:rsidR="00796893">
        <w:rPr>
          <w:sz w:val="24"/>
          <w:szCs w:val="24"/>
        </w:rPr>
        <w:t xml:space="preserve"> interview scripts, </w:t>
      </w:r>
      <w:r w:rsidR="00B66196">
        <w:rPr>
          <w:sz w:val="24"/>
          <w:szCs w:val="24"/>
        </w:rPr>
        <w:t>survey</w:t>
      </w:r>
      <w:r w:rsidR="00796893">
        <w:rPr>
          <w:sz w:val="24"/>
          <w:szCs w:val="24"/>
        </w:rPr>
        <w:t xml:space="preserve"> instructions, </w:t>
      </w:r>
      <w:r w:rsidR="00B66196">
        <w:rPr>
          <w:sz w:val="24"/>
          <w:szCs w:val="24"/>
        </w:rPr>
        <w:t>survey</w:t>
      </w:r>
      <w:r w:rsidR="00796893">
        <w:rPr>
          <w:sz w:val="24"/>
          <w:szCs w:val="24"/>
        </w:rPr>
        <w:t xml:space="preserve">, Spanish language </w:t>
      </w:r>
      <w:r w:rsidR="00B66196">
        <w:rPr>
          <w:sz w:val="24"/>
          <w:szCs w:val="24"/>
        </w:rPr>
        <w:t>survey</w:t>
      </w:r>
      <w:r w:rsidR="00796893">
        <w:rPr>
          <w:sz w:val="24"/>
          <w:szCs w:val="24"/>
        </w:rPr>
        <w:t xml:space="preserve">, </w:t>
      </w:r>
      <w:r w:rsidR="00C67BF1">
        <w:rPr>
          <w:sz w:val="24"/>
          <w:szCs w:val="24"/>
        </w:rPr>
        <w:t xml:space="preserve">electronic survey, </w:t>
      </w:r>
      <w:r w:rsidR="00796893">
        <w:rPr>
          <w:sz w:val="24"/>
          <w:szCs w:val="24"/>
        </w:rPr>
        <w:t xml:space="preserve">and results letter) </w:t>
      </w:r>
      <w:r w:rsidR="00DC4565">
        <w:rPr>
          <w:sz w:val="24"/>
          <w:szCs w:val="24"/>
        </w:rPr>
        <w:t xml:space="preserve">with potential participants and participants can be found in appendix </w:t>
      </w:r>
      <w:r w:rsidR="00A61B27">
        <w:rPr>
          <w:sz w:val="24"/>
          <w:szCs w:val="24"/>
        </w:rPr>
        <w:t>E</w:t>
      </w:r>
      <w:r w:rsidR="00DC4565">
        <w:rPr>
          <w:sz w:val="24"/>
          <w:szCs w:val="24"/>
        </w:rPr>
        <w:t xml:space="preserve"> through </w:t>
      </w:r>
      <w:r w:rsidR="000327FC">
        <w:rPr>
          <w:sz w:val="24"/>
          <w:szCs w:val="24"/>
        </w:rPr>
        <w:t>N</w:t>
      </w:r>
      <w:r w:rsidR="00DC4565">
        <w:rPr>
          <w:sz w:val="24"/>
          <w:szCs w:val="24"/>
        </w:rPr>
        <w:t xml:space="preserve">. The five contacts with potential participants </w:t>
      </w:r>
      <w:r w:rsidR="007B4D15">
        <w:rPr>
          <w:sz w:val="24"/>
          <w:szCs w:val="24"/>
        </w:rPr>
        <w:t>is similar to the approach</w:t>
      </w:r>
      <w:r w:rsidR="007B4D15" w:rsidDel="007B4D15">
        <w:rPr>
          <w:sz w:val="24"/>
          <w:szCs w:val="24"/>
        </w:rPr>
        <w:t xml:space="preserve"> </w:t>
      </w:r>
      <w:r w:rsidR="00DC4565">
        <w:rPr>
          <w:sz w:val="24"/>
          <w:szCs w:val="24"/>
        </w:rPr>
        <w:t xml:space="preserve">used by </w:t>
      </w:r>
      <w:proofErr w:type="spellStart"/>
      <w:r w:rsidR="00DC4565">
        <w:rPr>
          <w:sz w:val="24"/>
          <w:szCs w:val="24"/>
        </w:rPr>
        <w:t>Delclos</w:t>
      </w:r>
      <w:proofErr w:type="spellEnd"/>
      <w:r w:rsidR="00DC4565">
        <w:rPr>
          <w:sz w:val="24"/>
          <w:szCs w:val="24"/>
        </w:rPr>
        <w:t xml:space="preserve"> (2007) </w:t>
      </w:r>
      <w:r w:rsidR="007E4E21">
        <w:rPr>
          <w:sz w:val="24"/>
          <w:szCs w:val="24"/>
        </w:rPr>
        <w:t xml:space="preserve">in </w:t>
      </w:r>
      <w:r w:rsidR="00C67BF1">
        <w:rPr>
          <w:sz w:val="24"/>
          <w:szCs w:val="24"/>
        </w:rPr>
        <w:t>their</w:t>
      </w:r>
      <w:r w:rsidR="007E4E21">
        <w:rPr>
          <w:sz w:val="24"/>
          <w:szCs w:val="24"/>
        </w:rPr>
        <w:t xml:space="preserve"> survey of healthcare workers and is based on standard approach for internet surveys</w:t>
      </w:r>
      <w:r w:rsidR="00796893">
        <w:rPr>
          <w:sz w:val="24"/>
          <w:szCs w:val="24"/>
        </w:rPr>
        <w:t>, which should allow us to achieve the highest response rate possible</w:t>
      </w:r>
      <w:r w:rsidR="007E4E21">
        <w:rPr>
          <w:sz w:val="24"/>
          <w:szCs w:val="24"/>
        </w:rPr>
        <w:t xml:space="preserve"> (</w:t>
      </w:r>
      <w:proofErr w:type="spellStart"/>
      <w:r w:rsidR="007E4E21">
        <w:rPr>
          <w:sz w:val="24"/>
          <w:szCs w:val="24"/>
        </w:rPr>
        <w:t>Dillman</w:t>
      </w:r>
      <w:proofErr w:type="spellEnd"/>
      <w:r w:rsidR="007E4E21">
        <w:rPr>
          <w:sz w:val="24"/>
          <w:szCs w:val="24"/>
        </w:rPr>
        <w:t xml:space="preserve"> 2000).</w:t>
      </w:r>
    </w:p>
    <w:p w:rsidR="003400A8" w:rsidRDefault="003400A8" w:rsidP="003400A8">
      <w:pPr>
        <w:rPr>
          <w:sz w:val="24"/>
          <w:szCs w:val="24"/>
        </w:rPr>
      </w:pPr>
      <w:r w:rsidRPr="003400A8">
        <w:rPr>
          <w:sz w:val="24"/>
          <w:szCs w:val="24"/>
        </w:rPr>
        <w:tab/>
      </w:r>
    </w:p>
    <w:p w:rsidR="003400A8" w:rsidRDefault="003400A8" w:rsidP="00E57490">
      <w:pPr>
        <w:spacing w:line="276" w:lineRule="auto"/>
      </w:pPr>
      <w:r>
        <w:tab/>
      </w:r>
    </w:p>
    <w:p w:rsidR="007541F6" w:rsidRPr="007541F6" w:rsidRDefault="00754BDA" w:rsidP="00E57490">
      <w:pPr>
        <w:spacing w:line="276" w:lineRule="auto"/>
        <w:rPr>
          <w:b/>
          <w:bCs/>
          <w:sz w:val="24"/>
          <w:szCs w:val="24"/>
        </w:rPr>
      </w:pPr>
      <w:r>
        <w:rPr>
          <w:b/>
          <w:bCs/>
          <w:sz w:val="24"/>
          <w:szCs w:val="24"/>
        </w:rPr>
        <w:t>4.</w:t>
      </w:r>
      <w:r>
        <w:rPr>
          <w:b/>
          <w:bCs/>
          <w:sz w:val="24"/>
          <w:szCs w:val="24"/>
        </w:rPr>
        <w:tab/>
      </w:r>
      <w:r w:rsidR="007541F6" w:rsidRPr="007541F6">
        <w:rPr>
          <w:b/>
          <w:bCs/>
          <w:sz w:val="24"/>
          <w:szCs w:val="24"/>
        </w:rPr>
        <w:t xml:space="preserve">Tests of Procedures or Methods to be </w:t>
      </w:r>
      <w:proofErr w:type="gramStart"/>
      <w:r w:rsidR="007541F6" w:rsidRPr="007541F6">
        <w:rPr>
          <w:b/>
          <w:bCs/>
          <w:sz w:val="24"/>
          <w:szCs w:val="24"/>
        </w:rPr>
        <w:t>Undertaken</w:t>
      </w:r>
      <w:proofErr w:type="gramEnd"/>
    </w:p>
    <w:p w:rsidR="007541F6" w:rsidRDefault="007541F6" w:rsidP="00EF5253">
      <w:pPr>
        <w:rPr>
          <w:bCs/>
          <w:sz w:val="24"/>
          <w:szCs w:val="24"/>
        </w:rPr>
      </w:pPr>
    </w:p>
    <w:p w:rsidR="00755211" w:rsidRDefault="00EF5253" w:rsidP="00EF5253">
      <w:pPr>
        <w:rPr>
          <w:bCs/>
          <w:sz w:val="24"/>
          <w:szCs w:val="24"/>
        </w:rPr>
      </w:pPr>
      <w:r>
        <w:rPr>
          <w:bCs/>
          <w:sz w:val="24"/>
          <w:szCs w:val="24"/>
        </w:rPr>
        <w:tab/>
        <w:t xml:space="preserve">The </w:t>
      </w:r>
      <w:r w:rsidR="00B66196">
        <w:rPr>
          <w:bCs/>
          <w:sz w:val="24"/>
          <w:szCs w:val="24"/>
        </w:rPr>
        <w:t>survey</w:t>
      </w:r>
      <w:r>
        <w:rPr>
          <w:bCs/>
          <w:sz w:val="24"/>
          <w:szCs w:val="24"/>
        </w:rPr>
        <w:t xml:space="preserve"> for this study will be administered either online or by telephone. Telephone interviews will be conducted by personnel at the SEIU CC</w:t>
      </w:r>
      <w:r w:rsidR="0050547D">
        <w:rPr>
          <w:bCs/>
          <w:sz w:val="24"/>
          <w:szCs w:val="24"/>
        </w:rPr>
        <w:t xml:space="preserve">, trained by and under the </w:t>
      </w:r>
      <w:r w:rsidR="00B04E45">
        <w:rPr>
          <w:bCs/>
          <w:sz w:val="24"/>
          <w:szCs w:val="24"/>
        </w:rPr>
        <w:t>management</w:t>
      </w:r>
      <w:r w:rsidR="0050547D">
        <w:rPr>
          <w:bCs/>
          <w:sz w:val="24"/>
          <w:szCs w:val="24"/>
        </w:rPr>
        <w:t xml:space="preserve"> of RTI</w:t>
      </w:r>
      <w:r>
        <w:rPr>
          <w:bCs/>
          <w:sz w:val="24"/>
          <w:szCs w:val="24"/>
        </w:rPr>
        <w:t xml:space="preserve">. </w:t>
      </w:r>
    </w:p>
    <w:p w:rsidR="00EF5253" w:rsidRDefault="00EF5253" w:rsidP="00EF5253">
      <w:pPr>
        <w:rPr>
          <w:bCs/>
          <w:sz w:val="24"/>
          <w:szCs w:val="24"/>
        </w:rPr>
      </w:pPr>
    </w:p>
    <w:p w:rsidR="005B742E" w:rsidRDefault="00EF5253" w:rsidP="00854ACE">
      <w:pPr>
        <w:rPr>
          <w:bCs/>
          <w:sz w:val="24"/>
          <w:szCs w:val="24"/>
        </w:rPr>
      </w:pPr>
      <w:r w:rsidRPr="006B2748">
        <w:rPr>
          <w:bCs/>
          <w:sz w:val="24"/>
          <w:szCs w:val="24"/>
        </w:rPr>
        <w:t xml:space="preserve">The development and modification of the </w:t>
      </w:r>
      <w:r w:rsidR="00B66196">
        <w:rPr>
          <w:bCs/>
          <w:sz w:val="24"/>
          <w:szCs w:val="24"/>
        </w:rPr>
        <w:t>survey</w:t>
      </w:r>
      <w:r w:rsidRPr="006B2748">
        <w:rPr>
          <w:bCs/>
          <w:sz w:val="24"/>
          <w:szCs w:val="24"/>
        </w:rPr>
        <w:t xml:space="preserve"> w</w:t>
      </w:r>
      <w:r>
        <w:rPr>
          <w:bCs/>
          <w:sz w:val="24"/>
          <w:szCs w:val="24"/>
        </w:rPr>
        <w:t xml:space="preserve">as started in 2009 and has been </w:t>
      </w:r>
      <w:r w:rsidRPr="006B2748">
        <w:rPr>
          <w:bCs/>
          <w:sz w:val="24"/>
          <w:szCs w:val="24"/>
        </w:rPr>
        <w:t xml:space="preserve">conducted </w:t>
      </w:r>
      <w:r>
        <w:rPr>
          <w:bCs/>
          <w:sz w:val="24"/>
          <w:szCs w:val="24"/>
        </w:rPr>
        <w:t xml:space="preserve">with advice from </w:t>
      </w:r>
      <w:r w:rsidRPr="006B2748">
        <w:rPr>
          <w:bCs/>
          <w:sz w:val="24"/>
          <w:szCs w:val="24"/>
        </w:rPr>
        <w:t>collaborators</w:t>
      </w:r>
      <w:r>
        <w:rPr>
          <w:bCs/>
          <w:sz w:val="24"/>
          <w:szCs w:val="24"/>
        </w:rPr>
        <w:t xml:space="preserve"> with experience studying asthma among health care workers</w:t>
      </w:r>
      <w:r w:rsidRPr="006B2748">
        <w:rPr>
          <w:bCs/>
          <w:sz w:val="24"/>
          <w:szCs w:val="24"/>
        </w:rPr>
        <w:t>.</w:t>
      </w:r>
      <w:r w:rsidR="005B742E">
        <w:rPr>
          <w:bCs/>
          <w:sz w:val="24"/>
          <w:szCs w:val="24"/>
        </w:rPr>
        <w:t xml:space="preserve"> The </w:t>
      </w:r>
      <w:r w:rsidR="00B66196">
        <w:rPr>
          <w:bCs/>
          <w:sz w:val="24"/>
          <w:szCs w:val="24"/>
        </w:rPr>
        <w:t>survey</w:t>
      </w:r>
      <w:r w:rsidR="005B742E">
        <w:rPr>
          <w:bCs/>
          <w:sz w:val="24"/>
          <w:szCs w:val="24"/>
        </w:rPr>
        <w:t xml:space="preserve"> includes sections on respiratory symptoms, asthma, medical history, home, accidental spills, employment history, and demographics. The questions on respiratory symptoms and asthma were adopted from a questionnaire developed at the University of Texas and from the 2</w:t>
      </w:r>
      <w:r w:rsidR="005B742E" w:rsidRPr="00854ACE">
        <w:rPr>
          <w:bCs/>
          <w:sz w:val="24"/>
          <w:szCs w:val="24"/>
          <w:vertAlign w:val="superscript"/>
        </w:rPr>
        <w:t>nd</w:t>
      </w:r>
      <w:r w:rsidR="005B742E">
        <w:rPr>
          <w:bCs/>
          <w:sz w:val="24"/>
          <w:szCs w:val="24"/>
        </w:rPr>
        <w:t xml:space="preserve"> European Community Respiratory Health Survey (ECRHSII) (</w:t>
      </w:r>
      <w:hyperlink r:id="rId10" w:history="1">
        <w:r w:rsidR="005B742E" w:rsidRPr="006D037B">
          <w:rPr>
            <w:rStyle w:val="Hyperlink"/>
            <w:bCs/>
            <w:sz w:val="24"/>
            <w:szCs w:val="24"/>
          </w:rPr>
          <w:t>http://www.ecrhs.org/</w:t>
        </w:r>
      </w:hyperlink>
      <w:r w:rsidR="004D7A0E">
        <w:rPr>
          <w:bCs/>
          <w:sz w:val="24"/>
          <w:szCs w:val="24"/>
        </w:rPr>
        <w:t>) (</w:t>
      </w:r>
      <w:proofErr w:type="spellStart"/>
      <w:r w:rsidR="005B742E">
        <w:rPr>
          <w:bCs/>
          <w:sz w:val="24"/>
          <w:szCs w:val="24"/>
        </w:rPr>
        <w:t>Delclos</w:t>
      </w:r>
      <w:proofErr w:type="spellEnd"/>
      <w:r w:rsidR="005B742E">
        <w:rPr>
          <w:bCs/>
          <w:sz w:val="24"/>
          <w:szCs w:val="24"/>
        </w:rPr>
        <w:t xml:space="preserve"> 2006). </w:t>
      </w:r>
      <w:r>
        <w:rPr>
          <w:bCs/>
          <w:sz w:val="24"/>
          <w:szCs w:val="24"/>
        </w:rPr>
        <w:t xml:space="preserve">The </w:t>
      </w:r>
      <w:r w:rsidR="00B66196">
        <w:rPr>
          <w:bCs/>
          <w:sz w:val="24"/>
          <w:szCs w:val="24"/>
        </w:rPr>
        <w:t>survey</w:t>
      </w:r>
      <w:r w:rsidRPr="006B2748">
        <w:rPr>
          <w:bCs/>
          <w:sz w:val="24"/>
          <w:szCs w:val="24"/>
        </w:rPr>
        <w:t xml:space="preserve"> </w:t>
      </w:r>
      <w:r>
        <w:rPr>
          <w:bCs/>
          <w:sz w:val="24"/>
          <w:szCs w:val="24"/>
        </w:rPr>
        <w:t xml:space="preserve">will be used </w:t>
      </w:r>
      <w:r w:rsidRPr="006B2748">
        <w:rPr>
          <w:bCs/>
          <w:sz w:val="24"/>
          <w:szCs w:val="24"/>
        </w:rPr>
        <w:t>to gather</w:t>
      </w:r>
      <w:r>
        <w:rPr>
          <w:bCs/>
          <w:sz w:val="24"/>
          <w:szCs w:val="24"/>
        </w:rPr>
        <w:t xml:space="preserve"> the variables necessary to examine the associations between asthma outcomes and workplace exposures in healthcare. In general, these variables include</w:t>
      </w:r>
      <w:r w:rsidRPr="006B2748">
        <w:rPr>
          <w:bCs/>
          <w:sz w:val="24"/>
          <w:szCs w:val="24"/>
        </w:rPr>
        <w:t xml:space="preserve"> information on demographics, work history, selected occupational exposures, respiratory health outcomes, and potential confounders (e.g., cigarette smoking, </w:t>
      </w:r>
      <w:r>
        <w:rPr>
          <w:bCs/>
          <w:sz w:val="24"/>
          <w:szCs w:val="24"/>
        </w:rPr>
        <w:t>allergy status</w:t>
      </w:r>
      <w:r w:rsidRPr="006B2748">
        <w:rPr>
          <w:bCs/>
          <w:sz w:val="24"/>
          <w:szCs w:val="24"/>
        </w:rPr>
        <w:t xml:space="preserve">).  </w:t>
      </w:r>
      <w:r w:rsidR="005B742E">
        <w:rPr>
          <w:bCs/>
          <w:sz w:val="24"/>
          <w:szCs w:val="24"/>
        </w:rPr>
        <w:t xml:space="preserve">The parts of the </w:t>
      </w:r>
      <w:r w:rsidR="00B66196">
        <w:rPr>
          <w:bCs/>
          <w:sz w:val="24"/>
          <w:szCs w:val="24"/>
        </w:rPr>
        <w:t>survey</w:t>
      </w:r>
      <w:r w:rsidR="005B742E">
        <w:rPr>
          <w:bCs/>
          <w:sz w:val="24"/>
          <w:szCs w:val="24"/>
        </w:rPr>
        <w:t xml:space="preserve"> that were developed by NIOSH personnel and not modified from previous questionnaires (i.e., medical history, home, accidental spills, employment history, and demographics) have gone through cognitive review by staff at the National Center for Health Statistics (NCHS). The </w:t>
      </w:r>
      <w:r w:rsidR="00B66196">
        <w:rPr>
          <w:bCs/>
          <w:sz w:val="24"/>
          <w:szCs w:val="24"/>
        </w:rPr>
        <w:t>survey</w:t>
      </w:r>
      <w:r w:rsidR="005B742E">
        <w:rPr>
          <w:bCs/>
          <w:sz w:val="24"/>
          <w:szCs w:val="24"/>
        </w:rPr>
        <w:t xml:space="preserve"> has been modified based on the results of that cognitive review.</w:t>
      </w:r>
    </w:p>
    <w:p w:rsidR="005B742E" w:rsidRDefault="005B742E" w:rsidP="00EF5253">
      <w:pPr>
        <w:ind w:firstLine="708"/>
        <w:rPr>
          <w:bCs/>
          <w:sz w:val="24"/>
          <w:szCs w:val="24"/>
        </w:rPr>
      </w:pPr>
    </w:p>
    <w:p w:rsidR="00EF5253" w:rsidRDefault="00EF5253" w:rsidP="00EF5253">
      <w:pPr>
        <w:ind w:firstLine="708"/>
        <w:rPr>
          <w:bCs/>
          <w:sz w:val="24"/>
          <w:szCs w:val="24"/>
        </w:rPr>
      </w:pPr>
      <w:r>
        <w:rPr>
          <w:bCs/>
          <w:sz w:val="24"/>
          <w:szCs w:val="24"/>
        </w:rPr>
        <w:t>Outcome variables of interest include</w:t>
      </w:r>
      <w:r w:rsidR="00EB421F">
        <w:rPr>
          <w:bCs/>
          <w:sz w:val="24"/>
          <w:szCs w:val="24"/>
        </w:rPr>
        <w:t xml:space="preserve"> </w:t>
      </w:r>
      <w:r w:rsidR="00EB421F" w:rsidRPr="004F5796">
        <w:rPr>
          <w:sz w:val="24"/>
          <w:szCs w:val="24"/>
        </w:rPr>
        <w:t>incidence of asthma among those without asthma</w:t>
      </w:r>
      <w:r w:rsidR="00EB421F">
        <w:rPr>
          <w:sz w:val="24"/>
          <w:szCs w:val="24"/>
        </w:rPr>
        <w:t xml:space="preserve"> during the</w:t>
      </w:r>
      <w:r w:rsidR="00EB421F" w:rsidRPr="004F5796">
        <w:rPr>
          <w:sz w:val="24"/>
          <w:szCs w:val="24"/>
        </w:rPr>
        <w:t xml:space="preserve"> 10 years before the survey</w:t>
      </w:r>
      <w:r w:rsidR="00EB421F">
        <w:rPr>
          <w:sz w:val="24"/>
          <w:szCs w:val="24"/>
        </w:rPr>
        <w:t>;</w:t>
      </w:r>
      <w:r w:rsidR="00EB421F" w:rsidRPr="004F5796">
        <w:rPr>
          <w:sz w:val="24"/>
          <w:szCs w:val="24"/>
        </w:rPr>
        <w:t xml:space="preserve"> incidence of asthma exacerbation among those with current asthma </w:t>
      </w:r>
      <w:r w:rsidR="00EB421F">
        <w:rPr>
          <w:sz w:val="24"/>
          <w:szCs w:val="24"/>
        </w:rPr>
        <w:t>during the past year;</w:t>
      </w:r>
      <w:r w:rsidR="00EB421F" w:rsidRPr="004F5796">
        <w:rPr>
          <w:sz w:val="24"/>
          <w:szCs w:val="24"/>
        </w:rPr>
        <w:t xml:space="preserve"> and prevalence of asthma-</w:t>
      </w:r>
      <w:r w:rsidR="004D72A7">
        <w:rPr>
          <w:sz w:val="24"/>
          <w:szCs w:val="24"/>
        </w:rPr>
        <w:t>related</w:t>
      </w:r>
      <w:r w:rsidR="00EB421F" w:rsidRPr="004F5796">
        <w:rPr>
          <w:sz w:val="24"/>
          <w:szCs w:val="24"/>
        </w:rPr>
        <w:t xml:space="preserve"> symptoms during the past year</w:t>
      </w:r>
      <w:r>
        <w:rPr>
          <w:bCs/>
          <w:sz w:val="24"/>
          <w:szCs w:val="24"/>
        </w:rPr>
        <w:t xml:space="preserve">.  </w:t>
      </w:r>
      <w:r w:rsidR="008B0185" w:rsidRPr="004F5796">
        <w:rPr>
          <w:sz w:val="24"/>
          <w:szCs w:val="24"/>
        </w:rPr>
        <w:t xml:space="preserve">A range of </w:t>
      </w:r>
      <w:r w:rsidR="008B0185">
        <w:rPr>
          <w:sz w:val="24"/>
          <w:szCs w:val="24"/>
        </w:rPr>
        <w:t>qualitative or</w:t>
      </w:r>
      <w:r w:rsidR="008B0185" w:rsidRPr="004F5796">
        <w:rPr>
          <w:sz w:val="24"/>
          <w:szCs w:val="24"/>
        </w:rPr>
        <w:t xml:space="preserve"> </w:t>
      </w:r>
      <w:r w:rsidR="008B0185">
        <w:rPr>
          <w:sz w:val="24"/>
          <w:szCs w:val="24"/>
        </w:rPr>
        <w:t>semi-</w:t>
      </w:r>
      <w:r w:rsidR="008B0185" w:rsidRPr="004F5796">
        <w:rPr>
          <w:sz w:val="24"/>
          <w:szCs w:val="24"/>
        </w:rPr>
        <w:t>qua</w:t>
      </w:r>
      <w:r w:rsidR="008B0185">
        <w:rPr>
          <w:sz w:val="24"/>
          <w:szCs w:val="24"/>
        </w:rPr>
        <w:t>nti</w:t>
      </w:r>
      <w:r w:rsidR="008B0185" w:rsidRPr="004F5796">
        <w:rPr>
          <w:sz w:val="24"/>
          <w:szCs w:val="24"/>
        </w:rPr>
        <w:t xml:space="preserve">tative exposure metrics </w:t>
      </w:r>
      <w:r w:rsidR="008B0185">
        <w:rPr>
          <w:bCs/>
          <w:sz w:val="24"/>
          <w:szCs w:val="24"/>
        </w:rPr>
        <w:t xml:space="preserve">collected by means of survey questionnaire </w:t>
      </w:r>
      <w:r w:rsidR="008B0185" w:rsidRPr="004F5796">
        <w:rPr>
          <w:sz w:val="24"/>
          <w:szCs w:val="24"/>
        </w:rPr>
        <w:t xml:space="preserve">and </w:t>
      </w:r>
      <w:r w:rsidR="008B0185">
        <w:rPr>
          <w:sz w:val="24"/>
          <w:szCs w:val="24"/>
        </w:rPr>
        <w:t xml:space="preserve">quantitative exposure metrics </w:t>
      </w:r>
      <w:r w:rsidR="008B0185">
        <w:rPr>
          <w:bCs/>
          <w:sz w:val="24"/>
          <w:szCs w:val="24"/>
        </w:rPr>
        <w:t xml:space="preserve">developed through the JEM along with </w:t>
      </w:r>
      <w:r w:rsidR="008B0185" w:rsidRPr="004F5796">
        <w:rPr>
          <w:sz w:val="24"/>
          <w:szCs w:val="24"/>
        </w:rPr>
        <w:t xml:space="preserve">confounders will be </w:t>
      </w:r>
      <w:r w:rsidR="008B0185">
        <w:rPr>
          <w:sz w:val="24"/>
          <w:szCs w:val="24"/>
        </w:rPr>
        <w:t xml:space="preserve">calculated for all study participants, and </w:t>
      </w:r>
      <w:r w:rsidR="008B0185" w:rsidRPr="004F5796">
        <w:rPr>
          <w:sz w:val="24"/>
          <w:szCs w:val="24"/>
        </w:rPr>
        <w:t xml:space="preserve">used in the epidemiologic exposure-response </w:t>
      </w:r>
      <w:r w:rsidR="008B0185">
        <w:rPr>
          <w:sz w:val="24"/>
          <w:szCs w:val="24"/>
        </w:rPr>
        <w:t>analyses</w:t>
      </w:r>
      <w:r w:rsidR="008B0185" w:rsidRPr="004F5796">
        <w:rPr>
          <w:sz w:val="24"/>
          <w:szCs w:val="24"/>
        </w:rPr>
        <w:t>.</w:t>
      </w:r>
      <w:r w:rsidR="008B0185">
        <w:rPr>
          <w:sz w:val="24"/>
          <w:szCs w:val="24"/>
        </w:rPr>
        <w:t xml:space="preserve"> From the questionnaire, the qualitative exposure metrics include the performance of tasks or products (chemicals) used recorded as yes/no, while the semi-quantitative exposure metrics include frequency (day per week) and duration (hours per day) of tasks performed or products used. </w:t>
      </w:r>
      <w:r w:rsidR="008B0185" w:rsidRPr="004F5796">
        <w:rPr>
          <w:sz w:val="24"/>
          <w:szCs w:val="24"/>
        </w:rPr>
        <w:t xml:space="preserve"> </w:t>
      </w:r>
      <w:r w:rsidR="008B0185">
        <w:rPr>
          <w:sz w:val="24"/>
          <w:szCs w:val="24"/>
        </w:rPr>
        <w:t xml:space="preserve">The quantitative exposure metrics from the JEM include average exposures to 14 specific VOCs and TVOC. </w:t>
      </w:r>
      <w:r w:rsidR="008B0185">
        <w:rPr>
          <w:bCs/>
          <w:sz w:val="24"/>
          <w:szCs w:val="24"/>
        </w:rPr>
        <w:t xml:space="preserve"> </w:t>
      </w:r>
      <w:r w:rsidRPr="004F5796">
        <w:rPr>
          <w:sz w:val="24"/>
          <w:szCs w:val="24"/>
        </w:rPr>
        <w:t xml:space="preserve">The </w:t>
      </w:r>
      <w:r w:rsidR="00B66196">
        <w:rPr>
          <w:sz w:val="24"/>
          <w:szCs w:val="24"/>
        </w:rPr>
        <w:t>survey</w:t>
      </w:r>
      <w:r w:rsidRPr="004F5796">
        <w:rPr>
          <w:sz w:val="24"/>
          <w:szCs w:val="24"/>
        </w:rPr>
        <w:t xml:space="preserve"> focuses on current employment </w:t>
      </w:r>
      <w:r>
        <w:rPr>
          <w:sz w:val="24"/>
          <w:szCs w:val="24"/>
        </w:rPr>
        <w:t xml:space="preserve">(i.e., the last 12 months) </w:t>
      </w:r>
      <w:r w:rsidRPr="004F5796">
        <w:rPr>
          <w:sz w:val="24"/>
          <w:szCs w:val="24"/>
        </w:rPr>
        <w:t xml:space="preserve">and employment 5 years earlier.  </w:t>
      </w:r>
      <w:r>
        <w:rPr>
          <w:sz w:val="24"/>
          <w:szCs w:val="24"/>
        </w:rPr>
        <w:t>T</w:t>
      </w:r>
      <w:r w:rsidRPr="004F5796">
        <w:rPr>
          <w:sz w:val="24"/>
          <w:szCs w:val="24"/>
        </w:rPr>
        <w:t xml:space="preserve">he past 10 years </w:t>
      </w:r>
      <w:r>
        <w:rPr>
          <w:sz w:val="24"/>
          <w:szCs w:val="24"/>
        </w:rPr>
        <w:t xml:space="preserve">was chosen </w:t>
      </w:r>
      <w:r w:rsidRPr="004F5796">
        <w:rPr>
          <w:sz w:val="24"/>
          <w:szCs w:val="24"/>
        </w:rPr>
        <w:t xml:space="preserve">as the </w:t>
      </w:r>
      <w:r w:rsidRPr="004F5796">
        <w:rPr>
          <w:sz w:val="24"/>
          <w:szCs w:val="24"/>
        </w:rPr>
        <w:lastRenderedPageBreak/>
        <w:t>time frame for onset of asthma, and the job held five years before interview will</w:t>
      </w:r>
      <w:r>
        <w:rPr>
          <w:sz w:val="24"/>
          <w:szCs w:val="24"/>
        </w:rPr>
        <w:t xml:space="preserve"> be</w:t>
      </w:r>
      <w:r w:rsidRPr="004F5796">
        <w:rPr>
          <w:sz w:val="24"/>
          <w:szCs w:val="24"/>
        </w:rPr>
        <w:t xml:space="preserve"> use</w:t>
      </w:r>
      <w:r>
        <w:rPr>
          <w:sz w:val="24"/>
          <w:szCs w:val="24"/>
        </w:rPr>
        <w:t>d</w:t>
      </w:r>
      <w:r w:rsidRPr="004F5796">
        <w:rPr>
          <w:sz w:val="24"/>
          <w:szCs w:val="24"/>
        </w:rPr>
        <w:t xml:space="preserve"> to characterize occupational exposures during those 10 years (exclusive of the past 12 months).  </w:t>
      </w:r>
    </w:p>
    <w:p w:rsidR="00EF5253" w:rsidRDefault="00EF5253" w:rsidP="00E57490">
      <w:pPr>
        <w:spacing w:line="276" w:lineRule="auto"/>
        <w:rPr>
          <w:bCs/>
          <w:sz w:val="24"/>
          <w:szCs w:val="24"/>
        </w:rPr>
      </w:pPr>
    </w:p>
    <w:p w:rsidR="007541F6" w:rsidRDefault="00EF5253" w:rsidP="00E57490">
      <w:pPr>
        <w:spacing w:line="276" w:lineRule="auto"/>
        <w:rPr>
          <w:bCs/>
          <w:sz w:val="24"/>
          <w:szCs w:val="24"/>
        </w:rPr>
      </w:pPr>
      <w:r>
        <w:rPr>
          <w:bCs/>
          <w:sz w:val="24"/>
          <w:szCs w:val="24"/>
        </w:rPr>
        <w:tab/>
      </w:r>
    </w:p>
    <w:p w:rsidR="007541F6" w:rsidRDefault="007541F6" w:rsidP="00E57490">
      <w:pPr>
        <w:spacing w:line="276" w:lineRule="auto"/>
        <w:rPr>
          <w:bCs/>
          <w:sz w:val="24"/>
          <w:szCs w:val="24"/>
        </w:rPr>
      </w:pPr>
    </w:p>
    <w:p w:rsidR="007541F6" w:rsidRPr="007541F6" w:rsidRDefault="00754BDA" w:rsidP="00E57490">
      <w:pPr>
        <w:autoSpaceDE w:val="0"/>
        <w:autoSpaceDN w:val="0"/>
        <w:adjustRightInd w:val="0"/>
        <w:rPr>
          <w:b/>
        </w:rPr>
      </w:pPr>
      <w:r>
        <w:rPr>
          <w:b/>
          <w:bCs/>
          <w:sz w:val="24"/>
          <w:szCs w:val="24"/>
        </w:rPr>
        <w:t>5.</w:t>
      </w:r>
      <w:r>
        <w:rPr>
          <w:b/>
          <w:bCs/>
          <w:sz w:val="24"/>
          <w:szCs w:val="24"/>
        </w:rPr>
        <w:tab/>
      </w:r>
      <w:r w:rsidR="007541F6" w:rsidRPr="007541F6">
        <w:rPr>
          <w:b/>
          <w:bCs/>
          <w:sz w:val="24"/>
          <w:szCs w:val="24"/>
        </w:rPr>
        <w:t>Individuals Consulted on Statistical Aspects and Individuals Collecting and/or Analyzing Data</w:t>
      </w:r>
    </w:p>
    <w:p w:rsidR="007541F6" w:rsidRDefault="007541F6" w:rsidP="00E57490"/>
    <w:p w:rsidR="00966717" w:rsidRDefault="00966717" w:rsidP="00981CF3">
      <w:pPr>
        <w:ind w:firstLine="360"/>
        <w:rPr>
          <w:sz w:val="24"/>
          <w:szCs w:val="24"/>
        </w:rPr>
      </w:pPr>
      <w:r>
        <w:rPr>
          <w:b/>
        </w:rPr>
        <w:tab/>
      </w:r>
      <w:r w:rsidRPr="00966717">
        <w:rPr>
          <w:sz w:val="24"/>
          <w:szCs w:val="24"/>
        </w:rPr>
        <w:t>The following individuals will be involved in the design, collection and analysis of the data obtained in this study:</w:t>
      </w:r>
    </w:p>
    <w:p w:rsidR="00981CF3" w:rsidRDefault="00981CF3" w:rsidP="00981CF3">
      <w:pPr>
        <w:rPr>
          <w:sz w:val="24"/>
          <w:szCs w:val="24"/>
        </w:rPr>
      </w:pPr>
    </w:p>
    <w:p w:rsidR="00981CF3" w:rsidRDefault="00981CF3" w:rsidP="003508CE">
      <w:pPr>
        <w:spacing w:after="120"/>
        <w:rPr>
          <w:sz w:val="24"/>
          <w:szCs w:val="24"/>
        </w:rPr>
      </w:pPr>
      <w:r>
        <w:rPr>
          <w:sz w:val="24"/>
          <w:szCs w:val="24"/>
        </w:rPr>
        <w:t>Paul Henneberger – Co-Project Officer,</w:t>
      </w:r>
      <w:r w:rsidR="00A67F12">
        <w:rPr>
          <w:sz w:val="24"/>
          <w:szCs w:val="24"/>
        </w:rPr>
        <w:t xml:space="preserve"> CDC NIOSH DRDS</w:t>
      </w:r>
      <w:r w:rsidR="003508CE">
        <w:rPr>
          <w:sz w:val="24"/>
          <w:szCs w:val="24"/>
        </w:rPr>
        <w:t xml:space="preserve">, </w:t>
      </w:r>
      <w:r w:rsidR="007F6AB6">
        <w:rPr>
          <w:sz w:val="24"/>
          <w:szCs w:val="24"/>
        </w:rPr>
        <w:t xml:space="preserve">304-285-6161, </w:t>
      </w:r>
      <w:hyperlink r:id="rId11" w:history="1">
        <w:r w:rsidR="007F6AB6" w:rsidRPr="0009741F">
          <w:rPr>
            <w:rStyle w:val="Hyperlink"/>
            <w:sz w:val="24"/>
            <w:szCs w:val="24"/>
          </w:rPr>
          <w:t>pkh0@cdc.gov</w:t>
        </w:r>
      </w:hyperlink>
    </w:p>
    <w:p w:rsidR="00A67F12" w:rsidRDefault="00A67F12" w:rsidP="003508CE">
      <w:pPr>
        <w:spacing w:after="120"/>
        <w:rPr>
          <w:sz w:val="24"/>
          <w:szCs w:val="24"/>
        </w:rPr>
      </w:pPr>
      <w:r>
        <w:rPr>
          <w:sz w:val="24"/>
          <w:szCs w:val="24"/>
        </w:rPr>
        <w:t>M.  Abbas Virji - Co-Project Officer, CDC NIOSH DRDS</w:t>
      </w:r>
      <w:r w:rsidR="007F6AB6">
        <w:rPr>
          <w:sz w:val="24"/>
          <w:szCs w:val="24"/>
        </w:rPr>
        <w:t xml:space="preserve">, 304-285-5797, </w:t>
      </w:r>
      <w:hyperlink r:id="rId12" w:history="1">
        <w:r w:rsidR="007F6AB6" w:rsidRPr="0009741F">
          <w:rPr>
            <w:rStyle w:val="Hyperlink"/>
            <w:sz w:val="24"/>
            <w:szCs w:val="24"/>
          </w:rPr>
          <w:t>fnb8@cdc.gov</w:t>
        </w:r>
      </w:hyperlink>
    </w:p>
    <w:p w:rsidR="00A67F12" w:rsidRDefault="00A67F12" w:rsidP="003508CE">
      <w:pPr>
        <w:spacing w:after="120"/>
        <w:rPr>
          <w:sz w:val="24"/>
          <w:szCs w:val="24"/>
        </w:rPr>
      </w:pPr>
      <w:r>
        <w:rPr>
          <w:sz w:val="24"/>
          <w:szCs w:val="24"/>
        </w:rPr>
        <w:t>Michael Humann – Project Fellow, CD</w:t>
      </w:r>
      <w:r w:rsidR="003508CE">
        <w:rPr>
          <w:sz w:val="24"/>
          <w:szCs w:val="24"/>
        </w:rPr>
        <w:t>C</w:t>
      </w:r>
      <w:r>
        <w:rPr>
          <w:sz w:val="24"/>
          <w:szCs w:val="24"/>
        </w:rPr>
        <w:t xml:space="preserve"> NIOSH DRDS</w:t>
      </w:r>
      <w:r w:rsidR="007F6AB6">
        <w:rPr>
          <w:sz w:val="24"/>
          <w:szCs w:val="24"/>
        </w:rPr>
        <w:t xml:space="preserve">, 304-285-6193, </w:t>
      </w:r>
      <w:hyperlink r:id="rId13" w:history="1">
        <w:r w:rsidR="007F6AB6" w:rsidRPr="0009741F">
          <w:rPr>
            <w:rStyle w:val="Hyperlink"/>
            <w:sz w:val="24"/>
            <w:szCs w:val="24"/>
          </w:rPr>
          <w:t>uzo1@cdc.gov</w:t>
        </w:r>
      </w:hyperlink>
    </w:p>
    <w:p w:rsidR="003508CE" w:rsidRDefault="003508CE" w:rsidP="003508CE">
      <w:pPr>
        <w:spacing w:after="120"/>
        <w:rPr>
          <w:sz w:val="24"/>
          <w:szCs w:val="24"/>
        </w:rPr>
      </w:pPr>
      <w:r>
        <w:rPr>
          <w:sz w:val="24"/>
          <w:szCs w:val="24"/>
        </w:rPr>
        <w:t>Jean Cox-Ganser, CDC NIOSH DRDS</w:t>
      </w:r>
      <w:r w:rsidR="007F6AB6">
        <w:rPr>
          <w:sz w:val="24"/>
          <w:szCs w:val="24"/>
        </w:rPr>
        <w:t xml:space="preserve">, </w:t>
      </w:r>
      <w:r w:rsidR="007F6AB6" w:rsidRPr="007F6AB6">
        <w:rPr>
          <w:sz w:val="24"/>
          <w:szCs w:val="24"/>
        </w:rPr>
        <w:t>304-285-5818</w:t>
      </w:r>
      <w:r w:rsidR="007F6AB6">
        <w:rPr>
          <w:sz w:val="24"/>
          <w:szCs w:val="24"/>
        </w:rPr>
        <w:t xml:space="preserve">, </w:t>
      </w:r>
      <w:hyperlink r:id="rId14" w:history="1">
        <w:r w:rsidR="007F6AB6" w:rsidRPr="0009741F">
          <w:rPr>
            <w:rStyle w:val="Hyperlink"/>
            <w:sz w:val="24"/>
            <w:szCs w:val="24"/>
          </w:rPr>
          <w:t>jjc8@cdc.gov</w:t>
        </w:r>
      </w:hyperlink>
    </w:p>
    <w:p w:rsidR="003508CE" w:rsidRDefault="003508CE" w:rsidP="003508CE">
      <w:pPr>
        <w:spacing w:after="120"/>
        <w:rPr>
          <w:sz w:val="24"/>
          <w:szCs w:val="24"/>
        </w:rPr>
      </w:pPr>
      <w:r>
        <w:rPr>
          <w:sz w:val="24"/>
          <w:szCs w:val="24"/>
        </w:rPr>
        <w:t>Ju-Hyeong Park, CDC NIOSH DRDS</w:t>
      </w:r>
      <w:r w:rsidR="007F6AB6">
        <w:rPr>
          <w:sz w:val="24"/>
          <w:szCs w:val="24"/>
        </w:rPr>
        <w:t xml:space="preserve">, 304-285-5967, </w:t>
      </w:r>
      <w:hyperlink r:id="rId15" w:history="1">
        <w:r w:rsidR="007F6AB6" w:rsidRPr="0009741F">
          <w:rPr>
            <w:rStyle w:val="Hyperlink"/>
            <w:sz w:val="24"/>
            <w:szCs w:val="24"/>
          </w:rPr>
          <w:t>gzp8@cdc.gov</w:t>
        </w:r>
      </w:hyperlink>
    </w:p>
    <w:p w:rsidR="003508CE" w:rsidRDefault="003508CE" w:rsidP="003508CE">
      <w:pPr>
        <w:spacing w:after="120"/>
        <w:rPr>
          <w:sz w:val="24"/>
          <w:szCs w:val="24"/>
        </w:rPr>
      </w:pPr>
      <w:r>
        <w:rPr>
          <w:sz w:val="24"/>
          <w:szCs w:val="24"/>
        </w:rPr>
        <w:t>Aleksandr Stefaniak, CDC NIOSH DRDS</w:t>
      </w:r>
      <w:r w:rsidR="007F6AB6">
        <w:rPr>
          <w:sz w:val="24"/>
          <w:szCs w:val="24"/>
        </w:rPr>
        <w:t xml:space="preserve">, 304-285-6302, </w:t>
      </w:r>
      <w:hyperlink r:id="rId16" w:history="1">
        <w:r w:rsidR="007F6AB6" w:rsidRPr="0009741F">
          <w:rPr>
            <w:rStyle w:val="Hyperlink"/>
            <w:sz w:val="24"/>
            <w:szCs w:val="24"/>
          </w:rPr>
          <w:t>boq9@cdc.gov</w:t>
        </w:r>
      </w:hyperlink>
    </w:p>
    <w:p w:rsidR="003508CE" w:rsidRDefault="003508CE" w:rsidP="003508CE">
      <w:pPr>
        <w:spacing w:after="120"/>
        <w:rPr>
          <w:sz w:val="24"/>
          <w:szCs w:val="24"/>
        </w:rPr>
      </w:pPr>
      <w:r>
        <w:rPr>
          <w:sz w:val="24"/>
          <w:szCs w:val="24"/>
        </w:rPr>
        <w:t>Eileen Stor</w:t>
      </w:r>
      <w:r w:rsidR="007F6AB6">
        <w:rPr>
          <w:sz w:val="24"/>
          <w:szCs w:val="24"/>
        </w:rPr>
        <w:t>e</w:t>
      </w:r>
      <w:r>
        <w:rPr>
          <w:sz w:val="24"/>
          <w:szCs w:val="24"/>
        </w:rPr>
        <w:t>y, CDC NIOSH DRDS</w:t>
      </w:r>
      <w:r w:rsidR="007F6AB6">
        <w:rPr>
          <w:sz w:val="24"/>
          <w:szCs w:val="24"/>
        </w:rPr>
        <w:t xml:space="preserve">, </w:t>
      </w:r>
      <w:r w:rsidR="00EC07D9">
        <w:rPr>
          <w:sz w:val="24"/>
          <w:szCs w:val="24"/>
        </w:rPr>
        <w:t xml:space="preserve">304-285-6382, </w:t>
      </w:r>
      <w:hyperlink r:id="rId17" w:history="1">
        <w:r w:rsidR="00EC07D9" w:rsidRPr="0009741F">
          <w:rPr>
            <w:rStyle w:val="Hyperlink"/>
            <w:sz w:val="24"/>
            <w:szCs w:val="24"/>
          </w:rPr>
          <w:t>eps4@cdc.gov</w:t>
        </w:r>
      </w:hyperlink>
    </w:p>
    <w:p w:rsidR="007F6AB6" w:rsidRDefault="007F6AB6" w:rsidP="003508CE">
      <w:pPr>
        <w:spacing w:after="120"/>
        <w:rPr>
          <w:sz w:val="24"/>
          <w:szCs w:val="24"/>
        </w:rPr>
      </w:pPr>
      <w:r>
        <w:rPr>
          <w:sz w:val="24"/>
          <w:szCs w:val="24"/>
        </w:rPr>
        <w:t xml:space="preserve">Brian Tift, CDC NIOSH DRDS, 304-285-6315, </w:t>
      </w:r>
      <w:hyperlink r:id="rId18" w:history="1">
        <w:r w:rsidRPr="0009741F">
          <w:rPr>
            <w:rStyle w:val="Hyperlink"/>
            <w:sz w:val="24"/>
            <w:szCs w:val="24"/>
          </w:rPr>
          <w:t>dlf0@cdc.gov</w:t>
        </w:r>
      </w:hyperlink>
    </w:p>
    <w:p w:rsidR="00EC07D9" w:rsidRDefault="00EC07D9" w:rsidP="003508CE">
      <w:pPr>
        <w:spacing w:after="120"/>
        <w:rPr>
          <w:sz w:val="24"/>
          <w:szCs w:val="24"/>
        </w:rPr>
      </w:pPr>
      <w:r>
        <w:rPr>
          <w:sz w:val="24"/>
          <w:szCs w:val="24"/>
        </w:rPr>
        <w:t xml:space="preserve">Xiaoming Liang, CDC NIOSH DRDS, 304-285-6217, </w:t>
      </w:r>
      <w:hyperlink r:id="rId19" w:history="1">
        <w:r w:rsidRPr="0009741F">
          <w:rPr>
            <w:rStyle w:val="Hyperlink"/>
            <w:sz w:val="24"/>
            <w:szCs w:val="24"/>
          </w:rPr>
          <w:t>cro9@cdc.gov</w:t>
        </w:r>
      </w:hyperlink>
    </w:p>
    <w:p w:rsidR="003508CE" w:rsidRDefault="003508CE" w:rsidP="003508CE">
      <w:pPr>
        <w:spacing w:after="120"/>
        <w:rPr>
          <w:sz w:val="24"/>
          <w:szCs w:val="24"/>
        </w:rPr>
      </w:pPr>
      <w:proofErr w:type="gramStart"/>
      <w:r>
        <w:rPr>
          <w:sz w:val="24"/>
          <w:szCs w:val="24"/>
        </w:rPr>
        <w:t xml:space="preserve">George </w:t>
      </w:r>
      <w:proofErr w:type="spellStart"/>
      <w:r>
        <w:rPr>
          <w:sz w:val="24"/>
          <w:szCs w:val="24"/>
        </w:rPr>
        <w:t>Delclos</w:t>
      </w:r>
      <w:proofErr w:type="spellEnd"/>
      <w:r>
        <w:rPr>
          <w:sz w:val="24"/>
          <w:szCs w:val="24"/>
        </w:rPr>
        <w:t>, University of Texas</w:t>
      </w:r>
      <w:r w:rsidR="00EC07D9">
        <w:rPr>
          <w:sz w:val="24"/>
          <w:szCs w:val="24"/>
        </w:rPr>
        <w:t>, 713-550-9459.</w:t>
      </w:r>
      <w:proofErr w:type="gramEnd"/>
      <w:r w:rsidR="00EC07D9">
        <w:rPr>
          <w:sz w:val="24"/>
          <w:szCs w:val="24"/>
        </w:rPr>
        <w:t xml:space="preserve"> </w:t>
      </w:r>
      <w:hyperlink r:id="rId20" w:history="1">
        <w:r w:rsidR="00EC07D9" w:rsidRPr="0009741F">
          <w:rPr>
            <w:rStyle w:val="Hyperlink"/>
            <w:sz w:val="24"/>
            <w:szCs w:val="24"/>
          </w:rPr>
          <w:t>George.delclos@uth.tmc.edu</w:t>
        </w:r>
      </w:hyperlink>
    </w:p>
    <w:p w:rsidR="003508CE" w:rsidRDefault="003508CE" w:rsidP="003508CE">
      <w:pPr>
        <w:spacing w:after="120"/>
        <w:rPr>
          <w:sz w:val="24"/>
          <w:szCs w:val="24"/>
        </w:rPr>
      </w:pPr>
      <w:r>
        <w:rPr>
          <w:sz w:val="24"/>
          <w:szCs w:val="24"/>
        </w:rPr>
        <w:t>Gerald Hobbs, West Virginia University</w:t>
      </w:r>
      <w:r w:rsidR="00EC07D9">
        <w:rPr>
          <w:sz w:val="24"/>
          <w:szCs w:val="24"/>
        </w:rPr>
        <w:t xml:space="preserve">, 304-293-3607, </w:t>
      </w:r>
      <w:hyperlink r:id="rId21" w:history="1">
        <w:r w:rsidR="00EC07D9" w:rsidRPr="0009741F">
          <w:rPr>
            <w:rStyle w:val="Hyperlink"/>
            <w:sz w:val="24"/>
            <w:szCs w:val="24"/>
          </w:rPr>
          <w:t>ghobbs@stat.wvu.edu</w:t>
        </w:r>
      </w:hyperlink>
    </w:p>
    <w:p w:rsidR="003508CE" w:rsidRDefault="003508CE" w:rsidP="003508CE">
      <w:pPr>
        <w:spacing w:after="120"/>
        <w:rPr>
          <w:sz w:val="24"/>
          <w:szCs w:val="24"/>
        </w:rPr>
      </w:pPr>
      <w:r>
        <w:rPr>
          <w:sz w:val="24"/>
          <w:szCs w:val="24"/>
        </w:rPr>
        <w:t xml:space="preserve">Maria </w:t>
      </w:r>
      <w:proofErr w:type="spellStart"/>
      <w:r>
        <w:rPr>
          <w:sz w:val="24"/>
          <w:szCs w:val="24"/>
        </w:rPr>
        <w:t>Mirabelli</w:t>
      </w:r>
      <w:proofErr w:type="spellEnd"/>
      <w:r>
        <w:rPr>
          <w:sz w:val="24"/>
          <w:szCs w:val="24"/>
        </w:rPr>
        <w:t>, Wake Forest University</w:t>
      </w:r>
      <w:r w:rsidR="00EC07D9">
        <w:rPr>
          <w:sz w:val="24"/>
          <w:szCs w:val="24"/>
        </w:rPr>
        <w:t xml:space="preserve">, 336-716-2011, </w:t>
      </w:r>
      <w:hyperlink r:id="rId22" w:history="1">
        <w:r w:rsidR="00EC07D9" w:rsidRPr="0009741F">
          <w:rPr>
            <w:rStyle w:val="Hyperlink"/>
            <w:sz w:val="24"/>
            <w:szCs w:val="24"/>
          </w:rPr>
          <w:t>mmirabel@wakeheatlh.edu</w:t>
        </w:r>
      </w:hyperlink>
    </w:p>
    <w:p w:rsidR="007F6AB6" w:rsidRDefault="003508CE" w:rsidP="007F6AB6">
      <w:pPr>
        <w:spacing w:after="120"/>
        <w:rPr>
          <w:sz w:val="24"/>
          <w:szCs w:val="24"/>
        </w:rPr>
      </w:pPr>
      <w:r>
        <w:rPr>
          <w:sz w:val="24"/>
          <w:szCs w:val="24"/>
        </w:rPr>
        <w:t xml:space="preserve">Jan Paul </w:t>
      </w:r>
      <w:proofErr w:type="spellStart"/>
      <w:r>
        <w:rPr>
          <w:sz w:val="24"/>
          <w:szCs w:val="24"/>
        </w:rPr>
        <w:t>Zock</w:t>
      </w:r>
      <w:proofErr w:type="spellEnd"/>
      <w:r>
        <w:rPr>
          <w:sz w:val="24"/>
          <w:szCs w:val="24"/>
        </w:rPr>
        <w:t>, Center for Research</w:t>
      </w:r>
      <w:r w:rsidR="007F6AB6">
        <w:rPr>
          <w:sz w:val="24"/>
          <w:szCs w:val="24"/>
        </w:rPr>
        <w:t xml:space="preserve"> in Environmental Epidemiology,</w:t>
      </w:r>
      <w:r w:rsidR="009E304D">
        <w:rPr>
          <w:sz w:val="24"/>
          <w:szCs w:val="24"/>
        </w:rPr>
        <w:t xml:space="preserve"> </w:t>
      </w:r>
      <w:r w:rsidR="009E304D" w:rsidRPr="009E304D">
        <w:rPr>
          <w:sz w:val="24"/>
          <w:szCs w:val="24"/>
        </w:rPr>
        <w:t>34 93 214 73 00</w:t>
      </w:r>
      <w:r w:rsidR="009E304D">
        <w:rPr>
          <w:rFonts w:ascii="Verdana" w:hAnsi="Verdana"/>
          <w:color w:val="333333"/>
          <w:lang w:val="en"/>
        </w:rPr>
        <w:t xml:space="preserve"> </w:t>
      </w:r>
      <w:hyperlink r:id="rId23" w:history="1">
        <w:r w:rsidR="00EC07D9" w:rsidRPr="0009741F">
          <w:rPr>
            <w:rStyle w:val="Hyperlink"/>
            <w:sz w:val="24"/>
            <w:szCs w:val="24"/>
          </w:rPr>
          <w:t>jpzock@creal.cat</w:t>
        </w:r>
      </w:hyperlink>
    </w:p>
    <w:p w:rsidR="003508CE" w:rsidRDefault="003508CE" w:rsidP="003508CE">
      <w:pPr>
        <w:autoSpaceDE w:val="0"/>
        <w:autoSpaceDN w:val="0"/>
        <w:adjustRightInd w:val="0"/>
        <w:spacing w:after="120"/>
        <w:rPr>
          <w:bCs/>
          <w:sz w:val="24"/>
          <w:szCs w:val="24"/>
        </w:rPr>
      </w:pPr>
      <w:r>
        <w:rPr>
          <w:bCs/>
          <w:sz w:val="24"/>
          <w:szCs w:val="24"/>
        </w:rPr>
        <w:t xml:space="preserve">Bill Borwegen, Service Employees International Union, 202-730-7385, </w:t>
      </w:r>
      <w:hyperlink r:id="rId24" w:history="1">
        <w:r w:rsidRPr="0009741F">
          <w:rPr>
            <w:rStyle w:val="Hyperlink"/>
            <w:bCs/>
            <w:sz w:val="24"/>
            <w:szCs w:val="24"/>
          </w:rPr>
          <w:t>bill.borwegen@seiu.org</w:t>
        </w:r>
      </w:hyperlink>
    </w:p>
    <w:p w:rsidR="003508CE" w:rsidRDefault="003508CE" w:rsidP="003508CE">
      <w:pPr>
        <w:autoSpaceDE w:val="0"/>
        <w:autoSpaceDN w:val="0"/>
        <w:adjustRightInd w:val="0"/>
        <w:spacing w:after="120"/>
        <w:rPr>
          <w:bCs/>
          <w:sz w:val="24"/>
          <w:szCs w:val="24"/>
        </w:rPr>
      </w:pPr>
      <w:r>
        <w:rPr>
          <w:bCs/>
          <w:sz w:val="24"/>
          <w:szCs w:val="24"/>
        </w:rPr>
        <w:t xml:space="preserve">Mark Catlin, Service Employees International Union, 202-730-7290, </w:t>
      </w:r>
      <w:hyperlink r:id="rId25" w:history="1">
        <w:r w:rsidRPr="0009741F">
          <w:rPr>
            <w:rStyle w:val="Hyperlink"/>
            <w:bCs/>
            <w:sz w:val="24"/>
            <w:szCs w:val="24"/>
          </w:rPr>
          <w:t>mark.catlin@seiu.org</w:t>
        </w:r>
      </w:hyperlink>
    </w:p>
    <w:p w:rsidR="003508CE" w:rsidRDefault="003508CE" w:rsidP="003508CE">
      <w:pPr>
        <w:autoSpaceDE w:val="0"/>
        <w:autoSpaceDN w:val="0"/>
        <w:adjustRightInd w:val="0"/>
        <w:spacing w:after="120"/>
        <w:rPr>
          <w:bCs/>
          <w:sz w:val="24"/>
          <w:szCs w:val="24"/>
        </w:rPr>
      </w:pPr>
      <w:r>
        <w:rPr>
          <w:bCs/>
          <w:sz w:val="24"/>
          <w:szCs w:val="24"/>
        </w:rPr>
        <w:t xml:space="preserve">Steve Schrag, Service Employees International Union, 203-574-7966, </w:t>
      </w:r>
      <w:hyperlink r:id="rId26" w:history="1">
        <w:r w:rsidRPr="0009741F">
          <w:rPr>
            <w:rStyle w:val="Hyperlink"/>
            <w:bCs/>
            <w:sz w:val="24"/>
            <w:szCs w:val="24"/>
          </w:rPr>
          <w:t>steven.schrag@sbcglobal.net</w:t>
        </w:r>
      </w:hyperlink>
    </w:p>
    <w:p w:rsidR="003508CE" w:rsidRDefault="003508CE" w:rsidP="003508CE">
      <w:pPr>
        <w:autoSpaceDE w:val="0"/>
        <w:autoSpaceDN w:val="0"/>
        <w:adjustRightInd w:val="0"/>
        <w:spacing w:after="120"/>
        <w:rPr>
          <w:bCs/>
          <w:sz w:val="24"/>
          <w:szCs w:val="24"/>
        </w:rPr>
      </w:pPr>
      <w:r>
        <w:rPr>
          <w:bCs/>
          <w:sz w:val="24"/>
          <w:szCs w:val="24"/>
        </w:rPr>
        <w:t xml:space="preserve">Bobby </w:t>
      </w:r>
      <w:proofErr w:type="spellStart"/>
      <w:r>
        <w:rPr>
          <w:bCs/>
          <w:sz w:val="24"/>
          <w:szCs w:val="24"/>
        </w:rPr>
        <w:t>Hocson</w:t>
      </w:r>
      <w:proofErr w:type="spellEnd"/>
      <w:r>
        <w:rPr>
          <w:bCs/>
          <w:sz w:val="24"/>
          <w:szCs w:val="24"/>
        </w:rPr>
        <w:t xml:space="preserve">, Service Employees International Union Local 1199, 212-408-8418, </w:t>
      </w:r>
      <w:hyperlink r:id="rId27" w:history="1">
        <w:r w:rsidRPr="0009741F">
          <w:rPr>
            <w:rStyle w:val="Hyperlink"/>
            <w:bCs/>
            <w:sz w:val="24"/>
            <w:szCs w:val="24"/>
          </w:rPr>
          <w:t>bobbyh@1199.org</w:t>
        </w:r>
      </w:hyperlink>
    </w:p>
    <w:p w:rsidR="003508CE" w:rsidRDefault="003508CE" w:rsidP="006A2201">
      <w:pPr>
        <w:spacing w:after="120"/>
        <w:rPr>
          <w:sz w:val="24"/>
          <w:szCs w:val="24"/>
        </w:rPr>
      </w:pPr>
      <w:r>
        <w:rPr>
          <w:bCs/>
          <w:sz w:val="24"/>
          <w:szCs w:val="24"/>
        </w:rPr>
        <w:t>Brendan Shaw, Service Employees International Union Communication</w:t>
      </w:r>
      <w:r w:rsidR="00BA6E1A">
        <w:rPr>
          <w:bCs/>
          <w:sz w:val="24"/>
          <w:szCs w:val="24"/>
        </w:rPr>
        <w:t>s</w:t>
      </w:r>
      <w:r>
        <w:rPr>
          <w:bCs/>
          <w:sz w:val="24"/>
          <w:szCs w:val="24"/>
        </w:rPr>
        <w:t xml:space="preserve"> Center, 212-603-3783, </w:t>
      </w:r>
      <w:hyperlink r:id="rId28" w:history="1">
        <w:r w:rsidRPr="0009741F">
          <w:rPr>
            <w:rStyle w:val="Hyperlink"/>
            <w:bCs/>
            <w:sz w:val="24"/>
            <w:szCs w:val="24"/>
          </w:rPr>
          <w:t>brendans@seiucc.org</w:t>
        </w:r>
      </w:hyperlink>
    </w:p>
    <w:p w:rsidR="006A2201" w:rsidRDefault="006A2201" w:rsidP="006A2201">
      <w:pPr>
        <w:autoSpaceDE w:val="0"/>
        <w:autoSpaceDN w:val="0"/>
        <w:adjustRightInd w:val="0"/>
        <w:spacing w:after="120"/>
        <w:rPr>
          <w:bCs/>
          <w:sz w:val="24"/>
          <w:szCs w:val="24"/>
        </w:rPr>
      </w:pPr>
      <w:r>
        <w:rPr>
          <w:bCs/>
          <w:sz w:val="24"/>
          <w:szCs w:val="24"/>
        </w:rPr>
        <w:t xml:space="preserve">Michael Witt, Research Triangle Institute International, 919-990-8346, </w:t>
      </w:r>
      <w:hyperlink r:id="rId29" w:history="1">
        <w:r w:rsidRPr="0009741F">
          <w:rPr>
            <w:rStyle w:val="Hyperlink"/>
            <w:bCs/>
            <w:sz w:val="24"/>
            <w:szCs w:val="24"/>
          </w:rPr>
          <w:t>witt@rti.org</w:t>
        </w:r>
      </w:hyperlink>
    </w:p>
    <w:p w:rsidR="006A2201" w:rsidRDefault="006A2201" w:rsidP="006A2201">
      <w:pPr>
        <w:autoSpaceDE w:val="0"/>
        <w:autoSpaceDN w:val="0"/>
        <w:adjustRightInd w:val="0"/>
        <w:spacing w:after="120"/>
        <w:rPr>
          <w:bCs/>
          <w:sz w:val="24"/>
          <w:szCs w:val="24"/>
        </w:rPr>
      </w:pPr>
      <w:r>
        <w:rPr>
          <w:bCs/>
          <w:sz w:val="24"/>
          <w:szCs w:val="24"/>
        </w:rPr>
        <w:t xml:space="preserve">Dan Liao, Research Triangle Institute International, 301-816-4605, </w:t>
      </w:r>
      <w:hyperlink r:id="rId30" w:history="1">
        <w:r w:rsidRPr="0009741F">
          <w:rPr>
            <w:rStyle w:val="Hyperlink"/>
            <w:bCs/>
            <w:sz w:val="24"/>
            <w:szCs w:val="24"/>
          </w:rPr>
          <w:t>dliao@rti.org</w:t>
        </w:r>
      </w:hyperlink>
    </w:p>
    <w:p w:rsidR="006A2201" w:rsidRDefault="006A2201" w:rsidP="006A2201">
      <w:pPr>
        <w:autoSpaceDE w:val="0"/>
        <w:autoSpaceDN w:val="0"/>
        <w:adjustRightInd w:val="0"/>
        <w:spacing w:after="120"/>
        <w:rPr>
          <w:bCs/>
          <w:sz w:val="24"/>
          <w:szCs w:val="24"/>
        </w:rPr>
      </w:pPr>
      <w:r>
        <w:rPr>
          <w:bCs/>
          <w:sz w:val="24"/>
          <w:szCs w:val="24"/>
        </w:rPr>
        <w:t xml:space="preserve">Kristina Peterson, Research Triangle Institute International, 919-485-7722, </w:t>
      </w:r>
      <w:hyperlink r:id="rId31" w:history="1">
        <w:r w:rsidRPr="0009741F">
          <w:rPr>
            <w:rStyle w:val="Hyperlink"/>
            <w:bCs/>
            <w:sz w:val="24"/>
            <w:szCs w:val="24"/>
          </w:rPr>
          <w:t>kpeterson@rti.org</w:t>
        </w:r>
      </w:hyperlink>
    </w:p>
    <w:p w:rsidR="00E07958" w:rsidRPr="00BC6D12" w:rsidRDefault="00E07958" w:rsidP="00A67F12">
      <w:pPr>
        <w:spacing w:after="200" w:line="276" w:lineRule="auto"/>
        <w:rPr>
          <w:bCs/>
          <w:sz w:val="24"/>
          <w:szCs w:val="24"/>
        </w:rPr>
      </w:pPr>
      <w:r w:rsidRPr="00BC6D12">
        <w:rPr>
          <w:bCs/>
          <w:sz w:val="24"/>
          <w:szCs w:val="24"/>
        </w:rPr>
        <w:t xml:space="preserve">Matthew </w:t>
      </w:r>
      <w:proofErr w:type="spellStart"/>
      <w:r w:rsidRPr="00BC6D12">
        <w:rPr>
          <w:bCs/>
          <w:sz w:val="24"/>
          <w:szCs w:val="24"/>
        </w:rPr>
        <w:t>Strobl</w:t>
      </w:r>
      <w:proofErr w:type="spellEnd"/>
      <w:r>
        <w:rPr>
          <w:bCs/>
          <w:sz w:val="24"/>
          <w:szCs w:val="24"/>
        </w:rPr>
        <w:t>, Research Triangle Institute International, 919-541-7395, mstrobl@rti.org</w:t>
      </w:r>
    </w:p>
    <w:p w:rsidR="00E07958" w:rsidRPr="00BC6D12" w:rsidRDefault="00E07958" w:rsidP="00A67F12">
      <w:pPr>
        <w:spacing w:after="200" w:line="276" w:lineRule="auto"/>
        <w:rPr>
          <w:bCs/>
          <w:sz w:val="24"/>
          <w:szCs w:val="24"/>
        </w:rPr>
      </w:pPr>
      <w:r w:rsidRPr="00BC6D12">
        <w:rPr>
          <w:bCs/>
          <w:sz w:val="24"/>
          <w:szCs w:val="24"/>
        </w:rPr>
        <w:lastRenderedPageBreak/>
        <w:t xml:space="preserve">Kathy </w:t>
      </w:r>
      <w:r>
        <w:rPr>
          <w:bCs/>
          <w:sz w:val="24"/>
          <w:szCs w:val="24"/>
        </w:rPr>
        <w:t>M</w:t>
      </w:r>
      <w:r w:rsidRPr="00BC6D12">
        <w:rPr>
          <w:bCs/>
          <w:sz w:val="24"/>
          <w:szCs w:val="24"/>
        </w:rPr>
        <w:t>ason</w:t>
      </w:r>
      <w:r>
        <w:rPr>
          <w:bCs/>
          <w:sz w:val="24"/>
          <w:szCs w:val="24"/>
        </w:rPr>
        <w:t>, Research Triangle Institute International,</w:t>
      </w:r>
      <w:r w:rsidR="00C3299A">
        <w:rPr>
          <w:bCs/>
          <w:sz w:val="24"/>
          <w:szCs w:val="24"/>
        </w:rPr>
        <w:t xml:space="preserve"> 919-541-7010</w:t>
      </w:r>
      <w:r>
        <w:rPr>
          <w:bCs/>
          <w:sz w:val="24"/>
          <w:szCs w:val="24"/>
        </w:rPr>
        <w:t>,</w:t>
      </w:r>
      <w:r w:rsidR="00C3299A">
        <w:rPr>
          <w:bCs/>
          <w:sz w:val="24"/>
          <w:szCs w:val="24"/>
        </w:rPr>
        <w:t xml:space="preserve"> </w:t>
      </w:r>
      <w:r>
        <w:rPr>
          <w:bCs/>
          <w:sz w:val="24"/>
          <w:szCs w:val="24"/>
        </w:rPr>
        <w:t>mason@rti.org</w:t>
      </w:r>
    </w:p>
    <w:p w:rsidR="00B375EC" w:rsidRDefault="00E07958" w:rsidP="00A67F12">
      <w:pPr>
        <w:spacing w:after="200" w:line="276" w:lineRule="auto"/>
        <w:rPr>
          <w:b/>
          <w:bCs/>
          <w:sz w:val="24"/>
          <w:szCs w:val="24"/>
        </w:rPr>
      </w:pPr>
      <w:proofErr w:type="spellStart"/>
      <w:r w:rsidRPr="00BC6D12">
        <w:rPr>
          <w:bCs/>
          <w:sz w:val="24"/>
          <w:szCs w:val="24"/>
        </w:rPr>
        <w:t>Ariana</w:t>
      </w:r>
      <w:proofErr w:type="spellEnd"/>
      <w:r w:rsidRPr="00BC6D12">
        <w:rPr>
          <w:bCs/>
          <w:sz w:val="24"/>
          <w:szCs w:val="24"/>
        </w:rPr>
        <w:t xml:space="preserve"> </w:t>
      </w:r>
      <w:r>
        <w:rPr>
          <w:bCs/>
          <w:sz w:val="24"/>
          <w:szCs w:val="24"/>
        </w:rPr>
        <w:t>N</w:t>
      </w:r>
      <w:r w:rsidRPr="00BC6D12">
        <w:rPr>
          <w:bCs/>
          <w:sz w:val="24"/>
          <w:szCs w:val="24"/>
        </w:rPr>
        <w:t>apier</w:t>
      </w:r>
      <w:r>
        <w:rPr>
          <w:bCs/>
          <w:sz w:val="24"/>
          <w:szCs w:val="24"/>
        </w:rPr>
        <w:t xml:space="preserve">, Research Triangle Institute International, </w:t>
      </w:r>
      <w:r w:rsidR="00C3299A">
        <w:rPr>
          <w:bCs/>
          <w:sz w:val="24"/>
          <w:szCs w:val="24"/>
        </w:rPr>
        <w:t>919-316-3499</w:t>
      </w:r>
      <w:r>
        <w:rPr>
          <w:bCs/>
          <w:sz w:val="24"/>
          <w:szCs w:val="24"/>
        </w:rPr>
        <w:t>,</w:t>
      </w:r>
      <w:r w:rsidR="00C3299A">
        <w:rPr>
          <w:bCs/>
          <w:sz w:val="24"/>
          <w:szCs w:val="24"/>
        </w:rPr>
        <w:t xml:space="preserve"> </w:t>
      </w:r>
      <w:r>
        <w:rPr>
          <w:bCs/>
          <w:sz w:val="24"/>
          <w:szCs w:val="24"/>
        </w:rPr>
        <w:t>anapier@rti.org</w:t>
      </w:r>
      <w:r w:rsidR="00171DE0">
        <w:br w:type="page"/>
      </w:r>
      <w:r w:rsidR="00171DE0" w:rsidRPr="00171DE0">
        <w:rPr>
          <w:b/>
          <w:bCs/>
          <w:sz w:val="24"/>
          <w:szCs w:val="24"/>
        </w:rPr>
        <w:lastRenderedPageBreak/>
        <w:t>References</w:t>
      </w:r>
    </w:p>
    <w:p w:rsidR="00A72836" w:rsidRDefault="00A72836" w:rsidP="00E57490">
      <w:pPr>
        <w:rPr>
          <w:b/>
          <w:bCs/>
          <w:sz w:val="24"/>
          <w:szCs w:val="24"/>
        </w:rPr>
      </w:pPr>
    </w:p>
    <w:p w:rsidR="0050547D" w:rsidRPr="0050547D" w:rsidRDefault="0050547D" w:rsidP="0050547D">
      <w:pPr>
        <w:ind w:left="720" w:hanging="720"/>
        <w:rPr>
          <w:sz w:val="24"/>
          <w:szCs w:val="24"/>
        </w:rPr>
      </w:pPr>
      <w:proofErr w:type="gramStart"/>
      <w:r w:rsidRPr="0050547D">
        <w:rPr>
          <w:sz w:val="24"/>
          <w:szCs w:val="24"/>
        </w:rPr>
        <w:t xml:space="preserve">CDC. </w:t>
      </w:r>
      <w:r w:rsidRPr="0050547D">
        <w:rPr>
          <w:rStyle w:val="psmall1"/>
          <w:rFonts w:ascii="Times New Roman" w:hAnsi="Times New Roman"/>
          <w:color w:val="000000"/>
          <w:sz w:val="24"/>
          <w:szCs w:val="24"/>
        </w:rPr>
        <w:t>Centers for Disease Control and Prevention (CDC).</w:t>
      </w:r>
      <w:proofErr w:type="gramEnd"/>
      <w:r w:rsidRPr="0050547D">
        <w:rPr>
          <w:rStyle w:val="psmall1"/>
          <w:rFonts w:ascii="Times New Roman" w:hAnsi="Times New Roman"/>
          <w:color w:val="000000"/>
          <w:sz w:val="24"/>
          <w:szCs w:val="24"/>
        </w:rPr>
        <w:t xml:space="preserve"> </w:t>
      </w:r>
      <w:proofErr w:type="gramStart"/>
      <w:r w:rsidRPr="0050547D">
        <w:rPr>
          <w:rStyle w:val="psmall1"/>
          <w:rFonts w:ascii="Times New Roman" w:hAnsi="Times New Roman"/>
          <w:iCs/>
          <w:color w:val="000000"/>
          <w:sz w:val="24"/>
          <w:szCs w:val="24"/>
        </w:rPr>
        <w:t>Behavioral Risk Factor Surveillance System Survey Data.</w:t>
      </w:r>
      <w:proofErr w:type="gramEnd"/>
      <w:r w:rsidRPr="0050547D">
        <w:rPr>
          <w:rStyle w:val="psmall1"/>
          <w:rFonts w:ascii="Times New Roman" w:hAnsi="Times New Roman"/>
          <w:color w:val="000000"/>
          <w:sz w:val="24"/>
          <w:szCs w:val="24"/>
        </w:rPr>
        <w:t xml:space="preserve"> Atlanta, Georgia: U.S. Department of Health and Human Services, Centers for Disease Control and Prevention, 2007</w:t>
      </w:r>
    </w:p>
    <w:p w:rsidR="0050547D" w:rsidRDefault="0050547D" w:rsidP="005B742E">
      <w:pPr>
        <w:widowControl w:val="0"/>
        <w:autoSpaceDE w:val="0"/>
        <w:autoSpaceDN w:val="0"/>
        <w:adjustRightInd w:val="0"/>
        <w:ind w:left="720" w:hanging="720"/>
        <w:rPr>
          <w:sz w:val="24"/>
          <w:szCs w:val="24"/>
          <w:lang w:val="da-DK"/>
        </w:rPr>
      </w:pPr>
    </w:p>
    <w:p w:rsidR="005B742E" w:rsidRDefault="005B742E" w:rsidP="005B742E">
      <w:pPr>
        <w:widowControl w:val="0"/>
        <w:autoSpaceDE w:val="0"/>
        <w:autoSpaceDN w:val="0"/>
        <w:adjustRightInd w:val="0"/>
        <w:ind w:left="720" w:hanging="720"/>
        <w:rPr>
          <w:sz w:val="24"/>
          <w:szCs w:val="24"/>
        </w:rPr>
      </w:pPr>
      <w:r w:rsidRPr="00681D67">
        <w:rPr>
          <w:sz w:val="24"/>
          <w:szCs w:val="24"/>
          <w:lang w:val="da-DK"/>
        </w:rPr>
        <w:t xml:space="preserve">Delclos GL, Arif AA, Aday L, et al. </w:t>
      </w:r>
      <w:proofErr w:type="gramStart"/>
      <w:r w:rsidRPr="00681D67">
        <w:rPr>
          <w:sz w:val="24"/>
          <w:szCs w:val="24"/>
        </w:rPr>
        <w:t>Validation of an asthma questionnaire for use in healthcare workers.</w:t>
      </w:r>
      <w:proofErr w:type="gramEnd"/>
      <w:r w:rsidRPr="00681D67">
        <w:rPr>
          <w:sz w:val="24"/>
          <w:szCs w:val="24"/>
        </w:rPr>
        <w:t xml:space="preserve"> </w:t>
      </w:r>
      <w:proofErr w:type="spellStart"/>
      <w:r w:rsidRPr="00681D67">
        <w:rPr>
          <w:sz w:val="24"/>
          <w:szCs w:val="24"/>
        </w:rPr>
        <w:t>Occup</w:t>
      </w:r>
      <w:proofErr w:type="spellEnd"/>
      <w:r w:rsidRPr="00681D67">
        <w:rPr>
          <w:sz w:val="24"/>
          <w:szCs w:val="24"/>
        </w:rPr>
        <w:t xml:space="preserve"> Environ Med 2006; 63:173-179</w:t>
      </w:r>
    </w:p>
    <w:p w:rsidR="005B742E" w:rsidRDefault="005B742E" w:rsidP="00A72836">
      <w:pPr>
        <w:widowControl w:val="0"/>
        <w:autoSpaceDE w:val="0"/>
        <w:autoSpaceDN w:val="0"/>
        <w:adjustRightInd w:val="0"/>
        <w:ind w:left="720" w:hanging="720"/>
        <w:rPr>
          <w:sz w:val="24"/>
          <w:szCs w:val="24"/>
          <w:lang w:val="es-ES"/>
        </w:rPr>
      </w:pPr>
    </w:p>
    <w:p w:rsidR="00A72836" w:rsidRPr="00681D67" w:rsidRDefault="00A72836" w:rsidP="00A72836">
      <w:pPr>
        <w:widowControl w:val="0"/>
        <w:autoSpaceDE w:val="0"/>
        <w:autoSpaceDN w:val="0"/>
        <w:adjustRightInd w:val="0"/>
        <w:ind w:left="720" w:hanging="720"/>
        <w:rPr>
          <w:sz w:val="24"/>
          <w:szCs w:val="24"/>
        </w:rPr>
      </w:pPr>
      <w:proofErr w:type="spellStart"/>
      <w:r w:rsidRPr="00681D67">
        <w:rPr>
          <w:sz w:val="24"/>
          <w:szCs w:val="24"/>
          <w:lang w:val="es-ES"/>
        </w:rPr>
        <w:t>Delclos</w:t>
      </w:r>
      <w:proofErr w:type="spellEnd"/>
      <w:r w:rsidRPr="00681D67">
        <w:rPr>
          <w:sz w:val="24"/>
          <w:szCs w:val="24"/>
          <w:lang w:val="es-ES"/>
        </w:rPr>
        <w:t xml:space="preserve"> GL, Gimeno D, </w:t>
      </w:r>
      <w:proofErr w:type="spellStart"/>
      <w:r w:rsidRPr="00681D67">
        <w:rPr>
          <w:sz w:val="24"/>
          <w:szCs w:val="24"/>
          <w:lang w:val="es-ES"/>
        </w:rPr>
        <w:t>Arif</w:t>
      </w:r>
      <w:proofErr w:type="spellEnd"/>
      <w:r w:rsidRPr="00681D67">
        <w:rPr>
          <w:sz w:val="24"/>
          <w:szCs w:val="24"/>
          <w:lang w:val="es-ES"/>
        </w:rPr>
        <w:t xml:space="preserve"> AA, et al. </w:t>
      </w:r>
      <w:r w:rsidRPr="00681D67">
        <w:rPr>
          <w:sz w:val="24"/>
          <w:szCs w:val="24"/>
        </w:rPr>
        <w:t xml:space="preserve">Occupational risk factors and asthma among health care professionals. </w:t>
      </w:r>
      <w:proofErr w:type="gramStart"/>
      <w:r w:rsidRPr="00681D67">
        <w:rPr>
          <w:sz w:val="24"/>
          <w:szCs w:val="24"/>
        </w:rPr>
        <w:t>Am</w:t>
      </w:r>
      <w:proofErr w:type="gramEnd"/>
      <w:r w:rsidRPr="00681D67">
        <w:rPr>
          <w:sz w:val="24"/>
          <w:szCs w:val="24"/>
        </w:rPr>
        <w:t xml:space="preserve"> J </w:t>
      </w:r>
      <w:proofErr w:type="spellStart"/>
      <w:r w:rsidRPr="00681D67">
        <w:rPr>
          <w:sz w:val="24"/>
          <w:szCs w:val="24"/>
        </w:rPr>
        <w:t>Respir</w:t>
      </w:r>
      <w:proofErr w:type="spellEnd"/>
      <w:r w:rsidRPr="00681D67">
        <w:rPr>
          <w:sz w:val="24"/>
          <w:szCs w:val="24"/>
        </w:rPr>
        <w:t xml:space="preserve"> </w:t>
      </w:r>
      <w:proofErr w:type="spellStart"/>
      <w:r w:rsidRPr="00681D67">
        <w:rPr>
          <w:sz w:val="24"/>
          <w:szCs w:val="24"/>
        </w:rPr>
        <w:t>Crit</w:t>
      </w:r>
      <w:proofErr w:type="spellEnd"/>
      <w:r w:rsidRPr="00681D67">
        <w:rPr>
          <w:sz w:val="24"/>
          <w:szCs w:val="24"/>
        </w:rPr>
        <w:t xml:space="preserve"> Care Med 2007; 175:667-675</w:t>
      </w:r>
    </w:p>
    <w:p w:rsidR="00A72836" w:rsidRDefault="00A72836" w:rsidP="00E57490">
      <w:pPr>
        <w:rPr>
          <w:b/>
          <w:bCs/>
          <w:sz w:val="24"/>
          <w:szCs w:val="24"/>
        </w:rPr>
      </w:pPr>
    </w:p>
    <w:p w:rsidR="00A72836" w:rsidRDefault="00A72836" w:rsidP="00A72836">
      <w:pPr>
        <w:widowControl w:val="0"/>
        <w:autoSpaceDE w:val="0"/>
        <w:autoSpaceDN w:val="0"/>
        <w:adjustRightInd w:val="0"/>
        <w:ind w:left="720" w:hanging="720"/>
        <w:rPr>
          <w:sz w:val="24"/>
          <w:szCs w:val="24"/>
        </w:rPr>
      </w:pPr>
      <w:proofErr w:type="spellStart"/>
      <w:r w:rsidRPr="00681D67">
        <w:rPr>
          <w:sz w:val="24"/>
          <w:szCs w:val="24"/>
        </w:rPr>
        <w:t>Demidenko</w:t>
      </w:r>
      <w:proofErr w:type="spellEnd"/>
      <w:r w:rsidRPr="00681D67">
        <w:rPr>
          <w:sz w:val="24"/>
          <w:szCs w:val="24"/>
        </w:rPr>
        <w:t xml:space="preserve"> E. Sample size determination for logistic regression revisited. Stat Med 2007; 26:3385-3397</w:t>
      </w:r>
    </w:p>
    <w:p w:rsidR="00A72836" w:rsidRDefault="00A72836" w:rsidP="00E57490">
      <w:pPr>
        <w:rPr>
          <w:b/>
          <w:bCs/>
          <w:sz w:val="24"/>
          <w:szCs w:val="24"/>
        </w:rPr>
      </w:pPr>
    </w:p>
    <w:p w:rsidR="007E4E21" w:rsidRDefault="007E4E21" w:rsidP="00CB3AAB">
      <w:pPr>
        <w:widowControl w:val="0"/>
        <w:autoSpaceDE w:val="0"/>
        <w:autoSpaceDN w:val="0"/>
        <w:adjustRightInd w:val="0"/>
        <w:ind w:left="720" w:hanging="720"/>
        <w:rPr>
          <w:sz w:val="24"/>
          <w:szCs w:val="24"/>
        </w:rPr>
      </w:pPr>
      <w:proofErr w:type="spellStart"/>
      <w:r>
        <w:rPr>
          <w:sz w:val="24"/>
          <w:szCs w:val="24"/>
        </w:rPr>
        <w:t>Dillman</w:t>
      </w:r>
      <w:proofErr w:type="spellEnd"/>
      <w:r>
        <w:rPr>
          <w:sz w:val="24"/>
          <w:szCs w:val="24"/>
        </w:rPr>
        <w:t xml:space="preserve"> D. Mail and internet surveys: the tailored design method. New York: John Wiley &amp; Sons; 2000.</w:t>
      </w:r>
    </w:p>
    <w:p w:rsidR="007E4E21" w:rsidRDefault="007E4E21" w:rsidP="00CB3AAB">
      <w:pPr>
        <w:widowControl w:val="0"/>
        <w:autoSpaceDE w:val="0"/>
        <w:autoSpaceDN w:val="0"/>
        <w:adjustRightInd w:val="0"/>
        <w:ind w:left="720" w:hanging="720"/>
        <w:rPr>
          <w:sz w:val="24"/>
          <w:szCs w:val="24"/>
        </w:rPr>
      </w:pPr>
    </w:p>
    <w:p w:rsidR="0050547D" w:rsidRPr="00681D67" w:rsidRDefault="0050547D" w:rsidP="0050547D">
      <w:pPr>
        <w:widowControl w:val="0"/>
        <w:autoSpaceDE w:val="0"/>
        <w:autoSpaceDN w:val="0"/>
        <w:adjustRightInd w:val="0"/>
        <w:ind w:left="720" w:hanging="720"/>
        <w:rPr>
          <w:sz w:val="24"/>
          <w:szCs w:val="24"/>
        </w:rPr>
      </w:pPr>
      <w:r w:rsidRPr="00681D67">
        <w:rPr>
          <w:sz w:val="24"/>
          <w:szCs w:val="24"/>
        </w:rPr>
        <w:t xml:space="preserve">Henneberger P LX, </w:t>
      </w:r>
      <w:proofErr w:type="spellStart"/>
      <w:r w:rsidRPr="00681D67">
        <w:rPr>
          <w:sz w:val="24"/>
          <w:szCs w:val="24"/>
        </w:rPr>
        <w:t>Preusse</w:t>
      </w:r>
      <w:proofErr w:type="spellEnd"/>
      <w:r w:rsidRPr="00681D67">
        <w:rPr>
          <w:sz w:val="24"/>
          <w:szCs w:val="24"/>
        </w:rPr>
        <w:t xml:space="preserve"> PA, </w:t>
      </w:r>
      <w:proofErr w:type="spellStart"/>
      <w:r w:rsidRPr="00681D67">
        <w:rPr>
          <w:sz w:val="24"/>
          <w:szCs w:val="24"/>
        </w:rPr>
        <w:t>Sama</w:t>
      </w:r>
      <w:proofErr w:type="spellEnd"/>
      <w:r w:rsidRPr="00681D67">
        <w:rPr>
          <w:sz w:val="24"/>
          <w:szCs w:val="24"/>
        </w:rPr>
        <w:t xml:space="preserve"> SR, </w:t>
      </w:r>
      <w:proofErr w:type="gramStart"/>
      <w:r w:rsidRPr="00681D67">
        <w:rPr>
          <w:sz w:val="24"/>
          <w:szCs w:val="24"/>
        </w:rPr>
        <w:t>Milton DK. .</w:t>
      </w:r>
      <w:proofErr w:type="gramEnd"/>
      <w:r w:rsidRPr="00681D67">
        <w:rPr>
          <w:sz w:val="24"/>
          <w:szCs w:val="24"/>
        </w:rPr>
        <w:t xml:space="preserve"> Occupations associated with exacerbation of asthma. </w:t>
      </w:r>
      <w:proofErr w:type="spellStart"/>
      <w:r w:rsidRPr="00681D67">
        <w:rPr>
          <w:sz w:val="24"/>
          <w:szCs w:val="24"/>
        </w:rPr>
        <w:t>Proc</w:t>
      </w:r>
      <w:proofErr w:type="spellEnd"/>
      <w:r w:rsidRPr="00681D67">
        <w:rPr>
          <w:sz w:val="24"/>
          <w:szCs w:val="24"/>
        </w:rPr>
        <w:t xml:space="preserve"> Am Thoracic </w:t>
      </w:r>
      <w:proofErr w:type="spellStart"/>
      <w:r w:rsidRPr="00681D67">
        <w:rPr>
          <w:sz w:val="24"/>
          <w:szCs w:val="24"/>
        </w:rPr>
        <w:t>Soc</w:t>
      </w:r>
      <w:proofErr w:type="spellEnd"/>
      <w:r w:rsidRPr="00681D67">
        <w:rPr>
          <w:sz w:val="24"/>
          <w:szCs w:val="24"/>
        </w:rPr>
        <w:t xml:space="preserve"> 2008; 4:A525</w:t>
      </w:r>
    </w:p>
    <w:p w:rsidR="0050547D" w:rsidRDefault="0050547D" w:rsidP="00CB3AAB">
      <w:pPr>
        <w:widowControl w:val="0"/>
        <w:autoSpaceDE w:val="0"/>
        <w:autoSpaceDN w:val="0"/>
        <w:adjustRightInd w:val="0"/>
        <w:ind w:left="720" w:hanging="720"/>
        <w:rPr>
          <w:sz w:val="24"/>
          <w:szCs w:val="24"/>
        </w:rPr>
      </w:pPr>
    </w:p>
    <w:p w:rsidR="0050547D" w:rsidRPr="00681D67" w:rsidRDefault="0050547D" w:rsidP="0050547D">
      <w:pPr>
        <w:widowControl w:val="0"/>
        <w:autoSpaceDE w:val="0"/>
        <w:autoSpaceDN w:val="0"/>
        <w:adjustRightInd w:val="0"/>
        <w:ind w:left="720" w:hanging="720"/>
        <w:rPr>
          <w:sz w:val="24"/>
          <w:szCs w:val="24"/>
          <w:lang w:val="nl-NL"/>
        </w:rPr>
      </w:pPr>
      <w:proofErr w:type="gramStart"/>
      <w:r w:rsidRPr="00681D67">
        <w:rPr>
          <w:sz w:val="24"/>
          <w:szCs w:val="24"/>
        </w:rPr>
        <w:t>Rudd RA, Moorman JE.</w:t>
      </w:r>
      <w:proofErr w:type="gramEnd"/>
      <w:r w:rsidRPr="00681D67">
        <w:rPr>
          <w:sz w:val="24"/>
          <w:szCs w:val="24"/>
        </w:rPr>
        <w:t xml:space="preserve"> Asthma incidence: data from the National Health Interview Survey, 1980-1996. </w:t>
      </w:r>
      <w:r w:rsidRPr="00681D67">
        <w:rPr>
          <w:sz w:val="24"/>
          <w:szCs w:val="24"/>
          <w:lang w:val="nl-NL"/>
        </w:rPr>
        <w:t>J Asthma 2007; 44:65-70</w:t>
      </w:r>
    </w:p>
    <w:p w:rsidR="0050547D" w:rsidRDefault="0050547D" w:rsidP="00CB3AAB">
      <w:pPr>
        <w:widowControl w:val="0"/>
        <w:autoSpaceDE w:val="0"/>
        <w:autoSpaceDN w:val="0"/>
        <w:adjustRightInd w:val="0"/>
        <w:ind w:left="720" w:hanging="720"/>
        <w:rPr>
          <w:sz w:val="24"/>
          <w:szCs w:val="24"/>
        </w:rPr>
      </w:pPr>
    </w:p>
    <w:p w:rsidR="00CB3AAB" w:rsidRPr="00681D67" w:rsidRDefault="00CB3AAB" w:rsidP="00CB3AAB">
      <w:pPr>
        <w:widowControl w:val="0"/>
        <w:autoSpaceDE w:val="0"/>
        <w:autoSpaceDN w:val="0"/>
        <w:adjustRightInd w:val="0"/>
        <w:ind w:left="720" w:hanging="720"/>
        <w:rPr>
          <w:sz w:val="24"/>
          <w:szCs w:val="24"/>
        </w:rPr>
      </w:pPr>
      <w:r w:rsidRPr="00681D67">
        <w:rPr>
          <w:sz w:val="24"/>
          <w:szCs w:val="24"/>
        </w:rPr>
        <w:t xml:space="preserve">Zeiss CR, Gomaa A, Murphy FM, et al. Latex hypersensitivity in </w:t>
      </w:r>
      <w:proofErr w:type="gramStart"/>
      <w:r w:rsidRPr="00681D67">
        <w:rPr>
          <w:sz w:val="24"/>
          <w:szCs w:val="24"/>
        </w:rPr>
        <w:t>Department of Veterans Affairs</w:t>
      </w:r>
      <w:proofErr w:type="gramEnd"/>
      <w:r w:rsidRPr="00681D67">
        <w:rPr>
          <w:sz w:val="24"/>
          <w:szCs w:val="24"/>
        </w:rPr>
        <w:t xml:space="preserve"> health care workers: glove use, symptoms, and sensitization. Ann Allergy Asthma </w:t>
      </w:r>
      <w:proofErr w:type="spellStart"/>
      <w:r w:rsidRPr="00681D67">
        <w:rPr>
          <w:sz w:val="24"/>
          <w:szCs w:val="24"/>
        </w:rPr>
        <w:t>Immunol</w:t>
      </w:r>
      <w:proofErr w:type="spellEnd"/>
      <w:r w:rsidRPr="00681D67">
        <w:rPr>
          <w:sz w:val="24"/>
          <w:szCs w:val="24"/>
        </w:rPr>
        <w:t xml:space="preserve"> 2003; 91:539-545</w:t>
      </w:r>
    </w:p>
    <w:p w:rsidR="00AE6986" w:rsidRPr="00AE6986" w:rsidRDefault="00AE6986" w:rsidP="00AE6986">
      <w:pPr>
        <w:spacing w:after="200" w:line="276" w:lineRule="auto"/>
        <w:rPr>
          <w:bCs/>
          <w:sz w:val="24"/>
          <w:szCs w:val="24"/>
        </w:rPr>
      </w:pPr>
    </w:p>
    <w:p w:rsidR="00AE6986" w:rsidRPr="00AE6986" w:rsidRDefault="00AE6986" w:rsidP="00AE6986">
      <w:pPr>
        <w:spacing w:after="200" w:line="276" w:lineRule="auto"/>
        <w:rPr>
          <w:bCs/>
          <w:sz w:val="24"/>
          <w:szCs w:val="24"/>
        </w:rPr>
      </w:pPr>
    </w:p>
    <w:sectPr w:rsidR="00AE6986" w:rsidRPr="00AE6986" w:rsidSect="004730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81C" w:rsidRDefault="006D081C" w:rsidP="009466ED">
      <w:r>
        <w:separator/>
      </w:r>
    </w:p>
  </w:endnote>
  <w:endnote w:type="continuationSeparator" w:id="0">
    <w:p w:rsidR="006D081C" w:rsidRDefault="006D081C" w:rsidP="0094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728295"/>
      <w:docPartObj>
        <w:docPartGallery w:val="Page Numbers (Bottom of Page)"/>
        <w:docPartUnique/>
      </w:docPartObj>
    </w:sdtPr>
    <w:sdtEndPr>
      <w:rPr>
        <w:noProof/>
      </w:rPr>
    </w:sdtEndPr>
    <w:sdtContent>
      <w:p w:rsidR="00506714" w:rsidRDefault="00506714">
        <w:pPr>
          <w:pStyle w:val="Footer"/>
          <w:jc w:val="center"/>
        </w:pPr>
        <w:r>
          <w:fldChar w:fldCharType="begin"/>
        </w:r>
        <w:r>
          <w:instrText xml:space="preserve"> PAGE   \* MERGEFORMAT </w:instrText>
        </w:r>
        <w:r>
          <w:fldChar w:fldCharType="separate"/>
        </w:r>
        <w:r w:rsidR="00BC6D12">
          <w:rPr>
            <w:noProof/>
          </w:rPr>
          <w:t>1</w:t>
        </w:r>
        <w:r>
          <w:rPr>
            <w:noProof/>
          </w:rPr>
          <w:fldChar w:fldCharType="end"/>
        </w:r>
      </w:p>
    </w:sdtContent>
  </w:sdt>
  <w:p w:rsidR="006D081C" w:rsidRDefault="006D0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81C" w:rsidRDefault="006D081C" w:rsidP="009466ED">
      <w:r>
        <w:separator/>
      </w:r>
    </w:p>
  </w:footnote>
  <w:footnote w:type="continuationSeparator" w:id="0">
    <w:p w:rsidR="006D081C" w:rsidRDefault="006D081C" w:rsidP="00946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76744"/>
    <w:multiLevelType w:val="hybridMultilevel"/>
    <w:tmpl w:val="F1E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FC"/>
    <w:rsid w:val="00010DA0"/>
    <w:rsid w:val="00015C97"/>
    <w:rsid w:val="00026D10"/>
    <w:rsid w:val="000327FC"/>
    <w:rsid w:val="00063E7E"/>
    <w:rsid w:val="00071A52"/>
    <w:rsid w:val="0008398B"/>
    <w:rsid w:val="0009026F"/>
    <w:rsid w:val="000E3C49"/>
    <w:rsid w:val="00104894"/>
    <w:rsid w:val="00171DE0"/>
    <w:rsid w:val="00243450"/>
    <w:rsid w:val="00244D7B"/>
    <w:rsid w:val="00246E8F"/>
    <w:rsid w:val="00262AE4"/>
    <w:rsid w:val="00280D11"/>
    <w:rsid w:val="002843D3"/>
    <w:rsid w:val="00303833"/>
    <w:rsid w:val="003400A8"/>
    <w:rsid w:val="003508CE"/>
    <w:rsid w:val="003B4F71"/>
    <w:rsid w:val="003C0C2D"/>
    <w:rsid w:val="003D446D"/>
    <w:rsid w:val="003E1A4A"/>
    <w:rsid w:val="00404C13"/>
    <w:rsid w:val="00460211"/>
    <w:rsid w:val="004619F7"/>
    <w:rsid w:val="004730C3"/>
    <w:rsid w:val="004D72A7"/>
    <w:rsid w:val="004D7A0E"/>
    <w:rsid w:val="0050547D"/>
    <w:rsid w:val="00506714"/>
    <w:rsid w:val="00543A88"/>
    <w:rsid w:val="00570C17"/>
    <w:rsid w:val="00581728"/>
    <w:rsid w:val="005853A0"/>
    <w:rsid w:val="005B4955"/>
    <w:rsid w:val="005B742E"/>
    <w:rsid w:val="00637E87"/>
    <w:rsid w:val="00690A91"/>
    <w:rsid w:val="006A2201"/>
    <w:rsid w:val="006B0526"/>
    <w:rsid w:val="006D081C"/>
    <w:rsid w:val="007541F6"/>
    <w:rsid w:val="00754BDA"/>
    <w:rsid w:val="00755211"/>
    <w:rsid w:val="00763D83"/>
    <w:rsid w:val="00796893"/>
    <w:rsid w:val="007B4D15"/>
    <w:rsid w:val="007C7F75"/>
    <w:rsid w:val="007E4E21"/>
    <w:rsid w:val="007F6AB6"/>
    <w:rsid w:val="00854ACE"/>
    <w:rsid w:val="0085588B"/>
    <w:rsid w:val="00874F6A"/>
    <w:rsid w:val="008B0185"/>
    <w:rsid w:val="009358D0"/>
    <w:rsid w:val="009466ED"/>
    <w:rsid w:val="00966717"/>
    <w:rsid w:val="00981CF3"/>
    <w:rsid w:val="009A7A62"/>
    <w:rsid w:val="009E304D"/>
    <w:rsid w:val="00A61B27"/>
    <w:rsid w:val="00A67F12"/>
    <w:rsid w:val="00A72836"/>
    <w:rsid w:val="00AE6986"/>
    <w:rsid w:val="00B04E45"/>
    <w:rsid w:val="00B375EC"/>
    <w:rsid w:val="00B63461"/>
    <w:rsid w:val="00B66196"/>
    <w:rsid w:val="00B66985"/>
    <w:rsid w:val="00BA3D86"/>
    <w:rsid w:val="00BA6E1A"/>
    <w:rsid w:val="00BC6D12"/>
    <w:rsid w:val="00BE1D4D"/>
    <w:rsid w:val="00C06B21"/>
    <w:rsid w:val="00C10986"/>
    <w:rsid w:val="00C32450"/>
    <w:rsid w:val="00C3299A"/>
    <w:rsid w:val="00C67BF1"/>
    <w:rsid w:val="00C76E14"/>
    <w:rsid w:val="00CB3AAB"/>
    <w:rsid w:val="00CD0CC5"/>
    <w:rsid w:val="00CD3147"/>
    <w:rsid w:val="00D00D67"/>
    <w:rsid w:val="00D21377"/>
    <w:rsid w:val="00D24A20"/>
    <w:rsid w:val="00D82911"/>
    <w:rsid w:val="00DC4565"/>
    <w:rsid w:val="00DF0EFC"/>
    <w:rsid w:val="00E01549"/>
    <w:rsid w:val="00E07958"/>
    <w:rsid w:val="00E57490"/>
    <w:rsid w:val="00E87085"/>
    <w:rsid w:val="00EB0FC5"/>
    <w:rsid w:val="00EB421F"/>
    <w:rsid w:val="00EC07D9"/>
    <w:rsid w:val="00EC43AE"/>
    <w:rsid w:val="00EF5253"/>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F0EFC"/>
    <w:pPr>
      <w:tabs>
        <w:tab w:val="left" w:pos="480"/>
        <w:tab w:val="right" w:leader="dot" w:pos="8630"/>
      </w:tabs>
      <w:spacing w:before="240" w:after="120"/>
      <w:jc w:val="center"/>
    </w:pPr>
    <w:rPr>
      <w:b/>
      <w:bCs/>
    </w:rPr>
  </w:style>
  <w:style w:type="paragraph" w:styleId="ListParagraph">
    <w:name w:val="List Paragraph"/>
    <w:basedOn w:val="Normal"/>
    <w:uiPriority w:val="34"/>
    <w:qFormat/>
    <w:rsid w:val="004730C3"/>
    <w:pPr>
      <w:ind w:left="720"/>
      <w:contextualSpacing/>
    </w:pPr>
  </w:style>
  <w:style w:type="paragraph" w:styleId="NormalWeb">
    <w:name w:val="Normal (Web)"/>
    <w:basedOn w:val="Normal"/>
    <w:rsid w:val="00CB3AAB"/>
    <w:pPr>
      <w:spacing w:before="100" w:beforeAutospacing="1" w:after="100" w:afterAutospacing="1"/>
    </w:pPr>
    <w:rPr>
      <w:sz w:val="24"/>
      <w:szCs w:val="24"/>
    </w:rPr>
  </w:style>
  <w:style w:type="character" w:customStyle="1" w:styleId="psmall1">
    <w:name w:val="psmall1"/>
    <w:basedOn w:val="DefaultParagraphFont"/>
    <w:rsid w:val="00CB3AAB"/>
    <w:rPr>
      <w:rFonts w:ascii="Verdana" w:hAnsi="Verdana" w:hint="default"/>
      <w:sz w:val="16"/>
      <w:szCs w:val="16"/>
    </w:rPr>
  </w:style>
  <w:style w:type="paragraph" w:styleId="BalloonText">
    <w:name w:val="Balloon Text"/>
    <w:basedOn w:val="Normal"/>
    <w:link w:val="BalloonTextChar"/>
    <w:uiPriority w:val="99"/>
    <w:semiHidden/>
    <w:unhideWhenUsed/>
    <w:rsid w:val="00CB3AAB"/>
    <w:rPr>
      <w:rFonts w:ascii="Tahoma" w:hAnsi="Tahoma" w:cs="Tahoma"/>
      <w:sz w:val="16"/>
      <w:szCs w:val="16"/>
    </w:rPr>
  </w:style>
  <w:style w:type="character" w:customStyle="1" w:styleId="BalloonTextChar">
    <w:name w:val="Balloon Text Char"/>
    <w:basedOn w:val="DefaultParagraphFont"/>
    <w:link w:val="BalloonText"/>
    <w:uiPriority w:val="99"/>
    <w:semiHidden/>
    <w:rsid w:val="00CB3AAB"/>
    <w:rPr>
      <w:rFonts w:ascii="Tahoma" w:eastAsia="Times New Roman" w:hAnsi="Tahoma" w:cs="Tahoma"/>
      <w:sz w:val="16"/>
      <w:szCs w:val="16"/>
    </w:rPr>
  </w:style>
  <w:style w:type="paragraph" w:styleId="Header">
    <w:name w:val="header"/>
    <w:basedOn w:val="Normal"/>
    <w:link w:val="HeaderChar"/>
    <w:uiPriority w:val="99"/>
    <w:unhideWhenUsed/>
    <w:rsid w:val="009466ED"/>
    <w:pPr>
      <w:tabs>
        <w:tab w:val="center" w:pos="4680"/>
        <w:tab w:val="right" w:pos="9360"/>
      </w:tabs>
    </w:pPr>
  </w:style>
  <w:style w:type="character" w:customStyle="1" w:styleId="HeaderChar">
    <w:name w:val="Header Char"/>
    <w:basedOn w:val="DefaultParagraphFont"/>
    <w:link w:val="Header"/>
    <w:uiPriority w:val="99"/>
    <w:rsid w:val="009466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66ED"/>
    <w:pPr>
      <w:tabs>
        <w:tab w:val="center" w:pos="4680"/>
        <w:tab w:val="right" w:pos="9360"/>
      </w:tabs>
    </w:pPr>
  </w:style>
  <w:style w:type="character" w:customStyle="1" w:styleId="FooterChar">
    <w:name w:val="Footer Char"/>
    <w:basedOn w:val="DefaultParagraphFont"/>
    <w:link w:val="Footer"/>
    <w:uiPriority w:val="99"/>
    <w:rsid w:val="009466E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54BDA"/>
    <w:rPr>
      <w:sz w:val="16"/>
      <w:szCs w:val="16"/>
    </w:rPr>
  </w:style>
  <w:style w:type="paragraph" w:styleId="CommentText">
    <w:name w:val="annotation text"/>
    <w:basedOn w:val="Normal"/>
    <w:link w:val="CommentTextChar"/>
    <w:uiPriority w:val="99"/>
    <w:semiHidden/>
    <w:unhideWhenUsed/>
    <w:rsid w:val="00754BDA"/>
  </w:style>
  <w:style w:type="character" w:customStyle="1" w:styleId="CommentTextChar">
    <w:name w:val="Comment Text Char"/>
    <w:basedOn w:val="DefaultParagraphFont"/>
    <w:link w:val="CommentText"/>
    <w:uiPriority w:val="99"/>
    <w:semiHidden/>
    <w:rsid w:val="00754B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BDA"/>
    <w:rPr>
      <w:b/>
      <w:bCs/>
    </w:rPr>
  </w:style>
  <w:style w:type="character" w:customStyle="1" w:styleId="CommentSubjectChar">
    <w:name w:val="Comment Subject Char"/>
    <w:basedOn w:val="CommentTextChar"/>
    <w:link w:val="CommentSubject"/>
    <w:uiPriority w:val="99"/>
    <w:semiHidden/>
    <w:rsid w:val="00754BD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508CE"/>
    <w:rPr>
      <w:color w:val="0000FF" w:themeColor="hyperlink"/>
      <w:u w:val="single"/>
    </w:rPr>
  </w:style>
  <w:style w:type="character" w:customStyle="1" w:styleId="tel">
    <w:name w:val="tel"/>
    <w:basedOn w:val="DefaultParagraphFont"/>
    <w:rsid w:val="009E3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F0EFC"/>
    <w:pPr>
      <w:tabs>
        <w:tab w:val="left" w:pos="480"/>
        <w:tab w:val="right" w:leader="dot" w:pos="8630"/>
      </w:tabs>
      <w:spacing w:before="240" w:after="120"/>
      <w:jc w:val="center"/>
    </w:pPr>
    <w:rPr>
      <w:b/>
      <w:bCs/>
    </w:rPr>
  </w:style>
  <w:style w:type="paragraph" w:styleId="ListParagraph">
    <w:name w:val="List Paragraph"/>
    <w:basedOn w:val="Normal"/>
    <w:uiPriority w:val="34"/>
    <w:qFormat/>
    <w:rsid w:val="004730C3"/>
    <w:pPr>
      <w:ind w:left="720"/>
      <w:contextualSpacing/>
    </w:pPr>
  </w:style>
  <w:style w:type="paragraph" w:styleId="NormalWeb">
    <w:name w:val="Normal (Web)"/>
    <w:basedOn w:val="Normal"/>
    <w:rsid w:val="00CB3AAB"/>
    <w:pPr>
      <w:spacing w:before="100" w:beforeAutospacing="1" w:after="100" w:afterAutospacing="1"/>
    </w:pPr>
    <w:rPr>
      <w:sz w:val="24"/>
      <w:szCs w:val="24"/>
    </w:rPr>
  </w:style>
  <w:style w:type="character" w:customStyle="1" w:styleId="psmall1">
    <w:name w:val="psmall1"/>
    <w:basedOn w:val="DefaultParagraphFont"/>
    <w:rsid w:val="00CB3AAB"/>
    <w:rPr>
      <w:rFonts w:ascii="Verdana" w:hAnsi="Verdana" w:hint="default"/>
      <w:sz w:val="16"/>
      <w:szCs w:val="16"/>
    </w:rPr>
  </w:style>
  <w:style w:type="paragraph" w:styleId="BalloonText">
    <w:name w:val="Balloon Text"/>
    <w:basedOn w:val="Normal"/>
    <w:link w:val="BalloonTextChar"/>
    <w:uiPriority w:val="99"/>
    <w:semiHidden/>
    <w:unhideWhenUsed/>
    <w:rsid w:val="00CB3AAB"/>
    <w:rPr>
      <w:rFonts w:ascii="Tahoma" w:hAnsi="Tahoma" w:cs="Tahoma"/>
      <w:sz w:val="16"/>
      <w:szCs w:val="16"/>
    </w:rPr>
  </w:style>
  <w:style w:type="character" w:customStyle="1" w:styleId="BalloonTextChar">
    <w:name w:val="Balloon Text Char"/>
    <w:basedOn w:val="DefaultParagraphFont"/>
    <w:link w:val="BalloonText"/>
    <w:uiPriority w:val="99"/>
    <w:semiHidden/>
    <w:rsid w:val="00CB3AAB"/>
    <w:rPr>
      <w:rFonts w:ascii="Tahoma" w:eastAsia="Times New Roman" w:hAnsi="Tahoma" w:cs="Tahoma"/>
      <w:sz w:val="16"/>
      <w:szCs w:val="16"/>
    </w:rPr>
  </w:style>
  <w:style w:type="paragraph" w:styleId="Header">
    <w:name w:val="header"/>
    <w:basedOn w:val="Normal"/>
    <w:link w:val="HeaderChar"/>
    <w:uiPriority w:val="99"/>
    <w:unhideWhenUsed/>
    <w:rsid w:val="009466ED"/>
    <w:pPr>
      <w:tabs>
        <w:tab w:val="center" w:pos="4680"/>
        <w:tab w:val="right" w:pos="9360"/>
      </w:tabs>
    </w:pPr>
  </w:style>
  <w:style w:type="character" w:customStyle="1" w:styleId="HeaderChar">
    <w:name w:val="Header Char"/>
    <w:basedOn w:val="DefaultParagraphFont"/>
    <w:link w:val="Header"/>
    <w:uiPriority w:val="99"/>
    <w:rsid w:val="009466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66ED"/>
    <w:pPr>
      <w:tabs>
        <w:tab w:val="center" w:pos="4680"/>
        <w:tab w:val="right" w:pos="9360"/>
      </w:tabs>
    </w:pPr>
  </w:style>
  <w:style w:type="character" w:customStyle="1" w:styleId="FooterChar">
    <w:name w:val="Footer Char"/>
    <w:basedOn w:val="DefaultParagraphFont"/>
    <w:link w:val="Footer"/>
    <w:uiPriority w:val="99"/>
    <w:rsid w:val="009466E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54BDA"/>
    <w:rPr>
      <w:sz w:val="16"/>
      <w:szCs w:val="16"/>
    </w:rPr>
  </w:style>
  <w:style w:type="paragraph" w:styleId="CommentText">
    <w:name w:val="annotation text"/>
    <w:basedOn w:val="Normal"/>
    <w:link w:val="CommentTextChar"/>
    <w:uiPriority w:val="99"/>
    <w:semiHidden/>
    <w:unhideWhenUsed/>
    <w:rsid w:val="00754BDA"/>
  </w:style>
  <w:style w:type="character" w:customStyle="1" w:styleId="CommentTextChar">
    <w:name w:val="Comment Text Char"/>
    <w:basedOn w:val="DefaultParagraphFont"/>
    <w:link w:val="CommentText"/>
    <w:uiPriority w:val="99"/>
    <w:semiHidden/>
    <w:rsid w:val="00754B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BDA"/>
    <w:rPr>
      <w:b/>
      <w:bCs/>
    </w:rPr>
  </w:style>
  <w:style w:type="character" w:customStyle="1" w:styleId="CommentSubjectChar">
    <w:name w:val="Comment Subject Char"/>
    <w:basedOn w:val="CommentTextChar"/>
    <w:link w:val="CommentSubject"/>
    <w:uiPriority w:val="99"/>
    <w:semiHidden/>
    <w:rsid w:val="00754BD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508CE"/>
    <w:rPr>
      <w:color w:val="0000FF" w:themeColor="hyperlink"/>
      <w:u w:val="single"/>
    </w:rPr>
  </w:style>
  <w:style w:type="character" w:customStyle="1" w:styleId="tel">
    <w:name w:val="tel"/>
    <w:basedOn w:val="DefaultParagraphFont"/>
    <w:rsid w:val="009E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zo1@cdc.gov" TargetMode="External"/><Relationship Id="rId18" Type="http://schemas.openxmlformats.org/officeDocument/2006/relationships/hyperlink" Target="mailto:dlf0@cdc.gov" TargetMode="External"/><Relationship Id="rId26" Type="http://schemas.openxmlformats.org/officeDocument/2006/relationships/hyperlink" Target="mailto:steven.schrag@sbcglobal.net" TargetMode="External"/><Relationship Id="rId3" Type="http://schemas.openxmlformats.org/officeDocument/2006/relationships/styles" Target="styles.xml"/><Relationship Id="rId21" Type="http://schemas.openxmlformats.org/officeDocument/2006/relationships/hyperlink" Target="mailto:ghobbs@stat.wvu.edu" TargetMode="External"/><Relationship Id="rId7" Type="http://schemas.openxmlformats.org/officeDocument/2006/relationships/footnotes" Target="footnotes.xml"/><Relationship Id="rId12" Type="http://schemas.openxmlformats.org/officeDocument/2006/relationships/hyperlink" Target="mailto:fnb8@cdc.gov" TargetMode="External"/><Relationship Id="rId17" Type="http://schemas.openxmlformats.org/officeDocument/2006/relationships/hyperlink" Target="mailto:eps4@cdc.gov" TargetMode="External"/><Relationship Id="rId25" Type="http://schemas.openxmlformats.org/officeDocument/2006/relationships/hyperlink" Target="mailto:mark.catlin@seiu.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q9@cdc.gov" TargetMode="External"/><Relationship Id="rId20" Type="http://schemas.openxmlformats.org/officeDocument/2006/relationships/hyperlink" Target="mailto:George.delclos@uth.tmc.edu" TargetMode="External"/><Relationship Id="rId29" Type="http://schemas.openxmlformats.org/officeDocument/2006/relationships/hyperlink" Target="mailto:witt@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kh0@cdc.gov" TargetMode="External"/><Relationship Id="rId24" Type="http://schemas.openxmlformats.org/officeDocument/2006/relationships/hyperlink" Target="mailto:bill.borwegen@seiu.or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gzp8@cdc.gov" TargetMode="External"/><Relationship Id="rId23" Type="http://schemas.openxmlformats.org/officeDocument/2006/relationships/hyperlink" Target="mailto:jpzock@creal.cat" TargetMode="External"/><Relationship Id="rId28" Type="http://schemas.openxmlformats.org/officeDocument/2006/relationships/hyperlink" Target="mailto:brendans@seiucc.org" TargetMode="External"/><Relationship Id="rId10" Type="http://schemas.openxmlformats.org/officeDocument/2006/relationships/hyperlink" Target="http://www.ecrhs.org/" TargetMode="External"/><Relationship Id="rId19" Type="http://schemas.openxmlformats.org/officeDocument/2006/relationships/hyperlink" Target="mailto:cro9@cdc.gov" TargetMode="External"/><Relationship Id="rId31" Type="http://schemas.openxmlformats.org/officeDocument/2006/relationships/hyperlink" Target="mailto:kpeterson@rti.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jc8@cdc.gov" TargetMode="External"/><Relationship Id="rId22" Type="http://schemas.openxmlformats.org/officeDocument/2006/relationships/hyperlink" Target="mailto:mmirabel@wakeheatlh.edu" TargetMode="External"/><Relationship Id="rId27" Type="http://schemas.openxmlformats.org/officeDocument/2006/relationships/hyperlink" Target="mailto:bobbyh@1199.org" TargetMode="External"/><Relationship Id="rId30" Type="http://schemas.openxmlformats.org/officeDocument/2006/relationships/hyperlink" Target="mailto:dliao@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3038-67C0-4910-A6FC-A18363E1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2733</Words>
  <Characters>15584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2013-08-22T13:13:00Z</cp:lastPrinted>
  <dcterms:created xsi:type="dcterms:W3CDTF">2013-09-04T14:49:00Z</dcterms:created>
  <dcterms:modified xsi:type="dcterms:W3CDTF">2013-09-04T14:49:00Z</dcterms:modified>
</cp:coreProperties>
</file>