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CC8" w:rsidRDefault="00E31CC8" w:rsidP="00E31CC8">
      <w:pPr>
        <w:jc w:val="center"/>
        <w:rPr>
          <w:b/>
        </w:rPr>
      </w:pPr>
    </w:p>
    <w:p w:rsidR="00E31CC8" w:rsidRPr="0082388F" w:rsidRDefault="00E31CC8" w:rsidP="00E31CC8">
      <w:pPr>
        <w:jc w:val="center"/>
        <w:rPr>
          <w:b/>
        </w:rPr>
      </w:pPr>
      <w:r w:rsidRPr="0082388F">
        <w:rPr>
          <w:b/>
        </w:rPr>
        <w:t>INFORMATION COLLECTION REQUEST</w:t>
      </w:r>
    </w:p>
    <w:p w:rsidR="00E31CC8" w:rsidRPr="0082388F" w:rsidRDefault="00E31CC8" w:rsidP="00E31CC8">
      <w:pPr>
        <w:spacing w:line="480" w:lineRule="auto"/>
        <w:jc w:val="center"/>
        <w:rPr>
          <w:bCs/>
          <w:u w:val="single"/>
        </w:rPr>
      </w:pPr>
    </w:p>
    <w:p w:rsidR="00163706" w:rsidRPr="00514DC4" w:rsidRDefault="00163706" w:rsidP="00163706">
      <w:pPr>
        <w:jc w:val="center"/>
      </w:pPr>
      <w:r w:rsidRPr="00514DC4">
        <w:t>Science to Practice:</w:t>
      </w:r>
    </w:p>
    <w:p w:rsidR="00163706" w:rsidRPr="00514DC4" w:rsidRDefault="00163706" w:rsidP="00163706">
      <w:pPr>
        <w:jc w:val="center"/>
      </w:pPr>
    </w:p>
    <w:p w:rsidR="00146A44" w:rsidRDefault="00146A44" w:rsidP="00146A44">
      <w:pPr>
        <w:jc w:val="center"/>
      </w:pPr>
      <w:r>
        <w:t>Perspectives of and Attitudes Towards a Marketing Strategy for Preventing Alcohol-related Problems in College Communities</w:t>
      </w:r>
    </w:p>
    <w:p w:rsidR="00163706" w:rsidRDefault="00163706" w:rsidP="00146A44">
      <w:bookmarkStart w:id="0" w:name="_GoBack"/>
      <w:bookmarkEnd w:id="0"/>
    </w:p>
    <w:p w:rsidR="00E85BB0" w:rsidRDefault="00E85BB0" w:rsidP="00163706">
      <w:pPr>
        <w:jc w:val="center"/>
      </w:pPr>
    </w:p>
    <w:p w:rsidR="00E85BB0" w:rsidRDefault="00E85BB0" w:rsidP="00163706">
      <w:pPr>
        <w:jc w:val="center"/>
      </w:pPr>
    </w:p>
    <w:p w:rsidR="00E85BB0" w:rsidRDefault="00E85BB0" w:rsidP="00163706">
      <w:pPr>
        <w:jc w:val="center"/>
      </w:pPr>
    </w:p>
    <w:p w:rsidR="00E85BB0" w:rsidRPr="00514DC4" w:rsidRDefault="00E85BB0" w:rsidP="00163706">
      <w:pPr>
        <w:jc w:val="center"/>
      </w:pPr>
      <w:r>
        <w:t>CDC ID# 0920-12OG</w:t>
      </w:r>
    </w:p>
    <w:p w:rsidR="00E31CC8" w:rsidRPr="00514DC4" w:rsidRDefault="00E31CC8" w:rsidP="00E31CC8">
      <w:pPr>
        <w:spacing w:line="480" w:lineRule="auto"/>
        <w:jc w:val="center"/>
        <w:rPr>
          <w:bCs/>
        </w:rPr>
      </w:pPr>
    </w:p>
    <w:p w:rsidR="00E31CC8" w:rsidRPr="0082388F" w:rsidRDefault="00E31CC8" w:rsidP="00E31CC8">
      <w:pPr>
        <w:jc w:val="center"/>
      </w:pPr>
    </w:p>
    <w:p w:rsidR="00E31CC8" w:rsidRDefault="00E31CC8" w:rsidP="00E31CC8">
      <w:pPr>
        <w:jc w:val="center"/>
      </w:pPr>
      <w:r>
        <w:t>Supporting Statement B</w:t>
      </w:r>
    </w:p>
    <w:p w:rsidR="00E31CC8" w:rsidRDefault="00E31CC8" w:rsidP="00E31CC8">
      <w:pPr>
        <w:jc w:val="center"/>
      </w:pPr>
    </w:p>
    <w:p w:rsidR="00E31CC8" w:rsidRPr="0082388F" w:rsidRDefault="00E31CC8" w:rsidP="00E31CC8">
      <w:pPr>
        <w:jc w:val="center"/>
      </w:pPr>
    </w:p>
    <w:p w:rsidR="00E31CC8" w:rsidRPr="003A23FD" w:rsidRDefault="00E31CC8" w:rsidP="00E31CC8">
      <w:pPr>
        <w:jc w:val="center"/>
      </w:pPr>
      <w:r w:rsidRPr="003A23FD">
        <w:t>Department of Health and Human Services</w:t>
      </w:r>
    </w:p>
    <w:p w:rsidR="00E31CC8" w:rsidRPr="003A23FD" w:rsidRDefault="00E31CC8" w:rsidP="00E31CC8">
      <w:pPr>
        <w:jc w:val="center"/>
      </w:pPr>
      <w:r w:rsidRPr="003A23FD">
        <w:t>Centers for Disease Control and Prevention</w:t>
      </w:r>
    </w:p>
    <w:p w:rsidR="00E31CC8" w:rsidRPr="003A23FD" w:rsidRDefault="00E31CC8" w:rsidP="00E31CC8">
      <w:pPr>
        <w:jc w:val="center"/>
      </w:pPr>
      <w:r w:rsidRPr="003A23FD">
        <w:t xml:space="preserve">National Center for Injury Prevention and Control </w:t>
      </w:r>
    </w:p>
    <w:p w:rsidR="00E31CC8" w:rsidRPr="003A23FD" w:rsidRDefault="00E31CC8" w:rsidP="00E31CC8">
      <w:pPr>
        <w:jc w:val="center"/>
      </w:pPr>
      <w:r w:rsidRPr="003A23FD">
        <w:t xml:space="preserve">Division </w:t>
      </w:r>
      <w:r>
        <w:t>Unintentional Injury</w:t>
      </w:r>
      <w:r w:rsidRPr="003A23FD">
        <w:t xml:space="preserve"> Prevention</w:t>
      </w:r>
    </w:p>
    <w:p w:rsidR="00E31CC8" w:rsidRPr="0082388F" w:rsidRDefault="00E31CC8" w:rsidP="00E31CC8">
      <w:pPr>
        <w:spacing w:line="480" w:lineRule="auto"/>
        <w:jc w:val="center"/>
        <w:rPr>
          <w:bCs/>
        </w:rPr>
      </w:pPr>
    </w:p>
    <w:p w:rsidR="00E31CC8" w:rsidRDefault="00E31CC8" w:rsidP="00E31CC8">
      <w:pPr>
        <w:rPr>
          <w:lang w:val="fr-FR"/>
        </w:rPr>
      </w:pPr>
    </w:p>
    <w:p w:rsidR="00A2734D" w:rsidRDefault="00A2734D" w:rsidP="00A2734D">
      <w:pPr>
        <w:ind w:left="2880" w:firstLine="720"/>
        <w:rPr>
          <w:b/>
        </w:rPr>
      </w:pPr>
    </w:p>
    <w:p w:rsidR="00A2734D" w:rsidRDefault="00A2734D" w:rsidP="00A2734D">
      <w:pPr>
        <w:ind w:left="2880" w:firstLine="720"/>
        <w:rPr>
          <w:b/>
        </w:rPr>
      </w:pPr>
      <w:r>
        <w:rPr>
          <w:b/>
        </w:rPr>
        <w:t>Project Officer</w:t>
      </w:r>
    </w:p>
    <w:p w:rsidR="00A2734D" w:rsidRDefault="00A2734D" w:rsidP="00A2734D">
      <w:pPr>
        <w:ind w:left="2880" w:firstLine="720"/>
      </w:pPr>
      <w:r>
        <w:t>Leanna Fox, MPH</w:t>
      </w:r>
    </w:p>
    <w:p w:rsidR="00A2734D" w:rsidRDefault="00A2734D" w:rsidP="00A2734D">
      <w:pPr>
        <w:ind w:left="2880" w:firstLine="720"/>
      </w:pPr>
      <w:r>
        <w:t>Phone: 770-488-3915</w:t>
      </w:r>
    </w:p>
    <w:p w:rsidR="00A2734D" w:rsidRDefault="00A2734D" w:rsidP="00A2734D">
      <w:pPr>
        <w:ind w:left="2880" w:firstLine="720"/>
        <w:rPr>
          <w:lang w:val="fr-FR"/>
        </w:rPr>
      </w:pPr>
      <w:r>
        <w:rPr>
          <w:lang w:val="fr-FR"/>
        </w:rPr>
        <w:t>Fax : 770-488-1317</w:t>
      </w:r>
    </w:p>
    <w:p w:rsidR="00A2734D" w:rsidRDefault="00A2734D" w:rsidP="00A2734D">
      <w:pPr>
        <w:ind w:left="2880" w:firstLine="720"/>
        <w:rPr>
          <w:bCs/>
          <w:lang w:val="fr-FR"/>
        </w:rPr>
      </w:pPr>
      <w:r>
        <w:rPr>
          <w:lang w:val="fr-FR"/>
        </w:rPr>
        <w:t>Email: lmf8@cdc.gov</w:t>
      </w:r>
    </w:p>
    <w:p w:rsidR="00A2734D" w:rsidRDefault="00A2734D" w:rsidP="00A2734D">
      <w:pPr>
        <w:jc w:val="center"/>
        <w:rPr>
          <w:lang w:val="fr-FR"/>
        </w:rPr>
      </w:pPr>
    </w:p>
    <w:p w:rsidR="00E31CC8" w:rsidRPr="0082388F" w:rsidRDefault="00E31CC8" w:rsidP="00E31CC8">
      <w:pPr>
        <w:jc w:val="center"/>
        <w:rPr>
          <w:lang w:val="fr-FR"/>
        </w:rPr>
      </w:pPr>
    </w:p>
    <w:p w:rsidR="00E31CC8" w:rsidRPr="0082388F" w:rsidRDefault="00E31CC8" w:rsidP="00E31CC8">
      <w:pPr>
        <w:rPr>
          <w:lang w:val="fr-FR"/>
        </w:rPr>
      </w:pPr>
    </w:p>
    <w:p w:rsidR="00E31CC8" w:rsidRPr="000E45F8" w:rsidRDefault="00E31CC8" w:rsidP="00E31CC8">
      <w:pPr>
        <w:ind w:left="2880" w:firstLine="720"/>
        <w:rPr>
          <w:lang w:val="fr-FR"/>
        </w:rPr>
      </w:pPr>
      <w:r w:rsidRPr="000E45F8">
        <w:rPr>
          <w:b/>
          <w:lang w:val="fr-FR"/>
        </w:rPr>
        <w:t>Date</w:t>
      </w:r>
      <w:r w:rsidRPr="000E45F8">
        <w:rPr>
          <w:lang w:val="fr-FR"/>
        </w:rPr>
        <w:t xml:space="preserve">: </w:t>
      </w:r>
      <w:r w:rsidR="009C01E0">
        <w:t>July 1, 2013</w:t>
      </w:r>
    </w:p>
    <w:p w:rsidR="00A53C97" w:rsidRDefault="00E31CC8" w:rsidP="002242A2">
      <w:pPr>
        <w:spacing w:line="480" w:lineRule="auto"/>
        <w:jc w:val="center"/>
      </w:pPr>
      <w:r>
        <w:br w:type="page"/>
      </w:r>
    </w:p>
    <w:p w:rsidR="00A2734D" w:rsidRPr="009556CB" w:rsidRDefault="00A2734D" w:rsidP="00A53C97">
      <w:pPr>
        <w:spacing w:line="480" w:lineRule="auto"/>
      </w:pPr>
    </w:p>
    <w:p w:rsidR="00A53C97" w:rsidRPr="009556CB" w:rsidRDefault="00A53C97" w:rsidP="00A53C97">
      <w:pPr>
        <w:rPr>
          <w:b/>
          <w:bCs/>
        </w:rPr>
      </w:pPr>
      <w:r w:rsidRPr="009556CB">
        <w:rPr>
          <w:b/>
          <w:bCs/>
        </w:rPr>
        <w:t>B.  Collections of Information Employing Statistical Methods</w:t>
      </w:r>
    </w:p>
    <w:p w:rsidR="00A53C97" w:rsidRPr="009556CB" w:rsidRDefault="00A53C97" w:rsidP="00A53C97"/>
    <w:p w:rsidR="00A53C97" w:rsidRPr="009556CB" w:rsidRDefault="00A53C97" w:rsidP="00A53C97">
      <w:pPr>
        <w:spacing w:line="480" w:lineRule="auto"/>
        <w:rPr>
          <w:bCs/>
        </w:rPr>
      </w:pPr>
      <w:r w:rsidRPr="009556CB">
        <w:rPr>
          <w:b/>
          <w:bCs/>
        </w:rPr>
        <w:t>1. Respondent Universe and Sampling Methods</w:t>
      </w:r>
      <w:r w:rsidRPr="009556CB">
        <w:rPr>
          <w:bCs/>
        </w:rPr>
        <w:t xml:space="preserve">:  </w:t>
      </w:r>
    </w:p>
    <w:p w:rsidR="005828BB" w:rsidRDefault="005828BB" w:rsidP="00455E90">
      <w:pPr>
        <w:spacing w:line="360" w:lineRule="auto"/>
      </w:pPr>
    </w:p>
    <w:p w:rsidR="00930F5B" w:rsidRDefault="00DD5191" w:rsidP="000157CF">
      <w:pPr>
        <w:autoSpaceDE w:val="0"/>
        <w:autoSpaceDN w:val="0"/>
        <w:adjustRightInd w:val="0"/>
        <w:spacing w:line="360" w:lineRule="auto"/>
      </w:pPr>
      <w:r>
        <w:t xml:space="preserve">The </w:t>
      </w:r>
      <w:r w:rsidRPr="00E949F4">
        <w:t xml:space="preserve">purpose of this Information Collection Request </w:t>
      </w:r>
      <w:r w:rsidR="00462C1F">
        <w:t xml:space="preserve">(ICR) </w:t>
      </w:r>
      <w:r w:rsidRPr="00E949F4">
        <w:t xml:space="preserve">is to evaluate the reach </w:t>
      </w:r>
      <w:r>
        <w:t xml:space="preserve">of </w:t>
      </w:r>
      <w:r w:rsidRPr="00E949F4">
        <w:t xml:space="preserve">and </w:t>
      </w:r>
      <w:r>
        <w:t xml:space="preserve">key informants’ response to </w:t>
      </w:r>
      <w:r w:rsidRPr="00E949F4">
        <w:t>the marketing strategy for the Safer Campuses and Communities</w:t>
      </w:r>
      <w:r>
        <w:t xml:space="preserve"> intervention (SCC). </w:t>
      </w:r>
      <w:r w:rsidR="00462C1F">
        <w:t xml:space="preserve">As detailed in Supporting Statement A, this ICR </w:t>
      </w:r>
      <w:r w:rsidR="00462C1F" w:rsidRPr="00E949F4">
        <w:t xml:space="preserve">relates to the </w:t>
      </w:r>
      <w:r w:rsidR="00462C1F" w:rsidRPr="00E949F4">
        <w:rPr>
          <w:bCs/>
        </w:rPr>
        <w:t>data collection necessary to implement</w:t>
      </w:r>
      <w:r w:rsidR="00462C1F" w:rsidRPr="00E949F4">
        <w:t xml:space="preserve"> </w:t>
      </w:r>
      <w:r w:rsidR="00462C1F">
        <w:t>the fourth and final p</w:t>
      </w:r>
      <w:r w:rsidR="00462C1F" w:rsidRPr="00E949F4">
        <w:t>hase</w:t>
      </w:r>
      <w:r w:rsidR="00462C1F">
        <w:t xml:space="preserve"> of </w:t>
      </w:r>
      <w:r w:rsidR="00930F5B">
        <w:t>the project</w:t>
      </w:r>
      <w:r w:rsidR="003C78C2">
        <w:t xml:space="preserve"> entitled</w:t>
      </w:r>
      <w:r w:rsidR="00930F5B">
        <w:t>, “Science to Practice:</w:t>
      </w:r>
    </w:p>
    <w:p w:rsidR="005828BB" w:rsidRDefault="00930F5B" w:rsidP="000157CF">
      <w:pPr>
        <w:autoSpaceDE w:val="0"/>
        <w:autoSpaceDN w:val="0"/>
        <w:adjustRightInd w:val="0"/>
        <w:spacing w:line="360" w:lineRule="auto"/>
      </w:pPr>
      <w:r>
        <w:t>Developing and Testing a Marketing Strategy for Preventing Alcohol-related Problems in College Communities</w:t>
      </w:r>
      <w:r w:rsidR="00462C1F" w:rsidRPr="00E949F4">
        <w:t>.</w:t>
      </w:r>
      <w:r>
        <w:t>”</w:t>
      </w:r>
      <w:r w:rsidR="005828BB">
        <w:t xml:space="preserve">  In addition, larger, more established colleges and universities are more likely to have resources to support prevention, even in the difficult financial environments that public universities, in particular, now have to respond to.  </w:t>
      </w:r>
    </w:p>
    <w:p w:rsidR="005828BB" w:rsidRDefault="005828BB" w:rsidP="00455E90">
      <w:pPr>
        <w:spacing w:line="360" w:lineRule="auto"/>
      </w:pPr>
    </w:p>
    <w:p w:rsidR="00163706" w:rsidRDefault="00D543C2" w:rsidP="00455E90">
      <w:pPr>
        <w:spacing w:line="360" w:lineRule="auto"/>
      </w:pPr>
      <w:r>
        <w:t xml:space="preserve">For this project, </w:t>
      </w:r>
      <w:r w:rsidR="00FD46EB">
        <w:t>a sample of 160 IHE</w:t>
      </w:r>
      <w:r w:rsidR="00D42094">
        <w:t>s</w:t>
      </w:r>
      <w:r w:rsidR="00FD46EB">
        <w:t xml:space="preserve"> with at least 5000 students will be selected from </w:t>
      </w:r>
      <w:r w:rsidR="005828BB">
        <w:t xml:space="preserve">an existing </w:t>
      </w:r>
      <w:r w:rsidR="005352E9">
        <w:t>database of colleges and universities</w:t>
      </w:r>
      <w:r w:rsidR="005828BB">
        <w:t xml:space="preserve">, </w:t>
      </w:r>
      <w:r w:rsidR="00C6487F">
        <w:t>the Institutional Data Archive (IDA) on American Higher Education</w:t>
      </w:r>
      <w:r w:rsidR="00FD46EB">
        <w:t xml:space="preserve">. </w:t>
      </w:r>
      <w:r w:rsidR="00BC4410">
        <w:t xml:space="preserve">The IDA consists of longitudinal and cross-sectional data on 384 institutions of higher education drawn from 24 separate data sets. It </w:t>
      </w:r>
      <w:r w:rsidR="00F615E3">
        <w:t xml:space="preserve">was created to allow researchers to take advantage of the large volume of data on higher education, which is spread across many separate data </w:t>
      </w:r>
      <w:r w:rsidR="00BC4410">
        <w:t>sets. C</w:t>
      </w:r>
      <w:r w:rsidR="005828BB">
        <w:t>onsolidated by researchers at the University of California, Riverside for the Colleges &amp; Universities 2000 Project</w:t>
      </w:r>
      <w:r w:rsidR="00BC4410">
        <w:t xml:space="preserve">, </w:t>
      </w:r>
      <w:r w:rsidR="0053505A">
        <w:t>the</w:t>
      </w:r>
      <w:r w:rsidR="005828BB">
        <w:t xml:space="preserve"> current version of the database was updated through the 2010-11 academic year.</w:t>
      </w:r>
      <w:r w:rsidR="00163706">
        <w:t xml:space="preserve">  </w:t>
      </w:r>
    </w:p>
    <w:p w:rsidR="00163706" w:rsidRDefault="00163706" w:rsidP="00455E90">
      <w:pPr>
        <w:spacing w:line="360" w:lineRule="auto"/>
      </w:pPr>
    </w:p>
    <w:p w:rsidR="00B65E1E" w:rsidRPr="002242A2" w:rsidRDefault="00B65E1E" w:rsidP="00455E90">
      <w:pPr>
        <w:spacing w:line="360" w:lineRule="auto"/>
        <w:rPr>
          <w:u w:val="single"/>
        </w:rPr>
      </w:pPr>
      <w:r w:rsidRPr="002242A2">
        <w:rPr>
          <w:u w:val="single"/>
        </w:rPr>
        <w:t xml:space="preserve">Description of the IDA Sampling </w:t>
      </w:r>
      <w:r w:rsidR="0025433A" w:rsidRPr="002242A2">
        <w:rPr>
          <w:u w:val="single"/>
        </w:rPr>
        <w:t xml:space="preserve">and Weighting </w:t>
      </w:r>
      <w:r w:rsidRPr="002242A2">
        <w:rPr>
          <w:u w:val="single"/>
        </w:rPr>
        <w:t>Strategy</w:t>
      </w:r>
    </w:p>
    <w:p w:rsidR="00796D62" w:rsidRDefault="005828BB" w:rsidP="00B7183C">
      <w:pPr>
        <w:spacing w:line="360" w:lineRule="auto"/>
      </w:pPr>
      <w:r>
        <w:t>The sample of 384 institutions</w:t>
      </w:r>
      <w:r w:rsidR="00F665AC">
        <w:t xml:space="preserve"> in the IDA</w:t>
      </w:r>
      <w:r>
        <w:t xml:space="preserve"> is based on stratified random sampling to over-sample selective colleges and universities and research universities. </w:t>
      </w:r>
      <w:r w:rsidR="00CE6A32">
        <w:t>The IDA project provides weights for each institution reflective of the sampling procedure so that it is possible to generalize</w:t>
      </w:r>
      <w:r w:rsidR="004901DC">
        <w:t xml:space="preserve"> back</w:t>
      </w:r>
      <w:r w:rsidR="00CE6A32">
        <w:t xml:space="preserve"> to the universe of IHEs.  </w:t>
      </w:r>
      <w:r>
        <w:t xml:space="preserve">The sample includes all highly selective colleges and leading research universities in the United States (n=72). It also includes more than 100 institutions from each of three other </w:t>
      </w:r>
      <w:r w:rsidR="00E944C3">
        <w:t>strata</w:t>
      </w:r>
      <w:r w:rsidR="003C78C2">
        <w:t>:</w:t>
      </w:r>
      <w:r>
        <w:t xml:space="preserve"> other selective colleges and research universities; Carnegie 1994 Master’s I </w:t>
      </w:r>
      <w:r>
        <w:lastRenderedPageBreak/>
        <w:t>institutions; and non-selective baccalaureate-granting institutions. The sample includes no specialized institutions, for-profit institutions, or two-year colleges.</w:t>
      </w:r>
      <w:r w:rsidR="005B654A">
        <w:t xml:space="preserve"> </w:t>
      </w:r>
      <w:r w:rsidR="001E6AD3">
        <w:t xml:space="preserve"> </w:t>
      </w:r>
    </w:p>
    <w:p w:rsidR="00796D62" w:rsidRDefault="00796D62" w:rsidP="00B7183C">
      <w:pPr>
        <w:spacing w:line="360" w:lineRule="auto"/>
      </w:pPr>
    </w:p>
    <w:p w:rsidR="005828BB" w:rsidRDefault="00852B76" w:rsidP="00B7183C">
      <w:pPr>
        <w:spacing w:line="360" w:lineRule="auto"/>
      </w:pPr>
      <w:r>
        <w:t>T</w:t>
      </w:r>
      <w:r w:rsidRPr="00E949F4">
        <w:t xml:space="preserve">he IDA includes information </w:t>
      </w:r>
      <w:r w:rsidR="00796D62">
        <w:t xml:space="preserve">on </w:t>
      </w:r>
      <w:r w:rsidR="002E7DB7">
        <w:t xml:space="preserve">earned degrees, enrollments, finances, faculty salaries, technology transfer activities, and institutional rankings over a 40-year period, 1970-2011.  </w:t>
      </w:r>
      <w:r w:rsidR="00B7183C">
        <w:t xml:space="preserve">Of particular importance to this </w:t>
      </w:r>
      <w:r w:rsidR="000A4E4B">
        <w:t>information collection</w:t>
      </w:r>
      <w:r w:rsidR="00B7183C">
        <w:t xml:space="preserve">, </w:t>
      </w:r>
      <w:r w:rsidR="00796D62">
        <w:t>t</w:t>
      </w:r>
      <w:r w:rsidR="00B7183C">
        <w:t xml:space="preserve">he database includes contact information for </w:t>
      </w:r>
      <w:r w:rsidR="00B7183C" w:rsidRPr="00E949F4">
        <w:t>administrators and key university staff members</w:t>
      </w:r>
      <w:r w:rsidR="00B7183C">
        <w:t xml:space="preserve"> and </w:t>
      </w:r>
      <w:r w:rsidR="002E7DB7">
        <w:t xml:space="preserve">census information concerning neighborhoods surrounding </w:t>
      </w:r>
      <w:r w:rsidR="00B7183C">
        <w:t>the IHEs</w:t>
      </w:r>
      <w:r w:rsidRPr="00E949F4">
        <w:t xml:space="preserve">. </w:t>
      </w:r>
      <w:r w:rsidR="007E37AB">
        <w:t>E</w:t>
      </w:r>
      <w:r w:rsidR="001E6AD3">
        <w:t>mploying th</w:t>
      </w:r>
      <w:r w:rsidR="00F665AC">
        <w:t>e IDA</w:t>
      </w:r>
      <w:r w:rsidR="001E6AD3">
        <w:t xml:space="preserve"> </w:t>
      </w:r>
      <w:r w:rsidR="00547697">
        <w:t>to obtain the sample of 160 IH</w:t>
      </w:r>
      <w:r w:rsidR="00B65E1E">
        <w:t>E</w:t>
      </w:r>
      <w:r w:rsidR="00547697">
        <w:t xml:space="preserve">s </w:t>
      </w:r>
      <w:r w:rsidR="00B65E1E">
        <w:t xml:space="preserve">with at least 5,000 undergraduate students </w:t>
      </w:r>
      <w:r w:rsidR="00547697">
        <w:t xml:space="preserve">for </w:t>
      </w:r>
      <w:r w:rsidR="001E6AD3">
        <w:t xml:space="preserve">the </w:t>
      </w:r>
      <w:r w:rsidR="00547697">
        <w:t>evaluation of the SCC marketing strategy</w:t>
      </w:r>
      <w:r w:rsidR="001E6AD3">
        <w:t xml:space="preserve"> will allow us to generalize to the universe of four-year IHEs</w:t>
      </w:r>
      <w:r w:rsidR="003C78C2">
        <w:t xml:space="preserve"> with at least 5000 students</w:t>
      </w:r>
      <w:r w:rsidR="001E6AD3">
        <w:t>.</w:t>
      </w:r>
    </w:p>
    <w:p w:rsidR="005729FC" w:rsidRDefault="005729FC" w:rsidP="00455E90">
      <w:pPr>
        <w:spacing w:line="360" w:lineRule="auto"/>
      </w:pPr>
    </w:p>
    <w:p w:rsidR="0025433A" w:rsidRPr="002242A2" w:rsidRDefault="0025433A" w:rsidP="00455E90">
      <w:pPr>
        <w:spacing w:line="360" w:lineRule="auto"/>
        <w:rPr>
          <w:u w:val="single"/>
        </w:rPr>
      </w:pPr>
      <w:r w:rsidRPr="002242A2">
        <w:rPr>
          <w:u w:val="single"/>
        </w:rPr>
        <w:t>Sampling Plan for this ICR</w:t>
      </w:r>
    </w:p>
    <w:p w:rsidR="005828BB" w:rsidRDefault="00D4269E" w:rsidP="00455E90">
      <w:pPr>
        <w:spacing w:line="360" w:lineRule="auto"/>
      </w:pPr>
      <w:r>
        <w:t>The</w:t>
      </w:r>
      <w:r w:rsidR="008C22F7" w:rsidRPr="00B66397">
        <w:t xml:space="preserve"> IDA </w:t>
      </w:r>
      <w:r>
        <w:t xml:space="preserve">contains data on </w:t>
      </w:r>
      <w:r w:rsidR="008C22F7" w:rsidRPr="00B66397">
        <w:t>about 165 IHEs</w:t>
      </w:r>
      <w:r>
        <w:t xml:space="preserve"> with at least 5,000 undergraduates; the exact number varies slightly over time</w:t>
      </w:r>
      <w:r w:rsidR="008C22F7" w:rsidRPr="00B66397">
        <w:t xml:space="preserve">.  </w:t>
      </w:r>
      <w:r w:rsidR="00E3354A" w:rsidRPr="00B66397">
        <w:t xml:space="preserve">As we plan to sample 160 IHEs, </w:t>
      </w:r>
      <w:r w:rsidR="007E37AB">
        <w:t xml:space="preserve">if necessary, </w:t>
      </w:r>
      <w:r w:rsidR="00E3354A" w:rsidRPr="00B66397">
        <w:t>we will randomly deselect the handful of expected institutions to reach the target sample.</w:t>
      </w:r>
      <w:r w:rsidR="00E3354A">
        <w:t xml:space="preserve"> </w:t>
      </w:r>
    </w:p>
    <w:p w:rsidR="00BB299C" w:rsidRDefault="00BB299C" w:rsidP="00455E90">
      <w:pPr>
        <w:spacing w:line="360" w:lineRule="auto"/>
      </w:pPr>
    </w:p>
    <w:p w:rsidR="00E3354A" w:rsidRDefault="00BB299C" w:rsidP="00455E90">
      <w:pPr>
        <w:spacing w:line="360" w:lineRule="auto"/>
      </w:pPr>
      <w:r>
        <w:t>Given the survey p</w:t>
      </w:r>
      <w:r w:rsidR="007E37AB">
        <w:t xml:space="preserve">rocedures </w:t>
      </w:r>
      <w:r>
        <w:t>(described below)</w:t>
      </w:r>
      <w:r w:rsidR="00362A44">
        <w:t xml:space="preserve"> and experience with using a similar approach during </w:t>
      </w:r>
      <w:r w:rsidR="006E78C7">
        <w:t>Safer California Universities study (Saltz, et al. 2010)</w:t>
      </w:r>
      <w:r>
        <w:t xml:space="preserve">, </w:t>
      </w:r>
      <w:r w:rsidR="006E78C7">
        <w:t xml:space="preserve">on which SCC is based, </w:t>
      </w:r>
      <w:r>
        <w:t xml:space="preserve">we expect to get participation from at least two representatives for each IHE.  Thus, we expect to have data from every IHE in the sample.  </w:t>
      </w:r>
      <w:r w:rsidR="00E3354A">
        <w:t>Statistical power for the sample of 160 IHEs using linear regression with 10 predictors</w:t>
      </w:r>
      <w:r w:rsidR="00F63944">
        <w:t xml:space="preserve">, alpha of .05, beta (power) of .8 will allow detection of a significant standardized coefficient of </w:t>
      </w:r>
      <w:r w:rsidR="005729FC">
        <w:t>less than</w:t>
      </w:r>
      <w:r w:rsidR="00F63944">
        <w:t xml:space="preserve"> .23, a moderate effect size.</w:t>
      </w:r>
      <w:r w:rsidR="006E78C7">
        <w:t xml:space="preserve"> The primary outcomes to be analyzed are actions taken by the key informants </w:t>
      </w:r>
      <w:r w:rsidR="00A96207">
        <w:t>(did the respondent follow up by forwarding the email, printing materials from the website, meeting with a group to discuss adopting SCC, etc</w:t>
      </w:r>
      <w:r w:rsidR="001E6C95">
        <w:t>.</w:t>
      </w:r>
      <w:r w:rsidR="00A96207">
        <w:t xml:space="preserve">) (see Attachment C) </w:t>
      </w:r>
      <w:r w:rsidR="00F63944">
        <w:t>Given the exploratory nature of this study and resources available, this should be adequate.</w:t>
      </w:r>
    </w:p>
    <w:p w:rsidR="0034571E" w:rsidRPr="0082388F" w:rsidRDefault="0034571E" w:rsidP="0034571E">
      <w:pPr>
        <w:autoSpaceDE w:val="0"/>
        <w:autoSpaceDN w:val="0"/>
        <w:adjustRightInd w:val="0"/>
        <w:rPr>
          <w:rFonts w:cs="TimesNewRomanPSMT"/>
        </w:rPr>
      </w:pPr>
    </w:p>
    <w:p w:rsidR="00DB6A9B" w:rsidRDefault="00A53C97" w:rsidP="00DB6A9B">
      <w:pPr>
        <w:spacing w:line="480" w:lineRule="auto"/>
        <w:rPr>
          <w:b/>
          <w:bCs/>
        </w:rPr>
      </w:pPr>
      <w:r w:rsidRPr="009556CB">
        <w:rPr>
          <w:b/>
          <w:bCs/>
        </w:rPr>
        <w:t>2</w:t>
      </w:r>
      <w:r w:rsidR="009C25EB" w:rsidRPr="009556CB">
        <w:rPr>
          <w:b/>
          <w:bCs/>
        </w:rPr>
        <w:t>. Procedures</w:t>
      </w:r>
      <w:r w:rsidRPr="009556CB">
        <w:rPr>
          <w:b/>
          <w:bCs/>
        </w:rPr>
        <w:t xml:space="preserve"> fo</w:t>
      </w:r>
      <w:r w:rsidR="002B2BEF">
        <w:rPr>
          <w:b/>
          <w:bCs/>
        </w:rPr>
        <w:t>r the Collection of Information</w:t>
      </w:r>
    </w:p>
    <w:p w:rsidR="006A3211" w:rsidRDefault="006A3211" w:rsidP="008236C6">
      <w:pPr>
        <w:spacing w:line="360" w:lineRule="auto"/>
      </w:pPr>
      <w:r>
        <w:t xml:space="preserve">As described in Supporting Statement A, this ICR relates to </w:t>
      </w:r>
      <w:r w:rsidRPr="00E949F4">
        <w:t xml:space="preserve">Phase </w:t>
      </w:r>
      <w:r>
        <w:t>4</w:t>
      </w:r>
      <w:r w:rsidRPr="00E949F4">
        <w:t xml:space="preserve"> of the </w:t>
      </w:r>
      <w:r>
        <w:t xml:space="preserve">Science to Practice: Developing and Testing a Marketing Strategy for Preventing Alcohol-related Problems in College Communities </w:t>
      </w:r>
      <w:r w:rsidRPr="00E949F4">
        <w:t>project</w:t>
      </w:r>
      <w:r>
        <w:t xml:space="preserve">. The purpose of Phase 4 is to </w:t>
      </w:r>
      <w:r w:rsidRPr="00E949F4">
        <w:t>evaluat</w:t>
      </w:r>
      <w:r>
        <w:t>e</w:t>
      </w:r>
      <w:r w:rsidRPr="00E949F4">
        <w:t xml:space="preserve"> the reach </w:t>
      </w:r>
      <w:r>
        <w:t xml:space="preserve">of </w:t>
      </w:r>
      <w:r w:rsidRPr="00E949F4">
        <w:t xml:space="preserve">and </w:t>
      </w:r>
      <w:r w:rsidR="009F02C9">
        <w:t xml:space="preserve">key </w:t>
      </w:r>
      <w:r w:rsidR="009F02C9">
        <w:lastRenderedPageBreak/>
        <w:t xml:space="preserve">informants’ </w:t>
      </w:r>
      <w:r>
        <w:t>response to</w:t>
      </w:r>
      <w:r w:rsidRPr="00E949F4">
        <w:t xml:space="preserve"> the marketing strategy</w:t>
      </w:r>
      <w:r>
        <w:t xml:space="preserve"> that will be implemented during Phase 3</w:t>
      </w:r>
      <w:r w:rsidRPr="00E949F4">
        <w:t xml:space="preserve">. </w:t>
      </w:r>
      <w:r w:rsidR="00D21F2B">
        <w:t xml:space="preserve">For the evaluation, </w:t>
      </w:r>
      <w:r>
        <w:t xml:space="preserve">key campus </w:t>
      </w:r>
      <w:r w:rsidR="00206A52">
        <w:t xml:space="preserve">officials and </w:t>
      </w:r>
      <w:r w:rsidRPr="00676C25">
        <w:t xml:space="preserve">community </w:t>
      </w:r>
      <w:r w:rsidR="00206A52">
        <w:t xml:space="preserve">members </w:t>
      </w:r>
      <w:r w:rsidRPr="00676C25">
        <w:t xml:space="preserve">at each </w:t>
      </w:r>
      <w:r>
        <w:t xml:space="preserve">of the 160 </w:t>
      </w:r>
      <w:r w:rsidR="00206A52">
        <w:t>IHEs</w:t>
      </w:r>
      <w:r w:rsidRPr="00676C25">
        <w:t xml:space="preserve"> </w:t>
      </w:r>
      <w:r>
        <w:t>who</w:t>
      </w:r>
      <w:r w:rsidR="00206A52">
        <w:t xml:space="preserve"> received the marketing email during Phase 3 and </w:t>
      </w:r>
      <w:r>
        <w:t xml:space="preserve">responded back to PIRE expressing their interest in reducing alcohol-related problems on their campus or in their community </w:t>
      </w:r>
      <w:r w:rsidR="00D21F2B">
        <w:t xml:space="preserve">(as part of Phase 3) </w:t>
      </w:r>
      <w:r>
        <w:t xml:space="preserve">will receive an invitation (Attachment F) to complete the online </w:t>
      </w:r>
      <w:r w:rsidRPr="00676C25">
        <w:t>survey</w:t>
      </w:r>
      <w:r>
        <w:t xml:space="preserve">. The purpose of the survey is to assess </w:t>
      </w:r>
      <w:r w:rsidRPr="00E949F4">
        <w:t>the marketing strategy</w:t>
      </w:r>
      <w:r>
        <w:t>’s reach (were appropriate campus and community members recruited through requesting that the campus officials share the email) and the response to it (did the respondent follow up by forwarding the email, printing materials from the website, met with a group to discuss adopting SCC (see Attachment C, Questionnaire).</w:t>
      </w:r>
    </w:p>
    <w:p w:rsidR="00676C25" w:rsidRDefault="006A3211" w:rsidP="008236C6">
      <w:pPr>
        <w:spacing w:line="360" w:lineRule="auto"/>
      </w:pPr>
      <w:r>
        <w:t xml:space="preserve"> </w:t>
      </w:r>
    </w:p>
    <w:p w:rsidR="004C5CEC" w:rsidRDefault="00D21F2B" w:rsidP="008236C6">
      <w:pPr>
        <w:spacing w:line="360" w:lineRule="auto"/>
      </w:pPr>
      <w:r>
        <w:t>The e</w:t>
      </w:r>
      <w:r w:rsidR="008E2143">
        <w:t>mail</w:t>
      </w:r>
      <w:r>
        <w:t xml:space="preserve"> invitation to complete the survey </w:t>
      </w:r>
      <w:r w:rsidR="008E2143">
        <w:t xml:space="preserve">will be sent from the survey </w:t>
      </w:r>
      <w:r w:rsidR="00824B47">
        <w:t>subcontractor</w:t>
      </w:r>
      <w:r w:rsidR="008E2143">
        <w:t xml:space="preserve">, inviting each person to participate in the survey.  The </w:t>
      </w:r>
      <w:r w:rsidR="009E5323">
        <w:t xml:space="preserve">email </w:t>
      </w:r>
      <w:r w:rsidR="004C5CEC">
        <w:t>invitations will</w:t>
      </w:r>
      <w:r w:rsidR="00824B47">
        <w:t xml:space="preserve"> clearly state </w:t>
      </w:r>
      <w:r w:rsidR="004C5CEC">
        <w:t>the following:</w:t>
      </w:r>
    </w:p>
    <w:p w:rsidR="004C5CEC" w:rsidRDefault="004C5CEC" w:rsidP="00E535FB">
      <w:pPr>
        <w:pStyle w:val="ListParagraph"/>
        <w:numPr>
          <w:ilvl w:val="0"/>
          <w:numId w:val="1"/>
        </w:numPr>
        <w:spacing w:line="360" w:lineRule="auto"/>
      </w:pPr>
      <w:r>
        <w:t>Participation</w:t>
      </w:r>
      <w:r w:rsidR="00824B47">
        <w:t xml:space="preserve"> </w:t>
      </w:r>
      <w:r>
        <w:t xml:space="preserve">in the </w:t>
      </w:r>
      <w:r w:rsidR="00E535FB">
        <w:t>survey</w:t>
      </w:r>
      <w:r>
        <w:t xml:space="preserve"> </w:t>
      </w:r>
      <w:r w:rsidR="00824B47">
        <w:t xml:space="preserve">is </w:t>
      </w:r>
      <w:r w:rsidR="00E535FB">
        <w:t xml:space="preserve">of a </w:t>
      </w:r>
      <w:r w:rsidR="00824B47">
        <w:t>voluntary</w:t>
      </w:r>
      <w:r w:rsidR="00E535FB">
        <w:t xml:space="preserve"> nature</w:t>
      </w:r>
      <w:r w:rsidR="00824B47">
        <w:t xml:space="preserve">, </w:t>
      </w:r>
    </w:p>
    <w:p w:rsidR="004C5CEC" w:rsidRDefault="004C5CEC" w:rsidP="00E535FB">
      <w:pPr>
        <w:pStyle w:val="ListParagraph"/>
        <w:numPr>
          <w:ilvl w:val="0"/>
          <w:numId w:val="1"/>
        </w:numPr>
        <w:spacing w:line="360" w:lineRule="auto"/>
      </w:pPr>
      <w:r>
        <w:t>A</w:t>
      </w:r>
      <w:r w:rsidR="00824B47">
        <w:t xml:space="preserve">ny question </w:t>
      </w:r>
      <w:r w:rsidR="00E535FB">
        <w:t xml:space="preserve">within the survey </w:t>
      </w:r>
      <w:r>
        <w:t xml:space="preserve">may </w:t>
      </w:r>
      <w:r w:rsidR="00824B47">
        <w:t xml:space="preserve">be skipped, </w:t>
      </w:r>
    </w:p>
    <w:p w:rsidR="00E535FB" w:rsidRDefault="004C5CEC" w:rsidP="00E535FB">
      <w:pPr>
        <w:pStyle w:val="ListParagraph"/>
        <w:numPr>
          <w:ilvl w:val="0"/>
          <w:numId w:val="1"/>
        </w:numPr>
        <w:spacing w:line="360" w:lineRule="auto"/>
      </w:pPr>
      <w:r>
        <w:t>and, r</w:t>
      </w:r>
      <w:r w:rsidR="00824B47">
        <w:t xml:space="preserve">espondent </w:t>
      </w:r>
      <w:r>
        <w:t xml:space="preserve">may </w:t>
      </w:r>
      <w:r w:rsidR="00824B47">
        <w:t xml:space="preserve">quit </w:t>
      </w:r>
      <w:r>
        <w:t xml:space="preserve">the survey </w:t>
      </w:r>
      <w:r w:rsidR="00824B47">
        <w:t xml:space="preserve">at any point by simply closing their browser.  </w:t>
      </w:r>
    </w:p>
    <w:p w:rsidR="00924E3C" w:rsidRDefault="00824B47" w:rsidP="008236C6">
      <w:pPr>
        <w:spacing w:line="360" w:lineRule="auto"/>
      </w:pPr>
      <w:r>
        <w:t xml:space="preserve">The invitation will include a </w:t>
      </w:r>
      <w:r w:rsidR="00370298">
        <w:t xml:space="preserve">hyperlink </w:t>
      </w:r>
      <w:r>
        <w:t xml:space="preserve">that will </w:t>
      </w:r>
      <w:r w:rsidR="00370298">
        <w:t xml:space="preserve">connect directly to the survey </w:t>
      </w:r>
      <w:r>
        <w:t>questionnaire</w:t>
      </w:r>
      <w:r w:rsidR="00370298">
        <w:t xml:space="preserve">.  Participants </w:t>
      </w:r>
      <w:r>
        <w:t xml:space="preserve">will also </w:t>
      </w:r>
      <w:r w:rsidR="00370298">
        <w:t xml:space="preserve">have the option to cut and paste </w:t>
      </w:r>
      <w:r>
        <w:t xml:space="preserve">the web address </w:t>
      </w:r>
      <w:r w:rsidR="00370298">
        <w:t>into their browser’s URL address field.</w:t>
      </w:r>
      <w:r w:rsidR="00924E3C">
        <w:t xml:space="preserve"> The invitation will also allow the person to request they be removed from future reminders if they wish.  Otherwise, reminder emails will be sent </w:t>
      </w:r>
      <w:r w:rsidR="00924E3C" w:rsidRPr="00924E3C">
        <w:t xml:space="preserve">to non-responders 5, 9, and 14 days after the initial invitation.  The emails will include contact information for the survey staff for any individual who may wish to have more information about the survey.   </w:t>
      </w:r>
    </w:p>
    <w:p w:rsidR="008236C6" w:rsidRDefault="008236C6" w:rsidP="008236C6">
      <w:pPr>
        <w:spacing w:line="360" w:lineRule="auto"/>
      </w:pPr>
    </w:p>
    <w:p w:rsidR="00E31CC8" w:rsidRDefault="00A53C97" w:rsidP="005E7717">
      <w:pPr>
        <w:spacing w:line="480" w:lineRule="auto"/>
        <w:ind w:right="-720"/>
        <w:rPr>
          <w:b/>
          <w:bCs/>
        </w:rPr>
      </w:pPr>
      <w:r w:rsidRPr="009556CB">
        <w:rPr>
          <w:b/>
          <w:bCs/>
        </w:rPr>
        <w:t>3.  Methods to Maximize Response R</w:t>
      </w:r>
      <w:r w:rsidR="00E31CC8">
        <w:rPr>
          <w:b/>
          <w:bCs/>
        </w:rPr>
        <w:t>ates and Deal with Nonresponse</w:t>
      </w:r>
    </w:p>
    <w:p w:rsidR="00EB3B08" w:rsidRDefault="00700694" w:rsidP="008236C6">
      <w:pPr>
        <w:spacing w:before="100" w:beforeAutospacing="1" w:after="100" w:afterAutospacing="1" w:line="360" w:lineRule="auto"/>
      </w:pPr>
      <w:r w:rsidRPr="00700694">
        <w:t>An email invitation to participate in the survey will be sent to</w:t>
      </w:r>
      <w:r w:rsidR="00D21F2B">
        <w:t xml:space="preserve"> all of the </w:t>
      </w:r>
      <w:r w:rsidR="00D21F2B" w:rsidRPr="00676C25">
        <w:t xml:space="preserve">college </w:t>
      </w:r>
      <w:r w:rsidR="00561FAB">
        <w:t xml:space="preserve">officials and </w:t>
      </w:r>
      <w:r w:rsidR="00D21F2B" w:rsidRPr="00676C25">
        <w:t xml:space="preserve">community </w:t>
      </w:r>
      <w:r w:rsidR="00561FAB">
        <w:t xml:space="preserve">members </w:t>
      </w:r>
      <w:r w:rsidR="00151C12">
        <w:t>(key informants)</w:t>
      </w:r>
      <w:r w:rsidR="00D21F2B" w:rsidRPr="00676C25">
        <w:t xml:space="preserve">at each </w:t>
      </w:r>
      <w:r w:rsidR="00D21F2B">
        <w:t xml:space="preserve">of the 160 </w:t>
      </w:r>
      <w:r w:rsidR="00D21F2B" w:rsidRPr="00676C25">
        <w:t>site</w:t>
      </w:r>
      <w:r w:rsidR="00D21F2B">
        <w:t>s</w:t>
      </w:r>
      <w:r w:rsidR="00D21F2B" w:rsidRPr="00676C25">
        <w:t xml:space="preserve"> </w:t>
      </w:r>
      <w:r w:rsidR="00D21F2B">
        <w:t>who have responded back to PIRE expressing their interest in reducing alcohol-related problems on their campus or in their community</w:t>
      </w:r>
      <w:r w:rsidR="00561FAB">
        <w:t>. Reminder email will be to</w:t>
      </w:r>
      <w:r w:rsidRPr="00700694">
        <w:t xml:space="preserve"> non-responders 5, 9, and 14 days after the initial invitation.  The emails will include contact information of the survey staff for any individual who may wish to have more information about the survey.  </w:t>
      </w:r>
    </w:p>
    <w:p w:rsidR="00A53C97" w:rsidRPr="009556CB" w:rsidRDefault="00A53C97" w:rsidP="00A53C97">
      <w:pPr>
        <w:spacing w:line="480" w:lineRule="auto"/>
        <w:rPr>
          <w:b/>
          <w:bCs/>
        </w:rPr>
      </w:pPr>
      <w:r w:rsidRPr="009556CB">
        <w:rPr>
          <w:b/>
          <w:bCs/>
        </w:rPr>
        <w:t>4.  Tests of Procedure</w:t>
      </w:r>
      <w:r w:rsidR="00E31CC8">
        <w:rPr>
          <w:b/>
          <w:bCs/>
        </w:rPr>
        <w:t>s or Methods to be Undertaken</w:t>
      </w:r>
    </w:p>
    <w:p w:rsidR="00DE6D46" w:rsidRDefault="00DE6D46" w:rsidP="003C46FB">
      <w:pPr>
        <w:spacing w:before="100" w:beforeAutospacing="1" w:after="100" w:afterAutospacing="1" w:line="360" w:lineRule="auto"/>
      </w:pPr>
      <w:r>
        <w:lastRenderedPageBreak/>
        <w:t>The pro</w:t>
      </w:r>
      <w:r w:rsidR="00151C12">
        <w:t xml:space="preserve">cedures </w:t>
      </w:r>
      <w:r>
        <w:t xml:space="preserve">to be used in the survey are based on methods developed </w:t>
      </w:r>
      <w:r w:rsidR="00A63D9E">
        <w:t xml:space="preserve">through a National Institutes of Health research project where </w:t>
      </w:r>
      <w:r>
        <w:t xml:space="preserve">a “key informant” </w:t>
      </w:r>
      <w:r w:rsidR="00A63D9E">
        <w:t xml:space="preserve">survey was </w:t>
      </w:r>
      <w:r>
        <w:t xml:space="preserve">conducted alongside the original Safer California Universities study.  There, a core group of campus representatives was identified by position in the university (Dean of Students, Head of Health Services; Chief of </w:t>
      </w:r>
      <w:r w:rsidR="00EF43A6">
        <w:t xml:space="preserve">Campus </w:t>
      </w:r>
      <w:r>
        <w:t>Police)</w:t>
      </w:r>
      <w:r w:rsidR="00EF43A6">
        <w:t>.  Responses were obtained from all campuses in that study (N=14) which was the unit of analysis.  Rates of response at the individual level ranged from 60 to 100%, with a median of 83%.</w:t>
      </w:r>
    </w:p>
    <w:p w:rsidR="00A53C97" w:rsidRPr="009556CB" w:rsidRDefault="00A53C97" w:rsidP="00A53C97">
      <w:pPr>
        <w:numPr>
          <w:ilvl w:val="12"/>
          <w:numId w:val="0"/>
        </w:numPr>
        <w:spacing w:line="480" w:lineRule="auto"/>
        <w:rPr>
          <w:b/>
          <w:bCs/>
          <w:spacing w:val="-3"/>
        </w:rPr>
      </w:pPr>
      <w:r w:rsidRPr="009556CB">
        <w:rPr>
          <w:b/>
          <w:bCs/>
          <w:spacing w:val="-3"/>
        </w:rPr>
        <w:t xml:space="preserve">5.  Individuals Consulted on Statistical Aspects and Individuals Collecting and/or Analyzing Data  </w:t>
      </w:r>
    </w:p>
    <w:p w:rsidR="00C9444C" w:rsidRDefault="00A53C97" w:rsidP="00EA78F5">
      <w:pPr>
        <w:spacing w:line="360" w:lineRule="auto"/>
      </w:pPr>
      <w:r w:rsidRPr="009556CB">
        <w:t xml:space="preserve">All aspects of study design, data collection, </w:t>
      </w:r>
      <w:r w:rsidR="00557959">
        <w:t xml:space="preserve">data analysis, </w:t>
      </w:r>
      <w:r w:rsidRPr="009556CB">
        <w:t xml:space="preserve">and data reporting will be handled by </w:t>
      </w:r>
      <w:r w:rsidR="00C9444C">
        <w:t>PIRE</w:t>
      </w:r>
      <w:r w:rsidRPr="009556CB">
        <w:t xml:space="preserve">, The primary contact </w:t>
      </w:r>
      <w:r w:rsidR="00C9444C">
        <w:t xml:space="preserve">at Pacific Institute for Research and Evaluation is:  </w:t>
      </w:r>
    </w:p>
    <w:p w:rsidR="00C9444C" w:rsidRDefault="003F635E" w:rsidP="00EA78F5">
      <w:r>
        <w:t>Robert F. Saltz, Ph.D.</w:t>
      </w:r>
    </w:p>
    <w:p w:rsidR="00510D6E" w:rsidRDefault="00C9444C" w:rsidP="00EA78F5">
      <w:r>
        <w:t>Senior Scientist</w:t>
      </w:r>
      <w:r w:rsidR="003F635E">
        <w:br/>
        <w:t>Prevention Research Center</w:t>
      </w:r>
      <w:r w:rsidR="003F635E">
        <w:br/>
        <w:t xml:space="preserve">Pacific Institute for Research and Evaluation </w:t>
      </w:r>
    </w:p>
    <w:p w:rsidR="00C9444C" w:rsidRPr="00C9444C" w:rsidRDefault="00C9444C" w:rsidP="00C9444C">
      <w:pPr>
        <w:rPr>
          <w:szCs w:val="20"/>
        </w:rPr>
      </w:pPr>
      <w:r w:rsidRPr="00C9444C">
        <w:rPr>
          <w:szCs w:val="20"/>
        </w:rPr>
        <w:t>1995 University Av., Suite 450</w:t>
      </w:r>
    </w:p>
    <w:p w:rsidR="00C9444C" w:rsidRPr="00C9444C" w:rsidRDefault="00C9444C" w:rsidP="00C9444C">
      <w:pPr>
        <w:rPr>
          <w:szCs w:val="20"/>
        </w:rPr>
      </w:pPr>
      <w:r w:rsidRPr="00C9444C">
        <w:rPr>
          <w:szCs w:val="20"/>
        </w:rPr>
        <w:t>Berkeley, CA  94704</w:t>
      </w:r>
    </w:p>
    <w:p w:rsidR="00C9444C" w:rsidRPr="00C9444C" w:rsidRDefault="00C9444C" w:rsidP="00C9444C">
      <w:pPr>
        <w:rPr>
          <w:szCs w:val="20"/>
        </w:rPr>
      </w:pPr>
      <w:r>
        <w:rPr>
          <w:szCs w:val="20"/>
        </w:rPr>
        <w:t xml:space="preserve">Phone:  510 883-5733 </w:t>
      </w:r>
    </w:p>
    <w:p w:rsidR="00C9444C" w:rsidRDefault="00C9444C" w:rsidP="00C9444C">
      <w:pPr>
        <w:rPr>
          <w:szCs w:val="20"/>
        </w:rPr>
      </w:pPr>
      <w:r>
        <w:rPr>
          <w:szCs w:val="20"/>
        </w:rPr>
        <w:t xml:space="preserve">Fax:  </w:t>
      </w:r>
      <w:r w:rsidRPr="00C9444C">
        <w:rPr>
          <w:szCs w:val="20"/>
        </w:rPr>
        <w:t>510 644-0594</w:t>
      </w:r>
    </w:p>
    <w:p w:rsidR="00C9444C" w:rsidRPr="00C9444C" w:rsidRDefault="00C9444C" w:rsidP="00C9444C">
      <w:pPr>
        <w:rPr>
          <w:szCs w:val="20"/>
        </w:rPr>
      </w:pPr>
      <w:r>
        <w:rPr>
          <w:szCs w:val="20"/>
        </w:rPr>
        <w:t>Email:  saltz@PREV.org</w:t>
      </w:r>
    </w:p>
    <w:p w:rsidR="00A53C97" w:rsidRPr="009556CB" w:rsidRDefault="00A53C97" w:rsidP="00A53C97"/>
    <w:p w:rsidR="00A53C97" w:rsidRPr="009556CB" w:rsidRDefault="00A53C97" w:rsidP="00A53C97">
      <w:pPr>
        <w:spacing w:line="480" w:lineRule="auto"/>
      </w:pPr>
      <w:r w:rsidRPr="009556CB">
        <w:t>The primary consultants at CDC are:</w:t>
      </w:r>
    </w:p>
    <w:p w:rsidR="00F549E2" w:rsidRDefault="00510D6E" w:rsidP="00F549E2">
      <w:pPr>
        <w:rPr>
          <w:bCs/>
        </w:rPr>
      </w:pPr>
      <w:r>
        <w:t>Ruth Shults, PhD</w:t>
      </w:r>
      <w:r w:rsidR="00F549E2">
        <w:t>, MPH</w:t>
      </w:r>
    </w:p>
    <w:p w:rsidR="00F549E2" w:rsidRDefault="00586F6C" w:rsidP="00A53C97">
      <w:r>
        <w:t>Epidemiologist</w:t>
      </w:r>
    </w:p>
    <w:p w:rsidR="00A53C97" w:rsidRPr="009556CB" w:rsidRDefault="00A53C97" w:rsidP="00A53C97">
      <w:r w:rsidRPr="009556CB">
        <w:t>Division of Unintentional Injury Prevention</w:t>
      </w:r>
    </w:p>
    <w:p w:rsidR="00A53C97" w:rsidRPr="009556CB" w:rsidRDefault="00A53C97" w:rsidP="00A53C97">
      <w:r w:rsidRPr="009556CB">
        <w:t>National Center for Injury Prevention and Control</w:t>
      </w:r>
    </w:p>
    <w:p w:rsidR="00586F6C" w:rsidRDefault="00A53C97" w:rsidP="00A53C97">
      <w:r w:rsidRPr="009556CB">
        <w:t xml:space="preserve">Centers for Disease Control and Prevention </w:t>
      </w:r>
    </w:p>
    <w:p w:rsidR="00A53C97" w:rsidRPr="009556CB" w:rsidRDefault="00A53C97" w:rsidP="00A53C97">
      <w:r w:rsidRPr="009556CB">
        <w:t>4770 Buford Highway, MS/F-</w:t>
      </w:r>
      <w:r w:rsidR="00F665AC">
        <w:t>62</w:t>
      </w:r>
    </w:p>
    <w:p w:rsidR="00A53C97" w:rsidRPr="009556CB" w:rsidRDefault="00A53C97" w:rsidP="00A53C97">
      <w:r w:rsidRPr="009556CB">
        <w:t>Atlanta, GA 30341</w:t>
      </w:r>
    </w:p>
    <w:p w:rsidR="00F549E2" w:rsidRDefault="00A53C97" w:rsidP="00A53C97">
      <w:r w:rsidRPr="009556CB">
        <w:t>Phone: 770-488-</w:t>
      </w:r>
      <w:r w:rsidR="00F549E2">
        <w:t>4638</w:t>
      </w:r>
    </w:p>
    <w:p w:rsidR="00A53C97" w:rsidRPr="009556CB" w:rsidRDefault="00A53C97" w:rsidP="00A53C97">
      <w:r w:rsidRPr="009556CB">
        <w:t>Fax: 770-488-1317</w:t>
      </w:r>
    </w:p>
    <w:p w:rsidR="00A53C97" w:rsidRPr="009556CB" w:rsidRDefault="00A53C97" w:rsidP="00A53C97">
      <w:r w:rsidRPr="009556CB">
        <w:t>Email</w:t>
      </w:r>
      <w:r w:rsidR="00F549E2">
        <w:t>:  rshults@cdc.gov</w:t>
      </w:r>
    </w:p>
    <w:p w:rsidR="00A53C97" w:rsidRPr="009556CB" w:rsidRDefault="00A53C97" w:rsidP="00A53C97"/>
    <w:p w:rsidR="00A53C97" w:rsidRDefault="00F665AC" w:rsidP="00A53C97">
      <w:r>
        <w:t>Leanna Fox</w:t>
      </w:r>
    </w:p>
    <w:p w:rsidR="00586F6C" w:rsidRDefault="00586F6C" w:rsidP="00A53C97">
      <w:r>
        <w:t xml:space="preserve">Public Health </w:t>
      </w:r>
      <w:r w:rsidR="001D7D09">
        <w:t>Advisor</w:t>
      </w:r>
    </w:p>
    <w:p w:rsidR="00586F6C" w:rsidRDefault="00586F6C" w:rsidP="00A53C97">
      <w:r>
        <w:t>Division of Unintentional Injury Prevention</w:t>
      </w:r>
    </w:p>
    <w:p w:rsidR="00586F6C" w:rsidRDefault="00586F6C" w:rsidP="00A53C97">
      <w:r>
        <w:t>National Center for Injury Prevention and Control</w:t>
      </w:r>
    </w:p>
    <w:p w:rsidR="00586F6C" w:rsidRDefault="00586F6C" w:rsidP="00A53C97">
      <w:r>
        <w:t xml:space="preserve">Centers for Disease Control and Prevention </w:t>
      </w:r>
    </w:p>
    <w:p w:rsidR="00586F6C" w:rsidRPr="009556CB" w:rsidRDefault="00586F6C" w:rsidP="00586F6C">
      <w:r w:rsidRPr="009556CB">
        <w:lastRenderedPageBreak/>
        <w:t>4770 Buford Highway, MS/F-</w:t>
      </w:r>
      <w:r w:rsidR="00F665AC">
        <w:t>62</w:t>
      </w:r>
    </w:p>
    <w:p w:rsidR="00586F6C" w:rsidRPr="009556CB" w:rsidRDefault="00586F6C" w:rsidP="00586F6C">
      <w:r w:rsidRPr="009556CB">
        <w:t>Atlanta, GA 30341</w:t>
      </w:r>
    </w:p>
    <w:p w:rsidR="00586F6C" w:rsidRDefault="00586F6C" w:rsidP="00586F6C">
      <w:r w:rsidRPr="009556CB">
        <w:t>Phone: 770-488-</w:t>
      </w:r>
      <w:r>
        <w:t>39</w:t>
      </w:r>
      <w:r w:rsidR="00A163EF">
        <w:t>15</w:t>
      </w:r>
    </w:p>
    <w:p w:rsidR="00586F6C" w:rsidRPr="009556CB" w:rsidRDefault="00586F6C" w:rsidP="00586F6C">
      <w:r w:rsidRPr="009556CB">
        <w:t>Fax: 770-488-1317</w:t>
      </w:r>
    </w:p>
    <w:p w:rsidR="00586F6C" w:rsidRPr="00F665AC" w:rsidRDefault="00586F6C" w:rsidP="00586F6C">
      <w:r w:rsidRPr="009556CB">
        <w:t>Email</w:t>
      </w:r>
      <w:r>
        <w:t xml:space="preserve">:  </w:t>
      </w:r>
      <w:r w:rsidR="00F665AC">
        <w:rPr>
          <w:rStyle w:val="Hyperlink"/>
        </w:rPr>
        <w:t xml:space="preserve"> </w:t>
      </w:r>
      <w:r w:rsidR="00F665AC">
        <w:t>:  lmf8@cdc.gov</w:t>
      </w:r>
    </w:p>
    <w:p w:rsidR="008417CC" w:rsidRDefault="008417CC" w:rsidP="00586F6C"/>
    <w:p w:rsidR="008417CC" w:rsidRDefault="001521E0" w:rsidP="00586F6C">
      <w:r>
        <w:t>Reference</w:t>
      </w:r>
      <w:r w:rsidR="009D3CA8">
        <w:t>s</w:t>
      </w:r>
    </w:p>
    <w:p w:rsidR="001521E0" w:rsidRDefault="001521E0" w:rsidP="00586F6C"/>
    <w:p w:rsidR="008417CC" w:rsidRDefault="008417CC" w:rsidP="00A63D9E">
      <w:r w:rsidRPr="008417CC">
        <w:t>Brint, Steven, Kristopher Proctor,  Robert A. Hanneman, Kerry Mulligan, Matthew B. Rotondi, Scott P. Murphy. 2011. “Who are the Early Adopters of New Academic Fields? Comparing Four Perspectives on the Institutionalization of Degree Granting Programs in US Four-Year Colleges and Universities, 1970–2005.” Higher Education 61: 563-585.</w:t>
      </w:r>
    </w:p>
    <w:p w:rsidR="009D3CA8" w:rsidRDefault="009D3CA8" w:rsidP="00A63D9E"/>
    <w:p w:rsidR="009D3CA8" w:rsidRPr="00E949F4" w:rsidRDefault="009D3CA8" w:rsidP="009D3CA8">
      <w:pPr>
        <w:tabs>
          <w:tab w:val="num" w:pos="360"/>
        </w:tabs>
        <w:rPr>
          <w:szCs w:val="20"/>
        </w:rPr>
      </w:pPr>
      <w:r w:rsidRPr="00E949F4">
        <w:rPr>
          <w:szCs w:val="20"/>
        </w:rPr>
        <w:t>Saltz, R.F., Paschall, M.J., McGaffigan, R.P., &amp; Nygaard, P.M.O.  (2010) Alcohol Risk Management in College Settings: The Safer California Universities Randomized Trial. American Journal of Preventive Medicine, 39(6) 491–499.</w:t>
      </w:r>
    </w:p>
    <w:p w:rsidR="009D3CA8" w:rsidRPr="009D3CA8" w:rsidRDefault="009D3CA8" w:rsidP="00A63D9E">
      <w:pPr>
        <w:rPr>
          <w:b/>
        </w:rPr>
      </w:pPr>
    </w:p>
    <w:sectPr w:rsidR="009D3CA8" w:rsidRPr="009D3CA8" w:rsidSect="00EA78F5">
      <w:footerReference w:type="default" r:id="rId9"/>
      <w:pgSz w:w="12240" w:h="15840"/>
      <w:pgMar w:top="1440" w:right="1440" w:bottom="135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FAB" w:rsidRDefault="00561FAB">
      <w:r>
        <w:separator/>
      </w:r>
    </w:p>
  </w:endnote>
  <w:endnote w:type="continuationSeparator" w:id="0">
    <w:p w:rsidR="00561FAB" w:rsidRDefault="00561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FAB" w:rsidRDefault="00561FAB" w:rsidP="00A53C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6A44">
      <w:rPr>
        <w:rStyle w:val="PageNumber"/>
        <w:noProof/>
      </w:rPr>
      <w:t>1</w:t>
    </w:r>
    <w:r>
      <w:rPr>
        <w:rStyle w:val="PageNumber"/>
      </w:rPr>
      <w:fldChar w:fldCharType="end"/>
    </w:r>
  </w:p>
  <w:p w:rsidR="00561FAB" w:rsidRDefault="00561FAB" w:rsidP="00A53C97">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FAB" w:rsidRDefault="00561FAB">
      <w:r>
        <w:separator/>
      </w:r>
    </w:p>
  </w:footnote>
  <w:footnote w:type="continuationSeparator" w:id="0">
    <w:p w:rsidR="00561FAB" w:rsidRDefault="00561F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F2C87"/>
    <w:multiLevelType w:val="hybridMultilevel"/>
    <w:tmpl w:val="04C8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C97"/>
    <w:rsid w:val="000157CF"/>
    <w:rsid w:val="00033CFA"/>
    <w:rsid w:val="000A4E4B"/>
    <w:rsid w:val="00127C4C"/>
    <w:rsid w:val="00146A44"/>
    <w:rsid w:val="001502E1"/>
    <w:rsid w:val="00151C12"/>
    <w:rsid w:val="001521E0"/>
    <w:rsid w:val="00163706"/>
    <w:rsid w:val="00166EFE"/>
    <w:rsid w:val="00170F1A"/>
    <w:rsid w:val="00196BE8"/>
    <w:rsid w:val="001A0402"/>
    <w:rsid w:val="001D7D09"/>
    <w:rsid w:val="001E6AD3"/>
    <w:rsid w:val="001E6C95"/>
    <w:rsid w:val="00206A52"/>
    <w:rsid w:val="002242A2"/>
    <w:rsid w:val="00241113"/>
    <w:rsid w:val="0025433A"/>
    <w:rsid w:val="002762E6"/>
    <w:rsid w:val="002B2BEF"/>
    <w:rsid w:val="002D0761"/>
    <w:rsid w:val="002D784C"/>
    <w:rsid w:val="002E7DB7"/>
    <w:rsid w:val="00307B53"/>
    <w:rsid w:val="00320694"/>
    <w:rsid w:val="00324F83"/>
    <w:rsid w:val="0034310A"/>
    <w:rsid w:val="00345160"/>
    <w:rsid w:val="0034571E"/>
    <w:rsid w:val="00354E3A"/>
    <w:rsid w:val="00360F2D"/>
    <w:rsid w:val="00362A44"/>
    <w:rsid w:val="00363929"/>
    <w:rsid w:val="00370298"/>
    <w:rsid w:val="003871BB"/>
    <w:rsid w:val="00395C9E"/>
    <w:rsid w:val="003B5F34"/>
    <w:rsid w:val="003C46FB"/>
    <w:rsid w:val="003C78C2"/>
    <w:rsid w:val="003F635E"/>
    <w:rsid w:val="004107DC"/>
    <w:rsid w:val="00430A89"/>
    <w:rsid w:val="00444FA3"/>
    <w:rsid w:val="00455E90"/>
    <w:rsid w:val="00462C1F"/>
    <w:rsid w:val="004901DC"/>
    <w:rsid w:val="004C5CEC"/>
    <w:rsid w:val="00510D6E"/>
    <w:rsid w:val="00514DC4"/>
    <w:rsid w:val="00514F0A"/>
    <w:rsid w:val="00520034"/>
    <w:rsid w:val="00522D63"/>
    <w:rsid w:val="0053505A"/>
    <w:rsid w:val="005352E9"/>
    <w:rsid w:val="00547697"/>
    <w:rsid w:val="00557513"/>
    <w:rsid w:val="00557959"/>
    <w:rsid w:val="00561FAB"/>
    <w:rsid w:val="005729FC"/>
    <w:rsid w:val="005828BB"/>
    <w:rsid w:val="00586F6C"/>
    <w:rsid w:val="0059249F"/>
    <w:rsid w:val="005B654A"/>
    <w:rsid w:val="005E7717"/>
    <w:rsid w:val="00600644"/>
    <w:rsid w:val="00620254"/>
    <w:rsid w:val="00630BB9"/>
    <w:rsid w:val="006321AA"/>
    <w:rsid w:val="006763A4"/>
    <w:rsid w:val="00676C25"/>
    <w:rsid w:val="006A3211"/>
    <w:rsid w:val="006B0783"/>
    <w:rsid w:val="006C4DF7"/>
    <w:rsid w:val="006E78C7"/>
    <w:rsid w:val="00700694"/>
    <w:rsid w:val="007345FF"/>
    <w:rsid w:val="00755C9E"/>
    <w:rsid w:val="00796D62"/>
    <w:rsid w:val="007A4427"/>
    <w:rsid w:val="007E02B4"/>
    <w:rsid w:val="007E37AB"/>
    <w:rsid w:val="008236C6"/>
    <w:rsid w:val="00824B47"/>
    <w:rsid w:val="00830C73"/>
    <w:rsid w:val="008417CC"/>
    <w:rsid w:val="00841B2C"/>
    <w:rsid w:val="00852B76"/>
    <w:rsid w:val="00887A5F"/>
    <w:rsid w:val="008C22F7"/>
    <w:rsid w:val="008D6629"/>
    <w:rsid w:val="008E2143"/>
    <w:rsid w:val="008E66BB"/>
    <w:rsid w:val="00922E4F"/>
    <w:rsid w:val="00924E3C"/>
    <w:rsid w:val="00930F5B"/>
    <w:rsid w:val="00936DD0"/>
    <w:rsid w:val="00953F77"/>
    <w:rsid w:val="0098533C"/>
    <w:rsid w:val="009A01C7"/>
    <w:rsid w:val="009B7CBF"/>
    <w:rsid w:val="009C01E0"/>
    <w:rsid w:val="009C25EB"/>
    <w:rsid w:val="009D3CA8"/>
    <w:rsid w:val="009E5323"/>
    <w:rsid w:val="009F02C9"/>
    <w:rsid w:val="009F31CA"/>
    <w:rsid w:val="009F4C1E"/>
    <w:rsid w:val="00A02516"/>
    <w:rsid w:val="00A163EF"/>
    <w:rsid w:val="00A2734D"/>
    <w:rsid w:val="00A31A05"/>
    <w:rsid w:val="00A53C97"/>
    <w:rsid w:val="00A63D9E"/>
    <w:rsid w:val="00A96207"/>
    <w:rsid w:val="00AA6CE2"/>
    <w:rsid w:val="00AB270C"/>
    <w:rsid w:val="00AC3B80"/>
    <w:rsid w:val="00AF5F21"/>
    <w:rsid w:val="00B63EF3"/>
    <w:rsid w:val="00B65E1E"/>
    <w:rsid w:val="00B66397"/>
    <w:rsid w:val="00B7183C"/>
    <w:rsid w:val="00B8603B"/>
    <w:rsid w:val="00BB299C"/>
    <w:rsid w:val="00BC4410"/>
    <w:rsid w:val="00BD069E"/>
    <w:rsid w:val="00BF4C58"/>
    <w:rsid w:val="00C35801"/>
    <w:rsid w:val="00C43F22"/>
    <w:rsid w:val="00C60A77"/>
    <w:rsid w:val="00C6487F"/>
    <w:rsid w:val="00C76CD6"/>
    <w:rsid w:val="00C9444C"/>
    <w:rsid w:val="00CD1A0F"/>
    <w:rsid w:val="00CE6A32"/>
    <w:rsid w:val="00D21F2B"/>
    <w:rsid w:val="00D26E39"/>
    <w:rsid w:val="00D42094"/>
    <w:rsid w:val="00D4269E"/>
    <w:rsid w:val="00D441DE"/>
    <w:rsid w:val="00D543C2"/>
    <w:rsid w:val="00D83421"/>
    <w:rsid w:val="00DA45F1"/>
    <w:rsid w:val="00DB6A9B"/>
    <w:rsid w:val="00DD5191"/>
    <w:rsid w:val="00DD672F"/>
    <w:rsid w:val="00DE6D46"/>
    <w:rsid w:val="00E02784"/>
    <w:rsid w:val="00E318B9"/>
    <w:rsid w:val="00E31CC8"/>
    <w:rsid w:val="00E3354A"/>
    <w:rsid w:val="00E419A5"/>
    <w:rsid w:val="00E535FB"/>
    <w:rsid w:val="00E85BB0"/>
    <w:rsid w:val="00E944C3"/>
    <w:rsid w:val="00EA1E96"/>
    <w:rsid w:val="00EA78F5"/>
    <w:rsid w:val="00EB3B08"/>
    <w:rsid w:val="00EB4520"/>
    <w:rsid w:val="00EE6CA0"/>
    <w:rsid w:val="00EF43A6"/>
    <w:rsid w:val="00F075F4"/>
    <w:rsid w:val="00F549E2"/>
    <w:rsid w:val="00F615E3"/>
    <w:rsid w:val="00F63944"/>
    <w:rsid w:val="00F665AC"/>
    <w:rsid w:val="00F840C9"/>
    <w:rsid w:val="00FC2B3F"/>
    <w:rsid w:val="00FC7DB7"/>
    <w:rsid w:val="00FD46EB"/>
    <w:rsid w:val="00FD5DD5"/>
    <w:rsid w:val="00FE6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3C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3C97"/>
    <w:pPr>
      <w:spacing w:line="480" w:lineRule="auto"/>
    </w:pPr>
    <w:rPr>
      <w:b/>
      <w:bCs/>
    </w:rPr>
  </w:style>
  <w:style w:type="table" w:styleId="TableGrid">
    <w:name w:val="Table Grid"/>
    <w:basedOn w:val="TableNormal"/>
    <w:rsid w:val="00A53C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A53C97"/>
    <w:pPr>
      <w:spacing w:after="120"/>
      <w:ind w:left="360"/>
    </w:pPr>
  </w:style>
  <w:style w:type="paragraph" w:styleId="BodyText2">
    <w:name w:val="Body Text 2"/>
    <w:basedOn w:val="Normal"/>
    <w:rsid w:val="00A53C97"/>
    <w:pPr>
      <w:spacing w:after="120" w:line="480" w:lineRule="auto"/>
    </w:pPr>
  </w:style>
  <w:style w:type="paragraph" w:styleId="Footer">
    <w:name w:val="footer"/>
    <w:basedOn w:val="Normal"/>
    <w:rsid w:val="00A53C97"/>
    <w:pPr>
      <w:tabs>
        <w:tab w:val="center" w:pos="4320"/>
        <w:tab w:val="right" w:pos="8640"/>
      </w:tabs>
    </w:pPr>
    <w:rPr>
      <w:szCs w:val="20"/>
    </w:rPr>
  </w:style>
  <w:style w:type="character" w:styleId="Hyperlink">
    <w:name w:val="Hyperlink"/>
    <w:basedOn w:val="DefaultParagraphFont"/>
    <w:rsid w:val="00A53C97"/>
    <w:rPr>
      <w:color w:val="0000FF"/>
      <w:u w:val="single"/>
    </w:rPr>
  </w:style>
  <w:style w:type="character" w:styleId="PageNumber">
    <w:name w:val="page number"/>
    <w:basedOn w:val="DefaultParagraphFont"/>
    <w:rsid w:val="00A53C97"/>
  </w:style>
  <w:style w:type="character" w:customStyle="1" w:styleId="EmailStyle221">
    <w:name w:val="EmailStyle221"/>
    <w:basedOn w:val="DefaultParagraphFont"/>
    <w:semiHidden/>
    <w:rsid w:val="00A53C97"/>
    <w:rPr>
      <w:rFonts w:ascii="Arial" w:hAnsi="Arial" w:cs="Arial"/>
      <w:color w:val="auto"/>
      <w:sz w:val="20"/>
      <w:szCs w:val="20"/>
    </w:rPr>
  </w:style>
  <w:style w:type="paragraph" w:styleId="BalloonText">
    <w:name w:val="Balloon Text"/>
    <w:basedOn w:val="Normal"/>
    <w:link w:val="BalloonTextChar"/>
    <w:rsid w:val="001D7D09"/>
    <w:rPr>
      <w:rFonts w:ascii="Tahoma" w:hAnsi="Tahoma" w:cs="Tahoma"/>
      <w:sz w:val="16"/>
      <w:szCs w:val="16"/>
    </w:rPr>
  </w:style>
  <w:style w:type="character" w:customStyle="1" w:styleId="BalloonTextChar">
    <w:name w:val="Balloon Text Char"/>
    <w:basedOn w:val="DefaultParagraphFont"/>
    <w:link w:val="BalloonText"/>
    <w:rsid w:val="001D7D09"/>
    <w:rPr>
      <w:rFonts w:ascii="Tahoma" w:hAnsi="Tahoma" w:cs="Tahoma"/>
      <w:sz w:val="16"/>
      <w:szCs w:val="16"/>
    </w:rPr>
  </w:style>
  <w:style w:type="character" w:styleId="CommentReference">
    <w:name w:val="annotation reference"/>
    <w:basedOn w:val="DefaultParagraphFont"/>
    <w:rsid w:val="00A02516"/>
    <w:rPr>
      <w:sz w:val="16"/>
      <w:szCs w:val="16"/>
    </w:rPr>
  </w:style>
  <w:style w:type="paragraph" w:styleId="CommentText">
    <w:name w:val="annotation text"/>
    <w:basedOn w:val="Normal"/>
    <w:link w:val="CommentTextChar"/>
    <w:rsid w:val="00A02516"/>
    <w:rPr>
      <w:sz w:val="20"/>
      <w:szCs w:val="20"/>
    </w:rPr>
  </w:style>
  <w:style w:type="character" w:customStyle="1" w:styleId="CommentTextChar">
    <w:name w:val="Comment Text Char"/>
    <w:basedOn w:val="DefaultParagraphFont"/>
    <w:link w:val="CommentText"/>
    <w:rsid w:val="00A02516"/>
  </w:style>
  <w:style w:type="paragraph" w:styleId="CommentSubject">
    <w:name w:val="annotation subject"/>
    <w:basedOn w:val="CommentText"/>
    <w:next w:val="CommentText"/>
    <w:link w:val="CommentSubjectChar"/>
    <w:rsid w:val="00A02516"/>
    <w:rPr>
      <w:b/>
      <w:bCs/>
    </w:rPr>
  </w:style>
  <w:style w:type="character" w:customStyle="1" w:styleId="CommentSubjectChar">
    <w:name w:val="Comment Subject Char"/>
    <w:basedOn w:val="CommentTextChar"/>
    <w:link w:val="CommentSubject"/>
    <w:rsid w:val="00A02516"/>
    <w:rPr>
      <w:b/>
      <w:bCs/>
    </w:rPr>
  </w:style>
  <w:style w:type="paragraph" w:styleId="ListParagraph">
    <w:name w:val="List Paragraph"/>
    <w:basedOn w:val="Normal"/>
    <w:uiPriority w:val="34"/>
    <w:qFormat/>
    <w:rsid w:val="00E535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3C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3C97"/>
    <w:pPr>
      <w:spacing w:line="480" w:lineRule="auto"/>
    </w:pPr>
    <w:rPr>
      <w:b/>
      <w:bCs/>
    </w:rPr>
  </w:style>
  <w:style w:type="table" w:styleId="TableGrid">
    <w:name w:val="Table Grid"/>
    <w:basedOn w:val="TableNormal"/>
    <w:rsid w:val="00A53C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A53C97"/>
    <w:pPr>
      <w:spacing w:after="120"/>
      <w:ind w:left="360"/>
    </w:pPr>
  </w:style>
  <w:style w:type="paragraph" w:styleId="BodyText2">
    <w:name w:val="Body Text 2"/>
    <w:basedOn w:val="Normal"/>
    <w:rsid w:val="00A53C97"/>
    <w:pPr>
      <w:spacing w:after="120" w:line="480" w:lineRule="auto"/>
    </w:pPr>
  </w:style>
  <w:style w:type="paragraph" w:styleId="Footer">
    <w:name w:val="footer"/>
    <w:basedOn w:val="Normal"/>
    <w:rsid w:val="00A53C97"/>
    <w:pPr>
      <w:tabs>
        <w:tab w:val="center" w:pos="4320"/>
        <w:tab w:val="right" w:pos="8640"/>
      </w:tabs>
    </w:pPr>
    <w:rPr>
      <w:szCs w:val="20"/>
    </w:rPr>
  </w:style>
  <w:style w:type="character" w:styleId="Hyperlink">
    <w:name w:val="Hyperlink"/>
    <w:basedOn w:val="DefaultParagraphFont"/>
    <w:rsid w:val="00A53C97"/>
    <w:rPr>
      <w:color w:val="0000FF"/>
      <w:u w:val="single"/>
    </w:rPr>
  </w:style>
  <w:style w:type="character" w:styleId="PageNumber">
    <w:name w:val="page number"/>
    <w:basedOn w:val="DefaultParagraphFont"/>
    <w:rsid w:val="00A53C97"/>
  </w:style>
  <w:style w:type="character" w:customStyle="1" w:styleId="EmailStyle221">
    <w:name w:val="EmailStyle221"/>
    <w:basedOn w:val="DefaultParagraphFont"/>
    <w:semiHidden/>
    <w:rsid w:val="00A53C97"/>
    <w:rPr>
      <w:rFonts w:ascii="Arial" w:hAnsi="Arial" w:cs="Arial"/>
      <w:color w:val="auto"/>
      <w:sz w:val="20"/>
      <w:szCs w:val="20"/>
    </w:rPr>
  </w:style>
  <w:style w:type="paragraph" w:styleId="BalloonText">
    <w:name w:val="Balloon Text"/>
    <w:basedOn w:val="Normal"/>
    <w:link w:val="BalloonTextChar"/>
    <w:rsid w:val="001D7D09"/>
    <w:rPr>
      <w:rFonts w:ascii="Tahoma" w:hAnsi="Tahoma" w:cs="Tahoma"/>
      <w:sz w:val="16"/>
      <w:szCs w:val="16"/>
    </w:rPr>
  </w:style>
  <w:style w:type="character" w:customStyle="1" w:styleId="BalloonTextChar">
    <w:name w:val="Balloon Text Char"/>
    <w:basedOn w:val="DefaultParagraphFont"/>
    <w:link w:val="BalloonText"/>
    <w:rsid w:val="001D7D09"/>
    <w:rPr>
      <w:rFonts w:ascii="Tahoma" w:hAnsi="Tahoma" w:cs="Tahoma"/>
      <w:sz w:val="16"/>
      <w:szCs w:val="16"/>
    </w:rPr>
  </w:style>
  <w:style w:type="character" w:styleId="CommentReference">
    <w:name w:val="annotation reference"/>
    <w:basedOn w:val="DefaultParagraphFont"/>
    <w:rsid w:val="00A02516"/>
    <w:rPr>
      <w:sz w:val="16"/>
      <w:szCs w:val="16"/>
    </w:rPr>
  </w:style>
  <w:style w:type="paragraph" w:styleId="CommentText">
    <w:name w:val="annotation text"/>
    <w:basedOn w:val="Normal"/>
    <w:link w:val="CommentTextChar"/>
    <w:rsid w:val="00A02516"/>
    <w:rPr>
      <w:sz w:val="20"/>
      <w:szCs w:val="20"/>
    </w:rPr>
  </w:style>
  <w:style w:type="character" w:customStyle="1" w:styleId="CommentTextChar">
    <w:name w:val="Comment Text Char"/>
    <w:basedOn w:val="DefaultParagraphFont"/>
    <w:link w:val="CommentText"/>
    <w:rsid w:val="00A02516"/>
  </w:style>
  <w:style w:type="paragraph" w:styleId="CommentSubject">
    <w:name w:val="annotation subject"/>
    <w:basedOn w:val="CommentText"/>
    <w:next w:val="CommentText"/>
    <w:link w:val="CommentSubjectChar"/>
    <w:rsid w:val="00A02516"/>
    <w:rPr>
      <w:b/>
      <w:bCs/>
    </w:rPr>
  </w:style>
  <w:style w:type="character" w:customStyle="1" w:styleId="CommentSubjectChar">
    <w:name w:val="Comment Subject Char"/>
    <w:basedOn w:val="CommentTextChar"/>
    <w:link w:val="CommentSubject"/>
    <w:rsid w:val="00A02516"/>
    <w:rPr>
      <w:b/>
      <w:bCs/>
    </w:rPr>
  </w:style>
  <w:style w:type="paragraph" w:styleId="ListParagraph">
    <w:name w:val="List Paragraph"/>
    <w:basedOn w:val="Normal"/>
    <w:uiPriority w:val="34"/>
    <w:qFormat/>
    <w:rsid w:val="00E53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24799">
      <w:bodyDiv w:val="1"/>
      <w:marLeft w:val="0"/>
      <w:marRight w:val="0"/>
      <w:marTop w:val="0"/>
      <w:marBottom w:val="0"/>
      <w:divBdr>
        <w:top w:val="none" w:sz="0" w:space="0" w:color="auto"/>
        <w:left w:val="none" w:sz="0" w:space="0" w:color="auto"/>
        <w:bottom w:val="none" w:sz="0" w:space="0" w:color="auto"/>
        <w:right w:val="none" w:sz="0" w:space="0" w:color="auto"/>
      </w:divBdr>
    </w:div>
    <w:div w:id="169679988">
      <w:bodyDiv w:val="1"/>
      <w:marLeft w:val="0"/>
      <w:marRight w:val="0"/>
      <w:marTop w:val="0"/>
      <w:marBottom w:val="0"/>
      <w:divBdr>
        <w:top w:val="none" w:sz="0" w:space="0" w:color="auto"/>
        <w:left w:val="none" w:sz="0" w:space="0" w:color="auto"/>
        <w:bottom w:val="none" w:sz="0" w:space="0" w:color="auto"/>
        <w:right w:val="none" w:sz="0" w:space="0" w:color="auto"/>
      </w:divBdr>
    </w:div>
    <w:div w:id="182015250">
      <w:bodyDiv w:val="1"/>
      <w:marLeft w:val="0"/>
      <w:marRight w:val="0"/>
      <w:marTop w:val="0"/>
      <w:marBottom w:val="0"/>
      <w:divBdr>
        <w:top w:val="none" w:sz="0" w:space="0" w:color="auto"/>
        <w:left w:val="none" w:sz="0" w:space="0" w:color="auto"/>
        <w:bottom w:val="none" w:sz="0" w:space="0" w:color="auto"/>
        <w:right w:val="none" w:sz="0" w:space="0" w:color="auto"/>
      </w:divBdr>
      <w:divsChild>
        <w:div w:id="519783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527049">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1427464248">
      <w:bodyDiv w:val="1"/>
      <w:marLeft w:val="0"/>
      <w:marRight w:val="0"/>
      <w:marTop w:val="0"/>
      <w:marBottom w:val="0"/>
      <w:divBdr>
        <w:top w:val="none" w:sz="0" w:space="0" w:color="auto"/>
        <w:left w:val="none" w:sz="0" w:space="0" w:color="auto"/>
        <w:bottom w:val="none" w:sz="0" w:space="0" w:color="auto"/>
        <w:right w:val="none" w:sz="0" w:space="0" w:color="auto"/>
      </w:divBdr>
    </w:div>
    <w:div w:id="197166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259A8-9D2A-426F-B70E-138BAB93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1440</Words>
  <Characters>8216</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2013-08-22T18:43:00Z</dcterms:created>
  <dcterms:modified xsi:type="dcterms:W3CDTF">2013-08-22T18:43:00Z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