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719" w:rsidRDefault="00F32719" w:rsidP="00F32719">
      <w:pPr>
        <w:widowControl w:val="0"/>
        <w:jc w:val="center"/>
        <w:rPr>
          <w:b/>
        </w:rPr>
      </w:pPr>
      <w:bookmarkStart w:id="0" w:name="_GoBack"/>
      <w:bookmarkEnd w:id="0"/>
      <w:r w:rsidRPr="00000147">
        <w:rPr>
          <w:b/>
        </w:rPr>
        <w:t>CDC Model Performance Evaluation Program (MPEP) for</w:t>
      </w:r>
    </w:p>
    <w:p w:rsidR="00F32719" w:rsidRPr="00000147" w:rsidRDefault="00F32719" w:rsidP="00F32719">
      <w:pPr>
        <w:widowControl w:val="0"/>
        <w:jc w:val="center"/>
        <w:rPr>
          <w:b/>
        </w:rPr>
      </w:pPr>
      <w:r w:rsidRPr="00000147">
        <w:rPr>
          <w:b/>
        </w:rPr>
        <w:t xml:space="preserve"> </w:t>
      </w:r>
      <w:r w:rsidRPr="00000147">
        <w:rPr>
          <w:b/>
          <w:i/>
        </w:rPr>
        <w:t>Mycobacterium</w:t>
      </w:r>
      <w:r w:rsidRPr="00000147">
        <w:rPr>
          <w:b/>
        </w:rPr>
        <w:t xml:space="preserve"> </w:t>
      </w:r>
      <w:r w:rsidRPr="00000147">
        <w:rPr>
          <w:b/>
          <w:i/>
        </w:rPr>
        <w:t>tuberculosis</w:t>
      </w:r>
      <w:r w:rsidRPr="00000147">
        <w:rPr>
          <w:b/>
        </w:rPr>
        <w:t xml:space="preserve"> </w:t>
      </w:r>
      <w:r>
        <w:rPr>
          <w:b/>
        </w:rPr>
        <w:t xml:space="preserve">and </w:t>
      </w:r>
      <w:proofErr w:type="spellStart"/>
      <w:r>
        <w:rPr>
          <w:b/>
        </w:rPr>
        <w:t>Nontuberculous</w:t>
      </w:r>
      <w:proofErr w:type="spellEnd"/>
      <w:r>
        <w:rPr>
          <w:b/>
        </w:rPr>
        <w:t xml:space="preserve"> Mycobacteria </w:t>
      </w:r>
      <w:r w:rsidRPr="00000147">
        <w:rPr>
          <w:b/>
        </w:rPr>
        <w:t>Drug Susceptibility Testing</w:t>
      </w:r>
    </w:p>
    <w:p w:rsidR="00F32719" w:rsidRPr="00000147" w:rsidRDefault="00F32719" w:rsidP="00F32719">
      <w:pPr>
        <w:widowControl w:val="0"/>
        <w:jc w:val="center"/>
        <w:rPr>
          <w:b/>
          <w:kern w:val="2"/>
        </w:rPr>
      </w:pPr>
      <w:r w:rsidRPr="00000147">
        <w:rPr>
          <w:b/>
        </w:rPr>
        <w:t xml:space="preserve">(OMB Control No. </w:t>
      </w:r>
      <w:r w:rsidRPr="00000147">
        <w:rPr>
          <w:b/>
          <w:kern w:val="2"/>
        </w:rPr>
        <w:t>0920-0600)</w:t>
      </w:r>
    </w:p>
    <w:p w:rsidR="00F32719" w:rsidRDefault="00F32719" w:rsidP="00F32719">
      <w:pPr>
        <w:widowControl w:val="0"/>
        <w:jc w:val="center"/>
        <w:rPr>
          <w:b/>
        </w:rPr>
      </w:pPr>
    </w:p>
    <w:p w:rsidR="00CA705D" w:rsidRDefault="00CA705D" w:rsidP="00F32719">
      <w:pPr>
        <w:jc w:val="center"/>
        <w:rPr>
          <w:b/>
        </w:rPr>
      </w:pPr>
    </w:p>
    <w:p w:rsidR="00AC2BD4" w:rsidRDefault="00AC2BD4" w:rsidP="00F32719">
      <w:pPr>
        <w:jc w:val="center"/>
        <w:rPr>
          <w:b/>
        </w:rPr>
      </w:pPr>
    </w:p>
    <w:p w:rsidR="00AC2BD4" w:rsidRDefault="00AC2BD4" w:rsidP="00F32719">
      <w:pPr>
        <w:jc w:val="center"/>
        <w:rPr>
          <w:b/>
        </w:rPr>
      </w:pPr>
    </w:p>
    <w:p w:rsidR="00AC2BD4" w:rsidRDefault="00AC2BD4" w:rsidP="00F32719">
      <w:pPr>
        <w:jc w:val="center"/>
        <w:rPr>
          <w:b/>
        </w:rPr>
      </w:pPr>
    </w:p>
    <w:p w:rsidR="00CA705D" w:rsidRDefault="0023785C" w:rsidP="00F32719">
      <w:pPr>
        <w:jc w:val="center"/>
        <w:rPr>
          <w:b/>
        </w:rPr>
      </w:pPr>
      <w:r>
        <w:rPr>
          <w:b/>
        </w:rPr>
        <w:t>Supporting Statement A</w:t>
      </w:r>
    </w:p>
    <w:p w:rsidR="0023785C" w:rsidRDefault="0023785C" w:rsidP="00F32719">
      <w:pPr>
        <w:jc w:val="center"/>
        <w:rPr>
          <w:b/>
        </w:rPr>
      </w:pPr>
    </w:p>
    <w:p w:rsidR="0023785C" w:rsidRDefault="0023785C" w:rsidP="00F32719">
      <w:pPr>
        <w:jc w:val="center"/>
        <w:rPr>
          <w:b/>
        </w:rPr>
      </w:pPr>
    </w:p>
    <w:p w:rsidR="0023785C" w:rsidRDefault="0023785C" w:rsidP="00F32719">
      <w:pPr>
        <w:jc w:val="center"/>
        <w:rPr>
          <w:b/>
        </w:rPr>
      </w:pPr>
    </w:p>
    <w:p w:rsidR="00CA705D" w:rsidRDefault="00CA705D" w:rsidP="00F32719">
      <w:pPr>
        <w:jc w:val="center"/>
        <w:rPr>
          <w:b/>
        </w:rPr>
      </w:pPr>
    </w:p>
    <w:p w:rsidR="00F32719" w:rsidRPr="009F4B99" w:rsidRDefault="00F32719" w:rsidP="00F32719">
      <w:pPr>
        <w:jc w:val="center"/>
        <w:rPr>
          <w:b/>
        </w:rPr>
      </w:pPr>
      <w:r>
        <w:rPr>
          <w:b/>
        </w:rPr>
        <w:t xml:space="preserve">Request for </w:t>
      </w:r>
      <w:r w:rsidR="00E007BD">
        <w:rPr>
          <w:b/>
        </w:rPr>
        <w:t xml:space="preserve">Revision </w:t>
      </w:r>
      <w:r w:rsidRPr="009F4B99">
        <w:rPr>
          <w:b/>
        </w:rPr>
        <w:t xml:space="preserve"> </w:t>
      </w:r>
    </w:p>
    <w:p w:rsidR="00621147" w:rsidRDefault="00886EC5" w:rsidP="00F32719">
      <w:pPr>
        <w:widowControl w:val="0"/>
        <w:jc w:val="center"/>
        <w:rPr>
          <w:b/>
        </w:rPr>
      </w:pPr>
      <w:r>
        <w:rPr>
          <w:b/>
        </w:rPr>
        <w:t>April 2, 2013</w:t>
      </w:r>
    </w:p>
    <w:p w:rsidR="00F32719" w:rsidRDefault="00F32719" w:rsidP="00F32719">
      <w:pPr>
        <w:widowControl w:val="0"/>
      </w:pPr>
    </w:p>
    <w:p w:rsidR="00F32719" w:rsidRDefault="00F32719" w:rsidP="00F32719">
      <w:pPr>
        <w:widowControl w:val="0"/>
        <w:jc w:val="center"/>
        <w:rPr>
          <w:b/>
        </w:rPr>
      </w:pPr>
    </w:p>
    <w:p w:rsidR="00F32719" w:rsidRDefault="00F32719" w:rsidP="00F32719">
      <w:pPr>
        <w:widowControl w:val="0"/>
        <w:jc w:val="center"/>
        <w:rPr>
          <w:b/>
        </w:rPr>
      </w:pPr>
    </w:p>
    <w:p w:rsidR="00F32719" w:rsidRDefault="00F32719" w:rsidP="00F32719">
      <w:pPr>
        <w:widowControl w:val="0"/>
      </w:pPr>
    </w:p>
    <w:p w:rsidR="00F32719" w:rsidRPr="00CF15D8" w:rsidRDefault="00F32719" w:rsidP="00F32719">
      <w:pPr>
        <w:widowControl w:val="0"/>
      </w:pPr>
    </w:p>
    <w:p w:rsidR="00F32719" w:rsidRPr="00000147" w:rsidRDefault="00F32719" w:rsidP="00CA705D">
      <w:pPr>
        <w:widowControl w:val="0"/>
        <w:jc w:val="center"/>
        <w:rPr>
          <w:b/>
        </w:rPr>
      </w:pPr>
      <w:r w:rsidRPr="00000147">
        <w:rPr>
          <w:b/>
        </w:rPr>
        <w:t>Contact:</w:t>
      </w:r>
    </w:p>
    <w:p w:rsidR="00F32719" w:rsidRDefault="00F32719" w:rsidP="00CA705D">
      <w:pPr>
        <w:jc w:val="center"/>
        <w:outlineLvl w:val="0"/>
        <w:rPr>
          <w:b/>
        </w:rPr>
      </w:pPr>
      <w:r>
        <w:rPr>
          <w:b/>
        </w:rPr>
        <w:t xml:space="preserve">Mitchell A. </w:t>
      </w:r>
      <w:proofErr w:type="spellStart"/>
      <w:r>
        <w:rPr>
          <w:b/>
        </w:rPr>
        <w:t>Yakrus</w:t>
      </w:r>
      <w:proofErr w:type="spellEnd"/>
    </w:p>
    <w:p w:rsidR="00B425C7" w:rsidRDefault="00B425C7" w:rsidP="00CA705D">
      <w:pPr>
        <w:jc w:val="center"/>
        <w:outlineLvl w:val="0"/>
        <w:rPr>
          <w:b/>
        </w:rPr>
      </w:pPr>
      <w:r>
        <w:rPr>
          <w:b/>
        </w:rPr>
        <w:t>Project Officer</w:t>
      </w:r>
    </w:p>
    <w:p w:rsidR="00F32719" w:rsidRDefault="00F32719" w:rsidP="00CA705D">
      <w:pPr>
        <w:jc w:val="center"/>
        <w:outlineLvl w:val="0"/>
        <w:rPr>
          <w:b/>
        </w:rPr>
      </w:pPr>
      <w:r>
        <w:rPr>
          <w:b/>
        </w:rPr>
        <w:t>Laboratory Branch</w:t>
      </w:r>
    </w:p>
    <w:p w:rsidR="00F32719" w:rsidRDefault="00F32719" w:rsidP="00CA705D">
      <w:pPr>
        <w:jc w:val="center"/>
        <w:outlineLvl w:val="0"/>
        <w:rPr>
          <w:b/>
        </w:rPr>
      </w:pPr>
      <w:r>
        <w:rPr>
          <w:b/>
        </w:rPr>
        <w:t>Division of Tuberculosis Elimination</w:t>
      </w:r>
    </w:p>
    <w:p w:rsidR="00F32719" w:rsidRDefault="00F32719" w:rsidP="00CA705D">
      <w:pPr>
        <w:jc w:val="center"/>
        <w:outlineLvl w:val="0"/>
        <w:rPr>
          <w:b/>
        </w:rPr>
      </w:pPr>
      <w:r>
        <w:rPr>
          <w:rStyle w:val="Strong"/>
        </w:rPr>
        <w:t>National Center for HIV/AIDS, Viral Hepatitis, STD, and TB Prevention</w:t>
      </w:r>
    </w:p>
    <w:p w:rsidR="00F32719" w:rsidRDefault="00F32719" w:rsidP="00CA705D">
      <w:pPr>
        <w:jc w:val="center"/>
        <w:outlineLvl w:val="0"/>
        <w:rPr>
          <w:b/>
        </w:rPr>
      </w:pPr>
      <w:r>
        <w:rPr>
          <w:b/>
        </w:rPr>
        <w:t>Centers for Disease Control and Prevention</w:t>
      </w:r>
    </w:p>
    <w:p w:rsidR="00F32719" w:rsidRDefault="00F32719" w:rsidP="00CA705D">
      <w:pPr>
        <w:jc w:val="center"/>
        <w:outlineLvl w:val="0"/>
        <w:rPr>
          <w:b/>
        </w:rPr>
      </w:pPr>
      <w:r>
        <w:rPr>
          <w:b/>
        </w:rPr>
        <w:t>1600 Clifton Road, N.E., MS F08</w:t>
      </w:r>
    </w:p>
    <w:p w:rsidR="00F32719" w:rsidRDefault="00F32719" w:rsidP="00CA705D">
      <w:pPr>
        <w:jc w:val="center"/>
        <w:outlineLvl w:val="0"/>
        <w:rPr>
          <w:b/>
        </w:rPr>
      </w:pPr>
      <w:r>
        <w:rPr>
          <w:b/>
        </w:rPr>
        <w:t>Atlanta, Georgia 30333</w:t>
      </w:r>
    </w:p>
    <w:p w:rsidR="00F32719" w:rsidRDefault="00F32719" w:rsidP="00CA705D">
      <w:pPr>
        <w:jc w:val="center"/>
        <w:outlineLvl w:val="0"/>
        <w:rPr>
          <w:b/>
        </w:rPr>
      </w:pPr>
      <w:r>
        <w:rPr>
          <w:b/>
        </w:rPr>
        <w:t>Phone: (404) 639-1288</w:t>
      </w:r>
    </w:p>
    <w:p w:rsidR="00F32719" w:rsidRDefault="00F32719" w:rsidP="00CA705D">
      <w:pPr>
        <w:jc w:val="center"/>
        <w:outlineLvl w:val="0"/>
        <w:rPr>
          <w:b/>
        </w:rPr>
      </w:pPr>
      <w:r>
        <w:rPr>
          <w:b/>
        </w:rPr>
        <w:t>Fax: (404) 639-1287</w:t>
      </w:r>
    </w:p>
    <w:p w:rsidR="00F32719" w:rsidRDefault="00F32719" w:rsidP="00CA705D">
      <w:pPr>
        <w:jc w:val="center"/>
        <w:outlineLvl w:val="0"/>
        <w:rPr>
          <w:b/>
        </w:rPr>
      </w:pPr>
      <w:r>
        <w:rPr>
          <w:b/>
        </w:rPr>
        <w:t xml:space="preserve">Email: </w:t>
      </w:r>
      <w:hyperlink r:id="rId8" w:history="1">
        <w:r w:rsidRPr="000B631F">
          <w:rPr>
            <w:rStyle w:val="Hyperlink"/>
            <w:b/>
          </w:rPr>
          <w:t>may2@cdc.gov</w:t>
        </w:r>
      </w:hyperlink>
    </w:p>
    <w:p w:rsidR="00F32719" w:rsidRDefault="00F32719" w:rsidP="00F32719">
      <w:pPr>
        <w:jc w:val="center"/>
        <w:rPr>
          <w:b/>
        </w:rPr>
      </w:pPr>
    </w:p>
    <w:p w:rsidR="00CF15D8" w:rsidRDefault="00CF15D8" w:rsidP="008F23BA">
      <w:pPr>
        <w:widowControl w:val="0"/>
        <w:rPr>
          <w:rFonts w:ascii="Arial" w:hAnsi="Arial" w:cs="Arial"/>
          <w:b/>
        </w:rPr>
      </w:pPr>
    </w:p>
    <w:p w:rsidR="00F32719" w:rsidRDefault="00F32719" w:rsidP="008F23BA">
      <w:pPr>
        <w:widowControl w:val="0"/>
        <w:rPr>
          <w:rFonts w:ascii="Arial" w:hAnsi="Arial" w:cs="Arial"/>
          <w:b/>
        </w:rPr>
      </w:pPr>
    </w:p>
    <w:p w:rsidR="00F32719" w:rsidRDefault="00F32719" w:rsidP="008F23BA">
      <w:pPr>
        <w:widowControl w:val="0"/>
        <w:rPr>
          <w:rFonts w:ascii="Arial" w:hAnsi="Arial" w:cs="Arial"/>
          <w:b/>
        </w:rPr>
      </w:pPr>
    </w:p>
    <w:p w:rsidR="00F32719" w:rsidRDefault="00F32719"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CF15D8" w:rsidRDefault="00CF15D8" w:rsidP="008F23BA">
      <w:pPr>
        <w:widowControl w:val="0"/>
        <w:rPr>
          <w:rFonts w:ascii="Arial" w:hAnsi="Arial" w:cs="Arial"/>
          <w:b/>
        </w:rPr>
      </w:pPr>
    </w:p>
    <w:p w:rsidR="00AC2BD4" w:rsidRDefault="00AC2BD4" w:rsidP="00F32719">
      <w:pPr>
        <w:widowControl w:val="0"/>
        <w:jc w:val="center"/>
      </w:pPr>
    </w:p>
    <w:p w:rsidR="00F32719" w:rsidRPr="00CA705D" w:rsidRDefault="00F32719" w:rsidP="00F32719">
      <w:pPr>
        <w:widowControl w:val="0"/>
        <w:jc w:val="center"/>
      </w:pPr>
      <w:r w:rsidRPr="00CA705D">
        <w:lastRenderedPageBreak/>
        <w:t>CDC Model Performance Evaluation Program (MPEP) for</w:t>
      </w:r>
    </w:p>
    <w:p w:rsidR="00F32719" w:rsidRPr="00CA705D" w:rsidRDefault="00F32719" w:rsidP="00F32719">
      <w:pPr>
        <w:widowControl w:val="0"/>
        <w:jc w:val="center"/>
      </w:pPr>
      <w:r w:rsidRPr="00CA705D">
        <w:t xml:space="preserve"> </w:t>
      </w:r>
      <w:r w:rsidRPr="00CA705D">
        <w:rPr>
          <w:i/>
        </w:rPr>
        <w:t>Mycobacterium</w:t>
      </w:r>
      <w:r w:rsidRPr="00CA705D">
        <w:t xml:space="preserve"> </w:t>
      </w:r>
      <w:r w:rsidRPr="00CA705D">
        <w:rPr>
          <w:i/>
        </w:rPr>
        <w:t>tuberculosis</w:t>
      </w:r>
      <w:r w:rsidRPr="00CA705D">
        <w:t xml:space="preserve"> and </w:t>
      </w:r>
      <w:proofErr w:type="spellStart"/>
      <w:r w:rsidRPr="00CA705D">
        <w:t>Nontuberculous</w:t>
      </w:r>
      <w:proofErr w:type="spellEnd"/>
      <w:r w:rsidRPr="00CA705D">
        <w:t xml:space="preserve"> Mycobacteria Drug Susceptibility Testing</w:t>
      </w:r>
    </w:p>
    <w:p w:rsidR="00F32719" w:rsidRPr="00CA705D" w:rsidRDefault="00F32719" w:rsidP="00F32719">
      <w:pPr>
        <w:widowControl w:val="0"/>
        <w:jc w:val="center"/>
        <w:rPr>
          <w:kern w:val="2"/>
        </w:rPr>
      </w:pPr>
      <w:r w:rsidRPr="00CA705D">
        <w:t xml:space="preserve">(OMB Control No. </w:t>
      </w:r>
      <w:r w:rsidRPr="00CA705D">
        <w:rPr>
          <w:kern w:val="2"/>
        </w:rPr>
        <w:t>0920-0600)</w:t>
      </w:r>
    </w:p>
    <w:p w:rsidR="00F32719" w:rsidRDefault="00F32719" w:rsidP="00F32719">
      <w:pPr>
        <w:widowControl w:val="0"/>
        <w:jc w:val="center"/>
        <w:rPr>
          <w:b/>
        </w:rPr>
      </w:pPr>
    </w:p>
    <w:p w:rsidR="00CA705D" w:rsidRDefault="00CA705D" w:rsidP="00F32719">
      <w:pPr>
        <w:jc w:val="center"/>
        <w:rPr>
          <w:b/>
        </w:rPr>
      </w:pPr>
    </w:p>
    <w:p w:rsidR="00CA705D" w:rsidRPr="00CA705D" w:rsidRDefault="00CA705D" w:rsidP="00CA705D">
      <w:pPr>
        <w:jc w:val="center"/>
      </w:pPr>
      <w:r w:rsidRPr="00CA705D">
        <w:t>Table of Contents</w:t>
      </w:r>
    </w:p>
    <w:p w:rsidR="00CA705D" w:rsidRPr="00CA705D" w:rsidRDefault="00CA705D" w:rsidP="00CA705D">
      <w:r w:rsidRPr="00CA705D">
        <w:t>Section</w:t>
      </w:r>
      <w:r w:rsidRPr="00CA705D">
        <w:tab/>
      </w:r>
    </w:p>
    <w:p w:rsidR="00CA705D" w:rsidRPr="00CA705D" w:rsidRDefault="00CA705D" w:rsidP="00CA705D">
      <w:r w:rsidRPr="00CA705D">
        <w:t>A.</w:t>
      </w:r>
      <w:r w:rsidRPr="00CA705D">
        <w:tab/>
        <w:t>Justification</w:t>
      </w:r>
    </w:p>
    <w:p w:rsidR="00CA705D" w:rsidRPr="00CA705D" w:rsidRDefault="00CA705D" w:rsidP="00CA705D">
      <w:pPr>
        <w:numPr>
          <w:ilvl w:val="0"/>
          <w:numId w:val="8"/>
        </w:numPr>
      </w:pPr>
      <w:r w:rsidRPr="00CA705D">
        <w:t xml:space="preserve">Circumstances Making the Collection of Information Necessary </w:t>
      </w:r>
    </w:p>
    <w:p w:rsidR="00CA705D" w:rsidRPr="00CA705D" w:rsidRDefault="00CA705D" w:rsidP="00CA705D">
      <w:pPr>
        <w:numPr>
          <w:ilvl w:val="0"/>
          <w:numId w:val="8"/>
        </w:numPr>
      </w:pPr>
      <w:r w:rsidRPr="00CA705D">
        <w:t xml:space="preserve">Purpose and Use of the Information Collection </w:t>
      </w:r>
    </w:p>
    <w:p w:rsidR="00CA705D" w:rsidRPr="00CA705D" w:rsidRDefault="00CA705D" w:rsidP="00CA705D">
      <w:pPr>
        <w:numPr>
          <w:ilvl w:val="0"/>
          <w:numId w:val="8"/>
        </w:numPr>
      </w:pPr>
      <w:r w:rsidRPr="00CA705D">
        <w:t>Use of Improved Information Technology and Burden Reduction</w:t>
      </w:r>
    </w:p>
    <w:p w:rsidR="00CA705D" w:rsidRPr="00CA705D" w:rsidRDefault="00CA705D" w:rsidP="00CA705D">
      <w:pPr>
        <w:numPr>
          <w:ilvl w:val="0"/>
          <w:numId w:val="8"/>
        </w:numPr>
      </w:pPr>
      <w:r w:rsidRPr="00CA705D">
        <w:t xml:space="preserve">Efforts to Identify Duplication and Use of Similar Information </w:t>
      </w:r>
    </w:p>
    <w:p w:rsidR="00CA705D" w:rsidRPr="00CA705D" w:rsidRDefault="00CA705D" w:rsidP="00CA705D">
      <w:pPr>
        <w:numPr>
          <w:ilvl w:val="0"/>
          <w:numId w:val="8"/>
        </w:numPr>
      </w:pPr>
      <w:r w:rsidRPr="00CA705D">
        <w:t>Impact on Small Businesses or Other Small Entities</w:t>
      </w:r>
    </w:p>
    <w:p w:rsidR="00CA705D" w:rsidRPr="00CA705D" w:rsidRDefault="00CA705D" w:rsidP="00CA705D">
      <w:pPr>
        <w:numPr>
          <w:ilvl w:val="0"/>
          <w:numId w:val="8"/>
        </w:numPr>
      </w:pPr>
      <w:r w:rsidRPr="00CA705D">
        <w:t xml:space="preserve">Consequences of Collecting the Information Less frequently </w:t>
      </w:r>
    </w:p>
    <w:p w:rsidR="00CA705D" w:rsidRPr="00CA705D" w:rsidRDefault="00CA705D" w:rsidP="00CA705D">
      <w:pPr>
        <w:numPr>
          <w:ilvl w:val="0"/>
          <w:numId w:val="8"/>
        </w:numPr>
      </w:pPr>
      <w:r w:rsidRPr="00CA705D">
        <w:t xml:space="preserve">Special Circumstances Relating to the Guidelines of 5 CFR 1320.5 </w:t>
      </w:r>
    </w:p>
    <w:p w:rsidR="00CA705D" w:rsidRPr="00CA705D" w:rsidRDefault="00CA705D" w:rsidP="00CA705D">
      <w:pPr>
        <w:numPr>
          <w:ilvl w:val="0"/>
          <w:numId w:val="8"/>
        </w:numPr>
      </w:pPr>
      <w:r w:rsidRPr="00CA705D">
        <w:t xml:space="preserve">Comments in Response to the Federal Register Notice and Efforts to Consult Outside the Agency </w:t>
      </w:r>
    </w:p>
    <w:p w:rsidR="00CA705D" w:rsidRPr="00CA705D" w:rsidRDefault="00CA705D" w:rsidP="00CA705D">
      <w:pPr>
        <w:numPr>
          <w:ilvl w:val="0"/>
          <w:numId w:val="8"/>
        </w:numPr>
      </w:pPr>
      <w:r w:rsidRPr="00CA705D">
        <w:t xml:space="preserve">Explanation of Any Payment or Gift to Respondents </w:t>
      </w:r>
    </w:p>
    <w:p w:rsidR="00CA705D" w:rsidRPr="00CA705D" w:rsidRDefault="00CA705D" w:rsidP="00CA705D">
      <w:pPr>
        <w:numPr>
          <w:ilvl w:val="0"/>
          <w:numId w:val="8"/>
        </w:numPr>
        <w:tabs>
          <w:tab w:val="clear" w:pos="720"/>
          <w:tab w:val="num" w:pos="360"/>
        </w:tabs>
      </w:pPr>
      <w:r w:rsidRPr="00CA705D">
        <w:t>Assurance of Confidentiality Provided to Respondents</w:t>
      </w:r>
    </w:p>
    <w:p w:rsidR="00CA705D" w:rsidRPr="00CA705D" w:rsidRDefault="00CA705D" w:rsidP="00CA705D">
      <w:pPr>
        <w:numPr>
          <w:ilvl w:val="0"/>
          <w:numId w:val="8"/>
        </w:numPr>
      </w:pPr>
      <w:r w:rsidRPr="00CA705D">
        <w:t xml:space="preserve">Justification for Sensitive Questions </w:t>
      </w:r>
    </w:p>
    <w:p w:rsidR="00CA705D" w:rsidRPr="00CA705D" w:rsidRDefault="00CA705D" w:rsidP="00CA705D">
      <w:pPr>
        <w:numPr>
          <w:ilvl w:val="0"/>
          <w:numId w:val="8"/>
        </w:numPr>
      </w:pPr>
      <w:r w:rsidRPr="00CA705D">
        <w:t xml:space="preserve">Estimates of Annualized Burden Hours and Costs </w:t>
      </w:r>
    </w:p>
    <w:p w:rsidR="00CA705D" w:rsidRPr="00CA705D" w:rsidRDefault="00CA705D" w:rsidP="00CA705D">
      <w:pPr>
        <w:numPr>
          <w:ilvl w:val="0"/>
          <w:numId w:val="8"/>
        </w:numPr>
      </w:pPr>
      <w:r w:rsidRPr="00CA705D">
        <w:t xml:space="preserve">Estimates of Other Total Annual Cost Burden to Respondents and Record Keepers </w:t>
      </w:r>
    </w:p>
    <w:p w:rsidR="00CA705D" w:rsidRPr="00CA705D" w:rsidRDefault="00CA705D" w:rsidP="00CA705D">
      <w:pPr>
        <w:numPr>
          <w:ilvl w:val="0"/>
          <w:numId w:val="8"/>
        </w:numPr>
      </w:pPr>
      <w:r w:rsidRPr="00CA705D">
        <w:t xml:space="preserve">Annualized Cost to the Government </w:t>
      </w:r>
    </w:p>
    <w:p w:rsidR="00CA705D" w:rsidRPr="00CA705D" w:rsidRDefault="00CA705D" w:rsidP="00CA705D">
      <w:pPr>
        <w:numPr>
          <w:ilvl w:val="0"/>
          <w:numId w:val="8"/>
        </w:numPr>
      </w:pPr>
      <w:r w:rsidRPr="00CA705D">
        <w:t xml:space="preserve">Explanation for Program Changes or Adjustments </w:t>
      </w:r>
    </w:p>
    <w:p w:rsidR="00CA705D" w:rsidRPr="00CA705D" w:rsidRDefault="00CA705D" w:rsidP="00CA705D">
      <w:pPr>
        <w:numPr>
          <w:ilvl w:val="0"/>
          <w:numId w:val="8"/>
        </w:numPr>
      </w:pPr>
      <w:r w:rsidRPr="00CA705D">
        <w:t xml:space="preserve">Plans for Tabulation and Publication and Project Time Schedule </w:t>
      </w:r>
    </w:p>
    <w:p w:rsidR="00CA705D" w:rsidRPr="00CA705D" w:rsidRDefault="00CA705D" w:rsidP="00CA705D">
      <w:pPr>
        <w:numPr>
          <w:ilvl w:val="0"/>
          <w:numId w:val="8"/>
        </w:numPr>
      </w:pPr>
      <w:r w:rsidRPr="00CA705D">
        <w:t>Reason(s) Display of OMB Expiration Date is Inappropriate</w:t>
      </w:r>
    </w:p>
    <w:p w:rsidR="00CA705D" w:rsidRPr="00CA705D" w:rsidRDefault="00CA705D" w:rsidP="00CA705D">
      <w:pPr>
        <w:numPr>
          <w:ilvl w:val="0"/>
          <w:numId w:val="8"/>
        </w:numPr>
      </w:pPr>
      <w:r w:rsidRPr="00CA705D">
        <w:t xml:space="preserve">Exceptions to Certification for Paperwork Reduction Act Submissions </w:t>
      </w:r>
      <w:r w:rsidRPr="00CA705D">
        <w:fldChar w:fldCharType="begin"/>
      </w:r>
      <w:r w:rsidRPr="00CA705D">
        <w:instrText xml:space="preserve"> TOC \o "1-2" \h \z \u </w:instrText>
      </w:r>
      <w:r w:rsidRPr="00CA705D">
        <w:fldChar w:fldCharType="separate"/>
      </w:r>
    </w:p>
    <w:p w:rsidR="006340B2" w:rsidRDefault="00CA705D" w:rsidP="006340B2">
      <w:pPr>
        <w:rPr>
          <w:b/>
          <w:u w:val="single"/>
        </w:rPr>
      </w:pPr>
      <w:r w:rsidRPr="00CA705D">
        <w:fldChar w:fldCharType="end"/>
      </w:r>
      <w:r w:rsidR="006340B2" w:rsidRPr="006340B2">
        <w:rPr>
          <w:b/>
          <w:u w:val="single"/>
        </w:rPr>
        <w:t xml:space="preserve"> </w:t>
      </w:r>
    </w:p>
    <w:p w:rsidR="006340B2" w:rsidRPr="006340B2" w:rsidRDefault="006340B2" w:rsidP="006340B2">
      <w:r w:rsidRPr="006340B2">
        <w:rPr>
          <w:u w:val="single"/>
        </w:rPr>
        <w:t>B. Collections of Information Employing Statistical Methods</w:t>
      </w:r>
    </w:p>
    <w:p w:rsidR="00CA705D" w:rsidRPr="00CA705D" w:rsidRDefault="00CA705D" w:rsidP="00CA705D">
      <w:pPr>
        <w:rPr>
          <w:b/>
          <w:bCs/>
        </w:rPr>
      </w:pPr>
    </w:p>
    <w:p w:rsidR="00CA705D" w:rsidRDefault="00CA705D" w:rsidP="00CA705D">
      <w:pPr>
        <w:rPr>
          <w:b/>
        </w:rPr>
      </w:pPr>
      <w:r>
        <w:rPr>
          <w:b/>
        </w:rPr>
        <w:t>Attachments</w:t>
      </w:r>
    </w:p>
    <w:p w:rsidR="005F67E5" w:rsidRPr="00CA705D" w:rsidRDefault="005F67E5" w:rsidP="00CA705D">
      <w:pPr>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290"/>
      </w:tblGrid>
      <w:tr w:rsidR="00CA705D" w:rsidTr="005F67E5">
        <w:tc>
          <w:tcPr>
            <w:tcW w:w="648" w:type="dxa"/>
          </w:tcPr>
          <w:p w:rsidR="00CA705D" w:rsidRPr="00CA705D" w:rsidRDefault="005A53B6" w:rsidP="00CA705D">
            <w:pPr>
              <w:jc w:val="center"/>
            </w:pPr>
            <w:r>
              <w:t>A</w:t>
            </w:r>
          </w:p>
        </w:tc>
        <w:tc>
          <w:tcPr>
            <w:tcW w:w="7290" w:type="dxa"/>
          </w:tcPr>
          <w:p w:rsidR="00CA705D" w:rsidRPr="00CA705D" w:rsidRDefault="005A53B6" w:rsidP="00CA705D">
            <w:r w:rsidRPr="005A53B6">
              <w:t>Authorizing Legislation</w:t>
            </w:r>
          </w:p>
        </w:tc>
      </w:tr>
      <w:tr w:rsidR="00CA705D" w:rsidTr="005F67E5">
        <w:tc>
          <w:tcPr>
            <w:tcW w:w="648" w:type="dxa"/>
          </w:tcPr>
          <w:p w:rsidR="00CA705D" w:rsidRPr="00CA705D" w:rsidRDefault="005A53B6" w:rsidP="00CA705D">
            <w:pPr>
              <w:jc w:val="center"/>
            </w:pPr>
            <w:r>
              <w:t>B</w:t>
            </w:r>
          </w:p>
        </w:tc>
        <w:tc>
          <w:tcPr>
            <w:tcW w:w="7290" w:type="dxa"/>
          </w:tcPr>
          <w:p w:rsidR="00CA705D" w:rsidRPr="00CA705D" w:rsidRDefault="005A53B6" w:rsidP="00CA705D">
            <w:r>
              <w:t>60 Day Federal Register Notice</w:t>
            </w:r>
          </w:p>
        </w:tc>
      </w:tr>
      <w:tr w:rsidR="00CA705D" w:rsidTr="005F67E5">
        <w:tc>
          <w:tcPr>
            <w:tcW w:w="648" w:type="dxa"/>
          </w:tcPr>
          <w:p w:rsidR="00CA705D" w:rsidRPr="00CA705D" w:rsidRDefault="005A53B6" w:rsidP="00CA705D">
            <w:pPr>
              <w:jc w:val="center"/>
            </w:pPr>
            <w:r>
              <w:t>C</w:t>
            </w:r>
          </w:p>
        </w:tc>
        <w:tc>
          <w:tcPr>
            <w:tcW w:w="7290" w:type="dxa"/>
          </w:tcPr>
          <w:p w:rsidR="00CA705D" w:rsidRPr="00CA705D" w:rsidRDefault="005A53B6" w:rsidP="00CA705D">
            <w:r>
              <w:t>Explanation of Changes</w:t>
            </w:r>
          </w:p>
        </w:tc>
      </w:tr>
      <w:tr w:rsidR="005A53B6" w:rsidTr="005F67E5">
        <w:tc>
          <w:tcPr>
            <w:tcW w:w="648" w:type="dxa"/>
          </w:tcPr>
          <w:p w:rsidR="005A53B6" w:rsidRDefault="005A53B6" w:rsidP="00CA705D">
            <w:pPr>
              <w:jc w:val="center"/>
            </w:pPr>
            <w:r>
              <w:t>D</w:t>
            </w:r>
          </w:p>
        </w:tc>
        <w:tc>
          <w:tcPr>
            <w:tcW w:w="7290" w:type="dxa"/>
          </w:tcPr>
          <w:p w:rsidR="005A53B6" w:rsidRPr="00CA705D" w:rsidRDefault="00B67B12" w:rsidP="00CA705D">
            <w:r w:rsidRPr="00B67B12">
              <w:t>Participant Biosafety Compliance Letter</w:t>
            </w:r>
          </w:p>
        </w:tc>
      </w:tr>
      <w:tr w:rsidR="005A53B6" w:rsidTr="005F67E5">
        <w:tc>
          <w:tcPr>
            <w:tcW w:w="648" w:type="dxa"/>
          </w:tcPr>
          <w:p w:rsidR="005A53B6" w:rsidRDefault="005A53B6" w:rsidP="00CA705D">
            <w:pPr>
              <w:jc w:val="center"/>
            </w:pPr>
            <w:r>
              <w:t>E</w:t>
            </w:r>
          </w:p>
        </w:tc>
        <w:tc>
          <w:tcPr>
            <w:tcW w:w="7290" w:type="dxa"/>
          </w:tcPr>
          <w:p w:rsidR="005A53B6" w:rsidRPr="00CA705D" w:rsidRDefault="005A53B6" w:rsidP="00302E2A">
            <w:proofErr w:type="spellStart"/>
            <w:r>
              <w:t>Preshipment</w:t>
            </w:r>
            <w:proofErr w:type="spellEnd"/>
            <w:r w:rsidR="00302E2A">
              <w:t xml:space="preserve"> Email </w:t>
            </w:r>
            <w:r w:rsidR="00302E2A" w:rsidRPr="00302E2A">
              <w:t>page 1</w:t>
            </w:r>
          </w:p>
        </w:tc>
      </w:tr>
      <w:tr w:rsidR="005A53B6" w:rsidTr="005F67E5">
        <w:tc>
          <w:tcPr>
            <w:tcW w:w="648" w:type="dxa"/>
          </w:tcPr>
          <w:p w:rsidR="005A53B6" w:rsidRDefault="005A53B6" w:rsidP="00CA705D">
            <w:pPr>
              <w:jc w:val="center"/>
            </w:pPr>
            <w:r>
              <w:t>F</w:t>
            </w:r>
          </w:p>
        </w:tc>
        <w:tc>
          <w:tcPr>
            <w:tcW w:w="7290" w:type="dxa"/>
          </w:tcPr>
          <w:p w:rsidR="005A53B6" w:rsidRPr="00CA705D" w:rsidRDefault="005A53B6" w:rsidP="00CA705D">
            <w:r>
              <w:t>Instructions for Participants</w:t>
            </w:r>
          </w:p>
        </w:tc>
      </w:tr>
      <w:tr w:rsidR="005A53B6" w:rsidTr="005F67E5">
        <w:tc>
          <w:tcPr>
            <w:tcW w:w="648" w:type="dxa"/>
          </w:tcPr>
          <w:p w:rsidR="005A53B6" w:rsidRDefault="005A53B6" w:rsidP="00CA705D">
            <w:pPr>
              <w:jc w:val="center"/>
            </w:pPr>
            <w:r>
              <w:t>G</w:t>
            </w:r>
          </w:p>
        </w:tc>
        <w:tc>
          <w:tcPr>
            <w:tcW w:w="7290" w:type="dxa"/>
          </w:tcPr>
          <w:p w:rsidR="005A53B6" w:rsidRDefault="005A53B6" w:rsidP="00CA705D">
            <w:r>
              <w:t xml:space="preserve">MPEP M. </w:t>
            </w:r>
            <w:r w:rsidRPr="005A53B6">
              <w:t>tuberculosis worksheet</w:t>
            </w:r>
          </w:p>
        </w:tc>
      </w:tr>
      <w:tr w:rsidR="005A53B6" w:rsidTr="005F67E5">
        <w:tc>
          <w:tcPr>
            <w:tcW w:w="648" w:type="dxa"/>
          </w:tcPr>
          <w:p w:rsidR="005A53B6" w:rsidRDefault="005A53B6" w:rsidP="00CA705D">
            <w:pPr>
              <w:jc w:val="center"/>
            </w:pPr>
            <w:r>
              <w:t>H</w:t>
            </w:r>
          </w:p>
        </w:tc>
        <w:tc>
          <w:tcPr>
            <w:tcW w:w="7290" w:type="dxa"/>
          </w:tcPr>
          <w:p w:rsidR="005A53B6" w:rsidRDefault="005A53B6" w:rsidP="00CA705D">
            <w:r>
              <w:t>Survey Instrument Web-shots</w:t>
            </w:r>
          </w:p>
        </w:tc>
      </w:tr>
      <w:tr w:rsidR="005A53B6" w:rsidTr="005F67E5">
        <w:tc>
          <w:tcPr>
            <w:tcW w:w="648" w:type="dxa"/>
          </w:tcPr>
          <w:p w:rsidR="005A53B6" w:rsidRDefault="005A53B6" w:rsidP="00CA705D">
            <w:pPr>
              <w:jc w:val="center"/>
            </w:pPr>
            <w:r>
              <w:t>I</w:t>
            </w:r>
          </w:p>
        </w:tc>
        <w:tc>
          <w:tcPr>
            <w:tcW w:w="7290" w:type="dxa"/>
          </w:tcPr>
          <w:p w:rsidR="005A53B6" w:rsidRDefault="005A53B6" w:rsidP="00CA705D">
            <w:r>
              <w:t>Reminder Email</w:t>
            </w:r>
          </w:p>
        </w:tc>
      </w:tr>
      <w:tr w:rsidR="005A53B6" w:rsidTr="005F67E5">
        <w:tc>
          <w:tcPr>
            <w:tcW w:w="648" w:type="dxa"/>
          </w:tcPr>
          <w:p w:rsidR="005A53B6" w:rsidRDefault="005A53B6" w:rsidP="00CA705D">
            <w:pPr>
              <w:jc w:val="center"/>
            </w:pPr>
            <w:r>
              <w:t>J</w:t>
            </w:r>
          </w:p>
        </w:tc>
        <w:tc>
          <w:tcPr>
            <w:tcW w:w="7290" w:type="dxa"/>
          </w:tcPr>
          <w:p w:rsidR="005A53B6" w:rsidRDefault="005A53B6" w:rsidP="00CA705D">
            <w:r>
              <w:t>Reminder Telephone Script</w:t>
            </w:r>
          </w:p>
        </w:tc>
      </w:tr>
      <w:tr w:rsidR="005A53B6" w:rsidTr="005F67E5">
        <w:tc>
          <w:tcPr>
            <w:tcW w:w="648" w:type="dxa"/>
          </w:tcPr>
          <w:p w:rsidR="005A53B6" w:rsidRDefault="005A53B6" w:rsidP="00CA705D">
            <w:pPr>
              <w:jc w:val="center"/>
            </w:pPr>
            <w:r>
              <w:t>K</w:t>
            </w:r>
          </w:p>
        </w:tc>
        <w:tc>
          <w:tcPr>
            <w:tcW w:w="7290" w:type="dxa"/>
          </w:tcPr>
          <w:p w:rsidR="005A53B6" w:rsidRDefault="005A53B6" w:rsidP="00CA705D">
            <w:r>
              <w:t>Aggregate Report Letter</w:t>
            </w:r>
          </w:p>
        </w:tc>
      </w:tr>
      <w:tr w:rsidR="005A53B6" w:rsidTr="005F67E5">
        <w:tc>
          <w:tcPr>
            <w:tcW w:w="648" w:type="dxa"/>
          </w:tcPr>
          <w:p w:rsidR="005A53B6" w:rsidRDefault="005A53B6" w:rsidP="00CA705D">
            <w:pPr>
              <w:jc w:val="center"/>
            </w:pPr>
            <w:r>
              <w:t>L</w:t>
            </w:r>
          </w:p>
        </w:tc>
        <w:tc>
          <w:tcPr>
            <w:tcW w:w="7290" w:type="dxa"/>
          </w:tcPr>
          <w:p w:rsidR="005A53B6" w:rsidRDefault="005A53B6" w:rsidP="00CA705D">
            <w:r>
              <w:t>Final Aggregate Report</w:t>
            </w:r>
          </w:p>
        </w:tc>
      </w:tr>
      <w:tr w:rsidR="005A53B6" w:rsidTr="005F67E5">
        <w:tc>
          <w:tcPr>
            <w:tcW w:w="648" w:type="dxa"/>
          </w:tcPr>
          <w:p w:rsidR="005A53B6" w:rsidRDefault="005A53B6" w:rsidP="00CA705D">
            <w:pPr>
              <w:jc w:val="center"/>
            </w:pPr>
          </w:p>
        </w:tc>
        <w:tc>
          <w:tcPr>
            <w:tcW w:w="7290" w:type="dxa"/>
          </w:tcPr>
          <w:p w:rsidR="005A53B6" w:rsidRDefault="005A53B6" w:rsidP="00CA705D"/>
        </w:tc>
      </w:tr>
    </w:tbl>
    <w:p w:rsidR="00CA705D" w:rsidRDefault="00CA705D" w:rsidP="00CA705D">
      <w:pPr>
        <w:rPr>
          <w:b/>
        </w:rPr>
      </w:pPr>
    </w:p>
    <w:p w:rsidR="00CA56A6" w:rsidRPr="00CA56A6" w:rsidRDefault="00CA56A6" w:rsidP="00CA56A6">
      <w:pPr>
        <w:jc w:val="center"/>
        <w:rPr>
          <w:b/>
        </w:rPr>
      </w:pPr>
      <w:r w:rsidRPr="00CA56A6">
        <w:rPr>
          <w:b/>
        </w:rPr>
        <w:lastRenderedPageBreak/>
        <w:t>CDC Model Performance Evaluation Program (MPEP) for</w:t>
      </w:r>
    </w:p>
    <w:p w:rsidR="00CA56A6" w:rsidRPr="00CA56A6" w:rsidRDefault="00CA56A6" w:rsidP="00CA56A6">
      <w:pPr>
        <w:jc w:val="center"/>
        <w:rPr>
          <w:b/>
        </w:rPr>
      </w:pPr>
      <w:r w:rsidRPr="00CA56A6">
        <w:rPr>
          <w:b/>
          <w:i/>
        </w:rPr>
        <w:t>Mycobacterium</w:t>
      </w:r>
      <w:r w:rsidRPr="00CA56A6">
        <w:rPr>
          <w:b/>
        </w:rPr>
        <w:t xml:space="preserve"> </w:t>
      </w:r>
      <w:r w:rsidRPr="00CA56A6">
        <w:rPr>
          <w:b/>
          <w:i/>
        </w:rPr>
        <w:t>tuberculosis</w:t>
      </w:r>
      <w:r w:rsidRPr="00CA56A6">
        <w:rPr>
          <w:b/>
        </w:rPr>
        <w:t xml:space="preserve"> and </w:t>
      </w:r>
      <w:proofErr w:type="spellStart"/>
      <w:r w:rsidRPr="00CA56A6">
        <w:rPr>
          <w:b/>
        </w:rPr>
        <w:t>Nontuberculous</w:t>
      </w:r>
      <w:proofErr w:type="spellEnd"/>
      <w:r w:rsidRPr="00CA56A6">
        <w:rPr>
          <w:b/>
        </w:rPr>
        <w:t xml:space="preserve"> Mycobacteria Drug Susceptibility Testing</w:t>
      </w:r>
    </w:p>
    <w:p w:rsidR="00CA56A6" w:rsidRPr="00CA56A6" w:rsidRDefault="00CA56A6" w:rsidP="00CA56A6">
      <w:pPr>
        <w:jc w:val="center"/>
        <w:rPr>
          <w:b/>
        </w:rPr>
      </w:pPr>
      <w:r w:rsidRPr="00CA56A6">
        <w:rPr>
          <w:b/>
        </w:rPr>
        <w:t>(OMB Control No. 0920-0600)</w:t>
      </w:r>
    </w:p>
    <w:p w:rsidR="00CA705D" w:rsidRDefault="00CA705D" w:rsidP="00CA705D">
      <w:pPr>
        <w:rPr>
          <w:b/>
        </w:rPr>
      </w:pPr>
    </w:p>
    <w:p w:rsidR="004939F7" w:rsidRPr="00CF15D8" w:rsidRDefault="004939F7" w:rsidP="00FD3B3E">
      <w:r w:rsidRPr="00CF15D8">
        <w:rPr>
          <w:b/>
          <w:u w:val="single"/>
        </w:rPr>
        <w:t>A. Justification</w:t>
      </w:r>
    </w:p>
    <w:p w:rsidR="004939F7" w:rsidRPr="00CF15D8" w:rsidRDefault="004939F7" w:rsidP="00FD3B3E"/>
    <w:p w:rsidR="004939F7" w:rsidRDefault="004939F7" w:rsidP="00CA705D">
      <w:pPr>
        <w:numPr>
          <w:ilvl w:val="0"/>
          <w:numId w:val="9"/>
        </w:numPr>
        <w:rPr>
          <w:b/>
        </w:rPr>
      </w:pPr>
      <w:r w:rsidRPr="00CF15D8">
        <w:rPr>
          <w:b/>
        </w:rPr>
        <w:t>Circumstances Making the Collection of Information Necessary</w:t>
      </w:r>
    </w:p>
    <w:p w:rsidR="00CA705D" w:rsidRPr="00CF15D8" w:rsidRDefault="00CA705D" w:rsidP="00CA705D"/>
    <w:p w:rsidR="001A1395" w:rsidRPr="001A1395" w:rsidRDefault="00CA705D" w:rsidP="001A1395">
      <w:r>
        <w:t xml:space="preserve"> The Centers for Disease Control and Prevention requests a revision to approved data collection 0920-0600 (expiration date 05/31/2013) entitled, “</w:t>
      </w:r>
      <w:r w:rsidR="005A53B6" w:rsidRPr="005A53B6">
        <w:rPr>
          <w:i/>
        </w:rPr>
        <w:t xml:space="preserve">CDC MPEP for Mycobacterium </w:t>
      </w:r>
      <w:r w:rsidR="00C149D1">
        <w:rPr>
          <w:i/>
        </w:rPr>
        <w:t>t</w:t>
      </w:r>
      <w:r w:rsidR="005A53B6" w:rsidRPr="005A53B6">
        <w:rPr>
          <w:i/>
        </w:rPr>
        <w:t xml:space="preserve">uberculosis and </w:t>
      </w:r>
      <w:proofErr w:type="spellStart"/>
      <w:r w:rsidR="005A53B6" w:rsidRPr="005A53B6">
        <w:rPr>
          <w:i/>
        </w:rPr>
        <w:t>Nontuberculous</w:t>
      </w:r>
      <w:proofErr w:type="spellEnd"/>
      <w:r w:rsidR="005A53B6" w:rsidRPr="005A53B6">
        <w:rPr>
          <w:i/>
        </w:rPr>
        <w:t xml:space="preserve"> Mycobacteria Drug Susceptibility Testing</w:t>
      </w:r>
      <w:r>
        <w:t xml:space="preserve">,” for a period of 3 years. </w:t>
      </w:r>
      <w:r w:rsidR="00062D62" w:rsidRPr="00CF15D8">
        <w:t xml:space="preserve">As part of the continuing effort to assess and monitor the quality and effectiveness of laboratory testing systems </w:t>
      </w:r>
      <w:r w:rsidR="00617CA1" w:rsidRPr="00CF15D8">
        <w:t>which</w:t>
      </w:r>
      <w:r w:rsidR="00062D62" w:rsidRPr="00CF15D8">
        <w:t xml:space="preserve"> support public health objectives of tuberculosis treatment programs, </w:t>
      </w:r>
      <w:r w:rsidR="0037440E" w:rsidRPr="00CF15D8">
        <w:t xml:space="preserve">the </w:t>
      </w:r>
      <w:r w:rsidR="0037440E">
        <w:t xml:space="preserve">CDC Model Performance Evaluation Program (MPEP) was established to analyze the </w:t>
      </w:r>
      <w:r w:rsidR="0037440E" w:rsidRPr="00CF15D8">
        <w:t xml:space="preserve">performance and practices of </w:t>
      </w:r>
      <w:r w:rsidR="0037440E">
        <w:t xml:space="preserve">all known clinical and public health laboratories in the United States that perform drug susceptibility testing of isolates belonging to the </w:t>
      </w:r>
      <w:r w:rsidR="0037440E">
        <w:rPr>
          <w:i/>
        </w:rPr>
        <w:t xml:space="preserve">Mycobacterium tuberculosis </w:t>
      </w:r>
      <w:r w:rsidR="0037440E">
        <w:t>complex (MTBC).</w:t>
      </w:r>
      <w:r w:rsidR="0037440E" w:rsidRPr="00CF15D8">
        <w:t xml:space="preserve"> </w:t>
      </w:r>
      <w:r w:rsidR="001A1395" w:rsidRPr="001A1395">
        <w:t>MPEP is a voluntary self-assessment non-statistical data collection program.</w:t>
      </w:r>
    </w:p>
    <w:p w:rsidR="0057072B" w:rsidRDefault="0057072B" w:rsidP="00CA705D">
      <w:r>
        <w:t xml:space="preserve">Implementation of this program under this information collection has been transferred from the </w:t>
      </w:r>
      <w:hyperlink r:id="rId9" w:history="1">
        <w:r w:rsidRPr="0078099A">
          <w:t>National Center for Emerging and Zoonotic Infectious Diseases (NCEZID</w:t>
        </w:r>
      </w:hyperlink>
      <w:r>
        <w:t xml:space="preserve">) to </w:t>
      </w:r>
      <w:r w:rsidRPr="0078099A">
        <w:t>National Center for HIV/AIDS, Viral Hepatitis, STD, and TB Prevention (NCHHSTP)</w:t>
      </w:r>
      <w:r>
        <w:t xml:space="preserve">. </w:t>
      </w:r>
      <w:r w:rsidR="006B175A">
        <w:t xml:space="preserve">The title of the ICR is being changed from </w:t>
      </w:r>
      <w:r w:rsidR="006B175A" w:rsidRPr="00C149D1">
        <w:t>“</w:t>
      </w:r>
      <w:r w:rsidR="006B175A" w:rsidRPr="00C149D1">
        <w:rPr>
          <w:i/>
        </w:rPr>
        <w:t xml:space="preserve">CDC MPEP for Mycobacterium tuberculosis and </w:t>
      </w:r>
      <w:proofErr w:type="spellStart"/>
      <w:r w:rsidR="006B175A" w:rsidRPr="00C149D1">
        <w:rPr>
          <w:i/>
        </w:rPr>
        <w:t>Nontuberculous</w:t>
      </w:r>
      <w:proofErr w:type="spellEnd"/>
      <w:r w:rsidR="006B175A" w:rsidRPr="00C149D1">
        <w:rPr>
          <w:i/>
        </w:rPr>
        <w:t xml:space="preserve"> Mycobacteria Drug Susceptibility Testing</w:t>
      </w:r>
      <w:r w:rsidR="006B175A">
        <w:rPr>
          <w:i/>
        </w:rPr>
        <w:t>”</w:t>
      </w:r>
      <w:r w:rsidR="006B175A" w:rsidRPr="00C149D1">
        <w:t xml:space="preserve"> </w:t>
      </w:r>
      <w:r w:rsidR="006B175A">
        <w:t>to “</w:t>
      </w:r>
      <w:r w:rsidR="006B175A" w:rsidRPr="00C149D1">
        <w:rPr>
          <w:i/>
        </w:rPr>
        <w:t>CDC Model Performance Evaluation (MPEP) for Mycobacterium tuberculosis Drug Susceptibility Testing</w:t>
      </w:r>
      <w:r w:rsidR="006B175A">
        <w:t xml:space="preserve">” </w:t>
      </w:r>
      <w:r w:rsidR="008D7631">
        <w:t>As a result of this</w:t>
      </w:r>
      <w:r>
        <w:t xml:space="preserve"> programmatic change</w:t>
      </w:r>
      <w:r w:rsidR="00B114BA">
        <w:t xml:space="preserve">, CDC is requesting several revisions to the ICR </w:t>
      </w:r>
      <w:r>
        <w:t>which are explained</w:t>
      </w:r>
      <w:r w:rsidR="00CC017C">
        <w:t xml:space="preserve"> </w:t>
      </w:r>
      <w:r w:rsidR="00CC017C" w:rsidRPr="00CC017C">
        <w:t xml:space="preserve">in Section 15 on page </w:t>
      </w:r>
      <w:r w:rsidR="00B67039">
        <w:t>9</w:t>
      </w:r>
      <w:r w:rsidR="00CC017C" w:rsidRPr="00CC017C">
        <w:t xml:space="preserve"> of this supporting statement and in </w:t>
      </w:r>
      <w:r w:rsidRPr="005A53B6">
        <w:rPr>
          <w:b/>
        </w:rPr>
        <w:t>Attachment C</w:t>
      </w:r>
      <w:r>
        <w:t xml:space="preserve">. </w:t>
      </w:r>
      <w:r w:rsidR="00C149D1">
        <w:t xml:space="preserve"> </w:t>
      </w:r>
    </w:p>
    <w:p w:rsidR="0057072B" w:rsidRDefault="0057072B" w:rsidP="0057072B"/>
    <w:p w:rsidR="00062D62" w:rsidRPr="00CF15D8" w:rsidRDefault="00062D62" w:rsidP="0057072B">
      <w:r w:rsidRPr="00CF15D8">
        <w:t>Tuberculosis (TB) is a continuing public health problem despite the declining number of cases in the United States over the past few years.  Although there has been an overall decrease in the number of cases in the U.S, rates still remain high among foreign-born persons, prisoners, the homeless populations, and individuals infected with HIV in major metropolitan areas.</w:t>
      </w:r>
    </w:p>
    <w:p w:rsidR="00142A08" w:rsidRPr="00CF15D8" w:rsidRDefault="00062D62" w:rsidP="00FD3B3E">
      <w:pPr>
        <w:spacing w:before="240"/>
      </w:pPr>
      <w:r w:rsidRPr="00CF15D8">
        <w:t>From 1985 to 1992, the increase in the number of cases</w:t>
      </w:r>
      <w:r w:rsidR="00142A08" w:rsidRPr="00CF15D8">
        <w:t xml:space="preserve"> of tuberculosis</w:t>
      </w:r>
      <w:r w:rsidRPr="00CF15D8">
        <w:t xml:space="preserve"> was accompanied by increasing numbers of </w:t>
      </w:r>
      <w:r w:rsidRPr="00CF15D8">
        <w:rPr>
          <w:i/>
        </w:rPr>
        <w:t>M. tuberculosis</w:t>
      </w:r>
      <w:r w:rsidRPr="00CF15D8">
        <w:t xml:space="preserve"> found to be resistant to one or more of the primary drugs used for treatment.  This pattern of resistance </w:t>
      </w:r>
      <w:r w:rsidR="00AF077C">
        <w:t xml:space="preserve">has </w:t>
      </w:r>
      <w:r w:rsidRPr="00CF15D8">
        <w:t xml:space="preserve">added significantly to the cost and duration of treatment while reducing the efficacy of therapy.  These </w:t>
      </w:r>
      <w:r w:rsidR="00AF077C">
        <w:t>issues</w:t>
      </w:r>
      <w:r w:rsidRPr="00CF15D8">
        <w:t xml:space="preserve"> continue to challenge TB control programs in the </w:t>
      </w:r>
      <w:smartTag w:uri="urn:schemas-microsoft-com:office:smarttags" w:element="place">
        <w:smartTag w:uri="urn:schemas-microsoft-com:office:smarttags" w:element="country-region">
          <w:r w:rsidRPr="00CF15D8">
            <w:t>U.S.</w:t>
          </w:r>
        </w:smartTag>
      </w:smartTag>
      <w:r w:rsidRPr="00CF15D8">
        <w:t xml:space="preserve">  Adequate TB control depends on rapid isolation and identification of the etiologic agent, </w:t>
      </w:r>
      <w:r w:rsidRPr="00CF15D8">
        <w:rPr>
          <w:i/>
          <w:iCs/>
        </w:rPr>
        <w:t>M. tuberculosis</w:t>
      </w:r>
      <w:r w:rsidRPr="00CF15D8">
        <w:t>, and confirmation of the appropriate therapeutic regimen by anti-tuberculosis drug susceptibility testing.  With this information</w:t>
      </w:r>
      <w:r w:rsidR="00856EF9" w:rsidRPr="00CF15D8">
        <w:t>,</w:t>
      </w:r>
      <w:r w:rsidRPr="00CF15D8">
        <w:t xml:space="preserve"> the necessary infection control procedures and contact tracing can be initiated, and informed decisions can be made regarding therapy. </w:t>
      </w:r>
      <w:r w:rsidR="00D13D0D" w:rsidRPr="00CF15D8">
        <w:t xml:space="preserve"> </w:t>
      </w:r>
      <w:proofErr w:type="spellStart"/>
      <w:r w:rsidR="00D13D0D" w:rsidRPr="00CF15D8">
        <w:t>Mycobacteriology</w:t>
      </w:r>
      <w:proofErr w:type="spellEnd"/>
      <w:r w:rsidR="00D13D0D" w:rsidRPr="00CF15D8">
        <w:t xml:space="preserve"> laboratories play</w:t>
      </w:r>
      <w:r w:rsidRPr="00CF15D8">
        <w:t xml:space="preserve"> a key role in </w:t>
      </w:r>
      <w:r w:rsidR="00D13D0D" w:rsidRPr="00CF15D8">
        <w:t>reducing</w:t>
      </w:r>
      <w:r w:rsidRPr="00CF15D8">
        <w:t xml:space="preserve"> tuberculosis transmission.  Competent staff, adequate test procedures, and facilities for thorough evaluations of clinical specimens are</w:t>
      </w:r>
      <w:r w:rsidR="00856EF9" w:rsidRPr="00CF15D8">
        <w:t xml:space="preserve"> critical in reducing TB t</w:t>
      </w:r>
      <w:r w:rsidR="00D13D0D" w:rsidRPr="00CF15D8">
        <w:t xml:space="preserve">ransmissions. </w:t>
      </w:r>
    </w:p>
    <w:p w:rsidR="00D9567F" w:rsidRDefault="00062D62" w:rsidP="00FD3B3E">
      <w:pPr>
        <w:spacing w:before="240"/>
      </w:pPr>
      <w:r w:rsidRPr="00CF15D8">
        <w:t xml:space="preserve">Since </w:t>
      </w:r>
      <w:r w:rsidR="00142A08" w:rsidRPr="00CF15D8">
        <w:t>the</w:t>
      </w:r>
      <w:r w:rsidR="00D748F1" w:rsidRPr="00CF15D8">
        <w:t xml:space="preserve"> </w:t>
      </w:r>
      <w:r w:rsidRPr="00CF15D8">
        <w:t>1992 TB resurgence peaked in the U.S.</w:t>
      </w:r>
      <w:r w:rsidR="00142A08" w:rsidRPr="00CF15D8">
        <w:t>,</w:t>
      </w:r>
      <w:r w:rsidR="00FB3C39" w:rsidRPr="00CF15D8">
        <w:t xml:space="preserve"> t</w:t>
      </w:r>
      <w:r w:rsidRPr="00CF15D8">
        <w:t xml:space="preserve">he number of TB cases reported annually has decreased. </w:t>
      </w:r>
      <w:r w:rsidR="00FA1C24">
        <w:rPr>
          <w:rStyle w:val="A3"/>
        </w:rPr>
        <w:t xml:space="preserve">11,182 TB cases were reported to CDC from the 50 states and the District of Columbia </w:t>
      </w:r>
      <w:r w:rsidR="00FA1C24">
        <w:rPr>
          <w:rStyle w:val="A3"/>
          <w:sz w:val="23"/>
          <w:szCs w:val="23"/>
        </w:rPr>
        <w:t>(DC) for 2010, representing a 3.1% decrease from 2009.</w:t>
      </w:r>
      <w:r w:rsidR="00FA1C24" w:rsidRPr="00FA1C24">
        <w:t xml:space="preserve"> </w:t>
      </w:r>
      <w:r w:rsidR="00FA1C24">
        <w:t xml:space="preserve"> </w:t>
      </w:r>
      <w:r w:rsidR="00FA1C24" w:rsidRPr="00FA1C24">
        <w:rPr>
          <w:rStyle w:val="A3"/>
          <w:sz w:val="23"/>
          <w:szCs w:val="23"/>
        </w:rPr>
        <w:t>In 2010, the TB case rate declined from 3.8 to 3.6 per 100,000 persons, representing a 3.8% decrease from 2009.</w:t>
      </w:r>
      <w:r w:rsidR="00FA1C24">
        <w:rPr>
          <w:rStyle w:val="A3"/>
          <w:sz w:val="23"/>
          <w:szCs w:val="23"/>
        </w:rPr>
        <w:t xml:space="preserve"> </w:t>
      </w:r>
      <w:r w:rsidRPr="00CF15D8">
        <w:t xml:space="preserve"> </w:t>
      </w:r>
    </w:p>
    <w:p w:rsidR="004939F7" w:rsidRDefault="004939F7" w:rsidP="00FD3B3E"/>
    <w:p w:rsidR="003C3F06" w:rsidRPr="00CF15D8" w:rsidRDefault="003C3F06" w:rsidP="003C3F06">
      <w:r w:rsidRPr="00CF15D8">
        <w:t xml:space="preserve">This </w:t>
      </w:r>
      <w:r w:rsidR="005F67E5">
        <w:t>information collection activity</w:t>
      </w:r>
      <w:r w:rsidRPr="00CF15D8">
        <w:t xml:space="preserve"> is authorized under the Public Health Service Act, (42 USC 241) Section 301.  A copy is included in the attachments.  (</w:t>
      </w:r>
      <w:r w:rsidRPr="005F67E5">
        <w:rPr>
          <w:b/>
        </w:rPr>
        <w:t xml:space="preserve">Attachment </w:t>
      </w:r>
      <w:r w:rsidR="007A167A" w:rsidRPr="005F67E5">
        <w:rPr>
          <w:b/>
        </w:rPr>
        <w:t>A</w:t>
      </w:r>
      <w:r w:rsidR="007A167A">
        <w:t>)</w:t>
      </w:r>
    </w:p>
    <w:p w:rsidR="003C3F06" w:rsidRPr="00CF15D8" w:rsidRDefault="003C3F06" w:rsidP="00FD3B3E"/>
    <w:p w:rsidR="004939F7" w:rsidRPr="00CF15D8" w:rsidRDefault="004939F7" w:rsidP="00FD3B3E">
      <w:pPr>
        <w:rPr>
          <w:u w:val="single"/>
        </w:rPr>
      </w:pPr>
      <w:r w:rsidRPr="00CF15D8">
        <w:rPr>
          <w:u w:val="single"/>
        </w:rPr>
        <w:t>Privacy Impact Assessment</w:t>
      </w:r>
    </w:p>
    <w:p w:rsidR="001E10B9" w:rsidRPr="00CF15D8" w:rsidRDefault="001E10B9" w:rsidP="00FD3B3E">
      <w:pPr>
        <w:tabs>
          <w:tab w:val="left" w:pos="360"/>
        </w:tabs>
      </w:pPr>
      <w:bookmarkStart w:id="1" w:name="OLE_LINK1"/>
      <w:bookmarkStart w:id="2" w:name="OLE_LINK2"/>
      <w:r w:rsidRPr="00CF15D8">
        <w:t xml:space="preserve">The information </w:t>
      </w:r>
      <w:r w:rsidR="003D5873">
        <w:t>is</w:t>
      </w:r>
      <w:r w:rsidRPr="00CF15D8">
        <w:t xml:space="preserve"> filed and retrieved by the</w:t>
      </w:r>
      <w:r w:rsidR="00637C78">
        <w:t xml:space="preserve"> Tuberculosis Performance Evaluation Program (TPEP) Number</w:t>
      </w:r>
      <w:r w:rsidRPr="00CF15D8">
        <w:t>.  The number is linked to the name of the organization which is a testing site.  The Privacy Act does not apply to</w:t>
      </w:r>
      <w:r w:rsidR="008B40EF" w:rsidRPr="00CF15D8">
        <w:t xml:space="preserve"> th</w:t>
      </w:r>
      <w:r w:rsidR="005176BD">
        <w:t>o</w:t>
      </w:r>
      <w:r w:rsidR="008B40EF" w:rsidRPr="00CF15D8">
        <w:t>se</w:t>
      </w:r>
      <w:r w:rsidRPr="00CF15D8">
        <w:t xml:space="preserve"> organizations</w:t>
      </w:r>
      <w:r w:rsidR="008B40EF" w:rsidRPr="00CF15D8">
        <w:t xml:space="preserve"> that are enrolled in MPEP</w:t>
      </w:r>
      <w:r w:rsidRPr="00CF15D8">
        <w:t>.  While</w:t>
      </w:r>
      <w:r w:rsidR="008B40EF" w:rsidRPr="00CF15D8">
        <w:t xml:space="preserve"> the</w:t>
      </w:r>
      <w:r w:rsidRPr="00CF15D8">
        <w:t xml:space="preserve"> names of persons completing the form</w:t>
      </w:r>
      <w:r w:rsidR="00E3092D" w:rsidRPr="00CF15D8">
        <w:t>s are</w:t>
      </w:r>
      <w:r w:rsidR="008B40EF" w:rsidRPr="00CF15D8">
        <w:t xml:space="preserve"> requ</w:t>
      </w:r>
      <w:r w:rsidR="00856EF9" w:rsidRPr="00CF15D8">
        <w:t>ested, no other personal identif</w:t>
      </w:r>
      <w:r w:rsidR="008B40EF" w:rsidRPr="00CF15D8">
        <w:t>ie</w:t>
      </w:r>
      <w:r w:rsidR="00856EF9" w:rsidRPr="00CF15D8">
        <w:t>r</w:t>
      </w:r>
      <w:r w:rsidR="008B40EF" w:rsidRPr="00CF15D8">
        <w:t>s are collected</w:t>
      </w:r>
      <w:r w:rsidRPr="00CF15D8">
        <w:t xml:space="preserve"> other than their title.  </w:t>
      </w:r>
      <w:r w:rsidR="005176BD">
        <w:t xml:space="preserve">Respondents are </w:t>
      </w:r>
      <w:r w:rsidRPr="00CF15D8">
        <w:t>speaking in their roles as staff knowledgeable of performance testing and laboratory practices</w:t>
      </w:r>
      <w:r w:rsidR="00856EF9" w:rsidRPr="00CF15D8">
        <w:t xml:space="preserve"> at their testing site</w:t>
      </w:r>
      <w:r w:rsidRPr="00CF15D8">
        <w:t>.</w:t>
      </w:r>
    </w:p>
    <w:bookmarkEnd w:id="1"/>
    <w:bookmarkEnd w:id="2"/>
    <w:p w:rsidR="004939F7" w:rsidRPr="00CF15D8" w:rsidRDefault="004939F7" w:rsidP="00FD3B3E"/>
    <w:p w:rsidR="001F398B" w:rsidRPr="00D4594B" w:rsidRDefault="003E5F89" w:rsidP="0073428A">
      <w:pPr>
        <w:keepNext/>
        <w:keepLines/>
        <w:rPr>
          <w:color w:val="FF0000"/>
        </w:rPr>
      </w:pPr>
      <w:r w:rsidRPr="00CF15D8">
        <w:rPr>
          <w:u w:val="single"/>
        </w:rPr>
        <w:t>Overview of the Data Collection System</w:t>
      </w:r>
      <w:r w:rsidR="002717BD">
        <w:t xml:space="preserve">    </w:t>
      </w:r>
      <w:r w:rsidR="00162B8E">
        <w:t xml:space="preserve">Upon signing of the </w:t>
      </w:r>
      <w:r w:rsidR="00162B8E" w:rsidRPr="0054017F">
        <w:t>Participant Biosafety Compliance Letter of Agreement</w:t>
      </w:r>
      <w:r w:rsidR="00162B8E">
        <w:t xml:space="preserve"> (</w:t>
      </w:r>
      <w:r w:rsidR="00162B8E" w:rsidRPr="00F35BB5">
        <w:rPr>
          <w:b/>
        </w:rPr>
        <w:t xml:space="preserve">Attachment </w:t>
      </w:r>
      <w:r w:rsidR="00B114BA" w:rsidRPr="00F35BB5">
        <w:rPr>
          <w:b/>
        </w:rPr>
        <w:t>D</w:t>
      </w:r>
      <w:r w:rsidR="00162B8E">
        <w:t>) b</w:t>
      </w:r>
      <w:r w:rsidR="00085861">
        <w:t>y an authorized representative,</w:t>
      </w:r>
      <w:r w:rsidR="00162B8E">
        <w:t xml:space="preserve"> the laboratory will be enrolled in MPEP and</w:t>
      </w:r>
      <w:r w:rsidR="00277B64" w:rsidRPr="00CF15D8">
        <w:t xml:space="preserve"> assigned a TPEP</w:t>
      </w:r>
      <w:r w:rsidR="00162B8E">
        <w:t xml:space="preserve"> number</w:t>
      </w:r>
      <w:r w:rsidR="007E1019">
        <w:t xml:space="preserve">. </w:t>
      </w:r>
      <w:r w:rsidR="00277B64" w:rsidRPr="00CF15D8">
        <w:t xml:space="preserve">The TPEP number </w:t>
      </w:r>
      <w:r w:rsidR="007E1019">
        <w:t>is needed for participants to enter data online</w:t>
      </w:r>
      <w:r w:rsidR="00277B64" w:rsidRPr="00CF15D8">
        <w:t>.</w:t>
      </w:r>
      <w:r w:rsidR="004C3978">
        <w:t xml:space="preserve"> </w:t>
      </w:r>
      <w:r w:rsidR="00277B64" w:rsidRPr="00CF15D8">
        <w:t xml:space="preserve"> Before survey</w:t>
      </w:r>
      <w:r w:rsidR="00A123E2" w:rsidRPr="00CF15D8">
        <w:t xml:space="preserve"> sample</w:t>
      </w:r>
      <w:r w:rsidR="005176BD">
        <w:t>s</w:t>
      </w:r>
      <w:r w:rsidR="00277B64" w:rsidRPr="00CF15D8">
        <w:t xml:space="preserve"> are mailed to the laboratory</w:t>
      </w:r>
      <w:r w:rsidR="005176BD">
        <w:t>,</w:t>
      </w:r>
      <w:r w:rsidR="00277B64" w:rsidRPr="00CF15D8">
        <w:t xml:space="preserve"> </w:t>
      </w:r>
      <w:r w:rsidR="00277B64" w:rsidRPr="0078249D">
        <w:t>an a</w:t>
      </w:r>
      <w:r w:rsidR="00CA594F" w:rsidRPr="0078249D">
        <w:t>dvance</w:t>
      </w:r>
      <w:r w:rsidR="006E1FE4" w:rsidRPr="0078249D">
        <w:t xml:space="preserve"> Pre-shipment Email</w:t>
      </w:r>
      <w:r w:rsidR="00ED6DCE" w:rsidRPr="0078249D">
        <w:t xml:space="preserve"> </w:t>
      </w:r>
      <w:r w:rsidR="005E42A1" w:rsidRPr="0078249D">
        <w:t>(</w:t>
      </w:r>
      <w:r w:rsidR="003E3DCB" w:rsidRPr="00F35BB5">
        <w:rPr>
          <w:b/>
        </w:rPr>
        <w:t xml:space="preserve">Attachment </w:t>
      </w:r>
      <w:r w:rsidR="00B114BA" w:rsidRPr="00F35BB5">
        <w:rPr>
          <w:b/>
        </w:rPr>
        <w:t>E</w:t>
      </w:r>
      <w:r w:rsidR="00ED6DCE" w:rsidRPr="0078249D">
        <w:t>)</w:t>
      </w:r>
      <w:r w:rsidR="00D4594B">
        <w:t xml:space="preserve"> is</w:t>
      </w:r>
      <w:r w:rsidR="005176BD">
        <w:t xml:space="preserve"> s</w:t>
      </w:r>
      <w:r w:rsidR="00CA594F" w:rsidRPr="00CF15D8">
        <w:t xml:space="preserve">ent to </w:t>
      </w:r>
      <w:r w:rsidR="005176BD">
        <w:t>participants</w:t>
      </w:r>
      <w:r w:rsidR="00CA594F" w:rsidRPr="00CF15D8">
        <w:t xml:space="preserve"> to inform them of the expected date for receiving the culture shipment</w:t>
      </w:r>
      <w:r w:rsidR="006E1FE4">
        <w:t>. The Pre-shipment Email will also contain a request to notify CDC of any changes in Laboratory</w:t>
      </w:r>
      <w:r w:rsidR="0078249D">
        <w:t xml:space="preserve"> contact information.</w:t>
      </w:r>
      <w:r w:rsidR="00277B64" w:rsidRPr="00CF15D8">
        <w:t xml:space="preserve"> </w:t>
      </w:r>
      <w:r w:rsidR="00CA594F" w:rsidRPr="00CF15D8">
        <w:t xml:space="preserve"> Cultures are sent to the laboratories </w:t>
      </w:r>
      <w:r w:rsidR="000D760A">
        <w:t xml:space="preserve">along with </w:t>
      </w:r>
      <w:r w:rsidR="00B114BA">
        <w:t>a</w:t>
      </w:r>
      <w:r w:rsidR="007A167A">
        <w:t xml:space="preserve">n </w:t>
      </w:r>
      <w:r w:rsidR="000D760A">
        <w:t xml:space="preserve">Instructions to Participants </w:t>
      </w:r>
      <w:r w:rsidR="00B114BA">
        <w:t xml:space="preserve">Letter </w:t>
      </w:r>
      <w:r w:rsidR="000D760A">
        <w:t>(</w:t>
      </w:r>
      <w:r w:rsidR="000D760A" w:rsidRPr="00F35BB5">
        <w:rPr>
          <w:b/>
        </w:rPr>
        <w:t xml:space="preserve">Attachment </w:t>
      </w:r>
      <w:r w:rsidR="00B114BA" w:rsidRPr="00F35BB5">
        <w:rPr>
          <w:b/>
        </w:rPr>
        <w:t>F</w:t>
      </w:r>
      <w:r w:rsidR="007A167A">
        <w:t xml:space="preserve">) and a </w:t>
      </w:r>
      <w:r w:rsidR="000D760A">
        <w:t xml:space="preserve">MPEP </w:t>
      </w:r>
      <w:r w:rsidR="007F5775">
        <w:rPr>
          <w:i/>
        </w:rPr>
        <w:t>Mycobacterium</w:t>
      </w:r>
      <w:r w:rsidR="000D760A">
        <w:rPr>
          <w:i/>
        </w:rPr>
        <w:t xml:space="preserve"> tuberculosis </w:t>
      </w:r>
      <w:r w:rsidR="000D760A">
        <w:t>Results Worksheet (</w:t>
      </w:r>
      <w:r w:rsidR="000D760A" w:rsidRPr="00F35BB5">
        <w:rPr>
          <w:b/>
        </w:rPr>
        <w:t xml:space="preserve">Attachment </w:t>
      </w:r>
      <w:r w:rsidR="00B114BA" w:rsidRPr="00F35BB5">
        <w:rPr>
          <w:b/>
        </w:rPr>
        <w:t>G</w:t>
      </w:r>
      <w:r w:rsidR="000D760A">
        <w:t xml:space="preserve">). The Instructions to Participants contains information </w:t>
      </w:r>
      <w:r w:rsidR="002943EC">
        <w:t>on</w:t>
      </w:r>
      <w:r w:rsidR="00CA594F" w:rsidRPr="00CF15D8">
        <w:t xml:space="preserve"> handling the </w:t>
      </w:r>
      <w:r w:rsidR="00ED6DCE" w:rsidRPr="00CF15D8">
        <w:t xml:space="preserve">culture </w:t>
      </w:r>
      <w:r w:rsidR="005E42A1" w:rsidRPr="00CF15D8">
        <w:t>isolates</w:t>
      </w:r>
      <w:r w:rsidR="00CA594F" w:rsidRPr="00CF15D8">
        <w:t xml:space="preserve"> and</w:t>
      </w:r>
      <w:r w:rsidR="00880211" w:rsidRPr="00CF15D8">
        <w:t xml:space="preserve"> for </w:t>
      </w:r>
      <w:r w:rsidR="00CA594F" w:rsidRPr="00CF15D8">
        <w:t xml:space="preserve">reporting </w:t>
      </w:r>
      <w:r w:rsidR="00F46C4C">
        <w:t xml:space="preserve">drug susceptibility </w:t>
      </w:r>
      <w:r w:rsidR="00CA594F" w:rsidRPr="00CF15D8">
        <w:t>test</w:t>
      </w:r>
      <w:r w:rsidR="00F46C4C">
        <w:t xml:space="preserve"> (DST)</w:t>
      </w:r>
      <w:r w:rsidR="00CA594F" w:rsidRPr="00CF15D8">
        <w:t xml:space="preserve"> results</w:t>
      </w:r>
      <w:r w:rsidR="00880211" w:rsidRPr="00CF15D8">
        <w:t xml:space="preserve"> online</w:t>
      </w:r>
      <w:r w:rsidR="00D4594B">
        <w:t xml:space="preserve"> using the survey instrument (</w:t>
      </w:r>
      <w:r w:rsidR="00D4594B" w:rsidRPr="00F35BB5">
        <w:rPr>
          <w:b/>
        </w:rPr>
        <w:t>Attachment</w:t>
      </w:r>
      <w:r w:rsidR="00167C11" w:rsidRPr="00F35BB5">
        <w:rPr>
          <w:b/>
        </w:rPr>
        <w:t xml:space="preserve"> </w:t>
      </w:r>
      <w:r w:rsidR="00B114BA" w:rsidRPr="00F35BB5">
        <w:rPr>
          <w:b/>
        </w:rPr>
        <w:t>H</w:t>
      </w:r>
      <w:r w:rsidR="00D4594B">
        <w:t>)</w:t>
      </w:r>
      <w:r w:rsidR="00F46C4C">
        <w:t>.</w:t>
      </w:r>
      <w:r w:rsidR="00CA594F" w:rsidRPr="00CF15D8">
        <w:t xml:space="preserve"> </w:t>
      </w:r>
      <w:r w:rsidR="00F46C4C">
        <w:t>Background information concerning the classification of each participating laboratory and</w:t>
      </w:r>
      <w:r w:rsidR="002943EC">
        <w:t xml:space="preserve"> their DST</w:t>
      </w:r>
      <w:r w:rsidR="00F46C4C">
        <w:t xml:space="preserve"> methods </w:t>
      </w:r>
      <w:r w:rsidR="002943EC">
        <w:t>will also be collected.</w:t>
      </w:r>
      <w:r w:rsidR="0012418B" w:rsidRPr="00CF15D8">
        <w:t xml:space="preserve"> </w:t>
      </w:r>
      <w:r w:rsidR="002943EC">
        <w:t>All informa</w:t>
      </w:r>
      <w:r w:rsidR="0073428A">
        <w:t xml:space="preserve">tion must be entered online </w:t>
      </w:r>
      <w:r w:rsidR="00D4594B">
        <w:t xml:space="preserve">at </w:t>
      </w:r>
      <w:hyperlink r:id="rId10" w:history="1">
        <w:r w:rsidR="00B21FE4" w:rsidRPr="00B21FE4">
          <w:rPr>
            <w:rStyle w:val="Hyperlink"/>
            <w:b/>
          </w:rPr>
          <w:t>http://www.snapsurveys.com/swh/surveylogin.asp?k=135817325450</w:t>
        </w:r>
      </w:hyperlink>
      <w:r w:rsidR="00B21FE4" w:rsidRPr="00B21FE4">
        <w:rPr>
          <w:b/>
          <w:color w:val="454545"/>
        </w:rPr>
        <w:t xml:space="preserve">. </w:t>
      </w:r>
      <w:r w:rsidR="00D4594B" w:rsidRPr="00D8688B">
        <w:t xml:space="preserve">Participants who </w:t>
      </w:r>
      <w:r w:rsidR="0012418B" w:rsidRPr="00D8688B">
        <w:t xml:space="preserve">have </w:t>
      </w:r>
      <w:r w:rsidR="00D4594B" w:rsidRPr="00D8688B">
        <w:t>not input their results two weeks prior to the deadline will be notified by email</w:t>
      </w:r>
      <w:r w:rsidR="0012418B" w:rsidRPr="00D8688B">
        <w:t xml:space="preserve"> (</w:t>
      </w:r>
      <w:r w:rsidR="004127B9" w:rsidRPr="00F35BB5">
        <w:rPr>
          <w:b/>
        </w:rPr>
        <w:t>A</w:t>
      </w:r>
      <w:r w:rsidR="0012418B" w:rsidRPr="00F35BB5">
        <w:rPr>
          <w:b/>
        </w:rPr>
        <w:t xml:space="preserve">ttachment </w:t>
      </w:r>
      <w:r w:rsidR="00B114BA" w:rsidRPr="00F35BB5">
        <w:rPr>
          <w:b/>
        </w:rPr>
        <w:t>I</w:t>
      </w:r>
      <w:r w:rsidR="0012418B" w:rsidRPr="00D8688B">
        <w:t>) or by telephone (</w:t>
      </w:r>
      <w:r w:rsidR="004127B9" w:rsidRPr="00F35BB5">
        <w:rPr>
          <w:b/>
        </w:rPr>
        <w:t>Attachment</w:t>
      </w:r>
      <w:r w:rsidR="00167C11" w:rsidRPr="00F35BB5">
        <w:rPr>
          <w:b/>
        </w:rPr>
        <w:t xml:space="preserve"> </w:t>
      </w:r>
      <w:r w:rsidR="00B114BA" w:rsidRPr="00F35BB5">
        <w:rPr>
          <w:b/>
        </w:rPr>
        <w:t>J</w:t>
      </w:r>
      <w:r w:rsidR="0012418B" w:rsidRPr="00D8688B">
        <w:t>)</w:t>
      </w:r>
      <w:r w:rsidR="00D4594B" w:rsidRPr="00D8688B">
        <w:t xml:space="preserve">. </w:t>
      </w:r>
      <w:r w:rsidR="001F398B" w:rsidRPr="00D8688B">
        <w:t xml:space="preserve">Approximately 60 days after the deadline, </w:t>
      </w:r>
      <w:r w:rsidR="00C610B2" w:rsidRPr="00D8688B">
        <w:t>th</w:t>
      </w:r>
      <w:r w:rsidR="00244006" w:rsidRPr="00D8688B">
        <w:t>e results of the data collected</w:t>
      </w:r>
      <w:r w:rsidR="00C610B2" w:rsidRPr="00D8688B">
        <w:t xml:space="preserve"> </w:t>
      </w:r>
      <w:r w:rsidR="005176BD" w:rsidRPr="00D8688B">
        <w:t>are</w:t>
      </w:r>
      <w:r w:rsidR="00C610B2" w:rsidRPr="00D8688B">
        <w:t xml:space="preserve"> analyzed and </w:t>
      </w:r>
      <w:r w:rsidR="00B114BA">
        <w:t>an</w:t>
      </w:r>
      <w:r w:rsidR="001F398B" w:rsidRPr="00D8688B">
        <w:t xml:space="preserve"> aggregate report letter (</w:t>
      </w:r>
      <w:r w:rsidR="00B17B4C" w:rsidRPr="00F35BB5">
        <w:rPr>
          <w:b/>
        </w:rPr>
        <w:t>Attachment</w:t>
      </w:r>
      <w:r w:rsidR="003B3317" w:rsidRPr="00F35BB5">
        <w:rPr>
          <w:b/>
        </w:rPr>
        <w:t xml:space="preserve"> </w:t>
      </w:r>
      <w:r w:rsidR="00B3184E" w:rsidRPr="00F35BB5">
        <w:rPr>
          <w:b/>
        </w:rPr>
        <w:t>K</w:t>
      </w:r>
      <w:r w:rsidR="00167C11">
        <w:t xml:space="preserve">) </w:t>
      </w:r>
      <w:r w:rsidR="005176BD" w:rsidRPr="00D8688B">
        <w:t>is</w:t>
      </w:r>
      <w:r w:rsidR="001F398B" w:rsidRPr="00D8688B">
        <w:t xml:space="preserve"> </w:t>
      </w:r>
      <w:r w:rsidR="00C610B2" w:rsidRPr="00D8688B">
        <w:t>e</w:t>
      </w:r>
      <w:r w:rsidR="001F398B" w:rsidRPr="00D8688B">
        <w:t xml:space="preserve">mailed to all enrollees and the complete </w:t>
      </w:r>
      <w:r w:rsidR="00C610B2" w:rsidRPr="00D8688B">
        <w:t xml:space="preserve">aggregated report will be </w:t>
      </w:r>
      <w:r w:rsidR="00A123E2" w:rsidRPr="00D8688B">
        <w:t xml:space="preserve">posted on the </w:t>
      </w:r>
      <w:r w:rsidR="00143FBA" w:rsidRPr="00D8688B">
        <w:t xml:space="preserve">CDC </w:t>
      </w:r>
      <w:r w:rsidR="00A123E2" w:rsidRPr="00D8688B">
        <w:t>MPEP Home Page</w:t>
      </w:r>
      <w:r w:rsidR="00143FBA" w:rsidRPr="00D8688B">
        <w:t xml:space="preserve"> </w:t>
      </w:r>
      <w:r w:rsidR="007A167A" w:rsidRPr="00D8688B">
        <w:t xml:space="preserve">at </w:t>
      </w:r>
      <w:hyperlink r:id="rId11" w:history="1">
        <w:r w:rsidR="003472F8" w:rsidRPr="003B3317">
          <w:rPr>
            <w:rStyle w:val="Hyperlink"/>
            <w:color w:val="auto"/>
          </w:rPr>
          <w:t>http://wwwn.cdc.gov/mpep/mtbds.aspx</w:t>
        </w:r>
      </w:hyperlink>
      <w:r w:rsidR="000E43F9" w:rsidRPr="003B3317">
        <w:t xml:space="preserve">.  An example </w:t>
      </w:r>
      <w:r w:rsidR="00B114BA">
        <w:t xml:space="preserve">of the </w:t>
      </w:r>
      <w:r w:rsidR="000E43F9" w:rsidRPr="003B3317">
        <w:t xml:space="preserve">Final Aggregate Report is found in </w:t>
      </w:r>
      <w:r w:rsidR="000E43F9" w:rsidRPr="00F35BB5">
        <w:rPr>
          <w:b/>
        </w:rPr>
        <w:t>Attachment</w:t>
      </w:r>
      <w:r w:rsidR="00B3184E" w:rsidRPr="00F35BB5">
        <w:rPr>
          <w:b/>
        </w:rPr>
        <w:t xml:space="preserve"> L</w:t>
      </w:r>
      <w:r w:rsidR="00B3184E">
        <w:t>.</w:t>
      </w:r>
    </w:p>
    <w:p w:rsidR="001F398B" w:rsidRPr="00D4594B" w:rsidRDefault="001F398B" w:rsidP="00FD3B3E">
      <w:pPr>
        <w:rPr>
          <w:color w:val="FF0000"/>
        </w:rPr>
      </w:pPr>
    </w:p>
    <w:p w:rsidR="00CA594F" w:rsidRPr="00CF15D8" w:rsidRDefault="00CA594F" w:rsidP="00FD3B3E">
      <w:r w:rsidRPr="00CF15D8">
        <w:t xml:space="preserve">Data collected </w:t>
      </w:r>
      <w:r w:rsidR="000D50F8" w:rsidRPr="00CF15D8">
        <w:t xml:space="preserve">for the sample survey and the laboratory practices questionnaire </w:t>
      </w:r>
      <w:r w:rsidR="005176BD">
        <w:t>are</w:t>
      </w:r>
      <w:r w:rsidR="00880211" w:rsidRPr="00CF15D8">
        <w:t xml:space="preserve"> stored as SAS</w:t>
      </w:r>
      <w:r w:rsidR="00244006" w:rsidRPr="00CF15D8">
        <w:t xml:space="preserve"> files</w:t>
      </w:r>
      <w:r w:rsidR="00880211" w:rsidRPr="00CF15D8">
        <w:t xml:space="preserve"> </w:t>
      </w:r>
      <w:r w:rsidR="00856EF9" w:rsidRPr="00CF15D8">
        <w:t>(or equivalent)</w:t>
      </w:r>
      <w:r w:rsidR="00880211" w:rsidRPr="00CF15D8">
        <w:t xml:space="preserve"> </w:t>
      </w:r>
      <w:r w:rsidRPr="00CF15D8">
        <w:t>data sets and imported into Excel files with a unique identifier</w:t>
      </w:r>
      <w:r w:rsidR="007E4DB6" w:rsidRPr="00CF15D8">
        <w:t>.</w:t>
      </w:r>
      <w:r w:rsidR="00FA2EE6">
        <w:t xml:space="preserve"> </w:t>
      </w:r>
      <w:r w:rsidRPr="00CF15D8">
        <w:t xml:space="preserve"> All data </w:t>
      </w:r>
      <w:r w:rsidR="00DE2F81">
        <w:t xml:space="preserve">are </w:t>
      </w:r>
      <w:r w:rsidRPr="00CF15D8">
        <w:t xml:space="preserve">treated in a secure manner and will not be released </w:t>
      </w:r>
      <w:r w:rsidR="00856EF9" w:rsidRPr="00CF15D8">
        <w:t>with i</w:t>
      </w:r>
      <w:r w:rsidRPr="00CF15D8">
        <w:t>dentif</w:t>
      </w:r>
      <w:r w:rsidR="00856EF9" w:rsidRPr="00CF15D8">
        <w:t>iers</w:t>
      </w:r>
      <w:r w:rsidRPr="00CF15D8">
        <w:t>, unless compelled by law or unless CDC</w:t>
      </w:r>
      <w:r w:rsidR="009A6FE1" w:rsidRPr="00CF15D8">
        <w:t xml:space="preserve"> project staff</w:t>
      </w:r>
      <w:r w:rsidRPr="00CF15D8">
        <w:t xml:space="preserve"> requests re-linking in order to facilitate communication with a site that is experiencing a high rate of inaccurate results.</w:t>
      </w:r>
      <w:r w:rsidR="00A00D4E">
        <w:t xml:space="preserve"> </w:t>
      </w:r>
      <w:r w:rsidR="003C7295" w:rsidRPr="00CF15D8">
        <w:t>The information collected will be maintained at the CDC for at least 10 years.</w:t>
      </w:r>
    </w:p>
    <w:p w:rsidR="003E5F89" w:rsidRPr="00CF15D8" w:rsidRDefault="003E5F89" w:rsidP="00FD3B3E"/>
    <w:p w:rsidR="003E5F89" w:rsidRPr="00CF15D8" w:rsidRDefault="003E5F89" w:rsidP="00FD3B3E">
      <w:pPr>
        <w:rPr>
          <w:u w:val="single"/>
        </w:rPr>
      </w:pPr>
      <w:r w:rsidRPr="00CF15D8">
        <w:rPr>
          <w:u w:val="single"/>
        </w:rPr>
        <w:t>Items of Information to be Collected</w:t>
      </w:r>
    </w:p>
    <w:p w:rsidR="005D50AE" w:rsidRPr="00CF15D8" w:rsidRDefault="005D50AE" w:rsidP="00FD3B3E">
      <w:pPr>
        <w:spacing w:after="120"/>
      </w:pPr>
      <w:r w:rsidRPr="00CF15D8">
        <w:t>Th</w:t>
      </w:r>
      <w:r w:rsidR="00AE17C6" w:rsidRPr="00CF15D8">
        <w:t>e information collected consists</w:t>
      </w:r>
      <w:r w:rsidRPr="00CF15D8">
        <w:t xml:space="preserve"> of laboratory demographic information about the testing facility, </w:t>
      </w:r>
      <w:r w:rsidR="00AE17C6" w:rsidRPr="00CF15D8">
        <w:t xml:space="preserve">the </w:t>
      </w:r>
      <w:r w:rsidR="00FA2EE6">
        <w:t>DST</w:t>
      </w:r>
      <w:r w:rsidRPr="00CF15D8">
        <w:t xml:space="preserve"> results</w:t>
      </w:r>
      <w:r w:rsidR="00AE17C6" w:rsidRPr="00CF15D8">
        <w:t>, and laboratory practices information</w:t>
      </w:r>
      <w:r w:rsidR="00E74EDE" w:rsidRPr="00CF15D8">
        <w:t xml:space="preserve"> associated with laboratory standards, guidelines, and testing methods</w:t>
      </w:r>
      <w:r w:rsidR="00AE17C6" w:rsidRPr="00CF15D8">
        <w:t>.</w:t>
      </w:r>
      <w:r w:rsidR="00E74EDE" w:rsidRPr="00CF15D8">
        <w:t xml:space="preserve">  No individually identifiable information is to be collected.</w:t>
      </w:r>
    </w:p>
    <w:p w:rsidR="003E5F89" w:rsidRPr="00CF15D8" w:rsidRDefault="003E5F89" w:rsidP="00FD3B3E"/>
    <w:p w:rsidR="003E5F89" w:rsidRPr="00CF15D8" w:rsidRDefault="003E5F89" w:rsidP="00FD3B3E">
      <w:r w:rsidRPr="00CF15D8">
        <w:rPr>
          <w:u w:val="single"/>
        </w:rPr>
        <w:t>Identification of Website(s) and Website Content Directed at Children Under 13 Years of Age</w:t>
      </w:r>
    </w:p>
    <w:p w:rsidR="00AE17C6" w:rsidRPr="00CF15D8" w:rsidRDefault="00E74EDE" w:rsidP="00FD3B3E">
      <w:r w:rsidRPr="00CF15D8">
        <w:lastRenderedPageBreak/>
        <w:t xml:space="preserve">The </w:t>
      </w:r>
      <w:r w:rsidR="005A55E2" w:rsidRPr="00CF15D8">
        <w:t xml:space="preserve">CDC </w:t>
      </w:r>
      <w:r w:rsidRPr="00CF15D8">
        <w:t xml:space="preserve">MPEP maintains a home page with program information. </w:t>
      </w:r>
      <w:r w:rsidR="00244006" w:rsidRPr="00CF15D8">
        <w:t>T</w:t>
      </w:r>
      <w:r w:rsidR="00AE17C6" w:rsidRPr="00CF15D8">
        <w:t>he website information is</w:t>
      </w:r>
      <w:r w:rsidR="00244006" w:rsidRPr="00CF15D8">
        <w:t xml:space="preserve"> not</w:t>
      </w:r>
      <w:r w:rsidR="00AE17C6" w:rsidRPr="00CF15D8">
        <w:t xml:space="preserve"> directed at children </w:t>
      </w:r>
      <w:r w:rsidR="007A167A" w:rsidRPr="00CF15D8">
        <w:t>less than</w:t>
      </w:r>
      <w:r w:rsidR="00AE17C6" w:rsidRPr="00CF15D8">
        <w:t xml:space="preserve"> 13 years of age.</w:t>
      </w:r>
    </w:p>
    <w:p w:rsidR="00AE17C6" w:rsidRPr="00CF15D8" w:rsidRDefault="00AE17C6" w:rsidP="00FD3B3E"/>
    <w:p w:rsidR="00F35BB5" w:rsidRDefault="00F35BB5" w:rsidP="00FD3B3E">
      <w:pPr>
        <w:rPr>
          <w:b/>
        </w:rPr>
      </w:pPr>
    </w:p>
    <w:p w:rsidR="006E179E" w:rsidRDefault="003E5F89" w:rsidP="00FD3B3E">
      <w:r w:rsidRPr="00CF15D8">
        <w:rPr>
          <w:b/>
        </w:rPr>
        <w:t>2.  Purpose and Use of Information Collection</w:t>
      </w:r>
    </w:p>
    <w:p w:rsidR="001E10B9" w:rsidRPr="00CF15D8" w:rsidRDefault="001E10B9" w:rsidP="00FD3B3E">
      <w:r w:rsidRPr="00D8688B">
        <w:t xml:space="preserve">Information collected </w:t>
      </w:r>
      <w:r w:rsidR="00E74EDE" w:rsidRPr="00D8688B">
        <w:t xml:space="preserve">from participants </w:t>
      </w:r>
      <w:r w:rsidR="00D8688B" w:rsidRPr="00D8688B">
        <w:t>is</w:t>
      </w:r>
      <w:r w:rsidRPr="00D8688B">
        <w:t xml:space="preserve"> compiled, analyzed, and </w:t>
      </w:r>
      <w:r w:rsidR="00D8688B" w:rsidRPr="00D8688B">
        <w:t>reported in a form</w:t>
      </w:r>
      <w:r w:rsidR="00C86B16">
        <w:t xml:space="preserve"> laboratories can use </w:t>
      </w:r>
      <w:r w:rsidRPr="00CF15D8">
        <w:t xml:space="preserve">as a self-assessment tool </w:t>
      </w:r>
      <w:r w:rsidR="00D8688B">
        <w:t>to</w:t>
      </w:r>
      <w:r w:rsidR="00C86B16">
        <w:t xml:space="preserve"> maintain the </w:t>
      </w:r>
      <w:r w:rsidRPr="00CF15D8">
        <w:t xml:space="preserve">skills </w:t>
      </w:r>
      <w:r w:rsidR="00D8688B">
        <w:t>for drug</w:t>
      </w:r>
      <w:r w:rsidRPr="00CF15D8">
        <w:t xml:space="preserve"> susceptibility testing of </w:t>
      </w:r>
      <w:r w:rsidR="006E179E">
        <w:t>M</w:t>
      </w:r>
      <w:r w:rsidRPr="00CF15D8">
        <w:t>TB</w:t>
      </w:r>
      <w:r w:rsidR="006E179E">
        <w:t>C.</w:t>
      </w:r>
      <w:r w:rsidRPr="00CF15D8">
        <w:t xml:space="preserve"> The challenge culture strains are sent twice yearly. If data </w:t>
      </w:r>
      <w:r w:rsidR="00244006" w:rsidRPr="00CF15D8">
        <w:t xml:space="preserve">from the challenge culture strains </w:t>
      </w:r>
      <w:r w:rsidRPr="00CF15D8">
        <w:t xml:space="preserve">are not collected and analyzed, laboratories may not have the ability to detect susceptibility testing and quality control problems, and therefore not correct </w:t>
      </w:r>
      <w:r w:rsidR="0019071B" w:rsidRPr="00CF15D8">
        <w:t>the problem</w:t>
      </w:r>
      <w:r w:rsidRPr="00CF15D8">
        <w:t xml:space="preserve">.  Data from this program will be used by CDC and other public health organizations to measure reproducibility of susceptibility test results performed with various test procedures in the U.S.  These results will be used to determine areas of need for training while monitoring reagents and test methodologies to improve the quality of susceptibility testing of </w:t>
      </w:r>
      <w:r w:rsidR="006E179E">
        <w:t>MTBC.</w:t>
      </w:r>
      <w:r w:rsidRPr="00CF15D8">
        <w:t xml:space="preserve">  </w:t>
      </w:r>
    </w:p>
    <w:p w:rsidR="00E74EDE" w:rsidRPr="00CF15D8" w:rsidRDefault="001E10B9" w:rsidP="00FD3B3E">
      <w:pPr>
        <w:spacing w:before="240"/>
      </w:pPr>
      <w:r w:rsidRPr="00CF15D8">
        <w:t xml:space="preserve">Because of the importance of accurate and timely test results for the success of TB surveillance, prevention, and treatment programs, the CDC has maintained an active role in the assurance of high quality laboratory testing.  </w:t>
      </w:r>
      <w:r w:rsidR="00FF4C0E">
        <w:t>MPEP</w:t>
      </w:r>
      <w:r w:rsidRPr="00CF15D8">
        <w:t xml:space="preserve"> fulfills part of this role by monitoring the level of performance and practices among public health and private sector laboratories within the U.S.  Information obtained on susceptibility testing pra</w:t>
      </w:r>
      <w:r w:rsidR="001C6DE8" w:rsidRPr="00CF15D8">
        <w:t xml:space="preserve">ctices and procedures </w:t>
      </w:r>
      <w:r w:rsidR="00C86B16">
        <w:t xml:space="preserve">help to </w:t>
      </w:r>
      <w:r w:rsidRPr="00CF15D8">
        <w:t>determin</w:t>
      </w:r>
      <w:r w:rsidR="00C86B16">
        <w:t>e</w:t>
      </w:r>
      <w:r w:rsidRPr="00CF15D8">
        <w:t xml:space="preserve"> variables r</w:t>
      </w:r>
      <w:r w:rsidR="001C6DE8" w:rsidRPr="00CF15D8">
        <w:t>elated to good performance,</w:t>
      </w:r>
      <w:r w:rsidRPr="00CF15D8">
        <w:t xml:space="preserve"> assessing areas for training and develop</w:t>
      </w:r>
      <w:r w:rsidR="00C86B16">
        <w:t xml:space="preserve">ment of </w:t>
      </w:r>
      <w:r w:rsidRPr="00CF15D8">
        <w:t xml:space="preserve">practice standards.  By providing a performance evaluation program to assess the ability of the laboratories to test for drug resistant </w:t>
      </w:r>
      <w:r w:rsidR="00FF4C0E">
        <w:t>isolates of MTBC</w:t>
      </w:r>
      <w:r w:rsidR="007A167A">
        <w:t xml:space="preserve">, </w:t>
      </w:r>
      <w:r w:rsidR="007A167A" w:rsidRPr="00CF15D8">
        <w:t>laboratories</w:t>
      </w:r>
      <w:r w:rsidRPr="00CF15D8">
        <w:t xml:space="preserve"> also have a self-assessment tool to aid in </w:t>
      </w:r>
      <w:r w:rsidR="0019071B" w:rsidRPr="00CF15D8">
        <w:t xml:space="preserve">optimizing </w:t>
      </w:r>
      <w:r w:rsidRPr="00CF15D8">
        <w:t>their skills in susceptibility testing.</w:t>
      </w:r>
      <w:r w:rsidR="001A1395">
        <w:t xml:space="preserve"> As previously stated, </w:t>
      </w:r>
      <w:r w:rsidR="00FF4C0E">
        <w:t xml:space="preserve">MPEP </w:t>
      </w:r>
      <w:r w:rsidR="00505B44" w:rsidRPr="00CF15D8">
        <w:t>is a voluntary self-assessment non-statistical data collection program</w:t>
      </w:r>
      <w:r w:rsidR="00C86B16">
        <w:t>.</w:t>
      </w:r>
    </w:p>
    <w:p w:rsidR="003E5F89" w:rsidRPr="00CF15D8" w:rsidRDefault="003E5F89" w:rsidP="00FD3B3E"/>
    <w:p w:rsidR="003E5F89" w:rsidRPr="00CF15D8" w:rsidRDefault="003E5F89" w:rsidP="007E22C3">
      <w:r w:rsidRPr="00CF15D8">
        <w:rPr>
          <w:u w:val="single"/>
        </w:rPr>
        <w:t>Privacy Impact Assessment Information</w:t>
      </w:r>
    </w:p>
    <w:p w:rsidR="003E5F89" w:rsidRPr="00CF15D8" w:rsidRDefault="00207CFC" w:rsidP="00FD3B3E">
      <w:r w:rsidRPr="00CF15D8">
        <w:t>No sensitive information will be collected.  This data collection will have little or no effect on the respondent’s privacy.</w:t>
      </w:r>
      <w:r w:rsidR="001367A4" w:rsidRPr="00CF15D8">
        <w:t xml:space="preserve"> No IIF is being collecte</w:t>
      </w:r>
      <w:r w:rsidR="0024226B" w:rsidRPr="00CF15D8">
        <w:t>d</w:t>
      </w:r>
      <w:r w:rsidR="001367A4" w:rsidRPr="00CF15D8">
        <w:t>.</w:t>
      </w:r>
    </w:p>
    <w:p w:rsidR="003E5F89" w:rsidRPr="00CF15D8" w:rsidRDefault="003E5F89" w:rsidP="00FD3B3E"/>
    <w:p w:rsidR="003E5F89" w:rsidRPr="00CF15D8" w:rsidRDefault="003E5F89" w:rsidP="00FD3B3E">
      <w:r w:rsidRPr="00CF15D8">
        <w:rPr>
          <w:b/>
        </w:rPr>
        <w:t>3. Use of Improved Information Technology and Burden Reduction</w:t>
      </w:r>
    </w:p>
    <w:p w:rsidR="001E10B9" w:rsidRPr="00CF15D8" w:rsidRDefault="001E10B9" w:rsidP="00FD3B3E">
      <w:r w:rsidRPr="00CF15D8">
        <w:t xml:space="preserve">To reduce the burden on each laboratory participant, CDC has provided online access </w:t>
      </w:r>
      <w:r w:rsidR="00FF4C0E">
        <w:t>for entering laboratory information</w:t>
      </w:r>
      <w:r w:rsidR="0032432E" w:rsidRPr="00CF15D8">
        <w:t xml:space="preserve"> and testing results</w:t>
      </w:r>
      <w:r w:rsidRPr="00CF15D8">
        <w:t xml:space="preserve"> through </w:t>
      </w:r>
      <w:r w:rsidR="00FF4C0E">
        <w:t>an</w:t>
      </w:r>
      <w:r w:rsidRPr="00CF15D8">
        <w:t xml:space="preserve"> internet webpage at </w:t>
      </w:r>
      <w:hyperlink r:id="rId12" w:history="1">
        <w:r w:rsidR="000A71A3" w:rsidRPr="00B21FE4">
          <w:rPr>
            <w:rStyle w:val="Hyperlink"/>
            <w:b/>
          </w:rPr>
          <w:t>http://www.snapsurveys.com/swh/surveylogin.asp?k=135817325450</w:t>
        </w:r>
      </w:hyperlink>
      <w:r w:rsidR="000A71A3" w:rsidRPr="00B21FE4">
        <w:rPr>
          <w:b/>
          <w:color w:val="454545"/>
        </w:rPr>
        <w:t xml:space="preserve">. </w:t>
      </w:r>
      <w:r w:rsidRPr="00CF15D8">
        <w:t xml:space="preserve"> </w:t>
      </w:r>
      <w:r w:rsidR="00FF4C0E">
        <w:t>S</w:t>
      </w:r>
      <w:r w:rsidRPr="00CF15D8">
        <w:t xml:space="preserve">ubmission </w:t>
      </w:r>
      <w:r w:rsidR="0032432E" w:rsidRPr="00CF15D8">
        <w:t xml:space="preserve">of all information is 100% web-based. </w:t>
      </w:r>
      <w:r w:rsidRPr="00CF15D8">
        <w:t xml:space="preserve"> A</w:t>
      </w:r>
      <w:r w:rsidR="00510FF2">
        <w:t xml:space="preserve"> MPEP dedicated</w:t>
      </w:r>
      <w:r w:rsidRPr="00CF15D8">
        <w:t xml:space="preserve"> phone number </w:t>
      </w:r>
      <w:r w:rsidR="00510FF2">
        <w:t>(404-639-4013) and email address (</w:t>
      </w:r>
      <w:hyperlink r:id="rId13" w:history="1">
        <w:r w:rsidR="00510FF2" w:rsidRPr="00CF6EBD">
          <w:rPr>
            <w:rStyle w:val="Hyperlink"/>
          </w:rPr>
          <w:t>TBMPEP@CDC.GOV</w:t>
        </w:r>
      </w:hyperlink>
      <w:r w:rsidR="00510FF2">
        <w:t xml:space="preserve">) are </w:t>
      </w:r>
      <w:r w:rsidRPr="00CF15D8">
        <w:t>available to provide technical assistance to program participants during the data entry periods.</w:t>
      </w:r>
    </w:p>
    <w:p w:rsidR="003E5F89" w:rsidRPr="00CF15D8" w:rsidRDefault="003E5F89" w:rsidP="00FD3B3E"/>
    <w:p w:rsidR="003E5F89" w:rsidRPr="00CF15D8" w:rsidRDefault="003E5F89" w:rsidP="00FD3B3E">
      <w:r w:rsidRPr="00CF15D8">
        <w:rPr>
          <w:b/>
        </w:rPr>
        <w:t>4. Efforts to Identify Duplication and Use of Similar Information</w:t>
      </w:r>
    </w:p>
    <w:p w:rsidR="001E10B9" w:rsidRPr="00CF15D8" w:rsidRDefault="001E10B9" w:rsidP="00FD3B3E">
      <w:r w:rsidRPr="00CF15D8">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w:t>
      </w:r>
      <w:proofErr w:type="spellStart"/>
      <w:r w:rsidR="003424F9">
        <w:t>M</w:t>
      </w:r>
      <w:r w:rsidR="003D5873" w:rsidRPr="00CF15D8">
        <w:t>ycobacteriology</w:t>
      </w:r>
      <w:proofErr w:type="spellEnd"/>
      <w:r w:rsidRPr="00CF15D8">
        <w:t xml:space="preserve"> does not specifically survey the same technical personnel or provide similar testing and feedback on </w:t>
      </w:r>
      <w:r w:rsidR="00510FF2">
        <w:t xml:space="preserve">MTBC </w:t>
      </w:r>
      <w:r w:rsidRPr="00CF15D8">
        <w:t xml:space="preserve">susceptibility testing.   </w:t>
      </w:r>
    </w:p>
    <w:p w:rsidR="003E5F89" w:rsidRPr="00CF15D8" w:rsidRDefault="003E5F89" w:rsidP="00FD3B3E">
      <w:r w:rsidRPr="00CF15D8">
        <w:rPr>
          <w:b/>
        </w:rPr>
        <w:lastRenderedPageBreak/>
        <w:t>5.  Impact on Small Businesses or Other Small Entities</w:t>
      </w:r>
    </w:p>
    <w:p w:rsidR="001E10B9" w:rsidRDefault="001E10B9" w:rsidP="00FD3B3E">
      <w:r w:rsidRPr="00CF15D8">
        <w:t xml:space="preserve">To reduce the burden on </w:t>
      </w:r>
      <w:r w:rsidR="00D9567F">
        <w:t>laboratories</w:t>
      </w:r>
      <w:r w:rsidR="00510FF2">
        <w:t xml:space="preserve"> a</w:t>
      </w:r>
      <w:r w:rsidR="00D92D7A" w:rsidRPr="00CF15D8">
        <w:t>ll results will be entered though a web-based application</w:t>
      </w:r>
      <w:r w:rsidR="001C6DE8" w:rsidRPr="00CF15D8">
        <w:t xml:space="preserve"> system</w:t>
      </w:r>
      <w:r w:rsidR="00D92D7A" w:rsidRPr="00CF15D8">
        <w:t>. The system allows laboratories to skip questions that do not pertain to their normal routine</w:t>
      </w:r>
      <w:r w:rsidR="00E24095" w:rsidRPr="00CF15D8">
        <w:t xml:space="preserve"> performance.</w:t>
      </w:r>
      <w:r w:rsidRPr="00CF15D8">
        <w:t xml:space="preserve">  Laboratories are only expected to report information for the level of testing they perform routinely.  Therefore, each laboratory’s voluntary participation imposes no additional record keeping.</w:t>
      </w:r>
      <w:r w:rsidR="00D9567F">
        <w:t xml:space="preserve">  None of the laboratories participating in this data collection would be considered small businesses or small entities.</w:t>
      </w:r>
    </w:p>
    <w:p w:rsidR="00510FF2" w:rsidRPr="00CF15D8" w:rsidRDefault="00510FF2" w:rsidP="00FD3B3E"/>
    <w:p w:rsidR="003E5F89" w:rsidRPr="00CF15D8" w:rsidRDefault="003E5F89" w:rsidP="00FD3B3E">
      <w:r w:rsidRPr="00CF15D8">
        <w:rPr>
          <w:b/>
        </w:rPr>
        <w:t>6. Consequences of Collecting the Information Less Frequently</w:t>
      </w:r>
    </w:p>
    <w:p w:rsidR="00E57371" w:rsidRPr="00CF15D8" w:rsidRDefault="00E57371" w:rsidP="00FD3B3E">
      <w:r w:rsidRPr="00CF15D8">
        <w:t>Laboratories will receive</w:t>
      </w:r>
      <w:r w:rsidR="0019071B" w:rsidRPr="00CF15D8">
        <w:t>,</w:t>
      </w:r>
      <w:r w:rsidRPr="00CF15D8">
        <w:t xml:space="preserve"> test</w:t>
      </w:r>
      <w:r w:rsidR="0019071B" w:rsidRPr="00CF15D8">
        <w:t>,</w:t>
      </w:r>
      <w:r w:rsidRPr="00CF15D8">
        <w:t xml:space="preserve"> and record data on select </w:t>
      </w:r>
      <w:r w:rsidR="00E24095" w:rsidRPr="00CF15D8">
        <w:t>isolates</w:t>
      </w:r>
      <w:r w:rsidRPr="00CF15D8">
        <w:t xml:space="preserve"> </w:t>
      </w:r>
      <w:r w:rsidR="00510FF2">
        <w:t xml:space="preserve">of MTBC </w:t>
      </w:r>
      <w:r w:rsidRPr="00CF15D8">
        <w:t xml:space="preserve">twice </w:t>
      </w:r>
      <w:r w:rsidR="00E24095" w:rsidRPr="00CF15D8">
        <w:t>yearly</w:t>
      </w:r>
      <w:r w:rsidRPr="00CF15D8">
        <w:t xml:space="preserve">.  This semi-annual shipment and data collection system allows laboratories the opportunity to maintain proficiency in detecting drug resistance while providing the necessary feedback to ensure a period of time sufficient for resolving any proficiency issues in the laboratory.  </w:t>
      </w:r>
      <w:r w:rsidR="00E24095" w:rsidRPr="00CF15D8">
        <w:t>Semi-annual shipments and data collection allows laboratories entering the program to participate at least once during their entry year. Changes in laboratory guidelines and practices will be captured at this time.</w:t>
      </w:r>
      <w:r w:rsidRPr="00CF15D8">
        <w:t xml:space="preserve">  There are no legal obstacles to reduce the burden.</w:t>
      </w:r>
      <w:r w:rsidR="006424C2" w:rsidRPr="00CF15D8">
        <w:t xml:space="preserve">  The laboratory practices questionnaire will only be conducted every other year. </w:t>
      </w:r>
      <w:r w:rsidRPr="00CF15D8">
        <w:t xml:space="preserve">  </w:t>
      </w:r>
    </w:p>
    <w:p w:rsidR="003E5F89" w:rsidRPr="00CF15D8" w:rsidRDefault="003E5F89" w:rsidP="00FD3B3E"/>
    <w:p w:rsidR="003E5F89" w:rsidRPr="00CF15D8" w:rsidRDefault="003E5F89" w:rsidP="00FD3B3E">
      <w:r w:rsidRPr="00CF15D8">
        <w:rPr>
          <w:b/>
        </w:rPr>
        <w:t>7. Special Circumstances Relating to the Guidelines of 5 CFR 1320.5</w:t>
      </w:r>
    </w:p>
    <w:p w:rsidR="00E57371" w:rsidRPr="00CF15D8" w:rsidRDefault="00E57371" w:rsidP="00FD3B3E">
      <w:pPr>
        <w:rPr>
          <w:b/>
        </w:rPr>
      </w:pPr>
      <w:r w:rsidRPr="00CF15D8">
        <w:t>The information collection activity fully complies with Guidelines 5 CFR 1320.5.  No special circumstances are planned or intended for the respondents.</w:t>
      </w:r>
    </w:p>
    <w:p w:rsidR="003E5F89" w:rsidRPr="00CF15D8" w:rsidRDefault="003E5F89" w:rsidP="00FD3B3E"/>
    <w:p w:rsidR="003E5F89" w:rsidRPr="00CF15D8" w:rsidRDefault="00EE7156" w:rsidP="00FD3B3E">
      <w:r w:rsidRPr="00CF15D8">
        <w:rPr>
          <w:b/>
        </w:rPr>
        <w:t>8. Comments in Response to the Federal Register Notice and Efforts to Consult Outside the Agency</w:t>
      </w:r>
    </w:p>
    <w:p w:rsidR="00EE7156" w:rsidRPr="00CF15D8" w:rsidRDefault="0097694D" w:rsidP="00FD3B3E">
      <w:r>
        <w:t>The</w:t>
      </w:r>
      <w:r w:rsidR="00E512D0">
        <w:t xml:space="preserve"> 60-day Federal Register Notice </w:t>
      </w:r>
      <w:r>
        <w:t xml:space="preserve">was published </w:t>
      </w:r>
      <w:r w:rsidRPr="0097694D">
        <w:t>Friday, January 18, 2013</w:t>
      </w:r>
      <w:r>
        <w:t xml:space="preserve">, </w:t>
      </w:r>
      <w:r w:rsidRPr="0097694D">
        <w:t xml:space="preserve"> Vol. 78, No. 13 </w:t>
      </w:r>
      <w:r>
        <w:t xml:space="preserve">pages </w:t>
      </w:r>
      <w:r w:rsidRPr="0097694D">
        <w:t>4148</w:t>
      </w:r>
      <w:r>
        <w:t>-4149</w:t>
      </w:r>
      <w:r w:rsidR="00E512D0">
        <w:t xml:space="preserve"> (</w:t>
      </w:r>
      <w:r>
        <w:t xml:space="preserve">see </w:t>
      </w:r>
      <w:r w:rsidR="00E512D0" w:rsidRPr="003424F9">
        <w:rPr>
          <w:b/>
        </w:rPr>
        <w:t>Attachment</w:t>
      </w:r>
      <w:r w:rsidR="00E512D0">
        <w:t xml:space="preserve"> </w:t>
      </w:r>
      <w:r w:rsidR="00E512D0" w:rsidRPr="003424F9">
        <w:rPr>
          <w:b/>
        </w:rPr>
        <w:t>B</w:t>
      </w:r>
      <w:r w:rsidR="00E512D0">
        <w:t>).</w:t>
      </w:r>
      <w:r w:rsidR="003424F9">
        <w:t xml:space="preserve"> </w:t>
      </w:r>
      <w:r w:rsidR="00402D78">
        <w:t xml:space="preserve"> No public comments were received. </w:t>
      </w:r>
    </w:p>
    <w:p w:rsidR="00EE7156" w:rsidRPr="00CF15D8" w:rsidRDefault="00EE7156" w:rsidP="00FD3B3E">
      <w:pPr>
        <w:rPr>
          <w:color w:val="993366"/>
        </w:rPr>
      </w:pPr>
    </w:p>
    <w:p w:rsidR="00EE7156" w:rsidRPr="00CF15D8" w:rsidRDefault="00EE7156" w:rsidP="00FD3B3E">
      <w:r w:rsidRPr="00CF15D8">
        <w:rPr>
          <w:b/>
        </w:rPr>
        <w:t>9.  Explanations of Any Payment or Gift to Respondents</w:t>
      </w:r>
    </w:p>
    <w:p w:rsidR="00516916" w:rsidRPr="00CF15D8" w:rsidRDefault="00516916" w:rsidP="00FD3B3E">
      <w:r w:rsidRPr="00CF15D8">
        <w:t xml:space="preserve">There will be no </w:t>
      </w:r>
      <w:r w:rsidR="003424F9">
        <w:t>payments or tokens of appreciation offered for participation.</w:t>
      </w:r>
    </w:p>
    <w:p w:rsidR="00EE7156" w:rsidRPr="00CF15D8" w:rsidRDefault="00EE7156" w:rsidP="00FD3B3E"/>
    <w:p w:rsidR="00EE7156" w:rsidRPr="00CF15D8" w:rsidRDefault="00EE7156" w:rsidP="00FD3B3E">
      <w:pPr>
        <w:rPr>
          <w:b/>
        </w:rPr>
      </w:pPr>
      <w:r w:rsidRPr="00CF15D8">
        <w:rPr>
          <w:b/>
        </w:rPr>
        <w:t>10. Assurance of Confidentiality Provided to Respondents</w:t>
      </w:r>
    </w:p>
    <w:p w:rsidR="00516916" w:rsidRPr="00CF15D8" w:rsidRDefault="00516916" w:rsidP="00FD3B3E">
      <w:r w:rsidRPr="00CF15D8">
        <w:t xml:space="preserve">The CDC Privacy Act Officer has reviewed this </w:t>
      </w:r>
      <w:r w:rsidR="003077A7">
        <w:t xml:space="preserve">information collection request </w:t>
      </w:r>
      <w:r w:rsidRPr="00CF15D8">
        <w:t>and has determined that the Privacy Act is not applicable.  Respondents are domestic laboratories that perform susceptibility testing</w:t>
      </w:r>
      <w:r w:rsidR="00510FF2">
        <w:t xml:space="preserve"> on isolates of MTBC</w:t>
      </w:r>
      <w:r w:rsidRPr="00CF15D8">
        <w:t xml:space="preserve">.  Although data collection forms request the name of the individual who completes the form on behalf of the respondent laboratory, the individual is </w:t>
      </w:r>
      <w:r w:rsidR="003077A7">
        <w:t xml:space="preserve">responding </w:t>
      </w:r>
      <w:r w:rsidRPr="00CF15D8">
        <w:t>in their role as an official contact for the laboratory, and does not provide personal information.  The Privacy Act does not apply to organizations.</w:t>
      </w:r>
    </w:p>
    <w:p w:rsidR="00516916" w:rsidRPr="00CF15D8" w:rsidRDefault="00516916" w:rsidP="00FD3B3E"/>
    <w:p w:rsidR="00516916" w:rsidRPr="00CF15D8" w:rsidRDefault="002E2391" w:rsidP="00FD3B3E">
      <w:r w:rsidRPr="00CF15D8">
        <w:t>CDC</w:t>
      </w:r>
      <w:r w:rsidR="00516916" w:rsidRPr="00CF15D8">
        <w:t xml:space="preserve"> is responsible for</w:t>
      </w:r>
      <w:r w:rsidR="005265F2">
        <w:t xml:space="preserve"> enrolling participants</w:t>
      </w:r>
      <w:r w:rsidR="00516916" w:rsidRPr="00CF15D8">
        <w:t xml:space="preserve"> for </w:t>
      </w:r>
      <w:r w:rsidR="00510FF2">
        <w:t>MPEP</w:t>
      </w:r>
      <w:r w:rsidR="00516916" w:rsidRPr="00CF15D8">
        <w:t xml:space="preserve">.  </w:t>
      </w:r>
      <w:r w:rsidR="003C7569" w:rsidRPr="00CF15D8">
        <w:t xml:space="preserve">Laboratories </w:t>
      </w:r>
      <w:r w:rsidR="00516916" w:rsidRPr="00CF15D8">
        <w:t xml:space="preserve">that wish to enroll </w:t>
      </w:r>
      <w:r w:rsidR="00BE239B" w:rsidRPr="00CF15D8">
        <w:t xml:space="preserve">must </w:t>
      </w:r>
      <w:r w:rsidR="00516916" w:rsidRPr="00CF15D8">
        <w:t xml:space="preserve">do so </w:t>
      </w:r>
      <w:r w:rsidR="005265F2">
        <w:t xml:space="preserve">by completing and signing a </w:t>
      </w:r>
      <w:r w:rsidR="005265F2" w:rsidRPr="005265F2">
        <w:t>Participant Biosafety Compliance Letter of Agreement</w:t>
      </w:r>
      <w:r w:rsidR="005265F2">
        <w:t xml:space="preserve"> (</w:t>
      </w:r>
      <w:r w:rsidR="005265F2" w:rsidRPr="00E53A5C">
        <w:rPr>
          <w:b/>
        </w:rPr>
        <w:t>Attachment A</w:t>
      </w:r>
      <w:r w:rsidR="005265F2">
        <w:t>)</w:t>
      </w:r>
      <w:r w:rsidR="00991E74">
        <w:t>.</w:t>
      </w:r>
      <w:r w:rsidR="00516916" w:rsidRPr="00CF15D8">
        <w:t xml:space="preserve">  </w:t>
      </w:r>
      <w:r w:rsidR="007A167A">
        <w:t>CDC assigns</w:t>
      </w:r>
      <w:r w:rsidR="004D664D">
        <w:t xml:space="preserve"> a unique identification number (T</w:t>
      </w:r>
      <w:r w:rsidR="005265F2">
        <w:t xml:space="preserve">PEP number) to each enrolled </w:t>
      </w:r>
      <w:r w:rsidR="004D664D">
        <w:t xml:space="preserve">participant.  </w:t>
      </w:r>
      <w:r w:rsidR="007A167A" w:rsidRPr="00CF15D8">
        <w:t>CDC</w:t>
      </w:r>
      <w:r w:rsidR="007A167A">
        <w:t xml:space="preserve"> maintains</w:t>
      </w:r>
      <w:r w:rsidR="004D664D">
        <w:t xml:space="preserve"> the </w:t>
      </w:r>
      <w:r w:rsidR="00516916" w:rsidRPr="00CF15D8">
        <w:t xml:space="preserve">records that link the unique </w:t>
      </w:r>
      <w:r w:rsidR="003C7569" w:rsidRPr="00CF15D8">
        <w:t>T</w:t>
      </w:r>
      <w:r w:rsidR="00516916" w:rsidRPr="00CF15D8">
        <w:t xml:space="preserve">PEP </w:t>
      </w:r>
      <w:r w:rsidR="00BE239B" w:rsidRPr="00CF15D8">
        <w:t>n</w:t>
      </w:r>
      <w:r w:rsidR="00516916" w:rsidRPr="00CF15D8">
        <w:t xml:space="preserve">umber to the respondent organization's name. </w:t>
      </w:r>
    </w:p>
    <w:p w:rsidR="005F6C95" w:rsidRPr="00CF15D8" w:rsidRDefault="005F6C95" w:rsidP="00FD3B3E"/>
    <w:p w:rsidR="00516916" w:rsidRPr="00CF15D8" w:rsidRDefault="006424C2" w:rsidP="00FD3B3E">
      <w:r w:rsidRPr="00CF15D8">
        <w:t>Participants</w:t>
      </w:r>
      <w:r w:rsidR="00516916" w:rsidRPr="00CF15D8">
        <w:t xml:space="preserve"> </w:t>
      </w:r>
      <w:r w:rsidR="00C40811" w:rsidRPr="00CF15D8">
        <w:t>are required</w:t>
      </w:r>
      <w:r w:rsidR="00516916" w:rsidRPr="00CF15D8">
        <w:t xml:space="preserve"> to submit data online </w:t>
      </w:r>
      <w:r w:rsidR="005F6C95" w:rsidRPr="00CF15D8">
        <w:t xml:space="preserve">by using </w:t>
      </w:r>
      <w:r w:rsidR="005265F2">
        <w:t>their</w:t>
      </w:r>
      <w:r w:rsidR="005F6C95" w:rsidRPr="00CF15D8">
        <w:t xml:space="preserve"> </w:t>
      </w:r>
      <w:r w:rsidR="00516916" w:rsidRPr="00CF15D8">
        <w:t>assigned</w:t>
      </w:r>
      <w:r w:rsidR="005265F2">
        <w:t xml:space="preserve"> TPEP number</w:t>
      </w:r>
      <w:r w:rsidR="00C40811" w:rsidRPr="00CF15D8">
        <w:t>.</w:t>
      </w:r>
      <w:r w:rsidR="00516916" w:rsidRPr="00CF15D8">
        <w:t xml:space="preserve">  </w:t>
      </w:r>
      <w:r w:rsidR="00C40811" w:rsidRPr="00CF15D8">
        <w:t xml:space="preserve">The </w:t>
      </w:r>
      <w:r w:rsidR="00516916" w:rsidRPr="00CF15D8">
        <w:t xml:space="preserve">CDC staff </w:t>
      </w:r>
      <w:r w:rsidR="00C40811" w:rsidRPr="00CF15D8">
        <w:t>has</w:t>
      </w:r>
      <w:r w:rsidR="00516916" w:rsidRPr="00CF15D8">
        <w:t xml:space="preserve"> access to respondent names and the information that links a respondent's name to the </w:t>
      </w:r>
      <w:r w:rsidR="00516916" w:rsidRPr="00CF15D8">
        <w:lastRenderedPageBreak/>
        <w:t xml:space="preserve">corresponding </w:t>
      </w:r>
      <w:r w:rsidR="003C7569" w:rsidRPr="00CF15D8">
        <w:t>T</w:t>
      </w:r>
      <w:r w:rsidR="00BE239B" w:rsidRPr="00CF15D8">
        <w:t>PEP n</w:t>
      </w:r>
      <w:r w:rsidR="00516916" w:rsidRPr="00CF15D8">
        <w:t xml:space="preserve">umber.  However, </w:t>
      </w:r>
      <w:r w:rsidR="004D664D">
        <w:t xml:space="preserve">CDC </w:t>
      </w:r>
      <w:r w:rsidR="00516916" w:rsidRPr="00CF15D8">
        <w:t xml:space="preserve">program </w:t>
      </w:r>
      <w:r w:rsidR="007A167A" w:rsidRPr="00CF15D8">
        <w:t xml:space="preserve">staff </w:t>
      </w:r>
      <w:r w:rsidR="007A167A">
        <w:t>has</w:t>
      </w:r>
      <w:r w:rsidR="004D664D">
        <w:t xml:space="preserve"> </w:t>
      </w:r>
      <w:r w:rsidR="00516916" w:rsidRPr="00CF15D8">
        <w:t xml:space="preserve">only routine access to response information that is coded by the </w:t>
      </w:r>
      <w:r w:rsidR="00C40811" w:rsidRPr="00CF15D8">
        <w:t>T</w:t>
      </w:r>
      <w:r w:rsidR="00516916" w:rsidRPr="00CF15D8">
        <w:t xml:space="preserve">PEP </w:t>
      </w:r>
      <w:r w:rsidR="00BE239B" w:rsidRPr="00CF15D8">
        <w:t>n</w:t>
      </w:r>
      <w:r w:rsidR="00516916" w:rsidRPr="00CF15D8">
        <w:t xml:space="preserve">umber.  This system safeguards respondent privacy and allows </w:t>
      </w:r>
      <w:r w:rsidR="004D664D">
        <w:t>CDC</w:t>
      </w:r>
      <w:r w:rsidR="00516916" w:rsidRPr="00CF15D8">
        <w:t xml:space="preserve"> staff to conduct primary analyses only on de-identified data.</w:t>
      </w:r>
    </w:p>
    <w:p w:rsidR="00516916" w:rsidRDefault="00C40811" w:rsidP="00881391">
      <w:r w:rsidRPr="00CF15D8">
        <w:t>T</w:t>
      </w:r>
      <w:r w:rsidR="00516916" w:rsidRPr="00CF15D8">
        <w:t xml:space="preserve">he </w:t>
      </w:r>
      <w:r w:rsidRPr="00CF15D8">
        <w:t>T</w:t>
      </w:r>
      <w:r w:rsidR="00457EED" w:rsidRPr="00CF15D8">
        <w:t>PEP n</w:t>
      </w:r>
      <w:r w:rsidR="00516916" w:rsidRPr="00CF15D8">
        <w:t xml:space="preserve">umber is associated with laboratory performance records only.  The Laboratory </w:t>
      </w:r>
      <w:r w:rsidRPr="00CF15D8">
        <w:t>T</w:t>
      </w:r>
      <w:r w:rsidR="00516916" w:rsidRPr="00CF15D8">
        <w:t xml:space="preserve">PEP </w:t>
      </w:r>
      <w:r w:rsidR="00BE239B" w:rsidRPr="00CF15D8">
        <w:t>n</w:t>
      </w:r>
      <w:r w:rsidR="00516916" w:rsidRPr="00CF15D8">
        <w:t xml:space="preserve">umber link to the </w:t>
      </w:r>
      <w:r w:rsidR="00FB6EB5" w:rsidRPr="00CF15D8">
        <w:t>m</w:t>
      </w:r>
      <w:r w:rsidR="00516916" w:rsidRPr="00CF15D8">
        <w:t xml:space="preserve">aster </w:t>
      </w:r>
      <w:r w:rsidR="00FB6EB5" w:rsidRPr="00CF15D8">
        <w:t>l</w:t>
      </w:r>
      <w:r w:rsidR="00516916" w:rsidRPr="00CF15D8">
        <w:t xml:space="preserve">aboratory </w:t>
      </w:r>
      <w:r w:rsidR="00FB6EB5" w:rsidRPr="00CF15D8">
        <w:t>i</w:t>
      </w:r>
      <w:r w:rsidR="00516916" w:rsidRPr="00CF15D8">
        <w:t xml:space="preserve">dentification </w:t>
      </w:r>
      <w:r w:rsidR="00FB6EB5" w:rsidRPr="00CF15D8">
        <w:t>n</w:t>
      </w:r>
      <w:r w:rsidR="00516916" w:rsidRPr="00CF15D8">
        <w:t>umber link is stored in a separate data set</w:t>
      </w:r>
      <w:r w:rsidR="002648B6" w:rsidRPr="00CF15D8">
        <w:t>.</w:t>
      </w:r>
      <w:r w:rsidR="00516916" w:rsidRPr="00CF15D8">
        <w:t xml:space="preserve"> </w:t>
      </w:r>
      <w:r w:rsidR="005F6C95" w:rsidRPr="00CF15D8">
        <w:t xml:space="preserve"> </w:t>
      </w:r>
      <w:r w:rsidR="002648B6" w:rsidRPr="00CF15D8">
        <w:t>The</w:t>
      </w:r>
      <w:r w:rsidR="00C527DE" w:rsidRPr="00CF15D8">
        <w:t xml:space="preserve"> CDC</w:t>
      </w:r>
      <w:r w:rsidR="002648B6" w:rsidRPr="00CF15D8">
        <w:t xml:space="preserve"> </w:t>
      </w:r>
      <w:r w:rsidR="005F6C95" w:rsidRPr="00CF15D8">
        <w:t>staff</w:t>
      </w:r>
      <w:r w:rsidR="00516916" w:rsidRPr="00CF15D8">
        <w:t xml:space="preserve"> uses this </w:t>
      </w:r>
      <w:r w:rsidR="005F6C95" w:rsidRPr="00CF15D8">
        <w:t>m</w:t>
      </w:r>
      <w:r w:rsidR="00516916" w:rsidRPr="00CF15D8">
        <w:t xml:space="preserve">aster </w:t>
      </w:r>
      <w:r w:rsidR="005F6C95" w:rsidRPr="00CF15D8">
        <w:t>l</w:t>
      </w:r>
      <w:r w:rsidR="00516916" w:rsidRPr="00CF15D8">
        <w:t xml:space="preserve">aboratory </w:t>
      </w:r>
      <w:r w:rsidR="005F6C95" w:rsidRPr="00CF15D8">
        <w:t>i</w:t>
      </w:r>
      <w:r w:rsidR="00516916" w:rsidRPr="00CF15D8">
        <w:t xml:space="preserve">dentification </w:t>
      </w:r>
      <w:r w:rsidR="005F6C95" w:rsidRPr="00CF15D8">
        <w:t>n</w:t>
      </w:r>
      <w:r w:rsidR="00516916" w:rsidRPr="00CF15D8">
        <w:t xml:space="preserve">umber to link the </w:t>
      </w:r>
      <w:r w:rsidR="005F6C95" w:rsidRPr="00CF15D8">
        <w:t>l</w:t>
      </w:r>
      <w:r w:rsidR="00516916" w:rsidRPr="00CF15D8">
        <w:t xml:space="preserve">aboratory </w:t>
      </w:r>
      <w:r w:rsidR="00C527DE" w:rsidRPr="00CF15D8">
        <w:t>T</w:t>
      </w:r>
      <w:r w:rsidR="00516916" w:rsidRPr="00CF15D8">
        <w:t xml:space="preserve">PEP number to the laboratory address for the purpose of connecting files and creating </w:t>
      </w:r>
      <w:r w:rsidR="00C527DE" w:rsidRPr="00CF15D8">
        <w:t xml:space="preserve">aggregate </w:t>
      </w:r>
      <w:r w:rsidR="00516916" w:rsidRPr="00CF15D8">
        <w:t>reports</w:t>
      </w:r>
      <w:r w:rsidR="00C527DE" w:rsidRPr="00CF15D8">
        <w:t xml:space="preserve"> for distribution to participant laboratories, </w:t>
      </w:r>
      <w:r w:rsidR="00516916" w:rsidRPr="00CF15D8">
        <w:t xml:space="preserve">as needed.  All report generation which requires the use of the laboratory identity is the responsibility of the </w:t>
      </w:r>
      <w:r w:rsidR="007A167A" w:rsidRPr="00CF15D8">
        <w:t>CDC staff</w:t>
      </w:r>
      <w:r w:rsidR="00B91507" w:rsidRPr="00CF15D8">
        <w:t>.</w:t>
      </w:r>
      <w:r w:rsidR="00516916" w:rsidRPr="00CF15D8">
        <w:t xml:space="preserve">  </w:t>
      </w:r>
    </w:p>
    <w:p w:rsidR="00881391" w:rsidRPr="00CF15D8" w:rsidRDefault="00881391" w:rsidP="00881391"/>
    <w:p w:rsidR="00BA71B3" w:rsidRPr="00CF15D8" w:rsidRDefault="00516916" w:rsidP="00FD3B3E">
      <w:pPr>
        <w:tabs>
          <w:tab w:val="left" w:pos="0"/>
        </w:tabs>
      </w:pPr>
      <w:r w:rsidRPr="00CF15D8">
        <w:t xml:space="preserve">Response data is primarily filed and retrieved by the </w:t>
      </w:r>
      <w:r w:rsidR="007A30AB" w:rsidRPr="00CF15D8">
        <w:t>TPEP</w:t>
      </w:r>
      <w:r w:rsidRPr="00CF15D8">
        <w:t xml:space="preserve"> number.  The master copy of the data base </w:t>
      </w:r>
      <w:r w:rsidR="00E8076A" w:rsidRPr="00CF15D8">
        <w:t xml:space="preserve">is </w:t>
      </w:r>
      <w:r w:rsidRPr="00CF15D8">
        <w:t xml:space="preserve">to be maintained by </w:t>
      </w:r>
      <w:r w:rsidR="000D58CE" w:rsidRPr="00CF15D8">
        <w:t>CDC</w:t>
      </w:r>
      <w:r w:rsidR="00BC0541" w:rsidRPr="00CF15D8">
        <w:t xml:space="preserve"> </w:t>
      </w:r>
      <w:r w:rsidR="007A167A" w:rsidRPr="00CF15D8">
        <w:t xml:space="preserve">staff </w:t>
      </w:r>
      <w:r w:rsidR="007A167A">
        <w:t>that</w:t>
      </w:r>
      <w:r w:rsidR="007A167A" w:rsidRPr="00CF15D8">
        <w:t xml:space="preserve"> restricts</w:t>
      </w:r>
      <w:r w:rsidRPr="00CF15D8">
        <w:t xml:space="preserve"> access to the data to designated </w:t>
      </w:r>
      <w:r w:rsidR="004D664D">
        <w:t>CDC program</w:t>
      </w:r>
      <w:r w:rsidRPr="00CF15D8">
        <w:t xml:space="preserve"> personnel</w:t>
      </w:r>
      <w:r w:rsidR="000D58CE" w:rsidRPr="00CF15D8">
        <w:t>.</w:t>
      </w:r>
      <w:r w:rsidRPr="00CF15D8">
        <w:t xml:space="preserve"> </w:t>
      </w:r>
      <w:r w:rsidR="00881391">
        <w:t>CDC IT</w:t>
      </w:r>
      <w:r w:rsidR="00E8076A" w:rsidRPr="00CF15D8">
        <w:t xml:space="preserve"> staff</w:t>
      </w:r>
      <w:r w:rsidR="00881391">
        <w:t xml:space="preserve"> are</w:t>
      </w:r>
      <w:r w:rsidRPr="00CF15D8">
        <w:t xml:space="preserve"> responsible for ensuring that adequate backup and recovery procedures are in place to ensure that accidental or natural occurrences will not result in loss of project data.  These procedures, as a minimum, include regular generation of two (2) backup copies of the data base, with one copy transferred to a secure, off-site facility.  In addition, backups are made after major updates to the data base are performed.</w:t>
      </w:r>
      <w:r w:rsidR="00BA71B3" w:rsidRPr="00CF15D8">
        <w:t xml:space="preserve">  </w:t>
      </w:r>
    </w:p>
    <w:p w:rsidR="00BA71B3" w:rsidRPr="00CF15D8" w:rsidRDefault="00BA71B3" w:rsidP="00FD3B3E">
      <w:pPr>
        <w:tabs>
          <w:tab w:val="left" w:pos="0"/>
        </w:tabs>
      </w:pPr>
    </w:p>
    <w:p w:rsidR="00516916" w:rsidRPr="00CF15D8" w:rsidRDefault="00516916" w:rsidP="00FD3B3E">
      <w:pPr>
        <w:tabs>
          <w:tab w:val="left" w:pos="0"/>
        </w:tabs>
      </w:pPr>
      <w:r w:rsidRPr="00CF15D8">
        <w:t xml:space="preserve">The data collection procedures allow CDC to conduct primary analyses on the data.  However, since CDC </w:t>
      </w:r>
      <w:r w:rsidR="004D664D">
        <w:t>o</w:t>
      </w:r>
      <w:r w:rsidRPr="00CF15D8">
        <w:t>ffer</w:t>
      </w:r>
      <w:r w:rsidR="004D664D">
        <w:t>s</w:t>
      </w:r>
      <w:r w:rsidRPr="00CF15D8">
        <w:t xml:space="preserve"> consultation for the participant laboratories, </w:t>
      </w:r>
      <w:r w:rsidR="004D664D">
        <w:t xml:space="preserve">CDC </w:t>
      </w:r>
      <w:r w:rsidRPr="00CF15D8">
        <w:t>maintain</w:t>
      </w:r>
      <w:r w:rsidR="004D664D">
        <w:t>s</w:t>
      </w:r>
      <w:r w:rsidRPr="00CF15D8">
        <w:t xml:space="preserve"> the capability to re-link identification information</w:t>
      </w:r>
      <w:r w:rsidR="007D0D0A" w:rsidRPr="00CF15D8">
        <w:t>,</w:t>
      </w:r>
      <w:r w:rsidRPr="00CF15D8">
        <w:t xml:space="preserve"> if an individual laboratory seeks CDC’s help in </w:t>
      </w:r>
      <w:r w:rsidR="004D664D">
        <w:t xml:space="preserve">resolving </w:t>
      </w:r>
      <w:r w:rsidRPr="00CF15D8">
        <w:t xml:space="preserve">testing problems.  While </w:t>
      </w:r>
      <w:r w:rsidR="004D664D">
        <w:t>CDC</w:t>
      </w:r>
      <w:r w:rsidRPr="00CF15D8">
        <w:t xml:space="preserve"> do</w:t>
      </w:r>
      <w:r w:rsidR="004D664D">
        <w:t>es</w:t>
      </w:r>
      <w:r w:rsidRPr="00CF15D8">
        <w:t xml:space="preserve"> not anticipate the re-linking </w:t>
      </w:r>
      <w:r w:rsidR="00F20E61" w:rsidRPr="00CF15D8">
        <w:t xml:space="preserve">of </w:t>
      </w:r>
      <w:r w:rsidRPr="00CF15D8">
        <w:t>identifiers to be a regular occurrence, one can</w:t>
      </w:r>
      <w:r w:rsidR="00FB324D" w:rsidRPr="00CF15D8">
        <w:t>not</w:t>
      </w:r>
      <w:r w:rsidRPr="00CF15D8">
        <w:t xml:space="preserve"> be </w:t>
      </w:r>
      <w:r w:rsidR="00F20E61" w:rsidRPr="00CF15D8">
        <w:t xml:space="preserve">certain </w:t>
      </w:r>
      <w:r w:rsidRPr="00CF15D8">
        <w:t xml:space="preserve">how </w:t>
      </w:r>
      <w:r w:rsidR="00F20E61" w:rsidRPr="00CF15D8">
        <w:t>a given t</w:t>
      </w:r>
      <w:r w:rsidRPr="00CF15D8">
        <w:t xml:space="preserve">est will perform in laboratories.  </w:t>
      </w:r>
      <w:r w:rsidR="004D664D">
        <w:t>CDC</w:t>
      </w:r>
      <w:r w:rsidRPr="00CF15D8">
        <w:t xml:space="preserve"> envision</w:t>
      </w:r>
      <w:r w:rsidR="004D664D">
        <w:t>s</w:t>
      </w:r>
      <w:r w:rsidRPr="00CF15D8">
        <w:t xml:space="preserve"> that the re-linking function will persist only for the brief length of time needed to address the performance issues</w:t>
      </w:r>
      <w:r w:rsidR="00D67C74" w:rsidRPr="00CF15D8">
        <w:t xml:space="preserve"> raised by the inquiring participant laboratory</w:t>
      </w:r>
      <w:r w:rsidRPr="00CF15D8">
        <w:t xml:space="preserve"> of high public health impact associated with any given survey.   </w:t>
      </w:r>
    </w:p>
    <w:p w:rsidR="00516916" w:rsidRPr="00CF15D8" w:rsidRDefault="00516916" w:rsidP="00FD3B3E">
      <w:pPr>
        <w:rPr>
          <w:b/>
        </w:rPr>
      </w:pPr>
    </w:p>
    <w:p w:rsidR="00EE7156" w:rsidRPr="00CF15D8" w:rsidRDefault="00EE7156" w:rsidP="00FD3B3E"/>
    <w:p w:rsidR="00EE7156" w:rsidRPr="00CF15D8" w:rsidRDefault="00EE7156" w:rsidP="00FD3B3E">
      <w:pPr>
        <w:rPr>
          <w:u w:val="single"/>
        </w:rPr>
      </w:pPr>
      <w:r w:rsidRPr="00CF15D8">
        <w:rPr>
          <w:u w:val="single"/>
        </w:rPr>
        <w:t>Privacy Impact Assessment Information</w:t>
      </w:r>
    </w:p>
    <w:p w:rsidR="00695E0E" w:rsidRPr="00CF15D8" w:rsidRDefault="00695E0E" w:rsidP="00FD3B3E">
      <w:r w:rsidRPr="00CF15D8">
        <w:t>Data will be treated in a secure manner and will not be disclosed, unless otherwise compelled by law.</w:t>
      </w:r>
    </w:p>
    <w:p w:rsidR="00EE7156" w:rsidRPr="00CF15D8" w:rsidRDefault="00EE7156" w:rsidP="00FD3B3E"/>
    <w:p w:rsidR="00EA55A5" w:rsidRPr="00CF15D8" w:rsidRDefault="00EE7156" w:rsidP="00FD3B3E">
      <w:pPr>
        <w:tabs>
          <w:tab w:val="left" w:pos="360"/>
        </w:tabs>
      </w:pPr>
      <w:r w:rsidRPr="00CF15D8">
        <w:t>A.</w:t>
      </w:r>
      <w:r w:rsidR="00EA55A5" w:rsidRPr="00CF15D8">
        <w:t xml:space="preserve"> The information will be filed and retrieved by the </w:t>
      </w:r>
      <w:r w:rsidR="00881391">
        <w:t>TPEP</w:t>
      </w:r>
      <w:r w:rsidR="00EA55A5" w:rsidRPr="00CF15D8">
        <w:t xml:space="preserve"> identification number.  The number is linked to the name of the organization which is a testing site.  The Privacy Act does not apply to organizations.  While names of persons completing the form is requested, no other personally identified information is collected other than their title.  They will be speaking in their roles as staff knowledgeable of performance testing and laboratory practices.</w:t>
      </w:r>
    </w:p>
    <w:p w:rsidR="00BA71B3" w:rsidRPr="00CF15D8" w:rsidRDefault="00BA71B3" w:rsidP="00FD3B3E"/>
    <w:p w:rsidR="00EE7156" w:rsidRPr="00CF15D8" w:rsidRDefault="00EE7156" w:rsidP="00FD3B3E">
      <w:r w:rsidRPr="00CF15D8">
        <w:t>B.</w:t>
      </w:r>
      <w:r w:rsidR="00D66582" w:rsidRPr="00CF15D8">
        <w:t xml:space="preserve"> Not applicable</w:t>
      </w:r>
      <w:r w:rsidR="00FB324D" w:rsidRPr="00CF15D8">
        <w:t xml:space="preserve">.  </w:t>
      </w:r>
      <w:r w:rsidR="00D66582" w:rsidRPr="00CF15D8">
        <w:t xml:space="preserve">Only </w:t>
      </w:r>
      <w:r w:rsidR="00695E0E" w:rsidRPr="00CF15D8">
        <w:t>test results will be collected for use in an aggregate report.  Facilities reporting results will not be identified in the reports and no personal information from the individual submitting results will be collected.</w:t>
      </w:r>
    </w:p>
    <w:p w:rsidR="00BA71B3" w:rsidRPr="00CF15D8" w:rsidRDefault="00BA71B3" w:rsidP="00FD3B3E"/>
    <w:p w:rsidR="00EE7156" w:rsidRPr="00CF15D8" w:rsidRDefault="00EE7156" w:rsidP="00FD3B3E">
      <w:r w:rsidRPr="00CF15D8">
        <w:t>C.</w:t>
      </w:r>
      <w:r w:rsidR="00695E0E" w:rsidRPr="00CF15D8">
        <w:t xml:space="preserve"> No respondent consent is required.  This is a voluntary program.</w:t>
      </w:r>
    </w:p>
    <w:p w:rsidR="00BA71B3" w:rsidRPr="00CF15D8" w:rsidRDefault="00BA71B3" w:rsidP="00FD3B3E"/>
    <w:p w:rsidR="00EE7156" w:rsidRPr="00CF15D8" w:rsidRDefault="00EE7156" w:rsidP="00FD3B3E">
      <w:r w:rsidRPr="00CF15D8">
        <w:t>D.</w:t>
      </w:r>
      <w:r w:rsidR="00695E0E" w:rsidRPr="00CF15D8">
        <w:t xml:space="preserve"> This is a voluntary program as stated in the announcement, the program brochure, and in the final aggregate reports. </w:t>
      </w:r>
    </w:p>
    <w:p w:rsidR="00EE7156" w:rsidRPr="00CF15D8" w:rsidRDefault="00EE7156" w:rsidP="00FD3B3E">
      <w:r w:rsidRPr="00CF15D8">
        <w:rPr>
          <w:b/>
        </w:rPr>
        <w:lastRenderedPageBreak/>
        <w:t>11.  Justification for Sensitive Questions</w:t>
      </w:r>
    </w:p>
    <w:p w:rsidR="00516916" w:rsidRPr="00CF15D8" w:rsidRDefault="00BA71B3" w:rsidP="00FD3B3E">
      <w:r w:rsidRPr="00CF15D8">
        <w:t xml:space="preserve">It is not the intent of this program to collect sensitive information. </w:t>
      </w:r>
      <w:r w:rsidR="00516916" w:rsidRPr="00CF15D8">
        <w:t>Some laboratories may view their laboratory performance data as sensitive.  The data de-identification procedures (described above</w:t>
      </w:r>
      <w:r w:rsidR="00695E0E" w:rsidRPr="00CF15D8">
        <w:t xml:space="preserve"> in Section 10.</w:t>
      </w:r>
      <w:r w:rsidR="00516916" w:rsidRPr="00CF15D8">
        <w:t>) were instituted to encourage laboratories to participate in voluntary self-assessment.</w:t>
      </w:r>
    </w:p>
    <w:p w:rsidR="00EE7156" w:rsidRPr="00CF15D8" w:rsidRDefault="00EE7156" w:rsidP="00FD3B3E"/>
    <w:p w:rsidR="00EE7156" w:rsidRPr="00CF15D8" w:rsidRDefault="00EE7156" w:rsidP="00FD3B3E">
      <w:r w:rsidRPr="00CF15D8">
        <w:rPr>
          <w:b/>
        </w:rPr>
        <w:t>12. Estimates of Annualized Burden Hours and Costs</w:t>
      </w:r>
    </w:p>
    <w:p w:rsidR="0054002E" w:rsidRDefault="00EE7156" w:rsidP="00DE5460">
      <w:r w:rsidRPr="00CF15D8">
        <w:t>A.</w:t>
      </w:r>
      <w:r w:rsidR="00516916" w:rsidRPr="00CF15D8">
        <w:t xml:space="preserve"> </w:t>
      </w:r>
      <w:r w:rsidR="004A2A2F">
        <w:t>Ninety-</w:t>
      </w:r>
      <w:r w:rsidR="007A167A">
        <w:t>t</w:t>
      </w:r>
      <w:r w:rsidR="004A2A2F">
        <w:t>hree</w:t>
      </w:r>
      <w:r w:rsidR="0008238E">
        <w:t xml:space="preserve"> (93)</w:t>
      </w:r>
      <w:r w:rsidR="00516916" w:rsidRPr="00CF15D8">
        <w:t xml:space="preserve"> </w:t>
      </w:r>
      <w:r w:rsidR="00C36253">
        <w:t xml:space="preserve">respondents </w:t>
      </w:r>
      <w:r w:rsidR="007A167A">
        <w:t>will be</w:t>
      </w:r>
      <w:r w:rsidR="00217D6F">
        <w:t xml:space="preserve"> asked to complete the </w:t>
      </w:r>
      <w:r w:rsidR="00C36253" w:rsidRPr="00C36253">
        <w:t>Participant Biosafety Compliance Letter of Agreement</w:t>
      </w:r>
      <w:r w:rsidR="00C36253">
        <w:t xml:space="preserve"> </w:t>
      </w:r>
      <w:r w:rsidR="005B7252">
        <w:t>(</w:t>
      </w:r>
      <w:r w:rsidR="005B7252" w:rsidRPr="005B7252">
        <w:rPr>
          <w:b/>
        </w:rPr>
        <w:t>Attachment D</w:t>
      </w:r>
      <w:r w:rsidR="005B7252">
        <w:rPr>
          <w:b/>
        </w:rPr>
        <w:t>)</w:t>
      </w:r>
      <w:r w:rsidR="005B7252" w:rsidRPr="005B7252">
        <w:rPr>
          <w:b/>
        </w:rPr>
        <w:t xml:space="preserve"> </w:t>
      </w:r>
      <w:r w:rsidR="00C36253">
        <w:t>in order to</w:t>
      </w:r>
      <w:r w:rsidR="00217D6F">
        <w:t xml:space="preserve"> join the program.  </w:t>
      </w:r>
      <w:r w:rsidR="007A167A">
        <w:t xml:space="preserve">Each participant will need to complete an MPEP </w:t>
      </w:r>
      <w:r w:rsidR="007A167A">
        <w:rPr>
          <w:i/>
        </w:rPr>
        <w:t xml:space="preserve">Mycobacterium tuberculosis </w:t>
      </w:r>
      <w:r w:rsidR="007A167A">
        <w:t>Results Worksheet</w:t>
      </w:r>
      <w:r w:rsidR="005B7252">
        <w:t xml:space="preserve"> (</w:t>
      </w:r>
      <w:r w:rsidR="005B7252" w:rsidRPr="005B7252">
        <w:rPr>
          <w:b/>
        </w:rPr>
        <w:t>Attachment G</w:t>
      </w:r>
      <w:r w:rsidR="006C421C">
        <w:t>) and</w:t>
      </w:r>
      <w:r w:rsidR="007A167A">
        <w:t xml:space="preserve"> enter results online using the survey instrument</w:t>
      </w:r>
      <w:r w:rsidR="007E4D12">
        <w:t xml:space="preserve"> </w:t>
      </w:r>
      <w:r w:rsidR="007E4D12" w:rsidRPr="007E4D12">
        <w:t>(</w:t>
      </w:r>
      <w:r w:rsidR="007E4D12">
        <w:rPr>
          <w:b/>
        </w:rPr>
        <w:t>Attachment A</w:t>
      </w:r>
      <w:r w:rsidR="007E4D12" w:rsidRPr="007E4D12">
        <w:rPr>
          <w:b/>
        </w:rPr>
        <w:t>)</w:t>
      </w:r>
      <w:r w:rsidR="007A167A">
        <w:t xml:space="preserve">. </w:t>
      </w:r>
      <w:r w:rsidR="008B1CD0">
        <w:t>These forms need to be completed for each test shipment. Two shipments are sent annually.</w:t>
      </w:r>
      <w:r w:rsidR="007E7BAC">
        <w:t xml:space="preserve">  </w:t>
      </w:r>
      <w:r w:rsidR="001C2913">
        <w:t xml:space="preserve">There is a </w:t>
      </w:r>
      <w:r w:rsidR="006C421C">
        <w:t>r</w:t>
      </w:r>
      <w:r w:rsidR="006C421C" w:rsidRPr="001C2913">
        <w:t>eduction in</w:t>
      </w:r>
      <w:r w:rsidR="001C2913" w:rsidRPr="001C2913">
        <w:t xml:space="preserve"> the  number of participating laboratories from 96 to 93 </w:t>
      </w:r>
      <w:r w:rsidR="001C2913">
        <w:t xml:space="preserve">which </w:t>
      </w:r>
      <w:r w:rsidR="001C2913" w:rsidRPr="001C2913">
        <w:t>reduc</w:t>
      </w:r>
      <w:r w:rsidR="001C2913">
        <w:t xml:space="preserve">es </w:t>
      </w:r>
      <w:r w:rsidR="001C2913" w:rsidRPr="001C2913">
        <w:t xml:space="preserve"> burden hours from 167 to 15</w:t>
      </w:r>
      <w:r w:rsidR="008802F9">
        <w:t>6</w:t>
      </w:r>
    </w:p>
    <w:p w:rsidR="0054002E" w:rsidRDefault="0054002E" w:rsidP="00DE5460"/>
    <w:p w:rsidR="008B1CD0" w:rsidRPr="008B1CD0" w:rsidRDefault="0054002E" w:rsidP="00DE5460">
      <w:r w:rsidRPr="008B1CD0">
        <w:t xml:space="preserve">In this submission, CDC is requesting approval for </w:t>
      </w:r>
      <w:r w:rsidR="008B1CD0" w:rsidRPr="008B1CD0">
        <w:t>15</w:t>
      </w:r>
      <w:r w:rsidR="008802F9">
        <w:t>6</w:t>
      </w:r>
      <w:r w:rsidR="008B1CD0" w:rsidRPr="008B1CD0">
        <w:t xml:space="preserve"> burden hours.</w:t>
      </w:r>
    </w:p>
    <w:p w:rsidR="002717BD" w:rsidRDefault="002717BD" w:rsidP="00FD3B3E">
      <w:pPr>
        <w:ind w:left="360" w:hanging="360"/>
        <w:rPr>
          <w:b/>
        </w:rPr>
      </w:pPr>
    </w:p>
    <w:p w:rsidR="00CE6A7E" w:rsidRPr="00CE6A7E" w:rsidRDefault="00CE6A7E" w:rsidP="00FD3B3E">
      <w:pPr>
        <w:ind w:left="360" w:hanging="360"/>
      </w:pPr>
      <w:r>
        <w:t>Table A.12</w:t>
      </w:r>
      <w:r w:rsidR="00DE5460">
        <w:t>A</w:t>
      </w:r>
      <w:r>
        <w:t>. Estimate of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160"/>
        <w:gridCol w:w="1530"/>
        <w:gridCol w:w="1440"/>
        <w:gridCol w:w="1620"/>
        <w:gridCol w:w="1188"/>
      </w:tblGrid>
      <w:tr w:rsidR="00AB6191" w:rsidRPr="0064250C" w:rsidTr="00AB6191">
        <w:trPr>
          <w:tblHeader/>
        </w:trPr>
        <w:tc>
          <w:tcPr>
            <w:tcW w:w="1638" w:type="dxa"/>
          </w:tcPr>
          <w:p w:rsidR="007546F2" w:rsidRPr="007546F2" w:rsidRDefault="007546F2" w:rsidP="007546F2">
            <w:r w:rsidRPr="007546F2">
              <w:t xml:space="preserve">Type of  Respondent </w:t>
            </w:r>
          </w:p>
        </w:tc>
        <w:tc>
          <w:tcPr>
            <w:tcW w:w="2160" w:type="dxa"/>
          </w:tcPr>
          <w:p w:rsidR="007546F2" w:rsidRPr="00CE6A7E" w:rsidRDefault="007546F2" w:rsidP="0064250C">
            <w:pPr>
              <w:widowControl w:val="0"/>
              <w:autoSpaceDE w:val="0"/>
              <w:autoSpaceDN w:val="0"/>
              <w:adjustRightInd w:val="0"/>
              <w:jc w:val="center"/>
            </w:pPr>
            <w:r>
              <w:t>Form Name</w:t>
            </w:r>
          </w:p>
        </w:tc>
        <w:tc>
          <w:tcPr>
            <w:tcW w:w="1530" w:type="dxa"/>
          </w:tcPr>
          <w:p w:rsidR="007546F2" w:rsidRPr="00CE6A7E" w:rsidRDefault="007546F2" w:rsidP="007546F2">
            <w:pPr>
              <w:widowControl w:val="0"/>
              <w:autoSpaceDE w:val="0"/>
              <w:autoSpaceDN w:val="0"/>
              <w:adjustRightInd w:val="0"/>
              <w:jc w:val="center"/>
            </w:pPr>
            <w:r>
              <w:t>No. of Respondents</w:t>
            </w:r>
          </w:p>
        </w:tc>
        <w:tc>
          <w:tcPr>
            <w:tcW w:w="1440" w:type="dxa"/>
          </w:tcPr>
          <w:p w:rsidR="007546F2" w:rsidRPr="00CE6A7E" w:rsidRDefault="007546F2" w:rsidP="007546F2">
            <w:pPr>
              <w:widowControl w:val="0"/>
              <w:autoSpaceDE w:val="0"/>
              <w:autoSpaceDN w:val="0"/>
              <w:adjustRightInd w:val="0"/>
              <w:jc w:val="center"/>
            </w:pPr>
            <w:r>
              <w:t>No. of Responses per Respondent</w:t>
            </w:r>
          </w:p>
        </w:tc>
        <w:tc>
          <w:tcPr>
            <w:tcW w:w="1620" w:type="dxa"/>
          </w:tcPr>
          <w:p w:rsidR="007546F2" w:rsidRDefault="007546F2" w:rsidP="0064250C">
            <w:pPr>
              <w:widowControl w:val="0"/>
              <w:autoSpaceDE w:val="0"/>
              <w:autoSpaceDN w:val="0"/>
              <w:adjustRightInd w:val="0"/>
              <w:jc w:val="center"/>
            </w:pPr>
            <w:r>
              <w:t xml:space="preserve">Average Burden per Response </w:t>
            </w:r>
          </w:p>
          <w:p w:rsidR="007546F2" w:rsidRPr="00017ED0" w:rsidRDefault="007546F2" w:rsidP="0064250C">
            <w:pPr>
              <w:widowControl w:val="0"/>
              <w:autoSpaceDE w:val="0"/>
              <w:autoSpaceDN w:val="0"/>
              <w:adjustRightInd w:val="0"/>
              <w:jc w:val="center"/>
            </w:pPr>
            <w:r>
              <w:t>(in hours)</w:t>
            </w:r>
          </w:p>
        </w:tc>
        <w:tc>
          <w:tcPr>
            <w:tcW w:w="1188" w:type="dxa"/>
          </w:tcPr>
          <w:p w:rsidR="007546F2" w:rsidRPr="00017ED0" w:rsidRDefault="007546F2" w:rsidP="0064250C">
            <w:pPr>
              <w:widowControl w:val="0"/>
              <w:autoSpaceDE w:val="0"/>
              <w:autoSpaceDN w:val="0"/>
              <w:adjustRightInd w:val="0"/>
              <w:jc w:val="center"/>
            </w:pPr>
            <w:r>
              <w:t>Total Burden Hours</w:t>
            </w:r>
          </w:p>
        </w:tc>
      </w:tr>
      <w:tr w:rsidR="00AB6191" w:rsidRPr="00D8688B" w:rsidTr="00AB6191">
        <w:tc>
          <w:tcPr>
            <w:tcW w:w="1638" w:type="dxa"/>
            <w:vMerge w:val="restart"/>
            <w:vAlign w:val="center"/>
          </w:tcPr>
          <w:p w:rsidR="00AB6191" w:rsidRPr="00D8688B" w:rsidRDefault="00AB6191" w:rsidP="00AB6191">
            <w:pPr>
              <w:widowControl w:val="0"/>
              <w:autoSpaceDE w:val="0"/>
              <w:autoSpaceDN w:val="0"/>
              <w:adjustRightInd w:val="0"/>
              <w:jc w:val="center"/>
            </w:pPr>
            <w:r>
              <w:t xml:space="preserve">Domestic </w:t>
            </w:r>
            <w:r w:rsidRPr="00AB6191">
              <w:t>Laboratories</w:t>
            </w:r>
          </w:p>
          <w:p w:rsidR="00AB6191" w:rsidRPr="00D8688B" w:rsidRDefault="00AB6191" w:rsidP="00AB6191">
            <w:pPr>
              <w:widowControl w:val="0"/>
              <w:autoSpaceDE w:val="0"/>
              <w:autoSpaceDN w:val="0"/>
              <w:adjustRightInd w:val="0"/>
              <w:jc w:val="center"/>
            </w:pPr>
          </w:p>
        </w:tc>
        <w:tc>
          <w:tcPr>
            <w:tcW w:w="2160" w:type="dxa"/>
          </w:tcPr>
          <w:p w:rsidR="00AB6191" w:rsidRDefault="00AB6191" w:rsidP="0064250C">
            <w:pPr>
              <w:widowControl w:val="0"/>
              <w:autoSpaceDE w:val="0"/>
              <w:autoSpaceDN w:val="0"/>
              <w:adjustRightInd w:val="0"/>
            </w:pPr>
            <w:r w:rsidRPr="00D8688B">
              <w:t>Participant Biosafety Compliance Letter of Agreement</w:t>
            </w:r>
          </w:p>
          <w:p w:rsidR="005B7252" w:rsidRPr="00D8688B" w:rsidRDefault="005B7252" w:rsidP="0064250C">
            <w:pPr>
              <w:widowControl w:val="0"/>
              <w:autoSpaceDE w:val="0"/>
              <w:autoSpaceDN w:val="0"/>
              <w:adjustRightInd w:val="0"/>
            </w:pP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5/60</w:t>
            </w:r>
          </w:p>
        </w:tc>
        <w:tc>
          <w:tcPr>
            <w:tcW w:w="1188" w:type="dxa"/>
          </w:tcPr>
          <w:p w:rsidR="00AB6191" w:rsidRPr="00D8688B" w:rsidRDefault="00AB6191" w:rsidP="0064250C">
            <w:pPr>
              <w:widowControl w:val="0"/>
              <w:autoSpaceDE w:val="0"/>
              <w:autoSpaceDN w:val="0"/>
              <w:adjustRightInd w:val="0"/>
              <w:jc w:val="right"/>
            </w:pPr>
            <w:r w:rsidRPr="00D8688B">
              <w:t>16</w:t>
            </w:r>
          </w:p>
        </w:tc>
      </w:tr>
      <w:tr w:rsidR="00AB6191" w:rsidRPr="00D8688B" w:rsidTr="00AB6191">
        <w:tc>
          <w:tcPr>
            <w:tcW w:w="1638" w:type="dxa"/>
            <w:vMerge/>
          </w:tcPr>
          <w:p w:rsidR="00AB6191" w:rsidRPr="00D8688B" w:rsidRDefault="00AB6191" w:rsidP="009821FA">
            <w:pPr>
              <w:widowControl w:val="0"/>
              <w:autoSpaceDE w:val="0"/>
              <w:autoSpaceDN w:val="0"/>
              <w:adjustRightInd w:val="0"/>
            </w:pPr>
          </w:p>
        </w:tc>
        <w:tc>
          <w:tcPr>
            <w:tcW w:w="2160" w:type="dxa"/>
          </w:tcPr>
          <w:p w:rsidR="00AB6191" w:rsidRPr="00D8688B" w:rsidRDefault="00AB6191" w:rsidP="0064250C">
            <w:pPr>
              <w:widowControl w:val="0"/>
              <w:autoSpaceDE w:val="0"/>
              <w:autoSpaceDN w:val="0"/>
              <w:adjustRightInd w:val="0"/>
            </w:pPr>
            <w:r w:rsidRPr="00D8688B">
              <w:t xml:space="preserve">MPEP </w:t>
            </w:r>
            <w:r w:rsidRPr="00D8688B">
              <w:rPr>
                <w:i/>
              </w:rPr>
              <w:t>Mycobacterium tuberculosis</w:t>
            </w:r>
            <w:r w:rsidRPr="00D8688B">
              <w:t xml:space="preserve"> Results Worksheet</w:t>
            </w: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30/60</w:t>
            </w:r>
          </w:p>
        </w:tc>
        <w:tc>
          <w:tcPr>
            <w:tcW w:w="1188" w:type="dxa"/>
          </w:tcPr>
          <w:p w:rsidR="00AB6191" w:rsidRPr="00D8688B" w:rsidRDefault="00DC03BB" w:rsidP="008802F9">
            <w:pPr>
              <w:widowControl w:val="0"/>
              <w:autoSpaceDE w:val="0"/>
              <w:autoSpaceDN w:val="0"/>
              <w:adjustRightInd w:val="0"/>
              <w:jc w:val="right"/>
            </w:pPr>
            <w:r>
              <w:t>93</w:t>
            </w:r>
          </w:p>
        </w:tc>
      </w:tr>
      <w:tr w:rsidR="00AB6191" w:rsidRPr="00D8688B" w:rsidTr="00AB6191">
        <w:tc>
          <w:tcPr>
            <w:tcW w:w="1638" w:type="dxa"/>
            <w:vMerge/>
          </w:tcPr>
          <w:p w:rsidR="00AB6191" w:rsidRPr="00D8688B" w:rsidRDefault="00AB6191" w:rsidP="009821FA">
            <w:pPr>
              <w:widowControl w:val="0"/>
              <w:autoSpaceDE w:val="0"/>
              <w:autoSpaceDN w:val="0"/>
              <w:adjustRightInd w:val="0"/>
            </w:pPr>
          </w:p>
        </w:tc>
        <w:tc>
          <w:tcPr>
            <w:tcW w:w="2160" w:type="dxa"/>
          </w:tcPr>
          <w:p w:rsidR="00AB6191" w:rsidRPr="00D8688B" w:rsidRDefault="00AB6191" w:rsidP="009821FA">
            <w:pPr>
              <w:widowControl w:val="0"/>
              <w:autoSpaceDE w:val="0"/>
              <w:autoSpaceDN w:val="0"/>
              <w:adjustRightInd w:val="0"/>
            </w:pPr>
            <w:r w:rsidRPr="00D8688B">
              <w:t>Online Survey Instrument</w:t>
            </w:r>
          </w:p>
        </w:tc>
        <w:tc>
          <w:tcPr>
            <w:tcW w:w="1530" w:type="dxa"/>
          </w:tcPr>
          <w:p w:rsidR="00AB6191" w:rsidRPr="00D8688B" w:rsidRDefault="00AB6191" w:rsidP="0064250C">
            <w:pPr>
              <w:widowControl w:val="0"/>
              <w:autoSpaceDE w:val="0"/>
              <w:autoSpaceDN w:val="0"/>
              <w:adjustRightInd w:val="0"/>
              <w:jc w:val="center"/>
            </w:pPr>
            <w:r w:rsidRPr="00D8688B">
              <w:t>93</w:t>
            </w:r>
          </w:p>
        </w:tc>
        <w:tc>
          <w:tcPr>
            <w:tcW w:w="1440" w:type="dxa"/>
          </w:tcPr>
          <w:p w:rsidR="00AB6191" w:rsidRPr="00D8688B" w:rsidRDefault="00AB6191" w:rsidP="0064250C">
            <w:pPr>
              <w:widowControl w:val="0"/>
              <w:autoSpaceDE w:val="0"/>
              <w:autoSpaceDN w:val="0"/>
              <w:adjustRightInd w:val="0"/>
              <w:jc w:val="center"/>
            </w:pPr>
            <w:r w:rsidRPr="00D8688B">
              <w:t>2</w:t>
            </w:r>
          </w:p>
        </w:tc>
        <w:tc>
          <w:tcPr>
            <w:tcW w:w="1620" w:type="dxa"/>
          </w:tcPr>
          <w:p w:rsidR="00AB6191" w:rsidRPr="00D8688B" w:rsidRDefault="00AB6191" w:rsidP="0064250C">
            <w:pPr>
              <w:widowControl w:val="0"/>
              <w:autoSpaceDE w:val="0"/>
              <w:autoSpaceDN w:val="0"/>
              <w:adjustRightInd w:val="0"/>
              <w:jc w:val="center"/>
            </w:pPr>
            <w:r w:rsidRPr="00D8688B">
              <w:t>15/60</w:t>
            </w:r>
          </w:p>
        </w:tc>
        <w:tc>
          <w:tcPr>
            <w:tcW w:w="1188" w:type="dxa"/>
          </w:tcPr>
          <w:p w:rsidR="00AB6191" w:rsidRPr="00D8688B" w:rsidRDefault="00DC03BB" w:rsidP="004A2A2F">
            <w:pPr>
              <w:widowControl w:val="0"/>
              <w:autoSpaceDE w:val="0"/>
              <w:autoSpaceDN w:val="0"/>
              <w:adjustRightInd w:val="0"/>
              <w:jc w:val="right"/>
            </w:pPr>
            <w:r>
              <w:t>47</w:t>
            </w:r>
          </w:p>
        </w:tc>
      </w:tr>
      <w:tr w:rsidR="00AB6191" w:rsidRPr="00D8688B" w:rsidTr="00AB6191">
        <w:tc>
          <w:tcPr>
            <w:tcW w:w="1638" w:type="dxa"/>
          </w:tcPr>
          <w:p w:rsidR="007546F2" w:rsidRPr="00D8688B" w:rsidRDefault="00AB6191" w:rsidP="0064250C">
            <w:pPr>
              <w:widowControl w:val="0"/>
              <w:autoSpaceDE w:val="0"/>
              <w:autoSpaceDN w:val="0"/>
              <w:adjustRightInd w:val="0"/>
            </w:pPr>
            <w:r w:rsidRPr="00D8688B">
              <w:t>Total</w:t>
            </w:r>
          </w:p>
        </w:tc>
        <w:tc>
          <w:tcPr>
            <w:tcW w:w="2160" w:type="dxa"/>
          </w:tcPr>
          <w:p w:rsidR="007546F2" w:rsidRPr="00D8688B" w:rsidRDefault="007546F2" w:rsidP="0064250C">
            <w:pPr>
              <w:widowControl w:val="0"/>
              <w:autoSpaceDE w:val="0"/>
              <w:autoSpaceDN w:val="0"/>
              <w:adjustRightInd w:val="0"/>
            </w:pPr>
          </w:p>
        </w:tc>
        <w:tc>
          <w:tcPr>
            <w:tcW w:w="1530" w:type="dxa"/>
          </w:tcPr>
          <w:p w:rsidR="007546F2" w:rsidRPr="00D8688B" w:rsidRDefault="007546F2" w:rsidP="0064250C">
            <w:pPr>
              <w:widowControl w:val="0"/>
              <w:autoSpaceDE w:val="0"/>
              <w:autoSpaceDN w:val="0"/>
              <w:adjustRightInd w:val="0"/>
              <w:jc w:val="center"/>
            </w:pPr>
            <w:r w:rsidRPr="00D8688B">
              <w:t>93</w:t>
            </w:r>
          </w:p>
        </w:tc>
        <w:tc>
          <w:tcPr>
            <w:tcW w:w="1440" w:type="dxa"/>
          </w:tcPr>
          <w:p w:rsidR="007546F2" w:rsidRPr="00D8688B" w:rsidRDefault="007546F2" w:rsidP="0064250C">
            <w:pPr>
              <w:widowControl w:val="0"/>
              <w:autoSpaceDE w:val="0"/>
              <w:autoSpaceDN w:val="0"/>
              <w:adjustRightInd w:val="0"/>
              <w:jc w:val="center"/>
            </w:pPr>
            <w:r w:rsidRPr="00D8688B">
              <w:t>6</w:t>
            </w:r>
          </w:p>
        </w:tc>
        <w:tc>
          <w:tcPr>
            <w:tcW w:w="1620" w:type="dxa"/>
          </w:tcPr>
          <w:p w:rsidR="007546F2" w:rsidRPr="00D8688B" w:rsidRDefault="007546F2" w:rsidP="0064250C">
            <w:pPr>
              <w:widowControl w:val="0"/>
              <w:autoSpaceDE w:val="0"/>
              <w:autoSpaceDN w:val="0"/>
              <w:adjustRightInd w:val="0"/>
              <w:jc w:val="center"/>
            </w:pPr>
          </w:p>
        </w:tc>
        <w:tc>
          <w:tcPr>
            <w:tcW w:w="1188" w:type="dxa"/>
          </w:tcPr>
          <w:p w:rsidR="007546F2" w:rsidRPr="00D8688B" w:rsidRDefault="007546F2" w:rsidP="008802F9">
            <w:pPr>
              <w:widowControl w:val="0"/>
              <w:autoSpaceDE w:val="0"/>
              <w:autoSpaceDN w:val="0"/>
              <w:adjustRightInd w:val="0"/>
              <w:jc w:val="right"/>
            </w:pPr>
            <w:r w:rsidRPr="00D8688B">
              <w:t>15</w:t>
            </w:r>
            <w:r w:rsidR="008802F9">
              <w:t>6</w:t>
            </w:r>
          </w:p>
        </w:tc>
      </w:tr>
    </w:tbl>
    <w:p w:rsidR="00017ED0" w:rsidRDefault="00017ED0" w:rsidP="00FD3B3E">
      <w:pPr>
        <w:ind w:left="360" w:hanging="360"/>
        <w:rPr>
          <w:b/>
        </w:rPr>
      </w:pPr>
    </w:p>
    <w:p w:rsidR="00017ED0" w:rsidRDefault="00017ED0" w:rsidP="00FD3B3E">
      <w:pPr>
        <w:ind w:left="360" w:hanging="360"/>
        <w:rPr>
          <w:b/>
        </w:rPr>
      </w:pPr>
    </w:p>
    <w:p w:rsidR="00516916" w:rsidRDefault="00EE7156" w:rsidP="002B144E">
      <w:r w:rsidRPr="00CF15D8">
        <w:t>B.</w:t>
      </w:r>
      <w:r w:rsidR="00516916" w:rsidRPr="00CF15D8">
        <w:rPr>
          <w:b/>
        </w:rPr>
        <w:t xml:space="preserve"> </w:t>
      </w:r>
      <w:r w:rsidR="00516916" w:rsidRPr="00CF15D8">
        <w:t xml:space="preserve">The average hourly wage shown below in </w:t>
      </w:r>
      <w:r w:rsidR="00516916" w:rsidRPr="00F265B6">
        <w:t xml:space="preserve">Table </w:t>
      </w:r>
      <w:r w:rsidR="008130D4" w:rsidRPr="00F265B6">
        <w:t>A12.</w:t>
      </w:r>
      <w:r w:rsidR="00DE5460">
        <w:t>B</w:t>
      </w:r>
      <w:r w:rsidR="00516916" w:rsidRPr="00F265B6">
        <w:t xml:space="preserve"> f</w:t>
      </w:r>
      <w:r w:rsidR="00516916" w:rsidRPr="00CF15D8">
        <w:t>or</w:t>
      </w:r>
      <w:r w:rsidR="00F265B6">
        <w:t xml:space="preserve"> respondents is based on salary </w:t>
      </w:r>
      <w:r w:rsidR="00516916" w:rsidRPr="00CF15D8">
        <w:t xml:space="preserve">ranges for laboratory staff wages in U.S. dollars.  </w:t>
      </w:r>
      <w:r w:rsidR="00615F0F" w:rsidRPr="00CF15D8">
        <w:t xml:space="preserve">The average hourly rate for respondents participating in this survey was obtained from the </w:t>
      </w:r>
      <w:r w:rsidR="00615F0F">
        <w:t xml:space="preserve">Bureau of Labor Statistics, National Compensation Survey found at </w:t>
      </w:r>
      <w:hyperlink r:id="rId14" w:history="1">
        <w:r w:rsidR="002827B3" w:rsidRPr="00B54144">
          <w:rPr>
            <w:rStyle w:val="Hyperlink"/>
          </w:rPr>
          <w:t>http://www.bls.gov/oes/current/oes191022.htm</w:t>
        </w:r>
      </w:hyperlink>
      <w:r w:rsidR="00991E74">
        <w:t>.</w:t>
      </w:r>
    </w:p>
    <w:p w:rsidR="00F265B6" w:rsidRDefault="00F265B6" w:rsidP="002B144E"/>
    <w:p w:rsidR="00F265B6" w:rsidRDefault="00F265B6" w:rsidP="00FD3B3E">
      <w:pPr>
        <w:ind w:left="360" w:hanging="360"/>
      </w:pPr>
      <w:r>
        <w:t>Table A12b.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172"/>
        <w:gridCol w:w="2168"/>
        <w:gridCol w:w="2236"/>
      </w:tblGrid>
      <w:tr w:rsidR="00F265B6" w:rsidTr="0064250C">
        <w:tc>
          <w:tcPr>
            <w:tcW w:w="2280" w:type="dxa"/>
          </w:tcPr>
          <w:p w:rsidR="00F265B6" w:rsidRDefault="00615F0F" w:rsidP="0064250C">
            <w:pPr>
              <w:widowControl w:val="0"/>
              <w:autoSpaceDE w:val="0"/>
              <w:autoSpaceDN w:val="0"/>
              <w:adjustRightInd w:val="0"/>
              <w:jc w:val="center"/>
            </w:pPr>
            <w:r>
              <w:t>Type of Respondent</w:t>
            </w:r>
          </w:p>
        </w:tc>
        <w:tc>
          <w:tcPr>
            <w:tcW w:w="2172" w:type="dxa"/>
          </w:tcPr>
          <w:p w:rsidR="00F265B6" w:rsidRDefault="00615F0F" w:rsidP="0064250C">
            <w:pPr>
              <w:widowControl w:val="0"/>
              <w:autoSpaceDE w:val="0"/>
              <w:autoSpaceDN w:val="0"/>
              <w:adjustRightInd w:val="0"/>
              <w:jc w:val="center"/>
            </w:pPr>
            <w:r>
              <w:t>Total Burden Hours</w:t>
            </w:r>
          </w:p>
        </w:tc>
        <w:tc>
          <w:tcPr>
            <w:tcW w:w="2168" w:type="dxa"/>
          </w:tcPr>
          <w:p w:rsidR="00F265B6" w:rsidRDefault="00615F0F" w:rsidP="0064250C">
            <w:pPr>
              <w:widowControl w:val="0"/>
              <w:autoSpaceDE w:val="0"/>
              <w:autoSpaceDN w:val="0"/>
              <w:adjustRightInd w:val="0"/>
              <w:jc w:val="center"/>
            </w:pPr>
            <w:r>
              <w:t>Hourly Wage Rate</w:t>
            </w:r>
          </w:p>
        </w:tc>
        <w:tc>
          <w:tcPr>
            <w:tcW w:w="2236" w:type="dxa"/>
          </w:tcPr>
          <w:p w:rsidR="00F265B6" w:rsidRDefault="00615F0F" w:rsidP="0064250C">
            <w:pPr>
              <w:widowControl w:val="0"/>
              <w:autoSpaceDE w:val="0"/>
              <w:autoSpaceDN w:val="0"/>
              <w:adjustRightInd w:val="0"/>
              <w:jc w:val="center"/>
            </w:pPr>
            <w:r>
              <w:t>Total Respondent Costs</w:t>
            </w:r>
          </w:p>
        </w:tc>
      </w:tr>
      <w:tr w:rsidR="00307990" w:rsidTr="0064250C">
        <w:tc>
          <w:tcPr>
            <w:tcW w:w="2280" w:type="dxa"/>
          </w:tcPr>
          <w:p w:rsidR="00307990" w:rsidRPr="00D8688B" w:rsidRDefault="00307990" w:rsidP="00307990">
            <w:pPr>
              <w:widowControl w:val="0"/>
              <w:autoSpaceDE w:val="0"/>
              <w:autoSpaceDN w:val="0"/>
              <w:adjustRightInd w:val="0"/>
            </w:pPr>
            <w:r>
              <w:t>Microbiologist</w:t>
            </w:r>
          </w:p>
        </w:tc>
        <w:tc>
          <w:tcPr>
            <w:tcW w:w="2172" w:type="dxa"/>
          </w:tcPr>
          <w:p w:rsidR="00307990" w:rsidRPr="00D8688B" w:rsidRDefault="00307990" w:rsidP="008802F9">
            <w:pPr>
              <w:widowControl w:val="0"/>
              <w:autoSpaceDE w:val="0"/>
              <w:autoSpaceDN w:val="0"/>
              <w:adjustRightInd w:val="0"/>
              <w:jc w:val="center"/>
            </w:pPr>
            <w:r w:rsidRPr="00D8688B">
              <w:t>15</w:t>
            </w:r>
            <w:r>
              <w:t>6</w:t>
            </w:r>
          </w:p>
        </w:tc>
        <w:tc>
          <w:tcPr>
            <w:tcW w:w="2168" w:type="dxa"/>
          </w:tcPr>
          <w:p w:rsidR="00307990" w:rsidRPr="00D8688B" w:rsidRDefault="00307990" w:rsidP="00EE5EC8">
            <w:pPr>
              <w:widowControl w:val="0"/>
              <w:autoSpaceDE w:val="0"/>
              <w:autoSpaceDN w:val="0"/>
              <w:adjustRightInd w:val="0"/>
              <w:jc w:val="center"/>
            </w:pPr>
            <w:r w:rsidRPr="00D8688B">
              <w:t>$31.69</w:t>
            </w:r>
          </w:p>
        </w:tc>
        <w:tc>
          <w:tcPr>
            <w:tcW w:w="2236" w:type="dxa"/>
          </w:tcPr>
          <w:p w:rsidR="00307990" w:rsidRPr="00D8688B" w:rsidRDefault="00307990" w:rsidP="00B23891">
            <w:pPr>
              <w:widowControl w:val="0"/>
              <w:autoSpaceDE w:val="0"/>
              <w:autoSpaceDN w:val="0"/>
              <w:adjustRightInd w:val="0"/>
              <w:jc w:val="right"/>
            </w:pPr>
            <w:r w:rsidRPr="00D8688B">
              <w:t>$4,9</w:t>
            </w:r>
            <w:r>
              <w:t>43.64</w:t>
            </w:r>
          </w:p>
        </w:tc>
      </w:tr>
    </w:tbl>
    <w:p w:rsidR="005A46CA" w:rsidRPr="00CF15D8" w:rsidRDefault="005A46CA" w:rsidP="00FD3B3E"/>
    <w:p w:rsidR="00EE7156" w:rsidRPr="00CF15D8" w:rsidRDefault="00EE7156" w:rsidP="00FD3B3E"/>
    <w:p w:rsidR="00EE7156" w:rsidRPr="00CF15D8" w:rsidRDefault="00564694" w:rsidP="00FD3B3E">
      <w:r w:rsidRPr="00CF15D8">
        <w:rPr>
          <w:b/>
        </w:rPr>
        <w:lastRenderedPageBreak/>
        <w:t>13. Estimates of Other Total Annual Cost Burden to Respondents or Record Keepers</w:t>
      </w:r>
    </w:p>
    <w:p w:rsidR="00516916"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F2EF7" w:rsidRPr="00CF15D8">
        <w:t>None</w:t>
      </w:r>
      <w:r w:rsidR="003D77CA" w:rsidRPr="00CF15D8">
        <w:t>.</w:t>
      </w:r>
      <w:r w:rsidR="00CF2EF7" w:rsidRPr="00CF15D8">
        <w:t xml:space="preserve">  </w:t>
      </w:r>
    </w:p>
    <w:p w:rsidR="00564694" w:rsidRPr="00CF15D8" w:rsidRDefault="00564694" w:rsidP="00FD3B3E">
      <w:pPr>
        <w:rPr>
          <w:b/>
        </w:rPr>
      </w:pPr>
      <w:r w:rsidRPr="00CF15D8">
        <w:rPr>
          <w:b/>
        </w:rPr>
        <w:t>14. Annualized Cost to the Government</w:t>
      </w:r>
    </w:p>
    <w:p w:rsidR="007E6E29" w:rsidRPr="00CF15D8" w:rsidRDefault="002717BD" w:rsidP="007E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99598F" w:rsidRPr="00CF15D8">
        <w:t xml:space="preserve">The estimated </w:t>
      </w:r>
      <w:r w:rsidR="00D70A29" w:rsidRPr="00CF15D8">
        <w:t>annual</w:t>
      </w:r>
      <w:r w:rsidR="001F1791" w:rsidRPr="00CF15D8">
        <w:t xml:space="preserve"> </w:t>
      </w:r>
      <w:r w:rsidR="00871539">
        <w:t xml:space="preserve">cost to the government, $65,560, is </w:t>
      </w:r>
      <w:r w:rsidR="0024226B" w:rsidRPr="00CF15D8">
        <w:t xml:space="preserve">shown in the table below for </w:t>
      </w:r>
      <w:r w:rsidR="003600BB">
        <w:t>two</w:t>
      </w:r>
      <w:r w:rsidR="00D70A29" w:rsidRPr="00CF15D8">
        <w:t xml:space="preserve"> shipments</w:t>
      </w:r>
      <w:r w:rsidR="007E6E29">
        <w:t xml:space="preserve"> of testing challenges per year</w:t>
      </w:r>
      <w:r w:rsidR="0099598F" w:rsidRPr="00CF15D8">
        <w:t>.  This cost includes wages for staff hours</w:t>
      </w:r>
      <w:r w:rsidR="00740048">
        <w:t xml:space="preserve"> for data analysis</w:t>
      </w:r>
      <w:r w:rsidR="003600BB">
        <w:t>,</w:t>
      </w:r>
      <w:r w:rsidR="00740048">
        <w:t xml:space="preserve"> preparation of reports</w:t>
      </w:r>
      <w:r w:rsidR="003600BB">
        <w:t xml:space="preserve">, and </w:t>
      </w:r>
      <w:r w:rsidR="0099598F" w:rsidRPr="00CF15D8">
        <w:t xml:space="preserve">preparation </w:t>
      </w:r>
      <w:r w:rsidR="00740048">
        <w:t>and</w:t>
      </w:r>
      <w:r w:rsidR="0099598F" w:rsidRPr="00CF15D8">
        <w:t xml:space="preserve"> shippin</w:t>
      </w:r>
      <w:r w:rsidR="003600BB">
        <w:t>g of culture slants for the program.</w:t>
      </w:r>
    </w:p>
    <w:p w:rsidR="0024226B" w:rsidRPr="00CF15D8" w:rsidRDefault="00D70A29"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 </w:t>
      </w:r>
    </w:p>
    <w:p w:rsidR="0024226B" w:rsidRPr="00BC3534" w:rsidRDefault="0024226B" w:rsidP="00BC3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3534">
        <w:t>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24226B" w:rsidRPr="00BC3534" w:rsidTr="0064250C">
        <w:trPr>
          <w:tblHeader/>
        </w:trPr>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Type</w:t>
            </w:r>
          </w:p>
        </w:tc>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Explanation</w:t>
            </w:r>
          </w:p>
        </w:tc>
        <w:tc>
          <w:tcPr>
            <w:tcW w:w="3072" w:type="dxa"/>
          </w:tcPr>
          <w:p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Cost</w:t>
            </w:r>
          </w:p>
        </w:tc>
      </w:tr>
      <w:tr w:rsidR="0024226B" w:rsidRPr="00BC3534" w:rsidTr="0064250C">
        <w:tc>
          <w:tcPr>
            <w:tcW w:w="3072" w:type="dxa"/>
          </w:tcPr>
          <w:p w:rsidR="0024226B" w:rsidRPr="00BC3534" w:rsidRDefault="00F23F7A"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0024226B" w:rsidRPr="00BC3534" w:rsidRDefault="00F23F7A"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CDC Project Officer (</w:t>
            </w:r>
            <w:r w:rsidR="001C6829">
              <w:t>3</w:t>
            </w:r>
            <w:r w:rsidRPr="00BC3534">
              <w:t>0% effort</w:t>
            </w:r>
            <w:r w:rsidR="00E75A7F" w:rsidRPr="00BC3534">
              <w:t xml:space="preserve"> GS-13</w:t>
            </w:r>
            <w:r w:rsidR="001C6829">
              <w:t>,</w:t>
            </w:r>
            <w:r w:rsidRPr="00BC3534">
              <w:t xml:space="preserve"> $</w:t>
            </w:r>
            <w:r w:rsidR="001C6829">
              <w:t>105,449</w:t>
            </w:r>
            <w:r w:rsidRPr="00BC3534">
              <w:t>)</w:t>
            </w:r>
          </w:p>
        </w:tc>
        <w:tc>
          <w:tcPr>
            <w:tcW w:w="3072" w:type="dxa"/>
            <w:vAlign w:val="center"/>
          </w:tcPr>
          <w:p w:rsidR="0024226B" w:rsidRPr="00BC3534" w:rsidRDefault="00E75A7F"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1C6829">
              <w:t>31,634.70</w:t>
            </w:r>
          </w:p>
        </w:tc>
      </w:tr>
      <w:tr w:rsidR="0024226B" w:rsidRPr="00BC3534" w:rsidTr="0064250C">
        <w:tc>
          <w:tcPr>
            <w:tcW w:w="3072" w:type="dxa"/>
          </w:tcPr>
          <w:p w:rsidR="0024226B" w:rsidRPr="00BC3534" w:rsidRDefault="00E75A7F"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Data Management</w:t>
            </w:r>
          </w:p>
          <w:p w:rsidR="00E75A7F" w:rsidRPr="00BC3534" w:rsidRDefault="00E75A7F" w:rsidP="00D23E9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D23E97">
              <w:t>30</w:t>
            </w:r>
            <w:r w:rsidRPr="00BC3534">
              <w:t>% effort, GS-</w:t>
            </w:r>
            <w:r w:rsidR="001C6829">
              <w:t>12</w:t>
            </w:r>
            <w:r w:rsidR="00680F37" w:rsidRPr="00BC3534">
              <w:t>, $</w:t>
            </w:r>
            <w:r w:rsidR="00D23E97">
              <w:t>71,901</w:t>
            </w:r>
            <w:r w:rsidR="00680F37" w:rsidRPr="00BC3534">
              <w:t>)</w:t>
            </w:r>
          </w:p>
        </w:tc>
        <w:tc>
          <w:tcPr>
            <w:tcW w:w="3072" w:type="dxa"/>
            <w:vAlign w:val="center"/>
          </w:tcPr>
          <w:p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$21,570.30</w:t>
            </w:r>
          </w:p>
        </w:tc>
      </w:tr>
      <w:tr w:rsidR="0024226B" w:rsidRPr="00BC3534" w:rsidTr="0064250C">
        <w:tc>
          <w:tcPr>
            <w:tcW w:w="3072" w:type="dxa"/>
          </w:tcPr>
          <w:p w:rsidR="0024226B" w:rsidRPr="00BC3534" w:rsidRDefault="00562458" w:rsidP="00562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rsidR="0024226B" w:rsidRDefault="00D23E97"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Laboratory Support</w:t>
            </w:r>
          </w:p>
          <w:p w:rsidR="001C6829" w:rsidRPr="00BC3534" w:rsidRDefault="00D23E97" w:rsidP="00C643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 xml:space="preserve">(10% effort, GS-12, </w:t>
            </w:r>
            <w:r w:rsidR="00C643B2">
              <w:t>93,470)</w:t>
            </w:r>
          </w:p>
        </w:tc>
        <w:tc>
          <w:tcPr>
            <w:tcW w:w="3072" w:type="dxa"/>
          </w:tcPr>
          <w:p w:rsidR="0024226B" w:rsidRPr="00BC3534" w:rsidRDefault="00C643B2"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$9,163.00</w:t>
            </w:r>
          </w:p>
        </w:tc>
      </w:tr>
      <w:tr w:rsidR="008233EB" w:rsidRPr="00BC3534" w:rsidTr="0064250C">
        <w:tc>
          <w:tcPr>
            <w:tcW w:w="3072" w:type="dxa"/>
          </w:tcPr>
          <w:p w:rsidR="008233EB" w:rsidRDefault="008233EB" w:rsidP="005624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rsidR="008233EB" w:rsidRDefault="008233EB"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culture slants, shipping containers, shipping costs</w:t>
            </w:r>
          </w:p>
        </w:tc>
        <w:tc>
          <w:tcPr>
            <w:tcW w:w="3072" w:type="dxa"/>
          </w:tcPr>
          <w:p w:rsidR="008233EB" w:rsidRDefault="008233E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$3,192</w:t>
            </w:r>
          </w:p>
        </w:tc>
      </w:tr>
      <w:tr w:rsidR="00680F37" w:rsidRPr="00BC3534" w:rsidTr="0064250C">
        <w:tc>
          <w:tcPr>
            <w:tcW w:w="3072" w:type="dxa"/>
          </w:tcPr>
          <w:p w:rsidR="00680F37" w:rsidRPr="00BC3534" w:rsidRDefault="00BC3534"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Total</w:t>
            </w:r>
          </w:p>
        </w:tc>
        <w:tc>
          <w:tcPr>
            <w:tcW w:w="3072" w:type="dxa"/>
          </w:tcPr>
          <w:p w:rsidR="00680F37" w:rsidRPr="00BC3534" w:rsidRDefault="00680F3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tc>
        <w:tc>
          <w:tcPr>
            <w:tcW w:w="3072" w:type="dxa"/>
          </w:tcPr>
          <w:p w:rsidR="00680F37" w:rsidRPr="00BC3534" w:rsidRDefault="00680F37"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fldChar w:fldCharType="begin"/>
            </w:r>
            <w:r w:rsidRPr="00BC3534">
              <w:instrText xml:space="preserve"> =SUM(ABOVE) </w:instrText>
            </w:r>
            <w:r w:rsidRPr="00BC3534">
              <w:fldChar w:fldCharType="separate"/>
            </w:r>
            <w:r w:rsidRPr="00BC3534">
              <w:rPr>
                <w:noProof/>
              </w:rPr>
              <w:t>$</w:t>
            </w:r>
            <w:r w:rsidRPr="00BC3534">
              <w:fldChar w:fldCharType="end"/>
            </w:r>
            <w:r w:rsidR="00C643B2">
              <w:t>6</w:t>
            </w:r>
            <w:r w:rsidR="008233EB">
              <w:t>5</w:t>
            </w:r>
            <w:r w:rsidR="00C643B2">
              <w:t>,</w:t>
            </w:r>
            <w:r w:rsidR="008233EB">
              <w:t>560</w:t>
            </w:r>
          </w:p>
        </w:tc>
      </w:tr>
    </w:tbl>
    <w:p w:rsidR="0099598F" w:rsidRDefault="0099598F"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E5460" w:rsidRDefault="00DE5460"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RPr="00CF15D8" w:rsidRDefault="00564694" w:rsidP="00FD3B3E">
      <w:r w:rsidRPr="00CF15D8">
        <w:rPr>
          <w:b/>
        </w:rPr>
        <w:t>15. Explanation for Program Changes or Adjustments</w:t>
      </w:r>
    </w:p>
    <w:p w:rsidR="006A598B" w:rsidRDefault="0099598F" w:rsidP="006A598B">
      <w:r w:rsidRPr="00CF15D8">
        <w:t>This is a request for a</w:t>
      </w:r>
      <w:r w:rsidR="00D96C82">
        <w:t xml:space="preserve"> </w:t>
      </w:r>
      <w:r w:rsidR="00202306">
        <w:t xml:space="preserve">revision </w:t>
      </w:r>
      <w:r w:rsidR="00D96C82" w:rsidRPr="00D96C82">
        <w:t>of</w:t>
      </w:r>
      <w:r w:rsidR="00202306">
        <w:t xml:space="preserve"> a</w:t>
      </w:r>
      <w:r w:rsidR="00D96C82" w:rsidRPr="00D96C82">
        <w:t xml:space="preserve"> currently approved data collection</w:t>
      </w:r>
      <w:r w:rsidR="00D96C82">
        <w:t>.</w:t>
      </w:r>
      <w:r w:rsidR="00DE5460">
        <w:t xml:space="preserve"> </w:t>
      </w:r>
      <w:r w:rsidR="006A598B">
        <w:t>In this request, CDC is requesting approval for the following revisions:</w:t>
      </w:r>
    </w:p>
    <w:p w:rsidR="00202306" w:rsidRDefault="00202306" w:rsidP="00202306">
      <w:pPr>
        <w:numPr>
          <w:ilvl w:val="0"/>
          <w:numId w:val="7"/>
        </w:numPr>
      </w:pPr>
      <w:r>
        <w:t xml:space="preserve">Transfer of the ICR from the </w:t>
      </w:r>
      <w:hyperlink r:id="rId15" w:history="1">
        <w:r w:rsidRPr="0078099A">
          <w:t>National Center for Emerging and Zoonotic Infectious Diseases (NCEZID</w:t>
        </w:r>
      </w:hyperlink>
      <w:r>
        <w:t xml:space="preserve">) to </w:t>
      </w:r>
      <w:r w:rsidRPr="0078099A">
        <w:t>National Center for HIV/AIDS, Viral Hepatitis, STD, and TB Prevention (NCHHSTP)</w:t>
      </w:r>
      <w:r>
        <w:t>.</w:t>
      </w:r>
      <w:r w:rsidRPr="00202306">
        <w:t xml:space="preserve"> </w:t>
      </w:r>
      <w:r>
        <w:t>NCEZID lacked</w:t>
      </w:r>
      <w:r w:rsidRPr="00742370">
        <w:t xml:space="preserve"> resources </w:t>
      </w:r>
      <w:r>
        <w:t xml:space="preserve">and subject matter expertise to continue </w:t>
      </w:r>
      <w:r w:rsidRPr="00742370">
        <w:t>manage</w:t>
      </w:r>
      <w:r>
        <w:t>ment of</w:t>
      </w:r>
      <w:r w:rsidRPr="00742370">
        <w:t xml:space="preserve"> the program</w:t>
      </w:r>
      <w:r>
        <w:t>. In addition, evaluation of laboratory programs performing testing on isolates of MTBC</w:t>
      </w:r>
      <w:r>
        <w:rPr>
          <w:i/>
        </w:rPr>
        <w:t xml:space="preserve"> </w:t>
      </w:r>
      <w:r>
        <w:t>is a mission within NCHHSTP.</w:t>
      </w:r>
    </w:p>
    <w:p w:rsidR="00202306" w:rsidRDefault="00202306" w:rsidP="00202306">
      <w:pPr>
        <w:numPr>
          <w:ilvl w:val="0"/>
          <w:numId w:val="7"/>
        </w:numPr>
      </w:pPr>
      <w:r>
        <w:t xml:space="preserve">Changing the title of the data collection to </w:t>
      </w:r>
      <w:r w:rsidR="007A167A">
        <w:t>“CDC</w:t>
      </w:r>
      <w:r>
        <w:t xml:space="preserve"> Model Performance Evaluation (MPEP</w:t>
      </w:r>
      <w:r w:rsidR="007A167A">
        <w:t>) for</w:t>
      </w:r>
      <w:r>
        <w:t xml:space="preserve"> </w:t>
      </w:r>
      <w:r>
        <w:rPr>
          <w:i/>
        </w:rPr>
        <w:t xml:space="preserve">Mycobacterium tuberculosis </w:t>
      </w:r>
      <w:r>
        <w:t xml:space="preserve">Drug Susceptibility Testing” to reflect that </w:t>
      </w:r>
      <w:proofErr w:type="spellStart"/>
      <w:r>
        <w:t>nontuberculous</w:t>
      </w:r>
      <w:proofErr w:type="spellEnd"/>
      <w:r>
        <w:t xml:space="preserve"> mycobacteria are no longer included in the test package</w:t>
      </w:r>
      <w:r w:rsidR="006222F2">
        <w:t>.</w:t>
      </w:r>
    </w:p>
    <w:p w:rsidR="00202306" w:rsidRPr="00E007BD" w:rsidRDefault="007A167A" w:rsidP="00202306">
      <w:pPr>
        <w:numPr>
          <w:ilvl w:val="0"/>
          <w:numId w:val="7"/>
        </w:numPr>
      </w:pPr>
      <w:r>
        <w:t xml:space="preserve">Replacement of Laboratory Enrollment Form with a </w:t>
      </w:r>
      <w:r w:rsidRPr="00E007BD">
        <w:rPr>
          <w:color w:val="000000"/>
        </w:rPr>
        <w:t>Participant Biosafety Compliance Letter of Agreement (A</w:t>
      </w:r>
      <w:r w:rsidRPr="00E007BD">
        <w:t xml:space="preserve">ttachment </w:t>
      </w:r>
      <w:r>
        <w:t>D</w:t>
      </w:r>
      <w:r w:rsidRPr="00E007BD">
        <w:t>)</w:t>
      </w:r>
      <w:r>
        <w:t xml:space="preserve">. </w:t>
      </w:r>
      <w:r w:rsidR="00202306">
        <w:t>CDC needs to document that laboratories participating in MPEP are equipped with the necessary biosafety facilities and practices to work with isolates of MTBC and a</w:t>
      </w:r>
      <w:r w:rsidR="00202306" w:rsidRPr="00905AB8">
        <w:t>cknowledge the potential risks associated with manipulation of live cultures of M</w:t>
      </w:r>
      <w:r w:rsidR="00202306">
        <w:t>TBC.</w:t>
      </w:r>
      <w:r w:rsidR="00202306" w:rsidRPr="00905AB8">
        <w:t xml:space="preserve"> </w:t>
      </w:r>
      <w:r w:rsidR="00202306">
        <w:t xml:space="preserve"> The current Laboratory Enrollment Form is not suitable for this purpose.</w:t>
      </w:r>
    </w:p>
    <w:p w:rsidR="00202306" w:rsidRDefault="00202306" w:rsidP="00202306">
      <w:pPr>
        <w:numPr>
          <w:ilvl w:val="0"/>
          <w:numId w:val="7"/>
        </w:numPr>
      </w:pPr>
      <w:r>
        <w:t xml:space="preserve">Revision of the Pre-shipment </w:t>
      </w:r>
      <w:r w:rsidR="00E2791F">
        <w:t>E</w:t>
      </w:r>
      <w:r>
        <w:t xml:space="preserve">mail (Attachment </w:t>
      </w:r>
      <w:r w:rsidR="006222F2">
        <w:t>E</w:t>
      </w:r>
      <w:r>
        <w:t>)</w:t>
      </w:r>
      <w:r w:rsidR="001854B9">
        <w:t>. The transfer of MPEP from NCEZID to NCHHSTP has necessitated that participants be notified of changes to management of the program.</w:t>
      </w:r>
    </w:p>
    <w:p w:rsidR="00202306" w:rsidRDefault="007A167A" w:rsidP="00202306">
      <w:pPr>
        <w:numPr>
          <w:ilvl w:val="0"/>
          <w:numId w:val="7"/>
        </w:numPr>
      </w:pPr>
      <w:r>
        <w:t>Addition of</w:t>
      </w:r>
      <w:r w:rsidR="00202306">
        <w:t xml:space="preserve"> </w:t>
      </w:r>
      <w:r>
        <w:t xml:space="preserve">an </w:t>
      </w:r>
      <w:r w:rsidR="00202306">
        <w:t xml:space="preserve">Instructions to Participants Letter (Attachment </w:t>
      </w:r>
      <w:r w:rsidR="006222F2">
        <w:t>F</w:t>
      </w:r>
      <w:r w:rsidR="00202306">
        <w:t>)</w:t>
      </w:r>
      <w:r w:rsidR="00AB3EDC">
        <w:t>. The transfer of MPEP from NCEZID to NCHHSTP has necessitated that participants be instructed on new procedures</w:t>
      </w:r>
      <w:r w:rsidR="005E63E1">
        <w:t xml:space="preserve"> for submitting results online.</w:t>
      </w:r>
    </w:p>
    <w:p w:rsidR="00202306" w:rsidRDefault="00202306" w:rsidP="00202306">
      <w:pPr>
        <w:numPr>
          <w:ilvl w:val="0"/>
          <w:numId w:val="7"/>
        </w:numPr>
      </w:pPr>
      <w:r>
        <w:t xml:space="preserve">Revision of the MPEP </w:t>
      </w:r>
      <w:r>
        <w:rPr>
          <w:i/>
        </w:rPr>
        <w:t xml:space="preserve">M. tuberculosis </w:t>
      </w:r>
      <w:r>
        <w:t xml:space="preserve">Results Worksheet (Attachment </w:t>
      </w:r>
      <w:r w:rsidR="006222F2">
        <w:t>G</w:t>
      </w:r>
      <w:r>
        <w:t>)</w:t>
      </w:r>
      <w:r w:rsidR="005E63E1">
        <w:t>. A revised worksheet is needed for participants</w:t>
      </w:r>
      <w:r>
        <w:t xml:space="preserve"> </w:t>
      </w:r>
      <w:r w:rsidR="005E63E1">
        <w:t>to record their results prior to online entry.</w:t>
      </w:r>
    </w:p>
    <w:p w:rsidR="00202306" w:rsidRDefault="00202306" w:rsidP="00C93AC4">
      <w:pPr>
        <w:numPr>
          <w:ilvl w:val="0"/>
          <w:numId w:val="7"/>
        </w:numPr>
      </w:pPr>
      <w:r>
        <w:lastRenderedPageBreak/>
        <w:t xml:space="preserve">Entering results online using a modified survey instrument created with Snap Surveys® software (Attachment </w:t>
      </w:r>
      <w:r w:rsidR="006222F2">
        <w:t>H</w:t>
      </w:r>
      <w:r>
        <w:t>)</w:t>
      </w:r>
      <w:r w:rsidR="005E63E1">
        <w:t>.</w:t>
      </w:r>
      <w:r w:rsidR="00C93AC4">
        <w:t xml:space="preserve"> </w:t>
      </w:r>
      <w:r w:rsidR="00C93AC4" w:rsidRPr="00C93AC4">
        <w:t xml:space="preserve"> In the opinion of CDC, the format of this instrument is more user-friendly </w:t>
      </w:r>
      <w:r w:rsidR="00C93AC4">
        <w:t xml:space="preserve">for entering results </w:t>
      </w:r>
      <w:r w:rsidR="00C93AC4" w:rsidRPr="00C93AC4">
        <w:t>than the prior data collection instrument.</w:t>
      </w:r>
    </w:p>
    <w:p w:rsidR="00202306" w:rsidRDefault="00202306" w:rsidP="00202306">
      <w:pPr>
        <w:numPr>
          <w:ilvl w:val="0"/>
          <w:numId w:val="7"/>
        </w:numPr>
      </w:pPr>
      <w:r>
        <w:t xml:space="preserve">Modification of Reminder Email (Attachment </w:t>
      </w:r>
      <w:r w:rsidR="006222F2">
        <w:t>I</w:t>
      </w:r>
      <w:r>
        <w:t>)</w:t>
      </w:r>
      <w:r w:rsidR="005846EC">
        <w:t xml:space="preserve"> to reflect changes in CDC contact information due to transfer</w:t>
      </w:r>
      <w:r w:rsidR="00C9562A">
        <w:t xml:space="preserve"> of MPEP from NCEZID to NCHHSTP.</w:t>
      </w:r>
    </w:p>
    <w:p w:rsidR="00C9562A" w:rsidRDefault="00202306" w:rsidP="00C9562A">
      <w:pPr>
        <w:numPr>
          <w:ilvl w:val="0"/>
          <w:numId w:val="7"/>
        </w:numPr>
      </w:pPr>
      <w:r>
        <w:t xml:space="preserve">Modification </w:t>
      </w:r>
      <w:r w:rsidR="007A167A">
        <w:t>of Reminder</w:t>
      </w:r>
      <w:r>
        <w:t xml:space="preserve"> Telephone Script (Attachment </w:t>
      </w:r>
      <w:r w:rsidR="006222F2">
        <w:t>J</w:t>
      </w:r>
      <w:r>
        <w:t>)</w:t>
      </w:r>
      <w:r w:rsidR="005846EC">
        <w:t xml:space="preserve"> to reflect cha</w:t>
      </w:r>
      <w:r w:rsidR="00C9562A">
        <w:t>nges in CDC contact information.</w:t>
      </w:r>
    </w:p>
    <w:p w:rsidR="00202306" w:rsidRDefault="00202306" w:rsidP="00202306">
      <w:pPr>
        <w:numPr>
          <w:ilvl w:val="0"/>
          <w:numId w:val="7"/>
        </w:numPr>
      </w:pPr>
      <w:r>
        <w:t xml:space="preserve">Modification of the Aggregate Report Letter (Attachment </w:t>
      </w:r>
      <w:r w:rsidR="00B3184E">
        <w:t>K</w:t>
      </w:r>
      <w:r>
        <w:t>)</w:t>
      </w:r>
      <w:r w:rsidR="005647D2">
        <w:t xml:space="preserve"> to reflect changes in CDC contact information.</w:t>
      </w:r>
    </w:p>
    <w:p w:rsidR="00202306" w:rsidRDefault="00202306" w:rsidP="00202306">
      <w:pPr>
        <w:numPr>
          <w:ilvl w:val="0"/>
          <w:numId w:val="7"/>
        </w:numPr>
      </w:pPr>
      <w:r>
        <w:t>Reduction  in the  number of participating laboratories from 96 to 93 and reduction in burden hours from 167 to 15</w:t>
      </w:r>
      <w:r w:rsidR="00567895">
        <w:t>5</w:t>
      </w:r>
      <w:r>
        <w:t xml:space="preserve"> (Table A.12A)</w:t>
      </w:r>
    </w:p>
    <w:p w:rsidR="00D96C82" w:rsidRDefault="00D96C82" w:rsidP="00D96C82">
      <w:pPr>
        <w:ind w:left="720"/>
      </w:pPr>
    </w:p>
    <w:p w:rsidR="00564694" w:rsidRPr="00CF15D8" w:rsidRDefault="00564694" w:rsidP="00FD3B3E">
      <w:r w:rsidRPr="00CF15D8">
        <w:rPr>
          <w:b/>
        </w:rPr>
        <w:t>16.  Plans for Tabulation and Publication and Project Time Schedule</w:t>
      </w:r>
    </w:p>
    <w:p w:rsidR="009A2E75" w:rsidRPr="007F5775"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99598F" w:rsidRPr="00CF15D8">
        <w:t xml:space="preserve">Laboratories </w:t>
      </w:r>
      <w:r w:rsidR="00DE5460">
        <w:t xml:space="preserve">are </w:t>
      </w:r>
      <w:r w:rsidR="0099598F" w:rsidRPr="00CF15D8">
        <w:t>surveyed twice a</w:t>
      </w:r>
      <w:r w:rsidR="00DE5460">
        <w:t xml:space="preserve"> year</w:t>
      </w:r>
      <w:r w:rsidR="00A31C75">
        <w:t>.</w:t>
      </w:r>
      <w:r w:rsidR="0099598F" w:rsidRPr="00CF15D8">
        <w:t xml:space="preserve">  Data </w:t>
      </w:r>
      <w:r w:rsidR="00732A94">
        <w:t>is a</w:t>
      </w:r>
      <w:r w:rsidR="0099598F" w:rsidRPr="00CF15D8">
        <w:t>nalyzed by tabulating and comparing results from various test methodologies and associated practice variables. Analysis also include</w:t>
      </w:r>
      <w:r w:rsidR="00732A94">
        <w:t>s</w:t>
      </w:r>
      <w:r w:rsidR="0099598F" w:rsidRPr="00CF15D8">
        <w:t xml:space="preserve"> compiling and collating a variety of methods and drug concentrations.  The data </w:t>
      </w:r>
      <w:r w:rsidR="00732A94">
        <w:t>is p</w:t>
      </w:r>
      <w:r w:rsidR="0099598F" w:rsidRPr="00CF15D8">
        <w:t>ublished as an aggregate report and distributed</w:t>
      </w:r>
      <w:r w:rsidR="009A2E75" w:rsidRPr="00CF15D8">
        <w:t xml:space="preserve"> by email</w:t>
      </w:r>
      <w:r w:rsidR="001C1643" w:rsidRPr="00CF15D8">
        <w:t xml:space="preserve"> to participating</w:t>
      </w:r>
      <w:r w:rsidR="0099598F" w:rsidRPr="00CF15D8">
        <w:t xml:space="preserve"> laboratories in</w:t>
      </w:r>
      <w:r w:rsidR="00E92716" w:rsidRPr="00CF15D8">
        <w:t xml:space="preserve"> </w:t>
      </w:r>
      <w:proofErr w:type="spellStart"/>
      <w:r w:rsidR="0099598F" w:rsidRPr="00CF15D8">
        <w:t>pdf</w:t>
      </w:r>
      <w:proofErr w:type="spellEnd"/>
      <w:r w:rsidR="0099598F" w:rsidRPr="00CF15D8">
        <w:t xml:space="preserve"> files</w:t>
      </w:r>
      <w:r w:rsidR="00732A94" w:rsidRPr="007F5775">
        <w:t xml:space="preserve">.  Data is also </w:t>
      </w:r>
      <w:r w:rsidR="0099598F" w:rsidRPr="007F5775">
        <w:t xml:space="preserve">posted on the CDC </w:t>
      </w:r>
      <w:r w:rsidR="002D0A4F">
        <w:t>M</w:t>
      </w:r>
      <w:r w:rsidR="0099598F" w:rsidRPr="007F5775">
        <w:t xml:space="preserve">PEP website at </w:t>
      </w:r>
    </w:p>
    <w:p w:rsidR="009A2E75" w:rsidRPr="00CF15D8" w:rsidRDefault="00066318"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hyperlink r:id="rId16" w:history="1">
        <w:r w:rsidR="009A2E75" w:rsidRPr="00CF15D8">
          <w:rPr>
            <w:rStyle w:val="Hyperlink"/>
          </w:rPr>
          <w:t>http://wwwn.cdc.gov/mpep/mtbds.aspx</w:t>
        </w:r>
      </w:hyperlink>
      <w:r w:rsidR="00991E74">
        <w:t>.</w:t>
      </w:r>
    </w:p>
    <w:p w:rsidR="0099598F" w:rsidRPr="00CF15D8" w:rsidRDefault="0099598F" w:rsidP="004653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This information will assist in determining guidelines to improve </w:t>
      </w:r>
      <w:r w:rsidRPr="00CF15D8">
        <w:rPr>
          <w:i/>
        </w:rPr>
        <w:t>M. tuberculosis</w:t>
      </w:r>
      <w:r w:rsidRPr="00CF15D8">
        <w:t xml:space="preserve"> susceptibility testing.  </w:t>
      </w:r>
    </w:p>
    <w:p w:rsidR="0099598F"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8688B" w:rsidRDefault="00D8688B"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A2E75" w:rsidRPr="0064250C" w:rsidTr="0064250C">
        <w:tc>
          <w:tcPr>
            <w:tcW w:w="8856" w:type="dxa"/>
            <w:gridSpan w:val="2"/>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 16.1 Project Time Schedule</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Activity</w:t>
            </w:r>
          </w:p>
        </w:t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Time Schedule</w:t>
            </w:r>
          </w:p>
        </w:tc>
      </w:tr>
      <w:tr w:rsidR="009A2E75" w:rsidRPr="0064250C" w:rsidTr="0064250C">
        <w:tc>
          <w:tcPr>
            <w:tcW w:w="4428" w:type="dxa"/>
          </w:tcPr>
          <w:p w:rsidR="009A2E75" w:rsidRPr="003B3317" w:rsidRDefault="000D4316"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Enrollment using Participant Biosafety Compliance Letter of Agreement</w:t>
            </w:r>
          </w:p>
        </w:tc>
        <w:tc>
          <w:tcPr>
            <w:tcW w:w="4428" w:type="dxa"/>
          </w:tcPr>
          <w:p w:rsidR="009A2E75" w:rsidRPr="003B3317" w:rsidRDefault="00656366" w:rsidP="006563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March</w:t>
            </w:r>
            <w:r w:rsidR="0024235D" w:rsidRPr="003B3317">
              <w:t xml:space="preserve"> and  </w:t>
            </w:r>
            <w:r>
              <w:t>September</w:t>
            </w:r>
            <w:r w:rsidR="004653A1" w:rsidRPr="003B3317">
              <w:t xml:space="preserve"> (or 2-3 months after OMB approval)</w:t>
            </w:r>
          </w:p>
        </w:tc>
      </w:tr>
      <w:tr w:rsidR="009A2E75" w:rsidRPr="0064250C" w:rsidTr="0064250C">
        <w:tc>
          <w:tcPr>
            <w:tcW w:w="4428" w:type="dxa"/>
          </w:tcPr>
          <w:p w:rsidR="009A2E75" w:rsidRPr="003B3317" w:rsidRDefault="000D4316" w:rsidP="000D4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Shipment of Cultures with Instructions for Participants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w:t>
            </w:r>
            <w:r w:rsidR="004653A1" w:rsidRPr="003B3317">
              <w:t xml:space="preserve"> </w:t>
            </w:r>
            <w:r>
              <w:t xml:space="preserve"> November </w:t>
            </w:r>
            <w:r w:rsidR="004653A1" w:rsidRPr="003B3317">
              <w:t>(or 3-4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Data Entry by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 </w:t>
            </w:r>
            <w:r>
              <w:t>November</w:t>
            </w:r>
            <w:r w:rsidR="004653A1" w:rsidRPr="003B3317">
              <w:t xml:space="preserve"> (3-4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Preliminary  Reports to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Analysis of Aggregate Data</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rsidTr="0064250C">
        <w:tc>
          <w:tcPr>
            <w:tcW w:w="4428" w:type="dxa"/>
          </w:tcPr>
          <w:p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Final Report to Respondents</w:t>
            </w:r>
          </w:p>
        </w:tc>
        <w:tc>
          <w:tcPr>
            <w:tcW w:w="4428" w:type="dxa"/>
          </w:tcPr>
          <w:p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July</w:t>
            </w:r>
            <w:r w:rsidR="0024235D" w:rsidRPr="003B3317">
              <w:t xml:space="preserve"> and </w:t>
            </w:r>
            <w:r>
              <w:t>January ( or 5-6 months after OMB approval)</w:t>
            </w:r>
          </w:p>
        </w:tc>
      </w:tr>
    </w:tbl>
    <w:p w:rsidR="0099598F" w:rsidRPr="00CF15D8"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64694" w:rsidRPr="00CF15D8" w:rsidRDefault="00564694" w:rsidP="00FD3B3E">
      <w:r w:rsidRPr="00CF15D8">
        <w:rPr>
          <w:b/>
        </w:rPr>
        <w:t>17. Reason(s) Display of OMB Expiration Date is Inappropriate</w:t>
      </w:r>
    </w:p>
    <w:p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A594F" w:rsidRPr="00CF15D8">
        <w:t>Approval is not requested to not display OMB expiration date.</w:t>
      </w:r>
    </w:p>
    <w:p w:rsidR="00564694" w:rsidRPr="00CF15D8" w:rsidRDefault="00564694" w:rsidP="00FD3B3E"/>
    <w:p w:rsidR="00564694" w:rsidRPr="00CF15D8" w:rsidRDefault="00564694" w:rsidP="00FD3B3E">
      <w:r w:rsidRPr="00CF15D8">
        <w:rPr>
          <w:b/>
        </w:rPr>
        <w:t>18.  Exceptions for Certification for Paperwork Reduction Act Submissions</w:t>
      </w:r>
    </w:p>
    <w:p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D97242" w:rsidRPr="00CF15D8">
        <w:t>There are no exceptions to the certification.</w:t>
      </w:r>
    </w:p>
    <w:p w:rsidR="00514E6F" w:rsidRPr="00A77CAB" w:rsidRDefault="00514E6F" w:rsidP="00514E6F">
      <w:pPr>
        <w:rPr>
          <w:b/>
        </w:rPr>
      </w:pPr>
      <w:r w:rsidRPr="00A77CAB">
        <w:rPr>
          <w:b/>
        </w:rPr>
        <w:t>Statistical Methods</w:t>
      </w:r>
    </w:p>
    <w:p w:rsidR="00872C0B" w:rsidRDefault="00872C0B" w:rsidP="00514E6F">
      <w:pPr>
        <w:rPr>
          <w:b/>
          <w:u w:val="single"/>
        </w:rPr>
      </w:pPr>
    </w:p>
    <w:p w:rsidR="00514E6F" w:rsidRPr="00CF15D8" w:rsidRDefault="00514E6F" w:rsidP="00514E6F">
      <w:r w:rsidRPr="00CF15D8">
        <w:rPr>
          <w:b/>
          <w:u w:val="single"/>
        </w:rPr>
        <w:lastRenderedPageBreak/>
        <w:t>B. Collections of Information Employing Statistical Methods</w:t>
      </w:r>
    </w:p>
    <w:p w:rsidR="00514E6F" w:rsidRDefault="00514E6F" w:rsidP="00514E6F"/>
    <w:p w:rsidR="00514E6F" w:rsidRDefault="00514E6F" w:rsidP="00514E6F">
      <w:pPr>
        <w:spacing w:line="360" w:lineRule="auto"/>
      </w:pPr>
      <w:r>
        <w:t>This data collection does not use statistical methods.</w:t>
      </w:r>
    </w:p>
    <w:p w:rsidR="00514E6F" w:rsidRDefault="00514E6F" w:rsidP="00514E6F">
      <w:pPr>
        <w:spacing w:line="360" w:lineRule="auto"/>
      </w:pPr>
    </w:p>
    <w:p w:rsidR="00514E6F" w:rsidRPr="003B3317" w:rsidRDefault="00514E6F" w:rsidP="00514E6F">
      <w:pPr>
        <w:spacing w:line="360" w:lineRule="auto"/>
      </w:pPr>
      <w:r>
        <w:t>L</w:t>
      </w:r>
      <w:r w:rsidRPr="00CF15D8">
        <w:t xml:space="preserve">aboratories </w:t>
      </w:r>
      <w:r>
        <w:t xml:space="preserve">enroll in the program via </w:t>
      </w:r>
      <w:r w:rsidRPr="00CF15D8">
        <w:t xml:space="preserve">the </w:t>
      </w:r>
      <w:r>
        <w:t xml:space="preserve">Enrollment Form </w:t>
      </w:r>
      <w:r w:rsidRPr="00CF15D8">
        <w:t xml:space="preserve">and </w:t>
      </w:r>
      <w:r>
        <w:t xml:space="preserve">are </w:t>
      </w:r>
      <w:r w:rsidRPr="00CF15D8">
        <w:t>assigned a</w:t>
      </w:r>
      <w:r>
        <w:t xml:space="preserve">n identification </w:t>
      </w:r>
      <w:r w:rsidRPr="00CF15D8">
        <w:t xml:space="preserve">(TPEP) </w:t>
      </w:r>
      <w:r>
        <w:t>number.</w:t>
      </w:r>
      <w:r w:rsidRPr="00CF15D8">
        <w:t xml:space="preserve">  The TPEP number </w:t>
      </w:r>
      <w:r>
        <w:t>is</w:t>
      </w:r>
      <w:r w:rsidRPr="00CF15D8">
        <w:t xml:space="preserve"> required for electronic data entry.</w:t>
      </w:r>
      <w:r>
        <w:t xml:space="preserve">  </w:t>
      </w:r>
      <w:r w:rsidRPr="005E6441">
        <w:t>An advance Pre-shipment Email is sent to participants to inform them of the expected date for receiving the culture shipment and to capture any changes in laboratory contact information.  Cultures are sent to the laboratories along</w:t>
      </w:r>
      <w:r w:rsidRPr="00CF15D8">
        <w:t xml:space="preserve"> with a shipment letter containing the laboratory password, instructions for handling the culture isolates and for reporting testing results online for the shipment.  Testing results and </w:t>
      </w:r>
      <w:r>
        <w:t>laboratory</w:t>
      </w:r>
      <w:r w:rsidRPr="00CF15D8">
        <w:t xml:space="preserve"> information are collected from respondents through</w:t>
      </w:r>
      <w:r>
        <w:t xml:space="preserve"> an</w:t>
      </w:r>
      <w:r w:rsidRPr="00CF15D8">
        <w:t xml:space="preserve"> online website</w:t>
      </w:r>
      <w:r>
        <w:t xml:space="preserve">. </w:t>
      </w:r>
      <w:r w:rsidRPr="00CF15D8">
        <w:t xml:space="preserve">If laboratories have not </w:t>
      </w:r>
      <w:r>
        <w:t xml:space="preserve">entered DST results </w:t>
      </w:r>
      <w:r w:rsidRPr="002412A6">
        <w:t>one to</w:t>
      </w:r>
      <w:r>
        <w:t xml:space="preserve"> two weeks before the deadline, </w:t>
      </w:r>
      <w:r w:rsidRPr="00CF15D8">
        <w:t xml:space="preserve">they </w:t>
      </w:r>
      <w:r>
        <w:t xml:space="preserve">are </w:t>
      </w:r>
      <w:r w:rsidRPr="00CF15D8">
        <w:t>contacted by email or by telephone</w:t>
      </w:r>
      <w:r>
        <w:t>.</w:t>
      </w:r>
      <w:r w:rsidRPr="00CF15D8">
        <w:t xml:space="preserve"> </w:t>
      </w:r>
      <w:r>
        <w:t xml:space="preserve"> </w:t>
      </w:r>
      <w:r w:rsidRPr="00CF15D8">
        <w:t xml:space="preserve">Only </w:t>
      </w:r>
      <w:r>
        <w:t xml:space="preserve">online </w:t>
      </w:r>
      <w:r w:rsidRPr="00CF15D8">
        <w:t xml:space="preserve">results are accepted. </w:t>
      </w:r>
      <w:r w:rsidRPr="005C5D52">
        <w:t>Aggregate data are derived from the testing results of the various methods provided to CDC by each of the laboratories. CDC compiles</w:t>
      </w:r>
      <w:r>
        <w:t xml:space="preserve"> </w:t>
      </w:r>
      <w:r w:rsidRPr="005C5D52">
        <w:t xml:space="preserve">the </w:t>
      </w:r>
      <w:r>
        <w:t xml:space="preserve">test </w:t>
      </w:r>
      <w:r w:rsidRPr="005C5D52">
        <w:t xml:space="preserve">results </w:t>
      </w:r>
      <w:r>
        <w:t>in graph and table form to prepare</w:t>
      </w:r>
      <w:r w:rsidRPr="005C5D52">
        <w:t xml:space="preserve"> aggreg</w:t>
      </w:r>
      <w:r>
        <w:t xml:space="preserve">ate reports. Results compiled from participating laboratories include the total volume of MTBC isolates tested, the distribution of susceptibility methods used for testing, test media used for susceptibility testing, </w:t>
      </w:r>
      <w:proofErr w:type="spellStart"/>
      <w:r>
        <w:t>antituberculous</w:t>
      </w:r>
      <w:proofErr w:type="spellEnd"/>
      <w:r>
        <w:t xml:space="preserve"> drugs used for testing, and susceptibility results for each of the MTBC test isolates. </w:t>
      </w:r>
      <w:r w:rsidRPr="00CF15D8">
        <w:t xml:space="preserve">Thirty days after the deadline, CDC staff </w:t>
      </w:r>
      <w:r>
        <w:t xml:space="preserve">will </w:t>
      </w:r>
      <w:r w:rsidRPr="00CF15D8">
        <w:t xml:space="preserve">send an electronic copy of the preliminary report. Approximately 60 days after the deadline, the results of the data collected </w:t>
      </w:r>
      <w:r>
        <w:t>are</w:t>
      </w:r>
      <w:r w:rsidRPr="00CF15D8">
        <w:t xml:space="preserve"> analyzed and the aggregate report letter</w:t>
      </w:r>
      <w:r>
        <w:t xml:space="preserve"> is</w:t>
      </w:r>
      <w:r w:rsidRPr="00CF15D8">
        <w:t xml:space="preserve"> emailed to all enrollees and the complete aggregated report will be posted on </w:t>
      </w:r>
      <w:r w:rsidRPr="003B3317">
        <w:t xml:space="preserve">the CDC MPEP Home Page at </w:t>
      </w:r>
      <w:hyperlink r:id="rId17" w:history="1">
        <w:r w:rsidRPr="003B3317">
          <w:rPr>
            <w:rStyle w:val="Hyperlink"/>
            <w:color w:val="auto"/>
          </w:rPr>
          <w:t>http://wwwn.cdc.gov/mpep/mtbds.aspx</w:t>
        </w:r>
      </w:hyperlink>
      <w:r w:rsidRPr="003B3317">
        <w:t>.</w:t>
      </w:r>
      <w:r>
        <w:t xml:space="preserve"> The aggregate report allows participants to compare their results with others at a national level and improve testing quality through self-evaluation. The CDC uses test results to identify potential testing problems and to consult with participants to incorporate procedures to eliminate them.</w:t>
      </w:r>
    </w:p>
    <w:p w:rsidR="00564694" w:rsidRPr="00CF15D8" w:rsidRDefault="00564694" w:rsidP="007E22C3"/>
    <w:sectPr w:rsidR="00564694" w:rsidRPr="00CF15D8" w:rsidSect="00E007BD">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7A" w:rsidRDefault="00C7397A">
      <w:r>
        <w:separator/>
      </w:r>
    </w:p>
  </w:endnote>
  <w:endnote w:type="continuationSeparator" w:id="0">
    <w:p w:rsidR="00C7397A" w:rsidRDefault="00C7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8E" w:rsidRDefault="0008238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238E" w:rsidRDefault="0008238E"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8E" w:rsidRDefault="0008238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6318">
      <w:rPr>
        <w:rStyle w:val="PageNumber"/>
        <w:noProof/>
      </w:rPr>
      <w:t>11</w:t>
    </w:r>
    <w:r>
      <w:rPr>
        <w:rStyle w:val="PageNumber"/>
      </w:rPr>
      <w:fldChar w:fldCharType="end"/>
    </w:r>
  </w:p>
  <w:p w:rsidR="0008238E" w:rsidRDefault="0008238E"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7A" w:rsidRDefault="00C7397A">
      <w:r>
        <w:separator/>
      </w:r>
    </w:p>
  </w:footnote>
  <w:footnote w:type="continuationSeparator" w:id="0">
    <w:p w:rsidR="00C7397A" w:rsidRDefault="00C73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4493"/>
    <w:multiLevelType w:val="hybridMultilevel"/>
    <w:tmpl w:val="DE2C0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AF0688"/>
    <w:multiLevelType w:val="hybridMultilevel"/>
    <w:tmpl w:val="69AC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55ED3"/>
    <w:multiLevelType w:val="hybridMultilevel"/>
    <w:tmpl w:val="D122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277096"/>
    <w:multiLevelType w:val="hybridMultilevel"/>
    <w:tmpl w:val="042209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CA0C56"/>
    <w:multiLevelType w:val="hybridMultilevel"/>
    <w:tmpl w:val="20E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0B14B8"/>
    <w:multiLevelType w:val="hybridMultilevel"/>
    <w:tmpl w:val="53C40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B801DE"/>
    <w:multiLevelType w:val="hybridMultilevel"/>
    <w:tmpl w:val="EDC401FA"/>
    <w:lvl w:ilvl="0" w:tplc="849E2822">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8"/>
  </w:num>
  <w:num w:numId="4">
    <w:abstractNumId w:val="0"/>
  </w:num>
  <w:num w:numId="5">
    <w:abstractNumId w:val="4"/>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F7"/>
    <w:rsid w:val="00000147"/>
    <w:rsid w:val="0001074E"/>
    <w:rsid w:val="0001199A"/>
    <w:rsid w:val="00017ED0"/>
    <w:rsid w:val="000210A1"/>
    <w:rsid w:val="000241B1"/>
    <w:rsid w:val="000278C2"/>
    <w:rsid w:val="00033CF3"/>
    <w:rsid w:val="00036C65"/>
    <w:rsid w:val="00040FB5"/>
    <w:rsid w:val="00044780"/>
    <w:rsid w:val="00062D62"/>
    <w:rsid w:val="00066318"/>
    <w:rsid w:val="000679F6"/>
    <w:rsid w:val="00075F45"/>
    <w:rsid w:val="0008238E"/>
    <w:rsid w:val="00085861"/>
    <w:rsid w:val="00090945"/>
    <w:rsid w:val="000A27D1"/>
    <w:rsid w:val="000A3111"/>
    <w:rsid w:val="000A383F"/>
    <w:rsid w:val="000A71A3"/>
    <w:rsid w:val="000B2570"/>
    <w:rsid w:val="000B3FD6"/>
    <w:rsid w:val="000D4316"/>
    <w:rsid w:val="000D50F8"/>
    <w:rsid w:val="000D58CE"/>
    <w:rsid w:val="000D643F"/>
    <w:rsid w:val="000D760A"/>
    <w:rsid w:val="000E0B71"/>
    <w:rsid w:val="000E2F1B"/>
    <w:rsid w:val="000E43F9"/>
    <w:rsid w:val="000E6DEB"/>
    <w:rsid w:val="0012418B"/>
    <w:rsid w:val="00126297"/>
    <w:rsid w:val="00133E93"/>
    <w:rsid w:val="00136439"/>
    <w:rsid w:val="001367A4"/>
    <w:rsid w:val="00142A08"/>
    <w:rsid w:val="00143FBA"/>
    <w:rsid w:val="00162B8E"/>
    <w:rsid w:val="00167C11"/>
    <w:rsid w:val="00174F6D"/>
    <w:rsid w:val="00176729"/>
    <w:rsid w:val="001767A7"/>
    <w:rsid w:val="001777F4"/>
    <w:rsid w:val="00180C8D"/>
    <w:rsid w:val="00182653"/>
    <w:rsid w:val="001854B9"/>
    <w:rsid w:val="0019071B"/>
    <w:rsid w:val="00192975"/>
    <w:rsid w:val="00193ABE"/>
    <w:rsid w:val="001A1395"/>
    <w:rsid w:val="001A6E21"/>
    <w:rsid w:val="001B0AD4"/>
    <w:rsid w:val="001B3763"/>
    <w:rsid w:val="001B5DAC"/>
    <w:rsid w:val="001C1643"/>
    <w:rsid w:val="001C2913"/>
    <w:rsid w:val="001C6829"/>
    <w:rsid w:val="001C6DE8"/>
    <w:rsid w:val="001D6E90"/>
    <w:rsid w:val="001E10B9"/>
    <w:rsid w:val="001F0DCA"/>
    <w:rsid w:val="001F1791"/>
    <w:rsid w:val="001F398B"/>
    <w:rsid w:val="001F46FF"/>
    <w:rsid w:val="00202306"/>
    <w:rsid w:val="00203497"/>
    <w:rsid w:val="002051FF"/>
    <w:rsid w:val="00207CFC"/>
    <w:rsid w:val="002142A5"/>
    <w:rsid w:val="00216D8F"/>
    <w:rsid w:val="00217D6F"/>
    <w:rsid w:val="00221ADA"/>
    <w:rsid w:val="002354B1"/>
    <w:rsid w:val="0023785C"/>
    <w:rsid w:val="002412A6"/>
    <w:rsid w:val="0024226B"/>
    <w:rsid w:val="0024235D"/>
    <w:rsid w:val="00244006"/>
    <w:rsid w:val="00246C73"/>
    <w:rsid w:val="00252B12"/>
    <w:rsid w:val="002648B6"/>
    <w:rsid w:val="0026634F"/>
    <w:rsid w:val="002717BD"/>
    <w:rsid w:val="00277B64"/>
    <w:rsid w:val="002827B3"/>
    <w:rsid w:val="00284F14"/>
    <w:rsid w:val="002925E4"/>
    <w:rsid w:val="002943EC"/>
    <w:rsid w:val="002A356E"/>
    <w:rsid w:val="002A389C"/>
    <w:rsid w:val="002B144E"/>
    <w:rsid w:val="002B34F3"/>
    <w:rsid w:val="002B4B92"/>
    <w:rsid w:val="002B7B5A"/>
    <w:rsid w:val="002C0D1E"/>
    <w:rsid w:val="002C2A31"/>
    <w:rsid w:val="002D0A4F"/>
    <w:rsid w:val="002D79BA"/>
    <w:rsid w:val="002E2391"/>
    <w:rsid w:val="00302E2A"/>
    <w:rsid w:val="0030466B"/>
    <w:rsid w:val="003077A7"/>
    <w:rsid w:val="00307990"/>
    <w:rsid w:val="003113CA"/>
    <w:rsid w:val="00311B63"/>
    <w:rsid w:val="00314AA2"/>
    <w:rsid w:val="0032432E"/>
    <w:rsid w:val="003272CA"/>
    <w:rsid w:val="003424F9"/>
    <w:rsid w:val="003472F8"/>
    <w:rsid w:val="00352DD1"/>
    <w:rsid w:val="003539B2"/>
    <w:rsid w:val="003600BB"/>
    <w:rsid w:val="003620A6"/>
    <w:rsid w:val="0037440E"/>
    <w:rsid w:val="00374749"/>
    <w:rsid w:val="00382A03"/>
    <w:rsid w:val="003A5308"/>
    <w:rsid w:val="003B3317"/>
    <w:rsid w:val="003B51CF"/>
    <w:rsid w:val="003C3F06"/>
    <w:rsid w:val="003C7295"/>
    <w:rsid w:val="003C7569"/>
    <w:rsid w:val="003D0908"/>
    <w:rsid w:val="003D12FD"/>
    <w:rsid w:val="003D3D95"/>
    <w:rsid w:val="003D5873"/>
    <w:rsid w:val="003D77CA"/>
    <w:rsid w:val="003E1E4F"/>
    <w:rsid w:val="003E3DCB"/>
    <w:rsid w:val="003E5F89"/>
    <w:rsid w:val="00402D42"/>
    <w:rsid w:val="00402D78"/>
    <w:rsid w:val="004127B9"/>
    <w:rsid w:val="00422885"/>
    <w:rsid w:val="004460F8"/>
    <w:rsid w:val="00457EED"/>
    <w:rsid w:val="004653A1"/>
    <w:rsid w:val="00465E98"/>
    <w:rsid w:val="00480C04"/>
    <w:rsid w:val="00493363"/>
    <w:rsid w:val="004939F7"/>
    <w:rsid w:val="004A2A2F"/>
    <w:rsid w:val="004A703D"/>
    <w:rsid w:val="004C3978"/>
    <w:rsid w:val="004C3E04"/>
    <w:rsid w:val="004D664D"/>
    <w:rsid w:val="004F023B"/>
    <w:rsid w:val="004F27D2"/>
    <w:rsid w:val="005005BC"/>
    <w:rsid w:val="0050186C"/>
    <w:rsid w:val="00501A31"/>
    <w:rsid w:val="00505B44"/>
    <w:rsid w:val="00510FF2"/>
    <w:rsid w:val="005124E0"/>
    <w:rsid w:val="00514E6F"/>
    <w:rsid w:val="00516916"/>
    <w:rsid w:val="005176BD"/>
    <w:rsid w:val="005265F2"/>
    <w:rsid w:val="00527F0C"/>
    <w:rsid w:val="005375DD"/>
    <w:rsid w:val="0054002E"/>
    <w:rsid w:val="00540A53"/>
    <w:rsid w:val="00561710"/>
    <w:rsid w:val="00562458"/>
    <w:rsid w:val="00564694"/>
    <w:rsid w:val="005647D2"/>
    <w:rsid w:val="00567895"/>
    <w:rsid w:val="0057072B"/>
    <w:rsid w:val="00571B17"/>
    <w:rsid w:val="00581F9B"/>
    <w:rsid w:val="005846EC"/>
    <w:rsid w:val="00585D22"/>
    <w:rsid w:val="00597B99"/>
    <w:rsid w:val="005A46CA"/>
    <w:rsid w:val="005A51E6"/>
    <w:rsid w:val="005A53B6"/>
    <w:rsid w:val="005A55E2"/>
    <w:rsid w:val="005A6840"/>
    <w:rsid w:val="005B7252"/>
    <w:rsid w:val="005C4F98"/>
    <w:rsid w:val="005D50AE"/>
    <w:rsid w:val="005D5435"/>
    <w:rsid w:val="005D7723"/>
    <w:rsid w:val="005E0ECA"/>
    <w:rsid w:val="005E42A1"/>
    <w:rsid w:val="005E5EDB"/>
    <w:rsid w:val="005E63E1"/>
    <w:rsid w:val="005E6441"/>
    <w:rsid w:val="005F67E5"/>
    <w:rsid w:val="005F6C95"/>
    <w:rsid w:val="00611EC6"/>
    <w:rsid w:val="00615F0F"/>
    <w:rsid w:val="00617CA1"/>
    <w:rsid w:val="00621147"/>
    <w:rsid w:val="00621710"/>
    <w:rsid w:val="006222F2"/>
    <w:rsid w:val="006238A9"/>
    <w:rsid w:val="00625605"/>
    <w:rsid w:val="00626EBF"/>
    <w:rsid w:val="006334C3"/>
    <w:rsid w:val="006340B2"/>
    <w:rsid w:val="00637C78"/>
    <w:rsid w:val="006424C2"/>
    <w:rsid w:val="0064250C"/>
    <w:rsid w:val="00644D69"/>
    <w:rsid w:val="00656366"/>
    <w:rsid w:val="00680F37"/>
    <w:rsid w:val="00682762"/>
    <w:rsid w:val="0068324A"/>
    <w:rsid w:val="006834F4"/>
    <w:rsid w:val="006862CF"/>
    <w:rsid w:val="00691EB0"/>
    <w:rsid w:val="0069243A"/>
    <w:rsid w:val="00695E0E"/>
    <w:rsid w:val="006A4D0D"/>
    <w:rsid w:val="006A598B"/>
    <w:rsid w:val="006B175A"/>
    <w:rsid w:val="006C421C"/>
    <w:rsid w:val="006D5626"/>
    <w:rsid w:val="006E0CA4"/>
    <w:rsid w:val="006E179E"/>
    <w:rsid w:val="006E1FE4"/>
    <w:rsid w:val="006E57A1"/>
    <w:rsid w:val="006E7CB5"/>
    <w:rsid w:val="006F2AB5"/>
    <w:rsid w:val="006F40AE"/>
    <w:rsid w:val="007144D9"/>
    <w:rsid w:val="00731EDD"/>
    <w:rsid w:val="00732A94"/>
    <w:rsid w:val="0073428A"/>
    <w:rsid w:val="00740048"/>
    <w:rsid w:val="00750A23"/>
    <w:rsid w:val="007532D7"/>
    <w:rsid w:val="007546F2"/>
    <w:rsid w:val="00766380"/>
    <w:rsid w:val="007819D4"/>
    <w:rsid w:val="0078249D"/>
    <w:rsid w:val="00783225"/>
    <w:rsid w:val="00784602"/>
    <w:rsid w:val="007852CA"/>
    <w:rsid w:val="007A167A"/>
    <w:rsid w:val="007A30AB"/>
    <w:rsid w:val="007A4B8B"/>
    <w:rsid w:val="007A53DB"/>
    <w:rsid w:val="007A7AB3"/>
    <w:rsid w:val="007B53A3"/>
    <w:rsid w:val="007B5576"/>
    <w:rsid w:val="007B57D1"/>
    <w:rsid w:val="007B667D"/>
    <w:rsid w:val="007D0D0A"/>
    <w:rsid w:val="007D7A97"/>
    <w:rsid w:val="007E1019"/>
    <w:rsid w:val="007E22C3"/>
    <w:rsid w:val="007E4D12"/>
    <w:rsid w:val="007E4DB6"/>
    <w:rsid w:val="007E6E29"/>
    <w:rsid w:val="007E76C1"/>
    <w:rsid w:val="007E7BAC"/>
    <w:rsid w:val="007F35CF"/>
    <w:rsid w:val="007F5775"/>
    <w:rsid w:val="007F7348"/>
    <w:rsid w:val="00800854"/>
    <w:rsid w:val="00802C20"/>
    <w:rsid w:val="008043D0"/>
    <w:rsid w:val="008130D4"/>
    <w:rsid w:val="00815603"/>
    <w:rsid w:val="00815A5A"/>
    <w:rsid w:val="008233EB"/>
    <w:rsid w:val="00827428"/>
    <w:rsid w:val="00831744"/>
    <w:rsid w:val="00832F12"/>
    <w:rsid w:val="008339D0"/>
    <w:rsid w:val="0084450B"/>
    <w:rsid w:val="0084618F"/>
    <w:rsid w:val="00856EF9"/>
    <w:rsid w:val="008638F6"/>
    <w:rsid w:val="008674F9"/>
    <w:rsid w:val="00871539"/>
    <w:rsid w:val="00872C0B"/>
    <w:rsid w:val="00880211"/>
    <w:rsid w:val="008802F9"/>
    <w:rsid w:val="00881391"/>
    <w:rsid w:val="00883B4E"/>
    <w:rsid w:val="008853B6"/>
    <w:rsid w:val="00886EC5"/>
    <w:rsid w:val="00890B7C"/>
    <w:rsid w:val="00892251"/>
    <w:rsid w:val="008A79D3"/>
    <w:rsid w:val="008B1CD0"/>
    <w:rsid w:val="008B40EF"/>
    <w:rsid w:val="008B4A63"/>
    <w:rsid w:val="008B7207"/>
    <w:rsid w:val="008C12FA"/>
    <w:rsid w:val="008C1B1C"/>
    <w:rsid w:val="008C1C37"/>
    <w:rsid w:val="008C619E"/>
    <w:rsid w:val="008D7631"/>
    <w:rsid w:val="008F0C6B"/>
    <w:rsid w:val="008F23BA"/>
    <w:rsid w:val="00916FA1"/>
    <w:rsid w:val="00925109"/>
    <w:rsid w:val="00931F7D"/>
    <w:rsid w:val="0097694D"/>
    <w:rsid w:val="009821FA"/>
    <w:rsid w:val="00991E74"/>
    <w:rsid w:val="0099598F"/>
    <w:rsid w:val="009A2E75"/>
    <w:rsid w:val="009A3D6E"/>
    <w:rsid w:val="009A6FE1"/>
    <w:rsid w:val="009B0693"/>
    <w:rsid w:val="009C73C9"/>
    <w:rsid w:val="009D72FE"/>
    <w:rsid w:val="009E061E"/>
    <w:rsid w:val="009E4A75"/>
    <w:rsid w:val="009E5294"/>
    <w:rsid w:val="009E6437"/>
    <w:rsid w:val="009E6BA4"/>
    <w:rsid w:val="00A00D4E"/>
    <w:rsid w:val="00A02BD2"/>
    <w:rsid w:val="00A03F85"/>
    <w:rsid w:val="00A0462C"/>
    <w:rsid w:val="00A123E2"/>
    <w:rsid w:val="00A30FD1"/>
    <w:rsid w:val="00A31C75"/>
    <w:rsid w:val="00A32D29"/>
    <w:rsid w:val="00A32F9A"/>
    <w:rsid w:val="00A34E3A"/>
    <w:rsid w:val="00A52C02"/>
    <w:rsid w:val="00A53BD4"/>
    <w:rsid w:val="00A83BEF"/>
    <w:rsid w:val="00AA1568"/>
    <w:rsid w:val="00AA7427"/>
    <w:rsid w:val="00AB3EDC"/>
    <w:rsid w:val="00AB6191"/>
    <w:rsid w:val="00AB7330"/>
    <w:rsid w:val="00AC2BD4"/>
    <w:rsid w:val="00AD31A5"/>
    <w:rsid w:val="00AD4008"/>
    <w:rsid w:val="00AE17C6"/>
    <w:rsid w:val="00AF077C"/>
    <w:rsid w:val="00AF12B7"/>
    <w:rsid w:val="00AF6B51"/>
    <w:rsid w:val="00B077B8"/>
    <w:rsid w:val="00B114BA"/>
    <w:rsid w:val="00B124FF"/>
    <w:rsid w:val="00B17B4C"/>
    <w:rsid w:val="00B21FE4"/>
    <w:rsid w:val="00B23891"/>
    <w:rsid w:val="00B3184E"/>
    <w:rsid w:val="00B3654B"/>
    <w:rsid w:val="00B425C7"/>
    <w:rsid w:val="00B4327A"/>
    <w:rsid w:val="00B5012F"/>
    <w:rsid w:val="00B64E40"/>
    <w:rsid w:val="00B65772"/>
    <w:rsid w:val="00B67039"/>
    <w:rsid w:val="00B67B12"/>
    <w:rsid w:val="00B73642"/>
    <w:rsid w:val="00B80E04"/>
    <w:rsid w:val="00B84089"/>
    <w:rsid w:val="00B91507"/>
    <w:rsid w:val="00BA71B3"/>
    <w:rsid w:val="00BB116E"/>
    <w:rsid w:val="00BC0541"/>
    <w:rsid w:val="00BC3534"/>
    <w:rsid w:val="00BE239B"/>
    <w:rsid w:val="00C125CB"/>
    <w:rsid w:val="00C149D1"/>
    <w:rsid w:val="00C23C32"/>
    <w:rsid w:val="00C23C74"/>
    <w:rsid w:val="00C24831"/>
    <w:rsid w:val="00C27ECB"/>
    <w:rsid w:val="00C36253"/>
    <w:rsid w:val="00C40811"/>
    <w:rsid w:val="00C44F6C"/>
    <w:rsid w:val="00C50F71"/>
    <w:rsid w:val="00C51347"/>
    <w:rsid w:val="00C51B1B"/>
    <w:rsid w:val="00C527DE"/>
    <w:rsid w:val="00C60E73"/>
    <w:rsid w:val="00C610B2"/>
    <w:rsid w:val="00C64041"/>
    <w:rsid w:val="00C643B2"/>
    <w:rsid w:val="00C7397A"/>
    <w:rsid w:val="00C8300E"/>
    <w:rsid w:val="00C86B16"/>
    <w:rsid w:val="00C935E3"/>
    <w:rsid w:val="00C93AC4"/>
    <w:rsid w:val="00C9562A"/>
    <w:rsid w:val="00CA3F61"/>
    <w:rsid w:val="00CA56A6"/>
    <w:rsid w:val="00CA594F"/>
    <w:rsid w:val="00CA705D"/>
    <w:rsid w:val="00CB6037"/>
    <w:rsid w:val="00CC017C"/>
    <w:rsid w:val="00CC6F19"/>
    <w:rsid w:val="00CE4ACE"/>
    <w:rsid w:val="00CE6A7E"/>
    <w:rsid w:val="00CF15D8"/>
    <w:rsid w:val="00CF2EF7"/>
    <w:rsid w:val="00CF31C8"/>
    <w:rsid w:val="00CF44B3"/>
    <w:rsid w:val="00D13D0D"/>
    <w:rsid w:val="00D14742"/>
    <w:rsid w:val="00D23E97"/>
    <w:rsid w:val="00D3156A"/>
    <w:rsid w:val="00D43EAA"/>
    <w:rsid w:val="00D4594B"/>
    <w:rsid w:val="00D53629"/>
    <w:rsid w:val="00D66582"/>
    <w:rsid w:val="00D67C74"/>
    <w:rsid w:val="00D70A29"/>
    <w:rsid w:val="00D748F1"/>
    <w:rsid w:val="00D8688B"/>
    <w:rsid w:val="00D92D7A"/>
    <w:rsid w:val="00D9567F"/>
    <w:rsid w:val="00D969D5"/>
    <w:rsid w:val="00D96C82"/>
    <w:rsid w:val="00D97242"/>
    <w:rsid w:val="00DA397B"/>
    <w:rsid w:val="00DC03BB"/>
    <w:rsid w:val="00DC305A"/>
    <w:rsid w:val="00DC7866"/>
    <w:rsid w:val="00DD50F8"/>
    <w:rsid w:val="00DE2741"/>
    <w:rsid w:val="00DE2F81"/>
    <w:rsid w:val="00DE5460"/>
    <w:rsid w:val="00E007BD"/>
    <w:rsid w:val="00E014ED"/>
    <w:rsid w:val="00E03556"/>
    <w:rsid w:val="00E07CB9"/>
    <w:rsid w:val="00E102A4"/>
    <w:rsid w:val="00E128FF"/>
    <w:rsid w:val="00E15237"/>
    <w:rsid w:val="00E172D5"/>
    <w:rsid w:val="00E226BE"/>
    <w:rsid w:val="00E22701"/>
    <w:rsid w:val="00E22B45"/>
    <w:rsid w:val="00E23118"/>
    <w:rsid w:val="00E23592"/>
    <w:rsid w:val="00E24095"/>
    <w:rsid w:val="00E2791F"/>
    <w:rsid w:val="00E27E58"/>
    <w:rsid w:val="00E3092D"/>
    <w:rsid w:val="00E36376"/>
    <w:rsid w:val="00E41262"/>
    <w:rsid w:val="00E420D3"/>
    <w:rsid w:val="00E50FC5"/>
    <w:rsid w:val="00E512D0"/>
    <w:rsid w:val="00E518A2"/>
    <w:rsid w:val="00E53A5C"/>
    <w:rsid w:val="00E54EEB"/>
    <w:rsid w:val="00E555B1"/>
    <w:rsid w:val="00E55627"/>
    <w:rsid w:val="00E57371"/>
    <w:rsid w:val="00E730C6"/>
    <w:rsid w:val="00E74EDE"/>
    <w:rsid w:val="00E75A7F"/>
    <w:rsid w:val="00E8076A"/>
    <w:rsid w:val="00E829BD"/>
    <w:rsid w:val="00E92716"/>
    <w:rsid w:val="00EA185B"/>
    <w:rsid w:val="00EA55A5"/>
    <w:rsid w:val="00EA7E61"/>
    <w:rsid w:val="00EB4C22"/>
    <w:rsid w:val="00EB6A31"/>
    <w:rsid w:val="00EC177E"/>
    <w:rsid w:val="00EC2596"/>
    <w:rsid w:val="00ED2328"/>
    <w:rsid w:val="00ED3DAB"/>
    <w:rsid w:val="00ED6DCE"/>
    <w:rsid w:val="00ED7321"/>
    <w:rsid w:val="00EE2CBA"/>
    <w:rsid w:val="00EE44A6"/>
    <w:rsid w:val="00EE5EC8"/>
    <w:rsid w:val="00EE7156"/>
    <w:rsid w:val="00EF2849"/>
    <w:rsid w:val="00F00C92"/>
    <w:rsid w:val="00F01DE1"/>
    <w:rsid w:val="00F20E61"/>
    <w:rsid w:val="00F23F7A"/>
    <w:rsid w:val="00F265B6"/>
    <w:rsid w:val="00F266C3"/>
    <w:rsid w:val="00F270F0"/>
    <w:rsid w:val="00F32719"/>
    <w:rsid w:val="00F35BB5"/>
    <w:rsid w:val="00F37543"/>
    <w:rsid w:val="00F42DBA"/>
    <w:rsid w:val="00F45281"/>
    <w:rsid w:val="00F454C6"/>
    <w:rsid w:val="00F46C4C"/>
    <w:rsid w:val="00F53531"/>
    <w:rsid w:val="00F67FC8"/>
    <w:rsid w:val="00F86859"/>
    <w:rsid w:val="00F9422B"/>
    <w:rsid w:val="00F9531C"/>
    <w:rsid w:val="00FA1C24"/>
    <w:rsid w:val="00FA2EE6"/>
    <w:rsid w:val="00FB324D"/>
    <w:rsid w:val="00FB3C39"/>
    <w:rsid w:val="00FB6EB5"/>
    <w:rsid w:val="00FB7045"/>
    <w:rsid w:val="00FD3B3E"/>
    <w:rsid w:val="00FE68BF"/>
    <w:rsid w:val="00FF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37350">
      <w:bodyDiv w:val="1"/>
      <w:marLeft w:val="0"/>
      <w:marRight w:val="0"/>
      <w:marTop w:val="0"/>
      <w:marBottom w:val="0"/>
      <w:divBdr>
        <w:top w:val="none" w:sz="0" w:space="0" w:color="auto"/>
        <w:left w:val="none" w:sz="0" w:space="0" w:color="auto"/>
        <w:bottom w:val="none" w:sz="0" w:space="0" w:color="auto"/>
        <w:right w:val="none" w:sz="0" w:space="0" w:color="auto"/>
      </w:divBdr>
    </w:div>
    <w:div w:id="815033633">
      <w:bodyDiv w:val="1"/>
      <w:marLeft w:val="0"/>
      <w:marRight w:val="0"/>
      <w:marTop w:val="0"/>
      <w:marBottom w:val="0"/>
      <w:divBdr>
        <w:top w:val="none" w:sz="0" w:space="0" w:color="auto"/>
        <w:left w:val="none" w:sz="0" w:space="0" w:color="auto"/>
        <w:bottom w:val="none" w:sz="0" w:space="0" w:color="auto"/>
        <w:right w:val="none" w:sz="0" w:space="0" w:color="auto"/>
      </w:divBdr>
    </w:div>
    <w:div w:id="16450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y2@cdc.gov" TargetMode="External"/><Relationship Id="rId13" Type="http://schemas.openxmlformats.org/officeDocument/2006/relationships/hyperlink" Target="mailto:TBMPEP@CDC.GOV"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napsurveys.com/swh/surveylogin.asp?k=135817325450" TargetMode="External"/><Relationship Id="rId17" Type="http://schemas.openxmlformats.org/officeDocument/2006/relationships/hyperlink" Target="http://wwwn.cdc.gov/mpep/mtbds.aspx" TargetMode="External"/><Relationship Id="rId2" Type="http://schemas.openxmlformats.org/officeDocument/2006/relationships/styles" Target="styles.xml"/><Relationship Id="rId16" Type="http://schemas.openxmlformats.org/officeDocument/2006/relationships/hyperlink" Target="http://wwwn.cdc.gov/mpep/mtbd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dc.gov/mpep/mtbds.aspx" TargetMode="External"/><Relationship Id="rId5" Type="http://schemas.openxmlformats.org/officeDocument/2006/relationships/webSettings" Target="webSettings.xml"/><Relationship Id="rId15" Type="http://schemas.openxmlformats.org/officeDocument/2006/relationships/hyperlink" Target="http://intranet.cdc.gov/ncezid/" TargetMode="External"/><Relationship Id="rId10" Type="http://schemas.openxmlformats.org/officeDocument/2006/relationships/hyperlink" Target="http://www.snapsurveys.com/swh/surveylogin.asp?k=13581732545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ntranet.cdc.gov/ncezid/" TargetMode="External"/><Relationship Id="rId14" Type="http://schemas.openxmlformats.org/officeDocument/2006/relationships/hyperlink" Target="http://www.bls.gov/oes/current/oes191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4088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28530</CharactersWithSpaces>
  <SharedDoc>false</SharedDoc>
  <HLinks>
    <vt:vector size="48" baseType="variant">
      <vt:variant>
        <vt:i4>6422635</vt:i4>
      </vt:variant>
      <vt:variant>
        <vt:i4>24</vt:i4>
      </vt:variant>
      <vt:variant>
        <vt:i4>0</vt:i4>
      </vt:variant>
      <vt:variant>
        <vt:i4>5</vt:i4>
      </vt:variant>
      <vt:variant>
        <vt:lpwstr>http://wwwn.cdc.gov/mpep/mtbds.aspx</vt:lpwstr>
      </vt:variant>
      <vt:variant>
        <vt:lpwstr/>
      </vt:variant>
      <vt:variant>
        <vt:i4>6422635</vt:i4>
      </vt:variant>
      <vt:variant>
        <vt:i4>21</vt:i4>
      </vt:variant>
      <vt:variant>
        <vt:i4>0</vt:i4>
      </vt:variant>
      <vt:variant>
        <vt:i4>5</vt:i4>
      </vt:variant>
      <vt:variant>
        <vt:lpwstr>http://wwwn.cdc.gov/mpep/mtbds.aspx</vt:lpwstr>
      </vt:variant>
      <vt:variant>
        <vt:lpwstr/>
      </vt:variant>
      <vt:variant>
        <vt:i4>2818173</vt:i4>
      </vt:variant>
      <vt:variant>
        <vt:i4>15</vt:i4>
      </vt:variant>
      <vt:variant>
        <vt:i4>0</vt:i4>
      </vt:variant>
      <vt:variant>
        <vt:i4>5</vt:i4>
      </vt:variant>
      <vt:variant>
        <vt:lpwstr>http://www.bls.gov/</vt:lpwstr>
      </vt:variant>
      <vt:variant>
        <vt:lpwstr/>
      </vt:variant>
      <vt:variant>
        <vt:i4>8061007</vt:i4>
      </vt:variant>
      <vt:variant>
        <vt:i4>12</vt:i4>
      </vt:variant>
      <vt:variant>
        <vt:i4>0</vt:i4>
      </vt:variant>
      <vt:variant>
        <vt:i4>5</vt:i4>
      </vt:variant>
      <vt:variant>
        <vt:lpwstr>mailto:TBMPEP@CDC.GOV</vt:lpwstr>
      </vt:variant>
      <vt:variant>
        <vt:lpwstr/>
      </vt:variant>
      <vt:variant>
        <vt:i4>5111833</vt:i4>
      </vt:variant>
      <vt:variant>
        <vt:i4>9</vt:i4>
      </vt:variant>
      <vt:variant>
        <vt:i4>0</vt:i4>
      </vt:variant>
      <vt:variant>
        <vt:i4>5</vt:i4>
      </vt:variant>
      <vt:variant>
        <vt:lpwstr>http://www.snapsurveys.com/swh/surveylogin.asp?k=135093197154</vt:lpwstr>
      </vt:variant>
      <vt:variant>
        <vt:lpwstr/>
      </vt:variant>
      <vt:variant>
        <vt:i4>6422635</vt:i4>
      </vt:variant>
      <vt:variant>
        <vt:i4>6</vt:i4>
      </vt:variant>
      <vt:variant>
        <vt:i4>0</vt:i4>
      </vt:variant>
      <vt:variant>
        <vt:i4>5</vt:i4>
      </vt:variant>
      <vt:variant>
        <vt:lpwstr>http://wwwn.cdc.gov/mpep/mtbds.aspx</vt:lpwstr>
      </vt:variant>
      <vt:variant>
        <vt:lpwstr/>
      </vt:variant>
      <vt:variant>
        <vt:i4>5111833</vt:i4>
      </vt:variant>
      <vt:variant>
        <vt:i4>3</vt:i4>
      </vt:variant>
      <vt:variant>
        <vt:i4>0</vt:i4>
      </vt:variant>
      <vt:variant>
        <vt:i4>5</vt:i4>
      </vt:variant>
      <vt:variant>
        <vt:lpwstr>http://www.snapsurveys.com/swh/surveylogin.asp?k=135093197154</vt:lpwstr>
      </vt:variant>
      <vt:variant>
        <vt:lpwstr/>
      </vt:variant>
      <vt:variant>
        <vt:i4>1245310</vt:i4>
      </vt:variant>
      <vt:variant>
        <vt:i4>0</vt:i4>
      </vt:variant>
      <vt:variant>
        <vt:i4>0</vt:i4>
      </vt:variant>
      <vt:variant>
        <vt:i4>5</vt:i4>
      </vt:variant>
      <vt:variant>
        <vt:lpwstr>mailto:may2@cdc.gov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aeo1</dc:creator>
  <cp:lastModifiedBy>Gissendaner, Petunia (CDC/OD/OADS)</cp:lastModifiedBy>
  <cp:revision>3</cp:revision>
  <cp:lastPrinted>2009-11-20T13:12:00Z</cp:lastPrinted>
  <dcterms:created xsi:type="dcterms:W3CDTF">2013-04-02T13:01:00Z</dcterms:created>
  <dcterms:modified xsi:type="dcterms:W3CDTF">2013-04-02T13:10:00Z</dcterms:modified>
</cp:coreProperties>
</file>