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C" w:rsidRDefault="00CD49EC" w:rsidP="00CD49EC">
      <w:pPr>
        <w:rPr>
          <w:rFonts w:ascii="Tahoma" w:hAnsi="Tahoma" w:cs="Tahoma"/>
          <w:b/>
          <w:bCs/>
          <w:sz w:val="20"/>
          <w:szCs w:val="20"/>
        </w:rPr>
      </w:pPr>
      <w:bookmarkStart w:id="0" w:name="_MailOriginal"/>
      <w:r>
        <w:rPr>
          <w:rFonts w:ascii="Tahoma" w:hAnsi="Tahoma" w:cs="Tahoma"/>
          <w:b/>
          <w:bCs/>
          <w:sz w:val="20"/>
          <w:szCs w:val="20"/>
        </w:rPr>
        <w:t>Supplementary Information—Waiver of 30 and 60 day FRNs</w:t>
      </w:r>
      <w:bookmarkStart w:id="1" w:name="_GoBack"/>
      <w:bookmarkEnd w:id="1"/>
    </w:p>
    <w:p w:rsidR="00CD49EC" w:rsidRDefault="00CD49EC" w:rsidP="00CD49EC">
      <w:pPr>
        <w:rPr>
          <w:rFonts w:ascii="Tahoma" w:hAnsi="Tahoma" w:cs="Tahoma"/>
          <w:b/>
          <w:bCs/>
          <w:sz w:val="20"/>
          <w:szCs w:val="20"/>
        </w:rPr>
      </w:pPr>
    </w:p>
    <w:p w:rsidR="00CD49EC" w:rsidRDefault="00CD49EC" w:rsidP="00CD49E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Schwab, Margo [mailto:Margo_Schwab@omb.eop.gov]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March 21, 2013 9:00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Davis, Stephanie I. (CDC/ONDIEH/NCEH); Higgins, </w:t>
      </w:r>
      <w:proofErr w:type="spellStart"/>
      <w:r>
        <w:rPr>
          <w:rFonts w:ascii="Tahoma" w:hAnsi="Tahoma" w:cs="Tahoma"/>
          <w:sz w:val="20"/>
          <w:szCs w:val="20"/>
        </w:rPr>
        <w:t>Cortney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Kapil, Vikas (CDC/ONDIEH/NCEH); Richardson, Tony (CDC/OD/OADS); Gissendaner, Petunia (CDC/OD/OADS); NCEH/ATSDR PRA/OMB Clearance (CDC)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ATSDR, 0923-0040 - Generic Clearance of ATSDR Exposure Investigations (EI), Reinstatement with Change</w:t>
      </w:r>
    </w:p>
    <w:p w:rsidR="00CD49EC" w:rsidRDefault="00CD49EC" w:rsidP="00CD49EC">
      <w:pPr>
        <w:rPr>
          <w:rFonts w:ascii="Times New Roman" w:eastAsiaTheme="minorHAnsi" w:hAnsi="Times New Roman"/>
          <w:sz w:val="24"/>
          <w:szCs w:val="24"/>
        </w:rPr>
      </w:pPr>
    </w:p>
    <w:p w:rsidR="00CD49EC" w:rsidRDefault="00CD49EC" w:rsidP="00CD49EC">
      <w:pPr>
        <w:rPr>
          <w:color w:val="1F497D"/>
        </w:rPr>
      </w:pPr>
      <w:r>
        <w:rPr>
          <w:color w:val="1F497D"/>
        </w:rPr>
        <w:t xml:space="preserve">Did </w:t>
      </w:r>
      <w:proofErr w:type="spellStart"/>
      <w:r>
        <w:rPr>
          <w:color w:val="1F497D"/>
        </w:rPr>
        <w:t>Cortney</w:t>
      </w:r>
      <w:proofErr w:type="spellEnd"/>
      <w:r>
        <w:rPr>
          <w:color w:val="1F497D"/>
        </w:rPr>
        <w:t xml:space="preserve"> get back to you?  We are fin waiving the 60 day FRN, but you do need to do a 30 day.  The 30 day should discuss the mechanism (generic) and be specific about the scope of the coverage of the types of collections. </w:t>
      </w:r>
    </w:p>
    <w:p w:rsidR="00CD49EC" w:rsidRDefault="00CD49EC" w:rsidP="00CD49EC">
      <w:pPr>
        <w:rPr>
          <w:color w:val="1F497D"/>
        </w:rPr>
      </w:pPr>
    </w:p>
    <w:p w:rsidR="00CD49EC" w:rsidRDefault="00CD49EC" w:rsidP="00CD49E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Davis, Stephanie I. (CDC/ONDIEH/NCEH)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mailto:sgd8@cdc.gov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March 18, 2013 8:32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Schwab, Margo; Higgins, </w:t>
      </w:r>
      <w:proofErr w:type="spellStart"/>
      <w:r>
        <w:rPr>
          <w:rFonts w:ascii="Tahoma" w:hAnsi="Tahoma" w:cs="Tahoma"/>
          <w:sz w:val="20"/>
          <w:szCs w:val="20"/>
        </w:rPr>
        <w:t>Cortney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Kapil, Vikas (CDC/ONDIEH/NCEH); Richardson, Tony (CDC/OD/OADS); Gissendaner, Petunia (CDC/OD/OADS); NCEH/ATSDR PRA/OMB Clearance (CDC)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ATSDR, 0923-0040 - Generic Clearance of ATSDR Exposure Investigations (EI), Reinstatement with Change</w:t>
      </w:r>
    </w:p>
    <w:p w:rsidR="00CD49EC" w:rsidRDefault="00CD49EC" w:rsidP="00CD49EC">
      <w:pPr>
        <w:rPr>
          <w:rFonts w:ascii="Times New Roman" w:hAnsi="Times New Roman"/>
          <w:sz w:val="24"/>
          <w:szCs w:val="24"/>
        </w:rPr>
      </w:pPr>
    </w:p>
    <w:p w:rsidR="00CD49EC" w:rsidRDefault="00CD49EC" w:rsidP="00CD49EC">
      <w:r>
        <w:rPr>
          <w:color w:val="1F497D"/>
        </w:rPr>
        <w:t xml:space="preserve">Good morning Margo and </w:t>
      </w:r>
      <w:proofErr w:type="spellStart"/>
      <w:r>
        <w:rPr>
          <w:color w:val="1F497D"/>
        </w:rPr>
        <w:t>Cortney</w:t>
      </w:r>
      <w:proofErr w:type="spellEnd"/>
      <w:r>
        <w:rPr>
          <w:color w:val="1F497D"/>
        </w:rPr>
        <w:t>:</w:t>
      </w:r>
    </w:p>
    <w:p w:rsidR="00CD49EC" w:rsidRDefault="00CD49EC" w:rsidP="00CD49EC">
      <w:r>
        <w:rPr>
          <w:color w:val="1F497D"/>
        </w:rPr>
        <w:t> </w:t>
      </w:r>
    </w:p>
    <w:p w:rsidR="00CD49EC" w:rsidRDefault="00CD49EC" w:rsidP="00CD49EC">
      <w:r>
        <w:rPr>
          <w:color w:val="1F497D"/>
        </w:rPr>
        <w:t xml:space="preserve">When </w:t>
      </w:r>
      <w:proofErr w:type="spellStart"/>
      <w:r>
        <w:rPr>
          <w:color w:val="1F497D"/>
        </w:rPr>
        <w:t>Vik</w:t>
      </w:r>
      <w:proofErr w:type="spellEnd"/>
      <w:r>
        <w:rPr>
          <w:color w:val="1F497D"/>
        </w:rPr>
        <w:t xml:space="preserve"> and I last spoke to OMB about the 0920-0040 Exposure Investigations ICR on October 1, 2012, we were instructed to convert it to a generic clearance. On that call, we were also told that ATSDR did not have to republish the 60- nor the 30-day FRN</w:t>
      </w:r>
      <w:proofErr w:type="gramStart"/>
      <w:r>
        <w:rPr>
          <w:color w:val="1F497D"/>
        </w:rPr>
        <w:t>..</w:t>
      </w:r>
      <w:proofErr w:type="gramEnd"/>
    </w:p>
    <w:p w:rsidR="00CD49EC" w:rsidRDefault="00CD49EC" w:rsidP="00CD49EC">
      <w:r>
        <w:rPr>
          <w:color w:val="1F497D"/>
        </w:rPr>
        <w:t> </w:t>
      </w:r>
    </w:p>
    <w:p w:rsidR="00CD49EC" w:rsidRDefault="00CD49EC" w:rsidP="00CD49EC">
      <w:r>
        <w:rPr>
          <w:color w:val="1F497D"/>
        </w:rPr>
        <w:t>Can you let us know if the 30-day FRN still stands, or should ATSDR republish it for the generic clearance?</w:t>
      </w:r>
    </w:p>
    <w:p w:rsidR="00CD49EC" w:rsidRDefault="00CD49EC" w:rsidP="00CD49EC">
      <w:r>
        <w:rPr>
          <w:color w:val="1F497D"/>
        </w:rPr>
        <w:t> </w:t>
      </w:r>
    </w:p>
    <w:p w:rsidR="00CD49EC" w:rsidRDefault="00CD49EC" w:rsidP="00CD49EC">
      <w:r>
        <w:rPr>
          <w:color w:val="1F497D"/>
        </w:rPr>
        <w:t>Thanks for your help.</w:t>
      </w:r>
    </w:p>
    <w:p w:rsidR="00CD49EC" w:rsidRDefault="00CD49EC" w:rsidP="00CD49EC">
      <w:r>
        <w:rPr>
          <w:color w:val="1F497D"/>
        </w:rPr>
        <w:t> </w:t>
      </w:r>
    </w:p>
    <w:p w:rsidR="00CD49EC" w:rsidRDefault="00CD49EC" w:rsidP="00CD49EC">
      <w:r>
        <w:rPr>
          <w:b/>
          <w:bCs/>
          <w:color w:val="800080"/>
          <w:sz w:val="20"/>
          <w:szCs w:val="20"/>
        </w:rPr>
        <w:t>Stephanie I. Davis, MSPH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800080"/>
          <w:sz w:val="20"/>
          <w:szCs w:val="20"/>
        </w:rPr>
        <w:t>OMB-PRA Coordinator</w:t>
      </w:r>
    </w:p>
    <w:p w:rsidR="00CD49EC" w:rsidRDefault="00CD49EC" w:rsidP="00CD49EC">
      <w:r>
        <w:rPr>
          <w:b/>
          <w:bCs/>
          <w:color w:val="000080"/>
          <w:sz w:val="20"/>
          <w:szCs w:val="20"/>
        </w:rPr>
        <w:t>Office of Science</w:t>
      </w:r>
    </w:p>
    <w:p w:rsidR="00CD49EC" w:rsidRDefault="00CD49EC" w:rsidP="00CD49EC">
      <w:r>
        <w:rPr>
          <w:b/>
          <w:bCs/>
          <w:color w:val="000080"/>
          <w:sz w:val="20"/>
          <w:szCs w:val="20"/>
        </w:rPr>
        <w:t>National Center for Environmental Health</w:t>
      </w:r>
      <w:r>
        <w:rPr>
          <w:color w:val="000000"/>
        </w:rPr>
        <w:t xml:space="preserve"> </w:t>
      </w:r>
      <w:r>
        <w:rPr>
          <w:color w:val="1F497D"/>
        </w:rPr>
        <w:t>/</w:t>
      </w:r>
      <w:r>
        <w:rPr>
          <w:b/>
          <w:bCs/>
          <w:color w:val="000080"/>
          <w:sz w:val="20"/>
          <w:szCs w:val="20"/>
        </w:rPr>
        <w:t>Agency for Toxic Substances and Disease Registry</w:t>
      </w:r>
      <w:r>
        <w:rPr>
          <w:color w:val="000000"/>
        </w:rPr>
        <w:t xml:space="preserve"> </w:t>
      </w:r>
    </w:p>
    <w:p w:rsidR="00CD49EC" w:rsidRDefault="00CD49EC" w:rsidP="00CD49EC">
      <w:r>
        <w:rPr>
          <w:color w:val="000080"/>
          <w:sz w:val="20"/>
          <w:szCs w:val="20"/>
        </w:rPr>
        <w:t xml:space="preserve">Chamblee Campus </w:t>
      </w:r>
      <w:r>
        <w:rPr>
          <w:color w:val="000080"/>
          <w:sz w:val="20"/>
          <w:szCs w:val="20"/>
        </w:rPr>
        <w:br/>
        <w:t>Building 106, Floor 7, Office 7105</w:t>
      </w:r>
      <w:r>
        <w:rPr>
          <w:color w:val="000080"/>
          <w:sz w:val="20"/>
          <w:szCs w:val="20"/>
        </w:rPr>
        <w:br/>
        <w:t>4770 Buford Highway NE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80"/>
          <w:sz w:val="20"/>
          <w:szCs w:val="20"/>
        </w:rPr>
        <w:t>Mail Stop F-61</w:t>
      </w:r>
      <w:r>
        <w:rPr>
          <w:color w:val="000080"/>
          <w:sz w:val="20"/>
          <w:szCs w:val="20"/>
        </w:rPr>
        <w:br/>
        <w:t>Atlanta, GA 30341</w:t>
      </w:r>
    </w:p>
    <w:p w:rsidR="00CD49EC" w:rsidRDefault="00CD49EC" w:rsidP="00CD49EC">
      <w:r>
        <w:rPr>
          <w:b/>
          <w:bCs/>
          <w:color w:val="000080"/>
          <w:sz w:val="20"/>
          <w:szCs w:val="20"/>
        </w:rPr>
        <w:t>Phone: 770-488-3676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80"/>
          <w:sz w:val="20"/>
          <w:szCs w:val="20"/>
        </w:rPr>
        <w:t>Fax: 770-488-3570</w:t>
      </w:r>
    </w:p>
    <w:p w:rsidR="00CD49EC" w:rsidRDefault="00CD49EC" w:rsidP="00CD49EC">
      <w:r>
        <w:rPr>
          <w:color w:val="1F497D"/>
        </w:rPr>
        <w:t> </w:t>
      </w:r>
      <w:bookmarkEnd w:id="0"/>
    </w:p>
    <w:p w:rsidR="004E2D0B" w:rsidRDefault="004E2D0B" w:rsidP="004E2D0B">
      <w:pPr>
        <w:rPr>
          <w:rFonts w:cs="Calibri"/>
          <w:noProof/>
          <w:color w:val="1F497D"/>
        </w:rPr>
      </w:pPr>
      <w:r>
        <w:rPr>
          <w:rFonts w:cs="Calibri"/>
          <w:b/>
          <w:bCs/>
          <w:noProof/>
          <w:color w:val="000080"/>
          <w:sz w:val="20"/>
          <w:szCs w:val="20"/>
        </w:rPr>
        <w:t>70</w:t>
      </w:r>
    </w:p>
    <w:p w:rsidR="00F9249B" w:rsidRDefault="00F9249B"/>
    <w:sectPr w:rsidR="00F9249B" w:rsidSect="00882E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0B"/>
    <w:rsid w:val="004E2D0B"/>
    <w:rsid w:val="00815696"/>
    <w:rsid w:val="00882E08"/>
    <w:rsid w:val="00CD49EC"/>
    <w:rsid w:val="00F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0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9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0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d8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2013-04-08T16:56:00Z</dcterms:created>
  <dcterms:modified xsi:type="dcterms:W3CDTF">2013-04-08T17:16:00Z</dcterms:modified>
</cp:coreProperties>
</file>