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C9" w:rsidRPr="008B098A" w:rsidRDefault="00BC4EC9" w:rsidP="00BC4EC9">
      <w:pPr>
        <w:jc w:val="center"/>
        <w:rPr>
          <w:b/>
          <w:sz w:val="28"/>
          <w:szCs w:val="28"/>
        </w:rPr>
      </w:pPr>
      <w:r w:rsidRPr="008B098A">
        <w:rPr>
          <w:b/>
          <w:sz w:val="28"/>
          <w:szCs w:val="28"/>
        </w:rPr>
        <w:t>SUPPORTING STATEMENT</w:t>
      </w:r>
    </w:p>
    <w:p w:rsidR="00BC4EC9" w:rsidRPr="008B098A" w:rsidRDefault="00BC4EC9" w:rsidP="00BC4EC9">
      <w:pPr>
        <w:jc w:val="center"/>
        <w:rPr>
          <w:b/>
          <w:sz w:val="28"/>
          <w:szCs w:val="28"/>
        </w:rPr>
      </w:pPr>
    </w:p>
    <w:p w:rsidR="00BC4EC9" w:rsidRPr="008B098A" w:rsidRDefault="00BC4EC9" w:rsidP="00BC4EC9">
      <w:pPr>
        <w:jc w:val="center"/>
        <w:rPr>
          <w:sz w:val="28"/>
          <w:szCs w:val="28"/>
        </w:rPr>
      </w:pPr>
      <w:r w:rsidRPr="008B098A">
        <w:rPr>
          <w:b/>
          <w:sz w:val="28"/>
          <w:szCs w:val="28"/>
        </w:rPr>
        <w:t>Part A</w:t>
      </w: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473578" w:rsidRDefault="00BC4EC9" w:rsidP="00BC4EC9">
      <w:pPr>
        <w:jc w:val="center"/>
        <w:rPr>
          <w:b/>
          <w:sz w:val="28"/>
          <w:szCs w:val="28"/>
        </w:rPr>
      </w:pPr>
      <w:r w:rsidRPr="008B098A">
        <w:rPr>
          <w:b/>
          <w:sz w:val="28"/>
          <w:szCs w:val="28"/>
        </w:rPr>
        <w:t xml:space="preserve">Pilot Test of the </w:t>
      </w:r>
      <w:r w:rsidRPr="00301D71">
        <w:rPr>
          <w:b/>
          <w:sz w:val="28"/>
          <w:szCs w:val="28"/>
        </w:rPr>
        <w:t xml:space="preserve">Proposed </w:t>
      </w:r>
      <w:r w:rsidR="008B098A" w:rsidRPr="00301D71">
        <w:rPr>
          <w:b/>
          <w:sz w:val="28"/>
          <w:szCs w:val="28"/>
        </w:rPr>
        <w:t>Value and Efficiency</w:t>
      </w:r>
      <w:r w:rsidR="00DC506A" w:rsidRPr="00301D71">
        <w:rPr>
          <w:b/>
          <w:sz w:val="28"/>
          <w:szCs w:val="28"/>
        </w:rPr>
        <w:t xml:space="preserve"> </w:t>
      </w:r>
      <w:r w:rsidR="008B098A" w:rsidRPr="00301D71">
        <w:rPr>
          <w:b/>
          <w:sz w:val="28"/>
          <w:szCs w:val="28"/>
        </w:rPr>
        <w:t>Surveys</w:t>
      </w:r>
      <w:r w:rsidR="008B098A" w:rsidRPr="008B098A">
        <w:rPr>
          <w:b/>
          <w:sz w:val="28"/>
          <w:szCs w:val="28"/>
        </w:rPr>
        <w:t xml:space="preserve"> </w:t>
      </w:r>
      <w:r w:rsidR="007A4D93">
        <w:rPr>
          <w:b/>
          <w:sz w:val="28"/>
          <w:szCs w:val="28"/>
        </w:rPr>
        <w:t xml:space="preserve">and </w:t>
      </w:r>
    </w:p>
    <w:p w:rsidR="00BC4EC9" w:rsidRPr="008B098A" w:rsidRDefault="007A4D93" w:rsidP="00BC4EC9">
      <w:pPr>
        <w:jc w:val="center"/>
        <w:rPr>
          <w:b/>
          <w:sz w:val="28"/>
          <w:szCs w:val="28"/>
        </w:rPr>
      </w:pPr>
      <w:r>
        <w:rPr>
          <w:b/>
          <w:sz w:val="28"/>
          <w:szCs w:val="28"/>
        </w:rPr>
        <w:t>Communicating About Value Checklist</w:t>
      </w:r>
    </w:p>
    <w:p w:rsidR="00BC4EC9" w:rsidRPr="008B098A" w:rsidRDefault="00BC4EC9" w:rsidP="00BC4EC9">
      <w:pPr>
        <w:jc w:val="center"/>
        <w:rPr>
          <w:i/>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b/>
          <w:sz w:val="28"/>
          <w:szCs w:val="28"/>
        </w:rPr>
      </w:pPr>
      <w:r w:rsidRPr="008B098A">
        <w:rPr>
          <w:b/>
          <w:sz w:val="28"/>
          <w:szCs w:val="28"/>
        </w:rPr>
        <w:t xml:space="preserve">Version: </w:t>
      </w:r>
      <w:r w:rsidR="00741AEF">
        <w:rPr>
          <w:b/>
          <w:sz w:val="28"/>
          <w:szCs w:val="28"/>
        </w:rPr>
        <w:t>December</w:t>
      </w:r>
      <w:r w:rsidR="00D47B5F" w:rsidRPr="00031578">
        <w:rPr>
          <w:b/>
          <w:sz w:val="28"/>
          <w:szCs w:val="28"/>
        </w:rPr>
        <w:t xml:space="preserve"> </w:t>
      </w:r>
      <w:r w:rsidR="00792575">
        <w:rPr>
          <w:b/>
          <w:sz w:val="28"/>
          <w:szCs w:val="28"/>
        </w:rPr>
        <w:t>1</w:t>
      </w:r>
      <w:r w:rsidR="008D0E3A">
        <w:rPr>
          <w:b/>
          <w:sz w:val="28"/>
          <w:szCs w:val="28"/>
        </w:rPr>
        <w:t>3</w:t>
      </w:r>
      <w:r w:rsidR="00557A75" w:rsidRPr="00031578">
        <w:rPr>
          <w:b/>
          <w:sz w:val="28"/>
          <w:szCs w:val="28"/>
        </w:rPr>
        <w:t>,</w:t>
      </w:r>
      <w:r w:rsidR="00D47B5F" w:rsidRPr="00031578">
        <w:rPr>
          <w:b/>
          <w:sz w:val="28"/>
          <w:szCs w:val="28"/>
        </w:rPr>
        <w:t xml:space="preserve"> 2012</w:t>
      </w:r>
    </w:p>
    <w:p w:rsidR="00BC4EC9" w:rsidRPr="008B098A" w:rsidRDefault="00BC4EC9" w:rsidP="00BC4EC9">
      <w:pPr>
        <w:jc w:val="center"/>
        <w:rPr>
          <w:i/>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p>
    <w:p w:rsidR="00BC4EC9" w:rsidRPr="008B098A" w:rsidRDefault="00BC4EC9" w:rsidP="00BC4EC9">
      <w:pPr>
        <w:jc w:val="center"/>
        <w:rPr>
          <w:sz w:val="28"/>
          <w:szCs w:val="28"/>
        </w:rPr>
      </w:pPr>
      <w:r w:rsidRPr="008B098A">
        <w:rPr>
          <w:sz w:val="28"/>
          <w:szCs w:val="28"/>
        </w:rPr>
        <w:t>Agency for Healthcare Research and Quality (AHRQ)</w:t>
      </w:r>
    </w:p>
    <w:p w:rsidR="00BC4EC9" w:rsidRPr="00BC4EC9" w:rsidRDefault="00BC4EC9" w:rsidP="00BC4EC9">
      <w:pPr>
        <w:rPr>
          <w:sz w:val="28"/>
          <w:szCs w:val="28"/>
          <w:highlight w:val="yellow"/>
        </w:rPr>
      </w:pPr>
    </w:p>
    <w:p w:rsidR="00BC4EC9" w:rsidRPr="00BC4EC9" w:rsidRDefault="00BC4EC9" w:rsidP="00BC4EC9">
      <w:pPr>
        <w:rPr>
          <w:sz w:val="28"/>
          <w:szCs w:val="28"/>
          <w:highlight w:val="yellow"/>
        </w:rPr>
      </w:pPr>
    </w:p>
    <w:p w:rsidR="00BC4EC9" w:rsidRPr="00BC4EC9" w:rsidRDefault="00BC4EC9" w:rsidP="00BC4EC9">
      <w:pPr>
        <w:rPr>
          <w:b/>
          <w:szCs w:val="24"/>
          <w:highlight w:val="yellow"/>
        </w:rPr>
      </w:pPr>
      <w:r w:rsidRPr="00BC4EC9">
        <w:rPr>
          <w:highlight w:val="yellow"/>
        </w:rPr>
        <w:br w:type="page"/>
      </w:r>
    </w:p>
    <w:sdt>
      <w:sdtPr>
        <w:rPr>
          <w:rFonts w:ascii="Times New Roman" w:eastAsia="Times New Roman" w:hAnsi="Times New Roman" w:cs="Times New Roman"/>
          <w:b w:val="0"/>
          <w:bCs w:val="0"/>
          <w:color w:val="auto"/>
          <w:sz w:val="20"/>
          <w:szCs w:val="20"/>
          <w:highlight w:val="yellow"/>
        </w:rPr>
        <w:id w:val="26770416"/>
        <w:docPartObj>
          <w:docPartGallery w:val="Table of Contents"/>
          <w:docPartUnique/>
        </w:docPartObj>
      </w:sdtPr>
      <w:sdtEndPr>
        <w:rPr>
          <w:sz w:val="24"/>
        </w:rPr>
      </w:sdtEndPr>
      <w:sdtContent>
        <w:p w:rsidR="00BC4EC9" w:rsidRPr="001E70FB" w:rsidRDefault="00BC4EC9" w:rsidP="00BC4EC9">
          <w:pPr>
            <w:pStyle w:val="TOCHeading"/>
            <w:rPr>
              <w:rFonts w:ascii="Times New Roman" w:hAnsi="Times New Roman" w:cs="Times New Roman"/>
            </w:rPr>
          </w:pPr>
          <w:r w:rsidRPr="001E70FB">
            <w:rPr>
              <w:rFonts w:ascii="Times New Roman" w:hAnsi="Times New Roman" w:cs="Times New Roman"/>
            </w:rPr>
            <w:t>Table of Contents</w:t>
          </w:r>
        </w:p>
        <w:p w:rsidR="00311161" w:rsidRDefault="00CE2BF9">
          <w:pPr>
            <w:pStyle w:val="TOC1"/>
            <w:tabs>
              <w:tab w:val="right" w:leader="dot" w:pos="9350"/>
            </w:tabs>
            <w:rPr>
              <w:rFonts w:asciiTheme="minorHAnsi" w:eastAsiaTheme="minorEastAsia" w:hAnsiTheme="minorHAnsi" w:cstheme="minorBidi"/>
              <w:noProof/>
              <w:sz w:val="22"/>
              <w:szCs w:val="22"/>
            </w:rPr>
          </w:pPr>
          <w:r w:rsidRPr="001E70FB">
            <w:fldChar w:fldCharType="begin"/>
          </w:r>
          <w:r w:rsidR="00BC4EC9" w:rsidRPr="001E70FB">
            <w:instrText xml:space="preserve"> TOC \o "1-3" \h \z \u </w:instrText>
          </w:r>
          <w:r w:rsidRPr="001E70FB">
            <w:fldChar w:fldCharType="separate"/>
          </w:r>
          <w:hyperlink w:anchor="_Toc340836926" w:history="1">
            <w:r w:rsidR="00311161" w:rsidRPr="00A12B9D">
              <w:rPr>
                <w:rStyle w:val="Hyperlink"/>
                <w:noProof/>
              </w:rPr>
              <w:t>A.  JUSTIFICATION</w:t>
            </w:r>
            <w:r w:rsidR="00311161">
              <w:rPr>
                <w:noProof/>
                <w:webHidden/>
              </w:rPr>
              <w:tab/>
            </w:r>
            <w:r>
              <w:rPr>
                <w:noProof/>
                <w:webHidden/>
              </w:rPr>
              <w:fldChar w:fldCharType="begin"/>
            </w:r>
            <w:r w:rsidR="00311161">
              <w:rPr>
                <w:noProof/>
                <w:webHidden/>
              </w:rPr>
              <w:instrText xml:space="preserve"> PAGEREF _Toc340836926 \h </w:instrText>
            </w:r>
            <w:r>
              <w:rPr>
                <w:noProof/>
                <w:webHidden/>
              </w:rPr>
            </w:r>
            <w:r>
              <w:rPr>
                <w:noProof/>
                <w:webHidden/>
              </w:rPr>
              <w:fldChar w:fldCharType="separate"/>
            </w:r>
            <w:r w:rsidR="00146EB3">
              <w:rPr>
                <w:noProof/>
                <w:webHidden/>
              </w:rPr>
              <w:t>3</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27" w:history="1">
            <w:r w:rsidR="00311161" w:rsidRPr="00A12B9D">
              <w:rPr>
                <w:rStyle w:val="Hyperlink"/>
                <w:noProof/>
              </w:rPr>
              <w:t>1.  Need for Information</w:t>
            </w:r>
            <w:r w:rsidR="00311161">
              <w:rPr>
                <w:noProof/>
                <w:webHidden/>
              </w:rPr>
              <w:tab/>
            </w:r>
            <w:r>
              <w:rPr>
                <w:noProof/>
                <w:webHidden/>
              </w:rPr>
              <w:fldChar w:fldCharType="begin"/>
            </w:r>
            <w:r w:rsidR="00311161">
              <w:rPr>
                <w:noProof/>
                <w:webHidden/>
              </w:rPr>
              <w:instrText xml:space="preserve"> PAGEREF _Toc340836927 \h </w:instrText>
            </w:r>
            <w:r>
              <w:rPr>
                <w:noProof/>
                <w:webHidden/>
              </w:rPr>
            </w:r>
            <w:r>
              <w:rPr>
                <w:noProof/>
                <w:webHidden/>
              </w:rPr>
              <w:fldChar w:fldCharType="separate"/>
            </w:r>
            <w:r w:rsidR="00146EB3">
              <w:rPr>
                <w:noProof/>
                <w:webHidden/>
              </w:rPr>
              <w:t>3</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28" w:history="1">
            <w:r w:rsidR="00311161" w:rsidRPr="00A12B9D">
              <w:rPr>
                <w:rStyle w:val="Hyperlink"/>
                <w:noProof/>
              </w:rPr>
              <w:t>2.  How, by Whom, and for What Purpose Information Will Be Used</w:t>
            </w:r>
            <w:r w:rsidR="00311161">
              <w:rPr>
                <w:noProof/>
                <w:webHidden/>
              </w:rPr>
              <w:tab/>
            </w:r>
            <w:r>
              <w:rPr>
                <w:noProof/>
                <w:webHidden/>
              </w:rPr>
              <w:fldChar w:fldCharType="begin"/>
            </w:r>
            <w:r w:rsidR="00311161">
              <w:rPr>
                <w:noProof/>
                <w:webHidden/>
              </w:rPr>
              <w:instrText xml:space="preserve"> PAGEREF _Toc340836928 \h </w:instrText>
            </w:r>
            <w:r>
              <w:rPr>
                <w:noProof/>
                <w:webHidden/>
              </w:rPr>
            </w:r>
            <w:r>
              <w:rPr>
                <w:noProof/>
                <w:webHidden/>
              </w:rPr>
              <w:fldChar w:fldCharType="separate"/>
            </w:r>
            <w:r w:rsidR="00146EB3">
              <w:rPr>
                <w:noProof/>
                <w:webHidden/>
              </w:rPr>
              <w:t>7</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29" w:history="1">
            <w:r w:rsidR="00311161" w:rsidRPr="00A12B9D">
              <w:rPr>
                <w:rStyle w:val="Hyperlink"/>
                <w:noProof/>
              </w:rPr>
              <w:t>3.  Use of Improved Information Technology</w:t>
            </w:r>
            <w:r w:rsidR="00311161">
              <w:rPr>
                <w:noProof/>
                <w:webHidden/>
              </w:rPr>
              <w:tab/>
            </w:r>
            <w:r>
              <w:rPr>
                <w:noProof/>
                <w:webHidden/>
              </w:rPr>
              <w:fldChar w:fldCharType="begin"/>
            </w:r>
            <w:r w:rsidR="00311161">
              <w:rPr>
                <w:noProof/>
                <w:webHidden/>
              </w:rPr>
              <w:instrText xml:space="preserve"> PAGEREF _Toc340836929 \h </w:instrText>
            </w:r>
            <w:r>
              <w:rPr>
                <w:noProof/>
                <w:webHidden/>
              </w:rPr>
            </w:r>
            <w:r>
              <w:rPr>
                <w:noProof/>
                <w:webHidden/>
              </w:rPr>
              <w:fldChar w:fldCharType="separate"/>
            </w:r>
            <w:r w:rsidR="00146EB3">
              <w:rPr>
                <w:noProof/>
                <w:webHidden/>
              </w:rPr>
              <w:t>7</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0" w:history="1">
            <w:r w:rsidR="00311161" w:rsidRPr="00A12B9D">
              <w:rPr>
                <w:rStyle w:val="Hyperlink"/>
                <w:noProof/>
              </w:rPr>
              <w:t>4.  Efforts to Avoid Duplication</w:t>
            </w:r>
            <w:r w:rsidR="00311161">
              <w:rPr>
                <w:noProof/>
                <w:webHidden/>
              </w:rPr>
              <w:tab/>
            </w:r>
            <w:r>
              <w:rPr>
                <w:noProof/>
                <w:webHidden/>
              </w:rPr>
              <w:fldChar w:fldCharType="begin"/>
            </w:r>
            <w:r w:rsidR="00311161">
              <w:rPr>
                <w:noProof/>
                <w:webHidden/>
              </w:rPr>
              <w:instrText xml:space="preserve"> PAGEREF _Toc340836930 \h </w:instrText>
            </w:r>
            <w:r>
              <w:rPr>
                <w:noProof/>
                <w:webHidden/>
              </w:rPr>
            </w:r>
            <w:r>
              <w:rPr>
                <w:noProof/>
                <w:webHidden/>
              </w:rPr>
              <w:fldChar w:fldCharType="separate"/>
            </w:r>
            <w:r w:rsidR="00146EB3">
              <w:rPr>
                <w:noProof/>
                <w:webHidden/>
              </w:rPr>
              <w:t>7</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1" w:history="1">
            <w:r w:rsidR="00311161" w:rsidRPr="00A12B9D">
              <w:rPr>
                <w:rStyle w:val="Hyperlink"/>
                <w:noProof/>
              </w:rPr>
              <w:t>5.  Involvement of Small Businesses</w:t>
            </w:r>
            <w:r w:rsidR="00311161">
              <w:rPr>
                <w:noProof/>
                <w:webHidden/>
              </w:rPr>
              <w:tab/>
            </w:r>
            <w:r>
              <w:rPr>
                <w:noProof/>
                <w:webHidden/>
              </w:rPr>
              <w:fldChar w:fldCharType="begin"/>
            </w:r>
            <w:r w:rsidR="00311161">
              <w:rPr>
                <w:noProof/>
                <w:webHidden/>
              </w:rPr>
              <w:instrText xml:space="preserve"> PAGEREF _Toc340836931 \h </w:instrText>
            </w:r>
            <w:r>
              <w:rPr>
                <w:noProof/>
                <w:webHidden/>
              </w:rPr>
            </w:r>
            <w:r>
              <w:rPr>
                <w:noProof/>
                <w:webHidden/>
              </w:rPr>
              <w:fldChar w:fldCharType="separate"/>
            </w:r>
            <w:r w:rsidR="00146EB3">
              <w:rPr>
                <w:noProof/>
                <w:webHidden/>
              </w:rPr>
              <w:t>12</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2" w:history="1">
            <w:r w:rsidR="00311161" w:rsidRPr="00A12B9D">
              <w:rPr>
                <w:rStyle w:val="Hyperlink"/>
                <w:noProof/>
              </w:rPr>
              <w:t>6.  Consequences if Information Collected Less Frequently</w:t>
            </w:r>
            <w:r w:rsidR="00311161">
              <w:rPr>
                <w:noProof/>
                <w:webHidden/>
              </w:rPr>
              <w:tab/>
            </w:r>
            <w:r>
              <w:rPr>
                <w:noProof/>
                <w:webHidden/>
              </w:rPr>
              <w:fldChar w:fldCharType="begin"/>
            </w:r>
            <w:r w:rsidR="00311161">
              <w:rPr>
                <w:noProof/>
                <w:webHidden/>
              </w:rPr>
              <w:instrText xml:space="preserve"> PAGEREF _Toc340836932 \h </w:instrText>
            </w:r>
            <w:r>
              <w:rPr>
                <w:noProof/>
                <w:webHidden/>
              </w:rPr>
            </w:r>
            <w:r>
              <w:rPr>
                <w:noProof/>
                <w:webHidden/>
              </w:rPr>
              <w:fldChar w:fldCharType="separate"/>
            </w:r>
            <w:r w:rsidR="00146EB3">
              <w:rPr>
                <w:noProof/>
                <w:webHidden/>
              </w:rPr>
              <w:t>12</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3" w:history="1">
            <w:r w:rsidR="00311161" w:rsidRPr="00A12B9D">
              <w:rPr>
                <w:rStyle w:val="Hyperlink"/>
                <w:noProof/>
              </w:rPr>
              <w:t>7.  Special Circumstances</w:t>
            </w:r>
            <w:r w:rsidR="00311161">
              <w:rPr>
                <w:noProof/>
                <w:webHidden/>
              </w:rPr>
              <w:tab/>
            </w:r>
            <w:r>
              <w:rPr>
                <w:noProof/>
                <w:webHidden/>
              </w:rPr>
              <w:fldChar w:fldCharType="begin"/>
            </w:r>
            <w:r w:rsidR="00311161">
              <w:rPr>
                <w:noProof/>
                <w:webHidden/>
              </w:rPr>
              <w:instrText xml:space="preserve"> PAGEREF _Toc340836933 \h </w:instrText>
            </w:r>
            <w:r>
              <w:rPr>
                <w:noProof/>
                <w:webHidden/>
              </w:rPr>
            </w:r>
            <w:r>
              <w:rPr>
                <w:noProof/>
                <w:webHidden/>
              </w:rPr>
              <w:fldChar w:fldCharType="separate"/>
            </w:r>
            <w:r w:rsidR="00146EB3">
              <w:rPr>
                <w:noProof/>
                <w:webHidden/>
              </w:rPr>
              <w:t>12</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4" w:history="1">
            <w:r w:rsidR="00311161" w:rsidRPr="00A12B9D">
              <w:rPr>
                <w:rStyle w:val="Hyperlink"/>
                <w:noProof/>
              </w:rPr>
              <w:t>8.  Federal Register Notice and Outside Consultations</w:t>
            </w:r>
            <w:r w:rsidR="00311161">
              <w:rPr>
                <w:noProof/>
                <w:webHidden/>
              </w:rPr>
              <w:tab/>
            </w:r>
            <w:r>
              <w:rPr>
                <w:noProof/>
                <w:webHidden/>
              </w:rPr>
              <w:fldChar w:fldCharType="begin"/>
            </w:r>
            <w:r w:rsidR="00311161">
              <w:rPr>
                <w:noProof/>
                <w:webHidden/>
              </w:rPr>
              <w:instrText xml:space="preserve"> PAGEREF _Toc340836934 \h </w:instrText>
            </w:r>
            <w:r>
              <w:rPr>
                <w:noProof/>
                <w:webHidden/>
              </w:rPr>
            </w:r>
            <w:r>
              <w:rPr>
                <w:noProof/>
                <w:webHidden/>
              </w:rPr>
              <w:fldChar w:fldCharType="separate"/>
            </w:r>
            <w:r w:rsidR="00146EB3">
              <w:rPr>
                <w:noProof/>
                <w:webHidden/>
              </w:rPr>
              <w:t>12</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5" w:history="1">
            <w:r w:rsidR="00311161" w:rsidRPr="00A12B9D">
              <w:rPr>
                <w:rStyle w:val="Hyperlink"/>
                <w:noProof/>
              </w:rPr>
              <w:t>9.  Payments/Gifts to Respondents</w:t>
            </w:r>
            <w:r w:rsidR="00311161">
              <w:rPr>
                <w:noProof/>
                <w:webHidden/>
              </w:rPr>
              <w:tab/>
            </w:r>
            <w:r>
              <w:rPr>
                <w:noProof/>
                <w:webHidden/>
              </w:rPr>
              <w:fldChar w:fldCharType="begin"/>
            </w:r>
            <w:r w:rsidR="00311161">
              <w:rPr>
                <w:noProof/>
                <w:webHidden/>
              </w:rPr>
              <w:instrText xml:space="preserve"> PAGEREF _Toc340836935 \h </w:instrText>
            </w:r>
            <w:r>
              <w:rPr>
                <w:noProof/>
                <w:webHidden/>
              </w:rPr>
            </w:r>
            <w:r>
              <w:rPr>
                <w:noProof/>
                <w:webHidden/>
              </w:rPr>
              <w:fldChar w:fldCharType="separate"/>
            </w:r>
            <w:r w:rsidR="00146EB3">
              <w:rPr>
                <w:noProof/>
                <w:webHidden/>
              </w:rPr>
              <w:t>13</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6" w:history="1">
            <w:r w:rsidR="00311161" w:rsidRPr="00A12B9D">
              <w:rPr>
                <w:rStyle w:val="Hyperlink"/>
                <w:noProof/>
              </w:rPr>
              <w:t>10.  Assurance of Confidentiality</w:t>
            </w:r>
            <w:r w:rsidR="00311161">
              <w:rPr>
                <w:noProof/>
                <w:webHidden/>
              </w:rPr>
              <w:tab/>
            </w:r>
            <w:r>
              <w:rPr>
                <w:noProof/>
                <w:webHidden/>
              </w:rPr>
              <w:fldChar w:fldCharType="begin"/>
            </w:r>
            <w:r w:rsidR="00311161">
              <w:rPr>
                <w:noProof/>
                <w:webHidden/>
              </w:rPr>
              <w:instrText xml:space="preserve"> PAGEREF _Toc340836936 \h </w:instrText>
            </w:r>
            <w:r>
              <w:rPr>
                <w:noProof/>
                <w:webHidden/>
              </w:rPr>
            </w:r>
            <w:r>
              <w:rPr>
                <w:noProof/>
                <w:webHidden/>
              </w:rPr>
              <w:fldChar w:fldCharType="separate"/>
            </w:r>
            <w:r w:rsidR="00146EB3">
              <w:rPr>
                <w:noProof/>
                <w:webHidden/>
              </w:rPr>
              <w:t>13</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7" w:history="1">
            <w:r w:rsidR="00311161" w:rsidRPr="00A12B9D">
              <w:rPr>
                <w:rStyle w:val="Hyperlink"/>
                <w:noProof/>
              </w:rPr>
              <w:t>11.  Questions of a Sensitive Nature</w:t>
            </w:r>
            <w:r w:rsidR="00311161">
              <w:rPr>
                <w:noProof/>
                <w:webHidden/>
              </w:rPr>
              <w:tab/>
            </w:r>
            <w:r>
              <w:rPr>
                <w:noProof/>
                <w:webHidden/>
              </w:rPr>
              <w:fldChar w:fldCharType="begin"/>
            </w:r>
            <w:r w:rsidR="00311161">
              <w:rPr>
                <w:noProof/>
                <w:webHidden/>
              </w:rPr>
              <w:instrText xml:space="preserve"> PAGEREF _Toc340836937 \h </w:instrText>
            </w:r>
            <w:r>
              <w:rPr>
                <w:noProof/>
                <w:webHidden/>
              </w:rPr>
            </w:r>
            <w:r>
              <w:rPr>
                <w:noProof/>
                <w:webHidden/>
              </w:rPr>
              <w:fldChar w:fldCharType="separate"/>
            </w:r>
            <w:r w:rsidR="00146EB3">
              <w:rPr>
                <w:noProof/>
                <w:webHidden/>
              </w:rPr>
              <w:t>13</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8" w:history="1">
            <w:r w:rsidR="00311161" w:rsidRPr="00A12B9D">
              <w:rPr>
                <w:rStyle w:val="Hyperlink"/>
                <w:noProof/>
              </w:rPr>
              <w:t>12.  Estimates of Annualized Burden Hours and Costs</w:t>
            </w:r>
            <w:r w:rsidR="00311161">
              <w:rPr>
                <w:noProof/>
                <w:webHidden/>
              </w:rPr>
              <w:tab/>
            </w:r>
            <w:r>
              <w:rPr>
                <w:noProof/>
                <w:webHidden/>
              </w:rPr>
              <w:fldChar w:fldCharType="begin"/>
            </w:r>
            <w:r w:rsidR="00311161">
              <w:rPr>
                <w:noProof/>
                <w:webHidden/>
              </w:rPr>
              <w:instrText xml:space="preserve"> PAGEREF _Toc340836938 \h </w:instrText>
            </w:r>
            <w:r>
              <w:rPr>
                <w:noProof/>
                <w:webHidden/>
              </w:rPr>
            </w:r>
            <w:r>
              <w:rPr>
                <w:noProof/>
                <w:webHidden/>
              </w:rPr>
              <w:fldChar w:fldCharType="separate"/>
            </w:r>
            <w:r w:rsidR="00146EB3">
              <w:rPr>
                <w:noProof/>
                <w:webHidden/>
              </w:rPr>
              <w:t>14</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39" w:history="1">
            <w:r w:rsidR="00311161" w:rsidRPr="00A12B9D">
              <w:rPr>
                <w:rStyle w:val="Hyperlink"/>
                <w:noProof/>
              </w:rPr>
              <w:t>13.  Estimates of Annualized Respondent Capital and Maintenance Costs</w:t>
            </w:r>
            <w:r w:rsidR="00311161">
              <w:rPr>
                <w:noProof/>
                <w:webHidden/>
              </w:rPr>
              <w:tab/>
            </w:r>
            <w:r>
              <w:rPr>
                <w:noProof/>
                <w:webHidden/>
              </w:rPr>
              <w:fldChar w:fldCharType="begin"/>
            </w:r>
            <w:r w:rsidR="00311161">
              <w:rPr>
                <w:noProof/>
                <w:webHidden/>
              </w:rPr>
              <w:instrText xml:space="preserve"> PAGEREF _Toc340836939 \h </w:instrText>
            </w:r>
            <w:r>
              <w:rPr>
                <w:noProof/>
                <w:webHidden/>
              </w:rPr>
            </w:r>
            <w:r>
              <w:rPr>
                <w:noProof/>
                <w:webHidden/>
              </w:rPr>
              <w:fldChar w:fldCharType="separate"/>
            </w:r>
            <w:r w:rsidR="00146EB3">
              <w:rPr>
                <w:noProof/>
                <w:webHidden/>
              </w:rPr>
              <w:t>16</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40" w:history="1">
            <w:r w:rsidR="00311161" w:rsidRPr="00A12B9D">
              <w:rPr>
                <w:rStyle w:val="Hyperlink"/>
                <w:noProof/>
              </w:rPr>
              <w:t>14.  Estimates of Annualized Cost to the Government</w:t>
            </w:r>
            <w:r w:rsidR="00311161">
              <w:rPr>
                <w:noProof/>
                <w:webHidden/>
              </w:rPr>
              <w:tab/>
            </w:r>
            <w:r>
              <w:rPr>
                <w:noProof/>
                <w:webHidden/>
              </w:rPr>
              <w:fldChar w:fldCharType="begin"/>
            </w:r>
            <w:r w:rsidR="00311161">
              <w:rPr>
                <w:noProof/>
                <w:webHidden/>
              </w:rPr>
              <w:instrText xml:space="preserve"> PAGEREF _Toc340836940 \h </w:instrText>
            </w:r>
            <w:r>
              <w:rPr>
                <w:noProof/>
                <w:webHidden/>
              </w:rPr>
            </w:r>
            <w:r>
              <w:rPr>
                <w:noProof/>
                <w:webHidden/>
              </w:rPr>
              <w:fldChar w:fldCharType="separate"/>
            </w:r>
            <w:r w:rsidR="00146EB3">
              <w:rPr>
                <w:noProof/>
                <w:webHidden/>
              </w:rPr>
              <w:t>16</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41" w:history="1">
            <w:r w:rsidR="00311161" w:rsidRPr="00A12B9D">
              <w:rPr>
                <w:rStyle w:val="Hyperlink"/>
                <w:noProof/>
              </w:rPr>
              <w:t>15.  Change in Burden</w:t>
            </w:r>
            <w:r w:rsidR="00311161">
              <w:rPr>
                <w:noProof/>
                <w:webHidden/>
              </w:rPr>
              <w:tab/>
            </w:r>
            <w:r>
              <w:rPr>
                <w:noProof/>
                <w:webHidden/>
              </w:rPr>
              <w:fldChar w:fldCharType="begin"/>
            </w:r>
            <w:r w:rsidR="00311161">
              <w:rPr>
                <w:noProof/>
                <w:webHidden/>
              </w:rPr>
              <w:instrText xml:space="preserve"> PAGEREF _Toc340836941 \h </w:instrText>
            </w:r>
            <w:r>
              <w:rPr>
                <w:noProof/>
                <w:webHidden/>
              </w:rPr>
            </w:r>
            <w:r>
              <w:rPr>
                <w:noProof/>
                <w:webHidden/>
              </w:rPr>
              <w:fldChar w:fldCharType="separate"/>
            </w:r>
            <w:r w:rsidR="00146EB3">
              <w:rPr>
                <w:noProof/>
                <w:webHidden/>
              </w:rPr>
              <w:t>16</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42" w:history="1">
            <w:r w:rsidR="00311161" w:rsidRPr="00A12B9D">
              <w:rPr>
                <w:rStyle w:val="Hyperlink"/>
                <w:noProof/>
              </w:rPr>
              <w:t>16.  Time Schedule, Publication and Analysis Plans</w:t>
            </w:r>
            <w:r w:rsidR="00311161">
              <w:rPr>
                <w:noProof/>
                <w:webHidden/>
              </w:rPr>
              <w:tab/>
            </w:r>
            <w:r>
              <w:rPr>
                <w:noProof/>
                <w:webHidden/>
              </w:rPr>
              <w:fldChar w:fldCharType="begin"/>
            </w:r>
            <w:r w:rsidR="00311161">
              <w:rPr>
                <w:noProof/>
                <w:webHidden/>
              </w:rPr>
              <w:instrText xml:space="preserve"> PAGEREF _Toc340836942 \h </w:instrText>
            </w:r>
            <w:r>
              <w:rPr>
                <w:noProof/>
                <w:webHidden/>
              </w:rPr>
            </w:r>
            <w:r>
              <w:rPr>
                <w:noProof/>
                <w:webHidden/>
              </w:rPr>
              <w:fldChar w:fldCharType="separate"/>
            </w:r>
            <w:r w:rsidR="00146EB3">
              <w:rPr>
                <w:noProof/>
                <w:webHidden/>
              </w:rPr>
              <w:t>16</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43" w:history="1">
            <w:r w:rsidR="00311161" w:rsidRPr="00A12B9D">
              <w:rPr>
                <w:rStyle w:val="Hyperlink"/>
                <w:noProof/>
              </w:rPr>
              <w:t>17.  Exemption for Display of Expiration Date</w:t>
            </w:r>
            <w:r w:rsidR="00311161">
              <w:rPr>
                <w:noProof/>
                <w:webHidden/>
              </w:rPr>
              <w:tab/>
            </w:r>
            <w:r>
              <w:rPr>
                <w:noProof/>
                <w:webHidden/>
              </w:rPr>
              <w:fldChar w:fldCharType="begin"/>
            </w:r>
            <w:r w:rsidR="00311161">
              <w:rPr>
                <w:noProof/>
                <w:webHidden/>
              </w:rPr>
              <w:instrText xml:space="preserve"> PAGEREF _Toc340836943 \h </w:instrText>
            </w:r>
            <w:r>
              <w:rPr>
                <w:noProof/>
                <w:webHidden/>
              </w:rPr>
            </w:r>
            <w:r>
              <w:rPr>
                <w:noProof/>
                <w:webHidden/>
              </w:rPr>
              <w:fldChar w:fldCharType="separate"/>
            </w:r>
            <w:r w:rsidR="00146EB3">
              <w:rPr>
                <w:noProof/>
                <w:webHidden/>
              </w:rPr>
              <w:t>19</w:t>
            </w:r>
            <w:r>
              <w:rPr>
                <w:noProof/>
                <w:webHidden/>
              </w:rPr>
              <w:fldChar w:fldCharType="end"/>
            </w:r>
          </w:hyperlink>
        </w:p>
        <w:p w:rsidR="00311161" w:rsidRDefault="00CE2BF9">
          <w:pPr>
            <w:pStyle w:val="TOC2"/>
            <w:tabs>
              <w:tab w:val="right" w:leader="dot" w:pos="9350"/>
            </w:tabs>
            <w:rPr>
              <w:rFonts w:asciiTheme="minorHAnsi" w:eastAsiaTheme="minorEastAsia" w:hAnsiTheme="minorHAnsi" w:cstheme="minorBidi"/>
              <w:noProof/>
              <w:sz w:val="22"/>
              <w:szCs w:val="22"/>
            </w:rPr>
          </w:pPr>
          <w:hyperlink w:anchor="_Toc340836944" w:history="1">
            <w:r w:rsidR="00311161" w:rsidRPr="00A12B9D">
              <w:rPr>
                <w:rStyle w:val="Hyperlink"/>
                <w:noProof/>
              </w:rPr>
              <w:t>List of Attachments</w:t>
            </w:r>
            <w:r w:rsidR="00311161">
              <w:rPr>
                <w:noProof/>
                <w:webHidden/>
              </w:rPr>
              <w:tab/>
            </w:r>
            <w:r>
              <w:rPr>
                <w:noProof/>
                <w:webHidden/>
              </w:rPr>
              <w:fldChar w:fldCharType="begin"/>
            </w:r>
            <w:r w:rsidR="00311161">
              <w:rPr>
                <w:noProof/>
                <w:webHidden/>
              </w:rPr>
              <w:instrText xml:space="preserve"> PAGEREF _Toc340836944 \h </w:instrText>
            </w:r>
            <w:r>
              <w:rPr>
                <w:noProof/>
                <w:webHidden/>
              </w:rPr>
            </w:r>
            <w:r>
              <w:rPr>
                <w:noProof/>
                <w:webHidden/>
              </w:rPr>
              <w:fldChar w:fldCharType="separate"/>
            </w:r>
            <w:r w:rsidR="00146EB3">
              <w:rPr>
                <w:noProof/>
                <w:webHidden/>
              </w:rPr>
              <w:t>19</w:t>
            </w:r>
            <w:r>
              <w:rPr>
                <w:noProof/>
                <w:webHidden/>
              </w:rPr>
              <w:fldChar w:fldCharType="end"/>
            </w:r>
          </w:hyperlink>
        </w:p>
        <w:p w:rsidR="00BC4EC9" w:rsidRPr="00BC4EC9" w:rsidRDefault="00CE2BF9" w:rsidP="00BC4EC9">
          <w:pPr>
            <w:rPr>
              <w:highlight w:val="yellow"/>
            </w:rPr>
          </w:pPr>
          <w:r w:rsidRPr="001E70FB">
            <w:fldChar w:fldCharType="end"/>
          </w:r>
          <w:r w:rsidR="00BC4EC9" w:rsidRPr="001E70FB">
            <w:tab/>
          </w:r>
          <w:r w:rsidR="00BC4EC9" w:rsidRPr="001E70FB">
            <w:tab/>
          </w:r>
          <w:r w:rsidR="00BC4EC9" w:rsidRPr="001E70FB">
            <w:tab/>
          </w:r>
          <w:r w:rsidR="00BC4EC9" w:rsidRPr="001E70FB">
            <w:tab/>
          </w:r>
          <w:r w:rsidR="00BC4EC9" w:rsidRPr="001E70FB">
            <w:tab/>
          </w:r>
          <w:r w:rsidR="00BC4EC9" w:rsidRPr="001E70FB">
            <w:tab/>
          </w:r>
        </w:p>
      </w:sdtContent>
    </w:sdt>
    <w:p w:rsidR="00BC4EC9" w:rsidRPr="00BC4EC9" w:rsidRDefault="00BC4EC9" w:rsidP="00BC4EC9">
      <w:pPr>
        <w:rPr>
          <w:b/>
          <w:szCs w:val="24"/>
          <w:highlight w:val="yellow"/>
        </w:rPr>
      </w:pPr>
      <w:r w:rsidRPr="00BC4EC9">
        <w:rPr>
          <w:b/>
          <w:szCs w:val="24"/>
          <w:highlight w:val="yellow"/>
        </w:rPr>
        <w:br w:type="page"/>
      </w:r>
    </w:p>
    <w:p w:rsidR="00BC4EC9" w:rsidRPr="008B098A" w:rsidRDefault="00BC4EC9" w:rsidP="00BC4EC9">
      <w:pPr>
        <w:pStyle w:val="Heading1"/>
        <w:rPr>
          <w:color w:val="auto"/>
          <w:sz w:val="24"/>
          <w:szCs w:val="24"/>
        </w:rPr>
      </w:pPr>
      <w:bookmarkStart w:id="0" w:name="_Toc340836926"/>
      <w:r w:rsidRPr="008B098A">
        <w:rPr>
          <w:color w:val="auto"/>
          <w:sz w:val="24"/>
          <w:szCs w:val="24"/>
        </w:rPr>
        <w:lastRenderedPageBreak/>
        <w:t>A.</w:t>
      </w:r>
      <w:r w:rsidRPr="008B098A">
        <w:rPr>
          <w:sz w:val="24"/>
          <w:szCs w:val="24"/>
        </w:rPr>
        <w:t xml:space="preserve">  </w:t>
      </w:r>
      <w:r w:rsidRPr="008B098A">
        <w:rPr>
          <w:color w:val="auto"/>
          <w:sz w:val="24"/>
          <w:szCs w:val="24"/>
        </w:rPr>
        <w:t>JUSTIFICATION</w:t>
      </w:r>
      <w:bookmarkEnd w:id="0"/>
    </w:p>
    <w:p w:rsidR="00BC4EC9" w:rsidRPr="008B098A" w:rsidRDefault="00BC4EC9" w:rsidP="00BC4EC9">
      <w:pPr>
        <w:rPr>
          <w:szCs w:val="24"/>
        </w:rPr>
      </w:pPr>
    </w:p>
    <w:p w:rsidR="00BC4EC9" w:rsidRPr="008B098A" w:rsidRDefault="00BC4EC9" w:rsidP="00BC4EC9">
      <w:pPr>
        <w:pStyle w:val="Heading2"/>
        <w:rPr>
          <w:sz w:val="24"/>
          <w:szCs w:val="24"/>
        </w:rPr>
      </w:pPr>
      <w:bookmarkStart w:id="1" w:name="_Toc340836927"/>
      <w:r w:rsidRPr="008B098A">
        <w:rPr>
          <w:color w:val="auto"/>
          <w:sz w:val="24"/>
          <w:szCs w:val="24"/>
        </w:rPr>
        <w:t xml:space="preserve">1.  </w:t>
      </w:r>
      <w:r w:rsidRPr="008B098A">
        <w:rPr>
          <w:color w:val="auto"/>
          <w:sz w:val="24"/>
          <w:szCs w:val="24"/>
          <w:u w:val="single"/>
        </w:rPr>
        <w:t>Need for Information</w:t>
      </w:r>
      <w:bookmarkEnd w:id="1"/>
    </w:p>
    <w:p w:rsidR="00BC4EC9" w:rsidRPr="008B098A" w:rsidRDefault="00BC4EC9" w:rsidP="00BC4EC9">
      <w:pPr>
        <w:rPr>
          <w:szCs w:val="24"/>
        </w:rPr>
      </w:pPr>
    </w:p>
    <w:p w:rsidR="00BC4EC9" w:rsidRPr="008B098A" w:rsidRDefault="00BC4EC9" w:rsidP="00BC4EC9">
      <w:pPr>
        <w:rPr>
          <w:szCs w:val="24"/>
        </w:rPr>
      </w:pPr>
      <w:r w:rsidRPr="008B098A">
        <w:rPr>
          <w:szCs w:val="24"/>
        </w:rPr>
        <w:t xml:space="preserve">The mission of the Agency for Healthcare Research and Quality (AHRQ) set out in its authorizing legislation, The Healthcare Research and Quality Act of </w:t>
      </w:r>
      <w:r w:rsidRPr="00FF496B">
        <w:rPr>
          <w:szCs w:val="24"/>
        </w:rPr>
        <w:t xml:space="preserve">1999 (see </w:t>
      </w:r>
      <w:r w:rsidR="00F44DC8" w:rsidRPr="008573ED">
        <w:t>http://www.ahrq.gov/hrqa99.pdf</w:t>
      </w:r>
      <w:r w:rsidRPr="00FF496B">
        <w:rPr>
          <w:szCs w:val="24"/>
        </w:rPr>
        <w:t>),</w:t>
      </w:r>
      <w:r w:rsidRPr="008B098A">
        <w:rPr>
          <w:szCs w:val="24"/>
        </w:rPr>
        <w:t xml:space="preserve">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BC4EC9" w:rsidRPr="008B098A" w:rsidRDefault="00BC4EC9" w:rsidP="00BC4EC9">
      <w:pPr>
        <w:rPr>
          <w:szCs w:val="24"/>
        </w:rPr>
      </w:pPr>
    </w:p>
    <w:p w:rsidR="00BC4EC9" w:rsidRPr="008B098A" w:rsidRDefault="00BC4EC9" w:rsidP="00BC4EC9">
      <w:pPr>
        <w:rPr>
          <w:szCs w:val="24"/>
        </w:rPr>
      </w:pPr>
      <w:r w:rsidRPr="008B098A">
        <w:rPr>
          <w:szCs w:val="24"/>
        </w:rPr>
        <w:tab/>
      </w:r>
    </w:p>
    <w:p w:rsidR="00BC4EC9" w:rsidRPr="008B098A" w:rsidRDefault="00BC4EC9" w:rsidP="00BC4EC9">
      <w:pPr>
        <w:rPr>
          <w:szCs w:val="24"/>
        </w:rPr>
      </w:pPr>
      <w:r w:rsidRPr="008B098A">
        <w:rPr>
          <w:szCs w:val="24"/>
        </w:rPr>
        <w:t>1.</w:t>
      </w:r>
      <w:r w:rsidRPr="008B098A">
        <w:rPr>
          <w:szCs w:val="24"/>
        </w:rPr>
        <w:tab/>
      </w:r>
      <w:proofErr w:type="gramStart"/>
      <w:r w:rsidRPr="008B098A">
        <w:rPr>
          <w:szCs w:val="24"/>
        </w:rPr>
        <w:t>research</w:t>
      </w:r>
      <w:proofErr w:type="gramEnd"/>
      <w:r w:rsidRPr="008B098A">
        <w:rPr>
          <w:szCs w:val="24"/>
        </w:rPr>
        <w:t xml:space="preserve"> that develops and presents scientific evidence regarding all aspects of </w:t>
      </w:r>
      <w:r w:rsidRPr="008B098A">
        <w:rPr>
          <w:szCs w:val="24"/>
        </w:rPr>
        <w:tab/>
      </w:r>
      <w:r w:rsidRPr="008B098A">
        <w:rPr>
          <w:szCs w:val="24"/>
        </w:rPr>
        <w:tab/>
        <w:t>health care; and</w:t>
      </w:r>
    </w:p>
    <w:p w:rsidR="00BC4EC9" w:rsidRPr="008B098A" w:rsidRDefault="00BC4EC9" w:rsidP="00BC4EC9">
      <w:pPr>
        <w:rPr>
          <w:szCs w:val="24"/>
        </w:rPr>
      </w:pPr>
    </w:p>
    <w:p w:rsidR="00BC4EC9" w:rsidRPr="008B098A" w:rsidRDefault="00BC4EC9" w:rsidP="00BC4EC9">
      <w:pPr>
        <w:tabs>
          <w:tab w:val="left" w:pos="720"/>
        </w:tabs>
        <w:ind w:left="720" w:hanging="720"/>
        <w:rPr>
          <w:szCs w:val="24"/>
        </w:rPr>
      </w:pPr>
      <w:r w:rsidRPr="008B098A">
        <w:rPr>
          <w:szCs w:val="24"/>
        </w:rPr>
        <w:t>2.</w:t>
      </w:r>
      <w:r w:rsidRPr="008B098A">
        <w:rPr>
          <w:szCs w:val="24"/>
        </w:rPr>
        <w:tab/>
      </w:r>
      <w:proofErr w:type="gramStart"/>
      <w:r w:rsidRPr="008B098A">
        <w:rPr>
          <w:szCs w:val="24"/>
        </w:rPr>
        <w:t>the</w:t>
      </w:r>
      <w:proofErr w:type="gramEnd"/>
      <w:r w:rsidRPr="008B098A">
        <w:rPr>
          <w:szCs w:val="24"/>
        </w:rPr>
        <w:t xml:space="preserve"> synthesis and dissemination of available scientific evidence for use by </w:t>
      </w:r>
      <w:r w:rsidRPr="008B098A">
        <w:rPr>
          <w:szCs w:val="24"/>
        </w:rPr>
        <w:tab/>
        <w:t>patients, consumers, practitioners, providers, purchasers, policy makers, and educators; and</w:t>
      </w:r>
    </w:p>
    <w:p w:rsidR="00BC4EC9" w:rsidRPr="008B098A" w:rsidRDefault="00BC4EC9" w:rsidP="00BC4EC9">
      <w:pPr>
        <w:rPr>
          <w:szCs w:val="24"/>
        </w:rPr>
      </w:pPr>
    </w:p>
    <w:p w:rsidR="008C7FBB" w:rsidRDefault="00BC4EC9" w:rsidP="00BC4EC9">
      <w:pPr>
        <w:rPr>
          <w:szCs w:val="24"/>
        </w:rPr>
      </w:pPr>
      <w:r w:rsidRPr="008B098A">
        <w:rPr>
          <w:szCs w:val="24"/>
        </w:rPr>
        <w:t>3.</w:t>
      </w:r>
      <w:r w:rsidRPr="008B098A">
        <w:rPr>
          <w:szCs w:val="24"/>
        </w:rPr>
        <w:tab/>
      </w:r>
      <w:proofErr w:type="gramStart"/>
      <w:r w:rsidRPr="008B098A">
        <w:rPr>
          <w:szCs w:val="24"/>
        </w:rPr>
        <w:t>initiatives</w:t>
      </w:r>
      <w:proofErr w:type="gramEnd"/>
      <w:r w:rsidRPr="008B098A">
        <w:rPr>
          <w:szCs w:val="24"/>
        </w:rPr>
        <w:t xml:space="preserve"> to advance private and public efforts to improve health care quality</w:t>
      </w:r>
      <w:r w:rsidR="008C7FBB">
        <w:rPr>
          <w:szCs w:val="24"/>
        </w:rPr>
        <w:t xml:space="preserve">; and </w:t>
      </w:r>
    </w:p>
    <w:p w:rsidR="008C7FBB" w:rsidRDefault="008C7FBB" w:rsidP="00BC4EC9">
      <w:pPr>
        <w:rPr>
          <w:szCs w:val="24"/>
        </w:rPr>
      </w:pPr>
    </w:p>
    <w:p w:rsidR="00BC4EC9" w:rsidRPr="008B098A" w:rsidRDefault="008C7FBB" w:rsidP="00BC4EC9">
      <w:pPr>
        <w:rPr>
          <w:szCs w:val="24"/>
        </w:rPr>
      </w:pPr>
      <w:r>
        <w:rPr>
          <w:szCs w:val="24"/>
        </w:rPr>
        <w:t xml:space="preserve">4.  </w:t>
      </w:r>
      <w:r>
        <w:rPr>
          <w:szCs w:val="24"/>
        </w:rPr>
        <w:tab/>
      </w:r>
      <w:proofErr w:type="gramStart"/>
      <w:r>
        <w:rPr>
          <w:szCs w:val="24"/>
        </w:rPr>
        <w:t>research</w:t>
      </w:r>
      <w:proofErr w:type="gramEnd"/>
      <w:r>
        <w:rPr>
          <w:szCs w:val="24"/>
        </w:rPr>
        <w:t xml:space="preserve"> on </w:t>
      </w:r>
      <w:r w:rsidRPr="008C7FBB">
        <w:rPr>
          <w:szCs w:val="24"/>
        </w:rPr>
        <w:t>the costs and utilizatio</w:t>
      </w:r>
      <w:r>
        <w:rPr>
          <w:szCs w:val="24"/>
        </w:rPr>
        <w:t>n of, and access</w:t>
      </w:r>
      <w:r w:rsidR="008663E5">
        <w:rPr>
          <w:szCs w:val="24"/>
        </w:rPr>
        <w:t>,</w:t>
      </w:r>
      <w:r>
        <w:rPr>
          <w:szCs w:val="24"/>
        </w:rPr>
        <w:t xml:space="preserve"> to health care</w:t>
      </w:r>
      <w:r w:rsidR="00BC4EC9" w:rsidRPr="008B098A">
        <w:rPr>
          <w:szCs w:val="24"/>
        </w:rPr>
        <w:t>.</w:t>
      </w:r>
    </w:p>
    <w:p w:rsidR="00BC4EC9" w:rsidRPr="008B098A" w:rsidRDefault="00BC4EC9" w:rsidP="00BC4EC9">
      <w:pPr>
        <w:rPr>
          <w:szCs w:val="24"/>
        </w:rPr>
      </w:pPr>
    </w:p>
    <w:p w:rsidR="00301D71" w:rsidRDefault="00BC4EC9" w:rsidP="00301D71">
      <w:pPr>
        <w:rPr>
          <w:szCs w:val="24"/>
        </w:rPr>
      </w:pPr>
      <w:r w:rsidRPr="008B098A">
        <w:rPr>
          <w:szCs w:val="24"/>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AC1AE4" w:rsidRDefault="00AC1AE4" w:rsidP="00671C51">
      <w:pPr>
        <w:rPr>
          <w:szCs w:val="24"/>
        </w:rPr>
      </w:pPr>
    </w:p>
    <w:p w:rsidR="00671C51" w:rsidRDefault="006860D2" w:rsidP="00671C51">
      <w:pPr>
        <w:rPr>
          <w:szCs w:val="24"/>
        </w:rPr>
      </w:pPr>
      <w:r w:rsidRPr="006860D2">
        <w:rPr>
          <w:szCs w:val="24"/>
        </w:rPr>
        <w:t xml:space="preserve">Maximizing value within the American health care system is an important priority.  Value is often viewed as a combination of high quality, high efficiency, and low cost care, and there is general agreement by consumers, policy makers, payers, and providers that it is lacking in the U.S. </w:t>
      </w:r>
      <w:r w:rsidR="00671C51">
        <w:rPr>
          <w:szCs w:val="24"/>
        </w:rPr>
        <w:t xml:space="preserve"> </w:t>
      </w:r>
      <w:r w:rsidR="00D755DA" w:rsidRPr="00825E0A">
        <w:rPr>
          <w:szCs w:val="24"/>
        </w:rPr>
        <w:t>A recent report by the Institute of Medicine estimated that 20 to 30 percent ($765 billion a year) of U.S. healthcare spending was inefficient and could be reduced without lowering quality.</w:t>
      </w:r>
      <w:r w:rsidR="00671C51">
        <w:rPr>
          <w:rStyle w:val="FootnoteReference"/>
          <w:szCs w:val="24"/>
        </w:rPr>
        <w:footnoteReference w:id="1"/>
      </w:r>
      <w:r w:rsidR="00EA06E2">
        <w:rPr>
          <w:szCs w:val="24"/>
        </w:rPr>
        <w:t xml:space="preserve"> </w:t>
      </w:r>
      <w:r w:rsidR="00671C51">
        <w:rPr>
          <w:szCs w:val="24"/>
        </w:rPr>
        <w:t xml:space="preserve"> </w:t>
      </w:r>
    </w:p>
    <w:p w:rsidR="00671C51" w:rsidRDefault="00671C51" w:rsidP="00671C51">
      <w:pPr>
        <w:rPr>
          <w:szCs w:val="24"/>
        </w:rPr>
      </w:pPr>
    </w:p>
    <w:p w:rsidR="00D755DA" w:rsidRPr="00825E0A" w:rsidRDefault="00671C51" w:rsidP="00825E0A">
      <w:pPr>
        <w:rPr>
          <w:szCs w:val="24"/>
        </w:rPr>
      </w:pPr>
      <w:r>
        <w:rPr>
          <w:szCs w:val="24"/>
        </w:rPr>
        <w:t>M</w:t>
      </w:r>
      <w:r w:rsidR="006860D2" w:rsidRPr="006860D2">
        <w:rPr>
          <w:szCs w:val="24"/>
        </w:rPr>
        <w:t>ultiple overlapping initiatives are currently seeking to improve value using a variety of approaches. Public reporting efforts led by</w:t>
      </w:r>
      <w:r w:rsidR="00D755DA" w:rsidRPr="00825E0A">
        <w:rPr>
          <w:szCs w:val="24"/>
        </w:rPr>
        <w:t xml:space="preserve"> the </w:t>
      </w:r>
      <w:r w:rsidR="00D755DA" w:rsidRPr="00D755DA">
        <w:rPr>
          <w:szCs w:val="24"/>
        </w:rPr>
        <w:t>Centers for Medicare and Medicaid Services (CMS)</w:t>
      </w:r>
      <w:r w:rsidR="006860D2" w:rsidRPr="006860D2">
        <w:rPr>
          <w:szCs w:val="24"/>
        </w:rPr>
        <w:t>, other payers and consumer groups seek to enable consumers to make more informed choices about the quality, and in some cases, the costs of their care. A variety of demonstration projects and payment reform</w:t>
      </w:r>
      <w:bookmarkStart w:id="2" w:name="_GoBack"/>
      <w:bookmarkEnd w:id="2"/>
      <w:r w:rsidR="006860D2" w:rsidRPr="006860D2">
        <w:rPr>
          <w:szCs w:val="24"/>
        </w:rPr>
        <w:t xml:space="preserve">s initiated by CMS and private insurers are attempting to more closely link care quality with payments to incent higher value care. And national improvement </w:t>
      </w:r>
      <w:r w:rsidR="006860D2" w:rsidRPr="006860D2">
        <w:rPr>
          <w:szCs w:val="24"/>
        </w:rPr>
        <w:lastRenderedPageBreak/>
        <w:t>initiatives led by AHRQ (</w:t>
      </w:r>
      <w:r w:rsidR="00B0090E">
        <w:rPr>
          <w:szCs w:val="24"/>
        </w:rPr>
        <w:t xml:space="preserve">comprehensive unit-based safety programs [CUSP] for </w:t>
      </w:r>
      <w:r w:rsidR="00B0090E" w:rsidRPr="00B0090E">
        <w:rPr>
          <w:szCs w:val="24"/>
        </w:rPr>
        <w:t>central line-associated blood stream infection</w:t>
      </w:r>
      <w:r w:rsidR="00B0090E">
        <w:rPr>
          <w:szCs w:val="24"/>
        </w:rPr>
        <w:t xml:space="preserve"> [CLABSI], </w:t>
      </w:r>
      <w:r w:rsidR="00B0090E" w:rsidRPr="00B0090E">
        <w:rPr>
          <w:szCs w:val="24"/>
        </w:rPr>
        <w:t>catheter-associated urinary tract infections</w:t>
      </w:r>
      <w:r w:rsidR="00B0090E">
        <w:rPr>
          <w:szCs w:val="24"/>
        </w:rPr>
        <w:t xml:space="preserve"> [CUTI], and surgical units [SUSP]) </w:t>
      </w:r>
      <w:r w:rsidR="006860D2" w:rsidRPr="006860D2">
        <w:rPr>
          <w:szCs w:val="24"/>
        </w:rPr>
        <w:t>and CMS (</w:t>
      </w:r>
      <w:r w:rsidR="00B0090E">
        <w:rPr>
          <w:szCs w:val="24"/>
        </w:rPr>
        <w:t>hospital engagement networks</w:t>
      </w:r>
      <w:r w:rsidR="006860D2" w:rsidRPr="006860D2">
        <w:rPr>
          <w:szCs w:val="24"/>
        </w:rPr>
        <w:t>, QIO scopes of work) are seeking to raise care quality and reduce readmissions. Results from the CUSP: CLABSI project have demonstrated that central line infections can be reduced and unnecessary costs can be removed from the health care system by concerted, unit-based improvement efforts.</w:t>
      </w:r>
      <w:r w:rsidR="00D755DA" w:rsidRPr="00825E0A">
        <w:rPr>
          <w:szCs w:val="24"/>
        </w:rPr>
        <w:t xml:space="preserve"> As a systems level example, Denver Health, with initial funding from AHRQ, has taken major steps towards redesigning clinical and administrative processes so as to reduce staff time, patient waiting, and unnecessary costs. These improvements occurred without harm to quality and in some instances actually improved quality. </w:t>
      </w:r>
    </w:p>
    <w:p w:rsidR="006860D2" w:rsidRDefault="006860D2" w:rsidP="00671C51">
      <w:pPr>
        <w:rPr>
          <w:szCs w:val="24"/>
        </w:rPr>
      </w:pPr>
    </w:p>
    <w:p w:rsidR="006860D2" w:rsidRDefault="006860D2" w:rsidP="00301D71">
      <w:pPr>
        <w:rPr>
          <w:szCs w:val="24"/>
        </w:rPr>
      </w:pPr>
    </w:p>
    <w:p w:rsidR="006860D2" w:rsidRPr="006860D2" w:rsidRDefault="00D755DA" w:rsidP="006860D2">
      <w:pPr>
        <w:rPr>
          <w:szCs w:val="24"/>
        </w:rPr>
      </w:pPr>
      <w:r>
        <w:rPr>
          <w:bCs/>
          <w:color w:val="000000"/>
        </w:rPr>
        <w:t xml:space="preserve">In many cases, improving quality improves efficiency naturally.  Reducing the number of hospital errors for example will reduce costs associated with longer length of stay or error-triggered readmissions.  It is more cost-effective to do things right the first time.  But higher value is more likely if organizations doing quality </w:t>
      </w:r>
      <w:proofErr w:type="gramStart"/>
      <w:r>
        <w:rPr>
          <w:bCs/>
          <w:color w:val="000000"/>
        </w:rPr>
        <w:t xml:space="preserve">improvement  </w:t>
      </w:r>
      <w:r w:rsidR="006860D2" w:rsidRPr="006860D2">
        <w:rPr>
          <w:szCs w:val="24"/>
        </w:rPr>
        <w:t>link</w:t>
      </w:r>
      <w:proofErr w:type="gramEnd"/>
      <w:r w:rsidR="006860D2" w:rsidRPr="006860D2">
        <w:rPr>
          <w:szCs w:val="24"/>
        </w:rPr>
        <w:t xml:space="preserve"> efforts to improve care quality with efforts to reduce unnecessary costs. Ignoring the financial implications of quality improvement efforts will fail in the real world where many providers face acute financial challenges and where costs are leading to consumer bankruptcies</w:t>
      </w:r>
      <w:r>
        <w:rPr>
          <w:szCs w:val="24"/>
        </w:rPr>
        <w:t xml:space="preserve"> </w:t>
      </w:r>
      <w:proofErr w:type="spellStart"/>
      <w:r>
        <w:rPr>
          <w:szCs w:val="24"/>
        </w:rPr>
        <w:t>and</w:t>
      </w:r>
      <w:r w:rsidR="006860D2" w:rsidRPr="006860D2">
        <w:rPr>
          <w:szCs w:val="24"/>
        </w:rPr>
        <w:t>increased</w:t>
      </w:r>
      <w:proofErr w:type="spellEnd"/>
      <w:r w:rsidR="006860D2" w:rsidRPr="006860D2">
        <w:rPr>
          <w:szCs w:val="24"/>
        </w:rPr>
        <w:t xml:space="preserve"> insurance costs. AHRQ understands that many of the root causes of inefficiencies that drive up costs are closely linked to root causes of inefficiencies that lead to poor quality, uncoordinated care where redundancies and system failures place patients at risk. </w:t>
      </w:r>
      <w:r w:rsidR="006860D2">
        <w:rPr>
          <w:szCs w:val="24"/>
        </w:rPr>
        <w:t>A</w:t>
      </w:r>
      <w:r w:rsidR="006860D2" w:rsidRPr="006860D2">
        <w:rPr>
          <w:szCs w:val="24"/>
        </w:rPr>
        <w:t xml:space="preserve">dding value within healthcare requires understanding the contribution that organizational culture makes to value and working to foster a culture where high value is a cultural norm. AHRQ’s </w:t>
      </w:r>
      <w:r w:rsidR="008663E5">
        <w:rPr>
          <w:szCs w:val="24"/>
        </w:rPr>
        <w:t>development</w:t>
      </w:r>
      <w:r w:rsidR="00A33F0D" w:rsidRPr="006860D2">
        <w:rPr>
          <w:szCs w:val="24"/>
        </w:rPr>
        <w:t xml:space="preserve"> of the Hospital Survey on Patient Safety Culture (HSOPS) ha</w:t>
      </w:r>
      <w:r w:rsidR="000E484A">
        <w:rPr>
          <w:szCs w:val="24"/>
        </w:rPr>
        <w:t>s</w:t>
      </w:r>
      <w:r w:rsidR="006860D2" w:rsidRPr="006860D2">
        <w:rPr>
          <w:szCs w:val="24"/>
        </w:rPr>
        <w:t xml:space="preserve"> contributed greatly to efforts to promote the important role </w:t>
      </w:r>
      <w:r w:rsidR="006860D2">
        <w:rPr>
          <w:szCs w:val="24"/>
        </w:rPr>
        <w:t xml:space="preserve">culture plays in providing safe </w:t>
      </w:r>
      <w:r w:rsidR="006860D2" w:rsidRPr="006860D2">
        <w:rPr>
          <w:szCs w:val="24"/>
        </w:rPr>
        <w:t>care. HSOPS is used extensively in national improvement campaigns and many hospitals and health systems now regularly assess their safety cultures and use culture scores on organizational dashboards and as parts of variable compensation programs.</w:t>
      </w:r>
    </w:p>
    <w:p w:rsidR="006860D2" w:rsidRDefault="006860D2" w:rsidP="006860D2">
      <w:pPr>
        <w:rPr>
          <w:szCs w:val="24"/>
        </w:rPr>
      </w:pPr>
    </w:p>
    <w:p w:rsidR="006860D2" w:rsidRPr="00301D71" w:rsidRDefault="006860D2" w:rsidP="006860D2">
      <w:pPr>
        <w:rPr>
          <w:szCs w:val="24"/>
        </w:rPr>
      </w:pPr>
      <w:r w:rsidRPr="006860D2">
        <w:rPr>
          <w:szCs w:val="24"/>
        </w:rPr>
        <w:t xml:space="preserve">If organizations lack cultures committed to value then discrete efforts to raise dimensions of value are likely to yield limited and unsustainable results. And if organizational leaders have no plausible way to know whether their organizational culture is committed to value, then their ability to make value a higher organizational priority will be very limited. Thus, developing value </w:t>
      </w:r>
      <w:r w:rsidR="00FF6C1C">
        <w:rPr>
          <w:szCs w:val="24"/>
        </w:rPr>
        <w:t xml:space="preserve">and efficiency </w:t>
      </w:r>
      <w:r w:rsidRPr="006860D2">
        <w:rPr>
          <w:szCs w:val="24"/>
        </w:rPr>
        <w:t>survey instruments for hospitals and medical offices fills an important need for many ongoing and planned efforts to foster greater value within American health care.</w:t>
      </w:r>
    </w:p>
    <w:p w:rsidR="007047E7" w:rsidRDefault="007047E7" w:rsidP="007047E7"/>
    <w:p w:rsidR="00AC1AE4" w:rsidRDefault="00BC4EC9" w:rsidP="00AC1AE4">
      <w:pPr>
        <w:rPr>
          <w:szCs w:val="24"/>
        </w:rPr>
      </w:pPr>
      <w:r w:rsidRPr="006860D2">
        <w:rPr>
          <w:szCs w:val="24"/>
        </w:rPr>
        <w:t xml:space="preserve">Given the widespread impact of </w:t>
      </w:r>
      <w:r w:rsidR="006575C6" w:rsidRPr="006860D2">
        <w:rPr>
          <w:szCs w:val="24"/>
        </w:rPr>
        <w:t>cost and waste in health care</w:t>
      </w:r>
      <w:r w:rsidRPr="006860D2">
        <w:rPr>
          <w:szCs w:val="24"/>
        </w:rPr>
        <w:t xml:space="preserve">, </w:t>
      </w:r>
      <w:r w:rsidR="00167834">
        <w:rPr>
          <w:szCs w:val="24"/>
        </w:rPr>
        <w:t>AHRQ will develop the</w:t>
      </w:r>
      <w:r w:rsidRPr="00405206">
        <w:rPr>
          <w:szCs w:val="24"/>
        </w:rPr>
        <w:t xml:space="preserve"> </w:t>
      </w:r>
      <w:r w:rsidR="006575C6" w:rsidRPr="00405206">
        <w:rPr>
          <w:szCs w:val="24"/>
        </w:rPr>
        <w:t xml:space="preserve">Value and </w:t>
      </w:r>
      <w:r w:rsidR="00DC506A" w:rsidRPr="00405206">
        <w:rPr>
          <w:szCs w:val="24"/>
        </w:rPr>
        <w:t xml:space="preserve">Efficiency </w:t>
      </w:r>
      <w:r w:rsidR="006457EA" w:rsidRPr="00405206">
        <w:rPr>
          <w:szCs w:val="24"/>
        </w:rPr>
        <w:t>(</w:t>
      </w:r>
      <w:r w:rsidR="00C32F8F">
        <w:rPr>
          <w:szCs w:val="24"/>
        </w:rPr>
        <w:t>VE</w:t>
      </w:r>
      <w:r w:rsidR="006457EA" w:rsidRPr="00405206">
        <w:rPr>
          <w:szCs w:val="24"/>
        </w:rPr>
        <w:t xml:space="preserve">) </w:t>
      </w:r>
      <w:r w:rsidR="00DC506A" w:rsidRPr="00405206">
        <w:rPr>
          <w:szCs w:val="24"/>
        </w:rPr>
        <w:t>Survey</w:t>
      </w:r>
      <w:r w:rsidR="006575C6" w:rsidRPr="00405206">
        <w:rPr>
          <w:szCs w:val="24"/>
        </w:rPr>
        <w:t>s for hospitals and medical offices</w:t>
      </w:r>
      <w:r w:rsidR="00167834">
        <w:rPr>
          <w:szCs w:val="24"/>
        </w:rPr>
        <w:t>.  These surveys</w:t>
      </w:r>
      <w:r w:rsidR="00DC506A" w:rsidRPr="006860D2">
        <w:rPr>
          <w:szCs w:val="24"/>
        </w:rPr>
        <w:t xml:space="preserve"> </w:t>
      </w:r>
      <w:r w:rsidRPr="006860D2">
        <w:rPr>
          <w:szCs w:val="24"/>
        </w:rPr>
        <w:t xml:space="preserve">will measure staff perceptions about what is important in their organization and what attitudes and behaviors related to </w:t>
      </w:r>
      <w:r w:rsidR="006575C6" w:rsidRPr="006860D2">
        <w:rPr>
          <w:szCs w:val="24"/>
        </w:rPr>
        <w:t>value and efficiency</w:t>
      </w:r>
      <w:r w:rsidRPr="006860D2">
        <w:rPr>
          <w:szCs w:val="24"/>
        </w:rPr>
        <w:t xml:space="preserve"> are supported, rewarded, and expected. The survey</w:t>
      </w:r>
      <w:r w:rsidR="006575C6" w:rsidRPr="006860D2">
        <w:rPr>
          <w:szCs w:val="24"/>
        </w:rPr>
        <w:t>s</w:t>
      </w:r>
      <w:r w:rsidRPr="006860D2">
        <w:rPr>
          <w:szCs w:val="24"/>
        </w:rPr>
        <w:t xml:space="preserve"> will help </w:t>
      </w:r>
      <w:r w:rsidR="006575C6" w:rsidRPr="006860D2">
        <w:rPr>
          <w:szCs w:val="24"/>
        </w:rPr>
        <w:t xml:space="preserve">hospitals and medical offices </w:t>
      </w:r>
      <w:r w:rsidRPr="006860D2">
        <w:rPr>
          <w:szCs w:val="24"/>
        </w:rPr>
        <w:t xml:space="preserve">to identify and discuss strengths and weaknesses within their individual </w:t>
      </w:r>
      <w:r w:rsidR="006575C6" w:rsidRPr="006860D2">
        <w:rPr>
          <w:szCs w:val="24"/>
        </w:rPr>
        <w:t>organizations</w:t>
      </w:r>
      <w:r w:rsidRPr="006860D2">
        <w:rPr>
          <w:szCs w:val="24"/>
        </w:rPr>
        <w:t xml:space="preserve">. They can then use that knowledge to develop appropriate action plans to improve their </w:t>
      </w:r>
      <w:r w:rsidR="006575C6" w:rsidRPr="006860D2">
        <w:rPr>
          <w:szCs w:val="24"/>
        </w:rPr>
        <w:t>value and efficiency</w:t>
      </w:r>
      <w:r w:rsidR="006860D2" w:rsidRPr="006860D2">
        <w:rPr>
          <w:szCs w:val="24"/>
        </w:rPr>
        <w:t>.</w:t>
      </w:r>
      <w:r w:rsidR="006575C6" w:rsidRPr="006860D2">
        <w:rPr>
          <w:szCs w:val="24"/>
        </w:rPr>
        <w:t xml:space="preserve">  </w:t>
      </w:r>
      <w:r w:rsidR="00AC1AE4">
        <w:rPr>
          <w:szCs w:val="24"/>
        </w:rPr>
        <w:t>To develop these tools AHRQ will recruit medical staff from 4</w:t>
      </w:r>
      <w:r w:rsidR="00C20EF3">
        <w:rPr>
          <w:szCs w:val="24"/>
        </w:rPr>
        <w:t>2</w:t>
      </w:r>
      <w:r w:rsidR="00AC1AE4">
        <w:rPr>
          <w:szCs w:val="24"/>
        </w:rPr>
        <w:t xml:space="preserve"> hospitals and 96 medical offices to participate in cognitive testing and pretesting.</w:t>
      </w:r>
    </w:p>
    <w:p w:rsidR="003B5CF3" w:rsidRDefault="003B5CF3" w:rsidP="00BC4EC9">
      <w:pPr>
        <w:rPr>
          <w:szCs w:val="24"/>
        </w:rPr>
      </w:pPr>
    </w:p>
    <w:p w:rsidR="00035763" w:rsidRPr="00FF6C1C" w:rsidRDefault="003B5CF3" w:rsidP="00035763">
      <w:pPr>
        <w:rPr>
          <w:szCs w:val="24"/>
          <w:shd w:val="clear" w:color="auto" w:fill="FFFFFF"/>
        </w:rPr>
      </w:pPr>
      <w:r w:rsidRPr="00031578">
        <w:rPr>
          <w:szCs w:val="24"/>
        </w:rPr>
        <w:lastRenderedPageBreak/>
        <w:t>In addition</w:t>
      </w:r>
      <w:r w:rsidR="00035763">
        <w:rPr>
          <w:szCs w:val="24"/>
        </w:rPr>
        <w:t xml:space="preserve"> to the VE surveys</w:t>
      </w:r>
      <w:r w:rsidRPr="00031578">
        <w:rPr>
          <w:szCs w:val="24"/>
        </w:rPr>
        <w:t xml:space="preserve">, </w:t>
      </w:r>
      <w:r w:rsidR="000E484A" w:rsidRPr="00031578">
        <w:rPr>
          <w:szCs w:val="24"/>
        </w:rPr>
        <w:t xml:space="preserve">AHRQ </w:t>
      </w:r>
      <w:r w:rsidR="00035763">
        <w:rPr>
          <w:szCs w:val="24"/>
        </w:rPr>
        <w:t xml:space="preserve">also </w:t>
      </w:r>
      <w:r w:rsidR="000E484A" w:rsidRPr="00031578">
        <w:rPr>
          <w:szCs w:val="24"/>
        </w:rPr>
        <w:t>intends to develop</w:t>
      </w:r>
      <w:r w:rsidRPr="00031578">
        <w:rPr>
          <w:szCs w:val="24"/>
        </w:rPr>
        <w:t xml:space="preserve"> a </w:t>
      </w:r>
      <w:r w:rsidR="00035763">
        <w:rPr>
          <w:szCs w:val="24"/>
        </w:rPr>
        <w:t xml:space="preserve">Communicating </w:t>
      </w:r>
      <w:proofErr w:type="gramStart"/>
      <w:r w:rsidR="00035763">
        <w:rPr>
          <w:szCs w:val="24"/>
        </w:rPr>
        <w:t>About</w:t>
      </w:r>
      <w:proofErr w:type="gramEnd"/>
      <w:r w:rsidR="00035763">
        <w:rPr>
          <w:szCs w:val="24"/>
        </w:rPr>
        <w:t xml:space="preserve"> Value Checklist (CV checklist). The objective of the CV checklist is to </w:t>
      </w:r>
      <w:r w:rsidRPr="00031578">
        <w:rPr>
          <w:szCs w:val="24"/>
        </w:rPr>
        <w:t xml:space="preserve">aid </w:t>
      </w:r>
      <w:r w:rsidR="00035763">
        <w:rPr>
          <w:szCs w:val="24"/>
        </w:rPr>
        <w:t>clinicians</w:t>
      </w:r>
      <w:r w:rsidRPr="00031578">
        <w:rPr>
          <w:szCs w:val="24"/>
        </w:rPr>
        <w:t xml:space="preserve"> in having conversations with patients about value. </w:t>
      </w:r>
      <w:r w:rsidR="00035763">
        <w:rPr>
          <w:szCs w:val="24"/>
          <w:shd w:val="clear" w:color="auto" w:fill="FFFFFF"/>
        </w:rPr>
        <w:t>Since</w:t>
      </w:r>
      <w:r w:rsidR="00035763" w:rsidRPr="00FF6C1C">
        <w:rPr>
          <w:szCs w:val="24"/>
          <w:shd w:val="clear" w:color="auto" w:fill="FFFFFF"/>
        </w:rPr>
        <w:t xml:space="preserve"> the proper goal for any health care delivery system is to improve the value delivered to patients</w:t>
      </w:r>
      <w:r w:rsidR="00035763">
        <w:rPr>
          <w:szCs w:val="24"/>
          <w:shd w:val="clear" w:color="auto" w:fill="FFFFFF"/>
        </w:rPr>
        <w:t>, such a tool will address the important aspects of health care that are of value to patients</w:t>
      </w:r>
      <w:r w:rsidR="00035763" w:rsidRPr="00FF6C1C">
        <w:rPr>
          <w:szCs w:val="24"/>
          <w:shd w:val="clear" w:color="auto" w:fill="FFFFFF"/>
        </w:rPr>
        <w:t xml:space="preserve">.  </w:t>
      </w:r>
      <w:r w:rsidR="00035763" w:rsidRPr="00FF6C1C">
        <w:rPr>
          <w:szCs w:val="24"/>
        </w:rPr>
        <w:t xml:space="preserve">Value in health care is </w:t>
      </w:r>
      <w:r w:rsidR="00921085">
        <w:rPr>
          <w:szCs w:val="24"/>
        </w:rPr>
        <w:t xml:space="preserve">typically </w:t>
      </w:r>
      <w:r w:rsidR="00035763" w:rsidRPr="00FF6C1C">
        <w:rPr>
          <w:szCs w:val="24"/>
        </w:rPr>
        <w:t>measured in terms of the patient outcomes achieved per dollar expended. But a</w:t>
      </w:r>
      <w:r w:rsidR="00035763" w:rsidRPr="00FF6C1C">
        <w:rPr>
          <w:szCs w:val="24"/>
          <w:shd w:val="clear" w:color="auto" w:fill="FFFFFF"/>
        </w:rPr>
        <w:t xml:space="preserve"> good outcome must be defined in terms of what is meaningful and valuable to the individual patient.  </w:t>
      </w:r>
    </w:p>
    <w:p w:rsidR="00035763" w:rsidRDefault="00035763" w:rsidP="00035763">
      <w:pPr>
        <w:rPr>
          <w:color w:val="403838"/>
          <w:szCs w:val="24"/>
          <w:shd w:val="clear" w:color="auto" w:fill="FFFFFF"/>
        </w:rPr>
      </w:pPr>
    </w:p>
    <w:p w:rsidR="00035763" w:rsidRPr="00AE66C8" w:rsidRDefault="00035763" w:rsidP="00035763">
      <w:pPr>
        <w:rPr>
          <w:szCs w:val="24"/>
        </w:rPr>
      </w:pPr>
      <w:r>
        <w:t xml:space="preserve">Better </w:t>
      </w:r>
      <w:r w:rsidR="00D755DA">
        <w:t xml:space="preserve">identification </w:t>
      </w:r>
      <w:r>
        <w:t xml:space="preserve">of </w:t>
      </w:r>
      <w:r w:rsidRPr="00035763">
        <w:t xml:space="preserve">patients' preferences is not only the right ethical thing to do but it also can reduce the cost of healthcare. </w:t>
      </w:r>
      <w:r w:rsidRPr="00035763">
        <w:rPr>
          <w:szCs w:val="24"/>
          <w:shd w:val="clear" w:color="auto" w:fill="FFFFFF"/>
        </w:rPr>
        <w:t xml:space="preserve"> Studies indicate th</w:t>
      </w:r>
      <w:r w:rsidRPr="00035763">
        <w:rPr>
          <w:szCs w:val="24"/>
        </w:rPr>
        <w:t>at engaged and informed patients often choose to have less intensive care and become more careful about having lots of procedures.</w:t>
      </w:r>
      <w:r w:rsidRPr="00035763">
        <w:rPr>
          <w:rStyle w:val="FootnoteReference"/>
          <w:szCs w:val="24"/>
        </w:rPr>
        <w:footnoteReference w:id="2"/>
      </w:r>
      <w:r w:rsidRPr="00035763">
        <w:rPr>
          <w:szCs w:val="24"/>
          <w:vertAlign w:val="superscript"/>
        </w:rPr>
        <w:t>,</w:t>
      </w:r>
      <w:r w:rsidRPr="00035763">
        <w:rPr>
          <w:rStyle w:val="FootnoteReference"/>
          <w:szCs w:val="24"/>
        </w:rPr>
        <w:footnoteReference w:id="3"/>
      </w:r>
      <w:r w:rsidRPr="00035763">
        <w:rPr>
          <w:szCs w:val="24"/>
          <w:vertAlign w:val="superscript"/>
        </w:rPr>
        <w:t>,</w:t>
      </w:r>
      <w:r w:rsidRPr="00035763">
        <w:rPr>
          <w:rStyle w:val="FootnoteReference"/>
          <w:szCs w:val="24"/>
        </w:rPr>
        <w:footnoteReference w:id="4"/>
      </w:r>
      <w:r w:rsidRPr="00035763">
        <w:rPr>
          <w:szCs w:val="24"/>
        </w:rPr>
        <w:t xml:space="preserve">  In addition, p</w:t>
      </w:r>
      <w:r w:rsidRPr="00035763">
        <w:rPr>
          <w:szCs w:val="24"/>
          <w:shd w:val="clear" w:color="auto" w:fill="FFFFFF"/>
        </w:rPr>
        <w:t xml:space="preserve">articipatory decision making can reduce </w:t>
      </w:r>
      <w:r w:rsidRPr="00AE66C8">
        <w:rPr>
          <w:color w:val="000000"/>
          <w:szCs w:val="24"/>
          <w:shd w:val="clear" w:color="auto" w:fill="FFFFFF"/>
        </w:rPr>
        <w:t>medication non-adherence which has been directly linked to increased morbidity</w:t>
      </w:r>
      <w:r w:rsidR="00921085">
        <w:rPr>
          <w:color w:val="000000"/>
          <w:szCs w:val="24"/>
          <w:shd w:val="clear" w:color="auto" w:fill="FFFFFF"/>
        </w:rPr>
        <w:t>,</w:t>
      </w:r>
      <w:r w:rsidRPr="00AE66C8">
        <w:rPr>
          <w:color w:val="000000"/>
          <w:szCs w:val="24"/>
          <w:shd w:val="clear" w:color="auto" w:fill="FFFFFF"/>
        </w:rPr>
        <w:t xml:space="preserve"> </w:t>
      </w:r>
      <w:r w:rsidRPr="00AE66C8">
        <w:rPr>
          <w:szCs w:val="24"/>
        </w:rPr>
        <w:t>mortality and potentially avoidable healthcare costs totaling $</w:t>
      </w:r>
      <w:r>
        <w:rPr>
          <w:szCs w:val="24"/>
        </w:rPr>
        <w:t>290</w:t>
      </w:r>
      <w:r w:rsidRPr="00AE66C8">
        <w:rPr>
          <w:szCs w:val="24"/>
        </w:rPr>
        <w:t xml:space="preserve"> billion annually in the U.S</w:t>
      </w:r>
      <w:r>
        <w:rPr>
          <w:szCs w:val="24"/>
        </w:rPr>
        <w:t>.</w:t>
      </w:r>
      <w:r>
        <w:rPr>
          <w:rStyle w:val="FootnoteReference"/>
          <w:szCs w:val="24"/>
        </w:rPr>
        <w:footnoteReference w:id="5"/>
      </w:r>
    </w:p>
    <w:p w:rsidR="00035763" w:rsidRDefault="00035763" w:rsidP="00BC4EC9">
      <w:pPr>
        <w:rPr>
          <w:szCs w:val="24"/>
        </w:rPr>
      </w:pPr>
    </w:p>
    <w:p w:rsidR="00C277B7" w:rsidRDefault="003B5CF3" w:rsidP="00BC4EC9">
      <w:pPr>
        <w:rPr>
          <w:szCs w:val="24"/>
        </w:rPr>
      </w:pPr>
      <w:r w:rsidRPr="00031578">
        <w:rPr>
          <w:szCs w:val="24"/>
        </w:rPr>
        <w:t>Th</w:t>
      </w:r>
      <w:r w:rsidR="00035763">
        <w:rPr>
          <w:szCs w:val="24"/>
        </w:rPr>
        <w:t>e</w:t>
      </w:r>
      <w:r w:rsidRPr="00405206">
        <w:rPr>
          <w:szCs w:val="24"/>
        </w:rPr>
        <w:t xml:space="preserve"> </w:t>
      </w:r>
      <w:r w:rsidR="00C53C31" w:rsidRPr="00405206">
        <w:rPr>
          <w:szCs w:val="24"/>
        </w:rPr>
        <w:t>CV checklist</w:t>
      </w:r>
      <w:r w:rsidR="00C53C31" w:rsidRPr="00031578">
        <w:rPr>
          <w:szCs w:val="24"/>
        </w:rPr>
        <w:t xml:space="preserve"> </w:t>
      </w:r>
      <w:r w:rsidRPr="00031578">
        <w:rPr>
          <w:szCs w:val="24"/>
        </w:rPr>
        <w:t xml:space="preserve">will address three major </w:t>
      </w:r>
      <w:r w:rsidR="00C00742" w:rsidRPr="00031578">
        <w:rPr>
          <w:szCs w:val="24"/>
        </w:rPr>
        <w:t>topics</w:t>
      </w:r>
      <w:r w:rsidRPr="00031578">
        <w:rPr>
          <w:szCs w:val="24"/>
        </w:rPr>
        <w:t>: who should talk with patients about value issues (e.g., nurses, physicians, etc.)</w:t>
      </w:r>
      <w:r w:rsidR="00CE4A64" w:rsidRPr="00031578">
        <w:rPr>
          <w:szCs w:val="24"/>
        </w:rPr>
        <w:t>, when should these conversations occur (e.g., when patients may incur costs, when they express financial concerns, etc.), and how can clinicians prepare for and effectively facilitate such discussions.</w:t>
      </w:r>
      <w:r w:rsidR="001700E1" w:rsidRPr="00031578">
        <w:rPr>
          <w:szCs w:val="24"/>
        </w:rPr>
        <w:t xml:space="preserve"> </w:t>
      </w:r>
      <w:r w:rsidR="001700E1" w:rsidRPr="001700E1">
        <w:rPr>
          <w:szCs w:val="24"/>
          <w:highlight w:val="yellow"/>
        </w:rPr>
        <w:t xml:space="preserve"> </w:t>
      </w:r>
    </w:p>
    <w:p w:rsidR="00B17FBB" w:rsidRDefault="00B17FBB" w:rsidP="00BC4EC9">
      <w:pPr>
        <w:rPr>
          <w:szCs w:val="24"/>
        </w:rPr>
      </w:pPr>
    </w:p>
    <w:p w:rsidR="00BC4EC9" w:rsidRPr="00A15132" w:rsidRDefault="00BC4EC9" w:rsidP="00BC4EC9">
      <w:pPr>
        <w:rPr>
          <w:szCs w:val="24"/>
        </w:rPr>
      </w:pPr>
      <w:r w:rsidRPr="00A15132">
        <w:rPr>
          <w:szCs w:val="24"/>
        </w:rPr>
        <w:t>This research has the following goals:</w:t>
      </w:r>
    </w:p>
    <w:p w:rsidR="00BC4EC9" w:rsidRPr="00A15132" w:rsidRDefault="00BC4EC9" w:rsidP="00BC4EC9">
      <w:pPr>
        <w:rPr>
          <w:szCs w:val="24"/>
        </w:rPr>
      </w:pPr>
    </w:p>
    <w:p w:rsidR="00BC4EC9" w:rsidRDefault="00BC4EC9" w:rsidP="001B72C5">
      <w:pPr>
        <w:tabs>
          <w:tab w:val="left" w:pos="360"/>
        </w:tabs>
        <w:ind w:left="360" w:hanging="360"/>
        <w:rPr>
          <w:szCs w:val="24"/>
        </w:rPr>
      </w:pPr>
      <w:r w:rsidRPr="00A15132">
        <w:rPr>
          <w:szCs w:val="24"/>
        </w:rPr>
        <w:t>1)</w:t>
      </w:r>
      <w:r w:rsidRPr="00A15132">
        <w:rPr>
          <w:szCs w:val="24"/>
        </w:rPr>
        <w:tab/>
      </w:r>
      <w:r w:rsidR="000E484A">
        <w:rPr>
          <w:szCs w:val="24"/>
        </w:rPr>
        <w:t>Develop, c</w:t>
      </w:r>
      <w:r w:rsidRPr="00A15132">
        <w:rPr>
          <w:szCs w:val="24"/>
        </w:rPr>
        <w:t xml:space="preserve">ognitively test and modify as necessary the </w:t>
      </w:r>
      <w:r w:rsidR="00C32F8F">
        <w:rPr>
          <w:szCs w:val="24"/>
        </w:rPr>
        <w:t>VE</w:t>
      </w:r>
      <w:r w:rsidR="00A15132" w:rsidRPr="00A15132">
        <w:rPr>
          <w:szCs w:val="24"/>
        </w:rPr>
        <w:t xml:space="preserve"> </w:t>
      </w:r>
      <w:r w:rsidR="00A61868">
        <w:rPr>
          <w:szCs w:val="24"/>
        </w:rPr>
        <w:t>s</w:t>
      </w:r>
      <w:r w:rsidR="009D245D">
        <w:rPr>
          <w:szCs w:val="24"/>
        </w:rPr>
        <w:t>urvey</w:t>
      </w:r>
      <w:r w:rsidR="00A15132" w:rsidRPr="00A15132">
        <w:rPr>
          <w:szCs w:val="24"/>
        </w:rPr>
        <w:t>s (one for hospitals and one for medical offices)</w:t>
      </w:r>
      <w:r w:rsidRPr="00A15132">
        <w:rPr>
          <w:szCs w:val="24"/>
        </w:rPr>
        <w:t>;</w:t>
      </w:r>
    </w:p>
    <w:p w:rsidR="001B72C5" w:rsidRDefault="001B72C5" w:rsidP="001B72C5">
      <w:pPr>
        <w:tabs>
          <w:tab w:val="left" w:pos="360"/>
        </w:tabs>
        <w:ind w:left="360" w:hanging="360"/>
        <w:rPr>
          <w:szCs w:val="24"/>
        </w:rPr>
      </w:pPr>
    </w:p>
    <w:p w:rsidR="001B72C5" w:rsidRDefault="001B72C5" w:rsidP="001B72C5">
      <w:pPr>
        <w:tabs>
          <w:tab w:val="left" w:pos="360"/>
        </w:tabs>
        <w:ind w:left="360" w:hanging="360"/>
        <w:rPr>
          <w:szCs w:val="24"/>
        </w:rPr>
      </w:pPr>
      <w:r>
        <w:rPr>
          <w:szCs w:val="24"/>
        </w:rPr>
        <w:t>2)</w:t>
      </w:r>
      <w:r>
        <w:rPr>
          <w:szCs w:val="24"/>
        </w:rPr>
        <w:tab/>
        <w:t xml:space="preserve">Pretest the </w:t>
      </w:r>
      <w:r w:rsidR="00C32F8F">
        <w:rPr>
          <w:szCs w:val="24"/>
        </w:rPr>
        <w:t>VE</w:t>
      </w:r>
      <w:r>
        <w:rPr>
          <w:szCs w:val="24"/>
        </w:rPr>
        <w:t xml:space="preserve"> surveys in hospitals and medical offices</w:t>
      </w:r>
      <w:r w:rsidRPr="00A15132">
        <w:rPr>
          <w:szCs w:val="24"/>
        </w:rPr>
        <w:t xml:space="preserve"> and m</w:t>
      </w:r>
      <w:r>
        <w:rPr>
          <w:szCs w:val="24"/>
        </w:rPr>
        <w:t xml:space="preserve">odify </w:t>
      </w:r>
      <w:r w:rsidRPr="00A15132">
        <w:rPr>
          <w:szCs w:val="24"/>
        </w:rPr>
        <w:t>as necessary</w:t>
      </w:r>
      <w:r>
        <w:rPr>
          <w:szCs w:val="24"/>
        </w:rPr>
        <w:t xml:space="preserve"> based on the results</w:t>
      </w:r>
      <w:r w:rsidRPr="00A15132">
        <w:rPr>
          <w:szCs w:val="24"/>
        </w:rPr>
        <w:t>;</w:t>
      </w:r>
    </w:p>
    <w:p w:rsidR="001B72C5" w:rsidRDefault="001B72C5" w:rsidP="00BC4EC9">
      <w:pPr>
        <w:tabs>
          <w:tab w:val="left" w:pos="360"/>
        </w:tabs>
        <w:ind w:left="360" w:hanging="360"/>
        <w:rPr>
          <w:szCs w:val="24"/>
        </w:rPr>
      </w:pPr>
    </w:p>
    <w:p w:rsidR="001B72C5" w:rsidRPr="00A15132" w:rsidRDefault="001B72C5" w:rsidP="00BC4EC9">
      <w:pPr>
        <w:tabs>
          <w:tab w:val="left" w:pos="360"/>
        </w:tabs>
        <w:ind w:left="360" w:hanging="360"/>
        <w:rPr>
          <w:szCs w:val="24"/>
          <w:u w:val="single"/>
        </w:rPr>
      </w:pPr>
      <w:r>
        <w:rPr>
          <w:szCs w:val="24"/>
        </w:rPr>
        <w:t>3)</w:t>
      </w:r>
      <w:r>
        <w:rPr>
          <w:szCs w:val="24"/>
        </w:rPr>
        <w:tab/>
        <w:t xml:space="preserve">Develop, </w:t>
      </w:r>
      <w:r w:rsidR="00C20EF3">
        <w:rPr>
          <w:szCs w:val="24"/>
        </w:rPr>
        <w:t xml:space="preserve">cognitively </w:t>
      </w:r>
      <w:r w:rsidRPr="00A15132">
        <w:rPr>
          <w:szCs w:val="24"/>
        </w:rPr>
        <w:t>test and modify as necessary the</w:t>
      </w:r>
      <w:r>
        <w:rPr>
          <w:szCs w:val="24"/>
        </w:rPr>
        <w:t xml:space="preserve"> CV checklist</w:t>
      </w:r>
      <w:r w:rsidRPr="00A15132">
        <w:rPr>
          <w:szCs w:val="24"/>
        </w:rPr>
        <w:t>;</w:t>
      </w:r>
    </w:p>
    <w:p w:rsidR="00BC4EC9" w:rsidRPr="00A15132" w:rsidRDefault="00BC4EC9" w:rsidP="00BC4EC9">
      <w:pPr>
        <w:tabs>
          <w:tab w:val="left" w:pos="360"/>
        </w:tabs>
        <w:rPr>
          <w:szCs w:val="24"/>
          <w:u w:val="single"/>
        </w:rPr>
      </w:pPr>
    </w:p>
    <w:p w:rsidR="00BC4EC9" w:rsidRPr="00A15132" w:rsidRDefault="001B72C5" w:rsidP="001B72C5">
      <w:pPr>
        <w:tabs>
          <w:tab w:val="left" w:pos="360"/>
        </w:tabs>
        <w:ind w:left="360" w:hanging="360"/>
        <w:rPr>
          <w:szCs w:val="24"/>
        </w:rPr>
      </w:pPr>
      <w:r>
        <w:rPr>
          <w:szCs w:val="24"/>
        </w:rPr>
        <w:t>4</w:t>
      </w:r>
      <w:r w:rsidR="00BC4EC9" w:rsidRPr="00A15132">
        <w:rPr>
          <w:szCs w:val="24"/>
        </w:rPr>
        <w:t>)</w:t>
      </w:r>
      <w:r w:rsidR="00BC4EC9" w:rsidRPr="00A15132">
        <w:rPr>
          <w:szCs w:val="24"/>
        </w:rPr>
        <w:tab/>
      </w:r>
      <w:r w:rsidR="00815AAF">
        <w:rPr>
          <w:szCs w:val="24"/>
        </w:rPr>
        <w:t>Pre</w:t>
      </w:r>
      <w:r w:rsidR="000E484A">
        <w:rPr>
          <w:szCs w:val="24"/>
        </w:rPr>
        <w:t xml:space="preserve">test the </w:t>
      </w:r>
      <w:r>
        <w:rPr>
          <w:szCs w:val="24"/>
        </w:rPr>
        <w:t xml:space="preserve">CV checklist </w:t>
      </w:r>
      <w:r w:rsidR="000E484A">
        <w:rPr>
          <w:szCs w:val="24"/>
        </w:rPr>
        <w:t>in hospitals and medical offices</w:t>
      </w:r>
      <w:r w:rsidR="00CC54BD">
        <w:rPr>
          <w:szCs w:val="24"/>
        </w:rPr>
        <w:t xml:space="preserve"> </w:t>
      </w:r>
      <w:r w:rsidR="00BC4EC9" w:rsidRPr="00A15132">
        <w:rPr>
          <w:szCs w:val="24"/>
        </w:rPr>
        <w:t>and modify as necessary</w:t>
      </w:r>
      <w:r>
        <w:rPr>
          <w:szCs w:val="24"/>
        </w:rPr>
        <w:t xml:space="preserve"> based on the results</w:t>
      </w:r>
      <w:r w:rsidR="00BC4EC9" w:rsidRPr="00A15132">
        <w:rPr>
          <w:szCs w:val="24"/>
        </w:rPr>
        <w:t>;</w:t>
      </w:r>
    </w:p>
    <w:p w:rsidR="00BC4EC9" w:rsidRPr="00A15132" w:rsidRDefault="00BC4EC9" w:rsidP="00BC4EC9">
      <w:pPr>
        <w:tabs>
          <w:tab w:val="left" w:pos="360"/>
        </w:tabs>
        <w:rPr>
          <w:szCs w:val="24"/>
          <w:u w:val="single"/>
        </w:rPr>
      </w:pPr>
    </w:p>
    <w:p w:rsidR="00BC4EC9" w:rsidRPr="00A15132" w:rsidRDefault="001B72C5" w:rsidP="00BC4EC9">
      <w:pPr>
        <w:tabs>
          <w:tab w:val="left" w:pos="360"/>
        </w:tabs>
        <w:rPr>
          <w:szCs w:val="24"/>
        </w:rPr>
      </w:pPr>
      <w:r>
        <w:rPr>
          <w:szCs w:val="24"/>
        </w:rPr>
        <w:t>5</w:t>
      </w:r>
      <w:r w:rsidR="00BC4EC9" w:rsidRPr="00A15132">
        <w:rPr>
          <w:szCs w:val="24"/>
        </w:rPr>
        <w:t>)</w:t>
      </w:r>
      <w:r w:rsidR="00BC4EC9" w:rsidRPr="00A15132">
        <w:rPr>
          <w:szCs w:val="24"/>
        </w:rPr>
        <w:tab/>
        <w:t xml:space="preserve">Make the final </w:t>
      </w:r>
      <w:r w:rsidR="00C32F8F">
        <w:rPr>
          <w:szCs w:val="24"/>
        </w:rPr>
        <w:t>VE</w:t>
      </w:r>
      <w:r w:rsidR="00A33F0D">
        <w:rPr>
          <w:szCs w:val="24"/>
        </w:rPr>
        <w:t xml:space="preserve"> </w:t>
      </w:r>
      <w:r w:rsidR="009D245D">
        <w:rPr>
          <w:szCs w:val="24"/>
        </w:rPr>
        <w:t>survey</w:t>
      </w:r>
      <w:r w:rsidR="00A15132" w:rsidRPr="00A15132">
        <w:rPr>
          <w:szCs w:val="24"/>
        </w:rPr>
        <w:t>s</w:t>
      </w:r>
      <w:r w:rsidR="00BC4EC9" w:rsidRPr="00A15132">
        <w:rPr>
          <w:szCs w:val="24"/>
        </w:rPr>
        <w:t xml:space="preserve"> </w:t>
      </w:r>
      <w:r w:rsidR="00E21140">
        <w:rPr>
          <w:szCs w:val="24"/>
        </w:rPr>
        <w:t xml:space="preserve">and CV checklist </w:t>
      </w:r>
      <w:r w:rsidR="00BC4EC9" w:rsidRPr="00A15132">
        <w:rPr>
          <w:szCs w:val="24"/>
        </w:rPr>
        <w:t xml:space="preserve">available for use </w:t>
      </w:r>
      <w:r w:rsidR="00F471A7">
        <w:rPr>
          <w:szCs w:val="24"/>
        </w:rPr>
        <w:t>by</w:t>
      </w:r>
      <w:r w:rsidR="00BC4EC9" w:rsidRPr="00A15132">
        <w:rPr>
          <w:szCs w:val="24"/>
        </w:rPr>
        <w:t xml:space="preserve"> the public.</w:t>
      </w:r>
    </w:p>
    <w:p w:rsidR="00BC4EC9" w:rsidRDefault="00BC4EC9" w:rsidP="00BC4EC9">
      <w:pPr>
        <w:tabs>
          <w:tab w:val="left" w:pos="360"/>
        </w:tabs>
        <w:rPr>
          <w:szCs w:val="24"/>
          <w:highlight w:val="yellow"/>
        </w:rPr>
      </w:pPr>
    </w:p>
    <w:p w:rsidR="005A5E43" w:rsidRPr="00BC4EC9" w:rsidRDefault="005A5E43" w:rsidP="00BC4EC9">
      <w:pPr>
        <w:tabs>
          <w:tab w:val="left" w:pos="360"/>
        </w:tabs>
        <w:rPr>
          <w:szCs w:val="24"/>
          <w:highlight w:val="yellow"/>
        </w:rPr>
      </w:pPr>
    </w:p>
    <w:p w:rsidR="00BC4EC9" w:rsidRPr="001217E9" w:rsidRDefault="00BC4EC9" w:rsidP="00015387">
      <w:pPr>
        <w:spacing w:after="200" w:line="276" w:lineRule="auto"/>
        <w:rPr>
          <w:szCs w:val="24"/>
        </w:rPr>
      </w:pPr>
      <w:r w:rsidRPr="001217E9">
        <w:rPr>
          <w:szCs w:val="24"/>
        </w:rPr>
        <w:t>To achieve these goals the following activities and data collections will be implemented:</w:t>
      </w:r>
    </w:p>
    <w:p w:rsidR="00BC4EC9" w:rsidRDefault="00BC4EC9" w:rsidP="003B3476">
      <w:pPr>
        <w:tabs>
          <w:tab w:val="left" w:pos="360"/>
        </w:tabs>
        <w:ind w:left="360" w:hanging="360"/>
        <w:rPr>
          <w:szCs w:val="24"/>
        </w:rPr>
      </w:pPr>
      <w:r w:rsidRPr="001217E9">
        <w:rPr>
          <w:szCs w:val="24"/>
        </w:rPr>
        <w:lastRenderedPageBreak/>
        <w:t>1)</w:t>
      </w:r>
      <w:r w:rsidRPr="001217E9">
        <w:rPr>
          <w:szCs w:val="24"/>
        </w:rPr>
        <w:tab/>
      </w:r>
      <w:r w:rsidR="00B20101" w:rsidRPr="0039714C">
        <w:rPr>
          <w:b/>
          <w:szCs w:val="24"/>
        </w:rPr>
        <w:t>Cognitive interviews for the VE surveys.</w:t>
      </w:r>
      <w:r w:rsidR="003B3476">
        <w:rPr>
          <w:szCs w:val="24"/>
        </w:rPr>
        <w:t xml:space="preserve">  </w:t>
      </w:r>
      <w:r w:rsidR="000B2167" w:rsidRPr="003B3476">
        <w:rPr>
          <w:szCs w:val="24"/>
        </w:rPr>
        <w:t>One</w:t>
      </w:r>
      <w:r w:rsidRPr="003B3476">
        <w:rPr>
          <w:szCs w:val="24"/>
        </w:rPr>
        <w:t xml:space="preserve"> round of interview</w:t>
      </w:r>
      <w:r w:rsidR="000B2167" w:rsidRPr="003B3476">
        <w:rPr>
          <w:szCs w:val="24"/>
        </w:rPr>
        <w:t>s</w:t>
      </w:r>
      <w:r w:rsidRPr="003B3476">
        <w:rPr>
          <w:szCs w:val="24"/>
        </w:rPr>
        <w:t xml:space="preserve"> </w:t>
      </w:r>
      <w:r w:rsidR="00C53C31" w:rsidRPr="003B3476">
        <w:rPr>
          <w:szCs w:val="24"/>
        </w:rPr>
        <w:t xml:space="preserve">on the </w:t>
      </w:r>
      <w:r w:rsidR="00C32F8F">
        <w:rPr>
          <w:szCs w:val="24"/>
        </w:rPr>
        <w:t>VE</w:t>
      </w:r>
      <w:r w:rsidR="00C53C31" w:rsidRPr="003B3476">
        <w:rPr>
          <w:szCs w:val="24"/>
        </w:rPr>
        <w:t xml:space="preserve"> </w:t>
      </w:r>
      <w:r w:rsidR="009D245D" w:rsidRPr="003B3476">
        <w:rPr>
          <w:szCs w:val="24"/>
        </w:rPr>
        <w:t>survey</w:t>
      </w:r>
      <w:r w:rsidR="00C53C31" w:rsidRPr="003B3476">
        <w:rPr>
          <w:szCs w:val="24"/>
        </w:rPr>
        <w:t xml:space="preserve">s </w:t>
      </w:r>
      <w:r w:rsidRPr="003B3476">
        <w:rPr>
          <w:szCs w:val="24"/>
        </w:rPr>
        <w:t xml:space="preserve">will be conducted by telephone with </w:t>
      </w:r>
      <w:r w:rsidR="000B2167" w:rsidRPr="003B3476">
        <w:rPr>
          <w:szCs w:val="24"/>
        </w:rPr>
        <w:t>9</w:t>
      </w:r>
      <w:r w:rsidRPr="003B3476">
        <w:rPr>
          <w:szCs w:val="24"/>
        </w:rPr>
        <w:t xml:space="preserve"> respondents </w:t>
      </w:r>
      <w:r w:rsidR="000B2167" w:rsidRPr="003B3476">
        <w:rPr>
          <w:szCs w:val="24"/>
        </w:rPr>
        <w:t>from hospitals and 9 respondents from medical offices</w:t>
      </w:r>
      <w:r w:rsidRPr="003B3476">
        <w:rPr>
          <w:szCs w:val="24"/>
        </w:rPr>
        <w:t>.  The purpose of these interviews is to</w:t>
      </w:r>
      <w:r w:rsidR="00BE713F">
        <w:rPr>
          <w:szCs w:val="24"/>
        </w:rPr>
        <w:t xml:space="preserve"> </w:t>
      </w:r>
      <w:r w:rsidR="00BE713F" w:rsidRPr="00F41A22">
        <w:rPr>
          <w:szCs w:val="24"/>
        </w:rPr>
        <w:t xml:space="preserve">understand the cognitive processes the respondent engages in when answering a question </w:t>
      </w:r>
      <w:r w:rsidR="00BE713F">
        <w:rPr>
          <w:szCs w:val="24"/>
        </w:rPr>
        <w:t xml:space="preserve">on the </w:t>
      </w:r>
      <w:r w:rsidR="00C32F8F">
        <w:rPr>
          <w:szCs w:val="24"/>
        </w:rPr>
        <w:t>VE</w:t>
      </w:r>
      <w:r w:rsidR="00BE713F" w:rsidRPr="00F41A22">
        <w:rPr>
          <w:szCs w:val="24"/>
        </w:rPr>
        <w:t xml:space="preserve"> survey</w:t>
      </w:r>
      <w:r w:rsidRPr="003B3476">
        <w:rPr>
          <w:szCs w:val="24"/>
        </w:rPr>
        <w:t xml:space="preserve"> </w:t>
      </w:r>
      <w:r w:rsidR="00BE713F">
        <w:rPr>
          <w:szCs w:val="24"/>
        </w:rPr>
        <w:t xml:space="preserve">and to </w:t>
      </w:r>
      <w:r w:rsidRPr="003B3476">
        <w:rPr>
          <w:szCs w:val="24"/>
        </w:rPr>
        <w:t xml:space="preserve">refine the </w:t>
      </w:r>
      <w:r w:rsidR="009D245D" w:rsidRPr="003B3476">
        <w:rPr>
          <w:szCs w:val="24"/>
        </w:rPr>
        <w:t>survey</w:t>
      </w:r>
      <w:r w:rsidRPr="003B3476">
        <w:rPr>
          <w:szCs w:val="24"/>
        </w:rPr>
        <w:t xml:space="preserve">’s items and composites.  </w:t>
      </w:r>
      <w:r w:rsidR="000B2167" w:rsidRPr="003B3476">
        <w:rPr>
          <w:szCs w:val="24"/>
        </w:rPr>
        <w:t>These interviews</w:t>
      </w:r>
      <w:r w:rsidRPr="003B3476">
        <w:rPr>
          <w:szCs w:val="24"/>
        </w:rPr>
        <w:t xml:space="preserve"> will be conducted with a mix of </w:t>
      </w:r>
      <w:r w:rsidR="000B2167" w:rsidRPr="003B3476">
        <w:rPr>
          <w:szCs w:val="24"/>
        </w:rPr>
        <w:t xml:space="preserve">senior leaders and clinical staff </w:t>
      </w:r>
      <w:r w:rsidR="0039714C">
        <w:rPr>
          <w:szCs w:val="24"/>
        </w:rPr>
        <w:t xml:space="preserve">(i.e., unit/department managers, practitioners, nurses, technicians, and medical assistants) </w:t>
      </w:r>
      <w:r w:rsidR="000B2167" w:rsidRPr="003B3476">
        <w:rPr>
          <w:szCs w:val="24"/>
        </w:rPr>
        <w:t>from hospitals and medical offices throughout the U.S. with varying characteristics (e.g., size, geographic location, type of medical office practice/hospital, and possibly extent of experience with waste-reduction efforts).</w:t>
      </w:r>
      <w:r w:rsidRPr="003B3476">
        <w:rPr>
          <w:szCs w:val="24"/>
        </w:rPr>
        <w:t xml:space="preserve">  The </w:t>
      </w:r>
      <w:r w:rsidR="000E484A" w:rsidRPr="003B3476">
        <w:rPr>
          <w:szCs w:val="24"/>
        </w:rPr>
        <w:t xml:space="preserve">cognitive </w:t>
      </w:r>
      <w:r w:rsidRPr="003B3476">
        <w:rPr>
          <w:szCs w:val="24"/>
        </w:rPr>
        <w:t>interview guide</w:t>
      </w:r>
      <w:r w:rsidR="00FF496B" w:rsidRPr="003B3476">
        <w:rPr>
          <w:szCs w:val="24"/>
        </w:rPr>
        <w:t>s</w:t>
      </w:r>
      <w:r w:rsidRPr="003B3476">
        <w:rPr>
          <w:szCs w:val="24"/>
        </w:rPr>
        <w:t xml:space="preserve"> </w:t>
      </w:r>
      <w:r w:rsidR="00FF496B" w:rsidRPr="003B3476">
        <w:rPr>
          <w:szCs w:val="24"/>
        </w:rPr>
        <w:t>are</w:t>
      </w:r>
      <w:r w:rsidR="001217E9" w:rsidRPr="003B3476">
        <w:rPr>
          <w:szCs w:val="24"/>
        </w:rPr>
        <w:t xml:space="preserve"> included in Attachment</w:t>
      </w:r>
      <w:r w:rsidR="00FF496B" w:rsidRPr="003B3476">
        <w:rPr>
          <w:szCs w:val="24"/>
        </w:rPr>
        <w:t>s</w:t>
      </w:r>
      <w:r w:rsidRPr="003B3476">
        <w:rPr>
          <w:szCs w:val="24"/>
        </w:rPr>
        <w:t xml:space="preserve"> </w:t>
      </w:r>
      <w:r w:rsidR="006C3316">
        <w:rPr>
          <w:szCs w:val="24"/>
        </w:rPr>
        <w:t>A</w:t>
      </w:r>
      <w:r w:rsidR="00FF496B" w:rsidRPr="003B3476">
        <w:rPr>
          <w:szCs w:val="24"/>
        </w:rPr>
        <w:t xml:space="preserve"> and </w:t>
      </w:r>
      <w:r w:rsidR="006C3316">
        <w:rPr>
          <w:szCs w:val="24"/>
        </w:rPr>
        <w:t>B</w:t>
      </w:r>
      <w:r w:rsidR="00FF496B" w:rsidRPr="003B3476">
        <w:rPr>
          <w:szCs w:val="24"/>
        </w:rPr>
        <w:t xml:space="preserve">. </w:t>
      </w:r>
    </w:p>
    <w:p w:rsidR="00F41A22" w:rsidRDefault="00F41A22" w:rsidP="003B3476">
      <w:pPr>
        <w:tabs>
          <w:tab w:val="left" w:pos="360"/>
        </w:tabs>
        <w:ind w:left="360" w:hanging="360"/>
        <w:rPr>
          <w:szCs w:val="24"/>
        </w:rPr>
      </w:pPr>
    </w:p>
    <w:p w:rsidR="00DF0A05" w:rsidRDefault="00F41A22" w:rsidP="003B3476">
      <w:pPr>
        <w:tabs>
          <w:tab w:val="left" w:pos="360"/>
        </w:tabs>
        <w:ind w:left="360" w:hanging="360"/>
        <w:rPr>
          <w:szCs w:val="24"/>
        </w:rPr>
      </w:pPr>
      <w:r>
        <w:rPr>
          <w:szCs w:val="24"/>
        </w:rPr>
        <w:t>2)</w:t>
      </w:r>
      <w:r>
        <w:rPr>
          <w:szCs w:val="24"/>
        </w:rPr>
        <w:tab/>
      </w:r>
      <w:r w:rsidR="00B20101" w:rsidRPr="0039714C">
        <w:rPr>
          <w:b/>
          <w:szCs w:val="24"/>
        </w:rPr>
        <w:t>Pretest for the VE surveys.</w:t>
      </w:r>
      <w:r w:rsidRPr="00F41A22">
        <w:rPr>
          <w:szCs w:val="24"/>
        </w:rPr>
        <w:t xml:space="preserve"> </w:t>
      </w:r>
      <w:r w:rsidRPr="00700B91">
        <w:rPr>
          <w:szCs w:val="24"/>
        </w:rPr>
        <w:t>The</w:t>
      </w:r>
      <w:r>
        <w:rPr>
          <w:szCs w:val="24"/>
        </w:rPr>
        <w:t xml:space="preserve"> surveys</w:t>
      </w:r>
      <w:r w:rsidRPr="00FF496B">
        <w:rPr>
          <w:szCs w:val="24"/>
        </w:rPr>
        <w:t xml:space="preserve"> will be pretested with senior leaders and clinical staff from </w:t>
      </w:r>
      <w:r w:rsidRPr="00031578">
        <w:rPr>
          <w:szCs w:val="24"/>
        </w:rPr>
        <w:t xml:space="preserve">42 hospitals and 96 medical offices (see Attachments </w:t>
      </w:r>
      <w:r w:rsidR="006C3316">
        <w:rPr>
          <w:szCs w:val="24"/>
        </w:rPr>
        <w:t>C</w:t>
      </w:r>
      <w:r w:rsidRPr="00031578">
        <w:rPr>
          <w:szCs w:val="24"/>
        </w:rPr>
        <w:t xml:space="preserve"> and </w:t>
      </w:r>
      <w:r w:rsidR="006C3316">
        <w:rPr>
          <w:szCs w:val="24"/>
        </w:rPr>
        <w:t>D</w:t>
      </w:r>
      <w:r w:rsidR="00146EB3">
        <w:rPr>
          <w:szCs w:val="24"/>
        </w:rPr>
        <w:t xml:space="preserve"> for draft questionnaires</w:t>
      </w:r>
      <w:r w:rsidRPr="00031578">
        <w:rPr>
          <w:szCs w:val="24"/>
        </w:rPr>
        <w:t xml:space="preserve"> for</w:t>
      </w:r>
      <w:r>
        <w:rPr>
          <w:szCs w:val="24"/>
        </w:rPr>
        <w:t xml:space="preserve"> hospitals and medical offices</w:t>
      </w:r>
      <w:r w:rsidRPr="00FF496B">
        <w:rPr>
          <w:szCs w:val="24"/>
        </w:rPr>
        <w:t>).</w:t>
      </w:r>
      <w:r>
        <w:rPr>
          <w:szCs w:val="24"/>
        </w:rPr>
        <w:t xml:space="preserve">  </w:t>
      </w:r>
      <w:r w:rsidRPr="00177C6B">
        <w:rPr>
          <w:szCs w:val="24"/>
        </w:rPr>
        <w:t xml:space="preserve">The purpose of the pretest is to collect </w:t>
      </w:r>
      <w:r w:rsidRPr="00FF496B">
        <w:rPr>
          <w:szCs w:val="24"/>
        </w:rPr>
        <w:t>data for an assessment of the reliability and construct validity of the surveys’ items and composites, allowing for their further refinement.</w:t>
      </w:r>
      <w:r w:rsidRPr="00177C6B">
        <w:rPr>
          <w:szCs w:val="24"/>
        </w:rPr>
        <w:t xml:space="preserve">  </w:t>
      </w:r>
      <w:r w:rsidR="001F7569">
        <w:rPr>
          <w:szCs w:val="24"/>
        </w:rPr>
        <w:t xml:space="preserve">A </w:t>
      </w:r>
      <w:r w:rsidR="004F0144" w:rsidRPr="004F0144">
        <w:rPr>
          <w:szCs w:val="24"/>
        </w:rPr>
        <w:t xml:space="preserve">site-level </w:t>
      </w:r>
      <w:r w:rsidR="001F7569">
        <w:rPr>
          <w:szCs w:val="24"/>
        </w:rPr>
        <w:t>point-of-contact (</w:t>
      </w:r>
      <w:r w:rsidR="004F0144" w:rsidRPr="004F0144">
        <w:rPr>
          <w:szCs w:val="24"/>
        </w:rPr>
        <w:t>POC</w:t>
      </w:r>
      <w:r w:rsidR="001F7569">
        <w:rPr>
          <w:szCs w:val="24"/>
        </w:rPr>
        <w:t>) will be recruited</w:t>
      </w:r>
      <w:r w:rsidR="004F0144" w:rsidRPr="004F0144">
        <w:rPr>
          <w:szCs w:val="24"/>
        </w:rPr>
        <w:t xml:space="preserve"> in each medical office </w:t>
      </w:r>
      <w:r w:rsidR="00B23AE4">
        <w:rPr>
          <w:szCs w:val="24"/>
        </w:rPr>
        <w:t xml:space="preserve">and </w:t>
      </w:r>
      <w:proofErr w:type="gramStart"/>
      <w:r w:rsidR="00B23AE4">
        <w:rPr>
          <w:szCs w:val="24"/>
        </w:rPr>
        <w:t xml:space="preserve">hospital </w:t>
      </w:r>
      <w:r w:rsidR="005B4DDD">
        <w:rPr>
          <w:szCs w:val="24"/>
        </w:rPr>
        <w:t>to</w:t>
      </w:r>
      <w:r w:rsidR="004F0144" w:rsidRPr="004F0144">
        <w:rPr>
          <w:szCs w:val="24"/>
        </w:rPr>
        <w:t xml:space="preserve"> manage </w:t>
      </w:r>
      <w:r w:rsidR="005B4DDD">
        <w:rPr>
          <w:szCs w:val="24"/>
        </w:rPr>
        <w:t xml:space="preserve">the </w:t>
      </w:r>
      <w:r w:rsidR="004F0144" w:rsidRPr="004F0144">
        <w:rPr>
          <w:szCs w:val="24"/>
        </w:rPr>
        <w:t xml:space="preserve">data collection at that </w:t>
      </w:r>
      <w:r w:rsidR="00B23AE4">
        <w:rPr>
          <w:szCs w:val="24"/>
        </w:rPr>
        <w:t>organization</w:t>
      </w:r>
      <w:r w:rsidR="004F0144" w:rsidRPr="004F0144">
        <w:rPr>
          <w:szCs w:val="24"/>
        </w:rPr>
        <w:t xml:space="preserve"> (compile</w:t>
      </w:r>
      <w:proofErr w:type="gramEnd"/>
      <w:r w:rsidR="004F0144" w:rsidRPr="004F0144">
        <w:rPr>
          <w:szCs w:val="24"/>
        </w:rPr>
        <w:t xml:space="preserve"> sample information, distribute surveys, promote survey response, etc.)</w:t>
      </w:r>
      <w:r w:rsidR="001F7569">
        <w:rPr>
          <w:szCs w:val="24"/>
        </w:rPr>
        <w:t>.</w:t>
      </w:r>
      <w:r w:rsidR="0061721A">
        <w:rPr>
          <w:szCs w:val="24"/>
        </w:rPr>
        <w:t xml:space="preserve">  </w:t>
      </w:r>
      <w:r w:rsidR="00496F88">
        <w:rPr>
          <w:szCs w:val="24"/>
        </w:rPr>
        <w:t xml:space="preserve">Instructions for the site-level POCs are included in Attachments E and F. </w:t>
      </w:r>
      <w:r w:rsidR="0061721A">
        <w:rPr>
          <w:szCs w:val="24"/>
        </w:rPr>
        <w:t>Exhibit 1 includes a burden estimate for the POC’s time to manage the data collection.</w:t>
      </w:r>
      <w:r w:rsidR="004F0144" w:rsidRPr="004F0144">
        <w:rPr>
          <w:szCs w:val="24"/>
        </w:rPr>
        <w:t xml:space="preserve"> </w:t>
      </w:r>
      <w:r w:rsidR="001F7569">
        <w:rPr>
          <w:szCs w:val="24"/>
        </w:rPr>
        <w:t xml:space="preserve"> </w:t>
      </w:r>
      <w:r w:rsidRPr="00FF496B">
        <w:rPr>
          <w:szCs w:val="24"/>
        </w:rPr>
        <w:t xml:space="preserve">The draft pretest </w:t>
      </w:r>
      <w:r>
        <w:rPr>
          <w:szCs w:val="24"/>
        </w:rPr>
        <w:t>survey</w:t>
      </w:r>
      <w:r w:rsidRPr="00FF496B">
        <w:rPr>
          <w:szCs w:val="24"/>
        </w:rPr>
        <w:t xml:space="preserve"> cover letters and follow-up reminder notices are included in Attachments </w:t>
      </w:r>
      <w:r w:rsidR="00496F88">
        <w:rPr>
          <w:szCs w:val="24"/>
        </w:rPr>
        <w:t>G</w:t>
      </w:r>
      <w:r w:rsidRPr="00FF496B">
        <w:rPr>
          <w:szCs w:val="24"/>
        </w:rPr>
        <w:t xml:space="preserve"> and </w:t>
      </w:r>
      <w:r w:rsidR="00496F88">
        <w:rPr>
          <w:szCs w:val="24"/>
        </w:rPr>
        <w:t>H</w:t>
      </w:r>
      <w:r w:rsidRPr="00FF496B">
        <w:rPr>
          <w:szCs w:val="24"/>
        </w:rPr>
        <w:t>.</w:t>
      </w:r>
      <w:r w:rsidR="004E7E42">
        <w:rPr>
          <w:szCs w:val="24"/>
        </w:rPr>
        <w:t xml:space="preserve">  </w:t>
      </w:r>
    </w:p>
    <w:p w:rsidR="00DF0A05" w:rsidRDefault="00DF0A05" w:rsidP="003B3476">
      <w:pPr>
        <w:tabs>
          <w:tab w:val="left" w:pos="360"/>
        </w:tabs>
        <w:ind w:left="360" w:hanging="360"/>
        <w:rPr>
          <w:szCs w:val="24"/>
        </w:rPr>
      </w:pPr>
    </w:p>
    <w:p w:rsidR="000804A7" w:rsidRPr="003B3476" w:rsidRDefault="00DF0A05" w:rsidP="003B3476">
      <w:pPr>
        <w:tabs>
          <w:tab w:val="left" w:pos="360"/>
        </w:tabs>
        <w:ind w:left="360" w:hanging="360"/>
        <w:rPr>
          <w:szCs w:val="24"/>
        </w:rPr>
      </w:pPr>
      <w:r>
        <w:rPr>
          <w:szCs w:val="24"/>
        </w:rPr>
        <w:t>3)</w:t>
      </w:r>
      <w:r>
        <w:rPr>
          <w:szCs w:val="24"/>
        </w:rPr>
        <w:tab/>
      </w:r>
      <w:r w:rsidR="002D2D41" w:rsidRPr="002D2D41">
        <w:rPr>
          <w:b/>
          <w:szCs w:val="24"/>
        </w:rPr>
        <w:t>Medical office information form.</w:t>
      </w:r>
      <w:r>
        <w:rPr>
          <w:szCs w:val="24"/>
        </w:rPr>
        <w:t xml:space="preserve"> </w:t>
      </w:r>
      <w:r w:rsidR="00B11436">
        <w:rPr>
          <w:szCs w:val="24"/>
        </w:rPr>
        <w:t>This</w:t>
      </w:r>
      <w:r w:rsidR="004E7E42">
        <w:rPr>
          <w:szCs w:val="24"/>
        </w:rPr>
        <w:t xml:space="preserve"> form </w:t>
      </w:r>
      <w:r w:rsidR="00B11436">
        <w:rPr>
          <w:szCs w:val="24"/>
        </w:rPr>
        <w:t>will</w:t>
      </w:r>
      <w:r w:rsidR="000804A7" w:rsidRPr="00D97812">
        <w:rPr>
          <w:szCs w:val="24"/>
        </w:rPr>
        <w:t xml:space="preserve"> be completed by the medical office </w:t>
      </w:r>
      <w:r w:rsidR="000804A7" w:rsidRPr="00FF496B">
        <w:rPr>
          <w:szCs w:val="24"/>
        </w:rPr>
        <w:t xml:space="preserve">manager in each of the 96 </w:t>
      </w:r>
      <w:r w:rsidR="00B11436">
        <w:rPr>
          <w:szCs w:val="24"/>
        </w:rPr>
        <w:t xml:space="preserve">medical office </w:t>
      </w:r>
      <w:r w:rsidR="000804A7" w:rsidRPr="00FF496B">
        <w:rPr>
          <w:szCs w:val="24"/>
        </w:rPr>
        <w:t>pretest sites to provide background characteristics, such as type of specialty(s) and majo</w:t>
      </w:r>
      <w:r w:rsidR="00633389">
        <w:rPr>
          <w:szCs w:val="24"/>
        </w:rPr>
        <w:t xml:space="preserve">rity ownership (see Attachment </w:t>
      </w:r>
      <w:r w:rsidR="00496F88">
        <w:rPr>
          <w:szCs w:val="24"/>
        </w:rPr>
        <w:t>I</w:t>
      </w:r>
      <w:r w:rsidR="000804A7" w:rsidRPr="00FF496B">
        <w:rPr>
          <w:szCs w:val="24"/>
        </w:rPr>
        <w:t>).</w:t>
      </w:r>
      <w:r w:rsidR="000804A7" w:rsidRPr="000B79DD">
        <w:rPr>
          <w:szCs w:val="24"/>
        </w:rPr>
        <w:t xml:space="preserve">  </w:t>
      </w:r>
      <w:r w:rsidR="000804A7">
        <w:rPr>
          <w:szCs w:val="24"/>
        </w:rPr>
        <w:t xml:space="preserve">A hospital </w:t>
      </w:r>
      <w:r w:rsidR="004E7E42">
        <w:rPr>
          <w:szCs w:val="24"/>
        </w:rPr>
        <w:t xml:space="preserve">information form </w:t>
      </w:r>
      <w:r w:rsidR="000804A7">
        <w:rPr>
          <w:szCs w:val="24"/>
        </w:rPr>
        <w:t xml:space="preserve">will not be needed because </w:t>
      </w:r>
      <w:r w:rsidR="000804A7" w:rsidRPr="00D97812">
        <w:rPr>
          <w:szCs w:val="24"/>
        </w:rPr>
        <w:t xml:space="preserve">characteristics </w:t>
      </w:r>
      <w:r w:rsidR="000804A7">
        <w:rPr>
          <w:szCs w:val="24"/>
        </w:rPr>
        <w:t xml:space="preserve">on pretest hospitals </w:t>
      </w:r>
      <w:r w:rsidR="000804A7" w:rsidRPr="00D97812">
        <w:rPr>
          <w:szCs w:val="24"/>
        </w:rPr>
        <w:t>will be obtained from the American Hospital Association</w:t>
      </w:r>
      <w:r w:rsidR="000804A7">
        <w:rPr>
          <w:szCs w:val="24"/>
        </w:rPr>
        <w:t>’s (AHA) data set based on a hospital’s AHA ID number</w:t>
      </w:r>
      <w:r w:rsidR="000804A7" w:rsidRPr="00D97812">
        <w:rPr>
          <w:szCs w:val="24"/>
        </w:rPr>
        <w:t>.</w:t>
      </w:r>
    </w:p>
    <w:p w:rsidR="000F18BC" w:rsidRDefault="00F41A22" w:rsidP="0039714C">
      <w:pPr>
        <w:rPr>
          <w:szCs w:val="24"/>
        </w:rPr>
      </w:pPr>
      <w:r>
        <w:rPr>
          <w:szCs w:val="24"/>
        </w:rPr>
        <w:tab/>
      </w:r>
    </w:p>
    <w:p w:rsidR="00525E7D" w:rsidRPr="00F41A22" w:rsidRDefault="002E631A" w:rsidP="00525E7D">
      <w:pPr>
        <w:tabs>
          <w:tab w:val="left" w:pos="360"/>
        </w:tabs>
        <w:ind w:left="360" w:hanging="360"/>
        <w:rPr>
          <w:szCs w:val="24"/>
        </w:rPr>
      </w:pPr>
      <w:r>
        <w:rPr>
          <w:szCs w:val="24"/>
        </w:rPr>
        <w:t>4</w:t>
      </w:r>
      <w:r w:rsidR="00D0351C">
        <w:rPr>
          <w:szCs w:val="24"/>
        </w:rPr>
        <w:t>)</w:t>
      </w:r>
      <w:r w:rsidR="000356A0">
        <w:rPr>
          <w:szCs w:val="24"/>
        </w:rPr>
        <w:t xml:space="preserve">  </w:t>
      </w:r>
      <w:r w:rsidR="002D2D41" w:rsidRPr="002D2D41">
        <w:rPr>
          <w:b/>
          <w:szCs w:val="24"/>
        </w:rPr>
        <w:t>Survey to identify items for CV checklist.</w:t>
      </w:r>
      <w:r w:rsidR="00D0351C">
        <w:rPr>
          <w:szCs w:val="24"/>
        </w:rPr>
        <w:t xml:space="preserve"> </w:t>
      </w:r>
      <w:r w:rsidR="00525E7D">
        <w:rPr>
          <w:szCs w:val="24"/>
        </w:rPr>
        <w:t xml:space="preserve">In order to identify items to put on the checklist, </w:t>
      </w:r>
      <w:r w:rsidR="00525E7D" w:rsidRPr="00C277B7">
        <w:rPr>
          <w:szCs w:val="24"/>
        </w:rPr>
        <w:t xml:space="preserve"> </w:t>
      </w:r>
      <w:r w:rsidR="00525E7D" w:rsidRPr="00525E7D">
        <w:rPr>
          <w:szCs w:val="24"/>
        </w:rPr>
        <w:t xml:space="preserve"> </w:t>
      </w:r>
      <w:r w:rsidR="00525E7D">
        <w:rPr>
          <w:szCs w:val="24"/>
        </w:rPr>
        <w:t xml:space="preserve">a survey </w:t>
      </w:r>
      <w:r w:rsidR="00525E7D" w:rsidRPr="00DA29DB">
        <w:rPr>
          <w:szCs w:val="24"/>
        </w:rPr>
        <w:t>will be</w:t>
      </w:r>
      <w:r w:rsidR="00525E7D">
        <w:rPr>
          <w:szCs w:val="24"/>
        </w:rPr>
        <w:t xml:space="preserve"> developed and sent to</w:t>
      </w:r>
      <w:r w:rsidR="00525E7D" w:rsidRPr="00DA29DB">
        <w:rPr>
          <w:szCs w:val="24"/>
        </w:rPr>
        <w:t xml:space="preserve"> </w:t>
      </w:r>
      <w:r w:rsidR="00840A56">
        <w:rPr>
          <w:szCs w:val="24"/>
        </w:rPr>
        <w:t xml:space="preserve">160 </w:t>
      </w:r>
      <w:r w:rsidR="00525E7D" w:rsidRPr="00DA29DB">
        <w:rPr>
          <w:szCs w:val="24"/>
        </w:rPr>
        <w:t xml:space="preserve">representative participants </w:t>
      </w:r>
      <w:r w:rsidR="00525E7D">
        <w:rPr>
          <w:szCs w:val="24"/>
        </w:rPr>
        <w:t>(</w:t>
      </w:r>
      <w:r w:rsidR="00E9283F" w:rsidRPr="00F22E0F">
        <w:rPr>
          <w:szCs w:val="24"/>
        </w:rPr>
        <w:t>4</w:t>
      </w:r>
      <w:r w:rsidR="00E9283F" w:rsidRPr="00ED1682">
        <w:rPr>
          <w:color w:val="000000"/>
          <w:szCs w:val="24"/>
        </w:rPr>
        <w:t>0 Physicians, 40 Registered Nurses, 20 Social Workers, 20 Health Educators,</w:t>
      </w:r>
      <w:r w:rsidR="00B91437" w:rsidRPr="00F22E0F">
        <w:rPr>
          <w:szCs w:val="24"/>
        </w:rPr>
        <w:t xml:space="preserve"> and </w:t>
      </w:r>
      <w:r w:rsidR="00840A56">
        <w:rPr>
          <w:szCs w:val="24"/>
        </w:rPr>
        <w:t>4</w:t>
      </w:r>
      <w:r w:rsidR="00B91437" w:rsidRPr="00F22E0F">
        <w:rPr>
          <w:szCs w:val="24"/>
        </w:rPr>
        <w:t xml:space="preserve">0 </w:t>
      </w:r>
      <w:r w:rsidR="00C03CF0" w:rsidRPr="00F22E0F">
        <w:rPr>
          <w:szCs w:val="24"/>
        </w:rPr>
        <w:t>P</w:t>
      </w:r>
      <w:r w:rsidR="00B91437" w:rsidRPr="00F22E0F">
        <w:rPr>
          <w:szCs w:val="24"/>
        </w:rPr>
        <w:t>atients</w:t>
      </w:r>
      <w:r w:rsidR="00B91437">
        <w:rPr>
          <w:szCs w:val="24"/>
        </w:rPr>
        <w:t>)</w:t>
      </w:r>
      <w:r w:rsidR="00525E7D">
        <w:rPr>
          <w:szCs w:val="24"/>
        </w:rPr>
        <w:t xml:space="preserve">.  </w:t>
      </w:r>
      <w:r w:rsidR="00935A07">
        <w:rPr>
          <w:szCs w:val="24"/>
        </w:rPr>
        <w:t xml:space="preserve">The CV checklist </w:t>
      </w:r>
      <w:r w:rsidR="00A773F6">
        <w:rPr>
          <w:szCs w:val="24"/>
        </w:rPr>
        <w:t xml:space="preserve">survey </w:t>
      </w:r>
      <w:r w:rsidR="00935A07">
        <w:rPr>
          <w:szCs w:val="24"/>
        </w:rPr>
        <w:t>is included in Attachment J.</w:t>
      </w:r>
    </w:p>
    <w:p w:rsidR="00E9283F" w:rsidRDefault="00633389" w:rsidP="00F41A22">
      <w:pPr>
        <w:tabs>
          <w:tab w:val="left" w:pos="360"/>
        </w:tabs>
        <w:ind w:left="360" w:hanging="360"/>
        <w:rPr>
          <w:szCs w:val="24"/>
        </w:rPr>
      </w:pPr>
      <w:r>
        <w:rPr>
          <w:szCs w:val="24"/>
        </w:rPr>
        <w:t xml:space="preserve"> </w:t>
      </w:r>
    </w:p>
    <w:p w:rsidR="00D0351C" w:rsidRPr="00F41A22" w:rsidRDefault="00A452EB" w:rsidP="0039714C">
      <w:pPr>
        <w:tabs>
          <w:tab w:val="left" w:pos="360"/>
        </w:tabs>
        <w:ind w:left="360"/>
        <w:rPr>
          <w:szCs w:val="24"/>
        </w:rPr>
      </w:pPr>
      <w:r w:rsidRPr="005030AC">
        <w:rPr>
          <w:szCs w:val="24"/>
        </w:rPr>
        <w:t>O</w:t>
      </w:r>
      <w:r w:rsidRPr="00DA29DB">
        <w:rPr>
          <w:szCs w:val="24"/>
        </w:rPr>
        <w:t xml:space="preserve">nce the survey responses have been collected, responses will be analyzed to help inform the development of the </w:t>
      </w:r>
      <w:r>
        <w:rPr>
          <w:szCs w:val="24"/>
        </w:rPr>
        <w:t>CV</w:t>
      </w:r>
      <w:r w:rsidRPr="00DA29DB">
        <w:rPr>
          <w:szCs w:val="24"/>
        </w:rPr>
        <w:t xml:space="preserve"> checklist.</w:t>
      </w:r>
      <w:r w:rsidR="007D163F" w:rsidRPr="007D163F">
        <w:rPr>
          <w:szCs w:val="24"/>
        </w:rPr>
        <w:t xml:space="preserve"> </w:t>
      </w:r>
      <w:r w:rsidR="007D163F">
        <w:rPr>
          <w:szCs w:val="24"/>
        </w:rPr>
        <w:t xml:space="preserve"> </w:t>
      </w:r>
      <w:r w:rsidR="00D42666">
        <w:rPr>
          <w:szCs w:val="24"/>
        </w:rPr>
        <w:t xml:space="preserve">Checklist items will be chosen </w:t>
      </w:r>
      <w:r w:rsidR="007D163F" w:rsidRPr="00DA29DB">
        <w:rPr>
          <w:szCs w:val="24"/>
        </w:rPr>
        <w:t xml:space="preserve">based on what is learned. For example, if clinicians strongly believe that it is inappropriate to discuss costs and value with patients, the checklist may require different </w:t>
      </w:r>
      <w:r w:rsidR="00D42666">
        <w:rPr>
          <w:szCs w:val="24"/>
        </w:rPr>
        <w:t>items</w:t>
      </w:r>
      <w:r w:rsidR="007D163F" w:rsidRPr="00DA29DB">
        <w:rPr>
          <w:szCs w:val="24"/>
        </w:rPr>
        <w:t xml:space="preserve"> than if clinicians recognize the importance of such conversations but believe they lack required information to facilitate them.</w:t>
      </w:r>
      <w:r w:rsidR="00CE789E">
        <w:rPr>
          <w:szCs w:val="24"/>
        </w:rPr>
        <w:t xml:space="preserve"> </w:t>
      </w:r>
    </w:p>
    <w:p w:rsidR="00C53C31" w:rsidRDefault="00C53C31" w:rsidP="00700B91">
      <w:pPr>
        <w:pStyle w:val="ListParagraph"/>
        <w:tabs>
          <w:tab w:val="left" w:pos="360"/>
        </w:tabs>
        <w:rPr>
          <w:szCs w:val="24"/>
        </w:rPr>
      </w:pPr>
    </w:p>
    <w:p w:rsidR="00D42666" w:rsidRDefault="002E631A" w:rsidP="0004408D">
      <w:pPr>
        <w:ind w:left="360" w:hanging="360"/>
        <w:rPr>
          <w:szCs w:val="24"/>
        </w:rPr>
      </w:pPr>
      <w:r>
        <w:rPr>
          <w:b/>
        </w:rPr>
        <w:t xml:space="preserve">5) </w:t>
      </w:r>
      <w:r>
        <w:rPr>
          <w:b/>
        </w:rPr>
        <w:tab/>
      </w:r>
      <w:r w:rsidR="00D42666" w:rsidRPr="00AD3C46">
        <w:rPr>
          <w:b/>
        </w:rPr>
        <w:t>Cognitive Interviews</w:t>
      </w:r>
      <w:r w:rsidR="00BA47A9">
        <w:rPr>
          <w:b/>
        </w:rPr>
        <w:t xml:space="preserve"> for the CV checklist</w:t>
      </w:r>
      <w:r w:rsidR="00D42666">
        <w:t>.</w:t>
      </w:r>
      <w:r w:rsidR="00666F8E">
        <w:t xml:space="preserve"> </w:t>
      </w:r>
      <w:r w:rsidR="00270F83">
        <w:t xml:space="preserve">Once checklist items have been identified, </w:t>
      </w:r>
      <w:r w:rsidR="00666F8E" w:rsidRPr="00E16D18">
        <w:rPr>
          <w:szCs w:val="24"/>
        </w:rPr>
        <w:t xml:space="preserve">cognitive interviews will be conducted </w:t>
      </w:r>
      <w:r w:rsidR="002D06DF">
        <w:rPr>
          <w:szCs w:val="24"/>
        </w:rPr>
        <w:t xml:space="preserve">with 9 </w:t>
      </w:r>
      <w:r w:rsidR="00631DFD">
        <w:rPr>
          <w:szCs w:val="24"/>
        </w:rPr>
        <w:t>respondents</w:t>
      </w:r>
      <w:r w:rsidR="002D06DF">
        <w:rPr>
          <w:szCs w:val="24"/>
        </w:rPr>
        <w:t xml:space="preserve"> in hospitals and 9 </w:t>
      </w:r>
      <w:r w:rsidR="00631DFD">
        <w:rPr>
          <w:szCs w:val="24"/>
        </w:rPr>
        <w:t>respondents</w:t>
      </w:r>
      <w:r w:rsidR="002D06DF">
        <w:rPr>
          <w:szCs w:val="24"/>
        </w:rPr>
        <w:t xml:space="preserve"> in medical offices </w:t>
      </w:r>
      <w:r w:rsidR="00666F8E" w:rsidRPr="00E16D18">
        <w:rPr>
          <w:szCs w:val="24"/>
        </w:rPr>
        <w:t xml:space="preserve">to understand the cognitive processes the respondent engages in when </w:t>
      </w:r>
      <w:r>
        <w:rPr>
          <w:szCs w:val="24"/>
        </w:rPr>
        <w:t xml:space="preserve">using the </w:t>
      </w:r>
      <w:r w:rsidR="00D128E3">
        <w:rPr>
          <w:szCs w:val="24"/>
        </w:rPr>
        <w:t xml:space="preserve">CV </w:t>
      </w:r>
      <w:r>
        <w:rPr>
          <w:szCs w:val="24"/>
        </w:rPr>
        <w:t>checklist</w:t>
      </w:r>
      <w:r w:rsidR="00666F8E" w:rsidRPr="00E16D18">
        <w:rPr>
          <w:szCs w:val="24"/>
        </w:rPr>
        <w:t xml:space="preserve">. </w:t>
      </w:r>
      <w:r w:rsidR="0004408D">
        <w:rPr>
          <w:szCs w:val="24"/>
        </w:rPr>
        <w:t>C</w:t>
      </w:r>
      <w:r w:rsidR="0004408D" w:rsidRPr="00E16D18">
        <w:rPr>
          <w:szCs w:val="24"/>
        </w:rPr>
        <w:t xml:space="preserve">ognitive interviewing will allow </w:t>
      </w:r>
      <w:r w:rsidR="0004408D">
        <w:rPr>
          <w:szCs w:val="24"/>
        </w:rPr>
        <w:t>checklist</w:t>
      </w:r>
      <w:r w:rsidR="0004408D" w:rsidRPr="00E16D18">
        <w:rPr>
          <w:szCs w:val="24"/>
        </w:rPr>
        <w:t xml:space="preserve"> developers to identify and classify difficulties respondents may have </w:t>
      </w:r>
      <w:r w:rsidR="0004408D">
        <w:rPr>
          <w:szCs w:val="24"/>
        </w:rPr>
        <w:t>regarding</w:t>
      </w:r>
      <w:r w:rsidR="0004408D" w:rsidRPr="00E16D18">
        <w:rPr>
          <w:szCs w:val="24"/>
        </w:rPr>
        <w:t xml:space="preserve"> </w:t>
      </w:r>
      <w:r w:rsidR="0004408D">
        <w:rPr>
          <w:szCs w:val="24"/>
        </w:rPr>
        <w:t>checklist items</w:t>
      </w:r>
      <w:r w:rsidR="0004408D" w:rsidRPr="00E16D18">
        <w:rPr>
          <w:szCs w:val="24"/>
        </w:rPr>
        <w:t xml:space="preserve">. To get different </w:t>
      </w:r>
      <w:r w:rsidR="0004408D" w:rsidRPr="00E16D18">
        <w:rPr>
          <w:szCs w:val="24"/>
        </w:rPr>
        <w:lastRenderedPageBreak/>
        <w:t>perspectives</w:t>
      </w:r>
      <w:r w:rsidR="0004408D">
        <w:rPr>
          <w:szCs w:val="24"/>
        </w:rPr>
        <w:t>,</w:t>
      </w:r>
      <w:r w:rsidR="0004408D" w:rsidRPr="00E16D18">
        <w:rPr>
          <w:szCs w:val="24"/>
        </w:rPr>
        <w:t xml:space="preserve"> interviews will be conducted with </w:t>
      </w:r>
      <w:r w:rsidR="002D06DF">
        <w:rPr>
          <w:szCs w:val="24"/>
        </w:rPr>
        <w:t xml:space="preserve">a mix </w:t>
      </w:r>
      <w:r w:rsidR="002D06DF" w:rsidRPr="002D06DF">
        <w:rPr>
          <w:szCs w:val="24"/>
        </w:rPr>
        <w:t xml:space="preserve">of </w:t>
      </w:r>
      <w:r w:rsidR="0004408D" w:rsidRPr="002D06DF">
        <w:rPr>
          <w:szCs w:val="24"/>
        </w:rPr>
        <w:t>physicians, nurses, social worker</w:t>
      </w:r>
      <w:r w:rsidR="002D06DF" w:rsidRPr="002D06DF">
        <w:rPr>
          <w:szCs w:val="24"/>
        </w:rPr>
        <w:t>s</w:t>
      </w:r>
      <w:r w:rsidR="0004408D" w:rsidRPr="002D06DF">
        <w:rPr>
          <w:szCs w:val="24"/>
        </w:rPr>
        <w:t>,</w:t>
      </w:r>
      <w:r w:rsidR="00C03CF0" w:rsidRPr="002D06DF">
        <w:rPr>
          <w:szCs w:val="24"/>
        </w:rPr>
        <w:t xml:space="preserve"> health educator</w:t>
      </w:r>
      <w:r w:rsidR="002D06DF" w:rsidRPr="002D06DF">
        <w:rPr>
          <w:szCs w:val="24"/>
        </w:rPr>
        <w:t>s</w:t>
      </w:r>
      <w:r w:rsidR="00C03CF0" w:rsidRPr="002D06DF">
        <w:rPr>
          <w:szCs w:val="24"/>
        </w:rPr>
        <w:t>,</w:t>
      </w:r>
      <w:r w:rsidR="0004408D" w:rsidRPr="002D06DF">
        <w:rPr>
          <w:szCs w:val="24"/>
        </w:rPr>
        <w:t xml:space="preserve"> and patient</w:t>
      </w:r>
      <w:r w:rsidR="00641753" w:rsidRPr="002D06DF">
        <w:rPr>
          <w:szCs w:val="24"/>
        </w:rPr>
        <w:t>s</w:t>
      </w:r>
      <w:r w:rsidR="002D06DF" w:rsidRPr="002D06DF">
        <w:rPr>
          <w:szCs w:val="24"/>
        </w:rPr>
        <w:t xml:space="preserve"> </w:t>
      </w:r>
      <w:r w:rsidR="0004408D" w:rsidRPr="002D06DF">
        <w:rPr>
          <w:szCs w:val="24"/>
        </w:rPr>
        <w:t>in hospital</w:t>
      </w:r>
      <w:r w:rsidR="002D06DF" w:rsidRPr="002D06DF">
        <w:rPr>
          <w:szCs w:val="24"/>
        </w:rPr>
        <w:t>s</w:t>
      </w:r>
      <w:r w:rsidR="0004408D" w:rsidRPr="002D06DF">
        <w:rPr>
          <w:szCs w:val="24"/>
        </w:rPr>
        <w:t xml:space="preserve"> and medical office</w:t>
      </w:r>
      <w:r w:rsidR="002D06DF" w:rsidRPr="002D06DF">
        <w:rPr>
          <w:szCs w:val="24"/>
        </w:rPr>
        <w:t xml:space="preserve">s. </w:t>
      </w:r>
      <w:r w:rsidR="00035763" w:rsidRPr="002D06DF">
        <w:rPr>
          <w:szCs w:val="24"/>
        </w:rPr>
        <w:t>The</w:t>
      </w:r>
      <w:r w:rsidR="00035763">
        <w:rPr>
          <w:szCs w:val="24"/>
        </w:rPr>
        <w:t xml:space="preserve"> cognitive interview guide </w:t>
      </w:r>
      <w:r w:rsidR="008D0767">
        <w:rPr>
          <w:szCs w:val="24"/>
        </w:rPr>
        <w:t>is</w:t>
      </w:r>
      <w:r w:rsidR="00035763">
        <w:rPr>
          <w:szCs w:val="24"/>
        </w:rPr>
        <w:t xml:space="preserve"> included in Attachment </w:t>
      </w:r>
      <w:r w:rsidR="00935A07">
        <w:rPr>
          <w:szCs w:val="24"/>
        </w:rPr>
        <w:t>K</w:t>
      </w:r>
      <w:r w:rsidR="00035763">
        <w:rPr>
          <w:szCs w:val="24"/>
        </w:rPr>
        <w:t xml:space="preserve">.   </w:t>
      </w:r>
    </w:p>
    <w:p w:rsidR="0004408D" w:rsidRDefault="0004408D" w:rsidP="0004408D">
      <w:pPr>
        <w:ind w:left="360" w:hanging="360"/>
        <w:rPr>
          <w:szCs w:val="24"/>
        </w:rPr>
      </w:pPr>
    </w:p>
    <w:p w:rsidR="004842E8" w:rsidRDefault="000A7C8D" w:rsidP="004842E8">
      <w:pPr>
        <w:pStyle w:val="NormalWeb"/>
        <w:tabs>
          <w:tab w:val="left" w:pos="360"/>
        </w:tabs>
        <w:spacing w:before="0" w:beforeAutospacing="0" w:after="0" w:afterAutospacing="0" w:line="270" w:lineRule="atLeast"/>
        <w:ind w:left="360" w:hanging="360"/>
        <w:rPr>
          <w:rFonts w:ascii="Segoe UI" w:hAnsi="Segoe UI" w:cs="Segoe UI"/>
          <w:color w:val="000000"/>
          <w:sz w:val="20"/>
          <w:szCs w:val="20"/>
        </w:rPr>
      </w:pPr>
      <w:r>
        <w:t>6)</w:t>
      </w:r>
      <w:r w:rsidRPr="004842E8">
        <w:rPr>
          <w:b/>
        </w:rPr>
        <w:tab/>
      </w:r>
      <w:r w:rsidR="00B91437" w:rsidRPr="004842E8">
        <w:rPr>
          <w:b/>
        </w:rPr>
        <w:t>P</w:t>
      </w:r>
      <w:r w:rsidR="0039714C">
        <w:rPr>
          <w:b/>
        </w:rPr>
        <w:t>re</w:t>
      </w:r>
      <w:r w:rsidR="00B91437" w:rsidRPr="004842E8">
        <w:rPr>
          <w:b/>
        </w:rPr>
        <w:t>test the CV checklist.</w:t>
      </w:r>
      <w:r w:rsidR="00B91437">
        <w:t xml:space="preserve">  </w:t>
      </w:r>
      <w:r w:rsidR="002E631A">
        <w:t>The</w:t>
      </w:r>
      <w:r w:rsidR="00B91437">
        <w:t xml:space="preserve"> </w:t>
      </w:r>
      <w:r w:rsidR="00825E0A">
        <w:t xml:space="preserve">draft CV </w:t>
      </w:r>
      <w:r w:rsidR="00B91437">
        <w:t xml:space="preserve">checklist </w:t>
      </w:r>
      <w:r w:rsidR="00825E0A">
        <w:t xml:space="preserve">(Attachment L) </w:t>
      </w:r>
      <w:r w:rsidR="00B91437">
        <w:t xml:space="preserve">will then be </w:t>
      </w:r>
      <w:r w:rsidR="00C20EF3">
        <w:t>pre</w:t>
      </w:r>
      <w:r w:rsidR="00B91437">
        <w:t xml:space="preserve">tested </w:t>
      </w:r>
      <w:r w:rsidR="004842E8">
        <w:t xml:space="preserve">to solicit feedback from </w:t>
      </w:r>
      <w:r w:rsidR="002D06DF">
        <w:t>50 physicians</w:t>
      </w:r>
      <w:r w:rsidR="00B91437">
        <w:t xml:space="preserve"> </w:t>
      </w:r>
      <w:r w:rsidR="00631DFD">
        <w:t xml:space="preserve">in hospitals and 50 physicians in medical offices. </w:t>
      </w:r>
      <w:r w:rsidR="004842E8" w:rsidRPr="00DE6C50">
        <w:rPr>
          <w:color w:val="000000"/>
        </w:rPr>
        <w:t xml:space="preserve">The pilot testing process will </w:t>
      </w:r>
      <w:r w:rsidR="00825E0A">
        <w:rPr>
          <w:color w:val="000000"/>
        </w:rPr>
        <w:t xml:space="preserve">involve completion of a CV checklist evaluation (Attachment M) </w:t>
      </w:r>
      <w:r w:rsidR="00146EB3">
        <w:rPr>
          <w:color w:val="000000"/>
        </w:rPr>
        <w:t xml:space="preserve">to </w:t>
      </w:r>
      <w:r w:rsidR="004842E8" w:rsidRPr="00DE6C50">
        <w:rPr>
          <w:color w:val="000000"/>
        </w:rPr>
        <w:t>help identify areas where user</w:t>
      </w:r>
      <w:r w:rsidR="004278D8">
        <w:rPr>
          <w:color w:val="000000"/>
        </w:rPr>
        <w:t>s</w:t>
      </w:r>
      <w:r w:rsidR="004842E8" w:rsidRPr="00DE6C50">
        <w:rPr>
          <w:color w:val="000000"/>
        </w:rPr>
        <w:t xml:space="preserve"> of the checklist have trouble understanding, learning, and using the checklist. It also provides the opportunity to identify issues that can prevent successful deployment of the checklist.</w:t>
      </w:r>
    </w:p>
    <w:p w:rsidR="002E631A" w:rsidRPr="00D97812" w:rsidRDefault="002E631A" w:rsidP="00B91437">
      <w:pPr>
        <w:pStyle w:val="ListParagraph"/>
        <w:tabs>
          <w:tab w:val="left" w:pos="360"/>
          <w:tab w:val="left" w:pos="540"/>
        </w:tabs>
        <w:ind w:left="360" w:hanging="360"/>
        <w:rPr>
          <w:szCs w:val="24"/>
        </w:rPr>
      </w:pPr>
    </w:p>
    <w:p w:rsidR="00BC4EC9" w:rsidRPr="007F0ED5" w:rsidRDefault="004D7D10" w:rsidP="00BC4EC9">
      <w:pPr>
        <w:tabs>
          <w:tab w:val="left" w:pos="360"/>
        </w:tabs>
        <w:ind w:left="360" w:hanging="360"/>
        <w:rPr>
          <w:szCs w:val="24"/>
        </w:rPr>
      </w:pPr>
      <w:r>
        <w:rPr>
          <w:szCs w:val="24"/>
        </w:rPr>
        <w:t>7</w:t>
      </w:r>
      <w:r w:rsidR="00BC4EC9" w:rsidRPr="007F0ED5">
        <w:rPr>
          <w:szCs w:val="24"/>
        </w:rPr>
        <w:t>)</w:t>
      </w:r>
      <w:r w:rsidR="00BC4EC9" w:rsidRPr="007F0ED5">
        <w:rPr>
          <w:szCs w:val="24"/>
        </w:rPr>
        <w:tab/>
      </w:r>
      <w:r w:rsidR="00B20101" w:rsidRPr="0039714C">
        <w:rPr>
          <w:b/>
          <w:szCs w:val="24"/>
        </w:rPr>
        <w:t>Dissemination activities.</w:t>
      </w:r>
      <w:r w:rsidR="00BC4EC9" w:rsidRPr="007F0ED5">
        <w:rPr>
          <w:szCs w:val="24"/>
        </w:rPr>
        <w:t xml:space="preserve"> </w:t>
      </w:r>
      <w:r w:rsidR="00D0351C">
        <w:rPr>
          <w:szCs w:val="24"/>
        </w:rPr>
        <w:t xml:space="preserve"> </w:t>
      </w:r>
      <w:r w:rsidR="001E67A3">
        <w:rPr>
          <w:szCs w:val="24"/>
        </w:rPr>
        <w:t>The final VE S</w:t>
      </w:r>
      <w:r w:rsidR="009D245D">
        <w:rPr>
          <w:szCs w:val="24"/>
        </w:rPr>
        <w:t>urvey</w:t>
      </w:r>
      <w:r w:rsidR="007F0ED5" w:rsidRPr="007F0ED5">
        <w:rPr>
          <w:szCs w:val="24"/>
        </w:rPr>
        <w:t>s</w:t>
      </w:r>
      <w:r w:rsidR="00BC4EC9" w:rsidRPr="007F0ED5">
        <w:rPr>
          <w:szCs w:val="24"/>
        </w:rPr>
        <w:t xml:space="preserve"> </w:t>
      </w:r>
      <w:r w:rsidR="00C53C31">
        <w:rPr>
          <w:szCs w:val="24"/>
        </w:rPr>
        <w:t xml:space="preserve">and </w:t>
      </w:r>
      <w:r w:rsidR="001E67A3">
        <w:rPr>
          <w:szCs w:val="24"/>
        </w:rPr>
        <w:t>CV c</w:t>
      </w:r>
      <w:r w:rsidR="00C53C31">
        <w:rPr>
          <w:szCs w:val="24"/>
        </w:rPr>
        <w:t xml:space="preserve">hecklist </w:t>
      </w:r>
      <w:r w:rsidR="00BC4EC9" w:rsidRPr="007F0ED5">
        <w:rPr>
          <w:szCs w:val="24"/>
        </w:rPr>
        <w:t xml:space="preserve">will be made available </w:t>
      </w:r>
      <w:r w:rsidR="00F471A7">
        <w:rPr>
          <w:szCs w:val="24"/>
        </w:rPr>
        <w:t>to</w:t>
      </w:r>
      <w:r w:rsidR="00BC4EC9" w:rsidRPr="007F0ED5">
        <w:rPr>
          <w:szCs w:val="24"/>
        </w:rPr>
        <w:t xml:space="preserve"> the public through the AHRQ website.  This activity does not impose a burden on the public and is therefore not included in the burden estimates in Section 12.</w:t>
      </w:r>
    </w:p>
    <w:p w:rsidR="0039414F" w:rsidRDefault="0039414F" w:rsidP="00BC4EC9">
      <w:pPr>
        <w:rPr>
          <w:szCs w:val="24"/>
        </w:rPr>
      </w:pPr>
    </w:p>
    <w:p w:rsidR="00BC4EC9" w:rsidRPr="007F0ED5" w:rsidRDefault="00BC4EC9" w:rsidP="00BC4EC9">
      <w:pPr>
        <w:rPr>
          <w:szCs w:val="24"/>
        </w:rPr>
      </w:pPr>
      <w:r w:rsidRPr="007131E7">
        <w:rPr>
          <w:szCs w:val="24"/>
        </w:rPr>
        <w:t xml:space="preserve">This study is being conducted by AHRQ through its contractor, </w:t>
      </w:r>
      <w:r w:rsidR="007F0ED5" w:rsidRPr="007131E7">
        <w:rPr>
          <w:szCs w:val="24"/>
        </w:rPr>
        <w:t xml:space="preserve">Health Research &amp; Educational Trust (HRET), and subcontractor, </w:t>
      </w:r>
      <w:r w:rsidRPr="007131E7">
        <w:rPr>
          <w:szCs w:val="24"/>
        </w:rPr>
        <w:t>Westat, pursuant</w:t>
      </w:r>
      <w:r w:rsidRPr="007F0ED5">
        <w:rPr>
          <w:szCs w:val="24"/>
        </w:rPr>
        <w:t xml:space="preserve"> to AHRQ’s statutory authority to conduct and support research on healthcare and on systems for the delivery of such care, including activities with respect to the quality, effectiveness, efficiency, appropriateness and value of healthcare services </w:t>
      </w:r>
      <w:r w:rsidRPr="00FF496B">
        <w:rPr>
          <w:szCs w:val="24"/>
        </w:rPr>
        <w:t xml:space="preserve">and with respect to quality measurement and improvement.  42 U.S.C. </w:t>
      </w:r>
      <w:proofErr w:type="gramStart"/>
      <w:r w:rsidRPr="00FF496B">
        <w:rPr>
          <w:szCs w:val="24"/>
        </w:rPr>
        <w:t>299a(</w:t>
      </w:r>
      <w:proofErr w:type="gramEnd"/>
      <w:r w:rsidRPr="00FF496B">
        <w:rPr>
          <w:szCs w:val="24"/>
        </w:rPr>
        <w:t>a)(1) and (2).</w:t>
      </w:r>
    </w:p>
    <w:p w:rsidR="00BC4EC9" w:rsidRPr="00BC4EC9" w:rsidRDefault="00BC4EC9" w:rsidP="00BC4EC9">
      <w:pPr>
        <w:rPr>
          <w:szCs w:val="24"/>
          <w:highlight w:val="yellow"/>
        </w:rPr>
      </w:pPr>
    </w:p>
    <w:p w:rsidR="00BC4EC9" w:rsidRPr="00937E29" w:rsidRDefault="00BC4EC9" w:rsidP="00BC4EC9">
      <w:pPr>
        <w:pStyle w:val="Heading2"/>
        <w:rPr>
          <w:color w:val="auto"/>
          <w:sz w:val="24"/>
          <w:szCs w:val="24"/>
        </w:rPr>
      </w:pPr>
      <w:bookmarkStart w:id="3" w:name="_Toc340836928"/>
      <w:r w:rsidRPr="00937E29">
        <w:rPr>
          <w:color w:val="auto"/>
          <w:sz w:val="24"/>
          <w:szCs w:val="24"/>
        </w:rPr>
        <w:t xml:space="preserve">2.  </w:t>
      </w:r>
      <w:r w:rsidRPr="00937E29">
        <w:rPr>
          <w:color w:val="auto"/>
          <w:sz w:val="24"/>
          <w:szCs w:val="24"/>
          <w:u w:val="single"/>
        </w:rPr>
        <w:t>How, by Whom, and for What Purpose Information Will Be Used</w:t>
      </w:r>
      <w:bookmarkEnd w:id="3"/>
    </w:p>
    <w:p w:rsidR="00BC4EC9" w:rsidRPr="00937E29" w:rsidRDefault="00BC4EC9" w:rsidP="00BC4EC9">
      <w:pPr>
        <w:rPr>
          <w:szCs w:val="24"/>
        </w:rPr>
      </w:pPr>
    </w:p>
    <w:p w:rsidR="00E21140" w:rsidRDefault="00BC4EC9" w:rsidP="00BC4EC9">
      <w:pPr>
        <w:rPr>
          <w:szCs w:val="24"/>
        </w:rPr>
      </w:pPr>
      <w:r w:rsidRPr="00937E29">
        <w:rPr>
          <w:szCs w:val="24"/>
        </w:rPr>
        <w:t xml:space="preserve">The information collected will be used to test and improve the draft survey items in the </w:t>
      </w:r>
      <w:r w:rsidR="00C32F8F">
        <w:rPr>
          <w:szCs w:val="24"/>
        </w:rPr>
        <w:t>VE</w:t>
      </w:r>
      <w:r w:rsidR="00557A75">
        <w:rPr>
          <w:szCs w:val="24"/>
        </w:rPr>
        <w:t xml:space="preserve"> </w:t>
      </w:r>
      <w:r w:rsidR="009D245D">
        <w:rPr>
          <w:szCs w:val="24"/>
        </w:rPr>
        <w:t>Survey</w:t>
      </w:r>
      <w:r w:rsidR="00937E29" w:rsidRPr="00937E29">
        <w:rPr>
          <w:szCs w:val="24"/>
        </w:rPr>
        <w:t>s</w:t>
      </w:r>
      <w:r w:rsidRPr="00937E29">
        <w:rPr>
          <w:szCs w:val="24"/>
        </w:rPr>
        <w:t xml:space="preserve"> </w:t>
      </w:r>
      <w:r w:rsidR="00C53C31">
        <w:rPr>
          <w:szCs w:val="24"/>
        </w:rPr>
        <w:t>and CV checklist</w:t>
      </w:r>
      <w:r w:rsidRPr="00937E29">
        <w:rPr>
          <w:szCs w:val="24"/>
        </w:rPr>
        <w:t xml:space="preserve">. </w:t>
      </w:r>
    </w:p>
    <w:p w:rsidR="00E21140" w:rsidRDefault="00E21140" w:rsidP="00BC4EC9">
      <w:pPr>
        <w:rPr>
          <w:szCs w:val="24"/>
        </w:rPr>
      </w:pPr>
    </w:p>
    <w:p w:rsidR="00BC4EC9" w:rsidRDefault="00BC4EC9" w:rsidP="004E7E42">
      <w:pPr>
        <w:rPr>
          <w:szCs w:val="24"/>
        </w:rPr>
      </w:pPr>
      <w:r w:rsidRPr="00937E29">
        <w:rPr>
          <w:szCs w:val="24"/>
        </w:rPr>
        <w:t xml:space="preserve">The final </w:t>
      </w:r>
      <w:r w:rsidR="00C32F8F">
        <w:rPr>
          <w:szCs w:val="24"/>
        </w:rPr>
        <w:t xml:space="preserve">VE </w:t>
      </w:r>
      <w:r w:rsidRPr="00937E29">
        <w:rPr>
          <w:szCs w:val="24"/>
        </w:rPr>
        <w:t>instrument</w:t>
      </w:r>
      <w:r w:rsidR="00937E29" w:rsidRPr="00937E29">
        <w:rPr>
          <w:szCs w:val="24"/>
        </w:rPr>
        <w:t>s</w:t>
      </w:r>
      <w:r w:rsidRPr="00937E29">
        <w:rPr>
          <w:szCs w:val="24"/>
        </w:rPr>
        <w:t xml:space="preserve"> will be made available to the public for use in </w:t>
      </w:r>
      <w:r w:rsidR="00937E29" w:rsidRPr="00937E29">
        <w:rPr>
          <w:szCs w:val="24"/>
        </w:rPr>
        <w:t>hospitals and medical offices</w:t>
      </w:r>
      <w:r w:rsidRPr="00937E29">
        <w:rPr>
          <w:szCs w:val="24"/>
        </w:rPr>
        <w:t xml:space="preserve"> to assess </w:t>
      </w:r>
      <w:r w:rsidR="00937E29" w:rsidRPr="00FF496B">
        <w:rPr>
          <w:szCs w:val="24"/>
        </w:rPr>
        <w:t>value and efficiency</w:t>
      </w:r>
      <w:r w:rsidRPr="00FF496B">
        <w:rPr>
          <w:szCs w:val="24"/>
        </w:rPr>
        <w:t xml:space="preserve"> from the perspectives of their staff.  The survey can be used by </w:t>
      </w:r>
      <w:r w:rsidR="00937E29" w:rsidRPr="00FF496B">
        <w:rPr>
          <w:szCs w:val="24"/>
        </w:rPr>
        <w:t>hospitals and medical offices</w:t>
      </w:r>
      <w:r w:rsidRPr="00FF496B">
        <w:rPr>
          <w:szCs w:val="24"/>
        </w:rPr>
        <w:t xml:space="preserve"> to identify areas for improvement. Researchers are also likely to use the survey</w:t>
      </w:r>
      <w:r w:rsidR="00937E29" w:rsidRPr="00FF496B">
        <w:rPr>
          <w:szCs w:val="24"/>
        </w:rPr>
        <w:t>s to assess the impact of hospitals’ and medical offices’</w:t>
      </w:r>
      <w:r w:rsidRPr="00FF496B">
        <w:rPr>
          <w:szCs w:val="24"/>
        </w:rPr>
        <w:t xml:space="preserve"> </w:t>
      </w:r>
      <w:r w:rsidR="00FF496B" w:rsidRPr="00FF496B">
        <w:rPr>
          <w:szCs w:val="24"/>
        </w:rPr>
        <w:t xml:space="preserve">value and efficiency </w:t>
      </w:r>
      <w:r w:rsidRPr="00FF496B">
        <w:rPr>
          <w:szCs w:val="24"/>
        </w:rPr>
        <w:t xml:space="preserve">improvement initiatives. </w:t>
      </w:r>
    </w:p>
    <w:p w:rsidR="00A33F0D" w:rsidRDefault="00A33F0D" w:rsidP="00BC4EC9">
      <w:pPr>
        <w:rPr>
          <w:szCs w:val="24"/>
        </w:rPr>
      </w:pPr>
    </w:p>
    <w:p w:rsidR="001E67A3" w:rsidRDefault="001E67A3" w:rsidP="00BC4EC9">
      <w:pPr>
        <w:rPr>
          <w:szCs w:val="24"/>
        </w:rPr>
      </w:pPr>
      <w:r>
        <w:rPr>
          <w:szCs w:val="24"/>
        </w:rPr>
        <w:t xml:space="preserve">The final CV checklist will be made available to hospital and medical office clinicians to aid </w:t>
      </w:r>
      <w:r w:rsidRPr="00031578">
        <w:rPr>
          <w:szCs w:val="24"/>
        </w:rPr>
        <w:t>in having conversations with patients about value.</w:t>
      </w:r>
    </w:p>
    <w:p w:rsidR="00BC4EC9" w:rsidRPr="00937E29" w:rsidRDefault="00BC4EC9" w:rsidP="00BC4EC9">
      <w:pPr>
        <w:pStyle w:val="Heading2"/>
        <w:rPr>
          <w:color w:val="auto"/>
          <w:sz w:val="24"/>
          <w:szCs w:val="24"/>
        </w:rPr>
      </w:pPr>
      <w:bookmarkStart w:id="4" w:name="_Toc340836929"/>
      <w:r w:rsidRPr="00937E29">
        <w:rPr>
          <w:color w:val="auto"/>
          <w:sz w:val="24"/>
          <w:szCs w:val="24"/>
        </w:rPr>
        <w:t xml:space="preserve">3.  </w:t>
      </w:r>
      <w:r w:rsidRPr="00937E29">
        <w:rPr>
          <w:color w:val="auto"/>
          <w:sz w:val="24"/>
          <w:szCs w:val="24"/>
          <w:u w:val="single"/>
        </w:rPr>
        <w:t>Use of Improved Information Technology</w:t>
      </w:r>
      <w:bookmarkEnd w:id="4"/>
    </w:p>
    <w:p w:rsidR="00BC4EC9" w:rsidRPr="00937E29" w:rsidRDefault="00BC4EC9" w:rsidP="00BC4EC9">
      <w:pPr>
        <w:rPr>
          <w:szCs w:val="24"/>
        </w:rPr>
      </w:pPr>
    </w:p>
    <w:p w:rsidR="005030AC" w:rsidRDefault="00BC4EC9" w:rsidP="00A14A2B">
      <w:pPr>
        <w:rPr>
          <w:szCs w:val="24"/>
        </w:rPr>
      </w:pPr>
      <w:r w:rsidRPr="004A6AB8">
        <w:rPr>
          <w:szCs w:val="24"/>
        </w:rPr>
        <w:t xml:space="preserve">Data collection will not involve the </w:t>
      </w:r>
      <w:r w:rsidR="004E7E42">
        <w:rPr>
          <w:szCs w:val="24"/>
        </w:rPr>
        <w:t xml:space="preserve">use of information technology.  </w:t>
      </w:r>
      <w:r w:rsidR="0091657D">
        <w:rPr>
          <w:szCs w:val="24"/>
        </w:rPr>
        <w:t>T</w:t>
      </w:r>
      <w:r w:rsidR="00A14A2B">
        <w:rPr>
          <w:szCs w:val="24"/>
        </w:rPr>
        <w:t xml:space="preserve">he </w:t>
      </w:r>
      <w:r w:rsidR="001E67A3">
        <w:rPr>
          <w:szCs w:val="24"/>
        </w:rPr>
        <w:t>pretests are</w:t>
      </w:r>
      <w:r w:rsidRPr="00543875">
        <w:rPr>
          <w:szCs w:val="24"/>
        </w:rPr>
        <w:t xml:space="preserve"> designed to use </w:t>
      </w:r>
      <w:proofErr w:type="gramStart"/>
      <w:r w:rsidRPr="00543875">
        <w:rPr>
          <w:szCs w:val="24"/>
        </w:rPr>
        <w:t xml:space="preserve">a paper </w:t>
      </w:r>
      <w:r w:rsidR="00A14A2B">
        <w:rPr>
          <w:szCs w:val="24"/>
        </w:rPr>
        <w:t>data collection</w:t>
      </w:r>
      <w:r w:rsidRPr="00543875">
        <w:rPr>
          <w:szCs w:val="24"/>
        </w:rPr>
        <w:t xml:space="preserve"> mode</w:t>
      </w:r>
      <w:r w:rsidR="001E67A3">
        <w:rPr>
          <w:szCs w:val="24"/>
        </w:rPr>
        <w:t>s</w:t>
      </w:r>
      <w:proofErr w:type="gramEnd"/>
      <w:r w:rsidRPr="00543875">
        <w:rPr>
          <w:szCs w:val="24"/>
        </w:rPr>
        <w:t xml:space="preserve"> because </w:t>
      </w:r>
      <w:r w:rsidR="00937E29" w:rsidRPr="00543875">
        <w:rPr>
          <w:szCs w:val="24"/>
        </w:rPr>
        <w:t xml:space="preserve">staff in </w:t>
      </w:r>
      <w:r w:rsidR="00543875" w:rsidRPr="00543875">
        <w:rPr>
          <w:szCs w:val="24"/>
        </w:rPr>
        <w:t>medical offices and hospitals</w:t>
      </w:r>
      <w:r w:rsidR="00937E29" w:rsidRPr="00543875">
        <w:rPr>
          <w:szCs w:val="24"/>
        </w:rPr>
        <w:t xml:space="preserve"> do</w:t>
      </w:r>
      <w:r w:rsidRPr="00543875">
        <w:rPr>
          <w:szCs w:val="24"/>
        </w:rPr>
        <w:t xml:space="preserve"> not always have </w:t>
      </w:r>
      <w:r w:rsidR="0091657D">
        <w:rPr>
          <w:szCs w:val="24"/>
        </w:rPr>
        <w:t xml:space="preserve">confidential </w:t>
      </w:r>
      <w:r w:rsidRPr="00543875">
        <w:rPr>
          <w:szCs w:val="24"/>
        </w:rPr>
        <w:t xml:space="preserve">access to the Internet.   </w:t>
      </w:r>
    </w:p>
    <w:p w:rsidR="00A33F0D" w:rsidRDefault="00A33F0D" w:rsidP="00BC4EC9">
      <w:pPr>
        <w:rPr>
          <w:szCs w:val="24"/>
        </w:rPr>
      </w:pPr>
    </w:p>
    <w:p w:rsidR="003D6505" w:rsidRPr="00E8060F" w:rsidRDefault="00BC4EC9" w:rsidP="00BC4EC9">
      <w:pPr>
        <w:pStyle w:val="Heading2"/>
        <w:rPr>
          <w:color w:val="auto"/>
          <w:sz w:val="24"/>
          <w:szCs w:val="24"/>
          <w:u w:val="single"/>
        </w:rPr>
      </w:pPr>
      <w:bookmarkStart w:id="5" w:name="_Toc340836930"/>
      <w:r w:rsidRPr="00E8060F">
        <w:rPr>
          <w:color w:val="auto"/>
          <w:sz w:val="24"/>
          <w:szCs w:val="24"/>
        </w:rPr>
        <w:t xml:space="preserve">4.  </w:t>
      </w:r>
      <w:r w:rsidRPr="00E8060F">
        <w:rPr>
          <w:color w:val="auto"/>
          <w:sz w:val="24"/>
          <w:szCs w:val="24"/>
          <w:u w:val="single"/>
        </w:rPr>
        <w:t>Efforts to Avoid Duplication</w:t>
      </w:r>
      <w:bookmarkEnd w:id="5"/>
      <w:r w:rsidRPr="00E8060F">
        <w:rPr>
          <w:color w:val="auto"/>
          <w:sz w:val="24"/>
          <w:szCs w:val="24"/>
          <w:u w:val="single"/>
        </w:rPr>
        <w:t xml:space="preserve"> </w:t>
      </w:r>
    </w:p>
    <w:p w:rsidR="00BC4EC9" w:rsidRPr="00E8060F" w:rsidRDefault="00BC4EC9" w:rsidP="00BC4EC9">
      <w:pPr>
        <w:rPr>
          <w:szCs w:val="24"/>
        </w:rPr>
      </w:pPr>
    </w:p>
    <w:p w:rsidR="00810455" w:rsidRDefault="00C32F8F" w:rsidP="0039714C">
      <w:pPr>
        <w:pStyle w:val="ListParagraph"/>
        <w:ind w:left="0"/>
        <w:rPr>
          <w:szCs w:val="24"/>
        </w:rPr>
      </w:pPr>
      <w:r>
        <w:rPr>
          <w:b/>
          <w:szCs w:val="24"/>
        </w:rPr>
        <w:lastRenderedPageBreak/>
        <w:t>VE</w:t>
      </w:r>
      <w:r w:rsidR="004C71E5" w:rsidRPr="00E8060F">
        <w:rPr>
          <w:b/>
          <w:szCs w:val="24"/>
        </w:rPr>
        <w:t xml:space="preserve"> surveys. </w:t>
      </w:r>
      <w:r w:rsidR="00BC4EC9" w:rsidRPr="00E8060F">
        <w:rPr>
          <w:szCs w:val="24"/>
        </w:rPr>
        <w:t xml:space="preserve">We consulted </w:t>
      </w:r>
      <w:r w:rsidR="00937E29" w:rsidRPr="00E8060F">
        <w:rPr>
          <w:szCs w:val="24"/>
        </w:rPr>
        <w:t>hospital and medical office</w:t>
      </w:r>
      <w:r w:rsidR="00BC4EC9" w:rsidRPr="00E8060F">
        <w:rPr>
          <w:szCs w:val="24"/>
        </w:rPr>
        <w:t xml:space="preserve"> experts </w:t>
      </w:r>
      <w:r w:rsidR="00A969DC" w:rsidRPr="00E8060F">
        <w:rPr>
          <w:szCs w:val="24"/>
        </w:rPr>
        <w:t xml:space="preserve">in value and efficiency </w:t>
      </w:r>
      <w:r w:rsidR="00BC4EC9" w:rsidRPr="00E8060F">
        <w:rPr>
          <w:szCs w:val="24"/>
        </w:rPr>
        <w:t>and conducted a review of the literature, searching for</w:t>
      </w:r>
      <w:r w:rsidR="00CD766C" w:rsidRPr="00E8060F">
        <w:rPr>
          <w:szCs w:val="24"/>
        </w:rPr>
        <w:t xml:space="preserve"> staff</w:t>
      </w:r>
      <w:r w:rsidR="00BC4EC9" w:rsidRPr="00E8060F">
        <w:rPr>
          <w:szCs w:val="24"/>
        </w:rPr>
        <w:t xml:space="preserve"> surveys that measure </w:t>
      </w:r>
      <w:r w:rsidR="00937E29" w:rsidRPr="00E8060F">
        <w:rPr>
          <w:szCs w:val="24"/>
        </w:rPr>
        <w:t>value and efficiency in hospitals and medical offices</w:t>
      </w:r>
      <w:r w:rsidR="00BC4EC9" w:rsidRPr="00E8060F">
        <w:rPr>
          <w:szCs w:val="24"/>
        </w:rPr>
        <w:t xml:space="preserve">. </w:t>
      </w:r>
      <w:r w:rsidR="00EE0DF5" w:rsidRPr="00E8060F">
        <w:rPr>
          <w:szCs w:val="24"/>
        </w:rPr>
        <w:t xml:space="preserve">In reviewing the literature and speaking with experts, we have identified a number of composites that contribute to a high value and efficiency in hospitals and medical offices.  These composites include: (1) focus on value and efficiency, (2) waste reduction, (3) </w:t>
      </w:r>
      <w:r w:rsidR="00BC2AE2" w:rsidRPr="00E8060F">
        <w:rPr>
          <w:szCs w:val="24"/>
        </w:rPr>
        <w:t xml:space="preserve">senior leadership and department manager support for value/efficiency, </w:t>
      </w:r>
      <w:r w:rsidR="00EE0DF5" w:rsidRPr="00E8060F">
        <w:rPr>
          <w:szCs w:val="24"/>
        </w:rPr>
        <w:t>(4) measurement and data monitoring, (5) organizational learning—continuous improvement/openness to change, (</w:t>
      </w:r>
      <w:r w:rsidR="00BC2AE2" w:rsidRPr="00E8060F">
        <w:rPr>
          <w:szCs w:val="24"/>
        </w:rPr>
        <w:t>6</w:t>
      </w:r>
      <w:r w:rsidR="00EE0DF5" w:rsidRPr="00E8060F">
        <w:rPr>
          <w:szCs w:val="24"/>
        </w:rPr>
        <w:t>) collaboration across positions and functional areas, (</w:t>
      </w:r>
      <w:r w:rsidR="00BC2AE2" w:rsidRPr="00E8060F">
        <w:rPr>
          <w:szCs w:val="24"/>
        </w:rPr>
        <w:t>7</w:t>
      </w:r>
      <w:r w:rsidR="00EE0DF5" w:rsidRPr="00E8060F">
        <w:rPr>
          <w:szCs w:val="24"/>
        </w:rPr>
        <w:t>) staff engagement and empowerment, (</w:t>
      </w:r>
      <w:r w:rsidR="00BC2AE2" w:rsidRPr="00E8060F">
        <w:rPr>
          <w:szCs w:val="24"/>
        </w:rPr>
        <w:t>8</w:t>
      </w:r>
      <w:r w:rsidR="00EE0DF5" w:rsidRPr="00E8060F">
        <w:rPr>
          <w:szCs w:val="24"/>
        </w:rPr>
        <w:t>) patient-centeredness, and (</w:t>
      </w:r>
      <w:r w:rsidR="00BC2AE2" w:rsidRPr="00E8060F">
        <w:rPr>
          <w:szCs w:val="24"/>
        </w:rPr>
        <w:t>9</w:t>
      </w:r>
      <w:r w:rsidR="00EE0DF5" w:rsidRPr="00E8060F">
        <w:rPr>
          <w:szCs w:val="24"/>
        </w:rPr>
        <w:t xml:space="preserve">) staff training. </w:t>
      </w:r>
      <w:r w:rsidR="00211E22" w:rsidRPr="00E8060F">
        <w:rPr>
          <w:szCs w:val="24"/>
        </w:rPr>
        <w:t xml:space="preserve">Listed below is information on seven surveys that measure some aspects of </w:t>
      </w:r>
      <w:r w:rsidR="00F73D8E" w:rsidRPr="00E8060F">
        <w:rPr>
          <w:szCs w:val="24"/>
        </w:rPr>
        <w:t>value</w:t>
      </w:r>
      <w:r w:rsidR="00211E22" w:rsidRPr="00E8060F">
        <w:rPr>
          <w:szCs w:val="24"/>
        </w:rPr>
        <w:t>, e</w:t>
      </w:r>
      <w:r w:rsidR="00F73D8E" w:rsidRPr="00E8060F">
        <w:rPr>
          <w:szCs w:val="24"/>
        </w:rPr>
        <w:t>fficiency</w:t>
      </w:r>
      <w:r w:rsidR="00211E22" w:rsidRPr="00E8060F">
        <w:rPr>
          <w:szCs w:val="24"/>
        </w:rPr>
        <w:t xml:space="preserve">, waste reduction, and readiness for change.  However, as noted below, </w:t>
      </w:r>
      <w:r w:rsidR="003F027F" w:rsidRPr="00E8060F">
        <w:rPr>
          <w:szCs w:val="24"/>
        </w:rPr>
        <w:t xml:space="preserve">there is a void for </w:t>
      </w:r>
      <w:r w:rsidR="00EE0DF5" w:rsidRPr="00E8060F">
        <w:rPr>
          <w:szCs w:val="24"/>
        </w:rPr>
        <w:t xml:space="preserve">validated </w:t>
      </w:r>
      <w:r w:rsidR="003F027F" w:rsidRPr="00E8060F">
        <w:rPr>
          <w:szCs w:val="24"/>
        </w:rPr>
        <w:t>staff s</w:t>
      </w:r>
      <w:r w:rsidR="00D440BF" w:rsidRPr="00E8060F">
        <w:rPr>
          <w:szCs w:val="24"/>
        </w:rPr>
        <w:t>urvey</w:t>
      </w:r>
      <w:r w:rsidR="003F027F" w:rsidRPr="00E8060F">
        <w:rPr>
          <w:szCs w:val="24"/>
        </w:rPr>
        <w:t>s</w:t>
      </w:r>
      <w:r w:rsidR="00D440BF" w:rsidRPr="00E8060F">
        <w:rPr>
          <w:szCs w:val="24"/>
        </w:rPr>
        <w:t xml:space="preserve"> that address all of the</w:t>
      </w:r>
      <w:r w:rsidR="00F73D8E" w:rsidRPr="00E8060F">
        <w:rPr>
          <w:szCs w:val="24"/>
        </w:rPr>
        <w:t xml:space="preserve"> relevant </w:t>
      </w:r>
      <w:r w:rsidR="00EE0DF5" w:rsidRPr="00E8060F">
        <w:rPr>
          <w:szCs w:val="24"/>
        </w:rPr>
        <w:t>composites</w:t>
      </w:r>
      <w:r w:rsidR="00211E22" w:rsidRPr="00E8060F">
        <w:rPr>
          <w:szCs w:val="24"/>
        </w:rPr>
        <w:t xml:space="preserve"> for high value and efficiency </w:t>
      </w:r>
      <w:r w:rsidR="00D440BF" w:rsidRPr="00E8060F">
        <w:rPr>
          <w:szCs w:val="24"/>
        </w:rPr>
        <w:t xml:space="preserve">in </w:t>
      </w:r>
      <w:r w:rsidR="001C7D22" w:rsidRPr="00E8060F">
        <w:rPr>
          <w:szCs w:val="24"/>
        </w:rPr>
        <w:t xml:space="preserve">both </w:t>
      </w:r>
      <w:r w:rsidR="00D440BF" w:rsidRPr="00E8060F">
        <w:rPr>
          <w:szCs w:val="24"/>
        </w:rPr>
        <w:t xml:space="preserve">hospitals and in medical offices. </w:t>
      </w:r>
    </w:p>
    <w:p w:rsidR="00D440BF" w:rsidRDefault="00D440BF" w:rsidP="00D440BF">
      <w:pPr>
        <w:rPr>
          <w:szCs w:val="24"/>
        </w:rPr>
      </w:pPr>
    </w:p>
    <w:p w:rsidR="008B5723" w:rsidRDefault="003F027F" w:rsidP="0039714C">
      <w:pPr>
        <w:rPr>
          <w:szCs w:val="24"/>
        </w:rPr>
      </w:pPr>
      <w:r w:rsidRPr="003F027F">
        <w:rPr>
          <w:szCs w:val="24"/>
        </w:rPr>
        <w:t xml:space="preserve">The extent to which an organization is ready and open to change to becoming a high value and efficient organization is an important component to assess.  There is a variety of readiness assessments that exist to help organizations determine their level of readiness for engaging in particular quality improvement (QI) projects. However, these tools are quite narrow to the specific QI effort.  For example, AHRQ and the Department of Defense support the </w:t>
      </w:r>
      <w:proofErr w:type="spellStart"/>
      <w:r w:rsidRPr="003F027F">
        <w:rPr>
          <w:szCs w:val="24"/>
        </w:rPr>
        <w:t>TeamSTEPPS</w:t>
      </w:r>
      <w:proofErr w:type="spellEnd"/>
      <w:r w:rsidRPr="003F027F">
        <w:rPr>
          <w:szCs w:val="24"/>
          <w:vertAlign w:val="superscript"/>
        </w:rPr>
        <w:t>®</w:t>
      </w:r>
      <w:r w:rsidRPr="003F027F">
        <w:rPr>
          <w:szCs w:val="24"/>
        </w:rPr>
        <w:t xml:space="preserve"> project</w:t>
      </w:r>
      <w:r>
        <w:rPr>
          <w:rStyle w:val="FootnoteReference"/>
          <w:szCs w:val="24"/>
        </w:rPr>
        <w:footnoteReference w:id="6"/>
      </w:r>
      <w:r w:rsidRPr="003F027F">
        <w:rPr>
          <w:szCs w:val="24"/>
        </w:rPr>
        <w:t xml:space="preserve"> which stands for Team Strategies and Tools to Enhance Performance and Patient Safety</w:t>
      </w:r>
      <w:r>
        <w:rPr>
          <w:szCs w:val="24"/>
        </w:rPr>
        <w:t xml:space="preserve">.  As a component of this QI project, an organization can implement a readiness assessment to see if their organization has the capacity to implement and sustain </w:t>
      </w:r>
      <w:proofErr w:type="spellStart"/>
      <w:r w:rsidR="00073CDD">
        <w:rPr>
          <w:szCs w:val="24"/>
        </w:rPr>
        <w:t>TeamSTEPPS</w:t>
      </w:r>
      <w:proofErr w:type="spellEnd"/>
      <w:r w:rsidR="00A30DD1" w:rsidRPr="003F027F">
        <w:rPr>
          <w:szCs w:val="24"/>
          <w:vertAlign w:val="superscript"/>
        </w:rPr>
        <w:t>®</w:t>
      </w:r>
      <w:r>
        <w:rPr>
          <w:szCs w:val="24"/>
        </w:rPr>
        <w:t xml:space="preserve">. </w:t>
      </w:r>
      <w:r w:rsidR="00D84CF0">
        <w:rPr>
          <w:szCs w:val="24"/>
        </w:rPr>
        <w:t xml:space="preserve"> Another example of a readiness assessm</w:t>
      </w:r>
      <w:r w:rsidR="00B55E7A">
        <w:rPr>
          <w:szCs w:val="24"/>
        </w:rPr>
        <w:t>ent was developed by Pare et al</w:t>
      </w:r>
      <w:r w:rsidR="00B55E7A">
        <w:rPr>
          <w:rStyle w:val="FootnoteReference"/>
          <w:szCs w:val="24"/>
        </w:rPr>
        <w:footnoteReference w:id="7"/>
      </w:r>
      <w:r w:rsidR="00B55E7A">
        <w:rPr>
          <w:szCs w:val="24"/>
        </w:rPr>
        <w:t>.</w:t>
      </w:r>
      <w:r w:rsidR="00D84CF0">
        <w:rPr>
          <w:szCs w:val="24"/>
        </w:rPr>
        <w:t xml:space="preserve">  The questionnaire was designed to measure organizational readiness for clinical information systems.  While some of the items seemed relevant to our purposes (e.g., capturing management support and the organization’s history of change</w:t>
      </w:r>
      <w:r w:rsidR="00B55E7A">
        <w:rPr>
          <w:szCs w:val="24"/>
        </w:rPr>
        <w:t>)</w:t>
      </w:r>
      <w:r w:rsidR="00D84CF0">
        <w:rPr>
          <w:szCs w:val="24"/>
        </w:rPr>
        <w:t xml:space="preserve">, </w:t>
      </w:r>
      <w:r w:rsidR="00B55E7A">
        <w:rPr>
          <w:szCs w:val="24"/>
        </w:rPr>
        <w:t>its purpose was to specifically assess readiness for mobile computing technology in home care organizations</w:t>
      </w:r>
      <w:r w:rsidR="008B5723">
        <w:rPr>
          <w:szCs w:val="24"/>
        </w:rPr>
        <w:t>.</w:t>
      </w:r>
    </w:p>
    <w:p w:rsidR="008B5723" w:rsidRDefault="008B5723" w:rsidP="004C71E5">
      <w:pPr>
        <w:ind w:left="360"/>
        <w:rPr>
          <w:szCs w:val="24"/>
        </w:rPr>
      </w:pPr>
    </w:p>
    <w:p w:rsidR="00F73D8E" w:rsidRPr="00D54FB6" w:rsidRDefault="008B5723" w:rsidP="0039714C">
      <w:pPr>
        <w:rPr>
          <w:b/>
          <w:i/>
          <w:szCs w:val="24"/>
          <w:highlight w:val="lightGray"/>
        </w:rPr>
      </w:pPr>
      <w:r>
        <w:rPr>
          <w:szCs w:val="24"/>
        </w:rPr>
        <w:t xml:space="preserve">Another </w:t>
      </w:r>
      <w:r w:rsidR="009D245D">
        <w:rPr>
          <w:szCs w:val="24"/>
        </w:rPr>
        <w:t>survey</w:t>
      </w:r>
      <w:r>
        <w:rPr>
          <w:szCs w:val="24"/>
        </w:rPr>
        <w:t xml:space="preserve"> that helps </w:t>
      </w:r>
      <w:r w:rsidRPr="008B5723">
        <w:rPr>
          <w:szCs w:val="24"/>
        </w:rPr>
        <w:t>organization</w:t>
      </w:r>
      <w:r>
        <w:rPr>
          <w:szCs w:val="24"/>
        </w:rPr>
        <w:t>s assess</w:t>
      </w:r>
      <w:r w:rsidRPr="008B5723">
        <w:rPr>
          <w:szCs w:val="24"/>
        </w:rPr>
        <w:t xml:space="preserve"> </w:t>
      </w:r>
      <w:r>
        <w:rPr>
          <w:szCs w:val="24"/>
        </w:rPr>
        <w:t xml:space="preserve">how they are </w:t>
      </w:r>
      <w:r w:rsidRPr="008B5723">
        <w:rPr>
          <w:szCs w:val="24"/>
        </w:rPr>
        <w:t>performing and learn what should be improved or changed</w:t>
      </w:r>
      <w:r>
        <w:rPr>
          <w:szCs w:val="24"/>
        </w:rPr>
        <w:t xml:space="preserve"> is the “Are We Making Progress?” survey from the Baldrige National Quality Program</w:t>
      </w:r>
      <w:r>
        <w:rPr>
          <w:rStyle w:val="FootnoteReference"/>
          <w:szCs w:val="24"/>
        </w:rPr>
        <w:footnoteReference w:id="8"/>
      </w:r>
      <w:r w:rsidRPr="008B5723">
        <w:rPr>
          <w:szCs w:val="24"/>
        </w:rPr>
        <w:t>.</w:t>
      </w:r>
      <w:r w:rsidR="00B55E7A">
        <w:rPr>
          <w:szCs w:val="24"/>
        </w:rPr>
        <w:t xml:space="preserve"> </w:t>
      </w:r>
      <w:r>
        <w:rPr>
          <w:szCs w:val="24"/>
        </w:rPr>
        <w:t xml:space="preserve">While this survey asks questions </w:t>
      </w:r>
      <w:r w:rsidR="00280CBE">
        <w:rPr>
          <w:szCs w:val="24"/>
        </w:rPr>
        <w:t>that are applicable to a high value and efficient culture</w:t>
      </w:r>
      <w:r w:rsidR="00073CDD">
        <w:rPr>
          <w:szCs w:val="24"/>
        </w:rPr>
        <w:t>,</w:t>
      </w:r>
      <w:r w:rsidR="00280CBE">
        <w:rPr>
          <w:szCs w:val="24"/>
        </w:rPr>
        <w:t xml:space="preserve"> including </w:t>
      </w:r>
      <w:r w:rsidR="00073CDD">
        <w:rPr>
          <w:szCs w:val="24"/>
        </w:rPr>
        <w:t>concepts like</w:t>
      </w:r>
      <w:r w:rsidR="00280CBE">
        <w:rPr>
          <w:szCs w:val="24"/>
        </w:rPr>
        <w:t xml:space="preserve"> </w:t>
      </w:r>
      <w:r>
        <w:rPr>
          <w:szCs w:val="24"/>
        </w:rPr>
        <w:t xml:space="preserve">leadership, a focus on the </w:t>
      </w:r>
      <w:r w:rsidR="00280CBE">
        <w:rPr>
          <w:szCs w:val="24"/>
        </w:rPr>
        <w:t>customer</w:t>
      </w:r>
      <w:r>
        <w:rPr>
          <w:szCs w:val="24"/>
        </w:rPr>
        <w:t xml:space="preserve"> and management of measurement and analysis, </w:t>
      </w:r>
      <w:r w:rsidR="00280CBE">
        <w:rPr>
          <w:szCs w:val="24"/>
        </w:rPr>
        <w:t>this survey</w:t>
      </w:r>
      <w:r>
        <w:rPr>
          <w:szCs w:val="24"/>
        </w:rPr>
        <w:t xml:space="preserve"> does not address efficiency, cost, or waste-reduction.   </w:t>
      </w:r>
    </w:p>
    <w:p w:rsidR="00F73D8E" w:rsidRPr="00F73D8E" w:rsidRDefault="00F73D8E" w:rsidP="004C71E5">
      <w:pPr>
        <w:ind w:left="360"/>
        <w:rPr>
          <w:szCs w:val="24"/>
          <w:highlight w:val="lightGray"/>
        </w:rPr>
      </w:pPr>
    </w:p>
    <w:p w:rsidR="00F73D8E" w:rsidRPr="000B48FD" w:rsidRDefault="0097594D" w:rsidP="0039714C">
      <w:pPr>
        <w:rPr>
          <w:szCs w:val="24"/>
        </w:rPr>
      </w:pPr>
      <w:proofErr w:type="spellStart"/>
      <w:r w:rsidRPr="0097594D">
        <w:rPr>
          <w:szCs w:val="24"/>
        </w:rPr>
        <w:t>Noémi</w:t>
      </w:r>
      <w:proofErr w:type="spellEnd"/>
      <w:r w:rsidRPr="0097594D">
        <w:rPr>
          <w:szCs w:val="24"/>
        </w:rPr>
        <w:t xml:space="preserve"> </w:t>
      </w:r>
      <w:proofErr w:type="spellStart"/>
      <w:r w:rsidR="00F73D8E" w:rsidRPr="0097594D">
        <w:rPr>
          <w:szCs w:val="24"/>
        </w:rPr>
        <w:t>Imre</w:t>
      </w:r>
      <w:proofErr w:type="spellEnd"/>
      <w:r w:rsidR="000F5F73" w:rsidRPr="0097594D">
        <w:rPr>
          <w:rStyle w:val="FootnoteReference"/>
          <w:szCs w:val="24"/>
        </w:rPr>
        <w:footnoteReference w:id="9"/>
      </w:r>
      <w:r w:rsidR="000F5F73" w:rsidRPr="0097594D">
        <w:rPr>
          <w:szCs w:val="24"/>
        </w:rPr>
        <w:t xml:space="preserve"> </w:t>
      </w:r>
      <w:r w:rsidRPr="0097594D">
        <w:rPr>
          <w:szCs w:val="24"/>
        </w:rPr>
        <w:t>and colleagues</w:t>
      </w:r>
      <w:r>
        <w:rPr>
          <w:szCs w:val="24"/>
        </w:rPr>
        <w:t xml:space="preserve"> </w:t>
      </w:r>
      <w:r w:rsidR="000F5F73">
        <w:rPr>
          <w:szCs w:val="24"/>
        </w:rPr>
        <w:t>sought to</w:t>
      </w:r>
      <w:r w:rsidR="000F5F73" w:rsidRPr="000F5F73">
        <w:rPr>
          <w:szCs w:val="24"/>
        </w:rPr>
        <w:t xml:space="preserve"> develop a tool to measure the “leanness” of existing cultures. The </w:t>
      </w:r>
      <w:r w:rsidR="00D84CF0">
        <w:rPr>
          <w:szCs w:val="24"/>
        </w:rPr>
        <w:t>items in the tool pertain to</w:t>
      </w:r>
      <w:r w:rsidR="000F5F73" w:rsidRPr="000F5F73">
        <w:rPr>
          <w:szCs w:val="24"/>
        </w:rPr>
        <w:t xml:space="preserve"> continuous </w:t>
      </w:r>
      <w:r w:rsidR="000F5F73" w:rsidRPr="00D63F86">
        <w:rPr>
          <w:szCs w:val="24"/>
        </w:rPr>
        <w:t xml:space="preserve">improvement, long-term thinking, and emphasis on people. The researchers administered the survey </w:t>
      </w:r>
      <w:r w:rsidRPr="00D63F86">
        <w:rPr>
          <w:szCs w:val="24"/>
        </w:rPr>
        <w:t xml:space="preserve">to </w:t>
      </w:r>
      <w:r w:rsidR="000C18FE">
        <w:rPr>
          <w:szCs w:val="24"/>
        </w:rPr>
        <w:t xml:space="preserve">a limited number of staff (18) </w:t>
      </w:r>
      <w:r w:rsidR="000F5F73" w:rsidRPr="00D63F86">
        <w:rPr>
          <w:szCs w:val="24"/>
        </w:rPr>
        <w:t>in a nonprofit outpatient clinic</w:t>
      </w:r>
      <w:r w:rsidRPr="00D63F86">
        <w:rPr>
          <w:szCs w:val="24"/>
        </w:rPr>
        <w:t>.</w:t>
      </w:r>
      <w:r w:rsidR="00D63F86">
        <w:rPr>
          <w:szCs w:val="24"/>
        </w:rPr>
        <w:t xml:space="preserve"> This tool </w:t>
      </w:r>
      <w:r w:rsidR="003D6505">
        <w:rPr>
          <w:szCs w:val="24"/>
        </w:rPr>
        <w:t>does not have items specific to cost, waste reduction, senior leadership support, and training</w:t>
      </w:r>
      <w:r w:rsidR="00073CDD">
        <w:rPr>
          <w:szCs w:val="24"/>
        </w:rPr>
        <w:t>, and had limited testing evidence</w:t>
      </w:r>
      <w:r w:rsidR="003D6505">
        <w:rPr>
          <w:szCs w:val="24"/>
        </w:rPr>
        <w:t xml:space="preserve">. </w:t>
      </w:r>
      <w:r w:rsidR="00D63F86">
        <w:rPr>
          <w:szCs w:val="24"/>
        </w:rPr>
        <w:t xml:space="preserve"> </w:t>
      </w:r>
      <w:r>
        <w:rPr>
          <w:szCs w:val="24"/>
        </w:rPr>
        <w:t xml:space="preserve">   </w:t>
      </w:r>
    </w:p>
    <w:p w:rsidR="00F73D8E" w:rsidRDefault="007B4979" w:rsidP="0039714C">
      <w:pPr>
        <w:rPr>
          <w:szCs w:val="24"/>
        </w:rPr>
      </w:pPr>
      <w:r w:rsidRPr="00B32A28">
        <w:rPr>
          <w:szCs w:val="24"/>
        </w:rPr>
        <w:lastRenderedPageBreak/>
        <w:t xml:space="preserve">Lawrence </w:t>
      </w:r>
      <w:r w:rsidR="00F73D8E" w:rsidRPr="00B32A28">
        <w:rPr>
          <w:szCs w:val="24"/>
        </w:rPr>
        <w:t>Miller</w:t>
      </w:r>
      <w:r w:rsidRPr="00B32A28">
        <w:rPr>
          <w:szCs w:val="24"/>
        </w:rPr>
        <w:t xml:space="preserve"> developed</w:t>
      </w:r>
      <w:r>
        <w:rPr>
          <w:szCs w:val="24"/>
        </w:rPr>
        <w:t xml:space="preserve"> a survey, “</w:t>
      </w:r>
      <w:r w:rsidRPr="007B4979">
        <w:rPr>
          <w:szCs w:val="24"/>
        </w:rPr>
        <w:t>Lean Culture and Leadership Factors</w:t>
      </w:r>
      <w:r>
        <w:rPr>
          <w:szCs w:val="24"/>
        </w:rPr>
        <w:t>”</w:t>
      </w:r>
      <w:r w:rsidR="005306C8">
        <w:rPr>
          <w:rStyle w:val="FootnoteReference"/>
          <w:szCs w:val="24"/>
        </w:rPr>
        <w:footnoteReference w:id="10"/>
      </w:r>
      <w:r>
        <w:rPr>
          <w:szCs w:val="24"/>
        </w:rPr>
        <w:t xml:space="preserve">, to assess an organization’s progress toward becoming a lean organization.  The survey is not specifically designed for hospitals or medical offices – it is general to various settings (e.g., manufacturing, marketing/sales, health care, and service organizations). While it focuses on leadership </w:t>
      </w:r>
      <w:r w:rsidR="00CE6204">
        <w:rPr>
          <w:szCs w:val="24"/>
        </w:rPr>
        <w:t>factors which are</w:t>
      </w:r>
      <w:r>
        <w:rPr>
          <w:szCs w:val="24"/>
        </w:rPr>
        <w:t xml:space="preserve"> an important aspect of becoming a high value and efficient organization, it does not </w:t>
      </w:r>
      <w:r w:rsidR="005306C8">
        <w:rPr>
          <w:szCs w:val="24"/>
        </w:rPr>
        <w:t xml:space="preserve">contain any items on cost, measurement, </w:t>
      </w:r>
      <w:r w:rsidR="00CE6204">
        <w:rPr>
          <w:szCs w:val="24"/>
        </w:rPr>
        <w:t>or</w:t>
      </w:r>
      <w:r w:rsidR="005306C8">
        <w:rPr>
          <w:szCs w:val="24"/>
        </w:rPr>
        <w:t xml:space="preserve"> a focus on patient-centeredness.  Further, since the survey is targeted toward staff perceptions of leadership, it more narrowly asks for staff opinions about management. </w:t>
      </w:r>
      <w:r>
        <w:rPr>
          <w:szCs w:val="24"/>
        </w:rPr>
        <w:t xml:space="preserve">  </w:t>
      </w:r>
    </w:p>
    <w:p w:rsidR="00F73D8E" w:rsidRDefault="00F73D8E" w:rsidP="004C71E5">
      <w:pPr>
        <w:ind w:left="360"/>
        <w:rPr>
          <w:szCs w:val="24"/>
        </w:rPr>
      </w:pPr>
    </w:p>
    <w:p w:rsidR="00D440BF" w:rsidRDefault="00D54FB6" w:rsidP="0039714C">
      <w:pPr>
        <w:rPr>
          <w:szCs w:val="24"/>
        </w:rPr>
      </w:pPr>
      <w:proofErr w:type="spellStart"/>
      <w:proofErr w:type="gramStart"/>
      <w:r>
        <w:rPr>
          <w:szCs w:val="24"/>
        </w:rPr>
        <w:t>S</w:t>
      </w:r>
      <w:r w:rsidR="00D440BF">
        <w:rPr>
          <w:szCs w:val="24"/>
        </w:rPr>
        <w:t>hwartz</w:t>
      </w:r>
      <w:proofErr w:type="spellEnd"/>
      <w:r w:rsidR="00D440BF">
        <w:rPr>
          <w:szCs w:val="24"/>
        </w:rPr>
        <w:t xml:space="preserve"> et al.</w:t>
      </w:r>
      <w:proofErr w:type="gramEnd"/>
      <w:r w:rsidR="003E207C" w:rsidRPr="003E207C">
        <w:rPr>
          <w:rStyle w:val="FootnoteReference"/>
          <w:szCs w:val="24"/>
        </w:rPr>
        <w:t xml:space="preserve"> </w:t>
      </w:r>
      <w:r w:rsidR="003E207C">
        <w:rPr>
          <w:rStyle w:val="FootnoteReference"/>
          <w:szCs w:val="24"/>
        </w:rPr>
        <w:footnoteReference w:id="11"/>
      </w:r>
      <w:r w:rsidR="003E207C">
        <w:rPr>
          <w:szCs w:val="24"/>
        </w:rPr>
        <w:t xml:space="preserve"> (2010)</w:t>
      </w:r>
      <w:r w:rsidR="00D440BF">
        <w:rPr>
          <w:szCs w:val="24"/>
        </w:rPr>
        <w:t xml:space="preserve"> </w:t>
      </w:r>
      <w:r w:rsidR="00D440BF" w:rsidRPr="00D440BF">
        <w:rPr>
          <w:szCs w:val="24"/>
        </w:rPr>
        <w:t>designed</w:t>
      </w:r>
      <w:r w:rsidR="00D440BF">
        <w:rPr>
          <w:szCs w:val="24"/>
        </w:rPr>
        <w:t xml:space="preserve"> a survey to </w:t>
      </w:r>
      <w:r w:rsidR="0058164E">
        <w:rPr>
          <w:szCs w:val="24"/>
        </w:rPr>
        <w:t xml:space="preserve">assess </w:t>
      </w:r>
      <w:r w:rsidR="00D440BF">
        <w:rPr>
          <w:szCs w:val="24"/>
        </w:rPr>
        <w:t xml:space="preserve">organization-level </w:t>
      </w:r>
      <w:r w:rsidR="00D440BF" w:rsidRPr="00D440BF">
        <w:rPr>
          <w:szCs w:val="24"/>
        </w:rPr>
        <w:t>commitment to</w:t>
      </w:r>
      <w:r w:rsidR="00D440BF">
        <w:rPr>
          <w:szCs w:val="24"/>
        </w:rPr>
        <w:t xml:space="preserve"> </w:t>
      </w:r>
      <w:r w:rsidR="00D440BF" w:rsidRPr="00D440BF">
        <w:rPr>
          <w:szCs w:val="24"/>
        </w:rPr>
        <w:t>improving patient quality</w:t>
      </w:r>
      <w:r w:rsidR="00D440BF">
        <w:rPr>
          <w:szCs w:val="24"/>
        </w:rPr>
        <w:t xml:space="preserve"> in respect to readiness for change and organizational support for the 6 Institute of Medicine aims (</w:t>
      </w:r>
      <w:r w:rsidR="0058164E">
        <w:rPr>
          <w:szCs w:val="24"/>
        </w:rPr>
        <w:t xml:space="preserve">i.e., </w:t>
      </w:r>
      <w:r w:rsidR="00D440BF">
        <w:rPr>
          <w:szCs w:val="24"/>
        </w:rPr>
        <w:t>safe, effective, patient-centered, timely, efficient, and equitable</w:t>
      </w:r>
      <w:r w:rsidR="0046338B">
        <w:rPr>
          <w:szCs w:val="24"/>
        </w:rPr>
        <w:t xml:space="preserve"> health care</w:t>
      </w:r>
      <w:r w:rsidR="00D440BF">
        <w:rPr>
          <w:szCs w:val="24"/>
        </w:rPr>
        <w:t xml:space="preserve">).  </w:t>
      </w:r>
      <w:r w:rsidR="00F73D8E">
        <w:rPr>
          <w:szCs w:val="24"/>
        </w:rPr>
        <w:t>The survey</w:t>
      </w:r>
      <w:r w:rsidR="00D440BF">
        <w:rPr>
          <w:szCs w:val="24"/>
        </w:rPr>
        <w:t xml:space="preserve"> also </w:t>
      </w:r>
      <w:r w:rsidR="00F73D8E">
        <w:rPr>
          <w:szCs w:val="24"/>
        </w:rPr>
        <w:t xml:space="preserve">assessed perceptions about workforce development and culture, staff engagement, work environment/culture, and the success of quality improvement efforts.  Although this survey covers many important components of value and efficiency, it does not </w:t>
      </w:r>
      <w:r>
        <w:rPr>
          <w:szCs w:val="24"/>
        </w:rPr>
        <w:t xml:space="preserve">address healthcare cost, </w:t>
      </w:r>
      <w:r w:rsidR="00F73D8E">
        <w:rPr>
          <w:szCs w:val="24"/>
        </w:rPr>
        <w:t xml:space="preserve">attentiveness to waste reduction, </w:t>
      </w:r>
      <w:r w:rsidR="00CE6204">
        <w:rPr>
          <w:szCs w:val="24"/>
        </w:rPr>
        <w:t>or</w:t>
      </w:r>
      <w:r w:rsidR="00F73D8E">
        <w:rPr>
          <w:szCs w:val="24"/>
        </w:rPr>
        <w:t xml:space="preserve"> a focus on measurement and transparency of measures which the literature suggests are important domains of high value and efficient organizations.    </w:t>
      </w:r>
    </w:p>
    <w:p w:rsidR="001700E1" w:rsidRDefault="001700E1" w:rsidP="004C71E5">
      <w:pPr>
        <w:ind w:left="360"/>
        <w:rPr>
          <w:szCs w:val="24"/>
        </w:rPr>
      </w:pPr>
    </w:p>
    <w:p w:rsidR="001700E1" w:rsidRPr="00D440BF" w:rsidRDefault="001700E1" w:rsidP="0039714C">
      <w:pPr>
        <w:rPr>
          <w:szCs w:val="24"/>
        </w:rPr>
      </w:pPr>
      <w:r>
        <w:rPr>
          <w:szCs w:val="24"/>
        </w:rPr>
        <w:t xml:space="preserve">In addition, the U.S. Office of Personnel Management (OPM) developed </w:t>
      </w:r>
      <w:r w:rsidRPr="001700E1">
        <w:rPr>
          <w:szCs w:val="24"/>
        </w:rPr>
        <w:t xml:space="preserve">a tool that measures </w:t>
      </w:r>
      <w:r>
        <w:rPr>
          <w:szCs w:val="24"/>
        </w:rPr>
        <w:t xml:space="preserve">federal </w:t>
      </w:r>
      <w:r w:rsidRPr="001700E1">
        <w:rPr>
          <w:szCs w:val="24"/>
        </w:rPr>
        <w:t xml:space="preserve">employees' perceptions of whether, and to what extent, conditions </w:t>
      </w:r>
      <w:proofErr w:type="gramStart"/>
      <w:r w:rsidRPr="001700E1">
        <w:rPr>
          <w:szCs w:val="24"/>
        </w:rPr>
        <w:t>that characterize</w:t>
      </w:r>
      <w:proofErr w:type="gramEnd"/>
      <w:r w:rsidRPr="001700E1">
        <w:rPr>
          <w:szCs w:val="24"/>
        </w:rPr>
        <w:t xml:space="preserve"> successful organizations are present in their agencies.</w:t>
      </w:r>
      <w:r>
        <w:rPr>
          <w:szCs w:val="24"/>
        </w:rPr>
        <w:t xml:space="preserve">  </w:t>
      </w:r>
      <w:r w:rsidR="00F34971">
        <w:rPr>
          <w:szCs w:val="24"/>
        </w:rPr>
        <w:t xml:space="preserve">We reviewed this </w:t>
      </w:r>
      <w:r w:rsidR="009D245D">
        <w:rPr>
          <w:szCs w:val="24"/>
        </w:rPr>
        <w:t>survey</w:t>
      </w:r>
      <w:r>
        <w:rPr>
          <w:szCs w:val="24"/>
        </w:rPr>
        <w:t xml:space="preserve">, the </w:t>
      </w:r>
      <w:r w:rsidRPr="001700E1">
        <w:rPr>
          <w:szCs w:val="24"/>
        </w:rPr>
        <w:t>Federal Employee Viewpoint Survey</w:t>
      </w:r>
      <w:r>
        <w:rPr>
          <w:rStyle w:val="FootnoteReference"/>
          <w:szCs w:val="24"/>
        </w:rPr>
        <w:footnoteReference w:id="12"/>
      </w:r>
      <w:r>
        <w:rPr>
          <w:szCs w:val="24"/>
        </w:rPr>
        <w:t xml:space="preserve">, </w:t>
      </w:r>
      <w:r w:rsidR="00F34971">
        <w:rPr>
          <w:szCs w:val="24"/>
        </w:rPr>
        <w:t xml:space="preserve">because we thought that some items that help identify successful federal organizations could be transferrable to a successful (i.e., high value and efficient) hospital and medical office setting. The Federal Employee Viewpoint Survey </w:t>
      </w:r>
      <w:r>
        <w:rPr>
          <w:szCs w:val="24"/>
        </w:rPr>
        <w:t xml:space="preserve">asks respondents whether they feel encouraged to come up with new and better ways of doing things and whether they are held accountable </w:t>
      </w:r>
      <w:r w:rsidR="007C2D69">
        <w:rPr>
          <w:szCs w:val="24"/>
        </w:rPr>
        <w:t>for achieving results</w:t>
      </w:r>
      <w:r>
        <w:rPr>
          <w:szCs w:val="24"/>
        </w:rPr>
        <w:t>.  The</w:t>
      </w:r>
      <w:r w:rsidR="00FF6C1C">
        <w:rPr>
          <w:szCs w:val="24"/>
        </w:rPr>
        <w:t xml:space="preserve">se concepts are applicable </w:t>
      </w:r>
      <w:r>
        <w:rPr>
          <w:szCs w:val="24"/>
        </w:rPr>
        <w:t>since it is important that staff are engaged and encouraged to improve efficiencies and reduce waste</w:t>
      </w:r>
      <w:r w:rsidR="00BC23CF">
        <w:rPr>
          <w:szCs w:val="24"/>
        </w:rPr>
        <w:t xml:space="preserve"> (as found in the value and efficiency composite of staff engagement and empowerment)</w:t>
      </w:r>
      <w:r>
        <w:rPr>
          <w:szCs w:val="24"/>
        </w:rPr>
        <w:t xml:space="preserve">.  Additionally, the importance of accountability </w:t>
      </w:r>
      <w:r w:rsidR="00F34971">
        <w:rPr>
          <w:szCs w:val="24"/>
        </w:rPr>
        <w:t>for results applies to the value and efficiency composite of measurement and data monitoring.</w:t>
      </w:r>
      <w:r w:rsidR="00BC23CF">
        <w:rPr>
          <w:szCs w:val="24"/>
        </w:rPr>
        <w:t xml:space="preserve">  Aside from those two composites, this </w:t>
      </w:r>
      <w:r w:rsidR="009D245D">
        <w:rPr>
          <w:szCs w:val="24"/>
        </w:rPr>
        <w:t>survey</w:t>
      </w:r>
      <w:r w:rsidR="00BC23CF">
        <w:rPr>
          <w:szCs w:val="24"/>
        </w:rPr>
        <w:t xml:space="preserve"> did not cover other composites of value and efficiency and therefore, the new </w:t>
      </w:r>
      <w:r w:rsidR="00C32F8F">
        <w:rPr>
          <w:szCs w:val="24"/>
        </w:rPr>
        <w:t>VE</w:t>
      </w:r>
      <w:r w:rsidR="00BC23CF">
        <w:rPr>
          <w:szCs w:val="24"/>
        </w:rPr>
        <w:t xml:space="preserve"> surveys would not duplicate these efforts.  </w:t>
      </w:r>
      <w:r w:rsidR="00F34971">
        <w:rPr>
          <w:szCs w:val="24"/>
        </w:rPr>
        <w:t xml:space="preserve"> </w:t>
      </w:r>
    </w:p>
    <w:p w:rsidR="00BC4EC9" w:rsidRDefault="00BC4EC9" w:rsidP="004C71E5">
      <w:pPr>
        <w:ind w:left="360"/>
        <w:rPr>
          <w:szCs w:val="24"/>
          <w:highlight w:val="yellow"/>
        </w:rPr>
      </w:pPr>
    </w:p>
    <w:p w:rsidR="00BC4EC9" w:rsidRDefault="00BC4EC9" w:rsidP="0039714C">
      <w:pPr>
        <w:rPr>
          <w:szCs w:val="24"/>
        </w:rPr>
      </w:pPr>
      <w:r w:rsidRPr="003E207C">
        <w:rPr>
          <w:szCs w:val="24"/>
        </w:rPr>
        <w:t xml:space="preserve">In summary, we did not locate any validated surveys that assess </w:t>
      </w:r>
      <w:r w:rsidR="00F73D8E" w:rsidRPr="003E207C">
        <w:rPr>
          <w:szCs w:val="24"/>
        </w:rPr>
        <w:t xml:space="preserve">all the key </w:t>
      </w:r>
      <w:r w:rsidR="008623EC">
        <w:rPr>
          <w:szCs w:val="24"/>
        </w:rPr>
        <w:t>composites</w:t>
      </w:r>
      <w:r w:rsidR="00F73D8E" w:rsidRPr="003E207C">
        <w:rPr>
          <w:szCs w:val="24"/>
        </w:rPr>
        <w:t xml:space="preserve"> of value and efficiency </w:t>
      </w:r>
      <w:r w:rsidR="008623EC">
        <w:rPr>
          <w:szCs w:val="24"/>
        </w:rPr>
        <w:t xml:space="preserve">as noted earlier </w:t>
      </w:r>
      <w:r w:rsidR="00F73D8E" w:rsidRPr="003E207C">
        <w:rPr>
          <w:szCs w:val="24"/>
        </w:rPr>
        <w:t xml:space="preserve">for hospitals and medical offices </w:t>
      </w:r>
      <w:r w:rsidRPr="003E207C">
        <w:rPr>
          <w:szCs w:val="24"/>
        </w:rPr>
        <w:t xml:space="preserve">from the perspective of all staff. </w:t>
      </w:r>
      <w:r w:rsidR="00E17D4F">
        <w:rPr>
          <w:szCs w:val="24"/>
        </w:rPr>
        <w:t xml:space="preserve"> The </w:t>
      </w:r>
      <w:r w:rsidR="00C32F8F">
        <w:rPr>
          <w:szCs w:val="24"/>
        </w:rPr>
        <w:t>VE</w:t>
      </w:r>
      <w:r w:rsidR="00E17D4F">
        <w:rPr>
          <w:szCs w:val="24"/>
        </w:rPr>
        <w:t xml:space="preserve"> surveys </w:t>
      </w:r>
      <w:r w:rsidR="00E17D4F" w:rsidRPr="00E17D4F">
        <w:rPr>
          <w:szCs w:val="24"/>
        </w:rPr>
        <w:t xml:space="preserve">will be developed to be used as either stand-alone surveys or to be used as supplemental item sets that can be added to the existing </w:t>
      </w:r>
      <w:r w:rsidR="00E17D4F">
        <w:rPr>
          <w:szCs w:val="24"/>
        </w:rPr>
        <w:t>AHRQ Surveys on Patient Safety Culture (</w:t>
      </w:r>
      <w:r w:rsidR="00E17D4F" w:rsidRPr="00E17D4F">
        <w:rPr>
          <w:szCs w:val="24"/>
        </w:rPr>
        <w:t>SOPS</w:t>
      </w:r>
      <w:r w:rsidR="00E17D4F">
        <w:rPr>
          <w:szCs w:val="24"/>
        </w:rPr>
        <w:t>)</w:t>
      </w:r>
      <w:r w:rsidR="00E17D4F" w:rsidRPr="00E17D4F">
        <w:rPr>
          <w:szCs w:val="24"/>
        </w:rPr>
        <w:t xml:space="preserve"> or other surveys hospitals or medical offices would administer to </w:t>
      </w:r>
      <w:r w:rsidR="00E17D4F">
        <w:rPr>
          <w:szCs w:val="24"/>
        </w:rPr>
        <w:t>s</w:t>
      </w:r>
      <w:r w:rsidR="00E17D4F" w:rsidRPr="00E17D4F">
        <w:rPr>
          <w:szCs w:val="24"/>
        </w:rPr>
        <w:t>taff.</w:t>
      </w:r>
    </w:p>
    <w:p w:rsidR="00E17D4F" w:rsidRDefault="00E17D4F" w:rsidP="004C71E5">
      <w:pPr>
        <w:ind w:left="360"/>
        <w:rPr>
          <w:szCs w:val="24"/>
        </w:rPr>
      </w:pPr>
    </w:p>
    <w:p w:rsidR="00810455" w:rsidRDefault="00F93E50" w:rsidP="0039714C">
      <w:pPr>
        <w:pStyle w:val="ListParagraph"/>
        <w:ind w:left="0"/>
        <w:rPr>
          <w:color w:val="333333"/>
          <w:szCs w:val="24"/>
          <w:shd w:val="clear" w:color="auto" w:fill="FFFFFF"/>
        </w:rPr>
      </w:pPr>
      <w:proofErr w:type="gramStart"/>
      <w:r w:rsidRPr="00E17D4F">
        <w:rPr>
          <w:b/>
        </w:rPr>
        <w:lastRenderedPageBreak/>
        <w:t>CV checklist.</w:t>
      </w:r>
      <w:proofErr w:type="gramEnd"/>
      <w:r w:rsidR="00E17D4F" w:rsidRPr="00E17D4F">
        <w:rPr>
          <w:b/>
        </w:rPr>
        <w:t xml:space="preserve"> </w:t>
      </w:r>
      <w:r w:rsidR="00257F05" w:rsidRPr="00E17D4F">
        <w:rPr>
          <w:szCs w:val="24"/>
          <w:shd w:val="clear" w:color="auto" w:fill="FFFFFF"/>
        </w:rPr>
        <w:t>A review of the literature indicates that s</w:t>
      </w:r>
      <w:r w:rsidR="00B255CB" w:rsidRPr="00E17D4F">
        <w:rPr>
          <w:szCs w:val="24"/>
          <w:shd w:val="clear" w:color="auto" w:fill="FFFFFF"/>
        </w:rPr>
        <w:t>hared decision making (SDM) is a process where a patient and clinician faced with more than one medically acceptable treatment option jointly decide which option is best based on</w:t>
      </w:r>
      <w:r w:rsidR="00E2584C" w:rsidRPr="00E17D4F">
        <w:rPr>
          <w:szCs w:val="24"/>
          <w:shd w:val="clear" w:color="auto" w:fill="FFFFFF"/>
        </w:rPr>
        <w:t xml:space="preserve"> costs,</w:t>
      </w:r>
      <w:r w:rsidR="00B255CB" w:rsidRPr="00E17D4F">
        <w:rPr>
          <w:szCs w:val="24"/>
          <w:shd w:val="clear" w:color="auto" w:fill="FFFFFF"/>
        </w:rPr>
        <w:t xml:space="preserve"> current evidence and the patient</w:t>
      </w:r>
      <w:r w:rsidR="00257F05" w:rsidRPr="00E17D4F">
        <w:rPr>
          <w:szCs w:val="24"/>
          <w:shd w:val="clear" w:color="auto" w:fill="FFFFFF"/>
        </w:rPr>
        <w:t>’</w:t>
      </w:r>
      <w:r w:rsidR="00B255CB" w:rsidRPr="00E17D4F">
        <w:rPr>
          <w:szCs w:val="24"/>
          <w:shd w:val="clear" w:color="auto" w:fill="FFFFFF"/>
        </w:rPr>
        <w:t>s needs, preferences and values. Many believe shared decision making can help bridge the gap between the care patients want and the care they receive. At the same time, SDM may help constrain heath care spending by avoiding treatments that patients don’t want. However, barriers exist to wider use of shared decision making</w:t>
      </w:r>
      <w:r w:rsidR="00E2584C" w:rsidRPr="00E17D4F">
        <w:rPr>
          <w:szCs w:val="24"/>
          <w:shd w:val="clear" w:color="auto" w:fill="FFFFFF"/>
        </w:rPr>
        <w:t xml:space="preserve"> </w:t>
      </w:r>
      <w:r w:rsidR="00B255CB" w:rsidRPr="00E17D4F">
        <w:rPr>
          <w:szCs w:val="24"/>
          <w:shd w:val="clear" w:color="auto" w:fill="FFFFFF"/>
        </w:rPr>
        <w:t xml:space="preserve">including lack of reimbursement for physicians to adopt SDM under the existing fee-for-service payment system that rewards higher service volume; </w:t>
      </w:r>
      <w:r w:rsidR="00E2584C" w:rsidRPr="00E17D4F">
        <w:rPr>
          <w:szCs w:val="24"/>
          <w:shd w:val="clear" w:color="auto" w:fill="FFFFFF"/>
        </w:rPr>
        <w:t>insufficient information on how best to train clinicians to weigh evidence and discuss treatment options for preference-sensitive conditions with patients; low health literacy; and fears they will be denied needed care.</w:t>
      </w:r>
    </w:p>
    <w:p w:rsidR="00E2584C" w:rsidRDefault="00E2584C" w:rsidP="00BC4EC9">
      <w:pPr>
        <w:rPr>
          <w:color w:val="333333"/>
          <w:szCs w:val="24"/>
          <w:shd w:val="clear" w:color="auto" w:fill="FFFFFF"/>
        </w:rPr>
      </w:pPr>
    </w:p>
    <w:p w:rsidR="008864D1" w:rsidRDefault="00C47088" w:rsidP="0039714C">
      <w:pPr>
        <w:pStyle w:val="Footer"/>
      </w:pPr>
      <w:r w:rsidRPr="00C47088">
        <w:t xml:space="preserve">In some models, the </w:t>
      </w:r>
      <w:r w:rsidR="00E2584C">
        <w:t xml:space="preserve">SDM </w:t>
      </w:r>
      <w:r w:rsidRPr="00C47088">
        <w:t>process has clearly deﬁned steps or competencies, which have been identiﬁed through focus groups or literature reviews.</w:t>
      </w:r>
      <w:r w:rsidR="00316B3C">
        <w:rPr>
          <w:rStyle w:val="FootnoteReference"/>
          <w:szCs w:val="24"/>
        </w:rPr>
        <w:footnoteReference w:id="13"/>
      </w:r>
      <w:r w:rsidR="00AB44E6">
        <w:rPr>
          <w:vertAlign w:val="superscript"/>
        </w:rPr>
        <w:t>-</w:t>
      </w:r>
      <w:r w:rsidR="007A1FC0" w:rsidRPr="00AB44E6">
        <w:rPr>
          <w:rStyle w:val="FootnoteReference"/>
          <w:vanish/>
          <w:szCs w:val="24"/>
        </w:rPr>
        <w:footnoteReference w:id="14"/>
      </w:r>
      <w:r w:rsidRPr="00AB44E6">
        <w:rPr>
          <w:vanish/>
        </w:rPr>
        <w:t xml:space="preserve"> </w:t>
      </w:r>
      <w:r w:rsidR="00AB44E6" w:rsidRPr="00AB44E6">
        <w:rPr>
          <w:rStyle w:val="FootnoteReference"/>
          <w:vanish/>
        </w:rPr>
        <w:footnoteReference w:id="15"/>
      </w:r>
      <w:r w:rsidR="00AB44E6" w:rsidRPr="00AB44E6">
        <w:rPr>
          <w:vanish/>
        </w:rPr>
        <w:t xml:space="preserve"> </w:t>
      </w:r>
      <w:r w:rsidR="00AB44E6">
        <w:rPr>
          <w:rStyle w:val="FootnoteReference"/>
        </w:rPr>
        <w:footnoteReference w:id="16"/>
      </w:r>
      <w:r w:rsidR="00AB44E6">
        <w:t xml:space="preserve"> </w:t>
      </w:r>
      <w:r w:rsidRPr="00C47088">
        <w:t>In other models, the process is left to the discretion of the individual patient and clinician.</w:t>
      </w:r>
      <w:r w:rsidR="00AB44E6">
        <w:rPr>
          <w:rStyle w:val="FootnoteReference"/>
        </w:rPr>
        <w:footnoteReference w:id="17"/>
      </w:r>
      <w:r w:rsidR="00AB44E6">
        <w:rPr>
          <w:vertAlign w:val="superscript"/>
        </w:rPr>
        <w:t>,</w:t>
      </w:r>
      <w:r w:rsidR="00AB44E6">
        <w:rPr>
          <w:rStyle w:val="FootnoteReference"/>
        </w:rPr>
        <w:footnoteReference w:id="18"/>
      </w:r>
      <w:r w:rsidRPr="00C47088">
        <w:t xml:space="preserve"> Of those models that deﬁne speciﬁc steps, many acknowledge the patient’s right to relinquish the decision to the clinician and pr</w:t>
      </w:r>
      <w:r w:rsidR="001753E2">
        <w:t>oceed in a paternalistic model,</w:t>
      </w:r>
      <w:r w:rsidR="001753E2">
        <w:rPr>
          <w:rStyle w:val="FootnoteReference"/>
        </w:rPr>
        <w:footnoteReference w:id="19"/>
      </w:r>
      <w:r w:rsidRPr="00C47088">
        <w:t xml:space="preserve"> several call for evidence-based presentations of information,</w:t>
      </w:r>
      <w:r w:rsidR="001753E2">
        <w:rPr>
          <w:rStyle w:val="FootnoteReference"/>
        </w:rPr>
        <w:footnoteReference w:id="20"/>
      </w:r>
      <w:r w:rsidR="001753E2">
        <w:rPr>
          <w:vertAlign w:val="superscript"/>
        </w:rPr>
        <w:t>,</w:t>
      </w:r>
      <w:r w:rsidR="001753E2">
        <w:rPr>
          <w:rStyle w:val="FootnoteReference"/>
        </w:rPr>
        <w:footnoteReference w:id="21"/>
      </w:r>
      <w:r w:rsidRPr="00C47088">
        <w:t xml:space="preserve"> a few call for physicians to express their preferences,</w:t>
      </w:r>
      <w:r w:rsidR="001753E2">
        <w:rPr>
          <w:rStyle w:val="FootnoteReference"/>
        </w:rPr>
        <w:footnoteReference w:id="22"/>
      </w:r>
      <w:r w:rsidR="001753E2">
        <w:rPr>
          <w:vertAlign w:val="superscript"/>
        </w:rPr>
        <w:t>,</w:t>
      </w:r>
      <w:r w:rsidR="001753E2">
        <w:rPr>
          <w:rStyle w:val="FootnoteReference"/>
        </w:rPr>
        <w:footnoteReference w:id="23"/>
      </w:r>
      <w:r w:rsidRPr="00C47088">
        <w:t xml:space="preserve"> and a few call for an explicit check of patient understanding.</w:t>
      </w:r>
      <w:r w:rsidR="009F09F6">
        <w:rPr>
          <w:rStyle w:val="FootnoteReference"/>
        </w:rPr>
        <w:footnoteReference w:id="24"/>
      </w:r>
      <w:r w:rsidRPr="00C47088">
        <w:t xml:space="preserve">  One model</w:t>
      </w:r>
      <w:r w:rsidR="001753E2">
        <w:rPr>
          <w:rStyle w:val="FootnoteReference"/>
        </w:rPr>
        <w:footnoteReference w:id="25"/>
      </w:r>
      <w:r w:rsidRPr="00C47088">
        <w:t xml:space="preserve"> acknowledges the practical limitations of medical practice and proposes a hierarchy of decision complexity, with more complex decisions requiring a greater intensity of interaction than simple decisions.</w:t>
      </w:r>
    </w:p>
    <w:p w:rsidR="00C47088" w:rsidRDefault="00C47088" w:rsidP="00C47088">
      <w:pPr>
        <w:rPr>
          <w:szCs w:val="24"/>
        </w:rPr>
      </w:pPr>
    </w:p>
    <w:p w:rsidR="00C47088" w:rsidRDefault="00C47088" w:rsidP="0039714C">
      <w:pPr>
        <w:rPr>
          <w:szCs w:val="24"/>
        </w:rPr>
      </w:pPr>
      <w:r w:rsidRPr="00C47088">
        <w:rPr>
          <w:szCs w:val="24"/>
        </w:rPr>
        <w:t>Systematic reviews of decision aids, which are based on the tenets of shared decision making and provide patient education and values clariﬁcation, have shown no consistent demonstr</w:t>
      </w:r>
      <w:r w:rsidR="00EA4D36">
        <w:rPr>
          <w:szCs w:val="24"/>
        </w:rPr>
        <w:t>able effect on health outcomes.</w:t>
      </w:r>
      <w:r w:rsidRPr="00EA4D36">
        <w:rPr>
          <w:szCs w:val="24"/>
          <w:vertAlign w:val="superscript"/>
        </w:rPr>
        <w:t>27–32</w:t>
      </w:r>
      <w:r w:rsidRPr="00C47088">
        <w:rPr>
          <w:szCs w:val="24"/>
        </w:rPr>
        <w:t xml:space="preserve"> This result might have been anticipated because decision aids help patients choose among alternatives in which the balance of beneﬁts and harms is a “close call,” </w:t>
      </w:r>
      <w:r w:rsidRPr="00C47088">
        <w:rPr>
          <w:szCs w:val="24"/>
        </w:rPr>
        <w:lastRenderedPageBreak/>
        <w:t>thereby creating an environment in which the net health beneﬁt across a population of reasonable people who choose differently might ap</w:t>
      </w:r>
      <w:r w:rsidR="00EA4D36">
        <w:rPr>
          <w:szCs w:val="24"/>
        </w:rPr>
        <w:t>proach zero. Only a few studies</w:t>
      </w:r>
      <w:r w:rsidRPr="00EA4D36">
        <w:rPr>
          <w:szCs w:val="24"/>
          <w:vertAlign w:val="superscript"/>
        </w:rPr>
        <w:t>33</w:t>
      </w:r>
      <w:proofErr w:type="gramStart"/>
      <w:r w:rsidRPr="00EA4D36">
        <w:rPr>
          <w:szCs w:val="24"/>
          <w:vertAlign w:val="superscript"/>
        </w:rPr>
        <w:t>,34</w:t>
      </w:r>
      <w:proofErr w:type="gramEnd"/>
      <w:r w:rsidRPr="00C47088">
        <w:rPr>
          <w:szCs w:val="24"/>
        </w:rPr>
        <w:t xml:space="preserve"> have measured adherence to a chosen course of action; such measurements could give further insight into the effects of decision aids and shared decision making.</w:t>
      </w:r>
    </w:p>
    <w:p w:rsidR="00F6204F" w:rsidRDefault="00F6204F" w:rsidP="008F7420">
      <w:pPr>
        <w:ind w:left="450"/>
        <w:rPr>
          <w:szCs w:val="24"/>
        </w:rPr>
      </w:pPr>
    </w:p>
    <w:p w:rsidR="00F6204F" w:rsidRDefault="00FF140B" w:rsidP="0039714C">
      <w:r>
        <w:t>Several studies</w:t>
      </w:r>
      <w:r>
        <w:rPr>
          <w:rStyle w:val="FootnoteReference"/>
        </w:rPr>
        <w:footnoteReference w:id="26"/>
      </w:r>
      <w:r>
        <w:rPr>
          <w:vertAlign w:val="superscript"/>
        </w:rPr>
        <w:t>,</w:t>
      </w:r>
      <w:r>
        <w:rPr>
          <w:rStyle w:val="FootnoteReference"/>
        </w:rPr>
        <w:footnoteReference w:id="27"/>
      </w:r>
      <w:r>
        <w:t xml:space="preserve"> </w:t>
      </w:r>
      <w:r w:rsidR="00F6204F">
        <w:t xml:space="preserve">offered possible explanations for mixed interest, including lack of a clear distinction between medical problem solving, which requires tasks for which patients are not qualiﬁed, and medical decision making, which could be shared. The authors also noted that patients may not realize that medicine is an inexact science, believing that their clinicians prescribed the only treatment available </w:t>
      </w:r>
    </w:p>
    <w:p w:rsidR="00F6204F" w:rsidRDefault="00F6204F" w:rsidP="008F7420">
      <w:pPr>
        <w:ind w:left="450"/>
      </w:pPr>
    </w:p>
    <w:p w:rsidR="00F6204F" w:rsidRDefault="00F6204F" w:rsidP="0039714C">
      <w:r>
        <w:t>Other reasons for lack of interest in participation include lack of understanding that there is a decision to be made, discomfort with a new role in decision making, inexperience with clinicians employing this approach to decisions, steadfastness in preconceptions about the course of care,</w:t>
      </w:r>
      <w:r w:rsidR="009F09F6">
        <w:rPr>
          <w:rStyle w:val="FootnoteReference"/>
        </w:rPr>
        <w:footnoteReference w:id="28"/>
      </w:r>
      <w:r>
        <w:t xml:space="preserve">  membership in an ethnic group that does not value patient autonomy,</w:t>
      </w:r>
      <w:r w:rsidR="009F09F6">
        <w:rPr>
          <w:rStyle w:val="FootnoteReference"/>
        </w:rPr>
        <w:footnoteReference w:id="29"/>
      </w:r>
      <w:r>
        <w:t xml:space="preserve"> and fear of regret for decisions that turn out badly. </w:t>
      </w:r>
    </w:p>
    <w:p w:rsidR="00F6204F" w:rsidRDefault="00F6204F" w:rsidP="008F7420">
      <w:pPr>
        <w:ind w:left="450"/>
      </w:pPr>
    </w:p>
    <w:p w:rsidR="00F6204F" w:rsidRDefault="00F6204F" w:rsidP="0039714C">
      <w:r>
        <w:t>Even when patients are interested in shared decision making, inability to understand medical concepts may limit their participation. For instance, multiple studies have demonstrated that some patients have difﬁculty understanding risk concepts,</w:t>
      </w:r>
      <w:r w:rsidR="00727DD4">
        <w:rPr>
          <w:rStyle w:val="FootnoteReference"/>
        </w:rPr>
        <w:footnoteReference w:id="30"/>
      </w:r>
      <w:proofErr w:type="gramStart"/>
      <w:r w:rsidR="00727DD4">
        <w:rPr>
          <w:vertAlign w:val="superscript"/>
        </w:rPr>
        <w:t>,</w:t>
      </w:r>
      <w:proofErr w:type="gramEnd"/>
      <w:r w:rsidR="00727DD4">
        <w:rPr>
          <w:rStyle w:val="FootnoteReference"/>
        </w:rPr>
        <w:footnoteReference w:id="31"/>
      </w:r>
      <w:r>
        <w:t xml:space="preserve"> which calls into question their ability to accurately weigh the beneﬁts and harms of preventive services. Low functional literacy and numeracy, each of which affects approximately a quarter of the U.S. population,</w:t>
      </w:r>
      <w:r w:rsidR="00727DD4">
        <w:rPr>
          <w:rStyle w:val="FootnoteReference"/>
        </w:rPr>
        <w:footnoteReference w:id="32"/>
      </w:r>
      <w:r>
        <w:t xml:space="preserve"> exacerbate these difﬁculties. </w:t>
      </w:r>
    </w:p>
    <w:p w:rsidR="00F6204F" w:rsidRDefault="00F6204F" w:rsidP="008F7420">
      <w:pPr>
        <w:ind w:left="450"/>
      </w:pPr>
    </w:p>
    <w:p w:rsidR="00F6204F" w:rsidRDefault="00F6204F" w:rsidP="0039714C">
      <w:r>
        <w:t>A hierarchical approach to shared decision making (i.e., using shared decision making for some, but not all, decisions), might be expected to maximize the cost-effectiveness of shared decision making for preventive services. Even when clinicians have the necessary time and ﬁnancial support for shared decision making, additional barriers exist. Many clinicians lack training in the interviewing techniques needed to engage patients in decision making.</w:t>
      </w:r>
      <w:r w:rsidR="001753E2">
        <w:rPr>
          <w:rStyle w:val="FootnoteReference"/>
        </w:rPr>
        <w:footnoteReference w:id="33"/>
      </w:r>
      <w:r>
        <w:t xml:space="preserve"> The lack of accurate, organized scientiﬁc evidence about the beneﬁts and harms of many preventive services leads to confusion about the potential beneﬁts and harms of screening and chemoprevention services, making shared decision making more complex. </w:t>
      </w:r>
    </w:p>
    <w:p w:rsidR="00F6204F" w:rsidRPr="00BC4EC9" w:rsidRDefault="00A31657" w:rsidP="0039714C">
      <w:pPr>
        <w:rPr>
          <w:szCs w:val="24"/>
          <w:highlight w:val="yellow"/>
        </w:rPr>
      </w:pPr>
      <w:r w:rsidRPr="001753E2">
        <w:rPr>
          <w:szCs w:val="24"/>
        </w:rPr>
        <w:lastRenderedPageBreak/>
        <w:t>Patient-physician communication about cost when making treatment decisions has been promoted as a potential solution to the rising cost of oncologic care and suggested as an important component of high-quality oncologic care. In a study by Patel, et al.</w:t>
      </w:r>
      <w:r w:rsidR="001753E2">
        <w:rPr>
          <w:rStyle w:val="FootnoteReference"/>
          <w:szCs w:val="24"/>
        </w:rPr>
        <w:footnoteReference w:id="34"/>
      </w:r>
      <w:r w:rsidRPr="001753E2">
        <w:rPr>
          <w:szCs w:val="24"/>
        </w:rPr>
        <w:t xml:space="preserve"> (2009) they found only half of physicians asked about cost when prescribing </w:t>
      </w:r>
      <w:r w:rsidRPr="00063295">
        <w:rPr>
          <w:szCs w:val="24"/>
        </w:rPr>
        <w:t>new asthma medications for children and pediatricians were significantly less likely to ask than family physicians. Beard, et al.</w:t>
      </w:r>
      <w:r w:rsidR="00FF140B" w:rsidRPr="00063295">
        <w:rPr>
          <w:rStyle w:val="FootnoteReference"/>
          <w:szCs w:val="24"/>
        </w:rPr>
        <w:footnoteReference w:id="35"/>
      </w:r>
      <w:r w:rsidRPr="00063295">
        <w:rPr>
          <w:szCs w:val="24"/>
        </w:rPr>
        <w:t xml:space="preserve"> (2010) found that d</w:t>
      </w:r>
      <w:r w:rsidRPr="00063295">
        <w:rPr>
          <w:color w:val="000000"/>
          <w:shd w:val="clear" w:color="auto" w:fill="FFFFFF"/>
        </w:rPr>
        <w:t xml:space="preserve">espite medication changes being made in more than 50% of the visits, only 34% of those visits included discussions of medication-related costs; </w:t>
      </w:r>
      <w:r w:rsidR="00063295" w:rsidRPr="00063295">
        <w:rPr>
          <w:color w:val="000000"/>
          <w:shd w:val="clear" w:color="auto" w:fill="FFFFFF"/>
        </w:rPr>
        <w:t>48% of these discussions were initiated by patients.  All of these studies</w:t>
      </w:r>
      <w:r w:rsidR="00C94465" w:rsidRPr="00063295">
        <w:rPr>
          <w:color w:val="000000"/>
          <w:shd w:val="clear" w:color="auto" w:fill="FFFFFF"/>
        </w:rPr>
        <w:t xml:space="preserve"> will assist in constructing the checklist but o</w:t>
      </w:r>
      <w:r w:rsidRPr="00063295">
        <w:rPr>
          <w:color w:val="000000"/>
          <w:shd w:val="clear" w:color="auto" w:fill="FFFFFF"/>
        </w:rPr>
        <w:t xml:space="preserve">verall, </w:t>
      </w:r>
      <w:r w:rsidRPr="00063295">
        <w:rPr>
          <w:szCs w:val="24"/>
        </w:rPr>
        <w:t xml:space="preserve">little is known regarding the perspectives of patients on such discussions with their physicians. </w:t>
      </w:r>
      <w:r w:rsidR="00DD19E7" w:rsidRPr="00063295">
        <w:rPr>
          <w:szCs w:val="24"/>
        </w:rPr>
        <w:t xml:space="preserve">Developing the checklist will </w:t>
      </w:r>
      <w:r w:rsidR="00FE7DA6" w:rsidRPr="00063295">
        <w:rPr>
          <w:szCs w:val="24"/>
        </w:rPr>
        <w:t>provide</w:t>
      </w:r>
      <w:r w:rsidR="00F6204F" w:rsidRPr="00063295">
        <w:rPr>
          <w:szCs w:val="24"/>
        </w:rPr>
        <w:t xml:space="preserve"> further insight into the</w:t>
      </w:r>
      <w:r w:rsidR="00F6204F" w:rsidRPr="00F6204F">
        <w:rPr>
          <w:szCs w:val="24"/>
        </w:rPr>
        <w:t xml:space="preserve"> effects of decision aids and shared decision making.</w:t>
      </w:r>
      <w:r w:rsidR="00DD19E7">
        <w:rPr>
          <w:szCs w:val="24"/>
        </w:rPr>
        <w:t xml:space="preserve"> W</w:t>
      </w:r>
      <w:r w:rsidR="00DD19E7">
        <w:t xml:space="preserve">e believe more information is needed about what clinicians know about patient costs, what their attitudes are towards discussing value-related questions with their patients, and whether they have the communication skills required for such conversations.  </w:t>
      </w:r>
    </w:p>
    <w:p w:rsidR="00AA6EBC" w:rsidRDefault="00AA6EBC">
      <w:pPr>
        <w:spacing w:after="200" w:line="276" w:lineRule="auto"/>
        <w:rPr>
          <w:rFonts w:asciiTheme="majorHAnsi" w:eastAsiaTheme="majorEastAsia" w:hAnsiTheme="majorHAnsi" w:cstheme="majorBidi"/>
          <w:b/>
          <w:bCs/>
          <w:szCs w:val="24"/>
        </w:rPr>
      </w:pPr>
    </w:p>
    <w:p w:rsidR="00BC4EC9" w:rsidRPr="00D52166" w:rsidRDefault="00BC4EC9" w:rsidP="00BC4EC9">
      <w:pPr>
        <w:pStyle w:val="Heading2"/>
        <w:rPr>
          <w:color w:val="auto"/>
          <w:sz w:val="24"/>
          <w:szCs w:val="24"/>
        </w:rPr>
      </w:pPr>
      <w:bookmarkStart w:id="6" w:name="_Toc340836931"/>
      <w:r w:rsidRPr="00D52166">
        <w:rPr>
          <w:color w:val="auto"/>
          <w:sz w:val="24"/>
          <w:szCs w:val="24"/>
        </w:rPr>
        <w:t xml:space="preserve">5.  </w:t>
      </w:r>
      <w:r w:rsidRPr="00CE4A64">
        <w:rPr>
          <w:color w:val="auto"/>
          <w:sz w:val="24"/>
          <w:u w:val="single"/>
        </w:rPr>
        <w:t>Involvement of</w:t>
      </w:r>
      <w:r w:rsidRPr="00CE4A64">
        <w:rPr>
          <w:sz w:val="24"/>
          <w:u w:val="single"/>
        </w:rPr>
        <w:t xml:space="preserve"> </w:t>
      </w:r>
      <w:r w:rsidRPr="00CE4A64">
        <w:rPr>
          <w:color w:val="auto"/>
          <w:sz w:val="24"/>
          <w:szCs w:val="24"/>
          <w:u w:val="single"/>
        </w:rPr>
        <w:t>Small Businesses</w:t>
      </w:r>
      <w:bookmarkEnd w:id="6"/>
    </w:p>
    <w:p w:rsidR="00BC4EC9" w:rsidRPr="00D52166" w:rsidRDefault="00BC4EC9" w:rsidP="00BC4EC9">
      <w:pPr>
        <w:rPr>
          <w:szCs w:val="24"/>
        </w:rPr>
      </w:pPr>
    </w:p>
    <w:p w:rsidR="00BC4EC9" w:rsidRPr="00D52166" w:rsidRDefault="00BC4EC9" w:rsidP="00BC4EC9">
      <w:pPr>
        <w:rPr>
          <w:szCs w:val="24"/>
        </w:rPr>
      </w:pPr>
      <w:r w:rsidRPr="00D52166">
        <w:rPr>
          <w:szCs w:val="24"/>
        </w:rPr>
        <w:t xml:space="preserve">Some of the </w:t>
      </w:r>
      <w:r w:rsidR="00D52166" w:rsidRPr="00D52166">
        <w:rPr>
          <w:szCs w:val="24"/>
        </w:rPr>
        <w:t>medical offices</w:t>
      </w:r>
      <w:r w:rsidRPr="00D52166">
        <w:rPr>
          <w:szCs w:val="24"/>
        </w:rPr>
        <w:t xml:space="preserve"> participating in this pretest will be small businesses. The data collection instruments and procedures are designed to minimize burden on individual </w:t>
      </w:r>
      <w:r w:rsidR="00D52166" w:rsidRPr="00D52166">
        <w:rPr>
          <w:szCs w:val="24"/>
        </w:rPr>
        <w:t>medical office</w:t>
      </w:r>
      <w:r w:rsidRPr="00D52166">
        <w:rPr>
          <w:szCs w:val="24"/>
        </w:rPr>
        <w:t xml:space="preserve"> staff respondents and will not have a significant impact on them.</w:t>
      </w:r>
    </w:p>
    <w:p w:rsidR="00BC4EC9" w:rsidRPr="00BC4EC9" w:rsidRDefault="00BC4EC9" w:rsidP="00BC4EC9">
      <w:pPr>
        <w:rPr>
          <w:szCs w:val="24"/>
          <w:highlight w:val="yellow"/>
        </w:rPr>
      </w:pPr>
    </w:p>
    <w:p w:rsidR="00BC4EC9" w:rsidRPr="00937E29" w:rsidRDefault="00BC4EC9" w:rsidP="00BC4EC9">
      <w:pPr>
        <w:pStyle w:val="Heading2"/>
        <w:rPr>
          <w:color w:val="auto"/>
          <w:sz w:val="24"/>
          <w:szCs w:val="24"/>
        </w:rPr>
      </w:pPr>
      <w:bookmarkStart w:id="7" w:name="_Toc340836932"/>
      <w:r w:rsidRPr="00937E29">
        <w:rPr>
          <w:color w:val="auto"/>
          <w:sz w:val="24"/>
          <w:szCs w:val="24"/>
        </w:rPr>
        <w:t xml:space="preserve">6.  </w:t>
      </w:r>
      <w:r w:rsidRPr="00937E29">
        <w:rPr>
          <w:color w:val="auto"/>
          <w:sz w:val="24"/>
          <w:szCs w:val="24"/>
          <w:u w:val="single"/>
        </w:rPr>
        <w:t>Consequences if Information Collected Less Frequently</w:t>
      </w:r>
      <w:bookmarkEnd w:id="7"/>
    </w:p>
    <w:p w:rsidR="00BC4EC9" w:rsidRPr="00937E29" w:rsidRDefault="00BC4EC9" w:rsidP="00BC4EC9">
      <w:pPr>
        <w:rPr>
          <w:szCs w:val="24"/>
        </w:rPr>
      </w:pPr>
    </w:p>
    <w:p w:rsidR="00BC4EC9" w:rsidRPr="00937E29" w:rsidRDefault="00AC515F" w:rsidP="00BC4EC9">
      <w:pPr>
        <w:rPr>
          <w:szCs w:val="24"/>
        </w:rPr>
      </w:pPr>
      <w:r>
        <w:rPr>
          <w:szCs w:val="24"/>
        </w:rPr>
        <w:t>This effort is a one-time data collection</w:t>
      </w:r>
      <w:r w:rsidR="00BC4EC9" w:rsidRPr="00937E29">
        <w:rPr>
          <w:szCs w:val="24"/>
        </w:rPr>
        <w:t>.</w:t>
      </w:r>
    </w:p>
    <w:p w:rsidR="00BC4EC9" w:rsidRPr="00937E29" w:rsidRDefault="00BC4EC9" w:rsidP="00BC4EC9">
      <w:pPr>
        <w:rPr>
          <w:szCs w:val="24"/>
        </w:rPr>
      </w:pPr>
    </w:p>
    <w:p w:rsidR="00BC4EC9" w:rsidRPr="00937E29" w:rsidRDefault="00BC4EC9" w:rsidP="00BC4EC9">
      <w:pPr>
        <w:pStyle w:val="Heading2"/>
        <w:rPr>
          <w:color w:val="auto"/>
          <w:sz w:val="24"/>
          <w:szCs w:val="24"/>
        </w:rPr>
      </w:pPr>
      <w:bookmarkStart w:id="8" w:name="_Toc340836933"/>
      <w:r w:rsidRPr="00937E29">
        <w:rPr>
          <w:color w:val="auto"/>
          <w:sz w:val="24"/>
          <w:szCs w:val="24"/>
        </w:rPr>
        <w:t xml:space="preserve">7.  </w:t>
      </w:r>
      <w:r w:rsidRPr="00937E29">
        <w:rPr>
          <w:color w:val="auto"/>
          <w:sz w:val="24"/>
          <w:szCs w:val="24"/>
          <w:u w:val="single"/>
        </w:rPr>
        <w:t>Special Circumstances</w:t>
      </w:r>
      <w:bookmarkEnd w:id="8"/>
    </w:p>
    <w:p w:rsidR="00BC4EC9" w:rsidRPr="00937E29" w:rsidRDefault="00BC4EC9" w:rsidP="00BC4EC9">
      <w:pPr>
        <w:rPr>
          <w:szCs w:val="24"/>
        </w:rPr>
      </w:pPr>
    </w:p>
    <w:p w:rsidR="00BC4EC9" w:rsidRPr="00BC4EC9" w:rsidRDefault="00BC4EC9" w:rsidP="00BC4EC9">
      <w:pPr>
        <w:rPr>
          <w:szCs w:val="24"/>
          <w:highlight w:val="yellow"/>
        </w:rPr>
      </w:pPr>
      <w:r w:rsidRPr="00937E29">
        <w:rPr>
          <w:szCs w:val="24"/>
        </w:rPr>
        <w:t xml:space="preserve">The data collection efforts will be </w:t>
      </w:r>
      <w:r w:rsidRPr="00CA6029">
        <w:rPr>
          <w:szCs w:val="24"/>
        </w:rPr>
        <w:t>consistent with the guidelines at 5 CFR 1320.5(d</w:t>
      </w:r>
      <w:proofErr w:type="gramStart"/>
      <w:r w:rsidRPr="00CA6029">
        <w:rPr>
          <w:szCs w:val="24"/>
        </w:rPr>
        <w:t>)(</w:t>
      </w:r>
      <w:proofErr w:type="gramEnd"/>
      <w:r w:rsidRPr="00CA6029">
        <w:rPr>
          <w:szCs w:val="24"/>
        </w:rPr>
        <w:t>2).</w:t>
      </w:r>
    </w:p>
    <w:p w:rsidR="00BC4EC9" w:rsidRPr="00BC4EC9" w:rsidRDefault="00BC4EC9" w:rsidP="00BC4EC9">
      <w:pPr>
        <w:rPr>
          <w:b/>
          <w:szCs w:val="24"/>
          <w:highlight w:val="yellow"/>
        </w:rPr>
      </w:pPr>
    </w:p>
    <w:p w:rsidR="00BC4EC9" w:rsidRPr="00937E29" w:rsidRDefault="00BC4EC9" w:rsidP="00BC4EC9">
      <w:pPr>
        <w:pStyle w:val="Heading2"/>
        <w:rPr>
          <w:sz w:val="24"/>
          <w:szCs w:val="24"/>
        </w:rPr>
      </w:pPr>
      <w:bookmarkStart w:id="9" w:name="_Toc340836934"/>
      <w:r w:rsidRPr="00937E29">
        <w:rPr>
          <w:color w:val="auto"/>
          <w:sz w:val="24"/>
          <w:szCs w:val="24"/>
        </w:rPr>
        <w:t xml:space="preserve">8.  </w:t>
      </w:r>
      <w:r w:rsidRPr="00CE4A64">
        <w:rPr>
          <w:color w:val="auto"/>
          <w:sz w:val="24"/>
          <w:szCs w:val="24"/>
          <w:u w:val="single"/>
        </w:rPr>
        <w:t>Federal Register Notice and Outside Consultations</w:t>
      </w:r>
      <w:bookmarkEnd w:id="9"/>
      <w:r w:rsidRPr="00937E29">
        <w:rPr>
          <w:color w:val="auto"/>
          <w:sz w:val="24"/>
          <w:szCs w:val="24"/>
          <w:u w:val="single"/>
        </w:rPr>
        <w:t xml:space="preserve"> </w:t>
      </w:r>
    </w:p>
    <w:p w:rsidR="00BC4EC9" w:rsidRPr="00937E29" w:rsidRDefault="00BC4EC9" w:rsidP="00BC4EC9">
      <w:pPr>
        <w:rPr>
          <w:rFonts w:asciiTheme="majorHAnsi" w:hAnsiTheme="majorHAnsi" w:cs="Arial"/>
          <w:b/>
          <w:i/>
          <w:szCs w:val="24"/>
        </w:rPr>
      </w:pPr>
    </w:p>
    <w:p w:rsidR="00BC4EC9" w:rsidRPr="00CA6029" w:rsidRDefault="00BC4EC9" w:rsidP="00BC4EC9">
      <w:pPr>
        <w:rPr>
          <w:b/>
          <w:bCs/>
          <w:i/>
          <w:iCs/>
          <w:szCs w:val="24"/>
        </w:rPr>
      </w:pPr>
      <w:proofErr w:type="gramStart"/>
      <w:r w:rsidRPr="00CA6029">
        <w:rPr>
          <w:b/>
          <w:i/>
          <w:szCs w:val="24"/>
        </w:rPr>
        <w:t>8.a</w:t>
      </w:r>
      <w:proofErr w:type="gramEnd"/>
      <w:r w:rsidRPr="00CA6029">
        <w:rPr>
          <w:b/>
          <w:i/>
          <w:szCs w:val="24"/>
        </w:rPr>
        <w:t>.</w:t>
      </w:r>
      <w:r w:rsidRPr="00CA6029">
        <w:rPr>
          <w:szCs w:val="24"/>
        </w:rPr>
        <w:t xml:space="preserve"> </w:t>
      </w:r>
      <w:r w:rsidRPr="00CA6029">
        <w:rPr>
          <w:b/>
          <w:bCs/>
          <w:i/>
          <w:iCs/>
          <w:szCs w:val="24"/>
        </w:rPr>
        <w:t>Federal Register Notice</w:t>
      </w:r>
    </w:p>
    <w:p w:rsidR="00BC4EC9" w:rsidRPr="00CA6029" w:rsidRDefault="00BC4EC9" w:rsidP="00BC4EC9">
      <w:pPr>
        <w:rPr>
          <w:rFonts w:ascii="Arial" w:hAnsi="Arial" w:cs="Arial"/>
          <w:b/>
          <w:bCs/>
          <w:i/>
          <w:iCs/>
        </w:rPr>
      </w:pPr>
    </w:p>
    <w:p w:rsidR="00BA0A02" w:rsidRDefault="00BC4EC9" w:rsidP="00BC4EC9">
      <w:pPr>
        <w:rPr>
          <w:szCs w:val="24"/>
        </w:rPr>
      </w:pPr>
      <w:r w:rsidRPr="00CA6029">
        <w:rPr>
          <w:szCs w:val="24"/>
        </w:rPr>
        <w:t>As required by 5 CFR 1320.8(d), notice was published in the Federal Register on</w:t>
      </w:r>
      <w:r w:rsidR="00BA0A02">
        <w:rPr>
          <w:szCs w:val="24"/>
        </w:rPr>
        <w:t xml:space="preserve"> January 7</w:t>
      </w:r>
      <w:r w:rsidR="00BA0A02" w:rsidRPr="00BA0A02">
        <w:rPr>
          <w:szCs w:val="24"/>
          <w:vertAlign w:val="superscript"/>
        </w:rPr>
        <w:t>th</w:t>
      </w:r>
      <w:r w:rsidR="00BA0A02">
        <w:rPr>
          <w:szCs w:val="24"/>
        </w:rPr>
        <w:t>, 2013 for 60 days, and again on April 18</w:t>
      </w:r>
      <w:r w:rsidR="00BA0A02" w:rsidRPr="00BA0A02">
        <w:rPr>
          <w:szCs w:val="24"/>
          <w:vertAlign w:val="superscript"/>
        </w:rPr>
        <w:t>th</w:t>
      </w:r>
      <w:r w:rsidR="00BA0A02">
        <w:rPr>
          <w:szCs w:val="24"/>
        </w:rPr>
        <w:t>, 2013 for 30 days.  No substantive comments were received.  The Federal Register Notice is included as Attachment N.</w:t>
      </w:r>
    </w:p>
    <w:p w:rsidR="00BA0A02" w:rsidRDefault="00BA0A02" w:rsidP="00BC4EC9">
      <w:pPr>
        <w:rPr>
          <w:szCs w:val="24"/>
        </w:rPr>
      </w:pPr>
    </w:p>
    <w:p w:rsidR="00BC4EC9" w:rsidRPr="00937E29" w:rsidRDefault="00BA0A02" w:rsidP="00BC4EC9">
      <w:r w:rsidRPr="00937E29">
        <w:t xml:space="preserve"> </w:t>
      </w:r>
    </w:p>
    <w:p w:rsidR="00BC4EC9" w:rsidRPr="00937E29" w:rsidRDefault="00BC4EC9" w:rsidP="00BC4EC9">
      <w:pPr>
        <w:rPr>
          <w:b/>
          <w:i/>
          <w:szCs w:val="24"/>
        </w:rPr>
      </w:pPr>
      <w:proofErr w:type="gramStart"/>
      <w:r w:rsidRPr="00937E29">
        <w:rPr>
          <w:b/>
          <w:i/>
        </w:rPr>
        <w:lastRenderedPageBreak/>
        <w:t>8.b</w:t>
      </w:r>
      <w:proofErr w:type="gramEnd"/>
      <w:r w:rsidRPr="00937E29">
        <w:rPr>
          <w:b/>
          <w:i/>
        </w:rPr>
        <w:t xml:space="preserve">.  </w:t>
      </w:r>
      <w:r w:rsidRPr="00937E29">
        <w:rPr>
          <w:b/>
          <w:i/>
          <w:szCs w:val="24"/>
        </w:rPr>
        <w:t>Outside Consultations</w:t>
      </w:r>
    </w:p>
    <w:p w:rsidR="00BC4EC9" w:rsidRPr="00937E29" w:rsidRDefault="00BC4EC9" w:rsidP="00BC4EC9">
      <w:pPr>
        <w:pStyle w:val="ListParagraph"/>
        <w:ind w:left="0"/>
        <w:rPr>
          <w:szCs w:val="24"/>
        </w:rPr>
      </w:pPr>
      <w:r w:rsidRPr="00937E29">
        <w:rPr>
          <w:szCs w:val="24"/>
        </w:rPr>
        <w:t>A nu</w:t>
      </w:r>
      <w:r w:rsidR="00937E29" w:rsidRPr="00937E29">
        <w:rPr>
          <w:szCs w:val="24"/>
        </w:rPr>
        <w:t>mber of</w:t>
      </w:r>
      <w:r w:rsidRPr="00937E29">
        <w:rPr>
          <w:szCs w:val="24"/>
        </w:rPr>
        <w:t xml:space="preserve"> expert reviewers and </w:t>
      </w:r>
      <w:r w:rsidRPr="00FF496B">
        <w:rPr>
          <w:szCs w:val="24"/>
        </w:rPr>
        <w:t xml:space="preserve">consultants were </w:t>
      </w:r>
      <w:r w:rsidR="00957E26">
        <w:rPr>
          <w:szCs w:val="24"/>
        </w:rPr>
        <w:t>consulted</w:t>
      </w:r>
      <w:r w:rsidR="004E7E42">
        <w:rPr>
          <w:szCs w:val="24"/>
        </w:rPr>
        <w:t xml:space="preserve"> </w:t>
      </w:r>
      <w:r w:rsidRPr="00FF496B">
        <w:rPr>
          <w:szCs w:val="24"/>
        </w:rPr>
        <w:t xml:space="preserve">on the need for a </w:t>
      </w:r>
      <w:r w:rsidR="00937E29" w:rsidRPr="00FF496B">
        <w:rPr>
          <w:szCs w:val="24"/>
        </w:rPr>
        <w:t xml:space="preserve">value and efficiency survey for the hospital and medical office settings.  They will also be consulted for </w:t>
      </w:r>
      <w:r w:rsidRPr="00FF496B">
        <w:rPr>
          <w:szCs w:val="24"/>
        </w:rPr>
        <w:t>review and comment on the draft survey</w:t>
      </w:r>
      <w:r w:rsidR="00937E29" w:rsidRPr="00FF496B">
        <w:rPr>
          <w:szCs w:val="24"/>
        </w:rPr>
        <w:t>s</w:t>
      </w:r>
      <w:r w:rsidRPr="00FF496B">
        <w:rPr>
          <w:szCs w:val="24"/>
        </w:rPr>
        <w:t xml:space="preserve"> domains and items—see Attachment </w:t>
      </w:r>
      <w:r w:rsidR="004A6DD9">
        <w:rPr>
          <w:szCs w:val="24"/>
        </w:rPr>
        <w:t>O</w:t>
      </w:r>
      <w:r w:rsidRPr="00FF496B">
        <w:rPr>
          <w:szCs w:val="24"/>
        </w:rPr>
        <w:t xml:space="preserve"> for a list of those consulted both within and outside the Agency thus far.</w:t>
      </w:r>
      <w:r w:rsidR="00CD766C">
        <w:rPr>
          <w:szCs w:val="24"/>
        </w:rPr>
        <w:t xml:space="preserve"> Most of these individuals comprise a formal Technical Expert Panel (TEP) and will provide periodic input throughout the project.</w:t>
      </w:r>
      <w:r w:rsidR="00E87558">
        <w:rPr>
          <w:szCs w:val="24"/>
        </w:rPr>
        <w:t xml:space="preserve"> </w:t>
      </w:r>
      <w:r w:rsidR="00A30DD1">
        <w:rPr>
          <w:szCs w:val="24"/>
        </w:rPr>
        <w:t xml:space="preserve"> </w:t>
      </w:r>
    </w:p>
    <w:p w:rsidR="00BC4EC9" w:rsidRPr="00BC4EC9" w:rsidRDefault="00BC4EC9" w:rsidP="00BC4EC9">
      <w:pPr>
        <w:ind w:left="720"/>
        <w:rPr>
          <w:szCs w:val="24"/>
          <w:highlight w:val="yellow"/>
        </w:rPr>
      </w:pPr>
    </w:p>
    <w:p w:rsidR="00BC4EC9" w:rsidRPr="00937E29" w:rsidRDefault="00BC4EC9" w:rsidP="00BC4EC9">
      <w:pPr>
        <w:pStyle w:val="Heading2"/>
        <w:rPr>
          <w:color w:val="auto"/>
          <w:sz w:val="24"/>
          <w:szCs w:val="24"/>
        </w:rPr>
      </w:pPr>
      <w:bookmarkStart w:id="10" w:name="_Toc340836935"/>
      <w:r w:rsidRPr="00937E29">
        <w:rPr>
          <w:color w:val="auto"/>
          <w:sz w:val="24"/>
          <w:szCs w:val="24"/>
        </w:rPr>
        <w:t xml:space="preserve">9.  </w:t>
      </w:r>
      <w:r w:rsidRPr="00CE4A64">
        <w:rPr>
          <w:color w:val="auto"/>
          <w:sz w:val="24"/>
          <w:szCs w:val="24"/>
          <w:u w:val="single"/>
        </w:rPr>
        <w:t>Payments/Gifts to Respondents</w:t>
      </w:r>
      <w:bookmarkEnd w:id="10"/>
    </w:p>
    <w:p w:rsidR="00BC4EC9" w:rsidRPr="00937E29" w:rsidRDefault="00BC4EC9" w:rsidP="00BC4EC9">
      <w:pPr>
        <w:rPr>
          <w:szCs w:val="24"/>
        </w:rPr>
      </w:pPr>
    </w:p>
    <w:p w:rsidR="00E87558" w:rsidRDefault="00BC4EC9" w:rsidP="00BC4EC9">
      <w:pPr>
        <w:rPr>
          <w:i/>
          <w:szCs w:val="24"/>
        </w:rPr>
      </w:pPr>
      <w:r w:rsidRPr="00A30DD1">
        <w:rPr>
          <w:i/>
          <w:szCs w:val="24"/>
        </w:rPr>
        <w:t>Cognitive Interview Respondents</w:t>
      </w:r>
    </w:p>
    <w:p w:rsidR="00810455" w:rsidRDefault="00C32F8F" w:rsidP="0039714C">
      <w:pPr>
        <w:pStyle w:val="ListParagraph"/>
        <w:ind w:left="0"/>
        <w:rPr>
          <w:szCs w:val="24"/>
        </w:rPr>
      </w:pPr>
      <w:r>
        <w:rPr>
          <w:b/>
          <w:szCs w:val="24"/>
        </w:rPr>
        <w:t>VE</w:t>
      </w:r>
      <w:r w:rsidR="00E87558" w:rsidRPr="00E8060F">
        <w:rPr>
          <w:b/>
          <w:szCs w:val="24"/>
        </w:rPr>
        <w:t xml:space="preserve"> </w:t>
      </w:r>
      <w:r w:rsidR="009D245D" w:rsidRPr="00E8060F">
        <w:rPr>
          <w:b/>
          <w:szCs w:val="24"/>
        </w:rPr>
        <w:t>survey</w:t>
      </w:r>
      <w:r w:rsidR="00E87558" w:rsidRPr="00E8060F">
        <w:rPr>
          <w:b/>
          <w:szCs w:val="24"/>
        </w:rPr>
        <w:t>s</w:t>
      </w:r>
      <w:r w:rsidR="00BC4EC9" w:rsidRPr="00E8060F">
        <w:rPr>
          <w:b/>
          <w:szCs w:val="24"/>
        </w:rPr>
        <w:t>.</w:t>
      </w:r>
      <w:r w:rsidR="00BC4EC9" w:rsidRPr="00A30DD1">
        <w:rPr>
          <w:szCs w:val="24"/>
        </w:rPr>
        <w:t xml:space="preserve"> To successfully recruit </w:t>
      </w:r>
      <w:r w:rsidR="00937E29" w:rsidRPr="00A30DD1">
        <w:rPr>
          <w:szCs w:val="24"/>
        </w:rPr>
        <w:t>18</w:t>
      </w:r>
      <w:r w:rsidR="00BC4EC9" w:rsidRPr="00A30DD1">
        <w:rPr>
          <w:szCs w:val="24"/>
        </w:rPr>
        <w:t xml:space="preserve"> cognitive interview participants, it is appropriate to offer a cash incentive. We propose a $1</w:t>
      </w:r>
      <w:r w:rsidR="008829C0" w:rsidRPr="00A30DD1">
        <w:rPr>
          <w:szCs w:val="24"/>
        </w:rPr>
        <w:t>75</w:t>
      </w:r>
      <w:r w:rsidR="00BC4EC9" w:rsidRPr="00A30DD1">
        <w:rPr>
          <w:szCs w:val="24"/>
        </w:rPr>
        <w:t xml:space="preserve"> cash remuneration for</w:t>
      </w:r>
      <w:r w:rsidR="003C6534" w:rsidRPr="00A30DD1">
        <w:rPr>
          <w:szCs w:val="24"/>
        </w:rPr>
        <w:t xml:space="preserve"> hospital administrators/executives and medical office physicians and </w:t>
      </w:r>
      <w:r w:rsidR="00BC4EC9" w:rsidRPr="00A30DD1">
        <w:rPr>
          <w:szCs w:val="24"/>
        </w:rPr>
        <w:t>a $</w:t>
      </w:r>
      <w:r w:rsidR="008829C0" w:rsidRPr="00A30DD1">
        <w:rPr>
          <w:szCs w:val="24"/>
        </w:rPr>
        <w:t>100</w:t>
      </w:r>
      <w:r w:rsidR="00BC4EC9" w:rsidRPr="00A30DD1">
        <w:rPr>
          <w:szCs w:val="24"/>
        </w:rPr>
        <w:t xml:space="preserve"> cash remuneration for </w:t>
      </w:r>
      <w:r w:rsidR="008829C0" w:rsidRPr="00A30DD1">
        <w:rPr>
          <w:szCs w:val="24"/>
        </w:rPr>
        <w:t>other clinical staff</w:t>
      </w:r>
      <w:r w:rsidR="00BC4EC9" w:rsidRPr="00A30DD1">
        <w:rPr>
          <w:szCs w:val="24"/>
        </w:rPr>
        <w:t>.</w:t>
      </w:r>
    </w:p>
    <w:p w:rsidR="003D3DCA" w:rsidRDefault="003D3DCA" w:rsidP="0039714C">
      <w:pPr>
        <w:pStyle w:val="ListParagraph"/>
        <w:ind w:left="0"/>
        <w:rPr>
          <w:szCs w:val="24"/>
        </w:rPr>
      </w:pPr>
    </w:p>
    <w:p w:rsidR="00810455" w:rsidRDefault="00E87558" w:rsidP="0039714C">
      <w:pPr>
        <w:pStyle w:val="ListParagraph"/>
        <w:ind w:left="0"/>
        <w:rPr>
          <w:b/>
          <w:szCs w:val="24"/>
        </w:rPr>
      </w:pPr>
      <w:proofErr w:type="gramStart"/>
      <w:r w:rsidRPr="00AE758A">
        <w:rPr>
          <w:b/>
          <w:szCs w:val="24"/>
        </w:rPr>
        <w:t>CV checklist.</w:t>
      </w:r>
      <w:proofErr w:type="gramEnd"/>
      <w:r w:rsidR="00AE758A" w:rsidRPr="00AE758A">
        <w:rPr>
          <w:szCs w:val="24"/>
        </w:rPr>
        <w:t xml:space="preserve"> To successfully recruit </w:t>
      </w:r>
      <w:r w:rsidR="00631DFD">
        <w:rPr>
          <w:szCs w:val="24"/>
        </w:rPr>
        <w:t>18</w:t>
      </w:r>
      <w:r w:rsidR="000708BB" w:rsidRPr="00AE758A">
        <w:rPr>
          <w:szCs w:val="24"/>
        </w:rPr>
        <w:t xml:space="preserve"> </w:t>
      </w:r>
      <w:r w:rsidR="00631DFD">
        <w:rPr>
          <w:szCs w:val="24"/>
        </w:rPr>
        <w:t xml:space="preserve">cognitive </w:t>
      </w:r>
      <w:r w:rsidR="00AE758A" w:rsidRPr="00AE758A">
        <w:rPr>
          <w:szCs w:val="24"/>
        </w:rPr>
        <w:t xml:space="preserve">interview participants, it is appropriate to offer a cash incentive. We </w:t>
      </w:r>
      <w:proofErr w:type="gramStart"/>
      <w:r w:rsidR="00AE758A" w:rsidRPr="00AE758A">
        <w:rPr>
          <w:szCs w:val="24"/>
        </w:rPr>
        <w:t>propose a $</w:t>
      </w:r>
      <w:proofErr w:type="gramEnd"/>
      <w:r w:rsidR="00AE758A" w:rsidRPr="00AE758A">
        <w:rPr>
          <w:szCs w:val="24"/>
        </w:rPr>
        <w:t>175 cash remuneration for physicians</w:t>
      </w:r>
      <w:r w:rsidR="00631DFD">
        <w:rPr>
          <w:szCs w:val="24"/>
        </w:rPr>
        <w:t xml:space="preserve"> and</w:t>
      </w:r>
      <w:r w:rsidR="00AE758A" w:rsidRPr="00AE758A">
        <w:rPr>
          <w:szCs w:val="24"/>
        </w:rPr>
        <w:t xml:space="preserve"> a $100 cash remuneration for other </w:t>
      </w:r>
      <w:r w:rsidR="00631DFD">
        <w:rPr>
          <w:szCs w:val="24"/>
        </w:rPr>
        <w:t>respondents</w:t>
      </w:r>
      <w:r w:rsidR="00AE758A" w:rsidRPr="00AE758A">
        <w:rPr>
          <w:szCs w:val="24"/>
        </w:rPr>
        <w:t>.</w:t>
      </w:r>
    </w:p>
    <w:p w:rsidR="00BC4EC9" w:rsidRPr="00BC4EC9" w:rsidRDefault="00BC4EC9" w:rsidP="00BC4EC9">
      <w:pPr>
        <w:rPr>
          <w:szCs w:val="24"/>
          <w:highlight w:val="yellow"/>
        </w:rPr>
      </w:pPr>
    </w:p>
    <w:p w:rsidR="00E87558" w:rsidRDefault="00BC4EC9" w:rsidP="00BC4EC9">
      <w:pPr>
        <w:rPr>
          <w:i/>
          <w:szCs w:val="24"/>
        </w:rPr>
      </w:pPr>
      <w:r w:rsidRPr="00A42947">
        <w:rPr>
          <w:i/>
          <w:szCs w:val="24"/>
        </w:rPr>
        <w:t>Pilot Study Respondents</w:t>
      </w:r>
    </w:p>
    <w:p w:rsidR="00810455" w:rsidRDefault="00C32F8F" w:rsidP="0039714C">
      <w:pPr>
        <w:pStyle w:val="ListParagraph"/>
        <w:ind w:left="0"/>
        <w:rPr>
          <w:szCs w:val="24"/>
        </w:rPr>
      </w:pPr>
      <w:r>
        <w:rPr>
          <w:b/>
          <w:szCs w:val="24"/>
        </w:rPr>
        <w:t>VE</w:t>
      </w:r>
      <w:r w:rsidR="00E87558" w:rsidRPr="00E8060F">
        <w:rPr>
          <w:b/>
          <w:szCs w:val="24"/>
        </w:rPr>
        <w:t xml:space="preserve"> </w:t>
      </w:r>
      <w:r w:rsidR="009D245D" w:rsidRPr="00E8060F">
        <w:rPr>
          <w:b/>
          <w:szCs w:val="24"/>
        </w:rPr>
        <w:t>survey</w:t>
      </w:r>
      <w:r w:rsidR="00E87558" w:rsidRPr="00E8060F">
        <w:rPr>
          <w:b/>
          <w:szCs w:val="24"/>
        </w:rPr>
        <w:t>s</w:t>
      </w:r>
      <w:r w:rsidR="00BC4EC9" w:rsidRPr="00AD4700">
        <w:rPr>
          <w:szCs w:val="24"/>
        </w:rPr>
        <w:t>.</w:t>
      </w:r>
      <w:r w:rsidR="00BC4EC9" w:rsidRPr="00A30DD1">
        <w:rPr>
          <w:szCs w:val="24"/>
        </w:rPr>
        <w:t xml:space="preserve"> </w:t>
      </w:r>
      <w:r w:rsidR="00E87558" w:rsidRPr="00A30DD1">
        <w:rPr>
          <w:szCs w:val="24"/>
        </w:rPr>
        <w:t>W</w:t>
      </w:r>
      <w:r w:rsidR="00BC4EC9" w:rsidRPr="00A30DD1">
        <w:rPr>
          <w:szCs w:val="24"/>
        </w:rPr>
        <w:t xml:space="preserve">e plan to recruit a site-level POC in each </w:t>
      </w:r>
      <w:r w:rsidR="00A42947" w:rsidRPr="00A30DD1">
        <w:rPr>
          <w:szCs w:val="24"/>
        </w:rPr>
        <w:t>medical office</w:t>
      </w:r>
      <w:r w:rsidR="00BC4EC9" w:rsidRPr="00A30DD1">
        <w:rPr>
          <w:szCs w:val="24"/>
        </w:rPr>
        <w:t xml:space="preserve"> who will manage data collection at that </w:t>
      </w:r>
      <w:r w:rsidR="00481F33" w:rsidRPr="00A30DD1">
        <w:rPr>
          <w:szCs w:val="24"/>
        </w:rPr>
        <w:t>medical office</w:t>
      </w:r>
      <w:r w:rsidR="00BC4EC9" w:rsidRPr="00A30DD1">
        <w:rPr>
          <w:szCs w:val="24"/>
        </w:rPr>
        <w:t xml:space="preserve"> (compile sample information, distribute surveys, promote survey response, etc.)</w:t>
      </w:r>
      <w:r w:rsidR="004520D1" w:rsidRPr="00A30DD1">
        <w:rPr>
          <w:szCs w:val="24"/>
        </w:rPr>
        <w:t xml:space="preserve"> and will provide</w:t>
      </w:r>
      <w:r w:rsidR="00BC4EC9" w:rsidRPr="00A30DD1">
        <w:rPr>
          <w:szCs w:val="24"/>
        </w:rPr>
        <w:t xml:space="preserve"> $100 per </w:t>
      </w:r>
      <w:r w:rsidR="00A42947" w:rsidRPr="00A30DD1">
        <w:rPr>
          <w:szCs w:val="24"/>
        </w:rPr>
        <w:t>medical office</w:t>
      </w:r>
      <w:r w:rsidR="004520D1" w:rsidRPr="00A30DD1">
        <w:rPr>
          <w:szCs w:val="24"/>
        </w:rPr>
        <w:t xml:space="preserve"> for their participation.</w:t>
      </w:r>
      <w:r w:rsidR="00BC4EC9" w:rsidRPr="00A30DD1">
        <w:rPr>
          <w:szCs w:val="24"/>
        </w:rPr>
        <w:t xml:space="preserve"> </w:t>
      </w:r>
      <w:r w:rsidR="00A42947" w:rsidRPr="00A30DD1">
        <w:rPr>
          <w:szCs w:val="24"/>
        </w:rPr>
        <w:t>For the hospital pretest, we do not propose site-level remuneration; rather, we think the benefit of receiving a complimentary feedback report on their survey results is sufficient incentive for participation.</w:t>
      </w:r>
    </w:p>
    <w:p w:rsidR="00A14A2B" w:rsidRDefault="00A14A2B" w:rsidP="004E7E42">
      <w:pPr>
        <w:pStyle w:val="ListParagraph"/>
        <w:rPr>
          <w:szCs w:val="24"/>
        </w:rPr>
      </w:pPr>
    </w:p>
    <w:p w:rsidR="00810455" w:rsidRDefault="004520D1" w:rsidP="000708BB">
      <w:pPr>
        <w:pStyle w:val="ListParagraph"/>
        <w:ind w:left="0"/>
        <w:rPr>
          <w:szCs w:val="24"/>
        </w:rPr>
      </w:pPr>
      <w:proofErr w:type="gramStart"/>
      <w:r w:rsidRPr="00AE758A">
        <w:rPr>
          <w:b/>
          <w:szCs w:val="24"/>
        </w:rPr>
        <w:t xml:space="preserve">CV </w:t>
      </w:r>
      <w:r w:rsidR="00840A56">
        <w:rPr>
          <w:b/>
          <w:szCs w:val="24"/>
        </w:rPr>
        <w:t>survey</w:t>
      </w:r>
      <w:r w:rsidRPr="00AE758A">
        <w:rPr>
          <w:b/>
          <w:szCs w:val="24"/>
        </w:rPr>
        <w:t>.</w:t>
      </w:r>
      <w:proofErr w:type="gramEnd"/>
      <w:r w:rsidR="00A42947" w:rsidRPr="00AE758A">
        <w:rPr>
          <w:b/>
          <w:szCs w:val="24"/>
        </w:rPr>
        <w:t xml:space="preserve"> </w:t>
      </w:r>
      <w:r w:rsidR="008D0767" w:rsidRPr="00A6600F">
        <w:rPr>
          <w:szCs w:val="24"/>
        </w:rPr>
        <w:t>Patients will be recruited through Craigslist and offered a $5 incentive for completing the survey.</w:t>
      </w:r>
      <w:r w:rsidR="008D0767" w:rsidRPr="00AE758A" w:rsidDel="008D0767">
        <w:rPr>
          <w:szCs w:val="24"/>
        </w:rPr>
        <w:t xml:space="preserve"> </w:t>
      </w:r>
      <w:r w:rsidR="00D84CE9">
        <w:rPr>
          <w:szCs w:val="24"/>
        </w:rPr>
        <w:t>Data collection will be a separate process from the VE surveys and POCs will manage the data collection for this part of the research.</w:t>
      </w:r>
    </w:p>
    <w:p w:rsidR="00A42947" w:rsidRPr="00AE758A" w:rsidRDefault="00A42947" w:rsidP="00AE758A">
      <w:pPr>
        <w:ind w:left="360"/>
        <w:rPr>
          <w:b/>
          <w:szCs w:val="24"/>
          <w:highlight w:val="yellow"/>
        </w:rPr>
      </w:pPr>
      <w:r w:rsidRPr="00AE758A">
        <w:rPr>
          <w:b/>
          <w:szCs w:val="24"/>
        </w:rPr>
        <w:t xml:space="preserve"> </w:t>
      </w:r>
    </w:p>
    <w:p w:rsidR="00BC4EC9" w:rsidRPr="00FF496B" w:rsidRDefault="00BC4EC9" w:rsidP="00BC4EC9">
      <w:pPr>
        <w:pStyle w:val="Heading2"/>
        <w:rPr>
          <w:color w:val="auto"/>
          <w:sz w:val="24"/>
          <w:szCs w:val="24"/>
        </w:rPr>
      </w:pPr>
      <w:bookmarkStart w:id="11" w:name="_Toc340836936"/>
      <w:r w:rsidRPr="00FF496B">
        <w:rPr>
          <w:color w:val="auto"/>
          <w:sz w:val="24"/>
          <w:szCs w:val="24"/>
        </w:rPr>
        <w:t xml:space="preserve">10.  </w:t>
      </w:r>
      <w:r w:rsidRPr="00FF496B">
        <w:rPr>
          <w:color w:val="auto"/>
          <w:sz w:val="24"/>
          <w:szCs w:val="24"/>
          <w:u w:val="single"/>
        </w:rPr>
        <w:t>Assurance of Confidentiality</w:t>
      </w:r>
      <w:bookmarkEnd w:id="11"/>
    </w:p>
    <w:p w:rsidR="00BC4EC9" w:rsidRPr="00FF496B" w:rsidRDefault="00BC4EC9" w:rsidP="00BC4EC9">
      <w:pPr>
        <w:rPr>
          <w:szCs w:val="24"/>
        </w:rPr>
      </w:pPr>
    </w:p>
    <w:p w:rsidR="00457EB2" w:rsidRDefault="00457EB2" w:rsidP="00457EB2">
      <w:pPr>
        <w:autoSpaceDE w:val="0"/>
        <w:autoSpaceDN w:val="0"/>
        <w:adjustRightInd w:val="0"/>
      </w:pPr>
      <w:r w:rsidRPr="00012921">
        <w:t>Individuals and organizations will be assured of the confidentiality of their replies under Section 944(c) of the Public Health Service Act.  </w:t>
      </w:r>
      <w:proofErr w:type="gramStart"/>
      <w:r w:rsidRPr="00012921">
        <w:t>42 U.S.C. 299c-3(c).</w:t>
      </w:r>
      <w:proofErr w:type="gramEnd"/>
      <w:r w:rsidRPr="00012921">
        <w:t>  That law requires that information collected for research conducted or supported by AHRQ that identifies individuals or establishments be used only for the purpose for which it was supplied</w:t>
      </w:r>
      <w:r>
        <w:t xml:space="preserve">. </w:t>
      </w:r>
    </w:p>
    <w:p w:rsidR="00BC4EC9" w:rsidRPr="00D52166" w:rsidRDefault="00BC4EC9" w:rsidP="00BC4EC9">
      <w:pPr>
        <w:rPr>
          <w:szCs w:val="24"/>
        </w:rPr>
      </w:pPr>
    </w:p>
    <w:p w:rsidR="00BC4EC9" w:rsidRPr="00D52166" w:rsidRDefault="00BC4EC9" w:rsidP="00BC4EC9">
      <w:pPr>
        <w:rPr>
          <w:color w:val="000000"/>
          <w:szCs w:val="24"/>
        </w:rPr>
      </w:pPr>
      <w:r w:rsidRPr="00D52166">
        <w:rPr>
          <w:szCs w:val="24"/>
        </w:rPr>
        <w:t>Information that can directly identify the respondent, such as name and/or social security number will not be collected.</w:t>
      </w:r>
    </w:p>
    <w:p w:rsidR="00797C38" w:rsidRDefault="00797C38">
      <w:pPr>
        <w:spacing w:after="200" w:line="276" w:lineRule="auto"/>
        <w:rPr>
          <w:szCs w:val="24"/>
        </w:rPr>
      </w:pPr>
    </w:p>
    <w:p w:rsidR="00BC4EC9" w:rsidRPr="00B85315" w:rsidRDefault="00BC4EC9" w:rsidP="00BC4EC9">
      <w:pPr>
        <w:pStyle w:val="Heading2"/>
        <w:rPr>
          <w:color w:val="auto"/>
          <w:sz w:val="24"/>
          <w:szCs w:val="24"/>
        </w:rPr>
      </w:pPr>
      <w:bookmarkStart w:id="12" w:name="_Toc340836937"/>
      <w:r w:rsidRPr="00B85315">
        <w:rPr>
          <w:color w:val="auto"/>
          <w:sz w:val="24"/>
          <w:szCs w:val="24"/>
        </w:rPr>
        <w:t xml:space="preserve">11.  </w:t>
      </w:r>
      <w:r w:rsidRPr="00B85315">
        <w:rPr>
          <w:color w:val="auto"/>
          <w:sz w:val="24"/>
          <w:szCs w:val="24"/>
          <w:u w:val="single"/>
        </w:rPr>
        <w:t>Questions of a Sensitive Nature</w:t>
      </w:r>
      <w:bookmarkEnd w:id="12"/>
    </w:p>
    <w:p w:rsidR="00BC4EC9" w:rsidRPr="00B85315" w:rsidRDefault="00BC4EC9" w:rsidP="00BC4EC9">
      <w:pPr>
        <w:rPr>
          <w:szCs w:val="24"/>
        </w:rPr>
      </w:pPr>
    </w:p>
    <w:p w:rsidR="00BC4EC9" w:rsidRPr="00BC4EC9" w:rsidRDefault="00BC4EC9" w:rsidP="00BC4EC9">
      <w:pPr>
        <w:rPr>
          <w:b/>
          <w:szCs w:val="24"/>
          <w:highlight w:val="yellow"/>
        </w:rPr>
      </w:pPr>
      <w:r w:rsidRPr="00B85315">
        <w:rPr>
          <w:szCs w:val="24"/>
        </w:rPr>
        <w:t>We do not believe there are questions of a particularly sensitive nature included in the survey, but if during cognitive testing sensitivities are discovered, such questions will be modified to ensure they are not of a sensitive nature.</w:t>
      </w:r>
    </w:p>
    <w:p w:rsidR="00BC4EC9" w:rsidRPr="00ED1682" w:rsidRDefault="00631DFD" w:rsidP="00AC515F">
      <w:pPr>
        <w:spacing w:after="200" w:line="276" w:lineRule="auto"/>
        <w:rPr>
          <w:b/>
          <w:szCs w:val="24"/>
          <w:u w:val="single"/>
        </w:rPr>
      </w:pPr>
      <w:r>
        <w:rPr>
          <w:szCs w:val="24"/>
        </w:rPr>
        <w:br w:type="page"/>
      </w:r>
      <w:bookmarkStart w:id="13" w:name="_Toc340836938"/>
      <w:r w:rsidR="00824330" w:rsidRPr="00ED1682">
        <w:rPr>
          <w:b/>
          <w:szCs w:val="24"/>
        </w:rPr>
        <w:lastRenderedPageBreak/>
        <w:t xml:space="preserve">12.  </w:t>
      </w:r>
      <w:r w:rsidR="00824330" w:rsidRPr="00ED1682">
        <w:rPr>
          <w:b/>
          <w:szCs w:val="24"/>
          <w:u w:val="single"/>
        </w:rPr>
        <w:t>Estimates of Annualized Burden Hours and Costs</w:t>
      </w:r>
      <w:bookmarkEnd w:id="13"/>
    </w:p>
    <w:p w:rsidR="00C32F8F" w:rsidRDefault="00BC4EC9" w:rsidP="00BC4EC9">
      <w:pPr>
        <w:rPr>
          <w:szCs w:val="24"/>
        </w:rPr>
      </w:pPr>
      <w:r w:rsidRPr="00C84834">
        <w:rPr>
          <w:szCs w:val="24"/>
        </w:rPr>
        <w:t xml:space="preserve">Exhibit 1 shows the estimated annualized burden hours for the </w:t>
      </w:r>
      <w:r w:rsidR="00764047">
        <w:rPr>
          <w:szCs w:val="24"/>
        </w:rPr>
        <w:t>respondents</w:t>
      </w:r>
      <w:r w:rsidR="00ED7283" w:rsidRPr="00C84834">
        <w:rPr>
          <w:szCs w:val="24"/>
        </w:rPr>
        <w:t xml:space="preserve">’ </w:t>
      </w:r>
      <w:r w:rsidRPr="00C84834">
        <w:rPr>
          <w:szCs w:val="24"/>
        </w:rPr>
        <w:t>time to participate in this research.  Cognitive interviews</w:t>
      </w:r>
      <w:r w:rsidR="006D2B92">
        <w:rPr>
          <w:szCs w:val="24"/>
        </w:rPr>
        <w:t xml:space="preserve"> for the </w:t>
      </w:r>
      <w:r w:rsidR="008F6413">
        <w:rPr>
          <w:szCs w:val="24"/>
        </w:rPr>
        <w:t xml:space="preserve">Hospital </w:t>
      </w:r>
      <w:r w:rsidR="00C32F8F">
        <w:rPr>
          <w:szCs w:val="24"/>
        </w:rPr>
        <w:t>VE</w:t>
      </w:r>
      <w:r w:rsidR="006D2B92">
        <w:rPr>
          <w:szCs w:val="24"/>
        </w:rPr>
        <w:t xml:space="preserve"> survey</w:t>
      </w:r>
      <w:r w:rsidRPr="00C84834">
        <w:rPr>
          <w:szCs w:val="24"/>
        </w:rPr>
        <w:t xml:space="preserve"> will be conducted with </w:t>
      </w:r>
      <w:r w:rsidR="004520D1">
        <w:rPr>
          <w:szCs w:val="24"/>
        </w:rPr>
        <w:t xml:space="preserve">9 hospital </w:t>
      </w:r>
      <w:r w:rsidRPr="00C84834">
        <w:rPr>
          <w:szCs w:val="24"/>
        </w:rPr>
        <w:t xml:space="preserve">staff </w:t>
      </w:r>
      <w:r w:rsidR="00B85315" w:rsidRPr="00C84834">
        <w:rPr>
          <w:szCs w:val="24"/>
        </w:rPr>
        <w:t>(approximately 3 managers, 3 nurses, and 3 technicians)</w:t>
      </w:r>
      <w:r w:rsidRPr="00C84834">
        <w:rPr>
          <w:szCs w:val="24"/>
        </w:rPr>
        <w:t xml:space="preserve"> and will take about one hour and 30 minutes to complete.  </w:t>
      </w:r>
      <w:r w:rsidR="008F6413" w:rsidRPr="00C84834">
        <w:rPr>
          <w:szCs w:val="24"/>
        </w:rPr>
        <w:t>Cognitive interviews</w:t>
      </w:r>
      <w:r w:rsidR="008F6413">
        <w:rPr>
          <w:szCs w:val="24"/>
        </w:rPr>
        <w:t xml:space="preserve"> for the Medical Office </w:t>
      </w:r>
      <w:r w:rsidR="00C32F8F">
        <w:rPr>
          <w:szCs w:val="24"/>
        </w:rPr>
        <w:t>VE</w:t>
      </w:r>
      <w:r w:rsidR="008F6413">
        <w:rPr>
          <w:szCs w:val="24"/>
        </w:rPr>
        <w:t xml:space="preserve"> survey</w:t>
      </w:r>
      <w:r w:rsidR="008F6413" w:rsidRPr="00C84834">
        <w:rPr>
          <w:szCs w:val="24"/>
        </w:rPr>
        <w:t xml:space="preserve"> will be conducted with </w:t>
      </w:r>
      <w:r w:rsidR="008F6413">
        <w:rPr>
          <w:szCs w:val="24"/>
        </w:rPr>
        <w:t xml:space="preserve">9 medical office </w:t>
      </w:r>
      <w:r w:rsidR="008F6413" w:rsidRPr="00C84834">
        <w:rPr>
          <w:szCs w:val="24"/>
        </w:rPr>
        <w:t xml:space="preserve">staff (approximately 4 physicians and </w:t>
      </w:r>
      <w:r w:rsidR="008F6413">
        <w:rPr>
          <w:szCs w:val="24"/>
        </w:rPr>
        <w:t>5</w:t>
      </w:r>
      <w:r w:rsidR="008F6413" w:rsidRPr="00C84834">
        <w:rPr>
          <w:szCs w:val="24"/>
        </w:rPr>
        <w:t xml:space="preserve"> medical</w:t>
      </w:r>
      <w:r w:rsidR="008F6413">
        <w:rPr>
          <w:szCs w:val="24"/>
        </w:rPr>
        <w:t xml:space="preserve"> assistants</w:t>
      </w:r>
      <w:r w:rsidR="008F6413" w:rsidRPr="00C84834">
        <w:rPr>
          <w:szCs w:val="24"/>
        </w:rPr>
        <w:t>) and will take about one ho</w:t>
      </w:r>
      <w:r w:rsidR="008F6413">
        <w:rPr>
          <w:szCs w:val="24"/>
        </w:rPr>
        <w:t xml:space="preserve">ur and 30 minutes to complete. </w:t>
      </w:r>
      <w:r w:rsidR="000958A9">
        <w:rPr>
          <w:szCs w:val="24"/>
        </w:rPr>
        <w:t xml:space="preserve">The Hospital VE survey will be administered to about </w:t>
      </w:r>
      <w:r w:rsidR="00145C50">
        <w:rPr>
          <w:szCs w:val="24"/>
        </w:rPr>
        <w:t>4,032</w:t>
      </w:r>
      <w:r w:rsidR="000958A9">
        <w:rPr>
          <w:szCs w:val="24"/>
        </w:rPr>
        <w:t xml:space="preserve"> individuals from 42 hospitals </w:t>
      </w:r>
      <w:r w:rsidR="00145C50">
        <w:rPr>
          <w:szCs w:val="24"/>
        </w:rPr>
        <w:t>(</w:t>
      </w:r>
      <w:r w:rsidR="000958A9">
        <w:rPr>
          <w:szCs w:val="24"/>
        </w:rPr>
        <w:t xml:space="preserve">about 96 surveys per </w:t>
      </w:r>
      <w:r w:rsidR="000958A9" w:rsidRPr="000958A9">
        <w:rPr>
          <w:szCs w:val="24"/>
        </w:rPr>
        <w:t>hospital)</w:t>
      </w:r>
      <w:r w:rsidR="00504205">
        <w:rPr>
          <w:szCs w:val="24"/>
        </w:rPr>
        <w:t xml:space="preserve"> and</w:t>
      </w:r>
      <w:r w:rsidR="000958A9" w:rsidRPr="000958A9">
        <w:rPr>
          <w:szCs w:val="24"/>
        </w:rPr>
        <w:t xml:space="preserve">  </w:t>
      </w:r>
      <w:r w:rsidRPr="000958A9">
        <w:rPr>
          <w:szCs w:val="24"/>
        </w:rPr>
        <w:t xml:space="preserve"> requires 15 minutes t</w:t>
      </w:r>
      <w:r w:rsidR="008F6413" w:rsidRPr="000958A9">
        <w:rPr>
          <w:szCs w:val="24"/>
        </w:rPr>
        <w:t xml:space="preserve">o complete.  </w:t>
      </w:r>
      <w:r w:rsidR="00355DA4" w:rsidRPr="000958A9">
        <w:rPr>
          <w:szCs w:val="24"/>
        </w:rPr>
        <w:t xml:space="preserve">A site-level POC will spend approximately 16 hours administering the Hospital </w:t>
      </w:r>
      <w:r w:rsidR="00961391">
        <w:rPr>
          <w:szCs w:val="24"/>
        </w:rPr>
        <w:t>VE s</w:t>
      </w:r>
      <w:r w:rsidR="00355DA4" w:rsidRPr="000958A9">
        <w:rPr>
          <w:szCs w:val="24"/>
        </w:rPr>
        <w:t xml:space="preserve">urvey.  </w:t>
      </w:r>
      <w:r w:rsidR="000958A9">
        <w:rPr>
          <w:szCs w:val="24"/>
        </w:rPr>
        <w:t xml:space="preserve">The Medical Office VE survey will be administered to about </w:t>
      </w:r>
      <w:r w:rsidR="00504205">
        <w:rPr>
          <w:szCs w:val="24"/>
        </w:rPr>
        <w:t>504</w:t>
      </w:r>
      <w:r w:rsidR="000958A9">
        <w:rPr>
          <w:szCs w:val="24"/>
        </w:rPr>
        <w:t xml:space="preserve"> individuals from 96 medical offices </w:t>
      </w:r>
      <w:r w:rsidR="00504205">
        <w:rPr>
          <w:szCs w:val="24"/>
        </w:rPr>
        <w:t>(</w:t>
      </w:r>
      <w:r w:rsidR="000958A9">
        <w:rPr>
          <w:szCs w:val="24"/>
        </w:rPr>
        <w:t xml:space="preserve">about 5 surveys per medical office) </w:t>
      </w:r>
      <w:r w:rsidR="00504205">
        <w:rPr>
          <w:szCs w:val="24"/>
        </w:rPr>
        <w:t xml:space="preserve">and </w:t>
      </w:r>
      <w:r w:rsidR="008F6413" w:rsidRPr="000958A9">
        <w:rPr>
          <w:szCs w:val="24"/>
        </w:rPr>
        <w:t xml:space="preserve">requires 15 minutes to complete.  </w:t>
      </w:r>
      <w:r w:rsidR="00355DA4" w:rsidRPr="000958A9">
        <w:rPr>
          <w:szCs w:val="24"/>
        </w:rPr>
        <w:t>A site-level POC will spend approximately 6 hours</w:t>
      </w:r>
      <w:r w:rsidR="00355DA4">
        <w:rPr>
          <w:szCs w:val="24"/>
        </w:rPr>
        <w:t xml:space="preserve"> admin</w:t>
      </w:r>
      <w:r w:rsidR="000958A9">
        <w:rPr>
          <w:szCs w:val="24"/>
        </w:rPr>
        <w:t>istering the Medical Office VE s</w:t>
      </w:r>
      <w:r w:rsidR="00355DA4">
        <w:rPr>
          <w:szCs w:val="24"/>
        </w:rPr>
        <w:t xml:space="preserve">urvey.  </w:t>
      </w:r>
      <w:r w:rsidR="00ED7283" w:rsidRPr="00ED7283">
        <w:rPr>
          <w:szCs w:val="24"/>
        </w:rPr>
        <w:t xml:space="preserve">The medical office </w:t>
      </w:r>
      <w:r w:rsidR="008F6413">
        <w:rPr>
          <w:szCs w:val="24"/>
        </w:rPr>
        <w:t>information form</w:t>
      </w:r>
      <w:r w:rsidR="00ED7283" w:rsidRPr="00ED7283">
        <w:rPr>
          <w:szCs w:val="24"/>
        </w:rPr>
        <w:t xml:space="preserve"> survey will be completed by a medical </w:t>
      </w:r>
      <w:r w:rsidR="008F6413">
        <w:rPr>
          <w:szCs w:val="24"/>
        </w:rPr>
        <w:t>office manager</w:t>
      </w:r>
      <w:r w:rsidR="00ED7283" w:rsidRPr="00ED7283">
        <w:rPr>
          <w:szCs w:val="24"/>
        </w:rPr>
        <w:t xml:space="preserve"> at each of the 96 </w:t>
      </w:r>
      <w:r w:rsidR="008F6413">
        <w:rPr>
          <w:szCs w:val="24"/>
        </w:rPr>
        <w:t>medical offices</w:t>
      </w:r>
      <w:r w:rsidR="00ED7283" w:rsidRPr="00ED7283">
        <w:rPr>
          <w:szCs w:val="24"/>
        </w:rPr>
        <w:t xml:space="preserve"> participating in the pretest and takes 10 minutes to complete.</w:t>
      </w:r>
      <w:r w:rsidR="006D2B92">
        <w:rPr>
          <w:szCs w:val="24"/>
        </w:rPr>
        <w:t xml:space="preserve">  </w:t>
      </w:r>
    </w:p>
    <w:p w:rsidR="00C32F8F" w:rsidRDefault="00C32F8F" w:rsidP="00BC4EC9">
      <w:pPr>
        <w:rPr>
          <w:szCs w:val="24"/>
        </w:rPr>
      </w:pPr>
    </w:p>
    <w:p w:rsidR="00BC4EC9" w:rsidRPr="003C1561" w:rsidRDefault="00963124" w:rsidP="00BC4EC9">
      <w:pPr>
        <w:rPr>
          <w:szCs w:val="24"/>
          <w:highlight w:val="yellow"/>
        </w:rPr>
      </w:pPr>
      <w:r>
        <w:rPr>
          <w:szCs w:val="24"/>
        </w:rPr>
        <w:t xml:space="preserve">One-hundred and </w:t>
      </w:r>
      <w:r w:rsidR="00840A56">
        <w:rPr>
          <w:szCs w:val="24"/>
        </w:rPr>
        <w:t>sixty</w:t>
      </w:r>
      <w:r>
        <w:rPr>
          <w:szCs w:val="24"/>
        </w:rPr>
        <w:t xml:space="preserve"> individuals (40 physicians, 40 nurses, 20 social workers, 20 health educators, and </w:t>
      </w:r>
      <w:r w:rsidR="00824350">
        <w:rPr>
          <w:szCs w:val="24"/>
        </w:rPr>
        <w:t>4</w:t>
      </w:r>
      <w:r>
        <w:rPr>
          <w:szCs w:val="24"/>
        </w:rPr>
        <w:t xml:space="preserve">0 patients) </w:t>
      </w:r>
      <w:r w:rsidRPr="00C84834">
        <w:rPr>
          <w:szCs w:val="24"/>
        </w:rPr>
        <w:t xml:space="preserve">will participate in the </w:t>
      </w:r>
      <w:r>
        <w:rPr>
          <w:szCs w:val="24"/>
        </w:rPr>
        <w:t xml:space="preserve">survey to </w:t>
      </w:r>
      <w:r w:rsidR="00FB49E3">
        <w:rPr>
          <w:szCs w:val="24"/>
        </w:rPr>
        <w:t>identify</w:t>
      </w:r>
      <w:r>
        <w:rPr>
          <w:szCs w:val="24"/>
        </w:rPr>
        <w:t xml:space="preserve"> items for the CV checklist and will take </w:t>
      </w:r>
      <w:r w:rsidRPr="00C84834">
        <w:rPr>
          <w:szCs w:val="24"/>
        </w:rPr>
        <w:t xml:space="preserve">15 minutes to complete.  </w:t>
      </w:r>
      <w:r w:rsidR="00223E5D">
        <w:rPr>
          <w:szCs w:val="24"/>
        </w:rPr>
        <w:t xml:space="preserve">Cognitive </w:t>
      </w:r>
      <w:r w:rsidR="00A543EE">
        <w:rPr>
          <w:szCs w:val="24"/>
        </w:rPr>
        <w:t>i</w:t>
      </w:r>
      <w:r w:rsidR="006D2B92" w:rsidRPr="00C84834">
        <w:rPr>
          <w:szCs w:val="24"/>
        </w:rPr>
        <w:t xml:space="preserve">nterviews </w:t>
      </w:r>
      <w:r w:rsidR="00764047">
        <w:rPr>
          <w:szCs w:val="24"/>
        </w:rPr>
        <w:t xml:space="preserve">for the </w:t>
      </w:r>
      <w:r w:rsidR="00C32F8F">
        <w:rPr>
          <w:szCs w:val="24"/>
        </w:rPr>
        <w:t>CV</w:t>
      </w:r>
      <w:r w:rsidR="00764047">
        <w:rPr>
          <w:szCs w:val="24"/>
        </w:rPr>
        <w:t xml:space="preserve"> checklist </w:t>
      </w:r>
      <w:r w:rsidR="006D2B92" w:rsidRPr="00C84834">
        <w:rPr>
          <w:szCs w:val="24"/>
        </w:rPr>
        <w:t xml:space="preserve">will be conducted with </w:t>
      </w:r>
      <w:r w:rsidR="00FB49E3">
        <w:rPr>
          <w:szCs w:val="24"/>
        </w:rPr>
        <w:t xml:space="preserve">18 individuals (9 in hospitals and 9 in medical offices, consisting of </w:t>
      </w:r>
      <w:r w:rsidR="008F6413">
        <w:rPr>
          <w:szCs w:val="24"/>
        </w:rPr>
        <w:t xml:space="preserve">approximately </w:t>
      </w:r>
      <w:r w:rsidR="00631DFD">
        <w:rPr>
          <w:szCs w:val="24"/>
        </w:rPr>
        <w:t>4</w:t>
      </w:r>
      <w:r w:rsidR="008F6413" w:rsidRPr="001A0F96">
        <w:rPr>
          <w:szCs w:val="24"/>
        </w:rPr>
        <w:t xml:space="preserve"> physicians</w:t>
      </w:r>
      <w:r w:rsidR="008662A3">
        <w:rPr>
          <w:szCs w:val="24"/>
        </w:rPr>
        <w:t xml:space="preserve">, </w:t>
      </w:r>
      <w:r w:rsidR="00631DFD">
        <w:rPr>
          <w:szCs w:val="24"/>
        </w:rPr>
        <w:t>4</w:t>
      </w:r>
      <w:r w:rsidR="008F6413" w:rsidRPr="001A0F96">
        <w:rPr>
          <w:szCs w:val="24"/>
        </w:rPr>
        <w:t xml:space="preserve"> nurses, </w:t>
      </w:r>
      <w:r w:rsidR="00631DFD">
        <w:rPr>
          <w:szCs w:val="24"/>
        </w:rPr>
        <w:t>2</w:t>
      </w:r>
      <w:r w:rsidR="008662A3">
        <w:rPr>
          <w:szCs w:val="24"/>
        </w:rPr>
        <w:t xml:space="preserve"> social worker</w:t>
      </w:r>
      <w:r w:rsidR="00631DFD">
        <w:rPr>
          <w:szCs w:val="24"/>
        </w:rPr>
        <w:t>s</w:t>
      </w:r>
      <w:r w:rsidR="008662A3">
        <w:rPr>
          <w:szCs w:val="24"/>
        </w:rPr>
        <w:t xml:space="preserve">, </w:t>
      </w:r>
      <w:r w:rsidR="00631DFD">
        <w:rPr>
          <w:szCs w:val="24"/>
        </w:rPr>
        <w:t>2</w:t>
      </w:r>
      <w:r w:rsidR="008F6413" w:rsidRPr="001A0F96">
        <w:rPr>
          <w:szCs w:val="24"/>
        </w:rPr>
        <w:t xml:space="preserve"> </w:t>
      </w:r>
      <w:r w:rsidR="003C1561" w:rsidRPr="00631DFD">
        <w:rPr>
          <w:szCs w:val="24"/>
        </w:rPr>
        <w:t>health educator</w:t>
      </w:r>
      <w:r w:rsidR="00631DFD" w:rsidRPr="00631DFD">
        <w:rPr>
          <w:szCs w:val="24"/>
        </w:rPr>
        <w:t>s</w:t>
      </w:r>
      <w:r w:rsidR="00E9283F" w:rsidRPr="00631DFD">
        <w:rPr>
          <w:szCs w:val="24"/>
        </w:rPr>
        <w:t xml:space="preserve">, and </w:t>
      </w:r>
      <w:r w:rsidR="00631DFD" w:rsidRPr="00631DFD">
        <w:rPr>
          <w:szCs w:val="24"/>
        </w:rPr>
        <w:t>6</w:t>
      </w:r>
      <w:r w:rsidR="00E9283F" w:rsidRPr="00631DFD">
        <w:rPr>
          <w:szCs w:val="24"/>
        </w:rPr>
        <w:t xml:space="preserve"> patients</w:t>
      </w:r>
      <w:r w:rsidR="008F6413" w:rsidRPr="00631DFD">
        <w:rPr>
          <w:szCs w:val="24"/>
        </w:rPr>
        <w:t xml:space="preserve">) and will take about one hour to complete. </w:t>
      </w:r>
      <w:r w:rsidR="00631DFD" w:rsidRPr="00631DFD">
        <w:rPr>
          <w:szCs w:val="24"/>
        </w:rPr>
        <w:t>One hundred</w:t>
      </w:r>
      <w:r w:rsidR="000708BB" w:rsidRPr="00631DFD">
        <w:rPr>
          <w:szCs w:val="24"/>
        </w:rPr>
        <w:t xml:space="preserve"> </w:t>
      </w:r>
      <w:r w:rsidR="008662A3" w:rsidRPr="00631DFD">
        <w:rPr>
          <w:szCs w:val="24"/>
        </w:rPr>
        <w:t>physicians</w:t>
      </w:r>
      <w:r w:rsidR="000708BB" w:rsidRPr="00631DFD">
        <w:rPr>
          <w:szCs w:val="24"/>
        </w:rPr>
        <w:t xml:space="preserve"> will participate in the </w:t>
      </w:r>
      <w:r w:rsidR="008662A3" w:rsidRPr="00631DFD">
        <w:rPr>
          <w:szCs w:val="24"/>
        </w:rPr>
        <w:t>pretest</w:t>
      </w:r>
      <w:r w:rsidR="000708BB" w:rsidRPr="00631DFD">
        <w:rPr>
          <w:szCs w:val="24"/>
        </w:rPr>
        <w:t xml:space="preserve"> of the </w:t>
      </w:r>
      <w:r w:rsidR="008662A3" w:rsidRPr="00631DFD">
        <w:rPr>
          <w:szCs w:val="24"/>
        </w:rPr>
        <w:t xml:space="preserve">CV </w:t>
      </w:r>
      <w:r w:rsidR="000708BB" w:rsidRPr="00631DFD">
        <w:rPr>
          <w:szCs w:val="24"/>
        </w:rPr>
        <w:t>checklist</w:t>
      </w:r>
      <w:r w:rsidR="00631DFD" w:rsidRPr="00631DFD">
        <w:rPr>
          <w:szCs w:val="24"/>
        </w:rPr>
        <w:t xml:space="preserve"> (50 in hospitals and 50 in medical </w:t>
      </w:r>
      <w:r w:rsidR="00631DFD" w:rsidRPr="00FB49E3">
        <w:rPr>
          <w:szCs w:val="24"/>
        </w:rPr>
        <w:t>offices)</w:t>
      </w:r>
      <w:r w:rsidR="000708BB" w:rsidRPr="00FB49E3">
        <w:rPr>
          <w:szCs w:val="24"/>
        </w:rPr>
        <w:t xml:space="preserve">. </w:t>
      </w:r>
      <w:r w:rsidR="001F1415" w:rsidRPr="00FB49E3">
        <w:rPr>
          <w:szCs w:val="24"/>
        </w:rPr>
        <w:t xml:space="preserve">The total burden is estimated to be </w:t>
      </w:r>
      <w:r w:rsidR="008662A3" w:rsidRPr="00FB49E3">
        <w:rPr>
          <w:szCs w:val="24"/>
        </w:rPr>
        <w:t>2</w:t>
      </w:r>
      <w:r w:rsidR="001F1415" w:rsidRPr="00FB49E3">
        <w:rPr>
          <w:szCs w:val="24"/>
        </w:rPr>
        <w:t>,</w:t>
      </w:r>
      <w:r w:rsidR="00FB49E3" w:rsidRPr="00FB49E3">
        <w:rPr>
          <w:szCs w:val="24"/>
        </w:rPr>
        <w:t>5</w:t>
      </w:r>
      <w:r w:rsidR="00824350">
        <w:rPr>
          <w:szCs w:val="24"/>
        </w:rPr>
        <w:t>34</w:t>
      </w:r>
      <w:r w:rsidR="001F1415" w:rsidRPr="00FB49E3">
        <w:rPr>
          <w:szCs w:val="24"/>
        </w:rPr>
        <w:t xml:space="preserve"> hours annually.</w:t>
      </w:r>
    </w:p>
    <w:p w:rsidR="008F6413" w:rsidRDefault="008F6413" w:rsidP="00BC4EC9">
      <w:pPr>
        <w:rPr>
          <w:szCs w:val="24"/>
        </w:rPr>
      </w:pPr>
    </w:p>
    <w:p w:rsidR="00BC4EC9" w:rsidRDefault="00BC4EC9" w:rsidP="00BC4EC9">
      <w:pPr>
        <w:rPr>
          <w:szCs w:val="24"/>
        </w:rPr>
      </w:pPr>
      <w:r w:rsidRPr="00C84834">
        <w:rPr>
          <w:szCs w:val="24"/>
        </w:rPr>
        <w:t xml:space="preserve">Exhibit 2 shows the estimated annualized cost burden associated with the </w:t>
      </w:r>
      <w:r w:rsidR="006A5BC3">
        <w:rPr>
          <w:szCs w:val="24"/>
        </w:rPr>
        <w:t>respondents’</w:t>
      </w:r>
      <w:r w:rsidRPr="00C84834">
        <w:rPr>
          <w:szCs w:val="24"/>
        </w:rPr>
        <w:t xml:space="preserve"> time to participate in this </w:t>
      </w:r>
      <w:r w:rsidRPr="00FB49E3">
        <w:rPr>
          <w:szCs w:val="24"/>
        </w:rPr>
        <w:t xml:space="preserve">research.  The total cost burden is estimated to be </w:t>
      </w:r>
      <w:r w:rsidR="008662A3" w:rsidRPr="00FB49E3">
        <w:rPr>
          <w:szCs w:val="24"/>
        </w:rPr>
        <w:t>$11</w:t>
      </w:r>
      <w:r w:rsidR="00FB49E3" w:rsidRPr="00FB49E3">
        <w:rPr>
          <w:szCs w:val="24"/>
        </w:rPr>
        <w:t>5</w:t>
      </w:r>
      <w:r w:rsidR="008662A3" w:rsidRPr="00FB49E3">
        <w:rPr>
          <w:szCs w:val="24"/>
        </w:rPr>
        <w:t>,</w:t>
      </w:r>
      <w:r w:rsidR="00824350">
        <w:rPr>
          <w:szCs w:val="24"/>
        </w:rPr>
        <w:t>559</w:t>
      </w:r>
      <w:r w:rsidR="008662A3" w:rsidRPr="00FB49E3">
        <w:rPr>
          <w:szCs w:val="24"/>
        </w:rPr>
        <w:t xml:space="preserve"> </w:t>
      </w:r>
      <w:r w:rsidRPr="00FB49E3">
        <w:rPr>
          <w:szCs w:val="24"/>
        </w:rPr>
        <w:t>annually.</w:t>
      </w:r>
    </w:p>
    <w:p w:rsidR="00DE2225" w:rsidRDefault="00DE2225" w:rsidP="00BC4EC9">
      <w:pPr>
        <w:rPr>
          <w:szCs w:val="24"/>
        </w:rPr>
      </w:pPr>
    </w:p>
    <w:p w:rsidR="00DE2225" w:rsidRDefault="00DE2225" w:rsidP="00DE2225">
      <w:bookmarkStart w:id="14" w:name="OLE_LINK1"/>
      <w:bookmarkStart w:id="15" w:name="OLE_LINK2"/>
      <w:proofErr w:type="gramStart"/>
      <w:r>
        <w:rPr>
          <w:b/>
          <w:bCs/>
          <w:color w:val="000000"/>
        </w:rPr>
        <w:t>Exhibit 1.</w:t>
      </w:r>
      <w:proofErr w:type="gramEnd"/>
      <w:r>
        <w:rPr>
          <w:b/>
          <w:bCs/>
          <w:color w:val="000000"/>
        </w:rPr>
        <w:t>  Estimated annualized burden hours</w:t>
      </w:r>
    </w:p>
    <w:tbl>
      <w:tblPr>
        <w:tblW w:w="5000" w:type="pct"/>
        <w:tblLayout w:type="fixed"/>
        <w:tblCellMar>
          <w:left w:w="0" w:type="dxa"/>
          <w:right w:w="0" w:type="dxa"/>
        </w:tblCellMar>
        <w:tblLook w:val="0000"/>
      </w:tblPr>
      <w:tblGrid>
        <w:gridCol w:w="5245"/>
        <w:gridCol w:w="1254"/>
        <w:gridCol w:w="1350"/>
        <w:gridCol w:w="900"/>
        <w:gridCol w:w="827"/>
      </w:tblGrid>
      <w:tr w:rsidR="00DE2225" w:rsidTr="00FB49E3">
        <w:tc>
          <w:tcPr>
            <w:tcW w:w="273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Form Name</w:t>
            </w:r>
          </w:p>
        </w:tc>
        <w:tc>
          <w:tcPr>
            <w:tcW w:w="6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Number of respondents</w:t>
            </w:r>
          </w:p>
        </w:tc>
        <w:tc>
          <w:tcPr>
            <w:tcW w:w="7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225" w:rsidRPr="00E97584" w:rsidRDefault="00DE2225" w:rsidP="003C1561">
            <w:pPr>
              <w:jc w:val="center"/>
              <w:rPr>
                <w:sz w:val="20"/>
              </w:rPr>
            </w:pPr>
            <w:r w:rsidRPr="00E97584">
              <w:rPr>
                <w:sz w:val="20"/>
              </w:rPr>
              <w:t xml:space="preserve">Number of responses per </w:t>
            </w:r>
            <w:r w:rsidR="003C1561">
              <w:rPr>
                <w:sz w:val="20"/>
              </w:rPr>
              <w:t>respondent</w:t>
            </w:r>
          </w:p>
        </w:tc>
        <w:tc>
          <w:tcPr>
            <w:tcW w:w="470" w:type="pct"/>
            <w:tcBorders>
              <w:top w:val="single" w:sz="8" w:space="0" w:color="auto"/>
              <w:left w:val="nil"/>
              <w:bottom w:val="single" w:sz="8" w:space="0" w:color="auto"/>
              <w:right w:val="single" w:sz="8" w:space="0" w:color="auto"/>
            </w:tcBorders>
            <w:vAlign w:val="center"/>
          </w:tcPr>
          <w:p w:rsidR="00DE2225" w:rsidRDefault="00DE2225" w:rsidP="00B17FBB">
            <w:pPr>
              <w:jc w:val="center"/>
            </w:pPr>
            <w:r>
              <w:rPr>
                <w:color w:val="000000"/>
                <w:sz w:val="20"/>
              </w:rPr>
              <w:t>Hours per response</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Total burden hours</w:t>
            </w:r>
          </w:p>
        </w:tc>
      </w:tr>
      <w:tr w:rsidR="00C52539"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C52539" w:rsidP="00C32F8F">
            <w:r w:rsidRPr="001217E9">
              <w:rPr>
                <w:szCs w:val="24"/>
              </w:rPr>
              <w:t xml:space="preserve">Cognitive interviews </w:t>
            </w:r>
            <w:r>
              <w:rPr>
                <w:szCs w:val="24"/>
              </w:rPr>
              <w:t xml:space="preserve">for the </w:t>
            </w:r>
            <w:r w:rsidR="00173F04">
              <w:rPr>
                <w:szCs w:val="24"/>
              </w:rPr>
              <w:t xml:space="preserve">Hospital </w:t>
            </w:r>
            <w:r w:rsidR="00C32F8F">
              <w:rPr>
                <w:szCs w:val="24"/>
              </w:rPr>
              <w:t>VE</w:t>
            </w:r>
            <w:r>
              <w:rPr>
                <w:szCs w:val="24"/>
              </w:rPr>
              <w:t xml:space="preserve"> s</w:t>
            </w:r>
            <w:r w:rsidRPr="00B80CAB">
              <w:rPr>
                <w:szCs w:val="24"/>
              </w:rPr>
              <w:t>urvey</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810455" w:rsidP="008F6413">
            <w:pPr>
              <w:jc w:val="center"/>
            </w:pPr>
            <w:r>
              <w:t>9</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810455" w:rsidP="008F6413">
            <w:pPr>
              <w:jc w:val="center"/>
            </w:pPr>
            <w:r>
              <w:t>1</w:t>
            </w:r>
          </w:p>
        </w:tc>
        <w:tc>
          <w:tcPr>
            <w:tcW w:w="470" w:type="pct"/>
            <w:tcBorders>
              <w:top w:val="nil"/>
              <w:left w:val="nil"/>
              <w:bottom w:val="single" w:sz="8" w:space="0" w:color="auto"/>
              <w:right w:val="single" w:sz="8" w:space="0" w:color="auto"/>
            </w:tcBorders>
            <w:vAlign w:val="center"/>
          </w:tcPr>
          <w:p w:rsidR="00C52539" w:rsidRDefault="00810455" w:rsidP="008F6413">
            <w:pPr>
              <w:jc w:val="center"/>
            </w:pPr>
            <w:r>
              <w:t>1.5</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810455" w:rsidP="008F6413">
            <w:pPr>
              <w:jc w:val="center"/>
            </w:pPr>
            <w:r>
              <w:t>14</w:t>
            </w:r>
          </w:p>
        </w:tc>
      </w:tr>
      <w:tr w:rsidR="00173F04"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173F04" w:rsidP="00173F04">
            <w:pPr>
              <w:rPr>
                <w:szCs w:val="24"/>
              </w:rPr>
            </w:pPr>
            <w:r>
              <w:rPr>
                <w:szCs w:val="24"/>
              </w:rPr>
              <w:t xml:space="preserve">Cognitive interviews for the Medical Office </w:t>
            </w:r>
            <w:r w:rsidR="00C32F8F">
              <w:rPr>
                <w:szCs w:val="24"/>
              </w:rPr>
              <w:t>VE</w:t>
            </w:r>
            <w:r>
              <w:rPr>
                <w:szCs w:val="24"/>
              </w:rPr>
              <w:t xml:space="preserve"> survey</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173F04" w:rsidP="008F6413">
            <w:pPr>
              <w:jc w:val="center"/>
            </w:pPr>
            <w:r>
              <w:t>9</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173F04" w:rsidP="008F6413">
            <w:pPr>
              <w:jc w:val="center"/>
            </w:pPr>
            <w:r>
              <w:t>1</w:t>
            </w:r>
          </w:p>
        </w:tc>
        <w:tc>
          <w:tcPr>
            <w:tcW w:w="470" w:type="pct"/>
            <w:tcBorders>
              <w:top w:val="nil"/>
              <w:left w:val="nil"/>
              <w:bottom w:val="single" w:sz="8" w:space="0" w:color="auto"/>
              <w:right w:val="single" w:sz="8" w:space="0" w:color="auto"/>
            </w:tcBorders>
            <w:shd w:val="clear" w:color="auto" w:fill="auto"/>
            <w:vAlign w:val="center"/>
          </w:tcPr>
          <w:p w:rsidR="00173F04" w:rsidRDefault="00173F04" w:rsidP="008F6413">
            <w:pPr>
              <w:jc w:val="center"/>
            </w:pPr>
            <w:r>
              <w:t>1.5</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173F04" w:rsidP="008F6413">
            <w:pPr>
              <w:jc w:val="center"/>
            </w:pPr>
            <w:r>
              <w:t>14</w:t>
            </w:r>
          </w:p>
        </w:tc>
      </w:tr>
      <w:tr w:rsidR="00C52539"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539" w:rsidRPr="00D128E3" w:rsidRDefault="005C23AD" w:rsidP="00173F04">
            <w:r w:rsidRPr="00D128E3">
              <w:rPr>
                <w:szCs w:val="24"/>
              </w:rPr>
              <w:t xml:space="preserve">Pretest for the </w:t>
            </w:r>
            <w:r w:rsidR="00173F04" w:rsidRPr="00D128E3">
              <w:rPr>
                <w:szCs w:val="24"/>
              </w:rPr>
              <w:t xml:space="preserve">Hospital </w:t>
            </w:r>
            <w:r w:rsidR="00C32F8F" w:rsidRPr="00D128E3">
              <w:rPr>
                <w:szCs w:val="24"/>
              </w:rPr>
              <w:t>VE</w:t>
            </w:r>
            <w:r w:rsidRPr="00D128E3">
              <w:rPr>
                <w:szCs w:val="24"/>
              </w:rPr>
              <w:t xml:space="preserve"> survey</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539" w:rsidRPr="00D128E3" w:rsidRDefault="00810455" w:rsidP="00284388">
            <w:pPr>
              <w:jc w:val="center"/>
            </w:pPr>
            <w:r w:rsidRPr="00D128E3">
              <w:t>4,</w:t>
            </w:r>
            <w:r w:rsidR="006D2B92" w:rsidRPr="00D128E3">
              <w:t>0</w:t>
            </w:r>
            <w:r w:rsidR="00284388" w:rsidRPr="00D128E3">
              <w:t>32</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539" w:rsidRPr="00D128E3" w:rsidRDefault="003C1561" w:rsidP="008F6413">
            <w:pPr>
              <w:jc w:val="center"/>
            </w:pPr>
            <w:r w:rsidRPr="00D128E3">
              <w:t>1</w:t>
            </w:r>
          </w:p>
        </w:tc>
        <w:tc>
          <w:tcPr>
            <w:tcW w:w="470" w:type="pct"/>
            <w:tcBorders>
              <w:top w:val="nil"/>
              <w:left w:val="nil"/>
              <w:bottom w:val="single" w:sz="8" w:space="0" w:color="auto"/>
              <w:right w:val="single" w:sz="8" w:space="0" w:color="auto"/>
            </w:tcBorders>
            <w:shd w:val="clear" w:color="auto" w:fill="auto"/>
            <w:vAlign w:val="center"/>
          </w:tcPr>
          <w:p w:rsidR="00C52539" w:rsidRPr="00D128E3" w:rsidRDefault="00810455" w:rsidP="008F6413">
            <w:pPr>
              <w:jc w:val="center"/>
            </w:pPr>
            <w:r w:rsidRPr="00D128E3">
              <w:t>15/60</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539" w:rsidRPr="00D128E3" w:rsidRDefault="00810455" w:rsidP="00D128E3">
            <w:pPr>
              <w:jc w:val="center"/>
            </w:pPr>
            <w:r w:rsidRPr="00D128E3">
              <w:t>1,0</w:t>
            </w:r>
            <w:r w:rsidR="00D128E3" w:rsidRPr="00D128E3">
              <w:t>08</w:t>
            </w:r>
          </w:p>
        </w:tc>
      </w:tr>
      <w:tr w:rsidR="00173F04"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173F04" w:rsidP="00173F04">
            <w:pPr>
              <w:rPr>
                <w:szCs w:val="24"/>
              </w:rPr>
            </w:pPr>
            <w:r>
              <w:rPr>
                <w:szCs w:val="24"/>
              </w:rPr>
              <w:t xml:space="preserve">Pretest for the Medical Office </w:t>
            </w:r>
            <w:r w:rsidR="00C32F8F">
              <w:rPr>
                <w:szCs w:val="24"/>
              </w:rPr>
              <w:t>VE</w:t>
            </w:r>
            <w:r>
              <w:rPr>
                <w:szCs w:val="24"/>
              </w:rPr>
              <w:t xml:space="preserve"> survey</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173F04" w:rsidP="008F6413">
            <w:pPr>
              <w:jc w:val="center"/>
            </w:pPr>
            <w:r>
              <w:t>504</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3C1561" w:rsidP="008F6413">
            <w:pPr>
              <w:jc w:val="center"/>
            </w:pPr>
            <w:r>
              <w:t>1</w:t>
            </w:r>
          </w:p>
        </w:tc>
        <w:tc>
          <w:tcPr>
            <w:tcW w:w="470" w:type="pct"/>
            <w:tcBorders>
              <w:top w:val="nil"/>
              <w:left w:val="nil"/>
              <w:bottom w:val="single" w:sz="8" w:space="0" w:color="auto"/>
              <w:right w:val="single" w:sz="8" w:space="0" w:color="auto"/>
            </w:tcBorders>
            <w:shd w:val="clear" w:color="auto" w:fill="auto"/>
            <w:vAlign w:val="center"/>
          </w:tcPr>
          <w:p w:rsidR="00173F04" w:rsidRDefault="008F6413" w:rsidP="008F6413">
            <w:pPr>
              <w:jc w:val="center"/>
            </w:pPr>
            <w:r>
              <w:t>15/60</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3F04" w:rsidRDefault="008F6413" w:rsidP="008F6413">
            <w:pPr>
              <w:jc w:val="center"/>
            </w:pPr>
            <w:r>
              <w:t>126</w:t>
            </w:r>
          </w:p>
        </w:tc>
      </w:tr>
      <w:tr w:rsidR="002B59A4"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B59A4" w:rsidRDefault="00284388" w:rsidP="002B59A4">
            <w:pPr>
              <w:rPr>
                <w:szCs w:val="24"/>
              </w:rPr>
            </w:pPr>
            <w:r>
              <w:rPr>
                <w:szCs w:val="24"/>
              </w:rPr>
              <w:t xml:space="preserve">POC </w:t>
            </w:r>
            <w:r w:rsidR="002B59A4" w:rsidRPr="00355DA4">
              <w:rPr>
                <w:szCs w:val="24"/>
              </w:rPr>
              <w:t>Administration of the Hospital VE survey</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9A4" w:rsidRPr="00D128E3" w:rsidRDefault="002B59A4" w:rsidP="00284388">
            <w:pPr>
              <w:jc w:val="center"/>
            </w:pPr>
            <w:r w:rsidRPr="00D128E3">
              <w:t>4</w:t>
            </w:r>
            <w:r w:rsidR="00284388" w:rsidRPr="00D128E3">
              <w:t>2</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9A4" w:rsidRPr="00D128E3" w:rsidRDefault="002B59A4" w:rsidP="002B59A4">
            <w:pPr>
              <w:jc w:val="center"/>
            </w:pPr>
            <w:r w:rsidRPr="00D128E3">
              <w:t>1</w:t>
            </w:r>
          </w:p>
        </w:tc>
        <w:tc>
          <w:tcPr>
            <w:tcW w:w="470" w:type="pct"/>
            <w:tcBorders>
              <w:top w:val="nil"/>
              <w:left w:val="nil"/>
              <w:bottom w:val="single" w:sz="8" w:space="0" w:color="auto"/>
              <w:right w:val="single" w:sz="8" w:space="0" w:color="auto"/>
            </w:tcBorders>
            <w:shd w:val="clear" w:color="auto" w:fill="auto"/>
            <w:vAlign w:val="center"/>
          </w:tcPr>
          <w:p w:rsidR="002B59A4" w:rsidRPr="00D128E3" w:rsidRDefault="002B59A4" w:rsidP="002B59A4">
            <w:pPr>
              <w:jc w:val="center"/>
            </w:pPr>
            <w:r w:rsidRPr="00D128E3">
              <w:t>16</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B59A4" w:rsidRPr="00245E6F" w:rsidRDefault="002B59A4" w:rsidP="00D128E3">
            <w:pPr>
              <w:jc w:val="center"/>
              <w:rPr>
                <w:highlight w:val="yellow"/>
              </w:rPr>
            </w:pPr>
            <w:r w:rsidRPr="00D128E3">
              <w:t>6</w:t>
            </w:r>
            <w:r w:rsidR="00D128E3" w:rsidRPr="00D128E3">
              <w:t>72</w:t>
            </w:r>
          </w:p>
        </w:tc>
      </w:tr>
      <w:tr w:rsidR="0016033F"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033F" w:rsidRDefault="00284388" w:rsidP="00173F04">
            <w:pPr>
              <w:rPr>
                <w:szCs w:val="24"/>
              </w:rPr>
            </w:pPr>
            <w:r>
              <w:rPr>
                <w:szCs w:val="24"/>
              </w:rPr>
              <w:t xml:space="preserve">POC </w:t>
            </w:r>
            <w:r w:rsidR="0016033F">
              <w:rPr>
                <w:szCs w:val="24"/>
              </w:rPr>
              <w:t>Administration of the Medical Office VE survey</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033F" w:rsidRDefault="0016033F" w:rsidP="008F6413">
            <w:pPr>
              <w:jc w:val="center"/>
            </w:pPr>
            <w:r>
              <w:t>96</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033F" w:rsidRDefault="0016033F" w:rsidP="008F6413">
            <w:pPr>
              <w:jc w:val="center"/>
            </w:pPr>
            <w:r>
              <w:t>1</w:t>
            </w:r>
          </w:p>
        </w:tc>
        <w:tc>
          <w:tcPr>
            <w:tcW w:w="470" w:type="pct"/>
            <w:tcBorders>
              <w:top w:val="nil"/>
              <w:left w:val="nil"/>
              <w:bottom w:val="single" w:sz="8" w:space="0" w:color="auto"/>
              <w:right w:val="single" w:sz="8" w:space="0" w:color="auto"/>
            </w:tcBorders>
            <w:shd w:val="clear" w:color="auto" w:fill="auto"/>
            <w:vAlign w:val="center"/>
          </w:tcPr>
          <w:p w:rsidR="0016033F" w:rsidRDefault="00355DA4" w:rsidP="008F6413">
            <w:pPr>
              <w:jc w:val="center"/>
            </w:pPr>
            <w:r>
              <w:t>6</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033F" w:rsidRDefault="002B59A4" w:rsidP="008F6413">
            <w:pPr>
              <w:jc w:val="center"/>
            </w:pPr>
            <w:r>
              <w:t>576</w:t>
            </w:r>
          </w:p>
        </w:tc>
      </w:tr>
      <w:tr w:rsidR="00C52539"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5C23AD" w:rsidP="00173F04">
            <w:r>
              <w:rPr>
                <w:szCs w:val="24"/>
              </w:rPr>
              <w:t xml:space="preserve">Medical office </w:t>
            </w:r>
            <w:r w:rsidR="00173F04">
              <w:rPr>
                <w:szCs w:val="24"/>
              </w:rPr>
              <w:t xml:space="preserve">information form </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810455" w:rsidP="008F6413">
            <w:pPr>
              <w:jc w:val="center"/>
            </w:pPr>
            <w:r>
              <w:t>96</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810455" w:rsidP="008F6413">
            <w:pPr>
              <w:jc w:val="center"/>
            </w:pPr>
            <w:r>
              <w:t>1</w:t>
            </w:r>
          </w:p>
        </w:tc>
        <w:tc>
          <w:tcPr>
            <w:tcW w:w="470" w:type="pct"/>
            <w:tcBorders>
              <w:top w:val="nil"/>
              <w:left w:val="nil"/>
              <w:bottom w:val="single" w:sz="8" w:space="0" w:color="auto"/>
              <w:right w:val="single" w:sz="8" w:space="0" w:color="auto"/>
            </w:tcBorders>
            <w:shd w:val="clear" w:color="auto" w:fill="auto"/>
            <w:vAlign w:val="center"/>
          </w:tcPr>
          <w:p w:rsidR="00C52539" w:rsidRDefault="00810455" w:rsidP="008F6413">
            <w:pPr>
              <w:jc w:val="center"/>
            </w:pPr>
            <w:r>
              <w:t>10/60</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539" w:rsidRDefault="00810455" w:rsidP="008F6413">
            <w:pPr>
              <w:jc w:val="center"/>
            </w:pPr>
            <w:r>
              <w:t>16</w:t>
            </w:r>
          </w:p>
        </w:tc>
      </w:tr>
      <w:tr w:rsidR="00C500DF"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D72DA9" w:rsidRDefault="00C500DF" w:rsidP="00C500DF">
            <w:pPr>
              <w:rPr>
                <w:szCs w:val="24"/>
              </w:rPr>
            </w:pPr>
            <w:r w:rsidRPr="00D72DA9">
              <w:rPr>
                <w:szCs w:val="24"/>
              </w:rPr>
              <w:t>Survey to identify items for CV checklist</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C500DF" w:rsidP="00824350">
            <w:pPr>
              <w:jc w:val="center"/>
            </w:pPr>
            <w:r w:rsidRPr="00631DFD">
              <w:t>1</w:t>
            </w:r>
            <w:r w:rsidR="00824350">
              <w:t>6</w:t>
            </w:r>
            <w:r w:rsidRPr="00631DFD">
              <w:t>0</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C500DF" w:rsidP="00C500DF">
            <w:pPr>
              <w:jc w:val="center"/>
            </w:pPr>
            <w:r w:rsidRPr="00631DFD">
              <w:t>1</w:t>
            </w:r>
          </w:p>
        </w:tc>
        <w:tc>
          <w:tcPr>
            <w:tcW w:w="470" w:type="pct"/>
            <w:tcBorders>
              <w:top w:val="nil"/>
              <w:left w:val="nil"/>
              <w:bottom w:val="single" w:sz="8" w:space="0" w:color="auto"/>
              <w:right w:val="single" w:sz="8" w:space="0" w:color="auto"/>
            </w:tcBorders>
            <w:shd w:val="clear" w:color="auto" w:fill="auto"/>
            <w:vAlign w:val="center"/>
          </w:tcPr>
          <w:p w:rsidR="00C500DF" w:rsidRPr="00631DFD" w:rsidRDefault="00C500DF" w:rsidP="00C500DF">
            <w:pPr>
              <w:jc w:val="center"/>
            </w:pPr>
            <w:r w:rsidRPr="00631DFD">
              <w:t>15/60</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824350" w:rsidP="00824350">
            <w:pPr>
              <w:jc w:val="center"/>
            </w:pPr>
            <w:r>
              <w:t>40</w:t>
            </w:r>
          </w:p>
        </w:tc>
      </w:tr>
      <w:tr w:rsidR="00C500DF"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Default="00C500DF" w:rsidP="00B91437">
            <w:r w:rsidRPr="001217E9">
              <w:rPr>
                <w:szCs w:val="24"/>
              </w:rPr>
              <w:t xml:space="preserve">Cognitive interviews </w:t>
            </w:r>
            <w:r>
              <w:rPr>
                <w:szCs w:val="24"/>
              </w:rPr>
              <w:t>for the</w:t>
            </w:r>
            <w:r w:rsidRPr="00F41A22">
              <w:rPr>
                <w:b/>
                <w:szCs w:val="24"/>
              </w:rPr>
              <w:t xml:space="preserve"> </w:t>
            </w:r>
            <w:r w:rsidRPr="00F41A22">
              <w:rPr>
                <w:szCs w:val="24"/>
              </w:rPr>
              <w:t>CV checklist</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631DFD" w:rsidP="008F6413">
            <w:pPr>
              <w:jc w:val="center"/>
            </w:pPr>
            <w:r w:rsidRPr="00631DFD">
              <w:t>18</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C500DF" w:rsidP="008F6413">
            <w:pPr>
              <w:jc w:val="center"/>
            </w:pPr>
            <w:r w:rsidRPr="00631DFD">
              <w:t>1</w:t>
            </w:r>
          </w:p>
        </w:tc>
        <w:tc>
          <w:tcPr>
            <w:tcW w:w="470" w:type="pct"/>
            <w:tcBorders>
              <w:top w:val="nil"/>
              <w:left w:val="nil"/>
              <w:bottom w:val="single" w:sz="8" w:space="0" w:color="auto"/>
              <w:right w:val="single" w:sz="8" w:space="0" w:color="auto"/>
            </w:tcBorders>
            <w:shd w:val="clear" w:color="auto" w:fill="auto"/>
            <w:vAlign w:val="center"/>
          </w:tcPr>
          <w:p w:rsidR="00C500DF" w:rsidRPr="00631DFD" w:rsidRDefault="00C500DF" w:rsidP="000708BB">
            <w:pPr>
              <w:jc w:val="center"/>
            </w:pPr>
            <w:r w:rsidRPr="00631DFD">
              <w:t>1</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631DFD" w:rsidP="008F6413">
            <w:pPr>
              <w:jc w:val="center"/>
            </w:pPr>
            <w:r w:rsidRPr="00631DFD">
              <w:t>18</w:t>
            </w:r>
          </w:p>
        </w:tc>
      </w:tr>
      <w:tr w:rsidR="00C500DF"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Default="00C500DF" w:rsidP="00F82D57">
            <w:r>
              <w:rPr>
                <w:szCs w:val="24"/>
              </w:rPr>
              <w:t>Pretest for the CV checklist</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Default="00631DFD" w:rsidP="00F82D57">
            <w:pPr>
              <w:jc w:val="center"/>
            </w:pPr>
            <w:r>
              <w:t>100</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Default="00C500DF" w:rsidP="008F6413">
            <w:pPr>
              <w:jc w:val="center"/>
            </w:pPr>
            <w:r>
              <w:t>1</w:t>
            </w:r>
          </w:p>
        </w:tc>
        <w:tc>
          <w:tcPr>
            <w:tcW w:w="470" w:type="pct"/>
            <w:tcBorders>
              <w:top w:val="nil"/>
              <w:left w:val="nil"/>
              <w:bottom w:val="single" w:sz="8" w:space="0" w:color="auto"/>
              <w:right w:val="single" w:sz="8" w:space="0" w:color="auto"/>
            </w:tcBorders>
            <w:shd w:val="clear" w:color="auto" w:fill="auto"/>
            <w:vAlign w:val="center"/>
          </w:tcPr>
          <w:p w:rsidR="00C500DF" w:rsidRDefault="00C500DF" w:rsidP="00F82D57">
            <w:pPr>
              <w:jc w:val="center"/>
            </w:pPr>
            <w:r>
              <w:t>30/60</w:t>
            </w:r>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Default="00631DFD" w:rsidP="008F6413">
            <w:pPr>
              <w:jc w:val="center"/>
            </w:pPr>
            <w:r>
              <w:t>50</w:t>
            </w:r>
          </w:p>
        </w:tc>
      </w:tr>
      <w:tr w:rsidR="00C500DF" w:rsidTr="00FB49E3">
        <w:tc>
          <w:tcPr>
            <w:tcW w:w="273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C500DF" w:rsidP="00B17FBB">
            <w:r w:rsidRPr="00631DFD">
              <w:rPr>
                <w:b/>
                <w:bCs/>
                <w:color w:val="000000"/>
                <w:sz w:val="20"/>
              </w:rPr>
              <w:t>Total</w:t>
            </w:r>
          </w:p>
        </w:tc>
        <w:tc>
          <w:tcPr>
            <w:tcW w:w="6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036143" w:rsidP="00631DFD">
            <w:pPr>
              <w:jc w:val="center"/>
            </w:pPr>
            <w:r>
              <w:t>5,0</w:t>
            </w:r>
            <w:r w:rsidR="00473640">
              <w:t>66</w:t>
            </w:r>
          </w:p>
        </w:tc>
        <w:tc>
          <w:tcPr>
            <w:tcW w:w="7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CC02DA" w:rsidP="008F6413">
            <w:pPr>
              <w:jc w:val="center"/>
            </w:pPr>
            <w:proofErr w:type="spellStart"/>
            <w:r w:rsidRPr="00631DFD">
              <w:rPr>
                <w:bCs/>
                <w:sz w:val="20"/>
              </w:rPr>
              <w:t>na</w:t>
            </w:r>
            <w:proofErr w:type="spellEnd"/>
          </w:p>
        </w:tc>
        <w:tc>
          <w:tcPr>
            <w:tcW w:w="470" w:type="pct"/>
            <w:tcBorders>
              <w:top w:val="nil"/>
              <w:left w:val="nil"/>
              <w:bottom w:val="single" w:sz="8" w:space="0" w:color="auto"/>
              <w:right w:val="single" w:sz="8" w:space="0" w:color="auto"/>
            </w:tcBorders>
            <w:vAlign w:val="center"/>
          </w:tcPr>
          <w:p w:rsidR="00C500DF" w:rsidRPr="00631DFD" w:rsidRDefault="00CC02DA" w:rsidP="008F6413">
            <w:pPr>
              <w:jc w:val="center"/>
              <w:rPr>
                <w:bCs/>
                <w:sz w:val="20"/>
              </w:rPr>
            </w:pPr>
            <w:proofErr w:type="spellStart"/>
            <w:r w:rsidRPr="00631DFD">
              <w:rPr>
                <w:bCs/>
                <w:sz w:val="20"/>
              </w:rPr>
              <w:t>na</w:t>
            </w:r>
            <w:proofErr w:type="spellEnd"/>
          </w:p>
        </w:tc>
        <w:tc>
          <w:tcPr>
            <w:tcW w:w="4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00DF" w:rsidRPr="00631DFD" w:rsidRDefault="00CC02DA" w:rsidP="00631DFD">
            <w:pPr>
              <w:jc w:val="center"/>
            </w:pPr>
            <w:r w:rsidRPr="00ED1682">
              <w:t>2,</w:t>
            </w:r>
            <w:r w:rsidR="00631DFD" w:rsidRPr="00ED1682">
              <w:t>5</w:t>
            </w:r>
            <w:r w:rsidR="00840A56">
              <w:t>34</w:t>
            </w:r>
          </w:p>
        </w:tc>
      </w:tr>
    </w:tbl>
    <w:bookmarkEnd w:id="14"/>
    <w:bookmarkEnd w:id="15"/>
    <w:p w:rsidR="00DE2225" w:rsidRDefault="00DE2225" w:rsidP="002730EB">
      <w:pPr>
        <w:rPr>
          <w:b/>
        </w:rPr>
      </w:pPr>
      <w:r>
        <w:lastRenderedPageBreak/>
        <w:t> </w:t>
      </w:r>
      <w:proofErr w:type="gramStart"/>
      <w:r w:rsidRPr="00037998">
        <w:rPr>
          <w:b/>
        </w:rPr>
        <w:t>Exhibit 2.</w:t>
      </w:r>
      <w:proofErr w:type="gramEnd"/>
      <w:r w:rsidRPr="00037998">
        <w:rPr>
          <w:b/>
        </w:rPr>
        <w:t xml:space="preserve">  Estimated annualized cost burden</w:t>
      </w:r>
    </w:p>
    <w:tbl>
      <w:tblPr>
        <w:tblW w:w="0" w:type="auto"/>
        <w:tblInd w:w="108" w:type="dxa"/>
        <w:tblCellMar>
          <w:left w:w="0" w:type="dxa"/>
          <w:right w:w="0" w:type="dxa"/>
        </w:tblCellMar>
        <w:tblLook w:val="0000"/>
      </w:tblPr>
      <w:tblGrid>
        <w:gridCol w:w="4066"/>
        <w:gridCol w:w="1328"/>
        <w:gridCol w:w="889"/>
        <w:gridCol w:w="1469"/>
        <w:gridCol w:w="1716"/>
      </w:tblGrid>
      <w:tr w:rsidR="00DE2225" w:rsidTr="008E6AB5">
        <w:tc>
          <w:tcPr>
            <w:tcW w:w="40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Form Name</w:t>
            </w:r>
          </w:p>
        </w:tc>
        <w:tc>
          <w:tcPr>
            <w:tcW w:w="13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Number of respondents</w:t>
            </w:r>
          </w:p>
        </w:tc>
        <w:tc>
          <w:tcPr>
            <w:tcW w:w="8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Total burden hours</w:t>
            </w:r>
          </w:p>
        </w:tc>
        <w:tc>
          <w:tcPr>
            <w:tcW w:w="14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Average hourly wage rate</w:t>
            </w:r>
            <w:r w:rsidR="004F38AC">
              <w:rPr>
                <w:color w:val="000000"/>
                <w:sz w:val="20"/>
              </w:rPr>
              <w:t>*</w:t>
            </w:r>
          </w:p>
        </w:tc>
        <w:tc>
          <w:tcPr>
            <w:tcW w:w="17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2225" w:rsidRDefault="00DE2225" w:rsidP="00B17FBB">
            <w:pPr>
              <w:jc w:val="center"/>
            </w:pPr>
            <w:r>
              <w:rPr>
                <w:color w:val="000000"/>
                <w:sz w:val="20"/>
              </w:rPr>
              <w:t>Total  cost burden</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r w:rsidRPr="001217E9">
              <w:rPr>
                <w:szCs w:val="24"/>
              </w:rPr>
              <w:t xml:space="preserve">Cognitive interviews </w:t>
            </w:r>
            <w:r>
              <w:rPr>
                <w:szCs w:val="24"/>
              </w:rPr>
              <w:t xml:space="preserve">for the Hospital </w:t>
            </w:r>
            <w:r w:rsidR="00C32F8F">
              <w:rPr>
                <w:szCs w:val="24"/>
              </w:rPr>
              <w:t>VE</w:t>
            </w:r>
            <w:r>
              <w:rPr>
                <w:szCs w:val="24"/>
              </w:rPr>
              <w:t xml:space="preserve"> s</w:t>
            </w:r>
            <w:r w:rsidRPr="00B80CAB">
              <w:rPr>
                <w:szCs w:val="24"/>
              </w:rPr>
              <w:t>urvey</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9</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14</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C4843" w:rsidRDefault="008F6413" w:rsidP="008F6413">
            <w:pPr>
              <w:jc w:val="center"/>
              <w:rPr>
                <w:vertAlign w:val="superscript"/>
              </w:rPr>
            </w:pPr>
            <w:r w:rsidRPr="007C4843">
              <w:t>$36.16</w:t>
            </w:r>
            <w:r w:rsidR="005E6720" w:rsidRPr="007C4843">
              <w:rPr>
                <w:vertAlign w:val="superscript"/>
              </w:rPr>
              <w:t>a</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C4843" w:rsidRDefault="008F6413" w:rsidP="006C7904">
            <w:pPr>
              <w:jc w:val="center"/>
            </w:pPr>
            <w:r w:rsidRPr="007C4843">
              <w:t>$</w:t>
            </w:r>
            <w:r w:rsidR="0082645B">
              <w:t>506</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rPr>
                <w:szCs w:val="24"/>
              </w:rPr>
            </w:pPr>
            <w:r>
              <w:rPr>
                <w:szCs w:val="24"/>
              </w:rPr>
              <w:t xml:space="preserve">Cognitive interviews for the Medical Office </w:t>
            </w:r>
            <w:r w:rsidR="00C32F8F">
              <w:rPr>
                <w:szCs w:val="24"/>
              </w:rPr>
              <w:t>VE</w:t>
            </w:r>
            <w:r>
              <w:rPr>
                <w:szCs w:val="24"/>
              </w:rPr>
              <w:t xml:space="preserve"> survey</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9</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14</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C4843" w:rsidRDefault="008F6413" w:rsidP="008F6413">
            <w:pPr>
              <w:jc w:val="center"/>
              <w:rPr>
                <w:vertAlign w:val="superscript"/>
              </w:rPr>
            </w:pPr>
            <w:r w:rsidRPr="007C4843">
              <w:t>$46.87</w:t>
            </w:r>
            <w:r w:rsidR="005E6720" w:rsidRPr="007C4843">
              <w:rPr>
                <w:vertAlign w:val="superscript"/>
              </w:rPr>
              <w:t>b</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C4843" w:rsidRDefault="008F6413" w:rsidP="002C1AA6">
            <w:pPr>
              <w:jc w:val="center"/>
            </w:pPr>
            <w:r w:rsidRPr="007C4843">
              <w:t>$</w:t>
            </w:r>
            <w:r w:rsidR="002C1AA6">
              <w:t>656</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r>
              <w:rPr>
                <w:szCs w:val="24"/>
              </w:rPr>
              <w:t xml:space="preserve">Pretest for the Hospital </w:t>
            </w:r>
            <w:r w:rsidR="00C32F8F">
              <w:rPr>
                <w:szCs w:val="24"/>
              </w:rPr>
              <w:t>VE</w:t>
            </w:r>
            <w:r>
              <w:rPr>
                <w:szCs w:val="24"/>
              </w:rPr>
              <w:t xml:space="preserve"> survey</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D128E3" w:rsidRDefault="008F6413" w:rsidP="00245E6F">
            <w:pPr>
              <w:jc w:val="center"/>
            </w:pPr>
            <w:r w:rsidRPr="00D128E3">
              <w:t>4,0</w:t>
            </w:r>
            <w:r w:rsidR="00245E6F" w:rsidRPr="00D128E3">
              <w:t>32</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D128E3" w:rsidRDefault="008F6413" w:rsidP="00D128E3">
            <w:pPr>
              <w:jc w:val="center"/>
            </w:pPr>
            <w:r w:rsidRPr="00D128E3">
              <w:t>1,0</w:t>
            </w:r>
            <w:r w:rsidR="00D128E3" w:rsidRPr="00D128E3">
              <w:t>08</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D128E3" w:rsidRDefault="008F6413" w:rsidP="007C4843">
            <w:pPr>
              <w:jc w:val="center"/>
              <w:rPr>
                <w:vertAlign w:val="superscript"/>
              </w:rPr>
            </w:pPr>
            <w:r w:rsidRPr="00D128E3">
              <w:t>$36.0</w:t>
            </w:r>
            <w:r w:rsidR="007C4843" w:rsidRPr="00D128E3">
              <w:t>2</w:t>
            </w:r>
            <w:r w:rsidR="00524DDB" w:rsidRPr="00D128E3">
              <w:rPr>
                <w:vertAlign w:val="superscript"/>
              </w:rPr>
              <w:t>c</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D128E3" w:rsidRDefault="008F6413" w:rsidP="00D128E3">
            <w:pPr>
              <w:jc w:val="center"/>
            </w:pPr>
            <w:r w:rsidRPr="00D128E3">
              <w:t>$36,3</w:t>
            </w:r>
            <w:r w:rsidR="00D128E3" w:rsidRPr="00D128E3">
              <w:t>0</w:t>
            </w:r>
            <w:r w:rsidR="00DF70BB">
              <w:t>8</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rPr>
                <w:szCs w:val="24"/>
              </w:rPr>
            </w:pPr>
            <w:r>
              <w:rPr>
                <w:szCs w:val="24"/>
              </w:rPr>
              <w:t xml:space="preserve">Pretest for the Medical Office </w:t>
            </w:r>
            <w:r w:rsidR="00C32F8F">
              <w:rPr>
                <w:szCs w:val="24"/>
              </w:rPr>
              <w:t>VE</w:t>
            </w:r>
            <w:r>
              <w:rPr>
                <w:szCs w:val="24"/>
              </w:rPr>
              <w:t xml:space="preserve"> survey</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504</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126</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3441D2" w:rsidRDefault="008F6413" w:rsidP="008F6413">
            <w:pPr>
              <w:jc w:val="center"/>
              <w:rPr>
                <w:vertAlign w:val="superscript"/>
              </w:rPr>
            </w:pPr>
            <w:r>
              <w:t>$27.73</w:t>
            </w:r>
            <w:r w:rsidR="003441D2">
              <w:rPr>
                <w:vertAlign w:val="superscript"/>
              </w:rPr>
              <w:t>d</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C500DF" w:rsidRDefault="008F6413" w:rsidP="006C7904">
            <w:pPr>
              <w:jc w:val="center"/>
              <w:rPr>
                <w:highlight w:val="yellow"/>
              </w:rPr>
            </w:pPr>
            <w:r w:rsidRPr="007C4843">
              <w:t>$3,49</w:t>
            </w:r>
            <w:r w:rsidR="006C7904" w:rsidRPr="007C4843">
              <w:t>4</w:t>
            </w:r>
          </w:p>
        </w:tc>
      </w:tr>
      <w:tr w:rsidR="002B59A4"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B59A4" w:rsidRDefault="002B59A4" w:rsidP="002B59A4">
            <w:pPr>
              <w:rPr>
                <w:szCs w:val="24"/>
              </w:rPr>
            </w:pPr>
            <w:r>
              <w:rPr>
                <w:szCs w:val="24"/>
              </w:rPr>
              <w:t>Administration of the Hospital VE survey</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9A4" w:rsidRPr="00D128E3" w:rsidRDefault="002B59A4" w:rsidP="00245E6F">
            <w:pPr>
              <w:jc w:val="center"/>
            </w:pPr>
            <w:r w:rsidRPr="00D128E3">
              <w:t>4</w:t>
            </w:r>
            <w:r w:rsidR="00245E6F" w:rsidRPr="00D128E3">
              <w:t>2</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9A4" w:rsidRPr="00D128E3" w:rsidRDefault="00D128E3" w:rsidP="008F6413">
            <w:pPr>
              <w:jc w:val="center"/>
            </w:pPr>
            <w:r w:rsidRPr="00D128E3">
              <w:t>672</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9A4" w:rsidRPr="00D128E3" w:rsidRDefault="006C7904" w:rsidP="008F6413">
            <w:pPr>
              <w:jc w:val="center"/>
            </w:pPr>
            <w:r w:rsidRPr="00D128E3">
              <w:t>$55.80</w:t>
            </w:r>
            <w:r w:rsidRPr="00D128E3">
              <w:rPr>
                <w:vertAlign w:val="superscript"/>
              </w:rPr>
              <w:t>e</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9A4" w:rsidRPr="00D128E3" w:rsidRDefault="007C4843" w:rsidP="00D128E3">
            <w:pPr>
              <w:jc w:val="center"/>
            </w:pPr>
            <w:r w:rsidRPr="00D128E3">
              <w:t>$</w:t>
            </w:r>
            <w:r w:rsidR="00D128E3" w:rsidRPr="00D128E3">
              <w:t>37,498</w:t>
            </w:r>
          </w:p>
        </w:tc>
      </w:tr>
      <w:tr w:rsidR="0016033F"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033F" w:rsidRDefault="0016033F" w:rsidP="008F6413">
            <w:pPr>
              <w:rPr>
                <w:szCs w:val="24"/>
              </w:rPr>
            </w:pPr>
            <w:r>
              <w:rPr>
                <w:szCs w:val="24"/>
              </w:rPr>
              <w:t>Administration of the Medical Office VE survey</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033F" w:rsidRDefault="0016033F" w:rsidP="008F6413">
            <w:pPr>
              <w:jc w:val="center"/>
            </w:pPr>
            <w:r>
              <w:t>96</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033F" w:rsidRDefault="006C7904" w:rsidP="008F6413">
            <w:pPr>
              <w:jc w:val="center"/>
            </w:pPr>
            <w:r>
              <w:t>576</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033F" w:rsidRPr="004536FD" w:rsidRDefault="006C7904" w:rsidP="006C7904">
            <w:pPr>
              <w:jc w:val="center"/>
              <w:rPr>
                <w:vertAlign w:val="superscript"/>
              </w:rPr>
            </w:pPr>
            <w:r>
              <w:t>$50.98</w:t>
            </w:r>
            <w:r>
              <w:rPr>
                <w:vertAlign w:val="superscript"/>
              </w:rPr>
              <w:t>f</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033F" w:rsidRPr="007C4843" w:rsidRDefault="007C4843" w:rsidP="008F6413">
            <w:pPr>
              <w:jc w:val="center"/>
            </w:pPr>
            <w:r w:rsidRPr="007C4843">
              <w:t>$29,364</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r>
              <w:rPr>
                <w:szCs w:val="24"/>
              </w:rPr>
              <w:t>Medical office information form</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96</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8F6413">
            <w:pPr>
              <w:jc w:val="center"/>
            </w:pPr>
            <w:r>
              <w:t>16</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4536FD" w:rsidRDefault="008F6413" w:rsidP="006C7904">
            <w:pPr>
              <w:jc w:val="center"/>
              <w:rPr>
                <w:vertAlign w:val="superscript"/>
              </w:rPr>
            </w:pPr>
            <w:r>
              <w:t>$50.98</w:t>
            </w:r>
            <w:r w:rsidR="002D1FDB">
              <w:rPr>
                <w:vertAlign w:val="superscript"/>
              </w:rPr>
              <w:t>f</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C4843" w:rsidRDefault="008F6413" w:rsidP="007C4843">
            <w:pPr>
              <w:jc w:val="center"/>
            </w:pPr>
            <w:r w:rsidRPr="007C4843">
              <w:t>$</w:t>
            </w:r>
            <w:r w:rsidR="00DF70BB">
              <w:t>816</w:t>
            </w:r>
          </w:p>
        </w:tc>
      </w:tr>
      <w:tr w:rsidR="00CD176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D1763" w:rsidRPr="00D72DA9" w:rsidRDefault="00CD1763" w:rsidP="00CD1763">
            <w:pPr>
              <w:rPr>
                <w:szCs w:val="24"/>
              </w:rPr>
            </w:pPr>
            <w:r w:rsidRPr="00D72DA9">
              <w:rPr>
                <w:szCs w:val="24"/>
              </w:rPr>
              <w:t>Survey to identify items for CV checklist</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D1763" w:rsidRDefault="00CD1763" w:rsidP="00824350">
            <w:pPr>
              <w:jc w:val="center"/>
            </w:pPr>
            <w:r>
              <w:t>1</w:t>
            </w:r>
            <w:r w:rsidR="00824350">
              <w:t>6</w:t>
            </w:r>
            <w:r>
              <w:t>0</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D1763" w:rsidRDefault="00824350" w:rsidP="00CD1763">
            <w:pPr>
              <w:jc w:val="center"/>
            </w:pPr>
            <w:r>
              <w:t>40</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D1763" w:rsidRPr="00A6264D" w:rsidRDefault="00963124" w:rsidP="00A6264D">
            <w:pPr>
              <w:jc w:val="center"/>
              <w:rPr>
                <w:vertAlign w:val="superscript"/>
              </w:rPr>
            </w:pPr>
            <w:r w:rsidRPr="00A6264D">
              <w:t>$</w:t>
            </w:r>
            <w:r w:rsidR="00A6264D" w:rsidRPr="00A6264D">
              <w:t>45.02</w:t>
            </w:r>
            <w:r w:rsidR="002D1FDB">
              <w:rPr>
                <w:vertAlign w:val="superscript"/>
              </w:rPr>
              <w:t>g</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D1763" w:rsidRPr="007C4843" w:rsidRDefault="00963124" w:rsidP="00824350">
            <w:pPr>
              <w:jc w:val="center"/>
            </w:pPr>
            <w:r w:rsidRPr="007C4843">
              <w:t>$</w:t>
            </w:r>
            <w:r w:rsidR="00A6264D" w:rsidRPr="007C4843">
              <w:t>1,</w:t>
            </w:r>
            <w:r w:rsidR="00824350">
              <w:t>801</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B91437">
            <w:r w:rsidRPr="001217E9">
              <w:rPr>
                <w:szCs w:val="24"/>
              </w:rPr>
              <w:t xml:space="preserve">Cognitive interviews </w:t>
            </w:r>
            <w:r>
              <w:rPr>
                <w:szCs w:val="24"/>
              </w:rPr>
              <w:t>for the</w:t>
            </w:r>
            <w:r w:rsidRPr="00F41A22">
              <w:rPr>
                <w:b/>
                <w:szCs w:val="24"/>
              </w:rPr>
              <w:t xml:space="preserve"> </w:t>
            </w:r>
            <w:r w:rsidRPr="00F41A22">
              <w:rPr>
                <w:szCs w:val="24"/>
              </w:rPr>
              <w:t>CV checklist</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631DFD" w:rsidP="008F6413">
            <w:pPr>
              <w:jc w:val="center"/>
            </w:pPr>
            <w:r w:rsidRPr="00631DFD">
              <w:t>18</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631DFD" w:rsidP="008F6413">
            <w:pPr>
              <w:jc w:val="center"/>
            </w:pPr>
            <w:r w:rsidRPr="00631DFD">
              <w:t>18</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8F6413" w:rsidP="00631DFD">
            <w:pPr>
              <w:jc w:val="center"/>
              <w:rPr>
                <w:vertAlign w:val="superscript"/>
              </w:rPr>
            </w:pPr>
            <w:r w:rsidRPr="00631DFD">
              <w:t>$</w:t>
            </w:r>
            <w:r w:rsidR="00A543EE" w:rsidRPr="00631DFD">
              <w:t>3</w:t>
            </w:r>
            <w:r w:rsidR="00631DFD" w:rsidRPr="00631DFD">
              <w:t>9</w:t>
            </w:r>
            <w:r w:rsidR="00A543EE" w:rsidRPr="00631DFD">
              <w:t>.</w:t>
            </w:r>
            <w:r w:rsidR="00631DFD" w:rsidRPr="00631DFD">
              <w:t>84</w:t>
            </w:r>
            <w:r w:rsidR="002D1FDB">
              <w:rPr>
                <w:vertAlign w:val="superscript"/>
              </w:rPr>
              <w:t>h</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8F6413" w:rsidP="00631DFD">
            <w:pPr>
              <w:jc w:val="center"/>
            </w:pPr>
            <w:r w:rsidRPr="00631DFD">
              <w:t>$</w:t>
            </w:r>
            <w:r w:rsidR="00631DFD" w:rsidRPr="00631DFD">
              <w:t>717</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Default="008F6413" w:rsidP="00B17FBB">
            <w:r>
              <w:rPr>
                <w:szCs w:val="24"/>
              </w:rPr>
              <w:t>Pretest for the CV checklist</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631DFD" w:rsidP="00870A31">
            <w:pPr>
              <w:jc w:val="center"/>
            </w:pPr>
            <w:r w:rsidRPr="00631DFD">
              <w:t>100</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631DFD" w:rsidP="008F6413">
            <w:pPr>
              <w:jc w:val="center"/>
            </w:pPr>
            <w:r w:rsidRPr="00631DFD">
              <w:t>50</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8F6413" w:rsidP="00631DFD">
            <w:pPr>
              <w:jc w:val="center"/>
              <w:rPr>
                <w:vertAlign w:val="superscript"/>
              </w:rPr>
            </w:pPr>
            <w:r w:rsidRPr="00631DFD">
              <w:t>$</w:t>
            </w:r>
            <w:r w:rsidR="00963124" w:rsidRPr="00631DFD">
              <w:t>8</w:t>
            </w:r>
            <w:r w:rsidR="00631DFD" w:rsidRPr="00631DFD">
              <w:t>7</w:t>
            </w:r>
            <w:r w:rsidR="00963124" w:rsidRPr="00631DFD">
              <w:t>.</w:t>
            </w:r>
            <w:r w:rsidR="00631DFD" w:rsidRPr="00631DFD">
              <w:t>9</w:t>
            </w:r>
            <w:r w:rsidR="00963124" w:rsidRPr="00631DFD">
              <w:t>8</w:t>
            </w:r>
            <w:r w:rsidR="002D1FDB">
              <w:rPr>
                <w:vertAlign w:val="superscript"/>
              </w:rPr>
              <w:t>i</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631DFD" w:rsidRDefault="008F6413" w:rsidP="00631DFD">
            <w:pPr>
              <w:jc w:val="center"/>
            </w:pPr>
            <w:r w:rsidRPr="00631DFD">
              <w:t>$</w:t>
            </w:r>
            <w:r w:rsidR="00631DFD" w:rsidRPr="00631DFD">
              <w:t>4,399</w:t>
            </w:r>
          </w:p>
        </w:tc>
      </w:tr>
      <w:tr w:rsidR="008F6413" w:rsidTr="008E6AB5">
        <w:tc>
          <w:tcPr>
            <w:tcW w:w="4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87550" w:rsidRDefault="008F6413" w:rsidP="00B17FBB">
            <w:r w:rsidRPr="00787550">
              <w:rPr>
                <w:b/>
                <w:bCs/>
                <w:color w:val="000000"/>
                <w:sz w:val="20"/>
              </w:rPr>
              <w:t>Total</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87550" w:rsidRDefault="00787550" w:rsidP="00B06832">
            <w:pPr>
              <w:jc w:val="center"/>
            </w:pPr>
            <w:r w:rsidRPr="00787550">
              <w:t>5,0</w:t>
            </w:r>
            <w:r w:rsidR="00473640">
              <w:t>66</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87550" w:rsidRDefault="008E6AB5" w:rsidP="00787550">
            <w:pPr>
              <w:jc w:val="center"/>
            </w:pPr>
            <w:r w:rsidRPr="00787550">
              <w:t>2,</w:t>
            </w:r>
            <w:r w:rsidR="00787550" w:rsidRPr="00787550">
              <w:t>5</w:t>
            </w:r>
            <w:r w:rsidR="00473640">
              <w:t>34</w:t>
            </w:r>
          </w:p>
        </w:tc>
        <w:tc>
          <w:tcPr>
            <w:tcW w:w="14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87550" w:rsidRDefault="008F6413" w:rsidP="008F6413">
            <w:pPr>
              <w:jc w:val="center"/>
            </w:pPr>
            <w:proofErr w:type="spellStart"/>
            <w:r w:rsidRPr="00787550">
              <w:t>na</w:t>
            </w:r>
            <w:proofErr w:type="spellEnd"/>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6413" w:rsidRPr="00787550" w:rsidRDefault="008F6413" w:rsidP="00824350">
            <w:pPr>
              <w:jc w:val="center"/>
            </w:pPr>
            <w:r w:rsidRPr="00787550">
              <w:t>$</w:t>
            </w:r>
            <w:r w:rsidR="00B06832" w:rsidRPr="00787550">
              <w:t>11</w:t>
            </w:r>
            <w:r w:rsidR="00787550" w:rsidRPr="00787550">
              <w:t>5</w:t>
            </w:r>
            <w:r w:rsidR="00B06832" w:rsidRPr="00787550">
              <w:t>,</w:t>
            </w:r>
            <w:r w:rsidR="00824350">
              <w:t>559</w:t>
            </w:r>
          </w:p>
        </w:tc>
      </w:tr>
    </w:tbl>
    <w:p w:rsidR="00044C55" w:rsidRPr="00F46A89" w:rsidRDefault="00044C55" w:rsidP="00FD688C">
      <w:pPr>
        <w:tabs>
          <w:tab w:val="left" w:pos="180"/>
        </w:tabs>
        <w:ind w:left="180" w:hanging="180"/>
        <w:rPr>
          <w:color w:val="000000"/>
          <w:sz w:val="22"/>
          <w:szCs w:val="22"/>
        </w:rPr>
      </w:pPr>
      <w:proofErr w:type="gramStart"/>
      <w:r w:rsidRPr="00F46A89">
        <w:rPr>
          <w:color w:val="000000"/>
          <w:sz w:val="22"/>
          <w:szCs w:val="22"/>
          <w:vertAlign w:val="superscript"/>
        </w:rPr>
        <w:t>a</w:t>
      </w:r>
      <w:proofErr w:type="gramEnd"/>
      <w:r w:rsidR="00FD688C" w:rsidRPr="00F46A89">
        <w:rPr>
          <w:color w:val="000000"/>
          <w:sz w:val="22"/>
          <w:szCs w:val="22"/>
        </w:rPr>
        <w:tab/>
      </w:r>
      <w:r w:rsidRPr="00F46A89">
        <w:rPr>
          <w:color w:val="000000"/>
          <w:sz w:val="22"/>
          <w:szCs w:val="22"/>
        </w:rPr>
        <w:t xml:space="preserve">Based on the weighted average wages for </w:t>
      </w:r>
      <w:r w:rsidR="00FD688C" w:rsidRPr="00F46A89">
        <w:rPr>
          <w:color w:val="000000"/>
          <w:sz w:val="22"/>
          <w:szCs w:val="22"/>
        </w:rPr>
        <w:t xml:space="preserve">3 </w:t>
      </w:r>
      <w:r w:rsidRPr="00F46A89">
        <w:rPr>
          <w:color w:val="000000"/>
          <w:sz w:val="22"/>
          <w:szCs w:val="22"/>
        </w:rPr>
        <w:t xml:space="preserve">Registered Nurses (29-1111, $33.56), </w:t>
      </w:r>
      <w:r w:rsidR="00FD688C" w:rsidRPr="00F46A89">
        <w:rPr>
          <w:color w:val="000000"/>
          <w:sz w:val="22"/>
          <w:szCs w:val="22"/>
        </w:rPr>
        <w:t xml:space="preserve">3 </w:t>
      </w:r>
      <w:r w:rsidRPr="00F46A89">
        <w:rPr>
          <w:color w:val="000000"/>
          <w:sz w:val="22"/>
          <w:szCs w:val="22"/>
        </w:rPr>
        <w:t xml:space="preserve">Medical and Clinical Laboratory Technicians (29-2012, $19.11), and </w:t>
      </w:r>
      <w:r w:rsidR="00FD688C" w:rsidRPr="00F46A89">
        <w:rPr>
          <w:color w:val="000000"/>
          <w:sz w:val="22"/>
          <w:szCs w:val="22"/>
        </w:rPr>
        <w:t xml:space="preserve">3 </w:t>
      </w:r>
      <w:r w:rsidRPr="00F46A89">
        <w:rPr>
          <w:color w:val="000000"/>
          <w:sz w:val="22"/>
          <w:szCs w:val="22"/>
        </w:rPr>
        <w:t>General and Operational Managers (11-1021, $55.80)</w:t>
      </w:r>
      <w:r w:rsidR="007A3C50" w:rsidRPr="00F46A89">
        <w:rPr>
          <w:color w:val="000000"/>
          <w:sz w:val="22"/>
          <w:szCs w:val="22"/>
        </w:rPr>
        <w:t xml:space="preserve"> in the hospital setting</w:t>
      </w:r>
      <w:r w:rsidRPr="00F46A89">
        <w:rPr>
          <w:color w:val="000000"/>
          <w:sz w:val="22"/>
          <w:szCs w:val="22"/>
        </w:rPr>
        <w:t>;</w:t>
      </w:r>
    </w:p>
    <w:p w:rsidR="00044C55" w:rsidRPr="00F46A89" w:rsidRDefault="00044C55" w:rsidP="00FD688C">
      <w:pPr>
        <w:tabs>
          <w:tab w:val="left" w:pos="180"/>
        </w:tabs>
        <w:ind w:left="180" w:hanging="180"/>
        <w:rPr>
          <w:color w:val="000000"/>
          <w:sz w:val="22"/>
          <w:szCs w:val="22"/>
        </w:rPr>
      </w:pPr>
      <w:proofErr w:type="gramStart"/>
      <w:r w:rsidRPr="00F46A89">
        <w:rPr>
          <w:color w:val="000000"/>
          <w:sz w:val="22"/>
          <w:szCs w:val="22"/>
          <w:vertAlign w:val="superscript"/>
        </w:rPr>
        <w:t>b</w:t>
      </w:r>
      <w:proofErr w:type="gramEnd"/>
      <w:r w:rsidR="00FD688C" w:rsidRPr="00F46A89">
        <w:rPr>
          <w:color w:val="000000"/>
          <w:sz w:val="22"/>
          <w:szCs w:val="22"/>
        </w:rPr>
        <w:tab/>
      </w:r>
      <w:r w:rsidRPr="00F46A89">
        <w:rPr>
          <w:color w:val="000000"/>
          <w:sz w:val="22"/>
          <w:szCs w:val="22"/>
        </w:rPr>
        <w:t xml:space="preserve">Based on the weighted average wages for </w:t>
      </w:r>
      <w:r w:rsidR="00FD688C" w:rsidRPr="00F46A89">
        <w:rPr>
          <w:color w:val="000000"/>
          <w:sz w:val="22"/>
          <w:szCs w:val="22"/>
        </w:rPr>
        <w:t>4 Family and General Practitioners (29-1062; $87.18) and 5 Medical Assistants (31-9092, $14.63)</w:t>
      </w:r>
      <w:r w:rsidR="007A3C50" w:rsidRPr="00F46A89">
        <w:rPr>
          <w:color w:val="000000"/>
          <w:sz w:val="22"/>
          <w:szCs w:val="22"/>
        </w:rPr>
        <w:t xml:space="preserve"> in the medical office setting</w:t>
      </w:r>
      <w:r w:rsidR="00FD688C" w:rsidRPr="00F46A89">
        <w:rPr>
          <w:color w:val="000000"/>
          <w:sz w:val="22"/>
          <w:szCs w:val="22"/>
        </w:rPr>
        <w:t>;</w:t>
      </w:r>
    </w:p>
    <w:p w:rsidR="00FD688C" w:rsidRPr="00F46A89" w:rsidRDefault="00FD688C" w:rsidP="00C83CFF">
      <w:pPr>
        <w:tabs>
          <w:tab w:val="left" w:pos="180"/>
        </w:tabs>
        <w:ind w:left="180" w:hanging="180"/>
        <w:rPr>
          <w:color w:val="000000"/>
          <w:sz w:val="22"/>
          <w:szCs w:val="22"/>
        </w:rPr>
      </w:pPr>
      <w:r w:rsidRPr="00F46A89">
        <w:rPr>
          <w:color w:val="000000"/>
          <w:sz w:val="22"/>
          <w:szCs w:val="22"/>
          <w:vertAlign w:val="superscript"/>
        </w:rPr>
        <w:t>c</w:t>
      </w:r>
      <w:r w:rsidRPr="00F46A89">
        <w:rPr>
          <w:color w:val="000000"/>
          <w:sz w:val="22"/>
          <w:szCs w:val="22"/>
        </w:rPr>
        <w:tab/>
        <w:t>Based on the weighted average wages for 1,93</w:t>
      </w:r>
      <w:r w:rsidR="007A3C50" w:rsidRPr="00F46A89">
        <w:rPr>
          <w:color w:val="000000"/>
          <w:sz w:val="22"/>
          <w:szCs w:val="22"/>
        </w:rPr>
        <w:t>7</w:t>
      </w:r>
      <w:r w:rsidRPr="00F46A89">
        <w:rPr>
          <w:color w:val="000000"/>
          <w:sz w:val="22"/>
          <w:szCs w:val="22"/>
        </w:rPr>
        <w:t xml:space="preserve"> Registered Nurses, 1,1</w:t>
      </w:r>
      <w:r w:rsidR="001D222C" w:rsidRPr="00F46A89">
        <w:rPr>
          <w:color w:val="000000"/>
          <w:sz w:val="22"/>
          <w:szCs w:val="22"/>
        </w:rPr>
        <w:t>31</w:t>
      </w:r>
      <w:r w:rsidRPr="00F46A89">
        <w:rPr>
          <w:color w:val="000000"/>
          <w:sz w:val="22"/>
          <w:szCs w:val="22"/>
        </w:rPr>
        <w:t xml:space="preserve"> </w:t>
      </w:r>
      <w:r w:rsidR="007A3C50" w:rsidRPr="00F46A89">
        <w:rPr>
          <w:color w:val="000000"/>
          <w:sz w:val="22"/>
          <w:szCs w:val="22"/>
        </w:rPr>
        <w:t>Medical and Clinical Laboratory Technicians</w:t>
      </w:r>
      <w:r w:rsidR="001D222C" w:rsidRPr="00F46A89">
        <w:rPr>
          <w:color w:val="000000"/>
          <w:sz w:val="22"/>
          <w:szCs w:val="22"/>
        </w:rPr>
        <w:t>, 526</w:t>
      </w:r>
      <w:r w:rsidRPr="00F46A89">
        <w:rPr>
          <w:color w:val="000000"/>
          <w:sz w:val="22"/>
          <w:szCs w:val="22"/>
        </w:rPr>
        <w:t xml:space="preserve"> General and Operational Managers</w:t>
      </w:r>
      <w:r w:rsidR="00C83CFF" w:rsidRPr="00F46A89">
        <w:rPr>
          <w:color w:val="000000"/>
          <w:sz w:val="22"/>
          <w:szCs w:val="22"/>
        </w:rPr>
        <w:t xml:space="preserve"> and 44</w:t>
      </w:r>
      <w:r w:rsidR="001D222C" w:rsidRPr="00F46A89">
        <w:rPr>
          <w:color w:val="000000"/>
          <w:sz w:val="22"/>
          <w:szCs w:val="22"/>
        </w:rPr>
        <w:t>6</w:t>
      </w:r>
      <w:r w:rsidR="00C83CFF" w:rsidRPr="00F46A89">
        <w:rPr>
          <w:color w:val="000000"/>
          <w:sz w:val="22"/>
          <w:szCs w:val="22"/>
        </w:rPr>
        <w:t xml:space="preserve"> Physicians (29-1069; $66.23)</w:t>
      </w:r>
      <w:r w:rsidR="007A3C50" w:rsidRPr="00F46A89">
        <w:rPr>
          <w:color w:val="000000"/>
          <w:sz w:val="22"/>
          <w:szCs w:val="22"/>
        </w:rPr>
        <w:t xml:space="preserve"> in the hospital setting</w:t>
      </w:r>
      <w:r w:rsidR="00C83CFF" w:rsidRPr="00F46A89">
        <w:rPr>
          <w:color w:val="000000"/>
          <w:sz w:val="22"/>
          <w:szCs w:val="22"/>
        </w:rPr>
        <w:t>;</w:t>
      </w:r>
    </w:p>
    <w:p w:rsidR="00C83CFF" w:rsidRPr="00F46A89" w:rsidRDefault="00C83CFF" w:rsidP="00C83CFF">
      <w:pPr>
        <w:tabs>
          <w:tab w:val="left" w:pos="180"/>
        </w:tabs>
        <w:ind w:left="180" w:hanging="180"/>
        <w:rPr>
          <w:color w:val="000000"/>
          <w:sz w:val="22"/>
          <w:szCs w:val="22"/>
        </w:rPr>
      </w:pPr>
      <w:proofErr w:type="gramStart"/>
      <w:r w:rsidRPr="00F46A89">
        <w:rPr>
          <w:color w:val="000000"/>
          <w:sz w:val="22"/>
          <w:szCs w:val="22"/>
          <w:vertAlign w:val="superscript"/>
        </w:rPr>
        <w:t>d</w:t>
      </w:r>
      <w:proofErr w:type="gramEnd"/>
      <w:r w:rsidRPr="00F46A89">
        <w:rPr>
          <w:color w:val="000000"/>
          <w:sz w:val="22"/>
          <w:szCs w:val="22"/>
        </w:rPr>
        <w:tab/>
        <w:t>Based on the weighted average wages for</w:t>
      </w:r>
      <w:r w:rsidR="003441D2" w:rsidRPr="00F46A89">
        <w:rPr>
          <w:color w:val="000000"/>
          <w:sz w:val="22"/>
          <w:szCs w:val="22"/>
        </w:rPr>
        <w:t xml:space="preserve"> 91 Family and General Practitioners</w:t>
      </w:r>
      <w:r w:rsidR="004536FD" w:rsidRPr="00F46A89">
        <w:rPr>
          <w:color w:val="000000"/>
          <w:sz w:val="22"/>
          <w:szCs w:val="22"/>
        </w:rPr>
        <w:t xml:space="preserve"> and 413 Medical Assistants</w:t>
      </w:r>
      <w:r w:rsidR="00C500DF" w:rsidRPr="00F46A89">
        <w:rPr>
          <w:color w:val="000000"/>
          <w:sz w:val="22"/>
          <w:szCs w:val="22"/>
        </w:rPr>
        <w:t xml:space="preserve"> in the medical office setting</w:t>
      </w:r>
      <w:r w:rsidR="004536FD" w:rsidRPr="00F46A89">
        <w:rPr>
          <w:color w:val="000000"/>
          <w:sz w:val="22"/>
          <w:szCs w:val="22"/>
        </w:rPr>
        <w:t>;</w:t>
      </w:r>
    </w:p>
    <w:p w:rsidR="004536FD" w:rsidRPr="00F46A89" w:rsidRDefault="004536FD" w:rsidP="00C83CFF">
      <w:pPr>
        <w:tabs>
          <w:tab w:val="left" w:pos="180"/>
        </w:tabs>
        <w:ind w:left="180" w:hanging="180"/>
        <w:rPr>
          <w:color w:val="000000"/>
          <w:sz w:val="22"/>
          <w:szCs w:val="22"/>
        </w:rPr>
      </w:pPr>
      <w:proofErr w:type="gramStart"/>
      <w:r w:rsidRPr="00F46A89">
        <w:rPr>
          <w:color w:val="000000"/>
          <w:sz w:val="22"/>
          <w:szCs w:val="22"/>
          <w:vertAlign w:val="superscript"/>
        </w:rPr>
        <w:t>e</w:t>
      </w:r>
      <w:proofErr w:type="gramEnd"/>
      <w:r w:rsidRPr="00F46A89">
        <w:rPr>
          <w:color w:val="000000"/>
          <w:sz w:val="22"/>
          <w:szCs w:val="22"/>
        </w:rPr>
        <w:tab/>
        <w:t xml:space="preserve">Based on the </w:t>
      </w:r>
      <w:r w:rsidR="00C500DF" w:rsidRPr="00F46A89">
        <w:rPr>
          <w:color w:val="000000"/>
          <w:sz w:val="22"/>
          <w:szCs w:val="22"/>
        </w:rPr>
        <w:t>average</w:t>
      </w:r>
      <w:r w:rsidRPr="00F46A89">
        <w:rPr>
          <w:color w:val="000000"/>
          <w:sz w:val="22"/>
          <w:szCs w:val="22"/>
        </w:rPr>
        <w:t xml:space="preserve"> wages for</w:t>
      </w:r>
      <w:r w:rsidR="00C500DF" w:rsidRPr="00F46A89">
        <w:rPr>
          <w:color w:val="000000"/>
          <w:sz w:val="22"/>
          <w:szCs w:val="22"/>
        </w:rPr>
        <w:t xml:space="preserve"> General and Operational Managers in the hospital setting; </w:t>
      </w:r>
    </w:p>
    <w:p w:rsidR="00FD688C" w:rsidRPr="00F46A89" w:rsidRDefault="004536FD" w:rsidP="004536FD">
      <w:pPr>
        <w:tabs>
          <w:tab w:val="left" w:pos="180"/>
        </w:tabs>
        <w:rPr>
          <w:color w:val="000000"/>
          <w:sz w:val="22"/>
          <w:szCs w:val="22"/>
        </w:rPr>
      </w:pPr>
      <w:proofErr w:type="gramStart"/>
      <w:r w:rsidRPr="00F46A89">
        <w:rPr>
          <w:color w:val="000000"/>
          <w:sz w:val="22"/>
          <w:szCs w:val="22"/>
          <w:vertAlign w:val="superscript"/>
        </w:rPr>
        <w:t>f</w:t>
      </w:r>
      <w:proofErr w:type="gramEnd"/>
      <w:r w:rsidRPr="00F46A89">
        <w:rPr>
          <w:color w:val="000000"/>
          <w:sz w:val="22"/>
          <w:szCs w:val="22"/>
        </w:rPr>
        <w:tab/>
        <w:t>Based on the average wages for General and Operational Managers</w:t>
      </w:r>
      <w:r w:rsidR="00C500DF" w:rsidRPr="00F46A89">
        <w:rPr>
          <w:color w:val="000000"/>
          <w:sz w:val="22"/>
          <w:szCs w:val="22"/>
        </w:rPr>
        <w:t xml:space="preserve"> in the medical office setting</w:t>
      </w:r>
      <w:r w:rsidRPr="00F46A89">
        <w:rPr>
          <w:color w:val="000000"/>
          <w:sz w:val="22"/>
          <w:szCs w:val="22"/>
        </w:rPr>
        <w:t>;</w:t>
      </w:r>
    </w:p>
    <w:p w:rsidR="00726226" w:rsidRPr="00F46A89" w:rsidRDefault="002D1FDB" w:rsidP="00A26158">
      <w:pPr>
        <w:tabs>
          <w:tab w:val="left" w:pos="180"/>
        </w:tabs>
        <w:ind w:left="180" w:hanging="180"/>
        <w:rPr>
          <w:color w:val="000000"/>
          <w:sz w:val="22"/>
          <w:szCs w:val="22"/>
          <w:vertAlign w:val="superscript"/>
        </w:rPr>
      </w:pPr>
      <w:proofErr w:type="gramStart"/>
      <w:r>
        <w:rPr>
          <w:color w:val="000000"/>
          <w:sz w:val="22"/>
          <w:szCs w:val="22"/>
          <w:vertAlign w:val="superscript"/>
        </w:rPr>
        <w:t>g</w:t>
      </w:r>
      <w:proofErr w:type="gramEnd"/>
      <w:r w:rsidR="00726226" w:rsidRPr="00F46A89">
        <w:rPr>
          <w:color w:val="000000"/>
          <w:sz w:val="22"/>
          <w:szCs w:val="22"/>
        </w:rPr>
        <w:tab/>
        <w:t xml:space="preserve">Based on the weighted average wages for 40 Physician and Surgeons (29-10692; $88.78), 40 Registered Nurses (29-1111; $33.23), 20 Social Workers (21-1022; $24.28), 20 Health Educators (21-1091, $25.07), and 20 </w:t>
      </w:r>
      <w:r w:rsidR="00A543EE" w:rsidRPr="00F46A89">
        <w:rPr>
          <w:color w:val="000000"/>
          <w:sz w:val="22"/>
          <w:szCs w:val="22"/>
        </w:rPr>
        <w:t>P</w:t>
      </w:r>
      <w:r w:rsidR="00726226" w:rsidRPr="00F46A89">
        <w:rPr>
          <w:color w:val="000000"/>
          <w:sz w:val="22"/>
          <w:szCs w:val="22"/>
        </w:rPr>
        <w:t xml:space="preserve">atients </w:t>
      </w:r>
      <w:r w:rsidR="00963124" w:rsidRPr="00F46A89">
        <w:rPr>
          <w:color w:val="000000"/>
          <w:sz w:val="22"/>
          <w:szCs w:val="22"/>
        </w:rPr>
        <w:t>(00-0000; $21.74)</w:t>
      </w:r>
      <w:r w:rsidR="008E6AB5" w:rsidRPr="00F46A89">
        <w:rPr>
          <w:color w:val="000000"/>
          <w:sz w:val="22"/>
          <w:szCs w:val="22"/>
        </w:rPr>
        <w:t xml:space="preserve">; </w:t>
      </w:r>
    </w:p>
    <w:p w:rsidR="00BF6111" w:rsidRPr="00F46A89" w:rsidRDefault="002D1FDB" w:rsidP="00A26158">
      <w:pPr>
        <w:tabs>
          <w:tab w:val="left" w:pos="180"/>
        </w:tabs>
        <w:ind w:left="180" w:hanging="180"/>
        <w:rPr>
          <w:color w:val="000000"/>
          <w:sz w:val="22"/>
          <w:szCs w:val="22"/>
        </w:rPr>
      </w:pPr>
      <w:proofErr w:type="gramStart"/>
      <w:r>
        <w:rPr>
          <w:color w:val="000000"/>
          <w:sz w:val="22"/>
          <w:szCs w:val="22"/>
          <w:vertAlign w:val="superscript"/>
        </w:rPr>
        <w:t>h</w:t>
      </w:r>
      <w:proofErr w:type="gramEnd"/>
      <w:r w:rsidR="00CD1763" w:rsidRPr="00F46A89">
        <w:rPr>
          <w:color w:val="000000"/>
          <w:sz w:val="22"/>
          <w:szCs w:val="22"/>
        </w:rPr>
        <w:tab/>
        <w:t>Based on the weighted average wages for</w:t>
      </w:r>
      <w:r w:rsidR="00BF6111" w:rsidRPr="00F46A89">
        <w:rPr>
          <w:color w:val="000000"/>
          <w:sz w:val="22"/>
          <w:szCs w:val="22"/>
        </w:rPr>
        <w:t xml:space="preserve"> </w:t>
      </w:r>
      <w:r w:rsidR="00631DFD" w:rsidRPr="00F46A89">
        <w:rPr>
          <w:color w:val="000000"/>
          <w:sz w:val="22"/>
          <w:szCs w:val="22"/>
        </w:rPr>
        <w:t>4</w:t>
      </w:r>
      <w:r w:rsidR="00BF6111" w:rsidRPr="00F46A89">
        <w:rPr>
          <w:color w:val="000000"/>
          <w:sz w:val="22"/>
          <w:szCs w:val="22"/>
        </w:rPr>
        <w:t xml:space="preserve"> Physician and Surgeon</w:t>
      </w:r>
      <w:r w:rsidR="00A26158" w:rsidRPr="00F46A89">
        <w:rPr>
          <w:color w:val="000000"/>
          <w:sz w:val="22"/>
          <w:szCs w:val="22"/>
        </w:rPr>
        <w:t>s</w:t>
      </w:r>
      <w:r w:rsidR="00BF6111" w:rsidRPr="00F46A89">
        <w:rPr>
          <w:color w:val="000000"/>
          <w:sz w:val="22"/>
          <w:szCs w:val="22"/>
        </w:rPr>
        <w:t>,</w:t>
      </w:r>
      <w:r w:rsidR="00726226" w:rsidRPr="00F46A89" w:rsidDel="00726226">
        <w:rPr>
          <w:color w:val="000000"/>
          <w:sz w:val="22"/>
          <w:szCs w:val="22"/>
        </w:rPr>
        <w:t xml:space="preserve"> </w:t>
      </w:r>
      <w:r w:rsidR="00631DFD" w:rsidRPr="00F46A89">
        <w:rPr>
          <w:color w:val="000000"/>
          <w:sz w:val="22"/>
          <w:szCs w:val="22"/>
        </w:rPr>
        <w:t>4</w:t>
      </w:r>
      <w:r w:rsidR="00BF6111" w:rsidRPr="00F46A89">
        <w:rPr>
          <w:color w:val="000000"/>
          <w:sz w:val="22"/>
          <w:szCs w:val="22"/>
        </w:rPr>
        <w:t xml:space="preserve"> Registered Nurses</w:t>
      </w:r>
      <w:r w:rsidR="008E6AB5" w:rsidRPr="00F46A89">
        <w:rPr>
          <w:color w:val="000000"/>
          <w:sz w:val="22"/>
          <w:szCs w:val="22"/>
        </w:rPr>
        <w:t>,</w:t>
      </w:r>
      <w:r w:rsidR="00CD1763" w:rsidRPr="00F46A89">
        <w:rPr>
          <w:color w:val="000000"/>
          <w:sz w:val="22"/>
          <w:szCs w:val="22"/>
        </w:rPr>
        <w:t xml:space="preserve"> </w:t>
      </w:r>
      <w:r w:rsidR="00631DFD" w:rsidRPr="00F46A89">
        <w:rPr>
          <w:color w:val="000000"/>
          <w:sz w:val="22"/>
          <w:szCs w:val="22"/>
        </w:rPr>
        <w:t>2</w:t>
      </w:r>
      <w:r w:rsidR="00726226" w:rsidRPr="00F46A89">
        <w:rPr>
          <w:color w:val="000000"/>
          <w:sz w:val="22"/>
          <w:szCs w:val="22"/>
        </w:rPr>
        <w:t xml:space="preserve"> </w:t>
      </w:r>
      <w:r w:rsidR="00BF6111" w:rsidRPr="00F46A89">
        <w:rPr>
          <w:color w:val="000000"/>
          <w:sz w:val="22"/>
          <w:szCs w:val="22"/>
        </w:rPr>
        <w:t>Social Worker</w:t>
      </w:r>
      <w:r w:rsidR="00631DFD" w:rsidRPr="00F46A89">
        <w:rPr>
          <w:color w:val="000000"/>
          <w:sz w:val="22"/>
          <w:szCs w:val="22"/>
        </w:rPr>
        <w:t>s</w:t>
      </w:r>
      <w:r w:rsidR="00A543EE" w:rsidRPr="00F46A89">
        <w:rPr>
          <w:color w:val="000000"/>
          <w:sz w:val="22"/>
          <w:szCs w:val="22"/>
        </w:rPr>
        <w:t xml:space="preserve">, </w:t>
      </w:r>
      <w:r w:rsidR="00631DFD" w:rsidRPr="00F46A89">
        <w:rPr>
          <w:color w:val="000000"/>
          <w:sz w:val="22"/>
          <w:szCs w:val="22"/>
        </w:rPr>
        <w:t>2</w:t>
      </w:r>
      <w:r w:rsidR="00A26158" w:rsidRPr="00F46A89">
        <w:rPr>
          <w:color w:val="000000"/>
          <w:sz w:val="22"/>
          <w:szCs w:val="22"/>
        </w:rPr>
        <w:t xml:space="preserve"> Health Educator</w:t>
      </w:r>
      <w:r w:rsidR="00631DFD" w:rsidRPr="00F46A89">
        <w:rPr>
          <w:color w:val="000000"/>
          <w:sz w:val="22"/>
          <w:szCs w:val="22"/>
        </w:rPr>
        <w:t>s</w:t>
      </w:r>
      <w:r w:rsidR="00A543EE" w:rsidRPr="00F46A89">
        <w:rPr>
          <w:color w:val="000000"/>
          <w:sz w:val="22"/>
          <w:szCs w:val="22"/>
        </w:rPr>
        <w:t xml:space="preserve">, and </w:t>
      </w:r>
      <w:r w:rsidR="00631DFD" w:rsidRPr="00F46A89">
        <w:rPr>
          <w:color w:val="000000"/>
          <w:sz w:val="22"/>
          <w:szCs w:val="22"/>
        </w:rPr>
        <w:t>6</w:t>
      </w:r>
      <w:r w:rsidR="00A543EE" w:rsidRPr="00F46A89">
        <w:rPr>
          <w:color w:val="000000"/>
          <w:sz w:val="22"/>
          <w:szCs w:val="22"/>
        </w:rPr>
        <w:t xml:space="preserve"> Patient</w:t>
      </w:r>
      <w:r w:rsidR="00631DFD" w:rsidRPr="00F46A89">
        <w:rPr>
          <w:color w:val="000000"/>
          <w:sz w:val="22"/>
          <w:szCs w:val="22"/>
        </w:rPr>
        <w:t>s</w:t>
      </w:r>
      <w:r w:rsidR="00A26158" w:rsidRPr="00F46A89">
        <w:rPr>
          <w:color w:val="000000"/>
          <w:sz w:val="22"/>
          <w:szCs w:val="22"/>
        </w:rPr>
        <w:t>;</w:t>
      </w:r>
    </w:p>
    <w:p w:rsidR="00726226" w:rsidRPr="00F46A89" w:rsidRDefault="002D1FDB" w:rsidP="001F7EFF">
      <w:pPr>
        <w:tabs>
          <w:tab w:val="left" w:pos="180"/>
        </w:tabs>
        <w:ind w:left="180" w:hanging="180"/>
        <w:rPr>
          <w:color w:val="000000"/>
          <w:sz w:val="22"/>
          <w:szCs w:val="22"/>
        </w:rPr>
      </w:pPr>
      <w:proofErr w:type="spellStart"/>
      <w:proofErr w:type="gramStart"/>
      <w:r>
        <w:rPr>
          <w:color w:val="000000"/>
          <w:sz w:val="22"/>
          <w:szCs w:val="22"/>
          <w:vertAlign w:val="superscript"/>
        </w:rPr>
        <w:t>i</w:t>
      </w:r>
      <w:proofErr w:type="spellEnd"/>
      <w:proofErr w:type="gramEnd"/>
      <w:r w:rsidR="00A26158" w:rsidRPr="00F46A89">
        <w:rPr>
          <w:color w:val="000000"/>
          <w:sz w:val="22"/>
          <w:szCs w:val="22"/>
        </w:rPr>
        <w:tab/>
        <w:t xml:space="preserve">Based on the </w:t>
      </w:r>
      <w:r w:rsidR="00631DFD" w:rsidRPr="00F46A89">
        <w:rPr>
          <w:color w:val="000000"/>
          <w:sz w:val="22"/>
          <w:szCs w:val="22"/>
        </w:rPr>
        <w:t xml:space="preserve">weighted </w:t>
      </w:r>
      <w:r w:rsidR="00A26158" w:rsidRPr="00F46A89">
        <w:rPr>
          <w:color w:val="000000"/>
          <w:sz w:val="22"/>
          <w:szCs w:val="22"/>
        </w:rPr>
        <w:t>average wages for</w:t>
      </w:r>
      <w:r w:rsidR="001F7EFF" w:rsidRPr="00F46A89">
        <w:rPr>
          <w:color w:val="000000"/>
          <w:sz w:val="22"/>
          <w:szCs w:val="22"/>
        </w:rPr>
        <w:t xml:space="preserve"> </w:t>
      </w:r>
      <w:r w:rsidR="00631DFD" w:rsidRPr="00F46A89">
        <w:rPr>
          <w:color w:val="000000"/>
          <w:sz w:val="22"/>
          <w:szCs w:val="22"/>
        </w:rPr>
        <w:t>50</w:t>
      </w:r>
      <w:r w:rsidR="001F7EFF" w:rsidRPr="00F46A89">
        <w:rPr>
          <w:color w:val="000000"/>
          <w:sz w:val="22"/>
          <w:szCs w:val="22"/>
        </w:rPr>
        <w:t xml:space="preserve"> Physician and Surgeons</w:t>
      </w:r>
      <w:r w:rsidR="00631DFD" w:rsidRPr="00F46A89">
        <w:rPr>
          <w:color w:val="000000"/>
          <w:sz w:val="22"/>
          <w:szCs w:val="22"/>
        </w:rPr>
        <w:t xml:space="preserve"> in the hospital setting and 50 Family and General Practitioners in the medical office setting</w:t>
      </w:r>
      <w:r w:rsidR="008E6AB5" w:rsidRPr="00F46A89">
        <w:rPr>
          <w:color w:val="000000"/>
          <w:sz w:val="22"/>
          <w:szCs w:val="22"/>
        </w:rPr>
        <w:t xml:space="preserve">; </w:t>
      </w:r>
      <w:r w:rsidR="00963124" w:rsidRPr="00F46A89" w:rsidDel="00963124">
        <w:rPr>
          <w:color w:val="000000"/>
          <w:sz w:val="22"/>
          <w:szCs w:val="22"/>
        </w:rPr>
        <w:t xml:space="preserve"> </w:t>
      </w:r>
    </w:p>
    <w:p w:rsidR="00A26158" w:rsidRPr="00F46A89" w:rsidRDefault="007A3C50" w:rsidP="008E6AB5">
      <w:pPr>
        <w:tabs>
          <w:tab w:val="left" w:pos="180"/>
        </w:tabs>
        <w:ind w:left="180" w:hanging="180"/>
        <w:rPr>
          <w:color w:val="000000"/>
          <w:sz w:val="22"/>
          <w:szCs w:val="22"/>
        </w:rPr>
      </w:pPr>
      <w:r w:rsidRPr="00F46A89">
        <w:rPr>
          <w:color w:val="000000"/>
          <w:sz w:val="22"/>
          <w:szCs w:val="22"/>
        </w:rPr>
        <w:t xml:space="preserve">* </w:t>
      </w:r>
      <w:r w:rsidR="001F7EFF" w:rsidRPr="00F46A89">
        <w:rPr>
          <w:color w:val="000000"/>
          <w:sz w:val="22"/>
          <w:szCs w:val="22"/>
        </w:rPr>
        <w:t xml:space="preserve">National Occupational Employment and Wage Estimates in the United States, May 2011, “U.S. Department of Labor, Bureau of Labor Statistics” (available at </w:t>
      </w:r>
      <w:hyperlink r:id="rId8" w:history="1">
        <w:r w:rsidRPr="00F46A89">
          <w:rPr>
            <w:rStyle w:val="Hyperlink"/>
            <w:sz w:val="22"/>
            <w:szCs w:val="22"/>
          </w:rPr>
          <w:t>http://www.bls.gov/oes/current/naics4_621100.htm</w:t>
        </w:r>
      </w:hyperlink>
      <w:r w:rsidRPr="00F46A89">
        <w:rPr>
          <w:sz w:val="22"/>
          <w:szCs w:val="22"/>
        </w:rPr>
        <w:t xml:space="preserve"> [for medical office setting]</w:t>
      </w:r>
      <w:r w:rsidRPr="00F46A89">
        <w:rPr>
          <w:color w:val="000000"/>
          <w:sz w:val="22"/>
          <w:szCs w:val="22"/>
        </w:rPr>
        <w:t xml:space="preserve"> and </w:t>
      </w:r>
      <w:hyperlink r:id="rId9" w:history="1">
        <w:r w:rsidRPr="00F46A89">
          <w:rPr>
            <w:rStyle w:val="Hyperlink"/>
            <w:sz w:val="22"/>
            <w:szCs w:val="22"/>
          </w:rPr>
          <w:t>http://www.bls.gov/oes/current/naics4_622100.htm</w:t>
        </w:r>
      </w:hyperlink>
      <w:r w:rsidRPr="00F46A89">
        <w:rPr>
          <w:color w:val="000000"/>
          <w:sz w:val="22"/>
          <w:szCs w:val="22"/>
        </w:rPr>
        <w:t xml:space="preserve"> [for hospital setting]</w:t>
      </w:r>
      <w:r w:rsidR="001F7EFF" w:rsidRPr="00F46A89">
        <w:rPr>
          <w:color w:val="000000"/>
          <w:sz w:val="22"/>
          <w:szCs w:val="22"/>
        </w:rPr>
        <w:t>).</w:t>
      </w:r>
    </w:p>
    <w:p w:rsidR="001F7EFF" w:rsidRPr="00044C55" w:rsidRDefault="001F7EFF" w:rsidP="006A5BC3">
      <w:pPr>
        <w:rPr>
          <w:color w:val="000000"/>
          <w:sz w:val="22"/>
          <w:szCs w:val="22"/>
        </w:rPr>
      </w:pPr>
    </w:p>
    <w:p w:rsidR="006A5BC3" w:rsidRDefault="006A5BC3" w:rsidP="006A5BC3">
      <w:pPr>
        <w:rPr>
          <w:color w:val="000000"/>
          <w:sz w:val="22"/>
          <w:szCs w:val="22"/>
        </w:rPr>
      </w:pPr>
    </w:p>
    <w:p w:rsidR="00BC4EC9" w:rsidRPr="00C84834" w:rsidRDefault="00BC4EC9" w:rsidP="00BC4EC9">
      <w:pPr>
        <w:pStyle w:val="Heading2"/>
        <w:rPr>
          <w:color w:val="auto"/>
          <w:sz w:val="24"/>
          <w:szCs w:val="24"/>
        </w:rPr>
      </w:pPr>
      <w:bookmarkStart w:id="16" w:name="_Toc340836939"/>
      <w:r w:rsidRPr="00C84834">
        <w:rPr>
          <w:color w:val="auto"/>
          <w:sz w:val="24"/>
          <w:szCs w:val="24"/>
        </w:rPr>
        <w:lastRenderedPageBreak/>
        <w:t xml:space="preserve">13.  </w:t>
      </w:r>
      <w:r w:rsidRPr="00C84834">
        <w:rPr>
          <w:color w:val="auto"/>
          <w:sz w:val="24"/>
          <w:szCs w:val="24"/>
          <w:u w:val="single"/>
        </w:rPr>
        <w:t>Estimates of Annualized Respondent Capital and Maintenance Costs</w:t>
      </w:r>
      <w:bookmarkEnd w:id="16"/>
    </w:p>
    <w:p w:rsidR="00BC4EC9" w:rsidRPr="00C84834" w:rsidRDefault="00BC4EC9" w:rsidP="00BC4EC9">
      <w:pPr>
        <w:rPr>
          <w:szCs w:val="24"/>
        </w:rPr>
      </w:pPr>
    </w:p>
    <w:p w:rsidR="00A33F0D" w:rsidRDefault="00BC4EC9" w:rsidP="00BC4EC9">
      <w:r w:rsidRPr="00C84834">
        <w:t>Capital and maintenance costs include the purchase of equipment, computers or computer software or services, or storage facilities for records, as a result of complying with this data collection.  The only cost to the respondent will be that associated with their time to respond to the information collection, as shown in Exhibit</w:t>
      </w:r>
      <w:r w:rsidR="00C84834" w:rsidRPr="00C84834">
        <w:t>s</w:t>
      </w:r>
      <w:r w:rsidRPr="00C84834">
        <w:t xml:space="preserve"> 1</w:t>
      </w:r>
      <w:r w:rsidR="00C84834" w:rsidRPr="00C84834">
        <w:t xml:space="preserve"> </w:t>
      </w:r>
      <w:r w:rsidR="005D64E6">
        <w:t xml:space="preserve">through </w:t>
      </w:r>
      <w:r w:rsidR="003574FB">
        <w:t>5</w:t>
      </w:r>
      <w:r w:rsidRPr="00C84834">
        <w:t xml:space="preserve">. </w:t>
      </w:r>
    </w:p>
    <w:p w:rsidR="00BC4EC9" w:rsidRPr="005715A8" w:rsidRDefault="00BC4EC9" w:rsidP="005715A8">
      <w:pPr>
        <w:pStyle w:val="Heading2"/>
        <w:rPr>
          <w:color w:val="auto"/>
          <w:sz w:val="24"/>
          <w:szCs w:val="24"/>
        </w:rPr>
      </w:pPr>
      <w:bookmarkStart w:id="17" w:name="_Toc340836940"/>
      <w:r w:rsidRPr="005715A8">
        <w:rPr>
          <w:color w:val="auto"/>
          <w:sz w:val="24"/>
          <w:szCs w:val="24"/>
        </w:rPr>
        <w:t xml:space="preserve">14.  </w:t>
      </w:r>
      <w:r w:rsidRPr="005715A8">
        <w:rPr>
          <w:color w:val="auto"/>
          <w:sz w:val="24"/>
          <w:szCs w:val="24"/>
          <w:u w:val="single"/>
        </w:rPr>
        <w:t>Estimates of Annualized Cost to the Government</w:t>
      </w:r>
      <w:bookmarkEnd w:id="17"/>
    </w:p>
    <w:p w:rsidR="00BC4EC9" w:rsidRPr="00C84834" w:rsidRDefault="00BC4EC9" w:rsidP="00BC4EC9">
      <w:pPr>
        <w:rPr>
          <w:szCs w:val="24"/>
        </w:rPr>
      </w:pPr>
    </w:p>
    <w:p w:rsidR="00BC4EC9" w:rsidRDefault="00BC4EC9" w:rsidP="00BC4EC9">
      <w:pPr>
        <w:rPr>
          <w:szCs w:val="24"/>
        </w:rPr>
      </w:pPr>
      <w:r w:rsidRPr="00C84834">
        <w:rPr>
          <w:szCs w:val="24"/>
        </w:rPr>
        <w:t xml:space="preserve">Exhibit </w:t>
      </w:r>
      <w:r w:rsidR="00276BCF">
        <w:rPr>
          <w:szCs w:val="24"/>
        </w:rPr>
        <w:t>3</w:t>
      </w:r>
      <w:r w:rsidRPr="00C84834">
        <w:rPr>
          <w:szCs w:val="24"/>
        </w:rPr>
        <w:t xml:space="preserve"> shows the estimated total and annualized cost </w:t>
      </w:r>
      <w:r w:rsidR="00276BCF">
        <w:rPr>
          <w:szCs w:val="24"/>
        </w:rPr>
        <w:t>to the government for this data collection.</w:t>
      </w:r>
      <w:r w:rsidRPr="00C84834">
        <w:rPr>
          <w:szCs w:val="24"/>
        </w:rPr>
        <w:t xml:space="preserve">  Although data collection will last for less than one year, the entire project will take about </w:t>
      </w:r>
      <w:r w:rsidR="00C84834" w:rsidRPr="00C84834">
        <w:rPr>
          <w:szCs w:val="24"/>
        </w:rPr>
        <w:t>2</w:t>
      </w:r>
      <w:r w:rsidRPr="00C84834">
        <w:rPr>
          <w:szCs w:val="24"/>
        </w:rPr>
        <w:t xml:space="preserve"> years.  The total cost for th</w:t>
      </w:r>
      <w:r w:rsidR="00866E55">
        <w:rPr>
          <w:szCs w:val="24"/>
        </w:rPr>
        <w:t xml:space="preserve">e three surveys is approximately is </w:t>
      </w:r>
      <w:r w:rsidRPr="00C84834">
        <w:rPr>
          <w:szCs w:val="24"/>
        </w:rPr>
        <w:t>$</w:t>
      </w:r>
      <w:r w:rsidR="0040457D">
        <w:rPr>
          <w:szCs w:val="24"/>
        </w:rPr>
        <w:t>1,00</w:t>
      </w:r>
      <w:r w:rsidR="00BE02F9">
        <w:rPr>
          <w:szCs w:val="24"/>
        </w:rPr>
        <w:t>1,202</w:t>
      </w:r>
      <w:r w:rsidRPr="00C84834">
        <w:rPr>
          <w:szCs w:val="24"/>
        </w:rPr>
        <w:t xml:space="preserve">. </w:t>
      </w:r>
    </w:p>
    <w:p w:rsidR="00276BCF" w:rsidRDefault="00276BCF" w:rsidP="00BC4EC9">
      <w:pPr>
        <w:rPr>
          <w:szCs w:val="24"/>
        </w:rPr>
      </w:pPr>
    </w:p>
    <w:p w:rsidR="00276BCF" w:rsidRDefault="00276BCF" w:rsidP="00BC4EC9">
      <w:pPr>
        <w:rPr>
          <w:szCs w:val="24"/>
        </w:rPr>
      </w:pPr>
      <w:proofErr w:type="gramStart"/>
      <w:r>
        <w:rPr>
          <w:szCs w:val="24"/>
        </w:rPr>
        <w:t>Exhibit 3.</w:t>
      </w:r>
      <w:proofErr w:type="gramEnd"/>
      <w:r>
        <w:rPr>
          <w:szCs w:val="24"/>
        </w:rPr>
        <w:t xml:space="preserve">  Estimated Total and Annualized Cost</w:t>
      </w:r>
    </w:p>
    <w:tbl>
      <w:tblPr>
        <w:tblW w:w="7035" w:type="dxa"/>
        <w:tblInd w:w="93" w:type="dxa"/>
        <w:tblLook w:val="04A0"/>
      </w:tblPr>
      <w:tblGrid>
        <w:gridCol w:w="3615"/>
        <w:gridCol w:w="1440"/>
        <w:gridCol w:w="1980"/>
      </w:tblGrid>
      <w:tr w:rsidR="00276BCF" w:rsidRPr="00C84834" w:rsidTr="000F3691">
        <w:trPr>
          <w:trHeight w:val="274"/>
        </w:trPr>
        <w:tc>
          <w:tcPr>
            <w:tcW w:w="36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6BCF" w:rsidRPr="00C84834" w:rsidRDefault="00276BCF" w:rsidP="000F3691">
            <w:pPr>
              <w:rPr>
                <w:b/>
                <w:bCs/>
                <w:color w:val="000000"/>
                <w:szCs w:val="24"/>
              </w:rPr>
            </w:pPr>
            <w:r w:rsidRPr="00C84834">
              <w:rPr>
                <w:b/>
                <w:bCs/>
                <w:color w:val="000000"/>
                <w:szCs w:val="24"/>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276BCF" w:rsidRPr="00C84834" w:rsidRDefault="00276BCF" w:rsidP="000F3691">
            <w:pPr>
              <w:rPr>
                <w:b/>
                <w:bCs/>
                <w:color w:val="000000"/>
                <w:szCs w:val="24"/>
              </w:rPr>
            </w:pPr>
            <w:r w:rsidRPr="00C84834">
              <w:rPr>
                <w:b/>
                <w:bCs/>
                <w:color w:val="000000"/>
                <w:szCs w:val="24"/>
              </w:rPr>
              <w:t>Total Cost</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276BCF" w:rsidRPr="00C84834" w:rsidRDefault="00276BCF" w:rsidP="000F3691">
            <w:pPr>
              <w:rPr>
                <w:b/>
                <w:bCs/>
                <w:color w:val="000000"/>
                <w:szCs w:val="24"/>
              </w:rPr>
            </w:pPr>
            <w:r w:rsidRPr="00C84834">
              <w:rPr>
                <w:b/>
                <w:bCs/>
                <w:color w:val="000000"/>
                <w:szCs w:val="24"/>
              </w:rPr>
              <w:t>Annualized Cost</w:t>
            </w:r>
          </w:p>
        </w:tc>
      </w:tr>
      <w:tr w:rsidR="0040457D" w:rsidRPr="00C84834" w:rsidTr="0040457D">
        <w:trPr>
          <w:trHeight w:val="274"/>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40457D" w:rsidRPr="00C84834" w:rsidRDefault="0040457D" w:rsidP="000F3691">
            <w:pPr>
              <w:rPr>
                <w:color w:val="000000"/>
                <w:szCs w:val="24"/>
              </w:rPr>
            </w:pPr>
            <w:r w:rsidRPr="00C84834">
              <w:rPr>
                <w:color w:val="000000"/>
                <w:szCs w:val="24"/>
              </w:rPr>
              <w:t>Project Development</w:t>
            </w:r>
          </w:p>
        </w:tc>
        <w:tc>
          <w:tcPr>
            <w:tcW w:w="1440" w:type="dxa"/>
            <w:tcBorders>
              <w:top w:val="nil"/>
              <w:left w:val="nil"/>
              <w:bottom w:val="single" w:sz="8" w:space="0" w:color="auto"/>
              <w:right w:val="single" w:sz="8" w:space="0" w:color="auto"/>
            </w:tcBorders>
            <w:shd w:val="clear" w:color="auto" w:fill="auto"/>
            <w:hideMark/>
          </w:tcPr>
          <w:p w:rsidR="0040457D" w:rsidRPr="007137B2" w:rsidRDefault="0040457D" w:rsidP="0040457D">
            <w:pPr>
              <w:jc w:val="right"/>
            </w:pPr>
            <w:r w:rsidRPr="007137B2">
              <w:t xml:space="preserve">$273,838 </w:t>
            </w:r>
          </w:p>
        </w:tc>
        <w:tc>
          <w:tcPr>
            <w:tcW w:w="1980" w:type="dxa"/>
            <w:tcBorders>
              <w:top w:val="nil"/>
              <w:left w:val="nil"/>
              <w:bottom w:val="single" w:sz="8" w:space="0" w:color="auto"/>
              <w:right w:val="single" w:sz="8" w:space="0" w:color="auto"/>
            </w:tcBorders>
            <w:shd w:val="clear" w:color="auto" w:fill="auto"/>
            <w:hideMark/>
          </w:tcPr>
          <w:p w:rsidR="0040457D" w:rsidRPr="00425A10" w:rsidRDefault="0040457D" w:rsidP="0040457D">
            <w:pPr>
              <w:jc w:val="right"/>
            </w:pPr>
            <w:r w:rsidRPr="00425A10">
              <w:t xml:space="preserve">$136,919 </w:t>
            </w:r>
          </w:p>
        </w:tc>
      </w:tr>
      <w:tr w:rsidR="0040457D" w:rsidRPr="00C84834" w:rsidTr="0040457D">
        <w:trPr>
          <w:trHeight w:val="274"/>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40457D" w:rsidRPr="00C84834" w:rsidRDefault="0040457D" w:rsidP="000F3691">
            <w:pPr>
              <w:rPr>
                <w:color w:val="000000"/>
                <w:szCs w:val="24"/>
              </w:rPr>
            </w:pPr>
            <w:r w:rsidRPr="00C84834">
              <w:rPr>
                <w:color w:val="000000"/>
                <w:szCs w:val="24"/>
              </w:rPr>
              <w:t>Data Collection Activities</w:t>
            </w:r>
          </w:p>
        </w:tc>
        <w:tc>
          <w:tcPr>
            <w:tcW w:w="1440" w:type="dxa"/>
            <w:tcBorders>
              <w:top w:val="nil"/>
              <w:left w:val="nil"/>
              <w:bottom w:val="single" w:sz="8" w:space="0" w:color="auto"/>
              <w:right w:val="single" w:sz="8" w:space="0" w:color="auto"/>
            </w:tcBorders>
            <w:shd w:val="clear" w:color="auto" w:fill="auto"/>
            <w:hideMark/>
          </w:tcPr>
          <w:p w:rsidR="0040457D" w:rsidRPr="007137B2" w:rsidRDefault="0040457D" w:rsidP="00BE02F9">
            <w:pPr>
              <w:jc w:val="right"/>
            </w:pPr>
            <w:r w:rsidRPr="007137B2">
              <w:t>$15</w:t>
            </w:r>
            <w:r w:rsidR="00BE02F9">
              <w:t>3,119</w:t>
            </w:r>
            <w:r w:rsidRPr="007137B2">
              <w:t xml:space="preserve"> </w:t>
            </w:r>
          </w:p>
        </w:tc>
        <w:tc>
          <w:tcPr>
            <w:tcW w:w="1980" w:type="dxa"/>
            <w:tcBorders>
              <w:top w:val="nil"/>
              <w:left w:val="nil"/>
              <w:bottom w:val="single" w:sz="8" w:space="0" w:color="auto"/>
              <w:right w:val="single" w:sz="8" w:space="0" w:color="auto"/>
            </w:tcBorders>
            <w:shd w:val="clear" w:color="auto" w:fill="auto"/>
            <w:hideMark/>
          </w:tcPr>
          <w:p w:rsidR="0040457D" w:rsidRPr="00425A10" w:rsidRDefault="0040457D" w:rsidP="00BE02F9">
            <w:pPr>
              <w:jc w:val="right"/>
            </w:pPr>
            <w:r w:rsidRPr="00425A10">
              <w:t>$76,</w:t>
            </w:r>
            <w:r w:rsidR="00BE02F9">
              <w:t>5</w:t>
            </w:r>
            <w:r w:rsidRPr="00425A10">
              <w:t xml:space="preserve">60 </w:t>
            </w:r>
          </w:p>
        </w:tc>
      </w:tr>
      <w:tr w:rsidR="0040457D" w:rsidRPr="00C84834" w:rsidTr="0040457D">
        <w:trPr>
          <w:trHeight w:val="274"/>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40457D" w:rsidRPr="00C84834" w:rsidRDefault="0040457D" w:rsidP="000F3691">
            <w:pPr>
              <w:rPr>
                <w:color w:val="000000"/>
                <w:szCs w:val="24"/>
              </w:rPr>
            </w:pPr>
            <w:r w:rsidRPr="00C84834">
              <w:rPr>
                <w:color w:val="000000"/>
                <w:szCs w:val="24"/>
              </w:rPr>
              <w:t>Data Processing and Analysis</w:t>
            </w:r>
          </w:p>
        </w:tc>
        <w:tc>
          <w:tcPr>
            <w:tcW w:w="1440" w:type="dxa"/>
            <w:tcBorders>
              <w:top w:val="nil"/>
              <w:left w:val="nil"/>
              <w:bottom w:val="single" w:sz="8" w:space="0" w:color="auto"/>
              <w:right w:val="single" w:sz="8" w:space="0" w:color="auto"/>
            </w:tcBorders>
            <w:shd w:val="clear" w:color="auto" w:fill="auto"/>
            <w:hideMark/>
          </w:tcPr>
          <w:p w:rsidR="0040457D" w:rsidRPr="007137B2" w:rsidRDefault="0040457D" w:rsidP="0040457D">
            <w:pPr>
              <w:jc w:val="right"/>
            </w:pPr>
            <w:r w:rsidRPr="007137B2">
              <w:t xml:space="preserve">$171,764 </w:t>
            </w:r>
          </w:p>
        </w:tc>
        <w:tc>
          <w:tcPr>
            <w:tcW w:w="1980" w:type="dxa"/>
            <w:tcBorders>
              <w:top w:val="nil"/>
              <w:left w:val="nil"/>
              <w:bottom w:val="single" w:sz="8" w:space="0" w:color="auto"/>
              <w:right w:val="single" w:sz="8" w:space="0" w:color="auto"/>
            </w:tcBorders>
            <w:shd w:val="clear" w:color="auto" w:fill="auto"/>
            <w:hideMark/>
          </w:tcPr>
          <w:p w:rsidR="0040457D" w:rsidRPr="00425A10" w:rsidRDefault="0040457D" w:rsidP="0040457D">
            <w:pPr>
              <w:jc w:val="right"/>
            </w:pPr>
            <w:r w:rsidRPr="00425A10">
              <w:t xml:space="preserve">$85,882 </w:t>
            </w:r>
          </w:p>
        </w:tc>
      </w:tr>
      <w:tr w:rsidR="0040457D" w:rsidRPr="00C84834" w:rsidTr="0040457D">
        <w:trPr>
          <w:trHeight w:val="274"/>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40457D" w:rsidRPr="00C84834" w:rsidRDefault="0040457D" w:rsidP="000F3691">
            <w:pPr>
              <w:rPr>
                <w:color w:val="000000"/>
                <w:szCs w:val="24"/>
              </w:rPr>
            </w:pPr>
            <w:r w:rsidRPr="00C84834">
              <w:rPr>
                <w:color w:val="000000"/>
                <w:szCs w:val="24"/>
              </w:rPr>
              <w:t>Publication of Results</w:t>
            </w:r>
          </w:p>
        </w:tc>
        <w:tc>
          <w:tcPr>
            <w:tcW w:w="1440" w:type="dxa"/>
            <w:tcBorders>
              <w:top w:val="nil"/>
              <w:left w:val="nil"/>
              <w:bottom w:val="single" w:sz="8" w:space="0" w:color="auto"/>
              <w:right w:val="single" w:sz="8" w:space="0" w:color="auto"/>
            </w:tcBorders>
            <w:shd w:val="clear" w:color="auto" w:fill="auto"/>
            <w:hideMark/>
          </w:tcPr>
          <w:p w:rsidR="0040457D" w:rsidRPr="007137B2" w:rsidRDefault="0040457D" w:rsidP="0040457D">
            <w:pPr>
              <w:jc w:val="right"/>
            </w:pPr>
            <w:r w:rsidRPr="007137B2">
              <w:t xml:space="preserve">$14,753 </w:t>
            </w:r>
          </w:p>
        </w:tc>
        <w:tc>
          <w:tcPr>
            <w:tcW w:w="1980" w:type="dxa"/>
            <w:tcBorders>
              <w:top w:val="nil"/>
              <w:left w:val="nil"/>
              <w:bottom w:val="single" w:sz="8" w:space="0" w:color="auto"/>
              <w:right w:val="single" w:sz="8" w:space="0" w:color="auto"/>
            </w:tcBorders>
            <w:shd w:val="clear" w:color="auto" w:fill="auto"/>
            <w:hideMark/>
          </w:tcPr>
          <w:p w:rsidR="0040457D" w:rsidRPr="00425A10" w:rsidRDefault="0040457D" w:rsidP="0040457D">
            <w:pPr>
              <w:jc w:val="right"/>
            </w:pPr>
            <w:r w:rsidRPr="00425A10">
              <w:t xml:space="preserve">$7,377 </w:t>
            </w:r>
          </w:p>
        </w:tc>
      </w:tr>
      <w:tr w:rsidR="0040457D" w:rsidRPr="00C84834" w:rsidTr="0040457D">
        <w:trPr>
          <w:trHeight w:val="274"/>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40457D" w:rsidRPr="00C84834" w:rsidRDefault="0040457D" w:rsidP="000F3691">
            <w:pPr>
              <w:rPr>
                <w:color w:val="000000"/>
                <w:szCs w:val="24"/>
              </w:rPr>
            </w:pPr>
            <w:r w:rsidRPr="00C84834">
              <w:rPr>
                <w:color w:val="000000"/>
                <w:szCs w:val="24"/>
              </w:rPr>
              <w:t>Project Management</w:t>
            </w:r>
          </w:p>
        </w:tc>
        <w:tc>
          <w:tcPr>
            <w:tcW w:w="1440" w:type="dxa"/>
            <w:tcBorders>
              <w:top w:val="nil"/>
              <w:left w:val="nil"/>
              <w:bottom w:val="single" w:sz="8" w:space="0" w:color="auto"/>
              <w:right w:val="single" w:sz="8" w:space="0" w:color="auto"/>
            </w:tcBorders>
            <w:shd w:val="clear" w:color="auto" w:fill="auto"/>
            <w:hideMark/>
          </w:tcPr>
          <w:p w:rsidR="0040457D" w:rsidRPr="007137B2" w:rsidRDefault="0040457D" w:rsidP="0040457D">
            <w:pPr>
              <w:jc w:val="right"/>
            </w:pPr>
            <w:r w:rsidRPr="007137B2">
              <w:t xml:space="preserve">$10,032 </w:t>
            </w:r>
          </w:p>
        </w:tc>
        <w:tc>
          <w:tcPr>
            <w:tcW w:w="1980" w:type="dxa"/>
            <w:tcBorders>
              <w:top w:val="nil"/>
              <w:left w:val="nil"/>
              <w:bottom w:val="single" w:sz="8" w:space="0" w:color="auto"/>
              <w:right w:val="single" w:sz="8" w:space="0" w:color="auto"/>
            </w:tcBorders>
            <w:shd w:val="clear" w:color="auto" w:fill="auto"/>
            <w:hideMark/>
          </w:tcPr>
          <w:p w:rsidR="0040457D" w:rsidRPr="00425A10" w:rsidRDefault="0040457D" w:rsidP="0040457D">
            <w:pPr>
              <w:jc w:val="right"/>
            </w:pPr>
            <w:r w:rsidRPr="00425A10">
              <w:t xml:space="preserve">$5,016 </w:t>
            </w:r>
          </w:p>
        </w:tc>
      </w:tr>
      <w:tr w:rsidR="0040457D" w:rsidRPr="00C84834" w:rsidTr="0040457D">
        <w:trPr>
          <w:trHeight w:val="274"/>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40457D" w:rsidRPr="00C84834" w:rsidRDefault="0040457D" w:rsidP="000F3691">
            <w:pPr>
              <w:rPr>
                <w:color w:val="000000"/>
                <w:szCs w:val="24"/>
              </w:rPr>
            </w:pPr>
            <w:r w:rsidRPr="00C84834">
              <w:rPr>
                <w:color w:val="000000"/>
                <w:szCs w:val="24"/>
              </w:rPr>
              <w:t>Overhead</w:t>
            </w:r>
          </w:p>
        </w:tc>
        <w:tc>
          <w:tcPr>
            <w:tcW w:w="1440" w:type="dxa"/>
            <w:tcBorders>
              <w:top w:val="nil"/>
              <w:left w:val="nil"/>
              <w:bottom w:val="single" w:sz="8" w:space="0" w:color="auto"/>
              <w:right w:val="single" w:sz="8" w:space="0" w:color="auto"/>
            </w:tcBorders>
            <w:shd w:val="clear" w:color="auto" w:fill="auto"/>
            <w:hideMark/>
          </w:tcPr>
          <w:p w:rsidR="0040457D" w:rsidRPr="007137B2" w:rsidRDefault="0040457D" w:rsidP="0040457D">
            <w:pPr>
              <w:jc w:val="right"/>
            </w:pPr>
            <w:r w:rsidRPr="007137B2">
              <w:t xml:space="preserve">$377,696 </w:t>
            </w:r>
          </w:p>
        </w:tc>
        <w:tc>
          <w:tcPr>
            <w:tcW w:w="1980" w:type="dxa"/>
            <w:tcBorders>
              <w:top w:val="nil"/>
              <w:left w:val="nil"/>
              <w:bottom w:val="single" w:sz="8" w:space="0" w:color="auto"/>
              <w:right w:val="single" w:sz="8" w:space="0" w:color="auto"/>
            </w:tcBorders>
            <w:shd w:val="clear" w:color="auto" w:fill="auto"/>
            <w:hideMark/>
          </w:tcPr>
          <w:p w:rsidR="0040457D" w:rsidRPr="00425A10" w:rsidRDefault="0040457D" w:rsidP="0040457D">
            <w:pPr>
              <w:jc w:val="right"/>
            </w:pPr>
            <w:r w:rsidRPr="00425A10">
              <w:t xml:space="preserve">$188,848 </w:t>
            </w:r>
          </w:p>
        </w:tc>
      </w:tr>
      <w:tr w:rsidR="0040457D" w:rsidRPr="00C84834" w:rsidTr="0040457D">
        <w:trPr>
          <w:trHeight w:val="274"/>
        </w:trPr>
        <w:tc>
          <w:tcPr>
            <w:tcW w:w="3615" w:type="dxa"/>
            <w:tcBorders>
              <w:top w:val="nil"/>
              <w:left w:val="single" w:sz="8" w:space="0" w:color="auto"/>
              <w:bottom w:val="single" w:sz="8" w:space="0" w:color="auto"/>
              <w:right w:val="single" w:sz="8" w:space="0" w:color="auto"/>
            </w:tcBorders>
            <w:shd w:val="clear" w:color="auto" w:fill="auto"/>
            <w:vAlign w:val="center"/>
            <w:hideMark/>
          </w:tcPr>
          <w:p w:rsidR="0040457D" w:rsidRPr="00C84834" w:rsidRDefault="0040457D" w:rsidP="000F3691">
            <w:pPr>
              <w:rPr>
                <w:b/>
                <w:bCs/>
                <w:color w:val="000000"/>
                <w:szCs w:val="24"/>
              </w:rPr>
            </w:pPr>
            <w:r w:rsidRPr="00C84834">
              <w:rPr>
                <w:b/>
                <w:bCs/>
                <w:color w:val="000000"/>
                <w:szCs w:val="24"/>
              </w:rPr>
              <w:t>Total</w:t>
            </w:r>
          </w:p>
        </w:tc>
        <w:tc>
          <w:tcPr>
            <w:tcW w:w="1440" w:type="dxa"/>
            <w:tcBorders>
              <w:top w:val="nil"/>
              <w:left w:val="nil"/>
              <w:bottom w:val="single" w:sz="8" w:space="0" w:color="auto"/>
              <w:right w:val="single" w:sz="8" w:space="0" w:color="auto"/>
            </w:tcBorders>
            <w:shd w:val="clear" w:color="auto" w:fill="auto"/>
            <w:hideMark/>
          </w:tcPr>
          <w:p w:rsidR="0040457D" w:rsidRDefault="0040457D" w:rsidP="00BE02F9">
            <w:pPr>
              <w:jc w:val="right"/>
            </w:pPr>
            <w:r w:rsidRPr="007137B2">
              <w:t>$1,00</w:t>
            </w:r>
            <w:r w:rsidR="00BE02F9">
              <w:t>1,202</w:t>
            </w:r>
            <w:r w:rsidRPr="007137B2">
              <w:t xml:space="preserve"> </w:t>
            </w:r>
          </w:p>
        </w:tc>
        <w:tc>
          <w:tcPr>
            <w:tcW w:w="1980" w:type="dxa"/>
            <w:tcBorders>
              <w:top w:val="nil"/>
              <w:left w:val="nil"/>
              <w:bottom w:val="single" w:sz="8" w:space="0" w:color="auto"/>
              <w:right w:val="single" w:sz="8" w:space="0" w:color="auto"/>
            </w:tcBorders>
            <w:shd w:val="clear" w:color="auto" w:fill="auto"/>
            <w:hideMark/>
          </w:tcPr>
          <w:p w:rsidR="0040457D" w:rsidRDefault="0040457D" w:rsidP="0040457D">
            <w:pPr>
              <w:jc w:val="right"/>
            </w:pPr>
            <w:r w:rsidRPr="00425A10">
              <w:t>$500,</w:t>
            </w:r>
            <w:r w:rsidR="00B53982">
              <w:t>6</w:t>
            </w:r>
            <w:r w:rsidRPr="00425A10">
              <w:t xml:space="preserve">01 </w:t>
            </w:r>
          </w:p>
        </w:tc>
      </w:tr>
    </w:tbl>
    <w:p w:rsidR="00276BCF" w:rsidRPr="00C84834" w:rsidRDefault="00276BCF" w:rsidP="00BC4EC9">
      <w:pPr>
        <w:rPr>
          <w:szCs w:val="24"/>
        </w:rPr>
      </w:pPr>
    </w:p>
    <w:p w:rsidR="00BC4EC9" w:rsidRPr="00D737AA" w:rsidRDefault="00BC4EC9" w:rsidP="00BC4EC9">
      <w:pPr>
        <w:pStyle w:val="Heading2"/>
        <w:rPr>
          <w:color w:val="auto"/>
          <w:sz w:val="24"/>
          <w:szCs w:val="24"/>
        </w:rPr>
      </w:pPr>
      <w:bookmarkStart w:id="18" w:name="_Toc340836941"/>
      <w:r w:rsidRPr="00D737AA">
        <w:rPr>
          <w:color w:val="auto"/>
          <w:sz w:val="24"/>
          <w:szCs w:val="24"/>
        </w:rPr>
        <w:t xml:space="preserve">15.  </w:t>
      </w:r>
      <w:r w:rsidRPr="00D737AA">
        <w:rPr>
          <w:color w:val="auto"/>
          <w:sz w:val="24"/>
          <w:szCs w:val="24"/>
          <w:u w:val="single"/>
        </w:rPr>
        <w:t>Change in Burden</w:t>
      </w:r>
      <w:bookmarkEnd w:id="18"/>
    </w:p>
    <w:p w:rsidR="00BC4EC9" w:rsidRPr="00D737AA" w:rsidRDefault="00BC4EC9" w:rsidP="00BC4EC9">
      <w:pPr>
        <w:rPr>
          <w:szCs w:val="24"/>
        </w:rPr>
      </w:pPr>
    </w:p>
    <w:p w:rsidR="00BC4EC9" w:rsidRPr="00D737AA" w:rsidRDefault="00BC4EC9" w:rsidP="00BC4EC9">
      <w:pPr>
        <w:rPr>
          <w:szCs w:val="24"/>
        </w:rPr>
      </w:pPr>
      <w:r w:rsidRPr="00D737AA">
        <w:rPr>
          <w:szCs w:val="24"/>
        </w:rPr>
        <w:t>This is a new activity.</w:t>
      </w:r>
    </w:p>
    <w:p w:rsidR="00BC4EC9" w:rsidRPr="00BC4EC9" w:rsidRDefault="00BC4EC9" w:rsidP="00BC4EC9">
      <w:pPr>
        <w:rPr>
          <w:szCs w:val="24"/>
          <w:highlight w:val="yellow"/>
        </w:rPr>
      </w:pPr>
    </w:p>
    <w:p w:rsidR="00BC4EC9" w:rsidRPr="00D737AA" w:rsidRDefault="00BC4EC9" w:rsidP="00BC4EC9">
      <w:pPr>
        <w:pStyle w:val="Heading2"/>
        <w:rPr>
          <w:b w:val="0"/>
          <w:color w:val="auto"/>
          <w:sz w:val="24"/>
          <w:szCs w:val="24"/>
        </w:rPr>
      </w:pPr>
      <w:bookmarkStart w:id="19" w:name="_Toc340836942"/>
      <w:r w:rsidRPr="00D737AA">
        <w:rPr>
          <w:color w:val="auto"/>
          <w:sz w:val="24"/>
          <w:szCs w:val="24"/>
        </w:rPr>
        <w:t xml:space="preserve">16.  </w:t>
      </w:r>
      <w:r w:rsidRPr="00CE4A64">
        <w:rPr>
          <w:color w:val="auto"/>
          <w:sz w:val="24"/>
          <w:u w:val="single"/>
        </w:rPr>
        <w:t>Time Schedule, Publication and Analysis Plans</w:t>
      </w:r>
      <w:bookmarkEnd w:id="19"/>
    </w:p>
    <w:p w:rsidR="00BC4EC9" w:rsidRPr="00D737AA" w:rsidRDefault="00BC4EC9" w:rsidP="00BC4EC9">
      <w:pPr>
        <w:rPr>
          <w:szCs w:val="24"/>
        </w:rPr>
      </w:pPr>
    </w:p>
    <w:p w:rsidR="00BC4EC9" w:rsidRPr="00D737AA" w:rsidRDefault="00BC4EC9" w:rsidP="00BC4EC9">
      <w:pPr>
        <w:rPr>
          <w:szCs w:val="24"/>
        </w:rPr>
      </w:pPr>
      <w:r w:rsidRPr="00D737AA">
        <w:rPr>
          <w:szCs w:val="24"/>
        </w:rPr>
        <w:t>As soon as OMB approval is received,</w:t>
      </w:r>
      <w:r w:rsidRPr="00D737AA">
        <w:rPr>
          <w:rFonts w:ascii="Calibri" w:hAnsi="Calibri"/>
          <w:sz w:val="22"/>
          <w:szCs w:val="22"/>
        </w:rPr>
        <w:t xml:space="preserve"> </w:t>
      </w:r>
      <w:r w:rsidRPr="00D737AA">
        <w:rPr>
          <w:szCs w:val="24"/>
        </w:rPr>
        <w:t>pilot study activities will begin. The estimated time schedule to conduct these activities is shown below:</w:t>
      </w:r>
    </w:p>
    <w:p w:rsidR="00BC4EC9" w:rsidRPr="00D737AA" w:rsidRDefault="00BC4EC9" w:rsidP="00BC4EC9">
      <w:pPr>
        <w:rPr>
          <w:szCs w:val="24"/>
        </w:rPr>
      </w:pPr>
    </w:p>
    <w:p w:rsidR="00BC4EC9" w:rsidRPr="002245A8" w:rsidRDefault="00D737AA" w:rsidP="00BC4EC9">
      <w:pPr>
        <w:numPr>
          <w:ilvl w:val="0"/>
          <w:numId w:val="1"/>
        </w:numPr>
        <w:rPr>
          <w:szCs w:val="24"/>
        </w:rPr>
      </w:pPr>
      <w:r w:rsidRPr="002245A8">
        <w:rPr>
          <w:szCs w:val="24"/>
        </w:rPr>
        <w:t>One round</w:t>
      </w:r>
      <w:r w:rsidR="00BC4EC9" w:rsidRPr="002245A8">
        <w:rPr>
          <w:szCs w:val="24"/>
        </w:rPr>
        <w:t xml:space="preserve"> of cognitive interviews</w:t>
      </w:r>
      <w:r w:rsidRPr="002245A8">
        <w:rPr>
          <w:szCs w:val="24"/>
        </w:rPr>
        <w:t xml:space="preserve"> </w:t>
      </w:r>
      <w:r w:rsidR="00BC4EC9" w:rsidRPr="002245A8">
        <w:rPr>
          <w:szCs w:val="24"/>
        </w:rPr>
        <w:t>(2 months)</w:t>
      </w:r>
    </w:p>
    <w:p w:rsidR="00BC4EC9" w:rsidRPr="002245A8" w:rsidRDefault="00BC4EC9" w:rsidP="00BC4EC9">
      <w:pPr>
        <w:numPr>
          <w:ilvl w:val="0"/>
          <w:numId w:val="1"/>
        </w:numPr>
        <w:rPr>
          <w:szCs w:val="24"/>
        </w:rPr>
      </w:pPr>
      <w:r w:rsidRPr="002245A8">
        <w:rPr>
          <w:szCs w:val="24"/>
        </w:rPr>
        <w:t>Pilot study data collection (</w:t>
      </w:r>
      <w:r w:rsidR="002245A8" w:rsidRPr="002245A8">
        <w:rPr>
          <w:szCs w:val="24"/>
        </w:rPr>
        <w:t>4</w:t>
      </w:r>
      <w:r w:rsidRPr="002245A8">
        <w:rPr>
          <w:szCs w:val="24"/>
        </w:rPr>
        <w:t xml:space="preserve"> months)</w:t>
      </w:r>
    </w:p>
    <w:p w:rsidR="00BC4EC9" w:rsidRPr="002245A8" w:rsidRDefault="00BC4EC9" w:rsidP="00BC4EC9">
      <w:pPr>
        <w:numPr>
          <w:ilvl w:val="0"/>
          <w:numId w:val="1"/>
        </w:numPr>
        <w:rPr>
          <w:szCs w:val="24"/>
        </w:rPr>
      </w:pPr>
      <w:r w:rsidRPr="002245A8">
        <w:rPr>
          <w:szCs w:val="24"/>
        </w:rPr>
        <w:t>Data analysis, feedback report production, and development of technical report (</w:t>
      </w:r>
      <w:r w:rsidR="00D737AA" w:rsidRPr="002245A8">
        <w:rPr>
          <w:szCs w:val="24"/>
        </w:rPr>
        <w:t>4.5</w:t>
      </w:r>
      <w:r w:rsidRPr="002245A8">
        <w:rPr>
          <w:szCs w:val="24"/>
        </w:rPr>
        <w:t xml:space="preserve"> months)</w:t>
      </w:r>
      <w:r w:rsidR="00D737AA" w:rsidRPr="002245A8">
        <w:rPr>
          <w:szCs w:val="24"/>
        </w:rPr>
        <w:t xml:space="preserve"> </w:t>
      </w:r>
    </w:p>
    <w:p w:rsidR="00BC4EC9" w:rsidRPr="00D737AA" w:rsidRDefault="00BC4EC9" w:rsidP="00BC4EC9">
      <w:pPr>
        <w:numPr>
          <w:ilvl w:val="0"/>
          <w:numId w:val="1"/>
        </w:numPr>
        <w:rPr>
          <w:szCs w:val="24"/>
        </w:rPr>
      </w:pPr>
      <w:r w:rsidRPr="00D737AA">
        <w:rPr>
          <w:szCs w:val="24"/>
        </w:rPr>
        <w:t>Final survey and development of toolkit materials (2 months)</w:t>
      </w:r>
    </w:p>
    <w:p w:rsidR="00BC4EC9" w:rsidRPr="00BC4EC9" w:rsidRDefault="00BC4EC9" w:rsidP="00BC4EC9">
      <w:pPr>
        <w:rPr>
          <w:szCs w:val="24"/>
          <w:highlight w:val="yellow"/>
        </w:rPr>
      </w:pPr>
    </w:p>
    <w:p w:rsidR="00BC4EC9" w:rsidRPr="00D737AA" w:rsidRDefault="00BC4EC9" w:rsidP="00BC4EC9">
      <w:pPr>
        <w:rPr>
          <w:szCs w:val="24"/>
        </w:rPr>
      </w:pPr>
      <w:r w:rsidRPr="00D737AA">
        <w:rPr>
          <w:szCs w:val="24"/>
        </w:rPr>
        <w:t>The final version</w:t>
      </w:r>
      <w:r w:rsidR="005D64E6">
        <w:rPr>
          <w:szCs w:val="24"/>
        </w:rPr>
        <w:t>s</w:t>
      </w:r>
      <w:r w:rsidRPr="00D737AA">
        <w:rPr>
          <w:szCs w:val="24"/>
        </w:rPr>
        <w:t xml:space="preserve"> of the </w:t>
      </w:r>
      <w:r w:rsidR="00D737AA" w:rsidRPr="00D737AA">
        <w:rPr>
          <w:szCs w:val="24"/>
        </w:rPr>
        <w:t xml:space="preserve">Hospital </w:t>
      </w:r>
      <w:r w:rsidR="00C32F8F">
        <w:rPr>
          <w:szCs w:val="24"/>
        </w:rPr>
        <w:t>VE</w:t>
      </w:r>
      <w:r w:rsidR="00D737AA" w:rsidRPr="00D737AA">
        <w:rPr>
          <w:szCs w:val="24"/>
        </w:rPr>
        <w:t xml:space="preserve"> Survey</w:t>
      </w:r>
      <w:r w:rsidR="002C1AD4">
        <w:rPr>
          <w:szCs w:val="24"/>
        </w:rPr>
        <w:t>,</w:t>
      </w:r>
      <w:r w:rsidR="00D737AA" w:rsidRPr="00D737AA">
        <w:rPr>
          <w:szCs w:val="24"/>
        </w:rPr>
        <w:t xml:space="preserve"> the Medical Office </w:t>
      </w:r>
      <w:r w:rsidR="00C32F8F">
        <w:rPr>
          <w:szCs w:val="24"/>
        </w:rPr>
        <w:t>VE</w:t>
      </w:r>
      <w:r w:rsidR="00D737AA" w:rsidRPr="00D737AA">
        <w:rPr>
          <w:szCs w:val="24"/>
        </w:rPr>
        <w:t xml:space="preserve"> Survey</w:t>
      </w:r>
      <w:r w:rsidR="002C1AD4">
        <w:rPr>
          <w:szCs w:val="24"/>
        </w:rPr>
        <w:t>,</w:t>
      </w:r>
      <w:r w:rsidR="005D64E6">
        <w:rPr>
          <w:szCs w:val="24"/>
        </w:rPr>
        <w:t xml:space="preserve"> and </w:t>
      </w:r>
      <w:r w:rsidR="002C1AD4">
        <w:rPr>
          <w:szCs w:val="24"/>
        </w:rPr>
        <w:t xml:space="preserve">the </w:t>
      </w:r>
      <w:r w:rsidR="004F38AC">
        <w:rPr>
          <w:szCs w:val="24"/>
        </w:rPr>
        <w:t>CV</w:t>
      </w:r>
      <w:r w:rsidR="005D64E6">
        <w:rPr>
          <w:szCs w:val="24"/>
        </w:rPr>
        <w:t xml:space="preserve"> Checklist</w:t>
      </w:r>
      <w:r w:rsidR="00D737AA" w:rsidRPr="00D737AA">
        <w:rPr>
          <w:szCs w:val="24"/>
        </w:rPr>
        <w:t xml:space="preserve"> </w:t>
      </w:r>
      <w:r w:rsidRPr="00D737AA">
        <w:rPr>
          <w:szCs w:val="24"/>
        </w:rPr>
        <w:t>will be made available in the public domain on the AHRQ Web site.</w:t>
      </w:r>
      <w:r w:rsidR="00FF496B">
        <w:rPr>
          <w:szCs w:val="24"/>
        </w:rPr>
        <w:t xml:space="preserve">  </w:t>
      </w:r>
    </w:p>
    <w:p w:rsidR="00BC4EC9" w:rsidRPr="00BC4EC9" w:rsidRDefault="00BC4EC9" w:rsidP="00BC4EC9">
      <w:pPr>
        <w:rPr>
          <w:szCs w:val="24"/>
          <w:highlight w:val="yellow"/>
        </w:rPr>
      </w:pPr>
    </w:p>
    <w:p w:rsidR="00BC4EC9" w:rsidRPr="00365886" w:rsidRDefault="00C32F8F" w:rsidP="0040457D">
      <w:pPr>
        <w:pStyle w:val="ListParagraph"/>
        <w:ind w:left="0"/>
        <w:rPr>
          <w:szCs w:val="24"/>
        </w:rPr>
      </w:pPr>
      <w:r>
        <w:rPr>
          <w:b/>
          <w:szCs w:val="24"/>
        </w:rPr>
        <w:t>VE</w:t>
      </w:r>
      <w:r w:rsidR="005D64E6" w:rsidRPr="00E8060F">
        <w:rPr>
          <w:b/>
          <w:szCs w:val="24"/>
        </w:rPr>
        <w:t xml:space="preserve"> </w:t>
      </w:r>
      <w:r w:rsidR="006966FB" w:rsidRPr="00E8060F">
        <w:rPr>
          <w:b/>
          <w:szCs w:val="24"/>
        </w:rPr>
        <w:t>s</w:t>
      </w:r>
      <w:r w:rsidR="005D64E6" w:rsidRPr="00E8060F">
        <w:rPr>
          <w:b/>
          <w:szCs w:val="24"/>
        </w:rPr>
        <w:t>urveys.</w:t>
      </w:r>
      <w:r w:rsidR="005D64E6">
        <w:rPr>
          <w:szCs w:val="24"/>
        </w:rPr>
        <w:t xml:space="preserve"> </w:t>
      </w:r>
      <w:r w:rsidR="00BC4EC9" w:rsidRPr="00365886">
        <w:rPr>
          <w:szCs w:val="24"/>
        </w:rPr>
        <w:t xml:space="preserve">The goal of our data analysis will be to assess the multi-level psychometric properties of the </w:t>
      </w:r>
      <w:r>
        <w:rPr>
          <w:szCs w:val="24"/>
        </w:rPr>
        <w:t>VE</w:t>
      </w:r>
      <w:r w:rsidR="00D737AA" w:rsidRPr="00365886">
        <w:rPr>
          <w:szCs w:val="24"/>
        </w:rPr>
        <w:t xml:space="preserve"> surveys</w:t>
      </w:r>
      <w:r w:rsidR="00BC4EC9" w:rsidRPr="00365886">
        <w:rPr>
          <w:szCs w:val="24"/>
        </w:rPr>
        <w:t xml:space="preserve"> using a multi-staged approach to assess construct validity through factor analyses and </w:t>
      </w:r>
      <w:proofErr w:type="spellStart"/>
      <w:r w:rsidR="00BC4EC9" w:rsidRPr="00365886">
        <w:rPr>
          <w:szCs w:val="24"/>
        </w:rPr>
        <w:t>intercorrelations</w:t>
      </w:r>
      <w:proofErr w:type="spellEnd"/>
      <w:r w:rsidR="00BC4EC9" w:rsidRPr="00365886">
        <w:rPr>
          <w:szCs w:val="24"/>
        </w:rPr>
        <w:t xml:space="preserve"> among composites and to assess reliability.</w:t>
      </w:r>
      <w:r w:rsidR="004E7E42">
        <w:rPr>
          <w:szCs w:val="24"/>
        </w:rPr>
        <w:t xml:space="preserve">  </w:t>
      </w:r>
      <w:r w:rsidR="004E7E42" w:rsidRPr="00E21140">
        <w:rPr>
          <w:szCs w:val="24"/>
        </w:rPr>
        <w:t xml:space="preserve">Psychometric analysis will be conducted on the pilot data to examine item nonresponse, item response </w:t>
      </w:r>
      <w:r w:rsidR="004E7E42" w:rsidRPr="00E21140">
        <w:rPr>
          <w:szCs w:val="24"/>
        </w:rPr>
        <w:lastRenderedPageBreak/>
        <w:t xml:space="preserve">variability, factor structure, reliability, and construct validity of the items included in the surveys.  Because the survey items are being developed to measure specific aspects of value and efficiency in the hospital and medical office settings, the factor structure of the survey items will be evaluated through multilevel confirmatory factor analysis. On the basis of the data analyses, items or factors may be dropped. </w:t>
      </w:r>
    </w:p>
    <w:p w:rsidR="00A33F0D" w:rsidRPr="00D737AA" w:rsidRDefault="00A33F0D" w:rsidP="00BC4EC9">
      <w:pPr>
        <w:rPr>
          <w:szCs w:val="24"/>
        </w:rPr>
      </w:pPr>
    </w:p>
    <w:p w:rsidR="00BC4EC9" w:rsidRPr="00D737AA" w:rsidRDefault="00BC4EC9" w:rsidP="008662A3">
      <w:pPr>
        <w:rPr>
          <w:b/>
          <w:szCs w:val="24"/>
        </w:rPr>
      </w:pPr>
      <w:r w:rsidRPr="00D737AA">
        <w:rPr>
          <w:b/>
          <w:szCs w:val="24"/>
        </w:rPr>
        <w:t>Descriptive Statistics</w:t>
      </w:r>
    </w:p>
    <w:p w:rsidR="00BC4EC9" w:rsidRPr="00D737AA" w:rsidRDefault="00BC4EC9" w:rsidP="008662A3">
      <w:pPr>
        <w:rPr>
          <w:szCs w:val="24"/>
        </w:rPr>
      </w:pPr>
      <w:r w:rsidRPr="00D737AA">
        <w:rPr>
          <w:szCs w:val="24"/>
        </w:rPr>
        <w:t xml:space="preserve">The means, standard deviations, and response frequencies for the survey items will be examined to ensure that respondents and </w:t>
      </w:r>
      <w:r w:rsidR="00D737AA" w:rsidRPr="00D737AA">
        <w:rPr>
          <w:szCs w:val="24"/>
        </w:rPr>
        <w:t>hospitals/medical offices</w:t>
      </w:r>
      <w:r w:rsidRPr="00D737AA">
        <w:rPr>
          <w:szCs w:val="24"/>
        </w:rPr>
        <w:t xml:space="preserve"> exhibit adequate response variability on the survey items. In addition, items will be examined to ensure that there are low rates of missing data (lower than 8% missing response per item). Poorly functioning items will be identified.</w:t>
      </w:r>
    </w:p>
    <w:p w:rsidR="00BC4EC9" w:rsidRPr="00D737AA" w:rsidRDefault="00BC4EC9" w:rsidP="00365886">
      <w:pPr>
        <w:ind w:left="360"/>
        <w:rPr>
          <w:szCs w:val="24"/>
        </w:rPr>
      </w:pPr>
    </w:p>
    <w:p w:rsidR="00BC4EC9" w:rsidRPr="00D737AA" w:rsidRDefault="00BC4EC9" w:rsidP="008662A3">
      <w:pPr>
        <w:rPr>
          <w:b/>
          <w:szCs w:val="24"/>
        </w:rPr>
      </w:pPr>
      <w:r w:rsidRPr="00D737AA">
        <w:rPr>
          <w:b/>
          <w:szCs w:val="24"/>
        </w:rPr>
        <w:t>Individual Level Factor Analysis</w:t>
      </w:r>
    </w:p>
    <w:p w:rsidR="00043C3F" w:rsidRDefault="00BC4EC9" w:rsidP="008662A3">
      <w:pPr>
        <w:rPr>
          <w:szCs w:val="24"/>
        </w:rPr>
      </w:pPr>
      <w:r w:rsidRPr="00D737AA">
        <w:rPr>
          <w:szCs w:val="24"/>
        </w:rPr>
        <w:t xml:space="preserve">An individual level factor analysis will be conducted to initially examine whether groups of items intended to measure a specific composite are interrelated, ignoring the nesting of respondent data within </w:t>
      </w:r>
      <w:r w:rsidR="00D737AA" w:rsidRPr="00D737AA">
        <w:rPr>
          <w:szCs w:val="24"/>
        </w:rPr>
        <w:t>hospitals and within medical offices</w:t>
      </w:r>
      <w:r w:rsidRPr="00D737AA">
        <w:rPr>
          <w:szCs w:val="24"/>
        </w:rPr>
        <w:t>. Factor loadings for each item in an a</w:t>
      </w:r>
      <w:r w:rsidR="00107AED">
        <w:rPr>
          <w:szCs w:val="24"/>
        </w:rPr>
        <w:t xml:space="preserve"> </w:t>
      </w:r>
      <w:r w:rsidRPr="00D737AA">
        <w:rPr>
          <w:szCs w:val="24"/>
        </w:rPr>
        <w:t xml:space="preserve">priori composite will be considered as having an adequate contribution to a particular composite or factor if the strength of the item's relationship to that factor (i.e., its factor loading), is </w:t>
      </w:r>
      <w:r w:rsidR="00DF2DE6">
        <w:rPr>
          <w:szCs w:val="24"/>
        </w:rPr>
        <w:t>0</w:t>
      </w:r>
      <w:r w:rsidRPr="00D737AA">
        <w:rPr>
          <w:szCs w:val="24"/>
        </w:rPr>
        <w:t>.40 or greater.</w:t>
      </w:r>
      <w:r w:rsidR="00AA5D20">
        <w:rPr>
          <w:szCs w:val="24"/>
        </w:rPr>
        <w:t xml:space="preserve">  Potential composites or factors that the survey items may measure include: </w:t>
      </w:r>
    </w:p>
    <w:p w:rsidR="00043C3F" w:rsidRDefault="00AA5D20" w:rsidP="00CE64BD">
      <w:pPr>
        <w:pStyle w:val="ListParagraph"/>
        <w:numPr>
          <w:ilvl w:val="0"/>
          <w:numId w:val="15"/>
        </w:numPr>
        <w:rPr>
          <w:szCs w:val="24"/>
        </w:rPr>
      </w:pPr>
      <w:r w:rsidRPr="00043C3F">
        <w:rPr>
          <w:szCs w:val="24"/>
        </w:rPr>
        <w:t>senior leadership</w:t>
      </w:r>
      <w:r w:rsidR="00043C3F">
        <w:rPr>
          <w:szCs w:val="24"/>
        </w:rPr>
        <w:t xml:space="preserve"> and </w:t>
      </w:r>
      <w:r w:rsidRPr="00043C3F">
        <w:rPr>
          <w:szCs w:val="24"/>
        </w:rPr>
        <w:t>management support for value</w:t>
      </w:r>
      <w:r w:rsidR="00043C3F">
        <w:rPr>
          <w:szCs w:val="24"/>
        </w:rPr>
        <w:t xml:space="preserve">, </w:t>
      </w:r>
      <w:r w:rsidRPr="00043C3F">
        <w:rPr>
          <w:szCs w:val="24"/>
        </w:rPr>
        <w:t>efficiency</w:t>
      </w:r>
      <w:r w:rsidR="00043C3F">
        <w:rPr>
          <w:szCs w:val="24"/>
        </w:rPr>
        <w:t xml:space="preserve"> and </w:t>
      </w:r>
      <w:r w:rsidRPr="00043C3F">
        <w:rPr>
          <w:szCs w:val="24"/>
        </w:rPr>
        <w:t>waste reduction</w:t>
      </w:r>
      <w:r w:rsidR="00043C3F">
        <w:rPr>
          <w:szCs w:val="24"/>
        </w:rPr>
        <w:t>;</w:t>
      </w:r>
    </w:p>
    <w:p w:rsidR="00043C3F" w:rsidRDefault="00AA5D20" w:rsidP="00CE64BD">
      <w:pPr>
        <w:pStyle w:val="ListParagraph"/>
        <w:numPr>
          <w:ilvl w:val="0"/>
          <w:numId w:val="15"/>
        </w:numPr>
        <w:rPr>
          <w:szCs w:val="24"/>
        </w:rPr>
      </w:pPr>
      <w:r w:rsidRPr="00043C3F">
        <w:rPr>
          <w:szCs w:val="24"/>
        </w:rPr>
        <w:t>waste reduction</w:t>
      </w:r>
      <w:r w:rsidR="00043C3F">
        <w:rPr>
          <w:szCs w:val="24"/>
        </w:rPr>
        <w:t>;</w:t>
      </w:r>
      <w:r w:rsidRPr="00043C3F">
        <w:rPr>
          <w:szCs w:val="24"/>
        </w:rPr>
        <w:t xml:space="preserve"> </w:t>
      </w:r>
    </w:p>
    <w:p w:rsidR="00043C3F" w:rsidRDefault="00AA5D20" w:rsidP="00CE64BD">
      <w:pPr>
        <w:pStyle w:val="ListParagraph"/>
        <w:numPr>
          <w:ilvl w:val="0"/>
          <w:numId w:val="15"/>
        </w:numPr>
        <w:rPr>
          <w:szCs w:val="24"/>
        </w:rPr>
      </w:pPr>
      <w:r w:rsidRPr="00043C3F">
        <w:rPr>
          <w:szCs w:val="24"/>
        </w:rPr>
        <w:t>measurement and data monitoring</w:t>
      </w:r>
      <w:r w:rsidR="00CE64BD">
        <w:rPr>
          <w:szCs w:val="24"/>
        </w:rPr>
        <w:t>;</w:t>
      </w:r>
      <w:r w:rsidRPr="00043C3F">
        <w:rPr>
          <w:szCs w:val="24"/>
        </w:rPr>
        <w:t xml:space="preserve"> </w:t>
      </w:r>
    </w:p>
    <w:p w:rsidR="00043C3F" w:rsidRDefault="00AA5D20" w:rsidP="00CE64BD">
      <w:pPr>
        <w:pStyle w:val="ListParagraph"/>
        <w:numPr>
          <w:ilvl w:val="0"/>
          <w:numId w:val="15"/>
        </w:numPr>
        <w:rPr>
          <w:szCs w:val="24"/>
        </w:rPr>
      </w:pPr>
      <w:r w:rsidRPr="00043C3F">
        <w:rPr>
          <w:szCs w:val="24"/>
        </w:rPr>
        <w:t>openness to change</w:t>
      </w:r>
      <w:r w:rsidR="00043C3F">
        <w:rPr>
          <w:szCs w:val="24"/>
        </w:rPr>
        <w:t xml:space="preserve"> and </w:t>
      </w:r>
      <w:r w:rsidRPr="00043C3F">
        <w:rPr>
          <w:szCs w:val="24"/>
        </w:rPr>
        <w:t>continuous improvement</w:t>
      </w:r>
      <w:r w:rsidR="00043C3F">
        <w:rPr>
          <w:szCs w:val="24"/>
        </w:rPr>
        <w:t>;</w:t>
      </w:r>
      <w:r w:rsidRPr="00043C3F">
        <w:rPr>
          <w:szCs w:val="24"/>
        </w:rPr>
        <w:t xml:space="preserve"> </w:t>
      </w:r>
    </w:p>
    <w:p w:rsidR="00043C3F" w:rsidRDefault="00AA5D20" w:rsidP="00CE64BD">
      <w:pPr>
        <w:pStyle w:val="ListParagraph"/>
        <w:numPr>
          <w:ilvl w:val="0"/>
          <w:numId w:val="15"/>
        </w:numPr>
        <w:rPr>
          <w:szCs w:val="24"/>
        </w:rPr>
      </w:pPr>
      <w:r w:rsidRPr="00043C3F">
        <w:rPr>
          <w:szCs w:val="24"/>
        </w:rPr>
        <w:t>collaboration across positions and functional areas</w:t>
      </w:r>
      <w:r w:rsidR="00043C3F">
        <w:rPr>
          <w:szCs w:val="24"/>
        </w:rPr>
        <w:t>;</w:t>
      </w:r>
      <w:r w:rsidRPr="00043C3F">
        <w:rPr>
          <w:szCs w:val="24"/>
        </w:rPr>
        <w:t xml:space="preserve"> </w:t>
      </w:r>
    </w:p>
    <w:p w:rsidR="00043C3F" w:rsidRDefault="00AA5D20" w:rsidP="00CE64BD">
      <w:pPr>
        <w:pStyle w:val="ListParagraph"/>
        <w:numPr>
          <w:ilvl w:val="0"/>
          <w:numId w:val="15"/>
        </w:numPr>
        <w:rPr>
          <w:szCs w:val="24"/>
        </w:rPr>
      </w:pPr>
      <w:r w:rsidRPr="00043C3F">
        <w:rPr>
          <w:szCs w:val="24"/>
        </w:rPr>
        <w:t>staff engagement and empowerment</w:t>
      </w:r>
      <w:r w:rsidR="00043C3F">
        <w:rPr>
          <w:szCs w:val="24"/>
        </w:rPr>
        <w:t>;</w:t>
      </w:r>
      <w:r w:rsidRPr="00043C3F">
        <w:rPr>
          <w:szCs w:val="24"/>
        </w:rPr>
        <w:t xml:space="preserve"> </w:t>
      </w:r>
    </w:p>
    <w:p w:rsidR="00043C3F" w:rsidRDefault="00AA5D20" w:rsidP="00CE64BD">
      <w:pPr>
        <w:pStyle w:val="ListParagraph"/>
        <w:numPr>
          <w:ilvl w:val="0"/>
          <w:numId w:val="15"/>
        </w:numPr>
        <w:rPr>
          <w:szCs w:val="24"/>
        </w:rPr>
      </w:pPr>
      <w:r w:rsidRPr="00043C3F">
        <w:rPr>
          <w:szCs w:val="24"/>
        </w:rPr>
        <w:t>patient-centeredness</w:t>
      </w:r>
      <w:r w:rsidR="00043C3F">
        <w:rPr>
          <w:szCs w:val="24"/>
        </w:rPr>
        <w:t>;</w:t>
      </w:r>
      <w:r w:rsidRPr="00043C3F">
        <w:rPr>
          <w:szCs w:val="24"/>
        </w:rPr>
        <w:t xml:space="preserve"> </w:t>
      </w:r>
    </w:p>
    <w:p w:rsidR="00043C3F" w:rsidRDefault="00AA5D20" w:rsidP="00CE64BD">
      <w:pPr>
        <w:pStyle w:val="ListParagraph"/>
        <w:numPr>
          <w:ilvl w:val="0"/>
          <w:numId w:val="15"/>
        </w:numPr>
        <w:rPr>
          <w:szCs w:val="24"/>
        </w:rPr>
      </w:pPr>
      <w:r w:rsidRPr="00043C3F">
        <w:rPr>
          <w:szCs w:val="24"/>
        </w:rPr>
        <w:t>staff training</w:t>
      </w:r>
      <w:r w:rsidR="00043C3F">
        <w:rPr>
          <w:szCs w:val="24"/>
        </w:rPr>
        <w:t>;</w:t>
      </w:r>
      <w:r w:rsidRPr="00043C3F">
        <w:rPr>
          <w:szCs w:val="24"/>
        </w:rPr>
        <w:t xml:space="preserve"> </w:t>
      </w:r>
    </w:p>
    <w:p w:rsidR="00043C3F" w:rsidRDefault="00AA5D20" w:rsidP="00CE64BD">
      <w:pPr>
        <w:pStyle w:val="ListParagraph"/>
        <w:numPr>
          <w:ilvl w:val="0"/>
          <w:numId w:val="15"/>
        </w:numPr>
        <w:rPr>
          <w:szCs w:val="24"/>
        </w:rPr>
      </w:pPr>
      <w:r w:rsidRPr="00043C3F">
        <w:rPr>
          <w:szCs w:val="24"/>
        </w:rPr>
        <w:t>priority on value and efficiency</w:t>
      </w:r>
      <w:r w:rsidR="00043C3F">
        <w:rPr>
          <w:szCs w:val="24"/>
        </w:rPr>
        <w:t>;</w:t>
      </w:r>
      <w:r w:rsidRPr="00043C3F">
        <w:rPr>
          <w:szCs w:val="24"/>
        </w:rPr>
        <w:t xml:space="preserve"> </w:t>
      </w:r>
    </w:p>
    <w:p w:rsidR="00BC4EC9" w:rsidRPr="00043C3F" w:rsidRDefault="00AA5D20" w:rsidP="00CE64BD">
      <w:pPr>
        <w:pStyle w:val="ListParagraph"/>
        <w:numPr>
          <w:ilvl w:val="0"/>
          <w:numId w:val="15"/>
        </w:numPr>
        <w:rPr>
          <w:szCs w:val="24"/>
        </w:rPr>
      </w:pPr>
      <w:proofErr w:type="gramStart"/>
      <w:r w:rsidRPr="00043C3F">
        <w:rPr>
          <w:szCs w:val="24"/>
        </w:rPr>
        <w:t>experience</w:t>
      </w:r>
      <w:proofErr w:type="gramEnd"/>
      <w:r w:rsidR="00043C3F">
        <w:rPr>
          <w:szCs w:val="24"/>
        </w:rPr>
        <w:t xml:space="preserve"> and </w:t>
      </w:r>
      <w:r w:rsidRPr="00043C3F">
        <w:rPr>
          <w:szCs w:val="24"/>
        </w:rPr>
        <w:t xml:space="preserve">involvement with quality or process improvement activities.     </w:t>
      </w:r>
    </w:p>
    <w:p w:rsidR="00BC4EC9" w:rsidRPr="00D737AA" w:rsidRDefault="00BC4EC9" w:rsidP="00365886">
      <w:pPr>
        <w:ind w:left="360"/>
        <w:rPr>
          <w:szCs w:val="24"/>
        </w:rPr>
      </w:pPr>
    </w:p>
    <w:p w:rsidR="00BC4EC9" w:rsidRPr="00D737AA" w:rsidRDefault="00BC4EC9" w:rsidP="008662A3">
      <w:pPr>
        <w:rPr>
          <w:szCs w:val="24"/>
        </w:rPr>
      </w:pPr>
      <w:r w:rsidRPr="00D737AA">
        <w:rPr>
          <w:szCs w:val="24"/>
        </w:rPr>
        <w:t>The percent of variance accounted for by the factor will also be examined. The more variance that is accounted for by a factor, the more justifiable it is to combine the items into a single composite score. At least 50% of the variance should be accounted for by the items in a composite.</w:t>
      </w:r>
    </w:p>
    <w:p w:rsidR="00A06D0A" w:rsidRDefault="00A06D0A" w:rsidP="00365886">
      <w:pPr>
        <w:ind w:left="360"/>
        <w:rPr>
          <w:b/>
          <w:szCs w:val="24"/>
        </w:rPr>
      </w:pPr>
    </w:p>
    <w:p w:rsidR="00BC4EC9" w:rsidRPr="007F04C3" w:rsidRDefault="00BC4EC9" w:rsidP="00CD0811">
      <w:pPr>
        <w:rPr>
          <w:b/>
          <w:szCs w:val="24"/>
        </w:rPr>
      </w:pPr>
      <w:proofErr w:type="spellStart"/>
      <w:r w:rsidRPr="007F04C3">
        <w:rPr>
          <w:b/>
          <w:szCs w:val="24"/>
        </w:rPr>
        <w:t>Intraclass</w:t>
      </w:r>
      <w:proofErr w:type="spellEnd"/>
      <w:r w:rsidRPr="007F04C3">
        <w:rPr>
          <w:b/>
          <w:szCs w:val="24"/>
        </w:rPr>
        <w:t xml:space="preserve"> Correlations (ICCs) and Design Effects</w:t>
      </w:r>
    </w:p>
    <w:p w:rsidR="00BC4EC9" w:rsidRPr="007F04C3" w:rsidRDefault="00BC4EC9" w:rsidP="00CD0811">
      <w:pPr>
        <w:rPr>
          <w:szCs w:val="24"/>
        </w:rPr>
      </w:pPr>
      <w:proofErr w:type="spellStart"/>
      <w:r w:rsidRPr="007F04C3">
        <w:rPr>
          <w:szCs w:val="24"/>
        </w:rPr>
        <w:t>Intraclass</w:t>
      </w:r>
      <w:proofErr w:type="spellEnd"/>
      <w:r w:rsidRPr="007F04C3">
        <w:rPr>
          <w:szCs w:val="24"/>
        </w:rPr>
        <w:t xml:space="preserve"> correlations (ICCs) will be computed for each composite. ICC's determine if substantial variation exists between groups compared to variation within groups. ICCs above </w:t>
      </w:r>
      <w:r w:rsidR="00DF2DE6">
        <w:rPr>
          <w:szCs w:val="24"/>
        </w:rPr>
        <w:t>0</w:t>
      </w:r>
      <w:r w:rsidRPr="007F04C3">
        <w:rPr>
          <w:szCs w:val="24"/>
        </w:rPr>
        <w:t xml:space="preserve">.05 or 5% indicate that the between group variance is greater than expected by chance and imply that nesting in groups does have an effect on the responses of individuals. </w:t>
      </w:r>
    </w:p>
    <w:p w:rsidR="00BC4EC9" w:rsidRPr="00BC4EC9" w:rsidRDefault="00BC4EC9" w:rsidP="00CD0811">
      <w:pPr>
        <w:rPr>
          <w:szCs w:val="24"/>
          <w:highlight w:val="yellow"/>
        </w:rPr>
      </w:pPr>
    </w:p>
    <w:p w:rsidR="00BC4EC9" w:rsidRPr="007F04C3" w:rsidRDefault="00BC4EC9" w:rsidP="00CD0811">
      <w:pPr>
        <w:rPr>
          <w:szCs w:val="24"/>
        </w:rPr>
      </w:pPr>
      <w:r w:rsidRPr="007F04C3">
        <w:rPr>
          <w:szCs w:val="24"/>
        </w:rPr>
        <w:t>Given that ICCs are likely to be inflated when there are many groups with few individuals within the groups (compared to few groups with many individuals within the groups)</w:t>
      </w:r>
      <w:proofErr w:type="gramStart"/>
      <w:r w:rsidRPr="007F04C3">
        <w:rPr>
          <w:szCs w:val="24"/>
        </w:rPr>
        <w:t>,</w:t>
      </w:r>
      <w:proofErr w:type="gramEnd"/>
      <w:r w:rsidRPr="007F04C3">
        <w:rPr>
          <w:szCs w:val="24"/>
        </w:rPr>
        <w:t xml:space="preserve"> we will also examine design effects, which take into account within-group sample size. A design effect of 2 or more implies that group membership or nesting of individuals within groups does have an </w:t>
      </w:r>
      <w:r w:rsidRPr="007F04C3">
        <w:rPr>
          <w:szCs w:val="24"/>
        </w:rPr>
        <w:lastRenderedPageBreak/>
        <w:t xml:space="preserve">effect on the responses of the individuals and therefore multilevel </w:t>
      </w:r>
      <w:proofErr w:type="spellStart"/>
      <w:r w:rsidRPr="007F04C3">
        <w:rPr>
          <w:szCs w:val="24"/>
        </w:rPr>
        <w:t>modelling</w:t>
      </w:r>
      <w:proofErr w:type="spellEnd"/>
      <w:r w:rsidRPr="007F04C3">
        <w:rPr>
          <w:szCs w:val="24"/>
        </w:rPr>
        <w:t xml:space="preserve"> should be conducted to account for the multilevel nature of the data.</w:t>
      </w:r>
    </w:p>
    <w:p w:rsidR="00BC4EC9" w:rsidRPr="00BC4EC9" w:rsidRDefault="00BC4EC9" w:rsidP="00CD0811">
      <w:pPr>
        <w:rPr>
          <w:szCs w:val="24"/>
          <w:highlight w:val="yellow"/>
        </w:rPr>
      </w:pPr>
    </w:p>
    <w:p w:rsidR="00BC4EC9" w:rsidRPr="00CE4A64" w:rsidRDefault="00BC4EC9" w:rsidP="00CD0811">
      <w:pPr>
        <w:rPr>
          <w:b/>
          <w:szCs w:val="24"/>
        </w:rPr>
      </w:pPr>
      <w:r w:rsidRPr="00CE4A64">
        <w:rPr>
          <w:b/>
          <w:szCs w:val="24"/>
        </w:rPr>
        <w:t>Multilevel Confirmatory Factor Analysis (MCFA)</w:t>
      </w:r>
    </w:p>
    <w:p w:rsidR="00BC4EC9" w:rsidRPr="007F04C3" w:rsidRDefault="00BC4EC9" w:rsidP="00CD0811">
      <w:pPr>
        <w:rPr>
          <w:szCs w:val="24"/>
        </w:rPr>
      </w:pPr>
      <w:r w:rsidRPr="007F04C3">
        <w:rPr>
          <w:szCs w:val="24"/>
        </w:rPr>
        <w:t>Individuals responding to the survey</w:t>
      </w:r>
      <w:r w:rsidR="007F04C3" w:rsidRPr="007F04C3">
        <w:rPr>
          <w:szCs w:val="24"/>
        </w:rPr>
        <w:t>s</w:t>
      </w:r>
      <w:r w:rsidRPr="007F04C3">
        <w:rPr>
          <w:szCs w:val="24"/>
        </w:rPr>
        <w:t xml:space="preserve"> are located within </w:t>
      </w:r>
      <w:r w:rsidR="007F04C3" w:rsidRPr="007F04C3">
        <w:rPr>
          <w:szCs w:val="24"/>
        </w:rPr>
        <w:t>hospitals and within medical offices</w:t>
      </w:r>
      <w:r w:rsidRPr="007F04C3">
        <w:rPr>
          <w:szCs w:val="24"/>
        </w:rPr>
        <w:t xml:space="preserve">. When data are nested in groups like this, results from an individual-level factor analysis may be biased or incorrect. Therefore, multilevel confirmatory factor analysis will be conducted on the </w:t>
      </w:r>
      <w:r w:rsidR="007F04C3" w:rsidRPr="007F04C3">
        <w:rPr>
          <w:szCs w:val="24"/>
        </w:rPr>
        <w:t>survey</w:t>
      </w:r>
      <w:r w:rsidRPr="007F04C3">
        <w:rPr>
          <w:szCs w:val="24"/>
        </w:rPr>
        <w:t>s</w:t>
      </w:r>
      <w:r w:rsidR="007F04C3" w:rsidRPr="007F04C3">
        <w:rPr>
          <w:szCs w:val="24"/>
        </w:rPr>
        <w:t>’</w:t>
      </w:r>
      <w:r w:rsidRPr="007F04C3">
        <w:rPr>
          <w:szCs w:val="24"/>
        </w:rPr>
        <w:t xml:space="preserve"> a priori composites to examine the structure of the factors at the </w:t>
      </w:r>
      <w:r w:rsidR="007F04C3">
        <w:rPr>
          <w:szCs w:val="24"/>
        </w:rPr>
        <w:t xml:space="preserve">hospital </w:t>
      </w:r>
      <w:r w:rsidRPr="007F04C3">
        <w:rPr>
          <w:szCs w:val="24"/>
        </w:rPr>
        <w:t>level of analysis</w:t>
      </w:r>
      <w:r w:rsidR="007F04C3" w:rsidRPr="007F04C3">
        <w:rPr>
          <w:szCs w:val="24"/>
        </w:rPr>
        <w:t xml:space="preserve"> and medical office level of analysis</w:t>
      </w:r>
      <w:r w:rsidRPr="007F04C3">
        <w:rPr>
          <w:szCs w:val="24"/>
        </w:rPr>
        <w:t>, taking into consideration that the data are nested.</w:t>
      </w:r>
    </w:p>
    <w:p w:rsidR="00BC4EC9" w:rsidRPr="007F04C3" w:rsidRDefault="00BC4EC9" w:rsidP="00CD0811">
      <w:pPr>
        <w:rPr>
          <w:szCs w:val="24"/>
        </w:rPr>
      </w:pPr>
    </w:p>
    <w:p w:rsidR="00BC4EC9" w:rsidRPr="007F04C3" w:rsidRDefault="00BC4EC9" w:rsidP="00CD0811">
      <w:pPr>
        <w:rPr>
          <w:szCs w:val="24"/>
        </w:rPr>
      </w:pPr>
      <w:r w:rsidRPr="007F04C3">
        <w:rPr>
          <w:szCs w:val="24"/>
        </w:rPr>
        <w:t xml:space="preserve">An MCFA will be conducted to test the fit of the measurement model for the survey’s composites, taking into consideration the nested nature of the data at the </w:t>
      </w:r>
      <w:r w:rsidR="007F04C3" w:rsidRPr="007F04C3">
        <w:rPr>
          <w:szCs w:val="24"/>
        </w:rPr>
        <w:t>hospital level of analysis and medical office level of analysis.</w:t>
      </w:r>
      <w:r w:rsidRPr="007F04C3">
        <w:rPr>
          <w:szCs w:val="24"/>
        </w:rPr>
        <w:t xml:space="preserve"> We will first evaluate the MCFA results by examining the item factor loadings on the composites. Factor loadings should be </w:t>
      </w:r>
      <w:r w:rsidR="00DF2DE6">
        <w:rPr>
          <w:szCs w:val="24"/>
        </w:rPr>
        <w:t>0</w:t>
      </w:r>
      <w:r w:rsidRPr="007F04C3">
        <w:rPr>
          <w:szCs w:val="24"/>
        </w:rPr>
        <w:t>.40 or greater.</w:t>
      </w:r>
    </w:p>
    <w:p w:rsidR="00BC4EC9" w:rsidRPr="007F04C3" w:rsidRDefault="00BC4EC9" w:rsidP="00365886">
      <w:pPr>
        <w:ind w:left="360"/>
        <w:rPr>
          <w:szCs w:val="24"/>
        </w:rPr>
      </w:pPr>
    </w:p>
    <w:p w:rsidR="00BC4EC9" w:rsidRPr="007F04C3" w:rsidRDefault="00BC4EC9" w:rsidP="00CD0811">
      <w:pPr>
        <w:rPr>
          <w:szCs w:val="24"/>
        </w:rPr>
      </w:pPr>
      <w:r w:rsidRPr="007F04C3">
        <w:rPr>
          <w:szCs w:val="24"/>
        </w:rPr>
        <w:t xml:space="preserve">We will also examine overall model fit indices using standard fit statistics: the chi-square, comparative fit index (CFI), and the standardized root mean square residual (SRMR). For chi-square statistics, lower and non-significant chi-squares indicate good fit. The factor structure is determined to adequately fit the data if the CFI is at least </w:t>
      </w:r>
      <w:r w:rsidR="00DF2DE6">
        <w:rPr>
          <w:szCs w:val="24"/>
        </w:rPr>
        <w:t>0</w:t>
      </w:r>
      <w:r w:rsidRPr="007F04C3">
        <w:rPr>
          <w:szCs w:val="24"/>
        </w:rPr>
        <w:t xml:space="preserve">.90. A value of zero for the SRMR indicates perfect fit, but a value less than </w:t>
      </w:r>
      <w:r w:rsidR="00DF2DE6">
        <w:rPr>
          <w:szCs w:val="24"/>
        </w:rPr>
        <w:t>0</w:t>
      </w:r>
      <w:r w:rsidRPr="007F04C3">
        <w:rPr>
          <w:szCs w:val="24"/>
        </w:rPr>
        <w:t>.08 is considered a good fit.</w:t>
      </w:r>
    </w:p>
    <w:p w:rsidR="00BC4EC9" w:rsidRPr="007F04C3" w:rsidRDefault="00BC4EC9" w:rsidP="00CD0811">
      <w:pPr>
        <w:rPr>
          <w:szCs w:val="24"/>
        </w:rPr>
      </w:pPr>
    </w:p>
    <w:p w:rsidR="00BC4EC9" w:rsidRPr="007F04C3" w:rsidRDefault="00BC4EC9" w:rsidP="00CD0811">
      <w:pPr>
        <w:rPr>
          <w:b/>
          <w:szCs w:val="24"/>
        </w:rPr>
      </w:pPr>
      <w:r w:rsidRPr="007F04C3">
        <w:rPr>
          <w:b/>
          <w:szCs w:val="24"/>
        </w:rPr>
        <w:t>Reliability Analysis</w:t>
      </w:r>
    </w:p>
    <w:p w:rsidR="00BC4EC9" w:rsidRPr="007F04C3" w:rsidRDefault="00BC4EC9" w:rsidP="00CD0811">
      <w:pPr>
        <w:rPr>
          <w:szCs w:val="24"/>
        </w:rPr>
      </w:pPr>
      <w:r w:rsidRPr="007F04C3">
        <w:rPr>
          <w:szCs w:val="24"/>
        </w:rPr>
        <w:t xml:space="preserve">Reliability analyses will then be performed on the composites to examine whether individuals responded consistently to the items within each composite. Internal consistency reliability will be calculated using </w:t>
      </w:r>
      <w:proofErr w:type="spellStart"/>
      <w:r w:rsidRPr="007F04C3">
        <w:rPr>
          <w:szCs w:val="24"/>
        </w:rPr>
        <w:t>Cronbach's</w:t>
      </w:r>
      <w:proofErr w:type="spellEnd"/>
      <w:r w:rsidRPr="007F04C3">
        <w:rPr>
          <w:szCs w:val="24"/>
        </w:rPr>
        <w:t xml:space="preserve"> alpha. The minimum criterion for acceptable reliability is an alpha of at least </w:t>
      </w:r>
      <w:r w:rsidR="00DF2DE6">
        <w:rPr>
          <w:szCs w:val="24"/>
        </w:rPr>
        <w:t>0</w:t>
      </w:r>
      <w:r w:rsidRPr="007F04C3">
        <w:rPr>
          <w:szCs w:val="24"/>
        </w:rPr>
        <w:t>.70.</w:t>
      </w:r>
    </w:p>
    <w:p w:rsidR="00BC4EC9" w:rsidRPr="00365886" w:rsidRDefault="00BC4EC9" w:rsidP="00CD0811">
      <w:pPr>
        <w:rPr>
          <w:szCs w:val="24"/>
        </w:rPr>
      </w:pPr>
    </w:p>
    <w:p w:rsidR="00BC4EC9" w:rsidRPr="00365886" w:rsidRDefault="00BC4EC9" w:rsidP="00CD0811">
      <w:pPr>
        <w:rPr>
          <w:b/>
          <w:szCs w:val="24"/>
        </w:rPr>
      </w:pPr>
      <w:proofErr w:type="spellStart"/>
      <w:r w:rsidRPr="00365886">
        <w:rPr>
          <w:b/>
          <w:szCs w:val="24"/>
        </w:rPr>
        <w:t>Intercorrelations</w:t>
      </w:r>
      <w:proofErr w:type="spellEnd"/>
      <w:r w:rsidR="0014116E" w:rsidRPr="00365886">
        <w:rPr>
          <w:b/>
          <w:szCs w:val="24"/>
        </w:rPr>
        <w:t xml:space="preserve">  </w:t>
      </w:r>
    </w:p>
    <w:p w:rsidR="00BC4EC9" w:rsidRPr="00365886" w:rsidRDefault="00BC4EC9" w:rsidP="00CD0811">
      <w:pPr>
        <w:rPr>
          <w:szCs w:val="24"/>
        </w:rPr>
      </w:pPr>
      <w:proofErr w:type="spellStart"/>
      <w:r w:rsidRPr="00365886">
        <w:rPr>
          <w:szCs w:val="24"/>
        </w:rPr>
        <w:t>Intercorrelations</w:t>
      </w:r>
      <w:proofErr w:type="spellEnd"/>
      <w:r w:rsidRPr="00365886">
        <w:rPr>
          <w:szCs w:val="24"/>
        </w:rPr>
        <w:t xml:space="preserve"> among the survey’s composites will also </w:t>
      </w:r>
      <w:r w:rsidR="00365886" w:rsidRPr="00365886">
        <w:rPr>
          <w:szCs w:val="24"/>
        </w:rPr>
        <w:t xml:space="preserve">be </w:t>
      </w:r>
      <w:r w:rsidRPr="00365886">
        <w:rPr>
          <w:szCs w:val="24"/>
        </w:rPr>
        <w:t xml:space="preserve">examined. </w:t>
      </w:r>
      <w:proofErr w:type="spellStart"/>
      <w:r w:rsidRPr="00365886">
        <w:rPr>
          <w:szCs w:val="24"/>
        </w:rPr>
        <w:t>Intercorrelations</w:t>
      </w:r>
      <w:proofErr w:type="spellEnd"/>
      <w:r w:rsidRPr="00365886">
        <w:rPr>
          <w:szCs w:val="24"/>
        </w:rPr>
        <w:t xml:space="preserve"> will be explored at the individual and </w:t>
      </w:r>
      <w:r w:rsidR="005D64E6" w:rsidRPr="00365886">
        <w:rPr>
          <w:szCs w:val="24"/>
        </w:rPr>
        <w:t xml:space="preserve">medical office or hospital </w:t>
      </w:r>
      <w:r w:rsidRPr="00365886">
        <w:rPr>
          <w:szCs w:val="24"/>
        </w:rPr>
        <w:t xml:space="preserve">levels of analysis. While the composites should be correlated since they measure aspects of </w:t>
      </w:r>
      <w:r w:rsidR="005D64E6" w:rsidRPr="00365886">
        <w:rPr>
          <w:szCs w:val="24"/>
        </w:rPr>
        <w:t>value and efficiency</w:t>
      </w:r>
      <w:r w:rsidRPr="00365886">
        <w:rPr>
          <w:szCs w:val="24"/>
        </w:rPr>
        <w:t xml:space="preserve">, the </w:t>
      </w:r>
      <w:proofErr w:type="spellStart"/>
      <w:r w:rsidRPr="00365886">
        <w:rPr>
          <w:szCs w:val="24"/>
        </w:rPr>
        <w:t>intercorrelations</w:t>
      </w:r>
      <w:proofErr w:type="spellEnd"/>
      <w:r w:rsidRPr="00365886">
        <w:rPr>
          <w:szCs w:val="24"/>
        </w:rPr>
        <w:t xml:space="preserve"> should not be extremely high (</w:t>
      </w:r>
      <w:r w:rsidR="00DF2DE6">
        <w:rPr>
          <w:szCs w:val="24"/>
        </w:rPr>
        <w:t>0</w:t>
      </w:r>
      <w:r w:rsidRPr="00365886">
        <w:rPr>
          <w:szCs w:val="24"/>
        </w:rPr>
        <w:t xml:space="preserve">.90 or higher) because very high </w:t>
      </w:r>
      <w:proofErr w:type="spellStart"/>
      <w:r w:rsidRPr="00365886">
        <w:rPr>
          <w:szCs w:val="24"/>
        </w:rPr>
        <w:t>intercorrelations</w:t>
      </w:r>
      <w:proofErr w:type="spellEnd"/>
      <w:r w:rsidRPr="00365886">
        <w:rPr>
          <w:szCs w:val="24"/>
        </w:rPr>
        <w:t xml:space="preserve"> indicate that the composites may not be unique enough to be considered separate constructs or measures. While there is no steadfast criterion about the magnitude of dimension </w:t>
      </w:r>
      <w:proofErr w:type="spellStart"/>
      <w:r w:rsidRPr="00365886">
        <w:rPr>
          <w:szCs w:val="24"/>
        </w:rPr>
        <w:t>intercorrelations</w:t>
      </w:r>
      <w:proofErr w:type="spellEnd"/>
      <w:r w:rsidRPr="00365886">
        <w:rPr>
          <w:szCs w:val="24"/>
        </w:rPr>
        <w:t xml:space="preserve"> and construct validity, in general, such correlations should be less than </w:t>
      </w:r>
      <w:r w:rsidR="00DF2DE6">
        <w:rPr>
          <w:szCs w:val="24"/>
        </w:rPr>
        <w:t>0</w:t>
      </w:r>
      <w:r w:rsidRPr="00365886">
        <w:rPr>
          <w:szCs w:val="24"/>
        </w:rPr>
        <w:t xml:space="preserve">.80 for the composites to be considered unique and avoid problems with </w:t>
      </w:r>
      <w:proofErr w:type="spellStart"/>
      <w:r w:rsidRPr="00365886">
        <w:rPr>
          <w:szCs w:val="24"/>
        </w:rPr>
        <w:t>multicollinearity</w:t>
      </w:r>
      <w:proofErr w:type="spellEnd"/>
      <w:r w:rsidRPr="00365886">
        <w:rPr>
          <w:szCs w:val="24"/>
        </w:rPr>
        <w:t>.</w:t>
      </w:r>
    </w:p>
    <w:p w:rsidR="00BC4EC9" w:rsidRPr="00BC4EC9" w:rsidRDefault="00BC4EC9" w:rsidP="00CD0811">
      <w:pPr>
        <w:rPr>
          <w:szCs w:val="24"/>
          <w:highlight w:val="yellow"/>
        </w:rPr>
      </w:pPr>
    </w:p>
    <w:p w:rsidR="00BC4EC9" w:rsidRPr="00BC4EC9" w:rsidRDefault="00BC4EC9" w:rsidP="00CD0811">
      <w:pPr>
        <w:rPr>
          <w:szCs w:val="24"/>
          <w:highlight w:val="yellow"/>
        </w:rPr>
      </w:pPr>
      <w:r w:rsidRPr="007F04C3">
        <w:rPr>
          <w:szCs w:val="24"/>
        </w:rPr>
        <w:t>The above analyses will be used to determine which items and composites are poorer functioning and remove them from the survey</w:t>
      </w:r>
      <w:r w:rsidR="007F04C3" w:rsidRPr="007F04C3">
        <w:rPr>
          <w:szCs w:val="24"/>
        </w:rPr>
        <w:t>s</w:t>
      </w:r>
      <w:r w:rsidRPr="007F04C3">
        <w:rPr>
          <w:szCs w:val="24"/>
        </w:rPr>
        <w:t xml:space="preserve"> to derive a final set of items and composites with good psychometric properties and reduce the overall length of the final survey. The </w:t>
      </w:r>
      <w:r w:rsidRPr="00FC589B">
        <w:rPr>
          <w:szCs w:val="24"/>
        </w:rPr>
        <w:t>Technical Expert Panel will be informed of the data analysis results and be allowed to weigh</w:t>
      </w:r>
      <w:r w:rsidRPr="007F04C3">
        <w:rPr>
          <w:szCs w:val="24"/>
        </w:rPr>
        <w:t xml:space="preserve"> in on which items to retain or drop when the psychometric results do not provide enough guidance and decisions can be made based on the content value of the items alone.</w:t>
      </w:r>
    </w:p>
    <w:p w:rsidR="00BC4EC9" w:rsidRPr="00BC4EC9" w:rsidRDefault="00BC4EC9" w:rsidP="00CD0811">
      <w:pPr>
        <w:rPr>
          <w:szCs w:val="24"/>
          <w:highlight w:val="yellow"/>
        </w:rPr>
      </w:pPr>
    </w:p>
    <w:p w:rsidR="00BC4EC9" w:rsidRDefault="00BC4EC9" w:rsidP="00CD0811">
      <w:pPr>
        <w:rPr>
          <w:szCs w:val="24"/>
        </w:rPr>
      </w:pPr>
      <w:r w:rsidRPr="007F04C3">
        <w:rPr>
          <w:szCs w:val="24"/>
        </w:rPr>
        <w:t>The final survey</w:t>
      </w:r>
      <w:r w:rsidR="007F04C3" w:rsidRPr="007F04C3">
        <w:rPr>
          <w:szCs w:val="24"/>
        </w:rPr>
        <w:t>s</w:t>
      </w:r>
      <w:r w:rsidRPr="007F04C3">
        <w:rPr>
          <w:szCs w:val="24"/>
        </w:rPr>
        <w:t xml:space="preserve"> will be made available in the public domain for use by </w:t>
      </w:r>
      <w:r w:rsidR="007F04C3" w:rsidRPr="007F04C3">
        <w:rPr>
          <w:szCs w:val="24"/>
        </w:rPr>
        <w:t xml:space="preserve">hospitals, medical offices, </w:t>
      </w:r>
      <w:r w:rsidRPr="007F04C3">
        <w:rPr>
          <w:szCs w:val="24"/>
        </w:rPr>
        <w:t xml:space="preserve">and researchers to assess </w:t>
      </w:r>
      <w:r w:rsidR="00FF6C1C">
        <w:rPr>
          <w:szCs w:val="24"/>
        </w:rPr>
        <w:t>value and efficiency</w:t>
      </w:r>
      <w:r w:rsidRPr="007F04C3">
        <w:rPr>
          <w:szCs w:val="24"/>
        </w:rPr>
        <w:t>.</w:t>
      </w:r>
    </w:p>
    <w:p w:rsidR="00BC4EC9" w:rsidRPr="00FC589B" w:rsidRDefault="00FC589B" w:rsidP="0040457D">
      <w:pPr>
        <w:pStyle w:val="ListParagraph"/>
        <w:ind w:left="0"/>
        <w:rPr>
          <w:szCs w:val="24"/>
        </w:rPr>
      </w:pPr>
      <w:r w:rsidRPr="00FC589B">
        <w:rPr>
          <w:b/>
          <w:szCs w:val="24"/>
        </w:rPr>
        <w:lastRenderedPageBreak/>
        <w:t>CV checklist.</w:t>
      </w:r>
    </w:p>
    <w:p w:rsidR="000D684D" w:rsidRDefault="000D684D" w:rsidP="00FC589B">
      <w:pPr>
        <w:ind w:left="360"/>
        <w:rPr>
          <w:b/>
          <w:szCs w:val="24"/>
        </w:rPr>
      </w:pPr>
    </w:p>
    <w:p w:rsidR="00AD0CE9" w:rsidRPr="00FC589B" w:rsidRDefault="00AD0CE9" w:rsidP="00CD0811">
      <w:pPr>
        <w:rPr>
          <w:b/>
          <w:szCs w:val="24"/>
        </w:rPr>
      </w:pPr>
      <w:r w:rsidRPr="00FC589B">
        <w:rPr>
          <w:b/>
          <w:szCs w:val="24"/>
        </w:rPr>
        <w:t>Reliability Analysis</w:t>
      </w:r>
    </w:p>
    <w:p w:rsidR="00AD0CE9" w:rsidRPr="00FC589B" w:rsidRDefault="00AD0CE9" w:rsidP="00CD0811">
      <w:pPr>
        <w:rPr>
          <w:szCs w:val="24"/>
        </w:rPr>
      </w:pPr>
      <w:r w:rsidRPr="00FC589B">
        <w:rPr>
          <w:szCs w:val="24"/>
        </w:rPr>
        <w:t xml:space="preserve">Reliability analyses will </w:t>
      </w:r>
      <w:r w:rsidR="00B80232">
        <w:rPr>
          <w:szCs w:val="24"/>
        </w:rPr>
        <w:t xml:space="preserve">then </w:t>
      </w:r>
      <w:r w:rsidRPr="00FC589B">
        <w:rPr>
          <w:szCs w:val="24"/>
        </w:rPr>
        <w:t xml:space="preserve">be performed on the </w:t>
      </w:r>
      <w:r w:rsidR="00D416E1" w:rsidRPr="00FC589B">
        <w:rPr>
          <w:szCs w:val="24"/>
        </w:rPr>
        <w:t>checklist</w:t>
      </w:r>
      <w:r w:rsidRPr="00FC589B">
        <w:rPr>
          <w:szCs w:val="24"/>
        </w:rPr>
        <w:t xml:space="preserve"> to examine whether individuals responded consistently to the items within each composite. Internal consistency reliability will be calculated using </w:t>
      </w:r>
      <w:proofErr w:type="spellStart"/>
      <w:r w:rsidRPr="00FC589B">
        <w:rPr>
          <w:szCs w:val="24"/>
        </w:rPr>
        <w:t>Cronbach's</w:t>
      </w:r>
      <w:proofErr w:type="spellEnd"/>
      <w:r w:rsidRPr="00FC589B">
        <w:rPr>
          <w:szCs w:val="24"/>
        </w:rPr>
        <w:t xml:space="preserve"> alpha. The minimum criterion for acceptable reliability is an alpha of at least </w:t>
      </w:r>
      <w:r w:rsidR="00DF2DE6">
        <w:rPr>
          <w:szCs w:val="24"/>
        </w:rPr>
        <w:t>0</w:t>
      </w:r>
      <w:r w:rsidRPr="00FC589B">
        <w:rPr>
          <w:szCs w:val="24"/>
        </w:rPr>
        <w:t>.70.</w:t>
      </w:r>
    </w:p>
    <w:p w:rsidR="005D64E6" w:rsidRDefault="005D64E6" w:rsidP="00CD0811">
      <w:pPr>
        <w:rPr>
          <w:szCs w:val="24"/>
          <w:highlight w:val="yellow"/>
        </w:rPr>
      </w:pPr>
    </w:p>
    <w:p w:rsidR="00AD0CE9" w:rsidRPr="00FC589B" w:rsidRDefault="00AD0CE9" w:rsidP="00CD0811">
      <w:pPr>
        <w:rPr>
          <w:b/>
          <w:szCs w:val="24"/>
          <w:highlight w:val="yellow"/>
        </w:rPr>
      </w:pPr>
      <w:r w:rsidRPr="00FC589B">
        <w:rPr>
          <w:b/>
          <w:szCs w:val="24"/>
        </w:rPr>
        <w:t>Validity</w:t>
      </w:r>
    </w:p>
    <w:p w:rsidR="00EF775A" w:rsidRPr="00BC4EC9" w:rsidRDefault="00EF775A" w:rsidP="00CD0811">
      <w:pPr>
        <w:rPr>
          <w:szCs w:val="24"/>
          <w:highlight w:val="yellow"/>
        </w:rPr>
      </w:pPr>
      <w:r w:rsidRPr="00EF775A">
        <w:rPr>
          <w:szCs w:val="24"/>
        </w:rPr>
        <w:t xml:space="preserve">Two separate investigations </w:t>
      </w:r>
      <w:r>
        <w:rPr>
          <w:szCs w:val="24"/>
        </w:rPr>
        <w:t>will be</w:t>
      </w:r>
      <w:r w:rsidRPr="00EF775A">
        <w:rPr>
          <w:szCs w:val="24"/>
        </w:rPr>
        <w:t xml:space="preserve"> conducted to empirically validate the</w:t>
      </w:r>
      <w:r>
        <w:rPr>
          <w:szCs w:val="24"/>
        </w:rPr>
        <w:t xml:space="preserve"> checklist</w:t>
      </w:r>
      <w:r w:rsidRPr="00EF775A">
        <w:rPr>
          <w:szCs w:val="24"/>
        </w:rPr>
        <w:t xml:space="preserve">. The first investigation </w:t>
      </w:r>
      <w:r>
        <w:rPr>
          <w:szCs w:val="24"/>
        </w:rPr>
        <w:t>will be</w:t>
      </w:r>
      <w:r w:rsidRPr="00EF775A">
        <w:rPr>
          <w:szCs w:val="24"/>
        </w:rPr>
        <w:t xml:space="preserve"> a </w:t>
      </w:r>
      <w:proofErr w:type="spellStart"/>
      <w:r w:rsidRPr="00EF775A">
        <w:rPr>
          <w:szCs w:val="24"/>
        </w:rPr>
        <w:t>nonexperimental</w:t>
      </w:r>
      <w:proofErr w:type="spellEnd"/>
      <w:r w:rsidRPr="00EF775A">
        <w:rPr>
          <w:szCs w:val="24"/>
        </w:rPr>
        <w:t xml:space="preserve"> study that </w:t>
      </w:r>
      <w:r>
        <w:rPr>
          <w:szCs w:val="24"/>
        </w:rPr>
        <w:t>seeks</w:t>
      </w:r>
      <w:r w:rsidRPr="00EF775A">
        <w:rPr>
          <w:szCs w:val="24"/>
        </w:rPr>
        <w:t xml:space="preserve"> input from subject matter experts </w:t>
      </w:r>
      <w:r>
        <w:rPr>
          <w:szCs w:val="24"/>
        </w:rPr>
        <w:t xml:space="preserve"> </w:t>
      </w:r>
      <w:r w:rsidRPr="00EF775A">
        <w:rPr>
          <w:szCs w:val="24"/>
        </w:rPr>
        <w:t xml:space="preserve"> and targeted users regarding the merit of the </w:t>
      </w:r>
      <w:r>
        <w:rPr>
          <w:szCs w:val="24"/>
        </w:rPr>
        <w:t>checklist</w:t>
      </w:r>
      <w:r w:rsidRPr="00EF775A">
        <w:rPr>
          <w:szCs w:val="24"/>
        </w:rPr>
        <w:t xml:space="preserve">. The second investigation </w:t>
      </w:r>
      <w:r>
        <w:rPr>
          <w:szCs w:val="24"/>
        </w:rPr>
        <w:t>will be</w:t>
      </w:r>
      <w:r w:rsidRPr="00EF775A">
        <w:rPr>
          <w:szCs w:val="24"/>
        </w:rPr>
        <w:t xml:space="preserve"> a real-world evaluation to assess the effectiveness of </w:t>
      </w:r>
      <w:r>
        <w:rPr>
          <w:szCs w:val="24"/>
        </w:rPr>
        <w:t>the checklist</w:t>
      </w:r>
      <w:r w:rsidRPr="00EF775A">
        <w:rPr>
          <w:szCs w:val="24"/>
        </w:rPr>
        <w:t>. The methods</w:t>
      </w:r>
      <w:r>
        <w:rPr>
          <w:szCs w:val="24"/>
        </w:rPr>
        <w:t xml:space="preserve"> </w:t>
      </w:r>
      <w:r w:rsidRPr="00EF775A">
        <w:rPr>
          <w:szCs w:val="24"/>
        </w:rPr>
        <w:t>applied to this study included qualitative and quantitative survey research and case study</w:t>
      </w:r>
      <w:r>
        <w:rPr>
          <w:szCs w:val="24"/>
        </w:rPr>
        <w:t xml:space="preserve"> </w:t>
      </w:r>
      <w:r w:rsidRPr="00EF775A">
        <w:rPr>
          <w:szCs w:val="24"/>
        </w:rPr>
        <w:t>research. The use of a mixed method approach was deemed important to achieve the primary 6</w:t>
      </w:r>
      <w:r>
        <w:rPr>
          <w:szCs w:val="24"/>
        </w:rPr>
        <w:t xml:space="preserve"> </w:t>
      </w:r>
      <w:r w:rsidRPr="00EF775A">
        <w:rPr>
          <w:szCs w:val="24"/>
        </w:rPr>
        <w:t xml:space="preserve">benefits of development and expansion of the checklist (Greene, </w:t>
      </w:r>
      <w:proofErr w:type="spellStart"/>
      <w:r w:rsidRPr="00EF775A">
        <w:rPr>
          <w:szCs w:val="24"/>
        </w:rPr>
        <w:t>Caracelli</w:t>
      </w:r>
      <w:proofErr w:type="spellEnd"/>
      <w:r w:rsidRPr="00EF775A">
        <w:rPr>
          <w:szCs w:val="24"/>
        </w:rPr>
        <w:t xml:space="preserve">, &amp; Graham, 1989). </w:t>
      </w:r>
      <w:r>
        <w:rPr>
          <w:szCs w:val="24"/>
        </w:rPr>
        <w:t xml:space="preserve"> </w:t>
      </w:r>
      <w:r w:rsidRPr="00EF775A">
        <w:rPr>
          <w:szCs w:val="24"/>
        </w:rPr>
        <w:t>The use of an expert panel to provide critical feedback served to facilitate the development and</w:t>
      </w:r>
      <w:r>
        <w:rPr>
          <w:szCs w:val="24"/>
        </w:rPr>
        <w:t xml:space="preserve"> </w:t>
      </w:r>
      <w:r w:rsidRPr="00EF775A">
        <w:rPr>
          <w:szCs w:val="24"/>
        </w:rPr>
        <w:t xml:space="preserve">refinement of the </w:t>
      </w:r>
      <w:r>
        <w:rPr>
          <w:szCs w:val="24"/>
        </w:rPr>
        <w:t>checklist</w:t>
      </w:r>
      <w:r w:rsidRPr="00EF775A">
        <w:rPr>
          <w:szCs w:val="24"/>
        </w:rPr>
        <w:t xml:space="preserve"> pri</w:t>
      </w:r>
      <w:r w:rsidR="00086A1D">
        <w:rPr>
          <w:szCs w:val="24"/>
        </w:rPr>
        <w:t xml:space="preserve">or to </w:t>
      </w:r>
      <w:r w:rsidRPr="00EF775A">
        <w:rPr>
          <w:szCs w:val="24"/>
        </w:rPr>
        <w:t>application</w:t>
      </w:r>
      <w:r w:rsidR="00FC589B">
        <w:rPr>
          <w:szCs w:val="24"/>
        </w:rPr>
        <w:t xml:space="preserve"> </w:t>
      </w:r>
      <w:r w:rsidRPr="00EF775A">
        <w:rPr>
          <w:szCs w:val="24"/>
        </w:rPr>
        <w:t>in the second investigation. In addition, the expert</w:t>
      </w:r>
      <w:r>
        <w:rPr>
          <w:szCs w:val="24"/>
        </w:rPr>
        <w:t xml:space="preserve"> </w:t>
      </w:r>
      <w:r w:rsidRPr="00EF775A">
        <w:rPr>
          <w:szCs w:val="24"/>
        </w:rPr>
        <w:t xml:space="preserve">panel </w:t>
      </w:r>
      <w:r>
        <w:rPr>
          <w:szCs w:val="24"/>
        </w:rPr>
        <w:t>is</w:t>
      </w:r>
      <w:r w:rsidRPr="00EF775A">
        <w:rPr>
          <w:szCs w:val="24"/>
        </w:rPr>
        <w:t xml:space="preserve"> considered an integral design element to demonstrate content relevance and</w:t>
      </w:r>
      <w:r>
        <w:rPr>
          <w:szCs w:val="24"/>
        </w:rPr>
        <w:t xml:space="preserve"> </w:t>
      </w:r>
      <w:r w:rsidRPr="00EF775A">
        <w:rPr>
          <w:szCs w:val="24"/>
        </w:rPr>
        <w:t>representativeness along with the substantive and consequential aspects of validity. The case</w:t>
      </w:r>
      <w:r>
        <w:rPr>
          <w:szCs w:val="24"/>
        </w:rPr>
        <w:t xml:space="preserve"> </w:t>
      </w:r>
      <w:r w:rsidRPr="00EF775A">
        <w:rPr>
          <w:szCs w:val="24"/>
        </w:rPr>
        <w:t>study research method facilitate</w:t>
      </w:r>
      <w:r>
        <w:rPr>
          <w:szCs w:val="24"/>
        </w:rPr>
        <w:t>s</w:t>
      </w:r>
      <w:r w:rsidRPr="00EF775A">
        <w:rPr>
          <w:szCs w:val="24"/>
        </w:rPr>
        <w:t xml:space="preserve"> learning about the practicality of the </w:t>
      </w:r>
      <w:r>
        <w:rPr>
          <w:szCs w:val="24"/>
        </w:rPr>
        <w:t>checklist</w:t>
      </w:r>
      <w:r w:rsidRPr="00EF775A">
        <w:rPr>
          <w:szCs w:val="24"/>
        </w:rPr>
        <w:t xml:space="preserve"> in its contextual setting thereby extending the scope and breadth of the validity study (Yin, 2009). </w:t>
      </w:r>
      <w:r w:rsidRPr="006F4436">
        <w:rPr>
          <w:szCs w:val="24"/>
        </w:rPr>
        <w:t>As with all evaluation checklists, a number of years of field-testing and use are required to thoroughly validate and refine the tool. Repeated use of a checklist is the preferred method for validation</w:t>
      </w:r>
      <w:r w:rsidR="002E37EC">
        <w:rPr>
          <w:szCs w:val="24"/>
        </w:rPr>
        <w:t>.</w:t>
      </w:r>
    </w:p>
    <w:p w:rsidR="00BC4EC9" w:rsidRPr="003231D3" w:rsidRDefault="00BC4EC9" w:rsidP="00BC4EC9">
      <w:pPr>
        <w:pStyle w:val="Heading2"/>
        <w:rPr>
          <w:color w:val="auto"/>
          <w:sz w:val="24"/>
          <w:szCs w:val="24"/>
        </w:rPr>
      </w:pPr>
      <w:bookmarkStart w:id="20" w:name="_Toc340836943"/>
      <w:r w:rsidRPr="003231D3">
        <w:rPr>
          <w:color w:val="auto"/>
          <w:sz w:val="24"/>
          <w:szCs w:val="24"/>
        </w:rPr>
        <w:t xml:space="preserve">17.  </w:t>
      </w:r>
      <w:r w:rsidRPr="003231D3">
        <w:rPr>
          <w:color w:val="auto"/>
          <w:sz w:val="24"/>
          <w:szCs w:val="24"/>
          <w:u w:val="single"/>
        </w:rPr>
        <w:t>Exemption for Display of Expiration Date</w:t>
      </w:r>
      <w:bookmarkEnd w:id="20"/>
    </w:p>
    <w:p w:rsidR="00BC4EC9" w:rsidRPr="003231D3" w:rsidRDefault="00BC4EC9" w:rsidP="00BC4EC9">
      <w:pPr>
        <w:rPr>
          <w:szCs w:val="24"/>
        </w:rPr>
      </w:pPr>
    </w:p>
    <w:p w:rsidR="00BC4EC9" w:rsidRPr="00146EB3" w:rsidRDefault="00BC4EC9" w:rsidP="00BC4EC9">
      <w:pPr>
        <w:rPr>
          <w:szCs w:val="24"/>
        </w:rPr>
      </w:pPr>
      <w:r w:rsidRPr="003231D3">
        <w:rPr>
          <w:szCs w:val="24"/>
        </w:rPr>
        <w:t>No exemption is being requested.</w:t>
      </w:r>
    </w:p>
    <w:p w:rsidR="00BC4EC9" w:rsidRPr="00D32013" w:rsidRDefault="00BC4EC9" w:rsidP="00D32013">
      <w:pPr>
        <w:pStyle w:val="Heading2"/>
        <w:rPr>
          <w:color w:val="auto"/>
          <w:sz w:val="24"/>
          <w:szCs w:val="24"/>
          <w:u w:val="single"/>
        </w:rPr>
      </w:pPr>
      <w:bookmarkStart w:id="21" w:name="_Toc340836944"/>
      <w:r w:rsidRPr="00D32013">
        <w:rPr>
          <w:color w:val="auto"/>
          <w:sz w:val="24"/>
          <w:szCs w:val="24"/>
          <w:u w:val="single"/>
        </w:rPr>
        <w:t>List of Attachments</w:t>
      </w:r>
      <w:bookmarkEnd w:id="21"/>
    </w:p>
    <w:p w:rsidR="00BC4EC9" w:rsidRPr="00D32013" w:rsidRDefault="00BC4EC9" w:rsidP="00D32013">
      <w:pPr>
        <w:rPr>
          <w:szCs w:val="24"/>
        </w:rPr>
      </w:pPr>
      <w:bookmarkStart w:id="22" w:name="_Toc277862455"/>
    </w:p>
    <w:p w:rsidR="00BC4EC9" w:rsidRPr="00B80CAB" w:rsidRDefault="00BC4EC9" w:rsidP="00BC4EC9">
      <w:pPr>
        <w:rPr>
          <w:szCs w:val="24"/>
        </w:rPr>
      </w:pPr>
      <w:r w:rsidRPr="00B80CAB">
        <w:rPr>
          <w:szCs w:val="24"/>
        </w:rPr>
        <w:t xml:space="preserve">Attachment </w:t>
      </w:r>
      <w:r w:rsidR="006C3316">
        <w:rPr>
          <w:szCs w:val="24"/>
        </w:rPr>
        <w:t>A</w:t>
      </w:r>
      <w:r w:rsidRPr="00B80CAB">
        <w:rPr>
          <w:szCs w:val="24"/>
        </w:rPr>
        <w:t xml:space="preserve"> – Cognitive Interview Guide</w:t>
      </w:r>
      <w:r w:rsidR="0014116E" w:rsidRPr="00B80CAB">
        <w:rPr>
          <w:szCs w:val="24"/>
        </w:rPr>
        <w:t xml:space="preserve"> for Hospital </w:t>
      </w:r>
      <w:r w:rsidR="00C32F8F">
        <w:rPr>
          <w:szCs w:val="24"/>
        </w:rPr>
        <w:t>VE</w:t>
      </w:r>
      <w:r w:rsidR="0014116E" w:rsidRPr="00B80CAB">
        <w:rPr>
          <w:szCs w:val="24"/>
        </w:rPr>
        <w:t xml:space="preserve"> Survey</w:t>
      </w:r>
    </w:p>
    <w:p w:rsidR="00BC4EC9" w:rsidRPr="00B80CAB" w:rsidRDefault="00BC4EC9" w:rsidP="00BC4EC9">
      <w:pPr>
        <w:rPr>
          <w:szCs w:val="24"/>
        </w:rPr>
      </w:pPr>
      <w:r w:rsidRPr="00B80CAB">
        <w:rPr>
          <w:szCs w:val="24"/>
        </w:rPr>
        <w:t xml:space="preserve">Attachment </w:t>
      </w:r>
      <w:r w:rsidR="006C3316">
        <w:rPr>
          <w:szCs w:val="24"/>
        </w:rPr>
        <w:t>B</w:t>
      </w:r>
      <w:r w:rsidRPr="00B80CAB">
        <w:rPr>
          <w:szCs w:val="24"/>
        </w:rPr>
        <w:t xml:space="preserve"> – </w:t>
      </w:r>
      <w:r w:rsidR="0014116E" w:rsidRPr="00B80CAB">
        <w:rPr>
          <w:szCs w:val="24"/>
        </w:rPr>
        <w:t xml:space="preserve">Cognitive Interview Guide for Medical Office </w:t>
      </w:r>
      <w:r w:rsidR="00C32F8F">
        <w:rPr>
          <w:szCs w:val="24"/>
        </w:rPr>
        <w:t>VE</w:t>
      </w:r>
      <w:r w:rsidR="0014116E" w:rsidRPr="00B80CAB">
        <w:rPr>
          <w:szCs w:val="24"/>
        </w:rPr>
        <w:t xml:space="preserve"> Survey</w:t>
      </w:r>
    </w:p>
    <w:p w:rsidR="00BC4EC9" w:rsidRPr="00B80CAB" w:rsidRDefault="00BC4EC9" w:rsidP="00BC4EC9">
      <w:pPr>
        <w:rPr>
          <w:szCs w:val="24"/>
        </w:rPr>
      </w:pPr>
      <w:r w:rsidRPr="00B80CAB">
        <w:rPr>
          <w:szCs w:val="24"/>
        </w:rPr>
        <w:t xml:space="preserve">Attachment </w:t>
      </w:r>
      <w:r w:rsidR="006C3316">
        <w:rPr>
          <w:szCs w:val="24"/>
        </w:rPr>
        <w:t>C</w:t>
      </w:r>
      <w:r w:rsidR="00671075">
        <w:rPr>
          <w:szCs w:val="24"/>
        </w:rPr>
        <w:t xml:space="preserve"> – </w:t>
      </w:r>
      <w:r w:rsidR="0014116E" w:rsidRPr="00B80CAB">
        <w:rPr>
          <w:szCs w:val="24"/>
        </w:rPr>
        <w:t xml:space="preserve">Pretest </w:t>
      </w:r>
      <w:r w:rsidR="009D245D">
        <w:rPr>
          <w:szCs w:val="24"/>
        </w:rPr>
        <w:t>Survey</w:t>
      </w:r>
      <w:r w:rsidR="0014116E" w:rsidRPr="00B80CAB">
        <w:rPr>
          <w:szCs w:val="24"/>
        </w:rPr>
        <w:t xml:space="preserve"> for Hospital </w:t>
      </w:r>
      <w:r w:rsidR="00C32F8F">
        <w:rPr>
          <w:szCs w:val="24"/>
        </w:rPr>
        <w:t>VE</w:t>
      </w:r>
      <w:r w:rsidR="0014116E" w:rsidRPr="00B80CAB">
        <w:rPr>
          <w:szCs w:val="24"/>
        </w:rPr>
        <w:t xml:space="preserve"> Survey</w:t>
      </w:r>
    </w:p>
    <w:p w:rsidR="00BC4EC9" w:rsidRPr="00B80CAB" w:rsidRDefault="00BC4EC9" w:rsidP="00BC4EC9">
      <w:pPr>
        <w:rPr>
          <w:szCs w:val="24"/>
        </w:rPr>
      </w:pPr>
      <w:r w:rsidRPr="00B80CAB">
        <w:rPr>
          <w:szCs w:val="24"/>
        </w:rPr>
        <w:t xml:space="preserve">Attachment </w:t>
      </w:r>
      <w:r w:rsidR="006C3316">
        <w:rPr>
          <w:szCs w:val="24"/>
        </w:rPr>
        <w:t>D</w:t>
      </w:r>
      <w:r w:rsidRPr="00B80CAB">
        <w:rPr>
          <w:szCs w:val="24"/>
        </w:rPr>
        <w:t xml:space="preserve"> – </w:t>
      </w:r>
      <w:r w:rsidR="0014116E" w:rsidRPr="00B80CAB">
        <w:rPr>
          <w:szCs w:val="24"/>
        </w:rPr>
        <w:t xml:space="preserve">Pretest </w:t>
      </w:r>
      <w:r w:rsidR="009D245D">
        <w:rPr>
          <w:szCs w:val="24"/>
        </w:rPr>
        <w:t>Survey</w:t>
      </w:r>
      <w:r w:rsidR="0014116E" w:rsidRPr="00B80CAB">
        <w:rPr>
          <w:szCs w:val="24"/>
        </w:rPr>
        <w:t xml:space="preserve"> for Medical Office </w:t>
      </w:r>
      <w:r w:rsidR="00C32F8F">
        <w:rPr>
          <w:szCs w:val="24"/>
        </w:rPr>
        <w:t>VE</w:t>
      </w:r>
      <w:r w:rsidR="0014116E" w:rsidRPr="00B80CAB">
        <w:rPr>
          <w:szCs w:val="24"/>
        </w:rPr>
        <w:t xml:space="preserve"> Survey</w:t>
      </w:r>
    </w:p>
    <w:p w:rsidR="00496F88" w:rsidRDefault="00BC4EC9" w:rsidP="00BC4EC9">
      <w:pPr>
        <w:rPr>
          <w:szCs w:val="24"/>
        </w:rPr>
      </w:pPr>
      <w:r w:rsidRPr="00B80CAB">
        <w:rPr>
          <w:szCs w:val="24"/>
        </w:rPr>
        <w:t xml:space="preserve">Attachment </w:t>
      </w:r>
      <w:r w:rsidR="006C3316">
        <w:rPr>
          <w:szCs w:val="24"/>
        </w:rPr>
        <w:t>E</w:t>
      </w:r>
      <w:r w:rsidRPr="00B80CAB">
        <w:rPr>
          <w:szCs w:val="24"/>
        </w:rPr>
        <w:t xml:space="preserve"> – </w:t>
      </w:r>
      <w:r w:rsidR="00496F88">
        <w:rPr>
          <w:szCs w:val="24"/>
        </w:rPr>
        <w:t>Site-level POC Instructions for Hospital VE Survey</w:t>
      </w:r>
    </w:p>
    <w:p w:rsidR="00496F88" w:rsidRPr="00B80CAB" w:rsidRDefault="00496F88" w:rsidP="00BC4EC9">
      <w:pPr>
        <w:rPr>
          <w:szCs w:val="24"/>
        </w:rPr>
      </w:pPr>
      <w:r w:rsidRPr="00B80CAB">
        <w:rPr>
          <w:szCs w:val="24"/>
        </w:rPr>
        <w:t xml:space="preserve">Attachment </w:t>
      </w:r>
      <w:r>
        <w:rPr>
          <w:szCs w:val="24"/>
        </w:rPr>
        <w:t>F</w:t>
      </w:r>
      <w:r w:rsidRPr="00B80CAB">
        <w:rPr>
          <w:szCs w:val="24"/>
        </w:rPr>
        <w:t xml:space="preserve"> – </w:t>
      </w:r>
      <w:r>
        <w:rPr>
          <w:szCs w:val="24"/>
        </w:rPr>
        <w:t xml:space="preserve">Site-level POC Instructions for </w:t>
      </w:r>
      <w:r w:rsidR="008662A3">
        <w:rPr>
          <w:szCs w:val="24"/>
        </w:rPr>
        <w:t>Medical Office</w:t>
      </w:r>
      <w:r>
        <w:rPr>
          <w:szCs w:val="24"/>
        </w:rPr>
        <w:t xml:space="preserve"> VE Survey</w:t>
      </w:r>
    </w:p>
    <w:p w:rsidR="00496F88" w:rsidRPr="00B80CAB" w:rsidRDefault="00496F88" w:rsidP="00BC4EC9">
      <w:pPr>
        <w:rPr>
          <w:szCs w:val="24"/>
        </w:rPr>
      </w:pPr>
      <w:r w:rsidRPr="00B80CAB">
        <w:rPr>
          <w:szCs w:val="24"/>
        </w:rPr>
        <w:t xml:space="preserve">Attachment </w:t>
      </w:r>
      <w:r>
        <w:rPr>
          <w:szCs w:val="24"/>
        </w:rPr>
        <w:t>G</w:t>
      </w:r>
      <w:r w:rsidRPr="00B80CAB">
        <w:rPr>
          <w:szCs w:val="24"/>
        </w:rPr>
        <w:t xml:space="preserve"> – Pretest Cover Letter and Reminder Notice for Hospital </w:t>
      </w:r>
      <w:r>
        <w:rPr>
          <w:szCs w:val="24"/>
        </w:rPr>
        <w:t>VE</w:t>
      </w:r>
      <w:r w:rsidRPr="00B80CAB">
        <w:rPr>
          <w:szCs w:val="24"/>
        </w:rPr>
        <w:t xml:space="preserve"> Survey</w:t>
      </w:r>
    </w:p>
    <w:p w:rsidR="00BC4EC9" w:rsidRPr="00B80CAB" w:rsidRDefault="00BC4EC9" w:rsidP="00BC4EC9">
      <w:pPr>
        <w:rPr>
          <w:szCs w:val="24"/>
        </w:rPr>
      </w:pPr>
      <w:r w:rsidRPr="00B80CAB">
        <w:rPr>
          <w:szCs w:val="24"/>
        </w:rPr>
        <w:t xml:space="preserve">Attachment </w:t>
      </w:r>
      <w:r w:rsidR="00496F88">
        <w:rPr>
          <w:szCs w:val="24"/>
        </w:rPr>
        <w:t>H</w:t>
      </w:r>
      <w:r w:rsidRPr="00B80CAB">
        <w:rPr>
          <w:szCs w:val="24"/>
        </w:rPr>
        <w:t xml:space="preserve"> – </w:t>
      </w:r>
      <w:r w:rsidR="0014116E" w:rsidRPr="00B80CAB">
        <w:rPr>
          <w:szCs w:val="24"/>
        </w:rPr>
        <w:t xml:space="preserve">Pretest Cover Letter and Reminder Notice for Medical Office </w:t>
      </w:r>
      <w:r w:rsidR="00C32F8F">
        <w:rPr>
          <w:szCs w:val="24"/>
        </w:rPr>
        <w:t>VE</w:t>
      </w:r>
      <w:r w:rsidR="0014116E" w:rsidRPr="00B80CAB">
        <w:rPr>
          <w:szCs w:val="24"/>
        </w:rPr>
        <w:t xml:space="preserve"> Survey</w:t>
      </w:r>
    </w:p>
    <w:bookmarkEnd w:id="22"/>
    <w:p w:rsidR="00CE789E" w:rsidRDefault="0014116E" w:rsidP="0014116E">
      <w:pPr>
        <w:rPr>
          <w:szCs w:val="24"/>
        </w:rPr>
      </w:pPr>
      <w:r w:rsidRPr="00B80CAB">
        <w:rPr>
          <w:szCs w:val="24"/>
        </w:rPr>
        <w:t xml:space="preserve">Attachment </w:t>
      </w:r>
      <w:r w:rsidR="00496F88">
        <w:rPr>
          <w:szCs w:val="24"/>
        </w:rPr>
        <w:t>I</w:t>
      </w:r>
      <w:r w:rsidRPr="00B80CAB">
        <w:rPr>
          <w:szCs w:val="24"/>
        </w:rPr>
        <w:t xml:space="preserve"> – Medical Office </w:t>
      </w:r>
      <w:r w:rsidR="0040457D">
        <w:rPr>
          <w:szCs w:val="24"/>
        </w:rPr>
        <w:t xml:space="preserve">Information Form </w:t>
      </w:r>
    </w:p>
    <w:p w:rsidR="00633389" w:rsidRDefault="00CE789E" w:rsidP="0014116E">
      <w:pPr>
        <w:rPr>
          <w:szCs w:val="24"/>
        </w:rPr>
      </w:pPr>
      <w:r>
        <w:rPr>
          <w:szCs w:val="24"/>
        </w:rPr>
        <w:t xml:space="preserve">Attachment </w:t>
      </w:r>
      <w:r w:rsidR="00496F88">
        <w:rPr>
          <w:szCs w:val="24"/>
        </w:rPr>
        <w:t>J</w:t>
      </w:r>
      <w:r>
        <w:rPr>
          <w:szCs w:val="24"/>
        </w:rPr>
        <w:t xml:space="preserve"> – </w:t>
      </w:r>
      <w:r w:rsidRPr="00CE789E">
        <w:rPr>
          <w:szCs w:val="24"/>
        </w:rPr>
        <w:t xml:space="preserve">CV </w:t>
      </w:r>
      <w:r w:rsidR="00496F88">
        <w:rPr>
          <w:szCs w:val="24"/>
        </w:rPr>
        <w:t>C</w:t>
      </w:r>
      <w:r w:rsidRPr="00CE789E">
        <w:rPr>
          <w:szCs w:val="24"/>
        </w:rPr>
        <w:t>hecklist</w:t>
      </w:r>
      <w:r>
        <w:rPr>
          <w:szCs w:val="24"/>
        </w:rPr>
        <w:t xml:space="preserve"> </w:t>
      </w:r>
      <w:r w:rsidR="00A773F6">
        <w:rPr>
          <w:szCs w:val="24"/>
        </w:rPr>
        <w:t>Survey</w:t>
      </w:r>
    </w:p>
    <w:p w:rsidR="004A6DD9" w:rsidRDefault="00035763" w:rsidP="00035763">
      <w:pPr>
        <w:rPr>
          <w:szCs w:val="24"/>
        </w:rPr>
      </w:pPr>
      <w:r>
        <w:rPr>
          <w:szCs w:val="24"/>
        </w:rPr>
        <w:t xml:space="preserve">Attachment K – Cognitive Interview Guide for CV Checklist </w:t>
      </w:r>
    </w:p>
    <w:p w:rsidR="00825E0A" w:rsidRDefault="004A6DD9" w:rsidP="00035763">
      <w:pPr>
        <w:rPr>
          <w:szCs w:val="24"/>
        </w:rPr>
      </w:pPr>
      <w:r>
        <w:rPr>
          <w:szCs w:val="24"/>
        </w:rPr>
        <w:t xml:space="preserve">Attachment </w:t>
      </w:r>
      <w:r w:rsidR="007C3EE4">
        <w:rPr>
          <w:szCs w:val="24"/>
        </w:rPr>
        <w:t>L</w:t>
      </w:r>
      <w:r>
        <w:rPr>
          <w:szCs w:val="24"/>
        </w:rPr>
        <w:t xml:space="preserve"> – Draft CV Checklist</w:t>
      </w:r>
    </w:p>
    <w:p w:rsidR="00035763" w:rsidRDefault="00825E0A" w:rsidP="0014116E">
      <w:pPr>
        <w:rPr>
          <w:szCs w:val="24"/>
        </w:rPr>
      </w:pPr>
      <w:r>
        <w:rPr>
          <w:szCs w:val="24"/>
        </w:rPr>
        <w:t>Attachment M – Draft CV Checklist Evaluation</w:t>
      </w:r>
    </w:p>
    <w:p w:rsidR="0014116E" w:rsidRPr="00B80CAB" w:rsidRDefault="0014116E" w:rsidP="0014116E">
      <w:pPr>
        <w:rPr>
          <w:szCs w:val="24"/>
        </w:rPr>
      </w:pPr>
      <w:r w:rsidRPr="00B80CAB">
        <w:rPr>
          <w:szCs w:val="24"/>
        </w:rPr>
        <w:t xml:space="preserve">Attachment </w:t>
      </w:r>
      <w:r w:rsidR="004A6DD9">
        <w:rPr>
          <w:szCs w:val="24"/>
        </w:rPr>
        <w:t>N</w:t>
      </w:r>
      <w:r w:rsidRPr="00B80CAB">
        <w:rPr>
          <w:szCs w:val="24"/>
        </w:rPr>
        <w:t xml:space="preserve"> – Federal Register Notice</w:t>
      </w:r>
    </w:p>
    <w:p w:rsidR="008B098A" w:rsidRPr="00146EB3" w:rsidRDefault="00633389" w:rsidP="00BC4EC9">
      <w:pPr>
        <w:rPr>
          <w:szCs w:val="24"/>
        </w:rPr>
      </w:pPr>
      <w:r>
        <w:rPr>
          <w:szCs w:val="24"/>
        </w:rPr>
        <w:t xml:space="preserve">Attachment </w:t>
      </w:r>
      <w:r w:rsidR="004A6DD9">
        <w:rPr>
          <w:szCs w:val="24"/>
        </w:rPr>
        <w:t>O</w:t>
      </w:r>
      <w:r w:rsidR="0014116E" w:rsidRPr="00B80CAB">
        <w:rPr>
          <w:szCs w:val="24"/>
        </w:rPr>
        <w:t xml:space="preserve"> – List of Expert Reviewers and Consultants</w:t>
      </w:r>
      <w:r w:rsidR="0014116E">
        <w:rPr>
          <w:b/>
          <w:szCs w:val="24"/>
          <w:u w:val="single"/>
        </w:rPr>
        <w:t xml:space="preserve"> </w:t>
      </w:r>
    </w:p>
    <w:sectPr w:rsidR="008B098A" w:rsidRPr="00146EB3" w:rsidSect="004A238C">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1EB" w:rsidRDefault="00EC11EB" w:rsidP="00BC4EC9">
      <w:r>
        <w:separator/>
      </w:r>
    </w:p>
  </w:endnote>
  <w:endnote w:type="continuationSeparator" w:id="0">
    <w:p w:rsidR="00EC11EB" w:rsidRDefault="00EC11EB" w:rsidP="00BC4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352484"/>
      <w:docPartObj>
        <w:docPartGallery w:val="Page Numbers (Bottom of Page)"/>
        <w:docPartUnique/>
      </w:docPartObj>
    </w:sdtPr>
    <w:sdtEndPr>
      <w:rPr>
        <w:noProof/>
      </w:rPr>
    </w:sdtEndPr>
    <w:sdtContent>
      <w:p w:rsidR="00EC11EB" w:rsidRDefault="00CE2BF9">
        <w:pPr>
          <w:pStyle w:val="Footer"/>
          <w:jc w:val="center"/>
        </w:pPr>
        <w:fldSimple w:instr=" PAGE   \* MERGEFORMAT ">
          <w:r w:rsidR="00671075">
            <w:rPr>
              <w:noProof/>
            </w:rPr>
            <w:t>19</w:t>
          </w:r>
        </w:fldSimple>
      </w:p>
    </w:sdtContent>
  </w:sdt>
  <w:p w:rsidR="00EC11EB" w:rsidRDefault="00EC1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1EB" w:rsidRDefault="00EC11EB" w:rsidP="00BC4EC9">
      <w:r>
        <w:separator/>
      </w:r>
    </w:p>
  </w:footnote>
  <w:footnote w:type="continuationSeparator" w:id="0">
    <w:p w:rsidR="00EC11EB" w:rsidRDefault="00EC11EB" w:rsidP="00BC4EC9">
      <w:r>
        <w:continuationSeparator/>
      </w:r>
    </w:p>
  </w:footnote>
  <w:footnote w:id="1">
    <w:p w:rsidR="00EC11EB" w:rsidRPr="00015387" w:rsidRDefault="00EC11EB" w:rsidP="00825E0A">
      <w:pPr>
        <w:rPr>
          <w:sz w:val="20"/>
        </w:rPr>
      </w:pPr>
      <w:r w:rsidRPr="00015387">
        <w:rPr>
          <w:rStyle w:val="FootnoteReference"/>
          <w:sz w:val="20"/>
        </w:rPr>
        <w:footnoteRef/>
      </w:r>
      <w:r w:rsidRPr="00015387">
        <w:rPr>
          <w:sz w:val="20"/>
        </w:rPr>
        <w:t xml:space="preserve"> </w:t>
      </w:r>
      <w:r w:rsidRPr="00825E0A">
        <w:rPr>
          <w:sz w:val="20"/>
        </w:rPr>
        <w:t>Best Care at Lower Cost: The Path to Continuously Learning Health Care in America</w:t>
      </w:r>
      <w:r w:rsidRPr="00015387">
        <w:rPr>
          <w:sz w:val="20"/>
        </w:rPr>
        <w:t xml:space="preserve">. The </w:t>
      </w:r>
      <w:r>
        <w:rPr>
          <w:sz w:val="20"/>
        </w:rPr>
        <w:t>Institute of Medicine: Washington, DC</w:t>
      </w:r>
      <w:r w:rsidRPr="00015387">
        <w:rPr>
          <w:sz w:val="20"/>
        </w:rPr>
        <w:t xml:space="preserve">, </w:t>
      </w:r>
      <w:r>
        <w:rPr>
          <w:sz w:val="20"/>
        </w:rPr>
        <w:t>September 6,</w:t>
      </w:r>
      <w:r w:rsidRPr="00015387">
        <w:rPr>
          <w:sz w:val="20"/>
        </w:rPr>
        <w:t xml:space="preserve"> 201</w:t>
      </w:r>
      <w:r>
        <w:rPr>
          <w:sz w:val="20"/>
        </w:rPr>
        <w:t>2</w:t>
      </w:r>
      <w:r w:rsidRPr="00015387">
        <w:rPr>
          <w:sz w:val="20"/>
        </w:rPr>
        <w:t xml:space="preserve">. </w:t>
      </w:r>
      <w:r>
        <w:rPr>
          <w:sz w:val="20"/>
        </w:rPr>
        <w:t xml:space="preserve"> </w:t>
      </w:r>
      <w:r w:rsidRPr="00015387">
        <w:rPr>
          <w:sz w:val="20"/>
        </w:rPr>
        <w:t xml:space="preserve"> </w:t>
      </w:r>
    </w:p>
  </w:footnote>
  <w:footnote w:id="2">
    <w:p w:rsidR="00EC11EB" w:rsidRPr="00AE66C8" w:rsidRDefault="00EC11EB" w:rsidP="00035763">
      <w:pPr>
        <w:pStyle w:val="FootnoteText"/>
        <w:rPr>
          <w:sz w:val="20"/>
        </w:rPr>
      </w:pPr>
      <w:r w:rsidRPr="00AE66C8">
        <w:rPr>
          <w:rStyle w:val="FootnoteReference"/>
          <w:sz w:val="20"/>
        </w:rPr>
        <w:footnoteRef/>
      </w:r>
      <w:r w:rsidRPr="00AE66C8">
        <w:rPr>
          <w:sz w:val="20"/>
        </w:rPr>
        <w:t xml:space="preserve"> </w:t>
      </w:r>
      <w:proofErr w:type="gramStart"/>
      <w:r w:rsidRPr="00AE66C8">
        <w:rPr>
          <w:sz w:val="20"/>
        </w:rPr>
        <w:t>Dartmouth Atlas of Health Care (2012).</w:t>
      </w:r>
      <w:proofErr w:type="gramEnd"/>
      <w:r w:rsidRPr="00AE66C8">
        <w:rPr>
          <w:sz w:val="20"/>
        </w:rPr>
        <w:t xml:space="preserve"> </w:t>
      </w:r>
      <w:proofErr w:type="gramStart"/>
      <w:r w:rsidRPr="00AE66C8">
        <w:rPr>
          <w:sz w:val="20"/>
        </w:rPr>
        <w:t>‘Understanding of the efficiency and</w:t>
      </w:r>
      <w:r>
        <w:rPr>
          <w:sz w:val="20"/>
        </w:rPr>
        <w:t xml:space="preserve"> </w:t>
      </w:r>
      <w:r w:rsidRPr="00AE66C8">
        <w:rPr>
          <w:sz w:val="20"/>
        </w:rPr>
        <w:t>effectiveness of the health care system’.</w:t>
      </w:r>
      <w:proofErr w:type="gramEnd"/>
      <w:r w:rsidRPr="00AE66C8">
        <w:rPr>
          <w:sz w:val="20"/>
        </w:rPr>
        <w:t xml:space="preserve"> </w:t>
      </w:r>
      <w:proofErr w:type="gramStart"/>
      <w:r w:rsidRPr="00AE66C8">
        <w:rPr>
          <w:sz w:val="20"/>
        </w:rPr>
        <w:t>Dartmouth Atlas website.</w:t>
      </w:r>
      <w:proofErr w:type="gramEnd"/>
      <w:r w:rsidRPr="00AE66C8">
        <w:rPr>
          <w:sz w:val="20"/>
        </w:rPr>
        <w:t xml:space="preserve"> Available at</w:t>
      </w:r>
      <w:proofErr w:type="gramStart"/>
      <w:r w:rsidRPr="00AE66C8">
        <w:rPr>
          <w:sz w:val="20"/>
        </w:rPr>
        <w:t>:www.dartmouthatlas.org</w:t>
      </w:r>
      <w:proofErr w:type="gramEnd"/>
      <w:r w:rsidRPr="00AE66C8">
        <w:rPr>
          <w:sz w:val="20"/>
        </w:rPr>
        <w:t xml:space="preserve"> (accessed on 30 April 2012).</w:t>
      </w:r>
    </w:p>
  </w:footnote>
  <w:footnote w:id="3">
    <w:p w:rsidR="00EC11EB" w:rsidRPr="00AE66C8" w:rsidRDefault="00EC11EB" w:rsidP="00035763">
      <w:pPr>
        <w:pStyle w:val="FootnoteText"/>
        <w:rPr>
          <w:sz w:val="20"/>
        </w:rPr>
      </w:pPr>
      <w:r w:rsidRPr="00AE66C8">
        <w:rPr>
          <w:rStyle w:val="FootnoteReference"/>
          <w:sz w:val="20"/>
        </w:rPr>
        <w:footnoteRef/>
      </w:r>
      <w:r w:rsidRPr="00AE66C8">
        <w:rPr>
          <w:sz w:val="20"/>
        </w:rPr>
        <w:t xml:space="preserve"> Kennedy A, </w:t>
      </w:r>
      <w:proofErr w:type="spellStart"/>
      <w:r w:rsidRPr="00AE66C8">
        <w:rPr>
          <w:sz w:val="20"/>
        </w:rPr>
        <w:t>Sculpher</w:t>
      </w:r>
      <w:proofErr w:type="spellEnd"/>
      <w:r w:rsidRPr="00AE66C8">
        <w:rPr>
          <w:sz w:val="20"/>
        </w:rPr>
        <w:t xml:space="preserve"> M, Coulter A, Dwyer N, Rees M, Abrams K, Horsley S,</w:t>
      </w:r>
      <w:r>
        <w:rPr>
          <w:sz w:val="20"/>
        </w:rPr>
        <w:t xml:space="preserve"> </w:t>
      </w:r>
      <w:r w:rsidRPr="00AE66C8">
        <w:rPr>
          <w:sz w:val="20"/>
        </w:rPr>
        <w:t xml:space="preserve">Cowley D, </w:t>
      </w:r>
      <w:proofErr w:type="spellStart"/>
      <w:r w:rsidRPr="00AE66C8">
        <w:rPr>
          <w:sz w:val="20"/>
        </w:rPr>
        <w:t>Kidson</w:t>
      </w:r>
      <w:proofErr w:type="spellEnd"/>
      <w:r w:rsidRPr="00AE66C8">
        <w:rPr>
          <w:sz w:val="20"/>
        </w:rPr>
        <w:t xml:space="preserve"> C, </w:t>
      </w:r>
      <w:proofErr w:type="spellStart"/>
      <w:r w:rsidRPr="00AE66C8">
        <w:rPr>
          <w:sz w:val="20"/>
        </w:rPr>
        <w:t>Kirwin</w:t>
      </w:r>
      <w:proofErr w:type="spellEnd"/>
      <w:r w:rsidRPr="00AE66C8">
        <w:rPr>
          <w:sz w:val="20"/>
        </w:rPr>
        <w:t xml:space="preserve"> C, </w:t>
      </w:r>
      <w:proofErr w:type="spellStart"/>
      <w:r w:rsidRPr="00AE66C8">
        <w:rPr>
          <w:sz w:val="20"/>
        </w:rPr>
        <w:t>Naish</w:t>
      </w:r>
      <w:proofErr w:type="spellEnd"/>
      <w:r w:rsidRPr="00AE66C8">
        <w:rPr>
          <w:sz w:val="20"/>
        </w:rPr>
        <w:t xml:space="preserve"> C, </w:t>
      </w:r>
      <w:proofErr w:type="spellStart"/>
      <w:r w:rsidRPr="00AE66C8">
        <w:rPr>
          <w:sz w:val="20"/>
        </w:rPr>
        <w:t>Stirrat</w:t>
      </w:r>
      <w:proofErr w:type="spellEnd"/>
      <w:r w:rsidRPr="00AE66C8">
        <w:rPr>
          <w:sz w:val="20"/>
        </w:rPr>
        <w:t xml:space="preserve"> G (2002). ‘Effects of decision aids</w:t>
      </w:r>
      <w:r>
        <w:rPr>
          <w:sz w:val="20"/>
        </w:rPr>
        <w:t xml:space="preserve"> </w:t>
      </w:r>
      <w:r w:rsidRPr="00AE66C8">
        <w:rPr>
          <w:sz w:val="20"/>
        </w:rPr>
        <w:t xml:space="preserve">controlled trial’. </w:t>
      </w:r>
      <w:proofErr w:type="gramStart"/>
      <w:r w:rsidRPr="00AE66C8">
        <w:rPr>
          <w:sz w:val="20"/>
        </w:rPr>
        <w:t xml:space="preserve">Journal of the American Medical Association, </w:t>
      </w:r>
      <w:proofErr w:type="spellStart"/>
      <w:r w:rsidRPr="00AE66C8">
        <w:rPr>
          <w:sz w:val="20"/>
        </w:rPr>
        <w:t>vol</w:t>
      </w:r>
      <w:proofErr w:type="spellEnd"/>
      <w:r w:rsidRPr="00AE66C8">
        <w:rPr>
          <w:sz w:val="20"/>
        </w:rPr>
        <w:t xml:space="preserve"> 288, no 21,</w:t>
      </w:r>
      <w:r>
        <w:rPr>
          <w:sz w:val="20"/>
        </w:rPr>
        <w:t xml:space="preserve"> </w:t>
      </w:r>
      <w:r w:rsidRPr="00AE66C8">
        <w:rPr>
          <w:sz w:val="20"/>
        </w:rPr>
        <w:t>pp 2701–8.</w:t>
      </w:r>
      <w:proofErr w:type="gramEnd"/>
    </w:p>
  </w:footnote>
  <w:footnote w:id="4">
    <w:p w:rsidR="00EC11EB" w:rsidRDefault="00EC11EB" w:rsidP="00035763">
      <w:pPr>
        <w:pStyle w:val="FootnoteText"/>
      </w:pPr>
      <w:r w:rsidRPr="00AE66C8">
        <w:rPr>
          <w:rStyle w:val="FootnoteReference"/>
          <w:sz w:val="20"/>
        </w:rPr>
        <w:footnoteRef/>
      </w:r>
      <w:r w:rsidRPr="00AE66C8">
        <w:rPr>
          <w:sz w:val="20"/>
        </w:rPr>
        <w:t xml:space="preserve"> </w:t>
      </w:r>
      <w:proofErr w:type="spellStart"/>
      <w:r w:rsidRPr="00AE66C8">
        <w:rPr>
          <w:sz w:val="20"/>
        </w:rPr>
        <w:t>Deyo</w:t>
      </w:r>
      <w:proofErr w:type="spellEnd"/>
      <w:r w:rsidRPr="00AE66C8">
        <w:rPr>
          <w:sz w:val="20"/>
        </w:rPr>
        <w:t xml:space="preserve"> RA, </w:t>
      </w:r>
      <w:proofErr w:type="spellStart"/>
      <w:r w:rsidRPr="00AE66C8">
        <w:rPr>
          <w:sz w:val="20"/>
        </w:rPr>
        <w:t>Cherkin</w:t>
      </w:r>
      <w:proofErr w:type="spellEnd"/>
      <w:r w:rsidRPr="00AE66C8">
        <w:rPr>
          <w:sz w:val="20"/>
        </w:rPr>
        <w:t xml:space="preserve"> DC, Weinstein J, Howe J, </w:t>
      </w:r>
      <w:proofErr w:type="spellStart"/>
      <w:r w:rsidRPr="00AE66C8">
        <w:rPr>
          <w:sz w:val="20"/>
        </w:rPr>
        <w:t>Ciol</w:t>
      </w:r>
      <w:proofErr w:type="spellEnd"/>
      <w:r w:rsidRPr="00AE66C8">
        <w:rPr>
          <w:sz w:val="20"/>
        </w:rPr>
        <w:t xml:space="preserve"> M, Mulley AG, Jr (2000).</w:t>
      </w:r>
      <w:r>
        <w:rPr>
          <w:sz w:val="20"/>
        </w:rPr>
        <w:t xml:space="preserve"> </w:t>
      </w:r>
      <w:proofErr w:type="gramStart"/>
      <w:r w:rsidRPr="00AE66C8">
        <w:rPr>
          <w:sz w:val="20"/>
        </w:rPr>
        <w:t>‘Involving patients in clinical decisions: impact of an interactive video program on</w:t>
      </w:r>
      <w:r>
        <w:rPr>
          <w:sz w:val="20"/>
        </w:rPr>
        <w:t xml:space="preserve"> </w:t>
      </w:r>
      <w:r w:rsidRPr="00AE66C8">
        <w:rPr>
          <w:sz w:val="20"/>
        </w:rPr>
        <w:t>use of back surgery’.</w:t>
      </w:r>
      <w:proofErr w:type="gramEnd"/>
      <w:r w:rsidRPr="00AE66C8">
        <w:rPr>
          <w:sz w:val="20"/>
        </w:rPr>
        <w:t xml:space="preserve"> </w:t>
      </w:r>
      <w:proofErr w:type="gramStart"/>
      <w:r w:rsidRPr="00AE66C8">
        <w:rPr>
          <w:sz w:val="20"/>
        </w:rPr>
        <w:t xml:space="preserve">Medical Care, </w:t>
      </w:r>
      <w:proofErr w:type="spellStart"/>
      <w:r w:rsidRPr="00AE66C8">
        <w:rPr>
          <w:sz w:val="20"/>
        </w:rPr>
        <w:t>vol</w:t>
      </w:r>
      <w:proofErr w:type="spellEnd"/>
      <w:r w:rsidRPr="00AE66C8">
        <w:rPr>
          <w:sz w:val="20"/>
        </w:rPr>
        <w:t xml:space="preserve"> 38, no 9, pp 959–69.</w:t>
      </w:r>
      <w:proofErr w:type="gramEnd"/>
    </w:p>
  </w:footnote>
  <w:footnote w:id="5">
    <w:p w:rsidR="00EC11EB" w:rsidRPr="0039714C" w:rsidRDefault="00EC11EB" w:rsidP="00035763">
      <w:pPr>
        <w:pStyle w:val="FootnoteText"/>
        <w:rPr>
          <w:sz w:val="20"/>
        </w:rPr>
      </w:pPr>
      <w:r w:rsidRPr="0039714C">
        <w:rPr>
          <w:rStyle w:val="FootnoteReference"/>
          <w:sz w:val="20"/>
        </w:rPr>
        <w:footnoteRef/>
      </w:r>
      <w:r w:rsidRPr="0039714C">
        <w:rPr>
          <w:sz w:val="20"/>
        </w:rPr>
        <w:t xml:space="preserve">  New England Healthcare Institute, Thinking Outside the Pillbox, Retrieved April 28, 2011 </w:t>
      </w:r>
    </w:p>
    <w:p w:rsidR="00EC11EB" w:rsidRPr="0039714C" w:rsidRDefault="00EC11EB" w:rsidP="00035763">
      <w:pPr>
        <w:pStyle w:val="FootnoteText"/>
        <w:rPr>
          <w:sz w:val="20"/>
        </w:rPr>
      </w:pPr>
      <w:r w:rsidRPr="0039714C">
        <w:rPr>
          <w:sz w:val="20"/>
        </w:rPr>
        <w:t>from: http://www.nehi.net/news/press_releases/110/nehi_research_shows_patient_</w:t>
      </w:r>
    </w:p>
    <w:p w:rsidR="00EC11EB" w:rsidRDefault="00EC11EB" w:rsidP="00035763">
      <w:pPr>
        <w:pStyle w:val="FootnoteText"/>
      </w:pPr>
      <w:r w:rsidRPr="0039714C">
        <w:rPr>
          <w:sz w:val="20"/>
        </w:rPr>
        <w:t>medication_nonadherence_costs_health_care_system_290_billion_annually</w:t>
      </w:r>
      <w:r>
        <w:rPr>
          <w:sz w:val="20"/>
        </w:rPr>
        <w:t xml:space="preserve"> </w:t>
      </w:r>
    </w:p>
  </w:footnote>
  <w:footnote w:id="6">
    <w:p w:rsidR="00EC11EB" w:rsidRPr="00E17D4F" w:rsidRDefault="00EC11EB">
      <w:pPr>
        <w:pStyle w:val="FootnoteText"/>
        <w:rPr>
          <w:sz w:val="20"/>
        </w:rPr>
      </w:pPr>
      <w:r w:rsidRPr="00E17D4F">
        <w:rPr>
          <w:rStyle w:val="FootnoteReference"/>
          <w:sz w:val="20"/>
        </w:rPr>
        <w:footnoteRef/>
      </w:r>
      <w:r w:rsidRPr="00E17D4F">
        <w:rPr>
          <w:sz w:val="20"/>
        </w:rPr>
        <w:t xml:space="preserve"> </w:t>
      </w:r>
      <w:proofErr w:type="gramStart"/>
      <w:r w:rsidRPr="00E17D4F">
        <w:rPr>
          <w:sz w:val="20"/>
        </w:rPr>
        <w:t>AHRQ.</w:t>
      </w:r>
      <w:proofErr w:type="gramEnd"/>
      <w:r w:rsidRPr="00E17D4F">
        <w:rPr>
          <w:sz w:val="20"/>
        </w:rPr>
        <w:t xml:space="preserve"> Is Your Organization Ready for </w:t>
      </w:r>
      <w:proofErr w:type="spellStart"/>
      <w:r w:rsidRPr="00E17D4F">
        <w:rPr>
          <w:sz w:val="20"/>
        </w:rPr>
        <w:t>TeamSTEPPS</w:t>
      </w:r>
      <w:proofErr w:type="spellEnd"/>
      <w:r w:rsidRPr="00E17D4F">
        <w:rPr>
          <w:sz w:val="20"/>
        </w:rPr>
        <w:t xml:space="preserve">? Available at: </w:t>
      </w:r>
      <w:hyperlink r:id="rId1" w:history="1">
        <w:r w:rsidRPr="00E17D4F">
          <w:rPr>
            <w:rStyle w:val="Hyperlink"/>
            <w:sz w:val="20"/>
          </w:rPr>
          <w:t>http://teamstepps.ahrq.gov/readiness/</w:t>
        </w:r>
      </w:hyperlink>
      <w:r w:rsidRPr="00E17D4F">
        <w:rPr>
          <w:sz w:val="20"/>
        </w:rPr>
        <w:t xml:space="preserve">. </w:t>
      </w:r>
    </w:p>
  </w:footnote>
  <w:footnote w:id="7">
    <w:p w:rsidR="00EC11EB" w:rsidRPr="00B55E7A" w:rsidRDefault="00EC11EB">
      <w:pPr>
        <w:pStyle w:val="FootnoteText"/>
      </w:pPr>
      <w:r w:rsidRPr="00E17D4F">
        <w:rPr>
          <w:rStyle w:val="FootnoteReference"/>
          <w:sz w:val="20"/>
        </w:rPr>
        <w:footnoteRef/>
      </w:r>
      <w:r w:rsidRPr="00E17D4F">
        <w:rPr>
          <w:sz w:val="20"/>
        </w:rPr>
        <w:t xml:space="preserve"> Pare G, </w:t>
      </w:r>
      <w:proofErr w:type="spellStart"/>
      <w:r w:rsidRPr="00E17D4F">
        <w:rPr>
          <w:sz w:val="20"/>
        </w:rPr>
        <w:t>Sicotte</w:t>
      </w:r>
      <w:proofErr w:type="spellEnd"/>
      <w:r w:rsidRPr="00E17D4F">
        <w:rPr>
          <w:sz w:val="20"/>
        </w:rPr>
        <w:t xml:space="preserve"> C, </w:t>
      </w:r>
      <w:proofErr w:type="spellStart"/>
      <w:r w:rsidRPr="00E17D4F">
        <w:rPr>
          <w:sz w:val="20"/>
        </w:rPr>
        <w:t>Pobe-Nzaou</w:t>
      </w:r>
      <w:proofErr w:type="spellEnd"/>
      <w:r w:rsidRPr="00E17D4F">
        <w:rPr>
          <w:sz w:val="20"/>
        </w:rPr>
        <w:t xml:space="preserve"> P, and </w:t>
      </w:r>
      <w:proofErr w:type="spellStart"/>
      <w:r w:rsidRPr="00E17D4F">
        <w:rPr>
          <w:sz w:val="20"/>
        </w:rPr>
        <w:t>Balouzakis</w:t>
      </w:r>
      <w:proofErr w:type="spellEnd"/>
      <w:r w:rsidRPr="00E17D4F">
        <w:rPr>
          <w:sz w:val="20"/>
        </w:rPr>
        <w:t xml:space="preserve"> G. Clinicians’ perceptions of organizational readiness for change in the context of clinical information system projects. </w:t>
      </w:r>
      <w:proofErr w:type="gramStart"/>
      <w:r w:rsidRPr="00E17D4F">
        <w:rPr>
          <w:i/>
          <w:sz w:val="20"/>
        </w:rPr>
        <w:t>Implementation Science</w:t>
      </w:r>
      <w:r w:rsidRPr="00E17D4F">
        <w:rPr>
          <w:sz w:val="20"/>
        </w:rPr>
        <w:t xml:space="preserve"> 2011.</w:t>
      </w:r>
      <w:proofErr w:type="gramEnd"/>
      <w:r w:rsidRPr="00E17D4F">
        <w:rPr>
          <w:sz w:val="20"/>
        </w:rPr>
        <w:t xml:space="preserve"> 6(5); 1-14.</w:t>
      </w:r>
    </w:p>
  </w:footnote>
  <w:footnote w:id="8">
    <w:p w:rsidR="00EC11EB" w:rsidRPr="00E17D4F" w:rsidRDefault="00EC11EB">
      <w:pPr>
        <w:pStyle w:val="FootnoteText"/>
        <w:rPr>
          <w:sz w:val="20"/>
        </w:rPr>
      </w:pPr>
      <w:r w:rsidRPr="00E17D4F">
        <w:rPr>
          <w:rStyle w:val="FootnoteReference"/>
          <w:sz w:val="20"/>
        </w:rPr>
        <w:footnoteRef/>
      </w:r>
      <w:r w:rsidRPr="00E17D4F">
        <w:rPr>
          <w:sz w:val="20"/>
        </w:rPr>
        <w:t xml:space="preserve"> </w:t>
      </w:r>
      <w:proofErr w:type="gramStart"/>
      <w:r w:rsidRPr="00E17D4F">
        <w:rPr>
          <w:sz w:val="20"/>
        </w:rPr>
        <w:t>National Institute of Standards and Technology.</w:t>
      </w:r>
      <w:proofErr w:type="gramEnd"/>
      <w:r w:rsidRPr="00E17D4F">
        <w:rPr>
          <w:sz w:val="20"/>
        </w:rPr>
        <w:t xml:space="preserve"> Are we making progress? Available at: </w:t>
      </w:r>
      <w:hyperlink r:id="rId2" w:history="1">
        <w:r w:rsidRPr="00E17D4F">
          <w:rPr>
            <w:rStyle w:val="Hyperlink"/>
            <w:sz w:val="20"/>
          </w:rPr>
          <w:t>http://www.quality.nist.gov/PDF_files/Progress.pdf</w:t>
        </w:r>
      </w:hyperlink>
      <w:r w:rsidRPr="00E17D4F">
        <w:rPr>
          <w:sz w:val="20"/>
        </w:rPr>
        <w:t xml:space="preserve"> </w:t>
      </w:r>
    </w:p>
  </w:footnote>
  <w:footnote w:id="9">
    <w:p w:rsidR="00EC11EB" w:rsidRPr="00E17D4F" w:rsidRDefault="00EC11EB">
      <w:pPr>
        <w:pStyle w:val="FootnoteText"/>
        <w:rPr>
          <w:sz w:val="20"/>
        </w:rPr>
      </w:pPr>
      <w:r w:rsidRPr="00E17D4F">
        <w:rPr>
          <w:rStyle w:val="FootnoteReference"/>
          <w:sz w:val="20"/>
        </w:rPr>
        <w:footnoteRef/>
      </w:r>
      <w:r w:rsidRPr="00E17D4F">
        <w:rPr>
          <w:sz w:val="20"/>
        </w:rPr>
        <w:t xml:space="preserve"> </w:t>
      </w:r>
      <w:proofErr w:type="spellStart"/>
      <w:proofErr w:type="gramStart"/>
      <w:r w:rsidRPr="00E17D4F">
        <w:rPr>
          <w:sz w:val="20"/>
        </w:rPr>
        <w:t>Imre</w:t>
      </w:r>
      <w:proofErr w:type="spellEnd"/>
      <w:r w:rsidRPr="00E17D4F">
        <w:rPr>
          <w:sz w:val="20"/>
        </w:rPr>
        <w:t xml:space="preserve"> N, </w:t>
      </w:r>
      <w:proofErr w:type="spellStart"/>
      <w:r w:rsidRPr="00E17D4F">
        <w:rPr>
          <w:sz w:val="20"/>
        </w:rPr>
        <w:t>Jenei</w:t>
      </w:r>
      <w:proofErr w:type="spellEnd"/>
      <w:r w:rsidRPr="00E17D4F">
        <w:rPr>
          <w:sz w:val="20"/>
        </w:rPr>
        <w:t xml:space="preserve"> I, </w:t>
      </w:r>
      <w:proofErr w:type="spellStart"/>
      <w:r w:rsidRPr="00E17D4F">
        <w:rPr>
          <w:sz w:val="20"/>
        </w:rPr>
        <w:t>Losonci</w:t>
      </w:r>
      <w:proofErr w:type="spellEnd"/>
      <w:r w:rsidRPr="00E17D4F">
        <w:rPr>
          <w:sz w:val="20"/>
        </w:rPr>
        <w:t xml:space="preserve"> D.</w:t>
      </w:r>
      <w:proofErr w:type="gramEnd"/>
      <w:r w:rsidRPr="00E17D4F">
        <w:rPr>
          <w:sz w:val="20"/>
        </w:rPr>
        <w:t xml:space="preserve"> What is lean culture – and how to measure it? 18th International Annual </w:t>
      </w:r>
      <w:proofErr w:type="spellStart"/>
      <w:r w:rsidRPr="00E17D4F">
        <w:rPr>
          <w:sz w:val="20"/>
        </w:rPr>
        <w:t>EurOMA</w:t>
      </w:r>
      <w:proofErr w:type="spellEnd"/>
      <w:r w:rsidRPr="00E17D4F">
        <w:rPr>
          <w:sz w:val="20"/>
        </w:rPr>
        <w:t xml:space="preserve"> Conference, 3-5 July, 2011, Cambridge, United Kingdom. Available at: </w:t>
      </w:r>
      <w:hyperlink r:id="rId3" w:history="1">
        <w:r w:rsidRPr="00E17D4F">
          <w:rPr>
            <w:rStyle w:val="Hyperlink"/>
            <w:sz w:val="20"/>
          </w:rPr>
          <w:t>www.uni-corvinus.hu/index.php?id=41618&amp;type=p&amp;file_id=264</w:t>
        </w:r>
      </w:hyperlink>
      <w:r w:rsidRPr="00E17D4F">
        <w:rPr>
          <w:sz w:val="20"/>
        </w:rPr>
        <w:t xml:space="preserve"> </w:t>
      </w:r>
    </w:p>
  </w:footnote>
  <w:footnote w:id="10">
    <w:p w:rsidR="00EC11EB" w:rsidRPr="00E17D4F" w:rsidRDefault="00EC11EB" w:rsidP="005306C8">
      <w:pPr>
        <w:pStyle w:val="FootnoteText"/>
        <w:rPr>
          <w:sz w:val="20"/>
        </w:rPr>
      </w:pPr>
      <w:r w:rsidRPr="00E17D4F">
        <w:rPr>
          <w:rStyle w:val="FootnoteReference"/>
          <w:sz w:val="20"/>
        </w:rPr>
        <w:footnoteRef/>
      </w:r>
      <w:r w:rsidRPr="00E17D4F">
        <w:rPr>
          <w:sz w:val="20"/>
        </w:rPr>
        <w:t xml:space="preserve"> Miller LM. Lean culture and leadership factors: A survey of lean implementers’ perceptions of execution and importance. 2011. Available at: </w:t>
      </w:r>
      <w:hyperlink r:id="rId4" w:history="1">
        <w:r w:rsidRPr="00E17D4F">
          <w:rPr>
            <w:rStyle w:val="Hyperlink"/>
            <w:sz w:val="20"/>
          </w:rPr>
          <w:t>http://www.lmmiller.com/blog/wp-content/uploads/2011/06/Report-Lean-Culture-and-Leadership-Factors4.pdf</w:t>
        </w:r>
      </w:hyperlink>
      <w:r w:rsidRPr="00E17D4F">
        <w:rPr>
          <w:sz w:val="20"/>
        </w:rPr>
        <w:t xml:space="preserve"> </w:t>
      </w:r>
    </w:p>
  </w:footnote>
  <w:footnote w:id="11">
    <w:p w:rsidR="00EC11EB" w:rsidRPr="00E17D4F" w:rsidRDefault="00EC11EB" w:rsidP="003E207C">
      <w:pPr>
        <w:pStyle w:val="FootnoteText"/>
        <w:rPr>
          <w:sz w:val="20"/>
        </w:rPr>
      </w:pPr>
      <w:r w:rsidRPr="00E17D4F">
        <w:rPr>
          <w:rStyle w:val="FootnoteReference"/>
          <w:sz w:val="20"/>
        </w:rPr>
        <w:footnoteRef/>
      </w:r>
      <w:r w:rsidRPr="00E17D4F">
        <w:rPr>
          <w:sz w:val="20"/>
        </w:rPr>
        <w:t xml:space="preserve"> </w:t>
      </w:r>
      <w:proofErr w:type="spellStart"/>
      <w:r w:rsidRPr="00E17D4F">
        <w:rPr>
          <w:sz w:val="20"/>
        </w:rPr>
        <w:t>Shwartz</w:t>
      </w:r>
      <w:proofErr w:type="spellEnd"/>
      <w:r w:rsidRPr="00E17D4F">
        <w:rPr>
          <w:sz w:val="20"/>
        </w:rPr>
        <w:t xml:space="preserve"> M, Cramer IE, Holmes SK, et al. Survey-assessed quality and organizational factors related to quality in pursuing perfection hospitals. </w:t>
      </w:r>
      <w:r w:rsidRPr="00E17D4F">
        <w:rPr>
          <w:i/>
          <w:sz w:val="20"/>
        </w:rPr>
        <w:t xml:space="preserve">Q Manage Health Care </w:t>
      </w:r>
      <w:r w:rsidRPr="00E17D4F">
        <w:rPr>
          <w:sz w:val="20"/>
        </w:rPr>
        <w:t>2010. 19(4); 349–363.</w:t>
      </w:r>
    </w:p>
  </w:footnote>
  <w:footnote w:id="12">
    <w:p w:rsidR="00EC11EB" w:rsidRDefault="00EC11EB">
      <w:pPr>
        <w:pStyle w:val="FootnoteText"/>
      </w:pPr>
      <w:r w:rsidRPr="00E17D4F">
        <w:rPr>
          <w:rStyle w:val="FootnoteReference"/>
          <w:sz w:val="20"/>
        </w:rPr>
        <w:footnoteRef/>
      </w:r>
      <w:r w:rsidRPr="00E17D4F">
        <w:rPr>
          <w:sz w:val="20"/>
        </w:rPr>
        <w:t xml:space="preserve"> </w:t>
      </w:r>
      <w:proofErr w:type="gramStart"/>
      <w:r w:rsidRPr="00E17D4F">
        <w:rPr>
          <w:sz w:val="20"/>
        </w:rPr>
        <w:t>U.S. Office of Personnel Management (OPM).</w:t>
      </w:r>
      <w:proofErr w:type="gramEnd"/>
      <w:r w:rsidRPr="00E17D4F">
        <w:rPr>
          <w:sz w:val="20"/>
        </w:rPr>
        <w:t xml:space="preserve"> </w:t>
      </w:r>
      <w:proofErr w:type="gramStart"/>
      <w:r w:rsidRPr="00E17D4F">
        <w:rPr>
          <w:sz w:val="20"/>
        </w:rPr>
        <w:t>Federal Employee Viewpoint Survey.</w:t>
      </w:r>
      <w:proofErr w:type="gramEnd"/>
      <w:r w:rsidRPr="00E17D4F">
        <w:rPr>
          <w:sz w:val="20"/>
        </w:rPr>
        <w:t xml:space="preserve"> 2011 Results available at: </w:t>
      </w:r>
      <w:hyperlink r:id="rId5" w:history="1">
        <w:r w:rsidRPr="00E17D4F">
          <w:rPr>
            <w:rStyle w:val="Hyperlink"/>
            <w:sz w:val="20"/>
          </w:rPr>
          <w:t>http://www.fedview.opm.gov/2011/Reports/</w:t>
        </w:r>
      </w:hyperlink>
      <w:r>
        <w:t xml:space="preserve"> </w:t>
      </w:r>
    </w:p>
  </w:footnote>
  <w:footnote w:id="13">
    <w:p w:rsidR="00EC11EB" w:rsidRPr="00797C38" w:rsidRDefault="00EC11EB" w:rsidP="00316B3C">
      <w:pPr>
        <w:pStyle w:val="FootnoteText"/>
        <w:rPr>
          <w:sz w:val="20"/>
        </w:rPr>
      </w:pPr>
      <w:r w:rsidRPr="00797C38">
        <w:rPr>
          <w:rStyle w:val="FootnoteReference"/>
          <w:sz w:val="20"/>
        </w:rPr>
        <w:footnoteRef/>
      </w:r>
      <w:r w:rsidRPr="00797C38">
        <w:rPr>
          <w:sz w:val="20"/>
        </w:rPr>
        <w:t xml:space="preserve"> </w:t>
      </w:r>
      <w:proofErr w:type="spellStart"/>
      <w:r w:rsidRPr="00797C38">
        <w:rPr>
          <w:sz w:val="20"/>
        </w:rPr>
        <w:t>Elwyn</w:t>
      </w:r>
      <w:proofErr w:type="spellEnd"/>
      <w:r w:rsidRPr="00797C38">
        <w:rPr>
          <w:sz w:val="20"/>
        </w:rPr>
        <w:t xml:space="preserve"> G, Edwards A, </w:t>
      </w:r>
      <w:proofErr w:type="spellStart"/>
      <w:r w:rsidRPr="00797C38">
        <w:rPr>
          <w:sz w:val="20"/>
        </w:rPr>
        <w:t>Kinnersley</w:t>
      </w:r>
      <w:proofErr w:type="spellEnd"/>
      <w:r w:rsidRPr="00797C38">
        <w:rPr>
          <w:sz w:val="20"/>
        </w:rPr>
        <w:t xml:space="preserve"> P, </w:t>
      </w:r>
      <w:proofErr w:type="spellStart"/>
      <w:r w:rsidRPr="00797C38">
        <w:rPr>
          <w:sz w:val="20"/>
        </w:rPr>
        <w:t>Grol</w:t>
      </w:r>
      <w:proofErr w:type="spellEnd"/>
      <w:r w:rsidRPr="00797C38">
        <w:rPr>
          <w:sz w:val="20"/>
        </w:rPr>
        <w:t xml:space="preserve"> R. Shared decision making and the concept of equipoise: the competences of involving patients in healthcare choices. Br J Gen </w:t>
      </w:r>
      <w:proofErr w:type="spellStart"/>
      <w:r w:rsidRPr="00797C38">
        <w:rPr>
          <w:sz w:val="20"/>
        </w:rPr>
        <w:t>Pract</w:t>
      </w:r>
      <w:proofErr w:type="spellEnd"/>
      <w:r w:rsidRPr="00797C38">
        <w:rPr>
          <w:sz w:val="20"/>
        </w:rPr>
        <w:t xml:space="preserve"> 2000</w:t>
      </w:r>
      <w:proofErr w:type="gramStart"/>
      <w:r w:rsidRPr="00797C38">
        <w:rPr>
          <w:sz w:val="20"/>
        </w:rPr>
        <w:t>;50:892</w:t>
      </w:r>
      <w:proofErr w:type="gramEnd"/>
      <w:r w:rsidRPr="00797C38">
        <w:rPr>
          <w:sz w:val="20"/>
        </w:rPr>
        <w:t>–9.</w:t>
      </w:r>
    </w:p>
  </w:footnote>
  <w:footnote w:id="14">
    <w:p w:rsidR="00EC11EB" w:rsidRPr="00797C38" w:rsidRDefault="00EC11EB">
      <w:pPr>
        <w:pStyle w:val="FootnoteText"/>
        <w:rPr>
          <w:sz w:val="20"/>
        </w:rPr>
      </w:pPr>
      <w:r w:rsidRPr="00797C38">
        <w:rPr>
          <w:rStyle w:val="FootnoteReference"/>
          <w:sz w:val="20"/>
        </w:rPr>
        <w:footnoteRef/>
      </w:r>
      <w:r w:rsidRPr="00797C38">
        <w:rPr>
          <w:sz w:val="20"/>
        </w:rPr>
        <w:t xml:space="preserve"> Braddock CH 3rd, Edwards KA, </w:t>
      </w:r>
      <w:proofErr w:type="spellStart"/>
      <w:r w:rsidRPr="00797C38">
        <w:rPr>
          <w:sz w:val="20"/>
        </w:rPr>
        <w:t>Hasenberg</w:t>
      </w:r>
      <w:proofErr w:type="spellEnd"/>
      <w:r w:rsidRPr="00797C38">
        <w:rPr>
          <w:sz w:val="20"/>
        </w:rPr>
        <w:t xml:space="preserve"> NM, </w:t>
      </w:r>
      <w:proofErr w:type="spellStart"/>
      <w:r w:rsidRPr="00797C38">
        <w:rPr>
          <w:sz w:val="20"/>
        </w:rPr>
        <w:t>Laidley</w:t>
      </w:r>
      <w:proofErr w:type="spellEnd"/>
      <w:r w:rsidRPr="00797C38">
        <w:rPr>
          <w:sz w:val="20"/>
        </w:rPr>
        <w:t xml:space="preserve"> TL, Levinson W. Informed decision making in outpatient practice: time to get back to basics. JAMA 1999</w:t>
      </w:r>
      <w:proofErr w:type="gramStart"/>
      <w:r w:rsidRPr="00797C38">
        <w:rPr>
          <w:sz w:val="20"/>
        </w:rPr>
        <w:t>;282:2313</w:t>
      </w:r>
      <w:proofErr w:type="gramEnd"/>
      <w:r w:rsidRPr="00797C38">
        <w:rPr>
          <w:sz w:val="20"/>
        </w:rPr>
        <w:t>–20.</w:t>
      </w:r>
    </w:p>
  </w:footnote>
  <w:footnote w:id="15">
    <w:p w:rsidR="00EC11EB" w:rsidRPr="00797C38" w:rsidRDefault="00EC11EB">
      <w:pPr>
        <w:pStyle w:val="FootnoteText"/>
        <w:rPr>
          <w:sz w:val="20"/>
        </w:rPr>
      </w:pPr>
      <w:r w:rsidRPr="00797C38">
        <w:rPr>
          <w:rStyle w:val="FootnoteReference"/>
          <w:sz w:val="20"/>
        </w:rPr>
        <w:footnoteRef/>
      </w:r>
      <w:r w:rsidRPr="00797C38">
        <w:rPr>
          <w:sz w:val="20"/>
        </w:rPr>
        <w:t xml:space="preserve"> </w:t>
      </w:r>
      <w:proofErr w:type="spellStart"/>
      <w:r w:rsidRPr="00797C38">
        <w:rPr>
          <w:sz w:val="20"/>
        </w:rPr>
        <w:t>Entwistle</w:t>
      </w:r>
      <w:proofErr w:type="spellEnd"/>
      <w:r w:rsidRPr="00797C38">
        <w:rPr>
          <w:sz w:val="20"/>
        </w:rPr>
        <w:t xml:space="preserve"> VA, Sheldon TA, </w:t>
      </w:r>
      <w:proofErr w:type="spellStart"/>
      <w:r w:rsidRPr="00797C38">
        <w:rPr>
          <w:sz w:val="20"/>
        </w:rPr>
        <w:t>Sowden</w:t>
      </w:r>
      <w:proofErr w:type="spellEnd"/>
      <w:r w:rsidRPr="00797C38">
        <w:rPr>
          <w:sz w:val="20"/>
        </w:rPr>
        <w:t xml:space="preserve"> A, Watt IS. </w:t>
      </w:r>
      <w:proofErr w:type="gramStart"/>
      <w:r w:rsidRPr="00797C38">
        <w:rPr>
          <w:sz w:val="20"/>
        </w:rPr>
        <w:t>Evidence-informed patient choice.</w:t>
      </w:r>
      <w:proofErr w:type="gramEnd"/>
      <w:r w:rsidRPr="00797C38">
        <w:rPr>
          <w:sz w:val="20"/>
        </w:rPr>
        <w:t xml:space="preserve"> </w:t>
      </w:r>
      <w:proofErr w:type="gramStart"/>
      <w:r w:rsidRPr="00797C38">
        <w:rPr>
          <w:sz w:val="20"/>
        </w:rPr>
        <w:t>Practical issues of involving patients in decisions about health care technologies.</w:t>
      </w:r>
      <w:proofErr w:type="gramEnd"/>
      <w:r w:rsidRPr="00797C38">
        <w:rPr>
          <w:sz w:val="20"/>
        </w:rPr>
        <w:t xml:space="preserve"> </w:t>
      </w:r>
      <w:proofErr w:type="spellStart"/>
      <w:r w:rsidRPr="00797C38">
        <w:rPr>
          <w:sz w:val="20"/>
        </w:rPr>
        <w:t>Int</w:t>
      </w:r>
      <w:proofErr w:type="spellEnd"/>
      <w:r w:rsidRPr="00797C38">
        <w:rPr>
          <w:sz w:val="20"/>
        </w:rPr>
        <w:t xml:space="preserve"> J </w:t>
      </w:r>
      <w:proofErr w:type="spellStart"/>
      <w:r w:rsidRPr="00797C38">
        <w:rPr>
          <w:sz w:val="20"/>
        </w:rPr>
        <w:t>Technol</w:t>
      </w:r>
      <w:proofErr w:type="spellEnd"/>
      <w:r w:rsidRPr="00797C38">
        <w:rPr>
          <w:sz w:val="20"/>
        </w:rPr>
        <w:t xml:space="preserve"> Assess Health Care 1998</w:t>
      </w:r>
      <w:proofErr w:type="gramStart"/>
      <w:r w:rsidRPr="00797C38">
        <w:rPr>
          <w:sz w:val="20"/>
        </w:rPr>
        <w:t>;14:212</w:t>
      </w:r>
      <w:proofErr w:type="gramEnd"/>
      <w:r w:rsidRPr="00797C38">
        <w:rPr>
          <w:sz w:val="20"/>
        </w:rPr>
        <w:t>–25.</w:t>
      </w:r>
    </w:p>
  </w:footnote>
  <w:footnote w:id="16">
    <w:p w:rsidR="00EC11EB" w:rsidRPr="00797C38" w:rsidRDefault="00EC11EB">
      <w:pPr>
        <w:pStyle w:val="FootnoteText"/>
        <w:rPr>
          <w:sz w:val="20"/>
        </w:rPr>
      </w:pPr>
      <w:r w:rsidRPr="00797C38">
        <w:rPr>
          <w:rStyle w:val="FootnoteReference"/>
          <w:sz w:val="20"/>
        </w:rPr>
        <w:footnoteRef/>
      </w:r>
      <w:r w:rsidRPr="00797C38">
        <w:rPr>
          <w:sz w:val="20"/>
        </w:rPr>
        <w:t xml:space="preserve"> Mead N, Bower P. Patient-</w:t>
      </w:r>
      <w:proofErr w:type="spellStart"/>
      <w:r w:rsidRPr="00797C38">
        <w:rPr>
          <w:sz w:val="20"/>
        </w:rPr>
        <w:t>centredness</w:t>
      </w:r>
      <w:proofErr w:type="spellEnd"/>
      <w:r w:rsidRPr="00797C38">
        <w:rPr>
          <w:sz w:val="20"/>
        </w:rPr>
        <w:t xml:space="preserve">: a conceptual framework and review of the empirical literature. Soc </w:t>
      </w:r>
      <w:proofErr w:type="spellStart"/>
      <w:r w:rsidRPr="00797C38">
        <w:rPr>
          <w:sz w:val="20"/>
        </w:rPr>
        <w:t>Sci</w:t>
      </w:r>
      <w:proofErr w:type="spellEnd"/>
      <w:r w:rsidRPr="00797C38">
        <w:rPr>
          <w:sz w:val="20"/>
        </w:rPr>
        <w:t xml:space="preserve"> Med 2000</w:t>
      </w:r>
      <w:proofErr w:type="gramStart"/>
      <w:r w:rsidRPr="00797C38">
        <w:rPr>
          <w:sz w:val="20"/>
        </w:rPr>
        <w:t>;51:1087</w:t>
      </w:r>
      <w:proofErr w:type="gramEnd"/>
      <w:r w:rsidRPr="00797C38">
        <w:rPr>
          <w:sz w:val="20"/>
        </w:rPr>
        <w:t>–110.</w:t>
      </w:r>
    </w:p>
  </w:footnote>
  <w:footnote w:id="17">
    <w:p w:rsidR="00EC11EB" w:rsidRPr="00797C38" w:rsidRDefault="00EC11EB" w:rsidP="00AB44E6">
      <w:pPr>
        <w:pStyle w:val="FootnoteText"/>
        <w:rPr>
          <w:sz w:val="20"/>
        </w:rPr>
      </w:pPr>
      <w:r w:rsidRPr="00797C38">
        <w:rPr>
          <w:rStyle w:val="FootnoteReference"/>
          <w:sz w:val="20"/>
        </w:rPr>
        <w:footnoteRef/>
      </w:r>
      <w:r w:rsidRPr="00797C38">
        <w:rPr>
          <w:sz w:val="20"/>
        </w:rPr>
        <w:t xml:space="preserve"> Charles C, </w:t>
      </w:r>
      <w:proofErr w:type="spellStart"/>
      <w:r w:rsidRPr="00797C38">
        <w:rPr>
          <w:sz w:val="20"/>
        </w:rPr>
        <w:t>Gafni</w:t>
      </w:r>
      <w:proofErr w:type="spellEnd"/>
      <w:r w:rsidRPr="00797C38">
        <w:rPr>
          <w:sz w:val="20"/>
        </w:rPr>
        <w:t xml:space="preserve"> A, </w:t>
      </w:r>
      <w:proofErr w:type="gramStart"/>
      <w:r w:rsidRPr="00797C38">
        <w:rPr>
          <w:sz w:val="20"/>
        </w:rPr>
        <w:t>Whelan</w:t>
      </w:r>
      <w:proofErr w:type="gramEnd"/>
      <w:r w:rsidRPr="00797C38">
        <w:rPr>
          <w:sz w:val="20"/>
        </w:rPr>
        <w:t xml:space="preserve"> T. Decision-making in the physician–patient encounter: revisiting the shared treatment decision-making model. Soc </w:t>
      </w:r>
      <w:proofErr w:type="spellStart"/>
      <w:r w:rsidRPr="00797C38">
        <w:rPr>
          <w:sz w:val="20"/>
        </w:rPr>
        <w:t>Sci</w:t>
      </w:r>
      <w:proofErr w:type="spellEnd"/>
      <w:r w:rsidRPr="00797C38">
        <w:rPr>
          <w:sz w:val="20"/>
        </w:rPr>
        <w:t xml:space="preserve"> Med 1999</w:t>
      </w:r>
      <w:proofErr w:type="gramStart"/>
      <w:r w:rsidRPr="00797C38">
        <w:rPr>
          <w:sz w:val="20"/>
        </w:rPr>
        <w:t>;49:651</w:t>
      </w:r>
      <w:proofErr w:type="gramEnd"/>
      <w:r w:rsidRPr="00797C38">
        <w:rPr>
          <w:sz w:val="20"/>
        </w:rPr>
        <w:t>–61.</w:t>
      </w:r>
    </w:p>
  </w:footnote>
  <w:footnote w:id="18">
    <w:p w:rsidR="00EC11EB" w:rsidRPr="00797C38" w:rsidRDefault="00EC11EB" w:rsidP="00AB44E6">
      <w:pPr>
        <w:pStyle w:val="FootnoteText"/>
        <w:rPr>
          <w:sz w:val="20"/>
        </w:rPr>
      </w:pPr>
      <w:r w:rsidRPr="00797C38">
        <w:rPr>
          <w:rStyle w:val="FootnoteReference"/>
          <w:sz w:val="20"/>
        </w:rPr>
        <w:footnoteRef/>
      </w:r>
      <w:r w:rsidRPr="00797C38">
        <w:rPr>
          <w:sz w:val="20"/>
        </w:rPr>
        <w:t xml:space="preserve"> Emanuel EJ, Emanuel LL. Four models of the physician–patient relationship. JAMA 1992</w:t>
      </w:r>
      <w:proofErr w:type="gramStart"/>
      <w:r w:rsidRPr="00797C38">
        <w:rPr>
          <w:sz w:val="20"/>
        </w:rPr>
        <w:t>;267:2221</w:t>
      </w:r>
      <w:proofErr w:type="gramEnd"/>
      <w:r w:rsidRPr="00797C38">
        <w:rPr>
          <w:sz w:val="20"/>
        </w:rPr>
        <w:t>–6.</w:t>
      </w:r>
    </w:p>
  </w:footnote>
  <w:footnote w:id="19">
    <w:p w:rsidR="00EC11EB" w:rsidRDefault="00EC11EB" w:rsidP="001753E2">
      <w:pPr>
        <w:pStyle w:val="FootnoteText"/>
      </w:pPr>
      <w:r w:rsidRPr="00797C38">
        <w:rPr>
          <w:rStyle w:val="FootnoteReference"/>
          <w:sz w:val="20"/>
        </w:rPr>
        <w:footnoteRef/>
      </w:r>
      <w:r w:rsidRPr="00797C38">
        <w:rPr>
          <w:sz w:val="20"/>
        </w:rPr>
        <w:t xml:space="preserve"> Holmes-</w:t>
      </w:r>
      <w:proofErr w:type="spellStart"/>
      <w:r w:rsidRPr="00797C38">
        <w:rPr>
          <w:sz w:val="20"/>
        </w:rPr>
        <w:t>Rovner</w:t>
      </w:r>
      <w:proofErr w:type="spellEnd"/>
      <w:r w:rsidRPr="00797C38">
        <w:rPr>
          <w:sz w:val="20"/>
        </w:rPr>
        <w:t xml:space="preserve"> M, Llewellyn-Thomas H, </w:t>
      </w:r>
      <w:proofErr w:type="spellStart"/>
      <w:r w:rsidRPr="00797C38">
        <w:rPr>
          <w:sz w:val="20"/>
        </w:rPr>
        <w:t>Entwistle</w:t>
      </w:r>
      <w:proofErr w:type="spellEnd"/>
      <w:r w:rsidRPr="00797C38">
        <w:rPr>
          <w:sz w:val="20"/>
        </w:rPr>
        <w:t xml:space="preserve"> V, Coulter A, O’Connor A, </w:t>
      </w:r>
      <w:proofErr w:type="spellStart"/>
      <w:r w:rsidRPr="00797C38">
        <w:rPr>
          <w:sz w:val="20"/>
        </w:rPr>
        <w:t>Rovner</w:t>
      </w:r>
      <w:proofErr w:type="spellEnd"/>
      <w:r w:rsidRPr="00797C38">
        <w:rPr>
          <w:sz w:val="20"/>
        </w:rPr>
        <w:t xml:space="preserve"> DR. Patient choice modules for summaries of clinical effectiveness: a proposal. BMJ 2001</w:t>
      </w:r>
      <w:proofErr w:type="gramStart"/>
      <w:r w:rsidRPr="00797C38">
        <w:rPr>
          <w:sz w:val="20"/>
        </w:rPr>
        <w:t>;322:664</w:t>
      </w:r>
      <w:proofErr w:type="gramEnd"/>
      <w:r w:rsidRPr="00797C38">
        <w:rPr>
          <w:sz w:val="20"/>
        </w:rPr>
        <w:t>–7.</w:t>
      </w:r>
    </w:p>
  </w:footnote>
  <w:footnote w:id="20">
    <w:p w:rsidR="00EC11EB" w:rsidRPr="00797C38" w:rsidRDefault="00EC11EB" w:rsidP="001753E2">
      <w:pPr>
        <w:pStyle w:val="FootnoteText"/>
        <w:rPr>
          <w:sz w:val="20"/>
        </w:rPr>
      </w:pPr>
      <w:r w:rsidRPr="00797C38">
        <w:rPr>
          <w:rStyle w:val="FootnoteReference"/>
          <w:sz w:val="20"/>
        </w:rPr>
        <w:footnoteRef/>
      </w:r>
      <w:r w:rsidRPr="00797C38">
        <w:rPr>
          <w:sz w:val="20"/>
        </w:rPr>
        <w:t xml:space="preserve"> Walter LC, </w:t>
      </w:r>
      <w:proofErr w:type="spellStart"/>
      <w:r w:rsidRPr="00797C38">
        <w:rPr>
          <w:sz w:val="20"/>
        </w:rPr>
        <w:t>Covinsky</w:t>
      </w:r>
      <w:proofErr w:type="spellEnd"/>
      <w:r w:rsidRPr="00797C38">
        <w:rPr>
          <w:sz w:val="20"/>
        </w:rPr>
        <w:t xml:space="preserve"> KE. Cancer screening in elderly patients: a framework for individualized decision making. JAMA 2001</w:t>
      </w:r>
      <w:proofErr w:type="gramStart"/>
      <w:r w:rsidRPr="00797C38">
        <w:rPr>
          <w:sz w:val="20"/>
        </w:rPr>
        <w:t>;285:2750</w:t>
      </w:r>
      <w:proofErr w:type="gramEnd"/>
      <w:r w:rsidRPr="00797C38">
        <w:rPr>
          <w:sz w:val="20"/>
        </w:rPr>
        <w:t>–6.</w:t>
      </w:r>
    </w:p>
  </w:footnote>
  <w:footnote w:id="21">
    <w:p w:rsidR="00EC11EB" w:rsidRPr="00797C38" w:rsidRDefault="00EC11EB" w:rsidP="001753E2">
      <w:pPr>
        <w:pStyle w:val="FootnoteText"/>
        <w:rPr>
          <w:sz w:val="20"/>
        </w:rPr>
      </w:pPr>
      <w:r w:rsidRPr="00797C38">
        <w:rPr>
          <w:rStyle w:val="FootnoteReference"/>
          <w:sz w:val="20"/>
        </w:rPr>
        <w:footnoteRef/>
      </w:r>
      <w:r w:rsidRPr="00797C38">
        <w:rPr>
          <w:sz w:val="20"/>
        </w:rPr>
        <w:t xml:space="preserve"> </w:t>
      </w:r>
      <w:proofErr w:type="spellStart"/>
      <w:r w:rsidRPr="00797C38">
        <w:rPr>
          <w:sz w:val="20"/>
        </w:rPr>
        <w:t>Entwistle</w:t>
      </w:r>
      <w:proofErr w:type="spellEnd"/>
      <w:r w:rsidRPr="00797C38">
        <w:rPr>
          <w:sz w:val="20"/>
        </w:rPr>
        <w:t xml:space="preserve"> VA, Sheldon TA, </w:t>
      </w:r>
      <w:proofErr w:type="spellStart"/>
      <w:r w:rsidRPr="00797C38">
        <w:rPr>
          <w:sz w:val="20"/>
        </w:rPr>
        <w:t>Sowden</w:t>
      </w:r>
      <w:proofErr w:type="spellEnd"/>
      <w:r w:rsidRPr="00797C38">
        <w:rPr>
          <w:sz w:val="20"/>
        </w:rPr>
        <w:t xml:space="preserve"> A, Watt IS. </w:t>
      </w:r>
      <w:proofErr w:type="gramStart"/>
      <w:r w:rsidRPr="00797C38">
        <w:rPr>
          <w:sz w:val="20"/>
        </w:rPr>
        <w:t>Evidence-informed patient choice.</w:t>
      </w:r>
      <w:proofErr w:type="gramEnd"/>
      <w:r w:rsidRPr="00797C38">
        <w:rPr>
          <w:sz w:val="20"/>
        </w:rPr>
        <w:t xml:space="preserve"> </w:t>
      </w:r>
      <w:proofErr w:type="gramStart"/>
      <w:r w:rsidRPr="00797C38">
        <w:rPr>
          <w:sz w:val="20"/>
        </w:rPr>
        <w:t>Practical issues of involving patients in decisions about health care technologies.</w:t>
      </w:r>
      <w:proofErr w:type="gramEnd"/>
      <w:r w:rsidRPr="00797C38">
        <w:rPr>
          <w:sz w:val="20"/>
        </w:rPr>
        <w:t xml:space="preserve"> </w:t>
      </w:r>
      <w:proofErr w:type="spellStart"/>
      <w:r w:rsidRPr="00797C38">
        <w:rPr>
          <w:sz w:val="20"/>
        </w:rPr>
        <w:t>Int</w:t>
      </w:r>
      <w:proofErr w:type="spellEnd"/>
      <w:r w:rsidRPr="00797C38">
        <w:rPr>
          <w:sz w:val="20"/>
        </w:rPr>
        <w:t xml:space="preserve"> J </w:t>
      </w:r>
      <w:proofErr w:type="spellStart"/>
      <w:r w:rsidRPr="00797C38">
        <w:rPr>
          <w:sz w:val="20"/>
        </w:rPr>
        <w:t>Technol</w:t>
      </w:r>
      <w:proofErr w:type="spellEnd"/>
      <w:r w:rsidRPr="00797C38">
        <w:rPr>
          <w:sz w:val="20"/>
        </w:rPr>
        <w:t xml:space="preserve"> Assess Health Care 1998</w:t>
      </w:r>
      <w:proofErr w:type="gramStart"/>
      <w:r w:rsidRPr="00797C38">
        <w:rPr>
          <w:sz w:val="20"/>
        </w:rPr>
        <w:t>;14:212</w:t>
      </w:r>
      <w:proofErr w:type="gramEnd"/>
      <w:r w:rsidRPr="00797C38">
        <w:rPr>
          <w:sz w:val="20"/>
        </w:rPr>
        <w:t>–25.</w:t>
      </w:r>
    </w:p>
  </w:footnote>
  <w:footnote w:id="22">
    <w:p w:rsidR="00EC11EB" w:rsidRPr="00797C38" w:rsidRDefault="00EC11EB" w:rsidP="001753E2">
      <w:pPr>
        <w:pStyle w:val="FootnoteText"/>
        <w:rPr>
          <w:sz w:val="20"/>
        </w:rPr>
      </w:pPr>
      <w:r w:rsidRPr="00797C38">
        <w:rPr>
          <w:rStyle w:val="FootnoteReference"/>
          <w:sz w:val="20"/>
        </w:rPr>
        <w:footnoteRef/>
      </w:r>
      <w:r w:rsidRPr="00797C38">
        <w:rPr>
          <w:sz w:val="20"/>
        </w:rPr>
        <w:t xml:space="preserve"> Stewart M, Brown JB, Donner A, et al. </w:t>
      </w:r>
      <w:proofErr w:type="gramStart"/>
      <w:r w:rsidRPr="00797C38">
        <w:rPr>
          <w:sz w:val="20"/>
        </w:rPr>
        <w:t>The impact of patient-centered care on outcomes.</w:t>
      </w:r>
      <w:proofErr w:type="gramEnd"/>
      <w:r w:rsidRPr="00797C38">
        <w:rPr>
          <w:sz w:val="20"/>
        </w:rPr>
        <w:t xml:space="preserve"> J </w:t>
      </w:r>
      <w:proofErr w:type="spellStart"/>
      <w:r w:rsidRPr="00797C38">
        <w:rPr>
          <w:sz w:val="20"/>
        </w:rPr>
        <w:t>Fam</w:t>
      </w:r>
      <w:proofErr w:type="spellEnd"/>
      <w:r w:rsidRPr="00797C38">
        <w:rPr>
          <w:sz w:val="20"/>
        </w:rPr>
        <w:t xml:space="preserve"> </w:t>
      </w:r>
      <w:proofErr w:type="spellStart"/>
      <w:r w:rsidRPr="00797C38">
        <w:rPr>
          <w:sz w:val="20"/>
        </w:rPr>
        <w:t>Pract</w:t>
      </w:r>
      <w:proofErr w:type="spellEnd"/>
      <w:r w:rsidRPr="00797C38">
        <w:rPr>
          <w:sz w:val="20"/>
        </w:rPr>
        <w:t xml:space="preserve"> 2000</w:t>
      </w:r>
      <w:proofErr w:type="gramStart"/>
      <w:r w:rsidRPr="00797C38">
        <w:rPr>
          <w:sz w:val="20"/>
        </w:rPr>
        <w:t>;49:796</w:t>
      </w:r>
      <w:proofErr w:type="gramEnd"/>
      <w:r w:rsidRPr="00797C38">
        <w:rPr>
          <w:sz w:val="20"/>
        </w:rPr>
        <w:t>–804.</w:t>
      </w:r>
    </w:p>
  </w:footnote>
  <w:footnote w:id="23">
    <w:p w:rsidR="00EC11EB" w:rsidRPr="00797C38" w:rsidRDefault="00EC11EB" w:rsidP="001753E2">
      <w:pPr>
        <w:pStyle w:val="FootnoteText"/>
        <w:rPr>
          <w:sz w:val="20"/>
        </w:rPr>
      </w:pPr>
      <w:r w:rsidRPr="00797C38">
        <w:rPr>
          <w:rStyle w:val="FootnoteReference"/>
          <w:sz w:val="20"/>
        </w:rPr>
        <w:footnoteRef/>
      </w:r>
      <w:r w:rsidRPr="00797C38">
        <w:rPr>
          <w:sz w:val="20"/>
        </w:rPr>
        <w:t xml:space="preserve"> Stewart M. Towards a global definition of patient </w:t>
      </w:r>
      <w:proofErr w:type="spellStart"/>
      <w:r w:rsidRPr="00797C38">
        <w:rPr>
          <w:sz w:val="20"/>
        </w:rPr>
        <w:t>centred</w:t>
      </w:r>
      <w:proofErr w:type="spellEnd"/>
      <w:r w:rsidRPr="00797C38">
        <w:rPr>
          <w:sz w:val="20"/>
        </w:rPr>
        <w:t xml:space="preserve"> care. BMJ 2001;322:444–5</w:t>
      </w:r>
    </w:p>
  </w:footnote>
  <w:footnote w:id="24">
    <w:p w:rsidR="00EC11EB" w:rsidRPr="00797C38" w:rsidRDefault="00EC11EB">
      <w:pPr>
        <w:pStyle w:val="FootnoteText"/>
        <w:rPr>
          <w:sz w:val="20"/>
        </w:rPr>
      </w:pPr>
      <w:r w:rsidRPr="00797C38">
        <w:rPr>
          <w:rStyle w:val="FootnoteReference"/>
          <w:sz w:val="20"/>
        </w:rPr>
        <w:footnoteRef/>
      </w:r>
      <w:r w:rsidRPr="00797C38">
        <w:rPr>
          <w:sz w:val="20"/>
        </w:rPr>
        <w:t xml:space="preserve"> </w:t>
      </w:r>
      <w:proofErr w:type="spellStart"/>
      <w:r w:rsidRPr="00797C38">
        <w:rPr>
          <w:sz w:val="20"/>
        </w:rPr>
        <w:t>Elwyn</w:t>
      </w:r>
      <w:proofErr w:type="spellEnd"/>
      <w:r w:rsidRPr="00797C38">
        <w:rPr>
          <w:sz w:val="20"/>
        </w:rPr>
        <w:t xml:space="preserve">, </w:t>
      </w:r>
      <w:proofErr w:type="gramStart"/>
      <w:r w:rsidRPr="00797C38">
        <w:rPr>
          <w:sz w:val="20"/>
        </w:rPr>
        <w:t>et</w:t>
      </w:r>
      <w:proofErr w:type="gramEnd"/>
      <w:r w:rsidRPr="00797C38">
        <w:rPr>
          <w:sz w:val="20"/>
        </w:rPr>
        <w:t xml:space="preserve">. </w:t>
      </w:r>
      <w:proofErr w:type="gramStart"/>
      <w:r w:rsidRPr="00797C38">
        <w:rPr>
          <w:sz w:val="20"/>
        </w:rPr>
        <w:t>al</w:t>
      </w:r>
      <w:proofErr w:type="gramEnd"/>
      <w:r w:rsidRPr="00797C38">
        <w:rPr>
          <w:sz w:val="20"/>
        </w:rPr>
        <w:t>. op cit.</w:t>
      </w:r>
    </w:p>
  </w:footnote>
  <w:footnote w:id="25">
    <w:p w:rsidR="00EC11EB" w:rsidRPr="00797C38" w:rsidRDefault="00EC11EB" w:rsidP="001753E2">
      <w:pPr>
        <w:pStyle w:val="FootnoteText"/>
        <w:rPr>
          <w:sz w:val="20"/>
        </w:rPr>
      </w:pPr>
      <w:r w:rsidRPr="00797C38">
        <w:rPr>
          <w:rStyle w:val="FootnoteReference"/>
          <w:sz w:val="20"/>
        </w:rPr>
        <w:footnoteRef/>
      </w:r>
      <w:r w:rsidRPr="00797C38">
        <w:rPr>
          <w:sz w:val="20"/>
        </w:rPr>
        <w:t xml:space="preserve"> Braddock CH 3rd, Edwards KA, </w:t>
      </w:r>
      <w:proofErr w:type="spellStart"/>
      <w:r w:rsidRPr="00797C38">
        <w:rPr>
          <w:sz w:val="20"/>
        </w:rPr>
        <w:t>Hasenberg</w:t>
      </w:r>
      <w:proofErr w:type="spellEnd"/>
      <w:r w:rsidRPr="00797C38">
        <w:rPr>
          <w:sz w:val="20"/>
        </w:rPr>
        <w:t xml:space="preserve"> NM, </w:t>
      </w:r>
      <w:proofErr w:type="spellStart"/>
      <w:r w:rsidRPr="00797C38">
        <w:rPr>
          <w:sz w:val="20"/>
        </w:rPr>
        <w:t>Laidley</w:t>
      </w:r>
      <w:proofErr w:type="spellEnd"/>
      <w:r w:rsidRPr="00797C38">
        <w:rPr>
          <w:sz w:val="20"/>
        </w:rPr>
        <w:t xml:space="preserve"> TL, Levinson W. Informed decision making in outpatient practice: time to get back to basics. JAMA 1999</w:t>
      </w:r>
      <w:proofErr w:type="gramStart"/>
      <w:r w:rsidRPr="00797C38">
        <w:rPr>
          <w:sz w:val="20"/>
        </w:rPr>
        <w:t>;282:2313</w:t>
      </w:r>
      <w:proofErr w:type="gramEnd"/>
      <w:r w:rsidRPr="00797C38">
        <w:rPr>
          <w:sz w:val="20"/>
        </w:rPr>
        <w:t>–20.</w:t>
      </w:r>
    </w:p>
  </w:footnote>
  <w:footnote w:id="26">
    <w:p w:rsidR="00EC11EB" w:rsidRPr="00797C38" w:rsidRDefault="00EC11EB" w:rsidP="00FF140B">
      <w:pPr>
        <w:pStyle w:val="FootnoteText"/>
        <w:rPr>
          <w:sz w:val="20"/>
        </w:rPr>
      </w:pPr>
      <w:r w:rsidRPr="00797C38">
        <w:rPr>
          <w:rStyle w:val="FootnoteReference"/>
          <w:sz w:val="20"/>
        </w:rPr>
        <w:footnoteRef/>
      </w:r>
      <w:r w:rsidRPr="00797C38">
        <w:rPr>
          <w:sz w:val="20"/>
        </w:rPr>
        <w:t xml:space="preserve"> </w:t>
      </w:r>
      <w:proofErr w:type="spellStart"/>
      <w:proofErr w:type="gramStart"/>
      <w:r w:rsidRPr="00797C38">
        <w:rPr>
          <w:sz w:val="20"/>
        </w:rPr>
        <w:t>Deber</w:t>
      </w:r>
      <w:proofErr w:type="spellEnd"/>
      <w:r w:rsidRPr="00797C38">
        <w:rPr>
          <w:sz w:val="20"/>
        </w:rPr>
        <w:t xml:space="preserve"> RB, </w:t>
      </w:r>
      <w:proofErr w:type="spellStart"/>
      <w:r w:rsidRPr="00797C38">
        <w:rPr>
          <w:sz w:val="20"/>
        </w:rPr>
        <w:t>Kraetschmer</w:t>
      </w:r>
      <w:proofErr w:type="spellEnd"/>
      <w:r w:rsidRPr="00797C38">
        <w:rPr>
          <w:sz w:val="20"/>
        </w:rPr>
        <w:t xml:space="preserve"> N, Irvine J.</w:t>
      </w:r>
      <w:proofErr w:type="gramEnd"/>
      <w:r w:rsidRPr="00797C38">
        <w:rPr>
          <w:sz w:val="20"/>
        </w:rPr>
        <w:t xml:space="preserve"> What role do patients wish to play in treatment decision making? Arch Intern Med 1996</w:t>
      </w:r>
      <w:proofErr w:type="gramStart"/>
      <w:r w:rsidRPr="00797C38">
        <w:rPr>
          <w:sz w:val="20"/>
        </w:rPr>
        <w:t>;156:1414</w:t>
      </w:r>
      <w:proofErr w:type="gramEnd"/>
      <w:r w:rsidRPr="00797C38">
        <w:rPr>
          <w:sz w:val="20"/>
        </w:rPr>
        <w:t>–20.</w:t>
      </w:r>
    </w:p>
  </w:footnote>
  <w:footnote w:id="27">
    <w:p w:rsidR="00EC11EB" w:rsidRPr="00797C38" w:rsidRDefault="00EC11EB" w:rsidP="00FF140B">
      <w:pPr>
        <w:pStyle w:val="FootnoteText"/>
        <w:rPr>
          <w:sz w:val="20"/>
        </w:rPr>
      </w:pPr>
      <w:r w:rsidRPr="00797C38">
        <w:rPr>
          <w:rStyle w:val="FootnoteReference"/>
          <w:sz w:val="20"/>
        </w:rPr>
        <w:footnoteRef/>
      </w:r>
      <w:r w:rsidRPr="00797C38">
        <w:rPr>
          <w:sz w:val="20"/>
        </w:rPr>
        <w:t xml:space="preserve"> </w:t>
      </w:r>
      <w:proofErr w:type="spellStart"/>
      <w:proofErr w:type="gramStart"/>
      <w:r w:rsidRPr="00797C38">
        <w:rPr>
          <w:sz w:val="20"/>
        </w:rPr>
        <w:t>Deber</w:t>
      </w:r>
      <w:proofErr w:type="spellEnd"/>
      <w:r w:rsidRPr="00797C38">
        <w:rPr>
          <w:sz w:val="20"/>
        </w:rPr>
        <w:t xml:space="preserve"> RB.</w:t>
      </w:r>
      <w:proofErr w:type="gramEnd"/>
      <w:r w:rsidRPr="00797C38">
        <w:rPr>
          <w:sz w:val="20"/>
        </w:rPr>
        <w:t xml:space="preserve"> Physicians in health care management: 7. The patient–physician partnership: changing roles and the desire for information. </w:t>
      </w:r>
      <w:proofErr w:type="gramStart"/>
      <w:r w:rsidRPr="00797C38">
        <w:rPr>
          <w:sz w:val="20"/>
        </w:rPr>
        <w:t>CMAJ 1994; 151:171–6.</w:t>
      </w:r>
      <w:proofErr w:type="gramEnd"/>
    </w:p>
  </w:footnote>
  <w:footnote w:id="28">
    <w:p w:rsidR="00EC11EB" w:rsidRPr="00797C38" w:rsidRDefault="00EC11EB">
      <w:pPr>
        <w:pStyle w:val="FootnoteText"/>
        <w:rPr>
          <w:sz w:val="20"/>
        </w:rPr>
      </w:pPr>
      <w:r w:rsidRPr="00797C38">
        <w:rPr>
          <w:rStyle w:val="FootnoteReference"/>
          <w:sz w:val="20"/>
        </w:rPr>
        <w:footnoteRef/>
      </w:r>
      <w:r w:rsidRPr="00797C38">
        <w:rPr>
          <w:sz w:val="20"/>
        </w:rPr>
        <w:t xml:space="preserve"> </w:t>
      </w:r>
      <w:proofErr w:type="spellStart"/>
      <w:r w:rsidRPr="00797C38">
        <w:rPr>
          <w:sz w:val="20"/>
        </w:rPr>
        <w:t>Deber</w:t>
      </w:r>
      <w:proofErr w:type="spellEnd"/>
      <w:r w:rsidRPr="00797C38">
        <w:rPr>
          <w:sz w:val="20"/>
        </w:rPr>
        <w:t xml:space="preserve">, </w:t>
      </w:r>
      <w:proofErr w:type="gramStart"/>
      <w:r w:rsidRPr="00797C38">
        <w:rPr>
          <w:sz w:val="20"/>
        </w:rPr>
        <w:t>et</w:t>
      </w:r>
      <w:proofErr w:type="gramEnd"/>
      <w:r w:rsidRPr="00797C38">
        <w:rPr>
          <w:sz w:val="20"/>
        </w:rPr>
        <w:t xml:space="preserve">. al. 1996, op. cit </w:t>
      </w:r>
    </w:p>
  </w:footnote>
  <w:footnote w:id="29">
    <w:p w:rsidR="00EC11EB" w:rsidRDefault="00EC11EB" w:rsidP="009F09F6">
      <w:pPr>
        <w:pStyle w:val="FootnoteText"/>
      </w:pPr>
      <w:r w:rsidRPr="00797C38">
        <w:rPr>
          <w:rStyle w:val="FootnoteReference"/>
          <w:sz w:val="20"/>
        </w:rPr>
        <w:footnoteRef/>
      </w:r>
      <w:r w:rsidRPr="00797C38">
        <w:rPr>
          <w:sz w:val="20"/>
        </w:rPr>
        <w:t xml:space="preserve"> </w:t>
      </w:r>
      <w:proofErr w:type="spellStart"/>
      <w:r w:rsidRPr="00797C38">
        <w:rPr>
          <w:sz w:val="20"/>
        </w:rPr>
        <w:t>Blackhall</w:t>
      </w:r>
      <w:proofErr w:type="spellEnd"/>
      <w:r w:rsidRPr="00797C38">
        <w:rPr>
          <w:sz w:val="20"/>
        </w:rPr>
        <w:t xml:space="preserve"> LJ, Murphy ST, Frank G, Michel V, </w:t>
      </w:r>
      <w:proofErr w:type="spellStart"/>
      <w:r w:rsidRPr="00797C38">
        <w:rPr>
          <w:sz w:val="20"/>
        </w:rPr>
        <w:t>Azen</w:t>
      </w:r>
      <w:proofErr w:type="spellEnd"/>
      <w:r w:rsidRPr="00797C38">
        <w:rPr>
          <w:sz w:val="20"/>
        </w:rPr>
        <w:t xml:space="preserve"> S. Ethnicity and attitudes toward patient autonomy. JAMA 1995</w:t>
      </w:r>
      <w:proofErr w:type="gramStart"/>
      <w:r w:rsidRPr="00797C38">
        <w:rPr>
          <w:sz w:val="20"/>
        </w:rPr>
        <w:t>;274:820</w:t>
      </w:r>
      <w:proofErr w:type="gramEnd"/>
      <w:r w:rsidRPr="00797C38">
        <w:rPr>
          <w:sz w:val="20"/>
        </w:rPr>
        <w:t>–5.</w:t>
      </w:r>
    </w:p>
  </w:footnote>
  <w:footnote w:id="30">
    <w:p w:rsidR="00EC11EB" w:rsidRPr="00797C38" w:rsidRDefault="00EC11EB" w:rsidP="00727DD4">
      <w:pPr>
        <w:pStyle w:val="FootnoteText"/>
        <w:rPr>
          <w:sz w:val="20"/>
        </w:rPr>
      </w:pPr>
      <w:r w:rsidRPr="00797C38">
        <w:rPr>
          <w:rStyle w:val="FootnoteReference"/>
          <w:sz w:val="20"/>
        </w:rPr>
        <w:footnoteRef/>
      </w:r>
      <w:r w:rsidRPr="00797C38">
        <w:rPr>
          <w:sz w:val="20"/>
        </w:rPr>
        <w:t xml:space="preserve"> Chase GA, </w:t>
      </w:r>
      <w:proofErr w:type="spellStart"/>
      <w:r w:rsidRPr="00797C38">
        <w:rPr>
          <w:sz w:val="20"/>
        </w:rPr>
        <w:t>Faden</w:t>
      </w:r>
      <w:proofErr w:type="spellEnd"/>
      <w:r w:rsidRPr="00797C38">
        <w:rPr>
          <w:sz w:val="20"/>
        </w:rPr>
        <w:t xml:space="preserve"> RR, </w:t>
      </w:r>
      <w:proofErr w:type="spellStart"/>
      <w:r w:rsidRPr="00797C38">
        <w:rPr>
          <w:sz w:val="20"/>
        </w:rPr>
        <w:t>Holtzman</w:t>
      </w:r>
      <w:proofErr w:type="spellEnd"/>
      <w:r w:rsidRPr="00797C38">
        <w:rPr>
          <w:sz w:val="20"/>
        </w:rPr>
        <w:t xml:space="preserve"> NA, et al. Assessment of risk by pregnant women: implications for genetic counseling and education. Soc </w:t>
      </w:r>
      <w:proofErr w:type="spellStart"/>
      <w:r w:rsidRPr="00797C38">
        <w:rPr>
          <w:sz w:val="20"/>
        </w:rPr>
        <w:t>Biol</w:t>
      </w:r>
      <w:proofErr w:type="spellEnd"/>
      <w:r w:rsidRPr="00797C38">
        <w:rPr>
          <w:sz w:val="20"/>
        </w:rPr>
        <w:t xml:space="preserve"> 1986</w:t>
      </w:r>
      <w:proofErr w:type="gramStart"/>
      <w:r w:rsidRPr="00797C38">
        <w:rPr>
          <w:sz w:val="20"/>
        </w:rPr>
        <w:t>;33:57</w:t>
      </w:r>
      <w:proofErr w:type="gramEnd"/>
      <w:r w:rsidRPr="00797C38">
        <w:rPr>
          <w:sz w:val="20"/>
        </w:rPr>
        <w:t>–64.</w:t>
      </w:r>
    </w:p>
  </w:footnote>
  <w:footnote w:id="31">
    <w:p w:rsidR="00EC11EB" w:rsidRPr="00797C38" w:rsidRDefault="00EC11EB" w:rsidP="00727DD4">
      <w:pPr>
        <w:pStyle w:val="FootnoteText"/>
        <w:rPr>
          <w:sz w:val="20"/>
        </w:rPr>
      </w:pPr>
      <w:r w:rsidRPr="00797C38">
        <w:rPr>
          <w:rStyle w:val="FootnoteReference"/>
          <w:sz w:val="20"/>
        </w:rPr>
        <w:footnoteRef/>
      </w:r>
      <w:r w:rsidRPr="00797C38">
        <w:rPr>
          <w:sz w:val="20"/>
        </w:rPr>
        <w:t xml:space="preserve"> Feldman-Stewart D, </w:t>
      </w:r>
      <w:proofErr w:type="spellStart"/>
      <w:r w:rsidRPr="00797C38">
        <w:rPr>
          <w:sz w:val="20"/>
        </w:rPr>
        <w:t>Kocovski</w:t>
      </w:r>
      <w:proofErr w:type="spellEnd"/>
      <w:r w:rsidRPr="00797C38">
        <w:rPr>
          <w:sz w:val="20"/>
        </w:rPr>
        <w:t xml:space="preserve"> N, McConnell BA, </w:t>
      </w:r>
      <w:proofErr w:type="spellStart"/>
      <w:r w:rsidRPr="00797C38">
        <w:rPr>
          <w:sz w:val="20"/>
        </w:rPr>
        <w:t>Brundage</w:t>
      </w:r>
      <w:proofErr w:type="spellEnd"/>
      <w:r w:rsidRPr="00797C38">
        <w:rPr>
          <w:sz w:val="20"/>
        </w:rPr>
        <w:t xml:space="preserve"> MD, </w:t>
      </w:r>
      <w:proofErr w:type="spellStart"/>
      <w:r w:rsidRPr="00797C38">
        <w:rPr>
          <w:sz w:val="20"/>
        </w:rPr>
        <w:t>Mackillop</w:t>
      </w:r>
      <w:proofErr w:type="spellEnd"/>
      <w:r w:rsidRPr="00797C38">
        <w:rPr>
          <w:sz w:val="20"/>
        </w:rPr>
        <w:t xml:space="preserve"> WJ. </w:t>
      </w:r>
      <w:proofErr w:type="gramStart"/>
      <w:r w:rsidRPr="00797C38">
        <w:rPr>
          <w:sz w:val="20"/>
        </w:rPr>
        <w:t>Perception of quantitative information for treatment decisions.</w:t>
      </w:r>
      <w:proofErr w:type="gramEnd"/>
      <w:r w:rsidRPr="00797C38">
        <w:rPr>
          <w:sz w:val="20"/>
        </w:rPr>
        <w:t xml:space="preserve"> Med </w:t>
      </w:r>
      <w:proofErr w:type="spellStart"/>
      <w:r w:rsidRPr="00797C38">
        <w:rPr>
          <w:sz w:val="20"/>
        </w:rPr>
        <w:t>Decis</w:t>
      </w:r>
      <w:proofErr w:type="spellEnd"/>
      <w:r w:rsidRPr="00797C38">
        <w:rPr>
          <w:sz w:val="20"/>
        </w:rPr>
        <w:t xml:space="preserve"> Making 2000</w:t>
      </w:r>
      <w:proofErr w:type="gramStart"/>
      <w:r w:rsidRPr="00797C38">
        <w:rPr>
          <w:sz w:val="20"/>
        </w:rPr>
        <w:t>;20:228</w:t>
      </w:r>
      <w:proofErr w:type="gramEnd"/>
      <w:r w:rsidRPr="00797C38">
        <w:rPr>
          <w:sz w:val="20"/>
        </w:rPr>
        <w:t>–38.</w:t>
      </w:r>
    </w:p>
  </w:footnote>
  <w:footnote w:id="32">
    <w:p w:rsidR="00EC11EB" w:rsidRPr="00797C38" w:rsidRDefault="00EC11EB" w:rsidP="00727DD4">
      <w:pPr>
        <w:pStyle w:val="FootnoteText"/>
        <w:rPr>
          <w:sz w:val="20"/>
        </w:rPr>
      </w:pPr>
      <w:r w:rsidRPr="00797C38">
        <w:rPr>
          <w:rStyle w:val="FootnoteReference"/>
          <w:sz w:val="20"/>
        </w:rPr>
        <w:footnoteRef/>
      </w:r>
      <w:r w:rsidRPr="00797C38">
        <w:rPr>
          <w:sz w:val="20"/>
        </w:rPr>
        <w:t xml:space="preserve"> Kirsch I, </w:t>
      </w:r>
      <w:proofErr w:type="spellStart"/>
      <w:r w:rsidRPr="00797C38">
        <w:rPr>
          <w:sz w:val="20"/>
        </w:rPr>
        <w:t>Jungeblut</w:t>
      </w:r>
      <w:proofErr w:type="spellEnd"/>
      <w:r w:rsidRPr="00797C38">
        <w:rPr>
          <w:sz w:val="20"/>
        </w:rPr>
        <w:t xml:space="preserve"> A, Jenkins L, </w:t>
      </w:r>
      <w:proofErr w:type="spellStart"/>
      <w:r w:rsidRPr="00797C38">
        <w:rPr>
          <w:sz w:val="20"/>
        </w:rPr>
        <w:t>Kolstad</w:t>
      </w:r>
      <w:proofErr w:type="spellEnd"/>
      <w:r w:rsidRPr="00797C38">
        <w:rPr>
          <w:sz w:val="20"/>
        </w:rPr>
        <w:t xml:space="preserve"> A. Adult literacy in America: a first look at the findings of the National Adult Literacy Survey. Washington DC: National Center for Education Statistics, U.S. Department of Education, 1993.</w:t>
      </w:r>
    </w:p>
  </w:footnote>
  <w:footnote w:id="33">
    <w:p w:rsidR="00EC11EB" w:rsidRPr="00797C38" w:rsidRDefault="00EC11EB" w:rsidP="001753E2">
      <w:pPr>
        <w:pStyle w:val="FootnoteText"/>
        <w:rPr>
          <w:sz w:val="20"/>
        </w:rPr>
      </w:pPr>
      <w:r w:rsidRPr="00797C38">
        <w:rPr>
          <w:rStyle w:val="FootnoteReference"/>
          <w:sz w:val="20"/>
        </w:rPr>
        <w:footnoteRef/>
      </w:r>
      <w:r w:rsidRPr="00797C38">
        <w:rPr>
          <w:sz w:val="20"/>
        </w:rPr>
        <w:t xml:space="preserve"> Kaplan SH, Greenfield S, </w:t>
      </w:r>
      <w:proofErr w:type="spellStart"/>
      <w:r w:rsidRPr="00797C38">
        <w:rPr>
          <w:sz w:val="20"/>
        </w:rPr>
        <w:t>Gandek</w:t>
      </w:r>
      <w:proofErr w:type="spellEnd"/>
      <w:r w:rsidRPr="00797C38">
        <w:rPr>
          <w:sz w:val="20"/>
        </w:rPr>
        <w:t xml:space="preserve"> B, Rogers WH, Ware JE Jr. Characteristics</w:t>
      </w:r>
    </w:p>
    <w:p w:rsidR="00EC11EB" w:rsidRPr="00797C38" w:rsidRDefault="00EC11EB" w:rsidP="001753E2">
      <w:pPr>
        <w:pStyle w:val="FootnoteText"/>
        <w:rPr>
          <w:sz w:val="20"/>
        </w:rPr>
      </w:pPr>
      <w:proofErr w:type="gramStart"/>
      <w:r w:rsidRPr="00797C38">
        <w:rPr>
          <w:sz w:val="20"/>
        </w:rPr>
        <w:t>of</w:t>
      </w:r>
      <w:proofErr w:type="gramEnd"/>
      <w:r w:rsidRPr="00797C38">
        <w:rPr>
          <w:sz w:val="20"/>
        </w:rPr>
        <w:t xml:space="preserve"> physicians with participatory decision-making styles. Ann Intern Med 1996</w:t>
      </w:r>
      <w:proofErr w:type="gramStart"/>
      <w:r w:rsidRPr="00797C38">
        <w:rPr>
          <w:sz w:val="20"/>
        </w:rPr>
        <w:t>;124:497</w:t>
      </w:r>
      <w:proofErr w:type="gramEnd"/>
      <w:r w:rsidRPr="00797C38">
        <w:rPr>
          <w:sz w:val="20"/>
        </w:rPr>
        <w:t>–504.</w:t>
      </w:r>
    </w:p>
  </w:footnote>
  <w:footnote w:id="34">
    <w:p w:rsidR="00EC11EB" w:rsidRPr="00797C38" w:rsidRDefault="00EC11EB" w:rsidP="001753E2">
      <w:pPr>
        <w:pStyle w:val="FootnoteText"/>
        <w:rPr>
          <w:sz w:val="20"/>
        </w:rPr>
      </w:pPr>
      <w:r w:rsidRPr="00797C38">
        <w:rPr>
          <w:rStyle w:val="FootnoteReference"/>
          <w:sz w:val="20"/>
        </w:rPr>
        <w:footnoteRef/>
      </w:r>
      <w:r w:rsidRPr="00797C38">
        <w:rPr>
          <w:sz w:val="20"/>
        </w:rPr>
        <w:t xml:space="preserve"> </w:t>
      </w:r>
      <w:proofErr w:type="gramStart"/>
      <w:r w:rsidRPr="00797C38">
        <w:rPr>
          <w:sz w:val="20"/>
        </w:rPr>
        <w:t>Patel MR, Coffman JM, Tseng CW, Clark NM, Cabana MD.</w:t>
      </w:r>
      <w:proofErr w:type="gramEnd"/>
      <w:r w:rsidRPr="00797C38">
        <w:rPr>
          <w:sz w:val="20"/>
        </w:rPr>
        <w:t xml:space="preserve"> </w:t>
      </w:r>
      <w:proofErr w:type="gramStart"/>
      <w:r w:rsidRPr="00797C38">
        <w:rPr>
          <w:sz w:val="20"/>
        </w:rPr>
        <w:t>Physician communication regarding cost when prescribing asthma medication to children.</w:t>
      </w:r>
      <w:proofErr w:type="gramEnd"/>
      <w:r w:rsidRPr="00797C38">
        <w:rPr>
          <w:sz w:val="20"/>
        </w:rPr>
        <w:t xml:space="preserve"> </w:t>
      </w:r>
      <w:proofErr w:type="spellStart"/>
      <w:r w:rsidRPr="00797C38">
        <w:rPr>
          <w:sz w:val="20"/>
        </w:rPr>
        <w:t>Clin</w:t>
      </w:r>
      <w:proofErr w:type="spellEnd"/>
      <w:r w:rsidRPr="00797C38">
        <w:rPr>
          <w:sz w:val="20"/>
        </w:rPr>
        <w:t xml:space="preserve"> </w:t>
      </w:r>
      <w:proofErr w:type="spellStart"/>
      <w:r w:rsidRPr="00797C38">
        <w:rPr>
          <w:sz w:val="20"/>
        </w:rPr>
        <w:t>Pediatr</w:t>
      </w:r>
      <w:proofErr w:type="spellEnd"/>
      <w:r w:rsidRPr="00797C38">
        <w:rPr>
          <w:sz w:val="20"/>
        </w:rPr>
        <w:t xml:space="preserve"> (</w:t>
      </w:r>
      <w:proofErr w:type="spellStart"/>
      <w:r w:rsidRPr="00797C38">
        <w:rPr>
          <w:sz w:val="20"/>
        </w:rPr>
        <w:t>Phila</w:t>
      </w:r>
      <w:proofErr w:type="spellEnd"/>
      <w:r w:rsidRPr="00797C38">
        <w:rPr>
          <w:sz w:val="20"/>
        </w:rPr>
        <w:t>). 2009 Jun</w:t>
      </w:r>
      <w:proofErr w:type="gramStart"/>
      <w:r w:rsidRPr="00797C38">
        <w:rPr>
          <w:sz w:val="20"/>
        </w:rPr>
        <w:t>;48</w:t>
      </w:r>
      <w:proofErr w:type="gramEnd"/>
      <w:r w:rsidRPr="00797C38">
        <w:rPr>
          <w:sz w:val="20"/>
        </w:rPr>
        <w:t xml:space="preserve">(5):493-8. </w:t>
      </w:r>
      <w:proofErr w:type="spellStart"/>
      <w:r w:rsidRPr="00797C38">
        <w:rPr>
          <w:sz w:val="20"/>
        </w:rPr>
        <w:t>Epub</w:t>
      </w:r>
      <w:proofErr w:type="spellEnd"/>
      <w:r w:rsidRPr="00797C38">
        <w:rPr>
          <w:sz w:val="20"/>
        </w:rPr>
        <w:t xml:space="preserve"> 2009 Jan 21.</w:t>
      </w:r>
    </w:p>
  </w:footnote>
  <w:footnote w:id="35">
    <w:p w:rsidR="00EC11EB" w:rsidRDefault="00EC11EB">
      <w:pPr>
        <w:pStyle w:val="FootnoteText"/>
      </w:pPr>
      <w:r w:rsidRPr="00797C38">
        <w:rPr>
          <w:rStyle w:val="FootnoteReference"/>
          <w:sz w:val="20"/>
        </w:rPr>
        <w:footnoteRef/>
      </w:r>
      <w:r w:rsidRPr="00797C38">
        <w:rPr>
          <w:sz w:val="20"/>
        </w:rPr>
        <w:t xml:space="preserve"> Beard AJ, </w:t>
      </w:r>
      <w:proofErr w:type="spellStart"/>
      <w:r w:rsidRPr="00797C38">
        <w:rPr>
          <w:sz w:val="20"/>
        </w:rPr>
        <w:t>Sleath</w:t>
      </w:r>
      <w:proofErr w:type="spellEnd"/>
      <w:r w:rsidRPr="00797C38">
        <w:rPr>
          <w:sz w:val="20"/>
        </w:rPr>
        <w:t xml:space="preserve"> B, Blalock SJ, Roth M, Weinberger M, Tudor G, </w:t>
      </w:r>
      <w:proofErr w:type="spellStart"/>
      <w:proofErr w:type="gramStart"/>
      <w:r w:rsidRPr="00797C38">
        <w:rPr>
          <w:sz w:val="20"/>
        </w:rPr>
        <w:t>Chewning</w:t>
      </w:r>
      <w:proofErr w:type="spellEnd"/>
      <w:proofErr w:type="gramEnd"/>
      <w:r w:rsidRPr="00797C38">
        <w:rPr>
          <w:sz w:val="20"/>
        </w:rPr>
        <w:t xml:space="preserve"> B. Predictors of rheumatoid arthritis patient-physician communication about medication costs during visits to rheumatologists. </w:t>
      </w:r>
      <w:proofErr w:type="gramStart"/>
      <w:r w:rsidRPr="00797C38">
        <w:rPr>
          <w:sz w:val="20"/>
        </w:rPr>
        <w:t>Arthritis Care Res (Hoboken).</w:t>
      </w:r>
      <w:proofErr w:type="gramEnd"/>
      <w:r w:rsidRPr="00797C38">
        <w:rPr>
          <w:sz w:val="20"/>
        </w:rPr>
        <w:t xml:space="preserve"> 2010 May</w:t>
      </w:r>
      <w:proofErr w:type="gramStart"/>
      <w:r w:rsidRPr="00797C38">
        <w:rPr>
          <w:sz w:val="20"/>
        </w:rPr>
        <w:t>;62</w:t>
      </w:r>
      <w:proofErr w:type="gramEnd"/>
      <w:r w:rsidRPr="00797C38">
        <w:rPr>
          <w:sz w:val="20"/>
        </w:rPr>
        <w:t>(5):632-9.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696F"/>
    <w:multiLevelType w:val="hybridMultilevel"/>
    <w:tmpl w:val="D8B4E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367FE"/>
    <w:multiLevelType w:val="hybridMultilevel"/>
    <w:tmpl w:val="CAB63A88"/>
    <w:lvl w:ilvl="0" w:tplc="4A922A1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C79C0"/>
    <w:multiLevelType w:val="hybridMultilevel"/>
    <w:tmpl w:val="DABAA818"/>
    <w:lvl w:ilvl="0" w:tplc="0EB8EDB8">
      <w:start w:val="1"/>
      <w:numFmt w:val="upperLetter"/>
      <w:lvlText w:val="%1."/>
      <w:lvlJc w:val="left"/>
      <w:pPr>
        <w:ind w:left="8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64C79"/>
    <w:multiLevelType w:val="hybridMultilevel"/>
    <w:tmpl w:val="413E6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A22F8"/>
    <w:multiLevelType w:val="hybridMultilevel"/>
    <w:tmpl w:val="E0C2ED56"/>
    <w:lvl w:ilvl="0" w:tplc="98BCE214">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2399B"/>
    <w:multiLevelType w:val="hybridMultilevel"/>
    <w:tmpl w:val="3934E64C"/>
    <w:lvl w:ilvl="0" w:tplc="0EB8ED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003BE"/>
    <w:multiLevelType w:val="hybridMultilevel"/>
    <w:tmpl w:val="18BA1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E6ED2"/>
    <w:multiLevelType w:val="hybridMultilevel"/>
    <w:tmpl w:val="90A4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26FA0"/>
    <w:multiLevelType w:val="hybridMultilevel"/>
    <w:tmpl w:val="5AD047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7914A0"/>
    <w:multiLevelType w:val="hybridMultilevel"/>
    <w:tmpl w:val="3934E64C"/>
    <w:lvl w:ilvl="0" w:tplc="0EB8ED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270DA"/>
    <w:multiLevelType w:val="hybridMultilevel"/>
    <w:tmpl w:val="55647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7B00FA6"/>
    <w:multiLevelType w:val="hybridMultilevel"/>
    <w:tmpl w:val="D2408E6E"/>
    <w:lvl w:ilvl="0" w:tplc="98BCE2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36C2C"/>
    <w:multiLevelType w:val="hybridMultilevel"/>
    <w:tmpl w:val="DCAC45D8"/>
    <w:lvl w:ilvl="0" w:tplc="C6F663C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516EC"/>
    <w:multiLevelType w:val="hybridMultilevel"/>
    <w:tmpl w:val="DABAA818"/>
    <w:lvl w:ilvl="0" w:tplc="0EB8EDB8">
      <w:start w:val="1"/>
      <w:numFmt w:val="upperLetter"/>
      <w:lvlText w:val="%1."/>
      <w:lvlJc w:val="left"/>
      <w:pPr>
        <w:ind w:left="8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F62336"/>
    <w:multiLevelType w:val="hybridMultilevel"/>
    <w:tmpl w:val="E76A7D46"/>
    <w:lvl w:ilvl="0" w:tplc="0EB8ED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2"/>
  </w:num>
  <w:num w:numId="5">
    <w:abstractNumId w:val="1"/>
  </w:num>
  <w:num w:numId="6">
    <w:abstractNumId w:val="14"/>
  </w:num>
  <w:num w:numId="7">
    <w:abstractNumId w:val="0"/>
  </w:num>
  <w:num w:numId="8">
    <w:abstractNumId w:val="6"/>
  </w:num>
  <w:num w:numId="9">
    <w:abstractNumId w:val="11"/>
  </w:num>
  <w:num w:numId="10">
    <w:abstractNumId w:val="4"/>
  </w:num>
  <w:num w:numId="11">
    <w:abstractNumId w:val="9"/>
  </w:num>
  <w:num w:numId="12">
    <w:abstractNumId w:val="5"/>
  </w:num>
  <w:num w:numId="13">
    <w:abstractNumId w:val="13"/>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oNotTrackFormatting/>
  <w:defaultTabStop w:val="720"/>
  <w:characterSpacingControl w:val="doNotCompress"/>
  <w:footnotePr>
    <w:footnote w:id="-1"/>
    <w:footnote w:id="0"/>
  </w:footnotePr>
  <w:endnotePr>
    <w:endnote w:id="-1"/>
    <w:endnote w:id="0"/>
  </w:endnotePr>
  <w:compat/>
  <w:rsids>
    <w:rsidRoot w:val="00453BE4"/>
    <w:rsid w:val="00002C25"/>
    <w:rsid w:val="00015387"/>
    <w:rsid w:val="00023CD8"/>
    <w:rsid w:val="00031578"/>
    <w:rsid w:val="000349FF"/>
    <w:rsid w:val="000356A0"/>
    <w:rsid w:val="00035763"/>
    <w:rsid w:val="00036143"/>
    <w:rsid w:val="00043C3F"/>
    <w:rsid w:val="0004408D"/>
    <w:rsid w:val="00044C55"/>
    <w:rsid w:val="0005706A"/>
    <w:rsid w:val="00063295"/>
    <w:rsid w:val="000708BB"/>
    <w:rsid w:val="00073CDD"/>
    <w:rsid w:val="000804A7"/>
    <w:rsid w:val="00082537"/>
    <w:rsid w:val="00086A1D"/>
    <w:rsid w:val="00094A40"/>
    <w:rsid w:val="000958A9"/>
    <w:rsid w:val="000A7C8D"/>
    <w:rsid w:val="000B2167"/>
    <w:rsid w:val="000B48FD"/>
    <w:rsid w:val="000B79DD"/>
    <w:rsid w:val="000C18FE"/>
    <w:rsid w:val="000D684D"/>
    <w:rsid w:val="000E484A"/>
    <w:rsid w:val="000F18BC"/>
    <w:rsid w:val="000F3691"/>
    <w:rsid w:val="000F5F73"/>
    <w:rsid w:val="00101CE7"/>
    <w:rsid w:val="00103D67"/>
    <w:rsid w:val="00107AED"/>
    <w:rsid w:val="001141A5"/>
    <w:rsid w:val="001217E9"/>
    <w:rsid w:val="00130D94"/>
    <w:rsid w:val="0014116E"/>
    <w:rsid w:val="00145C50"/>
    <w:rsid w:val="00146EB3"/>
    <w:rsid w:val="00155C2F"/>
    <w:rsid w:val="0016033F"/>
    <w:rsid w:val="00160561"/>
    <w:rsid w:val="00167834"/>
    <w:rsid w:val="001700E1"/>
    <w:rsid w:val="00173F04"/>
    <w:rsid w:val="001753E2"/>
    <w:rsid w:val="00177C6B"/>
    <w:rsid w:val="00190817"/>
    <w:rsid w:val="001A2CCE"/>
    <w:rsid w:val="001B0CC8"/>
    <w:rsid w:val="001B2ECB"/>
    <w:rsid w:val="001B72C5"/>
    <w:rsid w:val="001C7D22"/>
    <w:rsid w:val="001D222C"/>
    <w:rsid w:val="001D4698"/>
    <w:rsid w:val="001E67A3"/>
    <w:rsid w:val="001E70FB"/>
    <w:rsid w:val="001F1415"/>
    <w:rsid w:val="001F7569"/>
    <w:rsid w:val="001F7EFF"/>
    <w:rsid w:val="00211E22"/>
    <w:rsid w:val="00223E5D"/>
    <w:rsid w:val="002245A8"/>
    <w:rsid w:val="00225DCC"/>
    <w:rsid w:val="00243166"/>
    <w:rsid w:val="00245E6F"/>
    <w:rsid w:val="0024619A"/>
    <w:rsid w:val="002540C9"/>
    <w:rsid w:val="00257F05"/>
    <w:rsid w:val="00270F68"/>
    <w:rsid w:val="00270F83"/>
    <w:rsid w:val="002730EB"/>
    <w:rsid w:val="00274FD5"/>
    <w:rsid w:val="00276BCF"/>
    <w:rsid w:val="002777D9"/>
    <w:rsid w:val="00280CBE"/>
    <w:rsid w:val="00281DD7"/>
    <w:rsid w:val="00284388"/>
    <w:rsid w:val="002A6F8D"/>
    <w:rsid w:val="002B59A4"/>
    <w:rsid w:val="002C1AA6"/>
    <w:rsid w:val="002C1AD4"/>
    <w:rsid w:val="002D06DF"/>
    <w:rsid w:val="002D1FDB"/>
    <w:rsid w:val="002D2D41"/>
    <w:rsid w:val="002D7A2A"/>
    <w:rsid w:val="002E37EC"/>
    <w:rsid w:val="002E631A"/>
    <w:rsid w:val="002F7C38"/>
    <w:rsid w:val="00301D71"/>
    <w:rsid w:val="00311161"/>
    <w:rsid w:val="00316B3C"/>
    <w:rsid w:val="003231D3"/>
    <w:rsid w:val="0034129A"/>
    <w:rsid w:val="003441D2"/>
    <w:rsid w:val="00355DA4"/>
    <w:rsid w:val="003574FB"/>
    <w:rsid w:val="0036102B"/>
    <w:rsid w:val="00365886"/>
    <w:rsid w:val="00377954"/>
    <w:rsid w:val="0038185E"/>
    <w:rsid w:val="00383C7B"/>
    <w:rsid w:val="0039414F"/>
    <w:rsid w:val="0039714C"/>
    <w:rsid w:val="003B3476"/>
    <w:rsid w:val="003B5CF3"/>
    <w:rsid w:val="003B6105"/>
    <w:rsid w:val="003C1561"/>
    <w:rsid w:val="003C6534"/>
    <w:rsid w:val="003D3DCA"/>
    <w:rsid w:val="003D6505"/>
    <w:rsid w:val="003D7615"/>
    <w:rsid w:val="003E207C"/>
    <w:rsid w:val="003E2C98"/>
    <w:rsid w:val="003F027F"/>
    <w:rsid w:val="003F1FD2"/>
    <w:rsid w:val="003F2D4E"/>
    <w:rsid w:val="0040457D"/>
    <w:rsid w:val="00405206"/>
    <w:rsid w:val="00405819"/>
    <w:rsid w:val="004278D8"/>
    <w:rsid w:val="004520D1"/>
    <w:rsid w:val="0045304F"/>
    <w:rsid w:val="004536FD"/>
    <w:rsid w:val="00453BE4"/>
    <w:rsid w:val="00457EB2"/>
    <w:rsid w:val="0046338B"/>
    <w:rsid w:val="00473578"/>
    <w:rsid w:val="00473640"/>
    <w:rsid w:val="004742CE"/>
    <w:rsid w:val="00474F9F"/>
    <w:rsid w:val="00481F33"/>
    <w:rsid w:val="004842E8"/>
    <w:rsid w:val="00496F88"/>
    <w:rsid w:val="0049735F"/>
    <w:rsid w:val="004A238C"/>
    <w:rsid w:val="004A6AB8"/>
    <w:rsid w:val="004A6DC7"/>
    <w:rsid w:val="004A6DD9"/>
    <w:rsid w:val="004B5DDD"/>
    <w:rsid w:val="004B6D89"/>
    <w:rsid w:val="004C2E40"/>
    <w:rsid w:val="004C5D9F"/>
    <w:rsid w:val="004C71E5"/>
    <w:rsid w:val="004D1CC9"/>
    <w:rsid w:val="004D7D10"/>
    <w:rsid w:val="004E66AC"/>
    <w:rsid w:val="004E7E42"/>
    <w:rsid w:val="004F0144"/>
    <w:rsid w:val="004F1F7B"/>
    <w:rsid w:val="004F38AC"/>
    <w:rsid w:val="005030AC"/>
    <w:rsid w:val="00504205"/>
    <w:rsid w:val="00524D3E"/>
    <w:rsid w:val="00524DDB"/>
    <w:rsid w:val="00525156"/>
    <w:rsid w:val="00525E7D"/>
    <w:rsid w:val="005306C8"/>
    <w:rsid w:val="00530961"/>
    <w:rsid w:val="005346E7"/>
    <w:rsid w:val="00543875"/>
    <w:rsid w:val="00555DD9"/>
    <w:rsid w:val="005575B6"/>
    <w:rsid w:val="00557A75"/>
    <w:rsid w:val="005715A8"/>
    <w:rsid w:val="0058122F"/>
    <w:rsid w:val="0058164E"/>
    <w:rsid w:val="005831DA"/>
    <w:rsid w:val="00583CED"/>
    <w:rsid w:val="0058596C"/>
    <w:rsid w:val="005875C4"/>
    <w:rsid w:val="005A5E43"/>
    <w:rsid w:val="005B2DE4"/>
    <w:rsid w:val="005B4DDD"/>
    <w:rsid w:val="005B7CA3"/>
    <w:rsid w:val="005C23AD"/>
    <w:rsid w:val="005C7726"/>
    <w:rsid w:val="005D50A5"/>
    <w:rsid w:val="005D64E6"/>
    <w:rsid w:val="005E6720"/>
    <w:rsid w:val="005F4B0D"/>
    <w:rsid w:val="0061059E"/>
    <w:rsid w:val="0061721A"/>
    <w:rsid w:val="00623F30"/>
    <w:rsid w:val="00631DFD"/>
    <w:rsid w:val="00633389"/>
    <w:rsid w:val="00641753"/>
    <w:rsid w:val="006457EA"/>
    <w:rsid w:val="00650B2E"/>
    <w:rsid w:val="006519AD"/>
    <w:rsid w:val="006575C6"/>
    <w:rsid w:val="00666F8E"/>
    <w:rsid w:val="00671075"/>
    <w:rsid w:val="00671C51"/>
    <w:rsid w:val="00681D26"/>
    <w:rsid w:val="006860D2"/>
    <w:rsid w:val="006966FB"/>
    <w:rsid w:val="006A0246"/>
    <w:rsid w:val="006A5BC3"/>
    <w:rsid w:val="006C1A51"/>
    <w:rsid w:val="006C3316"/>
    <w:rsid w:val="006C5C4B"/>
    <w:rsid w:val="006C6736"/>
    <w:rsid w:val="006C7904"/>
    <w:rsid w:val="006D2B92"/>
    <w:rsid w:val="006E3719"/>
    <w:rsid w:val="006E4090"/>
    <w:rsid w:val="006E7CC8"/>
    <w:rsid w:val="006F4436"/>
    <w:rsid w:val="00700368"/>
    <w:rsid w:val="00700B91"/>
    <w:rsid w:val="007047E7"/>
    <w:rsid w:val="00704DDC"/>
    <w:rsid w:val="007131E7"/>
    <w:rsid w:val="007218CE"/>
    <w:rsid w:val="00722CAB"/>
    <w:rsid w:val="00726226"/>
    <w:rsid w:val="00727DD4"/>
    <w:rsid w:val="00735E9A"/>
    <w:rsid w:val="00736BC5"/>
    <w:rsid w:val="00741AEF"/>
    <w:rsid w:val="00745B64"/>
    <w:rsid w:val="00764047"/>
    <w:rsid w:val="007674E4"/>
    <w:rsid w:val="00777E20"/>
    <w:rsid w:val="00787550"/>
    <w:rsid w:val="00792575"/>
    <w:rsid w:val="00797C38"/>
    <w:rsid w:val="007A1FC0"/>
    <w:rsid w:val="007A3C50"/>
    <w:rsid w:val="007A4D93"/>
    <w:rsid w:val="007B4979"/>
    <w:rsid w:val="007B566E"/>
    <w:rsid w:val="007C0B4C"/>
    <w:rsid w:val="007C2D69"/>
    <w:rsid w:val="007C3EE4"/>
    <w:rsid w:val="007C4843"/>
    <w:rsid w:val="007D163F"/>
    <w:rsid w:val="007D1D17"/>
    <w:rsid w:val="007D2B6A"/>
    <w:rsid w:val="007F04C3"/>
    <w:rsid w:val="007F0ED5"/>
    <w:rsid w:val="00800360"/>
    <w:rsid w:val="0080069F"/>
    <w:rsid w:val="00810455"/>
    <w:rsid w:val="00815AAF"/>
    <w:rsid w:val="00824330"/>
    <w:rsid w:val="00824350"/>
    <w:rsid w:val="00824D46"/>
    <w:rsid w:val="00825E0A"/>
    <w:rsid w:val="0082645B"/>
    <w:rsid w:val="0083213B"/>
    <w:rsid w:val="00840A56"/>
    <w:rsid w:val="00842565"/>
    <w:rsid w:val="00844E97"/>
    <w:rsid w:val="00851ADA"/>
    <w:rsid w:val="0085439C"/>
    <w:rsid w:val="008623EC"/>
    <w:rsid w:val="008662A3"/>
    <w:rsid w:val="008663E5"/>
    <w:rsid w:val="00866E55"/>
    <w:rsid w:val="00870A31"/>
    <w:rsid w:val="0087218F"/>
    <w:rsid w:val="008829C0"/>
    <w:rsid w:val="008864D1"/>
    <w:rsid w:val="008B098A"/>
    <w:rsid w:val="008B5723"/>
    <w:rsid w:val="008C7FBB"/>
    <w:rsid w:val="008D0767"/>
    <w:rsid w:val="008D0E3A"/>
    <w:rsid w:val="008D584E"/>
    <w:rsid w:val="008E6AB5"/>
    <w:rsid w:val="008F6413"/>
    <w:rsid w:val="008F7420"/>
    <w:rsid w:val="00904E59"/>
    <w:rsid w:val="009102FE"/>
    <w:rsid w:val="0091657D"/>
    <w:rsid w:val="00921085"/>
    <w:rsid w:val="0092657A"/>
    <w:rsid w:val="00935A07"/>
    <w:rsid w:val="0093633A"/>
    <w:rsid w:val="00937E29"/>
    <w:rsid w:val="0094759C"/>
    <w:rsid w:val="00952123"/>
    <w:rsid w:val="00957E26"/>
    <w:rsid w:val="00961391"/>
    <w:rsid w:val="009623F2"/>
    <w:rsid w:val="00963124"/>
    <w:rsid w:val="0097594D"/>
    <w:rsid w:val="009909F3"/>
    <w:rsid w:val="009A10B5"/>
    <w:rsid w:val="009A55E7"/>
    <w:rsid w:val="009C09CE"/>
    <w:rsid w:val="009C4A53"/>
    <w:rsid w:val="009D2459"/>
    <w:rsid w:val="009D245D"/>
    <w:rsid w:val="009D2759"/>
    <w:rsid w:val="009F09F6"/>
    <w:rsid w:val="009F5B0C"/>
    <w:rsid w:val="00A06D0A"/>
    <w:rsid w:val="00A07757"/>
    <w:rsid w:val="00A14367"/>
    <w:rsid w:val="00A14A2B"/>
    <w:rsid w:val="00A15132"/>
    <w:rsid w:val="00A20D6E"/>
    <w:rsid w:val="00A26158"/>
    <w:rsid w:val="00A30DD1"/>
    <w:rsid w:val="00A31657"/>
    <w:rsid w:val="00A33F0D"/>
    <w:rsid w:val="00A42947"/>
    <w:rsid w:val="00A452EB"/>
    <w:rsid w:val="00A543EE"/>
    <w:rsid w:val="00A61868"/>
    <w:rsid w:val="00A6264D"/>
    <w:rsid w:val="00A6600F"/>
    <w:rsid w:val="00A75521"/>
    <w:rsid w:val="00A773F6"/>
    <w:rsid w:val="00A90136"/>
    <w:rsid w:val="00A90154"/>
    <w:rsid w:val="00A96628"/>
    <w:rsid w:val="00A969DC"/>
    <w:rsid w:val="00AA1CF2"/>
    <w:rsid w:val="00AA1DEC"/>
    <w:rsid w:val="00AA5D20"/>
    <w:rsid w:val="00AA6EBC"/>
    <w:rsid w:val="00AB3811"/>
    <w:rsid w:val="00AB44E6"/>
    <w:rsid w:val="00AB5F36"/>
    <w:rsid w:val="00AC1AE4"/>
    <w:rsid w:val="00AC515F"/>
    <w:rsid w:val="00AD0CE9"/>
    <w:rsid w:val="00AD3C46"/>
    <w:rsid w:val="00AD4700"/>
    <w:rsid w:val="00AD6235"/>
    <w:rsid w:val="00AE66C8"/>
    <w:rsid w:val="00AE687F"/>
    <w:rsid w:val="00AE758A"/>
    <w:rsid w:val="00AF4D2D"/>
    <w:rsid w:val="00AF533B"/>
    <w:rsid w:val="00B0090E"/>
    <w:rsid w:val="00B06832"/>
    <w:rsid w:val="00B11436"/>
    <w:rsid w:val="00B17FBB"/>
    <w:rsid w:val="00B20101"/>
    <w:rsid w:val="00B21D38"/>
    <w:rsid w:val="00B23AE4"/>
    <w:rsid w:val="00B255CB"/>
    <w:rsid w:val="00B32A28"/>
    <w:rsid w:val="00B4374A"/>
    <w:rsid w:val="00B51643"/>
    <w:rsid w:val="00B53982"/>
    <w:rsid w:val="00B54DA5"/>
    <w:rsid w:val="00B55E7A"/>
    <w:rsid w:val="00B71E35"/>
    <w:rsid w:val="00B80232"/>
    <w:rsid w:val="00B80CAB"/>
    <w:rsid w:val="00B85315"/>
    <w:rsid w:val="00B91437"/>
    <w:rsid w:val="00BA047E"/>
    <w:rsid w:val="00BA0A02"/>
    <w:rsid w:val="00BA47A9"/>
    <w:rsid w:val="00BB1C01"/>
    <w:rsid w:val="00BB396B"/>
    <w:rsid w:val="00BC23CF"/>
    <w:rsid w:val="00BC2AE2"/>
    <w:rsid w:val="00BC4EC9"/>
    <w:rsid w:val="00BD4E9C"/>
    <w:rsid w:val="00BE02F9"/>
    <w:rsid w:val="00BE713F"/>
    <w:rsid w:val="00BF6111"/>
    <w:rsid w:val="00C00742"/>
    <w:rsid w:val="00C03CF0"/>
    <w:rsid w:val="00C12418"/>
    <w:rsid w:val="00C20EF3"/>
    <w:rsid w:val="00C277B7"/>
    <w:rsid w:val="00C32F8F"/>
    <w:rsid w:val="00C42C7E"/>
    <w:rsid w:val="00C47088"/>
    <w:rsid w:val="00C500DF"/>
    <w:rsid w:val="00C52539"/>
    <w:rsid w:val="00C53C31"/>
    <w:rsid w:val="00C77810"/>
    <w:rsid w:val="00C83B16"/>
    <w:rsid w:val="00C83CFF"/>
    <w:rsid w:val="00C84834"/>
    <w:rsid w:val="00C91FB9"/>
    <w:rsid w:val="00C94465"/>
    <w:rsid w:val="00CA6029"/>
    <w:rsid w:val="00CB2604"/>
    <w:rsid w:val="00CC02DA"/>
    <w:rsid w:val="00CC0EDA"/>
    <w:rsid w:val="00CC3395"/>
    <w:rsid w:val="00CC54BD"/>
    <w:rsid w:val="00CD0811"/>
    <w:rsid w:val="00CD0FAD"/>
    <w:rsid w:val="00CD1763"/>
    <w:rsid w:val="00CD17EC"/>
    <w:rsid w:val="00CD766C"/>
    <w:rsid w:val="00CE2BF9"/>
    <w:rsid w:val="00CE4A64"/>
    <w:rsid w:val="00CE6204"/>
    <w:rsid w:val="00CE64BD"/>
    <w:rsid w:val="00CE789E"/>
    <w:rsid w:val="00D0351C"/>
    <w:rsid w:val="00D128E3"/>
    <w:rsid w:val="00D14B19"/>
    <w:rsid w:val="00D15CB6"/>
    <w:rsid w:val="00D314FF"/>
    <w:rsid w:val="00D32013"/>
    <w:rsid w:val="00D416E1"/>
    <w:rsid w:val="00D42666"/>
    <w:rsid w:val="00D427D1"/>
    <w:rsid w:val="00D440BF"/>
    <w:rsid w:val="00D47B5F"/>
    <w:rsid w:val="00D52166"/>
    <w:rsid w:val="00D54FB6"/>
    <w:rsid w:val="00D63F86"/>
    <w:rsid w:val="00D72DA9"/>
    <w:rsid w:val="00D73649"/>
    <w:rsid w:val="00D737AA"/>
    <w:rsid w:val="00D73BFA"/>
    <w:rsid w:val="00D755DA"/>
    <w:rsid w:val="00D84CE9"/>
    <w:rsid w:val="00D84CF0"/>
    <w:rsid w:val="00D97812"/>
    <w:rsid w:val="00DA29DB"/>
    <w:rsid w:val="00DA5EE4"/>
    <w:rsid w:val="00DC506A"/>
    <w:rsid w:val="00DD19E7"/>
    <w:rsid w:val="00DE2225"/>
    <w:rsid w:val="00DE4415"/>
    <w:rsid w:val="00DE5CE3"/>
    <w:rsid w:val="00DE6C50"/>
    <w:rsid w:val="00DE7B27"/>
    <w:rsid w:val="00DE7C56"/>
    <w:rsid w:val="00DF0A05"/>
    <w:rsid w:val="00DF20E8"/>
    <w:rsid w:val="00DF2DE6"/>
    <w:rsid w:val="00DF2F8B"/>
    <w:rsid w:val="00DF40DD"/>
    <w:rsid w:val="00DF70BB"/>
    <w:rsid w:val="00E069B7"/>
    <w:rsid w:val="00E17D4F"/>
    <w:rsid w:val="00E21140"/>
    <w:rsid w:val="00E2584C"/>
    <w:rsid w:val="00E41C27"/>
    <w:rsid w:val="00E57C47"/>
    <w:rsid w:val="00E8060F"/>
    <w:rsid w:val="00E87558"/>
    <w:rsid w:val="00E9283F"/>
    <w:rsid w:val="00EA06E2"/>
    <w:rsid w:val="00EA3E4B"/>
    <w:rsid w:val="00EA4D36"/>
    <w:rsid w:val="00EC11EB"/>
    <w:rsid w:val="00EC16E6"/>
    <w:rsid w:val="00ED1682"/>
    <w:rsid w:val="00ED2304"/>
    <w:rsid w:val="00ED7283"/>
    <w:rsid w:val="00EE0DF5"/>
    <w:rsid w:val="00EE1156"/>
    <w:rsid w:val="00EE54C1"/>
    <w:rsid w:val="00EF775A"/>
    <w:rsid w:val="00F2210C"/>
    <w:rsid w:val="00F22E0F"/>
    <w:rsid w:val="00F34971"/>
    <w:rsid w:val="00F41A22"/>
    <w:rsid w:val="00F4239F"/>
    <w:rsid w:val="00F44DC8"/>
    <w:rsid w:val="00F4566F"/>
    <w:rsid w:val="00F46A89"/>
    <w:rsid w:val="00F471A7"/>
    <w:rsid w:val="00F6204F"/>
    <w:rsid w:val="00F73D8E"/>
    <w:rsid w:val="00F77B66"/>
    <w:rsid w:val="00F8072E"/>
    <w:rsid w:val="00F82D57"/>
    <w:rsid w:val="00F93E50"/>
    <w:rsid w:val="00FA645E"/>
    <w:rsid w:val="00FA7754"/>
    <w:rsid w:val="00FB471B"/>
    <w:rsid w:val="00FB49E3"/>
    <w:rsid w:val="00FB640C"/>
    <w:rsid w:val="00FC2233"/>
    <w:rsid w:val="00FC49C6"/>
    <w:rsid w:val="00FC589B"/>
    <w:rsid w:val="00FC5900"/>
    <w:rsid w:val="00FD688C"/>
    <w:rsid w:val="00FE7082"/>
    <w:rsid w:val="00FE7DA6"/>
    <w:rsid w:val="00FF140B"/>
    <w:rsid w:val="00FF31D0"/>
    <w:rsid w:val="00FF496B"/>
    <w:rsid w:val="00FF6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C4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4E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09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4EC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C4EC9"/>
    <w:rPr>
      <w:color w:val="0000FF"/>
      <w:u w:val="single"/>
    </w:rPr>
  </w:style>
  <w:style w:type="paragraph" w:styleId="TOC1">
    <w:name w:val="toc 1"/>
    <w:basedOn w:val="Normal"/>
    <w:next w:val="Normal"/>
    <w:autoRedefine/>
    <w:uiPriority w:val="39"/>
    <w:unhideWhenUsed/>
    <w:rsid w:val="00BC4EC9"/>
    <w:pPr>
      <w:spacing w:after="100"/>
    </w:pPr>
  </w:style>
  <w:style w:type="paragraph" w:styleId="TOC2">
    <w:name w:val="toc 2"/>
    <w:basedOn w:val="Normal"/>
    <w:next w:val="Normal"/>
    <w:autoRedefine/>
    <w:uiPriority w:val="39"/>
    <w:unhideWhenUsed/>
    <w:rsid w:val="00BC4EC9"/>
    <w:pPr>
      <w:spacing w:after="100"/>
      <w:ind w:left="200"/>
    </w:pPr>
  </w:style>
  <w:style w:type="paragraph" w:styleId="FootnoteText">
    <w:name w:val="footnote text"/>
    <w:basedOn w:val="Normal"/>
    <w:link w:val="FootnoteTextChar"/>
    <w:unhideWhenUsed/>
    <w:rsid w:val="00BC4EC9"/>
  </w:style>
  <w:style w:type="character" w:customStyle="1" w:styleId="FootnoteTextChar">
    <w:name w:val="Footnote Text Char"/>
    <w:basedOn w:val="DefaultParagraphFont"/>
    <w:link w:val="FootnoteText"/>
    <w:rsid w:val="00BC4EC9"/>
    <w:rPr>
      <w:rFonts w:ascii="Times New Roman" w:eastAsia="Times New Roman" w:hAnsi="Times New Roman" w:cs="Times New Roman"/>
      <w:sz w:val="20"/>
      <w:szCs w:val="20"/>
    </w:rPr>
  </w:style>
  <w:style w:type="paragraph" w:styleId="ListParagraph">
    <w:name w:val="List Paragraph"/>
    <w:basedOn w:val="Normal"/>
    <w:uiPriority w:val="34"/>
    <w:qFormat/>
    <w:rsid w:val="00BC4EC9"/>
    <w:pPr>
      <w:ind w:left="720"/>
      <w:contextualSpacing/>
    </w:pPr>
  </w:style>
  <w:style w:type="paragraph" w:styleId="TOCHeading">
    <w:name w:val="TOC Heading"/>
    <w:basedOn w:val="Heading1"/>
    <w:next w:val="Normal"/>
    <w:uiPriority w:val="39"/>
    <w:semiHidden/>
    <w:unhideWhenUsed/>
    <w:qFormat/>
    <w:rsid w:val="00BC4EC9"/>
    <w:pPr>
      <w:spacing w:line="276" w:lineRule="auto"/>
      <w:outlineLvl w:val="9"/>
    </w:pPr>
  </w:style>
  <w:style w:type="paragraph" w:customStyle="1" w:styleId="TT-TableTitle">
    <w:name w:val="TT-Table Title"/>
    <w:rsid w:val="00BC4EC9"/>
    <w:pPr>
      <w:tabs>
        <w:tab w:val="left" w:pos="1152"/>
      </w:tabs>
      <w:spacing w:after="0" w:line="240" w:lineRule="atLeast"/>
      <w:ind w:left="1152" w:hanging="1152"/>
    </w:pPr>
    <w:rPr>
      <w:rFonts w:ascii="Times New Roman" w:eastAsia="Times New Roman" w:hAnsi="Times New Roman" w:cs="Times New Roman"/>
      <w:szCs w:val="20"/>
    </w:rPr>
  </w:style>
  <w:style w:type="character" w:styleId="FootnoteReference">
    <w:name w:val="footnote reference"/>
    <w:basedOn w:val="DefaultParagraphFont"/>
    <w:semiHidden/>
    <w:unhideWhenUsed/>
    <w:rsid w:val="00BC4EC9"/>
    <w:rPr>
      <w:vertAlign w:val="superscript"/>
    </w:rPr>
  </w:style>
  <w:style w:type="paragraph" w:styleId="BalloonText">
    <w:name w:val="Balloon Text"/>
    <w:basedOn w:val="Normal"/>
    <w:link w:val="BalloonTextChar"/>
    <w:uiPriority w:val="99"/>
    <w:semiHidden/>
    <w:unhideWhenUsed/>
    <w:rsid w:val="008B098A"/>
    <w:rPr>
      <w:rFonts w:ascii="Tahoma" w:hAnsi="Tahoma" w:cs="Tahoma"/>
      <w:sz w:val="16"/>
      <w:szCs w:val="16"/>
    </w:rPr>
  </w:style>
  <w:style w:type="character" w:customStyle="1" w:styleId="BalloonTextChar">
    <w:name w:val="Balloon Text Char"/>
    <w:basedOn w:val="DefaultParagraphFont"/>
    <w:link w:val="BalloonText"/>
    <w:uiPriority w:val="99"/>
    <w:semiHidden/>
    <w:rsid w:val="008B098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B098A"/>
    <w:rPr>
      <w:color w:val="800080" w:themeColor="followedHyperlink"/>
      <w:u w:val="single"/>
    </w:rPr>
  </w:style>
  <w:style w:type="character" w:customStyle="1" w:styleId="Heading3Char">
    <w:name w:val="Heading 3 Char"/>
    <w:basedOn w:val="DefaultParagraphFont"/>
    <w:link w:val="Heading3"/>
    <w:uiPriority w:val="9"/>
    <w:rsid w:val="008B098A"/>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7047E7"/>
    <w:pPr>
      <w:spacing w:before="100" w:beforeAutospacing="1" w:after="100" w:afterAutospacing="1"/>
    </w:pPr>
    <w:rPr>
      <w:szCs w:val="24"/>
    </w:rPr>
  </w:style>
  <w:style w:type="paragraph" w:styleId="Header">
    <w:name w:val="header"/>
    <w:basedOn w:val="Normal"/>
    <w:link w:val="HeaderChar"/>
    <w:uiPriority w:val="99"/>
    <w:unhideWhenUsed/>
    <w:rsid w:val="00270F68"/>
    <w:pPr>
      <w:tabs>
        <w:tab w:val="center" w:pos="4680"/>
        <w:tab w:val="right" w:pos="9360"/>
      </w:tabs>
    </w:pPr>
  </w:style>
  <w:style w:type="character" w:customStyle="1" w:styleId="HeaderChar">
    <w:name w:val="Header Char"/>
    <w:basedOn w:val="DefaultParagraphFont"/>
    <w:link w:val="Header"/>
    <w:uiPriority w:val="99"/>
    <w:rsid w:val="00270F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0F68"/>
    <w:pPr>
      <w:tabs>
        <w:tab w:val="center" w:pos="4680"/>
        <w:tab w:val="right" w:pos="9360"/>
      </w:tabs>
    </w:pPr>
  </w:style>
  <w:style w:type="character" w:customStyle="1" w:styleId="FooterChar">
    <w:name w:val="Footer Char"/>
    <w:basedOn w:val="DefaultParagraphFont"/>
    <w:link w:val="Footer"/>
    <w:uiPriority w:val="99"/>
    <w:rsid w:val="00270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42947"/>
    <w:rPr>
      <w:sz w:val="16"/>
      <w:szCs w:val="16"/>
    </w:rPr>
  </w:style>
  <w:style w:type="paragraph" w:styleId="CommentText">
    <w:name w:val="annotation text"/>
    <w:basedOn w:val="Normal"/>
    <w:link w:val="CommentTextChar"/>
    <w:uiPriority w:val="99"/>
    <w:semiHidden/>
    <w:unhideWhenUsed/>
    <w:rsid w:val="00A42947"/>
  </w:style>
  <w:style w:type="character" w:customStyle="1" w:styleId="CommentTextChar">
    <w:name w:val="Comment Text Char"/>
    <w:basedOn w:val="DefaultParagraphFont"/>
    <w:link w:val="CommentText"/>
    <w:uiPriority w:val="99"/>
    <w:semiHidden/>
    <w:rsid w:val="00A429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947"/>
    <w:rPr>
      <w:b/>
      <w:bCs/>
    </w:rPr>
  </w:style>
  <w:style w:type="character" w:customStyle="1" w:styleId="CommentSubjectChar">
    <w:name w:val="Comment Subject Char"/>
    <w:basedOn w:val="CommentTextChar"/>
    <w:link w:val="CommentSubject"/>
    <w:uiPriority w:val="99"/>
    <w:semiHidden/>
    <w:rsid w:val="00A42947"/>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90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C4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4E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09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4EC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C4EC9"/>
    <w:rPr>
      <w:color w:val="0000FF"/>
      <w:u w:val="single"/>
    </w:rPr>
  </w:style>
  <w:style w:type="paragraph" w:styleId="TOC1">
    <w:name w:val="toc 1"/>
    <w:basedOn w:val="Normal"/>
    <w:next w:val="Normal"/>
    <w:autoRedefine/>
    <w:uiPriority w:val="39"/>
    <w:unhideWhenUsed/>
    <w:rsid w:val="00BC4EC9"/>
    <w:pPr>
      <w:spacing w:after="100"/>
    </w:pPr>
  </w:style>
  <w:style w:type="paragraph" w:styleId="TOC2">
    <w:name w:val="toc 2"/>
    <w:basedOn w:val="Normal"/>
    <w:next w:val="Normal"/>
    <w:autoRedefine/>
    <w:uiPriority w:val="39"/>
    <w:unhideWhenUsed/>
    <w:rsid w:val="00BC4EC9"/>
    <w:pPr>
      <w:spacing w:after="100"/>
      <w:ind w:left="200"/>
    </w:pPr>
  </w:style>
  <w:style w:type="paragraph" w:styleId="FootnoteText">
    <w:name w:val="footnote text"/>
    <w:basedOn w:val="Normal"/>
    <w:link w:val="FootnoteTextChar"/>
    <w:unhideWhenUsed/>
    <w:rsid w:val="00BC4EC9"/>
  </w:style>
  <w:style w:type="character" w:customStyle="1" w:styleId="FootnoteTextChar">
    <w:name w:val="Footnote Text Char"/>
    <w:basedOn w:val="DefaultParagraphFont"/>
    <w:link w:val="FootnoteText"/>
    <w:rsid w:val="00BC4EC9"/>
    <w:rPr>
      <w:rFonts w:ascii="Times New Roman" w:eastAsia="Times New Roman" w:hAnsi="Times New Roman" w:cs="Times New Roman"/>
      <w:sz w:val="20"/>
      <w:szCs w:val="20"/>
    </w:rPr>
  </w:style>
  <w:style w:type="paragraph" w:styleId="ListParagraph">
    <w:name w:val="List Paragraph"/>
    <w:basedOn w:val="Normal"/>
    <w:uiPriority w:val="34"/>
    <w:qFormat/>
    <w:rsid w:val="00BC4EC9"/>
    <w:pPr>
      <w:ind w:left="720"/>
      <w:contextualSpacing/>
    </w:pPr>
  </w:style>
  <w:style w:type="paragraph" w:styleId="TOCHeading">
    <w:name w:val="TOC Heading"/>
    <w:basedOn w:val="Heading1"/>
    <w:next w:val="Normal"/>
    <w:uiPriority w:val="39"/>
    <w:semiHidden/>
    <w:unhideWhenUsed/>
    <w:qFormat/>
    <w:rsid w:val="00BC4EC9"/>
    <w:pPr>
      <w:spacing w:line="276" w:lineRule="auto"/>
      <w:outlineLvl w:val="9"/>
    </w:pPr>
  </w:style>
  <w:style w:type="paragraph" w:customStyle="1" w:styleId="TT-TableTitle">
    <w:name w:val="TT-Table Title"/>
    <w:rsid w:val="00BC4EC9"/>
    <w:pPr>
      <w:tabs>
        <w:tab w:val="left" w:pos="1152"/>
      </w:tabs>
      <w:spacing w:after="0" w:line="240" w:lineRule="atLeast"/>
      <w:ind w:left="1152" w:hanging="1152"/>
    </w:pPr>
    <w:rPr>
      <w:rFonts w:ascii="Times New Roman" w:eastAsia="Times New Roman" w:hAnsi="Times New Roman" w:cs="Times New Roman"/>
      <w:szCs w:val="20"/>
    </w:rPr>
  </w:style>
  <w:style w:type="character" w:styleId="FootnoteReference">
    <w:name w:val="footnote reference"/>
    <w:basedOn w:val="DefaultParagraphFont"/>
    <w:semiHidden/>
    <w:unhideWhenUsed/>
    <w:rsid w:val="00BC4EC9"/>
    <w:rPr>
      <w:vertAlign w:val="superscript"/>
    </w:rPr>
  </w:style>
  <w:style w:type="paragraph" w:styleId="BalloonText">
    <w:name w:val="Balloon Text"/>
    <w:basedOn w:val="Normal"/>
    <w:link w:val="BalloonTextChar"/>
    <w:uiPriority w:val="99"/>
    <w:semiHidden/>
    <w:unhideWhenUsed/>
    <w:rsid w:val="008B098A"/>
    <w:rPr>
      <w:rFonts w:ascii="Tahoma" w:hAnsi="Tahoma" w:cs="Tahoma"/>
      <w:sz w:val="16"/>
      <w:szCs w:val="16"/>
    </w:rPr>
  </w:style>
  <w:style w:type="character" w:customStyle="1" w:styleId="BalloonTextChar">
    <w:name w:val="Balloon Text Char"/>
    <w:basedOn w:val="DefaultParagraphFont"/>
    <w:link w:val="BalloonText"/>
    <w:uiPriority w:val="99"/>
    <w:semiHidden/>
    <w:rsid w:val="008B098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B098A"/>
    <w:rPr>
      <w:color w:val="800080" w:themeColor="followedHyperlink"/>
      <w:u w:val="single"/>
    </w:rPr>
  </w:style>
  <w:style w:type="character" w:customStyle="1" w:styleId="Heading3Char">
    <w:name w:val="Heading 3 Char"/>
    <w:basedOn w:val="DefaultParagraphFont"/>
    <w:link w:val="Heading3"/>
    <w:uiPriority w:val="9"/>
    <w:rsid w:val="008B098A"/>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7047E7"/>
    <w:pPr>
      <w:spacing w:before="100" w:beforeAutospacing="1" w:after="100" w:afterAutospacing="1"/>
    </w:pPr>
    <w:rPr>
      <w:szCs w:val="24"/>
    </w:rPr>
  </w:style>
  <w:style w:type="paragraph" w:styleId="Header">
    <w:name w:val="header"/>
    <w:basedOn w:val="Normal"/>
    <w:link w:val="HeaderChar"/>
    <w:uiPriority w:val="99"/>
    <w:unhideWhenUsed/>
    <w:rsid w:val="00270F68"/>
    <w:pPr>
      <w:tabs>
        <w:tab w:val="center" w:pos="4680"/>
        <w:tab w:val="right" w:pos="9360"/>
      </w:tabs>
    </w:pPr>
  </w:style>
  <w:style w:type="character" w:customStyle="1" w:styleId="HeaderChar">
    <w:name w:val="Header Char"/>
    <w:basedOn w:val="DefaultParagraphFont"/>
    <w:link w:val="Header"/>
    <w:uiPriority w:val="99"/>
    <w:rsid w:val="00270F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0F68"/>
    <w:pPr>
      <w:tabs>
        <w:tab w:val="center" w:pos="4680"/>
        <w:tab w:val="right" w:pos="9360"/>
      </w:tabs>
    </w:pPr>
  </w:style>
  <w:style w:type="character" w:customStyle="1" w:styleId="FooterChar">
    <w:name w:val="Footer Char"/>
    <w:basedOn w:val="DefaultParagraphFont"/>
    <w:link w:val="Footer"/>
    <w:uiPriority w:val="99"/>
    <w:rsid w:val="00270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42947"/>
    <w:rPr>
      <w:sz w:val="16"/>
      <w:szCs w:val="16"/>
    </w:rPr>
  </w:style>
  <w:style w:type="paragraph" w:styleId="CommentText">
    <w:name w:val="annotation text"/>
    <w:basedOn w:val="Normal"/>
    <w:link w:val="CommentTextChar"/>
    <w:uiPriority w:val="99"/>
    <w:semiHidden/>
    <w:unhideWhenUsed/>
    <w:rsid w:val="00A42947"/>
  </w:style>
  <w:style w:type="character" w:customStyle="1" w:styleId="CommentTextChar">
    <w:name w:val="Comment Text Char"/>
    <w:basedOn w:val="DefaultParagraphFont"/>
    <w:link w:val="CommentText"/>
    <w:uiPriority w:val="99"/>
    <w:semiHidden/>
    <w:rsid w:val="00A429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947"/>
    <w:rPr>
      <w:b/>
      <w:bCs/>
    </w:rPr>
  </w:style>
  <w:style w:type="character" w:customStyle="1" w:styleId="CommentSubjectChar">
    <w:name w:val="Comment Subject Char"/>
    <w:basedOn w:val="CommentTextChar"/>
    <w:link w:val="CommentSubject"/>
    <w:uiPriority w:val="99"/>
    <w:semiHidden/>
    <w:rsid w:val="00A42947"/>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909F3"/>
  </w:style>
</w:styles>
</file>

<file path=word/webSettings.xml><?xml version="1.0" encoding="utf-8"?>
<w:webSettings xmlns:r="http://schemas.openxmlformats.org/officeDocument/2006/relationships" xmlns:w="http://schemas.openxmlformats.org/wordprocessingml/2006/main">
  <w:divs>
    <w:div w:id="438380727">
      <w:bodyDiv w:val="1"/>
      <w:marLeft w:val="0"/>
      <w:marRight w:val="0"/>
      <w:marTop w:val="0"/>
      <w:marBottom w:val="0"/>
      <w:divBdr>
        <w:top w:val="none" w:sz="0" w:space="0" w:color="auto"/>
        <w:left w:val="none" w:sz="0" w:space="0" w:color="auto"/>
        <w:bottom w:val="none" w:sz="0" w:space="0" w:color="auto"/>
        <w:right w:val="none" w:sz="0" w:space="0" w:color="auto"/>
      </w:divBdr>
      <w:divsChild>
        <w:div w:id="87982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578033">
      <w:bodyDiv w:val="1"/>
      <w:marLeft w:val="0"/>
      <w:marRight w:val="0"/>
      <w:marTop w:val="0"/>
      <w:marBottom w:val="0"/>
      <w:divBdr>
        <w:top w:val="none" w:sz="0" w:space="0" w:color="auto"/>
        <w:left w:val="none" w:sz="0" w:space="0" w:color="auto"/>
        <w:bottom w:val="none" w:sz="0" w:space="0" w:color="auto"/>
        <w:right w:val="none" w:sz="0" w:space="0" w:color="auto"/>
      </w:divBdr>
    </w:div>
    <w:div w:id="720060882">
      <w:bodyDiv w:val="1"/>
      <w:marLeft w:val="0"/>
      <w:marRight w:val="0"/>
      <w:marTop w:val="0"/>
      <w:marBottom w:val="0"/>
      <w:divBdr>
        <w:top w:val="none" w:sz="0" w:space="0" w:color="auto"/>
        <w:left w:val="none" w:sz="0" w:space="0" w:color="auto"/>
        <w:bottom w:val="none" w:sz="0" w:space="0" w:color="auto"/>
        <w:right w:val="none" w:sz="0" w:space="0" w:color="auto"/>
      </w:divBdr>
    </w:div>
    <w:div w:id="791434520">
      <w:bodyDiv w:val="1"/>
      <w:marLeft w:val="0"/>
      <w:marRight w:val="0"/>
      <w:marTop w:val="0"/>
      <w:marBottom w:val="0"/>
      <w:divBdr>
        <w:top w:val="none" w:sz="0" w:space="0" w:color="auto"/>
        <w:left w:val="none" w:sz="0" w:space="0" w:color="auto"/>
        <w:bottom w:val="none" w:sz="0" w:space="0" w:color="auto"/>
        <w:right w:val="none" w:sz="0" w:space="0" w:color="auto"/>
      </w:divBdr>
    </w:div>
    <w:div w:id="935868849">
      <w:bodyDiv w:val="1"/>
      <w:marLeft w:val="0"/>
      <w:marRight w:val="0"/>
      <w:marTop w:val="0"/>
      <w:marBottom w:val="0"/>
      <w:divBdr>
        <w:top w:val="none" w:sz="0" w:space="0" w:color="auto"/>
        <w:left w:val="none" w:sz="0" w:space="0" w:color="auto"/>
        <w:bottom w:val="none" w:sz="0" w:space="0" w:color="auto"/>
        <w:right w:val="none" w:sz="0" w:space="0" w:color="auto"/>
      </w:divBdr>
    </w:div>
    <w:div w:id="935942466">
      <w:bodyDiv w:val="1"/>
      <w:marLeft w:val="0"/>
      <w:marRight w:val="0"/>
      <w:marTop w:val="0"/>
      <w:marBottom w:val="0"/>
      <w:divBdr>
        <w:top w:val="none" w:sz="0" w:space="0" w:color="auto"/>
        <w:left w:val="none" w:sz="0" w:space="0" w:color="auto"/>
        <w:bottom w:val="none" w:sz="0" w:space="0" w:color="auto"/>
        <w:right w:val="none" w:sz="0" w:space="0" w:color="auto"/>
      </w:divBdr>
    </w:div>
    <w:div w:id="1102843928">
      <w:bodyDiv w:val="1"/>
      <w:marLeft w:val="0"/>
      <w:marRight w:val="0"/>
      <w:marTop w:val="0"/>
      <w:marBottom w:val="0"/>
      <w:divBdr>
        <w:top w:val="none" w:sz="0" w:space="0" w:color="auto"/>
        <w:left w:val="none" w:sz="0" w:space="0" w:color="auto"/>
        <w:bottom w:val="none" w:sz="0" w:space="0" w:color="auto"/>
        <w:right w:val="none" w:sz="0" w:space="0" w:color="auto"/>
      </w:divBdr>
    </w:div>
    <w:div w:id="1384014512">
      <w:bodyDiv w:val="1"/>
      <w:marLeft w:val="0"/>
      <w:marRight w:val="0"/>
      <w:marTop w:val="0"/>
      <w:marBottom w:val="0"/>
      <w:divBdr>
        <w:top w:val="none" w:sz="0" w:space="0" w:color="auto"/>
        <w:left w:val="none" w:sz="0" w:space="0" w:color="auto"/>
        <w:bottom w:val="none" w:sz="0" w:space="0" w:color="auto"/>
        <w:right w:val="none" w:sz="0" w:space="0" w:color="auto"/>
      </w:divBdr>
    </w:div>
    <w:div w:id="1398281442">
      <w:bodyDiv w:val="1"/>
      <w:marLeft w:val="0"/>
      <w:marRight w:val="0"/>
      <w:marTop w:val="0"/>
      <w:marBottom w:val="0"/>
      <w:divBdr>
        <w:top w:val="none" w:sz="0" w:space="0" w:color="auto"/>
        <w:left w:val="none" w:sz="0" w:space="0" w:color="auto"/>
        <w:bottom w:val="none" w:sz="0" w:space="0" w:color="auto"/>
        <w:right w:val="none" w:sz="0" w:space="0" w:color="auto"/>
      </w:divBdr>
      <w:divsChild>
        <w:div w:id="1328556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85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080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035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2671784">
      <w:bodyDiv w:val="1"/>
      <w:marLeft w:val="0"/>
      <w:marRight w:val="0"/>
      <w:marTop w:val="0"/>
      <w:marBottom w:val="0"/>
      <w:divBdr>
        <w:top w:val="none" w:sz="0" w:space="0" w:color="auto"/>
        <w:left w:val="none" w:sz="0" w:space="0" w:color="auto"/>
        <w:bottom w:val="none" w:sz="0" w:space="0" w:color="auto"/>
        <w:right w:val="none" w:sz="0" w:space="0" w:color="auto"/>
      </w:divBdr>
    </w:div>
    <w:div w:id="1569488275">
      <w:bodyDiv w:val="1"/>
      <w:marLeft w:val="0"/>
      <w:marRight w:val="0"/>
      <w:marTop w:val="0"/>
      <w:marBottom w:val="0"/>
      <w:divBdr>
        <w:top w:val="none" w:sz="0" w:space="0" w:color="auto"/>
        <w:left w:val="none" w:sz="0" w:space="0" w:color="auto"/>
        <w:bottom w:val="none" w:sz="0" w:space="0" w:color="auto"/>
        <w:right w:val="none" w:sz="0" w:space="0" w:color="auto"/>
      </w:divBdr>
      <w:divsChild>
        <w:div w:id="202185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7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1591741">
      <w:bodyDiv w:val="1"/>
      <w:marLeft w:val="0"/>
      <w:marRight w:val="0"/>
      <w:marTop w:val="0"/>
      <w:marBottom w:val="0"/>
      <w:divBdr>
        <w:top w:val="none" w:sz="0" w:space="0" w:color="auto"/>
        <w:left w:val="none" w:sz="0" w:space="0" w:color="auto"/>
        <w:bottom w:val="none" w:sz="0" w:space="0" w:color="auto"/>
        <w:right w:val="none" w:sz="0" w:space="0" w:color="auto"/>
      </w:divBdr>
    </w:div>
    <w:div w:id="2064983485">
      <w:bodyDiv w:val="1"/>
      <w:marLeft w:val="0"/>
      <w:marRight w:val="0"/>
      <w:marTop w:val="0"/>
      <w:marBottom w:val="0"/>
      <w:divBdr>
        <w:top w:val="none" w:sz="0" w:space="0" w:color="auto"/>
        <w:left w:val="none" w:sz="0" w:space="0" w:color="auto"/>
        <w:bottom w:val="none" w:sz="0" w:space="0" w:color="auto"/>
        <w:right w:val="none" w:sz="0" w:space="0" w:color="auto"/>
      </w:divBdr>
    </w:div>
    <w:div w:id="2068650834">
      <w:bodyDiv w:val="1"/>
      <w:marLeft w:val="0"/>
      <w:marRight w:val="0"/>
      <w:marTop w:val="0"/>
      <w:marBottom w:val="0"/>
      <w:divBdr>
        <w:top w:val="none" w:sz="0" w:space="0" w:color="auto"/>
        <w:left w:val="none" w:sz="0" w:space="0" w:color="auto"/>
        <w:bottom w:val="none" w:sz="0" w:space="0" w:color="auto"/>
        <w:right w:val="none" w:sz="0" w:space="0" w:color="auto"/>
      </w:divBdr>
    </w:div>
    <w:div w:id="212633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621100.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naics4_622100.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i-corvinus.hu/index.php?id=41618&amp;type=p&amp;file_id=264" TargetMode="External"/><Relationship Id="rId2" Type="http://schemas.openxmlformats.org/officeDocument/2006/relationships/hyperlink" Target="http://www.quality.nist.gov/PDF_files/Progress.pdf" TargetMode="External"/><Relationship Id="rId1" Type="http://schemas.openxmlformats.org/officeDocument/2006/relationships/hyperlink" Target="http://teamstepps.ahrq.gov/readiness/" TargetMode="External"/><Relationship Id="rId5" Type="http://schemas.openxmlformats.org/officeDocument/2006/relationships/hyperlink" Target="http://www.fedview.opm.gov/2011/Reports/" TargetMode="External"/><Relationship Id="rId4" Type="http://schemas.openxmlformats.org/officeDocument/2006/relationships/hyperlink" Target="http://www.lmmiller.com/blog/wp-content/uploads/2011/06/Report-Lean-Culture-and-Leadership-Factors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9B19-642D-43E7-9718-05F952FA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7310</Words>
  <Characters>41671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Gray</dc:creator>
  <cp:lastModifiedBy>DHHS</cp:lastModifiedBy>
  <cp:revision>6</cp:revision>
  <cp:lastPrinted>2012-10-31T15:33:00Z</cp:lastPrinted>
  <dcterms:created xsi:type="dcterms:W3CDTF">2013-01-10T15:11:00Z</dcterms:created>
  <dcterms:modified xsi:type="dcterms:W3CDTF">2013-04-18T18:51:00Z</dcterms:modified>
</cp:coreProperties>
</file>