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C8" w:rsidRPr="0091396B" w:rsidRDefault="00EA6BC8" w:rsidP="00955CA6">
      <w:pPr>
        <w:tabs>
          <w:tab w:val="center" w:pos="4680"/>
        </w:tabs>
        <w:jc w:val="center"/>
        <w:rPr>
          <w:b/>
          <w:bCs/>
          <w:sz w:val="24"/>
        </w:rPr>
      </w:pPr>
      <w:bookmarkStart w:id="0" w:name="_GoBack"/>
      <w:bookmarkEnd w:id="0"/>
      <w:r w:rsidRPr="0091396B">
        <w:rPr>
          <w:b/>
          <w:bCs/>
          <w:sz w:val="24"/>
        </w:rPr>
        <w:t>Supporting Statement</w:t>
      </w:r>
    </w:p>
    <w:p w:rsidR="00581B73" w:rsidRPr="00027231" w:rsidRDefault="004B03EF" w:rsidP="00581B73">
      <w:pPr>
        <w:tabs>
          <w:tab w:val="center" w:pos="4680"/>
        </w:tabs>
        <w:jc w:val="center"/>
        <w:rPr>
          <w:bCs/>
          <w:sz w:val="24"/>
        </w:rPr>
      </w:pPr>
      <w:r>
        <w:rPr>
          <w:b/>
          <w:bCs/>
          <w:sz w:val="24"/>
        </w:rPr>
        <w:t xml:space="preserve">Medical Loss Ratio </w:t>
      </w:r>
      <w:r w:rsidR="00EA6BC8">
        <w:rPr>
          <w:b/>
          <w:bCs/>
          <w:sz w:val="24"/>
        </w:rPr>
        <w:t xml:space="preserve">Annual </w:t>
      </w:r>
      <w:r w:rsidR="00186046">
        <w:rPr>
          <w:b/>
          <w:bCs/>
          <w:sz w:val="24"/>
        </w:rPr>
        <w:t>Report</w:t>
      </w:r>
      <w:r>
        <w:rPr>
          <w:b/>
          <w:bCs/>
          <w:sz w:val="24"/>
        </w:rPr>
        <w:t xml:space="preserve">s, MLR Notices, and Recordkeeping Requirements </w:t>
      </w:r>
    </w:p>
    <w:p w:rsidR="00581B73" w:rsidRDefault="00581B73" w:rsidP="00581B73">
      <w:pPr>
        <w:tabs>
          <w:tab w:val="center" w:pos="4680"/>
        </w:tabs>
        <w:jc w:val="center"/>
        <w:rPr>
          <w:bCs/>
          <w:sz w:val="24"/>
        </w:rPr>
      </w:pPr>
      <w:r w:rsidRPr="00027231">
        <w:rPr>
          <w:bCs/>
          <w:sz w:val="24"/>
        </w:rPr>
        <w:t>(</w:t>
      </w:r>
      <w:r w:rsidRPr="00027231">
        <w:rPr>
          <w:sz w:val="24"/>
        </w:rPr>
        <w:t xml:space="preserve">CMS-10418 </w:t>
      </w:r>
      <w:r w:rsidRPr="00027231">
        <w:rPr>
          <w:bCs/>
          <w:sz w:val="24"/>
        </w:rPr>
        <w:t>-</w:t>
      </w:r>
      <w:r w:rsidRPr="00027231">
        <w:rPr>
          <w:sz w:val="24"/>
        </w:rPr>
        <w:t>OCN 0938-1164</w:t>
      </w:r>
      <w:r w:rsidRPr="00027231">
        <w:rPr>
          <w:bCs/>
          <w:sz w:val="24"/>
        </w:rPr>
        <w:t>)</w:t>
      </w:r>
    </w:p>
    <w:p w:rsidR="00EA6BC8" w:rsidRPr="0091396B" w:rsidRDefault="00EA6BC8" w:rsidP="00581B73">
      <w:pPr>
        <w:tabs>
          <w:tab w:val="center" w:pos="4680"/>
        </w:tabs>
        <w:jc w:val="center"/>
        <w:rPr>
          <w:b/>
          <w:bCs/>
          <w:sz w:val="24"/>
        </w:rPr>
      </w:pPr>
    </w:p>
    <w:p w:rsidR="00EA6BC8" w:rsidRPr="0091396B" w:rsidRDefault="00EA6BC8" w:rsidP="00820EB7">
      <w:pPr>
        <w:rPr>
          <w:b/>
          <w:bCs/>
          <w:sz w:val="24"/>
        </w:rPr>
      </w:pPr>
      <w:r w:rsidRPr="0091396B">
        <w:rPr>
          <w:b/>
          <w:bCs/>
          <w:sz w:val="24"/>
        </w:rPr>
        <w:t>A.</w:t>
      </w:r>
      <w:r w:rsidRPr="0091396B">
        <w:rPr>
          <w:b/>
          <w:bCs/>
          <w:sz w:val="24"/>
        </w:rPr>
        <w:tab/>
        <w:t>Justification</w:t>
      </w:r>
    </w:p>
    <w:p w:rsidR="00EA6BC8" w:rsidRPr="0091396B" w:rsidRDefault="00EA6BC8" w:rsidP="00820EB7">
      <w:pPr>
        <w:rPr>
          <w:sz w:val="24"/>
        </w:rPr>
      </w:pPr>
    </w:p>
    <w:p w:rsidR="00EA6BC8" w:rsidRPr="0091396B" w:rsidRDefault="00EA6BC8" w:rsidP="00820EB7">
      <w:pPr>
        <w:numPr>
          <w:ilvl w:val="0"/>
          <w:numId w:val="1"/>
        </w:numPr>
        <w:rPr>
          <w:b/>
          <w:sz w:val="24"/>
        </w:rPr>
      </w:pPr>
      <w:r w:rsidRPr="0091396B">
        <w:rPr>
          <w:b/>
          <w:sz w:val="24"/>
          <w:u w:val="single"/>
        </w:rPr>
        <w:t>Circumstances Making the Collection of Information Necessary</w:t>
      </w:r>
    </w:p>
    <w:p w:rsidR="00EA6BC8" w:rsidRPr="0091396B" w:rsidRDefault="00EA6BC8" w:rsidP="00820EB7">
      <w:pPr>
        <w:ind w:left="720"/>
        <w:rPr>
          <w:sz w:val="24"/>
        </w:rPr>
      </w:pPr>
      <w:r w:rsidRPr="0091396B">
        <w:rPr>
          <w:sz w:val="24"/>
        </w:rPr>
        <w:tab/>
      </w:r>
    </w:p>
    <w:p w:rsidR="004857C9" w:rsidRDefault="004857C9" w:rsidP="00FA1CAC">
      <w:pPr>
        <w:ind w:left="360"/>
        <w:rPr>
          <w:sz w:val="24"/>
        </w:rPr>
      </w:pPr>
      <w:r w:rsidRPr="0091396B">
        <w:rPr>
          <w:sz w:val="24"/>
        </w:rPr>
        <w:t>Section 2718 of the Public Health Services Act (PHS Act) requires a health insurance issuer (issuer) offering group or individual health insurance coverage to submit a report to the Secretary of HHS concerning the amount the issuer spends each year on claims, quality improvement expenses, non-claims costs, Federal and State taxes</w:t>
      </w:r>
      <w:r>
        <w:rPr>
          <w:sz w:val="24"/>
        </w:rPr>
        <w:t>,</w:t>
      </w:r>
      <w:r w:rsidRPr="0091396B">
        <w:rPr>
          <w:sz w:val="24"/>
        </w:rPr>
        <w:t xml:space="preserve"> licensing </w:t>
      </w:r>
      <w:r>
        <w:rPr>
          <w:sz w:val="24"/>
        </w:rPr>
        <w:t>and</w:t>
      </w:r>
      <w:r w:rsidRPr="0091396B">
        <w:rPr>
          <w:sz w:val="24"/>
        </w:rPr>
        <w:t xml:space="preserve"> regulatory fees, and earned premium.  An issuer must provide a</w:t>
      </w:r>
      <w:r>
        <w:rPr>
          <w:sz w:val="24"/>
        </w:rPr>
        <w:t xml:space="preserve"> </w:t>
      </w:r>
      <w:r w:rsidRPr="0091396B">
        <w:rPr>
          <w:sz w:val="24"/>
        </w:rPr>
        <w:t xml:space="preserve">rebate to </w:t>
      </w:r>
      <w:r w:rsidR="008E7361">
        <w:rPr>
          <w:sz w:val="24"/>
        </w:rPr>
        <w:t>policyholder</w:t>
      </w:r>
      <w:r w:rsidRPr="0091396B">
        <w:rPr>
          <w:sz w:val="24"/>
        </w:rPr>
        <w:t xml:space="preserve">s if the amount it spends </w:t>
      </w:r>
      <w:r>
        <w:rPr>
          <w:sz w:val="24"/>
        </w:rPr>
        <w:t xml:space="preserve">in a reporting year </w:t>
      </w:r>
      <w:r w:rsidRPr="0091396B">
        <w:rPr>
          <w:sz w:val="24"/>
        </w:rPr>
        <w:t xml:space="preserve">on certain costs compared to its premium revenue (excluding Federal and States taxes and licensing </w:t>
      </w:r>
      <w:r>
        <w:rPr>
          <w:sz w:val="24"/>
        </w:rPr>
        <w:t>and</w:t>
      </w:r>
      <w:r w:rsidRPr="0091396B">
        <w:rPr>
          <w:sz w:val="24"/>
        </w:rPr>
        <w:t xml:space="preserve"> regulatory fees) </w:t>
      </w:r>
      <w:r>
        <w:rPr>
          <w:sz w:val="24"/>
        </w:rPr>
        <w:t>is below</w:t>
      </w:r>
      <w:r w:rsidRPr="0091396B">
        <w:rPr>
          <w:sz w:val="24"/>
        </w:rPr>
        <w:t xml:space="preserve"> a certain ratio, referred to as the medical loss ratio (MLR).  Specifically, section 2718(b) requires an issuer to provide a rebate to each of its </w:t>
      </w:r>
      <w:r w:rsidR="008E7361">
        <w:rPr>
          <w:sz w:val="24"/>
        </w:rPr>
        <w:t>policyholder</w:t>
      </w:r>
      <w:r w:rsidRPr="0091396B">
        <w:rPr>
          <w:sz w:val="24"/>
        </w:rPr>
        <w:t xml:space="preserve">s if the MLR for the respective reporting year is less than 85 percent in the large group market or less than 80 percent in the small group </w:t>
      </w:r>
      <w:r>
        <w:rPr>
          <w:sz w:val="24"/>
        </w:rPr>
        <w:t xml:space="preserve">or individual </w:t>
      </w:r>
      <w:r w:rsidRPr="0091396B">
        <w:rPr>
          <w:sz w:val="24"/>
        </w:rPr>
        <w:t>market.</w:t>
      </w:r>
      <w:r>
        <w:rPr>
          <w:sz w:val="24"/>
        </w:rPr>
        <w:t xml:space="preserve">  </w:t>
      </w:r>
      <w:r w:rsidR="00186046">
        <w:rPr>
          <w:sz w:val="24"/>
        </w:rPr>
        <w:t xml:space="preserve">The implementing regulations for this provision are located in </w:t>
      </w:r>
      <w:r w:rsidRPr="0091396B">
        <w:rPr>
          <w:sz w:val="24"/>
        </w:rPr>
        <w:t xml:space="preserve">Part 158 to Title 45 of the Code of Federal Regulations.  </w:t>
      </w:r>
    </w:p>
    <w:p w:rsidR="0080790A" w:rsidRDefault="0080790A" w:rsidP="00FA1CAC">
      <w:pPr>
        <w:ind w:left="360"/>
        <w:rPr>
          <w:sz w:val="24"/>
        </w:rPr>
      </w:pPr>
    </w:p>
    <w:p w:rsidR="004C4445" w:rsidRDefault="00186046" w:rsidP="00FA1CAC">
      <w:pPr>
        <w:ind w:firstLine="360"/>
        <w:rPr>
          <w:sz w:val="24"/>
        </w:rPr>
      </w:pPr>
      <w:r>
        <w:rPr>
          <w:sz w:val="24"/>
        </w:rPr>
        <w:t>The following information collections are included in this request</w:t>
      </w:r>
      <w:r w:rsidR="004C4445">
        <w:rPr>
          <w:sz w:val="24"/>
        </w:rPr>
        <w:t>:</w:t>
      </w:r>
    </w:p>
    <w:p w:rsidR="004C4445" w:rsidRDefault="004C4445" w:rsidP="004C4445">
      <w:pPr>
        <w:rPr>
          <w:b/>
          <w:sz w:val="24"/>
        </w:rPr>
      </w:pPr>
    </w:p>
    <w:p w:rsidR="001B5948" w:rsidRDefault="00186046" w:rsidP="001B5948">
      <w:pPr>
        <w:ind w:left="360"/>
        <w:rPr>
          <w:sz w:val="24"/>
        </w:rPr>
      </w:pPr>
      <w:r w:rsidRPr="00186046">
        <w:rPr>
          <w:b/>
          <w:sz w:val="24"/>
        </w:rPr>
        <w:t>Annual Report.</w:t>
      </w:r>
      <w:r w:rsidRPr="00186046">
        <w:rPr>
          <w:sz w:val="24"/>
        </w:rPr>
        <w:t xml:space="preserve">  </w:t>
      </w:r>
      <w:r w:rsidR="00524047">
        <w:rPr>
          <w:sz w:val="24"/>
        </w:rPr>
        <w:t xml:space="preserve">Under </w:t>
      </w:r>
      <w:r w:rsidR="001C7C23">
        <w:rPr>
          <w:sz w:val="24"/>
        </w:rPr>
        <w:t xml:space="preserve">45 CFR </w:t>
      </w:r>
      <w:r w:rsidR="001C7C23">
        <w:rPr>
          <w:sz w:val="23"/>
          <w:szCs w:val="23"/>
        </w:rPr>
        <w:t>§</w:t>
      </w:r>
      <w:r w:rsidR="00524047">
        <w:rPr>
          <w:sz w:val="24"/>
        </w:rPr>
        <w:t>158.110</w:t>
      </w:r>
      <w:r w:rsidRPr="00186046">
        <w:rPr>
          <w:sz w:val="24"/>
        </w:rPr>
        <w:t>, issuers are required to submit an annual report to the Secretary</w:t>
      </w:r>
      <w:r w:rsidR="004C4445">
        <w:rPr>
          <w:sz w:val="24"/>
        </w:rPr>
        <w:t xml:space="preserve"> by June 1 of the year following the end of an MLR reporting year</w:t>
      </w:r>
      <w:r w:rsidRPr="00186046">
        <w:rPr>
          <w:sz w:val="24"/>
        </w:rPr>
        <w:t xml:space="preserve">. </w:t>
      </w:r>
      <w:r w:rsidR="00DF32DE">
        <w:rPr>
          <w:sz w:val="24"/>
        </w:rPr>
        <w:t xml:space="preserve"> The annual report must be submitted to the Secretary by June 1, 2013</w:t>
      </w:r>
      <w:r w:rsidR="001B5948">
        <w:rPr>
          <w:sz w:val="24"/>
        </w:rPr>
        <w:t xml:space="preserve"> for the 2012 reporting year</w:t>
      </w:r>
      <w:r w:rsidR="00DF32DE">
        <w:rPr>
          <w:sz w:val="24"/>
        </w:rPr>
        <w:t xml:space="preserve">. </w:t>
      </w:r>
      <w:r w:rsidR="00EA6BC8" w:rsidRPr="00FA1CAC">
        <w:rPr>
          <w:sz w:val="24"/>
        </w:rPr>
        <w:t xml:space="preserve">Section </w:t>
      </w:r>
      <w:r w:rsidR="00422C8C">
        <w:rPr>
          <w:sz w:val="24"/>
        </w:rPr>
        <w:t xml:space="preserve">45 CFR </w:t>
      </w:r>
      <w:r w:rsidR="001C7C23">
        <w:rPr>
          <w:sz w:val="23"/>
          <w:szCs w:val="23"/>
        </w:rPr>
        <w:t>§</w:t>
      </w:r>
      <w:r w:rsidR="00BB2DA4">
        <w:rPr>
          <w:sz w:val="23"/>
          <w:szCs w:val="23"/>
        </w:rPr>
        <w:t>§</w:t>
      </w:r>
      <w:r w:rsidR="00EA6BC8" w:rsidRPr="00FA1CAC">
        <w:rPr>
          <w:sz w:val="24"/>
        </w:rPr>
        <w:t xml:space="preserve">158.120 </w:t>
      </w:r>
      <w:r w:rsidR="00BB2DA4">
        <w:rPr>
          <w:sz w:val="24"/>
        </w:rPr>
        <w:t>through 158.</w:t>
      </w:r>
      <w:r w:rsidR="005673B0">
        <w:rPr>
          <w:sz w:val="24"/>
        </w:rPr>
        <w:t xml:space="preserve">260 </w:t>
      </w:r>
      <w:r w:rsidR="004C4445">
        <w:rPr>
          <w:sz w:val="24"/>
        </w:rPr>
        <w:t xml:space="preserve">set out the data requirements for this report.  In addition, under </w:t>
      </w:r>
      <w:r w:rsidR="00422C8C">
        <w:rPr>
          <w:sz w:val="24"/>
        </w:rPr>
        <w:t xml:space="preserve">45 CFR </w:t>
      </w:r>
      <w:r w:rsidR="001C7C23">
        <w:rPr>
          <w:sz w:val="23"/>
          <w:szCs w:val="23"/>
        </w:rPr>
        <w:t>§</w:t>
      </w:r>
      <w:r w:rsidR="004C4445">
        <w:rPr>
          <w:sz w:val="24"/>
        </w:rPr>
        <w:t>158.260, e</w:t>
      </w:r>
      <w:r w:rsidRPr="00FA1CAC">
        <w:rPr>
          <w:sz w:val="24"/>
        </w:rPr>
        <w:t xml:space="preserve">ach issuer must also submit a report to the Secretary concerning the rebates provided to and on behalf of </w:t>
      </w:r>
      <w:r w:rsidR="005673B0">
        <w:rPr>
          <w:sz w:val="24"/>
        </w:rPr>
        <w:t>enrollees</w:t>
      </w:r>
      <w:r w:rsidRPr="00FA1CAC">
        <w:rPr>
          <w:sz w:val="24"/>
        </w:rPr>
        <w:t>.  Section 158.260</w:t>
      </w:r>
      <w:r w:rsidR="00692450">
        <w:rPr>
          <w:sz w:val="24"/>
        </w:rPr>
        <w:t xml:space="preserve"> </w:t>
      </w:r>
      <w:r w:rsidRPr="00FA1CAC">
        <w:rPr>
          <w:sz w:val="24"/>
        </w:rPr>
        <w:t>requires that this report be submitted with the annual report under §158.110</w:t>
      </w:r>
      <w:r w:rsidR="00692450">
        <w:rPr>
          <w:sz w:val="24"/>
        </w:rPr>
        <w:t>.</w:t>
      </w:r>
      <w:r w:rsidR="001B5948" w:rsidRPr="001B5948">
        <w:rPr>
          <w:sz w:val="24"/>
        </w:rPr>
        <w:t xml:space="preserve"> </w:t>
      </w:r>
      <w:r w:rsidR="001B5948">
        <w:rPr>
          <w:sz w:val="24"/>
        </w:rPr>
        <w:t xml:space="preserve">The annual reporting form for the 2011 reporting year was approved by OMB </w:t>
      </w:r>
      <w:r w:rsidR="0038337E">
        <w:rPr>
          <w:sz w:val="24"/>
        </w:rPr>
        <w:t>Control Number</w:t>
      </w:r>
      <w:r w:rsidR="001B5948" w:rsidRPr="00027231">
        <w:rPr>
          <w:sz w:val="24"/>
        </w:rPr>
        <w:t xml:space="preserve"> 0938-116</w:t>
      </w:r>
      <w:r w:rsidR="001B5948">
        <w:rPr>
          <w:sz w:val="24"/>
        </w:rPr>
        <w:t xml:space="preserve">4. This information collection simply updates </w:t>
      </w:r>
      <w:r w:rsidR="005673B0">
        <w:rPr>
          <w:sz w:val="24"/>
        </w:rPr>
        <w:t xml:space="preserve">for 2012 </w:t>
      </w:r>
      <w:r w:rsidR="001B5948">
        <w:rPr>
          <w:sz w:val="24"/>
        </w:rPr>
        <w:t>and simplifies the annual reporting form that was already approved.</w:t>
      </w:r>
    </w:p>
    <w:p w:rsidR="00DF32DE" w:rsidRDefault="00186046" w:rsidP="00FA1CAC">
      <w:pPr>
        <w:ind w:left="360"/>
        <w:rPr>
          <w:sz w:val="24"/>
        </w:rPr>
      </w:pPr>
      <w:r w:rsidRPr="00FA1CAC">
        <w:rPr>
          <w:sz w:val="24"/>
        </w:rPr>
        <w:t xml:space="preserve"> </w:t>
      </w:r>
    </w:p>
    <w:p w:rsidR="001B5948" w:rsidRDefault="00204CEE" w:rsidP="001B5948">
      <w:pPr>
        <w:widowControl/>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581B73">
        <w:rPr>
          <w:b/>
          <w:sz w:val="24"/>
        </w:rPr>
        <w:t>Notices</w:t>
      </w:r>
      <w:r w:rsidRPr="00581B73">
        <w:rPr>
          <w:sz w:val="24"/>
        </w:rPr>
        <w:t xml:space="preserve">. As specified in 45 CFR </w:t>
      </w:r>
      <w:r w:rsidRPr="00581B73">
        <w:rPr>
          <w:sz w:val="23"/>
          <w:szCs w:val="23"/>
        </w:rPr>
        <w:t>§</w:t>
      </w:r>
      <w:r w:rsidRPr="00581B73">
        <w:rPr>
          <w:sz w:val="24"/>
        </w:rPr>
        <w:t xml:space="preserve">158.240(a), an issuer must provide rebates </w:t>
      </w:r>
      <w:r w:rsidR="001B5948">
        <w:rPr>
          <w:sz w:val="24"/>
        </w:rPr>
        <w:t xml:space="preserve">to </w:t>
      </w:r>
      <w:r w:rsidR="00F34CBB">
        <w:rPr>
          <w:sz w:val="24"/>
        </w:rPr>
        <w:t>enrollees and p</w:t>
      </w:r>
      <w:r w:rsidRPr="00581B73">
        <w:rPr>
          <w:sz w:val="24"/>
        </w:rPr>
        <w:t>olicyholder</w:t>
      </w:r>
      <w:r w:rsidR="00A7760E">
        <w:rPr>
          <w:sz w:val="24"/>
        </w:rPr>
        <w:t>s on behalf of enrollees</w:t>
      </w:r>
      <w:r w:rsidRPr="00581B73">
        <w:rPr>
          <w:sz w:val="24"/>
        </w:rPr>
        <w:t xml:space="preserve"> when the issuer’s MLR does not meet the applicable minimum MLR standard.  Section 45 CFR </w:t>
      </w:r>
      <w:r w:rsidRPr="00581B73">
        <w:rPr>
          <w:sz w:val="23"/>
          <w:szCs w:val="23"/>
        </w:rPr>
        <w:t>§</w:t>
      </w:r>
      <w:r w:rsidRPr="00581B73">
        <w:rPr>
          <w:sz w:val="24"/>
        </w:rPr>
        <w:t xml:space="preserve">158.250 requires an issuer to provide information in the form of a rebate notice to policyholders who are owed a rebate and subscribers whose policyholders are owed a rebate.  As also provided in 45 CFR </w:t>
      </w:r>
      <w:r w:rsidRPr="00581B73">
        <w:rPr>
          <w:sz w:val="23"/>
          <w:szCs w:val="23"/>
        </w:rPr>
        <w:t>§</w:t>
      </w:r>
      <w:r w:rsidRPr="00581B73">
        <w:rPr>
          <w:sz w:val="24"/>
        </w:rPr>
        <w:t xml:space="preserve">158.250, CMS has developed a </w:t>
      </w:r>
      <w:r w:rsidR="00A7760E">
        <w:rPr>
          <w:sz w:val="24"/>
        </w:rPr>
        <w:t xml:space="preserve">standard </w:t>
      </w:r>
      <w:r w:rsidRPr="00581B73">
        <w:rPr>
          <w:sz w:val="24"/>
        </w:rPr>
        <w:t xml:space="preserve">form for the rebate notice that each issuer must send by August 1 of the </w:t>
      </w:r>
      <w:r w:rsidR="00A7760E">
        <w:rPr>
          <w:sz w:val="24"/>
        </w:rPr>
        <w:t xml:space="preserve">year </w:t>
      </w:r>
      <w:r w:rsidRPr="00581B73">
        <w:rPr>
          <w:sz w:val="24"/>
        </w:rPr>
        <w:t xml:space="preserve">following </w:t>
      </w:r>
      <w:r w:rsidR="00A7760E">
        <w:rPr>
          <w:sz w:val="24"/>
        </w:rPr>
        <w:t xml:space="preserve">the reporting year for which </w:t>
      </w:r>
      <w:r w:rsidRPr="00581B73">
        <w:rPr>
          <w:sz w:val="24"/>
        </w:rPr>
        <w:t xml:space="preserve">policyholders </w:t>
      </w:r>
      <w:r w:rsidR="00A7760E">
        <w:rPr>
          <w:sz w:val="24"/>
        </w:rPr>
        <w:t xml:space="preserve">are </w:t>
      </w:r>
      <w:r w:rsidRPr="00581B73">
        <w:rPr>
          <w:sz w:val="24"/>
        </w:rPr>
        <w:t xml:space="preserve">entitled to a rebate.  The </w:t>
      </w:r>
      <w:r w:rsidR="00E020DA">
        <w:rPr>
          <w:sz w:val="24"/>
        </w:rPr>
        <w:t>standard</w:t>
      </w:r>
      <w:r w:rsidR="00A7760E">
        <w:rPr>
          <w:sz w:val="24"/>
        </w:rPr>
        <w:t xml:space="preserve"> </w:t>
      </w:r>
      <w:r w:rsidRPr="00581B73">
        <w:rPr>
          <w:sz w:val="24"/>
        </w:rPr>
        <w:t>rebate notice for the 2012 MLR reporting year must be sent by August 1, 2013.</w:t>
      </w:r>
      <w:r w:rsidR="008E7361" w:rsidRPr="00FA1CAC">
        <w:rPr>
          <w:sz w:val="24"/>
        </w:rPr>
        <w:t xml:space="preserve"> </w:t>
      </w:r>
      <w:r w:rsidR="001B5948">
        <w:rPr>
          <w:sz w:val="24"/>
        </w:rPr>
        <w:t xml:space="preserve">The rebate notices were already approved by OMB </w:t>
      </w:r>
      <w:r w:rsidR="0038337E">
        <w:rPr>
          <w:sz w:val="24"/>
        </w:rPr>
        <w:t>Control Number</w:t>
      </w:r>
      <w:r w:rsidR="001B5948" w:rsidRPr="00027231">
        <w:rPr>
          <w:sz w:val="24"/>
        </w:rPr>
        <w:t xml:space="preserve"> 0938-116</w:t>
      </w:r>
      <w:r w:rsidR="001B5948">
        <w:rPr>
          <w:sz w:val="24"/>
        </w:rPr>
        <w:t xml:space="preserve">4.  These notices are not being revised at this time, although the burden estimate is </w:t>
      </w:r>
      <w:r w:rsidR="00943BEC">
        <w:rPr>
          <w:sz w:val="24"/>
        </w:rPr>
        <w:t xml:space="preserve">updated </w:t>
      </w:r>
      <w:r w:rsidR="001B5948">
        <w:rPr>
          <w:sz w:val="24"/>
        </w:rPr>
        <w:t>based upon the annual reports that were received for the 2011 reporting year.</w:t>
      </w:r>
    </w:p>
    <w:p w:rsidR="009B2C9A" w:rsidRDefault="009B2C9A" w:rsidP="001B5948">
      <w:pPr>
        <w:widowControl/>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9B2C9A" w:rsidRDefault="009B2C9A" w:rsidP="001B5948">
      <w:pPr>
        <w:widowControl/>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lastRenderedPageBreak/>
        <w:t xml:space="preserve">As specified in 45 CFR §158.251, for the 2011 MLR reporting year only, an issuer whose MLR met or exceeded the applicable MLR standard was required to send a notice to each policyholder and each subscriber of group policyholders with information about its MLR.  This notice was a one-time notice and is not required for the 2012 MLR reporting year or beyond.  </w:t>
      </w:r>
    </w:p>
    <w:p w:rsidR="005F2C7A" w:rsidRDefault="005F2C7A">
      <w:pPr>
        <w:widowControl/>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1B5948" w:rsidRPr="0091396B" w:rsidRDefault="00FA1CAC" w:rsidP="001B5948">
      <w:pPr>
        <w:ind w:left="360"/>
        <w:rPr>
          <w:sz w:val="24"/>
        </w:rPr>
      </w:pPr>
      <w:r w:rsidRPr="00FA1CAC">
        <w:rPr>
          <w:b/>
          <w:sz w:val="24"/>
        </w:rPr>
        <w:t>Recordkeeping.</w:t>
      </w:r>
      <w:r>
        <w:rPr>
          <w:sz w:val="24"/>
        </w:rPr>
        <w:t xml:space="preserve">  The MLR regulations contain two recordkeeping requirements.  </w:t>
      </w:r>
      <w:r w:rsidR="00EA6BC8" w:rsidRPr="0091396B">
        <w:rPr>
          <w:sz w:val="24"/>
        </w:rPr>
        <w:t xml:space="preserve">Section 158.502 requires </w:t>
      </w:r>
      <w:r w:rsidR="00EA6BC8">
        <w:rPr>
          <w:sz w:val="24"/>
        </w:rPr>
        <w:t xml:space="preserve">an </w:t>
      </w:r>
      <w:r w:rsidR="00EA6BC8" w:rsidRPr="0091396B">
        <w:rPr>
          <w:sz w:val="24"/>
        </w:rPr>
        <w:t xml:space="preserve">issuer to maintain all documents and other evidence necessary </w:t>
      </w:r>
      <w:r w:rsidR="00EA6BC8">
        <w:rPr>
          <w:sz w:val="24"/>
        </w:rPr>
        <w:t xml:space="preserve">to enable </w:t>
      </w:r>
      <w:r w:rsidR="00EA6BC8" w:rsidRPr="0091396B">
        <w:rPr>
          <w:sz w:val="24"/>
        </w:rPr>
        <w:t xml:space="preserve">CMS </w:t>
      </w:r>
      <w:r w:rsidR="00EA6BC8">
        <w:rPr>
          <w:sz w:val="24"/>
        </w:rPr>
        <w:t xml:space="preserve">to verify that </w:t>
      </w:r>
      <w:r w:rsidR="00EA6BC8" w:rsidRPr="0091396B">
        <w:rPr>
          <w:sz w:val="24"/>
        </w:rPr>
        <w:t xml:space="preserve">the data </w:t>
      </w:r>
      <w:r w:rsidR="00EA6BC8">
        <w:rPr>
          <w:sz w:val="24"/>
        </w:rPr>
        <w:t xml:space="preserve">submitted by the issuer is in compliance with 45 CFR Part 158, including </w:t>
      </w:r>
      <w:r w:rsidR="00EA6BC8" w:rsidRPr="0091396B">
        <w:rPr>
          <w:sz w:val="24"/>
        </w:rPr>
        <w:t>all documents</w:t>
      </w:r>
      <w:r w:rsidR="00EA6BC8">
        <w:rPr>
          <w:sz w:val="24"/>
        </w:rPr>
        <w:t>, records,</w:t>
      </w:r>
      <w:r w:rsidR="00EA6BC8" w:rsidRPr="0091396B">
        <w:rPr>
          <w:sz w:val="24"/>
        </w:rPr>
        <w:t xml:space="preserve"> and other evidence used to calculate the MLR</w:t>
      </w:r>
      <w:r w:rsidR="00EA6BC8">
        <w:rPr>
          <w:sz w:val="24"/>
        </w:rPr>
        <w:t xml:space="preserve"> and </w:t>
      </w:r>
      <w:r w:rsidR="00EA6BC8" w:rsidRPr="0091396B">
        <w:rPr>
          <w:sz w:val="24"/>
        </w:rPr>
        <w:t>any rebates</w:t>
      </w:r>
      <w:r w:rsidR="00EA6BC8">
        <w:rPr>
          <w:sz w:val="24"/>
        </w:rPr>
        <w:t xml:space="preserve">, and </w:t>
      </w:r>
      <w:r w:rsidR="00A52135">
        <w:rPr>
          <w:sz w:val="24"/>
        </w:rPr>
        <w:t xml:space="preserve">that </w:t>
      </w:r>
      <w:r w:rsidR="00EA6BC8">
        <w:rPr>
          <w:sz w:val="24"/>
        </w:rPr>
        <w:t xml:space="preserve">any rebates </w:t>
      </w:r>
      <w:r w:rsidR="00EA6BC8" w:rsidRPr="0091396B">
        <w:rPr>
          <w:sz w:val="24"/>
        </w:rPr>
        <w:t xml:space="preserve">owing in accordance with </w:t>
      </w:r>
      <w:r w:rsidR="001D5A48">
        <w:rPr>
          <w:sz w:val="24"/>
        </w:rPr>
        <w:t xml:space="preserve">45 CFR </w:t>
      </w:r>
      <w:r w:rsidR="00EA6BC8">
        <w:rPr>
          <w:sz w:val="24"/>
        </w:rPr>
        <w:t>Part 158</w:t>
      </w:r>
      <w:r w:rsidR="00A52135">
        <w:rPr>
          <w:sz w:val="24"/>
        </w:rPr>
        <w:t xml:space="preserve"> are provided</w:t>
      </w:r>
      <w:r w:rsidR="00EA6BC8" w:rsidRPr="0091396B">
        <w:rPr>
          <w:sz w:val="24"/>
        </w:rPr>
        <w:t xml:space="preserve">. </w:t>
      </w:r>
      <w:r w:rsidR="00EA6BC8">
        <w:rPr>
          <w:sz w:val="24"/>
        </w:rPr>
        <w:t xml:space="preserve"> Section 158.501 </w:t>
      </w:r>
      <w:r w:rsidR="00EA6BC8" w:rsidRPr="0091396B">
        <w:rPr>
          <w:sz w:val="24"/>
        </w:rPr>
        <w:t>requires</w:t>
      </w:r>
      <w:r w:rsidR="00EA6BC8">
        <w:rPr>
          <w:sz w:val="24"/>
        </w:rPr>
        <w:t xml:space="preserve"> an </w:t>
      </w:r>
      <w:r w:rsidR="00EA6BC8" w:rsidRPr="0091396B">
        <w:rPr>
          <w:sz w:val="24"/>
        </w:rPr>
        <w:t xml:space="preserve">issuer to preserve and maintain all </w:t>
      </w:r>
      <w:r w:rsidR="00EA6BC8">
        <w:rPr>
          <w:sz w:val="24"/>
        </w:rPr>
        <w:t>such</w:t>
      </w:r>
      <w:r w:rsidR="00EA6BC8" w:rsidRPr="0091396B">
        <w:rPr>
          <w:sz w:val="24"/>
        </w:rPr>
        <w:t xml:space="preserve"> documents</w:t>
      </w:r>
      <w:r w:rsidR="00EA6BC8">
        <w:rPr>
          <w:sz w:val="24"/>
        </w:rPr>
        <w:t>, records,</w:t>
      </w:r>
      <w:r w:rsidR="00EA6BC8" w:rsidRPr="0091396B">
        <w:rPr>
          <w:sz w:val="24"/>
        </w:rPr>
        <w:t xml:space="preserve"> and other evidence for the </w:t>
      </w:r>
      <w:r w:rsidR="00EA6BC8">
        <w:rPr>
          <w:sz w:val="24"/>
        </w:rPr>
        <w:t xml:space="preserve">MLR reporting </w:t>
      </w:r>
      <w:r w:rsidR="00EA6BC8" w:rsidRPr="0091396B">
        <w:rPr>
          <w:sz w:val="24"/>
        </w:rPr>
        <w:t>year a</w:t>
      </w:r>
      <w:r w:rsidR="00EA6BC8">
        <w:rPr>
          <w:sz w:val="24"/>
        </w:rPr>
        <w:t xml:space="preserve">s well as </w:t>
      </w:r>
      <w:r w:rsidR="00EA6BC8" w:rsidRPr="0091396B">
        <w:rPr>
          <w:sz w:val="24"/>
        </w:rPr>
        <w:t xml:space="preserve">six prior years unless a longer period is required under §158.501. </w:t>
      </w:r>
      <w:r w:rsidR="001B5948">
        <w:rPr>
          <w:sz w:val="24"/>
        </w:rPr>
        <w:t xml:space="preserve">This information collection was also approved by OMB </w:t>
      </w:r>
      <w:r w:rsidR="0038337E">
        <w:rPr>
          <w:sz w:val="24"/>
        </w:rPr>
        <w:t>Control Number</w:t>
      </w:r>
      <w:r w:rsidR="001B5948" w:rsidRPr="00027231">
        <w:rPr>
          <w:sz w:val="24"/>
        </w:rPr>
        <w:t xml:space="preserve"> 0938-116</w:t>
      </w:r>
      <w:r w:rsidR="001B5948">
        <w:rPr>
          <w:sz w:val="24"/>
        </w:rPr>
        <w:t>4 and is not being revised at this time</w:t>
      </w:r>
      <w:r w:rsidR="00157392">
        <w:rPr>
          <w:sz w:val="24"/>
        </w:rPr>
        <w:t>. T</w:t>
      </w:r>
      <w:r w:rsidR="00943BEC">
        <w:rPr>
          <w:sz w:val="24"/>
        </w:rPr>
        <w:t xml:space="preserve">he burden estimate has been </w:t>
      </w:r>
      <w:r w:rsidR="00157392">
        <w:rPr>
          <w:sz w:val="24"/>
        </w:rPr>
        <w:t>updated b</w:t>
      </w:r>
      <w:r w:rsidR="00943BEC">
        <w:rPr>
          <w:sz w:val="24"/>
        </w:rPr>
        <w:t>ased upon the annual reports received for the 2011 reporting year.</w:t>
      </w:r>
    </w:p>
    <w:p w:rsidR="00EA6BC8" w:rsidRPr="0091396B" w:rsidRDefault="00EA6BC8" w:rsidP="00FA1CAC">
      <w:pPr>
        <w:ind w:left="360"/>
        <w:rPr>
          <w:sz w:val="24"/>
        </w:rPr>
      </w:pPr>
    </w:p>
    <w:p w:rsidR="00EA6BC8" w:rsidRPr="0091396B" w:rsidRDefault="00EA6BC8" w:rsidP="00820EB7">
      <w:pPr>
        <w:numPr>
          <w:ilvl w:val="0"/>
          <w:numId w:val="1"/>
        </w:numPr>
        <w:rPr>
          <w:b/>
          <w:sz w:val="24"/>
        </w:rPr>
      </w:pPr>
      <w:r w:rsidRPr="0091396B">
        <w:rPr>
          <w:b/>
          <w:sz w:val="24"/>
          <w:u w:val="single"/>
        </w:rPr>
        <w:t>Purpose and Use of Information Collection</w:t>
      </w:r>
    </w:p>
    <w:p w:rsidR="00EA6BC8" w:rsidRPr="0091396B" w:rsidRDefault="00EA6BC8" w:rsidP="00820EB7">
      <w:pPr>
        <w:pStyle w:val="EndnoteText"/>
        <w:rPr>
          <w:sz w:val="24"/>
          <w:szCs w:val="24"/>
        </w:rPr>
      </w:pPr>
    </w:p>
    <w:p w:rsidR="00BD61C9" w:rsidRDefault="00EA6BC8" w:rsidP="00105C96">
      <w:pPr>
        <w:ind w:left="360"/>
        <w:rPr>
          <w:sz w:val="24"/>
        </w:rPr>
      </w:pPr>
      <w:r w:rsidRPr="0091396B">
        <w:rPr>
          <w:sz w:val="24"/>
        </w:rPr>
        <w:t xml:space="preserve">The data collection of annual reports </w:t>
      </w:r>
      <w:r>
        <w:rPr>
          <w:sz w:val="24"/>
        </w:rPr>
        <w:t xml:space="preserve">provided </w:t>
      </w:r>
      <w:r w:rsidRPr="0091396B">
        <w:rPr>
          <w:sz w:val="24"/>
        </w:rPr>
        <w:t xml:space="preserve">by </w:t>
      </w:r>
      <w:r>
        <w:rPr>
          <w:sz w:val="24"/>
        </w:rPr>
        <w:t xml:space="preserve">an </w:t>
      </w:r>
      <w:r w:rsidRPr="0091396B">
        <w:rPr>
          <w:sz w:val="24"/>
        </w:rPr>
        <w:t xml:space="preserve">issuer </w:t>
      </w:r>
      <w:r w:rsidR="00806E2F">
        <w:rPr>
          <w:sz w:val="24"/>
        </w:rPr>
        <w:t xml:space="preserve">for </w:t>
      </w:r>
      <w:r>
        <w:rPr>
          <w:sz w:val="24"/>
        </w:rPr>
        <w:t xml:space="preserve">each State’s </w:t>
      </w:r>
      <w:r w:rsidRPr="0091396B">
        <w:rPr>
          <w:sz w:val="24"/>
        </w:rPr>
        <w:t>individual, small group, and large group market</w:t>
      </w:r>
      <w:r>
        <w:rPr>
          <w:sz w:val="24"/>
        </w:rPr>
        <w:t>s</w:t>
      </w:r>
      <w:r w:rsidRPr="0091396B">
        <w:rPr>
          <w:sz w:val="24"/>
        </w:rPr>
        <w:t xml:space="preserve"> will be used by CMS to ensure that consumers are receiving value for their premium </w:t>
      </w:r>
      <w:r>
        <w:rPr>
          <w:sz w:val="24"/>
        </w:rPr>
        <w:t>dollar</w:t>
      </w:r>
      <w:r w:rsidRPr="0091396B">
        <w:rPr>
          <w:sz w:val="24"/>
        </w:rPr>
        <w:t xml:space="preserve"> by calculating </w:t>
      </w:r>
      <w:r>
        <w:rPr>
          <w:sz w:val="24"/>
        </w:rPr>
        <w:t xml:space="preserve">each issuer’s </w:t>
      </w:r>
      <w:r w:rsidRPr="0091396B">
        <w:rPr>
          <w:sz w:val="24"/>
        </w:rPr>
        <w:t xml:space="preserve">MLR </w:t>
      </w:r>
      <w:r>
        <w:rPr>
          <w:sz w:val="24"/>
        </w:rPr>
        <w:t xml:space="preserve">and any rebate payments due </w:t>
      </w:r>
      <w:r w:rsidRPr="0091396B">
        <w:rPr>
          <w:sz w:val="24"/>
        </w:rPr>
        <w:t>for the respective MLR reporting year</w:t>
      </w:r>
      <w:r>
        <w:rPr>
          <w:sz w:val="24"/>
        </w:rPr>
        <w:t>, as well as verifying the provision of any rebates</w:t>
      </w:r>
      <w:r w:rsidR="00DF32DE">
        <w:rPr>
          <w:sz w:val="24"/>
        </w:rPr>
        <w:t xml:space="preserve"> and the provisions of the rebate notices. </w:t>
      </w:r>
    </w:p>
    <w:p w:rsidR="00DF32DE" w:rsidRDefault="00DF32DE" w:rsidP="00105C96">
      <w:pPr>
        <w:ind w:left="360"/>
        <w:rPr>
          <w:sz w:val="24"/>
        </w:rPr>
      </w:pPr>
    </w:p>
    <w:p w:rsidR="005F2C7A" w:rsidRDefault="0054011C" w:rsidP="00DE4063">
      <w:pPr>
        <w:ind w:left="360"/>
        <w:rPr>
          <w:sz w:val="24"/>
        </w:rPr>
      </w:pPr>
      <w:r>
        <w:rPr>
          <w:sz w:val="24"/>
        </w:rPr>
        <w:t xml:space="preserve">The </w:t>
      </w:r>
      <w:r w:rsidR="00E020DA">
        <w:rPr>
          <w:sz w:val="24"/>
        </w:rPr>
        <w:t xml:space="preserve">standardized </w:t>
      </w:r>
      <w:r>
        <w:rPr>
          <w:sz w:val="24"/>
        </w:rPr>
        <w:t xml:space="preserve">notices will be used to ensure that consumers are receiving information about </w:t>
      </w:r>
      <w:r w:rsidR="008E021E">
        <w:rPr>
          <w:sz w:val="24"/>
        </w:rPr>
        <w:t xml:space="preserve">the rebate they will be receiving, </w:t>
      </w:r>
      <w:r>
        <w:rPr>
          <w:sz w:val="24"/>
        </w:rPr>
        <w:t>how their issuer is using health care premium dollars and about the value they are receiving for their premium dollar.  The notices will help provide greater transparency to consumers.</w:t>
      </w:r>
      <w:r w:rsidR="00DE4063">
        <w:rPr>
          <w:sz w:val="24"/>
        </w:rPr>
        <w:t xml:space="preserve">  </w:t>
      </w:r>
      <w:r>
        <w:rPr>
          <w:sz w:val="24"/>
        </w:rPr>
        <w:t xml:space="preserve">The recordkeeping requirements will be used by CMS to determine issuers’ compliance with the MLR requirements, including compliance with how issuers’ experience is to be reported, their MLR and any rebates owing are to be calculated, distribution of rebates </w:t>
      </w:r>
      <w:r w:rsidR="00DF32DE">
        <w:rPr>
          <w:sz w:val="24"/>
        </w:rPr>
        <w:t xml:space="preserve">and provisions of rebate notices. </w:t>
      </w:r>
    </w:p>
    <w:p w:rsidR="00EA6BC8" w:rsidRPr="0091396B" w:rsidRDefault="00EA6BC8" w:rsidP="00105C96">
      <w:pPr>
        <w:ind w:left="360"/>
        <w:rPr>
          <w:sz w:val="24"/>
        </w:rPr>
      </w:pPr>
    </w:p>
    <w:p w:rsidR="00EA6BC8" w:rsidRPr="0091396B" w:rsidRDefault="00EA6BC8" w:rsidP="00820EB7">
      <w:pPr>
        <w:numPr>
          <w:ilvl w:val="0"/>
          <w:numId w:val="1"/>
        </w:numPr>
        <w:rPr>
          <w:sz w:val="24"/>
        </w:rPr>
      </w:pPr>
      <w:r w:rsidRPr="0091396B">
        <w:rPr>
          <w:b/>
          <w:sz w:val="24"/>
          <w:u w:val="single"/>
        </w:rPr>
        <w:t>Use of Improved Information Technology and Burden Reduction</w:t>
      </w:r>
    </w:p>
    <w:p w:rsidR="00EA6BC8" w:rsidRPr="0091396B" w:rsidRDefault="00EA6BC8" w:rsidP="00820EB7">
      <w:pPr>
        <w:ind w:firstLine="720"/>
        <w:rPr>
          <w:sz w:val="24"/>
        </w:rPr>
      </w:pPr>
    </w:p>
    <w:p w:rsidR="001B5948" w:rsidRDefault="004857C9" w:rsidP="001B5948">
      <w:pPr>
        <w:pStyle w:val="Default"/>
        <w:ind w:left="360"/>
      </w:pPr>
      <w:r>
        <w:t>Each issuer will submit its</w:t>
      </w:r>
      <w:r w:rsidRPr="0091396B">
        <w:t xml:space="preserve"> annual report</w:t>
      </w:r>
      <w:r w:rsidRPr="00F97DB5">
        <w:t xml:space="preserve"> </w:t>
      </w:r>
      <w:r>
        <w:t>electronically</w:t>
      </w:r>
      <w:r w:rsidRPr="0091396B">
        <w:t xml:space="preserve"> to the Secretary for each respective State and market in which it conducts business. </w:t>
      </w:r>
      <w:r>
        <w:t xml:space="preserve">Information will be collected electronically through our HIOS </w:t>
      </w:r>
      <w:r w:rsidR="001B5948">
        <w:t xml:space="preserve">computer </w:t>
      </w:r>
      <w:r>
        <w:t xml:space="preserve">system. </w:t>
      </w:r>
      <w:r w:rsidR="00781823">
        <w:t>(OMB Control Number</w:t>
      </w:r>
      <w:r w:rsidR="00781823" w:rsidRPr="00AE1F0A">
        <w:t xml:space="preserve"> </w:t>
      </w:r>
      <w:r w:rsidR="00781823" w:rsidRPr="00327565">
        <w:rPr>
          <w:bCs/>
        </w:rPr>
        <w:t>0938-</w:t>
      </w:r>
      <w:r w:rsidR="00781823" w:rsidRPr="00781823">
        <w:rPr>
          <w:bCs/>
        </w:rPr>
        <w:t>1086.)</w:t>
      </w:r>
      <w:r w:rsidR="00781823">
        <w:rPr>
          <w:b/>
          <w:bCs/>
        </w:rPr>
        <w:t xml:space="preserve"> </w:t>
      </w:r>
      <w:r w:rsidR="001B5948">
        <w:t xml:space="preserve">This will require registration of the issuer, providing issuer information for the purpose of the collection, and will be the same process as used for the 2011 reporting year.  Issuers who have already registered with our MLR module within the HIOS system will not need to register again. </w:t>
      </w:r>
    </w:p>
    <w:p w:rsidR="00EA6BC8" w:rsidRPr="0091396B" w:rsidRDefault="00EA6BC8" w:rsidP="001B5948">
      <w:pPr>
        <w:pStyle w:val="Default"/>
        <w:ind w:left="360"/>
      </w:pPr>
    </w:p>
    <w:p w:rsidR="00EA6BC8" w:rsidRPr="0091396B" w:rsidRDefault="00EA6BC8" w:rsidP="00820EB7">
      <w:pPr>
        <w:numPr>
          <w:ilvl w:val="0"/>
          <w:numId w:val="1"/>
        </w:numPr>
        <w:rPr>
          <w:b/>
          <w:sz w:val="24"/>
        </w:rPr>
      </w:pPr>
      <w:r w:rsidRPr="0091396B">
        <w:rPr>
          <w:b/>
          <w:sz w:val="24"/>
          <w:u w:val="single"/>
        </w:rPr>
        <w:t>Efforts to  Identify Duplication and Use of Similar Information</w:t>
      </w:r>
    </w:p>
    <w:p w:rsidR="00EA6BC8" w:rsidRPr="0091396B" w:rsidRDefault="00EA6BC8" w:rsidP="00820EB7">
      <w:pPr>
        <w:ind w:left="720"/>
        <w:rPr>
          <w:b/>
          <w:sz w:val="24"/>
        </w:rPr>
      </w:pPr>
    </w:p>
    <w:p w:rsidR="00EA6BC8" w:rsidRPr="0091396B" w:rsidRDefault="00BD61C9" w:rsidP="00820EB7">
      <w:pPr>
        <w:ind w:left="360"/>
        <w:rPr>
          <w:sz w:val="24"/>
        </w:rPr>
      </w:pPr>
      <w:r>
        <w:rPr>
          <w:sz w:val="24"/>
        </w:rPr>
        <w:t>There are no similar information collections related to MLR</w:t>
      </w:r>
      <w:r w:rsidR="00EA6BC8" w:rsidRPr="0091396B">
        <w:rPr>
          <w:sz w:val="24"/>
        </w:rPr>
        <w:t xml:space="preserve">. </w:t>
      </w:r>
    </w:p>
    <w:p w:rsidR="00EA6BC8" w:rsidRPr="0091396B" w:rsidRDefault="00EA6BC8" w:rsidP="00820EB7">
      <w:pPr>
        <w:ind w:left="360"/>
        <w:rPr>
          <w:sz w:val="24"/>
        </w:rPr>
      </w:pPr>
    </w:p>
    <w:p w:rsidR="00EA6BC8" w:rsidRPr="0091396B" w:rsidRDefault="00EA6BC8" w:rsidP="00820EB7">
      <w:pPr>
        <w:numPr>
          <w:ilvl w:val="0"/>
          <w:numId w:val="1"/>
        </w:numPr>
        <w:rPr>
          <w:color w:val="000000"/>
          <w:sz w:val="24"/>
        </w:rPr>
      </w:pPr>
      <w:r w:rsidRPr="0091396B">
        <w:rPr>
          <w:b/>
          <w:sz w:val="24"/>
          <w:u w:val="single"/>
        </w:rPr>
        <w:lastRenderedPageBreak/>
        <w:t>Impact on Small Businesses or Other Small Entities</w:t>
      </w:r>
    </w:p>
    <w:p w:rsidR="00EA6BC8" w:rsidRPr="0091396B" w:rsidRDefault="00EA6BC8" w:rsidP="00820EB7">
      <w:pPr>
        <w:ind w:left="720"/>
        <w:rPr>
          <w:color w:val="000000"/>
          <w:sz w:val="24"/>
        </w:rPr>
      </w:pPr>
    </w:p>
    <w:p w:rsidR="00EA6BC8" w:rsidRPr="0091396B" w:rsidRDefault="00EA6BC8" w:rsidP="00820EB7">
      <w:pPr>
        <w:ind w:left="360"/>
        <w:rPr>
          <w:sz w:val="24"/>
        </w:rPr>
      </w:pPr>
      <w:r w:rsidRPr="0091396B">
        <w:rPr>
          <w:sz w:val="24"/>
        </w:rPr>
        <w:t xml:space="preserve">As stated in the Regulatory Impact Analysis of OCIIO-9998-IFC (75 FR 74864 (December 1, 2010)), CMS does not believe that the required submission of </w:t>
      </w:r>
      <w:r>
        <w:rPr>
          <w:sz w:val="24"/>
        </w:rPr>
        <w:t>annual</w:t>
      </w:r>
      <w:r w:rsidRPr="0091396B">
        <w:rPr>
          <w:sz w:val="24"/>
        </w:rPr>
        <w:t xml:space="preserve"> reports to the Secretary will have a significant impact on a substantial number of small entities. </w:t>
      </w:r>
      <w:r>
        <w:rPr>
          <w:sz w:val="24"/>
        </w:rPr>
        <w:t xml:space="preserve"> </w:t>
      </w:r>
      <w:r w:rsidRPr="0091396B">
        <w:rPr>
          <w:sz w:val="24"/>
        </w:rPr>
        <w:t xml:space="preserve">CMS estimates that of the </w:t>
      </w:r>
      <w:r w:rsidR="00D62CB1">
        <w:rPr>
          <w:sz w:val="24"/>
        </w:rPr>
        <w:t>5</w:t>
      </w:r>
      <w:r w:rsidR="003A1DA7">
        <w:rPr>
          <w:sz w:val="24"/>
        </w:rPr>
        <w:t>02</w:t>
      </w:r>
      <w:r w:rsidR="008E7361" w:rsidRPr="0091396B">
        <w:rPr>
          <w:sz w:val="24"/>
        </w:rPr>
        <w:t xml:space="preserve"> </w:t>
      </w:r>
      <w:r w:rsidRPr="0091396B">
        <w:rPr>
          <w:sz w:val="24"/>
        </w:rPr>
        <w:t xml:space="preserve">issuers who </w:t>
      </w:r>
      <w:r w:rsidRPr="00AF4047">
        <w:rPr>
          <w:sz w:val="24"/>
        </w:rPr>
        <w:t xml:space="preserve">must report annually to the Secretary in compliance with OCIIO-9998-IFC, there are only </w:t>
      </w:r>
      <w:r w:rsidR="00692450" w:rsidRPr="00AF4047">
        <w:rPr>
          <w:sz w:val="24"/>
        </w:rPr>
        <w:t xml:space="preserve">approximately </w:t>
      </w:r>
      <w:r w:rsidR="00111054" w:rsidRPr="00AF4047">
        <w:rPr>
          <w:sz w:val="24"/>
        </w:rPr>
        <w:t>2</w:t>
      </w:r>
      <w:r w:rsidR="00111054">
        <w:rPr>
          <w:sz w:val="24"/>
        </w:rPr>
        <w:t>2</w:t>
      </w:r>
      <w:r w:rsidR="00111054" w:rsidRPr="00AF4047">
        <w:rPr>
          <w:sz w:val="24"/>
        </w:rPr>
        <w:t xml:space="preserve"> </w:t>
      </w:r>
      <w:r w:rsidR="00692450" w:rsidRPr="00AF4047">
        <w:rPr>
          <w:sz w:val="24"/>
        </w:rPr>
        <w:t>small</w:t>
      </w:r>
      <w:r w:rsidR="00B625B5" w:rsidRPr="00AF4047">
        <w:rPr>
          <w:sz w:val="24"/>
        </w:rPr>
        <w:t xml:space="preserve"> entities, or roughly </w:t>
      </w:r>
      <w:r w:rsidR="00111054">
        <w:rPr>
          <w:sz w:val="24"/>
        </w:rPr>
        <w:t>four</w:t>
      </w:r>
      <w:r w:rsidR="00111054" w:rsidRPr="00AF4047">
        <w:rPr>
          <w:sz w:val="24"/>
        </w:rPr>
        <w:t xml:space="preserve"> </w:t>
      </w:r>
      <w:r w:rsidR="00B625B5" w:rsidRPr="00AF4047">
        <w:rPr>
          <w:sz w:val="24"/>
        </w:rPr>
        <w:t>percent,</w:t>
      </w:r>
      <w:r w:rsidR="00B625B5" w:rsidRPr="008E7361">
        <w:rPr>
          <w:sz w:val="24"/>
        </w:rPr>
        <w:t xml:space="preserve"> who must comply with the reporting mandate.</w:t>
      </w:r>
      <w:r w:rsidR="00134A9B">
        <w:rPr>
          <w:sz w:val="24"/>
        </w:rPr>
        <w:t xml:space="preserve">  </w:t>
      </w:r>
      <w:r w:rsidR="00134A9B" w:rsidRPr="00134A9B">
        <w:rPr>
          <w:sz w:val="24"/>
        </w:rPr>
        <w:t>Th</w:t>
      </w:r>
      <w:r w:rsidR="00134A9B">
        <w:rPr>
          <w:sz w:val="24"/>
        </w:rPr>
        <w:t>is estimate</w:t>
      </w:r>
      <w:r w:rsidR="00134A9B" w:rsidRPr="00134A9B">
        <w:rPr>
          <w:sz w:val="24"/>
        </w:rPr>
        <w:t xml:space="preserve"> may overstate the actual number of small health insurance issuers that would be affected, since </w:t>
      </w:r>
      <w:r w:rsidR="00134A9B">
        <w:rPr>
          <w:sz w:val="24"/>
        </w:rPr>
        <w:t>it</w:t>
      </w:r>
      <w:r w:rsidR="00134A9B" w:rsidRPr="00134A9B">
        <w:rPr>
          <w:sz w:val="24"/>
        </w:rPr>
        <w:t xml:space="preserve"> do</w:t>
      </w:r>
      <w:r w:rsidR="00134A9B">
        <w:rPr>
          <w:sz w:val="24"/>
        </w:rPr>
        <w:t>es</w:t>
      </w:r>
      <w:r w:rsidR="00134A9B" w:rsidRPr="00134A9B">
        <w:rPr>
          <w:sz w:val="24"/>
        </w:rPr>
        <w:t xml:space="preserve"> not include receipts from these companies’ other lines of business.</w:t>
      </w:r>
    </w:p>
    <w:p w:rsidR="00EA6BC8" w:rsidRPr="0091396B" w:rsidRDefault="00EA6BC8" w:rsidP="00820EB7">
      <w:pPr>
        <w:ind w:left="360"/>
        <w:rPr>
          <w:sz w:val="24"/>
        </w:rPr>
      </w:pPr>
    </w:p>
    <w:p w:rsidR="00EA6BC8" w:rsidRPr="0091396B" w:rsidRDefault="00EA6BC8" w:rsidP="00820EB7">
      <w:pPr>
        <w:numPr>
          <w:ilvl w:val="0"/>
          <w:numId w:val="1"/>
        </w:numPr>
        <w:rPr>
          <w:b/>
          <w:sz w:val="24"/>
        </w:rPr>
      </w:pPr>
      <w:r w:rsidRPr="0091396B">
        <w:rPr>
          <w:b/>
          <w:sz w:val="24"/>
          <w:u w:val="single"/>
        </w:rPr>
        <w:t>Consequences of Collecting the Information Less Frequent</w:t>
      </w:r>
      <w:r w:rsidR="00545E52">
        <w:rPr>
          <w:b/>
          <w:sz w:val="24"/>
          <w:u w:val="single"/>
        </w:rPr>
        <w:t>ly</w:t>
      </w:r>
      <w:r w:rsidRPr="0091396B">
        <w:rPr>
          <w:b/>
          <w:sz w:val="24"/>
          <w:u w:val="single"/>
        </w:rPr>
        <w:t xml:space="preserve"> </w:t>
      </w:r>
    </w:p>
    <w:p w:rsidR="00EA6BC8" w:rsidRDefault="00BD61C9" w:rsidP="003C0857">
      <w:pPr>
        <w:widowControl/>
        <w:autoSpaceDE/>
        <w:autoSpaceDN/>
        <w:adjustRightInd/>
        <w:spacing w:before="100" w:beforeAutospacing="1" w:after="100" w:afterAutospacing="1"/>
        <w:ind w:left="360"/>
        <w:rPr>
          <w:sz w:val="24"/>
        </w:rPr>
      </w:pPr>
      <w:r>
        <w:rPr>
          <w:sz w:val="24"/>
        </w:rPr>
        <w:t xml:space="preserve">Section 2718 of the PHS Act requires reports to be submitted annually. CMS will use the information reported </w:t>
      </w:r>
      <w:r w:rsidR="00EA6BC8">
        <w:rPr>
          <w:sz w:val="24"/>
        </w:rPr>
        <w:t xml:space="preserve">to assess whether each issuer is in fact providing </w:t>
      </w:r>
      <w:r w:rsidR="008E7361">
        <w:rPr>
          <w:sz w:val="24"/>
        </w:rPr>
        <w:t>policyholder</w:t>
      </w:r>
      <w:r w:rsidR="00EA6BC8">
        <w:rPr>
          <w:sz w:val="24"/>
        </w:rPr>
        <w:t>s with health care value in return for their premium dollars.</w:t>
      </w:r>
      <w:r w:rsidR="00EA6BC8" w:rsidRPr="0091396B">
        <w:rPr>
          <w:sz w:val="24"/>
        </w:rPr>
        <w:t xml:space="preserve"> </w:t>
      </w:r>
    </w:p>
    <w:p w:rsidR="00DD1245" w:rsidRPr="00037B29" w:rsidRDefault="0054011C" w:rsidP="003C0857">
      <w:pPr>
        <w:widowControl/>
        <w:autoSpaceDE/>
        <w:autoSpaceDN/>
        <w:adjustRightInd/>
        <w:spacing w:before="100" w:beforeAutospacing="1" w:after="100" w:afterAutospacing="1"/>
        <w:ind w:left="360"/>
        <w:rPr>
          <w:sz w:val="24"/>
        </w:rPr>
      </w:pPr>
      <w:r>
        <w:rPr>
          <w:sz w:val="24"/>
        </w:rPr>
        <w:t xml:space="preserve">Regarding notices, section 2718 of the PHS Act requires issuers to provide rebates annually if they do not meet the applicable MLR standard.  Since rebates are provided annually, notices of rebates are required to be provided to </w:t>
      </w:r>
      <w:r w:rsidR="008E7361">
        <w:rPr>
          <w:sz w:val="24"/>
        </w:rPr>
        <w:t>policyholder</w:t>
      </w:r>
      <w:r>
        <w:rPr>
          <w:sz w:val="24"/>
        </w:rPr>
        <w:t xml:space="preserve">s annually in order to inform </w:t>
      </w:r>
      <w:r w:rsidR="008E7361">
        <w:rPr>
          <w:sz w:val="24"/>
        </w:rPr>
        <w:t>policyholder</w:t>
      </w:r>
      <w:r>
        <w:rPr>
          <w:sz w:val="24"/>
        </w:rPr>
        <w:t>s about any rebates owing.</w:t>
      </w:r>
    </w:p>
    <w:p w:rsidR="00EA6BC8" w:rsidRPr="0091396B" w:rsidRDefault="00EA6BC8" w:rsidP="00820EB7">
      <w:pPr>
        <w:numPr>
          <w:ilvl w:val="0"/>
          <w:numId w:val="1"/>
        </w:numPr>
        <w:rPr>
          <w:b/>
          <w:sz w:val="24"/>
        </w:rPr>
      </w:pPr>
      <w:r w:rsidRPr="0091396B">
        <w:rPr>
          <w:b/>
          <w:sz w:val="24"/>
          <w:u w:val="single"/>
        </w:rPr>
        <w:t>Special Circumstances Relating to the Guidelines of 5 CFR 1320.5</w:t>
      </w:r>
    </w:p>
    <w:p w:rsidR="00EA6BC8" w:rsidRPr="0091396B" w:rsidRDefault="00EA6BC8" w:rsidP="00820EB7">
      <w:pPr>
        <w:rPr>
          <w:b/>
          <w:sz w:val="24"/>
        </w:rPr>
      </w:pPr>
    </w:p>
    <w:p w:rsidR="00EA6BC8" w:rsidRPr="0091396B" w:rsidRDefault="00EA6BC8" w:rsidP="00820EB7">
      <w:pPr>
        <w:ind w:left="360"/>
        <w:rPr>
          <w:b/>
          <w:sz w:val="24"/>
        </w:rPr>
      </w:pPr>
      <w:r w:rsidRPr="0091396B">
        <w:rPr>
          <w:sz w:val="24"/>
        </w:rPr>
        <w:t>No special circumstance</w:t>
      </w:r>
      <w:r w:rsidR="00BD61C9">
        <w:rPr>
          <w:sz w:val="24"/>
        </w:rPr>
        <w:t>s apply to these collections</w:t>
      </w:r>
      <w:r w:rsidRPr="0091396B">
        <w:rPr>
          <w:sz w:val="24"/>
        </w:rPr>
        <w:t>.</w:t>
      </w:r>
    </w:p>
    <w:p w:rsidR="00EA6BC8" w:rsidRPr="0091396B" w:rsidRDefault="00EA6BC8" w:rsidP="00820EB7">
      <w:pPr>
        <w:ind w:left="360"/>
        <w:rPr>
          <w:sz w:val="24"/>
        </w:rPr>
      </w:pPr>
    </w:p>
    <w:p w:rsidR="00EA6BC8" w:rsidRPr="0091396B" w:rsidRDefault="00EA6BC8" w:rsidP="00820EB7">
      <w:pPr>
        <w:numPr>
          <w:ilvl w:val="0"/>
          <w:numId w:val="1"/>
        </w:numPr>
        <w:rPr>
          <w:b/>
          <w:sz w:val="24"/>
        </w:rPr>
      </w:pPr>
      <w:r w:rsidRPr="0091396B">
        <w:rPr>
          <w:b/>
          <w:iCs/>
          <w:sz w:val="24"/>
          <w:u w:val="single"/>
        </w:rPr>
        <w:t>Comments in Response to the Federal Register</w:t>
      </w:r>
      <w:r w:rsidRPr="0091396B">
        <w:rPr>
          <w:b/>
          <w:sz w:val="24"/>
          <w:u w:val="single"/>
        </w:rPr>
        <w:t xml:space="preserve"> Notice</w:t>
      </w:r>
    </w:p>
    <w:p w:rsidR="003744B2" w:rsidRPr="003744B2" w:rsidRDefault="003744B2" w:rsidP="003744B2">
      <w:pPr>
        <w:spacing w:before="240" w:after="240"/>
        <w:ind w:left="360"/>
        <w:rPr>
          <w:sz w:val="24"/>
        </w:rPr>
      </w:pPr>
      <w:r w:rsidRPr="003744B2">
        <w:rPr>
          <w:sz w:val="24"/>
        </w:rPr>
        <w:t>CMS received 4 public comments</w:t>
      </w:r>
      <w:r w:rsidR="00B33A51">
        <w:rPr>
          <w:sz w:val="24"/>
        </w:rPr>
        <w:t xml:space="preserve"> </w:t>
      </w:r>
      <w:r w:rsidRPr="003744B2">
        <w:rPr>
          <w:sz w:val="24"/>
        </w:rPr>
        <w:t>on 2</w:t>
      </w:r>
      <w:r w:rsidR="00CB278C">
        <w:rPr>
          <w:sz w:val="24"/>
        </w:rPr>
        <w:t>5</w:t>
      </w:r>
      <w:r w:rsidRPr="003744B2">
        <w:rPr>
          <w:sz w:val="24"/>
        </w:rPr>
        <w:t xml:space="preserve"> specific issues regarding the notice of the revised Medical Loss Ratio (MLR) PRA package published in the Federal Register on December 4, 2012 (77 FR 71801). The comment period closed on February 4, 2013. Comments were received from America’s Health Insurance Plans (AHIP), Blue Cross and Blue Shield Association (BCBSA), Cigna</w:t>
      </w:r>
      <w:r w:rsidR="000242A9">
        <w:rPr>
          <w:sz w:val="24"/>
        </w:rPr>
        <w:t>,</w:t>
      </w:r>
      <w:r w:rsidRPr="003744B2">
        <w:rPr>
          <w:sz w:val="24"/>
        </w:rPr>
        <w:t xml:space="preserve"> and Prudential. </w:t>
      </w:r>
    </w:p>
    <w:p w:rsidR="003744B2" w:rsidRPr="003744B2" w:rsidRDefault="003744B2" w:rsidP="003744B2">
      <w:pPr>
        <w:spacing w:before="240" w:after="240"/>
        <w:ind w:left="360"/>
        <w:rPr>
          <w:sz w:val="24"/>
        </w:rPr>
      </w:pPr>
      <w:r w:rsidRPr="003744B2">
        <w:rPr>
          <w:sz w:val="24"/>
        </w:rPr>
        <w:t>The PRA package contains the version of the MLR Annual Reporting Form for the 2012 MLR reporting year, which health insurance issuers must file with CMS by June 1, 2013, and the instructions for completing the form.  It modifies the MLR Annual Reporting Form appro</w:t>
      </w:r>
      <w:r w:rsidR="00ED4265">
        <w:rPr>
          <w:sz w:val="24"/>
        </w:rPr>
        <w:t>ved by OMB, on May 11, 2012</w:t>
      </w:r>
      <w:r w:rsidR="00FF26D8">
        <w:rPr>
          <w:sz w:val="24"/>
        </w:rPr>
        <w:t xml:space="preserve">, </w:t>
      </w:r>
      <w:r w:rsidR="00FF26D8" w:rsidRPr="003744B2">
        <w:rPr>
          <w:sz w:val="24"/>
        </w:rPr>
        <w:t xml:space="preserve">OCN </w:t>
      </w:r>
      <w:r w:rsidR="00FF26D8">
        <w:rPr>
          <w:sz w:val="24"/>
        </w:rPr>
        <w:t>0938-</w:t>
      </w:r>
      <w:r w:rsidRPr="003744B2">
        <w:rPr>
          <w:sz w:val="24"/>
        </w:rPr>
        <w:t xml:space="preserve">1164 for the 2011 MLR reporting year.  </w:t>
      </w:r>
    </w:p>
    <w:p w:rsidR="00781823" w:rsidRDefault="003744B2" w:rsidP="005A1A4C">
      <w:pPr>
        <w:spacing w:before="240" w:after="240"/>
        <w:ind w:left="360"/>
        <w:rPr>
          <w:sz w:val="24"/>
        </w:rPr>
      </w:pPr>
      <w:r w:rsidRPr="003744B2">
        <w:rPr>
          <w:sz w:val="24"/>
        </w:rPr>
        <w:t xml:space="preserve">The comments CMS received regarding the MLR Annual Reporting Form and Instructions are summarized </w:t>
      </w:r>
      <w:r>
        <w:rPr>
          <w:sz w:val="24"/>
        </w:rPr>
        <w:t>and attached</w:t>
      </w:r>
      <w:r w:rsidRPr="003744B2">
        <w:rPr>
          <w:sz w:val="24"/>
        </w:rPr>
        <w:t xml:space="preserve">.  Most of the comments addressed clarifying the instructions or correcting typographical errors, the removal of calculated cells and the issuer’s ability to copy and paste data onto the form, and the inclusion of a credibility indicator for small issuers </w:t>
      </w:r>
      <w:r w:rsidR="000242A9">
        <w:rPr>
          <w:sz w:val="24"/>
        </w:rPr>
        <w:t>so that small issuers would not need to complete the full MLR reporting form</w:t>
      </w:r>
      <w:r w:rsidRPr="003744B2">
        <w:rPr>
          <w:sz w:val="24"/>
        </w:rPr>
        <w:t xml:space="preserve">. The </w:t>
      </w:r>
      <w:r>
        <w:rPr>
          <w:sz w:val="24"/>
        </w:rPr>
        <w:t>attached document</w:t>
      </w:r>
      <w:r w:rsidRPr="003744B2">
        <w:rPr>
          <w:sz w:val="24"/>
        </w:rPr>
        <w:t xml:space="preserve"> sets forth each comment and our response. </w:t>
      </w:r>
    </w:p>
    <w:p w:rsidR="000F5584" w:rsidRDefault="000F5584">
      <w:pPr>
        <w:widowControl/>
        <w:autoSpaceDE/>
        <w:autoSpaceDN/>
        <w:adjustRightInd/>
        <w:rPr>
          <w:rFonts w:eastAsia="Calibri"/>
          <w:sz w:val="24"/>
        </w:rPr>
      </w:pPr>
      <w:r>
        <w:rPr>
          <w:rFonts w:eastAsia="Calibri"/>
          <w:sz w:val="24"/>
        </w:rPr>
        <w:br w:type="page"/>
      </w:r>
    </w:p>
    <w:p w:rsidR="00EA6BC8" w:rsidRPr="0091396B" w:rsidRDefault="00EA6BC8" w:rsidP="00820EB7">
      <w:pPr>
        <w:numPr>
          <w:ilvl w:val="0"/>
          <w:numId w:val="1"/>
        </w:numPr>
        <w:rPr>
          <w:b/>
          <w:sz w:val="24"/>
        </w:rPr>
      </w:pPr>
      <w:r w:rsidRPr="0091396B">
        <w:rPr>
          <w:b/>
          <w:sz w:val="24"/>
          <w:u w:val="single"/>
        </w:rPr>
        <w:lastRenderedPageBreak/>
        <w:t>Explanation of any Payment/Gift to Respondents</w:t>
      </w:r>
    </w:p>
    <w:p w:rsidR="00EA6BC8" w:rsidRPr="0091396B" w:rsidRDefault="00EA6BC8" w:rsidP="00820EB7">
      <w:pPr>
        <w:rPr>
          <w:b/>
          <w:sz w:val="24"/>
        </w:rPr>
      </w:pPr>
    </w:p>
    <w:p w:rsidR="00EA6BC8" w:rsidRDefault="00EA6BC8" w:rsidP="00D040C3">
      <w:pPr>
        <w:ind w:left="360"/>
        <w:rPr>
          <w:bCs/>
          <w:sz w:val="24"/>
        </w:rPr>
      </w:pPr>
      <w:r w:rsidRPr="0091396B">
        <w:rPr>
          <w:bCs/>
          <w:sz w:val="24"/>
        </w:rPr>
        <w:t>Respondents will not receive any payments or gifts as a condition of complying with this information collection request.</w:t>
      </w:r>
    </w:p>
    <w:p w:rsidR="00981C6B" w:rsidRDefault="00981C6B" w:rsidP="00D040C3">
      <w:pPr>
        <w:ind w:left="360"/>
        <w:rPr>
          <w:bCs/>
          <w:sz w:val="24"/>
        </w:rPr>
      </w:pPr>
    </w:p>
    <w:p w:rsidR="00EA6BC8" w:rsidRPr="0091396B" w:rsidRDefault="00EA6BC8" w:rsidP="00D040C3">
      <w:pPr>
        <w:numPr>
          <w:ilvl w:val="0"/>
          <w:numId w:val="1"/>
        </w:numPr>
        <w:rPr>
          <w:b/>
          <w:sz w:val="24"/>
        </w:rPr>
      </w:pPr>
      <w:r w:rsidRPr="0091396B">
        <w:rPr>
          <w:b/>
          <w:sz w:val="24"/>
          <w:u w:val="single"/>
        </w:rPr>
        <w:t>Assurance of Confidentiality Provided to Respondents</w:t>
      </w:r>
    </w:p>
    <w:p w:rsidR="00EA6BC8" w:rsidRPr="0091396B" w:rsidRDefault="00EA6BC8" w:rsidP="00820EB7">
      <w:pPr>
        <w:ind w:left="720"/>
        <w:rPr>
          <w:b/>
          <w:sz w:val="24"/>
        </w:rPr>
      </w:pPr>
    </w:p>
    <w:p w:rsidR="00EA6BC8" w:rsidRPr="0091396B" w:rsidRDefault="00EA6BC8" w:rsidP="00820EB7">
      <w:pPr>
        <w:ind w:left="360"/>
        <w:rPr>
          <w:sz w:val="24"/>
        </w:rPr>
      </w:pPr>
      <w:r>
        <w:rPr>
          <w:sz w:val="24"/>
        </w:rPr>
        <w:t xml:space="preserve">As required by section 2718(a) of the PHS Act, </w:t>
      </w:r>
      <w:r w:rsidRPr="0091396B">
        <w:rPr>
          <w:sz w:val="24"/>
        </w:rPr>
        <w:t xml:space="preserve">CMS does intend to publish issuers’ annual reports on </w:t>
      </w:r>
      <w:r>
        <w:rPr>
          <w:sz w:val="24"/>
        </w:rPr>
        <w:t xml:space="preserve">its internet </w:t>
      </w:r>
      <w:r w:rsidRPr="0091396B">
        <w:rPr>
          <w:sz w:val="24"/>
        </w:rPr>
        <w:t xml:space="preserve">website. </w:t>
      </w:r>
      <w:r>
        <w:rPr>
          <w:sz w:val="24"/>
        </w:rPr>
        <w:t xml:space="preserve"> </w:t>
      </w:r>
      <w:r w:rsidRPr="0091396B">
        <w:rPr>
          <w:sz w:val="24"/>
        </w:rPr>
        <w:t>However, no individually identifiable personal health information will be collected and consequently</w:t>
      </w:r>
      <w:r w:rsidR="007C32B1">
        <w:rPr>
          <w:sz w:val="24"/>
        </w:rPr>
        <w:t>,</w:t>
      </w:r>
      <w:r w:rsidR="007C32B1" w:rsidRPr="007C32B1">
        <w:rPr>
          <w:sz w:val="24"/>
        </w:rPr>
        <w:t xml:space="preserve"> </w:t>
      </w:r>
      <w:r w:rsidR="007C32B1" w:rsidRPr="0091396B">
        <w:rPr>
          <w:sz w:val="24"/>
        </w:rPr>
        <w:t>cannot</w:t>
      </w:r>
      <w:r w:rsidRPr="0091396B">
        <w:rPr>
          <w:sz w:val="24"/>
        </w:rPr>
        <w:t xml:space="preserve">, be disclosed. </w:t>
      </w:r>
    </w:p>
    <w:p w:rsidR="00EA6BC8" w:rsidRDefault="00EA6BC8" w:rsidP="00820EB7">
      <w:pPr>
        <w:ind w:firstLine="720"/>
        <w:rPr>
          <w:sz w:val="24"/>
        </w:rPr>
      </w:pPr>
    </w:p>
    <w:p w:rsidR="00EA6BC8" w:rsidRPr="0091396B" w:rsidRDefault="00EA6BC8" w:rsidP="00820EB7">
      <w:pPr>
        <w:numPr>
          <w:ilvl w:val="0"/>
          <w:numId w:val="1"/>
        </w:numPr>
        <w:rPr>
          <w:b/>
          <w:sz w:val="24"/>
        </w:rPr>
      </w:pPr>
      <w:r w:rsidRPr="0091396B">
        <w:rPr>
          <w:b/>
          <w:sz w:val="24"/>
          <w:u w:val="single"/>
        </w:rPr>
        <w:t>Justification for Sensitive Questions</w:t>
      </w:r>
    </w:p>
    <w:p w:rsidR="00EA6BC8" w:rsidRPr="0091396B" w:rsidRDefault="00EA6BC8" w:rsidP="00820EB7">
      <w:pPr>
        <w:rPr>
          <w:b/>
          <w:sz w:val="24"/>
        </w:rPr>
      </w:pPr>
    </w:p>
    <w:p w:rsidR="00EA6BC8" w:rsidRDefault="00CB33E5" w:rsidP="00820EB7">
      <w:pPr>
        <w:ind w:left="360"/>
        <w:rPr>
          <w:sz w:val="24"/>
        </w:rPr>
      </w:pPr>
      <w:r>
        <w:rPr>
          <w:sz w:val="24"/>
        </w:rPr>
        <w:t>These collections do not contain sensitive questions.</w:t>
      </w:r>
    </w:p>
    <w:p w:rsidR="00DE4063" w:rsidRPr="0091396B" w:rsidRDefault="00DE4063" w:rsidP="00820EB7">
      <w:pPr>
        <w:ind w:left="360"/>
        <w:rPr>
          <w:sz w:val="24"/>
        </w:rPr>
      </w:pPr>
    </w:p>
    <w:p w:rsidR="00EA6BC8" w:rsidRPr="0091396B" w:rsidRDefault="00EA6BC8" w:rsidP="00F50341">
      <w:pPr>
        <w:rPr>
          <w:b/>
          <w:sz w:val="24"/>
        </w:rPr>
      </w:pPr>
      <w:r w:rsidRPr="0091396B">
        <w:rPr>
          <w:b/>
          <w:sz w:val="24"/>
        </w:rPr>
        <w:t xml:space="preserve">12.  </w:t>
      </w:r>
      <w:r w:rsidRPr="0091396B">
        <w:rPr>
          <w:b/>
          <w:sz w:val="24"/>
          <w:u w:val="single"/>
        </w:rPr>
        <w:t xml:space="preserve">Estimates of Annualized Burden Hours </w:t>
      </w:r>
      <w:r w:rsidRPr="0091396B">
        <w:rPr>
          <w:b/>
          <w:sz w:val="24"/>
        </w:rPr>
        <w:t>(Total Hours and Wages)</w:t>
      </w:r>
    </w:p>
    <w:p w:rsidR="00EA6BC8" w:rsidRPr="0091396B" w:rsidRDefault="00EA6BC8" w:rsidP="00820EB7">
      <w:pPr>
        <w:ind w:left="360"/>
        <w:rPr>
          <w:sz w:val="24"/>
        </w:rPr>
      </w:pPr>
    </w:p>
    <w:p w:rsidR="00DA40BE" w:rsidRDefault="00CB33E5" w:rsidP="00DA40BE">
      <w:pPr>
        <w:widowControl/>
        <w:ind w:left="360"/>
        <w:rPr>
          <w:sz w:val="24"/>
        </w:rPr>
      </w:pPr>
      <w:r w:rsidRPr="00CB33E5">
        <w:rPr>
          <w:sz w:val="24"/>
        </w:rPr>
        <w:t>The</w:t>
      </w:r>
      <w:r>
        <w:rPr>
          <w:sz w:val="24"/>
        </w:rPr>
        <w:t xml:space="preserve"> burden estimates associated with the annual report, </w:t>
      </w:r>
      <w:r w:rsidR="006558E6">
        <w:rPr>
          <w:sz w:val="24"/>
        </w:rPr>
        <w:t xml:space="preserve">rebate notice, </w:t>
      </w:r>
      <w:r w:rsidR="00AF12D7">
        <w:rPr>
          <w:sz w:val="24"/>
        </w:rPr>
        <w:t xml:space="preserve">rebate disbursements </w:t>
      </w:r>
      <w:r w:rsidR="00204CEE" w:rsidRPr="004968A5">
        <w:rPr>
          <w:sz w:val="24"/>
        </w:rPr>
        <w:t>and recordkeeping requirement</w:t>
      </w:r>
      <w:r>
        <w:rPr>
          <w:sz w:val="24"/>
        </w:rPr>
        <w:t>s are discussed below.</w:t>
      </w:r>
      <w:r w:rsidR="00AA52B5">
        <w:rPr>
          <w:sz w:val="24"/>
        </w:rPr>
        <w:t xml:space="preserve">  </w:t>
      </w:r>
      <w:r w:rsidR="00DA40BE">
        <w:rPr>
          <w:sz w:val="24"/>
        </w:rPr>
        <w:t xml:space="preserve">We have updated the burden estimates based on the MLR experience for the 2011 reporting year.   </w:t>
      </w:r>
      <w:r w:rsidR="00701DEA" w:rsidRPr="004857C9">
        <w:rPr>
          <w:sz w:val="24"/>
        </w:rPr>
        <w:t xml:space="preserve">We estimate that each annual filing and rebate disbursement cycle will require on average slightly more </w:t>
      </w:r>
      <w:r w:rsidR="00701DEA" w:rsidRPr="003B4A5F">
        <w:rPr>
          <w:sz w:val="24"/>
        </w:rPr>
        <w:t xml:space="preserve">than </w:t>
      </w:r>
      <w:r w:rsidR="00701DEA">
        <w:rPr>
          <w:sz w:val="24"/>
        </w:rPr>
        <w:t>214</w:t>
      </w:r>
      <w:r w:rsidR="00701DEA" w:rsidRPr="003B4A5F">
        <w:rPr>
          <w:sz w:val="24"/>
        </w:rPr>
        <w:t xml:space="preserve"> person-days of effort per issuer (</w:t>
      </w:r>
      <w:r w:rsidR="00157392">
        <w:rPr>
          <w:sz w:val="24"/>
        </w:rPr>
        <w:t xml:space="preserve">approximately </w:t>
      </w:r>
      <w:r w:rsidR="00701DEA">
        <w:rPr>
          <w:sz w:val="24"/>
        </w:rPr>
        <w:t>1713</w:t>
      </w:r>
      <w:r w:rsidR="00701DEA" w:rsidRPr="003B4A5F">
        <w:rPr>
          <w:sz w:val="24"/>
        </w:rPr>
        <w:t xml:space="preserve"> burden hours divided by 8-hour work days).</w:t>
      </w:r>
      <w:r w:rsidR="00701DEA">
        <w:rPr>
          <w:sz w:val="24"/>
        </w:rPr>
        <w:t xml:space="preserve">  </w:t>
      </w:r>
      <w:r w:rsidR="00DA40BE">
        <w:rPr>
          <w:sz w:val="24"/>
        </w:rPr>
        <w:t xml:space="preserve">One-time set up costs </w:t>
      </w:r>
      <w:r w:rsidR="00586CD3">
        <w:rPr>
          <w:sz w:val="24"/>
        </w:rPr>
        <w:t xml:space="preserve">for producing annual reports </w:t>
      </w:r>
      <w:r w:rsidR="00DA40BE">
        <w:rPr>
          <w:sz w:val="24"/>
        </w:rPr>
        <w:t>are not included in these burden estimates because they have already been incurred and do not apply to the 2012 MLR reporting year</w:t>
      </w:r>
      <w:r w:rsidR="00581B73">
        <w:rPr>
          <w:sz w:val="24"/>
        </w:rPr>
        <w:t xml:space="preserve"> and subsequent years. </w:t>
      </w:r>
    </w:p>
    <w:p w:rsidR="00CB33E5" w:rsidRPr="00CB33E5" w:rsidRDefault="00CB33E5" w:rsidP="004857C9">
      <w:pPr>
        <w:widowControl/>
        <w:ind w:left="360"/>
        <w:rPr>
          <w:sz w:val="24"/>
        </w:rPr>
      </w:pPr>
    </w:p>
    <w:p w:rsidR="00CB33E5" w:rsidRDefault="00CB33E5" w:rsidP="00CB33E5">
      <w:pPr>
        <w:widowControl/>
        <w:ind w:left="360"/>
        <w:rPr>
          <w:b/>
          <w:sz w:val="24"/>
        </w:rPr>
      </w:pPr>
      <w:r>
        <w:rPr>
          <w:b/>
          <w:sz w:val="24"/>
        </w:rPr>
        <w:t>Annual MLR Report, Including MLR and Rebate Calculations and Information Regarding Prior Year Rebates</w:t>
      </w:r>
    </w:p>
    <w:p w:rsidR="00CB33E5" w:rsidRDefault="00CB33E5" w:rsidP="00CB33E5">
      <w:pPr>
        <w:widowControl/>
        <w:ind w:left="360"/>
        <w:rPr>
          <w:b/>
          <w:sz w:val="24"/>
        </w:rPr>
      </w:pPr>
    </w:p>
    <w:p w:rsidR="007A34B2" w:rsidRDefault="004857C9" w:rsidP="004857C9">
      <w:pPr>
        <w:widowControl/>
        <w:ind w:left="360"/>
        <w:rPr>
          <w:sz w:val="24"/>
        </w:rPr>
      </w:pPr>
      <w:r w:rsidRPr="0091396B">
        <w:rPr>
          <w:sz w:val="24"/>
        </w:rPr>
        <w:t xml:space="preserve">An issuer is required to submit an annual report to the Secretary for each </w:t>
      </w:r>
      <w:r w:rsidR="00A85254">
        <w:rPr>
          <w:sz w:val="24"/>
        </w:rPr>
        <w:t xml:space="preserve">State and </w:t>
      </w:r>
      <w:r w:rsidRPr="0091396B">
        <w:rPr>
          <w:sz w:val="24"/>
        </w:rPr>
        <w:t xml:space="preserve">market segment in which it issues health insurance coverage. </w:t>
      </w:r>
      <w:r>
        <w:rPr>
          <w:sz w:val="24"/>
        </w:rPr>
        <w:t xml:space="preserve"> </w:t>
      </w:r>
      <w:r w:rsidRPr="0091396B">
        <w:rPr>
          <w:sz w:val="24"/>
        </w:rPr>
        <w:t>As described in the regulatory impact analysis</w:t>
      </w:r>
      <w:r>
        <w:rPr>
          <w:sz w:val="24"/>
        </w:rPr>
        <w:t xml:space="preserve"> (RIA)</w:t>
      </w:r>
      <w:r w:rsidRPr="004F71D5">
        <w:rPr>
          <w:sz w:val="24"/>
        </w:rPr>
        <w:t xml:space="preserve"> </w:t>
      </w:r>
      <w:r w:rsidRPr="0091396B">
        <w:rPr>
          <w:sz w:val="24"/>
        </w:rPr>
        <w:t>of OCIIO-9998-IFC</w:t>
      </w:r>
      <w:r>
        <w:rPr>
          <w:sz w:val="24"/>
        </w:rPr>
        <w:t>,</w:t>
      </w:r>
      <w:r w:rsidRPr="0091396B">
        <w:rPr>
          <w:sz w:val="24"/>
        </w:rPr>
        <w:t xml:space="preserve"> the preparation and submission of reports is expected to require a mix of skills</w:t>
      </w:r>
      <w:r>
        <w:rPr>
          <w:sz w:val="24"/>
        </w:rPr>
        <w:t>.</w:t>
      </w:r>
      <w:r w:rsidRPr="00783926">
        <w:rPr>
          <w:sz w:val="24"/>
        </w:rPr>
        <w:t xml:space="preserve"> </w:t>
      </w:r>
      <w:r>
        <w:rPr>
          <w:sz w:val="24"/>
        </w:rPr>
        <w:t xml:space="preserve">We also estimate that issuers will use a mixture of professional staff, accounting staff, and clerical staff to prepare, review, and issue </w:t>
      </w:r>
      <w:r w:rsidR="00A85254">
        <w:rPr>
          <w:sz w:val="24"/>
        </w:rPr>
        <w:t xml:space="preserve">rebate notices and </w:t>
      </w:r>
      <w:r>
        <w:rPr>
          <w:sz w:val="24"/>
        </w:rPr>
        <w:t xml:space="preserve">rebate checks or premium credits, and to perform recordkeeping activities and to upload the report to the HIOS </w:t>
      </w:r>
      <w:r w:rsidR="00CA1F06">
        <w:rPr>
          <w:sz w:val="24"/>
        </w:rPr>
        <w:t>system. The average hourly compensation, including fringe benefits and overhead expenses is $53.44 for ongoing annual reporting.</w:t>
      </w:r>
      <w:r w:rsidRPr="0091396B">
        <w:rPr>
          <w:sz w:val="24"/>
        </w:rPr>
        <w:t xml:space="preserve">  </w:t>
      </w:r>
    </w:p>
    <w:p w:rsidR="00AA52B5" w:rsidRDefault="00AA52B5" w:rsidP="004857C9">
      <w:pPr>
        <w:widowControl/>
        <w:ind w:left="360"/>
        <w:rPr>
          <w:sz w:val="24"/>
        </w:rPr>
      </w:pPr>
    </w:p>
    <w:p w:rsidR="00DE4063" w:rsidRDefault="00CB33E5" w:rsidP="00CB33E5">
      <w:pPr>
        <w:widowControl/>
        <w:ind w:left="360"/>
        <w:rPr>
          <w:sz w:val="24"/>
        </w:rPr>
      </w:pPr>
      <w:r>
        <w:rPr>
          <w:sz w:val="24"/>
        </w:rPr>
        <w:t xml:space="preserve">As set out in </w:t>
      </w:r>
      <w:r w:rsidR="007C32B1">
        <w:rPr>
          <w:sz w:val="24"/>
        </w:rPr>
        <w:t>45</w:t>
      </w:r>
      <w:r w:rsidR="0022747B">
        <w:rPr>
          <w:sz w:val="24"/>
        </w:rPr>
        <w:t xml:space="preserve"> </w:t>
      </w:r>
      <w:r w:rsidR="007C32B1">
        <w:rPr>
          <w:sz w:val="24"/>
        </w:rPr>
        <w:t>CFR</w:t>
      </w:r>
      <w:r w:rsidR="00582DB8">
        <w:rPr>
          <w:sz w:val="24"/>
        </w:rPr>
        <w:t xml:space="preserve"> §</w:t>
      </w:r>
      <w:r w:rsidR="0010037B">
        <w:rPr>
          <w:sz w:val="24"/>
        </w:rPr>
        <w:t>158.260</w:t>
      </w:r>
      <w:r w:rsidR="007C32B1">
        <w:rPr>
          <w:sz w:val="24"/>
        </w:rPr>
        <w:t>,</w:t>
      </w:r>
      <w:r>
        <w:rPr>
          <w:sz w:val="24"/>
        </w:rPr>
        <w:t xml:space="preserve"> t</w:t>
      </w:r>
      <w:r w:rsidR="00EA6BC8">
        <w:rPr>
          <w:sz w:val="24"/>
        </w:rPr>
        <w:t xml:space="preserve">he annual report to the Secretary is comprised of three parts:  data </w:t>
      </w:r>
      <w:r w:rsidR="00EA6BC8" w:rsidRPr="0091396B">
        <w:rPr>
          <w:sz w:val="24"/>
        </w:rPr>
        <w:t>concerning the amount th</w:t>
      </w:r>
      <w:r w:rsidR="008A33D3">
        <w:rPr>
          <w:sz w:val="24"/>
        </w:rPr>
        <w:t xml:space="preserve">e premium dollars the </w:t>
      </w:r>
      <w:r w:rsidR="00EA6BC8" w:rsidRPr="0091396B">
        <w:rPr>
          <w:sz w:val="24"/>
        </w:rPr>
        <w:t>issuer spends each year on claims, quality improvement expenses, non-claims costs, Federal and State taxes</w:t>
      </w:r>
      <w:r w:rsidR="00EA6BC8">
        <w:rPr>
          <w:sz w:val="24"/>
        </w:rPr>
        <w:t>,</w:t>
      </w:r>
      <w:r w:rsidR="00EA6BC8" w:rsidRPr="0091396B">
        <w:rPr>
          <w:sz w:val="24"/>
        </w:rPr>
        <w:t xml:space="preserve"> licensing </w:t>
      </w:r>
      <w:r w:rsidR="00EA6BC8">
        <w:rPr>
          <w:sz w:val="24"/>
        </w:rPr>
        <w:t>and</w:t>
      </w:r>
      <w:r w:rsidR="00EA6BC8" w:rsidRPr="0091396B">
        <w:rPr>
          <w:sz w:val="24"/>
        </w:rPr>
        <w:t xml:space="preserve"> regulatory fees </w:t>
      </w:r>
      <w:r w:rsidR="00EA6BC8">
        <w:rPr>
          <w:sz w:val="24"/>
        </w:rPr>
        <w:t xml:space="preserve">based upon the relevant MLR reporting year; the correlating MLR and rebate (if any) calculation; and data regarding disbursement of rebates based on the prior MLR reporting year. </w:t>
      </w:r>
    </w:p>
    <w:p w:rsidR="00DA40BE" w:rsidRPr="0091396B" w:rsidRDefault="00DA40BE" w:rsidP="00CB33E5">
      <w:pPr>
        <w:widowControl/>
        <w:ind w:left="360"/>
        <w:rPr>
          <w:sz w:val="24"/>
        </w:rPr>
      </w:pPr>
    </w:p>
    <w:p w:rsidR="00586CD3" w:rsidRDefault="008A33D3" w:rsidP="00586CD3">
      <w:pPr>
        <w:widowControl/>
        <w:ind w:left="360"/>
        <w:rPr>
          <w:sz w:val="24"/>
        </w:rPr>
      </w:pPr>
      <w:r>
        <w:rPr>
          <w:sz w:val="24"/>
        </w:rPr>
        <w:lastRenderedPageBreak/>
        <w:t>On</w:t>
      </w:r>
      <w:r w:rsidR="00EA6BC8">
        <w:rPr>
          <w:sz w:val="24"/>
        </w:rPr>
        <w:t xml:space="preserve"> </w:t>
      </w:r>
      <w:r w:rsidR="00BD06BF" w:rsidRPr="00BD06BF">
        <w:rPr>
          <w:sz w:val="24"/>
        </w:rPr>
        <w:t>June 1, 2013, 5</w:t>
      </w:r>
      <w:r w:rsidR="003A1DA7">
        <w:rPr>
          <w:sz w:val="24"/>
        </w:rPr>
        <w:t>02</w:t>
      </w:r>
      <w:r w:rsidR="00BD06BF" w:rsidRPr="00BD06BF">
        <w:rPr>
          <w:sz w:val="24"/>
        </w:rPr>
        <w:t xml:space="preserve"> issuers are expected to file a total</w:t>
      </w:r>
      <w:r w:rsidR="00BD06BF" w:rsidRPr="00BD06BF">
        <w:rPr>
          <w:b/>
          <w:sz w:val="24"/>
        </w:rPr>
        <w:t xml:space="preserve"> </w:t>
      </w:r>
      <w:r w:rsidR="00CA1F06">
        <w:rPr>
          <w:sz w:val="24"/>
        </w:rPr>
        <w:t xml:space="preserve">of </w:t>
      </w:r>
      <w:r w:rsidR="003A1DA7" w:rsidRPr="003A1DA7">
        <w:rPr>
          <w:sz w:val="24"/>
        </w:rPr>
        <w:t>3,085</w:t>
      </w:r>
      <w:r w:rsidR="003A1DA7">
        <w:rPr>
          <w:sz w:val="24"/>
        </w:rPr>
        <w:t xml:space="preserve"> </w:t>
      </w:r>
      <w:r w:rsidR="00BD06BF" w:rsidRPr="00BD06BF">
        <w:rPr>
          <w:sz w:val="24"/>
        </w:rPr>
        <w:t>annual reports with the Secretary</w:t>
      </w:r>
      <w:r w:rsidR="00204CEE" w:rsidRPr="00204CEE">
        <w:rPr>
          <w:rStyle w:val="FootnoteReference"/>
          <w:sz w:val="24"/>
        </w:rPr>
        <w:footnoteReference w:id="1"/>
      </w:r>
      <w:r w:rsidR="00204CEE" w:rsidRPr="00204CEE">
        <w:rPr>
          <w:sz w:val="24"/>
        </w:rPr>
        <w:t>.</w:t>
      </w:r>
      <w:r w:rsidR="00EA6BC8">
        <w:rPr>
          <w:sz w:val="24"/>
        </w:rPr>
        <w:t xml:space="preserve"> </w:t>
      </w:r>
      <w:r w:rsidR="00F17EE2">
        <w:rPr>
          <w:sz w:val="24"/>
        </w:rPr>
        <w:t xml:space="preserve"> </w:t>
      </w:r>
      <w:r w:rsidR="00A63DAE" w:rsidRPr="003109EB">
        <w:rPr>
          <w:sz w:val="24"/>
        </w:rPr>
        <w:t xml:space="preserve">Previous burden estimates related to these requirements have been updated based on 2011 MLR data submissions.  </w:t>
      </w:r>
      <w:r w:rsidR="00A63DAE" w:rsidRPr="003B4A5F">
        <w:rPr>
          <w:sz w:val="24"/>
        </w:rPr>
        <w:t>It is estimated that, each issuer will</w:t>
      </w:r>
      <w:r w:rsidR="00A63DAE">
        <w:rPr>
          <w:sz w:val="24"/>
        </w:rPr>
        <w:t>,</w:t>
      </w:r>
      <w:r w:rsidR="00A63DAE" w:rsidRPr="003B4A5F">
        <w:rPr>
          <w:sz w:val="24"/>
        </w:rPr>
        <w:t xml:space="preserve"> on average</w:t>
      </w:r>
      <w:r w:rsidR="00A63DAE">
        <w:rPr>
          <w:sz w:val="24"/>
        </w:rPr>
        <w:t>,</w:t>
      </w:r>
      <w:r w:rsidR="00A63DAE" w:rsidRPr="003B4A5F">
        <w:rPr>
          <w:sz w:val="24"/>
        </w:rPr>
        <w:t xml:space="preserve"> spend approximately $</w:t>
      </w:r>
      <w:r w:rsidR="00CC27EC">
        <w:rPr>
          <w:sz w:val="24"/>
        </w:rPr>
        <w:t>20,925</w:t>
      </w:r>
      <w:r w:rsidR="003A1DA7" w:rsidRPr="003A1DA7">
        <w:rPr>
          <w:sz w:val="24"/>
        </w:rPr>
        <w:t xml:space="preserve"> </w:t>
      </w:r>
      <w:r w:rsidR="00C6275D" w:rsidRPr="003B4A5F">
        <w:rPr>
          <w:sz w:val="24"/>
        </w:rPr>
        <w:t>annually</w:t>
      </w:r>
      <w:r w:rsidR="00684D26">
        <w:rPr>
          <w:sz w:val="24"/>
        </w:rPr>
        <w:t xml:space="preserve"> (</w:t>
      </w:r>
      <w:r w:rsidR="00C6275D">
        <w:rPr>
          <w:sz w:val="24"/>
        </w:rPr>
        <w:t>Table 1</w:t>
      </w:r>
      <w:r w:rsidR="00A63DAE" w:rsidRPr="003B4A5F">
        <w:rPr>
          <w:sz w:val="24"/>
        </w:rPr>
        <w:t xml:space="preserve">) and, because of operating in several States and markets, will submit on average </w:t>
      </w:r>
      <w:r w:rsidR="00CC27EC">
        <w:rPr>
          <w:sz w:val="24"/>
        </w:rPr>
        <w:t>6</w:t>
      </w:r>
      <w:r w:rsidR="00A63DAE" w:rsidRPr="003B4A5F">
        <w:rPr>
          <w:sz w:val="24"/>
        </w:rPr>
        <w:t xml:space="preserve"> reports a year. </w:t>
      </w:r>
      <w:r w:rsidR="00D55B4B">
        <w:rPr>
          <w:sz w:val="24"/>
        </w:rPr>
        <w:t xml:space="preserve"> </w:t>
      </w:r>
      <w:r w:rsidR="00586CD3">
        <w:rPr>
          <w:sz w:val="24"/>
        </w:rPr>
        <w:t xml:space="preserve">Actual </w:t>
      </w:r>
      <w:r w:rsidR="00A325FF">
        <w:rPr>
          <w:sz w:val="24"/>
        </w:rPr>
        <w:t>burden and cost is</w:t>
      </w:r>
      <w:r w:rsidR="00586CD3">
        <w:rPr>
          <w:sz w:val="24"/>
        </w:rPr>
        <w:t xml:space="preserve"> likely to be lower since </w:t>
      </w:r>
      <w:r w:rsidR="007C654F">
        <w:rPr>
          <w:sz w:val="24"/>
        </w:rPr>
        <w:t xml:space="preserve">the MLR reporting </w:t>
      </w:r>
      <w:r w:rsidR="00586CD3" w:rsidRPr="00204CEE">
        <w:rPr>
          <w:sz w:val="24"/>
        </w:rPr>
        <w:t xml:space="preserve">form </w:t>
      </w:r>
      <w:r w:rsidR="00AA46AD">
        <w:rPr>
          <w:sz w:val="24"/>
        </w:rPr>
        <w:t xml:space="preserve">has been simplified </w:t>
      </w:r>
      <w:r w:rsidR="00586CD3" w:rsidRPr="00204CEE">
        <w:rPr>
          <w:sz w:val="24"/>
        </w:rPr>
        <w:t xml:space="preserve">and </w:t>
      </w:r>
      <w:r w:rsidR="00AA46AD">
        <w:rPr>
          <w:sz w:val="24"/>
        </w:rPr>
        <w:t xml:space="preserve">issuers </w:t>
      </w:r>
      <w:r w:rsidR="00780DF7">
        <w:rPr>
          <w:sz w:val="24"/>
        </w:rPr>
        <w:t xml:space="preserve">now </w:t>
      </w:r>
      <w:r w:rsidR="00AA46AD">
        <w:rPr>
          <w:sz w:val="24"/>
        </w:rPr>
        <w:t xml:space="preserve">have a choice </w:t>
      </w:r>
      <w:r w:rsidR="00780DF7">
        <w:rPr>
          <w:sz w:val="24"/>
        </w:rPr>
        <w:t>of</w:t>
      </w:r>
      <w:r w:rsidR="00586CD3" w:rsidRPr="00204CEE">
        <w:rPr>
          <w:sz w:val="24"/>
        </w:rPr>
        <w:t xml:space="preserve"> </w:t>
      </w:r>
      <w:r w:rsidR="00A325FF">
        <w:rPr>
          <w:sz w:val="24"/>
        </w:rPr>
        <w:t>format</w:t>
      </w:r>
      <w:r w:rsidR="00A325FF" w:rsidRPr="00204CEE">
        <w:rPr>
          <w:sz w:val="24"/>
        </w:rPr>
        <w:t xml:space="preserve"> </w:t>
      </w:r>
      <w:r w:rsidR="00AA46AD">
        <w:rPr>
          <w:sz w:val="24"/>
        </w:rPr>
        <w:t xml:space="preserve">for </w:t>
      </w:r>
      <w:r w:rsidR="00780DF7">
        <w:rPr>
          <w:sz w:val="24"/>
        </w:rPr>
        <w:t xml:space="preserve">data </w:t>
      </w:r>
      <w:r w:rsidR="00AA46AD">
        <w:rPr>
          <w:sz w:val="24"/>
        </w:rPr>
        <w:t>submission</w:t>
      </w:r>
      <w:r w:rsidR="00586CD3">
        <w:rPr>
          <w:sz w:val="24"/>
        </w:rPr>
        <w:t>.  We also expect that the burden associated with annual reports will be lower in future years as issuers gain experience with the form and reporting requirements.</w:t>
      </w:r>
    </w:p>
    <w:p w:rsidR="00A5795C" w:rsidRDefault="00A5795C" w:rsidP="00DA40BE">
      <w:pPr>
        <w:ind w:left="360"/>
        <w:rPr>
          <w:sz w:val="24"/>
        </w:rPr>
      </w:pPr>
    </w:p>
    <w:p w:rsidR="006859EE" w:rsidRPr="00574E48" w:rsidRDefault="006859EE" w:rsidP="006859EE">
      <w:pPr>
        <w:widowControl/>
        <w:ind w:left="360"/>
        <w:rPr>
          <w:b/>
          <w:sz w:val="24"/>
        </w:rPr>
      </w:pPr>
      <w:r w:rsidRPr="00C319B4">
        <w:rPr>
          <w:b/>
          <w:sz w:val="24"/>
        </w:rPr>
        <w:t>Table 1</w:t>
      </w:r>
      <w:r w:rsidR="009979F0">
        <w:rPr>
          <w:b/>
          <w:sz w:val="24"/>
        </w:rPr>
        <w:t xml:space="preserve">: Burden </w:t>
      </w:r>
      <w:r w:rsidR="004968A5">
        <w:rPr>
          <w:b/>
          <w:sz w:val="24"/>
        </w:rPr>
        <w:t xml:space="preserve">and Cost </w:t>
      </w:r>
      <w:r w:rsidR="009979F0">
        <w:rPr>
          <w:b/>
          <w:sz w:val="24"/>
        </w:rPr>
        <w:t>Estimate</w:t>
      </w:r>
      <w:r w:rsidR="004968A5">
        <w:rPr>
          <w:b/>
          <w:sz w:val="24"/>
        </w:rPr>
        <w:t>s</w:t>
      </w:r>
      <w:r w:rsidR="009979F0">
        <w:rPr>
          <w:b/>
          <w:sz w:val="24"/>
        </w:rPr>
        <w:t xml:space="preserve"> for Annual Report</w:t>
      </w:r>
    </w:p>
    <w:tbl>
      <w:tblPr>
        <w:tblW w:w="10954" w:type="dxa"/>
        <w:jc w:val="center"/>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232"/>
        <w:gridCol w:w="1378"/>
        <w:gridCol w:w="1232"/>
        <w:gridCol w:w="1198"/>
        <w:gridCol w:w="1232"/>
        <w:gridCol w:w="1031"/>
        <w:gridCol w:w="1247"/>
        <w:gridCol w:w="1157"/>
      </w:tblGrid>
      <w:tr w:rsidR="00C659B4" w:rsidRPr="003109EB" w:rsidTr="00B33A51">
        <w:trPr>
          <w:jc w:val="center"/>
        </w:trPr>
        <w:tc>
          <w:tcPr>
            <w:tcW w:w="1247" w:type="dxa"/>
          </w:tcPr>
          <w:p w:rsidR="00E93A52" w:rsidRPr="00B33A51" w:rsidRDefault="00204CEE">
            <w:pPr>
              <w:widowControl/>
              <w:autoSpaceDE/>
              <w:autoSpaceDN/>
              <w:adjustRightInd/>
              <w:jc w:val="center"/>
              <w:rPr>
                <w:b/>
                <w:szCs w:val="20"/>
              </w:rPr>
            </w:pPr>
            <w:r w:rsidRPr="00B33A51">
              <w:rPr>
                <w:b/>
                <w:szCs w:val="20"/>
              </w:rPr>
              <w:t>Form</w:t>
            </w:r>
          </w:p>
        </w:tc>
        <w:tc>
          <w:tcPr>
            <w:tcW w:w="1232" w:type="dxa"/>
          </w:tcPr>
          <w:p w:rsidR="00E93A52" w:rsidRPr="00B33A51" w:rsidRDefault="00204CEE">
            <w:pPr>
              <w:widowControl/>
              <w:autoSpaceDE/>
              <w:autoSpaceDN/>
              <w:adjustRightInd/>
              <w:jc w:val="center"/>
              <w:rPr>
                <w:b/>
                <w:szCs w:val="20"/>
              </w:rPr>
            </w:pPr>
            <w:r w:rsidRPr="00B33A51">
              <w:rPr>
                <w:b/>
                <w:szCs w:val="20"/>
              </w:rPr>
              <w:t>Type of Respondent</w:t>
            </w:r>
          </w:p>
        </w:tc>
        <w:tc>
          <w:tcPr>
            <w:tcW w:w="1378" w:type="dxa"/>
          </w:tcPr>
          <w:p w:rsidR="00E93A52" w:rsidRPr="00B33A51" w:rsidRDefault="00204CEE">
            <w:pPr>
              <w:widowControl/>
              <w:autoSpaceDE/>
              <w:autoSpaceDN/>
              <w:adjustRightInd/>
              <w:jc w:val="center"/>
              <w:rPr>
                <w:b/>
                <w:szCs w:val="20"/>
              </w:rPr>
            </w:pPr>
            <w:r w:rsidRPr="00B33A51">
              <w:rPr>
                <w:b/>
                <w:szCs w:val="20"/>
              </w:rPr>
              <w:t>Number of Respondents</w:t>
            </w:r>
          </w:p>
        </w:tc>
        <w:tc>
          <w:tcPr>
            <w:tcW w:w="1232" w:type="dxa"/>
          </w:tcPr>
          <w:p w:rsidR="00E93A52" w:rsidRPr="00B33A51" w:rsidRDefault="00204CEE">
            <w:pPr>
              <w:widowControl/>
              <w:autoSpaceDE/>
              <w:autoSpaceDN/>
              <w:adjustRightInd/>
              <w:jc w:val="center"/>
              <w:rPr>
                <w:b/>
                <w:szCs w:val="20"/>
              </w:rPr>
            </w:pPr>
            <w:r w:rsidRPr="00B33A51">
              <w:rPr>
                <w:b/>
                <w:szCs w:val="20"/>
              </w:rPr>
              <w:t>Average Number of Reports per Respondent</w:t>
            </w:r>
          </w:p>
        </w:tc>
        <w:tc>
          <w:tcPr>
            <w:tcW w:w="1198" w:type="dxa"/>
          </w:tcPr>
          <w:p w:rsidR="00E93A52" w:rsidRPr="00B33A51" w:rsidRDefault="00204CEE">
            <w:pPr>
              <w:widowControl/>
              <w:autoSpaceDE/>
              <w:autoSpaceDN/>
              <w:adjustRightInd/>
              <w:jc w:val="center"/>
              <w:rPr>
                <w:b/>
                <w:szCs w:val="20"/>
              </w:rPr>
            </w:pPr>
            <w:r w:rsidRPr="00B33A51">
              <w:rPr>
                <w:b/>
                <w:szCs w:val="20"/>
              </w:rPr>
              <w:t>Frequency</w:t>
            </w:r>
          </w:p>
        </w:tc>
        <w:tc>
          <w:tcPr>
            <w:tcW w:w="1232" w:type="dxa"/>
          </w:tcPr>
          <w:p w:rsidR="00E93A52" w:rsidRPr="00B33A51" w:rsidRDefault="00204CEE">
            <w:pPr>
              <w:widowControl/>
              <w:autoSpaceDE/>
              <w:autoSpaceDN/>
              <w:adjustRightInd/>
              <w:jc w:val="center"/>
              <w:rPr>
                <w:b/>
                <w:szCs w:val="20"/>
              </w:rPr>
            </w:pPr>
            <w:r w:rsidRPr="00B33A51">
              <w:rPr>
                <w:b/>
                <w:szCs w:val="20"/>
              </w:rPr>
              <w:t>Estimated Burden Hours per Respondent</w:t>
            </w:r>
          </w:p>
          <w:p w:rsidR="00082C9A" w:rsidRPr="00B33A51" w:rsidRDefault="00082C9A">
            <w:pPr>
              <w:widowControl/>
              <w:autoSpaceDE/>
              <w:autoSpaceDN/>
              <w:adjustRightInd/>
              <w:jc w:val="center"/>
              <w:rPr>
                <w:b/>
                <w:szCs w:val="20"/>
              </w:rPr>
            </w:pPr>
            <w:r w:rsidRPr="00B33A51">
              <w:rPr>
                <w:b/>
                <w:szCs w:val="20"/>
              </w:rPr>
              <w:t>(Ongoing)</w:t>
            </w:r>
          </w:p>
        </w:tc>
        <w:tc>
          <w:tcPr>
            <w:tcW w:w="1031" w:type="dxa"/>
          </w:tcPr>
          <w:p w:rsidR="00E93A52" w:rsidRPr="00B33A51" w:rsidRDefault="00204CEE">
            <w:pPr>
              <w:widowControl/>
              <w:autoSpaceDE/>
              <w:autoSpaceDN/>
              <w:adjustRightInd/>
              <w:jc w:val="center"/>
              <w:rPr>
                <w:b/>
                <w:szCs w:val="20"/>
              </w:rPr>
            </w:pPr>
            <w:r w:rsidRPr="00B33A51">
              <w:rPr>
                <w:b/>
                <w:szCs w:val="20"/>
              </w:rPr>
              <w:t>Wage per Hour (incl. fringe)</w:t>
            </w:r>
          </w:p>
        </w:tc>
        <w:tc>
          <w:tcPr>
            <w:tcW w:w="1247" w:type="dxa"/>
          </w:tcPr>
          <w:p w:rsidR="00E93A52" w:rsidRPr="00B33A51" w:rsidRDefault="00204CEE">
            <w:pPr>
              <w:widowControl/>
              <w:autoSpaceDE/>
              <w:autoSpaceDN/>
              <w:adjustRightInd/>
              <w:jc w:val="center"/>
              <w:rPr>
                <w:b/>
                <w:szCs w:val="20"/>
              </w:rPr>
            </w:pPr>
            <w:r w:rsidRPr="00B33A51">
              <w:rPr>
                <w:b/>
                <w:szCs w:val="20"/>
              </w:rPr>
              <w:t>Burden Cost Per Respondent</w:t>
            </w:r>
          </w:p>
          <w:p w:rsidR="00082C9A" w:rsidRPr="00B33A51" w:rsidRDefault="00082C9A">
            <w:pPr>
              <w:widowControl/>
              <w:autoSpaceDE/>
              <w:autoSpaceDN/>
              <w:adjustRightInd/>
              <w:jc w:val="center"/>
              <w:rPr>
                <w:b/>
                <w:szCs w:val="20"/>
              </w:rPr>
            </w:pPr>
            <w:r w:rsidRPr="00B33A51">
              <w:rPr>
                <w:b/>
                <w:szCs w:val="20"/>
              </w:rPr>
              <w:t>(Ongoing)</w:t>
            </w:r>
          </w:p>
        </w:tc>
        <w:tc>
          <w:tcPr>
            <w:tcW w:w="1157" w:type="dxa"/>
          </w:tcPr>
          <w:p w:rsidR="00E93A52" w:rsidRPr="00B33A51" w:rsidRDefault="00204CEE">
            <w:pPr>
              <w:widowControl/>
              <w:autoSpaceDE/>
              <w:autoSpaceDN/>
              <w:adjustRightInd/>
              <w:jc w:val="center"/>
              <w:rPr>
                <w:b/>
                <w:szCs w:val="20"/>
              </w:rPr>
            </w:pPr>
            <w:r w:rsidRPr="00B33A51">
              <w:rPr>
                <w:b/>
                <w:szCs w:val="20"/>
              </w:rPr>
              <w:t>Total Estimated Burden Hours</w:t>
            </w:r>
          </w:p>
          <w:p w:rsidR="00082C9A" w:rsidRPr="00B33A51" w:rsidRDefault="00082C9A">
            <w:pPr>
              <w:widowControl/>
              <w:autoSpaceDE/>
              <w:autoSpaceDN/>
              <w:adjustRightInd/>
              <w:jc w:val="center"/>
              <w:rPr>
                <w:b/>
                <w:szCs w:val="20"/>
              </w:rPr>
            </w:pPr>
            <w:r w:rsidRPr="00B33A51">
              <w:rPr>
                <w:b/>
                <w:szCs w:val="20"/>
              </w:rPr>
              <w:t>(Ongoing)</w:t>
            </w:r>
          </w:p>
        </w:tc>
      </w:tr>
      <w:tr w:rsidR="00C659B4" w:rsidRPr="003109EB" w:rsidTr="00B33A51">
        <w:trPr>
          <w:jc w:val="center"/>
        </w:trPr>
        <w:tc>
          <w:tcPr>
            <w:tcW w:w="1247" w:type="dxa"/>
          </w:tcPr>
          <w:p w:rsidR="00E93A52" w:rsidRPr="00B33A51" w:rsidRDefault="00204CEE" w:rsidP="00B33A51">
            <w:pPr>
              <w:widowControl/>
              <w:autoSpaceDE/>
              <w:autoSpaceDN/>
              <w:adjustRightInd/>
              <w:rPr>
                <w:szCs w:val="20"/>
                <w:highlight w:val="yellow"/>
              </w:rPr>
            </w:pPr>
            <w:r w:rsidRPr="00B33A51">
              <w:rPr>
                <w:szCs w:val="20"/>
              </w:rPr>
              <w:t>Annual Report, Rebate Calculation, and Rebate Disbursement Report</w:t>
            </w:r>
          </w:p>
        </w:tc>
        <w:tc>
          <w:tcPr>
            <w:tcW w:w="1232" w:type="dxa"/>
          </w:tcPr>
          <w:p w:rsidR="00E93A52" w:rsidRPr="00B33A51" w:rsidRDefault="00204CEE">
            <w:pPr>
              <w:widowControl/>
              <w:autoSpaceDE/>
              <w:autoSpaceDN/>
              <w:adjustRightInd/>
              <w:jc w:val="center"/>
              <w:rPr>
                <w:szCs w:val="20"/>
              </w:rPr>
            </w:pPr>
            <w:r w:rsidRPr="00B33A51">
              <w:rPr>
                <w:szCs w:val="20"/>
              </w:rPr>
              <w:t>Private Company</w:t>
            </w:r>
          </w:p>
        </w:tc>
        <w:tc>
          <w:tcPr>
            <w:tcW w:w="1378" w:type="dxa"/>
          </w:tcPr>
          <w:p w:rsidR="00E93A52" w:rsidRPr="00B33A51" w:rsidRDefault="00204CEE">
            <w:pPr>
              <w:widowControl/>
              <w:autoSpaceDE/>
              <w:autoSpaceDN/>
              <w:adjustRightInd/>
              <w:jc w:val="center"/>
              <w:rPr>
                <w:szCs w:val="20"/>
              </w:rPr>
            </w:pPr>
            <w:r w:rsidRPr="00B33A51">
              <w:rPr>
                <w:szCs w:val="20"/>
              </w:rPr>
              <w:t>5</w:t>
            </w:r>
            <w:r w:rsidR="00CC27EC" w:rsidRPr="00B33A51">
              <w:rPr>
                <w:szCs w:val="20"/>
              </w:rPr>
              <w:t>02</w:t>
            </w:r>
          </w:p>
        </w:tc>
        <w:tc>
          <w:tcPr>
            <w:tcW w:w="1232" w:type="dxa"/>
          </w:tcPr>
          <w:p w:rsidR="00E93A52" w:rsidRPr="00B33A51" w:rsidRDefault="00CC27EC">
            <w:pPr>
              <w:widowControl/>
              <w:autoSpaceDE/>
              <w:autoSpaceDN/>
              <w:adjustRightInd/>
              <w:jc w:val="center"/>
              <w:rPr>
                <w:szCs w:val="20"/>
              </w:rPr>
            </w:pPr>
            <w:r w:rsidRPr="00B33A51">
              <w:rPr>
                <w:szCs w:val="20"/>
              </w:rPr>
              <w:t>6</w:t>
            </w:r>
            <w:r w:rsidR="00C6275D" w:rsidRPr="00B33A51">
              <w:rPr>
                <w:szCs w:val="20"/>
              </w:rPr>
              <w:t>.15</w:t>
            </w:r>
          </w:p>
        </w:tc>
        <w:tc>
          <w:tcPr>
            <w:tcW w:w="1198" w:type="dxa"/>
          </w:tcPr>
          <w:p w:rsidR="00E93A52" w:rsidRPr="00B33A51" w:rsidRDefault="00204CEE">
            <w:pPr>
              <w:widowControl/>
              <w:autoSpaceDE/>
              <w:autoSpaceDN/>
              <w:adjustRightInd/>
              <w:jc w:val="center"/>
              <w:rPr>
                <w:szCs w:val="20"/>
              </w:rPr>
            </w:pPr>
            <w:r w:rsidRPr="00B33A51">
              <w:rPr>
                <w:szCs w:val="20"/>
              </w:rPr>
              <w:t>1</w:t>
            </w:r>
          </w:p>
        </w:tc>
        <w:tc>
          <w:tcPr>
            <w:tcW w:w="1232" w:type="dxa"/>
          </w:tcPr>
          <w:p w:rsidR="00E93A52" w:rsidRPr="00B33A51" w:rsidRDefault="00C6275D">
            <w:pPr>
              <w:widowControl/>
              <w:autoSpaceDE/>
              <w:autoSpaceDN/>
              <w:adjustRightInd/>
              <w:jc w:val="center"/>
              <w:rPr>
                <w:szCs w:val="20"/>
              </w:rPr>
            </w:pPr>
            <w:r w:rsidRPr="00B33A51">
              <w:rPr>
                <w:szCs w:val="20"/>
              </w:rPr>
              <w:t>391.55</w:t>
            </w:r>
          </w:p>
        </w:tc>
        <w:tc>
          <w:tcPr>
            <w:tcW w:w="1031" w:type="dxa"/>
          </w:tcPr>
          <w:p w:rsidR="00E93A52" w:rsidRPr="00B33A51" w:rsidRDefault="00204CEE">
            <w:pPr>
              <w:widowControl/>
              <w:autoSpaceDE/>
              <w:autoSpaceDN/>
              <w:adjustRightInd/>
              <w:jc w:val="center"/>
              <w:rPr>
                <w:szCs w:val="20"/>
              </w:rPr>
            </w:pPr>
            <w:r w:rsidRPr="00B33A51">
              <w:rPr>
                <w:szCs w:val="20"/>
              </w:rPr>
              <w:t>$53.44</w:t>
            </w:r>
          </w:p>
        </w:tc>
        <w:tc>
          <w:tcPr>
            <w:tcW w:w="1247" w:type="dxa"/>
          </w:tcPr>
          <w:p w:rsidR="00E93A52" w:rsidRPr="00B33A51" w:rsidRDefault="00204CEE">
            <w:pPr>
              <w:widowControl/>
              <w:autoSpaceDE/>
              <w:autoSpaceDN/>
              <w:adjustRightInd/>
              <w:jc w:val="center"/>
              <w:rPr>
                <w:szCs w:val="20"/>
              </w:rPr>
            </w:pPr>
            <w:r w:rsidRPr="00B33A51">
              <w:rPr>
                <w:szCs w:val="20"/>
              </w:rPr>
              <w:t>$</w:t>
            </w:r>
            <w:r w:rsidR="00CC27EC" w:rsidRPr="00B33A51">
              <w:rPr>
                <w:szCs w:val="20"/>
              </w:rPr>
              <w:t>20,925</w:t>
            </w:r>
            <w:r w:rsidR="00C6275D" w:rsidRPr="00B33A51">
              <w:rPr>
                <w:szCs w:val="20"/>
              </w:rPr>
              <w:t>.22</w:t>
            </w:r>
          </w:p>
        </w:tc>
        <w:tc>
          <w:tcPr>
            <w:tcW w:w="1157" w:type="dxa"/>
          </w:tcPr>
          <w:p w:rsidR="00E93A52" w:rsidRPr="00B33A51" w:rsidRDefault="00CC27EC">
            <w:pPr>
              <w:widowControl/>
              <w:autoSpaceDE/>
              <w:autoSpaceDN/>
              <w:adjustRightInd/>
              <w:jc w:val="center"/>
              <w:rPr>
                <w:szCs w:val="20"/>
              </w:rPr>
            </w:pPr>
            <w:r w:rsidRPr="00B33A51">
              <w:rPr>
                <w:szCs w:val="20"/>
              </w:rPr>
              <w:t>196,5</w:t>
            </w:r>
            <w:r w:rsidR="00C6275D" w:rsidRPr="00B33A51">
              <w:rPr>
                <w:szCs w:val="20"/>
              </w:rPr>
              <w:t>59.63</w:t>
            </w:r>
          </w:p>
        </w:tc>
      </w:tr>
    </w:tbl>
    <w:p w:rsidR="004968A5" w:rsidRDefault="004968A5" w:rsidP="00AC6E89">
      <w:pPr>
        <w:widowControl/>
        <w:ind w:left="360"/>
        <w:rPr>
          <w:b/>
          <w:sz w:val="24"/>
        </w:rPr>
      </w:pPr>
    </w:p>
    <w:p w:rsidR="00EA6BC8" w:rsidRPr="00427F34" w:rsidRDefault="008A5F94" w:rsidP="00AC6E89">
      <w:pPr>
        <w:widowControl/>
        <w:ind w:left="360"/>
        <w:rPr>
          <w:b/>
          <w:sz w:val="24"/>
        </w:rPr>
      </w:pPr>
      <w:r>
        <w:rPr>
          <w:b/>
          <w:sz w:val="24"/>
        </w:rPr>
        <w:t xml:space="preserve">Notice of Rebate and </w:t>
      </w:r>
      <w:r w:rsidR="00EA6BC8">
        <w:rPr>
          <w:b/>
          <w:sz w:val="24"/>
        </w:rPr>
        <w:t>disbursement of rebate checks</w:t>
      </w:r>
    </w:p>
    <w:p w:rsidR="00353EEF" w:rsidRDefault="00353EEF" w:rsidP="007D42AA">
      <w:pPr>
        <w:widowControl/>
        <w:ind w:left="360"/>
        <w:rPr>
          <w:sz w:val="24"/>
        </w:rPr>
      </w:pPr>
    </w:p>
    <w:p w:rsidR="00CB33E5" w:rsidRDefault="00CB33E5" w:rsidP="007D42AA">
      <w:pPr>
        <w:widowControl/>
        <w:ind w:left="360"/>
        <w:rPr>
          <w:sz w:val="24"/>
        </w:rPr>
      </w:pPr>
      <w:r>
        <w:rPr>
          <w:sz w:val="24"/>
        </w:rPr>
        <w:t xml:space="preserve">The regulation also requires each issuer that does not meet or exceed the minimum MLR standard to provide rebates to its </w:t>
      </w:r>
      <w:r w:rsidR="008E7361">
        <w:rPr>
          <w:sz w:val="24"/>
        </w:rPr>
        <w:t>policyholder</w:t>
      </w:r>
      <w:r>
        <w:rPr>
          <w:sz w:val="24"/>
        </w:rPr>
        <w:t>s as well as notice of such rebates</w:t>
      </w:r>
      <w:r w:rsidR="007C654F">
        <w:rPr>
          <w:sz w:val="24"/>
        </w:rPr>
        <w:t xml:space="preserve"> to policyholders and to subscribers of group policyholders</w:t>
      </w:r>
      <w:r>
        <w:rPr>
          <w:sz w:val="24"/>
        </w:rPr>
        <w:t xml:space="preserve">. </w:t>
      </w:r>
    </w:p>
    <w:p w:rsidR="00636D4B" w:rsidRDefault="00636D4B" w:rsidP="006859EE">
      <w:pPr>
        <w:widowControl/>
        <w:ind w:left="360"/>
        <w:rPr>
          <w:sz w:val="24"/>
        </w:rPr>
      </w:pPr>
    </w:p>
    <w:p w:rsidR="00B33A51" w:rsidRDefault="006859EE" w:rsidP="005A1A4C">
      <w:pPr>
        <w:widowControl/>
        <w:ind w:left="360"/>
        <w:rPr>
          <w:sz w:val="24"/>
        </w:rPr>
      </w:pPr>
      <w:r w:rsidRPr="000E0DB3">
        <w:rPr>
          <w:sz w:val="24"/>
        </w:rPr>
        <w:t xml:space="preserve">It is estimated that approximately </w:t>
      </w:r>
      <w:r w:rsidR="00295042">
        <w:rPr>
          <w:sz w:val="24"/>
        </w:rPr>
        <w:t>56</w:t>
      </w:r>
      <w:r w:rsidRPr="003B4A5F">
        <w:rPr>
          <w:sz w:val="24"/>
        </w:rPr>
        <w:t xml:space="preserve"> issuers in the individual market will disburse</w:t>
      </w:r>
      <w:r>
        <w:rPr>
          <w:sz w:val="24"/>
        </w:rPr>
        <w:t xml:space="preserve"> rebates in </w:t>
      </w:r>
      <w:r w:rsidRPr="003B4A5F">
        <w:rPr>
          <w:sz w:val="24"/>
        </w:rPr>
        <w:t xml:space="preserve">some form to </w:t>
      </w:r>
      <w:r>
        <w:rPr>
          <w:sz w:val="24"/>
        </w:rPr>
        <w:t>subscribers</w:t>
      </w:r>
      <w:r w:rsidRPr="003B4A5F">
        <w:rPr>
          <w:sz w:val="24"/>
        </w:rPr>
        <w:t xml:space="preserve"> by August 1 of the year following the end of the MLR reporting year, whether by premium credit, check, or refund via credit or debit card.  Assuming that the issuers will disburse 50% of the rebates in the form of an actual check, we project that each of these </w:t>
      </w:r>
      <w:r w:rsidR="00295042">
        <w:rPr>
          <w:sz w:val="24"/>
        </w:rPr>
        <w:t>56</w:t>
      </w:r>
      <w:r w:rsidRPr="003B4A5F">
        <w:rPr>
          <w:sz w:val="24"/>
        </w:rPr>
        <w:t xml:space="preserve"> issuers will issue approximately </w:t>
      </w:r>
      <w:r w:rsidR="00295042" w:rsidRPr="00295042">
        <w:rPr>
          <w:sz w:val="24"/>
        </w:rPr>
        <w:t>27,</w:t>
      </w:r>
      <w:r w:rsidR="00AC0BF0">
        <w:rPr>
          <w:sz w:val="24"/>
        </w:rPr>
        <w:t>513</w:t>
      </w:r>
      <w:r w:rsidR="00295042">
        <w:rPr>
          <w:sz w:val="24"/>
        </w:rPr>
        <w:t xml:space="preserve"> </w:t>
      </w:r>
      <w:r w:rsidRPr="003B4A5F">
        <w:rPr>
          <w:sz w:val="24"/>
        </w:rPr>
        <w:t>checks</w:t>
      </w:r>
      <w:r>
        <w:rPr>
          <w:sz w:val="24"/>
        </w:rPr>
        <w:t xml:space="preserve"> on average</w:t>
      </w:r>
      <w:r w:rsidRPr="003B4A5F">
        <w:rPr>
          <w:sz w:val="24"/>
        </w:rPr>
        <w:t xml:space="preserve">.  Each issuer is estimated to expend approximately </w:t>
      </w:r>
      <w:r w:rsidR="00AE3E9A" w:rsidRPr="00AE3E9A">
        <w:rPr>
          <w:sz w:val="24"/>
        </w:rPr>
        <w:t>$28,</w:t>
      </w:r>
      <w:r w:rsidR="00314137">
        <w:rPr>
          <w:sz w:val="24"/>
        </w:rPr>
        <w:t>929</w:t>
      </w:r>
      <w:r w:rsidR="00AE3E9A" w:rsidRPr="00AE3E9A">
        <w:rPr>
          <w:sz w:val="24"/>
        </w:rPr>
        <w:t xml:space="preserve"> </w:t>
      </w:r>
      <w:r w:rsidR="00684D26">
        <w:rPr>
          <w:sz w:val="24"/>
        </w:rPr>
        <w:t>(</w:t>
      </w:r>
      <w:r w:rsidR="00C6275D">
        <w:rPr>
          <w:sz w:val="24"/>
        </w:rPr>
        <w:t>Table 4</w:t>
      </w:r>
      <w:r w:rsidRPr="003B4A5F">
        <w:rPr>
          <w:sz w:val="24"/>
        </w:rPr>
        <w:t xml:space="preserve">) in labor costs and an additional </w:t>
      </w:r>
      <w:r w:rsidR="00AE3E9A" w:rsidRPr="00AE3E9A">
        <w:rPr>
          <w:sz w:val="24"/>
        </w:rPr>
        <w:t>$1,3</w:t>
      </w:r>
      <w:r w:rsidR="00314137">
        <w:rPr>
          <w:sz w:val="24"/>
        </w:rPr>
        <w:t>76</w:t>
      </w:r>
      <w:r w:rsidR="00AE3E9A" w:rsidRPr="00AE3E9A">
        <w:rPr>
          <w:sz w:val="24"/>
        </w:rPr>
        <w:t xml:space="preserve"> </w:t>
      </w:r>
      <w:r w:rsidRPr="003B4A5F">
        <w:rPr>
          <w:sz w:val="24"/>
        </w:rPr>
        <w:t>(</w:t>
      </w:r>
      <w:r w:rsidR="00AE3E9A" w:rsidRPr="00295042">
        <w:rPr>
          <w:sz w:val="24"/>
        </w:rPr>
        <w:t>27,</w:t>
      </w:r>
      <w:r w:rsidR="00314137">
        <w:rPr>
          <w:sz w:val="24"/>
        </w:rPr>
        <w:t>513</w:t>
      </w:r>
      <w:r w:rsidR="00AE3E9A">
        <w:rPr>
          <w:sz w:val="24"/>
        </w:rPr>
        <w:t xml:space="preserve"> </w:t>
      </w:r>
      <w:r w:rsidRPr="003B4A5F">
        <w:rPr>
          <w:sz w:val="24"/>
        </w:rPr>
        <w:t xml:space="preserve">checks x $0.05 processing cost per check) in processing costs, for a total ongoing cost of approximately </w:t>
      </w:r>
      <w:r w:rsidR="00493BD6" w:rsidRPr="00493BD6">
        <w:rPr>
          <w:sz w:val="24"/>
        </w:rPr>
        <w:t>$</w:t>
      </w:r>
      <w:r w:rsidR="00D60F25">
        <w:rPr>
          <w:sz w:val="24"/>
        </w:rPr>
        <w:t>30,304</w:t>
      </w:r>
      <w:r w:rsidR="00493BD6" w:rsidRPr="00493BD6">
        <w:rPr>
          <w:sz w:val="24"/>
        </w:rPr>
        <w:t xml:space="preserve"> </w:t>
      </w:r>
      <w:r w:rsidRPr="003B4A5F">
        <w:rPr>
          <w:sz w:val="24"/>
        </w:rPr>
        <w:t>a year.</w:t>
      </w:r>
      <w:r w:rsidRPr="001216AF">
        <w:rPr>
          <w:sz w:val="24"/>
        </w:rPr>
        <w:t xml:space="preserve">  The</w:t>
      </w:r>
      <w:r>
        <w:rPr>
          <w:sz w:val="24"/>
        </w:rPr>
        <w:t xml:space="preserve"> remaining rebates will be issued through premium credit or refunds via credit or debit card.  Costs of paying rebates through one-time electronic reimbursement are expected to be negligible.  It is estimated that </w:t>
      </w:r>
      <w:r w:rsidR="00D60F25">
        <w:rPr>
          <w:sz w:val="24"/>
        </w:rPr>
        <w:t>87</w:t>
      </w:r>
      <w:r>
        <w:rPr>
          <w:sz w:val="24"/>
        </w:rPr>
        <w:t xml:space="preserve"> issuers in the group market will provide rebates to policyholders for disbursement to subscribers.  </w:t>
      </w:r>
      <w:r w:rsidR="007062A3" w:rsidRPr="007062A3">
        <w:rPr>
          <w:sz w:val="24"/>
        </w:rPr>
        <w:t>We expect that the rebates to policyholders will be issued electronically and the related costs will be negligible.</w:t>
      </w:r>
      <w:r w:rsidR="007062A3">
        <w:rPr>
          <w:sz w:val="24"/>
        </w:rPr>
        <w:t xml:space="preserve">  </w:t>
      </w:r>
    </w:p>
    <w:p w:rsidR="00BA10A2" w:rsidRDefault="00BA10A2">
      <w:pPr>
        <w:widowControl/>
        <w:autoSpaceDE/>
        <w:autoSpaceDN/>
        <w:adjustRightInd/>
        <w:rPr>
          <w:sz w:val="24"/>
        </w:rPr>
      </w:pPr>
      <w:r>
        <w:rPr>
          <w:sz w:val="24"/>
        </w:rPr>
        <w:br w:type="page"/>
      </w:r>
    </w:p>
    <w:p w:rsidR="007062A3" w:rsidRDefault="007062A3" w:rsidP="006859EE">
      <w:pPr>
        <w:widowControl/>
        <w:ind w:left="360"/>
        <w:rPr>
          <w:sz w:val="24"/>
        </w:rPr>
      </w:pPr>
    </w:p>
    <w:p w:rsidR="006859EE" w:rsidRDefault="006859EE" w:rsidP="006859EE">
      <w:pPr>
        <w:widowControl/>
        <w:ind w:left="360"/>
        <w:rPr>
          <w:b/>
          <w:sz w:val="24"/>
        </w:rPr>
      </w:pPr>
      <w:r w:rsidRPr="00DE4063">
        <w:rPr>
          <w:b/>
          <w:sz w:val="24"/>
        </w:rPr>
        <w:t xml:space="preserve">Table </w:t>
      </w:r>
      <w:r>
        <w:rPr>
          <w:b/>
          <w:sz w:val="24"/>
        </w:rPr>
        <w:t>2</w:t>
      </w:r>
      <w:r w:rsidR="00F70A42">
        <w:rPr>
          <w:b/>
          <w:sz w:val="24"/>
        </w:rPr>
        <w:t xml:space="preserve">: Burden Estimates for </w:t>
      </w:r>
      <w:r w:rsidR="00050B08">
        <w:rPr>
          <w:b/>
          <w:sz w:val="24"/>
        </w:rPr>
        <w:t>D</w:t>
      </w:r>
      <w:r w:rsidR="00F70A42">
        <w:rPr>
          <w:b/>
          <w:sz w:val="24"/>
        </w:rPr>
        <w:t xml:space="preserve">isbursement of </w:t>
      </w:r>
      <w:r w:rsidR="00050B08">
        <w:rPr>
          <w:b/>
          <w:sz w:val="24"/>
        </w:rPr>
        <w:t>R</w:t>
      </w:r>
      <w:r w:rsidR="00F70A42">
        <w:rPr>
          <w:b/>
          <w:sz w:val="24"/>
        </w:rPr>
        <w:t xml:space="preserve">ebate </w:t>
      </w:r>
      <w:r w:rsidR="00050B08">
        <w:rPr>
          <w:b/>
          <w:sz w:val="24"/>
        </w:rPr>
        <w:t>C</w:t>
      </w:r>
      <w:r w:rsidR="00F70A42">
        <w:rPr>
          <w:b/>
          <w:sz w:val="24"/>
        </w:rPr>
        <w:t>hecks</w:t>
      </w:r>
    </w:p>
    <w:tbl>
      <w:tblPr>
        <w:tblW w:w="10771"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440"/>
        <w:gridCol w:w="1530"/>
        <w:gridCol w:w="1440"/>
        <w:gridCol w:w="1271"/>
        <w:gridCol w:w="1843"/>
        <w:gridCol w:w="1620"/>
      </w:tblGrid>
      <w:tr w:rsidR="006859EE" w:rsidRPr="00B33A51" w:rsidTr="003744B2">
        <w:trPr>
          <w:jc w:val="center"/>
        </w:trPr>
        <w:tc>
          <w:tcPr>
            <w:tcW w:w="1627" w:type="dxa"/>
            <w:tcBorders>
              <w:top w:val="single" w:sz="4" w:space="0" w:color="auto"/>
              <w:left w:val="single" w:sz="4" w:space="0" w:color="auto"/>
              <w:bottom w:val="single" w:sz="4" w:space="0" w:color="auto"/>
              <w:right w:val="single" w:sz="4" w:space="0" w:color="auto"/>
            </w:tcBorders>
          </w:tcPr>
          <w:p w:rsidR="00204CEE" w:rsidRPr="00B33A51" w:rsidRDefault="00EB2D98" w:rsidP="00204CEE">
            <w:pPr>
              <w:widowControl/>
              <w:autoSpaceDE/>
              <w:autoSpaceDN/>
              <w:adjustRightInd/>
              <w:rPr>
                <w:b/>
                <w:szCs w:val="20"/>
              </w:rPr>
            </w:pPr>
            <w:r w:rsidRPr="00B33A51">
              <w:rPr>
                <w:b/>
                <w:szCs w:val="20"/>
              </w:rPr>
              <w:t>Forms (if necessary)</w:t>
            </w:r>
          </w:p>
        </w:tc>
        <w:tc>
          <w:tcPr>
            <w:tcW w:w="1440" w:type="dxa"/>
            <w:tcBorders>
              <w:top w:val="single" w:sz="4" w:space="0" w:color="auto"/>
              <w:left w:val="single" w:sz="4" w:space="0" w:color="auto"/>
              <w:bottom w:val="single" w:sz="4" w:space="0" w:color="auto"/>
              <w:right w:val="single" w:sz="4" w:space="0" w:color="auto"/>
            </w:tcBorders>
          </w:tcPr>
          <w:p w:rsidR="00204CEE" w:rsidRPr="00B33A51" w:rsidRDefault="00EB2D98" w:rsidP="00204CEE">
            <w:pPr>
              <w:widowControl/>
              <w:autoSpaceDE/>
              <w:autoSpaceDN/>
              <w:adjustRightInd/>
              <w:rPr>
                <w:b/>
                <w:szCs w:val="20"/>
              </w:rPr>
            </w:pPr>
            <w:r w:rsidRPr="00B33A51">
              <w:rPr>
                <w:b/>
                <w:szCs w:val="20"/>
              </w:rPr>
              <w:t>Type of Respondent</w:t>
            </w:r>
          </w:p>
        </w:tc>
        <w:tc>
          <w:tcPr>
            <w:tcW w:w="1530" w:type="dxa"/>
            <w:tcBorders>
              <w:top w:val="single" w:sz="4" w:space="0" w:color="auto"/>
              <w:left w:val="single" w:sz="4" w:space="0" w:color="auto"/>
              <w:bottom w:val="single" w:sz="4" w:space="0" w:color="auto"/>
              <w:right w:val="single" w:sz="4" w:space="0" w:color="auto"/>
            </w:tcBorders>
          </w:tcPr>
          <w:p w:rsidR="00E93A52" w:rsidRPr="00B33A51" w:rsidRDefault="00EB2D98">
            <w:pPr>
              <w:widowControl/>
              <w:autoSpaceDE/>
              <w:autoSpaceDN/>
              <w:adjustRightInd/>
              <w:jc w:val="center"/>
              <w:rPr>
                <w:b/>
                <w:szCs w:val="20"/>
              </w:rPr>
            </w:pPr>
            <w:r w:rsidRPr="00B33A51">
              <w:rPr>
                <w:b/>
                <w:szCs w:val="20"/>
              </w:rPr>
              <w:t>Number of Respondents</w:t>
            </w:r>
          </w:p>
        </w:tc>
        <w:tc>
          <w:tcPr>
            <w:tcW w:w="1440" w:type="dxa"/>
            <w:tcBorders>
              <w:top w:val="single" w:sz="4" w:space="0" w:color="auto"/>
              <w:left w:val="single" w:sz="4" w:space="0" w:color="auto"/>
              <w:bottom w:val="single" w:sz="4" w:space="0" w:color="auto"/>
              <w:right w:val="single" w:sz="4" w:space="0" w:color="auto"/>
            </w:tcBorders>
          </w:tcPr>
          <w:p w:rsidR="00E93A52" w:rsidRPr="00B33A51" w:rsidRDefault="00EB2D98">
            <w:pPr>
              <w:widowControl/>
              <w:autoSpaceDE/>
              <w:autoSpaceDN/>
              <w:adjustRightInd/>
              <w:jc w:val="center"/>
              <w:rPr>
                <w:b/>
                <w:szCs w:val="20"/>
              </w:rPr>
            </w:pPr>
            <w:r w:rsidRPr="00B33A51">
              <w:rPr>
                <w:b/>
                <w:szCs w:val="20"/>
              </w:rPr>
              <w:t>Average Number per Respondent</w:t>
            </w:r>
          </w:p>
        </w:tc>
        <w:tc>
          <w:tcPr>
            <w:tcW w:w="1271" w:type="dxa"/>
            <w:tcBorders>
              <w:top w:val="single" w:sz="4" w:space="0" w:color="auto"/>
              <w:left w:val="single" w:sz="4" w:space="0" w:color="auto"/>
              <w:bottom w:val="single" w:sz="4" w:space="0" w:color="auto"/>
              <w:right w:val="single" w:sz="4" w:space="0" w:color="auto"/>
            </w:tcBorders>
          </w:tcPr>
          <w:p w:rsidR="00E93A52" w:rsidRPr="00B33A51" w:rsidRDefault="00EB2D98">
            <w:pPr>
              <w:widowControl/>
              <w:autoSpaceDE/>
              <w:autoSpaceDN/>
              <w:adjustRightInd/>
              <w:jc w:val="center"/>
              <w:rPr>
                <w:b/>
                <w:szCs w:val="20"/>
              </w:rPr>
            </w:pPr>
            <w:r w:rsidRPr="00B33A51">
              <w:rPr>
                <w:b/>
                <w:szCs w:val="20"/>
              </w:rPr>
              <w:t>Frequency</w:t>
            </w:r>
          </w:p>
        </w:tc>
        <w:tc>
          <w:tcPr>
            <w:tcW w:w="1843" w:type="dxa"/>
            <w:tcBorders>
              <w:top w:val="single" w:sz="4" w:space="0" w:color="auto"/>
              <w:left w:val="single" w:sz="4" w:space="0" w:color="auto"/>
              <w:bottom w:val="single" w:sz="4" w:space="0" w:color="auto"/>
              <w:right w:val="single" w:sz="4" w:space="0" w:color="auto"/>
            </w:tcBorders>
          </w:tcPr>
          <w:p w:rsidR="00E93A52" w:rsidRPr="00B33A51" w:rsidRDefault="00EB2D98">
            <w:pPr>
              <w:widowControl/>
              <w:autoSpaceDE/>
              <w:autoSpaceDN/>
              <w:adjustRightInd/>
              <w:jc w:val="center"/>
              <w:rPr>
                <w:b/>
                <w:szCs w:val="20"/>
              </w:rPr>
            </w:pPr>
            <w:r w:rsidRPr="00B33A51">
              <w:rPr>
                <w:b/>
                <w:szCs w:val="20"/>
              </w:rPr>
              <w:t>Estimated Burden Hours per Respondent (Ongoing)</w:t>
            </w:r>
          </w:p>
        </w:tc>
        <w:tc>
          <w:tcPr>
            <w:tcW w:w="1620" w:type="dxa"/>
            <w:tcBorders>
              <w:top w:val="single" w:sz="4" w:space="0" w:color="auto"/>
              <w:left w:val="single" w:sz="4" w:space="0" w:color="auto"/>
              <w:bottom w:val="single" w:sz="4" w:space="0" w:color="auto"/>
              <w:right w:val="single" w:sz="4" w:space="0" w:color="auto"/>
            </w:tcBorders>
          </w:tcPr>
          <w:p w:rsidR="00E93A52" w:rsidRPr="00B33A51" w:rsidRDefault="00EB2D98">
            <w:pPr>
              <w:widowControl/>
              <w:autoSpaceDE/>
              <w:autoSpaceDN/>
              <w:adjustRightInd/>
              <w:jc w:val="center"/>
              <w:rPr>
                <w:b/>
                <w:szCs w:val="20"/>
              </w:rPr>
            </w:pPr>
            <w:r w:rsidRPr="00B33A51">
              <w:rPr>
                <w:b/>
                <w:szCs w:val="20"/>
              </w:rPr>
              <w:t>Total Estimated Burden Hours (Ongoing)</w:t>
            </w:r>
          </w:p>
        </w:tc>
      </w:tr>
      <w:tr w:rsidR="006859EE" w:rsidRPr="00B33A51" w:rsidDel="00A71CC3" w:rsidTr="003744B2">
        <w:trPr>
          <w:jc w:val="center"/>
        </w:trPr>
        <w:tc>
          <w:tcPr>
            <w:tcW w:w="1627" w:type="dxa"/>
          </w:tcPr>
          <w:p w:rsidR="006859EE" w:rsidRPr="00B33A51" w:rsidRDefault="00EB2D98" w:rsidP="006859EE">
            <w:pPr>
              <w:widowControl/>
              <w:autoSpaceDE/>
              <w:autoSpaceDN/>
              <w:adjustRightInd/>
              <w:rPr>
                <w:szCs w:val="20"/>
              </w:rPr>
            </w:pPr>
            <w:r w:rsidRPr="00B33A51">
              <w:rPr>
                <w:szCs w:val="20"/>
              </w:rPr>
              <w:t>Disbursement of Rebate  Checks</w:t>
            </w:r>
          </w:p>
        </w:tc>
        <w:tc>
          <w:tcPr>
            <w:tcW w:w="1440" w:type="dxa"/>
          </w:tcPr>
          <w:p w:rsidR="006859EE" w:rsidRPr="00B33A51" w:rsidRDefault="00EB2D98" w:rsidP="006859EE">
            <w:pPr>
              <w:widowControl/>
              <w:autoSpaceDE/>
              <w:autoSpaceDN/>
              <w:adjustRightInd/>
              <w:rPr>
                <w:szCs w:val="20"/>
              </w:rPr>
            </w:pPr>
            <w:r w:rsidRPr="00B33A51">
              <w:rPr>
                <w:szCs w:val="20"/>
              </w:rPr>
              <w:t>Private Company</w:t>
            </w:r>
          </w:p>
        </w:tc>
        <w:tc>
          <w:tcPr>
            <w:tcW w:w="1530" w:type="dxa"/>
          </w:tcPr>
          <w:p w:rsidR="006859EE" w:rsidRPr="00B33A51" w:rsidRDefault="00EB2D98" w:rsidP="006859EE">
            <w:pPr>
              <w:widowControl/>
              <w:autoSpaceDE/>
              <w:autoSpaceDN/>
              <w:adjustRightInd/>
              <w:ind w:left="720"/>
              <w:jc w:val="right"/>
              <w:rPr>
                <w:szCs w:val="20"/>
              </w:rPr>
            </w:pPr>
            <w:r w:rsidRPr="00B33A51">
              <w:rPr>
                <w:szCs w:val="20"/>
              </w:rPr>
              <w:t>56</w:t>
            </w:r>
          </w:p>
        </w:tc>
        <w:tc>
          <w:tcPr>
            <w:tcW w:w="1440" w:type="dxa"/>
          </w:tcPr>
          <w:p w:rsidR="00E93A52" w:rsidRPr="00B33A51" w:rsidRDefault="00EB2D98">
            <w:pPr>
              <w:widowControl/>
              <w:autoSpaceDE/>
              <w:autoSpaceDN/>
              <w:adjustRightInd/>
              <w:jc w:val="center"/>
              <w:rPr>
                <w:szCs w:val="20"/>
              </w:rPr>
            </w:pPr>
            <w:r w:rsidRPr="00B33A51">
              <w:rPr>
                <w:szCs w:val="20"/>
              </w:rPr>
              <w:t>27,513</w:t>
            </w:r>
          </w:p>
        </w:tc>
        <w:tc>
          <w:tcPr>
            <w:tcW w:w="1271" w:type="dxa"/>
          </w:tcPr>
          <w:p w:rsidR="006859EE" w:rsidRPr="00B33A51" w:rsidRDefault="00EB2D98" w:rsidP="006859EE">
            <w:pPr>
              <w:widowControl/>
              <w:autoSpaceDE/>
              <w:autoSpaceDN/>
              <w:adjustRightInd/>
              <w:ind w:left="720"/>
              <w:jc w:val="right"/>
              <w:rPr>
                <w:szCs w:val="20"/>
              </w:rPr>
            </w:pPr>
            <w:r w:rsidRPr="00B33A51">
              <w:rPr>
                <w:szCs w:val="20"/>
              </w:rPr>
              <w:t>1</w:t>
            </w:r>
          </w:p>
        </w:tc>
        <w:tc>
          <w:tcPr>
            <w:tcW w:w="1843" w:type="dxa"/>
          </w:tcPr>
          <w:p w:rsidR="006859EE" w:rsidRPr="00B33A51" w:rsidRDefault="00EB2D98" w:rsidP="006859EE">
            <w:pPr>
              <w:widowControl/>
              <w:autoSpaceDE/>
              <w:autoSpaceDN/>
              <w:adjustRightInd/>
              <w:ind w:left="720"/>
              <w:jc w:val="right"/>
              <w:rPr>
                <w:szCs w:val="20"/>
              </w:rPr>
            </w:pPr>
            <w:r w:rsidRPr="00B33A51">
              <w:rPr>
                <w:szCs w:val="20"/>
              </w:rPr>
              <w:t>687.84</w:t>
            </w:r>
          </w:p>
        </w:tc>
        <w:tc>
          <w:tcPr>
            <w:tcW w:w="1620" w:type="dxa"/>
          </w:tcPr>
          <w:p w:rsidR="00E93A52" w:rsidRPr="00B33A51" w:rsidRDefault="00EB2D98">
            <w:pPr>
              <w:widowControl/>
              <w:autoSpaceDE/>
              <w:autoSpaceDN/>
              <w:adjustRightInd/>
              <w:jc w:val="center"/>
              <w:rPr>
                <w:szCs w:val="20"/>
              </w:rPr>
            </w:pPr>
            <w:r w:rsidRPr="00B33A51">
              <w:rPr>
                <w:szCs w:val="20"/>
              </w:rPr>
              <w:t>38,518.97</w:t>
            </w:r>
          </w:p>
        </w:tc>
      </w:tr>
    </w:tbl>
    <w:p w:rsidR="006859EE" w:rsidRPr="00B33A51" w:rsidRDefault="006859EE" w:rsidP="006859EE">
      <w:pPr>
        <w:widowControl/>
        <w:ind w:left="360"/>
        <w:rPr>
          <w:sz w:val="22"/>
          <w:szCs w:val="22"/>
        </w:rPr>
      </w:pPr>
    </w:p>
    <w:p w:rsidR="00C659B4" w:rsidRDefault="00C659B4" w:rsidP="00BC79C9">
      <w:pPr>
        <w:widowControl/>
        <w:ind w:left="360"/>
        <w:rPr>
          <w:sz w:val="24"/>
        </w:rPr>
      </w:pPr>
      <w:r w:rsidRPr="003B4A5F">
        <w:rPr>
          <w:sz w:val="24"/>
        </w:rPr>
        <w:t xml:space="preserve">It is estimated that </w:t>
      </w:r>
      <w:r w:rsidR="00CF0636">
        <w:rPr>
          <w:sz w:val="24"/>
        </w:rPr>
        <w:t>120</w:t>
      </w:r>
      <w:r w:rsidRPr="003B4A5F">
        <w:rPr>
          <w:sz w:val="24"/>
        </w:rPr>
        <w:t xml:space="preserve"> issuers </w:t>
      </w:r>
      <w:r w:rsidR="007062A3">
        <w:rPr>
          <w:sz w:val="24"/>
        </w:rPr>
        <w:t xml:space="preserve">in the individual and group markets </w:t>
      </w:r>
      <w:r w:rsidRPr="003B4A5F">
        <w:rPr>
          <w:sz w:val="24"/>
        </w:rPr>
        <w:t xml:space="preserve">will owe rebates and each issuer will provide rebate notices to approximately </w:t>
      </w:r>
      <w:r w:rsidR="00CF0636" w:rsidRPr="00CF0636">
        <w:rPr>
          <w:sz w:val="24"/>
        </w:rPr>
        <w:t>69,</w:t>
      </w:r>
      <w:r w:rsidR="000451DA">
        <w:rPr>
          <w:sz w:val="24"/>
        </w:rPr>
        <w:t>372</w:t>
      </w:r>
      <w:r w:rsidRPr="003B4A5F">
        <w:rPr>
          <w:sz w:val="24"/>
        </w:rPr>
        <w:t xml:space="preserve"> policyholders and subscribers</w:t>
      </w:r>
      <w:r>
        <w:rPr>
          <w:sz w:val="24"/>
        </w:rPr>
        <w:t xml:space="preserve"> on average</w:t>
      </w:r>
      <w:r w:rsidRPr="003B4A5F">
        <w:rPr>
          <w:sz w:val="24"/>
        </w:rPr>
        <w:t xml:space="preserve">. </w:t>
      </w:r>
      <w:r w:rsidR="00BC79C9">
        <w:rPr>
          <w:sz w:val="24"/>
        </w:rPr>
        <w:t xml:space="preserve">(Table 3) </w:t>
      </w:r>
      <w:r w:rsidRPr="003B4A5F">
        <w:rPr>
          <w:sz w:val="24"/>
        </w:rPr>
        <w:t xml:space="preserve">We estimate that approximately </w:t>
      </w:r>
      <w:r w:rsidR="00CF0636" w:rsidRPr="00CF0636">
        <w:rPr>
          <w:sz w:val="24"/>
        </w:rPr>
        <w:t>31,</w:t>
      </w:r>
      <w:r w:rsidR="00484666">
        <w:rPr>
          <w:sz w:val="24"/>
        </w:rPr>
        <w:t>429</w:t>
      </w:r>
      <w:r w:rsidR="00862BD0">
        <w:rPr>
          <w:sz w:val="24"/>
        </w:rPr>
        <w:t xml:space="preserve"> </w:t>
      </w:r>
      <w:r w:rsidRPr="003B4A5F">
        <w:rPr>
          <w:sz w:val="24"/>
        </w:rPr>
        <w:t>notices will be</w:t>
      </w:r>
      <w:r w:rsidRPr="00DD0DE9">
        <w:rPr>
          <w:sz w:val="24"/>
        </w:rPr>
        <w:t xml:space="preserve"> sent per issuer electronically and approximately </w:t>
      </w:r>
      <w:r w:rsidR="00CF0636" w:rsidRPr="00CF0636">
        <w:rPr>
          <w:sz w:val="24"/>
        </w:rPr>
        <w:t>37,</w:t>
      </w:r>
      <w:r w:rsidR="005F4333">
        <w:rPr>
          <w:sz w:val="24"/>
        </w:rPr>
        <w:t>943</w:t>
      </w:r>
      <w:r w:rsidR="00862BD0">
        <w:rPr>
          <w:sz w:val="24"/>
        </w:rPr>
        <w:t xml:space="preserve"> </w:t>
      </w:r>
      <w:r w:rsidRPr="003B4A5F">
        <w:rPr>
          <w:sz w:val="24"/>
        </w:rPr>
        <w:t>n</w:t>
      </w:r>
      <w:r w:rsidRPr="00DD0DE9">
        <w:rPr>
          <w:sz w:val="24"/>
        </w:rPr>
        <w:t xml:space="preserve">otices will be sent per issuer by first class U.S. mail.  </w:t>
      </w:r>
      <w:r w:rsidR="00BC79C9">
        <w:rPr>
          <w:sz w:val="24"/>
        </w:rPr>
        <w:t xml:space="preserve">We assume </w:t>
      </w:r>
      <w:r w:rsidR="002F4365">
        <w:rPr>
          <w:sz w:val="24"/>
        </w:rPr>
        <w:t xml:space="preserve">that the </w:t>
      </w:r>
      <w:r w:rsidR="00EC1870">
        <w:rPr>
          <w:sz w:val="24"/>
        </w:rPr>
        <w:t xml:space="preserve">cost of sending notices electronically </w:t>
      </w:r>
      <w:r w:rsidR="00253155">
        <w:rPr>
          <w:sz w:val="24"/>
        </w:rPr>
        <w:t xml:space="preserve">is </w:t>
      </w:r>
      <w:r w:rsidR="002F4365">
        <w:rPr>
          <w:sz w:val="24"/>
        </w:rPr>
        <w:t>negl</w:t>
      </w:r>
      <w:r w:rsidR="002E6C2B">
        <w:rPr>
          <w:sz w:val="24"/>
        </w:rPr>
        <w:t>ig</w:t>
      </w:r>
      <w:r w:rsidR="002F4365">
        <w:rPr>
          <w:sz w:val="24"/>
        </w:rPr>
        <w:t>ible</w:t>
      </w:r>
      <w:r w:rsidR="00010058">
        <w:rPr>
          <w:sz w:val="24"/>
        </w:rPr>
        <w:t>.  T</w:t>
      </w:r>
      <w:r w:rsidR="002F4365">
        <w:rPr>
          <w:sz w:val="24"/>
        </w:rPr>
        <w:t xml:space="preserve">he cost for sending notices via U.S. mail for </w:t>
      </w:r>
      <w:r w:rsidR="00BC79C9" w:rsidRPr="00DD0DE9">
        <w:rPr>
          <w:sz w:val="24"/>
        </w:rPr>
        <w:t xml:space="preserve">each issuer </w:t>
      </w:r>
      <w:r w:rsidR="00010058">
        <w:rPr>
          <w:sz w:val="24"/>
        </w:rPr>
        <w:t xml:space="preserve">is estimated to be </w:t>
      </w:r>
      <w:r w:rsidR="00BC79C9" w:rsidRPr="00DD0DE9">
        <w:rPr>
          <w:sz w:val="24"/>
        </w:rPr>
        <w:t xml:space="preserve"> roughly </w:t>
      </w:r>
      <w:r w:rsidR="00BC79C9" w:rsidRPr="00976350">
        <w:rPr>
          <w:sz w:val="24"/>
        </w:rPr>
        <w:t>$</w:t>
      </w:r>
      <w:r w:rsidR="00BC79C9">
        <w:rPr>
          <w:sz w:val="24"/>
        </w:rPr>
        <w:t>19,434</w:t>
      </w:r>
      <w:r w:rsidR="00BC79C9" w:rsidRPr="007A0569">
        <w:rPr>
          <w:sz w:val="24"/>
        </w:rPr>
        <w:t xml:space="preserve"> </w:t>
      </w:r>
      <w:r w:rsidR="00BC79C9" w:rsidRPr="003B4A5F">
        <w:rPr>
          <w:sz w:val="24"/>
        </w:rPr>
        <w:t xml:space="preserve">($30.67 per hour x </w:t>
      </w:r>
      <w:r w:rsidR="00BC79C9" w:rsidRPr="00CF7C40">
        <w:rPr>
          <w:sz w:val="24"/>
        </w:rPr>
        <w:t>6</w:t>
      </w:r>
      <w:r w:rsidR="00BC79C9">
        <w:rPr>
          <w:sz w:val="24"/>
        </w:rPr>
        <w:t>333.64</w:t>
      </w:r>
      <w:r w:rsidR="00BC79C9" w:rsidRPr="003B4A5F">
        <w:rPr>
          <w:sz w:val="24"/>
        </w:rPr>
        <w:t xml:space="preserve"> burden hours) in labor costs and approximately </w:t>
      </w:r>
      <w:r w:rsidR="00BC79C9">
        <w:rPr>
          <w:sz w:val="24"/>
        </w:rPr>
        <w:t>$18,971</w:t>
      </w:r>
      <w:r w:rsidR="00BC79C9" w:rsidRPr="00976350">
        <w:rPr>
          <w:sz w:val="24"/>
        </w:rPr>
        <w:t xml:space="preserve"> </w:t>
      </w:r>
      <w:r w:rsidR="00BC79C9" w:rsidRPr="008655F9">
        <w:rPr>
          <w:sz w:val="24"/>
        </w:rPr>
        <w:t>(</w:t>
      </w:r>
      <w:r w:rsidR="00BC79C9" w:rsidRPr="00976350">
        <w:rPr>
          <w:sz w:val="24"/>
        </w:rPr>
        <w:t>37,</w:t>
      </w:r>
      <w:r w:rsidR="00BC79C9">
        <w:rPr>
          <w:sz w:val="24"/>
        </w:rPr>
        <w:t xml:space="preserve">943 </w:t>
      </w:r>
      <w:r w:rsidR="00BC79C9" w:rsidRPr="003B4A5F">
        <w:rPr>
          <w:sz w:val="24"/>
        </w:rPr>
        <w:t xml:space="preserve">notices x $0.50 mailing and supply costs per notice) in mailing costs, for a total </w:t>
      </w:r>
      <w:r w:rsidR="00881D72">
        <w:rPr>
          <w:sz w:val="24"/>
        </w:rPr>
        <w:t>annual</w:t>
      </w:r>
      <w:r w:rsidR="00BC79C9" w:rsidRPr="003B4A5F">
        <w:rPr>
          <w:sz w:val="24"/>
        </w:rPr>
        <w:t xml:space="preserve"> cost of approximately </w:t>
      </w:r>
      <w:r w:rsidR="00BC79C9" w:rsidRPr="00976350">
        <w:rPr>
          <w:sz w:val="24"/>
        </w:rPr>
        <w:t>$38,</w:t>
      </w:r>
      <w:r w:rsidR="00684D26">
        <w:rPr>
          <w:sz w:val="24"/>
        </w:rPr>
        <w:t>405 (</w:t>
      </w:r>
      <w:r w:rsidR="00BC79C9">
        <w:rPr>
          <w:sz w:val="24"/>
        </w:rPr>
        <w:t>Tables 3 and 4)</w:t>
      </w:r>
      <w:r w:rsidR="00BC79C9" w:rsidRPr="003B4A5F">
        <w:rPr>
          <w:sz w:val="24"/>
        </w:rPr>
        <w:t>.</w:t>
      </w:r>
      <w:r w:rsidR="00BC79C9">
        <w:rPr>
          <w:sz w:val="24"/>
        </w:rPr>
        <w:t xml:space="preserve"> </w:t>
      </w:r>
    </w:p>
    <w:p w:rsidR="006859EE" w:rsidRDefault="006859EE" w:rsidP="006859EE">
      <w:pPr>
        <w:widowControl/>
        <w:ind w:left="360"/>
        <w:rPr>
          <w:sz w:val="24"/>
        </w:rPr>
      </w:pPr>
    </w:p>
    <w:p w:rsidR="00846FF2" w:rsidRDefault="00711638">
      <w:pPr>
        <w:widowControl/>
        <w:ind w:left="450"/>
        <w:rPr>
          <w:b/>
          <w:sz w:val="24"/>
        </w:rPr>
      </w:pPr>
      <w:r w:rsidRPr="00DE4063">
        <w:rPr>
          <w:b/>
          <w:sz w:val="24"/>
        </w:rPr>
        <w:t>Table 3</w:t>
      </w:r>
      <w:r w:rsidR="00050B08">
        <w:rPr>
          <w:b/>
          <w:sz w:val="24"/>
        </w:rPr>
        <w:t>: Burden Estimate for Notice of Rebates</w:t>
      </w: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9"/>
        <w:gridCol w:w="1440"/>
        <w:gridCol w:w="1530"/>
        <w:gridCol w:w="1440"/>
        <w:gridCol w:w="1350"/>
        <w:gridCol w:w="1620"/>
        <w:gridCol w:w="1661"/>
      </w:tblGrid>
      <w:tr w:rsidR="00090DFD" w:rsidRPr="0091082B" w:rsidTr="00353EEF">
        <w:trPr>
          <w:jc w:val="center"/>
        </w:trPr>
        <w:tc>
          <w:tcPr>
            <w:tcW w:w="1629"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rPr>
                <w:b/>
                <w:szCs w:val="20"/>
              </w:rPr>
            </w:pPr>
            <w:r w:rsidRPr="00EB2D98">
              <w:rPr>
                <w:b/>
                <w:szCs w:val="20"/>
              </w:rPr>
              <w:t>Forms (if necessary)</w:t>
            </w:r>
          </w:p>
        </w:tc>
        <w:tc>
          <w:tcPr>
            <w:tcW w:w="1440"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rPr>
                <w:b/>
                <w:szCs w:val="20"/>
              </w:rPr>
            </w:pPr>
            <w:r w:rsidRPr="00EB2D98">
              <w:rPr>
                <w:b/>
                <w:szCs w:val="20"/>
              </w:rPr>
              <w:t>Type of Respondent</w:t>
            </w:r>
          </w:p>
        </w:tc>
        <w:tc>
          <w:tcPr>
            <w:tcW w:w="1530"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jc w:val="right"/>
              <w:rPr>
                <w:b/>
                <w:szCs w:val="20"/>
              </w:rPr>
            </w:pPr>
            <w:r w:rsidRPr="00EB2D98">
              <w:rPr>
                <w:b/>
                <w:szCs w:val="20"/>
              </w:rPr>
              <w:t>Number of Respondents</w:t>
            </w:r>
          </w:p>
        </w:tc>
        <w:tc>
          <w:tcPr>
            <w:tcW w:w="1440"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jc w:val="right"/>
              <w:rPr>
                <w:b/>
                <w:szCs w:val="20"/>
              </w:rPr>
            </w:pPr>
            <w:r w:rsidRPr="00EB2D98">
              <w:rPr>
                <w:b/>
                <w:szCs w:val="20"/>
              </w:rPr>
              <w:t>Average Number per Respondent</w:t>
            </w:r>
          </w:p>
        </w:tc>
        <w:tc>
          <w:tcPr>
            <w:tcW w:w="1350"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jc w:val="right"/>
              <w:rPr>
                <w:b/>
                <w:szCs w:val="20"/>
              </w:rPr>
            </w:pPr>
            <w:r w:rsidRPr="00EB2D98">
              <w:rPr>
                <w:b/>
                <w:szCs w:val="20"/>
              </w:rPr>
              <w:t>Frequency</w:t>
            </w:r>
          </w:p>
        </w:tc>
        <w:tc>
          <w:tcPr>
            <w:tcW w:w="1620"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jc w:val="right"/>
              <w:rPr>
                <w:b/>
                <w:szCs w:val="20"/>
              </w:rPr>
            </w:pPr>
            <w:r w:rsidRPr="00EB2D98">
              <w:rPr>
                <w:b/>
                <w:szCs w:val="20"/>
              </w:rPr>
              <w:t>Estimated Burden Hours per Respondent (Ongoing)</w:t>
            </w:r>
          </w:p>
        </w:tc>
        <w:tc>
          <w:tcPr>
            <w:tcW w:w="1661" w:type="dxa"/>
            <w:tcBorders>
              <w:top w:val="single" w:sz="4" w:space="0" w:color="auto"/>
              <w:left w:val="single" w:sz="4" w:space="0" w:color="auto"/>
              <w:bottom w:val="single" w:sz="4" w:space="0" w:color="auto"/>
              <w:right w:val="single" w:sz="4" w:space="0" w:color="auto"/>
            </w:tcBorders>
          </w:tcPr>
          <w:p w:rsidR="00846FF2" w:rsidRDefault="00EB2D98">
            <w:pPr>
              <w:widowControl/>
              <w:autoSpaceDE/>
              <w:autoSpaceDN/>
              <w:adjustRightInd/>
              <w:rPr>
                <w:b/>
                <w:szCs w:val="20"/>
              </w:rPr>
            </w:pPr>
            <w:r w:rsidRPr="00EB2D98">
              <w:rPr>
                <w:b/>
                <w:szCs w:val="20"/>
              </w:rPr>
              <w:t>Total Estimated Burden Hours (Ongoing)</w:t>
            </w:r>
          </w:p>
        </w:tc>
      </w:tr>
      <w:tr w:rsidR="00090DFD" w:rsidRPr="0091082B" w:rsidTr="00353EEF">
        <w:trPr>
          <w:jc w:val="center"/>
        </w:trPr>
        <w:tc>
          <w:tcPr>
            <w:tcW w:w="1629"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rPr>
                <w:szCs w:val="20"/>
              </w:rPr>
            </w:pPr>
            <w:r w:rsidRPr="00EB2D98">
              <w:rPr>
                <w:szCs w:val="20"/>
              </w:rPr>
              <w:t>Notice of Rebate to Policyholders</w:t>
            </w:r>
          </w:p>
        </w:tc>
        <w:tc>
          <w:tcPr>
            <w:tcW w:w="1440"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rPr>
                <w:szCs w:val="20"/>
              </w:rPr>
            </w:pPr>
            <w:r w:rsidRPr="00EB2D98">
              <w:rPr>
                <w:szCs w:val="20"/>
              </w:rPr>
              <w:t>Private Company</w:t>
            </w:r>
          </w:p>
        </w:tc>
        <w:tc>
          <w:tcPr>
            <w:tcW w:w="1530" w:type="dxa"/>
            <w:tcBorders>
              <w:top w:val="single" w:sz="4" w:space="0" w:color="auto"/>
              <w:left w:val="single" w:sz="4" w:space="0" w:color="auto"/>
              <w:bottom w:val="single" w:sz="4" w:space="0" w:color="auto"/>
              <w:right w:val="single" w:sz="4" w:space="0" w:color="auto"/>
            </w:tcBorders>
          </w:tcPr>
          <w:p w:rsidR="00090DFD" w:rsidRPr="00353EEF" w:rsidRDefault="00EB2D98" w:rsidP="00CF7C40">
            <w:pPr>
              <w:widowControl/>
              <w:autoSpaceDE/>
              <w:autoSpaceDN/>
              <w:adjustRightInd/>
              <w:jc w:val="right"/>
              <w:rPr>
                <w:szCs w:val="20"/>
              </w:rPr>
            </w:pPr>
            <w:r w:rsidRPr="00EB2D98">
              <w:rPr>
                <w:szCs w:val="20"/>
              </w:rPr>
              <w:t>120</w:t>
            </w:r>
          </w:p>
        </w:tc>
        <w:tc>
          <w:tcPr>
            <w:tcW w:w="1440" w:type="dxa"/>
            <w:tcBorders>
              <w:top w:val="single" w:sz="4" w:space="0" w:color="auto"/>
              <w:left w:val="single" w:sz="4" w:space="0" w:color="auto"/>
              <w:bottom w:val="single" w:sz="4" w:space="0" w:color="auto"/>
              <w:right w:val="single" w:sz="4" w:space="0" w:color="auto"/>
            </w:tcBorders>
          </w:tcPr>
          <w:p w:rsidR="00090DFD" w:rsidRPr="00353EEF" w:rsidRDefault="00EB2D98" w:rsidP="00795F32">
            <w:pPr>
              <w:widowControl/>
              <w:autoSpaceDE/>
              <w:autoSpaceDN/>
              <w:adjustRightInd/>
              <w:jc w:val="right"/>
              <w:rPr>
                <w:szCs w:val="20"/>
              </w:rPr>
            </w:pPr>
            <w:r w:rsidRPr="00EB2D98">
              <w:rPr>
                <w:szCs w:val="20"/>
              </w:rPr>
              <w:t xml:space="preserve">69,372 </w:t>
            </w:r>
          </w:p>
        </w:tc>
        <w:tc>
          <w:tcPr>
            <w:tcW w:w="1350"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jc w:val="right"/>
              <w:rPr>
                <w:szCs w:val="20"/>
              </w:rPr>
            </w:pPr>
            <w:r w:rsidRPr="00EB2D98">
              <w:rPr>
                <w:szCs w:val="20"/>
              </w:rPr>
              <w:t>1</w:t>
            </w:r>
          </w:p>
        </w:tc>
        <w:tc>
          <w:tcPr>
            <w:tcW w:w="1620" w:type="dxa"/>
            <w:tcBorders>
              <w:top w:val="single" w:sz="4" w:space="0" w:color="auto"/>
              <w:left w:val="single" w:sz="4" w:space="0" w:color="auto"/>
              <w:bottom w:val="single" w:sz="4" w:space="0" w:color="auto"/>
              <w:right w:val="single" w:sz="4" w:space="0" w:color="auto"/>
            </w:tcBorders>
          </w:tcPr>
          <w:p w:rsidR="00090DFD" w:rsidRPr="00353EEF" w:rsidRDefault="00EB2D98" w:rsidP="00090DFD">
            <w:pPr>
              <w:widowControl/>
              <w:autoSpaceDE/>
              <w:autoSpaceDN/>
              <w:adjustRightInd/>
              <w:ind w:left="720"/>
              <w:jc w:val="right"/>
              <w:rPr>
                <w:szCs w:val="20"/>
              </w:rPr>
            </w:pPr>
            <w:r w:rsidRPr="00EB2D98">
              <w:rPr>
                <w:szCs w:val="20"/>
              </w:rPr>
              <w:t>633.84</w:t>
            </w:r>
          </w:p>
          <w:p w:rsidR="00090DFD" w:rsidRPr="00353EEF" w:rsidRDefault="00090DFD" w:rsidP="00090DFD">
            <w:pPr>
              <w:widowControl/>
              <w:autoSpaceDE/>
              <w:autoSpaceDN/>
              <w:adjustRightInd/>
              <w:jc w:val="right"/>
              <w:rPr>
                <w:szCs w:val="20"/>
              </w:rPr>
            </w:pPr>
          </w:p>
        </w:tc>
        <w:tc>
          <w:tcPr>
            <w:tcW w:w="1661" w:type="dxa"/>
            <w:tcBorders>
              <w:top w:val="single" w:sz="4" w:space="0" w:color="auto"/>
              <w:left w:val="single" w:sz="4" w:space="0" w:color="auto"/>
              <w:bottom w:val="single" w:sz="4" w:space="0" w:color="auto"/>
              <w:right w:val="single" w:sz="4" w:space="0" w:color="auto"/>
            </w:tcBorders>
          </w:tcPr>
          <w:p w:rsidR="00090DFD" w:rsidRPr="00353EEF" w:rsidRDefault="00EB2D98" w:rsidP="00795F32">
            <w:pPr>
              <w:widowControl/>
              <w:autoSpaceDE/>
              <w:autoSpaceDN/>
              <w:adjustRightInd/>
              <w:jc w:val="right"/>
              <w:rPr>
                <w:szCs w:val="20"/>
              </w:rPr>
            </w:pPr>
            <w:r w:rsidRPr="00EB2D98">
              <w:rPr>
                <w:szCs w:val="20"/>
              </w:rPr>
              <w:t>76,037</w:t>
            </w:r>
          </w:p>
        </w:tc>
      </w:tr>
    </w:tbl>
    <w:p w:rsidR="00090DFD" w:rsidRDefault="00090DFD" w:rsidP="00AC6E89">
      <w:pPr>
        <w:widowControl/>
        <w:ind w:left="360"/>
        <w:rPr>
          <w:b/>
          <w:sz w:val="24"/>
        </w:rPr>
      </w:pPr>
    </w:p>
    <w:p w:rsidR="00090DFD" w:rsidRDefault="00090DFD" w:rsidP="00CB278C">
      <w:pPr>
        <w:widowControl/>
        <w:ind w:left="360"/>
        <w:rPr>
          <w:b/>
          <w:sz w:val="24"/>
        </w:rPr>
      </w:pPr>
      <w:r w:rsidRPr="0091396B">
        <w:rPr>
          <w:b/>
          <w:sz w:val="24"/>
          <w:u w:val="single"/>
        </w:rPr>
        <w:t>Cost Estimate for All Respondents Providing Notice of Rebates</w:t>
      </w:r>
      <w:r>
        <w:rPr>
          <w:b/>
          <w:sz w:val="24"/>
          <w:u w:val="single"/>
        </w:rPr>
        <w:t xml:space="preserve"> and Rebate Payments</w:t>
      </w:r>
      <w:r w:rsidRPr="0091396B">
        <w:rPr>
          <w:b/>
          <w:sz w:val="24"/>
          <w:u w:val="single"/>
        </w:rPr>
        <w:t xml:space="preserve"> to </w:t>
      </w:r>
      <w:r>
        <w:rPr>
          <w:b/>
          <w:sz w:val="24"/>
          <w:u w:val="single"/>
        </w:rPr>
        <w:t>Policyholder</w:t>
      </w:r>
      <w:r w:rsidRPr="0091396B">
        <w:rPr>
          <w:b/>
          <w:sz w:val="24"/>
          <w:u w:val="single"/>
        </w:rPr>
        <w:t>s</w:t>
      </w:r>
      <w:r w:rsidRPr="0091396B">
        <w:rPr>
          <w:b/>
          <w:sz w:val="24"/>
        </w:rPr>
        <w:t xml:space="preserve"> (Annualized)</w:t>
      </w:r>
    </w:p>
    <w:p w:rsidR="00090DFD" w:rsidRPr="00DE4063" w:rsidRDefault="00090DFD" w:rsidP="00AC6E89">
      <w:pPr>
        <w:widowControl/>
        <w:ind w:left="360"/>
        <w:rPr>
          <w:b/>
          <w:sz w:val="24"/>
        </w:rPr>
      </w:pPr>
    </w:p>
    <w:p w:rsidR="00090DFD" w:rsidRDefault="00090DFD" w:rsidP="00EB0F56">
      <w:pPr>
        <w:widowControl/>
        <w:tabs>
          <w:tab w:val="left" w:pos="450"/>
        </w:tabs>
        <w:ind w:left="450"/>
        <w:rPr>
          <w:b/>
          <w:sz w:val="24"/>
        </w:rPr>
      </w:pPr>
      <w:r>
        <w:rPr>
          <w:b/>
          <w:sz w:val="24"/>
        </w:rPr>
        <w:t>Table 4</w:t>
      </w:r>
      <w:r w:rsidR="00050B08">
        <w:rPr>
          <w:b/>
          <w:sz w:val="24"/>
        </w:rPr>
        <w:t>: Cost Estimates for Disbursement of Rebate Checks and Notice of Rebates</w:t>
      </w:r>
    </w:p>
    <w:tbl>
      <w:tblPr>
        <w:tblW w:w="5373" w:type="pct"/>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1533"/>
        <w:gridCol w:w="1443"/>
        <w:gridCol w:w="1338"/>
        <w:gridCol w:w="10"/>
        <w:gridCol w:w="1346"/>
        <w:gridCol w:w="1171"/>
        <w:gridCol w:w="1885"/>
      </w:tblGrid>
      <w:tr w:rsidR="00090DFD" w:rsidRPr="0091082B" w:rsidTr="00636D4B">
        <w:trPr>
          <w:trHeight w:val="1277"/>
          <w:jc w:val="center"/>
        </w:trPr>
        <w:tc>
          <w:tcPr>
            <w:tcW w:w="760" w:type="pct"/>
          </w:tcPr>
          <w:p w:rsidR="00090DFD" w:rsidRPr="00353EEF" w:rsidRDefault="00EB2D98" w:rsidP="00090DFD">
            <w:pPr>
              <w:widowControl/>
              <w:autoSpaceDE/>
              <w:autoSpaceDN/>
              <w:adjustRightInd/>
              <w:rPr>
                <w:b/>
                <w:szCs w:val="20"/>
              </w:rPr>
            </w:pPr>
            <w:r w:rsidRPr="00EB2D98">
              <w:rPr>
                <w:b/>
                <w:szCs w:val="20"/>
              </w:rPr>
              <w:t>Type of Respondent and Forms</w:t>
            </w:r>
          </w:p>
          <w:p w:rsidR="000451DA" w:rsidRPr="00353EEF" w:rsidRDefault="000451DA" w:rsidP="00090DFD">
            <w:pPr>
              <w:widowControl/>
              <w:autoSpaceDE/>
              <w:autoSpaceDN/>
              <w:adjustRightInd/>
              <w:rPr>
                <w:b/>
                <w:szCs w:val="20"/>
              </w:rPr>
            </w:pPr>
          </w:p>
        </w:tc>
        <w:tc>
          <w:tcPr>
            <w:tcW w:w="745" w:type="pct"/>
          </w:tcPr>
          <w:p w:rsidR="00090DFD" w:rsidRPr="00353EEF" w:rsidRDefault="00EB2D98" w:rsidP="00090DFD">
            <w:pPr>
              <w:widowControl/>
              <w:autoSpaceDE/>
              <w:autoSpaceDN/>
              <w:adjustRightInd/>
              <w:rPr>
                <w:b/>
                <w:szCs w:val="20"/>
              </w:rPr>
            </w:pPr>
            <w:r w:rsidRPr="00EB2D98">
              <w:rPr>
                <w:b/>
                <w:szCs w:val="20"/>
              </w:rPr>
              <w:t>Number of Respondents</w:t>
            </w:r>
          </w:p>
        </w:tc>
        <w:tc>
          <w:tcPr>
            <w:tcW w:w="701" w:type="pct"/>
          </w:tcPr>
          <w:p w:rsidR="00090DFD" w:rsidRPr="00353EEF" w:rsidRDefault="00EB2D98" w:rsidP="00090DFD">
            <w:pPr>
              <w:widowControl/>
              <w:autoSpaceDE/>
              <w:autoSpaceDN/>
              <w:adjustRightInd/>
              <w:rPr>
                <w:b/>
                <w:szCs w:val="20"/>
              </w:rPr>
            </w:pPr>
            <w:r w:rsidRPr="00EB2D98">
              <w:rPr>
                <w:b/>
                <w:szCs w:val="20"/>
              </w:rPr>
              <w:t>Average Number of Notices or Checks per Respondent</w:t>
            </w:r>
          </w:p>
        </w:tc>
        <w:tc>
          <w:tcPr>
            <w:tcW w:w="655" w:type="pct"/>
            <w:gridSpan w:val="2"/>
          </w:tcPr>
          <w:p w:rsidR="00090DFD" w:rsidRPr="00353EEF" w:rsidRDefault="00EB2D98" w:rsidP="00090DFD">
            <w:pPr>
              <w:widowControl/>
              <w:autoSpaceDE/>
              <w:autoSpaceDN/>
              <w:adjustRightInd/>
              <w:rPr>
                <w:b/>
                <w:szCs w:val="20"/>
              </w:rPr>
            </w:pPr>
            <w:r w:rsidRPr="00EB2D98">
              <w:rPr>
                <w:b/>
                <w:szCs w:val="20"/>
              </w:rPr>
              <w:t>Average Mailing and Supplies Cost Per Notice or Check</w:t>
            </w:r>
          </w:p>
        </w:tc>
        <w:tc>
          <w:tcPr>
            <w:tcW w:w="654" w:type="pct"/>
          </w:tcPr>
          <w:p w:rsidR="00090DFD" w:rsidRPr="00353EEF" w:rsidRDefault="00EB2D98" w:rsidP="00090DFD">
            <w:pPr>
              <w:widowControl/>
              <w:autoSpaceDE/>
              <w:autoSpaceDN/>
              <w:adjustRightInd/>
              <w:rPr>
                <w:b/>
                <w:szCs w:val="20"/>
              </w:rPr>
            </w:pPr>
            <w:r w:rsidRPr="00EB2D98">
              <w:rPr>
                <w:b/>
                <w:szCs w:val="20"/>
              </w:rPr>
              <w:t>Estimated Burden Hours per Rebate Cycle</w:t>
            </w:r>
          </w:p>
        </w:tc>
        <w:tc>
          <w:tcPr>
            <w:tcW w:w="569" w:type="pct"/>
          </w:tcPr>
          <w:p w:rsidR="00090DFD" w:rsidRPr="00353EEF" w:rsidRDefault="00EB2D98" w:rsidP="00090DFD">
            <w:pPr>
              <w:widowControl/>
              <w:autoSpaceDE/>
              <w:autoSpaceDN/>
              <w:adjustRightInd/>
              <w:rPr>
                <w:b/>
                <w:szCs w:val="20"/>
              </w:rPr>
            </w:pPr>
            <w:r w:rsidRPr="00EB2D98">
              <w:rPr>
                <w:b/>
                <w:szCs w:val="20"/>
              </w:rPr>
              <w:t>Wage per Hour (incl. fringe)</w:t>
            </w:r>
          </w:p>
        </w:tc>
        <w:tc>
          <w:tcPr>
            <w:tcW w:w="917" w:type="pct"/>
          </w:tcPr>
          <w:p w:rsidR="00090DFD" w:rsidRPr="00353EEF" w:rsidRDefault="00EB2D98" w:rsidP="00090DFD">
            <w:pPr>
              <w:widowControl/>
              <w:autoSpaceDE/>
              <w:autoSpaceDN/>
              <w:adjustRightInd/>
              <w:rPr>
                <w:b/>
                <w:szCs w:val="20"/>
              </w:rPr>
            </w:pPr>
            <w:r w:rsidRPr="00EB2D98">
              <w:rPr>
                <w:b/>
                <w:szCs w:val="20"/>
              </w:rPr>
              <w:t>Total Estimated Burden Cost for Notices or Checks Per Respondent</w:t>
            </w:r>
          </w:p>
        </w:tc>
      </w:tr>
      <w:tr w:rsidR="00090DFD" w:rsidRPr="0091082B" w:rsidTr="00636D4B">
        <w:trPr>
          <w:trHeight w:val="620"/>
          <w:jc w:val="center"/>
        </w:trPr>
        <w:tc>
          <w:tcPr>
            <w:tcW w:w="760" w:type="pct"/>
          </w:tcPr>
          <w:p w:rsidR="00090DFD" w:rsidRPr="00353EEF" w:rsidRDefault="00EB2D98" w:rsidP="007E2991">
            <w:pPr>
              <w:widowControl/>
              <w:autoSpaceDE/>
              <w:autoSpaceDN/>
              <w:adjustRightInd/>
              <w:rPr>
                <w:szCs w:val="20"/>
              </w:rPr>
            </w:pPr>
            <w:r w:rsidRPr="00EB2D98">
              <w:rPr>
                <w:szCs w:val="20"/>
              </w:rPr>
              <w:t>Private Company for notice of rebates</w:t>
            </w:r>
          </w:p>
        </w:tc>
        <w:tc>
          <w:tcPr>
            <w:tcW w:w="745" w:type="pct"/>
          </w:tcPr>
          <w:p w:rsidR="00090DFD" w:rsidRPr="00353EEF" w:rsidRDefault="00EB2D98" w:rsidP="00090DFD">
            <w:pPr>
              <w:widowControl/>
              <w:autoSpaceDE/>
              <w:autoSpaceDN/>
              <w:adjustRightInd/>
              <w:jc w:val="right"/>
              <w:rPr>
                <w:szCs w:val="20"/>
              </w:rPr>
            </w:pPr>
            <w:r w:rsidRPr="00EB2D98">
              <w:rPr>
                <w:szCs w:val="20"/>
              </w:rPr>
              <w:t>120</w:t>
            </w:r>
          </w:p>
        </w:tc>
        <w:tc>
          <w:tcPr>
            <w:tcW w:w="701" w:type="pct"/>
          </w:tcPr>
          <w:p w:rsidR="00090DFD" w:rsidRPr="00353EEF" w:rsidRDefault="00EB2D98" w:rsidP="00F31337">
            <w:pPr>
              <w:widowControl/>
              <w:autoSpaceDE/>
              <w:autoSpaceDN/>
              <w:adjustRightInd/>
              <w:jc w:val="right"/>
              <w:rPr>
                <w:szCs w:val="20"/>
              </w:rPr>
            </w:pPr>
            <w:r w:rsidRPr="00EB2D98">
              <w:rPr>
                <w:szCs w:val="20"/>
              </w:rPr>
              <w:t xml:space="preserve">69,372 </w:t>
            </w:r>
          </w:p>
        </w:tc>
        <w:tc>
          <w:tcPr>
            <w:tcW w:w="650" w:type="pct"/>
          </w:tcPr>
          <w:p w:rsidR="00090DFD" w:rsidRPr="00353EEF" w:rsidRDefault="00EB2D98" w:rsidP="00090DFD">
            <w:pPr>
              <w:widowControl/>
              <w:autoSpaceDE/>
              <w:autoSpaceDN/>
              <w:adjustRightInd/>
              <w:jc w:val="right"/>
              <w:rPr>
                <w:szCs w:val="20"/>
              </w:rPr>
            </w:pPr>
            <w:r w:rsidRPr="00EB2D98">
              <w:rPr>
                <w:szCs w:val="20"/>
              </w:rPr>
              <w:t>$0.50</w:t>
            </w:r>
          </w:p>
          <w:p w:rsidR="00090DFD" w:rsidRPr="00353EEF" w:rsidRDefault="00090DFD" w:rsidP="00090DFD">
            <w:pPr>
              <w:widowControl/>
              <w:autoSpaceDE/>
              <w:autoSpaceDN/>
              <w:adjustRightInd/>
              <w:jc w:val="right"/>
              <w:rPr>
                <w:szCs w:val="20"/>
              </w:rPr>
            </w:pPr>
          </w:p>
        </w:tc>
        <w:tc>
          <w:tcPr>
            <w:tcW w:w="659" w:type="pct"/>
            <w:gridSpan w:val="2"/>
          </w:tcPr>
          <w:p w:rsidR="00090DFD" w:rsidRPr="00353EEF" w:rsidRDefault="00EB2D98" w:rsidP="00F31337">
            <w:pPr>
              <w:widowControl/>
              <w:autoSpaceDE/>
              <w:autoSpaceDN/>
              <w:adjustRightInd/>
              <w:jc w:val="right"/>
              <w:rPr>
                <w:szCs w:val="20"/>
              </w:rPr>
            </w:pPr>
            <w:r w:rsidRPr="00EB2D98">
              <w:rPr>
                <w:szCs w:val="20"/>
              </w:rPr>
              <w:t>633.64</w:t>
            </w:r>
          </w:p>
        </w:tc>
        <w:tc>
          <w:tcPr>
            <w:tcW w:w="569" w:type="pct"/>
          </w:tcPr>
          <w:p w:rsidR="00090DFD" w:rsidRPr="00353EEF" w:rsidRDefault="00EB2D98" w:rsidP="00090DFD">
            <w:pPr>
              <w:widowControl/>
              <w:autoSpaceDE/>
              <w:autoSpaceDN/>
              <w:adjustRightInd/>
              <w:jc w:val="right"/>
              <w:rPr>
                <w:szCs w:val="20"/>
              </w:rPr>
            </w:pPr>
            <w:r w:rsidRPr="00EB2D98">
              <w:rPr>
                <w:szCs w:val="20"/>
              </w:rPr>
              <w:t>$30.67</w:t>
            </w:r>
          </w:p>
        </w:tc>
        <w:tc>
          <w:tcPr>
            <w:tcW w:w="917" w:type="pct"/>
          </w:tcPr>
          <w:p w:rsidR="00090DFD" w:rsidRPr="00353EEF" w:rsidRDefault="00EB2D98" w:rsidP="00090DFD">
            <w:pPr>
              <w:widowControl/>
              <w:autoSpaceDE/>
              <w:autoSpaceDN/>
              <w:adjustRightInd/>
              <w:jc w:val="right"/>
              <w:rPr>
                <w:szCs w:val="20"/>
              </w:rPr>
            </w:pPr>
            <w:r w:rsidRPr="00EB2D98">
              <w:rPr>
                <w:szCs w:val="20"/>
              </w:rPr>
              <w:t>$38,405.08</w:t>
            </w:r>
          </w:p>
          <w:p w:rsidR="00090DFD" w:rsidRPr="00353EEF" w:rsidRDefault="00090DFD" w:rsidP="00090DFD">
            <w:pPr>
              <w:widowControl/>
              <w:autoSpaceDE/>
              <w:autoSpaceDN/>
              <w:adjustRightInd/>
              <w:jc w:val="right"/>
              <w:rPr>
                <w:szCs w:val="20"/>
              </w:rPr>
            </w:pPr>
          </w:p>
        </w:tc>
      </w:tr>
      <w:tr w:rsidR="00090DFD" w:rsidRPr="0091082B" w:rsidTr="00636D4B">
        <w:trPr>
          <w:jc w:val="center"/>
        </w:trPr>
        <w:tc>
          <w:tcPr>
            <w:tcW w:w="760" w:type="pct"/>
          </w:tcPr>
          <w:p w:rsidR="00090DFD" w:rsidRPr="00353EEF" w:rsidRDefault="00EB2D98" w:rsidP="007E2991">
            <w:pPr>
              <w:widowControl/>
              <w:autoSpaceDE/>
              <w:autoSpaceDN/>
              <w:adjustRightInd/>
              <w:rPr>
                <w:b/>
                <w:szCs w:val="20"/>
              </w:rPr>
            </w:pPr>
            <w:r w:rsidRPr="00EB2D98">
              <w:rPr>
                <w:szCs w:val="20"/>
              </w:rPr>
              <w:t>Private Company for Disbursement of checks</w:t>
            </w:r>
          </w:p>
        </w:tc>
        <w:tc>
          <w:tcPr>
            <w:tcW w:w="745" w:type="pct"/>
          </w:tcPr>
          <w:p w:rsidR="00090DFD" w:rsidRPr="00353EEF" w:rsidRDefault="00EB2D98" w:rsidP="00090DFD">
            <w:pPr>
              <w:widowControl/>
              <w:autoSpaceDE/>
              <w:autoSpaceDN/>
              <w:adjustRightInd/>
              <w:jc w:val="right"/>
              <w:rPr>
                <w:szCs w:val="20"/>
              </w:rPr>
            </w:pPr>
            <w:r w:rsidRPr="00EB2D98">
              <w:rPr>
                <w:szCs w:val="20"/>
              </w:rPr>
              <w:t>56</w:t>
            </w:r>
          </w:p>
        </w:tc>
        <w:tc>
          <w:tcPr>
            <w:tcW w:w="701" w:type="pct"/>
          </w:tcPr>
          <w:p w:rsidR="00090DFD" w:rsidRPr="00353EEF" w:rsidRDefault="00EB2D98" w:rsidP="00F31337">
            <w:pPr>
              <w:widowControl/>
              <w:autoSpaceDE/>
              <w:autoSpaceDN/>
              <w:adjustRightInd/>
              <w:jc w:val="right"/>
              <w:rPr>
                <w:szCs w:val="20"/>
              </w:rPr>
            </w:pPr>
            <w:r w:rsidRPr="00EB2D98">
              <w:rPr>
                <w:szCs w:val="20"/>
              </w:rPr>
              <w:t>27,513</w:t>
            </w:r>
          </w:p>
        </w:tc>
        <w:tc>
          <w:tcPr>
            <w:tcW w:w="650" w:type="pct"/>
          </w:tcPr>
          <w:p w:rsidR="00090DFD" w:rsidRPr="00353EEF" w:rsidRDefault="00EB2D98" w:rsidP="00090DFD">
            <w:pPr>
              <w:widowControl/>
              <w:autoSpaceDE/>
              <w:autoSpaceDN/>
              <w:adjustRightInd/>
              <w:jc w:val="right"/>
              <w:rPr>
                <w:szCs w:val="20"/>
              </w:rPr>
            </w:pPr>
            <w:r w:rsidRPr="00EB2D98">
              <w:rPr>
                <w:szCs w:val="20"/>
              </w:rPr>
              <w:t>$0.05</w:t>
            </w:r>
          </w:p>
        </w:tc>
        <w:tc>
          <w:tcPr>
            <w:tcW w:w="659" w:type="pct"/>
            <w:gridSpan w:val="2"/>
          </w:tcPr>
          <w:p w:rsidR="00090DFD" w:rsidRPr="00353EEF" w:rsidRDefault="00EB2D98" w:rsidP="00090DFD">
            <w:pPr>
              <w:widowControl/>
              <w:autoSpaceDE/>
              <w:autoSpaceDN/>
              <w:adjustRightInd/>
              <w:jc w:val="right"/>
              <w:rPr>
                <w:szCs w:val="20"/>
              </w:rPr>
            </w:pPr>
            <w:r w:rsidRPr="00EB2D98">
              <w:rPr>
                <w:szCs w:val="20"/>
              </w:rPr>
              <w:t>687.84</w:t>
            </w:r>
          </w:p>
        </w:tc>
        <w:tc>
          <w:tcPr>
            <w:tcW w:w="569" w:type="pct"/>
          </w:tcPr>
          <w:p w:rsidR="00090DFD" w:rsidRPr="00353EEF" w:rsidRDefault="00EB2D98" w:rsidP="00090DFD">
            <w:pPr>
              <w:widowControl/>
              <w:autoSpaceDE/>
              <w:autoSpaceDN/>
              <w:adjustRightInd/>
              <w:jc w:val="right"/>
              <w:rPr>
                <w:szCs w:val="20"/>
              </w:rPr>
            </w:pPr>
            <w:r w:rsidRPr="00EB2D98">
              <w:rPr>
                <w:szCs w:val="20"/>
              </w:rPr>
              <w:t>$42.06</w:t>
            </w:r>
          </w:p>
        </w:tc>
        <w:tc>
          <w:tcPr>
            <w:tcW w:w="917" w:type="pct"/>
          </w:tcPr>
          <w:p w:rsidR="00090DFD" w:rsidRPr="00353EEF" w:rsidRDefault="00EB2D98" w:rsidP="00082C9A">
            <w:pPr>
              <w:widowControl/>
              <w:autoSpaceDE/>
              <w:autoSpaceDN/>
              <w:adjustRightInd/>
              <w:jc w:val="right"/>
              <w:rPr>
                <w:szCs w:val="20"/>
              </w:rPr>
            </w:pPr>
            <w:r w:rsidRPr="00EB2D98">
              <w:rPr>
                <w:szCs w:val="20"/>
              </w:rPr>
              <w:t>$30,304.24</w:t>
            </w:r>
          </w:p>
        </w:tc>
      </w:tr>
      <w:tr w:rsidR="00090DFD" w:rsidRPr="0091082B" w:rsidTr="00636D4B">
        <w:trPr>
          <w:jc w:val="center"/>
        </w:trPr>
        <w:tc>
          <w:tcPr>
            <w:tcW w:w="760" w:type="pct"/>
          </w:tcPr>
          <w:p w:rsidR="00090DFD" w:rsidRPr="00353EEF" w:rsidRDefault="00EB2D98" w:rsidP="00090DFD">
            <w:pPr>
              <w:widowControl/>
              <w:autoSpaceDE/>
              <w:autoSpaceDN/>
              <w:adjustRightInd/>
              <w:rPr>
                <w:b/>
                <w:szCs w:val="20"/>
              </w:rPr>
            </w:pPr>
            <w:r w:rsidRPr="00EB2D98">
              <w:rPr>
                <w:b/>
                <w:szCs w:val="20"/>
              </w:rPr>
              <w:t>Total</w:t>
            </w:r>
          </w:p>
        </w:tc>
        <w:tc>
          <w:tcPr>
            <w:tcW w:w="745" w:type="pct"/>
          </w:tcPr>
          <w:p w:rsidR="00090DFD" w:rsidRPr="00353EEF" w:rsidRDefault="00090DFD" w:rsidP="00090DFD">
            <w:pPr>
              <w:widowControl/>
              <w:autoSpaceDE/>
              <w:autoSpaceDN/>
              <w:adjustRightInd/>
              <w:jc w:val="right"/>
              <w:rPr>
                <w:b/>
                <w:szCs w:val="20"/>
              </w:rPr>
            </w:pPr>
          </w:p>
        </w:tc>
        <w:tc>
          <w:tcPr>
            <w:tcW w:w="701" w:type="pct"/>
          </w:tcPr>
          <w:p w:rsidR="00090DFD" w:rsidRPr="00353EEF" w:rsidRDefault="00090DFD" w:rsidP="00090DFD">
            <w:pPr>
              <w:widowControl/>
              <w:autoSpaceDE/>
              <w:autoSpaceDN/>
              <w:adjustRightInd/>
              <w:jc w:val="right"/>
              <w:rPr>
                <w:b/>
                <w:szCs w:val="20"/>
              </w:rPr>
            </w:pPr>
          </w:p>
        </w:tc>
        <w:tc>
          <w:tcPr>
            <w:tcW w:w="650" w:type="pct"/>
          </w:tcPr>
          <w:p w:rsidR="00090DFD" w:rsidRPr="00353EEF" w:rsidRDefault="00090DFD" w:rsidP="00090DFD">
            <w:pPr>
              <w:widowControl/>
              <w:autoSpaceDE/>
              <w:autoSpaceDN/>
              <w:adjustRightInd/>
              <w:jc w:val="right"/>
              <w:rPr>
                <w:szCs w:val="20"/>
              </w:rPr>
            </w:pPr>
          </w:p>
        </w:tc>
        <w:tc>
          <w:tcPr>
            <w:tcW w:w="659" w:type="pct"/>
            <w:gridSpan w:val="2"/>
          </w:tcPr>
          <w:p w:rsidR="00090DFD" w:rsidRPr="00353EEF" w:rsidRDefault="00090DFD" w:rsidP="00090DFD">
            <w:pPr>
              <w:widowControl/>
              <w:autoSpaceDE/>
              <w:autoSpaceDN/>
              <w:adjustRightInd/>
              <w:jc w:val="right"/>
              <w:rPr>
                <w:b/>
                <w:szCs w:val="20"/>
              </w:rPr>
            </w:pPr>
          </w:p>
        </w:tc>
        <w:tc>
          <w:tcPr>
            <w:tcW w:w="569" w:type="pct"/>
          </w:tcPr>
          <w:p w:rsidR="00090DFD" w:rsidRPr="00353EEF" w:rsidRDefault="00090DFD" w:rsidP="00090DFD">
            <w:pPr>
              <w:widowControl/>
              <w:autoSpaceDE/>
              <w:autoSpaceDN/>
              <w:adjustRightInd/>
              <w:jc w:val="right"/>
              <w:rPr>
                <w:b/>
                <w:szCs w:val="20"/>
              </w:rPr>
            </w:pPr>
          </w:p>
        </w:tc>
        <w:tc>
          <w:tcPr>
            <w:tcW w:w="917" w:type="pct"/>
          </w:tcPr>
          <w:p w:rsidR="00090DFD" w:rsidRPr="00353EEF" w:rsidRDefault="00EB2D98" w:rsidP="00090DFD">
            <w:pPr>
              <w:widowControl/>
              <w:autoSpaceDE/>
              <w:autoSpaceDN/>
              <w:adjustRightInd/>
              <w:jc w:val="right"/>
              <w:rPr>
                <w:b/>
                <w:szCs w:val="20"/>
              </w:rPr>
            </w:pPr>
            <w:r w:rsidRPr="00EB2D98">
              <w:rPr>
                <w:b/>
                <w:szCs w:val="20"/>
              </w:rPr>
              <w:t>$68,709.32</w:t>
            </w:r>
          </w:p>
        </w:tc>
      </w:tr>
    </w:tbl>
    <w:p w:rsidR="00090DFD" w:rsidRDefault="00090DFD">
      <w:pPr>
        <w:widowControl/>
        <w:autoSpaceDE/>
        <w:autoSpaceDN/>
        <w:adjustRightInd/>
        <w:rPr>
          <w:b/>
          <w:sz w:val="24"/>
          <w:u w:val="single"/>
        </w:rPr>
      </w:pPr>
    </w:p>
    <w:p w:rsidR="002A0693" w:rsidRPr="002A0693" w:rsidRDefault="002A0693">
      <w:pPr>
        <w:widowControl/>
        <w:autoSpaceDE/>
        <w:autoSpaceDN/>
        <w:adjustRightInd/>
        <w:rPr>
          <w:sz w:val="24"/>
        </w:rPr>
      </w:pPr>
      <w:r>
        <w:rPr>
          <w:sz w:val="24"/>
        </w:rPr>
        <w:t>As issuers gain experience with the MLR requirements, it is likely that fewer issuers will owe rebates to fewer enrollees in future years and therefore the burden and costs associated with the rebate notices and disbursement of checks will be lower as well.</w:t>
      </w:r>
    </w:p>
    <w:p w:rsidR="005A1A4C" w:rsidRDefault="005A1A4C" w:rsidP="00B33A51">
      <w:pPr>
        <w:widowControl/>
        <w:autoSpaceDE/>
        <w:autoSpaceDN/>
        <w:adjustRightInd/>
        <w:rPr>
          <w:b/>
          <w:sz w:val="24"/>
        </w:rPr>
      </w:pPr>
    </w:p>
    <w:p w:rsidR="005A1A4C" w:rsidRDefault="005A1A4C" w:rsidP="00B33A51">
      <w:pPr>
        <w:widowControl/>
        <w:autoSpaceDE/>
        <w:autoSpaceDN/>
        <w:adjustRightInd/>
        <w:rPr>
          <w:b/>
          <w:sz w:val="24"/>
        </w:rPr>
      </w:pPr>
    </w:p>
    <w:p w:rsidR="00881D72" w:rsidRPr="00EC1870" w:rsidRDefault="00EA6BC8" w:rsidP="00B33A51">
      <w:pPr>
        <w:widowControl/>
        <w:autoSpaceDE/>
        <w:autoSpaceDN/>
        <w:adjustRightInd/>
        <w:rPr>
          <w:b/>
          <w:sz w:val="24"/>
          <w:u w:val="single"/>
        </w:rPr>
      </w:pPr>
      <w:r w:rsidRPr="00EC1870">
        <w:rPr>
          <w:b/>
          <w:sz w:val="24"/>
        </w:rPr>
        <w:t xml:space="preserve">13. </w:t>
      </w:r>
      <w:r w:rsidRPr="00EC1870">
        <w:rPr>
          <w:b/>
          <w:sz w:val="24"/>
          <w:u w:val="single"/>
        </w:rPr>
        <w:t xml:space="preserve">Estimates of other Total Annual Cost Burden to Respondents or Record </w:t>
      </w:r>
      <w:r w:rsidR="00422C8C" w:rsidRPr="00EC1870">
        <w:rPr>
          <w:b/>
          <w:sz w:val="24"/>
          <w:u w:val="single"/>
        </w:rPr>
        <w:t>K</w:t>
      </w:r>
      <w:r w:rsidRPr="00EC1870">
        <w:rPr>
          <w:b/>
          <w:sz w:val="24"/>
          <w:u w:val="single"/>
        </w:rPr>
        <w:t>eepers/</w:t>
      </w:r>
    </w:p>
    <w:p w:rsidR="00EA6BC8" w:rsidRPr="00881D72" w:rsidRDefault="00EA6BC8" w:rsidP="00881D72">
      <w:pPr>
        <w:pStyle w:val="ListParagraph"/>
        <w:ind w:left="360"/>
        <w:rPr>
          <w:b/>
          <w:sz w:val="24"/>
          <w:u w:val="single"/>
        </w:rPr>
      </w:pPr>
      <w:r w:rsidRPr="00881D72">
        <w:rPr>
          <w:b/>
          <w:sz w:val="24"/>
          <w:u w:val="single"/>
        </w:rPr>
        <w:t xml:space="preserve">Capital Costs </w:t>
      </w:r>
    </w:p>
    <w:p w:rsidR="00225E20" w:rsidRDefault="00225E20" w:rsidP="0027587B">
      <w:pPr>
        <w:rPr>
          <w:b/>
          <w:sz w:val="24"/>
          <w:u w:val="single"/>
        </w:rPr>
      </w:pPr>
    </w:p>
    <w:p w:rsidR="00225E20" w:rsidRPr="00427F34" w:rsidRDefault="00225E20" w:rsidP="00225E20">
      <w:pPr>
        <w:widowControl/>
        <w:ind w:left="360"/>
        <w:rPr>
          <w:b/>
          <w:sz w:val="24"/>
        </w:rPr>
      </w:pPr>
      <w:r>
        <w:rPr>
          <w:b/>
          <w:sz w:val="24"/>
        </w:rPr>
        <w:t>Recordkeeping Requirements</w:t>
      </w:r>
    </w:p>
    <w:p w:rsidR="00422C8C" w:rsidRDefault="00422C8C" w:rsidP="00422C8C">
      <w:pPr>
        <w:widowControl/>
        <w:ind w:left="360"/>
        <w:rPr>
          <w:sz w:val="24"/>
        </w:rPr>
      </w:pPr>
    </w:p>
    <w:p w:rsidR="00422C8C" w:rsidRDefault="00422C8C" w:rsidP="00422C8C">
      <w:pPr>
        <w:widowControl/>
        <w:ind w:left="360"/>
        <w:rPr>
          <w:sz w:val="24"/>
        </w:rPr>
      </w:pPr>
      <w:r>
        <w:rPr>
          <w:sz w:val="24"/>
        </w:rPr>
        <w:t xml:space="preserve">Each issuer is also obligated to maintain all documents, records and other evidence that supports the data submitted by the issuer in its annual report(s) to the Secretary. </w:t>
      </w:r>
    </w:p>
    <w:p w:rsidR="00422C8C" w:rsidRDefault="00422C8C" w:rsidP="00422C8C">
      <w:pPr>
        <w:widowControl/>
        <w:ind w:left="360"/>
        <w:rPr>
          <w:sz w:val="24"/>
        </w:rPr>
      </w:pPr>
    </w:p>
    <w:p w:rsidR="00422C8C" w:rsidRDefault="00422C8C" w:rsidP="00422C8C">
      <w:pPr>
        <w:widowControl/>
        <w:ind w:left="360"/>
        <w:rPr>
          <w:sz w:val="24"/>
        </w:rPr>
      </w:pPr>
      <w:r w:rsidRPr="00282444">
        <w:rPr>
          <w:sz w:val="24"/>
        </w:rPr>
        <w:t xml:space="preserve">Each of </w:t>
      </w:r>
      <w:r w:rsidRPr="003B4A5F">
        <w:rPr>
          <w:sz w:val="24"/>
        </w:rPr>
        <w:t xml:space="preserve">the </w:t>
      </w:r>
      <w:r>
        <w:rPr>
          <w:sz w:val="24"/>
        </w:rPr>
        <w:t>5</w:t>
      </w:r>
      <w:r w:rsidR="007774DA">
        <w:rPr>
          <w:sz w:val="24"/>
        </w:rPr>
        <w:t>02</w:t>
      </w:r>
      <w:r w:rsidRPr="003B4A5F">
        <w:rPr>
          <w:sz w:val="24"/>
        </w:rPr>
        <w:t xml:space="preserve"> issuers that </w:t>
      </w:r>
      <w:r w:rsidR="00552078">
        <w:rPr>
          <w:sz w:val="24"/>
        </w:rPr>
        <w:t>is</w:t>
      </w:r>
      <w:r w:rsidRPr="003B4A5F">
        <w:rPr>
          <w:sz w:val="24"/>
        </w:rPr>
        <w:t xml:space="preserve"> expected to submit </w:t>
      </w:r>
      <w:r w:rsidR="00552078">
        <w:rPr>
          <w:sz w:val="24"/>
        </w:rPr>
        <w:t xml:space="preserve">an </w:t>
      </w:r>
      <w:r w:rsidRPr="003B4A5F">
        <w:rPr>
          <w:sz w:val="24"/>
        </w:rPr>
        <w:t>annual report to the Secretary must maintain the supporting documentation for seven years.  We estimate that each issuer will spend approximately $</w:t>
      </w:r>
      <w:r w:rsidR="007774DA">
        <w:rPr>
          <w:sz w:val="24"/>
        </w:rPr>
        <w:t>18</w:t>
      </w:r>
      <w:r>
        <w:rPr>
          <w:sz w:val="24"/>
        </w:rPr>
        <w:t xml:space="preserve"> a year</w:t>
      </w:r>
      <w:r w:rsidR="006A7F2E">
        <w:rPr>
          <w:sz w:val="24"/>
        </w:rPr>
        <w:t xml:space="preserve"> (Table 5)</w:t>
      </w:r>
      <w:r>
        <w:rPr>
          <w:sz w:val="24"/>
        </w:rPr>
        <w:t xml:space="preserve"> in maintaining the supporting documents for the respective MLR reporting year.</w:t>
      </w:r>
    </w:p>
    <w:p w:rsidR="00E93A52" w:rsidRDefault="00E93A52">
      <w:pPr>
        <w:widowControl/>
        <w:ind w:left="360"/>
        <w:rPr>
          <w:sz w:val="24"/>
        </w:rPr>
      </w:pPr>
    </w:p>
    <w:p w:rsidR="00422C8C" w:rsidRDefault="00422C8C" w:rsidP="00EB0F56">
      <w:pPr>
        <w:widowControl/>
        <w:ind w:left="360"/>
        <w:rPr>
          <w:b/>
          <w:sz w:val="24"/>
        </w:rPr>
      </w:pPr>
      <w:r w:rsidRPr="00DE4063">
        <w:rPr>
          <w:b/>
          <w:sz w:val="24"/>
        </w:rPr>
        <w:t xml:space="preserve">Table </w:t>
      </w:r>
      <w:r>
        <w:rPr>
          <w:b/>
          <w:sz w:val="24"/>
        </w:rPr>
        <w:t>5</w:t>
      </w:r>
      <w:r w:rsidR="00A77A85">
        <w:rPr>
          <w:b/>
          <w:sz w:val="24"/>
        </w:rPr>
        <w:t>: Burden and Cost Estimates</w:t>
      </w:r>
      <w:r w:rsidR="00276188">
        <w:rPr>
          <w:b/>
          <w:sz w:val="24"/>
        </w:rPr>
        <w:t xml:space="preserve"> for Retention of Records</w:t>
      </w:r>
    </w:p>
    <w:p w:rsidR="00A77A85" w:rsidRPr="00DE4063" w:rsidRDefault="00A77A85" w:rsidP="00422C8C">
      <w:pPr>
        <w:widowControl/>
        <w:ind w:left="360"/>
        <w:rPr>
          <w:b/>
          <w:sz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5"/>
        <w:gridCol w:w="1260"/>
        <w:gridCol w:w="1355"/>
        <w:gridCol w:w="1260"/>
        <w:gridCol w:w="1170"/>
        <w:gridCol w:w="1270"/>
        <w:gridCol w:w="1260"/>
        <w:gridCol w:w="1130"/>
        <w:gridCol w:w="1310"/>
      </w:tblGrid>
      <w:tr w:rsidR="00A77A85" w:rsidRPr="00A77A85" w:rsidTr="00A77A85">
        <w:trPr>
          <w:jc w:val="center"/>
        </w:trPr>
        <w:tc>
          <w:tcPr>
            <w:tcW w:w="1145"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Forms (if necessary)</w:t>
            </w:r>
          </w:p>
        </w:tc>
        <w:tc>
          <w:tcPr>
            <w:tcW w:w="1260"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Type of Respondent</w:t>
            </w:r>
          </w:p>
        </w:tc>
        <w:tc>
          <w:tcPr>
            <w:tcW w:w="1355"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Number of Respondents</w:t>
            </w:r>
          </w:p>
        </w:tc>
        <w:tc>
          <w:tcPr>
            <w:tcW w:w="1260"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Average Number per Respondent</w:t>
            </w:r>
          </w:p>
        </w:tc>
        <w:tc>
          <w:tcPr>
            <w:tcW w:w="1170"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Frequency</w:t>
            </w:r>
          </w:p>
        </w:tc>
        <w:tc>
          <w:tcPr>
            <w:tcW w:w="1270"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Estimated Burden Hours per Respondent (Ongoing)</w:t>
            </w:r>
          </w:p>
        </w:tc>
        <w:tc>
          <w:tcPr>
            <w:tcW w:w="1260"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Total Estimated Burden Hours (Ongoing)</w:t>
            </w:r>
          </w:p>
        </w:tc>
        <w:tc>
          <w:tcPr>
            <w:tcW w:w="1130"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Wage per Hour (including fringe)</w:t>
            </w:r>
          </w:p>
        </w:tc>
        <w:tc>
          <w:tcPr>
            <w:tcW w:w="1310" w:type="dxa"/>
            <w:tcBorders>
              <w:top w:val="single" w:sz="4" w:space="0" w:color="auto"/>
              <w:left w:val="single" w:sz="4" w:space="0" w:color="auto"/>
              <w:bottom w:val="single" w:sz="4" w:space="0" w:color="auto"/>
              <w:right w:val="single" w:sz="4" w:space="0" w:color="auto"/>
            </w:tcBorders>
          </w:tcPr>
          <w:p w:rsidR="00A77A85" w:rsidRPr="00A77A85" w:rsidRDefault="00A77A85" w:rsidP="00A77A85">
            <w:pPr>
              <w:widowControl/>
              <w:autoSpaceDE/>
              <w:autoSpaceDN/>
              <w:adjustRightInd/>
              <w:jc w:val="center"/>
              <w:rPr>
                <w:b/>
                <w:szCs w:val="20"/>
              </w:rPr>
            </w:pPr>
            <w:r w:rsidRPr="00A77A85">
              <w:rPr>
                <w:b/>
                <w:szCs w:val="20"/>
              </w:rPr>
              <w:t>Burden Cost for Annual Retention of Records Per Respondent</w:t>
            </w:r>
          </w:p>
        </w:tc>
      </w:tr>
      <w:tr w:rsidR="00A77A85" w:rsidRPr="00A77A85" w:rsidDel="00A71CC3" w:rsidTr="00636D4B">
        <w:trPr>
          <w:trHeight w:val="541"/>
          <w:jc w:val="center"/>
        </w:trPr>
        <w:tc>
          <w:tcPr>
            <w:tcW w:w="1145" w:type="dxa"/>
          </w:tcPr>
          <w:p w:rsidR="00A77A85" w:rsidRPr="00A77A85" w:rsidRDefault="00A77A85" w:rsidP="00422C8C">
            <w:pPr>
              <w:widowControl/>
              <w:autoSpaceDE/>
              <w:autoSpaceDN/>
              <w:adjustRightInd/>
              <w:rPr>
                <w:szCs w:val="20"/>
              </w:rPr>
            </w:pPr>
            <w:r w:rsidRPr="00A77A85">
              <w:rPr>
                <w:szCs w:val="20"/>
              </w:rPr>
              <w:t xml:space="preserve">Retention of Records </w:t>
            </w:r>
          </w:p>
        </w:tc>
        <w:tc>
          <w:tcPr>
            <w:tcW w:w="1260" w:type="dxa"/>
          </w:tcPr>
          <w:p w:rsidR="00A77A85" w:rsidRPr="00A77A85" w:rsidRDefault="00A77A85" w:rsidP="00422C8C">
            <w:pPr>
              <w:widowControl/>
              <w:autoSpaceDE/>
              <w:autoSpaceDN/>
              <w:adjustRightInd/>
              <w:rPr>
                <w:szCs w:val="20"/>
              </w:rPr>
            </w:pPr>
            <w:r w:rsidRPr="00A77A85">
              <w:rPr>
                <w:szCs w:val="20"/>
              </w:rPr>
              <w:t>Private Company</w:t>
            </w:r>
          </w:p>
        </w:tc>
        <w:tc>
          <w:tcPr>
            <w:tcW w:w="1355" w:type="dxa"/>
          </w:tcPr>
          <w:p w:rsidR="00A77A85" w:rsidRPr="00A77A85" w:rsidRDefault="00A77A85" w:rsidP="007774DA">
            <w:pPr>
              <w:widowControl/>
              <w:autoSpaceDE/>
              <w:autoSpaceDN/>
              <w:adjustRightInd/>
              <w:jc w:val="right"/>
              <w:rPr>
                <w:szCs w:val="20"/>
              </w:rPr>
            </w:pPr>
            <w:r w:rsidRPr="00A77A85">
              <w:rPr>
                <w:szCs w:val="20"/>
              </w:rPr>
              <w:t>502</w:t>
            </w:r>
          </w:p>
        </w:tc>
        <w:tc>
          <w:tcPr>
            <w:tcW w:w="1260" w:type="dxa"/>
          </w:tcPr>
          <w:p w:rsidR="00A77A85" w:rsidRPr="00A77A85" w:rsidRDefault="00A77A85" w:rsidP="00422C8C">
            <w:pPr>
              <w:widowControl/>
              <w:autoSpaceDE/>
              <w:autoSpaceDN/>
              <w:adjustRightInd/>
              <w:jc w:val="right"/>
              <w:rPr>
                <w:szCs w:val="20"/>
              </w:rPr>
            </w:pPr>
            <w:r w:rsidRPr="00A77A85">
              <w:rPr>
                <w:szCs w:val="20"/>
              </w:rPr>
              <w:t>6</w:t>
            </w:r>
          </w:p>
        </w:tc>
        <w:tc>
          <w:tcPr>
            <w:tcW w:w="1170" w:type="dxa"/>
          </w:tcPr>
          <w:p w:rsidR="00A77A85" w:rsidRPr="00A77A85" w:rsidRDefault="00A77A85" w:rsidP="00422C8C">
            <w:pPr>
              <w:widowControl/>
              <w:autoSpaceDE/>
              <w:autoSpaceDN/>
              <w:adjustRightInd/>
              <w:jc w:val="right"/>
              <w:rPr>
                <w:szCs w:val="20"/>
              </w:rPr>
            </w:pPr>
            <w:r w:rsidRPr="00A77A85">
              <w:rPr>
                <w:szCs w:val="20"/>
              </w:rPr>
              <w:t>1</w:t>
            </w:r>
          </w:p>
        </w:tc>
        <w:tc>
          <w:tcPr>
            <w:tcW w:w="1270" w:type="dxa"/>
          </w:tcPr>
          <w:p w:rsidR="00A77A85" w:rsidRPr="00A77A85" w:rsidRDefault="00A77A85" w:rsidP="00A77A85">
            <w:pPr>
              <w:widowControl/>
              <w:autoSpaceDE/>
              <w:autoSpaceDN/>
              <w:adjustRightInd/>
              <w:jc w:val="right"/>
              <w:rPr>
                <w:szCs w:val="20"/>
              </w:rPr>
            </w:pPr>
            <w:r w:rsidRPr="00A77A85">
              <w:rPr>
                <w:szCs w:val="20"/>
              </w:rPr>
              <w:t>0.37</w:t>
            </w:r>
          </w:p>
        </w:tc>
        <w:tc>
          <w:tcPr>
            <w:tcW w:w="1260" w:type="dxa"/>
          </w:tcPr>
          <w:p w:rsidR="00A77A85" w:rsidRPr="00A77A85" w:rsidRDefault="00A77A85" w:rsidP="00A77A85">
            <w:pPr>
              <w:widowControl/>
              <w:autoSpaceDE/>
              <w:autoSpaceDN/>
              <w:adjustRightInd/>
              <w:jc w:val="right"/>
              <w:rPr>
                <w:szCs w:val="20"/>
              </w:rPr>
            </w:pPr>
            <w:r w:rsidRPr="00A77A85">
              <w:rPr>
                <w:szCs w:val="20"/>
              </w:rPr>
              <w:t>186</w:t>
            </w:r>
            <w:r w:rsidR="006A7F2E">
              <w:rPr>
                <w:szCs w:val="20"/>
              </w:rPr>
              <w:t>.12</w:t>
            </w:r>
          </w:p>
          <w:p w:rsidR="00A77A85" w:rsidRPr="00A77A85" w:rsidDel="00A71CC3" w:rsidRDefault="00A77A85" w:rsidP="00422C8C">
            <w:pPr>
              <w:widowControl/>
              <w:autoSpaceDE/>
              <w:autoSpaceDN/>
              <w:adjustRightInd/>
              <w:jc w:val="right"/>
              <w:rPr>
                <w:szCs w:val="20"/>
              </w:rPr>
            </w:pPr>
          </w:p>
        </w:tc>
        <w:tc>
          <w:tcPr>
            <w:tcW w:w="1130" w:type="dxa"/>
          </w:tcPr>
          <w:p w:rsidR="00A77A85" w:rsidRPr="00A77A85" w:rsidRDefault="00A77A85" w:rsidP="00A77A85">
            <w:pPr>
              <w:widowControl/>
              <w:autoSpaceDE/>
              <w:autoSpaceDN/>
              <w:adjustRightInd/>
              <w:jc w:val="right"/>
              <w:rPr>
                <w:szCs w:val="20"/>
              </w:rPr>
            </w:pPr>
            <w:r w:rsidRPr="00A77A85">
              <w:rPr>
                <w:szCs w:val="20"/>
              </w:rPr>
              <w:t>$49.12</w:t>
            </w:r>
          </w:p>
        </w:tc>
        <w:tc>
          <w:tcPr>
            <w:tcW w:w="1310" w:type="dxa"/>
          </w:tcPr>
          <w:p w:rsidR="00A77A85" w:rsidRPr="00A77A85" w:rsidRDefault="00A77A85" w:rsidP="00A77A85">
            <w:pPr>
              <w:widowControl/>
              <w:autoSpaceDE/>
              <w:autoSpaceDN/>
              <w:adjustRightInd/>
              <w:jc w:val="right"/>
              <w:rPr>
                <w:szCs w:val="20"/>
              </w:rPr>
            </w:pPr>
            <w:r w:rsidRPr="00A77A85">
              <w:rPr>
                <w:szCs w:val="20"/>
              </w:rPr>
              <w:t>$18</w:t>
            </w:r>
            <w:r w:rsidR="006A7F2E">
              <w:rPr>
                <w:szCs w:val="20"/>
              </w:rPr>
              <w:t>.21</w:t>
            </w:r>
          </w:p>
        </w:tc>
      </w:tr>
    </w:tbl>
    <w:p w:rsidR="00E93A52" w:rsidRDefault="00E93A52">
      <w:pPr>
        <w:widowControl/>
        <w:ind w:left="360"/>
        <w:rPr>
          <w:sz w:val="24"/>
        </w:rPr>
      </w:pPr>
    </w:p>
    <w:p w:rsidR="00846FF2" w:rsidRDefault="00EA6BC8">
      <w:pPr>
        <w:widowControl/>
        <w:autoSpaceDE/>
        <w:autoSpaceDN/>
        <w:adjustRightInd/>
        <w:rPr>
          <w:b/>
          <w:sz w:val="24"/>
          <w:u w:val="single"/>
        </w:rPr>
      </w:pPr>
      <w:r>
        <w:rPr>
          <w:b/>
          <w:sz w:val="24"/>
          <w:u w:val="single"/>
        </w:rPr>
        <w:t xml:space="preserve">14. </w:t>
      </w:r>
      <w:r w:rsidRPr="0091396B">
        <w:rPr>
          <w:b/>
          <w:sz w:val="24"/>
          <w:u w:val="single"/>
        </w:rPr>
        <w:t>Annualized Cost to Federal Government</w:t>
      </w:r>
    </w:p>
    <w:p w:rsidR="00846FF2" w:rsidRDefault="00846FF2">
      <w:pPr>
        <w:widowControl/>
        <w:autoSpaceDE/>
        <w:autoSpaceDN/>
        <w:adjustRightInd/>
        <w:rPr>
          <w:b/>
          <w:sz w:val="24"/>
        </w:rPr>
      </w:pPr>
    </w:p>
    <w:p w:rsidR="00846FF2" w:rsidRDefault="000679F2">
      <w:pPr>
        <w:widowControl/>
        <w:autoSpaceDE/>
        <w:autoSpaceDN/>
        <w:adjustRightInd/>
        <w:rPr>
          <w:b/>
          <w:sz w:val="24"/>
        </w:rPr>
      </w:pPr>
      <w:r w:rsidRPr="00DE4063">
        <w:rPr>
          <w:b/>
          <w:sz w:val="24"/>
        </w:rPr>
        <w:t xml:space="preserve">Table </w:t>
      </w:r>
      <w:r w:rsidR="00A77A85">
        <w:rPr>
          <w:b/>
          <w:sz w:val="24"/>
        </w:rPr>
        <w:t>6: Estimate of Cost to Federal Government</w:t>
      </w:r>
    </w:p>
    <w:p w:rsidR="00422C8C" w:rsidRDefault="00422C8C" w:rsidP="000679F2">
      <w:pPr>
        <w:rPr>
          <w:b/>
          <w:sz w:val="24"/>
        </w:rPr>
      </w:pPr>
    </w:p>
    <w:tbl>
      <w:tblPr>
        <w:tblW w:w="5251" w:type="pct"/>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2677"/>
        <w:gridCol w:w="1006"/>
        <w:gridCol w:w="2848"/>
        <w:gridCol w:w="1826"/>
      </w:tblGrid>
      <w:tr w:rsidR="007A7462" w:rsidRPr="00353EEF" w:rsidTr="007A7462">
        <w:trPr>
          <w:trHeight w:val="505"/>
          <w:jc w:val="center"/>
        </w:trPr>
        <w:tc>
          <w:tcPr>
            <w:tcW w:w="852" w:type="pct"/>
          </w:tcPr>
          <w:p w:rsidR="00422C8C" w:rsidRPr="00636D4B" w:rsidRDefault="00EB2D98" w:rsidP="00422C8C">
            <w:pPr>
              <w:widowControl/>
              <w:rPr>
                <w:sz w:val="18"/>
                <w:szCs w:val="18"/>
              </w:rPr>
            </w:pPr>
            <w:r w:rsidRPr="00EB2D98">
              <w:rPr>
                <w:b/>
                <w:bCs/>
                <w:sz w:val="18"/>
                <w:szCs w:val="18"/>
              </w:rPr>
              <w:t>Type Federal Employee Support</w:t>
            </w:r>
          </w:p>
          <w:p w:rsidR="00422C8C" w:rsidRPr="00636D4B" w:rsidRDefault="00422C8C" w:rsidP="00422C8C">
            <w:pPr>
              <w:widowControl/>
              <w:rPr>
                <w:b/>
                <w:bCs/>
                <w:sz w:val="18"/>
                <w:szCs w:val="18"/>
              </w:rPr>
            </w:pPr>
          </w:p>
        </w:tc>
        <w:tc>
          <w:tcPr>
            <w:tcW w:w="1338" w:type="pct"/>
          </w:tcPr>
          <w:p w:rsidR="00422C8C" w:rsidRPr="00636D4B" w:rsidRDefault="00EB2D98" w:rsidP="00422C8C">
            <w:pPr>
              <w:widowControl/>
              <w:rPr>
                <w:b/>
                <w:bCs/>
                <w:sz w:val="18"/>
                <w:szCs w:val="18"/>
              </w:rPr>
            </w:pPr>
            <w:r w:rsidRPr="00EB2D98">
              <w:rPr>
                <w:b/>
                <w:bCs/>
                <w:sz w:val="18"/>
                <w:szCs w:val="18"/>
              </w:rPr>
              <w:t>Total Burden</w:t>
            </w:r>
          </w:p>
          <w:p w:rsidR="00422C8C" w:rsidRPr="00636D4B" w:rsidRDefault="00EB2D98" w:rsidP="00422C8C">
            <w:pPr>
              <w:widowControl/>
              <w:rPr>
                <w:sz w:val="18"/>
                <w:szCs w:val="18"/>
              </w:rPr>
            </w:pPr>
            <w:r w:rsidRPr="00EB2D98">
              <w:rPr>
                <w:b/>
                <w:bCs/>
                <w:sz w:val="18"/>
                <w:szCs w:val="18"/>
              </w:rPr>
              <w:t>Hours per Reviewer</w:t>
            </w:r>
          </w:p>
          <w:p w:rsidR="00422C8C" w:rsidRPr="00636D4B" w:rsidRDefault="00422C8C" w:rsidP="00422C8C">
            <w:pPr>
              <w:widowControl/>
              <w:rPr>
                <w:b/>
                <w:bCs/>
                <w:sz w:val="18"/>
                <w:szCs w:val="18"/>
              </w:rPr>
            </w:pPr>
          </w:p>
        </w:tc>
        <w:tc>
          <w:tcPr>
            <w:tcW w:w="472" w:type="pct"/>
          </w:tcPr>
          <w:p w:rsidR="00422C8C" w:rsidRPr="00636D4B" w:rsidRDefault="00EB2D98" w:rsidP="00422C8C">
            <w:pPr>
              <w:widowControl/>
              <w:rPr>
                <w:b/>
                <w:bCs/>
                <w:sz w:val="18"/>
                <w:szCs w:val="18"/>
              </w:rPr>
            </w:pPr>
            <w:r w:rsidRPr="00EB2D98">
              <w:rPr>
                <w:b/>
                <w:bCs/>
                <w:sz w:val="18"/>
                <w:szCs w:val="18"/>
              </w:rPr>
              <w:t>Total Reviewers</w:t>
            </w:r>
          </w:p>
        </w:tc>
        <w:tc>
          <w:tcPr>
            <w:tcW w:w="1423" w:type="pct"/>
          </w:tcPr>
          <w:p w:rsidR="00422C8C" w:rsidRPr="00636D4B" w:rsidRDefault="00EB2D98" w:rsidP="00422C8C">
            <w:pPr>
              <w:widowControl/>
              <w:rPr>
                <w:b/>
                <w:bCs/>
                <w:sz w:val="18"/>
                <w:szCs w:val="18"/>
              </w:rPr>
            </w:pPr>
            <w:r w:rsidRPr="00EB2D98">
              <w:rPr>
                <w:b/>
                <w:bCs/>
                <w:sz w:val="18"/>
                <w:szCs w:val="18"/>
              </w:rPr>
              <w:t>Hourly</w:t>
            </w:r>
          </w:p>
          <w:p w:rsidR="00422C8C" w:rsidRPr="00636D4B" w:rsidRDefault="00EB2D98" w:rsidP="00422C8C">
            <w:pPr>
              <w:widowControl/>
              <w:rPr>
                <w:b/>
                <w:bCs/>
                <w:sz w:val="18"/>
                <w:szCs w:val="18"/>
              </w:rPr>
            </w:pPr>
            <w:r w:rsidRPr="00EB2D98">
              <w:rPr>
                <w:b/>
                <w:bCs/>
                <w:sz w:val="18"/>
                <w:szCs w:val="18"/>
              </w:rPr>
              <w:t>Wage Rate (GS 14 equivalent) – (includes  fringe)</w:t>
            </w:r>
          </w:p>
        </w:tc>
        <w:tc>
          <w:tcPr>
            <w:tcW w:w="915" w:type="pct"/>
          </w:tcPr>
          <w:p w:rsidR="00422C8C" w:rsidRPr="00636D4B" w:rsidRDefault="00EB2D98" w:rsidP="00422C8C">
            <w:pPr>
              <w:widowControl/>
              <w:rPr>
                <w:b/>
                <w:bCs/>
                <w:sz w:val="18"/>
                <w:szCs w:val="18"/>
              </w:rPr>
            </w:pPr>
            <w:r w:rsidRPr="00EB2D98">
              <w:rPr>
                <w:b/>
                <w:bCs/>
                <w:sz w:val="18"/>
                <w:szCs w:val="18"/>
              </w:rPr>
              <w:t>Total Federal</w:t>
            </w:r>
          </w:p>
          <w:p w:rsidR="00422C8C" w:rsidRPr="00636D4B" w:rsidRDefault="00EB2D98" w:rsidP="00422C8C">
            <w:pPr>
              <w:widowControl/>
              <w:rPr>
                <w:sz w:val="18"/>
                <w:szCs w:val="18"/>
              </w:rPr>
            </w:pPr>
            <w:r w:rsidRPr="00EB2D98">
              <w:rPr>
                <w:b/>
                <w:bCs/>
                <w:sz w:val="18"/>
                <w:szCs w:val="18"/>
              </w:rPr>
              <w:t>Government Costs</w:t>
            </w:r>
          </w:p>
          <w:p w:rsidR="00422C8C" w:rsidRPr="00636D4B" w:rsidRDefault="00422C8C" w:rsidP="00422C8C">
            <w:pPr>
              <w:widowControl/>
              <w:rPr>
                <w:b/>
                <w:bCs/>
                <w:sz w:val="18"/>
                <w:szCs w:val="18"/>
              </w:rPr>
            </w:pPr>
          </w:p>
        </w:tc>
      </w:tr>
      <w:tr w:rsidR="007A7462" w:rsidRPr="00353EEF" w:rsidTr="007A7462">
        <w:trPr>
          <w:trHeight w:val="440"/>
          <w:jc w:val="center"/>
        </w:trPr>
        <w:tc>
          <w:tcPr>
            <w:tcW w:w="852" w:type="pct"/>
          </w:tcPr>
          <w:p w:rsidR="00422C8C" w:rsidRPr="00353EEF" w:rsidRDefault="00EB2D98" w:rsidP="00422C8C">
            <w:pPr>
              <w:widowControl/>
              <w:rPr>
                <w:szCs w:val="20"/>
              </w:rPr>
            </w:pPr>
            <w:r w:rsidRPr="00EB2D98">
              <w:rPr>
                <w:szCs w:val="20"/>
              </w:rPr>
              <w:t>Data Analysis</w:t>
            </w:r>
          </w:p>
        </w:tc>
        <w:tc>
          <w:tcPr>
            <w:tcW w:w="1338" w:type="pct"/>
          </w:tcPr>
          <w:p w:rsidR="00422C8C" w:rsidRPr="00353EEF" w:rsidRDefault="00EB2D98" w:rsidP="00A752C8">
            <w:pPr>
              <w:widowControl/>
              <w:rPr>
                <w:szCs w:val="20"/>
              </w:rPr>
            </w:pPr>
            <w:r w:rsidRPr="00EB2D98">
              <w:rPr>
                <w:szCs w:val="20"/>
              </w:rPr>
              <w:t>2 hr per data submission for each Annual filing (502 filers once per year – 1004 hrs)</w:t>
            </w:r>
            <w:r w:rsidRPr="00EB2D98">
              <w:rPr>
                <w:rStyle w:val="FootnoteReference"/>
                <w:szCs w:val="20"/>
              </w:rPr>
              <w:footnoteReference w:id="2"/>
            </w:r>
          </w:p>
        </w:tc>
        <w:tc>
          <w:tcPr>
            <w:tcW w:w="472" w:type="pct"/>
          </w:tcPr>
          <w:p w:rsidR="00422C8C" w:rsidRPr="00353EEF" w:rsidRDefault="00EB2D98" w:rsidP="007A7462">
            <w:pPr>
              <w:widowControl/>
              <w:jc w:val="right"/>
              <w:rPr>
                <w:szCs w:val="20"/>
              </w:rPr>
            </w:pPr>
            <w:r w:rsidRPr="00EB2D98">
              <w:rPr>
                <w:szCs w:val="20"/>
              </w:rPr>
              <w:t>1</w:t>
            </w:r>
          </w:p>
        </w:tc>
        <w:tc>
          <w:tcPr>
            <w:tcW w:w="1423" w:type="pct"/>
          </w:tcPr>
          <w:p w:rsidR="00422C8C" w:rsidRPr="00353EEF" w:rsidRDefault="00EB2D98" w:rsidP="00422C8C">
            <w:pPr>
              <w:widowControl/>
              <w:jc w:val="right"/>
              <w:rPr>
                <w:szCs w:val="20"/>
              </w:rPr>
            </w:pPr>
            <w:r w:rsidRPr="00EB2D98">
              <w:rPr>
                <w:szCs w:val="20"/>
              </w:rPr>
              <w:t>$72</w:t>
            </w:r>
          </w:p>
        </w:tc>
        <w:tc>
          <w:tcPr>
            <w:tcW w:w="915" w:type="pct"/>
          </w:tcPr>
          <w:p w:rsidR="00422C8C" w:rsidRPr="00353EEF" w:rsidRDefault="00EB2D98" w:rsidP="00422C8C">
            <w:pPr>
              <w:widowControl/>
              <w:jc w:val="right"/>
              <w:rPr>
                <w:szCs w:val="20"/>
              </w:rPr>
            </w:pPr>
            <w:r w:rsidRPr="00EB2D98">
              <w:rPr>
                <w:szCs w:val="20"/>
              </w:rPr>
              <w:t>$72,288</w:t>
            </w:r>
          </w:p>
        </w:tc>
      </w:tr>
      <w:tr w:rsidR="007A7462" w:rsidRPr="00353EEF" w:rsidTr="007A7462">
        <w:trPr>
          <w:trHeight w:val="350"/>
          <w:jc w:val="center"/>
        </w:trPr>
        <w:tc>
          <w:tcPr>
            <w:tcW w:w="852" w:type="pct"/>
          </w:tcPr>
          <w:p w:rsidR="00422C8C" w:rsidRPr="00353EEF" w:rsidRDefault="00EB2D98" w:rsidP="00422C8C">
            <w:pPr>
              <w:widowControl/>
              <w:rPr>
                <w:b/>
                <w:szCs w:val="20"/>
              </w:rPr>
            </w:pPr>
            <w:r w:rsidRPr="00EB2D98">
              <w:rPr>
                <w:b/>
                <w:szCs w:val="20"/>
              </w:rPr>
              <w:t>Total</w:t>
            </w:r>
          </w:p>
        </w:tc>
        <w:tc>
          <w:tcPr>
            <w:tcW w:w="1338" w:type="pct"/>
          </w:tcPr>
          <w:p w:rsidR="00422C8C" w:rsidRPr="00353EEF" w:rsidRDefault="00422C8C" w:rsidP="00422C8C">
            <w:pPr>
              <w:widowControl/>
              <w:rPr>
                <w:szCs w:val="20"/>
              </w:rPr>
            </w:pPr>
          </w:p>
        </w:tc>
        <w:tc>
          <w:tcPr>
            <w:tcW w:w="472" w:type="pct"/>
          </w:tcPr>
          <w:p w:rsidR="00422C8C" w:rsidRPr="00353EEF" w:rsidRDefault="00422C8C" w:rsidP="00422C8C">
            <w:pPr>
              <w:widowControl/>
              <w:jc w:val="right"/>
              <w:rPr>
                <w:szCs w:val="20"/>
              </w:rPr>
            </w:pPr>
          </w:p>
        </w:tc>
        <w:tc>
          <w:tcPr>
            <w:tcW w:w="1423" w:type="pct"/>
          </w:tcPr>
          <w:p w:rsidR="00422C8C" w:rsidRPr="00353EEF" w:rsidRDefault="00422C8C" w:rsidP="00422C8C">
            <w:pPr>
              <w:widowControl/>
              <w:jc w:val="right"/>
              <w:rPr>
                <w:szCs w:val="20"/>
              </w:rPr>
            </w:pPr>
          </w:p>
        </w:tc>
        <w:tc>
          <w:tcPr>
            <w:tcW w:w="915" w:type="pct"/>
          </w:tcPr>
          <w:p w:rsidR="00422C8C" w:rsidRPr="00353EEF" w:rsidRDefault="00EB2D98" w:rsidP="00422C8C">
            <w:pPr>
              <w:widowControl/>
              <w:jc w:val="right"/>
              <w:rPr>
                <w:b/>
                <w:szCs w:val="20"/>
              </w:rPr>
            </w:pPr>
            <w:r w:rsidRPr="00EB2D98">
              <w:rPr>
                <w:b/>
                <w:szCs w:val="20"/>
              </w:rPr>
              <w:t>$72,288</w:t>
            </w:r>
          </w:p>
        </w:tc>
      </w:tr>
    </w:tbl>
    <w:p w:rsidR="00422C8C" w:rsidRDefault="00422C8C" w:rsidP="000679F2">
      <w:pPr>
        <w:rPr>
          <w:b/>
          <w:sz w:val="24"/>
        </w:rPr>
      </w:pPr>
    </w:p>
    <w:p w:rsidR="00EA6BC8" w:rsidRDefault="00E05449" w:rsidP="00B70D8A">
      <w:pPr>
        <w:pStyle w:val="BodyTextIndent"/>
        <w:ind w:left="360"/>
        <w:rPr>
          <w:rFonts w:ascii="Times New Roman" w:hAnsi="Times New Roman"/>
        </w:rPr>
      </w:pPr>
      <w:r w:rsidRPr="00E05449">
        <w:rPr>
          <w:rFonts w:ascii="Times New Roman" w:hAnsi="Times New Roman"/>
        </w:rPr>
        <w:t>Salaries are based on a 14 Grade/Step 1 in the Washington DC area with a benefit allowance for a total annual salary of $150,000.</w:t>
      </w:r>
      <w:r w:rsidR="00EA6BC8" w:rsidRPr="0091396B">
        <w:rPr>
          <w:rFonts w:ascii="Times New Roman" w:hAnsi="Times New Roman"/>
        </w:rPr>
        <w:t xml:space="preserve">   </w:t>
      </w:r>
    </w:p>
    <w:p w:rsidR="00EA6BC8" w:rsidRPr="0091396B" w:rsidRDefault="00EA6BC8" w:rsidP="00B70D8A">
      <w:pPr>
        <w:pStyle w:val="BodyTextIndent"/>
        <w:ind w:left="360"/>
        <w:rPr>
          <w:rFonts w:ascii="Times New Roman" w:hAnsi="Times New Roman"/>
        </w:rPr>
      </w:pPr>
    </w:p>
    <w:p w:rsidR="005A1A4C" w:rsidRDefault="005A1A4C">
      <w:pPr>
        <w:widowControl/>
        <w:autoSpaceDE/>
        <w:autoSpaceDN/>
        <w:adjustRightInd/>
        <w:rPr>
          <w:b/>
          <w:sz w:val="24"/>
        </w:rPr>
      </w:pPr>
      <w:r>
        <w:rPr>
          <w:b/>
          <w:sz w:val="24"/>
        </w:rPr>
        <w:br w:type="page"/>
      </w:r>
    </w:p>
    <w:p w:rsidR="00EA6BC8" w:rsidRPr="0091396B" w:rsidRDefault="00EA6BC8" w:rsidP="0027587B">
      <w:pPr>
        <w:pStyle w:val="ListParagraph"/>
        <w:ind w:left="0"/>
        <w:rPr>
          <w:b/>
          <w:sz w:val="24"/>
        </w:rPr>
      </w:pPr>
      <w:r w:rsidRPr="009649D8">
        <w:rPr>
          <w:b/>
          <w:sz w:val="24"/>
        </w:rPr>
        <w:lastRenderedPageBreak/>
        <w:t xml:space="preserve">15. </w:t>
      </w:r>
      <w:r w:rsidRPr="0091396B">
        <w:rPr>
          <w:b/>
          <w:sz w:val="24"/>
          <w:u w:val="single"/>
        </w:rPr>
        <w:t>Explanation for Program Changes or Adjustments</w:t>
      </w:r>
    </w:p>
    <w:p w:rsidR="00EA6BC8" w:rsidRPr="0091396B" w:rsidRDefault="00EA6BC8" w:rsidP="00820EB7">
      <w:pPr>
        <w:ind w:left="720"/>
        <w:rPr>
          <w:b/>
          <w:sz w:val="24"/>
        </w:rPr>
      </w:pPr>
    </w:p>
    <w:p w:rsidR="006A7F2E" w:rsidRPr="003744B2" w:rsidRDefault="00204CEE" w:rsidP="006A7F2E">
      <w:pPr>
        <w:ind w:left="360"/>
        <w:rPr>
          <w:sz w:val="24"/>
        </w:rPr>
      </w:pPr>
      <w:r w:rsidRPr="003744B2">
        <w:rPr>
          <w:sz w:val="24"/>
        </w:rPr>
        <w:t>Based upon HHS</w:t>
      </w:r>
      <w:r w:rsidRPr="003744B2">
        <w:rPr>
          <w:rFonts w:hint="eastAsia"/>
          <w:sz w:val="24"/>
        </w:rPr>
        <w:t>’</w:t>
      </w:r>
      <w:r w:rsidRPr="003744B2">
        <w:rPr>
          <w:sz w:val="24"/>
        </w:rPr>
        <w:t xml:space="preserve"> experience in the MLR data collection and evaluation process, HHS is updating its annual burden hour estimates to reflect the </w:t>
      </w:r>
      <w:r w:rsidR="00734665" w:rsidRPr="003744B2">
        <w:rPr>
          <w:sz w:val="24"/>
        </w:rPr>
        <w:t>actual numbers of submissions, rebates and rebate notices</w:t>
      </w:r>
      <w:r w:rsidR="006A7F2E" w:rsidRPr="003744B2">
        <w:rPr>
          <w:sz w:val="24"/>
        </w:rPr>
        <w:t>. In addition, the notice requirement for issuers that do not owe rebates applied only to the 2011 reporting year, and does not apply to 2012 and subsequent MLR reporting years.</w:t>
      </w:r>
    </w:p>
    <w:p w:rsidR="00D72221" w:rsidRPr="003744B2" w:rsidRDefault="00D72221" w:rsidP="00D72221">
      <w:pPr>
        <w:ind w:left="360"/>
        <w:rPr>
          <w:sz w:val="24"/>
        </w:rPr>
      </w:pPr>
    </w:p>
    <w:p w:rsidR="008C6186" w:rsidRDefault="008C6186" w:rsidP="008C6186">
      <w:pPr>
        <w:ind w:left="360"/>
        <w:rPr>
          <w:sz w:val="24"/>
        </w:rPr>
      </w:pPr>
      <w:r>
        <w:rPr>
          <w:sz w:val="24"/>
        </w:rPr>
        <w:t>We have simplified the method by which issuers can enter their data into the reporting form. For the 2012 MLR reporting year, all data cells will be unlocked so that issuers can copy and paste data into the reporting form instead of manually entering data cell by cell. To assist issuers in populating cells that were previously locked and pre-calculated, CMS will provide a reference tool with formula calculations</w:t>
      </w:r>
      <w:r w:rsidR="00FB1B22">
        <w:rPr>
          <w:sz w:val="24"/>
        </w:rPr>
        <w:t>, which issuers may use if they find it helpful</w:t>
      </w:r>
      <w:r>
        <w:rPr>
          <w:sz w:val="24"/>
        </w:rPr>
        <w:t xml:space="preserve">. The </w:t>
      </w:r>
      <w:r w:rsidR="00EE034E">
        <w:rPr>
          <w:sz w:val="24"/>
        </w:rPr>
        <w:t xml:space="preserve">new method </w:t>
      </w:r>
      <w:r>
        <w:rPr>
          <w:sz w:val="24"/>
        </w:rPr>
        <w:t>will reduce the burden on issuers a</w:t>
      </w:r>
      <w:r w:rsidR="00EE034E">
        <w:rPr>
          <w:sz w:val="24"/>
        </w:rPr>
        <w:t xml:space="preserve">s well as the possibility of error in formula </w:t>
      </w:r>
      <w:r>
        <w:rPr>
          <w:sz w:val="24"/>
        </w:rPr>
        <w:t>results.</w:t>
      </w:r>
    </w:p>
    <w:p w:rsidR="00D72221" w:rsidRPr="003744B2" w:rsidRDefault="00D72221" w:rsidP="00D72221">
      <w:pPr>
        <w:ind w:left="360"/>
        <w:rPr>
          <w:sz w:val="24"/>
        </w:rPr>
      </w:pPr>
    </w:p>
    <w:p w:rsidR="000441D1" w:rsidRPr="00FC063E" w:rsidRDefault="00204CEE" w:rsidP="000441D1">
      <w:pPr>
        <w:pStyle w:val="BodyTextIndent"/>
        <w:ind w:left="360"/>
        <w:rPr>
          <w:rFonts w:ascii="Times New Roman" w:hAnsi="Times New Roman"/>
        </w:rPr>
      </w:pPr>
      <w:r w:rsidRPr="003744B2">
        <w:rPr>
          <w:rFonts w:ascii="Times New Roman" w:hAnsi="Times New Roman"/>
        </w:rPr>
        <w:t xml:space="preserve">The 2012 MLR Reporting Form and instructions also reflect changes </w:t>
      </w:r>
      <w:r w:rsidR="00552078" w:rsidRPr="003744B2">
        <w:rPr>
          <w:rFonts w:ascii="Times New Roman" w:hAnsi="Times New Roman"/>
        </w:rPr>
        <w:t xml:space="preserve">for the 2012 reporting year and beyond that are </w:t>
      </w:r>
      <w:r w:rsidRPr="003744B2">
        <w:rPr>
          <w:rFonts w:ascii="Times New Roman" w:hAnsi="Times New Roman"/>
        </w:rPr>
        <w:t xml:space="preserve">set forth in the December 2011 Final Rule as to whether certain already reported expenditures such as ICD-10 conversion costs are taken into account in calculating an issuer’s MLR. </w:t>
      </w:r>
      <w:r w:rsidR="00E612DB">
        <w:rPr>
          <w:rFonts w:ascii="Times New Roman" w:hAnsi="Times New Roman"/>
        </w:rPr>
        <w:t xml:space="preserve">In addition, as a result of </w:t>
      </w:r>
      <w:r w:rsidR="00D432AB">
        <w:rPr>
          <w:rFonts w:ascii="Times New Roman" w:hAnsi="Times New Roman"/>
        </w:rPr>
        <w:t>Tri-Agency guidance</w:t>
      </w:r>
      <w:r w:rsidR="00E612DB" w:rsidRPr="00E612DB">
        <w:rPr>
          <w:rFonts w:ascii="Times New Roman" w:hAnsi="Times New Roman"/>
        </w:rPr>
        <w:t>, we have revised the MLR Form Instructions to reflect that for the 2012 MLR reporting year, expatriate plans are considered compliant with MLR requirements (see Affordable Care Act Implementation FAQs – Set 13</w:t>
      </w:r>
      <w:r w:rsidR="00D432AB">
        <w:rPr>
          <w:rFonts w:ascii="Times New Roman" w:hAnsi="Times New Roman"/>
        </w:rPr>
        <w:t xml:space="preserve">, which may be found at </w:t>
      </w:r>
      <w:hyperlink r:id="rId9" w:history="1">
        <w:r w:rsidR="00D432AB" w:rsidRPr="00FA79E9">
          <w:rPr>
            <w:rStyle w:val="Hyperlink"/>
            <w:rFonts w:ascii="Times New Roman" w:hAnsi="Times New Roman"/>
          </w:rPr>
          <w:t>http://www.cciio.cms.gov/resources/factsheets/aca_implementation_faqs13.html</w:t>
        </w:r>
      </w:hyperlink>
      <w:r w:rsidR="00D432AB">
        <w:rPr>
          <w:rFonts w:ascii="Times New Roman" w:hAnsi="Times New Roman"/>
        </w:rPr>
        <w:t>)</w:t>
      </w:r>
      <w:r w:rsidR="00E612DB" w:rsidRPr="00E612DB">
        <w:rPr>
          <w:rFonts w:ascii="Times New Roman" w:hAnsi="Times New Roman"/>
        </w:rPr>
        <w:t xml:space="preserve">. For the </w:t>
      </w:r>
      <w:r w:rsidR="00E612DB" w:rsidRPr="000441D1">
        <w:rPr>
          <w:rFonts w:ascii="Times New Roman" w:hAnsi="Times New Roman"/>
        </w:rPr>
        <w:t>2012 MLR reporting year, issuers with only expatriate business are not required to file an MLR Form.</w:t>
      </w:r>
      <w:r w:rsidR="000441D1" w:rsidRPr="000441D1">
        <w:rPr>
          <w:rFonts w:ascii="Times New Roman" w:hAnsi="Times New Roman"/>
        </w:rPr>
        <w:t xml:space="preserve">  </w:t>
      </w:r>
      <w:r w:rsidR="000441D1" w:rsidRPr="00FC063E">
        <w:rPr>
          <w:rFonts w:ascii="Times New Roman" w:hAnsi="Times New Roman"/>
        </w:rPr>
        <w:t xml:space="preserve">Issuers with health insurance coverage </w:t>
      </w:r>
      <w:r w:rsidR="001E54B7">
        <w:rPr>
          <w:rFonts w:ascii="Times New Roman" w:hAnsi="Times New Roman"/>
        </w:rPr>
        <w:t>which</w:t>
      </w:r>
      <w:r w:rsidR="000441D1" w:rsidRPr="00FC063E">
        <w:rPr>
          <w:rFonts w:ascii="Times New Roman" w:hAnsi="Times New Roman"/>
        </w:rPr>
        <w:t xml:space="preserve"> is subject to MLR requirements who also have expatriate experience must report the same </w:t>
      </w:r>
      <w:r w:rsidR="000441D1">
        <w:rPr>
          <w:rFonts w:ascii="Times New Roman" w:hAnsi="Times New Roman"/>
        </w:rPr>
        <w:t xml:space="preserve">limited </w:t>
      </w:r>
      <w:r w:rsidR="000441D1" w:rsidRPr="00FC063E">
        <w:rPr>
          <w:rFonts w:ascii="Times New Roman" w:hAnsi="Times New Roman"/>
        </w:rPr>
        <w:t>information regarding their expatriate experience as they do regarding other lines of business that are not subject to the MLR rebate requirements.</w:t>
      </w:r>
    </w:p>
    <w:p w:rsidR="006A601D" w:rsidRPr="000441D1" w:rsidRDefault="006A601D" w:rsidP="006A7F2E">
      <w:pPr>
        <w:pStyle w:val="BodyTextIndent"/>
        <w:ind w:left="360"/>
        <w:rPr>
          <w:rFonts w:ascii="Times New Roman" w:hAnsi="Times New Roman"/>
        </w:rPr>
      </w:pPr>
    </w:p>
    <w:p w:rsidR="006A7F2E" w:rsidRPr="006A7F2E" w:rsidRDefault="00204CEE" w:rsidP="006A7F2E">
      <w:pPr>
        <w:pStyle w:val="BodyTextIndent"/>
        <w:ind w:left="360"/>
        <w:rPr>
          <w:rFonts w:ascii="Times New Roman" w:hAnsi="Times New Roman"/>
        </w:rPr>
      </w:pPr>
      <w:r w:rsidRPr="003744B2">
        <w:rPr>
          <w:rFonts w:ascii="Times New Roman" w:hAnsi="Times New Roman"/>
        </w:rPr>
        <w:t>HHS has created and published a host of electronic training tools to assist issuers with the preparation and submission of MLR data forms and Rebate calculations</w:t>
      </w:r>
      <w:r w:rsidR="001E54B7">
        <w:rPr>
          <w:rFonts w:ascii="Times New Roman" w:hAnsi="Times New Roman"/>
        </w:rPr>
        <w:t>.</w:t>
      </w:r>
    </w:p>
    <w:p w:rsidR="007A34B2" w:rsidRPr="00D72221" w:rsidRDefault="007A34B2" w:rsidP="00D72221">
      <w:pPr>
        <w:pStyle w:val="BodyTextIndent"/>
        <w:ind w:left="360"/>
        <w:rPr>
          <w:rFonts w:ascii="Times New Roman" w:hAnsi="Times New Roman"/>
        </w:rPr>
      </w:pPr>
    </w:p>
    <w:p w:rsidR="00EA6BC8" w:rsidRPr="0091396B" w:rsidRDefault="00EA6BC8" w:rsidP="000C7A20">
      <w:pPr>
        <w:rPr>
          <w:b/>
          <w:sz w:val="24"/>
        </w:rPr>
      </w:pPr>
      <w:r w:rsidRPr="0091396B">
        <w:rPr>
          <w:b/>
          <w:sz w:val="24"/>
        </w:rPr>
        <w:t xml:space="preserve">16. </w:t>
      </w:r>
      <w:r w:rsidRPr="0091396B">
        <w:rPr>
          <w:b/>
          <w:sz w:val="24"/>
          <w:u w:val="single"/>
        </w:rPr>
        <w:t>Plans for Tabulation and Publication and Project Time Schedule</w:t>
      </w:r>
    </w:p>
    <w:p w:rsidR="00EA6BC8" w:rsidRPr="0091396B" w:rsidRDefault="00EA6BC8" w:rsidP="00820EB7">
      <w:pPr>
        <w:rPr>
          <w:b/>
          <w:sz w:val="24"/>
        </w:rPr>
      </w:pPr>
    </w:p>
    <w:p w:rsidR="00EA6BC8" w:rsidRPr="0091396B" w:rsidRDefault="00EA6BC8" w:rsidP="006E00B1">
      <w:pPr>
        <w:ind w:left="360"/>
        <w:rPr>
          <w:sz w:val="24"/>
        </w:rPr>
      </w:pPr>
      <w:r w:rsidRPr="0091396B">
        <w:rPr>
          <w:sz w:val="24"/>
        </w:rPr>
        <w:t xml:space="preserve">The </w:t>
      </w:r>
      <w:r w:rsidR="006D58B9">
        <w:rPr>
          <w:sz w:val="24"/>
        </w:rPr>
        <w:t xml:space="preserve">annual </w:t>
      </w:r>
      <w:r>
        <w:rPr>
          <w:sz w:val="24"/>
        </w:rPr>
        <w:t>report</w:t>
      </w:r>
      <w:r w:rsidRPr="0091396B">
        <w:rPr>
          <w:sz w:val="24"/>
        </w:rPr>
        <w:t xml:space="preserve"> of MLR</w:t>
      </w:r>
      <w:r>
        <w:rPr>
          <w:sz w:val="24"/>
        </w:rPr>
        <w:t xml:space="preserve"> data</w:t>
      </w:r>
      <w:r w:rsidR="006D58B9">
        <w:rPr>
          <w:sz w:val="24"/>
        </w:rPr>
        <w:t xml:space="preserve"> for the 2012 reporting year is </w:t>
      </w:r>
      <w:r w:rsidRPr="0091396B">
        <w:rPr>
          <w:sz w:val="24"/>
        </w:rPr>
        <w:t xml:space="preserve">due </w:t>
      </w:r>
      <w:r w:rsidR="00692A48">
        <w:rPr>
          <w:sz w:val="24"/>
        </w:rPr>
        <w:t xml:space="preserve">to the Secretary </w:t>
      </w:r>
      <w:r w:rsidRPr="0091396B">
        <w:rPr>
          <w:sz w:val="24"/>
        </w:rPr>
        <w:t>by June 1</w:t>
      </w:r>
      <w:r w:rsidR="00F83A7E">
        <w:rPr>
          <w:sz w:val="24"/>
        </w:rPr>
        <w:t>, 2013</w:t>
      </w:r>
      <w:r w:rsidRPr="0091396B">
        <w:rPr>
          <w:sz w:val="24"/>
        </w:rPr>
        <w:t xml:space="preserve">. </w:t>
      </w:r>
      <w:r>
        <w:rPr>
          <w:sz w:val="24"/>
        </w:rPr>
        <w:t xml:space="preserve"> </w:t>
      </w:r>
    </w:p>
    <w:p w:rsidR="00EA6BC8" w:rsidRPr="0091396B" w:rsidRDefault="00EA6BC8" w:rsidP="00820EB7">
      <w:pPr>
        <w:rPr>
          <w:sz w:val="24"/>
        </w:rPr>
      </w:pPr>
    </w:p>
    <w:p w:rsidR="00EA6BC8" w:rsidRPr="0091396B" w:rsidRDefault="00EA6BC8" w:rsidP="000C7A20">
      <w:pPr>
        <w:rPr>
          <w:b/>
          <w:sz w:val="24"/>
        </w:rPr>
      </w:pPr>
      <w:r w:rsidRPr="0091396B">
        <w:rPr>
          <w:b/>
          <w:sz w:val="24"/>
        </w:rPr>
        <w:t xml:space="preserve">17. </w:t>
      </w:r>
      <w:r w:rsidRPr="0091396B">
        <w:rPr>
          <w:b/>
          <w:sz w:val="24"/>
          <w:u w:val="single"/>
        </w:rPr>
        <w:t>Reason(s) Display of OMB Expiration Date is Inappropriate</w:t>
      </w:r>
    </w:p>
    <w:p w:rsidR="00EA6BC8" w:rsidRDefault="00EA6BC8" w:rsidP="000C7A20">
      <w:pPr>
        <w:rPr>
          <w:sz w:val="24"/>
        </w:rPr>
      </w:pPr>
    </w:p>
    <w:p w:rsidR="00846FF2" w:rsidRDefault="00353EEF">
      <w:pPr>
        <w:ind w:left="360"/>
        <w:rPr>
          <w:sz w:val="24"/>
        </w:rPr>
      </w:pPr>
      <w:r w:rsidRPr="00356945">
        <w:rPr>
          <w:sz w:val="24"/>
        </w:rPr>
        <w:t xml:space="preserve">Not applicable. </w:t>
      </w:r>
    </w:p>
    <w:sectPr w:rsidR="00846FF2" w:rsidSect="00955CA6">
      <w:footerReference w:type="default" r:id="rId10"/>
      <w:endnotePr>
        <w:numFmt w:val="decimal"/>
      </w:endnotePr>
      <w:pgSz w:w="12240" w:h="15840"/>
      <w:pgMar w:top="1440" w:right="1440" w:bottom="1440" w:left="1440" w:header="576" w:footer="8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E8A" w:rsidRDefault="00BA0E8A">
      <w:r>
        <w:separator/>
      </w:r>
    </w:p>
  </w:endnote>
  <w:endnote w:type="continuationSeparator" w:id="0">
    <w:p w:rsidR="00BA0E8A" w:rsidRDefault="00BA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EEF" w:rsidRDefault="00EB2D98" w:rsidP="009B3B0A">
    <w:pPr>
      <w:framePr w:w="9361" w:h="1306" w:hRule="exact" w:wrap="notBeside" w:vAnchor="text" w:hAnchor="text" w:x="1" w:y="7"/>
      <w:jc w:val="center"/>
      <w:rPr>
        <w:sz w:val="24"/>
      </w:rPr>
    </w:pPr>
    <w:r>
      <w:rPr>
        <w:sz w:val="24"/>
      </w:rPr>
      <w:fldChar w:fldCharType="begin"/>
    </w:r>
    <w:r w:rsidR="00353EEF">
      <w:rPr>
        <w:sz w:val="24"/>
      </w:rPr>
      <w:instrText xml:space="preserve">PAGE </w:instrText>
    </w:r>
    <w:r>
      <w:rPr>
        <w:sz w:val="24"/>
      </w:rPr>
      <w:fldChar w:fldCharType="separate"/>
    </w:r>
    <w:r w:rsidR="006F08E9">
      <w:rPr>
        <w:noProof/>
        <w:sz w:val="24"/>
      </w:rPr>
      <w:t>3</w:t>
    </w:r>
    <w:r>
      <w:rPr>
        <w:sz w:val="24"/>
      </w:rPr>
      <w:fldChar w:fldCharType="end"/>
    </w:r>
  </w:p>
  <w:p w:rsidR="00353EEF" w:rsidRDefault="00353EEF" w:rsidP="009B3B0A">
    <w:pPr>
      <w:framePr w:w="9361" w:h="1306" w:hRule="exact" w:wrap="notBeside" w:vAnchor="text" w:hAnchor="text" w:x="1" w:y="7"/>
      <w:jc w:val="center"/>
      <w:rPr>
        <w:sz w:val="24"/>
      </w:rPr>
    </w:pPr>
  </w:p>
  <w:p w:rsidR="00353EEF" w:rsidRDefault="00353EE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E8A" w:rsidRDefault="00BA0E8A">
      <w:r>
        <w:separator/>
      </w:r>
    </w:p>
  </w:footnote>
  <w:footnote w:type="continuationSeparator" w:id="0">
    <w:p w:rsidR="00BA0E8A" w:rsidRDefault="00BA0E8A">
      <w:r>
        <w:continuationSeparator/>
      </w:r>
    </w:p>
  </w:footnote>
  <w:footnote w:id="1">
    <w:p w:rsidR="00353EEF" w:rsidRDefault="00353EEF">
      <w:pPr>
        <w:pStyle w:val="FootnoteText"/>
      </w:pPr>
      <w:r w:rsidRPr="000434C0">
        <w:rPr>
          <w:rStyle w:val="FootnoteReference"/>
        </w:rPr>
        <w:footnoteRef/>
      </w:r>
      <w:r w:rsidRPr="000434C0">
        <w:t xml:space="preserve"> </w:t>
      </w:r>
      <w:r>
        <w:t xml:space="preserve">These numbers are based upon the actual MLR reports that issuers filed for the 2011 MLR reporting year.  </w:t>
      </w:r>
      <w:r w:rsidRPr="000434C0">
        <w:t>A report includes data for multiple market</w:t>
      </w:r>
      <w:r>
        <w:t>s</w:t>
      </w:r>
      <w:r w:rsidRPr="000434C0">
        <w:t xml:space="preserve"> (individual, small group</w:t>
      </w:r>
      <w:r>
        <w:t>,</w:t>
      </w:r>
      <w:r w:rsidRPr="000434C0">
        <w:t xml:space="preserve"> large group) for an issuer in a State.</w:t>
      </w:r>
      <w:r>
        <w:t xml:space="preserve">  An issuer may combine multiple reports in one filing.</w:t>
      </w:r>
    </w:p>
  </w:footnote>
  <w:footnote w:id="2">
    <w:p w:rsidR="00353EEF" w:rsidRDefault="00353EEF" w:rsidP="00422C8C">
      <w:pPr>
        <w:pStyle w:val="FootnoteText"/>
      </w:pPr>
      <w:r>
        <w:rPr>
          <w:rStyle w:val="FootnoteReference"/>
        </w:rPr>
        <w:footnoteRef/>
      </w:r>
      <w:r>
        <w:t xml:space="preserve"> A data submission includes filings for all States by a single issuer.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4E62"/>
    <w:multiLevelType w:val="hybridMultilevel"/>
    <w:tmpl w:val="8CD421BE"/>
    <w:lvl w:ilvl="0" w:tplc="04090005">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17A142A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nsid w:val="17D92393"/>
    <w:multiLevelType w:val="hybridMultilevel"/>
    <w:tmpl w:val="2F366FAA"/>
    <w:lvl w:ilvl="0" w:tplc="7D06C9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C8275C"/>
    <w:multiLevelType w:val="hybridMultilevel"/>
    <w:tmpl w:val="988A6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24041"/>
    <w:multiLevelType w:val="hybridMultilevel"/>
    <w:tmpl w:val="154A0884"/>
    <w:lvl w:ilvl="0" w:tplc="0409000F">
      <w:start w:val="13"/>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3A13E1"/>
    <w:multiLevelType w:val="hybridMultilevel"/>
    <w:tmpl w:val="63669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D7109"/>
    <w:multiLevelType w:val="hybridMultilevel"/>
    <w:tmpl w:val="16066BD6"/>
    <w:lvl w:ilvl="0" w:tplc="4746C6C2">
      <w:start w:val="1"/>
      <w:numFmt w:val="decimal"/>
      <w:lvlText w:val="%1."/>
      <w:lvlJc w:val="left"/>
      <w:pPr>
        <w:tabs>
          <w:tab w:val="num" w:pos="360"/>
        </w:tabs>
        <w:ind w:left="360" w:hanging="360"/>
      </w:pPr>
      <w:rPr>
        <w:rFonts w:cs="Times New Roman"/>
        <w:b/>
        <w:color w:val="auto"/>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5452051A"/>
    <w:multiLevelType w:val="hybridMultilevel"/>
    <w:tmpl w:val="E6C00C88"/>
    <w:lvl w:ilvl="0" w:tplc="387A067A">
      <w:start w:val="13"/>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0"/>
  </w:num>
  <w:num w:numId="4">
    <w:abstractNumId w:val="8"/>
  </w:num>
  <w:num w:numId="5">
    <w:abstractNumId w:val="4"/>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B7"/>
    <w:rsid w:val="00000542"/>
    <w:rsid w:val="00004090"/>
    <w:rsid w:val="000049A2"/>
    <w:rsid w:val="00006172"/>
    <w:rsid w:val="00006796"/>
    <w:rsid w:val="00010058"/>
    <w:rsid w:val="000124DD"/>
    <w:rsid w:val="00013060"/>
    <w:rsid w:val="0001732D"/>
    <w:rsid w:val="000242A9"/>
    <w:rsid w:val="00024684"/>
    <w:rsid w:val="00025124"/>
    <w:rsid w:val="000262FE"/>
    <w:rsid w:val="00026E04"/>
    <w:rsid w:val="0002716B"/>
    <w:rsid w:val="000274C9"/>
    <w:rsid w:val="00030665"/>
    <w:rsid w:val="00032C59"/>
    <w:rsid w:val="000339D3"/>
    <w:rsid w:val="00033DA7"/>
    <w:rsid w:val="00037670"/>
    <w:rsid w:val="00037B29"/>
    <w:rsid w:val="00037CAD"/>
    <w:rsid w:val="00042177"/>
    <w:rsid w:val="000434C0"/>
    <w:rsid w:val="000441D1"/>
    <w:rsid w:val="00044C87"/>
    <w:rsid w:val="000450E3"/>
    <w:rsid w:val="000451DA"/>
    <w:rsid w:val="000464BC"/>
    <w:rsid w:val="000464F6"/>
    <w:rsid w:val="000466D6"/>
    <w:rsid w:val="00050245"/>
    <w:rsid w:val="00050B08"/>
    <w:rsid w:val="000552FC"/>
    <w:rsid w:val="0005532A"/>
    <w:rsid w:val="000611CC"/>
    <w:rsid w:val="00065658"/>
    <w:rsid w:val="000679F2"/>
    <w:rsid w:val="0007155E"/>
    <w:rsid w:val="00071FF0"/>
    <w:rsid w:val="00074326"/>
    <w:rsid w:val="0007487F"/>
    <w:rsid w:val="00074CD2"/>
    <w:rsid w:val="0007627D"/>
    <w:rsid w:val="00082C9A"/>
    <w:rsid w:val="00082D26"/>
    <w:rsid w:val="00084C6C"/>
    <w:rsid w:val="00084E1B"/>
    <w:rsid w:val="00090DFD"/>
    <w:rsid w:val="00094B0B"/>
    <w:rsid w:val="00096FBA"/>
    <w:rsid w:val="000A2EF1"/>
    <w:rsid w:val="000A580D"/>
    <w:rsid w:val="000A77C6"/>
    <w:rsid w:val="000A7DCD"/>
    <w:rsid w:val="000B044D"/>
    <w:rsid w:val="000C2306"/>
    <w:rsid w:val="000C3D1D"/>
    <w:rsid w:val="000C5B46"/>
    <w:rsid w:val="000C71E5"/>
    <w:rsid w:val="000C7A20"/>
    <w:rsid w:val="000D0B95"/>
    <w:rsid w:val="000D4903"/>
    <w:rsid w:val="000E1FBE"/>
    <w:rsid w:val="000E61F0"/>
    <w:rsid w:val="000F3827"/>
    <w:rsid w:val="000F5584"/>
    <w:rsid w:val="000F60D7"/>
    <w:rsid w:val="000F657D"/>
    <w:rsid w:val="0010037B"/>
    <w:rsid w:val="0010256F"/>
    <w:rsid w:val="001046F6"/>
    <w:rsid w:val="00105C96"/>
    <w:rsid w:val="0010607B"/>
    <w:rsid w:val="00111054"/>
    <w:rsid w:val="0011415B"/>
    <w:rsid w:val="00126AD3"/>
    <w:rsid w:val="00126AEE"/>
    <w:rsid w:val="00131B79"/>
    <w:rsid w:val="001329EE"/>
    <w:rsid w:val="00133F0E"/>
    <w:rsid w:val="00134A9B"/>
    <w:rsid w:val="001350CA"/>
    <w:rsid w:val="00135E8E"/>
    <w:rsid w:val="00140A76"/>
    <w:rsid w:val="0014465E"/>
    <w:rsid w:val="00144F9D"/>
    <w:rsid w:val="001459FB"/>
    <w:rsid w:val="0015326E"/>
    <w:rsid w:val="00153298"/>
    <w:rsid w:val="001546E6"/>
    <w:rsid w:val="00154CAE"/>
    <w:rsid w:val="00155A2A"/>
    <w:rsid w:val="00157392"/>
    <w:rsid w:val="00157C60"/>
    <w:rsid w:val="00161188"/>
    <w:rsid w:val="00162EC6"/>
    <w:rsid w:val="00165CA8"/>
    <w:rsid w:val="00170F51"/>
    <w:rsid w:val="00171BE8"/>
    <w:rsid w:val="001750FB"/>
    <w:rsid w:val="00175265"/>
    <w:rsid w:val="0017582C"/>
    <w:rsid w:val="00176560"/>
    <w:rsid w:val="00176D0A"/>
    <w:rsid w:val="00177909"/>
    <w:rsid w:val="00186046"/>
    <w:rsid w:val="00186169"/>
    <w:rsid w:val="0018726F"/>
    <w:rsid w:val="001879ED"/>
    <w:rsid w:val="00187C9F"/>
    <w:rsid w:val="0019152F"/>
    <w:rsid w:val="00194278"/>
    <w:rsid w:val="001968FA"/>
    <w:rsid w:val="001969B9"/>
    <w:rsid w:val="001A5C46"/>
    <w:rsid w:val="001B0344"/>
    <w:rsid w:val="001B0D6A"/>
    <w:rsid w:val="001B37A2"/>
    <w:rsid w:val="001B5244"/>
    <w:rsid w:val="001B5948"/>
    <w:rsid w:val="001B67BF"/>
    <w:rsid w:val="001C1146"/>
    <w:rsid w:val="001C4095"/>
    <w:rsid w:val="001C489B"/>
    <w:rsid w:val="001C6AD6"/>
    <w:rsid w:val="001C7C23"/>
    <w:rsid w:val="001D1D43"/>
    <w:rsid w:val="001D1E5A"/>
    <w:rsid w:val="001D2080"/>
    <w:rsid w:val="001D2989"/>
    <w:rsid w:val="001D4214"/>
    <w:rsid w:val="001D5279"/>
    <w:rsid w:val="001D5A48"/>
    <w:rsid w:val="001E0753"/>
    <w:rsid w:val="001E1F81"/>
    <w:rsid w:val="001E54B7"/>
    <w:rsid w:val="001E7E08"/>
    <w:rsid w:val="001F1571"/>
    <w:rsid w:val="001F218A"/>
    <w:rsid w:val="001F6E21"/>
    <w:rsid w:val="001F701A"/>
    <w:rsid w:val="001F7895"/>
    <w:rsid w:val="00201F69"/>
    <w:rsid w:val="00204CEE"/>
    <w:rsid w:val="00210D29"/>
    <w:rsid w:val="002147F6"/>
    <w:rsid w:val="00216291"/>
    <w:rsid w:val="00221697"/>
    <w:rsid w:val="00222E1C"/>
    <w:rsid w:val="00225E20"/>
    <w:rsid w:val="0022747B"/>
    <w:rsid w:val="002304A5"/>
    <w:rsid w:val="00233CC5"/>
    <w:rsid w:val="00234963"/>
    <w:rsid w:val="00234E8B"/>
    <w:rsid w:val="00235FA7"/>
    <w:rsid w:val="00245C76"/>
    <w:rsid w:val="00253155"/>
    <w:rsid w:val="002551D5"/>
    <w:rsid w:val="00256937"/>
    <w:rsid w:val="0025774C"/>
    <w:rsid w:val="00257B68"/>
    <w:rsid w:val="0026165A"/>
    <w:rsid w:val="00263567"/>
    <w:rsid w:val="002712C6"/>
    <w:rsid w:val="00271BAF"/>
    <w:rsid w:val="00272A56"/>
    <w:rsid w:val="0027304B"/>
    <w:rsid w:val="0027587B"/>
    <w:rsid w:val="00275CA3"/>
    <w:rsid w:val="00276188"/>
    <w:rsid w:val="0027783A"/>
    <w:rsid w:val="00280AC8"/>
    <w:rsid w:val="00282444"/>
    <w:rsid w:val="00282565"/>
    <w:rsid w:val="00285537"/>
    <w:rsid w:val="0029008D"/>
    <w:rsid w:val="00292F4A"/>
    <w:rsid w:val="002943D5"/>
    <w:rsid w:val="00295042"/>
    <w:rsid w:val="002955A5"/>
    <w:rsid w:val="00296F33"/>
    <w:rsid w:val="002A0693"/>
    <w:rsid w:val="002A179C"/>
    <w:rsid w:val="002A1970"/>
    <w:rsid w:val="002A753A"/>
    <w:rsid w:val="002B30A9"/>
    <w:rsid w:val="002C076D"/>
    <w:rsid w:val="002D0711"/>
    <w:rsid w:val="002D3B81"/>
    <w:rsid w:val="002E182D"/>
    <w:rsid w:val="002E66AF"/>
    <w:rsid w:val="002E6C2B"/>
    <w:rsid w:val="002F093F"/>
    <w:rsid w:val="002F12CB"/>
    <w:rsid w:val="002F1500"/>
    <w:rsid w:val="002F3317"/>
    <w:rsid w:val="002F4365"/>
    <w:rsid w:val="002F7967"/>
    <w:rsid w:val="00314137"/>
    <w:rsid w:val="003141F9"/>
    <w:rsid w:val="0031480E"/>
    <w:rsid w:val="00324E18"/>
    <w:rsid w:val="003255EE"/>
    <w:rsid w:val="00327565"/>
    <w:rsid w:val="00335FDA"/>
    <w:rsid w:val="00343817"/>
    <w:rsid w:val="003447FA"/>
    <w:rsid w:val="003453BD"/>
    <w:rsid w:val="00345D6C"/>
    <w:rsid w:val="00353EEF"/>
    <w:rsid w:val="00356676"/>
    <w:rsid w:val="00356945"/>
    <w:rsid w:val="003600F8"/>
    <w:rsid w:val="003602F4"/>
    <w:rsid w:val="00361C81"/>
    <w:rsid w:val="00365947"/>
    <w:rsid w:val="003705FD"/>
    <w:rsid w:val="0037208C"/>
    <w:rsid w:val="00373825"/>
    <w:rsid w:val="00374087"/>
    <w:rsid w:val="003744B2"/>
    <w:rsid w:val="00374EE5"/>
    <w:rsid w:val="00376F18"/>
    <w:rsid w:val="003810AE"/>
    <w:rsid w:val="00382704"/>
    <w:rsid w:val="003830F3"/>
    <w:rsid w:val="0038337E"/>
    <w:rsid w:val="003900A6"/>
    <w:rsid w:val="00392D69"/>
    <w:rsid w:val="003A1DA7"/>
    <w:rsid w:val="003A5DEC"/>
    <w:rsid w:val="003B2E85"/>
    <w:rsid w:val="003B49E0"/>
    <w:rsid w:val="003B66DF"/>
    <w:rsid w:val="003C0100"/>
    <w:rsid w:val="003C0857"/>
    <w:rsid w:val="003C1DFB"/>
    <w:rsid w:val="003C6930"/>
    <w:rsid w:val="003D1FAD"/>
    <w:rsid w:val="003D5C92"/>
    <w:rsid w:val="003E1BEE"/>
    <w:rsid w:val="003E5569"/>
    <w:rsid w:val="003F2296"/>
    <w:rsid w:val="003F4769"/>
    <w:rsid w:val="00400CC3"/>
    <w:rsid w:val="00400E5F"/>
    <w:rsid w:val="004020F1"/>
    <w:rsid w:val="00402310"/>
    <w:rsid w:val="004067AC"/>
    <w:rsid w:val="00411227"/>
    <w:rsid w:val="0041136A"/>
    <w:rsid w:val="00412D73"/>
    <w:rsid w:val="00414A35"/>
    <w:rsid w:val="00422A4B"/>
    <w:rsid w:val="00422C8C"/>
    <w:rsid w:val="004252FE"/>
    <w:rsid w:val="00427F34"/>
    <w:rsid w:val="00430594"/>
    <w:rsid w:val="00431A54"/>
    <w:rsid w:val="00432AB1"/>
    <w:rsid w:val="0043312F"/>
    <w:rsid w:val="00433E60"/>
    <w:rsid w:val="00435C66"/>
    <w:rsid w:val="0043663C"/>
    <w:rsid w:val="00436A7B"/>
    <w:rsid w:val="00437045"/>
    <w:rsid w:val="00443105"/>
    <w:rsid w:val="0044315B"/>
    <w:rsid w:val="004435F9"/>
    <w:rsid w:val="004535B6"/>
    <w:rsid w:val="004556D3"/>
    <w:rsid w:val="00456DD5"/>
    <w:rsid w:val="00457F57"/>
    <w:rsid w:val="00462CAD"/>
    <w:rsid w:val="0046564D"/>
    <w:rsid w:val="00470C0B"/>
    <w:rsid w:val="00470E41"/>
    <w:rsid w:val="00473AEB"/>
    <w:rsid w:val="0047495A"/>
    <w:rsid w:val="004753A4"/>
    <w:rsid w:val="004764FB"/>
    <w:rsid w:val="004767D3"/>
    <w:rsid w:val="00480AE9"/>
    <w:rsid w:val="00480BA3"/>
    <w:rsid w:val="00480D88"/>
    <w:rsid w:val="00481A93"/>
    <w:rsid w:val="00483E18"/>
    <w:rsid w:val="00484531"/>
    <w:rsid w:val="00484666"/>
    <w:rsid w:val="00484F5A"/>
    <w:rsid w:val="004857C9"/>
    <w:rsid w:val="004904E5"/>
    <w:rsid w:val="00493BD6"/>
    <w:rsid w:val="004951FC"/>
    <w:rsid w:val="004968A5"/>
    <w:rsid w:val="004A1982"/>
    <w:rsid w:val="004A2066"/>
    <w:rsid w:val="004A4E30"/>
    <w:rsid w:val="004A6DCB"/>
    <w:rsid w:val="004B03EF"/>
    <w:rsid w:val="004C4445"/>
    <w:rsid w:val="004C5BE6"/>
    <w:rsid w:val="004D0D48"/>
    <w:rsid w:val="004D140C"/>
    <w:rsid w:val="004D7BA4"/>
    <w:rsid w:val="004E7B9C"/>
    <w:rsid w:val="004F3833"/>
    <w:rsid w:val="004F71D5"/>
    <w:rsid w:val="00504DD0"/>
    <w:rsid w:val="005059DC"/>
    <w:rsid w:val="00510ECB"/>
    <w:rsid w:val="0051173B"/>
    <w:rsid w:val="005122AE"/>
    <w:rsid w:val="00512C77"/>
    <w:rsid w:val="00524047"/>
    <w:rsid w:val="005343D1"/>
    <w:rsid w:val="00535C59"/>
    <w:rsid w:val="0053643B"/>
    <w:rsid w:val="00537AA1"/>
    <w:rsid w:val="0054011C"/>
    <w:rsid w:val="00545E52"/>
    <w:rsid w:val="005472EF"/>
    <w:rsid w:val="00547B0F"/>
    <w:rsid w:val="00552078"/>
    <w:rsid w:val="00552566"/>
    <w:rsid w:val="00557116"/>
    <w:rsid w:val="00561DE4"/>
    <w:rsid w:val="00566593"/>
    <w:rsid w:val="00566684"/>
    <w:rsid w:val="005669F5"/>
    <w:rsid w:val="00566EEB"/>
    <w:rsid w:val="005673B0"/>
    <w:rsid w:val="0057021F"/>
    <w:rsid w:val="00571811"/>
    <w:rsid w:val="00571B2F"/>
    <w:rsid w:val="00573039"/>
    <w:rsid w:val="005737E7"/>
    <w:rsid w:val="00574233"/>
    <w:rsid w:val="00574E48"/>
    <w:rsid w:val="00575774"/>
    <w:rsid w:val="00576F52"/>
    <w:rsid w:val="0057775B"/>
    <w:rsid w:val="0058145C"/>
    <w:rsid w:val="00581B73"/>
    <w:rsid w:val="00582DB8"/>
    <w:rsid w:val="00586CD3"/>
    <w:rsid w:val="00594123"/>
    <w:rsid w:val="005A08FD"/>
    <w:rsid w:val="005A10B3"/>
    <w:rsid w:val="005A1A4C"/>
    <w:rsid w:val="005A32E8"/>
    <w:rsid w:val="005A4571"/>
    <w:rsid w:val="005A7209"/>
    <w:rsid w:val="005A769E"/>
    <w:rsid w:val="005C2FEE"/>
    <w:rsid w:val="005C32E8"/>
    <w:rsid w:val="005C39E7"/>
    <w:rsid w:val="005C406F"/>
    <w:rsid w:val="005D0C99"/>
    <w:rsid w:val="005D208B"/>
    <w:rsid w:val="005D463F"/>
    <w:rsid w:val="005D586E"/>
    <w:rsid w:val="005E37C5"/>
    <w:rsid w:val="005F287E"/>
    <w:rsid w:val="005F2C7A"/>
    <w:rsid w:val="005F3329"/>
    <w:rsid w:val="005F4333"/>
    <w:rsid w:val="005F6ECD"/>
    <w:rsid w:val="0060791C"/>
    <w:rsid w:val="006104D4"/>
    <w:rsid w:val="00617524"/>
    <w:rsid w:val="006176BB"/>
    <w:rsid w:val="006202DE"/>
    <w:rsid w:val="006208AB"/>
    <w:rsid w:val="00620BFA"/>
    <w:rsid w:val="00621CF7"/>
    <w:rsid w:val="0062252E"/>
    <w:rsid w:val="0062511E"/>
    <w:rsid w:val="0062577A"/>
    <w:rsid w:val="006260FC"/>
    <w:rsid w:val="006261F4"/>
    <w:rsid w:val="00636D4B"/>
    <w:rsid w:val="006403D9"/>
    <w:rsid w:val="0064611A"/>
    <w:rsid w:val="00646774"/>
    <w:rsid w:val="0065385E"/>
    <w:rsid w:val="006558E6"/>
    <w:rsid w:val="006617C1"/>
    <w:rsid w:val="00661DC7"/>
    <w:rsid w:val="00661EE0"/>
    <w:rsid w:val="006640D2"/>
    <w:rsid w:val="00665ED0"/>
    <w:rsid w:val="00676FBD"/>
    <w:rsid w:val="00677FCC"/>
    <w:rsid w:val="00684D26"/>
    <w:rsid w:val="006859EE"/>
    <w:rsid w:val="00690074"/>
    <w:rsid w:val="00692450"/>
    <w:rsid w:val="00692A48"/>
    <w:rsid w:val="00693082"/>
    <w:rsid w:val="006934FD"/>
    <w:rsid w:val="00695118"/>
    <w:rsid w:val="006951AA"/>
    <w:rsid w:val="00695397"/>
    <w:rsid w:val="00696091"/>
    <w:rsid w:val="006A2A4C"/>
    <w:rsid w:val="006A520C"/>
    <w:rsid w:val="006A601D"/>
    <w:rsid w:val="006A60C2"/>
    <w:rsid w:val="006A7F2E"/>
    <w:rsid w:val="006B1AE5"/>
    <w:rsid w:val="006B3E6F"/>
    <w:rsid w:val="006B440D"/>
    <w:rsid w:val="006B450D"/>
    <w:rsid w:val="006C4C44"/>
    <w:rsid w:val="006D036C"/>
    <w:rsid w:val="006D39AC"/>
    <w:rsid w:val="006D58B9"/>
    <w:rsid w:val="006D60A4"/>
    <w:rsid w:val="006D623E"/>
    <w:rsid w:val="006E00B1"/>
    <w:rsid w:val="006E03CF"/>
    <w:rsid w:val="006E582D"/>
    <w:rsid w:val="006E72D1"/>
    <w:rsid w:val="006E7EE0"/>
    <w:rsid w:val="006F0509"/>
    <w:rsid w:val="006F0741"/>
    <w:rsid w:val="006F08E9"/>
    <w:rsid w:val="006F0CC7"/>
    <w:rsid w:val="006F12A0"/>
    <w:rsid w:val="006F2054"/>
    <w:rsid w:val="006F401B"/>
    <w:rsid w:val="006F5052"/>
    <w:rsid w:val="006F6E48"/>
    <w:rsid w:val="00701539"/>
    <w:rsid w:val="00701DEA"/>
    <w:rsid w:val="00701ED3"/>
    <w:rsid w:val="00702517"/>
    <w:rsid w:val="007062A3"/>
    <w:rsid w:val="0070652A"/>
    <w:rsid w:val="00711638"/>
    <w:rsid w:val="00717CD6"/>
    <w:rsid w:val="00734665"/>
    <w:rsid w:val="007456C5"/>
    <w:rsid w:val="0074792E"/>
    <w:rsid w:val="00752F27"/>
    <w:rsid w:val="00755E7F"/>
    <w:rsid w:val="00760249"/>
    <w:rsid w:val="007610DF"/>
    <w:rsid w:val="00762E53"/>
    <w:rsid w:val="00763803"/>
    <w:rsid w:val="00771E86"/>
    <w:rsid w:val="00773FA4"/>
    <w:rsid w:val="00774150"/>
    <w:rsid w:val="007774DA"/>
    <w:rsid w:val="00777747"/>
    <w:rsid w:val="00780DF7"/>
    <w:rsid w:val="00781823"/>
    <w:rsid w:val="00783926"/>
    <w:rsid w:val="00790515"/>
    <w:rsid w:val="007911BE"/>
    <w:rsid w:val="00792889"/>
    <w:rsid w:val="007946A1"/>
    <w:rsid w:val="00795290"/>
    <w:rsid w:val="00795F32"/>
    <w:rsid w:val="00796552"/>
    <w:rsid w:val="007A0569"/>
    <w:rsid w:val="007A1928"/>
    <w:rsid w:val="007A3084"/>
    <w:rsid w:val="007A34B2"/>
    <w:rsid w:val="007A7462"/>
    <w:rsid w:val="007A7FA3"/>
    <w:rsid w:val="007B1763"/>
    <w:rsid w:val="007B3755"/>
    <w:rsid w:val="007B3D6E"/>
    <w:rsid w:val="007C32B1"/>
    <w:rsid w:val="007C6449"/>
    <w:rsid w:val="007C654F"/>
    <w:rsid w:val="007D42AA"/>
    <w:rsid w:val="007D6942"/>
    <w:rsid w:val="007D70E3"/>
    <w:rsid w:val="007D78BC"/>
    <w:rsid w:val="007E164C"/>
    <w:rsid w:val="007E284F"/>
    <w:rsid w:val="007E2991"/>
    <w:rsid w:val="007E2BAB"/>
    <w:rsid w:val="007E703C"/>
    <w:rsid w:val="007F5E73"/>
    <w:rsid w:val="007F7050"/>
    <w:rsid w:val="007F7DC6"/>
    <w:rsid w:val="008007BF"/>
    <w:rsid w:val="0080160D"/>
    <w:rsid w:val="008047BE"/>
    <w:rsid w:val="00804E67"/>
    <w:rsid w:val="00806E2F"/>
    <w:rsid w:val="008072C7"/>
    <w:rsid w:val="0080790A"/>
    <w:rsid w:val="00810FC6"/>
    <w:rsid w:val="0081187A"/>
    <w:rsid w:val="00820EB7"/>
    <w:rsid w:val="00830E92"/>
    <w:rsid w:val="00836FB5"/>
    <w:rsid w:val="00844135"/>
    <w:rsid w:val="0084477B"/>
    <w:rsid w:val="00845E95"/>
    <w:rsid w:val="00846FF2"/>
    <w:rsid w:val="00851BFE"/>
    <w:rsid w:val="00852209"/>
    <w:rsid w:val="0085570F"/>
    <w:rsid w:val="008559A0"/>
    <w:rsid w:val="00860633"/>
    <w:rsid w:val="00862512"/>
    <w:rsid w:val="00862BD0"/>
    <w:rsid w:val="008655F9"/>
    <w:rsid w:val="00872F22"/>
    <w:rsid w:val="00877531"/>
    <w:rsid w:val="00881B0C"/>
    <w:rsid w:val="00881D72"/>
    <w:rsid w:val="00883808"/>
    <w:rsid w:val="008A0518"/>
    <w:rsid w:val="008A0F1F"/>
    <w:rsid w:val="008A272B"/>
    <w:rsid w:val="008A33D3"/>
    <w:rsid w:val="008A38CC"/>
    <w:rsid w:val="008A4FFF"/>
    <w:rsid w:val="008A5F94"/>
    <w:rsid w:val="008A7539"/>
    <w:rsid w:val="008B21D2"/>
    <w:rsid w:val="008B2762"/>
    <w:rsid w:val="008C2F51"/>
    <w:rsid w:val="008C32D2"/>
    <w:rsid w:val="008C4C51"/>
    <w:rsid w:val="008C6186"/>
    <w:rsid w:val="008C6774"/>
    <w:rsid w:val="008D01D2"/>
    <w:rsid w:val="008D097D"/>
    <w:rsid w:val="008D1B4F"/>
    <w:rsid w:val="008D69CA"/>
    <w:rsid w:val="008D7296"/>
    <w:rsid w:val="008D76EA"/>
    <w:rsid w:val="008E021E"/>
    <w:rsid w:val="008E067E"/>
    <w:rsid w:val="008E22D4"/>
    <w:rsid w:val="008E448A"/>
    <w:rsid w:val="008E6F34"/>
    <w:rsid w:val="008E7361"/>
    <w:rsid w:val="008F14CB"/>
    <w:rsid w:val="008F238D"/>
    <w:rsid w:val="008F4020"/>
    <w:rsid w:val="008F5776"/>
    <w:rsid w:val="00904CF6"/>
    <w:rsid w:val="00907FD8"/>
    <w:rsid w:val="0091082B"/>
    <w:rsid w:val="0091396B"/>
    <w:rsid w:val="00916D77"/>
    <w:rsid w:val="0092140B"/>
    <w:rsid w:val="00925EE7"/>
    <w:rsid w:val="0093019B"/>
    <w:rsid w:val="0093187C"/>
    <w:rsid w:val="00932AA0"/>
    <w:rsid w:val="00933A22"/>
    <w:rsid w:val="00934BCC"/>
    <w:rsid w:val="009366BB"/>
    <w:rsid w:val="009376AC"/>
    <w:rsid w:val="009378A6"/>
    <w:rsid w:val="00940BB2"/>
    <w:rsid w:val="00941E07"/>
    <w:rsid w:val="00943BEC"/>
    <w:rsid w:val="009440BF"/>
    <w:rsid w:val="00944B72"/>
    <w:rsid w:val="00955CA6"/>
    <w:rsid w:val="009600C1"/>
    <w:rsid w:val="00960BD8"/>
    <w:rsid w:val="00960EA3"/>
    <w:rsid w:val="00962504"/>
    <w:rsid w:val="009637AD"/>
    <w:rsid w:val="009649D8"/>
    <w:rsid w:val="0097050E"/>
    <w:rsid w:val="00974D2D"/>
    <w:rsid w:val="00976350"/>
    <w:rsid w:val="00981C6B"/>
    <w:rsid w:val="00984504"/>
    <w:rsid w:val="0098695F"/>
    <w:rsid w:val="009875CB"/>
    <w:rsid w:val="009916FF"/>
    <w:rsid w:val="00991770"/>
    <w:rsid w:val="00996543"/>
    <w:rsid w:val="009972C0"/>
    <w:rsid w:val="009979F0"/>
    <w:rsid w:val="009A43FC"/>
    <w:rsid w:val="009B0B71"/>
    <w:rsid w:val="009B2C9A"/>
    <w:rsid w:val="009B3B0A"/>
    <w:rsid w:val="009B41E3"/>
    <w:rsid w:val="009B6740"/>
    <w:rsid w:val="009C051A"/>
    <w:rsid w:val="009C3FF8"/>
    <w:rsid w:val="009C49C2"/>
    <w:rsid w:val="009C5132"/>
    <w:rsid w:val="009C52B9"/>
    <w:rsid w:val="009C6698"/>
    <w:rsid w:val="009D1ED1"/>
    <w:rsid w:val="009D4E8D"/>
    <w:rsid w:val="009E0893"/>
    <w:rsid w:val="009E2979"/>
    <w:rsid w:val="009E3702"/>
    <w:rsid w:val="009E3DB8"/>
    <w:rsid w:val="009E453C"/>
    <w:rsid w:val="009E663B"/>
    <w:rsid w:val="009F2740"/>
    <w:rsid w:val="009F7AAF"/>
    <w:rsid w:val="00A000DD"/>
    <w:rsid w:val="00A055BD"/>
    <w:rsid w:val="00A0748E"/>
    <w:rsid w:val="00A13BA1"/>
    <w:rsid w:val="00A15881"/>
    <w:rsid w:val="00A16C9D"/>
    <w:rsid w:val="00A21159"/>
    <w:rsid w:val="00A24066"/>
    <w:rsid w:val="00A325FF"/>
    <w:rsid w:val="00A40C8A"/>
    <w:rsid w:val="00A4193B"/>
    <w:rsid w:val="00A43324"/>
    <w:rsid w:val="00A52135"/>
    <w:rsid w:val="00A555A0"/>
    <w:rsid w:val="00A558A3"/>
    <w:rsid w:val="00A55FFD"/>
    <w:rsid w:val="00A5795C"/>
    <w:rsid w:val="00A63DAE"/>
    <w:rsid w:val="00A645FD"/>
    <w:rsid w:val="00A65B5B"/>
    <w:rsid w:val="00A6646B"/>
    <w:rsid w:val="00A71CC3"/>
    <w:rsid w:val="00A72C1F"/>
    <w:rsid w:val="00A751D0"/>
    <w:rsid w:val="00A752C8"/>
    <w:rsid w:val="00A752E4"/>
    <w:rsid w:val="00A7760E"/>
    <w:rsid w:val="00A77A85"/>
    <w:rsid w:val="00A85254"/>
    <w:rsid w:val="00A85270"/>
    <w:rsid w:val="00A924C4"/>
    <w:rsid w:val="00A92965"/>
    <w:rsid w:val="00A93A97"/>
    <w:rsid w:val="00AA1BD4"/>
    <w:rsid w:val="00AA2BEC"/>
    <w:rsid w:val="00AA46AD"/>
    <w:rsid w:val="00AA52B5"/>
    <w:rsid w:val="00AB19F3"/>
    <w:rsid w:val="00AB5388"/>
    <w:rsid w:val="00AB5625"/>
    <w:rsid w:val="00AB7910"/>
    <w:rsid w:val="00AC060D"/>
    <w:rsid w:val="00AC0BF0"/>
    <w:rsid w:val="00AC2C1B"/>
    <w:rsid w:val="00AC5AE8"/>
    <w:rsid w:val="00AC6E89"/>
    <w:rsid w:val="00AC79D8"/>
    <w:rsid w:val="00AD2CC3"/>
    <w:rsid w:val="00AE0D0A"/>
    <w:rsid w:val="00AE179D"/>
    <w:rsid w:val="00AE1F0A"/>
    <w:rsid w:val="00AE3E9A"/>
    <w:rsid w:val="00AE61F1"/>
    <w:rsid w:val="00AE7370"/>
    <w:rsid w:val="00AF05DA"/>
    <w:rsid w:val="00AF12D7"/>
    <w:rsid w:val="00AF4047"/>
    <w:rsid w:val="00AF5AD1"/>
    <w:rsid w:val="00AF6CE0"/>
    <w:rsid w:val="00AF77A1"/>
    <w:rsid w:val="00B038D7"/>
    <w:rsid w:val="00B06869"/>
    <w:rsid w:val="00B07881"/>
    <w:rsid w:val="00B1161A"/>
    <w:rsid w:val="00B14E37"/>
    <w:rsid w:val="00B220C0"/>
    <w:rsid w:val="00B22B01"/>
    <w:rsid w:val="00B2776E"/>
    <w:rsid w:val="00B30BD1"/>
    <w:rsid w:val="00B327FA"/>
    <w:rsid w:val="00B33A51"/>
    <w:rsid w:val="00B35BEC"/>
    <w:rsid w:val="00B454EE"/>
    <w:rsid w:val="00B46BE3"/>
    <w:rsid w:val="00B569B5"/>
    <w:rsid w:val="00B576D9"/>
    <w:rsid w:val="00B57FF8"/>
    <w:rsid w:val="00B61431"/>
    <w:rsid w:val="00B625B5"/>
    <w:rsid w:val="00B65714"/>
    <w:rsid w:val="00B65CC5"/>
    <w:rsid w:val="00B70434"/>
    <w:rsid w:val="00B70D8A"/>
    <w:rsid w:val="00B712DC"/>
    <w:rsid w:val="00B752FB"/>
    <w:rsid w:val="00B75649"/>
    <w:rsid w:val="00B8009A"/>
    <w:rsid w:val="00B8211D"/>
    <w:rsid w:val="00B82D01"/>
    <w:rsid w:val="00B8522B"/>
    <w:rsid w:val="00B870B8"/>
    <w:rsid w:val="00B950FA"/>
    <w:rsid w:val="00B97BAF"/>
    <w:rsid w:val="00BA086D"/>
    <w:rsid w:val="00BA0E8A"/>
    <w:rsid w:val="00BA10A2"/>
    <w:rsid w:val="00BA2892"/>
    <w:rsid w:val="00BA2C19"/>
    <w:rsid w:val="00BA4DDA"/>
    <w:rsid w:val="00BA5074"/>
    <w:rsid w:val="00BA5598"/>
    <w:rsid w:val="00BA5C74"/>
    <w:rsid w:val="00BA649A"/>
    <w:rsid w:val="00BB2DA4"/>
    <w:rsid w:val="00BB3DF9"/>
    <w:rsid w:val="00BB42A4"/>
    <w:rsid w:val="00BB606B"/>
    <w:rsid w:val="00BB77A0"/>
    <w:rsid w:val="00BC111B"/>
    <w:rsid w:val="00BC284B"/>
    <w:rsid w:val="00BC67D9"/>
    <w:rsid w:val="00BC7667"/>
    <w:rsid w:val="00BC79C9"/>
    <w:rsid w:val="00BC7CDD"/>
    <w:rsid w:val="00BD06BF"/>
    <w:rsid w:val="00BD3DA6"/>
    <w:rsid w:val="00BD47BA"/>
    <w:rsid w:val="00BD61C9"/>
    <w:rsid w:val="00BD63F0"/>
    <w:rsid w:val="00BE1C4F"/>
    <w:rsid w:val="00BE207C"/>
    <w:rsid w:val="00BE51F7"/>
    <w:rsid w:val="00BE5F09"/>
    <w:rsid w:val="00BF758B"/>
    <w:rsid w:val="00C013E6"/>
    <w:rsid w:val="00C0169C"/>
    <w:rsid w:val="00C03278"/>
    <w:rsid w:val="00C04F52"/>
    <w:rsid w:val="00C0512E"/>
    <w:rsid w:val="00C05498"/>
    <w:rsid w:val="00C054CB"/>
    <w:rsid w:val="00C05804"/>
    <w:rsid w:val="00C05896"/>
    <w:rsid w:val="00C114D0"/>
    <w:rsid w:val="00C116D1"/>
    <w:rsid w:val="00C15442"/>
    <w:rsid w:val="00C17E39"/>
    <w:rsid w:val="00C20649"/>
    <w:rsid w:val="00C246BE"/>
    <w:rsid w:val="00C25042"/>
    <w:rsid w:val="00C279A5"/>
    <w:rsid w:val="00C30F64"/>
    <w:rsid w:val="00C319B4"/>
    <w:rsid w:val="00C36020"/>
    <w:rsid w:val="00C414B1"/>
    <w:rsid w:val="00C42B5E"/>
    <w:rsid w:val="00C4776B"/>
    <w:rsid w:val="00C54407"/>
    <w:rsid w:val="00C5467C"/>
    <w:rsid w:val="00C576F6"/>
    <w:rsid w:val="00C6210D"/>
    <w:rsid w:val="00C62134"/>
    <w:rsid w:val="00C6275D"/>
    <w:rsid w:val="00C64C05"/>
    <w:rsid w:val="00C659B4"/>
    <w:rsid w:val="00C66966"/>
    <w:rsid w:val="00C6713F"/>
    <w:rsid w:val="00C70510"/>
    <w:rsid w:val="00C71DF4"/>
    <w:rsid w:val="00C722F6"/>
    <w:rsid w:val="00C7347E"/>
    <w:rsid w:val="00C74E73"/>
    <w:rsid w:val="00C81336"/>
    <w:rsid w:val="00C81CE3"/>
    <w:rsid w:val="00C849C5"/>
    <w:rsid w:val="00C8568A"/>
    <w:rsid w:val="00C85AA8"/>
    <w:rsid w:val="00C86E11"/>
    <w:rsid w:val="00C944E8"/>
    <w:rsid w:val="00C95C68"/>
    <w:rsid w:val="00CA0D03"/>
    <w:rsid w:val="00CA1F06"/>
    <w:rsid w:val="00CA347D"/>
    <w:rsid w:val="00CA46BB"/>
    <w:rsid w:val="00CA4727"/>
    <w:rsid w:val="00CA4C20"/>
    <w:rsid w:val="00CA4FCE"/>
    <w:rsid w:val="00CA6BE4"/>
    <w:rsid w:val="00CB0828"/>
    <w:rsid w:val="00CB1264"/>
    <w:rsid w:val="00CB278C"/>
    <w:rsid w:val="00CB33E5"/>
    <w:rsid w:val="00CB7583"/>
    <w:rsid w:val="00CC204B"/>
    <w:rsid w:val="00CC27EC"/>
    <w:rsid w:val="00CC64FF"/>
    <w:rsid w:val="00CC7913"/>
    <w:rsid w:val="00CD0EAA"/>
    <w:rsid w:val="00CD250B"/>
    <w:rsid w:val="00CD36B0"/>
    <w:rsid w:val="00CD4FFF"/>
    <w:rsid w:val="00CD5F9A"/>
    <w:rsid w:val="00CE3DE2"/>
    <w:rsid w:val="00CF0636"/>
    <w:rsid w:val="00CF784C"/>
    <w:rsid w:val="00CF7988"/>
    <w:rsid w:val="00CF7A98"/>
    <w:rsid w:val="00CF7C40"/>
    <w:rsid w:val="00D00744"/>
    <w:rsid w:val="00D0194C"/>
    <w:rsid w:val="00D03FCA"/>
    <w:rsid w:val="00D040C3"/>
    <w:rsid w:val="00D055C9"/>
    <w:rsid w:val="00D05D05"/>
    <w:rsid w:val="00D10679"/>
    <w:rsid w:val="00D168EA"/>
    <w:rsid w:val="00D171F5"/>
    <w:rsid w:val="00D22077"/>
    <w:rsid w:val="00D227B1"/>
    <w:rsid w:val="00D34222"/>
    <w:rsid w:val="00D36F89"/>
    <w:rsid w:val="00D37241"/>
    <w:rsid w:val="00D424DC"/>
    <w:rsid w:val="00D432AB"/>
    <w:rsid w:val="00D5445E"/>
    <w:rsid w:val="00D544CF"/>
    <w:rsid w:val="00D55B4B"/>
    <w:rsid w:val="00D60699"/>
    <w:rsid w:val="00D60F25"/>
    <w:rsid w:val="00D62CB1"/>
    <w:rsid w:val="00D679F4"/>
    <w:rsid w:val="00D72221"/>
    <w:rsid w:val="00D767FD"/>
    <w:rsid w:val="00D77076"/>
    <w:rsid w:val="00D837FE"/>
    <w:rsid w:val="00D90725"/>
    <w:rsid w:val="00D966D7"/>
    <w:rsid w:val="00DA0BEF"/>
    <w:rsid w:val="00DA226B"/>
    <w:rsid w:val="00DA38F3"/>
    <w:rsid w:val="00DA40BE"/>
    <w:rsid w:val="00DA6284"/>
    <w:rsid w:val="00DA6910"/>
    <w:rsid w:val="00DB3B24"/>
    <w:rsid w:val="00DB42A7"/>
    <w:rsid w:val="00DB4C3D"/>
    <w:rsid w:val="00DC021F"/>
    <w:rsid w:val="00DC268A"/>
    <w:rsid w:val="00DC2E7C"/>
    <w:rsid w:val="00DC6428"/>
    <w:rsid w:val="00DD1245"/>
    <w:rsid w:val="00DD37E3"/>
    <w:rsid w:val="00DE39D8"/>
    <w:rsid w:val="00DE4063"/>
    <w:rsid w:val="00DE7690"/>
    <w:rsid w:val="00DE7D58"/>
    <w:rsid w:val="00DF32DE"/>
    <w:rsid w:val="00E020DA"/>
    <w:rsid w:val="00E02C17"/>
    <w:rsid w:val="00E02D43"/>
    <w:rsid w:val="00E042FC"/>
    <w:rsid w:val="00E04332"/>
    <w:rsid w:val="00E043E8"/>
    <w:rsid w:val="00E05449"/>
    <w:rsid w:val="00E10053"/>
    <w:rsid w:val="00E1339D"/>
    <w:rsid w:val="00E147EA"/>
    <w:rsid w:val="00E20B73"/>
    <w:rsid w:val="00E21984"/>
    <w:rsid w:val="00E26801"/>
    <w:rsid w:val="00E27D7A"/>
    <w:rsid w:val="00E34F64"/>
    <w:rsid w:val="00E410D9"/>
    <w:rsid w:val="00E45670"/>
    <w:rsid w:val="00E4788F"/>
    <w:rsid w:val="00E553C6"/>
    <w:rsid w:val="00E612DB"/>
    <w:rsid w:val="00E61A72"/>
    <w:rsid w:val="00E63F64"/>
    <w:rsid w:val="00E662EB"/>
    <w:rsid w:val="00E77E89"/>
    <w:rsid w:val="00E8112E"/>
    <w:rsid w:val="00E83423"/>
    <w:rsid w:val="00E85916"/>
    <w:rsid w:val="00E85FCD"/>
    <w:rsid w:val="00E93A52"/>
    <w:rsid w:val="00E93E2D"/>
    <w:rsid w:val="00E95C43"/>
    <w:rsid w:val="00EA12CE"/>
    <w:rsid w:val="00EA23A8"/>
    <w:rsid w:val="00EA3C24"/>
    <w:rsid w:val="00EA6BC8"/>
    <w:rsid w:val="00EB00C2"/>
    <w:rsid w:val="00EB0F56"/>
    <w:rsid w:val="00EB101B"/>
    <w:rsid w:val="00EB1542"/>
    <w:rsid w:val="00EB2C90"/>
    <w:rsid w:val="00EB2D98"/>
    <w:rsid w:val="00EB7646"/>
    <w:rsid w:val="00EC1870"/>
    <w:rsid w:val="00EC2FFA"/>
    <w:rsid w:val="00EC34D0"/>
    <w:rsid w:val="00ED0CBE"/>
    <w:rsid w:val="00ED4265"/>
    <w:rsid w:val="00ED5B48"/>
    <w:rsid w:val="00ED62F3"/>
    <w:rsid w:val="00EE034E"/>
    <w:rsid w:val="00EE4CBF"/>
    <w:rsid w:val="00EE6234"/>
    <w:rsid w:val="00EE7B1E"/>
    <w:rsid w:val="00EF008F"/>
    <w:rsid w:val="00EF23B9"/>
    <w:rsid w:val="00EF5724"/>
    <w:rsid w:val="00EF5D2E"/>
    <w:rsid w:val="00EF7622"/>
    <w:rsid w:val="00F0011F"/>
    <w:rsid w:val="00F037D5"/>
    <w:rsid w:val="00F077F2"/>
    <w:rsid w:val="00F10078"/>
    <w:rsid w:val="00F14383"/>
    <w:rsid w:val="00F16D87"/>
    <w:rsid w:val="00F17EE2"/>
    <w:rsid w:val="00F20728"/>
    <w:rsid w:val="00F31337"/>
    <w:rsid w:val="00F31931"/>
    <w:rsid w:val="00F32160"/>
    <w:rsid w:val="00F3268E"/>
    <w:rsid w:val="00F34CBB"/>
    <w:rsid w:val="00F43DDB"/>
    <w:rsid w:val="00F50341"/>
    <w:rsid w:val="00F51BE9"/>
    <w:rsid w:val="00F5397E"/>
    <w:rsid w:val="00F5470D"/>
    <w:rsid w:val="00F55D2D"/>
    <w:rsid w:val="00F57B64"/>
    <w:rsid w:val="00F61AB0"/>
    <w:rsid w:val="00F63D29"/>
    <w:rsid w:val="00F644A3"/>
    <w:rsid w:val="00F65132"/>
    <w:rsid w:val="00F6646E"/>
    <w:rsid w:val="00F6718E"/>
    <w:rsid w:val="00F6789F"/>
    <w:rsid w:val="00F67C74"/>
    <w:rsid w:val="00F703E1"/>
    <w:rsid w:val="00F70A42"/>
    <w:rsid w:val="00F75C11"/>
    <w:rsid w:val="00F76C90"/>
    <w:rsid w:val="00F770A3"/>
    <w:rsid w:val="00F80A74"/>
    <w:rsid w:val="00F80DD2"/>
    <w:rsid w:val="00F82558"/>
    <w:rsid w:val="00F830D9"/>
    <w:rsid w:val="00F83A7E"/>
    <w:rsid w:val="00F87266"/>
    <w:rsid w:val="00F87B4A"/>
    <w:rsid w:val="00F90255"/>
    <w:rsid w:val="00F920F5"/>
    <w:rsid w:val="00F95808"/>
    <w:rsid w:val="00F97DB5"/>
    <w:rsid w:val="00FA1CAC"/>
    <w:rsid w:val="00FB1B22"/>
    <w:rsid w:val="00FB23D2"/>
    <w:rsid w:val="00FB53C6"/>
    <w:rsid w:val="00FB5FE3"/>
    <w:rsid w:val="00FB6B3B"/>
    <w:rsid w:val="00FB72D2"/>
    <w:rsid w:val="00FB7D91"/>
    <w:rsid w:val="00FC063E"/>
    <w:rsid w:val="00FC33D5"/>
    <w:rsid w:val="00FD506C"/>
    <w:rsid w:val="00FE2A0C"/>
    <w:rsid w:val="00FE3CAD"/>
    <w:rsid w:val="00FF26D8"/>
    <w:rsid w:val="00FF343E"/>
    <w:rsid w:val="00FF362F"/>
    <w:rsid w:val="00FF48CD"/>
    <w:rsid w:val="00FF6517"/>
    <w:rsid w:val="00FF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B7"/>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820EB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0EB7"/>
    <w:rPr>
      <w:rFonts w:cs="Times New Roman"/>
      <w:b/>
      <w:bCs/>
      <w:sz w:val="24"/>
      <w:szCs w:val="24"/>
      <w:lang w:val="en-US" w:eastAsia="en-US" w:bidi="ar-SA"/>
    </w:rPr>
  </w:style>
  <w:style w:type="paragraph" w:styleId="BalloonText">
    <w:name w:val="Balloon Text"/>
    <w:basedOn w:val="Normal"/>
    <w:link w:val="BalloonTextChar"/>
    <w:uiPriority w:val="99"/>
    <w:semiHidden/>
    <w:rsid w:val="00BE20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2F4A"/>
    <w:rPr>
      <w:rFonts w:cs="Times New Roman"/>
      <w:sz w:val="2"/>
    </w:rPr>
  </w:style>
  <w:style w:type="paragraph" w:styleId="BodyTextIndent">
    <w:name w:val="Body Text Indent"/>
    <w:basedOn w:val="Normal"/>
    <w:link w:val="BodyTextIndentChar"/>
    <w:uiPriority w:val="99"/>
    <w:rsid w:val="00820EB7"/>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820EB7"/>
    <w:rPr>
      <w:rFonts w:ascii="Baskerville Old Face" w:hAnsi="Baskerville Old Face" w:cs="Times New Roman"/>
      <w:sz w:val="24"/>
      <w:szCs w:val="24"/>
      <w:lang w:val="en-US" w:eastAsia="en-US" w:bidi="ar-SA"/>
    </w:rPr>
  </w:style>
  <w:style w:type="paragraph" w:styleId="EndnoteText">
    <w:name w:val="endnote text"/>
    <w:basedOn w:val="Normal"/>
    <w:link w:val="EndnoteTextChar"/>
    <w:uiPriority w:val="99"/>
    <w:semiHidden/>
    <w:rsid w:val="00820EB7"/>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820EB7"/>
    <w:rPr>
      <w:rFonts w:cs="Times New Roman"/>
      <w:lang w:val="en-US" w:eastAsia="en-US" w:bidi="ar-SA"/>
    </w:rPr>
  </w:style>
  <w:style w:type="paragraph" w:styleId="Header">
    <w:name w:val="header"/>
    <w:basedOn w:val="Normal"/>
    <w:link w:val="HeaderChar"/>
    <w:uiPriority w:val="99"/>
    <w:rsid w:val="00C414B1"/>
    <w:pPr>
      <w:tabs>
        <w:tab w:val="center" w:pos="4320"/>
        <w:tab w:val="right" w:pos="8640"/>
      </w:tabs>
    </w:pPr>
  </w:style>
  <w:style w:type="character" w:customStyle="1" w:styleId="HeaderChar">
    <w:name w:val="Header Char"/>
    <w:basedOn w:val="DefaultParagraphFont"/>
    <w:link w:val="Header"/>
    <w:uiPriority w:val="99"/>
    <w:semiHidden/>
    <w:locked/>
    <w:rsid w:val="00292F4A"/>
    <w:rPr>
      <w:rFonts w:cs="Times New Roman"/>
      <w:sz w:val="24"/>
      <w:szCs w:val="24"/>
    </w:rPr>
  </w:style>
  <w:style w:type="paragraph" w:styleId="Footer">
    <w:name w:val="footer"/>
    <w:basedOn w:val="Normal"/>
    <w:link w:val="FooterChar"/>
    <w:uiPriority w:val="99"/>
    <w:rsid w:val="00C414B1"/>
    <w:pPr>
      <w:tabs>
        <w:tab w:val="center" w:pos="4320"/>
        <w:tab w:val="right" w:pos="8640"/>
      </w:tabs>
    </w:pPr>
  </w:style>
  <w:style w:type="character" w:customStyle="1" w:styleId="FooterChar">
    <w:name w:val="Footer Char"/>
    <w:basedOn w:val="DefaultParagraphFont"/>
    <w:link w:val="Footer"/>
    <w:uiPriority w:val="99"/>
    <w:locked/>
    <w:rsid w:val="00292F4A"/>
    <w:rPr>
      <w:rFonts w:cs="Times New Roman"/>
      <w:sz w:val="24"/>
      <w:szCs w:val="24"/>
    </w:rPr>
  </w:style>
  <w:style w:type="character" w:styleId="CommentReference">
    <w:name w:val="annotation reference"/>
    <w:basedOn w:val="DefaultParagraphFont"/>
    <w:uiPriority w:val="99"/>
    <w:semiHidden/>
    <w:rsid w:val="00DC6428"/>
    <w:rPr>
      <w:rFonts w:cs="Times New Roman"/>
      <w:sz w:val="16"/>
      <w:szCs w:val="16"/>
    </w:rPr>
  </w:style>
  <w:style w:type="paragraph" w:styleId="CommentText">
    <w:name w:val="annotation text"/>
    <w:basedOn w:val="Normal"/>
    <w:link w:val="CommentTextChar"/>
    <w:uiPriority w:val="99"/>
    <w:semiHidden/>
    <w:rsid w:val="00DC6428"/>
    <w:rPr>
      <w:szCs w:val="20"/>
    </w:rPr>
  </w:style>
  <w:style w:type="character" w:customStyle="1" w:styleId="CommentTextChar">
    <w:name w:val="Comment Text Char"/>
    <w:basedOn w:val="DefaultParagraphFont"/>
    <w:link w:val="CommentText"/>
    <w:uiPriority w:val="99"/>
    <w:semiHidden/>
    <w:locked/>
    <w:rsid w:val="00292F4A"/>
    <w:rPr>
      <w:rFonts w:cs="Times New Roman"/>
      <w:sz w:val="20"/>
      <w:szCs w:val="20"/>
    </w:rPr>
  </w:style>
  <w:style w:type="paragraph" w:styleId="CommentSubject">
    <w:name w:val="annotation subject"/>
    <w:basedOn w:val="CommentText"/>
    <w:next w:val="CommentText"/>
    <w:link w:val="CommentSubjectChar"/>
    <w:uiPriority w:val="99"/>
    <w:semiHidden/>
    <w:rsid w:val="00DC6428"/>
    <w:rPr>
      <w:b/>
      <w:bCs/>
    </w:rPr>
  </w:style>
  <w:style w:type="character" w:customStyle="1" w:styleId="CommentSubjectChar">
    <w:name w:val="Comment Subject Char"/>
    <w:basedOn w:val="CommentTextChar"/>
    <w:link w:val="CommentSubject"/>
    <w:uiPriority w:val="99"/>
    <w:semiHidden/>
    <w:locked/>
    <w:rsid w:val="00292F4A"/>
    <w:rPr>
      <w:rFonts w:cs="Times New Roman"/>
      <w:b/>
      <w:bCs/>
      <w:sz w:val="20"/>
      <w:szCs w:val="20"/>
    </w:rPr>
  </w:style>
  <w:style w:type="table" w:styleId="TableGrid">
    <w:name w:val="Table Grid"/>
    <w:basedOn w:val="TableNormal"/>
    <w:uiPriority w:val="99"/>
    <w:rsid w:val="00AC6E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B5FE3"/>
    <w:rPr>
      <w:rFonts w:cs="Times New Roman"/>
      <w:color w:val="0000FF"/>
      <w:u w:val="single"/>
    </w:rPr>
  </w:style>
  <w:style w:type="paragraph" w:styleId="FootnoteText">
    <w:name w:val="footnote text"/>
    <w:basedOn w:val="Normal"/>
    <w:link w:val="FootnoteTextChar"/>
    <w:uiPriority w:val="99"/>
    <w:semiHidden/>
    <w:rsid w:val="00690074"/>
    <w:rPr>
      <w:szCs w:val="20"/>
    </w:rPr>
  </w:style>
  <w:style w:type="character" w:customStyle="1" w:styleId="FootnoteTextChar">
    <w:name w:val="Footnote Text Char"/>
    <w:basedOn w:val="DefaultParagraphFont"/>
    <w:link w:val="FootnoteText"/>
    <w:uiPriority w:val="99"/>
    <w:semiHidden/>
    <w:locked/>
    <w:rsid w:val="00292F4A"/>
    <w:rPr>
      <w:rFonts w:cs="Times New Roman"/>
      <w:sz w:val="20"/>
      <w:szCs w:val="20"/>
    </w:rPr>
  </w:style>
  <w:style w:type="character" w:styleId="FootnoteReference">
    <w:name w:val="footnote reference"/>
    <w:basedOn w:val="DefaultParagraphFont"/>
    <w:uiPriority w:val="99"/>
    <w:semiHidden/>
    <w:rsid w:val="00690074"/>
    <w:rPr>
      <w:rFonts w:cs="Times New Roman"/>
      <w:vertAlign w:val="superscript"/>
    </w:rPr>
  </w:style>
  <w:style w:type="paragraph" w:styleId="ListParagraph">
    <w:name w:val="List Paragraph"/>
    <w:basedOn w:val="Normal"/>
    <w:uiPriority w:val="34"/>
    <w:qFormat/>
    <w:rsid w:val="00210D29"/>
    <w:pPr>
      <w:ind w:left="720"/>
      <w:contextualSpacing/>
    </w:pPr>
  </w:style>
  <w:style w:type="character" w:customStyle="1" w:styleId="CharChar1">
    <w:name w:val="Char Char1"/>
    <w:basedOn w:val="DefaultParagraphFont"/>
    <w:uiPriority w:val="99"/>
    <w:rsid w:val="00783926"/>
    <w:rPr>
      <w:rFonts w:cs="Times New Roman"/>
    </w:rPr>
  </w:style>
  <w:style w:type="paragraph" w:styleId="Revision">
    <w:name w:val="Revision"/>
    <w:hidden/>
    <w:uiPriority w:val="99"/>
    <w:semiHidden/>
    <w:rsid w:val="009637AD"/>
    <w:rPr>
      <w:szCs w:val="24"/>
    </w:rPr>
  </w:style>
  <w:style w:type="character" w:customStyle="1" w:styleId="st1">
    <w:name w:val="st1"/>
    <w:basedOn w:val="DefaultParagraphFont"/>
    <w:rsid w:val="00050245"/>
  </w:style>
  <w:style w:type="paragraph" w:customStyle="1" w:styleId="Default">
    <w:name w:val="Default"/>
    <w:rsid w:val="00AE1F0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B7"/>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820EB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0EB7"/>
    <w:rPr>
      <w:rFonts w:cs="Times New Roman"/>
      <w:b/>
      <w:bCs/>
      <w:sz w:val="24"/>
      <w:szCs w:val="24"/>
      <w:lang w:val="en-US" w:eastAsia="en-US" w:bidi="ar-SA"/>
    </w:rPr>
  </w:style>
  <w:style w:type="paragraph" w:styleId="BalloonText">
    <w:name w:val="Balloon Text"/>
    <w:basedOn w:val="Normal"/>
    <w:link w:val="BalloonTextChar"/>
    <w:uiPriority w:val="99"/>
    <w:semiHidden/>
    <w:rsid w:val="00BE20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2F4A"/>
    <w:rPr>
      <w:rFonts w:cs="Times New Roman"/>
      <w:sz w:val="2"/>
    </w:rPr>
  </w:style>
  <w:style w:type="paragraph" w:styleId="BodyTextIndent">
    <w:name w:val="Body Text Indent"/>
    <w:basedOn w:val="Normal"/>
    <w:link w:val="BodyTextIndentChar"/>
    <w:uiPriority w:val="99"/>
    <w:rsid w:val="00820EB7"/>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820EB7"/>
    <w:rPr>
      <w:rFonts w:ascii="Baskerville Old Face" w:hAnsi="Baskerville Old Face" w:cs="Times New Roman"/>
      <w:sz w:val="24"/>
      <w:szCs w:val="24"/>
      <w:lang w:val="en-US" w:eastAsia="en-US" w:bidi="ar-SA"/>
    </w:rPr>
  </w:style>
  <w:style w:type="paragraph" w:styleId="EndnoteText">
    <w:name w:val="endnote text"/>
    <w:basedOn w:val="Normal"/>
    <w:link w:val="EndnoteTextChar"/>
    <w:uiPriority w:val="99"/>
    <w:semiHidden/>
    <w:rsid w:val="00820EB7"/>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820EB7"/>
    <w:rPr>
      <w:rFonts w:cs="Times New Roman"/>
      <w:lang w:val="en-US" w:eastAsia="en-US" w:bidi="ar-SA"/>
    </w:rPr>
  </w:style>
  <w:style w:type="paragraph" w:styleId="Header">
    <w:name w:val="header"/>
    <w:basedOn w:val="Normal"/>
    <w:link w:val="HeaderChar"/>
    <w:uiPriority w:val="99"/>
    <w:rsid w:val="00C414B1"/>
    <w:pPr>
      <w:tabs>
        <w:tab w:val="center" w:pos="4320"/>
        <w:tab w:val="right" w:pos="8640"/>
      </w:tabs>
    </w:pPr>
  </w:style>
  <w:style w:type="character" w:customStyle="1" w:styleId="HeaderChar">
    <w:name w:val="Header Char"/>
    <w:basedOn w:val="DefaultParagraphFont"/>
    <w:link w:val="Header"/>
    <w:uiPriority w:val="99"/>
    <w:semiHidden/>
    <w:locked/>
    <w:rsid w:val="00292F4A"/>
    <w:rPr>
      <w:rFonts w:cs="Times New Roman"/>
      <w:sz w:val="24"/>
      <w:szCs w:val="24"/>
    </w:rPr>
  </w:style>
  <w:style w:type="paragraph" w:styleId="Footer">
    <w:name w:val="footer"/>
    <w:basedOn w:val="Normal"/>
    <w:link w:val="FooterChar"/>
    <w:uiPriority w:val="99"/>
    <w:rsid w:val="00C414B1"/>
    <w:pPr>
      <w:tabs>
        <w:tab w:val="center" w:pos="4320"/>
        <w:tab w:val="right" w:pos="8640"/>
      </w:tabs>
    </w:pPr>
  </w:style>
  <w:style w:type="character" w:customStyle="1" w:styleId="FooterChar">
    <w:name w:val="Footer Char"/>
    <w:basedOn w:val="DefaultParagraphFont"/>
    <w:link w:val="Footer"/>
    <w:uiPriority w:val="99"/>
    <w:locked/>
    <w:rsid w:val="00292F4A"/>
    <w:rPr>
      <w:rFonts w:cs="Times New Roman"/>
      <w:sz w:val="24"/>
      <w:szCs w:val="24"/>
    </w:rPr>
  </w:style>
  <w:style w:type="character" w:styleId="CommentReference">
    <w:name w:val="annotation reference"/>
    <w:basedOn w:val="DefaultParagraphFont"/>
    <w:uiPriority w:val="99"/>
    <w:semiHidden/>
    <w:rsid w:val="00DC6428"/>
    <w:rPr>
      <w:rFonts w:cs="Times New Roman"/>
      <w:sz w:val="16"/>
      <w:szCs w:val="16"/>
    </w:rPr>
  </w:style>
  <w:style w:type="paragraph" w:styleId="CommentText">
    <w:name w:val="annotation text"/>
    <w:basedOn w:val="Normal"/>
    <w:link w:val="CommentTextChar"/>
    <w:uiPriority w:val="99"/>
    <w:semiHidden/>
    <w:rsid w:val="00DC6428"/>
    <w:rPr>
      <w:szCs w:val="20"/>
    </w:rPr>
  </w:style>
  <w:style w:type="character" w:customStyle="1" w:styleId="CommentTextChar">
    <w:name w:val="Comment Text Char"/>
    <w:basedOn w:val="DefaultParagraphFont"/>
    <w:link w:val="CommentText"/>
    <w:uiPriority w:val="99"/>
    <w:semiHidden/>
    <w:locked/>
    <w:rsid w:val="00292F4A"/>
    <w:rPr>
      <w:rFonts w:cs="Times New Roman"/>
      <w:sz w:val="20"/>
      <w:szCs w:val="20"/>
    </w:rPr>
  </w:style>
  <w:style w:type="paragraph" w:styleId="CommentSubject">
    <w:name w:val="annotation subject"/>
    <w:basedOn w:val="CommentText"/>
    <w:next w:val="CommentText"/>
    <w:link w:val="CommentSubjectChar"/>
    <w:uiPriority w:val="99"/>
    <w:semiHidden/>
    <w:rsid w:val="00DC6428"/>
    <w:rPr>
      <w:b/>
      <w:bCs/>
    </w:rPr>
  </w:style>
  <w:style w:type="character" w:customStyle="1" w:styleId="CommentSubjectChar">
    <w:name w:val="Comment Subject Char"/>
    <w:basedOn w:val="CommentTextChar"/>
    <w:link w:val="CommentSubject"/>
    <w:uiPriority w:val="99"/>
    <w:semiHidden/>
    <w:locked/>
    <w:rsid w:val="00292F4A"/>
    <w:rPr>
      <w:rFonts w:cs="Times New Roman"/>
      <w:b/>
      <w:bCs/>
      <w:sz w:val="20"/>
      <w:szCs w:val="20"/>
    </w:rPr>
  </w:style>
  <w:style w:type="table" w:styleId="TableGrid">
    <w:name w:val="Table Grid"/>
    <w:basedOn w:val="TableNormal"/>
    <w:uiPriority w:val="99"/>
    <w:rsid w:val="00AC6E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B5FE3"/>
    <w:rPr>
      <w:rFonts w:cs="Times New Roman"/>
      <w:color w:val="0000FF"/>
      <w:u w:val="single"/>
    </w:rPr>
  </w:style>
  <w:style w:type="paragraph" w:styleId="FootnoteText">
    <w:name w:val="footnote text"/>
    <w:basedOn w:val="Normal"/>
    <w:link w:val="FootnoteTextChar"/>
    <w:uiPriority w:val="99"/>
    <w:semiHidden/>
    <w:rsid w:val="00690074"/>
    <w:rPr>
      <w:szCs w:val="20"/>
    </w:rPr>
  </w:style>
  <w:style w:type="character" w:customStyle="1" w:styleId="FootnoteTextChar">
    <w:name w:val="Footnote Text Char"/>
    <w:basedOn w:val="DefaultParagraphFont"/>
    <w:link w:val="FootnoteText"/>
    <w:uiPriority w:val="99"/>
    <w:semiHidden/>
    <w:locked/>
    <w:rsid w:val="00292F4A"/>
    <w:rPr>
      <w:rFonts w:cs="Times New Roman"/>
      <w:sz w:val="20"/>
      <w:szCs w:val="20"/>
    </w:rPr>
  </w:style>
  <w:style w:type="character" w:styleId="FootnoteReference">
    <w:name w:val="footnote reference"/>
    <w:basedOn w:val="DefaultParagraphFont"/>
    <w:uiPriority w:val="99"/>
    <w:semiHidden/>
    <w:rsid w:val="00690074"/>
    <w:rPr>
      <w:rFonts w:cs="Times New Roman"/>
      <w:vertAlign w:val="superscript"/>
    </w:rPr>
  </w:style>
  <w:style w:type="paragraph" w:styleId="ListParagraph">
    <w:name w:val="List Paragraph"/>
    <w:basedOn w:val="Normal"/>
    <w:uiPriority w:val="34"/>
    <w:qFormat/>
    <w:rsid w:val="00210D29"/>
    <w:pPr>
      <w:ind w:left="720"/>
      <w:contextualSpacing/>
    </w:pPr>
  </w:style>
  <w:style w:type="character" w:customStyle="1" w:styleId="CharChar1">
    <w:name w:val="Char Char1"/>
    <w:basedOn w:val="DefaultParagraphFont"/>
    <w:uiPriority w:val="99"/>
    <w:rsid w:val="00783926"/>
    <w:rPr>
      <w:rFonts w:cs="Times New Roman"/>
    </w:rPr>
  </w:style>
  <w:style w:type="paragraph" w:styleId="Revision">
    <w:name w:val="Revision"/>
    <w:hidden/>
    <w:uiPriority w:val="99"/>
    <w:semiHidden/>
    <w:rsid w:val="009637AD"/>
    <w:rPr>
      <w:szCs w:val="24"/>
    </w:rPr>
  </w:style>
  <w:style w:type="character" w:customStyle="1" w:styleId="st1">
    <w:name w:val="st1"/>
    <w:basedOn w:val="DefaultParagraphFont"/>
    <w:rsid w:val="00050245"/>
  </w:style>
  <w:style w:type="paragraph" w:customStyle="1" w:styleId="Default">
    <w:name w:val="Default"/>
    <w:rsid w:val="00AE1F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553">
      <w:bodyDiv w:val="1"/>
      <w:marLeft w:val="0"/>
      <w:marRight w:val="0"/>
      <w:marTop w:val="0"/>
      <w:marBottom w:val="0"/>
      <w:divBdr>
        <w:top w:val="none" w:sz="0" w:space="0" w:color="auto"/>
        <w:left w:val="none" w:sz="0" w:space="0" w:color="auto"/>
        <w:bottom w:val="none" w:sz="0" w:space="0" w:color="auto"/>
        <w:right w:val="none" w:sz="0" w:space="0" w:color="auto"/>
      </w:divBdr>
    </w:div>
    <w:div w:id="37510927">
      <w:bodyDiv w:val="1"/>
      <w:marLeft w:val="0"/>
      <w:marRight w:val="0"/>
      <w:marTop w:val="0"/>
      <w:marBottom w:val="0"/>
      <w:divBdr>
        <w:top w:val="none" w:sz="0" w:space="0" w:color="auto"/>
        <w:left w:val="none" w:sz="0" w:space="0" w:color="auto"/>
        <w:bottom w:val="none" w:sz="0" w:space="0" w:color="auto"/>
        <w:right w:val="none" w:sz="0" w:space="0" w:color="auto"/>
      </w:divBdr>
    </w:div>
    <w:div w:id="55668420">
      <w:bodyDiv w:val="1"/>
      <w:marLeft w:val="0"/>
      <w:marRight w:val="0"/>
      <w:marTop w:val="0"/>
      <w:marBottom w:val="0"/>
      <w:divBdr>
        <w:top w:val="none" w:sz="0" w:space="0" w:color="auto"/>
        <w:left w:val="none" w:sz="0" w:space="0" w:color="auto"/>
        <w:bottom w:val="none" w:sz="0" w:space="0" w:color="auto"/>
        <w:right w:val="none" w:sz="0" w:space="0" w:color="auto"/>
      </w:divBdr>
    </w:div>
    <w:div w:id="96754585">
      <w:bodyDiv w:val="1"/>
      <w:marLeft w:val="0"/>
      <w:marRight w:val="0"/>
      <w:marTop w:val="0"/>
      <w:marBottom w:val="0"/>
      <w:divBdr>
        <w:top w:val="none" w:sz="0" w:space="0" w:color="auto"/>
        <w:left w:val="none" w:sz="0" w:space="0" w:color="auto"/>
        <w:bottom w:val="none" w:sz="0" w:space="0" w:color="auto"/>
        <w:right w:val="none" w:sz="0" w:space="0" w:color="auto"/>
      </w:divBdr>
    </w:div>
    <w:div w:id="138308121">
      <w:bodyDiv w:val="1"/>
      <w:marLeft w:val="0"/>
      <w:marRight w:val="0"/>
      <w:marTop w:val="0"/>
      <w:marBottom w:val="0"/>
      <w:divBdr>
        <w:top w:val="none" w:sz="0" w:space="0" w:color="auto"/>
        <w:left w:val="none" w:sz="0" w:space="0" w:color="auto"/>
        <w:bottom w:val="none" w:sz="0" w:space="0" w:color="auto"/>
        <w:right w:val="none" w:sz="0" w:space="0" w:color="auto"/>
      </w:divBdr>
    </w:div>
    <w:div w:id="145098950">
      <w:bodyDiv w:val="1"/>
      <w:marLeft w:val="0"/>
      <w:marRight w:val="0"/>
      <w:marTop w:val="0"/>
      <w:marBottom w:val="0"/>
      <w:divBdr>
        <w:top w:val="none" w:sz="0" w:space="0" w:color="auto"/>
        <w:left w:val="none" w:sz="0" w:space="0" w:color="auto"/>
        <w:bottom w:val="none" w:sz="0" w:space="0" w:color="auto"/>
        <w:right w:val="none" w:sz="0" w:space="0" w:color="auto"/>
      </w:divBdr>
    </w:div>
    <w:div w:id="168175351">
      <w:bodyDiv w:val="1"/>
      <w:marLeft w:val="0"/>
      <w:marRight w:val="0"/>
      <w:marTop w:val="0"/>
      <w:marBottom w:val="0"/>
      <w:divBdr>
        <w:top w:val="none" w:sz="0" w:space="0" w:color="auto"/>
        <w:left w:val="none" w:sz="0" w:space="0" w:color="auto"/>
        <w:bottom w:val="none" w:sz="0" w:space="0" w:color="auto"/>
        <w:right w:val="none" w:sz="0" w:space="0" w:color="auto"/>
      </w:divBdr>
    </w:div>
    <w:div w:id="181941497">
      <w:bodyDiv w:val="1"/>
      <w:marLeft w:val="0"/>
      <w:marRight w:val="0"/>
      <w:marTop w:val="0"/>
      <w:marBottom w:val="0"/>
      <w:divBdr>
        <w:top w:val="none" w:sz="0" w:space="0" w:color="auto"/>
        <w:left w:val="none" w:sz="0" w:space="0" w:color="auto"/>
        <w:bottom w:val="none" w:sz="0" w:space="0" w:color="auto"/>
        <w:right w:val="none" w:sz="0" w:space="0" w:color="auto"/>
      </w:divBdr>
    </w:div>
    <w:div w:id="194779971">
      <w:bodyDiv w:val="1"/>
      <w:marLeft w:val="0"/>
      <w:marRight w:val="0"/>
      <w:marTop w:val="0"/>
      <w:marBottom w:val="0"/>
      <w:divBdr>
        <w:top w:val="none" w:sz="0" w:space="0" w:color="auto"/>
        <w:left w:val="none" w:sz="0" w:space="0" w:color="auto"/>
        <w:bottom w:val="none" w:sz="0" w:space="0" w:color="auto"/>
        <w:right w:val="none" w:sz="0" w:space="0" w:color="auto"/>
      </w:divBdr>
    </w:div>
    <w:div w:id="197204990">
      <w:bodyDiv w:val="1"/>
      <w:marLeft w:val="0"/>
      <w:marRight w:val="0"/>
      <w:marTop w:val="0"/>
      <w:marBottom w:val="0"/>
      <w:divBdr>
        <w:top w:val="none" w:sz="0" w:space="0" w:color="auto"/>
        <w:left w:val="none" w:sz="0" w:space="0" w:color="auto"/>
        <w:bottom w:val="none" w:sz="0" w:space="0" w:color="auto"/>
        <w:right w:val="none" w:sz="0" w:space="0" w:color="auto"/>
      </w:divBdr>
    </w:div>
    <w:div w:id="201483977">
      <w:bodyDiv w:val="1"/>
      <w:marLeft w:val="0"/>
      <w:marRight w:val="0"/>
      <w:marTop w:val="0"/>
      <w:marBottom w:val="0"/>
      <w:divBdr>
        <w:top w:val="none" w:sz="0" w:space="0" w:color="auto"/>
        <w:left w:val="none" w:sz="0" w:space="0" w:color="auto"/>
        <w:bottom w:val="none" w:sz="0" w:space="0" w:color="auto"/>
        <w:right w:val="none" w:sz="0" w:space="0" w:color="auto"/>
      </w:divBdr>
    </w:div>
    <w:div w:id="205875468">
      <w:bodyDiv w:val="1"/>
      <w:marLeft w:val="0"/>
      <w:marRight w:val="0"/>
      <w:marTop w:val="0"/>
      <w:marBottom w:val="0"/>
      <w:divBdr>
        <w:top w:val="none" w:sz="0" w:space="0" w:color="auto"/>
        <w:left w:val="none" w:sz="0" w:space="0" w:color="auto"/>
        <w:bottom w:val="none" w:sz="0" w:space="0" w:color="auto"/>
        <w:right w:val="none" w:sz="0" w:space="0" w:color="auto"/>
      </w:divBdr>
    </w:div>
    <w:div w:id="250164745">
      <w:bodyDiv w:val="1"/>
      <w:marLeft w:val="0"/>
      <w:marRight w:val="0"/>
      <w:marTop w:val="0"/>
      <w:marBottom w:val="0"/>
      <w:divBdr>
        <w:top w:val="none" w:sz="0" w:space="0" w:color="auto"/>
        <w:left w:val="none" w:sz="0" w:space="0" w:color="auto"/>
        <w:bottom w:val="none" w:sz="0" w:space="0" w:color="auto"/>
        <w:right w:val="none" w:sz="0" w:space="0" w:color="auto"/>
      </w:divBdr>
    </w:div>
    <w:div w:id="254363134">
      <w:bodyDiv w:val="1"/>
      <w:marLeft w:val="0"/>
      <w:marRight w:val="0"/>
      <w:marTop w:val="0"/>
      <w:marBottom w:val="0"/>
      <w:divBdr>
        <w:top w:val="none" w:sz="0" w:space="0" w:color="auto"/>
        <w:left w:val="none" w:sz="0" w:space="0" w:color="auto"/>
        <w:bottom w:val="none" w:sz="0" w:space="0" w:color="auto"/>
        <w:right w:val="none" w:sz="0" w:space="0" w:color="auto"/>
      </w:divBdr>
    </w:div>
    <w:div w:id="296178699">
      <w:bodyDiv w:val="1"/>
      <w:marLeft w:val="0"/>
      <w:marRight w:val="0"/>
      <w:marTop w:val="0"/>
      <w:marBottom w:val="0"/>
      <w:divBdr>
        <w:top w:val="none" w:sz="0" w:space="0" w:color="auto"/>
        <w:left w:val="none" w:sz="0" w:space="0" w:color="auto"/>
        <w:bottom w:val="none" w:sz="0" w:space="0" w:color="auto"/>
        <w:right w:val="none" w:sz="0" w:space="0" w:color="auto"/>
      </w:divBdr>
    </w:div>
    <w:div w:id="367145284">
      <w:bodyDiv w:val="1"/>
      <w:marLeft w:val="0"/>
      <w:marRight w:val="0"/>
      <w:marTop w:val="0"/>
      <w:marBottom w:val="0"/>
      <w:divBdr>
        <w:top w:val="none" w:sz="0" w:space="0" w:color="auto"/>
        <w:left w:val="none" w:sz="0" w:space="0" w:color="auto"/>
        <w:bottom w:val="none" w:sz="0" w:space="0" w:color="auto"/>
        <w:right w:val="none" w:sz="0" w:space="0" w:color="auto"/>
      </w:divBdr>
    </w:div>
    <w:div w:id="452402097">
      <w:bodyDiv w:val="1"/>
      <w:marLeft w:val="0"/>
      <w:marRight w:val="0"/>
      <w:marTop w:val="0"/>
      <w:marBottom w:val="0"/>
      <w:divBdr>
        <w:top w:val="none" w:sz="0" w:space="0" w:color="auto"/>
        <w:left w:val="none" w:sz="0" w:space="0" w:color="auto"/>
        <w:bottom w:val="none" w:sz="0" w:space="0" w:color="auto"/>
        <w:right w:val="none" w:sz="0" w:space="0" w:color="auto"/>
      </w:divBdr>
    </w:div>
    <w:div w:id="481385059">
      <w:bodyDiv w:val="1"/>
      <w:marLeft w:val="0"/>
      <w:marRight w:val="0"/>
      <w:marTop w:val="0"/>
      <w:marBottom w:val="0"/>
      <w:divBdr>
        <w:top w:val="none" w:sz="0" w:space="0" w:color="auto"/>
        <w:left w:val="none" w:sz="0" w:space="0" w:color="auto"/>
        <w:bottom w:val="none" w:sz="0" w:space="0" w:color="auto"/>
        <w:right w:val="none" w:sz="0" w:space="0" w:color="auto"/>
      </w:divBdr>
    </w:div>
    <w:div w:id="490295127">
      <w:bodyDiv w:val="1"/>
      <w:marLeft w:val="0"/>
      <w:marRight w:val="0"/>
      <w:marTop w:val="0"/>
      <w:marBottom w:val="0"/>
      <w:divBdr>
        <w:top w:val="none" w:sz="0" w:space="0" w:color="auto"/>
        <w:left w:val="none" w:sz="0" w:space="0" w:color="auto"/>
        <w:bottom w:val="none" w:sz="0" w:space="0" w:color="auto"/>
        <w:right w:val="none" w:sz="0" w:space="0" w:color="auto"/>
      </w:divBdr>
    </w:div>
    <w:div w:id="537741143">
      <w:bodyDiv w:val="1"/>
      <w:marLeft w:val="0"/>
      <w:marRight w:val="0"/>
      <w:marTop w:val="0"/>
      <w:marBottom w:val="0"/>
      <w:divBdr>
        <w:top w:val="none" w:sz="0" w:space="0" w:color="auto"/>
        <w:left w:val="none" w:sz="0" w:space="0" w:color="auto"/>
        <w:bottom w:val="none" w:sz="0" w:space="0" w:color="auto"/>
        <w:right w:val="none" w:sz="0" w:space="0" w:color="auto"/>
      </w:divBdr>
    </w:div>
    <w:div w:id="575365507">
      <w:bodyDiv w:val="1"/>
      <w:marLeft w:val="0"/>
      <w:marRight w:val="0"/>
      <w:marTop w:val="0"/>
      <w:marBottom w:val="0"/>
      <w:divBdr>
        <w:top w:val="none" w:sz="0" w:space="0" w:color="auto"/>
        <w:left w:val="none" w:sz="0" w:space="0" w:color="auto"/>
        <w:bottom w:val="none" w:sz="0" w:space="0" w:color="auto"/>
        <w:right w:val="none" w:sz="0" w:space="0" w:color="auto"/>
      </w:divBdr>
    </w:div>
    <w:div w:id="578905113">
      <w:bodyDiv w:val="1"/>
      <w:marLeft w:val="0"/>
      <w:marRight w:val="0"/>
      <w:marTop w:val="0"/>
      <w:marBottom w:val="0"/>
      <w:divBdr>
        <w:top w:val="none" w:sz="0" w:space="0" w:color="auto"/>
        <w:left w:val="none" w:sz="0" w:space="0" w:color="auto"/>
        <w:bottom w:val="none" w:sz="0" w:space="0" w:color="auto"/>
        <w:right w:val="none" w:sz="0" w:space="0" w:color="auto"/>
      </w:divBdr>
    </w:div>
    <w:div w:id="585114385">
      <w:bodyDiv w:val="1"/>
      <w:marLeft w:val="0"/>
      <w:marRight w:val="0"/>
      <w:marTop w:val="0"/>
      <w:marBottom w:val="0"/>
      <w:divBdr>
        <w:top w:val="none" w:sz="0" w:space="0" w:color="auto"/>
        <w:left w:val="none" w:sz="0" w:space="0" w:color="auto"/>
        <w:bottom w:val="none" w:sz="0" w:space="0" w:color="auto"/>
        <w:right w:val="none" w:sz="0" w:space="0" w:color="auto"/>
      </w:divBdr>
    </w:div>
    <w:div w:id="641353679">
      <w:bodyDiv w:val="1"/>
      <w:marLeft w:val="0"/>
      <w:marRight w:val="0"/>
      <w:marTop w:val="0"/>
      <w:marBottom w:val="0"/>
      <w:divBdr>
        <w:top w:val="none" w:sz="0" w:space="0" w:color="auto"/>
        <w:left w:val="none" w:sz="0" w:space="0" w:color="auto"/>
        <w:bottom w:val="none" w:sz="0" w:space="0" w:color="auto"/>
        <w:right w:val="none" w:sz="0" w:space="0" w:color="auto"/>
      </w:divBdr>
    </w:div>
    <w:div w:id="678316329">
      <w:bodyDiv w:val="1"/>
      <w:marLeft w:val="0"/>
      <w:marRight w:val="0"/>
      <w:marTop w:val="0"/>
      <w:marBottom w:val="0"/>
      <w:divBdr>
        <w:top w:val="none" w:sz="0" w:space="0" w:color="auto"/>
        <w:left w:val="none" w:sz="0" w:space="0" w:color="auto"/>
        <w:bottom w:val="none" w:sz="0" w:space="0" w:color="auto"/>
        <w:right w:val="none" w:sz="0" w:space="0" w:color="auto"/>
      </w:divBdr>
    </w:div>
    <w:div w:id="704063055">
      <w:bodyDiv w:val="1"/>
      <w:marLeft w:val="0"/>
      <w:marRight w:val="0"/>
      <w:marTop w:val="0"/>
      <w:marBottom w:val="0"/>
      <w:divBdr>
        <w:top w:val="none" w:sz="0" w:space="0" w:color="auto"/>
        <w:left w:val="none" w:sz="0" w:space="0" w:color="auto"/>
        <w:bottom w:val="none" w:sz="0" w:space="0" w:color="auto"/>
        <w:right w:val="none" w:sz="0" w:space="0" w:color="auto"/>
      </w:divBdr>
    </w:div>
    <w:div w:id="712996829">
      <w:bodyDiv w:val="1"/>
      <w:marLeft w:val="0"/>
      <w:marRight w:val="0"/>
      <w:marTop w:val="0"/>
      <w:marBottom w:val="0"/>
      <w:divBdr>
        <w:top w:val="none" w:sz="0" w:space="0" w:color="auto"/>
        <w:left w:val="none" w:sz="0" w:space="0" w:color="auto"/>
        <w:bottom w:val="none" w:sz="0" w:space="0" w:color="auto"/>
        <w:right w:val="none" w:sz="0" w:space="0" w:color="auto"/>
      </w:divBdr>
    </w:div>
    <w:div w:id="742802269">
      <w:bodyDiv w:val="1"/>
      <w:marLeft w:val="0"/>
      <w:marRight w:val="0"/>
      <w:marTop w:val="0"/>
      <w:marBottom w:val="0"/>
      <w:divBdr>
        <w:top w:val="none" w:sz="0" w:space="0" w:color="auto"/>
        <w:left w:val="none" w:sz="0" w:space="0" w:color="auto"/>
        <w:bottom w:val="none" w:sz="0" w:space="0" w:color="auto"/>
        <w:right w:val="none" w:sz="0" w:space="0" w:color="auto"/>
      </w:divBdr>
    </w:div>
    <w:div w:id="746532581">
      <w:bodyDiv w:val="1"/>
      <w:marLeft w:val="0"/>
      <w:marRight w:val="0"/>
      <w:marTop w:val="0"/>
      <w:marBottom w:val="0"/>
      <w:divBdr>
        <w:top w:val="none" w:sz="0" w:space="0" w:color="auto"/>
        <w:left w:val="none" w:sz="0" w:space="0" w:color="auto"/>
        <w:bottom w:val="none" w:sz="0" w:space="0" w:color="auto"/>
        <w:right w:val="none" w:sz="0" w:space="0" w:color="auto"/>
      </w:divBdr>
    </w:div>
    <w:div w:id="803931875">
      <w:bodyDiv w:val="1"/>
      <w:marLeft w:val="0"/>
      <w:marRight w:val="0"/>
      <w:marTop w:val="0"/>
      <w:marBottom w:val="0"/>
      <w:divBdr>
        <w:top w:val="none" w:sz="0" w:space="0" w:color="auto"/>
        <w:left w:val="none" w:sz="0" w:space="0" w:color="auto"/>
        <w:bottom w:val="none" w:sz="0" w:space="0" w:color="auto"/>
        <w:right w:val="none" w:sz="0" w:space="0" w:color="auto"/>
      </w:divBdr>
    </w:div>
    <w:div w:id="866067784">
      <w:bodyDiv w:val="1"/>
      <w:marLeft w:val="0"/>
      <w:marRight w:val="0"/>
      <w:marTop w:val="0"/>
      <w:marBottom w:val="0"/>
      <w:divBdr>
        <w:top w:val="none" w:sz="0" w:space="0" w:color="auto"/>
        <w:left w:val="none" w:sz="0" w:space="0" w:color="auto"/>
        <w:bottom w:val="none" w:sz="0" w:space="0" w:color="auto"/>
        <w:right w:val="none" w:sz="0" w:space="0" w:color="auto"/>
      </w:divBdr>
    </w:div>
    <w:div w:id="867067255">
      <w:bodyDiv w:val="1"/>
      <w:marLeft w:val="0"/>
      <w:marRight w:val="0"/>
      <w:marTop w:val="0"/>
      <w:marBottom w:val="0"/>
      <w:divBdr>
        <w:top w:val="none" w:sz="0" w:space="0" w:color="auto"/>
        <w:left w:val="none" w:sz="0" w:space="0" w:color="auto"/>
        <w:bottom w:val="none" w:sz="0" w:space="0" w:color="auto"/>
        <w:right w:val="none" w:sz="0" w:space="0" w:color="auto"/>
      </w:divBdr>
    </w:div>
    <w:div w:id="869801956">
      <w:bodyDiv w:val="1"/>
      <w:marLeft w:val="0"/>
      <w:marRight w:val="0"/>
      <w:marTop w:val="0"/>
      <w:marBottom w:val="0"/>
      <w:divBdr>
        <w:top w:val="none" w:sz="0" w:space="0" w:color="auto"/>
        <w:left w:val="none" w:sz="0" w:space="0" w:color="auto"/>
        <w:bottom w:val="none" w:sz="0" w:space="0" w:color="auto"/>
        <w:right w:val="none" w:sz="0" w:space="0" w:color="auto"/>
      </w:divBdr>
    </w:div>
    <w:div w:id="994530429">
      <w:bodyDiv w:val="1"/>
      <w:marLeft w:val="0"/>
      <w:marRight w:val="0"/>
      <w:marTop w:val="0"/>
      <w:marBottom w:val="0"/>
      <w:divBdr>
        <w:top w:val="none" w:sz="0" w:space="0" w:color="auto"/>
        <w:left w:val="none" w:sz="0" w:space="0" w:color="auto"/>
        <w:bottom w:val="none" w:sz="0" w:space="0" w:color="auto"/>
        <w:right w:val="none" w:sz="0" w:space="0" w:color="auto"/>
      </w:divBdr>
    </w:div>
    <w:div w:id="1006784395">
      <w:bodyDiv w:val="1"/>
      <w:marLeft w:val="0"/>
      <w:marRight w:val="0"/>
      <w:marTop w:val="0"/>
      <w:marBottom w:val="0"/>
      <w:divBdr>
        <w:top w:val="none" w:sz="0" w:space="0" w:color="auto"/>
        <w:left w:val="none" w:sz="0" w:space="0" w:color="auto"/>
        <w:bottom w:val="none" w:sz="0" w:space="0" w:color="auto"/>
        <w:right w:val="none" w:sz="0" w:space="0" w:color="auto"/>
      </w:divBdr>
    </w:div>
    <w:div w:id="1017659502">
      <w:bodyDiv w:val="1"/>
      <w:marLeft w:val="0"/>
      <w:marRight w:val="0"/>
      <w:marTop w:val="0"/>
      <w:marBottom w:val="0"/>
      <w:divBdr>
        <w:top w:val="none" w:sz="0" w:space="0" w:color="auto"/>
        <w:left w:val="none" w:sz="0" w:space="0" w:color="auto"/>
        <w:bottom w:val="none" w:sz="0" w:space="0" w:color="auto"/>
        <w:right w:val="none" w:sz="0" w:space="0" w:color="auto"/>
      </w:divBdr>
    </w:div>
    <w:div w:id="1042365983">
      <w:bodyDiv w:val="1"/>
      <w:marLeft w:val="0"/>
      <w:marRight w:val="0"/>
      <w:marTop w:val="0"/>
      <w:marBottom w:val="0"/>
      <w:divBdr>
        <w:top w:val="none" w:sz="0" w:space="0" w:color="auto"/>
        <w:left w:val="none" w:sz="0" w:space="0" w:color="auto"/>
        <w:bottom w:val="none" w:sz="0" w:space="0" w:color="auto"/>
        <w:right w:val="none" w:sz="0" w:space="0" w:color="auto"/>
      </w:divBdr>
    </w:div>
    <w:div w:id="106741283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9055045">
      <w:bodyDiv w:val="1"/>
      <w:marLeft w:val="0"/>
      <w:marRight w:val="0"/>
      <w:marTop w:val="0"/>
      <w:marBottom w:val="0"/>
      <w:divBdr>
        <w:top w:val="none" w:sz="0" w:space="0" w:color="auto"/>
        <w:left w:val="none" w:sz="0" w:space="0" w:color="auto"/>
        <w:bottom w:val="none" w:sz="0" w:space="0" w:color="auto"/>
        <w:right w:val="none" w:sz="0" w:space="0" w:color="auto"/>
      </w:divBdr>
    </w:div>
    <w:div w:id="1113594242">
      <w:bodyDiv w:val="1"/>
      <w:marLeft w:val="0"/>
      <w:marRight w:val="0"/>
      <w:marTop w:val="0"/>
      <w:marBottom w:val="0"/>
      <w:divBdr>
        <w:top w:val="none" w:sz="0" w:space="0" w:color="auto"/>
        <w:left w:val="none" w:sz="0" w:space="0" w:color="auto"/>
        <w:bottom w:val="none" w:sz="0" w:space="0" w:color="auto"/>
        <w:right w:val="none" w:sz="0" w:space="0" w:color="auto"/>
      </w:divBdr>
    </w:div>
    <w:div w:id="1117526269">
      <w:bodyDiv w:val="1"/>
      <w:marLeft w:val="0"/>
      <w:marRight w:val="0"/>
      <w:marTop w:val="0"/>
      <w:marBottom w:val="0"/>
      <w:divBdr>
        <w:top w:val="none" w:sz="0" w:space="0" w:color="auto"/>
        <w:left w:val="none" w:sz="0" w:space="0" w:color="auto"/>
        <w:bottom w:val="none" w:sz="0" w:space="0" w:color="auto"/>
        <w:right w:val="none" w:sz="0" w:space="0" w:color="auto"/>
      </w:divBdr>
    </w:div>
    <w:div w:id="1120959043">
      <w:bodyDiv w:val="1"/>
      <w:marLeft w:val="0"/>
      <w:marRight w:val="0"/>
      <w:marTop w:val="0"/>
      <w:marBottom w:val="0"/>
      <w:divBdr>
        <w:top w:val="none" w:sz="0" w:space="0" w:color="auto"/>
        <w:left w:val="none" w:sz="0" w:space="0" w:color="auto"/>
        <w:bottom w:val="none" w:sz="0" w:space="0" w:color="auto"/>
        <w:right w:val="none" w:sz="0" w:space="0" w:color="auto"/>
      </w:divBdr>
    </w:div>
    <w:div w:id="1208374044">
      <w:bodyDiv w:val="1"/>
      <w:marLeft w:val="0"/>
      <w:marRight w:val="0"/>
      <w:marTop w:val="0"/>
      <w:marBottom w:val="0"/>
      <w:divBdr>
        <w:top w:val="none" w:sz="0" w:space="0" w:color="auto"/>
        <w:left w:val="none" w:sz="0" w:space="0" w:color="auto"/>
        <w:bottom w:val="none" w:sz="0" w:space="0" w:color="auto"/>
        <w:right w:val="none" w:sz="0" w:space="0" w:color="auto"/>
      </w:divBdr>
    </w:div>
    <w:div w:id="1217547664">
      <w:bodyDiv w:val="1"/>
      <w:marLeft w:val="0"/>
      <w:marRight w:val="0"/>
      <w:marTop w:val="0"/>
      <w:marBottom w:val="0"/>
      <w:divBdr>
        <w:top w:val="none" w:sz="0" w:space="0" w:color="auto"/>
        <w:left w:val="none" w:sz="0" w:space="0" w:color="auto"/>
        <w:bottom w:val="none" w:sz="0" w:space="0" w:color="auto"/>
        <w:right w:val="none" w:sz="0" w:space="0" w:color="auto"/>
      </w:divBdr>
    </w:div>
    <w:div w:id="1240873381">
      <w:bodyDiv w:val="1"/>
      <w:marLeft w:val="0"/>
      <w:marRight w:val="0"/>
      <w:marTop w:val="0"/>
      <w:marBottom w:val="0"/>
      <w:divBdr>
        <w:top w:val="none" w:sz="0" w:space="0" w:color="auto"/>
        <w:left w:val="none" w:sz="0" w:space="0" w:color="auto"/>
        <w:bottom w:val="none" w:sz="0" w:space="0" w:color="auto"/>
        <w:right w:val="none" w:sz="0" w:space="0" w:color="auto"/>
      </w:divBdr>
    </w:div>
    <w:div w:id="1267620634">
      <w:bodyDiv w:val="1"/>
      <w:marLeft w:val="0"/>
      <w:marRight w:val="0"/>
      <w:marTop w:val="0"/>
      <w:marBottom w:val="0"/>
      <w:divBdr>
        <w:top w:val="none" w:sz="0" w:space="0" w:color="auto"/>
        <w:left w:val="none" w:sz="0" w:space="0" w:color="auto"/>
        <w:bottom w:val="none" w:sz="0" w:space="0" w:color="auto"/>
        <w:right w:val="none" w:sz="0" w:space="0" w:color="auto"/>
      </w:divBdr>
    </w:div>
    <w:div w:id="1290018160">
      <w:bodyDiv w:val="1"/>
      <w:marLeft w:val="0"/>
      <w:marRight w:val="0"/>
      <w:marTop w:val="0"/>
      <w:marBottom w:val="0"/>
      <w:divBdr>
        <w:top w:val="none" w:sz="0" w:space="0" w:color="auto"/>
        <w:left w:val="none" w:sz="0" w:space="0" w:color="auto"/>
        <w:bottom w:val="none" w:sz="0" w:space="0" w:color="auto"/>
        <w:right w:val="none" w:sz="0" w:space="0" w:color="auto"/>
      </w:divBdr>
    </w:div>
    <w:div w:id="1291402330">
      <w:bodyDiv w:val="1"/>
      <w:marLeft w:val="0"/>
      <w:marRight w:val="0"/>
      <w:marTop w:val="0"/>
      <w:marBottom w:val="0"/>
      <w:divBdr>
        <w:top w:val="none" w:sz="0" w:space="0" w:color="auto"/>
        <w:left w:val="none" w:sz="0" w:space="0" w:color="auto"/>
        <w:bottom w:val="none" w:sz="0" w:space="0" w:color="auto"/>
        <w:right w:val="none" w:sz="0" w:space="0" w:color="auto"/>
      </w:divBdr>
    </w:div>
    <w:div w:id="1311325247">
      <w:bodyDiv w:val="1"/>
      <w:marLeft w:val="0"/>
      <w:marRight w:val="0"/>
      <w:marTop w:val="0"/>
      <w:marBottom w:val="0"/>
      <w:divBdr>
        <w:top w:val="none" w:sz="0" w:space="0" w:color="auto"/>
        <w:left w:val="none" w:sz="0" w:space="0" w:color="auto"/>
        <w:bottom w:val="none" w:sz="0" w:space="0" w:color="auto"/>
        <w:right w:val="none" w:sz="0" w:space="0" w:color="auto"/>
      </w:divBdr>
    </w:div>
    <w:div w:id="1344355809">
      <w:bodyDiv w:val="1"/>
      <w:marLeft w:val="0"/>
      <w:marRight w:val="0"/>
      <w:marTop w:val="0"/>
      <w:marBottom w:val="0"/>
      <w:divBdr>
        <w:top w:val="none" w:sz="0" w:space="0" w:color="auto"/>
        <w:left w:val="none" w:sz="0" w:space="0" w:color="auto"/>
        <w:bottom w:val="none" w:sz="0" w:space="0" w:color="auto"/>
        <w:right w:val="none" w:sz="0" w:space="0" w:color="auto"/>
      </w:divBdr>
    </w:div>
    <w:div w:id="1400442354">
      <w:bodyDiv w:val="1"/>
      <w:marLeft w:val="0"/>
      <w:marRight w:val="0"/>
      <w:marTop w:val="0"/>
      <w:marBottom w:val="0"/>
      <w:divBdr>
        <w:top w:val="none" w:sz="0" w:space="0" w:color="auto"/>
        <w:left w:val="none" w:sz="0" w:space="0" w:color="auto"/>
        <w:bottom w:val="none" w:sz="0" w:space="0" w:color="auto"/>
        <w:right w:val="none" w:sz="0" w:space="0" w:color="auto"/>
      </w:divBdr>
    </w:div>
    <w:div w:id="1400906779">
      <w:bodyDiv w:val="1"/>
      <w:marLeft w:val="0"/>
      <w:marRight w:val="0"/>
      <w:marTop w:val="0"/>
      <w:marBottom w:val="0"/>
      <w:divBdr>
        <w:top w:val="none" w:sz="0" w:space="0" w:color="auto"/>
        <w:left w:val="none" w:sz="0" w:space="0" w:color="auto"/>
        <w:bottom w:val="none" w:sz="0" w:space="0" w:color="auto"/>
        <w:right w:val="none" w:sz="0" w:space="0" w:color="auto"/>
      </w:divBdr>
    </w:div>
    <w:div w:id="1410346088">
      <w:bodyDiv w:val="1"/>
      <w:marLeft w:val="0"/>
      <w:marRight w:val="0"/>
      <w:marTop w:val="0"/>
      <w:marBottom w:val="0"/>
      <w:divBdr>
        <w:top w:val="none" w:sz="0" w:space="0" w:color="auto"/>
        <w:left w:val="none" w:sz="0" w:space="0" w:color="auto"/>
        <w:bottom w:val="none" w:sz="0" w:space="0" w:color="auto"/>
        <w:right w:val="none" w:sz="0" w:space="0" w:color="auto"/>
      </w:divBdr>
    </w:div>
    <w:div w:id="1486818282">
      <w:bodyDiv w:val="1"/>
      <w:marLeft w:val="0"/>
      <w:marRight w:val="0"/>
      <w:marTop w:val="0"/>
      <w:marBottom w:val="0"/>
      <w:divBdr>
        <w:top w:val="none" w:sz="0" w:space="0" w:color="auto"/>
        <w:left w:val="none" w:sz="0" w:space="0" w:color="auto"/>
        <w:bottom w:val="none" w:sz="0" w:space="0" w:color="auto"/>
        <w:right w:val="none" w:sz="0" w:space="0" w:color="auto"/>
      </w:divBdr>
    </w:div>
    <w:div w:id="1497694261">
      <w:bodyDiv w:val="1"/>
      <w:marLeft w:val="0"/>
      <w:marRight w:val="0"/>
      <w:marTop w:val="0"/>
      <w:marBottom w:val="0"/>
      <w:divBdr>
        <w:top w:val="none" w:sz="0" w:space="0" w:color="auto"/>
        <w:left w:val="none" w:sz="0" w:space="0" w:color="auto"/>
        <w:bottom w:val="none" w:sz="0" w:space="0" w:color="auto"/>
        <w:right w:val="none" w:sz="0" w:space="0" w:color="auto"/>
      </w:divBdr>
    </w:div>
    <w:div w:id="1540817895">
      <w:bodyDiv w:val="1"/>
      <w:marLeft w:val="0"/>
      <w:marRight w:val="0"/>
      <w:marTop w:val="0"/>
      <w:marBottom w:val="0"/>
      <w:divBdr>
        <w:top w:val="none" w:sz="0" w:space="0" w:color="auto"/>
        <w:left w:val="none" w:sz="0" w:space="0" w:color="auto"/>
        <w:bottom w:val="none" w:sz="0" w:space="0" w:color="auto"/>
        <w:right w:val="none" w:sz="0" w:space="0" w:color="auto"/>
      </w:divBdr>
    </w:div>
    <w:div w:id="1541898093">
      <w:bodyDiv w:val="1"/>
      <w:marLeft w:val="0"/>
      <w:marRight w:val="0"/>
      <w:marTop w:val="0"/>
      <w:marBottom w:val="0"/>
      <w:divBdr>
        <w:top w:val="none" w:sz="0" w:space="0" w:color="auto"/>
        <w:left w:val="none" w:sz="0" w:space="0" w:color="auto"/>
        <w:bottom w:val="none" w:sz="0" w:space="0" w:color="auto"/>
        <w:right w:val="none" w:sz="0" w:space="0" w:color="auto"/>
      </w:divBdr>
    </w:div>
    <w:div w:id="1545017618">
      <w:bodyDiv w:val="1"/>
      <w:marLeft w:val="0"/>
      <w:marRight w:val="0"/>
      <w:marTop w:val="0"/>
      <w:marBottom w:val="0"/>
      <w:divBdr>
        <w:top w:val="none" w:sz="0" w:space="0" w:color="auto"/>
        <w:left w:val="none" w:sz="0" w:space="0" w:color="auto"/>
        <w:bottom w:val="none" w:sz="0" w:space="0" w:color="auto"/>
        <w:right w:val="none" w:sz="0" w:space="0" w:color="auto"/>
      </w:divBdr>
    </w:div>
    <w:div w:id="1568488943">
      <w:bodyDiv w:val="1"/>
      <w:marLeft w:val="0"/>
      <w:marRight w:val="0"/>
      <w:marTop w:val="0"/>
      <w:marBottom w:val="0"/>
      <w:divBdr>
        <w:top w:val="none" w:sz="0" w:space="0" w:color="auto"/>
        <w:left w:val="none" w:sz="0" w:space="0" w:color="auto"/>
        <w:bottom w:val="none" w:sz="0" w:space="0" w:color="auto"/>
        <w:right w:val="none" w:sz="0" w:space="0" w:color="auto"/>
      </w:divBdr>
    </w:div>
    <w:div w:id="1592853780">
      <w:bodyDiv w:val="1"/>
      <w:marLeft w:val="0"/>
      <w:marRight w:val="0"/>
      <w:marTop w:val="0"/>
      <w:marBottom w:val="0"/>
      <w:divBdr>
        <w:top w:val="none" w:sz="0" w:space="0" w:color="auto"/>
        <w:left w:val="none" w:sz="0" w:space="0" w:color="auto"/>
        <w:bottom w:val="none" w:sz="0" w:space="0" w:color="auto"/>
        <w:right w:val="none" w:sz="0" w:space="0" w:color="auto"/>
      </w:divBdr>
    </w:div>
    <w:div w:id="1604797317">
      <w:bodyDiv w:val="1"/>
      <w:marLeft w:val="0"/>
      <w:marRight w:val="0"/>
      <w:marTop w:val="0"/>
      <w:marBottom w:val="0"/>
      <w:divBdr>
        <w:top w:val="none" w:sz="0" w:space="0" w:color="auto"/>
        <w:left w:val="none" w:sz="0" w:space="0" w:color="auto"/>
        <w:bottom w:val="none" w:sz="0" w:space="0" w:color="auto"/>
        <w:right w:val="none" w:sz="0" w:space="0" w:color="auto"/>
      </w:divBdr>
    </w:div>
    <w:div w:id="1655791649">
      <w:bodyDiv w:val="1"/>
      <w:marLeft w:val="0"/>
      <w:marRight w:val="0"/>
      <w:marTop w:val="0"/>
      <w:marBottom w:val="0"/>
      <w:divBdr>
        <w:top w:val="none" w:sz="0" w:space="0" w:color="auto"/>
        <w:left w:val="none" w:sz="0" w:space="0" w:color="auto"/>
        <w:bottom w:val="none" w:sz="0" w:space="0" w:color="auto"/>
        <w:right w:val="none" w:sz="0" w:space="0" w:color="auto"/>
      </w:divBdr>
    </w:div>
    <w:div w:id="1680498145">
      <w:bodyDiv w:val="1"/>
      <w:marLeft w:val="0"/>
      <w:marRight w:val="0"/>
      <w:marTop w:val="0"/>
      <w:marBottom w:val="0"/>
      <w:divBdr>
        <w:top w:val="none" w:sz="0" w:space="0" w:color="auto"/>
        <w:left w:val="none" w:sz="0" w:space="0" w:color="auto"/>
        <w:bottom w:val="none" w:sz="0" w:space="0" w:color="auto"/>
        <w:right w:val="none" w:sz="0" w:space="0" w:color="auto"/>
      </w:divBdr>
    </w:div>
    <w:div w:id="1701204659">
      <w:bodyDiv w:val="1"/>
      <w:marLeft w:val="0"/>
      <w:marRight w:val="0"/>
      <w:marTop w:val="0"/>
      <w:marBottom w:val="0"/>
      <w:divBdr>
        <w:top w:val="none" w:sz="0" w:space="0" w:color="auto"/>
        <w:left w:val="none" w:sz="0" w:space="0" w:color="auto"/>
        <w:bottom w:val="none" w:sz="0" w:space="0" w:color="auto"/>
        <w:right w:val="none" w:sz="0" w:space="0" w:color="auto"/>
      </w:divBdr>
    </w:div>
    <w:div w:id="1720862641">
      <w:bodyDiv w:val="1"/>
      <w:marLeft w:val="0"/>
      <w:marRight w:val="0"/>
      <w:marTop w:val="0"/>
      <w:marBottom w:val="0"/>
      <w:divBdr>
        <w:top w:val="none" w:sz="0" w:space="0" w:color="auto"/>
        <w:left w:val="none" w:sz="0" w:space="0" w:color="auto"/>
        <w:bottom w:val="none" w:sz="0" w:space="0" w:color="auto"/>
        <w:right w:val="none" w:sz="0" w:space="0" w:color="auto"/>
      </w:divBdr>
    </w:div>
    <w:div w:id="1816800849">
      <w:bodyDiv w:val="1"/>
      <w:marLeft w:val="0"/>
      <w:marRight w:val="0"/>
      <w:marTop w:val="0"/>
      <w:marBottom w:val="0"/>
      <w:divBdr>
        <w:top w:val="none" w:sz="0" w:space="0" w:color="auto"/>
        <w:left w:val="none" w:sz="0" w:space="0" w:color="auto"/>
        <w:bottom w:val="none" w:sz="0" w:space="0" w:color="auto"/>
        <w:right w:val="none" w:sz="0" w:space="0" w:color="auto"/>
      </w:divBdr>
    </w:div>
    <w:div w:id="1822194210">
      <w:bodyDiv w:val="1"/>
      <w:marLeft w:val="0"/>
      <w:marRight w:val="0"/>
      <w:marTop w:val="0"/>
      <w:marBottom w:val="0"/>
      <w:divBdr>
        <w:top w:val="none" w:sz="0" w:space="0" w:color="auto"/>
        <w:left w:val="none" w:sz="0" w:space="0" w:color="auto"/>
        <w:bottom w:val="none" w:sz="0" w:space="0" w:color="auto"/>
        <w:right w:val="none" w:sz="0" w:space="0" w:color="auto"/>
      </w:divBdr>
    </w:div>
    <w:div w:id="1849101400">
      <w:bodyDiv w:val="1"/>
      <w:marLeft w:val="0"/>
      <w:marRight w:val="0"/>
      <w:marTop w:val="0"/>
      <w:marBottom w:val="0"/>
      <w:divBdr>
        <w:top w:val="none" w:sz="0" w:space="0" w:color="auto"/>
        <w:left w:val="none" w:sz="0" w:space="0" w:color="auto"/>
        <w:bottom w:val="none" w:sz="0" w:space="0" w:color="auto"/>
        <w:right w:val="none" w:sz="0" w:space="0" w:color="auto"/>
      </w:divBdr>
    </w:div>
    <w:div w:id="1968579812">
      <w:bodyDiv w:val="1"/>
      <w:marLeft w:val="0"/>
      <w:marRight w:val="0"/>
      <w:marTop w:val="0"/>
      <w:marBottom w:val="0"/>
      <w:divBdr>
        <w:top w:val="none" w:sz="0" w:space="0" w:color="auto"/>
        <w:left w:val="none" w:sz="0" w:space="0" w:color="auto"/>
        <w:bottom w:val="none" w:sz="0" w:space="0" w:color="auto"/>
        <w:right w:val="none" w:sz="0" w:space="0" w:color="auto"/>
      </w:divBdr>
    </w:div>
    <w:div w:id="1994527520">
      <w:bodyDiv w:val="1"/>
      <w:marLeft w:val="0"/>
      <w:marRight w:val="0"/>
      <w:marTop w:val="0"/>
      <w:marBottom w:val="0"/>
      <w:divBdr>
        <w:top w:val="none" w:sz="0" w:space="0" w:color="auto"/>
        <w:left w:val="none" w:sz="0" w:space="0" w:color="auto"/>
        <w:bottom w:val="none" w:sz="0" w:space="0" w:color="auto"/>
        <w:right w:val="none" w:sz="0" w:space="0" w:color="auto"/>
      </w:divBdr>
    </w:div>
    <w:div w:id="1995908637">
      <w:bodyDiv w:val="1"/>
      <w:marLeft w:val="0"/>
      <w:marRight w:val="0"/>
      <w:marTop w:val="0"/>
      <w:marBottom w:val="0"/>
      <w:divBdr>
        <w:top w:val="none" w:sz="0" w:space="0" w:color="auto"/>
        <w:left w:val="none" w:sz="0" w:space="0" w:color="auto"/>
        <w:bottom w:val="none" w:sz="0" w:space="0" w:color="auto"/>
        <w:right w:val="none" w:sz="0" w:space="0" w:color="auto"/>
      </w:divBdr>
    </w:div>
    <w:div w:id="2032954884">
      <w:bodyDiv w:val="1"/>
      <w:marLeft w:val="0"/>
      <w:marRight w:val="0"/>
      <w:marTop w:val="0"/>
      <w:marBottom w:val="0"/>
      <w:divBdr>
        <w:top w:val="none" w:sz="0" w:space="0" w:color="auto"/>
        <w:left w:val="none" w:sz="0" w:space="0" w:color="auto"/>
        <w:bottom w:val="none" w:sz="0" w:space="0" w:color="auto"/>
        <w:right w:val="none" w:sz="0" w:space="0" w:color="auto"/>
      </w:divBdr>
    </w:div>
    <w:div w:id="2036153553">
      <w:bodyDiv w:val="1"/>
      <w:marLeft w:val="0"/>
      <w:marRight w:val="0"/>
      <w:marTop w:val="0"/>
      <w:marBottom w:val="0"/>
      <w:divBdr>
        <w:top w:val="none" w:sz="0" w:space="0" w:color="auto"/>
        <w:left w:val="none" w:sz="0" w:space="0" w:color="auto"/>
        <w:bottom w:val="none" w:sz="0" w:space="0" w:color="auto"/>
        <w:right w:val="none" w:sz="0" w:space="0" w:color="auto"/>
      </w:divBdr>
    </w:div>
    <w:div w:id="2038968860">
      <w:bodyDiv w:val="1"/>
      <w:marLeft w:val="0"/>
      <w:marRight w:val="0"/>
      <w:marTop w:val="0"/>
      <w:marBottom w:val="0"/>
      <w:divBdr>
        <w:top w:val="none" w:sz="0" w:space="0" w:color="auto"/>
        <w:left w:val="none" w:sz="0" w:space="0" w:color="auto"/>
        <w:bottom w:val="none" w:sz="0" w:space="0" w:color="auto"/>
        <w:right w:val="none" w:sz="0" w:space="0" w:color="auto"/>
      </w:divBdr>
    </w:div>
    <w:div w:id="2087530590">
      <w:bodyDiv w:val="1"/>
      <w:marLeft w:val="0"/>
      <w:marRight w:val="0"/>
      <w:marTop w:val="0"/>
      <w:marBottom w:val="0"/>
      <w:divBdr>
        <w:top w:val="none" w:sz="0" w:space="0" w:color="auto"/>
        <w:left w:val="none" w:sz="0" w:space="0" w:color="auto"/>
        <w:bottom w:val="none" w:sz="0" w:space="0" w:color="auto"/>
        <w:right w:val="none" w:sz="0" w:space="0" w:color="auto"/>
      </w:divBdr>
    </w:div>
    <w:div w:id="2088309160">
      <w:bodyDiv w:val="1"/>
      <w:marLeft w:val="0"/>
      <w:marRight w:val="0"/>
      <w:marTop w:val="0"/>
      <w:marBottom w:val="0"/>
      <w:divBdr>
        <w:top w:val="none" w:sz="0" w:space="0" w:color="auto"/>
        <w:left w:val="none" w:sz="0" w:space="0" w:color="auto"/>
        <w:bottom w:val="none" w:sz="0" w:space="0" w:color="auto"/>
        <w:right w:val="none" w:sz="0" w:space="0" w:color="auto"/>
      </w:divBdr>
    </w:div>
    <w:div w:id="21053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iio.cms.gov/resources/factsheets/aca_implementation_faqs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D1CD-1B69-4462-A965-289A2108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Veronica Edwards</cp:lastModifiedBy>
  <cp:revision>2</cp:revision>
  <cp:lastPrinted>2013-02-12T16:47:00Z</cp:lastPrinted>
  <dcterms:created xsi:type="dcterms:W3CDTF">2013-03-29T14:08:00Z</dcterms:created>
  <dcterms:modified xsi:type="dcterms:W3CDTF">2013-03-29T14:08:00Z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608780596</vt:i4>
  </property>
  <property fmtid="{D5CDD505-2E9C-101B-9397-08002B2CF9AE}" pid="3" name="_NewReviewCycle">
    <vt:lpwstr/>
  </property>
  <property fmtid="{D5CDD505-2E9C-101B-9397-08002B2CF9AE}" pid="4" name="_EmailSubject">
    <vt:lpwstr>MLR Form Instructions</vt:lpwstr>
  </property>
  <property fmtid="{D5CDD505-2E9C-101B-9397-08002B2CF9AE}" pid="5" name="_AuthorEmail">
    <vt:lpwstr>carol.jimenez@cms.hhs.gov</vt:lpwstr>
  </property>
  <property fmtid="{D5CDD505-2E9C-101B-9397-08002B2CF9AE}" pid="6" name="_AuthorEmailDisplayName">
    <vt:lpwstr>Jimenez, Carol S. (CMS/CCIIO)</vt:lpwstr>
  </property>
  <property fmtid="{D5CDD505-2E9C-101B-9397-08002B2CF9AE}" pid="7" name="_PreviousAdHocReviewCycleID">
    <vt:i4>-396743638</vt:i4>
  </property>
  <property fmtid="{D5CDD505-2E9C-101B-9397-08002B2CF9AE}" pid="8" name="_ReviewingToolsShownOnce">
    <vt:lpwstr/>
  </property>
</Properties>
</file>