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7D4" w:rsidRDefault="002D77D4">
      <w:pPr>
        <w:rPr>
          <w:rFonts w:ascii="Times New Roman" w:hAnsi="Times New Roman"/>
        </w:rPr>
      </w:pPr>
      <w:bookmarkStart w:id="0" w:name="QuickMark"/>
      <w:bookmarkEnd w:id="0"/>
      <w:r>
        <w:rPr>
          <w:rFonts w:ascii="Times New Roman" w:hAnsi="Times New Roman"/>
        </w:rPr>
        <w:t>SUPPORTING STATEMENT FOR PAPERWORK REDUCTION ACT 1995 SUBMISSIONS</w:t>
      </w:r>
    </w:p>
    <w:p w:rsidR="002D77D4" w:rsidRDefault="002D77D4">
      <w:pPr>
        <w:rPr>
          <w:rFonts w:ascii="Times New Roman" w:hAnsi="Times New Roman"/>
        </w:rPr>
      </w:pPr>
    </w:p>
    <w:p w:rsidR="002D77D4" w:rsidRPr="00B8639F" w:rsidRDefault="002D77D4" w:rsidP="00B8639F">
      <w:pPr>
        <w:widowControl/>
        <w:rPr>
          <w:rFonts w:ascii="Times New Roman" w:hAnsi="Times New Roman"/>
        </w:rPr>
      </w:pPr>
      <w:r w:rsidRPr="00B8639F">
        <w:rPr>
          <w:rFonts w:ascii="Times New Roman" w:hAnsi="Times New Roman"/>
          <w:b/>
          <w:bCs/>
        </w:rPr>
        <w:t>A.  Justification</w:t>
      </w:r>
    </w:p>
    <w:p w:rsidR="002D77D4" w:rsidRPr="00B8639F" w:rsidRDefault="002D77D4" w:rsidP="00B8639F">
      <w:pPr>
        <w:widowControl/>
        <w:rPr>
          <w:rFonts w:ascii="Times New Roman" w:hAnsi="Times New Roman"/>
        </w:rPr>
      </w:pPr>
    </w:p>
    <w:p w:rsidR="002D77D4" w:rsidRPr="00B8639F" w:rsidRDefault="002D77D4" w:rsidP="00B8639F">
      <w:pPr>
        <w:pStyle w:val="Quick1"/>
        <w:widowControl/>
        <w:numPr>
          <w:ilvl w:val="0"/>
          <w:numId w:val="1"/>
        </w:numPr>
        <w:tabs>
          <w:tab w:val="left" w:pos="-1440"/>
          <w:tab w:val="num" w:pos="720"/>
        </w:tabs>
        <w:rPr>
          <w:rFonts w:ascii="Times New Roman" w:hAnsi="Times New Roman"/>
        </w:rPr>
      </w:pPr>
      <w:r w:rsidRPr="00B8639F">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 xml:space="preserve">Section 408(a) of the Employee Retirement Income Security Act of 1974 (ERISA) and section 4975(c)(2) of the Internal Revenue Code of 1986 (the Code) authorizes the Secretary of Labor and the Secretary of the Treasury to grant a conditional or unconditional exemption of any fiduciary, disqualified person or class of fiduciaries, or orders of disqualified persons or transactions, from all or part of the restrictions imposed by sections 406 and 407(a) of ERISA and from taxes imposed by sections 4975(a) and (b) of  the Code, by reason of section 4975(c)(1) of the Code.  Under section 102 of Reorganization Plan No. 4, of 1978 (Reorganization Plan No. 4), the Secretary of Labor was given the authority to grant such exemptions. </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This class exemption</w:t>
      </w:r>
      <w:r w:rsidR="00166219" w:rsidRPr="00B8639F">
        <w:rPr>
          <w:rFonts w:ascii="Times New Roman" w:hAnsi="Times New Roman"/>
        </w:rPr>
        <w:t>,</w:t>
      </w:r>
      <w:r w:rsidRPr="00B8639F">
        <w:rPr>
          <w:rFonts w:ascii="Times New Roman" w:hAnsi="Times New Roman"/>
        </w:rPr>
        <w:t xml:space="preserve"> which was granted on </w:t>
      </w:r>
      <w:r w:rsidR="00420B0F" w:rsidRPr="00B8639F">
        <w:rPr>
          <w:rFonts w:ascii="Times New Roman" w:hAnsi="Times New Roman"/>
        </w:rPr>
        <w:t>April 8,</w:t>
      </w:r>
      <w:r w:rsidR="00D94C03" w:rsidRPr="00B8639F">
        <w:rPr>
          <w:rFonts w:ascii="Times New Roman" w:hAnsi="Times New Roman"/>
        </w:rPr>
        <w:t xml:space="preserve"> </w:t>
      </w:r>
      <w:r w:rsidR="00420B0F" w:rsidRPr="00B8639F">
        <w:rPr>
          <w:rFonts w:ascii="Times New Roman" w:hAnsi="Times New Roman"/>
        </w:rPr>
        <w:t>1977</w:t>
      </w:r>
      <w:r w:rsidRPr="00B8639F">
        <w:rPr>
          <w:rFonts w:ascii="Times New Roman" w:hAnsi="Times New Roman"/>
        </w:rPr>
        <w:t xml:space="preserve">, exempts from the prohibited transaction restrictions the purchase and sale by an employee benefit plan of shares from a registered, open-end investment company (mutual fund) when a fiduciary </w:t>
      </w:r>
      <w:r w:rsidR="00C33315" w:rsidRPr="00B8639F">
        <w:rPr>
          <w:rFonts w:ascii="Times New Roman" w:hAnsi="Times New Roman"/>
        </w:rPr>
        <w:t>of</w:t>
      </w:r>
      <w:r w:rsidRPr="00B8639F">
        <w:rPr>
          <w:rFonts w:ascii="Times New Roman" w:hAnsi="Times New Roman"/>
        </w:rPr>
        <w:t xml:space="preserve"> the plan (e.g., an investment manager) is also the investment advisor for the investment company.  </w:t>
      </w:r>
    </w:p>
    <w:p w:rsidR="002D77D4" w:rsidRPr="00B8639F" w:rsidRDefault="002D77D4" w:rsidP="00B8639F">
      <w:pPr>
        <w:widowControl/>
        <w:ind w:left="720"/>
        <w:rPr>
          <w:rFonts w:ascii="Times New Roman" w:hAnsi="Times New Roman"/>
        </w:rPr>
      </w:pPr>
      <w:r w:rsidRPr="00B8639F">
        <w:rPr>
          <w:rFonts w:ascii="Times New Roman" w:hAnsi="Times New Roman"/>
        </w:rPr>
        <w:t>Section 406 of ERISA prohibits various transactions between a plan and certain related parties.  Those parties in interest described in section 3(14) of ERISA and disqualified persons described in section 4975(e)(2) of the Code, such as plan fiduciaries, sponsoring employers, unions, service providers and affiliates, may not engage in a transaction described in section 406 of ERISA and section 4975(c) of the Code with a plan without an exemption.  Specifically, these sections prohibits sales, leases, loans, or the provision of services between a party in interest and a plan, as well as a use of plan assets by or for the benefit of, or a transfer of plan assets to, a party in interest or a disqualified person, unless a statutory or administrative exemption applies to the transaction.</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The Department of Labor has authority under Reorganization Plan No. 4, pursuant to section 408 of ERISA and section 4975(c</w:t>
      </w:r>
      <w:r w:rsidR="00C33315" w:rsidRPr="00B8639F">
        <w:rPr>
          <w:rFonts w:ascii="Times New Roman" w:hAnsi="Times New Roman"/>
        </w:rPr>
        <w:t>) (</w:t>
      </w:r>
      <w:r w:rsidRPr="00B8639F">
        <w:rPr>
          <w:rFonts w:ascii="Times New Roman" w:hAnsi="Times New Roman"/>
        </w:rPr>
        <w:t>2) of the Code to grant either individual or class exemptions.  In order to grant an exemption under section 408 and section 4975(c</w:t>
      </w:r>
      <w:r w:rsidR="00C33315" w:rsidRPr="00B8639F">
        <w:rPr>
          <w:rFonts w:ascii="Times New Roman" w:hAnsi="Times New Roman"/>
        </w:rPr>
        <w:t>) (</w:t>
      </w:r>
      <w:r w:rsidRPr="00B8639F">
        <w:rPr>
          <w:rFonts w:ascii="Times New Roman" w:hAnsi="Times New Roman"/>
        </w:rPr>
        <w:t>2), the Department must determine that the exemption is:</w:t>
      </w:r>
    </w:p>
    <w:p w:rsidR="00166219" w:rsidRPr="00B8639F" w:rsidRDefault="00166219" w:rsidP="00B8639F">
      <w:pPr>
        <w:widowControl/>
        <w:ind w:left="720"/>
        <w:rPr>
          <w:rFonts w:ascii="Times New Roman" w:hAnsi="Times New Roman"/>
        </w:rPr>
      </w:pPr>
    </w:p>
    <w:p w:rsidR="002D77D4" w:rsidRPr="00B8639F" w:rsidRDefault="002D77D4" w:rsidP="00B8639F">
      <w:pPr>
        <w:widowControl/>
        <w:ind w:left="1440"/>
        <w:rPr>
          <w:rFonts w:ascii="Times New Roman" w:hAnsi="Times New Roman"/>
        </w:rPr>
      </w:pPr>
      <w:r w:rsidRPr="00B8639F">
        <w:rPr>
          <w:rFonts w:ascii="Times New Roman" w:hAnsi="Times New Roman"/>
        </w:rPr>
        <w:t xml:space="preserve">(1)  </w:t>
      </w:r>
      <w:r w:rsidR="00166219" w:rsidRPr="00B8639F">
        <w:rPr>
          <w:rFonts w:ascii="Times New Roman" w:hAnsi="Times New Roman"/>
        </w:rPr>
        <w:t>administratively</w:t>
      </w:r>
      <w:r w:rsidRPr="00B8639F">
        <w:rPr>
          <w:rFonts w:ascii="Times New Roman" w:hAnsi="Times New Roman"/>
        </w:rPr>
        <w:t xml:space="preserve"> feasible,</w:t>
      </w:r>
    </w:p>
    <w:p w:rsidR="002D77D4" w:rsidRPr="00B8639F" w:rsidRDefault="002D77D4" w:rsidP="00B8639F">
      <w:pPr>
        <w:widowControl/>
        <w:ind w:firstLine="720"/>
        <w:rPr>
          <w:rFonts w:ascii="Times New Roman" w:hAnsi="Times New Roman"/>
        </w:rPr>
      </w:pPr>
    </w:p>
    <w:p w:rsidR="002D77D4" w:rsidRPr="00B8639F" w:rsidRDefault="002D77D4" w:rsidP="00B8639F">
      <w:pPr>
        <w:widowControl/>
        <w:ind w:left="1440"/>
        <w:rPr>
          <w:rFonts w:ascii="Times New Roman" w:hAnsi="Times New Roman"/>
        </w:rPr>
      </w:pPr>
      <w:r w:rsidRPr="00B8639F">
        <w:rPr>
          <w:rFonts w:ascii="Times New Roman" w:hAnsi="Times New Roman"/>
        </w:rPr>
        <w:t>(2)  in the interests of the plan and its participants and beneficiaries, and</w:t>
      </w:r>
    </w:p>
    <w:p w:rsidR="002D77D4" w:rsidRPr="00B8639F" w:rsidRDefault="002D77D4" w:rsidP="00B8639F">
      <w:pPr>
        <w:widowControl/>
        <w:ind w:left="720"/>
        <w:rPr>
          <w:rFonts w:ascii="Times New Roman" w:hAnsi="Times New Roman"/>
        </w:rPr>
      </w:pPr>
    </w:p>
    <w:p w:rsidR="002D77D4" w:rsidRPr="00B8639F" w:rsidRDefault="002D77D4" w:rsidP="00B8639F">
      <w:pPr>
        <w:widowControl/>
        <w:ind w:left="1440"/>
        <w:rPr>
          <w:rFonts w:ascii="Times New Roman" w:hAnsi="Times New Roman"/>
        </w:rPr>
      </w:pPr>
      <w:r w:rsidRPr="00B8639F">
        <w:rPr>
          <w:rFonts w:ascii="Times New Roman" w:hAnsi="Times New Roman"/>
        </w:rPr>
        <w:t>(3)  protective of the rights of participants and beneficiaries of such plan.</w:t>
      </w:r>
    </w:p>
    <w:p w:rsidR="002D77D4" w:rsidRPr="00B8639F" w:rsidRDefault="002D77D4" w:rsidP="00B8639F">
      <w:pPr>
        <w:widowControl/>
        <w:rPr>
          <w:rFonts w:ascii="Times New Roman" w:hAnsi="Times New Roman"/>
        </w:rPr>
      </w:pPr>
    </w:p>
    <w:p w:rsidR="002D77D4" w:rsidRPr="00B8639F" w:rsidRDefault="002D77D4" w:rsidP="00B8639F">
      <w:pPr>
        <w:pStyle w:val="BodyTextIndent"/>
        <w:widowControl/>
      </w:pPr>
      <w:r w:rsidRPr="00B8639F">
        <w:t xml:space="preserve">In order to ensure that the class exemption is not abused, that the rights of the participants and beneficiaries are protected, and that the exemption’s conditions are being complied with, the Department often requires minimal information collection pertaining to the affected transactions.     </w:t>
      </w:r>
      <w:r w:rsidRPr="00B8639F">
        <w:tab/>
        <w:t xml:space="preserve">       </w:t>
      </w:r>
      <w:r w:rsidRPr="00B8639F">
        <w:tab/>
      </w:r>
    </w:p>
    <w:p w:rsidR="002D77D4" w:rsidRPr="00B8639F" w:rsidRDefault="002D77D4" w:rsidP="00B8639F">
      <w:pPr>
        <w:widowControl/>
        <w:rPr>
          <w:rFonts w:ascii="Times New Roman" w:hAnsi="Times New Roman"/>
        </w:rPr>
      </w:pPr>
    </w:p>
    <w:p w:rsidR="002D77D4" w:rsidRPr="00B8639F" w:rsidRDefault="002D77D4" w:rsidP="00B8639F">
      <w:pPr>
        <w:pStyle w:val="Quick1"/>
        <w:widowControl/>
        <w:numPr>
          <w:ilvl w:val="0"/>
          <w:numId w:val="0"/>
        </w:numPr>
        <w:tabs>
          <w:tab w:val="left" w:pos="-1440"/>
        </w:tabs>
        <w:ind w:left="720" w:hanging="720"/>
        <w:rPr>
          <w:rFonts w:ascii="Times New Roman" w:hAnsi="Times New Roman"/>
          <w:i/>
          <w:iCs/>
        </w:rPr>
      </w:pPr>
      <w:r w:rsidRPr="00B8639F">
        <w:rPr>
          <w:rFonts w:ascii="Times New Roman" w:hAnsi="Times New Roman"/>
          <w:i/>
          <w:iCs/>
        </w:rPr>
        <w:t>2.</w:t>
      </w:r>
      <w:r w:rsidRPr="00B8639F">
        <w:rPr>
          <w:rFonts w:ascii="Times New Roman" w:hAnsi="Times New Roman"/>
          <w:i/>
          <w:iCs/>
        </w:rPr>
        <w:tab/>
        <w:t>Indicate how, by whom, and for what purpose the information is to be used.  Except for a new collection, indicate the actual use the agency has made of the information received from the current collection.</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There are three basic disclosure requirements incorporated within the class exemption.  The first requirement is intended to put the plan on notice of possible fees associated with the redemption of open-end mutual fund shares.  It requires disclosure of any redemption fees in the current prospectus of the open-end mutual fund (the prospectus in effect at the time of the plan’s acquisition or disposal of such shares).  The class exemption permits a plan to pay a redemption fee on the sale, by redemption, of open-end mutual fund shares only if the fee is paid to the open-end mutual company and the above noted disclosure is made.</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The second requirement is that</w:t>
      </w:r>
      <w:r w:rsidR="00C33315" w:rsidRPr="00B8639F">
        <w:rPr>
          <w:rFonts w:ascii="Times New Roman" w:hAnsi="Times New Roman"/>
        </w:rPr>
        <w:t>,</w:t>
      </w:r>
      <w:r w:rsidRPr="00B8639F">
        <w:rPr>
          <w:rFonts w:ascii="Times New Roman" w:hAnsi="Times New Roman"/>
        </w:rPr>
        <w:t xml:space="preserve"> at the time of the purchase or sale </w:t>
      </w:r>
      <w:r w:rsidR="00C33315" w:rsidRPr="00B8639F">
        <w:rPr>
          <w:rFonts w:ascii="Times New Roman" w:hAnsi="Times New Roman"/>
        </w:rPr>
        <w:t xml:space="preserve">of </w:t>
      </w:r>
      <w:r w:rsidRPr="00B8639F">
        <w:rPr>
          <w:rFonts w:ascii="Times New Roman" w:hAnsi="Times New Roman"/>
        </w:rPr>
        <w:t>such mutual fund shares</w:t>
      </w:r>
      <w:r w:rsidR="00C33315" w:rsidRPr="00B8639F">
        <w:rPr>
          <w:rFonts w:ascii="Times New Roman" w:hAnsi="Times New Roman"/>
        </w:rPr>
        <w:t>,</w:t>
      </w:r>
      <w:r w:rsidRPr="00B8639F">
        <w:rPr>
          <w:rFonts w:ascii="Times New Roman" w:hAnsi="Times New Roman"/>
        </w:rPr>
        <w:t xml:space="preserve"> an independent fiduciary receive a copy of the current prospectus issued by the open-end mutual fund and full written disclosure of the investment advisory fees charged to or paid by the plan and the open-end mutual fund to the investment advisor.</w:t>
      </w:r>
      <w:r w:rsidR="00FA00D1" w:rsidRPr="00B8639F">
        <w:rPr>
          <w:rFonts w:ascii="Times New Roman" w:hAnsi="Times New Roman"/>
        </w:rPr>
        <w:t xml:space="preserve">  </w:t>
      </w:r>
      <w:r w:rsidR="008A4C1E" w:rsidRPr="00B8639F">
        <w:rPr>
          <w:rFonts w:ascii="Times New Roman" w:hAnsi="Times New Roman"/>
        </w:rPr>
        <w:t>Pursuant to an advisory opinion request, t</w:t>
      </w:r>
      <w:r w:rsidR="00FA00D1" w:rsidRPr="00B8639F">
        <w:rPr>
          <w:rFonts w:ascii="Times New Roman" w:hAnsi="Times New Roman"/>
        </w:rPr>
        <w:t xml:space="preserve">he Department </w:t>
      </w:r>
      <w:r w:rsidR="00A65835" w:rsidRPr="00B8639F">
        <w:rPr>
          <w:rFonts w:ascii="Times New Roman" w:hAnsi="Times New Roman"/>
        </w:rPr>
        <w:t>interprets</w:t>
      </w:r>
      <w:r w:rsidR="00804BB4" w:rsidRPr="00B8639F">
        <w:rPr>
          <w:rFonts w:ascii="Times New Roman" w:hAnsi="Times New Roman"/>
        </w:rPr>
        <w:t xml:space="preserve"> </w:t>
      </w:r>
      <w:r w:rsidR="001202ED" w:rsidRPr="00B8639F">
        <w:rPr>
          <w:rFonts w:ascii="Times New Roman" w:hAnsi="Times New Roman"/>
        </w:rPr>
        <w:t xml:space="preserve">the term “prospectus” in PTE 77-4 to include </w:t>
      </w:r>
      <w:r w:rsidR="00FA00D1" w:rsidRPr="00B8639F">
        <w:rPr>
          <w:rFonts w:ascii="Times New Roman" w:hAnsi="Times New Roman"/>
        </w:rPr>
        <w:t>a “summary prospectus” if the summary prospectus meets the requirements of the Securities and Exchange Commission’s revised disclosure provisions for mutual funds including a summary prospectus rule that were published in 2009.</w:t>
      </w:r>
      <w:r w:rsidR="00FA00D1" w:rsidRPr="00B8639F">
        <w:rPr>
          <w:rStyle w:val="FootnoteReference"/>
          <w:rFonts w:ascii="Times New Roman" w:hAnsi="Times New Roman"/>
          <w:sz w:val="22"/>
          <w:vertAlign w:val="superscript"/>
        </w:rPr>
        <w:footnoteReference w:id="1"/>
      </w:r>
      <w:r w:rsidR="00FA00D1" w:rsidRPr="00B8639F">
        <w:rPr>
          <w:rFonts w:ascii="Times New Roman" w:hAnsi="Times New Roman"/>
          <w:sz w:val="22"/>
          <w:vertAlign w:val="superscript"/>
        </w:rPr>
        <w:t xml:space="preserve"> </w:t>
      </w:r>
      <w:r w:rsidR="00FA00D1" w:rsidRPr="00B8639F">
        <w:rPr>
          <w:rFonts w:ascii="Times New Roman" w:hAnsi="Times New Roman"/>
        </w:rPr>
        <w:t xml:space="preserve"> Pursuant to the SEC’s revised disclosure provisions, mutual funds also are required to send the full prospectus to the investor upon an investor’s request</w:t>
      </w:r>
      <w:r w:rsidR="00166219" w:rsidRPr="00B8639F">
        <w:rPr>
          <w:rFonts w:ascii="Times New Roman" w:hAnsi="Times New Roman"/>
        </w:rPr>
        <w:t>,</w:t>
      </w:r>
      <w:r w:rsidR="00FA00D1" w:rsidRPr="00B8639F">
        <w:rPr>
          <w:rStyle w:val="FootnoteReference"/>
          <w:rFonts w:ascii="Times New Roman" w:hAnsi="Times New Roman"/>
          <w:vertAlign w:val="superscript"/>
        </w:rPr>
        <w:footnoteReference w:id="2"/>
      </w:r>
      <w:r w:rsidR="001202ED" w:rsidRPr="00B8639F">
        <w:rPr>
          <w:rFonts w:ascii="Times New Roman" w:hAnsi="Times New Roman"/>
        </w:rPr>
        <w:t xml:space="preserve"> </w:t>
      </w:r>
      <w:r w:rsidR="00FA00D1" w:rsidRPr="00B8639F">
        <w:rPr>
          <w:rFonts w:ascii="Times New Roman" w:hAnsi="Times New Roman"/>
        </w:rPr>
        <w:t>and to provide the full prospectus on-line at</w:t>
      </w:r>
      <w:r w:rsidR="005A271F" w:rsidRPr="00B8639F">
        <w:rPr>
          <w:rFonts w:ascii="Times New Roman" w:hAnsi="Times New Roman"/>
        </w:rPr>
        <w:t xml:space="preserve"> </w:t>
      </w:r>
      <w:r w:rsidR="00FA00D1" w:rsidRPr="00B8639F">
        <w:rPr>
          <w:rFonts w:ascii="Times New Roman" w:hAnsi="Times New Roman"/>
        </w:rPr>
        <w:t>a specified internet site.</w:t>
      </w:r>
      <w:r w:rsidR="00FA00D1" w:rsidRPr="00B8639F">
        <w:rPr>
          <w:rStyle w:val="FootnoteReference"/>
          <w:rFonts w:ascii="Times New Roman" w:hAnsi="Times New Roman"/>
          <w:vertAlign w:val="superscript"/>
        </w:rPr>
        <w:footnoteReference w:id="3"/>
      </w:r>
      <w:r w:rsidR="006A44BA" w:rsidRPr="00B8639F">
        <w:rPr>
          <w:rFonts w:ascii="Times New Roman" w:hAnsi="Times New Roman"/>
        </w:rPr>
        <w:t xml:space="preserve"> The hour and cost burden changes resulting from this revision are discussed in Items 12 and 13, below.</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 xml:space="preserve">The third requirement is that the independent fiduciary </w:t>
      </w:r>
      <w:r w:rsidR="00C93D18" w:rsidRPr="00B8639F">
        <w:rPr>
          <w:rFonts w:ascii="Times New Roman" w:hAnsi="Times New Roman"/>
        </w:rPr>
        <w:t>be</w:t>
      </w:r>
      <w:r w:rsidRPr="00B8639F">
        <w:rPr>
          <w:rFonts w:ascii="Times New Roman" w:hAnsi="Times New Roman"/>
        </w:rPr>
        <w:t xml:space="preserve"> notified of any changes in the fees and approves in writing </w:t>
      </w:r>
      <w:r w:rsidR="00C33315" w:rsidRPr="00B8639F">
        <w:rPr>
          <w:rFonts w:ascii="Times New Roman" w:hAnsi="Times New Roman"/>
        </w:rPr>
        <w:t xml:space="preserve">the plan’s purchase or sale of </w:t>
      </w:r>
      <w:r w:rsidR="00C93D18" w:rsidRPr="00B8639F">
        <w:rPr>
          <w:rFonts w:ascii="Times New Roman" w:hAnsi="Times New Roman"/>
        </w:rPr>
        <w:t xml:space="preserve">affected </w:t>
      </w:r>
      <w:r w:rsidR="00C33315" w:rsidRPr="00B8639F">
        <w:rPr>
          <w:rFonts w:ascii="Times New Roman" w:hAnsi="Times New Roman"/>
        </w:rPr>
        <w:t>mutual fund shares, or the plan’s continued possession of</w:t>
      </w:r>
      <w:r w:rsidRPr="00B8639F">
        <w:rPr>
          <w:rFonts w:ascii="Times New Roman" w:hAnsi="Times New Roman"/>
        </w:rPr>
        <w:t xml:space="preserve"> any </w:t>
      </w:r>
      <w:r w:rsidR="00C93D18" w:rsidRPr="00B8639F">
        <w:rPr>
          <w:rFonts w:ascii="Times New Roman" w:hAnsi="Times New Roman"/>
        </w:rPr>
        <w:t>such mutual fund</w:t>
      </w:r>
      <w:r w:rsidRPr="00B8639F">
        <w:rPr>
          <w:rFonts w:ascii="Times New Roman" w:hAnsi="Times New Roman"/>
        </w:rPr>
        <w:t xml:space="preserve"> shares</w:t>
      </w:r>
      <w:r w:rsidR="00C33315" w:rsidRPr="00B8639F">
        <w:rPr>
          <w:rFonts w:ascii="Times New Roman" w:hAnsi="Times New Roman"/>
        </w:rPr>
        <w:t xml:space="preserve"> that it had </w:t>
      </w:r>
      <w:r w:rsidRPr="00B8639F">
        <w:rPr>
          <w:rFonts w:ascii="Times New Roman" w:hAnsi="Times New Roman"/>
        </w:rPr>
        <w:t xml:space="preserve">acquired </w:t>
      </w:r>
      <w:r w:rsidR="00C33315" w:rsidRPr="00B8639F">
        <w:rPr>
          <w:rFonts w:ascii="Times New Roman" w:hAnsi="Times New Roman"/>
        </w:rPr>
        <w:t>before the fee changes</w:t>
      </w:r>
      <w:r w:rsidRPr="00B8639F">
        <w:rPr>
          <w:rFonts w:ascii="Times New Roman" w:hAnsi="Times New Roman"/>
        </w:rPr>
        <w:t>.</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lastRenderedPageBreak/>
        <w:t xml:space="preserve">Without the class exemption, an open-end mutual fund could not sell shares to or purchase shares from a plan when the fiduciary with respect to the plan is also the investment advisor for the mutual fund.  Such purchases and sales may serve the interest of both the plans and the industry, provided that procedures designed to protect the interests of participants and beneficiaries from potential abuse are built into the transactions.  Therefore, the exemption requires disclosure of any redemption fees in the current prospectus and approval of the advisory fees by a second fiduciary so that the plan fiduciary can make informed judgments with respect to the prudence of the transactions.     </w:t>
      </w:r>
    </w:p>
    <w:p w:rsidR="00FA00D1" w:rsidRPr="00B8639F" w:rsidRDefault="00FA00D1" w:rsidP="00B8639F">
      <w:pPr>
        <w:widowControl/>
        <w:ind w:left="720"/>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3.</w:t>
      </w:r>
      <w:r w:rsidRPr="00B8639F">
        <w:rPr>
          <w:rFonts w:ascii="Times New Roman" w:hAnsi="Times New Roman"/>
          <w:i/>
        </w:rPr>
        <w:tab/>
      </w:r>
      <w:r w:rsidRPr="00B8639F">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2D77D4" w:rsidRPr="00B8639F" w:rsidRDefault="002D77D4" w:rsidP="00B8639F">
      <w:pPr>
        <w:widowControl/>
        <w:rPr>
          <w:rFonts w:ascii="Times New Roman" w:hAnsi="Times New Roman"/>
        </w:rPr>
      </w:pPr>
    </w:p>
    <w:p w:rsidR="002D77D4" w:rsidRPr="00B8639F" w:rsidRDefault="002D77D4" w:rsidP="00B8639F">
      <w:pPr>
        <w:pStyle w:val="BodyTextIndent"/>
        <w:widowControl/>
        <w:tabs>
          <w:tab w:val="clear" w:pos="-1440"/>
        </w:tabs>
      </w:pPr>
      <w:r w:rsidRPr="00B8639F">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2D77D4" w:rsidRPr="00B8639F" w:rsidRDefault="002D77D4" w:rsidP="00B8639F">
      <w:pPr>
        <w:pStyle w:val="BodyTextIndent"/>
        <w:widowControl/>
        <w:tabs>
          <w:tab w:val="clear" w:pos="-1440"/>
        </w:tabs>
      </w:pPr>
    </w:p>
    <w:p w:rsidR="002D77D4" w:rsidRPr="00B8639F" w:rsidRDefault="002D77D4" w:rsidP="00B8639F">
      <w:pPr>
        <w:pStyle w:val="BodyTextIndent"/>
        <w:widowControl/>
        <w:tabs>
          <w:tab w:val="clear" w:pos="-1440"/>
        </w:tabs>
      </w:pPr>
      <w:r w:rsidRPr="00B8639F">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2D77D4" w:rsidRPr="00B8639F" w:rsidRDefault="002D77D4" w:rsidP="00B8639F">
      <w:pPr>
        <w:widowControl/>
        <w:ind w:left="720"/>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rPr>
      </w:pPr>
      <w:r w:rsidRPr="00B8639F">
        <w:rPr>
          <w:rFonts w:ascii="Times New Roman" w:hAnsi="Times New Roman"/>
          <w:i/>
        </w:rPr>
        <w:t>4.</w:t>
      </w:r>
      <w:r w:rsidRPr="00B8639F">
        <w:rPr>
          <w:rFonts w:ascii="Times New Roman" w:hAnsi="Times New Roman"/>
          <w:i/>
          <w:iCs/>
        </w:rPr>
        <w:tab/>
        <w:t xml:space="preserve">Describe efforts to identify duplication.  Show specifically why any similar information already available cannot be used or modified for use for the purposes described in Item 2 above.  </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The Department of Labor and the Department of the Treasury collectively issued this class exemption in order to eliminate duplicative disclosure requirements.</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5.</w:t>
      </w:r>
      <w:r w:rsidRPr="00B8639F">
        <w:rPr>
          <w:rFonts w:ascii="Times New Roman" w:hAnsi="Times New Roman"/>
          <w:i/>
        </w:rPr>
        <w:tab/>
      </w:r>
      <w:r w:rsidRPr="00B8639F">
        <w:rPr>
          <w:rFonts w:ascii="Times New Roman" w:hAnsi="Times New Roman"/>
          <w:i/>
          <w:iCs/>
        </w:rPr>
        <w:t>If the collection of information impacts small businesses or other small entities (Item 5 of OMB Form 83-I), describe any methods used to minimize burden.</w:t>
      </w:r>
    </w:p>
    <w:p w:rsidR="002D77D4" w:rsidRPr="00B8639F" w:rsidRDefault="002D77D4" w:rsidP="00B8639F">
      <w:pPr>
        <w:widowControl/>
        <w:ind w:firstLine="720"/>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 xml:space="preserve">The disclosure requirements included in the class exemption ensure that the transactions involving the open-end mutual </w:t>
      </w:r>
      <w:r w:rsidR="00166219" w:rsidRPr="00B8639F">
        <w:rPr>
          <w:rFonts w:ascii="Times New Roman" w:hAnsi="Times New Roman"/>
        </w:rPr>
        <w:t xml:space="preserve">fund </w:t>
      </w:r>
      <w:r w:rsidR="00C93D18" w:rsidRPr="00B8639F">
        <w:rPr>
          <w:rFonts w:ascii="Times New Roman" w:hAnsi="Times New Roman"/>
        </w:rPr>
        <w:t>allow</w:t>
      </w:r>
      <w:r w:rsidRPr="00B8639F">
        <w:rPr>
          <w:rFonts w:ascii="Times New Roman" w:hAnsi="Times New Roman"/>
        </w:rPr>
        <w:t xml:space="preserve"> existing business practices to continue.  Because of the nature of the potential conflict of interest for individuals who manage these open-end mutual funds, </w:t>
      </w:r>
      <w:r w:rsidR="00C93D18" w:rsidRPr="00B8639F">
        <w:rPr>
          <w:rFonts w:ascii="Times New Roman" w:hAnsi="Times New Roman"/>
        </w:rPr>
        <w:t>the disclosure requirements make no distin</w:t>
      </w:r>
      <w:r w:rsidRPr="00B8639F">
        <w:rPr>
          <w:rFonts w:ascii="Times New Roman" w:hAnsi="Times New Roman"/>
        </w:rPr>
        <w:t xml:space="preserve">ction </w:t>
      </w:r>
      <w:r w:rsidR="00C93D18" w:rsidRPr="00B8639F">
        <w:rPr>
          <w:rFonts w:ascii="Times New Roman" w:hAnsi="Times New Roman"/>
        </w:rPr>
        <w:t>between</w:t>
      </w:r>
      <w:r w:rsidRPr="00B8639F">
        <w:rPr>
          <w:rFonts w:ascii="Times New Roman" w:hAnsi="Times New Roman"/>
        </w:rPr>
        <w:t xml:space="preserve"> small and large mutual fund companies.  In addition, mutual fund companies are managed by very large fund complexes which are not small entities.  </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rPr>
      </w:pPr>
      <w:r w:rsidRPr="00B8639F">
        <w:rPr>
          <w:rFonts w:ascii="Times New Roman" w:hAnsi="Times New Roman"/>
          <w:i/>
        </w:rPr>
        <w:t>6.</w:t>
      </w:r>
      <w:r w:rsidRPr="00B8639F">
        <w:rPr>
          <w:rFonts w:ascii="Times New Roman" w:hAnsi="Times New Roman"/>
          <w:i/>
        </w:rPr>
        <w:tab/>
      </w:r>
      <w:r w:rsidRPr="00B8639F">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The disclosure requirements of the class exemption are only mandatory if open-end mutual funds sell their shares to or purchase their shares from plans when the investment advisor for the plan is also the investment advisor for the open-end mutual fund.  The frequency is dependent on the occurrence of such transactions, not on a predetermined time period.</w:t>
      </w:r>
    </w:p>
    <w:p w:rsidR="002D77D4" w:rsidRPr="00B8639F" w:rsidRDefault="002D77D4" w:rsidP="00B8639F">
      <w:pPr>
        <w:widowControl/>
        <w:rPr>
          <w:rFonts w:ascii="Times New Roman" w:hAnsi="Times New Roman"/>
        </w:rPr>
      </w:pPr>
    </w:p>
    <w:p w:rsidR="006B4D48" w:rsidRPr="00B8639F" w:rsidRDefault="001202ED" w:rsidP="00B8639F">
      <w:pPr>
        <w:widowControl/>
        <w:ind w:left="720"/>
        <w:rPr>
          <w:rFonts w:ascii="Times New Roman" w:hAnsi="Times New Roman"/>
        </w:rPr>
      </w:pPr>
      <w:r w:rsidRPr="00B8639F">
        <w:rPr>
          <w:rFonts w:ascii="Times New Roman" w:hAnsi="Times New Roman"/>
        </w:rPr>
        <w:t xml:space="preserve">Pursuant to </w:t>
      </w:r>
      <w:r w:rsidR="006B4D48" w:rsidRPr="00B8639F">
        <w:rPr>
          <w:rFonts w:ascii="Times New Roman" w:hAnsi="Times New Roman"/>
        </w:rPr>
        <w:t>an Advisory Opinion request</w:t>
      </w:r>
      <w:r w:rsidRPr="00B8639F">
        <w:rPr>
          <w:rFonts w:ascii="Times New Roman" w:hAnsi="Times New Roman"/>
        </w:rPr>
        <w:t xml:space="preserve"> from </w:t>
      </w:r>
      <w:r w:rsidR="006B4D48" w:rsidRPr="00B8639F">
        <w:rPr>
          <w:rFonts w:ascii="Times New Roman" w:hAnsi="Times New Roman"/>
        </w:rPr>
        <w:t xml:space="preserve">Steptoe and Johnson LLP, </w:t>
      </w:r>
      <w:r w:rsidR="00804BB4" w:rsidRPr="00B8639F">
        <w:rPr>
          <w:rFonts w:ascii="Times New Roman" w:hAnsi="Times New Roman"/>
        </w:rPr>
        <w:t>th</w:t>
      </w:r>
      <w:r w:rsidRPr="00B8639F">
        <w:rPr>
          <w:rFonts w:ascii="Times New Roman" w:hAnsi="Times New Roman"/>
        </w:rPr>
        <w:t>e</w:t>
      </w:r>
      <w:r w:rsidR="00804BB4" w:rsidRPr="00B8639F">
        <w:rPr>
          <w:rFonts w:ascii="Times New Roman" w:hAnsi="Times New Roman"/>
        </w:rPr>
        <w:t xml:space="preserve"> </w:t>
      </w:r>
      <w:r w:rsidRPr="00B8639F">
        <w:rPr>
          <w:rFonts w:ascii="Times New Roman" w:hAnsi="Times New Roman"/>
        </w:rPr>
        <w:t xml:space="preserve">Department is </w:t>
      </w:r>
      <w:r w:rsidR="00804BB4" w:rsidRPr="00B8639F">
        <w:rPr>
          <w:rFonts w:ascii="Times New Roman" w:hAnsi="Times New Roman"/>
        </w:rPr>
        <w:t>interpret</w:t>
      </w:r>
      <w:r w:rsidR="00F46651">
        <w:rPr>
          <w:rFonts w:ascii="Times New Roman" w:hAnsi="Times New Roman"/>
        </w:rPr>
        <w:t>ing</w:t>
      </w:r>
      <w:r w:rsidR="00804BB4" w:rsidRPr="00B8639F">
        <w:rPr>
          <w:rFonts w:ascii="Times New Roman" w:hAnsi="Times New Roman"/>
        </w:rPr>
        <w:t xml:space="preserve"> the term “prospectus” in PTE 77-4 to include </w:t>
      </w:r>
      <w:r w:rsidR="00FA00D1" w:rsidRPr="00B8639F">
        <w:rPr>
          <w:rFonts w:ascii="Times New Roman" w:hAnsi="Times New Roman"/>
        </w:rPr>
        <w:t xml:space="preserve">a “summary prospectus” if certain conditions </w:t>
      </w:r>
      <w:r w:rsidR="006A44BA" w:rsidRPr="00B8639F">
        <w:rPr>
          <w:rFonts w:ascii="Times New Roman" w:hAnsi="Times New Roman"/>
        </w:rPr>
        <w:t xml:space="preserve">are met </w:t>
      </w:r>
      <w:r w:rsidR="00FA00D1" w:rsidRPr="00B8639F">
        <w:rPr>
          <w:rFonts w:ascii="Times New Roman" w:hAnsi="Times New Roman"/>
        </w:rPr>
        <w:t xml:space="preserve">that are discussed in Item </w:t>
      </w:r>
      <w:r w:rsidR="006A44BA" w:rsidRPr="00B8639F">
        <w:rPr>
          <w:rFonts w:ascii="Times New Roman" w:hAnsi="Times New Roman"/>
        </w:rPr>
        <w:t>2</w:t>
      </w:r>
      <w:r w:rsidR="00FA00D1" w:rsidRPr="00B8639F">
        <w:rPr>
          <w:rFonts w:ascii="Times New Roman" w:hAnsi="Times New Roman"/>
        </w:rPr>
        <w:t>, above.</w:t>
      </w:r>
    </w:p>
    <w:p w:rsidR="002D77D4" w:rsidRPr="00B8639F" w:rsidRDefault="002D77D4" w:rsidP="00B8639F">
      <w:pPr>
        <w:widowControl/>
        <w:ind w:left="720"/>
        <w:rPr>
          <w:rFonts w:ascii="Times New Roman" w:hAnsi="Times New Roman"/>
        </w:rPr>
      </w:pPr>
      <w:r w:rsidRPr="00B8639F">
        <w:rPr>
          <w:rFonts w:ascii="Times New Roman" w:hAnsi="Times New Roman"/>
        </w:rPr>
        <w:t xml:space="preserve"> </w:t>
      </w:r>
      <w:r w:rsidRPr="00B8639F">
        <w:rPr>
          <w:rFonts w:ascii="Times New Roman" w:hAnsi="Times New Roman"/>
          <w:i/>
        </w:rPr>
        <w:t xml:space="preserve">  </w:t>
      </w:r>
    </w:p>
    <w:p w:rsidR="002D77D4" w:rsidRPr="00B8639F" w:rsidRDefault="002D77D4" w:rsidP="00B8639F">
      <w:pPr>
        <w:pStyle w:val="Quick1"/>
        <w:widowControl/>
        <w:numPr>
          <w:ilvl w:val="0"/>
          <w:numId w:val="2"/>
        </w:numPr>
        <w:tabs>
          <w:tab w:val="left" w:pos="-1440"/>
          <w:tab w:val="num" w:pos="720"/>
        </w:tabs>
        <w:rPr>
          <w:rFonts w:ascii="Times New Roman" w:hAnsi="Times New Roman"/>
          <w:i/>
        </w:rPr>
      </w:pPr>
      <w:r w:rsidRPr="00B8639F">
        <w:rPr>
          <w:rFonts w:ascii="Times New Roman" w:hAnsi="Times New Roman"/>
          <w:i/>
        </w:rPr>
        <w:t>Explain any special circumstances that would cause an information collection to be conducted in a manner:</w:t>
      </w:r>
    </w:p>
    <w:p w:rsidR="002D77D4" w:rsidRPr="00B8639F" w:rsidRDefault="002D77D4" w:rsidP="00B8639F">
      <w:pPr>
        <w:widowControl/>
        <w:rPr>
          <w:rFonts w:ascii="Times New Roman" w:hAnsi="Times New Roman"/>
          <w:i/>
        </w:rPr>
      </w:pPr>
    </w:p>
    <w:p w:rsidR="002D77D4" w:rsidRPr="00B8639F" w:rsidRDefault="002D77D4" w:rsidP="00B8639F">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report information to the agency more often than quarterly;</w:t>
      </w:r>
    </w:p>
    <w:p w:rsidR="002D77D4" w:rsidRPr="00B8639F" w:rsidRDefault="002D77D4" w:rsidP="00B8639F">
      <w:pPr>
        <w:widowControl/>
        <w:rPr>
          <w:rFonts w:ascii="Times New Roman" w:hAnsi="Times New Roman"/>
          <w:i/>
        </w:rPr>
      </w:pPr>
    </w:p>
    <w:p w:rsidR="002D77D4" w:rsidRPr="00B8639F" w:rsidRDefault="002D77D4" w:rsidP="00B8639F">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prepare a written response to a collection of information in fewer than 30 days after receipt of it;</w:t>
      </w:r>
    </w:p>
    <w:p w:rsidR="002D77D4" w:rsidRPr="00B8639F" w:rsidRDefault="002D77D4" w:rsidP="00B8639F">
      <w:pPr>
        <w:widowControl/>
        <w:rPr>
          <w:rFonts w:ascii="Times New Roman" w:hAnsi="Times New Roman"/>
          <w:i/>
        </w:rPr>
      </w:pPr>
    </w:p>
    <w:p w:rsidR="002D77D4" w:rsidRPr="00B8639F" w:rsidRDefault="002D77D4" w:rsidP="00B8639F">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submit more than an original and two copies of any document;</w:t>
      </w:r>
    </w:p>
    <w:p w:rsidR="002D77D4" w:rsidRPr="00B8639F" w:rsidRDefault="002D77D4" w:rsidP="00B8639F">
      <w:pPr>
        <w:widowControl/>
        <w:rPr>
          <w:rFonts w:ascii="Times New Roman" w:hAnsi="Times New Roman"/>
          <w:i/>
        </w:rPr>
      </w:pPr>
    </w:p>
    <w:p w:rsidR="002D77D4" w:rsidRPr="00B8639F" w:rsidRDefault="002D77D4" w:rsidP="00B8639F">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retain records, other than health, medical, government contract, grant-in-aid, or tax records for more than three years;</w:t>
      </w:r>
    </w:p>
    <w:p w:rsidR="002D77D4" w:rsidRPr="00B8639F" w:rsidRDefault="002D77D4" w:rsidP="00B8639F">
      <w:pPr>
        <w:widowControl/>
        <w:rPr>
          <w:rFonts w:ascii="Times New Roman" w:hAnsi="Times New Roman"/>
          <w:i/>
        </w:rPr>
      </w:pPr>
    </w:p>
    <w:p w:rsidR="002D77D4" w:rsidRPr="00B8639F" w:rsidRDefault="002D77D4" w:rsidP="00B8639F">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r>
      <w:proofErr w:type="gramStart"/>
      <w:r w:rsidRPr="00B8639F">
        <w:rPr>
          <w:rFonts w:ascii="Times New Roman" w:hAnsi="Times New Roman"/>
          <w:i/>
        </w:rPr>
        <w:t>in</w:t>
      </w:r>
      <w:proofErr w:type="gramEnd"/>
      <w:r w:rsidRPr="00B8639F">
        <w:rPr>
          <w:rFonts w:ascii="Times New Roman" w:hAnsi="Times New Roman"/>
          <w:i/>
        </w:rPr>
        <w:t xml:space="preserve"> connection with a statistical survey, that is not designed to produce valid and reliable results that can be generalized to the universe of study;</w:t>
      </w:r>
    </w:p>
    <w:p w:rsidR="00D83AEF" w:rsidRPr="00B8639F" w:rsidRDefault="00D83AEF" w:rsidP="00B8639F">
      <w:pPr>
        <w:widowControl/>
        <w:tabs>
          <w:tab w:val="left" w:pos="-1440"/>
        </w:tabs>
        <w:ind w:left="1440" w:hanging="720"/>
        <w:rPr>
          <w:rFonts w:ascii="Times New Roman" w:hAnsi="Times New Roman"/>
          <w:i/>
        </w:rPr>
      </w:pPr>
    </w:p>
    <w:p w:rsidR="002D77D4" w:rsidRPr="00B8639F" w:rsidRDefault="002D77D4" w:rsidP="00B8639F">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the use of a statistical data classification that has not been reviewed and approved by OMB;</w:t>
      </w:r>
    </w:p>
    <w:p w:rsidR="002D77D4" w:rsidRPr="00B8639F" w:rsidRDefault="002D77D4" w:rsidP="00B8639F">
      <w:pPr>
        <w:widowControl/>
        <w:rPr>
          <w:rFonts w:ascii="Times New Roman" w:hAnsi="Times New Roman"/>
          <w:i/>
        </w:rPr>
      </w:pPr>
    </w:p>
    <w:p w:rsidR="002D77D4" w:rsidRPr="00B8639F" w:rsidRDefault="002D77D4" w:rsidP="00B8639F">
      <w:pPr>
        <w:widowControl/>
        <w:tabs>
          <w:tab w:val="left" w:pos="-1440"/>
        </w:tabs>
        <w:ind w:left="1440" w:hanging="720"/>
        <w:rPr>
          <w:rFonts w:ascii="Times New Roman" w:hAnsi="Times New Roman"/>
          <w:i/>
        </w:rPr>
      </w:pPr>
      <w:r w:rsidRPr="00B8639F">
        <w:rPr>
          <w:rFonts w:ascii="Times New Roman" w:hAnsi="Times New Roman"/>
          <w:i/>
        </w:rPr>
        <w:lastRenderedPageBreak/>
        <w:t>•</w:t>
      </w:r>
      <w:r w:rsidRPr="00B8639F">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D77D4" w:rsidRPr="00B8639F" w:rsidRDefault="002D77D4" w:rsidP="00B8639F">
      <w:pPr>
        <w:widowControl/>
        <w:rPr>
          <w:rFonts w:ascii="Times New Roman" w:hAnsi="Times New Roman"/>
          <w:i/>
        </w:rPr>
      </w:pPr>
    </w:p>
    <w:p w:rsidR="002D77D4" w:rsidRPr="00B8639F" w:rsidRDefault="002D77D4" w:rsidP="00B8639F">
      <w:pPr>
        <w:pStyle w:val="Quick1"/>
        <w:widowControl/>
        <w:numPr>
          <w:ilvl w:val="0"/>
          <w:numId w:val="0"/>
        </w:numPr>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There are no special circumstances that require the collection to be conducted in a manner inconsistent with the above.</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8.</w:t>
      </w:r>
      <w:r w:rsidRPr="00B8639F">
        <w:rPr>
          <w:rFonts w:ascii="Times New Roman" w:hAnsi="Times New Roman"/>
          <w:i/>
        </w:rPr>
        <w:tab/>
      </w:r>
      <w:r w:rsidRPr="00B8639F">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77D4" w:rsidRPr="00B8639F" w:rsidRDefault="002D77D4" w:rsidP="00B8639F">
      <w:pPr>
        <w:widowControl/>
        <w:rPr>
          <w:rFonts w:ascii="Times New Roman" w:hAnsi="Times New Roman"/>
          <w:i/>
          <w:iCs/>
        </w:rPr>
      </w:pPr>
    </w:p>
    <w:p w:rsidR="002D77D4" w:rsidRPr="00B8639F" w:rsidRDefault="002D77D4" w:rsidP="00B8639F">
      <w:pPr>
        <w:widowControl/>
        <w:ind w:left="720"/>
        <w:rPr>
          <w:rFonts w:ascii="Times New Roman" w:hAnsi="Times New Roman"/>
          <w:i/>
          <w:iCs/>
        </w:rPr>
      </w:pPr>
      <w:r w:rsidRPr="00B8639F">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77D4" w:rsidRPr="00B8639F" w:rsidRDefault="002D77D4" w:rsidP="00B8639F">
      <w:pPr>
        <w:widowControl/>
        <w:rPr>
          <w:rFonts w:ascii="Times New Roman" w:hAnsi="Times New Roman"/>
          <w:i/>
          <w:iCs/>
        </w:rPr>
      </w:pPr>
    </w:p>
    <w:p w:rsidR="002D77D4" w:rsidRPr="00B8639F" w:rsidRDefault="002D77D4" w:rsidP="00B8639F">
      <w:pPr>
        <w:widowControl/>
        <w:ind w:left="720"/>
        <w:rPr>
          <w:rFonts w:ascii="Times New Roman" w:hAnsi="Times New Roman"/>
          <w:i/>
          <w:iCs/>
        </w:rPr>
      </w:pPr>
      <w:r w:rsidRPr="00B8639F">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D77D4" w:rsidRPr="00B8639F" w:rsidRDefault="002D77D4" w:rsidP="00B8639F">
      <w:pPr>
        <w:widowControl/>
        <w:rPr>
          <w:rFonts w:ascii="Times New Roman" w:hAnsi="Times New Roman"/>
        </w:rPr>
      </w:pPr>
    </w:p>
    <w:p w:rsidR="002D77D4" w:rsidRPr="00B8639F" w:rsidRDefault="000702A2" w:rsidP="00B8639F">
      <w:pPr>
        <w:widowControl/>
        <w:ind w:left="720"/>
        <w:rPr>
          <w:rFonts w:ascii="Times New Roman" w:hAnsi="Times New Roman"/>
        </w:rPr>
      </w:pPr>
      <w:r w:rsidRPr="00B8639F">
        <w:rPr>
          <w:rFonts w:ascii="Times New Roman" w:hAnsi="Times New Roman"/>
        </w:rPr>
        <w:t>T</w:t>
      </w:r>
      <w:r w:rsidR="002D77D4" w:rsidRPr="00B8639F">
        <w:rPr>
          <w:rFonts w:ascii="Times New Roman" w:hAnsi="Times New Roman"/>
        </w:rPr>
        <w:t>he Department’s notice</w:t>
      </w:r>
      <w:r w:rsidR="00166219" w:rsidRPr="00B8639F">
        <w:rPr>
          <w:rFonts w:ascii="Times New Roman" w:hAnsi="Times New Roman"/>
        </w:rPr>
        <w:t>,</w:t>
      </w:r>
      <w:r w:rsidR="002D77D4" w:rsidRPr="00B8639F">
        <w:rPr>
          <w:rFonts w:ascii="Times New Roman" w:hAnsi="Times New Roman"/>
        </w:rPr>
        <w:t xml:space="preserve"> required by 5 CFR 1320.8(d), </w:t>
      </w:r>
      <w:r w:rsidRPr="00B8639F">
        <w:rPr>
          <w:rFonts w:ascii="Times New Roman" w:hAnsi="Times New Roman"/>
        </w:rPr>
        <w:t>which provided the public with 60 days to comment on</w:t>
      </w:r>
      <w:r w:rsidR="002D77D4" w:rsidRPr="00B8639F">
        <w:rPr>
          <w:rFonts w:ascii="Times New Roman" w:hAnsi="Times New Roman"/>
        </w:rPr>
        <w:t xml:space="preserve"> the information collection</w:t>
      </w:r>
      <w:r w:rsidRPr="00B8639F">
        <w:rPr>
          <w:rFonts w:ascii="Times New Roman" w:hAnsi="Times New Roman"/>
        </w:rPr>
        <w:t xml:space="preserve">, was </w:t>
      </w:r>
      <w:r w:rsidR="002D77D4" w:rsidRPr="00B8639F">
        <w:rPr>
          <w:rFonts w:ascii="Times New Roman" w:hAnsi="Times New Roman"/>
        </w:rPr>
        <w:t xml:space="preserve">published in the </w:t>
      </w:r>
      <w:r w:rsidR="002D77D4" w:rsidRPr="00B8639F">
        <w:rPr>
          <w:rFonts w:ascii="Times New Roman" w:hAnsi="Times New Roman"/>
          <w:u w:val="single"/>
        </w:rPr>
        <w:t>Federal Register</w:t>
      </w:r>
      <w:r w:rsidR="002D77D4" w:rsidRPr="00B8639F">
        <w:rPr>
          <w:rFonts w:ascii="Times New Roman" w:hAnsi="Times New Roman"/>
        </w:rPr>
        <w:t xml:space="preserve"> </w:t>
      </w:r>
      <w:r w:rsidRPr="00B8639F">
        <w:rPr>
          <w:rFonts w:ascii="Times New Roman" w:hAnsi="Times New Roman"/>
        </w:rPr>
        <w:t>on</w:t>
      </w:r>
      <w:r w:rsidR="00804BB4" w:rsidRPr="00B8639F">
        <w:rPr>
          <w:rFonts w:ascii="Times New Roman" w:hAnsi="Times New Roman"/>
        </w:rPr>
        <w:t xml:space="preserve"> </w:t>
      </w:r>
      <w:r w:rsidR="006C36FB" w:rsidRPr="00B8639F">
        <w:rPr>
          <w:rFonts w:ascii="Times New Roman" w:hAnsi="Times New Roman"/>
        </w:rPr>
        <w:t>February 14, 2013 (78 FR 10638)</w:t>
      </w:r>
      <w:r w:rsidR="002D77D4" w:rsidRPr="00B8639F">
        <w:rPr>
          <w:rFonts w:ascii="Times New Roman" w:hAnsi="Times New Roman"/>
        </w:rPr>
        <w:t xml:space="preserve">.  </w:t>
      </w:r>
      <w:r w:rsidR="00A65835" w:rsidRPr="00B8639F">
        <w:rPr>
          <w:rFonts w:ascii="Times New Roman" w:hAnsi="Times New Roman"/>
        </w:rPr>
        <w:t>No comments were received.</w:t>
      </w:r>
    </w:p>
    <w:p w:rsidR="00C93D18" w:rsidRPr="00B8639F" w:rsidRDefault="00C93D18" w:rsidP="00B8639F">
      <w:pPr>
        <w:widowControl/>
        <w:ind w:left="720"/>
        <w:rPr>
          <w:rFonts w:ascii="Times New Roman" w:hAnsi="Times New Roman"/>
        </w:rPr>
      </w:pPr>
    </w:p>
    <w:p w:rsidR="002D77D4" w:rsidRPr="00B8639F" w:rsidRDefault="00C93D18" w:rsidP="00B8639F">
      <w:pPr>
        <w:widowControl/>
        <w:ind w:left="720" w:hanging="720"/>
        <w:rPr>
          <w:rFonts w:ascii="Times New Roman" w:hAnsi="Times New Roman"/>
          <w:i/>
        </w:rPr>
      </w:pPr>
      <w:r w:rsidRPr="00B8639F">
        <w:rPr>
          <w:rFonts w:ascii="Times New Roman" w:hAnsi="Times New Roman"/>
          <w:i/>
        </w:rPr>
        <w:t>9.</w:t>
      </w:r>
      <w:r w:rsidRPr="00B8639F">
        <w:rPr>
          <w:rFonts w:ascii="Times New Roman" w:hAnsi="Times New Roman"/>
          <w:i/>
        </w:rPr>
        <w:tab/>
      </w:r>
      <w:r w:rsidR="002D77D4" w:rsidRPr="00B8639F">
        <w:rPr>
          <w:rFonts w:ascii="Times New Roman" w:hAnsi="Times New Roman"/>
          <w:i/>
        </w:rPr>
        <w:t>Explain any decision to provide any payment or gift to respondents, other than remuneration of contractors or grantees.</w:t>
      </w:r>
    </w:p>
    <w:p w:rsidR="002D77D4" w:rsidRPr="00B8639F" w:rsidRDefault="002D77D4" w:rsidP="00B8639F">
      <w:pPr>
        <w:widowControl/>
        <w:rPr>
          <w:rFonts w:ascii="Times New Roman" w:hAnsi="Times New Roman"/>
        </w:rPr>
      </w:pPr>
    </w:p>
    <w:p w:rsidR="002D77D4" w:rsidRPr="00B8639F" w:rsidRDefault="002D77D4" w:rsidP="00B8639F">
      <w:pPr>
        <w:widowControl/>
        <w:ind w:firstLine="720"/>
        <w:rPr>
          <w:rFonts w:ascii="Times New Roman" w:hAnsi="Times New Roman"/>
        </w:rPr>
      </w:pPr>
      <w:r w:rsidRPr="00B8639F">
        <w:rPr>
          <w:rFonts w:ascii="Times New Roman" w:hAnsi="Times New Roman"/>
        </w:rPr>
        <w:t>No payments or gifts are provided to respondents.</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10.</w:t>
      </w:r>
      <w:r w:rsidRPr="00B8639F">
        <w:rPr>
          <w:rFonts w:ascii="Times New Roman" w:hAnsi="Times New Roman"/>
          <w:i/>
        </w:rPr>
        <w:tab/>
      </w:r>
      <w:r w:rsidRPr="00B8639F">
        <w:rPr>
          <w:rFonts w:ascii="Times New Roman" w:hAnsi="Times New Roman"/>
          <w:i/>
          <w:iCs/>
        </w:rPr>
        <w:t>Describe any assurance of confidentiality provided to respondents and the basis for the assurance in statute, regulation, or agency policy.</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lastRenderedPageBreak/>
        <w:t xml:space="preserve">There is no promise of confidentiality of the information.  The class exemption requires that the information concerning the possible payment of redemption fees be included in the open-end mutual fund’s prospectus and, therefore, available to the plan and interested parties. </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11.</w:t>
      </w:r>
      <w:r w:rsidRPr="00B8639F">
        <w:rPr>
          <w:rFonts w:ascii="Times New Roman" w:hAnsi="Times New Roman"/>
          <w:i/>
        </w:rPr>
        <w:tab/>
      </w:r>
      <w:r w:rsidRPr="00B8639F">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77D4" w:rsidRPr="00B8639F" w:rsidRDefault="002D77D4" w:rsidP="00B8639F">
      <w:pPr>
        <w:widowControl/>
        <w:rPr>
          <w:rFonts w:ascii="Times New Roman" w:hAnsi="Times New Roman"/>
          <w:i/>
          <w:iCs/>
        </w:rPr>
      </w:pPr>
    </w:p>
    <w:p w:rsidR="002D77D4" w:rsidRPr="00B8639F" w:rsidRDefault="002D77D4" w:rsidP="00B8639F">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12.</w:t>
      </w:r>
      <w:r w:rsidRPr="00B8639F">
        <w:rPr>
          <w:rFonts w:ascii="Times New Roman" w:hAnsi="Times New Roman"/>
          <w:i/>
        </w:rPr>
        <w:tab/>
      </w:r>
      <w:r w:rsidRPr="00B8639F">
        <w:rPr>
          <w:rFonts w:ascii="Times New Roman" w:hAnsi="Times New Roman"/>
          <w:i/>
          <w:iCs/>
        </w:rPr>
        <w:t>Provide estimates of the hour burden of the collection of information.  The statement should:</w:t>
      </w:r>
    </w:p>
    <w:p w:rsidR="002D77D4" w:rsidRPr="00B8639F" w:rsidRDefault="002D77D4" w:rsidP="00B8639F">
      <w:pPr>
        <w:widowControl/>
        <w:rPr>
          <w:rFonts w:ascii="Times New Roman" w:hAnsi="Times New Roman"/>
          <w:i/>
          <w:iCs/>
        </w:rPr>
      </w:pPr>
    </w:p>
    <w:p w:rsidR="002D77D4" w:rsidRPr="00B8639F" w:rsidRDefault="002D77D4" w:rsidP="00B8639F">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77D4" w:rsidRPr="00B8639F" w:rsidRDefault="002D77D4" w:rsidP="00B8639F">
      <w:pPr>
        <w:widowControl/>
        <w:rPr>
          <w:rFonts w:ascii="Times New Roman" w:hAnsi="Times New Roman"/>
          <w:i/>
          <w:iCs/>
        </w:rPr>
      </w:pPr>
    </w:p>
    <w:p w:rsidR="002D77D4" w:rsidRPr="00B8639F" w:rsidRDefault="002D77D4" w:rsidP="00B8639F">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If this request for approval covers more than one form, provide separate hour burden estimates for each form and aggregate the hour burdens in Item 13 of OMB Form 83-I.</w:t>
      </w:r>
    </w:p>
    <w:p w:rsidR="002D77D4" w:rsidRPr="00B8639F" w:rsidRDefault="002D77D4" w:rsidP="00B8639F">
      <w:pPr>
        <w:widowControl/>
        <w:rPr>
          <w:rFonts w:ascii="Times New Roman" w:hAnsi="Times New Roman"/>
          <w:i/>
          <w:iCs/>
        </w:rPr>
      </w:pPr>
    </w:p>
    <w:p w:rsidR="002D77D4" w:rsidRPr="00B8639F" w:rsidRDefault="002D77D4" w:rsidP="00B8639F">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D77D4" w:rsidRPr="00B8639F" w:rsidRDefault="002D77D4" w:rsidP="00B8639F">
      <w:pPr>
        <w:widowControl/>
        <w:rPr>
          <w:rFonts w:ascii="Times New Roman" w:hAnsi="Times New Roman"/>
        </w:rPr>
      </w:pPr>
      <w:r w:rsidRPr="00B8639F">
        <w:rPr>
          <w:rFonts w:ascii="Times New Roman" w:hAnsi="Times New Roman"/>
          <w:i/>
          <w:iCs/>
        </w:rPr>
        <w:t xml:space="preserve">                                                                                                          </w:t>
      </w:r>
    </w:p>
    <w:p w:rsidR="002D77D4" w:rsidRPr="00B8639F" w:rsidRDefault="002D77D4" w:rsidP="00B8639F">
      <w:pPr>
        <w:widowControl/>
        <w:ind w:left="720"/>
        <w:rPr>
          <w:rFonts w:ascii="Times New Roman" w:hAnsi="Times New Roman"/>
        </w:rPr>
      </w:pPr>
      <w:r w:rsidRPr="00B8639F">
        <w:rPr>
          <w:rFonts w:ascii="Times New Roman" w:hAnsi="Times New Roman"/>
        </w:rPr>
        <w:t xml:space="preserve">The class exemption has three basic disclosure requirements.  The first is to incorporate within the open-end mutual fund’s prospectus, in effect at the time of the plan’s acquisition of the open-end mutual fund’s shares and at the time of disposition of such shares, a one-line notice of possible fees associated with the redemption of such shares.  The second requires at the time of purchase or sale of such mutual fund shares that the </w:t>
      </w:r>
      <w:r w:rsidRPr="00B8639F">
        <w:rPr>
          <w:rFonts w:ascii="Times New Roman" w:hAnsi="Times New Roman"/>
        </w:rPr>
        <w:lastRenderedPageBreak/>
        <w:t>plan’s independent fiduciary receive a copy of the current prospectus issued by the open-end mutual fund and a full and detailed written statement of the investment advisory fees charged to or paid by the plan and the open-end mutual fund to the investment advisor.  The third requires that the independent fiduciary is notified of any changes in fees.</w:t>
      </w:r>
      <w:r w:rsidR="006A44BA" w:rsidRPr="00B8639F">
        <w:rPr>
          <w:rFonts w:ascii="Times New Roman" w:hAnsi="Times New Roman"/>
        </w:rPr>
        <w:t xml:space="preserve"> As discussed in Item 2 above, the Department </w:t>
      </w:r>
      <w:r w:rsidR="00804BB4" w:rsidRPr="00B8639F">
        <w:rPr>
          <w:rFonts w:ascii="Times New Roman" w:hAnsi="Times New Roman"/>
        </w:rPr>
        <w:t>i</w:t>
      </w:r>
      <w:r w:rsidR="00166219" w:rsidRPr="00B8639F">
        <w:rPr>
          <w:rFonts w:ascii="Times New Roman" w:hAnsi="Times New Roman"/>
        </w:rPr>
        <w:t>s</w:t>
      </w:r>
      <w:r w:rsidR="00804BB4" w:rsidRPr="00B8639F">
        <w:rPr>
          <w:rFonts w:ascii="Times New Roman" w:hAnsi="Times New Roman"/>
        </w:rPr>
        <w:t xml:space="preserve"> revis</w:t>
      </w:r>
      <w:r w:rsidR="00A65835" w:rsidRPr="00B8639F">
        <w:rPr>
          <w:rFonts w:ascii="Times New Roman" w:hAnsi="Times New Roman"/>
        </w:rPr>
        <w:t>ing</w:t>
      </w:r>
      <w:r w:rsidR="00804BB4" w:rsidRPr="00B8639F">
        <w:rPr>
          <w:rFonts w:ascii="Times New Roman" w:hAnsi="Times New Roman"/>
        </w:rPr>
        <w:t xml:space="preserve"> </w:t>
      </w:r>
      <w:r w:rsidR="006A44BA" w:rsidRPr="00B8639F">
        <w:rPr>
          <w:rFonts w:ascii="Times New Roman" w:hAnsi="Times New Roman"/>
        </w:rPr>
        <w:t xml:space="preserve">the second requirement </w:t>
      </w:r>
      <w:r w:rsidR="00804BB4" w:rsidRPr="00B8639F">
        <w:rPr>
          <w:rFonts w:ascii="Times New Roman" w:hAnsi="Times New Roman"/>
        </w:rPr>
        <w:t>by interpreting the term prospectus in PTE 77-4 to include a “</w:t>
      </w:r>
      <w:r w:rsidR="006A44BA" w:rsidRPr="00B8639F">
        <w:rPr>
          <w:rFonts w:ascii="Times New Roman" w:hAnsi="Times New Roman"/>
        </w:rPr>
        <w:t>summary prospectus” if certain conditions are met. For purposes of this PRA analysis, the Department assumes that all mutual funds using the exemption will send the summary prospectus.</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 xml:space="preserve">Open-end mutual funds are required by the SEC to provide a current </w:t>
      </w:r>
      <w:r w:rsidR="006B4D48" w:rsidRPr="00B8639F">
        <w:rPr>
          <w:rFonts w:ascii="Times New Roman" w:hAnsi="Times New Roman"/>
        </w:rPr>
        <w:t xml:space="preserve">summary </w:t>
      </w:r>
      <w:r w:rsidRPr="00B8639F">
        <w:rPr>
          <w:rFonts w:ascii="Times New Roman" w:hAnsi="Times New Roman"/>
        </w:rPr>
        <w:t xml:space="preserve">prospectus (every prospectus must be updated at least every 16 months) to present and prospective shareholders, and therefore they must update their prospectus after their annual audit and whenever substantial changes occur.  Open-end mutual funds are required by SEC rules to incorporate in the prospectus a statement of any fees charged for the redemption of shares.  Since the funds are required by the SEC to prepare a prospectus, this requirement of the class exemption adds no paperwork burden.  </w:t>
      </w:r>
    </w:p>
    <w:p w:rsidR="00C70BFA" w:rsidRPr="00B8639F" w:rsidRDefault="00C70BFA" w:rsidP="00B8639F">
      <w:pPr>
        <w:widowControl/>
        <w:ind w:left="720"/>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 xml:space="preserve">There is some paperwork burden associated with the </w:t>
      </w:r>
      <w:r w:rsidR="00C70BFA" w:rsidRPr="00B8639F">
        <w:rPr>
          <w:rFonts w:ascii="Times New Roman" w:hAnsi="Times New Roman"/>
        </w:rPr>
        <w:t>provision of</w:t>
      </w:r>
      <w:r w:rsidRPr="00B8639F">
        <w:rPr>
          <w:rFonts w:ascii="Times New Roman" w:hAnsi="Times New Roman"/>
        </w:rPr>
        <w:t xml:space="preserve"> information regarding the investment advisory fees.  The investment advisor normally accomplishes this disclosure by preparing a one or two page written document; the advisor then reproduces and mails this document to each independent fiduciary.  The Department estimates that it would take an average of 30 minutes annually per mutual fund complex to prepare or update the disclosure since each investment advisor can prepare one fee schedule for all of the plans it provides investment management services to and then reproduce and send a copy to the independent fiduciary of each plan.  The independent fiduciary also must receive a copy of the already prepared prospectus.  Since this can be mailed with the fee information, it imposes no separate burden.</w:t>
      </w:r>
      <w:r w:rsidR="00420B0F" w:rsidRPr="00B8639F">
        <w:rPr>
          <w:rFonts w:ascii="Times New Roman" w:hAnsi="Times New Roman"/>
        </w:rPr>
        <w:t xml:space="preserve">  </w:t>
      </w:r>
      <w:r w:rsidRPr="00B8639F">
        <w:rPr>
          <w:rFonts w:ascii="Times New Roman" w:hAnsi="Times New Roman"/>
        </w:rPr>
        <w:t>The notification of changes in fee rates would not add paperwork burden because it would be a standard business practice.</w:t>
      </w:r>
    </w:p>
    <w:p w:rsidR="002D77D4" w:rsidRPr="00B8639F" w:rsidRDefault="002D77D4" w:rsidP="00B8639F">
      <w:pPr>
        <w:widowControl/>
        <w:rPr>
          <w:rFonts w:ascii="Times New Roman" w:hAnsi="Times New Roman"/>
        </w:rPr>
      </w:pPr>
    </w:p>
    <w:p w:rsidR="00E662CA" w:rsidRPr="00B8639F" w:rsidRDefault="00E662CA" w:rsidP="00B8639F">
      <w:pPr>
        <w:widowControl/>
        <w:ind w:left="720"/>
        <w:rPr>
          <w:rFonts w:ascii="Times New Roman" w:hAnsi="Times New Roman"/>
        </w:rPr>
      </w:pPr>
      <w:r w:rsidRPr="00B8639F">
        <w:rPr>
          <w:rFonts w:ascii="Times New Roman" w:hAnsi="Times New Roman"/>
        </w:rPr>
        <w:t>According to</w:t>
      </w:r>
      <w:r w:rsidR="00F663E5" w:rsidRPr="00B8639F">
        <w:rPr>
          <w:rFonts w:ascii="Times New Roman" w:hAnsi="Times New Roman"/>
        </w:rPr>
        <w:t xml:space="preserve"> the Investment Company Institute (ICI)</w:t>
      </w:r>
      <w:r w:rsidRPr="00B8639F">
        <w:rPr>
          <w:rFonts w:ascii="Times New Roman" w:hAnsi="Times New Roman"/>
        </w:rPr>
        <w:t xml:space="preserve">, approximately </w:t>
      </w:r>
      <w:r w:rsidR="00F663E5" w:rsidRPr="00B8639F">
        <w:rPr>
          <w:rFonts w:ascii="Times New Roman" w:hAnsi="Times New Roman"/>
        </w:rPr>
        <w:t>7</w:t>
      </w:r>
      <w:r w:rsidRPr="00B8639F">
        <w:rPr>
          <w:rFonts w:ascii="Times New Roman" w:hAnsi="Times New Roman"/>
        </w:rPr>
        <w:t>00 complexes managed and distributed mutual funds in 20</w:t>
      </w:r>
      <w:r w:rsidR="00B25909" w:rsidRPr="00B8639F">
        <w:rPr>
          <w:rFonts w:ascii="Times New Roman" w:hAnsi="Times New Roman"/>
        </w:rPr>
        <w:t>11</w:t>
      </w:r>
      <w:r w:rsidR="006C36FB" w:rsidRPr="00B8639F">
        <w:rPr>
          <w:rFonts w:ascii="Times New Roman" w:hAnsi="Times New Roman"/>
        </w:rPr>
        <w:t>.</w:t>
      </w:r>
      <w:r w:rsidRPr="00B8639F">
        <w:rPr>
          <w:rStyle w:val="FootnoteReference"/>
          <w:rFonts w:ascii="Times New Roman" w:hAnsi="Times New Roman"/>
          <w:vertAlign w:val="superscript"/>
        </w:rPr>
        <w:footnoteReference w:id="4"/>
      </w:r>
      <w:r w:rsidR="00E20242" w:rsidRPr="00B8639F">
        <w:rPr>
          <w:rFonts w:ascii="Times New Roman" w:hAnsi="Times New Roman"/>
        </w:rPr>
        <w:t xml:space="preserve"> </w:t>
      </w:r>
      <w:r w:rsidR="000702A2" w:rsidRPr="00B8639F">
        <w:rPr>
          <w:rFonts w:ascii="Times New Roman" w:hAnsi="Times New Roman"/>
        </w:rPr>
        <w:t xml:space="preserve">The Department </w:t>
      </w:r>
      <w:r w:rsidR="00E20242" w:rsidRPr="00B8639F">
        <w:rPr>
          <w:rFonts w:ascii="Times New Roman" w:hAnsi="Times New Roman"/>
        </w:rPr>
        <w:t>assume</w:t>
      </w:r>
      <w:r w:rsidR="000702A2" w:rsidRPr="00B8639F">
        <w:rPr>
          <w:rFonts w:ascii="Times New Roman" w:hAnsi="Times New Roman"/>
        </w:rPr>
        <w:t>s</w:t>
      </w:r>
      <w:r w:rsidR="00E20242" w:rsidRPr="00B8639F">
        <w:rPr>
          <w:rFonts w:ascii="Times New Roman" w:hAnsi="Times New Roman"/>
        </w:rPr>
        <w:t xml:space="preserve"> that all of these complexes also offer investment management services to pension plans</w:t>
      </w:r>
      <w:r w:rsidR="00420B0F" w:rsidRPr="00B8639F">
        <w:rPr>
          <w:rFonts w:ascii="Times New Roman" w:hAnsi="Times New Roman"/>
        </w:rPr>
        <w:t>.</w:t>
      </w:r>
      <w:r w:rsidR="00E20242" w:rsidRPr="00B8639F">
        <w:rPr>
          <w:rFonts w:ascii="Times New Roman" w:hAnsi="Times New Roman"/>
        </w:rPr>
        <w:t xml:space="preserve">  </w:t>
      </w:r>
      <w:r w:rsidR="00F51CC7" w:rsidRPr="00B8639F">
        <w:rPr>
          <w:rFonts w:ascii="Times New Roman" w:hAnsi="Times New Roman"/>
        </w:rPr>
        <w:t xml:space="preserve">The </w:t>
      </w:r>
      <w:r w:rsidR="000702A2" w:rsidRPr="00B8639F">
        <w:rPr>
          <w:rFonts w:ascii="Times New Roman" w:hAnsi="Times New Roman"/>
        </w:rPr>
        <w:t xml:space="preserve">percentage </w:t>
      </w:r>
      <w:r w:rsidR="00F51CC7" w:rsidRPr="00B8639F">
        <w:rPr>
          <w:rFonts w:ascii="Times New Roman" w:hAnsi="Times New Roman"/>
        </w:rPr>
        <w:t xml:space="preserve">of plans using mutual fund companies as their money market manager has increased </w:t>
      </w:r>
      <w:r w:rsidR="00420B0F" w:rsidRPr="00B8639F">
        <w:rPr>
          <w:rFonts w:ascii="Times New Roman" w:hAnsi="Times New Roman"/>
        </w:rPr>
        <w:t xml:space="preserve">significantly </w:t>
      </w:r>
      <w:r w:rsidR="00F51CC7" w:rsidRPr="00B8639F">
        <w:rPr>
          <w:rFonts w:ascii="Times New Roman" w:hAnsi="Times New Roman"/>
        </w:rPr>
        <w:t>over the last 20 years. For example, a 1999 survey by the ICI of defined contribution pension plan sponsors found that 18 percent of small plans, and approximately 22 percent of large plans used a mutual fund company as the money manager of the plan</w:t>
      </w:r>
      <w:r w:rsidR="000702A2" w:rsidRPr="00B8639F">
        <w:rPr>
          <w:rFonts w:ascii="Times New Roman" w:hAnsi="Times New Roman"/>
        </w:rPr>
        <w:t>;</w:t>
      </w:r>
      <w:r w:rsidR="00F51CC7" w:rsidRPr="00B8639F">
        <w:rPr>
          <w:rStyle w:val="FootnoteReference"/>
          <w:rFonts w:ascii="Times New Roman" w:hAnsi="Times New Roman"/>
          <w:vertAlign w:val="superscript"/>
        </w:rPr>
        <w:footnoteReference w:id="5"/>
      </w:r>
      <w:r w:rsidR="00E20242" w:rsidRPr="00B8639F">
        <w:rPr>
          <w:rFonts w:ascii="Times New Roman" w:hAnsi="Times New Roman"/>
        </w:rPr>
        <w:t xml:space="preserve"> however, a 2009 Deloitte/ICI survey finds that 53 percent of 401(k)s have a mutual fund company as their service provider.</w:t>
      </w:r>
      <w:r w:rsidR="00E20242" w:rsidRPr="00B8639F">
        <w:rPr>
          <w:rStyle w:val="FootnoteReference"/>
          <w:rFonts w:ascii="Times New Roman" w:hAnsi="Times New Roman"/>
          <w:vertAlign w:val="superscript"/>
        </w:rPr>
        <w:footnoteReference w:id="6"/>
      </w:r>
      <w:r w:rsidR="00E20242" w:rsidRPr="00B8639F">
        <w:rPr>
          <w:rFonts w:ascii="Times New Roman" w:hAnsi="Times New Roman"/>
        </w:rPr>
        <w:t xml:space="preserve"> A 1992 survey by the ICI </w:t>
      </w:r>
      <w:r w:rsidR="00E20242" w:rsidRPr="00B8639F">
        <w:rPr>
          <w:rFonts w:ascii="Times New Roman" w:hAnsi="Times New Roman"/>
        </w:rPr>
        <w:lastRenderedPageBreak/>
        <w:t>of defined benefit pension plan sponsors found that only 5 percent used a mutual fund company as the money manager of the plan.</w:t>
      </w:r>
      <w:r w:rsidR="00E20242" w:rsidRPr="00B8639F">
        <w:rPr>
          <w:rStyle w:val="FootnoteReference"/>
          <w:rFonts w:ascii="Times New Roman" w:hAnsi="Times New Roman"/>
          <w:vertAlign w:val="superscript"/>
        </w:rPr>
        <w:footnoteReference w:id="7"/>
      </w:r>
      <w:r w:rsidRPr="00B8639F">
        <w:rPr>
          <w:rFonts w:ascii="Times New Roman" w:hAnsi="Times New Roman"/>
          <w:vertAlign w:val="superscript"/>
        </w:rPr>
        <w:t xml:space="preserve"> </w:t>
      </w:r>
      <w:r w:rsidRPr="00B8639F">
        <w:rPr>
          <w:rFonts w:ascii="Times New Roman" w:hAnsi="Times New Roman"/>
        </w:rPr>
        <w:t xml:space="preserve"> </w:t>
      </w:r>
      <w:r w:rsidR="00F663E5" w:rsidRPr="00B8639F">
        <w:rPr>
          <w:rFonts w:ascii="Times New Roman" w:hAnsi="Times New Roman"/>
        </w:rPr>
        <w:t>Yet, the trends for defined b</w:t>
      </w:r>
      <w:r w:rsidR="00F93D0D" w:rsidRPr="00B8639F">
        <w:rPr>
          <w:rFonts w:ascii="Times New Roman" w:hAnsi="Times New Roman"/>
        </w:rPr>
        <w:t xml:space="preserve">enefit plans appear to be similar to those for </w:t>
      </w:r>
      <w:r w:rsidR="00CC3CED" w:rsidRPr="00B8639F">
        <w:rPr>
          <w:rFonts w:ascii="Times New Roman" w:hAnsi="Times New Roman"/>
        </w:rPr>
        <w:t xml:space="preserve">defined contribution plans. Based upon ICI analyses and Form 5500 data that examines the </w:t>
      </w:r>
      <w:r w:rsidR="000702A2" w:rsidRPr="00B8639F">
        <w:rPr>
          <w:rFonts w:ascii="Times New Roman" w:hAnsi="Times New Roman"/>
        </w:rPr>
        <w:t xml:space="preserve">percentage </w:t>
      </w:r>
      <w:r w:rsidR="00CC3CED" w:rsidRPr="00B8639F">
        <w:rPr>
          <w:rFonts w:ascii="Times New Roman" w:hAnsi="Times New Roman"/>
        </w:rPr>
        <w:t xml:space="preserve">of plans that are invested in registered investment companies, the Department estimates that </w:t>
      </w:r>
      <w:r w:rsidR="00556B18" w:rsidRPr="00B8639F">
        <w:rPr>
          <w:rFonts w:ascii="Times New Roman" w:hAnsi="Times New Roman"/>
        </w:rPr>
        <w:t>35</w:t>
      </w:r>
      <w:r w:rsidR="00CC3CED" w:rsidRPr="00B8639F">
        <w:rPr>
          <w:rFonts w:ascii="Times New Roman" w:hAnsi="Times New Roman"/>
        </w:rPr>
        <w:t xml:space="preserve"> percent of </w:t>
      </w:r>
      <w:r w:rsidR="00420B0F" w:rsidRPr="00B8639F">
        <w:rPr>
          <w:rFonts w:ascii="Times New Roman" w:hAnsi="Times New Roman"/>
        </w:rPr>
        <w:t>d</w:t>
      </w:r>
      <w:r w:rsidR="00CC3CED" w:rsidRPr="00B8639F">
        <w:rPr>
          <w:rFonts w:ascii="Times New Roman" w:hAnsi="Times New Roman"/>
        </w:rPr>
        <w:t>efined</w:t>
      </w:r>
      <w:r w:rsidR="00420B0F" w:rsidRPr="00B8639F">
        <w:rPr>
          <w:rFonts w:ascii="Times New Roman" w:hAnsi="Times New Roman"/>
        </w:rPr>
        <w:t xml:space="preserve"> b</w:t>
      </w:r>
      <w:r w:rsidR="00CC3CED" w:rsidRPr="00B8639F">
        <w:rPr>
          <w:rFonts w:ascii="Times New Roman" w:hAnsi="Times New Roman"/>
        </w:rPr>
        <w:t>enefit plans have mutual fund companies as money managers.</w:t>
      </w:r>
      <w:r w:rsidR="00F51CC7" w:rsidRPr="00B8639F">
        <w:rPr>
          <w:rStyle w:val="FootnoteReference"/>
          <w:rFonts w:ascii="Times New Roman" w:hAnsi="Times New Roman"/>
          <w:vertAlign w:val="superscript"/>
        </w:rPr>
        <w:footnoteReference w:id="8"/>
      </w:r>
      <w:r w:rsidR="00CC3CED" w:rsidRPr="00B8639F">
        <w:rPr>
          <w:rFonts w:ascii="Times New Roman" w:hAnsi="Times New Roman"/>
          <w:vertAlign w:val="superscript"/>
        </w:rPr>
        <w:t xml:space="preserve"> </w:t>
      </w:r>
      <w:r w:rsidRPr="00B8639F">
        <w:rPr>
          <w:rFonts w:ascii="Times New Roman" w:hAnsi="Times New Roman"/>
        </w:rPr>
        <w:t xml:space="preserve"> Applying these percentages to the universe of pension plans in 20</w:t>
      </w:r>
      <w:r w:rsidR="00121312" w:rsidRPr="00B8639F">
        <w:rPr>
          <w:rFonts w:ascii="Times New Roman" w:hAnsi="Times New Roman"/>
        </w:rPr>
        <w:t>10</w:t>
      </w:r>
      <w:r w:rsidRPr="00B8639F">
        <w:rPr>
          <w:rFonts w:ascii="Times New Roman" w:hAnsi="Times New Roman"/>
        </w:rPr>
        <w:t xml:space="preserve"> yields a total of a</w:t>
      </w:r>
      <w:r w:rsidR="000702A2" w:rsidRPr="00B8639F">
        <w:rPr>
          <w:rFonts w:ascii="Times New Roman" w:hAnsi="Times New Roman"/>
        </w:rPr>
        <w:t xml:space="preserve">pproximately </w:t>
      </w:r>
      <w:r w:rsidR="00122840" w:rsidRPr="00B8639F">
        <w:rPr>
          <w:rFonts w:ascii="Times New Roman" w:hAnsi="Times New Roman"/>
        </w:rPr>
        <w:t>36</w:t>
      </w:r>
      <w:r w:rsidR="00121312" w:rsidRPr="00B8639F">
        <w:rPr>
          <w:rFonts w:ascii="Times New Roman" w:hAnsi="Times New Roman"/>
        </w:rPr>
        <w:t>3</w:t>
      </w:r>
      <w:r w:rsidR="000702A2" w:rsidRPr="00B8639F">
        <w:rPr>
          <w:rFonts w:ascii="Times New Roman" w:hAnsi="Times New Roman"/>
        </w:rPr>
        <w:t>,0</w:t>
      </w:r>
      <w:r w:rsidR="00AA03D1" w:rsidRPr="00B8639F">
        <w:rPr>
          <w:rFonts w:ascii="Times New Roman" w:hAnsi="Times New Roman"/>
        </w:rPr>
        <w:t>00</w:t>
      </w:r>
      <w:r w:rsidRPr="00B8639F">
        <w:rPr>
          <w:rFonts w:ascii="Times New Roman" w:hAnsi="Times New Roman"/>
        </w:rPr>
        <w:t xml:space="preserve"> plans (</w:t>
      </w:r>
      <w:r w:rsidR="00122840" w:rsidRPr="00B8639F">
        <w:rPr>
          <w:rFonts w:ascii="Times New Roman" w:hAnsi="Times New Roman"/>
        </w:rPr>
        <w:t>34</w:t>
      </w:r>
      <w:r w:rsidR="00121312" w:rsidRPr="00B8639F">
        <w:rPr>
          <w:rFonts w:ascii="Times New Roman" w:hAnsi="Times New Roman"/>
        </w:rPr>
        <w:t>7</w:t>
      </w:r>
      <w:r w:rsidRPr="00B8639F">
        <w:rPr>
          <w:rFonts w:ascii="Times New Roman" w:hAnsi="Times New Roman"/>
        </w:rPr>
        <w:t>,</w:t>
      </w:r>
      <w:r w:rsidR="000702A2" w:rsidRPr="00B8639F">
        <w:rPr>
          <w:rFonts w:ascii="Times New Roman" w:hAnsi="Times New Roman"/>
        </w:rPr>
        <w:t>0</w:t>
      </w:r>
      <w:r w:rsidRPr="00B8639F">
        <w:rPr>
          <w:rFonts w:ascii="Times New Roman" w:hAnsi="Times New Roman"/>
        </w:rPr>
        <w:t xml:space="preserve">00 defined contribution and </w:t>
      </w:r>
      <w:r w:rsidR="00AA03D1" w:rsidRPr="00B8639F">
        <w:rPr>
          <w:rFonts w:ascii="Times New Roman" w:hAnsi="Times New Roman"/>
        </w:rPr>
        <w:t>1</w:t>
      </w:r>
      <w:r w:rsidR="00121312" w:rsidRPr="00B8639F">
        <w:rPr>
          <w:rFonts w:ascii="Times New Roman" w:hAnsi="Times New Roman"/>
        </w:rPr>
        <w:t>6</w:t>
      </w:r>
      <w:r w:rsidRPr="00B8639F">
        <w:rPr>
          <w:rFonts w:ascii="Times New Roman" w:hAnsi="Times New Roman"/>
        </w:rPr>
        <w:t>,</w:t>
      </w:r>
      <w:r w:rsidR="000702A2" w:rsidRPr="00B8639F">
        <w:rPr>
          <w:rFonts w:ascii="Times New Roman" w:hAnsi="Times New Roman"/>
        </w:rPr>
        <w:t>0</w:t>
      </w:r>
      <w:r w:rsidRPr="00B8639F">
        <w:rPr>
          <w:rFonts w:ascii="Times New Roman" w:hAnsi="Times New Roman"/>
        </w:rPr>
        <w:t>00 defined benefit plans).</w:t>
      </w:r>
      <w:r w:rsidRPr="00B8639F">
        <w:rPr>
          <w:rStyle w:val="FootnoteReference"/>
          <w:rFonts w:ascii="Times New Roman" w:hAnsi="Times New Roman"/>
          <w:vertAlign w:val="superscript"/>
        </w:rPr>
        <w:footnoteReference w:id="9"/>
      </w:r>
      <w:r w:rsidRPr="00B8639F">
        <w:rPr>
          <w:rFonts w:ascii="Times New Roman" w:hAnsi="Times New Roman"/>
          <w:vertAlign w:val="superscript"/>
        </w:rPr>
        <w:t xml:space="preserve"> </w:t>
      </w:r>
    </w:p>
    <w:p w:rsidR="00E662CA" w:rsidRPr="00B8639F" w:rsidRDefault="00E662CA" w:rsidP="00B8639F">
      <w:pPr>
        <w:widowControl/>
        <w:ind w:left="720"/>
        <w:rPr>
          <w:rFonts w:ascii="Times New Roman" w:hAnsi="Times New Roman"/>
        </w:rPr>
      </w:pPr>
    </w:p>
    <w:p w:rsidR="00E662CA" w:rsidRPr="00B8639F" w:rsidRDefault="00E662CA" w:rsidP="00B8639F">
      <w:pPr>
        <w:widowControl/>
        <w:ind w:left="720"/>
        <w:rPr>
          <w:rFonts w:ascii="Times New Roman" w:hAnsi="Times New Roman"/>
        </w:rPr>
      </w:pPr>
      <w:r w:rsidRPr="00B8639F">
        <w:rPr>
          <w:rFonts w:ascii="Times New Roman" w:hAnsi="Times New Roman"/>
        </w:rPr>
        <w:t xml:space="preserve">The Department assumes that every mutual fund complex will make use of the class exemption for all their client plans.  Each plan would have one independent fiduciary, required under the class exemption to receive the disclosure material.  </w:t>
      </w:r>
      <w:r w:rsidR="00804BB4" w:rsidRPr="00B8639F">
        <w:rPr>
          <w:rFonts w:ascii="Times New Roman" w:hAnsi="Times New Roman"/>
        </w:rPr>
        <w:t>The Department also estimates that t</w:t>
      </w:r>
      <w:r w:rsidR="00AC3ED6" w:rsidRPr="00B8639F">
        <w:rPr>
          <w:rFonts w:ascii="Times New Roman" w:hAnsi="Times New Roman"/>
        </w:rPr>
        <w:t>en percent of plans will then request</w:t>
      </w:r>
      <w:r w:rsidR="00804BB4" w:rsidRPr="00B8639F">
        <w:rPr>
          <w:rFonts w:ascii="Times New Roman" w:hAnsi="Times New Roman"/>
        </w:rPr>
        <w:t xml:space="preserve"> </w:t>
      </w:r>
      <w:r w:rsidR="00AC3ED6" w:rsidRPr="00B8639F">
        <w:rPr>
          <w:rFonts w:ascii="Times New Roman" w:hAnsi="Times New Roman"/>
        </w:rPr>
        <w:t xml:space="preserve">a full prospectus.  </w:t>
      </w:r>
      <w:r w:rsidRPr="00B8639F">
        <w:rPr>
          <w:rFonts w:ascii="Times New Roman" w:hAnsi="Times New Roman"/>
        </w:rPr>
        <w:t>The Department estimates that it will take no more than 5 minutes (1/12 of an hour) to distribute the materials to each plan.  In sum, we calculate the total burden hours for this exemption as follows:</w:t>
      </w:r>
    </w:p>
    <w:p w:rsidR="00E662CA" w:rsidRPr="00B8639F" w:rsidRDefault="00E662CA" w:rsidP="00B8639F">
      <w:pPr>
        <w:widowControl/>
        <w:rPr>
          <w:rFonts w:ascii="Times New Roman" w:hAnsi="Times New Roman"/>
        </w:rPr>
      </w:pPr>
    </w:p>
    <w:p w:rsidR="00E662CA" w:rsidRPr="00B8639F" w:rsidRDefault="00B14C9B" w:rsidP="00B8639F">
      <w:pPr>
        <w:widowControl/>
        <w:ind w:left="1440"/>
        <w:rPr>
          <w:rFonts w:ascii="Times New Roman" w:hAnsi="Times New Roman"/>
        </w:rPr>
      </w:pPr>
      <w:r w:rsidRPr="00B8639F">
        <w:rPr>
          <w:rFonts w:ascii="Times New Roman" w:hAnsi="Times New Roman"/>
        </w:rPr>
        <w:t xml:space="preserve">Preparation: </w:t>
      </w:r>
      <w:r w:rsidR="00E662CA" w:rsidRPr="00B8639F">
        <w:rPr>
          <w:rFonts w:ascii="Times New Roman" w:hAnsi="Times New Roman"/>
        </w:rPr>
        <w:t xml:space="preserve"> ½ hr. x </w:t>
      </w:r>
      <w:r w:rsidR="007C5733" w:rsidRPr="00B8639F">
        <w:rPr>
          <w:rFonts w:ascii="Times New Roman" w:hAnsi="Times New Roman"/>
        </w:rPr>
        <w:t>7</w:t>
      </w:r>
      <w:r w:rsidR="00E662CA" w:rsidRPr="00B8639F">
        <w:rPr>
          <w:rFonts w:ascii="Times New Roman" w:hAnsi="Times New Roman"/>
        </w:rPr>
        <w:t xml:space="preserve">00 mutual fund firms =    </w:t>
      </w:r>
      <w:r w:rsidR="00E662CA" w:rsidRPr="00B8639F">
        <w:rPr>
          <w:rFonts w:ascii="Times New Roman" w:hAnsi="Times New Roman"/>
        </w:rPr>
        <w:tab/>
      </w:r>
      <w:r w:rsidR="006C36FB" w:rsidRPr="00B8639F">
        <w:rPr>
          <w:rFonts w:ascii="Times New Roman" w:hAnsi="Times New Roman"/>
        </w:rPr>
        <w:t xml:space="preserve">     </w:t>
      </w:r>
      <w:r w:rsidR="007C5733" w:rsidRPr="00B8639F">
        <w:rPr>
          <w:rFonts w:ascii="Times New Roman" w:hAnsi="Times New Roman"/>
        </w:rPr>
        <w:t>3</w:t>
      </w:r>
      <w:r w:rsidR="00E662CA" w:rsidRPr="00B8639F">
        <w:rPr>
          <w:rFonts w:ascii="Times New Roman" w:hAnsi="Times New Roman"/>
        </w:rPr>
        <w:t>50</w:t>
      </w:r>
      <w:bookmarkStart w:id="1" w:name="_GoBack"/>
    </w:p>
    <w:p w:rsidR="00E662CA" w:rsidRPr="00B8639F" w:rsidRDefault="00B14C9B" w:rsidP="00B8639F">
      <w:pPr>
        <w:widowControl/>
        <w:ind w:left="1440"/>
        <w:rPr>
          <w:rFonts w:ascii="Times New Roman" w:hAnsi="Times New Roman"/>
          <w:u w:val="single"/>
        </w:rPr>
      </w:pPr>
      <w:r w:rsidRPr="00B8639F">
        <w:rPr>
          <w:rFonts w:ascii="Times New Roman" w:hAnsi="Times New Roman"/>
        </w:rPr>
        <w:t>Distribution</w:t>
      </w:r>
      <w:r w:rsidR="00AC3ED6" w:rsidRPr="00B8639F">
        <w:rPr>
          <w:rFonts w:ascii="Times New Roman" w:hAnsi="Times New Roman"/>
        </w:rPr>
        <w:t xml:space="preserve"> (summary)</w:t>
      </w:r>
      <w:r w:rsidRPr="00B8639F">
        <w:rPr>
          <w:rFonts w:ascii="Times New Roman" w:hAnsi="Times New Roman"/>
        </w:rPr>
        <w:t xml:space="preserve">: </w:t>
      </w:r>
      <w:r w:rsidR="00E662CA" w:rsidRPr="00B8639F">
        <w:rPr>
          <w:rFonts w:ascii="Times New Roman" w:hAnsi="Times New Roman"/>
        </w:rPr>
        <w:t xml:space="preserve">1/12 hr. x </w:t>
      </w:r>
      <w:r w:rsidR="00E831AB" w:rsidRPr="00B8639F">
        <w:rPr>
          <w:rFonts w:ascii="Times New Roman" w:hAnsi="Times New Roman"/>
        </w:rPr>
        <w:t>36</w:t>
      </w:r>
      <w:r w:rsidR="00121312" w:rsidRPr="00B8639F">
        <w:rPr>
          <w:rFonts w:ascii="Times New Roman" w:hAnsi="Times New Roman"/>
        </w:rPr>
        <w:t>3</w:t>
      </w:r>
      <w:r w:rsidR="00E662CA" w:rsidRPr="00B8639F">
        <w:rPr>
          <w:rFonts w:ascii="Times New Roman" w:hAnsi="Times New Roman"/>
        </w:rPr>
        <w:t>,</w:t>
      </w:r>
      <w:r w:rsidR="000702A2" w:rsidRPr="00B8639F">
        <w:rPr>
          <w:rFonts w:ascii="Times New Roman" w:hAnsi="Times New Roman"/>
        </w:rPr>
        <w:t>000</w:t>
      </w:r>
      <w:r w:rsidR="00E662CA" w:rsidRPr="00B8639F">
        <w:rPr>
          <w:rFonts w:ascii="Times New Roman" w:hAnsi="Times New Roman"/>
        </w:rPr>
        <w:t xml:space="preserve"> plans = </w:t>
      </w:r>
      <w:r w:rsidR="006C36FB" w:rsidRPr="00B8639F">
        <w:rPr>
          <w:rFonts w:ascii="Times New Roman" w:hAnsi="Times New Roman"/>
        </w:rPr>
        <w:t xml:space="preserve">  </w:t>
      </w:r>
      <w:r w:rsidR="00556B18" w:rsidRPr="00B8639F">
        <w:rPr>
          <w:rFonts w:ascii="Times New Roman" w:hAnsi="Times New Roman"/>
        </w:rPr>
        <w:t>3</w:t>
      </w:r>
      <w:r w:rsidR="00121312" w:rsidRPr="00B8639F">
        <w:rPr>
          <w:rFonts w:ascii="Times New Roman" w:hAnsi="Times New Roman"/>
        </w:rPr>
        <w:t>0</w:t>
      </w:r>
      <w:r w:rsidR="00556B18" w:rsidRPr="00B8639F">
        <w:rPr>
          <w:rFonts w:ascii="Times New Roman" w:hAnsi="Times New Roman"/>
        </w:rPr>
        <w:t>,</w:t>
      </w:r>
      <w:r w:rsidR="00121312" w:rsidRPr="00B8639F">
        <w:rPr>
          <w:rFonts w:ascii="Times New Roman" w:hAnsi="Times New Roman"/>
        </w:rPr>
        <w:t>263</w:t>
      </w:r>
    </w:p>
    <w:bookmarkEnd w:id="1"/>
    <w:p w:rsidR="00AC3ED6" w:rsidRPr="00B8639F" w:rsidRDefault="00AC3ED6" w:rsidP="00B8639F">
      <w:pPr>
        <w:widowControl/>
        <w:ind w:left="1440"/>
        <w:rPr>
          <w:rFonts w:ascii="Times New Roman" w:hAnsi="Times New Roman"/>
        </w:rPr>
      </w:pPr>
      <w:r w:rsidRPr="00B8639F">
        <w:rPr>
          <w:rFonts w:ascii="Times New Roman" w:hAnsi="Times New Roman"/>
        </w:rPr>
        <w:t>Distribution (full): 1/12 hr. x 36,300 plans</w:t>
      </w:r>
      <w:r w:rsidR="0059445E" w:rsidRPr="00B8639F">
        <w:rPr>
          <w:rFonts w:ascii="Times New Roman" w:hAnsi="Times New Roman"/>
        </w:rPr>
        <w:t>=</w:t>
      </w:r>
      <w:r w:rsidR="0059445E" w:rsidRPr="00B8639F">
        <w:rPr>
          <w:rFonts w:ascii="Times New Roman" w:hAnsi="Times New Roman"/>
        </w:rPr>
        <w:tab/>
      </w:r>
      <w:r w:rsidR="00804BB4" w:rsidRPr="00B8639F">
        <w:rPr>
          <w:rFonts w:ascii="Times New Roman" w:hAnsi="Times New Roman"/>
        </w:rPr>
        <w:t xml:space="preserve">              </w:t>
      </w:r>
      <w:r w:rsidR="0059445E" w:rsidRPr="00B8639F">
        <w:rPr>
          <w:rFonts w:ascii="Times New Roman" w:hAnsi="Times New Roman"/>
          <w:u w:val="single"/>
        </w:rPr>
        <w:t>3,027</w:t>
      </w:r>
    </w:p>
    <w:p w:rsidR="00E662CA" w:rsidRPr="00B8639F" w:rsidRDefault="00E662CA" w:rsidP="00B8639F">
      <w:pPr>
        <w:widowControl/>
        <w:ind w:left="1440"/>
        <w:rPr>
          <w:rFonts w:ascii="Times New Roman" w:hAnsi="Times New Roman"/>
        </w:rPr>
      </w:pPr>
      <w:r w:rsidRPr="00B8639F">
        <w:rPr>
          <w:rFonts w:ascii="Times New Roman" w:hAnsi="Times New Roman"/>
        </w:rPr>
        <w:t xml:space="preserve">Total burden hours =                                                 </w:t>
      </w:r>
      <w:r w:rsidR="00556B18" w:rsidRPr="00B8639F">
        <w:rPr>
          <w:rFonts w:ascii="Times New Roman" w:hAnsi="Times New Roman"/>
        </w:rPr>
        <w:t xml:space="preserve"> 3</w:t>
      </w:r>
      <w:r w:rsidR="0059445E" w:rsidRPr="00B8639F">
        <w:rPr>
          <w:rFonts w:ascii="Times New Roman" w:hAnsi="Times New Roman"/>
        </w:rPr>
        <w:t>3,640</w:t>
      </w:r>
    </w:p>
    <w:p w:rsidR="00E662CA" w:rsidRPr="00B8639F" w:rsidRDefault="00E662CA" w:rsidP="00B8639F">
      <w:pPr>
        <w:widowControl/>
        <w:ind w:left="720"/>
        <w:rPr>
          <w:rFonts w:ascii="Times New Roman" w:hAnsi="Times New Roman"/>
        </w:rPr>
      </w:pPr>
    </w:p>
    <w:p w:rsidR="00E662CA" w:rsidRPr="00B8639F" w:rsidRDefault="00E662CA" w:rsidP="00B8639F">
      <w:pPr>
        <w:widowControl/>
        <w:ind w:left="720"/>
        <w:rPr>
          <w:rFonts w:ascii="Times New Roman" w:hAnsi="Times New Roman"/>
        </w:rPr>
      </w:pPr>
      <w:r w:rsidRPr="00B8639F">
        <w:rPr>
          <w:rFonts w:ascii="Times New Roman" w:hAnsi="Times New Roman"/>
        </w:rPr>
        <w:t>Mutual fund complexes</w:t>
      </w:r>
      <w:r w:rsidR="006C36FB" w:rsidRPr="00B8639F">
        <w:rPr>
          <w:rFonts w:ascii="Times New Roman" w:hAnsi="Times New Roman"/>
        </w:rPr>
        <w:t>,</w:t>
      </w:r>
      <w:r w:rsidRPr="00B8639F">
        <w:rPr>
          <w:rFonts w:ascii="Times New Roman" w:hAnsi="Times New Roman"/>
        </w:rPr>
        <w:t xml:space="preserve"> rather than the plans they provide services to</w:t>
      </w:r>
      <w:r w:rsidR="006C36FB" w:rsidRPr="00B8639F">
        <w:rPr>
          <w:rFonts w:ascii="Times New Roman" w:hAnsi="Times New Roman"/>
        </w:rPr>
        <w:t>,</w:t>
      </w:r>
      <w:r w:rsidRPr="00B8639F">
        <w:rPr>
          <w:rFonts w:ascii="Times New Roman" w:hAnsi="Times New Roman"/>
        </w:rPr>
        <w:t xml:space="preserve"> would </w:t>
      </w:r>
      <w:r w:rsidR="00166219" w:rsidRPr="00B8639F">
        <w:rPr>
          <w:rFonts w:ascii="Times New Roman" w:hAnsi="Times New Roman"/>
        </w:rPr>
        <w:t>bear</w:t>
      </w:r>
      <w:r w:rsidRPr="00B8639F">
        <w:rPr>
          <w:rFonts w:ascii="Times New Roman" w:hAnsi="Times New Roman"/>
        </w:rPr>
        <w:t xml:space="preserve"> the burden and are expected to perform the services in-house.  The mutual fund complexes are estimated to incur costs of $</w:t>
      </w:r>
      <w:r w:rsidR="00122840" w:rsidRPr="00B8639F">
        <w:rPr>
          <w:rFonts w:ascii="Times New Roman" w:hAnsi="Times New Roman"/>
        </w:rPr>
        <w:t>1</w:t>
      </w:r>
      <w:r w:rsidR="009106BE" w:rsidRPr="00B8639F">
        <w:rPr>
          <w:rFonts w:ascii="Times New Roman" w:hAnsi="Times New Roman"/>
        </w:rPr>
        <w:t>1</w:t>
      </w:r>
      <w:r w:rsidR="00121312" w:rsidRPr="00B8639F">
        <w:rPr>
          <w:rFonts w:ascii="Times New Roman" w:hAnsi="Times New Roman"/>
        </w:rPr>
        <w:t>7</w:t>
      </w:r>
      <w:r w:rsidR="00122840" w:rsidRPr="00B8639F">
        <w:rPr>
          <w:rFonts w:ascii="Times New Roman" w:hAnsi="Times New Roman"/>
        </w:rPr>
        <w:t>.</w:t>
      </w:r>
      <w:r w:rsidR="009106BE" w:rsidRPr="00B8639F">
        <w:rPr>
          <w:rFonts w:ascii="Times New Roman" w:hAnsi="Times New Roman"/>
        </w:rPr>
        <w:t>8</w:t>
      </w:r>
      <w:r w:rsidR="00121312" w:rsidRPr="00B8639F">
        <w:rPr>
          <w:rFonts w:ascii="Times New Roman" w:hAnsi="Times New Roman"/>
        </w:rPr>
        <w:t>8</w:t>
      </w:r>
      <w:r w:rsidRPr="00B8639F">
        <w:rPr>
          <w:rFonts w:ascii="Times New Roman" w:hAnsi="Times New Roman"/>
        </w:rPr>
        <w:t xml:space="preserve"> per hour for</w:t>
      </w:r>
      <w:r w:rsidR="00122840" w:rsidRPr="00B8639F">
        <w:rPr>
          <w:rFonts w:ascii="Times New Roman" w:hAnsi="Times New Roman"/>
        </w:rPr>
        <w:t xml:space="preserve"> financial</w:t>
      </w:r>
      <w:r w:rsidRPr="00B8639F">
        <w:rPr>
          <w:rFonts w:ascii="Times New Roman" w:hAnsi="Times New Roman"/>
        </w:rPr>
        <w:t xml:space="preserve"> professional staff time to prepare the disclosure material and $2</w:t>
      </w:r>
      <w:r w:rsidR="00121312" w:rsidRPr="00B8639F">
        <w:rPr>
          <w:rFonts w:ascii="Times New Roman" w:hAnsi="Times New Roman"/>
        </w:rPr>
        <w:t>9</w:t>
      </w:r>
      <w:r w:rsidR="009106BE" w:rsidRPr="00B8639F">
        <w:rPr>
          <w:rFonts w:ascii="Times New Roman" w:hAnsi="Times New Roman"/>
        </w:rPr>
        <w:t>.</w:t>
      </w:r>
      <w:r w:rsidR="00121312" w:rsidRPr="00B8639F">
        <w:rPr>
          <w:rFonts w:ascii="Times New Roman" w:hAnsi="Times New Roman"/>
        </w:rPr>
        <w:t>14</w:t>
      </w:r>
      <w:r w:rsidRPr="00B8639F">
        <w:rPr>
          <w:rFonts w:ascii="Times New Roman" w:hAnsi="Times New Roman"/>
        </w:rPr>
        <w:t xml:space="preserve"> per hour in clerical time to distribute the material.</w:t>
      </w:r>
      <w:r w:rsidRPr="00B8639F">
        <w:rPr>
          <w:rStyle w:val="FootnoteReference"/>
          <w:rFonts w:ascii="Times New Roman" w:hAnsi="Times New Roman"/>
          <w:vertAlign w:val="superscript"/>
        </w:rPr>
        <w:footnoteReference w:id="10"/>
      </w:r>
      <w:r w:rsidRPr="00B8639F">
        <w:rPr>
          <w:rFonts w:ascii="Times New Roman" w:hAnsi="Times New Roman"/>
        </w:rPr>
        <w:t xml:space="preserve">  Total equivalent costs are estimated to be approximately $</w:t>
      </w:r>
      <w:r w:rsidR="0059445E" w:rsidRPr="00B8639F">
        <w:rPr>
          <w:rFonts w:ascii="Times New Roman" w:hAnsi="Times New Roman"/>
        </w:rPr>
        <w:t>1,011</w:t>
      </w:r>
      <w:r w:rsidRPr="00B8639F">
        <w:rPr>
          <w:rFonts w:ascii="Times New Roman" w:hAnsi="Times New Roman"/>
        </w:rPr>
        <w:t>,0</w:t>
      </w:r>
      <w:r w:rsidR="00E831AB" w:rsidRPr="00B8639F">
        <w:rPr>
          <w:rFonts w:ascii="Times New Roman" w:hAnsi="Times New Roman"/>
        </w:rPr>
        <w:t>00</w:t>
      </w:r>
      <w:r w:rsidRPr="00B8639F">
        <w:rPr>
          <w:rFonts w:ascii="Times New Roman" w:hAnsi="Times New Roman"/>
        </w:rPr>
        <w:t>.</w:t>
      </w:r>
      <w:r w:rsidRPr="00B8639F">
        <w:rPr>
          <w:rStyle w:val="FootnoteReference"/>
          <w:rFonts w:ascii="Times New Roman" w:hAnsi="Times New Roman"/>
          <w:vertAlign w:val="superscript"/>
        </w:rPr>
        <w:footnoteReference w:id="11"/>
      </w:r>
    </w:p>
    <w:p w:rsidR="002D77D4" w:rsidRPr="00B8639F" w:rsidRDefault="002D77D4" w:rsidP="00B8639F">
      <w:pPr>
        <w:widowControl/>
        <w:ind w:left="720"/>
        <w:rPr>
          <w:rFonts w:ascii="Times New Roman" w:hAnsi="Times New Roman"/>
          <w:i/>
          <w:iCs/>
        </w:rPr>
      </w:pPr>
    </w:p>
    <w:p w:rsidR="002D77D4" w:rsidRPr="00B8639F" w:rsidRDefault="002D77D4" w:rsidP="00B8639F">
      <w:pPr>
        <w:pStyle w:val="Quick1"/>
        <w:widowControl/>
        <w:tabs>
          <w:tab w:val="left" w:pos="-1440"/>
          <w:tab w:val="num" w:pos="720"/>
        </w:tabs>
        <w:rPr>
          <w:rFonts w:ascii="Times New Roman" w:hAnsi="Times New Roman"/>
          <w:i/>
          <w:iCs/>
        </w:rPr>
      </w:pPr>
      <w:r w:rsidRPr="00B8639F">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2D77D4" w:rsidRPr="00B8639F" w:rsidRDefault="002D77D4" w:rsidP="00B8639F">
      <w:pPr>
        <w:widowControl/>
        <w:rPr>
          <w:rFonts w:ascii="Times New Roman" w:hAnsi="Times New Roman"/>
        </w:rPr>
      </w:pPr>
    </w:p>
    <w:p w:rsidR="00A8356D" w:rsidRPr="00B8639F" w:rsidRDefault="00E662CA" w:rsidP="00B8639F">
      <w:pPr>
        <w:widowControl/>
        <w:ind w:left="720"/>
        <w:rPr>
          <w:rFonts w:ascii="Times New Roman" w:hAnsi="Times New Roman"/>
        </w:rPr>
      </w:pPr>
      <w:r w:rsidRPr="00B8639F">
        <w:rPr>
          <w:rFonts w:ascii="Times New Roman" w:hAnsi="Times New Roman"/>
        </w:rPr>
        <w:lastRenderedPageBreak/>
        <w:t xml:space="preserve">The information under this class exemption must be provided by mutual fund complexes to their client pension plans.  The Department assumes that the disclosure material will be prepared by in-house staff of the mutual fund complexes; therefore, the only cost burden will be for materials and postage.  </w:t>
      </w:r>
      <w:r w:rsidR="00CA352F" w:rsidRPr="00B8639F">
        <w:rPr>
          <w:rFonts w:ascii="Times New Roman" w:hAnsi="Times New Roman"/>
        </w:rPr>
        <w:t xml:space="preserve">Based on the </w:t>
      </w:r>
      <w:r w:rsidR="00A65835" w:rsidRPr="00B8639F">
        <w:rPr>
          <w:rFonts w:ascii="Times New Roman" w:hAnsi="Times New Roman"/>
        </w:rPr>
        <w:t xml:space="preserve">Department’s </w:t>
      </w:r>
      <w:r w:rsidR="00CA352F" w:rsidRPr="00B8639F">
        <w:rPr>
          <w:rFonts w:ascii="Times New Roman" w:hAnsi="Times New Roman"/>
        </w:rPr>
        <w:t>interpretation that the term “prospectus” includes a summary prospectus, t</w:t>
      </w:r>
      <w:r w:rsidRPr="00B8639F">
        <w:rPr>
          <w:rFonts w:ascii="Times New Roman" w:hAnsi="Times New Roman"/>
        </w:rPr>
        <w:t xml:space="preserve">he Department assumes that </w:t>
      </w:r>
      <w:r w:rsidR="00CA352F" w:rsidRPr="00B8639F">
        <w:rPr>
          <w:rFonts w:ascii="Times New Roman" w:hAnsi="Times New Roman"/>
        </w:rPr>
        <w:t xml:space="preserve">respondents will send the </w:t>
      </w:r>
      <w:r w:rsidR="0059445E" w:rsidRPr="00B8639F">
        <w:rPr>
          <w:rFonts w:ascii="Times New Roman" w:hAnsi="Times New Roman"/>
        </w:rPr>
        <w:t xml:space="preserve">summary </w:t>
      </w:r>
      <w:r w:rsidRPr="00B8639F">
        <w:rPr>
          <w:rFonts w:ascii="Times New Roman" w:hAnsi="Times New Roman"/>
        </w:rPr>
        <w:t xml:space="preserve">disclosure </w:t>
      </w:r>
      <w:r w:rsidR="00CA352F" w:rsidRPr="00B8639F">
        <w:rPr>
          <w:rFonts w:ascii="Times New Roman" w:hAnsi="Times New Roman"/>
        </w:rPr>
        <w:t xml:space="preserve">at a </w:t>
      </w:r>
      <w:r w:rsidRPr="00B8639F">
        <w:rPr>
          <w:rFonts w:ascii="Times New Roman" w:hAnsi="Times New Roman"/>
        </w:rPr>
        <w:t xml:space="preserve">cost </w:t>
      </w:r>
      <w:r w:rsidR="00CA352F" w:rsidRPr="00B8639F">
        <w:rPr>
          <w:rFonts w:ascii="Times New Roman" w:hAnsi="Times New Roman"/>
        </w:rPr>
        <w:t xml:space="preserve">of </w:t>
      </w:r>
      <w:r w:rsidRPr="00B8639F">
        <w:rPr>
          <w:rFonts w:ascii="Times New Roman" w:hAnsi="Times New Roman"/>
        </w:rPr>
        <w:t>$</w:t>
      </w:r>
      <w:r w:rsidR="00121312" w:rsidRPr="00B8639F">
        <w:rPr>
          <w:rFonts w:ascii="Times New Roman" w:hAnsi="Times New Roman"/>
        </w:rPr>
        <w:t>0</w:t>
      </w:r>
      <w:r w:rsidRPr="00B8639F">
        <w:rPr>
          <w:rFonts w:ascii="Times New Roman" w:hAnsi="Times New Roman"/>
        </w:rPr>
        <w:t>.</w:t>
      </w:r>
      <w:r w:rsidR="00121312" w:rsidRPr="00B8639F">
        <w:rPr>
          <w:rFonts w:ascii="Times New Roman" w:hAnsi="Times New Roman"/>
        </w:rPr>
        <w:t>7</w:t>
      </w:r>
      <w:r w:rsidR="00A842C6" w:rsidRPr="00B8639F">
        <w:rPr>
          <w:rFonts w:ascii="Times New Roman" w:hAnsi="Times New Roman"/>
        </w:rPr>
        <w:t>6</w:t>
      </w:r>
      <w:r w:rsidRPr="00B8639F">
        <w:rPr>
          <w:rFonts w:ascii="Times New Roman" w:hAnsi="Times New Roman"/>
        </w:rPr>
        <w:t xml:space="preserve"> in materials and postage ($0.</w:t>
      </w:r>
      <w:r w:rsidR="00121312" w:rsidRPr="00B8639F">
        <w:rPr>
          <w:rFonts w:ascii="Times New Roman" w:hAnsi="Times New Roman"/>
        </w:rPr>
        <w:t>4</w:t>
      </w:r>
      <w:r w:rsidR="00A842C6" w:rsidRPr="00B8639F">
        <w:rPr>
          <w:rFonts w:ascii="Times New Roman" w:hAnsi="Times New Roman"/>
        </w:rPr>
        <w:t>6</w:t>
      </w:r>
      <w:r w:rsidRPr="00B8639F">
        <w:rPr>
          <w:rFonts w:ascii="Times New Roman" w:hAnsi="Times New Roman"/>
        </w:rPr>
        <w:t xml:space="preserve"> postage and $</w:t>
      </w:r>
      <w:r w:rsidR="00121312" w:rsidRPr="00B8639F">
        <w:rPr>
          <w:rFonts w:ascii="Times New Roman" w:hAnsi="Times New Roman"/>
        </w:rPr>
        <w:t>0.30</w:t>
      </w:r>
      <w:r w:rsidRPr="00B8639F">
        <w:rPr>
          <w:rFonts w:ascii="Times New Roman" w:hAnsi="Times New Roman"/>
        </w:rPr>
        <w:t xml:space="preserve"> in materials)</w:t>
      </w:r>
      <w:r w:rsidR="00CA352F" w:rsidRPr="00B8639F">
        <w:rPr>
          <w:rFonts w:ascii="Times New Roman" w:hAnsi="Times New Roman"/>
        </w:rPr>
        <w:t>.</w:t>
      </w:r>
      <w:r w:rsidRPr="00B8639F">
        <w:rPr>
          <w:rStyle w:val="FootnoteReference"/>
          <w:rFonts w:ascii="Times New Roman" w:hAnsi="Times New Roman"/>
          <w:vertAlign w:val="superscript"/>
        </w:rPr>
        <w:footnoteReference w:id="12"/>
      </w:r>
      <w:r w:rsidR="00E831AB" w:rsidRPr="00B8639F">
        <w:rPr>
          <w:rFonts w:ascii="Times New Roman" w:hAnsi="Times New Roman"/>
        </w:rPr>
        <w:t xml:space="preserve"> The Department estimates that 38 percent of the disclosures will </w:t>
      </w:r>
      <w:r w:rsidR="000702A2" w:rsidRPr="00B8639F">
        <w:rPr>
          <w:rFonts w:ascii="Times New Roman" w:hAnsi="Times New Roman"/>
        </w:rPr>
        <w:t xml:space="preserve">be distributed </w:t>
      </w:r>
      <w:r w:rsidR="00E831AB" w:rsidRPr="00B8639F">
        <w:rPr>
          <w:rFonts w:ascii="Times New Roman" w:hAnsi="Times New Roman"/>
        </w:rPr>
        <w:t>electronically.</w:t>
      </w:r>
      <w:r w:rsidRPr="00B8639F">
        <w:rPr>
          <w:rFonts w:ascii="Times New Roman" w:hAnsi="Times New Roman"/>
        </w:rPr>
        <w:t xml:space="preserve">  </w:t>
      </w:r>
      <w:r w:rsidR="00CA352F" w:rsidRPr="00B8639F">
        <w:rPr>
          <w:rFonts w:ascii="Times New Roman" w:hAnsi="Times New Roman"/>
        </w:rPr>
        <w:t>Based on the foregoing, t</w:t>
      </w:r>
      <w:r w:rsidRPr="00B8639F">
        <w:rPr>
          <w:rFonts w:ascii="Times New Roman" w:hAnsi="Times New Roman"/>
        </w:rPr>
        <w:t xml:space="preserve">he </w:t>
      </w:r>
      <w:r w:rsidR="0059445E" w:rsidRPr="00B8639F">
        <w:rPr>
          <w:rFonts w:ascii="Times New Roman" w:hAnsi="Times New Roman"/>
        </w:rPr>
        <w:t xml:space="preserve">summary </w:t>
      </w:r>
      <w:r w:rsidRPr="00B8639F">
        <w:rPr>
          <w:rFonts w:ascii="Times New Roman" w:hAnsi="Times New Roman"/>
        </w:rPr>
        <w:t xml:space="preserve">disclosures will be mailed to </w:t>
      </w:r>
      <w:r w:rsidR="00AA03D1" w:rsidRPr="00B8639F">
        <w:rPr>
          <w:rFonts w:ascii="Times New Roman" w:hAnsi="Times New Roman"/>
        </w:rPr>
        <w:t>22</w:t>
      </w:r>
      <w:r w:rsidR="00900901" w:rsidRPr="00B8639F">
        <w:rPr>
          <w:rFonts w:ascii="Times New Roman" w:hAnsi="Times New Roman"/>
        </w:rPr>
        <w:t>5</w:t>
      </w:r>
      <w:r w:rsidRPr="00B8639F">
        <w:rPr>
          <w:rFonts w:ascii="Times New Roman" w:hAnsi="Times New Roman"/>
        </w:rPr>
        <w:t>,</w:t>
      </w:r>
      <w:r w:rsidR="00900901" w:rsidRPr="00B8639F">
        <w:rPr>
          <w:rFonts w:ascii="Times New Roman" w:hAnsi="Times New Roman"/>
        </w:rPr>
        <w:t>2</w:t>
      </w:r>
      <w:r w:rsidR="001603BC" w:rsidRPr="00B8639F">
        <w:rPr>
          <w:rFonts w:ascii="Times New Roman" w:hAnsi="Times New Roman"/>
        </w:rPr>
        <w:t>00</w:t>
      </w:r>
      <w:r w:rsidRPr="00B8639F">
        <w:rPr>
          <w:rFonts w:ascii="Times New Roman" w:hAnsi="Times New Roman"/>
        </w:rPr>
        <w:t xml:space="preserve"> plans</w:t>
      </w:r>
      <w:r w:rsidR="00851A07" w:rsidRPr="00B8639F">
        <w:rPr>
          <w:rFonts w:ascii="Times New Roman" w:hAnsi="Times New Roman"/>
        </w:rPr>
        <w:t xml:space="preserve"> at </w:t>
      </w:r>
      <w:r w:rsidR="00804BB4" w:rsidRPr="00B8639F">
        <w:rPr>
          <w:rFonts w:ascii="Times New Roman" w:hAnsi="Times New Roman"/>
        </w:rPr>
        <w:t>a cost</w:t>
      </w:r>
      <w:r w:rsidRPr="00B8639F">
        <w:rPr>
          <w:rFonts w:ascii="Times New Roman" w:hAnsi="Times New Roman"/>
        </w:rPr>
        <w:t xml:space="preserve"> of </w:t>
      </w:r>
      <w:r w:rsidR="00E831AB" w:rsidRPr="00B8639F">
        <w:rPr>
          <w:rFonts w:ascii="Times New Roman" w:hAnsi="Times New Roman"/>
        </w:rPr>
        <w:t>approximately</w:t>
      </w:r>
      <w:r w:rsidRPr="00B8639F">
        <w:rPr>
          <w:rFonts w:ascii="Times New Roman" w:hAnsi="Times New Roman"/>
        </w:rPr>
        <w:t xml:space="preserve"> $</w:t>
      </w:r>
      <w:r w:rsidR="00121312" w:rsidRPr="00B8639F">
        <w:rPr>
          <w:rFonts w:ascii="Times New Roman" w:hAnsi="Times New Roman"/>
        </w:rPr>
        <w:t>1</w:t>
      </w:r>
      <w:r w:rsidR="00A842C6" w:rsidRPr="00B8639F">
        <w:rPr>
          <w:rFonts w:ascii="Times New Roman" w:hAnsi="Times New Roman"/>
        </w:rPr>
        <w:t>71</w:t>
      </w:r>
      <w:r w:rsidRPr="00B8639F">
        <w:rPr>
          <w:rFonts w:ascii="Times New Roman" w:hAnsi="Times New Roman"/>
        </w:rPr>
        <w:t>,000.</w:t>
      </w:r>
      <w:r w:rsidRPr="00B8639F">
        <w:rPr>
          <w:rStyle w:val="FootnoteReference"/>
          <w:rFonts w:ascii="Times New Roman" w:hAnsi="Times New Roman"/>
          <w:vertAlign w:val="superscript"/>
        </w:rPr>
        <w:footnoteReference w:id="13"/>
      </w:r>
    </w:p>
    <w:p w:rsidR="00A8356D" w:rsidRPr="00B8639F" w:rsidRDefault="00A8356D" w:rsidP="00B8639F">
      <w:pPr>
        <w:widowControl/>
        <w:ind w:left="720"/>
        <w:rPr>
          <w:rFonts w:ascii="Times New Roman" w:hAnsi="Times New Roman"/>
        </w:rPr>
      </w:pPr>
    </w:p>
    <w:p w:rsidR="00E662CA" w:rsidRPr="00B8639F" w:rsidRDefault="0059445E" w:rsidP="00B8639F">
      <w:pPr>
        <w:widowControl/>
        <w:ind w:left="720"/>
        <w:rPr>
          <w:rFonts w:ascii="Times New Roman" w:hAnsi="Times New Roman"/>
        </w:rPr>
      </w:pPr>
      <w:r w:rsidRPr="00B8639F">
        <w:rPr>
          <w:rFonts w:ascii="Times New Roman" w:hAnsi="Times New Roman"/>
        </w:rPr>
        <w:t xml:space="preserve"> </w:t>
      </w:r>
      <w:r w:rsidR="00851A07" w:rsidRPr="00B8639F">
        <w:rPr>
          <w:rFonts w:ascii="Times New Roman" w:hAnsi="Times New Roman"/>
        </w:rPr>
        <w:t>The Department estimates that t</w:t>
      </w:r>
      <w:r w:rsidRPr="00B8639F">
        <w:rPr>
          <w:rFonts w:ascii="Times New Roman" w:hAnsi="Times New Roman"/>
        </w:rPr>
        <w:t>en percent of plan</w:t>
      </w:r>
      <w:r w:rsidR="00851A07" w:rsidRPr="00B8639F">
        <w:rPr>
          <w:rFonts w:ascii="Times New Roman" w:hAnsi="Times New Roman"/>
        </w:rPr>
        <w:t>s</w:t>
      </w:r>
      <w:r w:rsidRPr="00B8639F">
        <w:rPr>
          <w:rFonts w:ascii="Times New Roman" w:hAnsi="Times New Roman"/>
        </w:rPr>
        <w:t xml:space="preserve"> will request a full prospectus</w:t>
      </w:r>
      <w:r w:rsidR="00851A07" w:rsidRPr="00B8639F">
        <w:rPr>
          <w:rFonts w:ascii="Times New Roman" w:hAnsi="Times New Roman"/>
        </w:rPr>
        <w:t xml:space="preserve"> and that 38% will be sent electronically</w:t>
      </w:r>
      <w:r w:rsidR="00A65835" w:rsidRPr="00B8639F">
        <w:rPr>
          <w:rFonts w:ascii="Times New Roman" w:hAnsi="Times New Roman"/>
        </w:rPr>
        <w:t xml:space="preserve"> at negligible cost</w:t>
      </w:r>
      <w:r w:rsidR="00851A07" w:rsidRPr="00B8639F">
        <w:rPr>
          <w:rFonts w:ascii="Times New Roman" w:hAnsi="Times New Roman"/>
        </w:rPr>
        <w:t>. Mailing the full prospectus to the remaining 22,520 plans</w:t>
      </w:r>
      <w:r w:rsidR="00804BB4" w:rsidRPr="00B8639F">
        <w:rPr>
          <w:rFonts w:ascii="Times New Roman" w:hAnsi="Times New Roman"/>
        </w:rPr>
        <w:t xml:space="preserve"> </w:t>
      </w:r>
      <w:r w:rsidRPr="00B8639F">
        <w:rPr>
          <w:rFonts w:ascii="Times New Roman" w:hAnsi="Times New Roman"/>
        </w:rPr>
        <w:t>will cost $</w:t>
      </w:r>
      <w:r w:rsidR="00A842C6" w:rsidRPr="00B8639F">
        <w:rPr>
          <w:rFonts w:ascii="Times New Roman" w:hAnsi="Times New Roman"/>
        </w:rPr>
        <w:t>2.12</w:t>
      </w:r>
      <w:r w:rsidRPr="00B8639F">
        <w:rPr>
          <w:rFonts w:ascii="Times New Roman" w:hAnsi="Times New Roman"/>
        </w:rPr>
        <w:t xml:space="preserve"> in materials and postage ($</w:t>
      </w:r>
      <w:r w:rsidR="00A842C6" w:rsidRPr="00B8639F">
        <w:rPr>
          <w:rFonts w:ascii="Times New Roman" w:hAnsi="Times New Roman"/>
        </w:rPr>
        <w:t>1</w:t>
      </w:r>
      <w:r w:rsidRPr="00B8639F">
        <w:rPr>
          <w:rFonts w:ascii="Times New Roman" w:hAnsi="Times New Roman"/>
        </w:rPr>
        <w:t>.</w:t>
      </w:r>
      <w:r w:rsidR="00A842C6" w:rsidRPr="00B8639F">
        <w:rPr>
          <w:rFonts w:ascii="Times New Roman" w:hAnsi="Times New Roman"/>
        </w:rPr>
        <w:t>12</w:t>
      </w:r>
      <w:r w:rsidRPr="00B8639F">
        <w:rPr>
          <w:rFonts w:ascii="Times New Roman" w:hAnsi="Times New Roman"/>
        </w:rPr>
        <w:t xml:space="preserve"> postage and $1.00 in materials)</w:t>
      </w:r>
      <w:r w:rsidR="00851A07" w:rsidRPr="00B8639F">
        <w:rPr>
          <w:rFonts w:ascii="Times New Roman" w:hAnsi="Times New Roman"/>
        </w:rPr>
        <w:t xml:space="preserve"> resulting in</w:t>
      </w:r>
      <w:r w:rsidRPr="00B8639F">
        <w:rPr>
          <w:rFonts w:ascii="Times New Roman" w:hAnsi="Times New Roman"/>
        </w:rPr>
        <w:t xml:space="preserve"> a cost of approximately $4</w:t>
      </w:r>
      <w:r w:rsidR="00A842C6" w:rsidRPr="00B8639F">
        <w:rPr>
          <w:rFonts w:ascii="Times New Roman" w:hAnsi="Times New Roman"/>
        </w:rPr>
        <w:t>8</w:t>
      </w:r>
      <w:r w:rsidRPr="00B8639F">
        <w:rPr>
          <w:rFonts w:ascii="Times New Roman" w:hAnsi="Times New Roman"/>
        </w:rPr>
        <w:t>,000.</w:t>
      </w:r>
      <w:r w:rsidR="00E87804" w:rsidRPr="00B8639F">
        <w:rPr>
          <w:rStyle w:val="FootnoteReference"/>
          <w:rFonts w:ascii="Times New Roman" w:hAnsi="Times New Roman"/>
          <w:vertAlign w:val="superscript"/>
        </w:rPr>
        <w:footnoteReference w:id="14"/>
      </w:r>
      <w:r w:rsidR="00E87804" w:rsidRPr="00B8639F">
        <w:rPr>
          <w:rFonts w:ascii="Times New Roman" w:hAnsi="Times New Roman"/>
        </w:rPr>
        <w:t xml:space="preserve">  The total cost of this ICR is </w:t>
      </w:r>
      <w:r w:rsidR="00A8356D" w:rsidRPr="00B8639F">
        <w:rPr>
          <w:rFonts w:ascii="Times New Roman" w:hAnsi="Times New Roman"/>
        </w:rPr>
        <w:t xml:space="preserve">approximately </w:t>
      </w:r>
      <w:r w:rsidR="00E87804" w:rsidRPr="00B8639F">
        <w:rPr>
          <w:rFonts w:ascii="Times New Roman" w:hAnsi="Times New Roman"/>
        </w:rPr>
        <w:t>$21</w:t>
      </w:r>
      <w:r w:rsidR="00A842C6" w:rsidRPr="00B8639F">
        <w:rPr>
          <w:rFonts w:ascii="Times New Roman" w:hAnsi="Times New Roman"/>
        </w:rPr>
        <w:t>9</w:t>
      </w:r>
      <w:r w:rsidR="00E87804" w:rsidRPr="00B8639F">
        <w:rPr>
          <w:rFonts w:ascii="Times New Roman" w:hAnsi="Times New Roman"/>
        </w:rPr>
        <w:t>,000.</w:t>
      </w:r>
    </w:p>
    <w:p w:rsidR="002D77D4" w:rsidRPr="00B8639F" w:rsidRDefault="002D77D4" w:rsidP="00B8639F">
      <w:pPr>
        <w:widowControl/>
        <w:ind w:left="720"/>
        <w:rPr>
          <w:rFonts w:ascii="Times New Roman" w:hAnsi="Times New Roman"/>
        </w:rPr>
      </w:pPr>
    </w:p>
    <w:p w:rsidR="002D77D4" w:rsidRPr="00B8639F" w:rsidRDefault="002D77D4" w:rsidP="00B8639F">
      <w:pPr>
        <w:pStyle w:val="Quick1"/>
        <w:widowControl/>
        <w:tabs>
          <w:tab w:val="left" w:pos="-1440"/>
          <w:tab w:val="num" w:pos="720"/>
        </w:tabs>
        <w:rPr>
          <w:rFonts w:ascii="Times New Roman" w:hAnsi="Times New Roman"/>
          <w:i/>
          <w:iCs/>
        </w:rPr>
      </w:pPr>
      <w:r w:rsidRPr="00B8639F">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D77D4" w:rsidRPr="00B8639F" w:rsidRDefault="002D77D4" w:rsidP="00B8639F">
      <w:pPr>
        <w:widowControl/>
        <w:ind w:left="720"/>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There is no cost to the Federal government.  This class exemption does not result in any information being filed with or reported to the Federal government.</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15.</w:t>
      </w:r>
      <w:r w:rsidRPr="00B8639F">
        <w:rPr>
          <w:rFonts w:ascii="Times New Roman" w:hAnsi="Times New Roman"/>
          <w:i/>
        </w:rPr>
        <w:tab/>
      </w:r>
      <w:r w:rsidRPr="00B8639F">
        <w:rPr>
          <w:rFonts w:ascii="Times New Roman" w:hAnsi="Times New Roman"/>
          <w:i/>
          <w:iCs/>
        </w:rPr>
        <w:t>Explain the reasons for any program changes or adjustments reported in Items 13 or 14 of the OMB Form 83-I.</w:t>
      </w:r>
    </w:p>
    <w:p w:rsidR="002D77D4" w:rsidRPr="00B8639F" w:rsidRDefault="002D77D4" w:rsidP="00B8639F">
      <w:pPr>
        <w:widowControl/>
        <w:rPr>
          <w:rFonts w:ascii="Times New Roman" w:hAnsi="Times New Roman"/>
          <w:i/>
          <w:iCs/>
        </w:rPr>
      </w:pPr>
    </w:p>
    <w:p w:rsidR="00575A51" w:rsidRDefault="00575A51" w:rsidP="00B8639F">
      <w:pPr>
        <w:widowControl/>
        <w:ind w:left="720"/>
        <w:rPr>
          <w:rFonts w:ascii="Times New Roman" w:hAnsi="Times New Roman"/>
        </w:rPr>
      </w:pPr>
      <w:r w:rsidRPr="00575A51">
        <w:rPr>
          <w:rFonts w:ascii="Times New Roman" w:hAnsi="Times New Roman"/>
        </w:rPr>
        <w:t>Previously, the exemption required mutual fund companies to supply all plan fiduciaries with a full prospectus.  The Department revised the disclosure requirements to allow mutual fund companies to provide a summary prospectus to all plan fiduciaries and provide a full prospectus on demand.</w:t>
      </w:r>
    </w:p>
    <w:p w:rsidR="002D77D4" w:rsidRPr="00B8639F" w:rsidRDefault="00F663E5" w:rsidP="00B8639F">
      <w:pPr>
        <w:widowControl/>
        <w:ind w:left="720"/>
        <w:rPr>
          <w:rFonts w:ascii="Times New Roman" w:hAnsi="Times New Roman"/>
        </w:rPr>
      </w:pPr>
      <w:r w:rsidRPr="00B8639F">
        <w:rPr>
          <w:rFonts w:ascii="Times New Roman" w:hAnsi="Times New Roman"/>
        </w:rPr>
        <w:t xml:space="preserve">These updated numbers reflect </w:t>
      </w:r>
      <w:r w:rsidR="00900901" w:rsidRPr="00B8639F">
        <w:rPr>
          <w:rFonts w:ascii="Times New Roman" w:hAnsi="Times New Roman"/>
        </w:rPr>
        <w:t>increased wage costs</w:t>
      </w:r>
      <w:r w:rsidR="00A842C6" w:rsidRPr="00B8639F">
        <w:rPr>
          <w:rFonts w:ascii="Times New Roman" w:hAnsi="Times New Roman"/>
        </w:rPr>
        <w:t xml:space="preserve"> and increased postage rates</w:t>
      </w:r>
      <w:r w:rsidR="00900901" w:rsidRPr="00B8639F">
        <w:rPr>
          <w:rFonts w:ascii="Times New Roman" w:hAnsi="Times New Roman"/>
        </w:rPr>
        <w:t xml:space="preserve">, associated with inflation.  These updated numbers also reflect a decrease in </w:t>
      </w:r>
      <w:r w:rsidR="007B3784" w:rsidRPr="00B8639F">
        <w:rPr>
          <w:rFonts w:ascii="Times New Roman" w:hAnsi="Times New Roman"/>
        </w:rPr>
        <w:t>material</w:t>
      </w:r>
      <w:r w:rsidR="00900901" w:rsidRPr="00B8639F">
        <w:rPr>
          <w:rFonts w:ascii="Times New Roman" w:hAnsi="Times New Roman"/>
        </w:rPr>
        <w:t xml:space="preserve"> and postage costs associated with </w:t>
      </w:r>
      <w:r w:rsidR="0095567D">
        <w:rPr>
          <w:rFonts w:ascii="Times New Roman" w:hAnsi="Times New Roman"/>
        </w:rPr>
        <w:t>the</w:t>
      </w:r>
      <w:r w:rsidR="00FA00D1" w:rsidRPr="00B8639F">
        <w:rPr>
          <w:rFonts w:ascii="Times New Roman" w:hAnsi="Times New Roman"/>
        </w:rPr>
        <w:t xml:space="preserve"> revision </w:t>
      </w:r>
      <w:r w:rsidR="00804BB4" w:rsidRPr="00B8639F">
        <w:rPr>
          <w:rFonts w:ascii="Times New Roman" w:hAnsi="Times New Roman"/>
        </w:rPr>
        <w:t>to the</w:t>
      </w:r>
      <w:r w:rsidR="00900901" w:rsidRPr="00B8639F">
        <w:rPr>
          <w:rFonts w:ascii="Times New Roman" w:hAnsi="Times New Roman"/>
        </w:rPr>
        <w:t xml:space="preserve"> information collection’s disclosure requirements.  In the previous submission, a full prospectus was required, which was </w:t>
      </w:r>
      <w:r w:rsidR="00900901" w:rsidRPr="00B8639F">
        <w:rPr>
          <w:rFonts w:ascii="Times New Roman" w:hAnsi="Times New Roman"/>
        </w:rPr>
        <w:lastRenderedPageBreak/>
        <w:t xml:space="preserve">estimated to require 20 pages of paper.  </w:t>
      </w:r>
      <w:r w:rsidR="00CA352F" w:rsidRPr="00B8639F">
        <w:rPr>
          <w:rFonts w:ascii="Times New Roman" w:hAnsi="Times New Roman"/>
        </w:rPr>
        <w:t>The Department i</w:t>
      </w:r>
      <w:r w:rsidR="006C36FB" w:rsidRPr="00B8639F">
        <w:rPr>
          <w:rFonts w:ascii="Times New Roman" w:hAnsi="Times New Roman"/>
        </w:rPr>
        <w:t>nterpret</w:t>
      </w:r>
      <w:r w:rsidR="00A65835" w:rsidRPr="00B8639F">
        <w:rPr>
          <w:rFonts w:ascii="Times New Roman" w:hAnsi="Times New Roman"/>
        </w:rPr>
        <w:t>s</w:t>
      </w:r>
      <w:r w:rsidR="006C36FB" w:rsidRPr="00B8639F">
        <w:rPr>
          <w:rFonts w:ascii="Times New Roman" w:hAnsi="Times New Roman"/>
        </w:rPr>
        <w:t xml:space="preserve"> the term “prospectus” to include a summary prospectus, </w:t>
      </w:r>
      <w:r w:rsidR="00900901" w:rsidRPr="00B8639F">
        <w:rPr>
          <w:rFonts w:ascii="Times New Roman" w:hAnsi="Times New Roman"/>
        </w:rPr>
        <w:t>which is estimate</w:t>
      </w:r>
      <w:r w:rsidR="00A842C6" w:rsidRPr="00B8639F">
        <w:rPr>
          <w:rFonts w:ascii="Times New Roman" w:hAnsi="Times New Roman"/>
        </w:rPr>
        <w:t>d to require 6 pages of paper.</w:t>
      </w:r>
      <w:r w:rsidR="002D77D4" w:rsidRPr="00B8639F">
        <w:rPr>
          <w:rFonts w:ascii="Times New Roman" w:hAnsi="Times New Roman"/>
        </w:rPr>
        <w:t xml:space="preserve"> </w:t>
      </w:r>
      <w:r w:rsidR="002D77D4" w:rsidRPr="00B8639F">
        <w:rPr>
          <w:rFonts w:ascii="Times New Roman" w:hAnsi="Times New Roman"/>
          <w:i/>
          <w:iCs/>
        </w:rPr>
        <w:t xml:space="preserve"> </w:t>
      </w:r>
      <w:r w:rsidR="005B022B">
        <w:rPr>
          <w:rFonts w:ascii="Times New Roman" w:hAnsi="Times New Roman"/>
          <w:iCs/>
        </w:rPr>
        <w:t xml:space="preserve">Thus, while the number of responses </w:t>
      </w:r>
      <w:r w:rsidR="00A35375">
        <w:rPr>
          <w:rFonts w:ascii="Times New Roman" w:hAnsi="Times New Roman"/>
          <w:iCs/>
        </w:rPr>
        <w:t xml:space="preserve">and burden hours </w:t>
      </w:r>
      <w:r w:rsidR="005B022B">
        <w:rPr>
          <w:rFonts w:ascii="Times New Roman" w:hAnsi="Times New Roman"/>
          <w:iCs/>
        </w:rPr>
        <w:t xml:space="preserve">is expected increase because some </w:t>
      </w:r>
      <w:r w:rsidR="000625A6">
        <w:rPr>
          <w:rFonts w:ascii="Times New Roman" w:hAnsi="Times New Roman"/>
          <w:iCs/>
        </w:rPr>
        <w:t>clients wi</w:t>
      </w:r>
      <w:r w:rsidR="00A35375">
        <w:rPr>
          <w:rFonts w:ascii="Times New Roman" w:hAnsi="Times New Roman"/>
          <w:iCs/>
        </w:rPr>
        <w:t xml:space="preserve">ll request the full prospectus, </w:t>
      </w:r>
      <w:r w:rsidR="00B549FF">
        <w:rPr>
          <w:rFonts w:ascii="Times New Roman" w:hAnsi="Times New Roman"/>
          <w:iCs/>
        </w:rPr>
        <w:t xml:space="preserve">maintenance and operations </w:t>
      </w:r>
      <w:r w:rsidR="00A35375">
        <w:rPr>
          <w:rFonts w:ascii="Times New Roman" w:hAnsi="Times New Roman"/>
          <w:iCs/>
        </w:rPr>
        <w:t xml:space="preserve">burden costs </w:t>
      </w:r>
      <w:r w:rsidR="00B549FF">
        <w:rPr>
          <w:rFonts w:ascii="Times New Roman" w:hAnsi="Times New Roman"/>
          <w:iCs/>
        </w:rPr>
        <w:t xml:space="preserve">for paper </w:t>
      </w:r>
      <w:r w:rsidR="00A35375">
        <w:rPr>
          <w:rFonts w:ascii="Times New Roman" w:hAnsi="Times New Roman"/>
          <w:iCs/>
        </w:rPr>
        <w:t>will decrease</w:t>
      </w:r>
      <w:r w:rsidR="00B549FF">
        <w:rPr>
          <w:rFonts w:ascii="Times New Roman" w:hAnsi="Times New Roman"/>
          <w:iCs/>
        </w:rPr>
        <w:t>.</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16.</w:t>
      </w:r>
      <w:r w:rsidRPr="00B8639F">
        <w:rPr>
          <w:rFonts w:ascii="Times New Roman" w:hAnsi="Times New Roman"/>
          <w:i/>
        </w:rPr>
        <w:tab/>
      </w:r>
      <w:r w:rsidRPr="00B8639F">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This is not a collection of information for statistical use, and there are no plans to publish the results of this collection.</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17.</w:t>
      </w:r>
      <w:r w:rsidRPr="00B8639F">
        <w:rPr>
          <w:rFonts w:ascii="Times New Roman" w:hAnsi="Times New Roman"/>
          <w:i/>
        </w:rPr>
        <w:tab/>
      </w:r>
      <w:r w:rsidRPr="00B8639F">
        <w:rPr>
          <w:rFonts w:ascii="Times New Roman" w:hAnsi="Times New Roman"/>
          <w:i/>
          <w:iCs/>
        </w:rPr>
        <w:t>If seeking approval to not display the expiration date for OMB approval of the information collection, explain the reasons that display would be inappropriate.</w:t>
      </w:r>
    </w:p>
    <w:p w:rsidR="002D77D4" w:rsidRPr="00B8639F" w:rsidRDefault="002D77D4" w:rsidP="00B8639F">
      <w:pPr>
        <w:widowControl/>
        <w:rPr>
          <w:rFonts w:ascii="Times New Roman" w:hAnsi="Times New Roman"/>
        </w:rPr>
      </w:pPr>
    </w:p>
    <w:p w:rsidR="002D77D4" w:rsidRPr="00B8639F" w:rsidRDefault="002D77D4" w:rsidP="00B8639F">
      <w:pPr>
        <w:widowControl/>
        <w:ind w:left="720"/>
        <w:rPr>
          <w:rFonts w:ascii="Times New Roman" w:hAnsi="Times New Roman"/>
        </w:rPr>
      </w:pPr>
      <w:r w:rsidRPr="00B8639F">
        <w:rPr>
          <w:rFonts w:ascii="Times New Roman" w:hAnsi="Times New Roman"/>
        </w:rPr>
        <w:t xml:space="preserve">The collection of information will display a currently valid OMB control number. </w:t>
      </w:r>
    </w:p>
    <w:p w:rsidR="002D77D4" w:rsidRPr="00B8639F" w:rsidRDefault="002D77D4" w:rsidP="00B8639F">
      <w:pPr>
        <w:widowControl/>
        <w:rPr>
          <w:rFonts w:ascii="Times New Roman" w:hAnsi="Times New Roman"/>
        </w:rPr>
      </w:pPr>
    </w:p>
    <w:p w:rsidR="002D77D4" w:rsidRPr="00B8639F" w:rsidRDefault="002D77D4" w:rsidP="00B8639F">
      <w:pPr>
        <w:widowControl/>
        <w:tabs>
          <w:tab w:val="left" w:pos="-1440"/>
        </w:tabs>
        <w:ind w:left="720" w:hanging="720"/>
        <w:rPr>
          <w:rFonts w:ascii="Times New Roman" w:hAnsi="Times New Roman"/>
          <w:i/>
          <w:iCs/>
        </w:rPr>
      </w:pPr>
      <w:r w:rsidRPr="00B8639F">
        <w:rPr>
          <w:rFonts w:ascii="Times New Roman" w:hAnsi="Times New Roman"/>
          <w:i/>
        </w:rPr>
        <w:t>18.</w:t>
      </w:r>
      <w:r w:rsidRPr="00B8639F">
        <w:rPr>
          <w:rFonts w:ascii="Times New Roman" w:hAnsi="Times New Roman"/>
          <w:i/>
        </w:rPr>
        <w:tab/>
      </w:r>
      <w:r w:rsidRPr="00B8639F">
        <w:rPr>
          <w:rFonts w:ascii="Times New Roman" w:hAnsi="Times New Roman"/>
          <w:i/>
          <w:iCs/>
        </w:rPr>
        <w:t>Explain each exception to the certification statement identified in Item 19, "Certification for Paperwork Reduction Act Submission," of OMB 83-I.</w:t>
      </w:r>
    </w:p>
    <w:p w:rsidR="002D77D4" w:rsidRPr="00B8639F" w:rsidRDefault="002D77D4" w:rsidP="00B8639F">
      <w:pPr>
        <w:widowControl/>
        <w:rPr>
          <w:rFonts w:ascii="Times New Roman" w:hAnsi="Times New Roman"/>
        </w:rPr>
      </w:pPr>
    </w:p>
    <w:p w:rsidR="002D77D4" w:rsidRPr="00B8639F" w:rsidRDefault="002D77D4" w:rsidP="00B8639F">
      <w:pPr>
        <w:widowControl/>
        <w:ind w:firstLine="720"/>
        <w:rPr>
          <w:rFonts w:ascii="Times New Roman" w:hAnsi="Times New Roman"/>
        </w:rPr>
      </w:pPr>
      <w:r w:rsidRPr="00B8639F">
        <w:rPr>
          <w:rFonts w:ascii="Times New Roman" w:hAnsi="Times New Roman"/>
        </w:rPr>
        <w:t>Not applicable.</w:t>
      </w:r>
    </w:p>
    <w:p w:rsidR="007A6AB7" w:rsidRPr="00B8639F" w:rsidRDefault="007A6AB7" w:rsidP="00B8639F">
      <w:pPr>
        <w:widowControl/>
        <w:ind w:firstLine="720"/>
        <w:rPr>
          <w:rFonts w:ascii="Times New Roman" w:hAnsi="Times New Roman"/>
        </w:rPr>
      </w:pPr>
    </w:p>
    <w:p w:rsidR="007A6AB7" w:rsidRPr="00B8639F" w:rsidRDefault="007A6AB7" w:rsidP="00B8639F">
      <w:pPr>
        <w:widowControl/>
        <w:tabs>
          <w:tab w:val="left" w:pos="-1440"/>
        </w:tabs>
        <w:ind w:left="720" w:hanging="720"/>
        <w:outlineLvl w:val="0"/>
        <w:rPr>
          <w:rFonts w:ascii="Times New Roman" w:hAnsi="Times New Roman"/>
        </w:rPr>
      </w:pPr>
      <w:r w:rsidRPr="00B8639F">
        <w:rPr>
          <w:rFonts w:ascii="Times New Roman" w:hAnsi="Times New Roman"/>
          <w:b/>
          <w:bCs/>
        </w:rPr>
        <w:t>B.</w:t>
      </w:r>
      <w:r w:rsidRPr="00B8639F">
        <w:rPr>
          <w:rFonts w:ascii="Times New Roman" w:hAnsi="Times New Roman"/>
          <w:b/>
          <w:bCs/>
        </w:rPr>
        <w:tab/>
        <w:t>Collections of Information Employing Statistical Methods</w:t>
      </w:r>
    </w:p>
    <w:p w:rsidR="007A6AB7" w:rsidRPr="00B8639F" w:rsidRDefault="007A6AB7" w:rsidP="00B8639F">
      <w:pPr>
        <w:widowControl/>
        <w:rPr>
          <w:rFonts w:ascii="Times New Roman" w:hAnsi="Times New Roman"/>
        </w:rPr>
      </w:pPr>
    </w:p>
    <w:p w:rsidR="002D77D4" w:rsidRPr="00B8639F" w:rsidRDefault="007A6AB7" w:rsidP="00B8639F">
      <w:pPr>
        <w:widowControl/>
        <w:rPr>
          <w:rFonts w:ascii="Times New Roman" w:hAnsi="Times New Roman"/>
        </w:rPr>
      </w:pPr>
      <w:r w:rsidRPr="00B8639F">
        <w:rPr>
          <w:rFonts w:ascii="Times New Roman" w:hAnsi="Times New Roman"/>
        </w:rPr>
        <w:t>Not applicable.  The use of statistical methods is not relevant to this collection of information</w:t>
      </w:r>
    </w:p>
    <w:sectPr w:rsidR="002D77D4" w:rsidRPr="00B8639F">
      <w:head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35" w:rsidRDefault="00A65835">
      <w:r>
        <w:separator/>
      </w:r>
    </w:p>
  </w:endnote>
  <w:endnote w:type="continuationSeparator" w:id="0">
    <w:p w:rsidR="00A65835" w:rsidRDefault="00A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35" w:rsidRDefault="00A65835">
      <w:r>
        <w:separator/>
      </w:r>
    </w:p>
  </w:footnote>
  <w:footnote w:type="continuationSeparator" w:id="0">
    <w:p w:rsidR="00A65835" w:rsidRDefault="00A65835">
      <w:r>
        <w:continuationSeparator/>
      </w:r>
    </w:p>
  </w:footnote>
  <w:footnote w:id="1">
    <w:p w:rsidR="00A65835" w:rsidRPr="00804BB4" w:rsidRDefault="00A65835" w:rsidP="00FA00D1">
      <w:pPr>
        <w:pStyle w:val="FootnoteText"/>
        <w:rPr>
          <w:rFonts w:ascii="Times New Roman" w:hAnsi="Times New Roman"/>
        </w:rPr>
      </w:pPr>
      <w:r w:rsidRPr="00804BB4">
        <w:rPr>
          <w:rStyle w:val="FootnoteReference"/>
          <w:vertAlign w:val="superscript"/>
        </w:rPr>
        <w:footnoteRef/>
      </w:r>
      <w:r w:rsidRPr="00804BB4">
        <w:rPr>
          <w:rFonts w:ascii="Times New Roman" w:hAnsi="Times New Roman"/>
        </w:rPr>
        <w:t>See 74 FR 4546 (January 26, 2009).  The final rule adopted, among other things, parallel amendments to SEC Form</w:t>
      </w:r>
      <w:r>
        <w:rPr>
          <w:rFonts w:ascii="Times New Roman" w:hAnsi="Times New Roman"/>
        </w:rPr>
        <w:t xml:space="preserve"> </w:t>
      </w:r>
      <w:r w:rsidRPr="00804BB4">
        <w:rPr>
          <w:rFonts w:ascii="Times New Roman" w:hAnsi="Times New Roman"/>
        </w:rPr>
        <w:t xml:space="preserve">N-1A (the registration form for mutual funds) and to Rule 498 (which includes the content requirements for a summary prospectus).  </w:t>
      </w:r>
    </w:p>
  </w:footnote>
  <w:footnote w:id="2">
    <w:p w:rsidR="00A65835" w:rsidRPr="00804BB4" w:rsidRDefault="00A65835" w:rsidP="00FA00D1">
      <w:pPr>
        <w:pStyle w:val="FootnoteText"/>
        <w:rPr>
          <w:rFonts w:ascii="Times New Roman" w:hAnsi="Times New Roman"/>
        </w:rPr>
      </w:pPr>
      <w:r w:rsidRPr="00804BB4">
        <w:rPr>
          <w:rStyle w:val="FootnoteReference"/>
          <w:rFonts w:ascii="Times New Roman" w:hAnsi="Times New Roman"/>
          <w:vertAlign w:val="superscript"/>
        </w:rPr>
        <w:footnoteRef/>
      </w:r>
      <w:r w:rsidRPr="00804BB4">
        <w:rPr>
          <w:rFonts w:ascii="Times New Roman" w:hAnsi="Times New Roman"/>
        </w:rPr>
        <w:t xml:space="preserve"> 17 CFR § 230.498(</w:t>
      </w:r>
      <w:r>
        <w:rPr>
          <w:rFonts w:ascii="Times New Roman" w:hAnsi="Times New Roman"/>
        </w:rPr>
        <w:t>f</w:t>
      </w:r>
      <w:r w:rsidRPr="00804BB4">
        <w:rPr>
          <w:rFonts w:ascii="Times New Roman" w:hAnsi="Times New Roman"/>
        </w:rPr>
        <w:t>).</w:t>
      </w:r>
    </w:p>
  </w:footnote>
  <w:footnote w:id="3">
    <w:p w:rsidR="00A65835" w:rsidRDefault="00A65835" w:rsidP="00FA00D1">
      <w:pPr>
        <w:pStyle w:val="FootnoteText"/>
      </w:pPr>
      <w:r w:rsidRPr="00804BB4">
        <w:rPr>
          <w:rStyle w:val="FootnoteReference"/>
          <w:rFonts w:ascii="Times New Roman" w:hAnsi="Times New Roman"/>
          <w:vertAlign w:val="superscript"/>
        </w:rPr>
        <w:footnoteRef/>
      </w:r>
      <w:r w:rsidRPr="00804BB4">
        <w:rPr>
          <w:rFonts w:ascii="Times New Roman" w:hAnsi="Times New Roman"/>
        </w:rPr>
        <w:t xml:space="preserve"> 17 CFR § 230.498</w:t>
      </w:r>
      <w:r>
        <w:rPr>
          <w:rFonts w:ascii="Times New Roman" w:hAnsi="Times New Roman"/>
        </w:rPr>
        <w:t>(b)(1)(A)</w:t>
      </w:r>
      <w:r w:rsidRPr="00804BB4">
        <w:rPr>
          <w:rFonts w:ascii="Times New Roman" w:hAnsi="Times New Roman"/>
        </w:rPr>
        <w:t>.</w:t>
      </w:r>
      <w:r w:rsidRPr="00E1415A">
        <w:t xml:space="preserve">    </w:t>
      </w:r>
    </w:p>
  </w:footnote>
  <w:footnote w:id="4">
    <w:p w:rsidR="00A65835" w:rsidRPr="00B14C9B" w:rsidRDefault="00A65835" w:rsidP="00B14C9B">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r w:rsidRPr="00F663E5">
        <w:rPr>
          <w:rFonts w:ascii="Times New Roman" w:hAnsi="Times New Roman"/>
          <w:i/>
        </w:rPr>
        <w:t>201</w:t>
      </w:r>
      <w:r>
        <w:rPr>
          <w:rFonts w:ascii="Times New Roman" w:hAnsi="Times New Roman"/>
          <w:i/>
        </w:rPr>
        <w:t>2</w:t>
      </w:r>
      <w:r w:rsidRPr="00F663E5">
        <w:rPr>
          <w:rFonts w:ascii="Times New Roman" w:hAnsi="Times New Roman"/>
          <w:i/>
        </w:rPr>
        <w:t xml:space="preserve"> Investment Company Fact Book</w:t>
      </w:r>
      <w:r>
        <w:rPr>
          <w:rFonts w:ascii="Times New Roman" w:hAnsi="Times New Roman"/>
        </w:rPr>
        <w:t xml:space="preserve">, Investment Company Institute 2012. </w:t>
      </w:r>
      <w:r w:rsidRPr="00256B44">
        <w:rPr>
          <w:rFonts w:ascii="Times New Roman" w:hAnsi="Times New Roman"/>
        </w:rPr>
        <w:t>Please note that the numbers in the text are rounded to the nearest 1,000 (or 100)</w:t>
      </w:r>
      <w:r>
        <w:rPr>
          <w:rFonts w:ascii="Times New Roman" w:hAnsi="Times New Roman"/>
          <w:sz w:val="24"/>
        </w:rPr>
        <w:t>.</w:t>
      </w:r>
    </w:p>
  </w:footnote>
  <w:footnote w:id="5">
    <w:p w:rsidR="00A65835" w:rsidRDefault="00A65835">
      <w:pPr>
        <w:pStyle w:val="FootnoteText"/>
      </w:pPr>
      <w:r w:rsidRPr="00E20242">
        <w:rPr>
          <w:rStyle w:val="FootnoteReference"/>
          <w:vertAlign w:val="superscript"/>
        </w:rPr>
        <w:footnoteRef/>
      </w:r>
      <w:r w:rsidRPr="005E368A">
        <w:rPr>
          <w:rFonts w:ascii="Times New Roman" w:hAnsi="Times New Roman"/>
          <w:i/>
        </w:rPr>
        <w:t>401(k) Plans:  How Plan Sponsors See the Marketplace</w:t>
      </w:r>
      <w:r w:rsidRPr="003E0AB9">
        <w:rPr>
          <w:rFonts w:ascii="Times New Roman" w:hAnsi="Times New Roman"/>
        </w:rPr>
        <w:t>, Investment Company Institute, Winter 1999.</w:t>
      </w:r>
    </w:p>
  </w:footnote>
  <w:footnote w:id="6">
    <w:p w:rsidR="00A65835" w:rsidRPr="00E20242" w:rsidRDefault="00A65835">
      <w:pPr>
        <w:pStyle w:val="FootnoteText"/>
        <w:rPr>
          <w:rFonts w:ascii="Times New Roman" w:hAnsi="Times New Roman"/>
        </w:rPr>
      </w:pPr>
      <w:r w:rsidRPr="00E20242">
        <w:rPr>
          <w:rStyle w:val="FootnoteReference"/>
          <w:rFonts w:ascii="Times New Roman" w:hAnsi="Times New Roman"/>
          <w:vertAlign w:val="superscript"/>
        </w:rPr>
        <w:footnoteRef/>
      </w:r>
      <w:r w:rsidRPr="00E20242">
        <w:rPr>
          <w:rFonts w:ascii="Times New Roman" w:hAnsi="Times New Roman"/>
          <w:vertAlign w:val="superscript"/>
        </w:rPr>
        <w:t xml:space="preserve"> </w:t>
      </w:r>
      <w:r>
        <w:rPr>
          <w:rFonts w:ascii="Times New Roman" w:hAnsi="Times New Roman"/>
        </w:rPr>
        <w:t xml:space="preserve">Deloitte. </w:t>
      </w:r>
      <w:r w:rsidRPr="00E20242">
        <w:rPr>
          <w:rFonts w:ascii="Times New Roman" w:hAnsi="Times New Roman"/>
          <w:i/>
        </w:rPr>
        <w:t>Defined Contribution/401(k) Fee Study</w:t>
      </w:r>
      <w:r w:rsidRPr="00E20242">
        <w:rPr>
          <w:rFonts w:ascii="Times New Roman" w:hAnsi="Times New Roman"/>
        </w:rPr>
        <w:t>. Investment Company Institute</w:t>
      </w:r>
      <w:r>
        <w:rPr>
          <w:rFonts w:ascii="Times New Roman" w:hAnsi="Times New Roman"/>
        </w:rPr>
        <w:t>. June 2009.</w:t>
      </w:r>
    </w:p>
  </w:footnote>
  <w:footnote w:id="7">
    <w:p w:rsidR="00A65835" w:rsidRPr="00E20242" w:rsidRDefault="00A65835">
      <w:pPr>
        <w:pStyle w:val="FootnoteText"/>
        <w:rPr>
          <w:rFonts w:ascii="Times New Roman" w:hAnsi="Times New Roman"/>
        </w:rPr>
      </w:pPr>
      <w:r w:rsidRPr="00E20242">
        <w:rPr>
          <w:rStyle w:val="FootnoteReference"/>
          <w:rFonts w:ascii="Times New Roman" w:hAnsi="Times New Roman"/>
          <w:vertAlign w:val="superscript"/>
        </w:rPr>
        <w:footnoteRef/>
      </w:r>
      <w:r w:rsidRPr="00E20242">
        <w:rPr>
          <w:rFonts w:ascii="Times New Roman" w:hAnsi="Times New Roman"/>
          <w:vertAlign w:val="superscript"/>
        </w:rPr>
        <w:t xml:space="preserve"> </w:t>
      </w:r>
      <w:r w:rsidRPr="00E20242">
        <w:rPr>
          <w:rFonts w:ascii="Times New Roman" w:hAnsi="Times New Roman"/>
          <w:i/>
        </w:rPr>
        <w:t>The Small Pension Plan Market</w:t>
      </w:r>
      <w:r>
        <w:rPr>
          <w:rFonts w:ascii="Times New Roman" w:hAnsi="Times New Roman"/>
        </w:rPr>
        <w:t>,</w:t>
      </w:r>
      <w:r w:rsidRPr="00E20242">
        <w:rPr>
          <w:rFonts w:ascii="Times New Roman" w:hAnsi="Times New Roman"/>
        </w:rPr>
        <w:t xml:space="preserve"> Investment Company Institute, Winter 1992.</w:t>
      </w:r>
    </w:p>
  </w:footnote>
  <w:footnote w:id="8">
    <w:p w:rsidR="00A65835" w:rsidRPr="00F51CC7" w:rsidRDefault="00A65835">
      <w:pPr>
        <w:pStyle w:val="FootnoteText"/>
        <w:rPr>
          <w:rFonts w:ascii="Times New Roman" w:hAnsi="Times New Roman"/>
        </w:rPr>
      </w:pPr>
      <w:r w:rsidRPr="00F51CC7">
        <w:rPr>
          <w:rStyle w:val="FootnoteReference"/>
          <w:rFonts w:ascii="Times New Roman" w:hAnsi="Times New Roman"/>
          <w:vertAlign w:val="superscript"/>
        </w:rPr>
        <w:footnoteRef/>
      </w:r>
      <w:r w:rsidRPr="00F51CC7">
        <w:rPr>
          <w:rFonts w:ascii="Times New Roman" w:hAnsi="Times New Roman"/>
          <w:vertAlign w:val="superscript"/>
        </w:rPr>
        <w:t xml:space="preserve"> </w:t>
      </w:r>
      <w:r>
        <w:rPr>
          <w:rFonts w:ascii="Times New Roman" w:hAnsi="Times New Roman"/>
        </w:rPr>
        <w:t xml:space="preserve">Based on Form 5500 </w:t>
      </w:r>
      <w:r w:rsidRPr="00F51CC7">
        <w:rPr>
          <w:rFonts w:ascii="Times New Roman" w:hAnsi="Times New Roman"/>
        </w:rPr>
        <w:t>Data 2000-20</w:t>
      </w:r>
      <w:r>
        <w:rPr>
          <w:rFonts w:ascii="Times New Roman" w:hAnsi="Times New Roman"/>
        </w:rPr>
        <w:t xml:space="preserve">10, defined benefit plans are approximately 33 percent less likely than defined contribution plans to be invested in a registered investment company.  </w:t>
      </w:r>
    </w:p>
    <w:p w:rsidR="00A65835" w:rsidRDefault="00A65835">
      <w:pPr>
        <w:pStyle w:val="FootnoteText"/>
      </w:pPr>
      <w:r w:rsidRPr="005B2727">
        <w:rPr>
          <w:rFonts w:ascii="Times New Roman" w:hAnsi="Times New Roman"/>
          <w:i/>
        </w:rPr>
        <w:t>Also see</w:t>
      </w:r>
      <w:r w:rsidRPr="00F51CC7">
        <w:rPr>
          <w:rFonts w:ascii="Times New Roman" w:hAnsi="Times New Roman"/>
        </w:rPr>
        <w:t xml:space="preserve"> Holden, Sarah. “The Economics of Providing 401(k) Plans: Services, Fees, and Expenses” </w:t>
      </w:r>
      <w:r w:rsidRPr="00F51CC7">
        <w:rPr>
          <w:rFonts w:ascii="Times New Roman" w:hAnsi="Times New Roman"/>
          <w:i/>
        </w:rPr>
        <w:t>Investment Company Institute</w:t>
      </w:r>
      <w:r w:rsidRPr="00F51CC7">
        <w:rPr>
          <w:rFonts w:ascii="Times New Roman" w:hAnsi="Times New Roman"/>
        </w:rPr>
        <w:t>, September 2010.</w:t>
      </w:r>
    </w:p>
  </w:footnote>
  <w:footnote w:id="9">
    <w:p w:rsidR="00A65835" w:rsidRPr="00F24D32" w:rsidRDefault="00A65835" w:rsidP="00E662CA">
      <w:pPr>
        <w:pStyle w:val="FootnoteText"/>
        <w:rPr>
          <w:rFonts w:ascii="Times New Roman" w:hAnsi="Times New Roman"/>
        </w:rPr>
      </w:pPr>
      <w:r w:rsidRPr="00F24D32">
        <w:rPr>
          <w:rStyle w:val="FootnoteReference"/>
          <w:rFonts w:ascii="Times New Roman" w:hAnsi="Times New Roman"/>
          <w:vertAlign w:val="superscript"/>
        </w:rPr>
        <w:footnoteRef/>
      </w:r>
      <w:r>
        <w:rPr>
          <w:rFonts w:ascii="Times New Roman" w:hAnsi="Times New Roman"/>
        </w:rPr>
        <w:t xml:space="preserve"> Table A1of the Private Pension Plan Bulletin, Abstract of 2010 Form 5500 Annual Reports. There are 701,012 pension plans, of which 46,543 are defined benefit plans and 654,469 are defined contribution plans. </w:t>
      </w:r>
    </w:p>
  </w:footnote>
  <w:footnote w:id="10">
    <w:p w:rsidR="00A65835" w:rsidRPr="00AA3903" w:rsidRDefault="00A65835" w:rsidP="00E662CA">
      <w:pPr>
        <w:pStyle w:val="FootnoteText"/>
        <w:rPr>
          <w:rFonts w:ascii="Times New Roman" w:hAnsi="Times New Roman"/>
        </w:rPr>
      </w:pPr>
      <w:r w:rsidRPr="00D20283">
        <w:rPr>
          <w:rStyle w:val="FootnoteReference"/>
          <w:vertAlign w:val="superscript"/>
        </w:rPr>
        <w:footnoteRef/>
      </w:r>
      <w:r w:rsidRPr="00121312">
        <w:rPr>
          <w:rFonts w:ascii="Times New Roman" w:hAnsi="Times New Roman"/>
        </w:rPr>
        <w:t>The Department estimates 2013 hourly labor rates include wages, other benefits, and overhead based on data from the National Occupational Employment Survey (June 2012, Bureau of Labor Statistics) and the Employment Cost Index (September 2012, Bureau of Labor Statistics); the 2011 estimated labor rates are then inflated to 2013 labor rates.</w:t>
      </w:r>
    </w:p>
  </w:footnote>
  <w:footnote w:id="11">
    <w:p w:rsidR="00A65835" w:rsidRPr="00256B44" w:rsidRDefault="00A65835" w:rsidP="00E662CA">
      <w:pPr>
        <w:pStyle w:val="FootnoteText"/>
        <w:rPr>
          <w:rFonts w:ascii="Times New Roman" w:hAnsi="Times New Roman"/>
        </w:rPr>
      </w:pPr>
      <w:r w:rsidRPr="00256B44">
        <w:rPr>
          <w:rStyle w:val="FootnoteReference"/>
          <w:rFonts w:ascii="Times New Roman" w:hAnsi="Times New Roman"/>
          <w:vertAlign w:val="superscript"/>
        </w:rPr>
        <w:footnoteRef/>
      </w:r>
      <w:r w:rsidRPr="00256B44">
        <w:rPr>
          <w:rFonts w:ascii="Times New Roman" w:hAnsi="Times New Roman"/>
        </w:rPr>
        <w:t xml:space="preserve"> Preparation: </w:t>
      </w:r>
      <w:r>
        <w:rPr>
          <w:rFonts w:ascii="Times New Roman" w:hAnsi="Times New Roman"/>
        </w:rPr>
        <w:t>350</w:t>
      </w:r>
      <w:r w:rsidRPr="00256B44">
        <w:rPr>
          <w:rFonts w:ascii="Times New Roman" w:hAnsi="Times New Roman"/>
        </w:rPr>
        <w:t xml:space="preserve"> hours at $</w:t>
      </w:r>
      <w:r>
        <w:rPr>
          <w:rFonts w:ascii="Times New Roman" w:hAnsi="Times New Roman"/>
        </w:rPr>
        <w:t>117.88</w:t>
      </w:r>
      <w:r w:rsidRPr="00256B44">
        <w:rPr>
          <w:rFonts w:ascii="Times New Roman" w:hAnsi="Times New Roman"/>
        </w:rPr>
        <w:t xml:space="preserve"> per hour</w:t>
      </w:r>
      <w:r>
        <w:rPr>
          <w:rFonts w:ascii="Times New Roman" w:hAnsi="Times New Roman"/>
        </w:rPr>
        <w:t xml:space="preserve"> </w:t>
      </w:r>
      <w:r w:rsidRPr="00256B44">
        <w:rPr>
          <w:rFonts w:ascii="Times New Roman" w:hAnsi="Times New Roman"/>
        </w:rPr>
        <w:t>= $</w:t>
      </w:r>
      <w:r>
        <w:rPr>
          <w:rFonts w:ascii="Times New Roman" w:hAnsi="Times New Roman"/>
        </w:rPr>
        <w:t>41,258</w:t>
      </w:r>
      <w:r w:rsidRPr="00256B44">
        <w:rPr>
          <w:rFonts w:ascii="Times New Roman" w:hAnsi="Times New Roman"/>
        </w:rPr>
        <w:t>;</w:t>
      </w:r>
      <w:r>
        <w:rPr>
          <w:rFonts w:ascii="Times New Roman" w:hAnsi="Times New Roman"/>
        </w:rPr>
        <w:t xml:space="preserve"> D</w:t>
      </w:r>
      <w:r w:rsidRPr="00256B44">
        <w:rPr>
          <w:rFonts w:ascii="Times New Roman" w:hAnsi="Times New Roman"/>
        </w:rPr>
        <w:t xml:space="preserve">istribution:  </w:t>
      </w:r>
      <w:r>
        <w:rPr>
          <w:rFonts w:ascii="Times New Roman" w:hAnsi="Times New Roman"/>
        </w:rPr>
        <w:t>33,290</w:t>
      </w:r>
      <w:r w:rsidRPr="00256B44">
        <w:rPr>
          <w:rFonts w:ascii="Times New Roman" w:hAnsi="Times New Roman"/>
        </w:rPr>
        <w:t xml:space="preserve"> hours at $2</w:t>
      </w:r>
      <w:r>
        <w:rPr>
          <w:rFonts w:ascii="Times New Roman" w:hAnsi="Times New Roman"/>
        </w:rPr>
        <w:t>9.14</w:t>
      </w:r>
      <w:r w:rsidRPr="00256B44">
        <w:rPr>
          <w:rFonts w:ascii="Times New Roman" w:hAnsi="Times New Roman"/>
        </w:rPr>
        <w:t xml:space="preserve"> per hour</w:t>
      </w:r>
      <w:r>
        <w:rPr>
          <w:rFonts w:ascii="Times New Roman" w:hAnsi="Times New Roman"/>
        </w:rPr>
        <w:t xml:space="preserve"> </w:t>
      </w:r>
      <w:r w:rsidRPr="00256B44">
        <w:rPr>
          <w:rFonts w:ascii="Times New Roman" w:hAnsi="Times New Roman"/>
        </w:rPr>
        <w:t>= $</w:t>
      </w:r>
      <w:r>
        <w:rPr>
          <w:rFonts w:ascii="Times New Roman" w:hAnsi="Times New Roman"/>
        </w:rPr>
        <w:t>970,071.</w:t>
      </w:r>
    </w:p>
  </w:footnote>
  <w:footnote w:id="12">
    <w:p w:rsidR="00A65835" w:rsidRPr="00D20283" w:rsidRDefault="00A65835" w:rsidP="00E662CA">
      <w:pPr>
        <w:pStyle w:val="FootnoteText"/>
        <w:rPr>
          <w:rFonts w:ascii="Times New Roman" w:hAnsi="Times New Roman"/>
        </w:rPr>
      </w:pPr>
      <w:r w:rsidRPr="00D20283">
        <w:rPr>
          <w:rStyle w:val="FootnoteReference"/>
          <w:rFonts w:ascii="Times New Roman" w:hAnsi="Times New Roman"/>
          <w:vertAlign w:val="superscript"/>
        </w:rPr>
        <w:footnoteRef/>
      </w:r>
      <w:r w:rsidRPr="00D20283">
        <w:rPr>
          <w:rFonts w:ascii="Times New Roman" w:hAnsi="Times New Roman"/>
        </w:rPr>
        <w:t xml:space="preserve"> The Department estimates that, on average, mutual fund complexes will send </w:t>
      </w:r>
      <w:r>
        <w:rPr>
          <w:rFonts w:ascii="Times New Roman" w:hAnsi="Times New Roman"/>
        </w:rPr>
        <w:t>6</w:t>
      </w:r>
      <w:r w:rsidRPr="00D20283">
        <w:rPr>
          <w:rFonts w:ascii="Times New Roman" w:hAnsi="Times New Roman"/>
        </w:rPr>
        <w:t xml:space="preserve"> pages at $0.05 a page</w:t>
      </w:r>
      <w:r>
        <w:rPr>
          <w:rFonts w:ascii="Times New Roman" w:hAnsi="Times New Roman"/>
        </w:rPr>
        <w:t>, which costs $0.46 to send first class mail.</w:t>
      </w:r>
    </w:p>
  </w:footnote>
  <w:footnote w:id="13">
    <w:p w:rsidR="00A65835" w:rsidRPr="00D20283" w:rsidRDefault="00A65835" w:rsidP="00E662CA">
      <w:pPr>
        <w:pStyle w:val="FootnoteText"/>
        <w:rPr>
          <w:rFonts w:ascii="Times New Roman" w:hAnsi="Times New Roman"/>
        </w:rPr>
      </w:pPr>
      <w:r w:rsidRPr="00D20283">
        <w:rPr>
          <w:rStyle w:val="FootnoteReference"/>
          <w:rFonts w:ascii="Times New Roman" w:hAnsi="Times New Roman"/>
          <w:vertAlign w:val="superscript"/>
        </w:rPr>
        <w:footnoteRef/>
      </w:r>
      <w:r>
        <w:rPr>
          <w:rFonts w:ascii="Times New Roman" w:hAnsi="Times New Roman"/>
        </w:rPr>
        <w:t xml:space="preserve"> 363,159 disclosures * .62 mailed = 225,159 plans receiving paper disclosures; 225,159</w:t>
      </w:r>
      <w:r w:rsidRPr="00D20283">
        <w:rPr>
          <w:rFonts w:ascii="Times New Roman" w:hAnsi="Times New Roman"/>
        </w:rPr>
        <w:t xml:space="preserve"> plans * $</w:t>
      </w:r>
      <w:r>
        <w:rPr>
          <w:rFonts w:ascii="Times New Roman" w:hAnsi="Times New Roman"/>
        </w:rPr>
        <w:t>0</w:t>
      </w:r>
      <w:r w:rsidRPr="00D20283">
        <w:rPr>
          <w:rFonts w:ascii="Times New Roman" w:hAnsi="Times New Roman"/>
        </w:rPr>
        <w:t>.</w:t>
      </w:r>
      <w:r>
        <w:rPr>
          <w:rFonts w:ascii="Times New Roman" w:hAnsi="Times New Roman"/>
        </w:rPr>
        <w:t>76/plan</w:t>
      </w:r>
      <w:r w:rsidRPr="00D20283">
        <w:rPr>
          <w:rFonts w:ascii="Times New Roman" w:hAnsi="Times New Roman"/>
        </w:rPr>
        <w:t xml:space="preserve"> = $</w:t>
      </w:r>
      <w:r>
        <w:rPr>
          <w:rFonts w:ascii="Times New Roman" w:hAnsi="Times New Roman"/>
        </w:rPr>
        <w:t>171,120</w:t>
      </w:r>
      <w:r w:rsidRPr="00D20283">
        <w:rPr>
          <w:rFonts w:ascii="Times New Roman" w:hAnsi="Times New Roman"/>
        </w:rPr>
        <w:t>.</w:t>
      </w:r>
    </w:p>
  </w:footnote>
  <w:footnote w:id="14">
    <w:p w:rsidR="00A65835" w:rsidRPr="00804BB4" w:rsidRDefault="00A65835">
      <w:pPr>
        <w:pStyle w:val="FootnoteText"/>
        <w:rPr>
          <w:rFonts w:ascii="Times New Roman" w:hAnsi="Times New Roman"/>
        </w:rPr>
      </w:pPr>
      <w:r w:rsidRPr="00804BB4">
        <w:rPr>
          <w:rStyle w:val="FootnoteReference"/>
          <w:rFonts w:ascii="Times New Roman" w:hAnsi="Times New Roman"/>
          <w:vertAlign w:val="superscript"/>
        </w:rPr>
        <w:footnoteRef/>
      </w:r>
      <w:r w:rsidRPr="00804BB4">
        <w:rPr>
          <w:rFonts w:ascii="Times New Roman" w:hAnsi="Times New Roman"/>
        </w:rPr>
        <w:t xml:space="preserve"> 36,316 disclosures * .62 mailed = 22,516 plans receiving paper disclosures; 22,516 plans * $</w:t>
      </w:r>
      <w:r>
        <w:rPr>
          <w:rFonts w:ascii="Times New Roman" w:hAnsi="Times New Roman"/>
        </w:rPr>
        <w:t>2.12</w:t>
      </w:r>
      <w:r w:rsidRPr="00804BB4">
        <w:rPr>
          <w:rFonts w:ascii="Times New Roman" w:hAnsi="Times New Roman"/>
        </w:rPr>
        <w:t>/plan = $4</w:t>
      </w:r>
      <w:r>
        <w:rPr>
          <w:rFonts w:ascii="Times New Roman" w:hAnsi="Times New Roman"/>
        </w:rPr>
        <w:t>7</w:t>
      </w:r>
      <w:r w:rsidRPr="00804BB4">
        <w:rPr>
          <w:rFonts w:ascii="Times New Roman" w:hAnsi="Times New Roman"/>
        </w:rPr>
        <w:t>,</w:t>
      </w:r>
      <w:r>
        <w:rPr>
          <w:rFonts w:ascii="Times New Roman" w:hAnsi="Times New Roman"/>
        </w:rPr>
        <w:t>734</w:t>
      </w:r>
      <w:r w:rsidRPr="00804BB4">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835" w:rsidRDefault="00A65835">
    <w:pPr>
      <w:jc w:val="right"/>
      <w:rPr>
        <w:rFonts w:ascii="CG Times" w:hAnsi="CG Times"/>
        <w:b/>
        <w:bCs/>
        <w:sz w:val="20"/>
        <w:szCs w:val="20"/>
      </w:rPr>
    </w:pPr>
    <w:r>
      <w:rPr>
        <w:rFonts w:ascii="CG Times" w:hAnsi="CG Times"/>
        <w:b/>
        <w:bCs/>
        <w:sz w:val="20"/>
        <w:szCs w:val="20"/>
      </w:rPr>
      <w:t xml:space="preserve">Prohibited Transaction Class Exemption 77-4 for: </w:t>
    </w:r>
  </w:p>
  <w:p w:rsidR="00A65835" w:rsidRDefault="00A65835">
    <w:pPr>
      <w:jc w:val="right"/>
      <w:rPr>
        <w:rFonts w:ascii="CG Times" w:hAnsi="CG Times"/>
        <w:b/>
        <w:bCs/>
        <w:sz w:val="20"/>
        <w:szCs w:val="20"/>
      </w:rPr>
    </w:pPr>
    <w:r>
      <w:rPr>
        <w:rFonts w:ascii="CG Times" w:hAnsi="CG Times"/>
        <w:b/>
        <w:bCs/>
        <w:sz w:val="20"/>
        <w:szCs w:val="20"/>
      </w:rPr>
      <w:t xml:space="preserve"> Certain Transactions Between Investment Companies and Employee Benefit Plans </w:t>
    </w:r>
  </w:p>
  <w:p w:rsidR="00A65835" w:rsidRDefault="00A65835">
    <w:pPr>
      <w:jc w:val="right"/>
      <w:rPr>
        <w:rFonts w:ascii="CG Times" w:hAnsi="CG Times"/>
        <w:b/>
        <w:bCs/>
        <w:sz w:val="20"/>
        <w:szCs w:val="20"/>
      </w:rPr>
    </w:pPr>
    <w:r>
      <w:rPr>
        <w:rFonts w:ascii="CG Times" w:hAnsi="CG Times"/>
        <w:b/>
        <w:bCs/>
        <w:sz w:val="20"/>
        <w:szCs w:val="20"/>
      </w:rPr>
      <w:t>OMB Number 1210-0049</w:t>
    </w:r>
  </w:p>
  <w:p w:rsidR="00A65835" w:rsidRDefault="006F0EF4" w:rsidP="00316117">
    <w:pPr>
      <w:jc w:val="right"/>
      <w:rPr>
        <w:rFonts w:ascii="CG Times" w:hAnsi="CG Times"/>
        <w:b/>
        <w:bCs/>
        <w:sz w:val="20"/>
        <w:szCs w:val="20"/>
      </w:rPr>
    </w:pPr>
    <w:r>
      <w:rPr>
        <w:rFonts w:ascii="CG Times" w:hAnsi="CG Times"/>
        <w:b/>
        <w:bCs/>
        <w:sz w:val="20"/>
        <w:szCs w:val="20"/>
      </w:rPr>
      <w:t>June</w:t>
    </w:r>
    <w:r w:rsidR="00A65835">
      <w:rPr>
        <w:rFonts w:ascii="CG Times" w:hAnsi="CG Times"/>
        <w:b/>
        <w:bCs/>
        <w:sz w:val="20"/>
        <w:szCs w:val="20"/>
      </w:rPr>
      <w:t xml:space="preserve"> 2013</w:t>
    </w:r>
  </w:p>
  <w:p w:rsidR="00A65835" w:rsidRDefault="00A65835" w:rsidP="00316117">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0EAE5DC"/>
    <w:lvl w:ilvl="0">
      <w:start w:val="1"/>
      <w:numFmt w:val="decimal"/>
      <w:pStyle w:val="Quick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Quick1"/>
        <w:lvlText w:val="%1."/>
        <w:lvlJc w:val="left"/>
        <w:rPr>
          <w:i/>
        </w:rPr>
      </w:lvl>
    </w:lvlOverride>
  </w:num>
  <w:num w:numId="2">
    <w:abstractNumId w:val="0"/>
    <w:lvlOverride w:ilvl="0">
      <w:startOverride w:val="7"/>
      <w:lvl w:ilvl="0">
        <w:start w:val="7"/>
        <w:numFmt w:val="decimal"/>
        <w:pStyle w:val="Quick1"/>
        <w:lvlText w:val="%1."/>
        <w:lvlJc w:val="left"/>
        <w:rPr>
          <w:i/>
        </w:rPr>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15"/>
    <w:rsid w:val="00004317"/>
    <w:rsid w:val="00014B7C"/>
    <w:rsid w:val="000623A8"/>
    <w:rsid w:val="000625A6"/>
    <w:rsid w:val="000702A2"/>
    <w:rsid w:val="000F0E30"/>
    <w:rsid w:val="000F37BC"/>
    <w:rsid w:val="001148CF"/>
    <w:rsid w:val="001202ED"/>
    <w:rsid w:val="00121312"/>
    <w:rsid w:val="00122840"/>
    <w:rsid w:val="0014443E"/>
    <w:rsid w:val="001603BC"/>
    <w:rsid w:val="00166219"/>
    <w:rsid w:val="00186F2A"/>
    <w:rsid w:val="001A0208"/>
    <w:rsid w:val="001B76CE"/>
    <w:rsid w:val="002D77D4"/>
    <w:rsid w:val="00316117"/>
    <w:rsid w:val="00366F65"/>
    <w:rsid w:val="003D4221"/>
    <w:rsid w:val="003E0AB9"/>
    <w:rsid w:val="003E13D2"/>
    <w:rsid w:val="00420B0F"/>
    <w:rsid w:val="0047342F"/>
    <w:rsid w:val="00482B5F"/>
    <w:rsid w:val="004F3718"/>
    <w:rsid w:val="00517549"/>
    <w:rsid w:val="00556B18"/>
    <w:rsid w:val="00563512"/>
    <w:rsid w:val="00575A51"/>
    <w:rsid w:val="00583FB3"/>
    <w:rsid w:val="0059445E"/>
    <w:rsid w:val="005A271F"/>
    <w:rsid w:val="005B022B"/>
    <w:rsid w:val="005B2727"/>
    <w:rsid w:val="005E368A"/>
    <w:rsid w:val="00650FBA"/>
    <w:rsid w:val="00697C1E"/>
    <w:rsid w:val="006A44BA"/>
    <w:rsid w:val="006B4D48"/>
    <w:rsid w:val="006C36FB"/>
    <w:rsid w:val="006F0EF4"/>
    <w:rsid w:val="006F2EAC"/>
    <w:rsid w:val="00793F94"/>
    <w:rsid w:val="007A6AB7"/>
    <w:rsid w:val="007B3784"/>
    <w:rsid w:val="007C5733"/>
    <w:rsid w:val="00804BB4"/>
    <w:rsid w:val="00825B64"/>
    <w:rsid w:val="00851A07"/>
    <w:rsid w:val="00880FB9"/>
    <w:rsid w:val="00893C11"/>
    <w:rsid w:val="008A4C1E"/>
    <w:rsid w:val="008F2929"/>
    <w:rsid w:val="00900901"/>
    <w:rsid w:val="009106BE"/>
    <w:rsid w:val="009379D9"/>
    <w:rsid w:val="0095567D"/>
    <w:rsid w:val="009F3B26"/>
    <w:rsid w:val="00A35375"/>
    <w:rsid w:val="00A413F6"/>
    <w:rsid w:val="00A65835"/>
    <w:rsid w:val="00A8356D"/>
    <w:rsid w:val="00A842C6"/>
    <w:rsid w:val="00AA03D1"/>
    <w:rsid w:val="00AA3903"/>
    <w:rsid w:val="00AC3ED6"/>
    <w:rsid w:val="00AD59B9"/>
    <w:rsid w:val="00AF0AA6"/>
    <w:rsid w:val="00B06D6E"/>
    <w:rsid w:val="00B14C9B"/>
    <w:rsid w:val="00B25909"/>
    <w:rsid w:val="00B549FF"/>
    <w:rsid w:val="00B8639F"/>
    <w:rsid w:val="00B9239F"/>
    <w:rsid w:val="00BE61E6"/>
    <w:rsid w:val="00BF201E"/>
    <w:rsid w:val="00C33315"/>
    <w:rsid w:val="00C70BFA"/>
    <w:rsid w:val="00C74329"/>
    <w:rsid w:val="00C93D18"/>
    <w:rsid w:val="00CA352F"/>
    <w:rsid w:val="00CC2106"/>
    <w:rsid w:val="00CC3CED"/>
    <w:rsid w:val="00CF557A"/>
    <w:rsid w:val="00D266FF"/>
    <w:rsid w:val="00D83AEF"/>
    <w:rsid w:val="00D94C03"/>
    <w:rsid w:val="00DA4E35"/>
    <w:rsid w:val="00DE026D"/>
    <w:rsid w:val="00E00715"/>
    <w:rsid w:val="00E20242"/>
    <w:rsid w:val="00E662CA"/>
    <w:rsid w:val="00E831AB"/>
    <w:rsid w:val="00E87804"/>
    <w:rsid w:val="00E955D1"/>
    <w:rsid w:val="00EB4A4C"/>
    <w:rsid w:val="00F16079"/>
    <w:rsid w:val="00F46651"/>
    <w:rsid w:val="00F51CC7"/>
    <w:rsid w:val="00F663E5"/>
    <w:rsid w:val="00F93D0D"/>
    <w:rsid w:val="00FA00D1"/>
    <w:rsid w:val="00FC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rPr>
      <w:sz w:val="20"/>
      <w:szCs w:val="20"/>
    </w:rPr>
  </w:style>
  <w:style w:type="character" w:styleId="Hyperlink">
    <w:name w:val="Hyperlink"/>
    <w:basedOn w:val="DefaultParagraphFont"/>
    <w:rsid w:val="00E662CA"/>
    <w:rPr>
      <w:color w:val="0000FF"/>
      <w:u w:val="single"/>
    </w:rPr>
  </w:style>
  <w:style w:type="paragraph" w:styleId="BalloonText">
    <w:name w:val="Balloon Text"/>
    <w:basedOn w:val="Normal"/>
    <w:semiHidden/>
    <w:rsid w:val="00F16079"/>
    <w:rPr>
      <w:rFonts w:ascii="Tahoma" w:hAnsi="Tahoma" w:cs="Tahoma"/>
      <w:sz w:val="16"/>
      <w:szCs w:val="16"/>
    </w:rPr>
  </w:style>
  <w:style w:type="character" w:styleId="CommentReference">
    <w:name w:val="annotation reference"/>
    <w:basedOn w:val="DefaultParagraphFont"/>
    <w:rsid w:val="006B4D48"/>
    <w:rPr>
      <w:sz w:val="16"/>
      <w:szCs w:val="16"/>
    </w:rPr>
  </w:style>
  <w:style w:type="paragraph" w:styleId="CommentText">
    <w:name w:val="annotation text"/>
    <w:basedOn w:val="Normal"/>
    <w:link w:val="CommentTextChar"/>
    <w:rsid w:val="006B4D48"/>
    <w:rPr>
      <w:sz w:val="20"/>
      <w:szCs w:val="20"/>
    </w:rPr>
  </w:style>
  <w:style w:type="character" w:customStyle="1" w:styleId="CommentTextChar">
    <w:name w:val="Comment Text Char"/>
    <w:basedOn w:val="DefaultParagraphFont"/>
    <w:link w:val="CommentText"/>
    <w:rsid w:val="006B4D48"/>
    <w:rPr>
      <w:rFonts w:ascii="Courier" w:hAnsi="Courier"/>
    </w:rPr>
  </w:style>
  <w:style w:type="paragraph" w:styleId="CommentSubject">
    <w:name w:val="annotation subject"/>
    <w:basedOn w:val="CommentText"/>
    <w:next w:val="CommentText"/>
    <w:link w:val="CommentSubjectChar"/>
    <w:rsid w:val="006B4D48"/>
    <w:rPr>
      <w:b/>
      <w:bCs/>
    </w:rPr>
  </w:style>
  <w:style w:type="character" w:customStyle="1" w:styleId="CommentSubjectChar">
    <w:name w:val="Comment Subject Char"/>
    <w:basedOn w:val="CommentTextChar"/>
    <w:link w:val="CommentSubject"/>
    <w:rsid w:val="006B4D48"/>
    <w:rPr>
      <w:rFonts w:ascii="Courier" w:hAnsi="Courier"/>
      <w:b/>
      <w:bCs/>
    </w:rPr>
  </w:style>
  <w:style w:type="character" w:customStyle="1" w:styleId="FootnoteTextChar">
    <w:name w:val="Footnote Text Char"/>
    <w:link w:val="FootnoteText"/>
    <w:rsid w:val="00FA00D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rPr>
      <w:sz w:val="20"/>
      <w:szCs w:val="20"/>
    </w:rPr>
  </w:style>
  <w:style w:type="character" w:styleId="Hyperlink">
    <w:name w:val="Hyperlink"/>
    <w:basedOn w:val="DefaultParagraphFont"/>
    <w:rsid w:val="00E662CA"/>
    <w:rPr>
      <w:color w:val="0000FF"/>
      <w:u w:val="single"/>
    </w:rPr>
  </w:style>
  <w:style w:type="paragraph" w:styleId="BalloonText">
    <w:name w:val="Balloon Text"/>
    <w:basedOn w:val="Normal"/>
    <w:semiHidden/>
    <w:rsid w:val="00F16079"/>
    <w:rPr>
      <w:rFonts w:ascii="Tahoma" w:hAnsi="Tahoma" w:cs="Tahoma"/>
      <w:sz w:val="16"/>
      <w:szCs w:val="16"/>
    </w:rPr>
  </w:style>
  <w:style w:type="character" w:styleId="CommentReference">
    <w:name w:val="annotation reference"/>
    <w:basedOn w:val="DefaultParagraphFont"/>
    <w:rsid w:val="006B4D48"/>
    <w:rPr>
      <w:sz w:val="16"/>
      <w:szCs w:val="16"/>
    </w:rPr>
  </w:style>
  <w:style w:type="paragraph" w:styleId="CommentText">
    <w:name w:val="annotation text"/>
    <w:basedOn w:val="Normal"/>
    <w:link w:val="CommentTextChar"/>
    <w:rsid w:val="006B4D48"/>
    <w:rPr>
      <w:sz w:val="20"/>
      <w:szCs w:val="20"/>
    </w:rPr>
  </w:style>
  <w:style w:type="character" w:customStyle="1" w:styleId="CommentTextChar">
    <w:name w:val="Comment Text Char"/>
    <w:basedOn w:val="DefaultParagraphFont"/>
    <w:link w:val="CommentText"/>
    <w:rsid w:val="006B4D48"/>
    <w:rPr>
      <w:rFonts w:ascii="Courier" w:hAnsi="Courier"/>
    </w:rPr>
  </w:style>
  <w:style w:type="paragraph" w:styleId="CommentSubject">
    <w:name w:val="annotation subject"/>
    <w:basedOn w:val="CommentText"/>
    <w:next w:val="CommentText"/>
    <w:link w:val="CommentSubjectChar"/>
    <w:rsid w:val="006B4D48"/>
    <w:rPr>
      <w:b/>
      <w:bCs/>
    </w:rPr>
  </w:style>
  <w:style w:type="character" w:customStyle="1" w:styleId="CommentSubjectChar">
    <w:name w:val="Comment Subject Char"/>
    <w:basedOn w:val="CommentTextChar"/>
    <w:link w:val="CommentSubject"/>
    <w:rsid w:val="006B4D48"/>
    <w:rPr>
      <w:rFonts w:ascii="Courier" w:hAnsi="Courier"/>
      <w:b/>
      <w:bCs/>
    </w:rPr>
  </w:style>
  <w:style w:type="character" w:customStyle="1" w:styleId="FootnoteTextChar">
    <w:name w:val="Footnote Text Char"/>
    <w:link w:val="FootnoteText"/>
    <w:rsid w:val="00FA00D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2D5C-2C98-4230-9A85-F7778F8F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3725</Words>
  <Characters>20600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24277</CharactersWithSpaces>
  <SharedDoc>false</SharedDoc>
  <HLinks>
    <vt:vector size="6" baseType="variant">
      <vt:variant>
        <vt:i4>6619182</vt:i4>
      </vt:variant>
      <vt:variant>
        <vt:i4>0</vt:i4>
      </vt:variant>
      <vt:variant>
        <vt:i4>0</vt:i4>
      </vt:variant>
      <vt:variant>
        <vt:i4>5</vt:i4>
      </vt:variant>
      <vt:variant>
        <vt:lpwstr>http://www.dol.gov/ebsa/PDF/2005pensionplanbulletin.PDF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Cosby, Chris - EBSA</cp:lastModifiedBy>
  <cp:revision>2</cp:revision>
  <cp:lastPrinted>2013-02-14T21:49:00Z</cp:lastPrinted>
  <dcterms:created xsi:type="dcterms:W3CDTF">2013-06-06T14:55:00Z</dcterms:created>
  <dcterms:modified xsi:type="dcterms:W3CDTF">2013-06-06T14:55:00Z</dcterms:modified>
</cp:coreProperties>
</file>