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8C" w:rsidRPr="00B86D0C" w:rsidRDefault="00021734" w:rsidP="004D138C">
      <w:pPr>
        <w:rPr>
          <w:rFonts w:asciiTheme="minorHAnsi" w:hAnsiTheme="minorHAnsi"/>
          <w:sz w:val="22"/>
          <w:szCs w:val="22"/>
        </w:rPr>
      </w:pPr>
      <w:r w:rsidRPr="00B86D0C">
        <w:rPr>
          <w:rFonts w:asciiTheme="minorHAnsi" w:hAnsiTheme="minorHAnsi"/>
          <w:sz w:val="22"/>
          <w:szCs w:val="22"/>
        </w:rPr>
        <w:fldChar w:fldCharType="begin"/>
      </w:r>
      <w:r w:rsidR="004D138C" w:rsidRPr="00B86D0C">
        <w:rPr>
          <w:rFonts w:asciiTheme="minorHAnsi" w:hAnsiTheme="minorHAnsi"/>
          <w:sz w:val="22"/>
          <w:szCs w:val="22"/>
        </w:rPr>
        <w:instrText xml:space="preserve"> DATE \@ "MMMM d, yyyy" </w:instrText>
      </w:r>
      <w:r w:rsidRPr="00B86D0C">
        <w:rPr>
          <w:rFonts w:asciiTheme="minorHAnsi" w:hAnsiTheme="minorHAnsi"/>
          <w:sz w:val="22"/>
          <w:szCs w:val="22"/>
        </w:rPr>
        <w:fldChar w:fldCharType="separate"/>
      </w:r>
      <w:r w:rsidR="008E3F03">
        <w:rPr>
          <w:rFonts w:asciiTheme="minorHAnsi" w:hAnsiTheme="minorHAnsi"/>
          <w:noProof/>
          <w:sz w:val="22"/>
          <w:szCs w:val="22"/>
        </w:rPr>
        <w:t>June 15, 2011</w:t>
      </w:r>
      <w:r w:rsidRPr="00B86D0C">
        <w:rPr>
          <w:rFonts w:asciiTheme="minorHAnsi" w:hAnsiTheme="minorHAnsi"/>
          <w:sz w:val="22"/>
          <w:szCs w:val="22"/>
        </w:rPr>
        <w:fldChar w:fldCharType="end"/>
      </w:r>
    </w:p>
    <w:p w:rsidR="004D138C" w:rsidRPr="00B86D0C" w:rsidRDefault="004D138C" w:rsidP="004D138C">
      <w:pPr>
        <w:rPr>
          <w:rFonts w:asciiTheme="minorHAnsi" w:hAnsiTheme="minorHAnsi"/>
          <w:sz w:val="22"/>
          <w:szCs w:val="22"/>
        </w:rPr>
      </w:pPr>
    </w:p>
    <w:p w:rsidR="004D138C" w:rsidRPr="00B86D0C" w:rsidRDefault="004D138C" w:rsidP="004D138C">
      <w:pPr>
        <w:rPr>
          <w:rFonts w:asciiTheme="minorHAnsi" w:hAnsiTheme="minorHAnsi"/>
          <w:sz w:val="22"/>
          <w:szCs w:val="22"/>
        </w:rPr>
      </w:pPr>
      <w:r w:rsidRPr="00B86D0C">
        <w:rPr>
          <w:rFonts w:asciiTheme="minorHAnsi" w:hAnsiTheme="minorHAnsi"/>
          <w:sz w:val="22"/>
          <w:szCs w:val="22"/>
        </w:rPr>
        <w:t xml:space="preserve">Memorandum for: </w:t>
      </w:r>
      <w:r w:rsidRPr="00B86D0C">
        <w:rPr>
          <w:rFonts w:asciiTheme="minorHAnsi" w:hAnsiTheme="minorHAnsi"/>
          <w:sz w:val="22"/>
          <w:szCs w:val="22"/>
        </w:rPr>
        <w:tab/>
        <w:t xml:space="preserve">Reviewer of </w:t>
      </w:r>
      <w:r w:rsidR="00781088">
        <w:rPr>
          <w:rFonts w:asciiTheme="minorHAnsi" w:hAnsiTheme="minorHAnsi"/>
          <w:sz w:val="22"/>
          <w:szCs w:val="22"/>
        </w:rPr>
        <w:t>1220</w:t>
      </w:r>
      <w:r w:rsidRPr="00B86D0C">
        <w:rPr>
          <w:rFonts w:asciiTheme="minorHAnsi" w:hAnsiTheme="minorHAnsi"/>
          <w:sz w:val="22"/>
          <w:szCs w:val="22"/>
        </w:rPr>
        <w:t>-</w:t>
      </w:r>
      <w:r w:rsidR="008E3F03">
        <w:rPr>
          <w:rFonts w:asciiTheme="minorHAnsi" w:hAnsiTheme="minorHAnsi"/>
          <w:sz w:val="22"/>
          <w:szCs w:val="22"/>
        </w:rPr>
        <w:t>0175</w:t>
      </w:r>
    </w:p>
    <w:p w:rsidR="004D138C" w:rsidRPr="00B86D0C" w:rsidRDefault="004D138C" w:rsidP="004D138C">
      <w:pPr>
        <w:rPr>
          <w:rFonts w:asciiTheme="minorHAnsi" w:hAnsiTheme="minorHAnsi"/>
          <w:sz w:val="22"/>
          <w:szCs w:val="22"/>
        </w:rPr>
      </w:pPr>
    </w:p>
    <w:p w:rsidR="004D138C" w:rsidRPr="00781088" w:rsidRDefault="004D138C" w:rsidP="004D138C">
      <w:pPr>
        <w:rPr>
          <w:rFonts w:asciiTheme="minorHAnsi" w:hAnsiTheme="minorHAnsi"/>
          <w:sz w:val="22"/>
          <w:szCs w:val="22"/>
        </w:rPr>
      </w:pPr>
      <w:r w:rsidRPr="00B86D0C">
        <w:rPr>
          <w:rFonts w:asciiTheme="minorHAnsi" w:hAnsiTheme="minorHAnsi"/>
          <w:sz w:val="22"/>
          <w:szCs w:val="22"/>
        </w:rPr>
        <w:t xml:space="preserve">cc: </w:t>
      </w:r>
      <w:r w:rsidRPr="00B86D0C">
        <w:rPr>
          <w:rFonts w:asciiTheme="minorHAnsi" w:hAnsiTheme="minorHAnsi"/>
          <w:sz w:val="22"/>
          <w:szCs w:val="22"/>
        </w:rPr>
        <w:tab/>
      </w:r>
      <w:r w:rsidRPr="00B86D0C">
        <w:rPr>
          <w:rFonts w:asciiTheme="minorHAnsi" w:hAnsiTheme="minorHAnsi"/>
          <w:sz w:val="22"/>
          <w:szCs w:val="22"/>
        </w:rPr>
        <w:tab/>
      </w:r>
      <w:r w:rsidRPr="00B86D0C">
        <w:rPr>
          <w:rFonts w:asciiTheme="minorHAnsi" w:hAnsiTheme="minorHAnsi"/>
          <w:sz w:val="22"/>
          <w:szCs w:val="22"/>
        </w:rPr>
        <w:tab/>
      </w:r>
      <w:r w:rsidRPr="00781088">
        <w:rPr>
          <w:rFonts w:asciiTheme="minorHAnsi" w:hAnsiTheme="minorHAnsi"/>
          <w:sz w:val="22"/>
          <w:szCs w:val="22"/>
        </w:rPr>
        <w:t>Tom Nardone</w:t>
      </w:r>
    </w:p>
    <w:p w:rsidR="004D138C" w:rsidRPr="00B86D0C" w:rsidRDefault="004D138C" w:rsidP="004D138C">
      <w:pPr>
        <w:rPr>
          <w:rFonts w:asciiTheme="minorHAnsi" w:hAnsiTheme="minorHAnsi"/>
          <w:sz w:val="22"/>
          <w:szCs w:val="22"/>
        </w:rPr>
      </w:pPr>
      <w:r w:rsidRPr="00781088">
        <w:rPr>
          <w:rFonts w:asciiTheme="minorHAnsi" w:hAnsiTheme="minorHAnsi"/>
          <w:sz w:val="22"/>
          <w:szCs w:val="22"/>
        </w:rPr>
        <w:tab/>
      </w:r>
      <w:r w:rsidR="00A446FC" w:rsidRPr="00781088">
        <w:rPr>
          <w:rFonts w:asciiTheme="minorHAnsi" w:hAnsiTheme="minorHAnsi"/>
          <w:sz w:val="22"/>
          <w:szCs w:val="22"/>
        </w:rPr>
        <w:tab/>
      </w:r>
      <w:r w:rsidRPr="00781088">
        <w:rPr>
          <w:rFonts w:asciiTheme="minorHAnsi" w:hAnsiTheme="minorHAnsi"/>
          <w:sz w:val="22"/>
          <w:szCs w:val="22"/>
        </w:rPr>
        <w:tab/>
        <w:t>Dori Allard</w:t>
      </w:r>
    </w:p>
    <w:p w:rsidR="004D138C" w:rsidRPr="00B86D0C" w:rsidRDefault="004D138C" w:rsidP="004D138C">
      <w:pPr>
        <w:rPr>
          <w:rFonts w:asciiTheme="minorHAnsi" w:hAnsiTheme="minorHAnsi"/>
          <w:sz w:val="22"/>
          <w:szCs w:val="22"/>
        </w:rPr>
      </w:pPr>
    </w:p>
    <w:p w:rsidR="004D138C" w:rsidRPr="00B86D0C" w:rsidRDefault="004D138C" w:rsidP="004D138C">
      <w:pPr>
        <w:rPr>
          <w:rFonts w:asciiTheme="minorHAnsi" w:hAnsiTheme="minorHAnsi"/>
          <w:sz w:val="22"/>
          <w:szCs w:val="22"/>
        </w:rPr>
      </w:pPr>
      <w:r w:rsidRPr="00B86D0C">
        <w:rPr>
          <w:rFonts w:asciiTheme="minorHAnsi" w:hAnsiTheme="minorHAnsi"/>
          <w:sz w:val="22"/>
          <w:szCs w:val="22"/>
        </w:rPr>
        <w:t xml:space="preserve">From: </w:t>
      </w:r>
      <w:r w:rsidRPr="00B86D0C">
        <w:rPr>
          <w:rFonts w:asciiTheme="minorHAnsi" w:hAnsiTheme="minorHAnsi"/>
          <w:sz w:val="22"/>
          <w:szCs w:val="22"/>
        </w:rPr>
        <w:tab/>
      </w:r>
      <w:r w:rsidRPr="00B86D0C">
        <w:rPr>
          <w:rFonts w:asciiTheme="minorHAnsi" w:hAnsiTheme="minorHAnsi"/>
          <w:sz w:val="22"/>
          <w:szCs w:val="22"/>
        </w:rPr>
        <w:tab/>
      </w:r>
      <w:r w:rsidRPr="00B86D0C">
        <w:rPr>
          <w:rFonts w:asciiTheme="minorHAnsi" w:hAnsiTheme="minorHAnsi"/>
          <w:sz w:val="22"/>
          <w:szCs w:val="22"/>
        </w:rPr>
        <w:tab/>
        <w:t>Rachel Krantz-Kent</w:t>
      </w:r>
    </w:p>
    <w:p w:rsidR="004D138C" w:rsidRPr="00B86D0C" w:rsidRDefault="004D138C" w:rsidP="004D138C">
      <w:pPr>
        <w:rPr>
          <w:rFonts w:asciiTheme="minorHAnsi" w:hAnsiTheme="minorHAnsi"/>
          <w:sz w:val="22"/>
          <w:szCs w:val="22"/>
        </w:rPr>
      </w:pPr>
      <w:r w:rsidRPr="00B86D0C">
        <w:rPr>
          <w:rFonts w:asciiTheme="minorHAnsi" w:hAnsiTheme="minorHAnsi"/>
          <w:sz w:val="22"/>
          <w:szCs w:val="22"/>
        </w:rPr>
        <w:tab/>
      </w:r>
      <w:r w:rsidRPr="00B86D0C">
        <w:rPr>
          <w:rFonts w:asciiTheme="minorHAnsi" w:hAnsiTheme="minorHAnsi"/>
          <w:sz w:val="22"/>
          <w:szCs w:val="22"/>
        </w:rPr>
        <w:tab/>
      </w:r>
      <w:r w:rsidRPr="00B86D0C">
        <w:rPr>
          <w:rFonts w:asciiTheme="minorHAnsi" w:hAnsiTheme="minorHAnsi"/>
          <w:sz w:val="22"/>
          <w:szCs w:val="22"/>
        </w:rPr>
        <w:tab/>
        <w:t>Stephanie Denton</w:t>
      </w:r>
    </w:p>
    <w:p w:rsidR="004D138C" w:rsidRPr="00B86D0C" w:rsidRDefault="004D138C" w:rsidP="004D138C">
      <w:pPr>
        <w:rPr>
          <w:rFonts w:asciiTheme="minorHAnsi" w:hAnsiTheme="minorHAnsi"/>
          <w:sz w:val="22"/>
          <w:szCs w:val="22"/>
        </w:rPr>
      </w:pPr>
    </w:p>
    <w:p w:rsidR="004D138C" w:rsidRPr="00B86D0C" w:rsidRDefault="004D138C" w:rsidP="004D138C">
      <w:pPr>
        <w:rPr>
          <w:rFonts w:asciiTheme="minorHAnsi" w:hAnsiTheme="minorHAnsi"/>
          <w:sz w:val="22"/>
          <w:szCs w:val="22"/>
        </w:rPr>
      </w:pPr>
      <w:r w:rsidRPr="00B86D0C">
        <w:rPr>
          <w:rFonts w:asciiTheme="minorHAnsi" w:hAnsiTheme="minorHAnsi"/>
          <w:sz w:val="22"/>
          <w:szCs w:val="22"/>
        </w:rPr>
        <w:t>Subject:</w:t>
      </w:r>
      <w:r w:rsidRPr="00B86D0C">
        <w:rPr>
          <w:rFonts w:asciiTheme="minorHAnsi" w:hAnsiTheme="minorHAnsi"/>
          <w:sz w:val="22"/>
          <w:szCs w:val="22"/>
        </w:rPr>
        <w:tab/>
      </w:r>
      <w:r w:rsidRPr="00B86D0C">
        <w:rPr>
          <w:rFonts w:asciiTheme="minorHAnsi" w:hAnsiTheme="minorHAnsi"/>
          <w:sz w:val="22"/>
          <w:szCs w:val="22"/>
        </w:rPr>
        <w:tab/>
        <w:t xml:space="preserve">Expanding incentive-eligibility in the American Time Use Survey </w:t>
      </w:r>
    </w:p>
    <w:p w:rsidR="004D138C" w:rsidRPr="00B86D0C" w:rsidRDefault="004D138C" w:rsidP="004D138C">
      <w:pPr>
        <w:rPr>
          <w:rFonts w:asciiTheme="minorHAnsi" w:hAnsiTheme="minorHAnsi"/>
          <w:sz w:val="22"/>
          <w:szCs w:val="22"/>
        </w:rPr>
      </w:pPr>
    </w:p>
    <w:p w:rsidR="004D138C" w:rsidRPr="00B86D0C" w:rsidRDefault="004D138C" w:rsidP="004D138C">
      <w:pPr>
        <w:rPr>
          <w:rFonts w:asciiTheme="minorHAnsi" w:hAnsiTheme="minorHAnsi"/>
          <w:sz w:val="22"/>
          <w:szCs w:val="22"/>
        </w:rPr>
      </w:pPr>
      <w:r w:rsidRPr="00B86D0C">
        <w:rPr>
          <w:rFonts w:asciiTheme="minorHAnsi" w:hAnsiTheme="minorHAnsi"/>
          <w:sz w:val="22"/>
          <w:szCs w:val="22"/>
        </w:rPr>
        <w:t>This memorandum describes the American Time Use Survey’s (ATUS) proposal to expand the number of cases that are eligible to receive incentives. Currently, incentives are sent to households that did not provide a telephone number in their final CPS interview and to a limited number of households with telephone numbers that do not work, those with telephone numbers that “could not be completed as dialed” and those where the “number changed, no new number given.”  Incentives are useful</w:t>
      </w:r>
      <w:r w:rsidR="00BE4486">
        <w:rPr>
          <w:rFonts w:asciiTheme="minorHAnsi" w:hAnsiTheme="minorHAnsi"/>
          <w:sz w:val="22"/>
          <w:szCs w:val="22"/>
        </w:rPr>
        <w:t xml:space="preserve"> i</w:t>
      </w:r>
      <w:r w:rsidR="00712BE1">
        <w:rPr>
          <w:rFonts w:asciiTheme="minorHAnsi" w:hAnsiTheme="minorHAnsi"/>
          <w:sz w:val="22"/>
          <w:szCs w:val="22"/>
        </w:rPr>
        <w:t xml:space="preserve">n improving response among individuals in this group, who are </w:t>
      </w:r>
      <w:r w:rsidRPr="00B86D0C">
        <w:rPr>
          <w:rFonts w:asciiTheme="minorHAnsi" w:hAnsiTheme="minorHAnsi"/>
          <w:sz w:val="22"/>
          <w:szCs w:val="22"/>
        </w:rPr>
        <w:t>more likely to be black, have lower education, and lower household income</w:t>
      </w:r>
      <w:r w:rsidR="00712BE1">
        <w:rPr>
          <w:rFonts w:asciiTheme="minorHAnsi" w:hAnsiTheme="minorHAnsi"/>
          <w:sz w:val="22"/>
          <w:szCs w:val="22"/>
        </w:rPr>
        <w:t xml:space="preserve"> than the population</w:t>
      </w:r>
      <w:r w:rsidRPr="00B86D0C">
        <w:rPr>
          <w:rFonts w:asciiTheme="minorHAnsi" w:hAnsiTheme="minorHAnsi"/>
          <w:sz w:val="22"/>
          <w:szCs w:val="22"/>
        </w:rPr>
        <w:t>. The ATUS would like to expand incentive-eligible cases to include additional households with telephone numbers that do not work</w:t>
      </w:r>
      <w:r w:rsidR="0039314A" w:rsidRPr="00B86D0C">
        <w:rPr>
          <w:rFonts w:asciiTheme="minorHAnsi" w:hAnsiTheme="minorHAnsi"/>
          <w:sz w:val="22"/>
          <w:szCs w:val="22"/>
        </w:rPr>
        <w:t>;</w:t>
      </w:r>
      <w:r w:rsidRPr="00B86D0C">
        <w:rPr>
          <w:rFonts w:asciiTheme="minorHAnsi" w:hAnsiTheme="minorHAnsi"/>
          <w:sz w:val="22"/>
          <w:szCs w:val="22"/>
        </w:rPr>
        <w:t xml:space="preserve"> </w:t>
      </w:r>
      <w:r w:rsidR="0039314A" w:rsidRPr="00B86D0C">
        <w:rPr>
          <w:rFonts w:asciiTheme="minorHAnsi" w:hAnsiTheme="minorHAnsi"/>
          <w:sz w:val="22"/>
          <w:szCs w:val="22"/>
        </w:rPr>
        <w:t xml:space="preserve">specifically, to include </w:t>
      </w:r>
      <w:r w:rsidRPr="00B86D0C">
        <w:rPr>
          <w:rFonts w:asciiTheme="minorHAnsi" w:hAnsiTheme="minorHAnsi"/>
          <w:sz w:val="22"/>
          <w:szCs w:val="22"/>
        </w:rPr>
        <w:t xml:space="preserve">those with telephone numbers that are “not in service” or “temporarily not in service.” </w:t>
      </w:r>
      <w:r w:rsidR="00706554" w:rsidRPr="00B86D0C">
        <w:rPr>
          <w:rFonts w:asciiTheme="minorHAnsi" w:hAnsiTheme="minorHAnsi"/>
          <w:sz w:val="22"/>
          <w:szCs w:val="22"/>
        </w:rPr>
        <w:t>It is expected that e</w:t>
      </w:r>
      <w:r w:rsidRPr="00B86D0C">
        <w:rPr>
          <w:rFonts w:asciiTheme="minorHAnsi" w:hAnsiTheme="minorHAnsi"/>
          <w:sz w:val="22"/>
          <w:szCs w:val="22"/>
        </w:rPr>
        <w:t xml:space="preserve">xpanding the incentive eligibility </w:t>
      </w:r>
      <w:r w:rsidR="00706554" w:rsidRPr="00B86D0C">
        <w:rPr>
          <w:rFonts w:asciiTheme="minorHAnsi" w:hAnsiTheme="minorHAnsi"/>
          <w:sz w:val="22"/>
          <w:szCs w:val="22"/>
        </w:rPr>
        <w:t xml:space="preserve">will </w:t>
      </w:r>
      <w:r w:rsidR="00712BE1">
        <w:rPr>
          <w:rFonts w:asciiTheme="minorHAnsi" w:hAnsiTheme="minorHAnsi"/>
          <w:sz w:val="22"/>
          <w:szCs w:val="22"/>
        </w:rPr>
        <w:t>improve response to the</w:t>
      </w:r>
      <w:r w:rsidRPr="00B86D0C">
        <w:rPr>
          <w:rFonts w:asciiTheme="minorHAnsi" w:hAnsiTheme="minorHAnsi"/>
          <w:sz w:val="22"/>
          <w:szCs w:val="22"/>
        </w:rPr>
        <w:t xml:space="preserve"> ATUS.</w:t>
      </w:r>
    </w:p>
    <w:p w:rsidR="004D138C" w:rsidRPr="00B86D0C" w:rsidRDefault="004D138C" w:rsidP="004D138C">
      <w:pPr>
        <w:rPr>
          <w:rFonts w:asciiTheme="minorHAnsi" w:hAnsiTheme="minorHAnsi"/>
          <w:sz w:val="22"/>
          <w:szCs w:val="22"/>
        </w:rPr>
      </w:pPr>
    </w:p>
    <w:p w:rsidR="004D138C" w:rsidRPr="00B86D0C" w:rsidRDefault="004D138C" w:rsidP="004D138C">
      <w:pPr>
        <w:rPr>
          <w:rFonts w:asciiTheme="minorHAnsi" w:hAnsiTheme="minorHAnsi"/>
          <w:b/>
          <w:sz w:val="22"/>
          <w:szCs w:val="22"/>
        </w:rPr>
      </w:pPr>
    </w:p>
    <w:p w:rsidR="004D138C" w:rsidRPr="00B86D0C" w:rsidRDefault="004D138C" w:rsidP="004D138C">
      <w:pPr>
        <w:numPr>
          <w:ilvl w:val="0"/>
          <w:numId w:val="1"/>
        </w:numPr>
        <w:tabs>
          <w:tab w:val="num" w:pos="540"/>
        </w:tabs>
        <w:ind w:hanging="1080"/>
        <w:rPr>
          <w:rFonts w:asciiTheme="minorHAnsi" w:hAnsiTheme="minorHAnsi"/>
          <w:b/>
          <w:sz w:val="22"/>
          <w:szCs w:val="22"/>
        </w:rPr>
      </w:pPr>
      <w:r w:rsidRPr="00B86D0C">
        <w:rPr>
          <w:rFonts w:asciiTheme="minorHAnsi" w:hAnsiTheme="minorHAnsi"/>
          <w:b/>
          <w:sz w:val="22"/>
          <w:szCs w:val="22"/>
        </w:rPr>
        <w:t>Current use of incentives in the ATUS</w:t>
      </w:r>
    </w:p>
    <w:p w:rsidR="004D138C" w:rsidRPr="00B86D0C" w:rsidRDefault="004D138C" w:rsidP="004D138C">
      <w:pPr>
        <w:rPr>
          <w:rFonts w:asciiTheme="minorHAnsi" w:hAnsiTheme="minorHAnsi"/>
          <w:b/>
          <w:sz w:val="22"/>
          <w:szCs w:val="22"/>
        </w:rPr>
      </w:pPr>
    </w:p>
    <w:p w:rsidR="004D138C" w:rsidRPr="00B86D0C" w:rsidRDefault="004D138C" w:rsidP="004D138C">
      <w:pPr>
        <w:rPr>
          <w:rFonts w:asciiTheme="minorHAnsi" w:hAnsiTheme="minorHAnsi"/>
          <w:sz w:val="22"/>
          <w:szCs w:val="22"/>
        </w:rPr>
      </w:pPr>
      <w:r w:rsidRPr="00B86D0C">
        <w:rPr>
          <w:rFonts w:asciiTheme="minorHAnsi" w:hAnsiTheme="minorHAnsi"/>
          <w:sz w:val="22"/>
          <w:szCs w:val="22"/>
        </w:rPr>
        <w:t xml:space="preserve">Since the ATUS began in 2003, BLS has provided incentives to households without telephones </w:t>
      </w:r>
      <w:r w:rsidR="00B7666A">
        <w:rPr>
          <w:rFonts w:asciiTheme="minorHAnsi" w:hAnsiTheme="minorHAnsi"/>
          <w:sz w:val="22"/>
          <w:szCs w:val="22"/>
        </w:rPr>
        <w:t>and those who have not provided a telephone number to the US Census Bureau</w:t>
      </w:r>
      <w:r w:rsidRPr="00B86D0C">
        <w:rPr>
          <w:rFonts w:asciiTheme="minorHAnsi" w:hAnsiTheme="minorHAnsi"/>
          <w:sz w:val="22"/>
          <w:szCs w:val="22"/>
        </w:rPr>
        <w:t xml:space="preserve">. Because ATUS is a telephone-only survey, these cases would not be able to participate if they did not call in to the Jeffersonville Telephone Center. These households receive a pre-paid $40 debit card with their advance letter, and later receive </w:t>
      </w:r>
      <w:r w:rsidR="00C3456A" w:rsidRPr="00B86D0C">
        <w:rPr>
          <w:rFonts w:asciiTheme="minorHAnsi" w:hAnsiTheme="minorHAnsi"/>
          <w:sz w:val="22"/>
          <w:szCs w:val="22"/>
        </w:rPr>
        <w:t>a</w:t>
      </w:r>
      <w:r w:rsidRPr="00B86D0C">
        <w:rPr>
          <w:rFonts w:asciiTheme="minorHAnsi" w:hAnsiTheme="minorHAnsi"/>
          <w:sz w:val="22"/>
          <w:szCs w:val="22"/>
        </w:rPr>
        <w:t xml:space="preserve"> PIN </w:t>
      </w:r>
      <w:r w:rsidR="00962BBA" w:rsidRPr="00B86D0C">
        <w:rPr>
          <w:rFonts w:asciiTheme="minorHAnsi" w:hAnsiTheme="minorHAnsi"/>
          <w:sz w:val="22"/>
          <w:szCs w:val="22"/>
        </w:rPr>
        <w:t>after completing</w:t>
      </w:r>
      <w:r w:rsidRPr="00B86D0C">
        <w:rPr>
          <w:rFonts w:asciiTheme="minorHAnsi" w:hAnsiTheme="minorHAnsi"/>
          <w:sz w:val="22"/>
          <w:szCs w:val="22"/>
        </w:rPr>
        <w:t xml:space="preserve"> the survey. </w:t>
      </w:r>
    </w:p>
    <w:p w:rsidR="004D138C" w:rsidRPr="00B86D0C" w:rsidRDefault="004D138C" w:rsidP="004D138C">
      <w:pPr>
        <w:rPr>
          <w:rFonts w:asciiTheme="minorHAnsi" w:hAnsiTheme="minorHAnsi"/>
          <w:sz w:val="22"/>
          <w:szCs w:val="22"/>
        </w:rPr>
      </w:pPr>
    </w:p>
    <w:p w:rsidR="004D138C" w:rsidRPr="00B86D0C" w:rsidRDefault="004D138C" w:rsidP="004D138C">
      <w:pPr>
        <w:rPr>
          <w:rFonts w:asciiTheme="minorHAnsi" w:hAnsiTheme="minorHAnsi"/>
          <w:sz w:val="22"/>
          <w:szCs w:val="22"/>
        </w:rPr>
      </w:pPr>
      <w:r w:rsidRPr="00B756B3">
        <w:rPr>
          <w:rFonts w:asciiTheme="minorHAnsi" w:hAnsiTheme="minorHAnsi"/>
          <w:sz w:val="22"/>
          <w:szCs w:val="22"/>
        </w:rPr>
        <w:t xml:space="preserve">No-telephone-number households account for approximately 5% of the CPS sample and are more likely to be </w:t>
      </w:r>
      <w:r w:rsidRPr="00BE4486">
        <w:rPr>
          <w:rFonts w:asciiTheme="minorHAnsi" w:hAnsiTheme="minorHAnsi"/>
          <w:sz w:val="22"/>
          <w:szCs w:val="22"/>
        </w:rPr>
        <w:t>black, have less education, and to have lower household incomes</w:t>
      </w:r>
      <w:r w:rsidR="005E4DD7">
        <w:rPr>
          <w:rFonts w:asciiTheme="minorHAnsi" w:hAnsiTheme="minorHAnsi"/>
          <w:sz w:val="22"/>
          <w:szCs w:val="22"/>
        </w:rPr>
        <w:t xml:space="preserve"> than the rest of the population</w:t>
      </w:r>
      <w:r w:rsidRPr="00BE4486">
        <w:rPr>
          <w:rFonts w:asciiTheme="minorHAnsi" w:hAnsiTheme="minorHAnsi"/>
          <w:sz w:val="22"/>
          <w:szCs w:val="22"/>
        </w:rPr>
        <w:t xml:space="preserve">.  There </w:t>
      </w:r>
      <w:r w:rsidR="00911460" w:rsidRPr="00BE4486">
        <w:rPr>
          <w:rFonts w:asciiTheme="minorHAnsi" w:hAnsiTheme="minorHAnsi"/>
          <w:sz w:val="22"/>
          <w:szCs w:val="22"/>
        </w:rPr>
        <w:t>were</w:t>
      </w:r>
      <w:r w:rsidRPr="00BE4486">
        <w:rPr>
          <w:rFonts w:asciiTheme="minorHAnsi" w:hAnsiTheme="minorHAnsi"/>
          <w:sz w:val="22"/>
          <w:szCs w:val="22"/>
        </w:rPr>
        <w:t xml:space="preserve"> approximately </w:t>
      </w:r>
      <w:r w:rsidR="00BE4486">
        <w:rPr>
          <w:rFonts w:asciiTheme="minorHAnsi" w:hAnsiTheme="minorHAnsi"/>
          <w:sz w:val="22"/>
          <w:szCs w:val="22"/>
        </w:rPr>
        <w:t xml:space="preserve">1,680 no-telephone-number </w:t>
      </w:r>
      <w:r w:rsidR="00BE4486" w:rsidRPr="00BE4486">
        <w:rPr>
          <w:rFonts w:asciiTheme="minorHAnsi" w:hAnsiTheme="minorHAnsi"/>
          <w:sz w:val="22"/>
          <w:szCs w:val="22"/>
        </w:rPr>
        <w:t>cases</w:t>
      </w:r>
      <w:r w:rsidR="00BE4486">
        <w:rPr>
          <w:rFonts w:asciiTheme="minorHAnsi" w:hAnsiTheme="minorHAnsi"/>
          <w:sz w:val="22"/>
          <w:szCs w:val="22"/>
        </w:rPr>
        <w:t xml:space="preserve"> in</w:t>
      </w:r>
      <w:r w:rsidR="00BE4486" w:rsidRPr="00BE4486">
        <w:rPr>
          <w:rFonts w:asciiTheme="minorHAnsi" w:hAnsiTheme="minorHAnsi"/>
          <w:sz w:val="22"/>
          <w:szCs w:val="22"/>
        </w:rPr>
        <w:t xml:space="preserve"> 2010</w:t>
      </w:r>
      <w:r w:rsidRPr="00BE4486">
        <w:rPr>
          <w:rFonts w:asciiTheme="minorHAnsi" w:hAnsiTheme="minorHAnsi"/>
          <w:sz w:val="22"/>
          <w:szCs w:val="22"/>
        </w:rPr>
        <w:t>.  Because</w:t>
      </w:r>
      <w:r w:rsidRPr="00B86D0C">
        <w:rPr>
          <w:rFonts w:asciiTheme="minorHAnsi" w:hAnsiTheme="minorHAnsi"/>
          <w:sz w:val="22"/>
          <w:szCs w:val="22"/>
        </w:rPr>
        <w:t xml:space="preserve"> these households may differ from telephone households on unobservable characteristics, including their time-use patterns, and because providing incentives to this small group was not cost prohibitive, OMB approved</w:t>
      </w:r>
      <w:r w:rsidR="00E01977" w:rsidRPr="00B86D0C">
        <w:rPr>
          <w:rFonts w:asciiTheme="minorHAnsi" w:hAnsiTheme="minorHAnsi"/>
          <w:sz w:val="22"/>
          <w:szCs w:val="22"/>
        </w:rPr>
        <w:t xml:space="preserve"> a</w:t>
      </w:r>
      <w:r w:rsidRPr="00B86D0C">
        <w:rPr>
          <w:rFonts w:asciiTheme="minorHAnsi" w:hAnsiTheme="minorHAnsi"/>
          <w:sz w:val="22"/>
          <w:szCs w:val="22"/>
        </w:rPr>
        <w:t xml:space="preserve"> BLS request to expend additional effort and expense to secure their responses. </w:t>
      </w:r>
      <w:r w:rsidR="00E01977" w:rsidRPr="00B86D0C">
        <w:rPr>
          <w:rFonts w:asciiTheme="minorHAnsi" w:hAnsiTheme="minorHAnsi"/>
          <w:sz w:val="22"/>
          <w:szCs w:val="22"/>
        </w:rPr>
        <w:t xml:space="preserve"> </w:t>
      </w:r>
      <w:r w:rsidRPr="00B86D0C">
        <w:rPr>
          <w:rFonts w:asciiTheme="minorHAnsi" w:hAnsiTheme="minorHAnsi"/>
          <w:sz w:val="22"/>
          <w:szCs w:val="22"/>
        </w:rPr>
        <w:t>Incentive cases had a response rate of 40.1</w:t>
      </w:r>
      <w:r w:rsidR="002D18D3">
        <w:rPr>
          <w:rFonts w:asciiTheme="minorHAnsi" w:hAnsiTheme="minorHAnsi"/>
          <w:sz w:val="22"/>
          <w:szCs w:val="22"/>
        </w:rPr>
        <w:t xml:space="preserve"> </w:t>
      </w:r>
      <w:r w:rsidRPr="005E4DD7">
        <w:rPr>
          <w:rFonts w:asciiTheme="minorHAnsi" w:hAnsiTheme="minorHAnsi"/>
          <w:sz w:val="22"/>
          <w:szCs w:val="22"/>
        </w:rPr>
        <w:t>percent in 2010 (total 2010</w:t>
      </w:r>
      <w:r w:rsidRPr="00B86D0C">
        <w:rPr>
          <w:rFonts w:asciiTheme="minorHAnsi" w:hAnsiTheme="minorHAnsi"/>
          <w:sz w:val="22"/>
          <w:szCs w:val="22"/>
        </w:rPr>
        <w:t xml:space="preserve"> response rate was 56.9 percent).</w:t>
      </w:r>
    </w:p>
    <w:p w:rsidR="00AB1AFE" w:rsidRPr="00B86D0C" w:rsidRDefault="00AB1AFE" w:rsidP="004D138C">
      <w:pPr>
        <w:rPr>
          <w:rFonts w:asciiTheme="minorHAnsi" w:hAnsiTheme="minorHAnsi"/>
          <w:sz w:val="22"/>
          <w:szCs w:val="22"/>
        </w:rPr>
      </w:pPr>
    </w:p>
    <w:p w:rsidR="008958D6" w:rsidRPr="00B86D0C" w:rsidRDefault="008958D6" w:rsidP="008958D6">
      <w:pPr>
        <w:rPr>
          <w:rFonts w:asciiTheme="minorHAnsi" w:hAnsiTheme="minorHAnsi"/>
          <w:sz w:val="22"/>
          <w:szCs w:val="22"/>
        </w:rPr>
      </w:pPr>
      <w:r w:rsidRPr="00B86D0C">
        <w:rPr>
          <w:rFonts w:asciiTheme="minorHAnsi" w:hAnsiTheme="minorHAnsi"/>
          <w:sz w:val="22"/>
          <w:szCs w:val="22"/>
        </w:rPr>
        <w:t>In regular survey production, cases with non-viable call outcome codes are investigated</w:t>
      </w:r>
      <w:r w:rsidR="003826EA">
        <w:rPr>
          <w:rFonts w:asciiTheme="minorHAnsi" w:hAnsiTheme="minorHAnsi"/>
          <w:sz w:val="22"/>
          <w:szCs w:val="22"/>
        </w:rPr>
        <w:t>;</w:t>
      </w:r>
      <w:r w:rsidRPr="00B86D0C">
        <w:rPr>
          <w:rFonts w:asciiTheme="minorHAnsi" w:hAnsiTheme="minorHAnsi"/>
          <w:sz w:val="22"/>
          <w:szCs w:val="22"/>
        </w:rPr>
        <w:t xml:space="preserve"> however, Directory Assistance often cannot confirm the number and additional research by Census call center staff does not result in a new number.  These cases have very low response rates and, like the no-telephone-number-households, are also more likely to be black, to have less education, and to have lower household incomes than members of households that provide phone numbers.   </w:t>
      </w:r>
    </w:p>
    <w:p w:rsidR="008958D6" w:rsidRPr="00B86D0C" w:rsidRDefault="008958D6" w:rsidP="008958D6">
      <w:pPr>
        <w:ind w:left="720"/>
        <w:rPr>
          <w:rFonts w:asciiTheme="minorHAnsi" w:hAnsiTheme="minorHAnsi"/>
          <w:sz w:val="22"/>
          <w:szCs w:val="22"/>
        </w:rPr>
      </w:pPr>
    </w:p>
    <w:p w:rsidR="00706554" w:rsidRPr="00B86D0C" w:rsidRDefault="004D138C" w:rsidP="004D138C">
      <w:pPr>
        <w:rPr>
          <w:rFonts w:asciiTheme="minorHAnsi" w:hAnsiTheme="minorHAnsi"/>
          <w:sz w:val="22"/>
          <w:szCs w:val="22"/>
        </w:rPr>
      </w:pPr>
      <w:r w:rsidRPr="002D18D3">
        <w:rPr>
          <w:rFonts w:asciiTheme="minorHAnsi" w:hAnsiTheme="minorHAnsi"/>
          <w:sz w:val="22"/>
          <w:szCs w:val="22"/>
        </w:rPr>
        <w:t xml:space="preserve">In </w:t>
      </w:r>
      <w:r w:rsidR="0039314A" w:rsidRPr="002D18D3">
        <w:rPr>
          <w:rFonts w:asciiTheme="minorHAnsi" w:hAnsiTheme="minorHAnsi"/>
          <w:sz w:val="22"/>
          <w:szCs w:val="22"/>
        </w:rPr>
        <w:t>200</w:t>
      </w:r>
      <w:r w:rsidR="00366A45" w:rsidRPr="002D18D3">
        <w:rPr>
          <w:rFonts w:asciiTheme="minorHAnsi" w:hAnsiTheme="minorHAnsi"/>
          <w:sz w:val="22"/>
          <w:szCs w:val="22"/>
        </w:rPr>
        <w:t xml:space="preserve">8, </w:t>
      </w:r>
      <w:r w:rsidRPr="002D18D3">
        <w:rPr>
          <w:rFonts w:asciiTheme="minorHAnsi" w:hAnsiTheme="minorHAnsi"/>
          <w:sz w:val="22"/>
          <w:szCs w:val="22"/>
        </w:rPr>
        <w:t>OMB approved</w:t>
      </w:r>
      <w:r w:rsidRPr="00B86D0C">
        <w:rPr>
          <w:rFonts w:asciiTheme="minorHAnsi" w:hAnsiTheme="minorHAnsi"/>
          <w:sz w:val="22"/>
          <w:szCs w:val="22"/>
        </w:rPr>
        <w:t xml:space="preserve"> </w:t>
      </w:r>
      <w:r w:rsidR="0039314A" w:rsidRPr="00B86D0C">
        <w:rPr>
          <w:rFonts w:asciiTheme="minorHAnsi" w:hAnsiTheme="minorHAnsi"/>
          <w:sz w:val="22"/>
          <w:szCs w:val="22"/>
        </w:rPr>
        <w:t xml:space="preserve">an expanded definition of no-telephone-number households in the ATUS, to include cases </w:t>
      </w:r>
      <w:r w:rsidR="008958D6" w:rsidRPr="00B86D0C">
        <w:rPr>
          <w:rFonts w:asciiTheme="minorHAnsi" w:hAnsiTheme="minorHAnsi"/>
          <w:sz w:val="22"/>
          <w:szCs w:val="22"/>
        </w:rPr>
        <w:t xml:space="preserve">that were </w:t>
      </w:r>
      <w:r w:rsidR="00C460EF" w:rsidRPr="00B86D0C">
        <w:rPr>
          <w:rFonts w:asciiTheme="minorHAnsi" w:hAnsiTheme="minorHAnsi"/>
          <w:sz w:val="22"/>
          <w:szCs w:val="22"/>
        </w:rPr>
        <w:t xml:space="preserve">assigned </w:t>
      </w:r>
      <w:r w:rsidR="000613BD" w:rsidRPr="00B86D0C">
        <w:rPr>
          <w:rFonts w:asciiTheme="minorHAnsi" w:hAnsiTheme="minorHAnsi"/>
          <w:sz w:val="22"/>
          <w:szCs w:val="22"/>
        </w:rPr>
        <w:t xml:space="preserve">the following </w:t>
      </w:r>
      <w:r w:rsidRPr="00B86D0C">
        <w:rPr>
          <w:rFonts w:asciiTheme="minorHAnsi" w:hAnsiTheme="minorHAnsi"/>
          <w:sz w:val="22"/>
          <w:szCs w:val="22"/>
        </w:rPr>
        <w:t>call outcome codes after</w:t>
      </w:r>
      <w:r w:rsidR="00E75CD5" w:rsidRPr="00B86D0C">
        <w:rPr>
          <w:rFonts w:asciiTheme="minorHAnsi" w:hAnsiTheme="minorHAnsi"/>
          <w:sz w:val="22"/>
          <w:szCs w:val="22"/>
        </w:rPr>
        <w:t xml:space="preserve"> the first</w:t>
      </w:r>
      <w:r w:rsidR="005E4DD7">
        <w:rPr>
          <w:rFonts w:asciiTheme="minorHAnsi" w:hAnsiTheme="minorHAnsi"/>
          <w:sz w:val="22"/>
          <w:szCs w:val="22"/>
        </w:rPr>
        <w:t xml:space="preserve"> </w:t>
      </w:r>
      <w:r w:rsidR="00E75CD5" w:rsidRPr="00B86D0C">
        <w:rPr>
          <w:rFonts w:asciiTheme="minorHAnsi" w:hAnsiTheme="minorHAnsi"/>
          <w:sz w:val="22"/>
          <w:szCs w:val="22"/>
        </w:rPr>
        <w:t xml:space="preserve">week </w:t>
      </w:r>
      <w:r w:rsidR="00DC3784" w:rsidRPr="00B86D0C">
        <w:rPr>
          <w:rFonts w:asciiTheme="minorHAnsi" w:hAnsiTheme="minorHAnsi"/>
          <w:sz w:val="22"/>
          <w:szCs w:val="22"/>
        </w:rPr>
        <w:t>in the sample</w:t>
      </w:r>
      <w:r w:rsidR="00706554" w:rsidRPr="00B86D0C">
        <w:rPr>
          <w:rFonts w:asciiTheme="minorHAnsi" w:hAnsiTheme="minorHAnsi"/>
          <w:sz w:val="22"/>
          <w:szCs w:val="22"/>
        </w:rPr>
        <w:t>:</w:t>
      </w:r>
    </w:p>
    <w:p w:rsidR="00706554" w:rsidRPr="00B86D0C" w:rsidRDefault="00706554" w:rsidP="004D138C">
      <w:pPr>
        <w:rPr>
          <w:rFonts w:asciiTheme="minorHAnsi" w:hAnsiTheme="minorHAnsi"/>
          <w:sz w:val="22"/>
          <w:szCs w:val="22"/>
        </w:rPr>
      </w:pPr>
    </w:p>
    <w:p w:rsidR="00706554" w:rsidRPr="00B86D0C" w:rsidRDefault="00706554" w:rsidP="00706554">
      <w:pPr>
        <w:numPr>
          <w:ilvl w:val="0"/>
          <w:numId w:val="2"/>
        </w:numPr>
        <w:rPr>
          <w:rFonts w:asciiTheme="minorHAnsi" w:hAnsiTheme="minorHAnsi"/>
          <w:sz w:val="22"/>
          <w:szCs w:val="22"/>
        </w:rPr>
      </w:pPr>
      <w:r w:rsidRPr="00B86D0C">
        <w:rPr>
          <w:rFonts w:asciiTheme="minorHAnsi" w:hAnsiTheme="minorHAnsi"/>
          <w:sz w:val="22"/>
          <w:szCs w:val="22"/>
        </w:rPr>
        <w:t>Number not in service</w:t>
      </w:r>
    </w:p>
    <w:p w:rsidR="00706554" w:rsidRPr="00B86D0C" w:rsidRDefault="00706554" w:rsidP="00706554">
      <w:pPr>
        <w:numPr>
          <w:ilvl w:val="0"/>
          <w:numId w:val="2"/>
        </w:numPr>
        <w:rPr>
          <w:rFonts w:asciiTheme="minorHAnsi" w:hAnsiTheme="minorHAnsi"/>
          <w:sz w:val="22"/>
          <w:szCs w:val="22"/>
        </w:rPr>
      </w:pPr>
      <w:r w:rsidRPr="00B86D0C">
        <w:rPr>
          <w:rFonts w:asciiTheme="minorHAnsi" w:hAnsiTheme="minorHAnsi"/>
          <w:sz w:val="22"/>
          <w:szCs w:val="22"/>
        </w:rPr>
        <w:t>Number changed, no new number given</w:t>
      </w:r>
    </w:p>
    <w:p w:rsidR="00706554" w:rsidRPr="00B86D0C" w:rsidRDefault="00706554" w:rsidP="00706554">
      <w:pPr>
        <w:ind w:left="720"/>
        <w:rPr>
          <w:rFonts w:asciiTheme="minorHAnsi" w:hAnsiTheme="minorHAnsi"/>
          <w:sz w:val="22"/>
          <w:szCs w:val="22"/>
        </w:rPr>
      </w:pPr>
      <w:r w:rsidRPr="00B86D0C">
        <w:rPr>
          <w:rFonts w:asciiTheme="minorHAnsi" w:hAnsiTheme="minorHAnsi"/>
          <w:sz w:val="22"/>
          <w:szCs w:val="22"/>
        </w:rPr>
        <w:t>124</w:t>
      </w:r>
      <w:r w:rsidRPr="00B86D0C">
        <w:rPr>
          <w:rFonts w:asciiTheme="minorHAnsi" w:hAnsiTheme="minorHAnsi"/>
          <w:sz w:val="22"/>
          <w:szCs w:val="22"/>
        </w:rPr>
        <w:tab/>
        <w:t>Number could not be completed as dialed</w:t>
      </w:r>
    </w:p>
    <w:p w:rsidR="00706554" w:rsidRPr="00B86D0C" w:rsidRDefault="00706554" w:rsidP="004D138C">
      <w:pPr>
        <w:rPr>
          <w:rFonts w:asciiTheme="minorHAnsi" w:hAnsiTheme="minorHAnsi"/>
          <w:sz w:val="22"/>
          <w:szCs w:val="22"/>
        </w:rPr>
      </w:pPr>
    </w:p>
    <w:p w:rsidR="00230552" w:rsidRPr="00B86D0C" w:rsidRDefault="000613BD" w:rsidP="00230552">
      <w:pPr>
        <w:rPr>
          <w:rFonts w:asciiTheme="minorHAnsi" w:hAnsiTheme="minorHAnsi"/>
          <w:sz w:val="22"/>
          <w:szCs w:val="22"/>
        </w:rPr>
      </w:pPr>
      <w:r w:rsidRPr="00B86D0C">
        <w:rPr>
          <w:rFonts w:asciiTheme="minorHAnsi" w:hAnsiTheme="minorHAnsi"/>
          <w:sz w:val="22"/>
          <w:szCs w:val="22"/>
        </w:rPr>
        <w:t>While this expansion was approved by OMB, it was not</w:t>
      </w:r>
      <w:r w:rsidR="00AB1AFE" w:rsidRPr="00B86D0C">
        <w:rPr>
          <w:rFonts w:asciiTheme="minorHAnsi" w:hAnsiTheme="minorHAnsi"/>
          <w:sz w:val="22"/>
          <w:szCs w:val="22"/>
        </w:rPr>
        <w:t xml:space="preserve"> fully implement</w:t>
      </w:r>
      <w:r w:rsidRPr="00B86D0C">
        <w:rPr>
          <w:rFonts w:asciiTheme="minorHAnsi" w:hAnsiTheme="minorHAnsi"/>
          <w:sz w:val="22"/>
          <w:szCs w:val="22"/>
        </w:rPr>
        <w:t xml:space="preserve">ed.  </w:t>
      </w:r>
      <w:r w:rsidR="00DC3784" w:rsidRPr="00B86D0C">
        <w:rPr>
          <w:rFonts w:asciiTheme="minorHAnsi" w:hAnsiTheme="minorHAnsi"/>
          <w:sz w:val="22"/>
          <w:szCs w:val="22"/>
        </w:rPr>
        <w:t>The definition of a no-telephone-number household was</w:t>
      </w:r>
      <w:r w:rsidR="004D138C" w:rsidRPr="00B86D0C">
        <w:rPr>
          <w:rFonts w:asciiTheme="minorHAnsi" w:hAnsiTheme="minorHAnsi"/>
          <w:sz w:val="22"/>
          <w:szCs w:val="22"/>
        </w:rPr>
        <w:t xml:space="preserve"> expanded </w:t>
      </w:r>
      <w:r w:rsidR="00D51F27" w:rsidRPr="00B86D0C">
        <w:rPr>
          <w:rFonts w:asciiTheme="minorHAnsi" w:hAnsiTheme="minorHAnsi"/>
          <w:sz w:val="22"/>
          <w:szCs w:val="22"/>
        </w:rPr>
        <w:t xml:space="preserve">to include </w:t>
      </w:r>
      <w:r w:rsidR="004D138C" w:rsidRPr="00B86D0C">
        <w:rPr>
          <w:rFonts w:asciiTheme="minorHAnsi" w:hAnsiTheme="minorHAnsi"/>
          <w:sz w:val="22"/>
          <w:szCs w:val="22"/>
        </w:rPr>
        <w:t xml:space="preserve">only those </w:t>
      </w:r>
      <w:r w:rsidR="008958D6" w:rsidRPr="00B86D0C">
        <w:rPr>
          <w:rFonts w:asciiTheme="minorHAnsi" w:hAnsiTheme="minorHAnsi"/>
          <w:sz w:val="22"/>
          <w:szCs w:val="22"/>
        </w:rPr>
        <w:t xml:space="preserve">cases </w:t>
      </w:r>
      <w:r w:rsidR="00D51F27" w:rsidRPr="00B86D0C">
        <w:rPr>
          <w:rFonts w:asciiTheme="minorHAnsi" w:hAnsiTheme="minorHAnsi"/>
          <w:sz w:val="22"/>
          <w:szCs w:val="22"/>
        </w:rPr>
        <w:t xml:space="preserve">with </w:t>
      </w:r>
      <w:r w:rsidR="004D138C" w:rsidRPr="00B86D0C">
        <w:rPr>
          <w:rFonts w:asciiTheme="minorHAnsi" w:hAnsiTheme="minorHAnsi"/>
          <w:sz w:val="22"/>
          <w:szCs w:val="22"/>
        </w:rPr>
        <w:t xml:space="preserve">call outcome </w:t>
      </w:r>
      <w:r w:rsidR="00277EF3" w:rsidRPr="00B86D0C">
        <w:rPr>
          <w:rFonts w:asciiTheme="minorHAnsi" w:hAnsiTheme="minorHAnsi"/>
          <w:sz w:val="22"/>
          <w:szCs w:val="22"/>
        </w:rPr>
        <w:t>code</w:t>
      </w:r>
      <w:r w:rsidRPr="00B86D0C">
        <w:rPr>
          <w:rFonts w:asciiTheme="minorHAnsi" w:hAnsiTheme="minorHAnsi"/>
          <w:sz w:val="22"/>
          <w:szCs w:val="22"/>
        </w:rPr>
        <w:t>s</w:t>
      </w:r>
      <w:r w:rsidR="00277EF3" w:rsidRPr="00B86D0C">
        <w:rPr>
          <w:rFonts w:asciiTheme="minorHAnsi" w:hAnsiTheme="minorHAnsi"/>
          <w:sz w:val="22"/>
          <w:szCs w:val="22"/>
        </w:rPr>
        <w:t xml:space="preserve"> </w:t>
      </w:r>
      <w:r w:rsidR="004D138C" w:rsidRPr="00B86D0C">
        <w:rPr>
          <w:rFonts w:asciiTheme="minorHAnsi" w:hAnsiTheme="minorHAnsi"/>
          <w:sz w:val="22"/>
          <w:szCs w:val="22"/>
        </w:rPr>
        <w:t>of 109 and 124</w:t>
      </w:r>
      <w:r w:rsidR="00D51F27" w:rsidRPr="00B86D0C">
        <w:rPr>
          <w:rFonts w:asciiTheme="minorHAnsi" w:hAnsiTheme="minorHAnsi"/>
          <w:sz w:val="22"/>
          <w:szCs w:val="22"/>
        </w:rPr>
        <w:t>; t</w:t>
      </w:r>
      <w:r w:rsidR="00570F06" w:rsidRPr="00B86D0C">
        <w:rPr>
          <w:rFonts w:asciiTheme="minorHAnsi" w:hAnsiTheme="minorHAnsi"/>
          <w:sz w:val="22"/>
          <w:szCs w:val="22"/>
        </w:rPr>
        <w:t>his partial implementation was done as</w:t>
      </w:r>
      <w:r w:rsidRPr="00B86D0C">
        <w:rPr>
          <w:rFonts w:asciiTheme="minorHAnsi" w:hAnsiTheme="minorHAnsi"/>
          <w:sz w:val="22"/>
          <w:szCs w:val="22"/>
        </w:rPr>
        <w:t xml:space="preserve"> a test</w:t>
      </w:r>
      <w:r w:rsidR="00570F06" w:rsidRPr="00B86D0C">
        <w:rPr>
          <w:rFonts w:asciiTheme="minorHAnsi" w:hAnsiTheme="minorHAnsi"/>
          <w:sz w:val="22"/>
          <w:szCs w:val="22"/>
        </w:rPr>
        <w:t>,</w:t>
      </w:r>
      <w:r w:rsidRPr="00B86D0C">
        <w:rPr>
          <w:rFonts w:asciiTheme="minorHAnsi" w:hAnsiTheme="minorHAnsi"/>
          <w:sz w:val="22"/>
          <w:szCs w:val="22"/>
        </w:rPr>
        <w:t xml:space="preserve"> to see if response rates were impacted positively and </w:t>
      </w:r>
      <w:r w:rsidR="00570F06" w:rsidRPr="00B86D0C">
        <w:rPr>
          <w:rFonts w:asciiTheme="minorHAnsi" w:hAnsiTheme="minorHAnsi"/>
          <w:sz w:val="22"/>
          <w:szCs w:val="22"/>
        </w:rPr>
        <w:t xml:space="preserve">also </w:t>
      </w:r>
      <w:r w:rsidRPr="00B86D0C">
        <w:rPr>
          <w:rFonts w:asciiTheme="minorHAnsi" w:hAnsiTheme="minorHAnsi"/>
          <w:sz w:val="22"/>
          <w:szCs w:val="22"/>
        </w:rPr>
        <w:t>to ensure staffing resources were sufficient to handle the expansion</w:t>
      </w:r>
      <w:r w:rsidR="004D138C" w:rsidRPr="00B86D0C">
        <w:rPr>
          <w:rFonts w:asciiTheme="minorHAnsi" w:hAnsiTheme="minorHAnsi"/>
          <w:sz w:val="22"/>
          <w:szCs w:val="22"/>
        </w:rPr>
        <w:t xml:space="preserve">.  </w:t>
      </w:r>
      <w:r w:rsidR="008260D5" w:rsidRPr="00B86D0C">
        <w:rPr>
          <w:rFonts w:asciiTheme="minorHAnsi" w:hAnsiTheme="minorHAnsi"/>
          <w:sz w:val="22"/>
          <w:szCs w:val="22"/>
        </w:rPr>
        <w:t>Currently, a</w:t>
      </w:r>
      <w:r w:rsidR="00277EF3" w:rsidRPr="00B86D0C">
        <w:rPr>
          <w:rFonts w:asciiTheme="minorHAnsi" w:hAnsiTheme="minorHAnsi"/>
          <w:sz w:val="22"/>
          <w:szCs w:val="22"/>
        </w:rPr>
        <w:t xml:space="preserve">n incentive letter and </w:t>
      </w:r>
      <w:r w:rsidR="005C548C" w:rsidRPr="00B86D0C">
        <w:rPr>
          <w:rFonts w:asciiTheme="minorHAnsi" w:hAnsiTheme="minorHAnsi"/>
          <w:sz w:val="22"/>
          <w:szCs w:val="22"/>
        </w:rPr>
        <w:t xml:space="preserve">a </w:t>
      </w:r>
      <w:r w:rsidR="00277EF3" w:rsidRPr="00B86D0C">
        <w:rPr>
          <w:rFonts w:asciiTheme="minorHAnsi" w:hAnsiTheme="minorHAnsi"/>
          <w:sz w:val="22"/>
          <w:szCs w:val="22"/>
        </w:rPr>
        <w:t xml:space="preserve">debit card </w:t>
      </w:r>
      <w:r w:rsidR="00D51F27" w:rsidRPr="00B86D0C">
        <w:rPr>
          <w:rFonts w:asciiTheme="minorHAnsi" w:hAnsiTheme="minorHAnsi"/>
          <w:sz w:val="22"/>
          <w:szCs w:val="22"/>
        </w:rPr>
        <w:t xml:space="preserve">are </w:t>
      </w:r>
      <w:r w:rsidR="00277EF3" w:rsidRPr="00B86D0C">
        <w:rPr>
          <w:rFonts w:asciiTheme="minorHAnsi" w:hAnsiTheme="minorHAnsi"/>
          <w:sz w:val="22"/>
          <w:szCs w:val="22"/>
        </w:rPr>
        <w:t xml:space="preserve">sent to </w:t>
      </w:r>
      <w:r w:rsidR="00570F06" w:rsidRPr="00B86D0C">
        <w:rPr>
          <w:rFonts w:asciiTheme="minorHAnsi" w:hAnsiTheme="minorHAnsi"/>
          <w:sz w:val="22"/>
          <w:szCs w:val="22"/>
        </w:rPr>
        <w:t>each case</w:t>
      </w:r>
      <w:r w:rsidR="008260D5" w:rsidRPr="00B86D0C">
        <w:rPr>
          <w:rFonts w:asciiTheme="minorHAnsi" w:hAnsiTheme="minorHAnsi"/>
          <w:sz w:val="22"/>
          <w:szCs w:val="22"/>
        </w:rPr>
        <w:t xml:space="preserve"> assigned these outcome codes</w:t>
      </w:r>
      <w:r w:rsidR="00DC3784" w:rsidRPr="00B86D0C">
        <w:rPr>
          <w:rFonts w:asciiTheme="minorHAnsi" w:hAnsiTheme="minorHAnsi"/>
          <w:sz w:val="22"/>
          <w:szCs w:val="22"/>
        </w:rPr>
        <w:t xml:space="preserve"> after the case's first </w:t>
      </w:r>
      <w:r w:rsidR="005039F5" w:rsidRPr="00B86D0C">
        <w:rPr>
          <w:rFonts w:asciiTheme="minorHAnsi" w:hAnsiTheme="minorHAnsi"/>
          <w:sz w:val="22"/>
          <w:szCs w:val="22"/>
        </w:rPr>
        <w:t>of 8 weeks</w:t>
      </w:r>
      <w:r w:rsidR="00DC3784" w:rsidRPr="00B86D0C">
        <w:rPr>
          <w:rFonts w:asciiTheme="minorHAnsi" w:hAnsiTheme="minorHAnsi"/>
          <w:sz w:val="22"/>
          <w:szCs w:val="22"/>
        </w:rPr>
        <w:t xml:space="preserve"> in the sample</w:t>
      </w:r>
      <w:r w:rsidR="00277EF3" w:rsidRPr="00B86D0C">
        <w:rPr>
          <w:rFonts w:asciiTheme="minorHAnsi" w:hAnsiTheme="minorHAnsi"/>
          <w:sz w:val="22"/>
          <w:szCs w:val="22"/>
        </w:rPr>
        <w:t>.</w:t>
      </w:r>
    </w:p>
    <w:p w:rsidR="00230552" w:rsidRPr="00B86D0C" w:rsidRDefault="00230552" w:rsidP="00230552">
      <w:pPr>
        <w:rPr>
          <w:rFonts w:asciiTheme="minorHAnsi" w:hAnsiTheme="minorHAnsi"/>
          <w:sz w:val="22"/>
          <w:szCs w:val="22"/>
        </w:rPr>
      </w:pPr>
    </w:p>
    <w:tbl>
      <w:tblPr>
        <w:tblpPr w:leftFromText="180" w:rightFromText="180" w:vertAnchor="text" w:horzAnchor="margin" w:tblpXSpec="center" w:tblpY="679"/>
        <w:tblW w:w="9234" w:type="dxa"/>
        <w:tblLook w:val="04A0"/>
      </w:tblPr>
      <w:tblGrid>
        <w:gridCol w:w="1176"/>
        <w:gridCol w:w="952"/>
        <w:gridCol w:w="1146"/>
        <w:gridCol w:w="952"/>
        <w:gridCol w:w="1146"/>
        <w:gridCol w:w="952"/>
        <w:gridCol w:w="1146"/>
        <w:gridCol w:w="952"/>
        <w:gridCol w:w="1146"/>
      </w:tblGrid>
      <w:tr w:rsidR="0084431B" w:rsidRPr="0084431B" w:rsidTr="0084431B">
        <w:trPr>
          <w:trHeight w:val="581"/>
        </w:trPr>
        <w:tc>
          <w:tcPr>
            <w:tcW w:w="191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4431B" w:rsidRPr="0084431B" w:rsidRDefault="0084431B" w:rsidP="0084431B">
            <w:pPr>
              <w:jc w:val="center"/>
              <w:rPr>
                <w:rFonts w:ascii="Calibri" w:hAnsi="Calibri"/>
                <w:bCs/>
              </w:rPr>
            </w:pPr>
            <w:r w:rsidRPr="0084431B">
              <w:rPr>
                <w:rFonts w:ascii="Calibri" w:hAnsi="Calibri"/>
                <w:bCs/>
                <w:sz w:val="22"/>
                <w:szCs w:val="22"/>
              </w:rPr>
              <w:t>Codes included</w:t>
            </w:r>
          </w:p>
        </w:tc>
        <w:tc>
          <w:tcPr>
            <w:tcW w:w="1830" w:type="dxa"/>
            <w:gridSpan w:val="2"/>
            <w:tcBorders>
              <w:top w:val="single" w:sz="4" w:space="0" w:color="auto"/>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bCs/>
              </w:rPr>
            </w:pPr>
            <w:r w:rsidRPr="0084431B">
              <w:rPr>
                <w:rFonts w:ascii="Calibri" w:hAnsi="Calibri"/>
                <w:bCs/>
                <w:sz w:val="22"/>
                <w:szCs w:val="22"/>
              </w:rPr>
              <w:t>Before incentive expansion</w:t>
            </w:r>
          </w:p>
        </w:tc>
        <w:tc>
          <w:tcPr>
            <w:tcW w:w="5490" w:type="dxa"/>
            <w:gridSpan w:val="6"/>
            <w:tcBorders>
              <w:top w:val="single" w:sz="4" w:space="0" w:color="auto"/>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bCs/>
              </w:rPr>
            </w:pPr>
            <w:r w:rsidRPr="0084431B">
              <w:rPr>
                <w:rFonts w:ascii="Calibri" w:hAnsi="Calibri"/>
                <w:bCs/>
                <w:sz w:val="22"/>
                <w:szCs w:val="22"/>
              </w:rPr>
              <w:t>After incentive expansion</w:t>
            </w:r>
          </w:p>
        </w:tc>
      </w:tr>
      <w:tr w:rsidR="0084431B" w:rsidRPr="0084431B" w:rsidTr="0084431B">
        <w:trPr>
          <w:trHeight w:val="581"/>
        </w:trPr>
        <w:tc>
          <w:tcPr>
            <w:tcW w:w="1914" w:type="dxa"/>
            <w:vMerge/>
            <w:tcBorders>
              <w:top w:val="single" w:sz="4" w:space="0" w:color="auto"/>
              <w:left w:val="single" w:sz="4" w:space="0" w:color="auto"/>
              <w:bottom w:val="single" w:sz="4" w:space="0" w:color="000000"/>
              <w:right w:val="single" w:sz="4" w:space="0" w:color="auto"/>
            </w:tcBorders>
            <w:vAlign w:val="center"/>
            <w:hideMark/>
          </w:tcPr>
          <w:p w:rsidR="0084431B" w:rsidRPr="0084431B" w:rsidRDefault="0084431B" w:rsidP="0084431B">
            <w:pPr>
              <w:rPr>
                <w:rFonts w:ascii="Calibri" w:hAnsi="Calibri"/>
                <w:bCs/>
              </w:rPr>
            </w:pPr>
          </w:p>
        </w:tc>
        <w:tc>
          <w:tcPr>
            <w:tcW w:w="1830" w:type="dxa"/>
            <w:gridSpan w:val="2"/>
            <w:tcBorders>
              <w:top w:val="single" w:sz="4" w:space="0" w:color="auto"/>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bCs/>
              </w:rPr>
            </w:pPr>
            <w:r w:rsidRPr="0084431B">
              <w:rPr>
                <w:rFonts w:ascii="Calibri" w:hAnsi="Calibri"/>
                <w:bCs/>
                <w:sz w:val="22"/>
                <w:szCs w:val="22"/>
              </w:rPr>
              <w:t>2007</w:t>
            </w:r>
          </w:p>
        </w:tc>
        <w:tc>
          <w:tcPr>
            <w:tcW w:w="1830" w:type="dxa"/>
            <w:gridSpan w:val="2"/>
            <w:tcBorders>
              <w:top w:val="single" w:sz="4" w:space="0" w:color="auto"/>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bCs/>
              </w:rPr>
            </w:pPr>
            <w:r w:rsidRPr="0084431B">
              <w:rPr>
                <w:rFonts w:ascii="Calibri" w:hAnsi="Calibri"/>
                <w:bCs/>
                <w:sz w:val="22"/>
                <w:szCs w:val="22"/>
              </w:rPr>
              <w:t>2009</w:t>
            </w:r>
          </w:p>
        </w:tc>
        <w:tc>
          <w:tcPr>
            <w:tcW w:w="1830" w:type="dxa"/>
            <w:gridSpan w:val="2"/>
            <w:tcBorders>
              <w:top w:val="single" w:sz="4" w:space="0" w:color="auto"/>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bCs/>
              </w:rPr>
            </w:pPr>
            <w:r w:rsidRPr="0084431B">
              <w:rPr>
                <w:rFonts w:ascii="Calibri" w:hAnsi="Calibri"/>
                <w:bCs/>
                <w:sz w:val="22"/>
                <w:szCs w:val="22"/>
              </w:rPr>
              <w:t>2010</w:t>
            </w:r>
          </w:p>
        </w:tc>
        <w:tc>
          <w:tcPr>
            <w:tcW w:w="1830" w:type="dxa"/>
            <w:gridSpan w:val="2"/>
            <w:tcBorders>
              <w:top w:val="single" w:sz="4" w:space="0" w:color="auto"/>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bCs/>
                <w:color w:val="000000"/>
              </w:rPr>
            </w:pPr>
            <w:r w:rsidRPr="0084431B">
              <w:rPr>
                <w:rFonts w:ascii="Calibri" w:hAnsi="Calibri"/>
                <w:bCs/>
                <w:color w:val="000000"/>
                <w:sz w:val="22"/>
                <w:szCs w:val="22"/>
              </w:rPr>
              <w:t>2009-2010</w:t>
            </w:r>
          </w:p>
        </w:tc>
      </w:tr>
      <w:tr w:rsidR="0084431B" w:rsidRPr="0084431B" w:rsidTr="0084431B">
        <w:trPr>
          <w:trHeight w:val="1441"/>
        </w:trPr>
        <w:tc>
          <w:tcPr>
            <w:tcW w:w="1914" w:type="dxa"/>
            <w:tcBorders>
              <w:top w:val="nil"/>
              <w:left w:val="single" w:sz="4" w:space="0" w:color="auto"/>
              <w:bottom w:val="single" w:sz="4" w:space="0" w:color="auto"/>
              <w:right w:val="single" w:sz="4" w:space="0" w:color="auto"/>
            </w:tcBorders>
            <w:shd w:val="clear" w:color="auto" w:fill="auto"/>
            <w:vAlign w:val="bottom"/>
            <w:hideMark/>
          </w:tcPr>
          <w:p w:rsidR="0084431B" w:rsidRPr="0084431B" w:rsidRDefault="0084431B" w:rsidP="0084431B">
            <w:pPr>
              <w:rPr>
                <w:rFonts w:ascii="Calibri" w:hAnsi="Calibri"/>
              </w:rPr>
            </w:pPr>
            <w:r w:rsidRPr="0084431B">
              <w:rPr>
                <w:rFonts w:ascii="Calibri" w:hAnsi="Calibri"/>
                <w:sz w:val="22"/>
                <w:szCs w:val="22"/>
              </w:rPr>
              <w:t> </w:t>
            </w:r>
          </w:p>
        </w:tc>
        <w:tc>
          <w:tcPr>
            <w:tcW w:w="806"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Number of cases</w:t>
            </w:r>
          </w:p>
        </w:tc>
        <w:tc>
          <w:tcPr>
            <w:tcW w:w="1024"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Percent of these cases resulting in completes</w:t>
            </w:r>
          </w:p>
        </w:tc>
        <w:tc>
          <w:tcPr>
            <w:tcW w:w="806"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Number of cases</w:t>
            </w:r>
          </w:p>
        </w:tc>
        <w:tc>
          <w:tcPr>
            <w:tcW w:w="1024"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Percent of these cases resulting in completes</w:t>
            </w:r>
          </w:p>
        </w:tc>
        <w:tc>
          <w:tcPr>
            <w:tcW w:w="806"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Number of cases</w:t>
            </w:r>
          </w:p>
        </w:tc>
        <w:tc>
          <w:tcPr>
            <w:tcW w:w="1024"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Percent of these cases resulting in completes</w:t>
            </w:r>
          </w:p>
        </w:tc>
        <w:tc>
          <w:tcPr>
            <w:tcW w:w="806"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color w:val="000000"/>
              </w:rPr>
            </w:pPr>
            <w:r w:rsidRPr="0084431B">
              <w:rPr>
                <w:rFonts w:ascii="Calibri" w:hAnsi="Calibri"/>
                <w:color w:val="000000"/>
                <w:sz w:val="22"/>
                <w:szCs w:val="22"/>
              </w:rPr>
              <w:t>Number of cases</w:t>
            </w:r>
          </w:p>
        </w:tc>
        <w:tc>
          <w:tcPr>
            <w:tcW w:w="1024"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color w:val="000000"/>
              </w:rPr>
            </w:pPr>
            <w:r w:rsidRPr="0084431B">
              <w:rPr>
                <w:rFonts w:ascii="Calibri" w:hAnsi="Calibri"/>
                <w:color w:val="000000"/>
                <w:sz w:val="22"/>
                <w:szCs w:val="22"/>
              </w:rPr>
              <w:t>Percent of these cases resulting in completes</w:t>
            </w:r>
          </w:p>
        </w:tc>
      </w:tr>
      <w:tr w:rsidR="0084431B" w:rsidRPr="0084431B" w:rsidTr="0084431B">
        <w:trPr>
          <w:trHeight w:val="607"/>
        </w:trPr>
        <w:tc>
          <w:tcPr>
            <w:tcW w:w="1914" w:type="dxa"/>
            <w:tcBorders>
              <w:top w:val="nil"/>
              <w:left w:val="single" w:sz="4" w:space="0" w:color="auto"/>
              <w:bottom w:val="single" w:sz="4" w:space="0" w:color="auto"/>
              <w:right w:val="single" w:sz="4" w:space="0" w:color="auto"/>
            </w:tcBorders>
            <w:shd w:val="clear" w:color="auto" w:fill="auto"/>
            <w:vAlign w:val="bottom"/>
            <w:hideMark/>
          </w:tcPr>
          <w:p w:rsidR="0084431B" w:rsidRPr="0084431B" w:rsidRDefault="0084431B" w:rsidP="0084431B">
            <w:pPr>
              <w:rPr>
                <w:rFonts w:ascii="Calibri" w:hAnsi="Calibri"/>
              </w:rPr>
            </w:pPr>
            <w:r w:rsidRPr="0084431B">
              <w:rPr>
                <w:rFonts w:ascii="Calibri" w:hAnsi="Calibri"/>
                <w:sz w:val="22"/>
                <w:szCs w:val="22"/>
              </w:rPr>
              <w:t>109 - number changed, no new number given</w:t>
            </w:r>
          </w:p>
        </w:tc>
        <w:tc>
          <w:tcPr>
            <w:tcW w:w="806"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6</w:t>
            </w:r>
          </w:p>
        </w:tc>
        <w:tc>
          <w:tcPr>
            <w:tcW w:w="1024"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0.0</w:t>
            </w:r>
          </w:p>
        </w:tc>
        <w:tc>
          <w:tcPr>
            <w:tcW w:w="806"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0</w:t>
            </w:r>
          </w:p>
        </w:tc>
        <w:tc>
          <w:tcPr>
            <w:tcW w:w="1024"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0.0</w:t>
            </w:r>
          </w:p>
        </w:tc>
        <w:tc>
          <w:tcPr>
            <w:tcW w:w="806"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6</w:t>
            </w:r>
          </w:p>
        </w:tc>
        <w:tc>
          <w:tcPr>
            <w:tcW w:w="1024"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50.0</w:t>
            </w:r>
          </w:p>
        </w:tc>
        <w:tc>
          <w:tcPr>
            <w:tcW w:w="806"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color w:val="000000"/>
              </w:rPr>
            </w:pPr>
            <w:r w:rsidRPr="0084431B">
              <w:rPr>
                <w:rFonts w:ascii="Calibri" w:hAnsi="Calibri"/>
                <w:color w:val="000000"/>
                <w:sz w:val="22"/>
                <w:szCs w:val="22"/>
              </w:rPr>
              <w:t>6</w:t>
            </w:r>
          </w:p>
        </w:tc>
        <w:tc>
          <w:tcPr>
            <w:tcW w:w="1024"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color w:val="000000"/>
              </w:rPr>
            </w:pPr>
            <w:r w:rsidRPr="0084431B">
              <w:rPr>
                <w:rFonts w:ascii="Calibri" w:hAnsi="Calibri"/>
                <w:color w:val="000000"/>
                <w:sz w:val="22"/>
                <w:szCs w:val="22"/>
              </w:rPr>
              <w:t>50.0</w:t>
            </w:r>
          </w:p>
        </w:tc>
      </w:tr>
      <w:tr w:rsidR="0084431B" w:rsidRPr="0084431B" w:rsidTr="0084431B">
        <w:trPr>
          <w:trHeight w:val="607"/>
        </w:trPr>
        <w:tc>
          <w:tcPr>
            <w:tcW w:w="1914" w:type="dxa"/>
            <w:tcBorders>
              <w:top w:val="nil"/>
              <w:left w:val="single" w:sz="4" w:space="0" w:color="auto"/>
              <w:bottom w:val="single" w:sz="4" w:space="0" w:color="auto"/>
              <w:right w:val="single" w:sz="4" w:space="0" w:color="auto"/>
            </w:tcBorders>
            <w:shd w:val="clear" w:color="auto" w:fill="auto"/>
            <w:vAlign w:val="bottom"/>
            <w:hideMark/>
          </w:tcPr>
          <w:p w:rsidR="0084431B" w:rsidRPr="0084431B" w:rsidRDefault="0084431B" w:rsidP="0084431B">
            <w:pPr>
              <w:rPr>
                <w:rFonts w:ascii="Calibri" w:hAnsi="Calibri"/>
              </w:rPr>
            </w:pPr>
            <w:r w:rsidRPr="0084431B">
              <w:rPr>
                <w:rFonts w:ascii="Calibri" w:hAnsi="Calibri"/>
                <w:sz w:val="22"/>
                <w:szCs w:val="22"/>
              </w:rPr>
              <w:t>124 - number could not be completed as dialed</w:t>
            </w:r>
          </w:p>
        </w:tc>
        <w:tc>
          <w:tcPr>
            <w:tcW w:w="806"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84</w:t>
            </w:r>
          </w:p>
        </w:tc>
        <w:tc>
          <w:tcPr>
            <w:tcW w:w="1024"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7.1</w:t>
            </w:r>
          </w:p>
        </w:tc>
        <w:tc>
          <w:tcPr>
            <w:tcW w:w="806"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67</w:t>
            </w:r>
          </w:p>
        </w:tc>
        <w:tc>
          <w:tcPr>
            <w:tcW w:w="1024"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22.4</w:t>
            </w:r>
          </w:p>
        </w:tc>
        <w:tc>
          <w:tcPr>
            <w:tcW w:w="806"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138</w:t>
            </w:r>
          </w:p>
        </w:tc>
        <w:tc>
          <w:tcPr>
            <w:tcW w:w="1024"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31.2</w:t>
            </w:r>
          </w:p>
        </w:tc>
        <w:tc>
          <w:tcPr>
            <w:tcW w:w="806"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color w:val="000000"/>
              </w:rPr>
            </w:pPr>
            <w:r w:rsidRPr="0084431B">
              <w:rPr>
                <w:rFonts w:ascii="Calibri" w:hAnsi="Calibri"/>
                <w:color w:val="000000"/>
                <w:sz w:val="22"/>
                <w:szCs w:val="22"/>
              </w:rPr>
              <w:t>205</w:t>
            </w:r>
          </w:p>
        </w:tc>
        <w:tc>
          <w:tcPr>
            <w:tcW w:w="1024"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color w:val="000000"/>
              </w:rPr>
            </w:pPr>
            <w:r w:rsidRPr="0084431B">
              <w:rPr>
                <w:rFonts w:ascii="Calibri" w:hAnsi="Calibri"/>
                <w:color w:val="000000"/>
                <w:sz w:val="22"/>
                <w:szCs w:val="22"/>
              </w:rPr>
              <w:t>28.3</w:t>
            </w:r>
          </w:p>
        </w:tc>
      </w:tr>
      <w:tr w:rsidR="0084431B" w:rsidRPr="0084431B" w:rsidTr="0084431B">
        <w:trPr>
          <w:trHeight w:val="607"/>
        </w:trPr>
        <w:tc>
          <w:tcPr>
            <w:tcW w:w="1914" w:type="dxa"/>
            <w:tcBorders>
              <w:top w:val="nil"/>
              <w:left w:val="single" w:sz="4" w:space="0" w:color="auto"/>
              <w:bottom w:val="single" w:sz="4" w:space="0" w:color="auto"/>
              <w:right w:val="single" w:sz="4" w:space="0" w:color="auto"/>
            </w:tcBorders>
            <w:shd w:val="clear" w:color="auto" w:fill="auto"/>
            <w:vAlign w:val="bottom"/>
            <w:hideMark/>
          </w:tcPr>
          <w:p w:rsidR="0084431B" w:rsidRPr="0084431B" w:rsidRDefault="0084431B" w:rsidP="0084431B">
            <w:pPr>
              <w:rPr>
                <w:rFonts w:ascii="Calibri" w:hAnsi="Calibri"/>
              </w:rPr>
            </w:pPr>
            <w:r w:rsidRPr="0084431B">
              <w:rPr>
                <w:rFonts w:ascii="Calibri" w:hAnsi="Calibri"/>
                <w:sz w:val="22"/>
                <w:szCs w:val="22"/>
              </w:rPr>
              <w:t>Total</w:t>
            </w:r>
          </w:p>
        </w:tc>
        <w:tc>
          <w:tcPr>
            <w:tcW w:w="806"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90</w:t>
            </w:r>
          </w:p>
        </w:tc>
        <w:tc>
          <w:tcPr>
            <w:tcW w:w="1024"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6.7</w:t>
            </w:r>
          </w:p>
        </w:tc>
        <w:tc>
          <w:tcPr>
            <w:tcW w:w="806"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67</w:t>
            </w:r>
          </w:p>
        </w:tc>
        <w:tc>
          <w:tcPr>
            <w:tcW w:w="1024"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22.4</w:t>
            </w:r>
          </w:p>
        </w:tc>
        <w:tc>
          <w:tcPr>
            <w:tcW w:w="806"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144</w:t>
            </w:r>
          </w:p>
        </w:tc>
        <w:tc>
          <w:tcPr>
            <w:tcW w:w="1024"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31.9</w:t>
            </w:r>
          </w:p>
        </w:tc>
        <w:tc>
          <w:tcPr>
            <w:tcW w:w="806"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rPr>
            </w:pPr>
            <w:r w:rsidRPr="0084431B">
              <w:rPr>
                <w:rFonts w:ascii="Calibri" w:hAnsi="Calibri"/>
                <w:sz w:val="22"/>
                <w:szCs w:val="22"/>
              </w:rPr>
              <w:t>211</w:t>
            </w:r>
          </w:p>
        </w:tc>
        <w:tc>
          <w:tcPr>
            <w:tcW w:w="1024" w:type="dxa"/>
            <w:tcBorders>
              <w:top w:val="nil"/>
              <w:left w:val="nil"/>
              <w:bottom w:val="single" w:sz="4" w:space="0" w:color="auto"/>
              <w:right w:val="single" w:sz="4" w:space="0" w:color="auto"/>
            </w:tcBorders>
            <w:shd w:val="clear" w:color="auto" w:fill="auto"/>
            <w:vAlign w:val="bottom"/>
            <w:hideMark/>
          </w:tcPr>
          <w:p w:rsidR="0084431B" w:rsidRPr="0084431B" w:rsidRDefault="0084431B" w:rsidP="0084431B">
            <w:pPr>
              <w:jc w:val="center"/>
              <w:rPr>
                <w:rFonts w:ascii="Calibri" w:hAnsi="Calibri"/>
                <w:color w:val="000000"/>
              </w:rPr>
            </w:pPr>
            <w:r w:rsidRPr="0084431B">
              <w:rPr>
                <w:rFonts w:ascii="Calibri" w:hAnsi="Calibri"/>
                <w:color w:val="000000"/>
                <w:sz w:val="22"/>
                <w:szCs w:val="22"/>
              </w:rPr>
              <w:t>28.9</w:t>
            </w:r>
          </w:p>
        </w:tc>
      </w:tr>
    </w:tbl>
    <w:p w:rsidR="004D138C" w:rsidRPr="00B86D0C" w:rsidRDefault="00277EF3" w:rsidP="00AC51FF">
      <w:pPr>
        <w:jc w:val="center"/>
        <w:rPr>
          <w:rFonts w:asciiTheme="minorHAnsi" w:hAnsiTheme="minorHAnsi"/>
          <w:sz w:val="22"/>
          <w:szCs w:val="22"/>
        </w:rPr>
      </w:pPr>
      <w:proofErr w:type="gramStart"/>
      <w:r w:rsidRPr="00B86D0C">
        <w:rPr>
          <w:rFonts w:asciiTheme="minorHAnsi" w:hAnsiTheme="minorHAnsi"/>
          <w:b/>
          <w:sz w:val="22"/>
          <w:szCs w:val="22"/>
        </w:rPr>
        <w:t>Table 1</w:t>
      </w:r>
      <w:r w:rsidR="00AC51FF" w:rsidRPr="00B86D0C">
        <w:rPr>
          <w:rFonts w:asciiTheme="minorHAnsi" w:hAnsiTheme="minorHAnsi"/>
          <w:b/>
          <w:sz w:val="22"/>
          <w:szCs w:val="22"/>
        </w:rPr>
        <w:t>.</w:t>
      </w:r>
      <w:proofErr w:type="gramEnd"/>
      <w:r w:rsidR="00AC51FF" w:rsidRPr="00B86D0C">
        <w:rPr>
          <w:rFonts w:asciiTheme="minorHAnsi" w:hAnsiTheme="minorHAnsi"/>
          <w:b/>
          <w:sz w:val="22"/>
          <w:szCs w:val="22"/>
        </w:rPr>
        <w:t xml:space="preserve"> Cases with </w:t>
      </w:r>
      <w:r w:rsidRPr="00B86D0C">
        <w:rPr>
          <w:rFonts w:asciiTheme="minorHAnsi" w:hAnsiTheme="minorHAnsi"/>
          <w:b/>
          <w:sz w:val="22"/>
          <w:szCs w:val="22"/>
        </w:rPr>
        <w:t xml:space="preserve">109 and 124 call </w:t>
      </w:r>
      <w:r w:rsidR="00AC51FF" w:rsidRPr="00B86D0C">
        <w:rPr>
          <w:rFonts w:asciiTheme="minorHAnsi" w:hAnsiTheme="minorHAnsi"/>
          <w:b/>
          <w:sz w:val="22"/>
          <w:szCs w:val="22"/>
        </w:rPr>
        <w:t>outcome codes in their first week in sample</w:t>
      </w:r>
      <w:r w:rsidRPr="00B86D0C">
        <w:rPr>
          <w:rFonts w:asciiTheme="minorHAnsi" w:hAnsiTheme="minorHAnsi"/>
          <w:b/>
          <w:sz w:val="22"/>
          <w:szCs w:val="22"/>
        </w:rPr>
        <w:t xml:space="preserve"> before and after the incentive expansion</w:t>
      </w:r>
    </w:p>
    <w:p w:rsidR="007833C6" w:rsidRDefault="007833C6" w:rsidP="00230552">
      <w:pPr>
        <w:rPr>
          <w:rFonts w:asciiTheme="minorHAnsi" w:hAnsiTheme="minorHAnsi"/>
          <w:b/>
          <w:sz w:val="22"/>
          <w:szCs w:val="22"/>
        </w:rPr>
      </w:pPr>
    </w:p>
    <w:p w:rsidR="00797714" w:rsidRDefault="00797714" w:rsidP="004D138C">
      <w:pPr>
        <w:rPr>
          <w:rFonts w:asciiTheme="minorHAnsi" w:hAnsiTheme="minorHAnsi"/>
          <w:b/>
          <w:sz w:val="22"/>
          <w:szCs w:val="22"/>
        </w:rPr>
      </w:pPr>
    </w:p>
    <w:p w:rsidR="00437342" w:rsidRDefault="00230552" w:rsidP="004D138C">
      <w:pPr>
        <w:rPr>
          <w:rFonts w:asciiTheme="minorHAnsi" w:hAnsiTheme="minorHAnsi"/>
          <w:sz w:val="22"/>
          <w:szCs w:val="22"/>
        </w:rPr>
      </w:pPr>
      <w:r w:rsidRPr="00B86D0C">
        <w:rPr>
          <w:rFonts w:asciiTheme="minorHAnsi" w:hAnsiTheme="minorHAnsi"/>
          <w:sz w:val="22"/>
          <w:szCs w:val="22"/>
        </w:rPr>
        <w:t xml:space="preserve">Table 1 shows the positive effect on response rates </w:t>
      </w:r>
      <w:r w:rsidR="00F37EBF" w:rsidRPr="00B86D0C">
        <w:rPr>
          <w:rFonts w:asciiTheme="minorHAnsi" w:hAnsiTheme="minorHAnsi"/>
          <w:sz w:val="22"/>
          <w:szCs w:val="22"/>
        </w:rPr>
        <w:t>of</w:t>
      </w:r>
      <w:r w:rsidRPr="00B86D0C">
        <w:rPr>
          <w:rFonts w:asciiTheme="minorHAnsi" w:hAnsiTheme="minorHAnsi"/>
          <w:sz w:val="22"/>
          <w:szCs w:val="22"/>
        </w:rPr>
        <w:t xml:space="preserve"> expanding</w:t>
      </w:r>
      <w:r w:rsidR="00F37EBF" w:rsidRPr="00B86D0C">
        <w:rPr>
          <w:rFonts w:asciiTheme="minorHAnsi" w:hAnsiTheme="minorHAnsi"/>
          <w:sz w:val="22"/>
          <w:szCs w:val="22"/>
        </w:rPr>
        <w:t xml:space="preserve"> the definition of no-telephone-number households to include</w:t>
      </w:r>
      <w:r w:rsidRPr="00B86D0C">
        <w:rPr>
          <w:rFonts w:asciiTheme="minorHAnsi" w:hAnsiTheme="minorHAnsi"/>
          <w:sz w:val="22"/>
          <w:szCs w:val="22"/>
        </w:rPr>
        <w:t xml:space="preserve"> cases with call outcome codes</w:t>
      </w:r>
      <w:r w:rsidR="005A164C" w:rsidRPr="00B86D0C">
        <w:rPr>
          <w:rFonts w:asciiTheme="minorHAnsi" w:hAnsiTheme="minorHAnsi"/>
          <w:sz w:val="22"/>
          <w:szCs w:val="22"/>
        </w:rPr>
        <w:t xml:space="preserve"> of 109 and 124</w:t>
      </w:r>
      <w:r w:rsidRPr="00B86D0C">
        <w:rPr>
          <w:rFonts w:asciiTheme="minorHAnsi" w:hAnsiTheme="minorHAnsi"/>
          <w:sz w:val="22"/>
          <w:szCs w:val="22"/>
        </w:rPr>
        <w:t xml:space="preserve">.  </w:t>
      </w:r>
      <w:r w:rsidRPr="002D18D3">
        <w:rPr>
          <w:rFonts w:asciiTheme="minorHAnsi" w:hAnsiTheme="minorHAnsi"/>
          <w:sz w:val="22"/>
          <w:szCs w:val="22"/>
        </w:rPr>
        <w:t xml:space="preserve">After </w:t>
      </w:r>
      <w:r w:rsidR="00277EF3" w:rsidRPr="002D18D3">
        <w:rPr>
          <w:rFonts w:asciiTheme="minorHAnsi" w:hAnsiTheme="minorHAnsi"/>
          <w:sz w:val="22"/>
          <w:szCs w:val="22"/>
        </w:rPr>
        <w:t>these cases</w:t>
      </w:r>
      <w:r w:rsidRPr="002D18D3">
        <w:rPr>
          <w:rFonts w:asciiTheme="minorHAnsi" w:hAnsiTheme="minorHAnsi"/>
          <w:sz w:val="22"/>
          <w:szCs w:val="22"/>
        </w:rPr>
        <w:t xml:space="preserve"> </w:t>
      </w:r>
      <w:r w:rsidR="00F37EBF" w:rsidRPr="002D18D3">
        <w:rPr>
          <w:rFonts w:asciiTheme="minorHAnsi" w:hAnsiTheme="minorHAnsi"/>
          <w:sz w:val="22"/>
          <w:szCs w:val="22"/>
        </w:rPr>
        <w:t>were</w:t>
      </w:r>
      <w:r w:rsidRPr="002D18D3">
        <w:rPr>
          <w:rFonts w:asciiTheme="minorHAnsi" w:hAnsiTheme="minorHAnsi"/>
          <w:sz w:val="22"/>
          <w:szCs w:val="22"/>
        </w:rPr>
        <w:t xml:space="preserve"> </w:t>
      </w:r>
      <w:r w:rsidR="005A164C" w:rsidRPr="002D18D3">
        <w:rPr>
          <w:rFonts w:asciiTheme="minorHAnsi" w:hAnsiTheme="minorHAnsi"/>
          <w:sz w:val="22"/>
          <w:szCs w:val="22"/>
        </w:rPr>
        <w:t>converted to</w:t>
      </w:r>
      <w:r w:rsidRPr="002D18D3">
        <w:rPr>
          <w:rFonts w:asciiTheme="minorHAnsi" w:hAnsiTheme="minorHAnsi"/>
          <w:sz w:val="22"/>
          <w:szCs w:val="22"/>
        </w:rPr>
        <w:t xml:space="preserve"> incentive cases</w:t>
      </w:r>
      <w:r w:rsidR="00277EF3" w:rsidRPr="002D18D3">
        <w:rPr>
          <w:rFonts w:asciiTheme="minorHAnsi" w:hAnsiTheme="minorHAnsi"/>
          <w:sz w:val="22"/>
          <w:szCs w:val="22"/>
        </w:rPr>
        <w:t xml:space="preserve"> in the first week</w:t>
      </w:r>
      <w:r w:rsidRPr="002D18D3">
        <w:rPr>
          <w:rFonts w:asciiTheme="minorHAnsi" w:hAnsiTheme="minorHAnsi"/>
          <w:sz w:val="22"/>
          <w:szCs w:val="22"/>
        </w:rPr>
        <w:t>,</w:t>
      </w:r>
      <w:r w:rsidR="00F37EBF" w:rsidRPr="002D18D3">
        <w:rPr>
          <w:rFonts w:asciiTheme="minorHAnsi" w:hAnsiTheme="minorHAnsi"/>
          <w:sz w:val="22"/>
          <w:szCs w:val="22"/>
        </w:rPr>
        <w:t xml:space="preserve"> they were sent a letter and incentive card</w:t>
      </w:r>
      <w:r w:rsidR="005B2BE4">
        <w:rPr>
          <w:rFonts w:asciiTheme="minorHAnsi" w:hAnsiTheme="minorHAnsi"/>
          <w:sz w:val="22"/>
          <w:szCs w:val="22"/>
        </w:rPr>
        <w:t xml:space="preserve"> requesting they contact an ATUS interviewer to participate in </w:t>
      </w:r>
      <w:r w:rsidR="005B2BE4" w:rsidRPr="00862D3A">
        <w:rPr>
          <w:rFonts w:asciiTheme="minorHAnsi" w:hAnsiTheme="minorHAnsi"/>
          <w:sz w:val="22"/>
          <w:szCs w:val="22"/>
        </w:rPr>
        <w:t>the survey</w:t>
      </w:r>
      <w:r w:rsidR="00F37EBF" w:rsidRPr="00862D3A">
        <w:rPr>
          <w:rFonts w:asciiTheme="minorHAnsi" w:hAnsiTheme="minorHAnsi"/>
          <w:sz w:val="22"/>
          <w:szCs w:val="22"/>
        </w:rPr>
        <w:t xml:space="preserve">.  </w:t>
      </w:r>
      <w:r w:rsidRPr="00862D3A">
        <w:rPr>
          <w:rFonts w:asciiTheme="minorHAnsi" w:hAnsiTheme="minorHAnsi"/>
          <w:sz w:val="22"/>
          <w:szCs w:val="22"/>
        </w:rPr>
        <w:t>In 2009</w:t>
      </w:r>
      <w:r w:rsidR="002D18D3" w:rsidRPr="00862D3A">
        <w:rPr>
          <w:rFonts w:asciiTheme="minorHAnsi" w:hAnsiTheme="minorHAnsi"/>
          <w:sz w:val="22"/>
          <w:szCs w:val="22"/>
        </w:rPr>
        <w:t>-10</w:t>
      </w:r>
      <w:r w:rsidRPr="00862D3A">
        <w:rPr>
          <w:rFonts w:asciiTheme="minorHAnsi" w:hAnsiTheme="minorHAnsi"/>
          <w:sz w:val="22"/>
          <w:szCs w:val="22"/>
        </w:rPr>
        <w:t xml:space="preserve">, </w:t>
      </w:r>
      <w:r w:rsidR="002D18D3" w:rsidRPr="00862D3A">
        <w:rPr>
          <w:rFonts w:asciiTheme="minorHAnsi" w:hAnsiTheme="minorHAnsi"/>
          <w:sz w:val="22"/>
          <w:szCs w:val="22"/>
        </w:rPr>
        <w:t>2</w:t>
      </w:r>
      <w:r w:rsidR="00437342" w:rsidRPr="00862D3A">
        <w:rPr>
          <w:rFonts w:asciiTheme="minorHAnsi" w:hAnsiTheme="minorHAnsi"/>
          <w:sz w:val="22"/>
          <w:szCs w:val="22"/>
        </w:rPr>
        <w:t>11</w:t>
      </w:r>
      <w:r w:rsidRPr="00862D3A">
        <w:rPr>
          <w:rFonts w:asciiTheme="minorHAnsi" w:hAnsiTheme="minorHAnsi"/>
          <w:sz w:val="22"/>
          <w:szCs w:val="22"/>
        </w:rPr>
        <w:t xml:space="preserve"> cases were </w:t>
      </w:r>
      <w:r w:rsidR="005A164C" w:rsidRPr="00862D3A">
        <w:rPr>
          <w:rFonts w:asciiTheme="minorHAnsi" w:hAnsiTheme="minorHAnsi"/>
          <w:sz w:val="22"/>
          <w:szCs w:val="22"/>
        </w:rPr>
        <w:t>converted to incentive cases because they had</w:t>
      </w:r>
      <w:r w:rsidR="00437342" w:rsidRPr="00862D3A">
        <w:rPr>
          <w:rFonts w:asciiTheme="minorHAnsi" w:hAnsiTheme="minorHAnsi"/>
          <w:sz w:val="22"/>
          <w:szCs w:val="22"/>
        </w:rPr>
        <w:t xml:space="preserve"> these</w:t>
      </w:r>
      <w:r w:rsidRPr="00862D3A">
        <w:rPr>
          <w:rFonts w:asciiTheme="minorHAnsi" w:hAnsiTheme="minorHAnsi"/>
          <w:sz w:val="22"/>
          <w:szCs w:val="22"/>
        </w:rPr>
        <w:t xml:space="preserve"> call outcome codes.  Of these cases, </w:t>
      </w:r>
      <w:r w:rsidR="00437342" w:rsidRPr="00862D3A">
        <w:rPr>
          <w:rFonts w:asciiTheme="minorHAnsi" w:hAnsiTheme="minorHAnsi"/>
          <w:sz w:val="22"/>
          <w:szCs w:val="22"/>
        </w:rPr>
        <w:t>28.9 percent (61 cases)</w:t>
      </w:r>
      <w:r w:rsidR="002D18D3" w:rsidRPr="00862D3A">
        <w:rPr>
          <w:rFonts w:asciiTheme="minorHAnsi" w:hAnsiTheme="minorHAnsi"/>
          <w:sz w:val="22"/>
          <w:szCs w:val="22"/>
        </w:rPr>
        <w:t xml:space="preserve"> </w:t>
      </w:r>
      <w:r w:rsidRPr="00862D3A">
        <w:rPr>
          <w:rFonts w:asciiTheme="minorHAnsi" w:hAnsiTheme="minorHAnsi"/>
          <w:sz w:val="22"/>
          <w:szCs w:val="22"/>
        </w:rPr>
        <w:t>resulted in a completed interview</w:t>
      </w:r>
      <w:r w:rsidR="00437342" w:rsidRPr="00862D3A">
        <w:rPr>
          <w:rFonts w:asciiTheme="minorHAnsi" w:hAnsiTheme="minorHAnsi"/>
          <w:sz w:val="22"/>
          <w:szCs w:val="22"/>
        </w:rPr>
        <w:t xml:space="preserve"> and 3.3 percent (7 cases) were assigned</w:t>
      </w:r>
      <w:r w:rsidR="00437342">
        <w:rPr>
          <w:rFonts w:asciiTheme="minorHAnsi" w:hAnsiTheme="minorHAnsi"/>
          <w:sz w:val="22"/>
          <w:szCs w:val="22"/>
        </w:rPr>
        <w:t xml:space="preserve"> final outcome codes of </w:t>
      </w:r>
      <w:r w:rsidR="005B2BE4">
        <w:rPr>
          <w:rFonts w:asciiTheme="minorHAnsi" w:hAnsiTheme="minorHAnsi"/>
          <w:sz w:val="22"/>
          <w:szCs w:val="22"/>
        </w:rPr>
        <w:t>"</w:t>
      </w:r>
      <w:r w:rsidR="00437342">
        <w:rPr>
          <w:rFonts w:asciiTheme="minorHAnsi" w:hAnsiTheme="minorHAnsi"/>
          <w:sz w:val="22"/>
          <w:szCs w:val="22"/>
        </w:rPr>
        <w:t>not eligible</w:t>
      </w:r>
      <w:r w:rsidR="005B2BE4">
        <w:rPr>
          <w:rFonts w:asciiTheme="minorHAnsi" w:hAnsiTheme="minorHAnsi"/>
          <w:sz w:val="22"/>
          <w:szCs w:val="22"/>
        </w:rPr>
        <w:t xml:space="preserve">" or </w:t>
      </w:r>
      <w:r w:rsidR="005B2BE4">
        <w:rPr>
          <w:rFonts w:asciiTheme="minorHAnsi" w:hAnsiTheme="minorHAnsi"/>
          <w:sz w:val="22"/>
          <w:szCs w:val="22"/>
        </w:rPr>
        <w:lastRenderedPageBreak/>
        <w:t>"other"</w:t>
      </w:r>
      <w:r w:rsidR="00437342">
        <w:rPr>
          <w:rFonts w:asciiTheme="minorHAnsi" w:hAnsiTheme="minorHAnsi"/>
          <w:sz w:val="22"/>
          <w:szCs w:val="22"/>
        </w:rPr>
        <w:t xml:space="preserve"> based on information provided by individuals who called the interviewers to explain why the designated person (DP) was unable to complete the survey.  They provided information about </w:t>
      </w:r>
      <w:proofErr w:type="gramStart"/>
      <w:r w:rsidR="00437342">
        <w:rPr>
          <w:rFonts w:asciiTheme="minorHAnsi" w:hAnsiTheme="minorHAnsi"/>
          <w:sz w:val="22"/>
          <w:szCs w:val="22"/>
        </w:rPr>
        <w:t>DPs</w:t>
      </w:r>
      <w:proofErr w:type="gramEnd"/>
      <w:r w:rsidR="00437342">
        <w:rPr>
          <w:rFonts w:asciiTheme="minorHAnsi" w:hAnsiTheme="minorHAnsi"/>
          <w:sz w:val="22"/>
          <w:szCs w:val="22"/>
        </w:rPr>
        <w:t xml:space="preserve"> who were ill, institutionalized, and no longer members of the household, and who were thus unable to participate in the survey. </w:t>
      </w:r>
      <w:r w:rsidR="00811E36" w:rsidRPr="002D18D3">
        <w:rPr>
          <w:rFonts w:asciiTheme="minorHAnsi" w:hAnsiTheme="minorHAnsi"/>
          <w:sz w:val="22"/>
          <w:szCs w:val="22"/>
        </w:rPr>
        <w:t xml:space="preserve"> </w:t>
      </w:r>
    </w:p>
    <w:p w:rsidR="00277EF3" w:rsidRPr="00B86D0C" w:rsidRDefault="00277EF3" w:rsidP="004D138C">
      <w:pPr>
        <w:rPr>
          <w:rFonts w:asciiTheme="minorHAnsi" w:hAnsiTheme="minorHAnsi"/>
          <w:sz w:val="22"/>
          <w:szCs w:val="22"/>
        </w:rPr>
      </w:pPr>
    </w:p>
    <w:p w:rsidR="00277EF3" w:rsidRPr="00B86D0C" w:rsidRDefault="00277EF3" w:rsidP="004D138C">
      <w:pPr>
        <w:rPr>
          <w:rFonts w:asciiTheme="minorHAnsi" w:hAnsiTheme="minorHAnsi"/>
          <w:sz w:val="22"/>
          <w:szCs w:val="22"/>
        </w:rPr>
      </w:pPr>
    </w:p>
    <w:p w:rsidR="004D138C" w:rsidRPr="00B86D0C" w:rsidRDefault="004D138C" w:rsidP="004D138C">
      <w:pPr>
        <w:numPr>
          <w:ilvl w:val="0"/>
          <w:numId w:val="1"/>
        </w:numPr>
        <w:tabs>
          <w:tab w:val="num" w:pos="540"/>
        </w:tabs>
        <w:ind w:left="0" w:firstLine="0"/>
        <w:rPr>
          <w:rFonts w:asciiTheme="minorHAnsi" w:hAnsiTheme="minorHAnsi"/>
          <w:b/>
          <w:sz w:val="22"/>
          <w:szCs w:val="22"/>
        </w:rPr>
      </w:pPr>
      <w:r w:rsidRPr="00B86D0C">
        <w:rPr>
          <w:rFonts w:asciiTheme="minorHAnsi" w:hAnsiTheme="minorHAnsi"/>
          <w:b/>
          <w:sz w:val="22"/>
          <w:szCs w:val="22"/>
        </w:rPr>
        <w:t>Proposed expansion of incentive eligibility in the ATUS</w:t>
      </w:r>
    </w:p>
    <w:p w:rsidR="004D138C" w:rsidRPr="00B86D0C" w:rsidRDefault="004D138C" w:rsidP="004D138C">
      <w:pPr>
        <w:rPr>
          <w:rFonts w:asciiTheme="minorHAnsi" w:hAnsiTheme="minorHAnsi"/>
          <w:b/>
          <w:sz w:val="22"/>
          <w:szCs w:val="22"/>
        </w:rPr>
      </w:pPr>
    </w:p>
    <w:p w:rsidR="00DE37D3" w:rsidRPr="00B86D0C" w:rsidRDefault="00F42070" w:rsidP="004D138C">
      <w:pPr>
        <w:rPr>
          <w:rFonts w:asciiTheme="minorHAnsi" w:hAnsiTheme="minorHAnsi"/>
          <w:sz w:val="22"/>
          <w:szCs w:val="22"/>
        </w:rPr>
      </w:pPr>
      <w:r w:rsidRPr="00B86D0C">
        <w:rPr>
          <w:rFonts w:asciiTheme="minorHAnsi" w:hAnsiTheme="minorHAnsi"/>
          <w:sz w:val="22"/>
          <w:szCs w:val="22"/>
        </w:rPr>
        <w:t xml:space="preserve">Because expanding incentives to cases with certain </w:t>
      </w:r>
      <w:r w:rsidR="00D51F27" w:rsidRPr="00B86D0C">
        <w:rPr>
          <w:rFonts w:asciiTheme="minorHAnsi" w:hAnsiTheme="minorHAnsi"/>
          <w:sz w:val="22"/>
          <w:szCs w:val="22"/>
        </w:rPr>
        <w:t xml:space="preserve">call </w:t>
      </w:r>
      <w:r w:rsidRPr="00B86D0C">
        <w:rPr>
          <w:rFonts w:asciiTheme="minorHAnsi" w:hAnsiTheme="minorHAnsi"/>
          <w:sz w:val="22"/>
          <w:szCs w:val="22"/>
        </w:rPr>
        <w:t xml:space="preserve">outcome codes has had a positive effect on response rates, </w:t>
      </w:r>
      <w:r w:rsidR="005B2BE4">
        <w:rPr>
          <w:rFonts w:asciiTheme="minorHAnsi" w:hAnsiTheme="minorHAnsi"/>
          <w:sz w:val="22"/>
          <w:szCs w:val="22"/>
        </w:rPr>
        <w:t xml:space="preserve">the </w:t>
      </w:r>
      <w:r w:rsidRPr="00B86D0C">
        <w:rPr>
          <w:rFonts w:asciiTheme="minorHAnsi" w:hAnsiTheme="minorHAnsi"/>
          <w:sz w:val="22"/>
          <w:szCs w:val="22"/>
        </w:rPr>
        <w:t xml:space="preserve">ATUS would like to further expand </w:t>
      </w:r>
      <w:r w:rsidR="0069503A" w:rsidRPr="00B86D0C">
        <w:rPr>
          <w:rFonts w:asciiTheme="minorHAnsi" w:hAnsiTheme="minorHAnsi"/>
          <w:sz w:val="22"/>
          <w:szCs w:val="22"/>
        </w:rPr>
        <w:t>the definition of no-telephone-number households</w:t>
      </w:r>
      <w:r w:rsidRPr="00B86D0C">
        <w:rPr>
          <w:rFonts w:asciiTheme="minorHAnsi" w:hAnsiTheme="minorHAnsi"/>
          <w:sz w:val="22"/>
          <w:szCs w:val="22"/>
        </w:rPr>
        <w:t xml:space="preserve"> to</w:t>
      </w:r>
      <w:r w:rsidR="0069503A" w:rsidRPr="00B86D0C">
        <w:rPr>
          <w:rFonts w:asciiTheme="minorHAnsi" w:hAnsiTheme="minorHAnsi"/>
          <w:sz w:val="22"/>
          <w:szCs w:val="22"/>
        </w:rPr>
        <w:t xml:space="preserve"> include</w:t>
      </w:r>
      <w:r w:rsidR="005B2BE4">
        <w:rPr>
          <w:rFonts w:asciiTheme="minorHAnsi" w:hAnsiTheme="minorHAnsi"/>
          <w:sz w:val="22"/>
          <w:szCs w:val="22"/>
        </w:rPr>
        <w:t xml:space="preserve"> those with the following </w:t>
      </w:r>
      <w:r w:rsidRPr="00B86D0C">
        <w:rPr>
          <w:rFonts w:asciiTheme="minorHAnsi" w:hAnsiTheme="minorHAnsi"/>
          <w:sz w:val="22"/>
          <w:szCs w:val="22"/>
        </w:rPr>
        <w:t>call outcome codes</w:t>
      </w:r>
      <w:r w:rsidR="005B2BE4">
        <w:rPr>
          <w:rFonts w:asciiTheme="minorHAnsi" w:hAnsiTheme="minorHAnsi"/>
          <w:sz w:val="22"/>
          <w:szCs w:val="22"/>
        </w:rPr>
        <w:t xml:space="preserve"> after the first week in sample</w:t>
      </w:r>
      <w:r w:rsidRPr="00B86D0C">
        <w:rPr>
          <w:rFonts w:asciiTheme="minorHAnsi" w:hAnsiTheme="minorHAnsi"/>
          <w:sz w:val="22"/>
          <w:szCs w:val="22"/>
        </w:rPr>
        <w:t xml:space="preserve">: </w:t>
      </w:r>
    </w:p>
    <w:p w:rsidR="00F42070" w:rsidRPr="00B86D0C" w:rsidRDefault="00F42070" w:rsidP="004D138C">
      <w:pPr>
        <w:rPr>
          <w:rFonts w:asciiTheme="minorHAnsi" w:hAnsiTheme="minorHAnsi"/>
          <w:sz w:val="22"/>
          <w:szCs w:val="22"/>
        </w:rPr>
      </w:pPr>
    </w:p>
    <w:p w:rsidR="00F42070" w:rsidRPr="00B86D0C" w:rsidRDefault="00F42070" w:rsidP="00F42070">
      <w:pPr>
        <w:numPr>
          <w:ilvl w:val="0"/>
          <w:numId w:val="3"/>
        </w:numPr>
        <w:rPr>
          <w:rFonts w:asciiTheme="minorHAnsi" w:hAnsiTheme="minorHAnsi"/>
          <w:sz w:val="22"/>
          <w:szCs w:val="22"/>
        </w:rPr>
      </w:pPr>
      <w:r w:rsidRPr="00B86D0C">
        <w:rPr>
          <w:rFonts w:asciiTheme="minorHAnsi" w:hAnsiTheme="minorHAnsi"/>
          <w:sz w:val="22"/>
          <w:szCs w:val="22"/>
        </w:rPr>
        <w:t>Number not in service</w:t>
      </w:r>
    </w:p>
    <w:p w:rsidR="00F42070" w:rsidRPr="00B86D0C" w:rsidRDefault="00F42070" w:rsidP="00F42070">
      <w:pPr>
        <w:pStyle w:val="ListParagraph"/>
        <w:numPr>
          <w:ilvl w:val="0"/>
          <w:numId w:val="4"/>
        </w:numPr>
        <w:rPr>
          <w:rFonts w:asciiTheme="minorHAnsi" w:hAnsiTheme="minorHAnsi"/>
          <w:sz w:val="22"/>
          <w:szCs w:val="22"/>
        </w:rPr>
      </w:pPr>
      <w:r w:rsidRPr="00B86D0C">
        <w:rPr>
          <w:rFonts w:asciiTheme="minorHAnsi" w:hAnsiTheme="minorHAnsi"/>
          <w:sz w:val="22"/>
          <w:szCs w:val="22"/>
        </w:rPr>
        <w:t xml:space="preserve">      Temporarily not in service</w:t>
      </w:r>
    </w:p>
    <w:p w:rsidR="00F42070" w:rsidRPr="00B86D0C" w:rsidRDefault="00F42070" w:rsidP="00F42070">
      <w:pPr>
        <w:ind w:left="720"/>
        <w:rPr>
          <w:rFonts w:asciiTheme="minorHAnsi" w:hAnsiTheme="minorHAnsi"/>
          <w:sz w:val="22"/>
          <w:szCs w:val="22"/>
        </w:rPr>
      </w:pPr>
    </w:p>
    <w:p w:rsidR="004D138C" w:rsidRPr="00B86D0C" w:rsidRDefault="004D138C" w:rsidP="004D138C">
      <w:pPr>
        <w:rPr>
          <w:rFonts w:asciiTheme="minorHAnsi" w:hAnsiTheme="minorHAnsi"/>
          <w:sz w:val="22"/>
          <w:szCs w:val="22"/>
        </w:rPr>
      </w:pPr>
      <w:r w:rsidRPr="00B756B3">
        <w:rPr>
          <w:rFonts w:asciiTheme="minorHAnsi" w:hAnsiTheme="minorHAnsi"/>
          <w:sz w:val="22"/>
          <w:szCs w:val="22"/>
        </w:rPr>
        <w:t xml:space="preserve">The response rate for cases with these call outcome codes </w:t>
      </w:r>
      <w:r w:rsidR="00152EF5" w:rsidRPr="00B756B3">
        <w:rPr>
          <w:rFonts w:asciiTheme="minorHAnsi" w:hAnsiTheme="minorHAnsi"/>
          <w:sz w:val="22"/>
          <w:szCs w:val="22"/>
        </w:rPr>
        <w:t xml:space="preserve">is very low. </w:t>
      </w:r>
      <w:r w:rsidR="0069503A" w:rsidRPr="00B756B3">
        <w:rPr>
          <w:rFonts w:asciiTheme="minorHAnsi" w:hAnsiTheme="minorHAnsi"/>
          <w:sz w:val="22"/>
          <w:szCs w:val="22"/>
        </w:rPr>
        <w:t xml:space="preserve"> In 2009</w:t>
      </w:r>
      <w:r w:rsidR="00B756B3">
        <w:rPr>
          <w:rFonts w:asciiTheme="minorHAnsi" w:hAnsiTheme="minorHAnsi"/>
          <w:sz w:val="22"/>
          <w:szCs w:val="22"/>
        </w:rPr>
        <w:t>-10</w:t>
      </w:r>
      <w:r w:rsidR="0069503A" w:rsidRPr="00B756B3">
        <w:rPr>
          <w:rFonts w:asciiTheme="minorHAnsi" w:hAnsiTheme="minorHAnsi"/>
          <w:sz w:val="22"/>
          <w:szCs w:val="22"/>
        </w:rPr>
        <w:t xml:space="preserve">, only </w:t>
      </w:r>
      <w:r w:rsidR="00B756B3">
        <w:rPr>
          <w:rFonts w:asciiTheme="minorHAnsi" w:hAnsiTheme="minorHAnsi"/>
          <w:sz w:val="22"/>
          <w:szCs w:val="22"/>
        </w:rPr>
        <w:t>7.5</w:t>
      </w:r>
      <w:r w:rsidR="0069503A" w:rsidRPr="00B756B3">
        <w:rPr>
          <w:rFonts w:asciiTheme="minorHAnsi" w:hAnsiTheme="minorHAnsi"/>
          <w:sz w:val="22"/>
          <w:szCs w:val="22"/>
        </w:rPr>
        <w:t xml:space="preserve"> percent of </w:t>
      </w:r>
      <w:r w:rsidR="00B756B3">
        <w:rPr>
          <w:rFonts w:asciiTheme="minorHAnsi" w:hAnsiTheme="minorHAnsi"/>
          <w:sz w:val="22"/>
          <w:szCs w:val="22"/>
        </w:rPr>
        <w:t>the 1,540</w:t>
      </w:r>
      <w:r w:rsidR="0069503A" w:rsidRPr="00B756B3">
        <w:rPr>
          <w:rFonts w:asciiTheme="minorHAnsi" w:hAnsiTheme="minorHAnsi"/>
          <w:sz w:val="22"/>
          <w:szCs w:val="22"/>
        </w:rPr>
        <w:t xml:space="preserve"> cases assigned an outcome code of 108</w:t>
      </w:r>
      <w:r w:rsidR="00B756B3">
        <w:rPr>
          <w:rFonts w:asciiTheme="minorHAnsi" w:hAnsiTheme="minorHAnsi"/>
          <w:sz w:val="22"/>
          <w:szCs w:val="22"/>
        </w:rPr>
        <w:t xml:space="preserve"> (number not in service) </w:t>
      </w:r>
      <w:r w:rsidR="0069503A" w:rsidRPr="00B756B3">
        <w:rPr>
          <w:rFonts w:asciiTheme="minorHAnsi" w:hAnsiTheme="minorHAnsi"/>
          <w:sz w:val="22"/>
          <w:szCs w:val="22"/>
        </w:rPr>
        <w:t>completed an interview by the end of the 8-week fielding period.  Those assigned a code of 127</w:t>
      </w:r>
      <w:r w:rsidR="00B756B3">
        <w:rPr>
          <w:rFonts w:asciiTheme="minorHAnsi" w:hAnsiTheme="minorHAnsi"/>
          <w:sz w:val="22"/>
          <w:szCs w:val="22"/>
        </w:rPr>
        <w:t xml:space="preserve"> (t</w:t>
      </w:r>
      <w:r w:rsidR="0069503A" w:rsidRPr="00B756B3">
        <w:rPr>
          <w:rFonts w:asciiTheme="minorHAnsi" w:hAnsiTheme="minorHAnsi"/>
          <w:sz w:val="22"/>
          <w:szCs w:val="22"/>
        </w:rPr>
        <w:t>emporarily not in service</w:t>
      </w:r>
      <w:r w:rsidR="00B756B3">
        <w:rPr>
          <w:rFonts w:asciiTheme="minorHAnsi" w:hAnsiTheme="minorHAnsi"/>
          <w:sz w:val="22"/>
          <w:szCs w:val="22"/>
        </w:rPr>
        <w:t xml:space="preserve">) </w:t>
      </w:r>
      <w:r w:rsidR="0069503A" w:rsidRPr="00B756B3">
        <w:rPr>
          <w:rFonts w:asciiTheme="minorHAnsi" w:hAnsiTheme="minorHAnsi"/>
          <w:sz w:val="22"/>
          <w:szCs w:val="22"/>
        </w:rPr>
        <w:t xml:space="preserve">had a </w:t>
      </w:r>
      <w:r w:rsidR="0003750B" w:rsidRPr="00B756B3">
        <w:rPr>
          <w:rFonts w:asciiTheme="minorHAnsi" w:hAnsiTheme="minorHAnsi"/>
          <w:sz w:val="22"/>
          <w:szCs w:val="22"/>
        </w:rPr>
        <w:t>slightly higher, but still</w:t>
      </w:r>
      <w:r w:rsidR="0003750B" w:rsidRPr="00B86D0C">
        <w:rPr>
          <w:rFonts w:asciiTheme="minorHAnsi" w:hAnsiTheme="minorHAnsi"/>
          <w:sz w:val="22"/>
          <w:szCs w:val="22"/>
        </w:rPr>
        <w:t xml:space="preserve"> low, </w:t>
      </w:r>
      <w:r w:rsidR="0069503A" w:rsidRPr="00B86D0C">
        <w:rPr>
          <w:rFonts w:asciiTheme="minorHAnsi" w:hAnsiTheme="minorHAnsi"/>
          <w:sz w:val="22"/>
          <w:szCs w:val="22"/>
        </w:rPr>
        <w:t xml:space="preserve">completion rate of </w:t>
      </w:r>
      <w:r w:rsidR="00B756B3">
        <w:rPr>
          <w:rFonts w:asciiTheme="minorHAnsi" w:hAnsiTheme="minorHAnsi"/>
          <w:sz w:val="22"/>
          <w:szCs w:val="22"/>
        </w:rPr>
        <w:t>13.4</w:t>
      </w:r>
      <w:r w:rsidR="0069503A" w:rsidRPr="00B86D0C">
        <w:rPr>
          <w:rFonts w:asciiTheme="minorHAnsi" w:hAnsiTheme="minorHAnsi"/>
          <w:sz w:val="22"/>
          <w:szCs w:val="22"/>
        </w:rPr>
        <w:t xml:space="preserve"> percent by the end of the fielding period.</w:t>
      </w:r>
      <w:r w:rsidRPr="00B86D0C">
        <w:rPr>
          <w:rFonts w:asciiTheme="minorHAnsi" w:hAnsiTheme="minorHAnsi"/>
          <w:sz w:val="22"/>
          <w:szCs w:val="22"/>
        </w:rPr>
        <w:t xml:space="preserve"> </w:t>
      </w:r>
      <w:r w:rsidR="0069503A" w:rsidRPr="00B86D0C">
        <w:rPr>
          <w:rFonts w:asciiTheme="minorHAnsi" w:hAnsiTheme="minorHAnsi"/>
          <w:sz w:val="22"/>
          <w:szCs w:val="22"/>
        </w:rPr>
        <w:t xml:space="preserve"> See Table 2.</w:t>
      </w:r>
      <w:r w:rsidR="00B65584" w:rsidRPr="00B86D0C">
        <w:rPr>
          <w:rFonts w:asciiTheme="minorHAnsi" w:hAnsiTheme="minorHAnsi"/>
          <w:sz w:val="22"/>
          <w:szCs w:val="22"/>
        </w:rPr>
        <w:t xml:space="preserve">  </w:t>
      </w:r>
      <w:r w:rsidR="005039F5" w:rsidRPr="00B86D0C">
        <w:rPr>
          <w:rFonts w:asciiTheme="minorHAnsi" w:hAnsiTheme="minorHAnsi"/>
          <w:sz w:val="22"/>
          <w:szCs w:val="22"/>
        </w:rPr>
        <w:t>Because there are a relatively large</w:t>
      </w:r>
      <w:r w:rsidR="00B65584" w:rsidRPr="00B86D0C">
        <w:rPr>
          <w:rFonts w:asciiTheme="minorHAnsi" w:hAnsiTheme="minorHAnsi"/>
          <w:sz w:val="22"/>
          <w:szCs w:val="22"/>
        </w:rPr>
        <w:t xml:space="preserve"> numbe</w:t>
      </w:r>
      <w:r w:rsidR="005039F5" w:rsidRPr="00B86D0C">
        <w:rPr>
          <w:rFonts w:asciiTheme="minorHAnsi" w:hAnsiTheme="minorHAnsi"/>
          <w:sz w:val="22"/>
          <w:szCs w:val="22"/>
        </w:rPr>
        <w:t xml:space="preserve">r of cases assigned these outcome codes, there is strong potential </w:t>
      </w:r>
      <w:r w:rsidR="00492319" w:rsidRPr="00B86D0C">
        <w:rPr>
          <w:rFonts w:asciiTheme="minorHAnsi" w:hAnsiTheme="minorHAnsi"/>
          <w:sz w:val="22"/>
          <w:szCs w:val="22"/>
        </w:rPr>
        <w:t>that an expansion of the no-telephone-number definition</w:t>
      </w:r>
      <w:r w:rsidR="00FB64CD" w:rsidRPr="00B86D0C">
        <w:rPr>
          <w:rFonts w:asciiTheme="minorHAnsi" w:hAnsiTheme="minorHAnsi"/>
          <w:sz w:val="22"/>
          <w:szCs w:val="22"/>
        </w:rPr>
        <w:t xml:space="preserve"> will positively impact survey response.</w:t>
      </w:r>
    </w:p>
    <w:p w:rsidR="004D138C" w:rsidRPr="00B86D0C" w:rsidRDefault="004D138C" w:rsidP="004D138C">
      <w:pPr>
        <w:rPr>
          <w:rFonts w:asciiTheme="minorHAnsi" w:hAnsiTheme="minorHAnsi"/>
          <w:sz w:val="22"/>
          <w:szCs w:val="22"/>
        </w:rPr>
      </w:pPr>
    </w:p>
    <w:p w:rsidR="004D138C" w:rsidRDefault="00152EF5" w:rsidP="005B2BE4">
      <w:pPr>
        <w:jc w:val="center"/>
        <w:rPr>
          <w:rFonts w:asciiTheme="minorHAnsi" w:hAnsiTheme="minorHAnsi"/>
          <w:b/>
          <w:sz w:val="22"/>
          <w:szCs w:val="22"/>
        </w:rPr>
      </w:pPr>
      <w:proofErr w:type="gramStart"/>
      <w:r w:rsidRPr="00B86D0C">
        <w:rPr>
          <w:rFonts w:asciiTheme="minorHAnsi" w:hAnsiTheme="minorHAnsi"/>
          <w:b/>
          <w:sz w:val="22"/>
          <w:szCs w:val="22"/>
        </w:rPr>
        <w:t>Table 2</w:t>
      </w:r>
      <w:r w:rsidR="004D138C" w:rsidRPr="00B86D0C">
        <w:rPr>
          <w:rFonts w:asciiTheme="minorHAnsi" w:hAnsiTheme="minorHAnsi"/>
          <w:b/>
          <w:sz w:val="22"/>
          <w:szCs w:val="22"/>
        </w:rPr>
        <w:t>.</w:t>
      </w:r>
      <w:proofErr w:type="gramEnd"/>
      <w:r w:rsidR="004D138C" w:rsidRPr="00B86D0C">
        <w:rPr>
          <w:rFonts w:asciiTheme="minorHAnsi" w:hAnsiTheme="minorHAnsi"/>
          <w:b/>
          <w:sz w:val="22"/>
          <w:szCs w:val="22"/>
        </w:rPr>
        <w:t xml:space="preserve"> </w:t>
      </w:r>
      <w:r w:rsidR="000810F4" w:rsidRPr="00B86D0C">
        <w:rPr>
          <w:rFonts w:asciiTheme="minorHAnsi" w:hAnsiTheme="minorHAnsi"/>
          <w:b/>
          <w:sz w:val="22"/>
          <w:szCs w:val="22"/>
        </w:rPr>
        <w:t>Percent of complete</w:t>
      </w:r>
      <w:r w:rsidR="0069503A" w:rsidRPr="00B86D0C">
        <w:rPr>
          <w:rFonts w:asciiTheme="minorHAnsi" w:hAnsiTheme="minorHAnsi"/>
          <w:b/>
          <w:sz w:val="22"/>
          <w:szCs w:val="22"/>
        </w:rPr>
        <w:t>d interviews</w:t>
      </w:r>
      <w:r w:rsidR="000810F4" w:rsidRPr="00B86D0C">
        <w:rPr>
          <w:rFonts w:asciiTheme="minorHAnsi" w:hAnsiTheme="minorHAnsi"/>
          <w:b/>
          <w:sz w:val="22"/>
          <w:szCs w:val="22"/>
        </w:rPr>
        <w:t xml:space="preserve"> for c</w:t>
      </w:r>
      <w:r w:rsidR="004D138C" w:rsidRPr="00B86D0C">
        <w:rPr>
          <w:rFonts w:asciiTheme="minorHAnsi" w:hAnsiTheme="minorHAnsi"/>
          <w:b/>
          <w:sz w:val="22"/>
          <w:szCs w:val="22"/>
        </w:rPr>
        <w:t xml:space="preserve">ases </w:t>
      </w:r>
      <w:r w:rsidR="0069503A" w:rsidRPr="00B86D0C">
        <w:rPr>
          <w:rFonts w:asciiTheme="minorHAnsi" w:hAnsiTheme="minorHAnsi"/>
          <w:b/>
          <w:sz w:val="22"/>
          <w:szCs w:val="22"/>
        </w:rPr>
        <w:t>assigned</w:t>
      </w:r>
      <w:r w:rsidR="004D138C" w:rsidRPr="00B86D0C">
        <w:rPr>
          <w:rFonts w:asciiTheme="minorHAnsi" w:hAnsiTheme="minorHAnsi"/>
          <w:b/>
          <w:sz w:val="22"/>
          <w:szCs w:val="22"/>
        </w:rPr>
        <w:t xml:space="preserve"> </w:t>
      </w:r>
      <w:r w:rsidR="00923EFB" w:rsidRPr="00B86D0C">
        <w:rPr>
          <w:rFonts w:asciiTheme="minorHAnsi" w:hAnsiTheme="minorHAnsi"/>
          <w:b/>
          <w:sz w:val="22"/>
          <w:szCs w:val="22"/>
        </w:rPr>
        <w:t xml:space="preserve">call outcome </w:t>
      </w:r>
      <w:r w:rsidR="004D138C" w:rsidRPr="00B86D0C">
        <w:rPr>
          <w:rFonts w:asciiTheme="minorHAnsi" w:hAnsiTheme="minorHAnsi"/>
          <w:b/>
          <w:sz w:val="22"/>
          <w:szCs w:val="22"/>
        </w:rPr>
        <w:t xml:space="preserve">codes </w:t>
      </w:r>
      <w:r w:rsidR="000810F4" w:rsidRPr="00B86D0C">
        <w:rPr>
          <w:rFonts w:asciiTheme="minorHAnsi" w:hAnsiTheme="minorHAnsi"/>
          <w:b/>
          <w:sz w:val="22"/>
          <w:szCs w:val="22"/>
        </w:rPr>
        <w:t xml:space="preserve">108 and 127 </w:t>
      </w:r>
      <w:r w:rsidR="0069503A" w:rsidRPr="00B86D0C">
        <w:rPr>
          <w:rFonts w:asciiTheme="minorHAnsi" w:hAnsiTheme="minorHAnsi"/>
          <w:b/>
          <w:sz w:val="22"/>
          <w:szCs w:val="22"/>
        </w:rPr>
        <w:t xml:space="preserve">after </w:t>
      </w:r>
      <w:r w:rsidR="004D138C" w:rsidRPr="00B86D0C">
        <w:rPr>
          <w:rFonts w:asciiTheme="minorHAnsi" w:hAnsiTheme="minorHAnsi"/>
          <w:b/>
          <w:sz w:val="22"/>
          <w:szCs w:val="22"/>
        </w:rPr>
        <w:t>their first week in sample</w:t>
      </w:r>
      <w:r w:rsidR="00672889">
        <w:rPr>
          <w:rFonts w:asciiTheme="minorHAnsi" w:hAnsiTheme="minorHAnsi"/>
          <w:b/>
          <w:sz w:val="22"/>
          <w:szCs w:val="22"/>
        </w:rPr>
        <w:t>, 2009 and 2010</w:t>
      </w:r>
    </w:p>
    <w:tbl>
      <w:tblPr>
        <w:tblW w:w="8820" w:type="dxa"/>
        <w:tblInd w:w="95" w:type="dxa"/>
        <w:tblLook w:val="04A0"/>
      </w:tblPr>
      <w:tblGrid>
        <w:gridCol w:w="2280"/>
        <w:gridCol w:w="960"/>
        <w:gridCol w:w="1220"/>
        <w:gridCol w:w="960"/>
        <w:gridCol w:w="1220"/>
        <w:gridCol w:w="960"/>
        <w:gridCol w:w="1220"/>
      </w:tblGrid>
      <w:tr w:rsidR="00797714" w:rsidRPr="00762C84" w:rsidTr="00797714">
        <w:trPr>
          <w:trHeight w:val="525"/>
        </w:trPr>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762C84" w:rsidRDefault="00762C84" w:rsidP="00797714">
            <w:pPr>
              <w:rPr>
                <w:rFonts w:ascii="Calibri" w:hAnsi="Calibri"/>
                <w:bCs/>
                <w:color w:val="000000"/>
              </w:rPr>
            </w:pPr>
          </w:p>
          <w:p w:rsidR="00797714" w:rsidRPr="00762C84" w:rsidRDefault="00797714" w:rsidP="00797714">
            <w:pPr>
              <w:rPr>
                <w:rFonts w:ascii="Calibri" w:hAnsi="Calibri"/>
                <w:bCs/>
                <w:color w:val="000000"/>
              </w:rPr>
            </w:pPr>
            <w:r w:rsidRPr="00762C84">
              <w:rPr>
                <w:rFonts w:ascii="Calibri" w:hAnsi="Calibri"/>
                <w:bCs/>
                <w:color w:val="000000"/>
                <w:sz w:val="22"/>
                <w:szCs w:val="22"/>
              </w:rPr>
              <w:t>Codes included</w:t>
            </w:r>
          </w:p>
        </w:tc>
        <w:tc>
          <w:tcPr>
            <w:tcW w:w="2180" w:type="dxa"/>
            <w:gridSpan w:val="2"/>
            <w:tcBorders>
              <w:top w:val="single" w:sz="4" w:space="0" w:color="auto"/>
              <w:left w:val="nil"/>
              <w:bottom w:val="single" w:sz="4" w:space="0" w:color="auto"/>
              <w:right w:val="single" w:sz="4" w:space="0" w:color="auto"/>
            </w:tcBorders>
            <w:shd w:val="clear" w:color="auto" w:fill="auto"/>
            <w:vAlign w:val="bottom"/>
            <w:hideMark/>
          </w:tcPr>
          <w:p w:rsidR="00797714" w:rsidRPr="00762C84" w:rsidRDefault="00797714" w:rsidP="00797714">
            <w:pPr>
              <w:jc w:val="center"/>
              <w:rPr>
                <w:rFonts w:ascii="Calibri" w:hAnsi="Calibri"/>
                <w:bCs/>
                <w:color w:val="000000"/>
              </w:rPr>
            </w:pPr>
            <w:r w:rsidRPr="00762C84">
              <w:rPr>
                <w:rFonts w:ascii="Calibri" w:hAnsi="Calibri"/>
                <w:bCs/>
                <w:color w:val="000000"/>
                <w:sz w:val="22"/>
                <w:szCs w:val="22"/>
              </w:rPr>
              <w:t>2009</w:t>
            </w:r>
          </w:p>
        </w:tc>
        <w:tc>
          <w:tcPr>
            <w:tcW w:w="2180" w:type="dxa"/>
            <w:gridSpan w:val="2"/>
            <w:tcBorders>
              <w:top w:val="single" w:sz="4" w:space="0" w:color="auto"/>
              <w:left w:val="nil"/>
              <w:bottom w:val="single" w:sz="4" w:space="0" w:color="auto"/>
              <w:right w:val="single" w:sz="4" w:space="0" w:color="auto"/>
            </w:tcBorders>
            <w:shd w:val="clear" w:color="auto" w:fill="auto"/>
            <w:vAlign w:val="bottom"/>
            <w:hideMark/>
          </w:tcPr>
          <w:p w:rsidR="00797714" w:rsidRPr="00762C84" w:rsidRDefault="00797714" w:rsidP="00797714">
            <w:pPr>
              <w:jc w:val="center"/>
              <w:rPr>
                <w:rFonts w:ascii="Calibri" w:hAnsi="Calibri"/>
                <w:bCs/>
                <w:color w:val="000000"/>
              </w:rPr>
            </w:pPr>
            <w:r w:rsidRPr="00762C84">
              <w:rPr>
                <w:rFonts w:ascii="Calibri" w:hAnsi="Calibri"/>
                <w:bCs/>
                <w:color w:val="000000"/>
                <w:sz w:val="22"/>
                <w:szCs w:val="22"/>
              </w:rPr>
              <w:t>2010</w:t>
            </w:r>
          </w:p>
        </w:tc>
        <w:tc>
          <w:tcPr>
            <w:tcW w:w="2180" w:type="dxa"/>
            <w:gridSpan w:val="2"/>
            <w:tcBorders>
              <w:top w:val="single" w:sz="4" w:space="0" w:color="auto"/>
              <w:left w:val="nil"/>
              <w:bottom w:val="single" w:sz="4" w:space="0" w:color="auto"/>
              <w:right w:val="single" w:sz="4" w:space="0" w:color="auto"/>
            </w:tcBorders>
            <w:shd w:val="clear" w:color="auto" w:fill="auto"/>
            <w:vAlign w:val="bottom"/>
            <w:hideMark/>
          </w:tcPr>
          <w:p w:rsidR="00797714" w:rsidRPr="00762C84" w:rsidRDefault="00797714" w:rsidP="00797714">
            <w:pPr>
              <w:jc w:val="center"/>
              <w:rPr>
                <w:rFonts w:ascii="Calibri" w:hAnsi="Calibri"/>
                <w:bCs/>
                <w:color w:val="000000"/>
              </w:rPr>
            </w:pPr>
            <w:r w:rsidRPr="00762C84">
              <w:rPr>
                <w:rFonts w:ascii="Calibri" w:hAnsi="Calibri"/>
                <w:bCs/>
                <w:color w:val="000000"/>
                <w:sz w:val="22"/>
                <w:szCs w:val="22"/>
              </w:rPr>
              <w:t>2009-2010</w:t>
            </w:r>
          </w:p>
        </w:tc>
      </w:tr>
      <w:tr w:rsidR="00797714" w:rsidRPr="00797714" w:rsidTr="00797714">
        <w:trPr>
          <w:trHeight w:val="1395"/>
        </w:trPr>
        <w:tc>
          <w:tcPr>
            <w:tcW w:w="2280" w:type="dxa"/>
            <w:tcBorders>
              <w:top w:val="nil"/>
              <w:left w:val="single" w:sz="4" w:space="0" w:color="auto"/>
              <w:bottom w:val="single" w:sz="4" w:space="0" w:color="auto"/>
              <w:right w:val="single" w:sz="4" w:space="0" w:color="auto"/>
            </w:tcBorders>
            <w:shd w:val="clear" w:color="auto" w:fill="auto"/>
            <w:hideMark/>
          </w:tcPr>
          <w:p w:rsidR="00797714" w:rsidRPr="00797714" w:rsidRDefault="00797714" w:rsidP="00797714">
            <w:pPr>
              <w:rPr>
                <w:rFonts w:ascii="Calibri" w:hAnsi="Calibri"/>
                <w:color w:val="000000"/>
              </w:rPr>
            </w:pPr>
            <w:r w:rsidRPr="00797714">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rsidR="00797714" w:rsidRPr="00797714" w:rsidRDefault="00797714" w:rsidP="00797714">
            <w:pPr>
              <w:jc w:val="center"/>
              <w:rPr>
                <w:rFonts w:ascii="Calibri" w:hAnsi="Calibri"/>
                <w:color w:val="000000"/>
              </w:rPr>
            </w:pPr>
            <w:r w:rsidRPr="00797714">
              <w:rPr>
                <w:rFonts w:ascii="Calibri" w:hAnsi="Calibri"/>
                <w:color w:val="000000"/>
                <w:sz w:val="22"/>
                <w:szCs w:val="22"/>
              </w:rPr>
              <w:t>Number of cases</w:t>
            </w:r>
          </w:p>
        </w:tc>
        <w:tc>
          <w:tcPr>
            <w:tcW w:w="1220" w:type="dxa"/>
            <w:tcBorders>
              <w:top w:val="nil"/>
              <w:left w:val="nil"/>
              <w:bottom w:val="single" w:sz="4" w:space="0" w:color="auto"/>
              <w:right w:val="single" w:sz="4" w:space="0" w:color="auto"/>
            </w:tcBorders>
            <w:shd w:val="clear" w:color="auto" w:fill="auto"/>
            <w:vAlign w:val="bottom"/>
            <w:hideMark/>
          </w:tcPr>
          <w:p w:rsidR="00797714" w:rsidRPr="00797714" w:rsidRDefault="00797714" w:rsidP="00797714">
            <w:pPr>
              <w:jc w:val="center"/>
              <w:rPr>
                <w:rFonts w:ascii="Calibri" w:hAnsi="Calibri"/>
                <w:color w:val="000000"/>
              </w:rPr>
            </w:pPr>
            <w:r w:rsidRPr="00797714">
              <w:rPr>
                <w:rFonts w:ascii="Calibri" w:hAnsi="Calibri"/>
                <w:color w:val="000000"/>
                <w:sz w:val="22"/>
                <w:szCs w:val="22"/>
              </w:rPr>
              <w:t>Percent of these cases resulting in completes</w:t>
            </w:r>
          </w:p>
        </w:tc>
        <w:tc>
          <w:tcPr>
            <w:tcW w:w="960" w:type="dxa"/>
            <w:tcBorders>
              <w:top w:val="nil"/>
              <w:left w:val="nil"/>
              <w:bottom w:val="single" w:sz="4" w:space="0" w:color="auto"/>
              <w:right w:val="single" w:sz="4" w:space="0" w:color="auto"/>
            </w:tcBorders>
            <w:shd w:val="clear" w:color="auto" w:fill="auto"/>
            <w:vAlign w:val="bottom"/>
            <w:hideMark/>
          </w:tcPr>
          <w:p w:rsidR="00797714" w:rsidRPr="00797714" w:rsidRDefault="00797714" w:rsidP="00797714">
            <w:pPr>
              <w:jc w:val="center"/>
              <w:rPr>
                <w:rFonts w:ascii="Calibri" w:hAnsi="Calibri"/>
                <w:color w:val="000000"/>
              </w:rPr>
            </w:pPr>
            <w:r w:rsidRPr="00797714">
              <w:rPr>
                <w:rFonts w:ascii="Calibri" w:hAnsi="Calibri"/>
                <w:color w:val="000000"/>
                <w:sz w:val="22"/>
                <w:szCs w:val="22"/>
              </w:rPr>
              <w:t>Number of cases</w:t>
            </w:r>
          </w:p>
        </w:tc>
        <w:tc>
          <w:tcPr>
            <w:tcW w:w="1220" w:type="dxa"/>
            <w:tcBorders>
              <w:top w:val="nil"/>
              <w:left w:val="nil"/>
              <w:bottom w:val="single" w:sz="4" w:space="0" w:color="auto"/>
              <w:right w:val="single" w:sz="4" w:space="0" w:color="auto"/>
            </w:tcBorders>
            <w:shd w:val="clear" w:color="auto" w:fill="auto"/>
            <w:vAlign w:val="bottom"/>
            <w:hideMark/>
          </w:tcPr>
          <w:p w:rsidR="00797714" w:rsidRPr="00797714" w:rsidRDefault="00797714" w:rsidP="00797714">
            <w:pPr>
              <w:jc w:val="center"/>
              <w:rPr>
                <w:rFonts w:ascii="Calibri" w:hAnsi="Calibri"/>
                <w:color w:val="000000"/>
              </w:rPr>
            </w:pPr>
            <w:r w:rsidRPr="00797714">
              <w:rPr>
                <w:rFonts w:ascii="Calibri" w:hAnsi="Calibri"/>
                <w:color w:val="000000"/>
                <w:sz w:val="22"/>
                <w:szCs w:val="22"/>
              </w:rPr>
              <w:t>Percent of these cases resulting in completes</w:t>
            </w:r>
          </w:p>
        </w:tc>
        <w:tc>
          <w:tcPr>
            <w:tcW w:w="960" w:type="dxa"/>
            <w:tcBorders>
              <w:top w:val="nil"/>
              <w:left w:val="nil"/>
              <w:bottom w:val="single" w:sz="4" w:space="0" w:color="auto"/>
              <w:right w:val="single" w:sz="4" w:space="0" w:color="auto"/>
            </w:tcBorders>
            <w:shd w:val="clear" w:color="auto" w:fill="auto"/>
            <w:vAlign w:val="bottom"/>
            <w:hideMark/>
          </w:tcPr>
          <w:p w:rsidR="00797714" w:rsidRPr="00797714" w:rsidRDefault="00797714" w:rsidP="00797714">
            <w:pPr>
              <w:jc w:val="center"/>
              <w:rPr>
                <w:rFonts w:ascii="Calibri" w:hAnsi="Calibri"/>
                <w:color w:val="000000"/>
              </w:rPr>
            </w:pPr>
            <w:r w:rsidRPr="00797714">
              <w:rPr>
                <w:rFonts w:ascii="Calibri" w:hAnsi="Calibri"/>
                <w:color w:val="000000"/>
                <w:sz w:val="22"/>
                <w:szCs w:val="22"/>
              </w:rPr>
              <w:t>Number of cases</w:t>
            </w:r>
          </w:p>
        </w:tc>
        <w:tc>
          <w:tcPr>
            <w:tcW w:w="1220" w:type="dxa"/>
            <w:tcBorders>
              <w:top w:val="nil"/>
              <w:left w:val="nil"/>
              <w:bottom w:val="single" w:sz="4" w:space="0" w:color="auto"/>
              <w:right w:val="single" w:sz="4" w:space="0" w:color="auto"/>
            </w:tcBorders>
            <w:shd w:val="clear" w:color="auto" w:fill="auto"/>
            <w:vAlign w:val="bottom"/>
            <w:hideMark/>
          </w:tcPr>
          <w:p w:rsidR="00797714" w:rsidRPr="00797714" w:rsidRDefault="00797714" w:rsidP="00797714">
            <w:pPr>
              <w:jc w:val="center"/>
              <w:rPr>
                <w:rFonts w:ascii="Calibri" w:hAnsi="Calibri"/>
                <w:color w:val="000000"/>
              </w:rPr>
            </w:pPr>
            <w:r w:rsidRPr="00797714">
              <w:rPr>
                <w:rFonts w:ascii="Calibri" w:hAnsi="Calibri"/>
                <w:color w:val="000000"/>
                <w:sz w:val="22"/>
                <w:szCs w:val="22"/>
              </w:rPr>
              <w:t>Percent of these cases resulting in completes</w:t>
            </w:r>
          </w:p>
        </w:tc>
      </w:tr>
      <w:tr w:rsidR="00797714" w:rsidRPr="00797714" w:rsidTr="00797714">
        <w:trPr>
          <w:trHeight w:val="600"/>
        </w:trPr>
        <w:tc>
          <w:tcPr>
            <w:tcW w:w="2280" w:type="dxa"/>
            <w:tcBorders>
              <w:top w:val="nil"/>
              <w:left w:val="single" w:sz="4" w:space="0" w:color="auto"/>
              <w:bottom w:val="single" w:sz="4" w:space="0" w:color="auto"/>
              <w:right w:val="single" w:sz="4" w:space="0" w:color="auto"/>
            </w:tcBorders>
            <w:shd w:val="clear" w:color="auto" w:fill="auto"/>
            <w:hideMark/>
          </w:tcPr>
          <w:p w:rsidR="00797714" w:rsidRPr="00797714" w:rsidRDefault="00797714" w:rsidP="00797714">
            <w:pPr>
              <w:rPr>
                <w:rFonts w:ascii="Calibri" w:hAnsi="Calibri"/>
                <w:color w:val="000000"/>
              </w:rPr>
            </w:pPr>
            <w:r w:rsidRPr="00797714">
              <w:rPr>
                <w:rFonts w:ascii="Calibri" w:hAnsi="Calibri"/>
                <w:color w:val="000000"/>
                <w:sz w:val="22"/>
                <w:szCs w:val="22"/>
              </w:rPr>
              <w:t>108 - Number not in service</w:t>
            </w:r>
          </w:p>
        </w:tc>
        <w:tc>
          <w:tcPr>
            <w:tcW w:w="960" w:type="dxa"/>
            <w:tcBorders>
              <w:top w:val="nil"/>
              <w:left w:val="nil"/>
              <w:bottom w:val="single" w:sz="4" w:space="0" w:color="auto"/>
              <w:right w:val="single" w:sz="4" w:space="0" w:color="auto"/>
            </w:tcBorders>
            <w:shd w:val="clear" w:color="auto" w:fill="auto"/>
            <w:vAlign w:val="bottom"/>
            <w:hideMark/>
          </w:tcPr>
          <w:p w:rsidR="00797714" w:rsidRPr="00797714" w:rsidRDefault="00797714" w:rsidP="00797714">
            <w:pPr>
              <w:jc w:val="center"/>
              <w:rPr>
                <w:rFonts w:ascii="Calibri" w:hAnsi="Calibri"/>
              </w:rPr>
            </w:pPr>
            <w:r w:rsidRPr="00797714">
              <w:rPr>
                <w:rFonts w:ascii="Calibri" w:hAnsi="Calibri"/>
                <w:sz w:val="22"/>
                <w:szCs w:val="22"/>
              </w:rPr>
              <w:t>790</w:t>
            </w:r>
          </w:p>
        </w:tc>
        <w:tc>
          <w:tcPr>
            <w:tcW w:w="1220" w:type="dxa"/>
            <w:tcBorders>
              <w:top w:val="nil"/>
              <w:left w:val="nil"/>
              <w:bottom w:val="single" w:sz="4" w:space="0" w:color="auto"/>
              <w:right w:val="single" w:sz="4" w:space="0" w:color="auto"/>
            </w:tcBorders>
            <w:shd w:val="clear" w:color="auto" w:fill="auto"/>
            <w:vAlign w:val="bottom"/>
            <w:hideMark/>
          </w:tcPr>
          <w:p w:rsidR="00797714" w:rsidRPr="00797714" w:rsidRDefault="00797714" w:rsidP="00797714">
            <w:pPr>
              <w:jc w:val="center"/>
              <w:rPr>
                <w:rFonts w:ascii="Calibri" w:hAnsi="Calibri"/>
              </w:rPr>
            </w:pPr>
            <w:r w:rsidRPr="00797714">
              <w:rPr>
                <w:rFonts w:ascii="Calibri" w:hAnsi="Calibri"/>
                <w:sz w:val="22"/>
                <w:szCs w:val="22"/>
              </w:rPr>
              <w:t>7.0</w:t>
            </w:r>
          </w:p>
        </w:tc>
        <w:tc>
          <w:tcPr>
            <w:tcW w:w="960" w:type="dxa"/>
            <w:tcBorders>
              <w:top w:val="nil"/>
              <w:left w:val="nil"/>
              <w:bottom w:val="single" w:sz="4" w:space="0" w:color="auto"/>
              <w:right w:val="single" w:sz="4" w:space="0" w:color="auto"/>
            </w:tcBorders>
            <w:shd w:val="clear" w:color="auto" w:fill="auto"/>
            <w:vAlign w:val="bottom"/>
            <w:hideMark/>
          </w:tcPr>
          <w:p w:rsidR="00797714" w:rsidRPr="00797714" w:rsidRDefault="00797714" w:rsidP="00797714">
            <w:pPr>
              <w:jc w:val="center"/>
              <w:rPr>
                <w:rFonts w:ascii="Calibri" w:hAnsi="Calibri"/>
                <w:color w:val="000000"/>
              </w:rPr>
            </w:pPr>
            <w:r w:rsidRPr="00797714">
              <w:rPr>
                <w:rFonts w:ascii="Calibri" w:hAnsi="Calibri"/>
                <w:color w:val="000000"/>
                <w:sz w:val="22"/>
                <w:szCs w:val="22"/>
              </w:rPr>
              <w:t>750</w:t>
            </w:r>
          </w:p>
        </w:tc>
        <w:tc>
          <w:tcPr>
            <w:tcW w:w="1220" w:type="dxa"/>
            <w:tcBorders>
              <w:top w:val="nil"/>
              <w:left w:val="nil"/>
              <w:bottom w:val="single" w:sz="4" w:space="0" w:color="auto"/>
              <w:right w:val="single" w:sz="4" w:space="0" w:color="auto"/>
            </w:tcBorders>
            <w:shd w:val="clear" w:color="auto" w:fill="auto"/>
            <w:vAlign w:val="bottom"/>
            <w:hideMark/>
          </w:tcPr>
          <w:p w:rsidR="00797714" w:rsidRPr="00797714" w:rsidRDefault="00797714" w:rsidP="00797714">
            <w:pPr>
              <w:jc w:val="center"/>
              <w:rPr>
                <w:rFonts w:ascii="Calibri" w:hAnsi="Calibri"/>
                <w:color w:val="000000"/>
              </w:rPr>
            </w:pPr>
            <w:r w:rsidRPr="00797714">
              <w:rPr>
                <w:rFonts w:ascii="Calibri" w:hAnsi="Calibri"/>
                <w:color w:val="000000"/>
                <w:sz w:val="22"/>
                <w:szCs w:val="22"/>
              </w:rPr>
              <w:t>8.1</w:t>
            </w:r>
          </w:p>
        </w:tc>
        <w:tc>
          <w:tcPr>
            <w:tcW w:w="960" w:type="dxa"/>
            <w:tcBorders>
              <w:top w:val="nil"/>
              <w:left w:val="nil"/>
              <w:bottom w:val="single" w:sz="4" w:space="0" w:color="auto"/>
              <w:right w:val="single" w:sz="4" w:space="0" w:color="auto"/>
            </w:tcBorders>
            <w:shd w:val="clear" w:color="auto" w:fill="auto"/>
            <w:vAlign w:val="bottom"/>
            <w:hideMark/>
          </w:tcPr>
          <w:p w:rsidR="00797714" w:rsidRPr="00797714" w:rsidRDefault="00797714" w:rsidP="00797714">
            <w:pPr>
              <w:jc w:val="center"/>
              <w:rPr>
                <w:rFonts w:ascii="Calibri" w:hAnsi="Calibri"/>
                <w:color w:val="000000"/>
              </w:rPr>
            </w:pPr>
            <w:r w:rsidRPr="00797714">
              <w:rPr>
                <w:rFonts w:ascii="Calibri" w:hAnsi="Calibri"/>
                <w:color w:val="000000"/>
                <w:sz w:val="22"/>
                <w:szCs w:val="22"/>
              </w:rPr>
              <w:t>1,540</w:t>
            </w:r>
          </w:p>
        </w:tc>
        <w:tc>
          <w:tcPr>
            <w:tcW w:w="1220" w:type="dxa"/>
            <w:tcBorders>
              <w:top w:val="nil"/>
              <w:left w:val="nil"/>
              <w:bottom w:val="single" w:sz="4" w:space="0" w:color="auto"/>
              <w:right w:val="single" w:sz="4" w:space="0" w:color="auto"/>
            </w:tcBorders>
            <w:shd w:val="clear" w:color="auto" w:fill="auto"/>
            <w:vAlign w:val="bottom"/>
            <w:hideMark/>
          </w:tcPr>
          <w:p w:rsidR="00797714" w:rsidRPr="00797714" w:rsidRDefault="00797714" w:rsidP="00797714">
            <w:pPr>
              <w:jc w:val="center"/>
              <w:rPr>
                <w:rFonts w:ascii="Calibri" w:hAnsi="Calibri"/>
                <w:color w:val="000000"/>
              </w:rPr>
            </w:pPr>
            <w:r w:rsidRPr="00797714">
              <w:rPr>
                <w:rFonts w:ascii="Calibri" w:hAnsi="Calibri"/>
                <w:color w:val="000000"/>
                <w:sz w:val="22"/>
                <w:szCs w:val="22"/>
              </w:rPr>
              <w:t>7.5</w:t>
            </w:r>
          </w:p>
        </w:tc>
      </w:tr>
      <w:tr w:rsidR="00797714" w:rsidRPr="00797714" w:rsidTr="00797714">
        <w:trPr>
          <w:trHeight w:val="600"/>
        </w:trPr>
        <w:tc>
          <w:tcPr>
            <w:tcW w:w="2280" w:type="dxa"/>
            <w:tcBorders>
              <w:top w:val="nil"/>
              <w:left w:val="single" w:sz="4" w:space="0" w:color="auto"/>
              <w:bottom w:val="single" w:sz="4" w:space="0" w:color="auto"/>
              <w:right w:val="single" w:sz="4" w:space="0" w:color="auto"/>
            </w:tcBorders>
            <w:shd w:val="clear" w:color="auto" w:fill="auto"/>
            <w:hideMark/>
          </w:tcPr>
          <w:p w:rsidR="00797714" w:rsidRPr="00797714" w:rsidRDefault="00797714" w:rsidP="00797714">
            <w:pPr>
              <w:rPr>
                <w:rFonts w:ascii="Calibri" w:hAnsi="Calibri"/>
                <w:color w:val="000000"/>
              </w:rPr>
            </w:pPr>
            <w:r w:rsidRPr="00797714">
              <w:rPr>
                <w:rFonts w:ascii="Calibri" w:hAnsi="Calibri"/>
                <w:color w:val="000000"/>
                <w:sz w:val="22"/>
                <w:szCs w:val="22"/>
              </w:rPr>
              <w:t>127 – Temporarily not in service</w:t>
            </w:r>
          </w:p>
        </w:tc>
        <w:tc>
          <w:tcPr>
            <w:tcW w:w="960" w:type="dxa"/>
            <w:tcBorders>
              <w:top w:val="nil"/>
              <w:left w:val="nil"/>
              <w:bottom w:val="single" w:sz="4" w:space="0" w:color="auto"/>
              <w:right w:val="single" w:sz="4" w:space="0" w:color="auto"/>
            </w:tcBorders>
            <w:shd w:val="clear" w:color="auto" w:fill="auto"/>
            <w:vAlign w:val="bottom"/>
            <w:hideMark/>
          </w:tcPr>
          <w:p w:rsidR="00797714" w:rsidRPr="00797714" w:rsidRDefault="00797714" w:rsidP="00797714">
            <w:pPr>
              <w:jc w:val="center"/>
              <w:rPr>
                <w:rFonts w:ascii="Calibri" w:hAnsi="Calibri"/>
              </w:rPr>
            </w:pPr>
            <w:r w:rsidRPr="00797714">
              <w:rPr>
                <w:rFonts w:ascii="Calibri" w:hAnsi="Calibri"/>
                <w:sz w:val="22"/>
                <w:szCs w:val="22"/>
              </w:rPr>
              <w:t>117</w:t>
            </w:r>
          </w:p>
        </w:tc>
        <w:tc>
          <w:tcPr>
            <w:tcW w:w="1220" w:type="dxa"/>
            <w:tcBorders>
              <w:top w:val="nil"/>
              <w:left w:val="nil"/>
              <w:bottom w:val="single" w:sz="4" w:space="0" w:color="auto"/>
              <w:right w:val="single" w:sz="4" w:space="0" w:color="auto"/>
            </w:tcBorders>
            <w:shd w:val="clear" w:color="auto" w:fill="auto"/>
            <w:vAlign w:val="bottom"/>
            <w:hideMark/>
          </w:tcPr>
          <w:p w:rsidR="00797714" w:rsidRPr="00797714" w:rsidRDefault="00797714" w:rsidP="00797714">
            <w:pPr>
              <w:jc w:val="center"/>
              <w:rPr>
                <w:rFonts w:ascii="Calibri" w:hAnsi="Calibri"/>
              </w:rPr>
            </w:pPr>
            <w:r w:rsidRPr="00797714">
              <w:rPr>
                <w:rFonts w:ascii="Calibri" w:hAnsi="Calibri"/>
                <w:sz w:val="22"/>
                <w:szCs w:val="22"/>
              </w:rPr>
              <w:t>14.5</w:t>
            </w:r>
          </w:p>
        </w:tc>
        <w:tc>
          <w:tcPr>
            <w:tcW w:w="960" w:type="dxa"/>
            <w:tcBorders>
              <w:top w:val="nil"/>
              <w:left w:val="nil"/>
              <w:bottom w:val="single" w:sz="4" w:space="0" w:color="auto"/>
              <w:right w:val="single" w:sz="4" w:space="0" w:color="auto"/>
            </w:tcBorders>
            <w:shd w:val="clear" w:color="auto" w:fill="auto"/>
            <w:vAlign w:val="bottom"/>
            <w:hideMark/>
          </w:tcPr>
          <w:p w:rsidR="00797714" w:rsidRPr="00797714" w:rsidRDefault="00797714" w:rsidP="00797714">
            <w:pPr>
              <w:jc w:val="center"/>
              <w:rPr>
                <w:rFonts w:ascii="Calibri" w:hAnsi="Calibri"/>
                <w:color w:val="000000"/>
              </w:rPr>
            </w:pPr>
            <w:r w:rsidRPr="00797714">
              <w:rPr>
                <w:rFonts w:ascii="Calibri" w:hAnsi="Calibri"/>
                <w:color w:val="000000"/>
                <w:sz w:val="22"/>
                <w:szCs w:val="22"/>
              </w:rPr>
              <w:t>100</w:t>
            </w:r>
          </w:p>
        </w:tc>
        <w:tc>
          <w:tcPr>
            <w:tcW w:w="1220" w:type="dxa"/>
            <w:tcBorders>
              <w:top w:val="nil"/>
              <w:left w:val="nil"/>
              <w:bottom w:val="single" w:sz="4" w:space="0" w:color="auto"/>
              <w:right w:val="single" w:sz="4" w:space="0" w:color="auto"/>
            </w:tcBorders>
            <w:shd w:val="clear" w:color="auto" w:fill="auto"/>
            <w:vAlign w:val="bottom"/>
            <w:hideMark/>
          </w:tcPr>
          <w:p w:rsidR="00797714" w:rsidRPr="00797714" w:rsidRDefault="00797714" w:rsidP="00797714">
            <w:pPr>
              <w:jc w:val="center"/>
              <w:rPr>
                <w:rFonts w:ascii="Calibri" w:hAnsi="Calibri"/>
                <w:color w:val="000000"/>
              </w:rPr>
            </w:pPr>
            <w:r w:rsidRPr="00797714">
              <w:rPr>
                <w:rFonts w:ascii="Calibri" w:hAnsi="Calibri"/>
                <w:color w:val="000000"/>
                <w:sz w:val="22"/>
                <w:szCs w:val="22"/>
              </w:rPr>
              <w:t>12.0</w:t>
            </w:r>
          </w:p>
        </w:tc>
        <w:tc>
          <w:tcPr>
            <w:tcW w:w="960" w:type="dxa"/>
            <w:tcBorders>
              <w:top w:val="nil"/>
              <w:left w:val="nil"/>
              <w:bottom w:val="single" w:sz="4" w:space="0" w:color="auto"/>
              <w:right w:val="single" w:sz="4" w:space="0" w:color="auto"/>
            </w:tcBorders>
            <w:shd w:val="clear" w:color="auto" w:fill="auto"/>
            <w:vAlign w:val="bottom"/>
            <w:hideMark/>
          </w:tcPr>
          <w:p w:rsidR="00797714" w:rsidRPr="00797714" w:rsidRDefault="00797714" w:rsidP="00797714">
            <w:pPr>
              <w:jc w:val="center"/>
              <w:rPr>
                <w:rFonts w:ascii="Calibri" w:hAnsi="Calibri"/>
                <w:color w:val="000000"/>
              </w:rPr>
            </w:pPr>
            <w:r w:rsidRPr="00797714">
              <w:rPr>
                <w:rFonts w:ascii="Calibri" w:hAnsi="Calibri"/>
                <w:color w:val="000000"/>
                <w:sz w:val="22"/>
                <w:szCs w:val="22"/>
              </w:rPr>
              <w:t>217</w:t>
            </w:r>
          </w:p>
        </w:tc>
        <w:tc>
          <w:tcPr>
            <w:tcW w:w="1220" w:type="dxa"/>
            <w:tcBorders>
              <w:top w:val="nil"/>
              <w:left w:val="nil"/>
              <w:bottom w:val="single" w:sz="4" w:space="0" w:color="auto"/>
              <w:right w:val="single" w:sz="4" w:space="0" w:color="auto"/>
            </w:tcBorders>
            <w:shd w:val="clear" w:color="auto" w:fill="auto"/>
            <w:vAlign w:val="bottom"/>
            <w:hideMark/>
          </w:tcPr>
          <w:p w:rsidR="00797714" w:rsidRPr="00797714" w:rsidRDefault="00797714" w:rsidP="00797714">
            <w:pPr>
              <w:jc w:val="center"/>
              <w:rPr>
                <w:rFonts w:ascii="Calibri" w:hAnsi="Calibri"/>
                <w:color w:val="000000"/>
              </w:rPr>
            </w:pPr>
            <w:r w:rsidRPr="00797714">
              <w:rPr>
                <w:rFonts w:ascii="Calibri" w:hAnsi="Calibri"/>
                <w:color w:val="000000"/>
                <w:sz w:val="22"/>
                <w:szCs w:val="22"/>
              </w:rPr>
              <w:t>13.4</w:t>
            </w:r>
          </w:p>
        </w:tc>
      </w:tr>
      <w:tr w:rsidR="00797714" w:rsidRPr="00797714" w:rsidTr="00797714">
        <w:trPr>
          <w:trHeight w:val="465"/>
        </w:trPr>
        <w:tc>
          <w:tcPr>
            <w:tcW w:w="2280" w:type="dxa"/>
            <w:tcBorders>
              <w:top w:val="nil"/>
              <w:left w:val="single" w:sz="4" w:space="0" w:color="auto"/>
              <w:bottom w:val="single" w:sz="4" w:space="0" w:color="auto"/>
              <w:right w:val="single" w:sz="4" w:space="0" w:color="auto"/>
            </w:tcBorders>
            <w:shd w:val="clear" w:color="auto" w:fill="auto"/>
            <w:hideMark/>
          </w:tcPr>
          <w:p w:rsidR="00797714" w:rsidRDefault="00797714" w:rsidP="00797714">
            <w:pPr>
              <w:rPr>
                <w:rFonts w:ascii="Calibri" w:hAnsi="Calibri"/>
                <w:color w:val="000000"/>
              </w:rPr>
            </w:pPr>
          </w:p>
          <w:p w:rsidR="00797714" w:rsidRPr="00797714" w:rsidRDefault="00797714" w:rsidP="00797714">
            <w:pPr>
              <w:rPr>
                <w:rFonts w:ascii="Calibri" w:hAnsi="Calibri"/>
                <w:color w:val="000000"/>
              </w:rPr>
            </w:pPr>
            <w:r w:rsidRPr="00797714">
              <w:rPr>
                <w:rFonts w:ascii="Calibri" w:hAnsi="Calibri"/>
                <w:color w:val="000000"/>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797714" w:rsidRPr="00797714" w:rsidRDefault="00797714" w:rsidP="00797714">
            <w:pPr>
              <w:jc w:val="center"/>
              <w:rPr>
                <w:rFonts w:ascii="Calibri" w:hAnsi="Calibri"/>
                <w:color w:val="000000"/>
              </w:rPr>
            </w:pPr>
            <w:r w:rsidRPr="00797714">
              <w:rPr>
                <w:rFonts w:ascii="Calibri" w:hAnsi="Calibri"/>
                <w:color w:val="000000"/>
                <w:sz w:val="22"/>
                <w:szCs w:val="22"/>
              </w:rPr>
              <w:t>907</w:t>
            </w:r>
          </w:p>
        </w:tc>
        <w:tc>
          <w:tcPr>
            <w:tcW w:w="1220" w:type="dxa"/>
            <w:tcBorders>
              <w:top w:val="nil"/>
              <w:left w:val="nil"/>
              <w:bottom w:val="single" w:sz="4" w:space="0" w:color="auto"/>
              <w:right w:val="single" w:sz="4" w:space="0" w:color="auto"/>
            </w:tcBorders>
            <w:shd w:val="clear" w:color="auto" w:fill="auto"/>
            <w:noWrap/>
            <w:vAlign w:val="bottom"/>
            <w:hideMark/>
          </w:tcPr>
          <w:p w:rsidR="00797714" w:rsidRPr="00797714" w:rsidRDefault="00797714" w:rsidP="00797714">
            <w:pPr>
              <w:jc w:val="center"/>
              <w:rPr>
                <w:rFonts w:ascii="Calibri" w:hAnsi="Calibri"/>
                <w:color w:val="000000"/>
              </w:rPr>
            </w:pPr>
            <w:r w:rsidRPr="00797714">
              <w:rPr>
                <w:rFonts w:ascii="Calibri" w:hAnsi="Calibri"/>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bottom"/>
            <w:hideMark/>
          </w:tcPr>
          <w:p w:rsidR="00797714" w:rsidRPr="00797714" w:rsidRDefault="00797714" w:rsidP="00797714">
            <w:pPr>
              <w:jc w:val="center"/>
              <w:rPr>
                <w:rFonts w:ascii="Calibri" w:hAnsi="Calibri"/>
                <w:color w:val="000000"/>
              </w:rPr>
            </w:pPr>
            <w:r w:rsidRPr="00797714">
              <w:rPr>
                <w:rFonts w:ascii="Calibri" w:hAnsi="Calibri"/>
                <w:color w:val="000000"/>
                <w:sz w:val="22"/>
                <w:szCs w:val="22"/>
              </w:rPr>
              <w:t>850</w:t>
            </w:r>
          </w:p>
        </w:tc>
        <w:tc>
          <w:tcPr>
            <w:tcW w:w="1220" w:type="dxa"/>
            <w:tcBorders>
              <w:top w:val="nil"/>
              <w:left w:val="nil"/>
              <w:bottom w:val="single" w:sz="4" w:space="0" w:color="auto"/>
              <w:right w:val="single" w:sz="4" w:space="0" w:color="auto"/>
            </w:tcBorders>
            <w:shd w:val="clear" w:color="auto" w:fill="auto"/>
            <w:noWrap/>
            <w:vAlign w:val="bottom"/>
            <w:hideMark/>
          </w:tcPr>
          <w:p w:rsidR="00797714" w:rsidRPr="00797714" w:rsidRDefault="00797714" w:rsidP="00797714">
            <w:pPr>
              <w:jc w:val="center"/>
              <w:rPr>
                <w:rFonts w:ascii="Calibri" w:hAnsi="Calibri"/>
                <w:color w:val="000000"/>
              </w:rPr>
            </w:pPr>
            <w:r w:rsidRPr="00797714">
              <w:rPr>
                <w:rFonts w:ascii="Calibri" w:hAnsi="Calibri"/>
                <w:color w:val="000000"/>
                <w:sz w:val="22"/>
                <w:szCs w:val="22"/>
              </w:rPr>
              <w:t>8.6</w:t>
            </w:r>
          </w:p>
        </w:tc>
        <w:tc>
          <w:tcPr>
            <w:tcW w:w="960" w:type="dxa"/>
            <w:tcBorders>
              <w:top w:val="nil"/>
              <w:left w:val="nil"/>
              <w:bottom w:val="single" w:sz="4" w:space="0" w:color="auto"/>
              <w:right w:val="single" w:sz="4" w:space="0" w:color="auto"/>
            </w:tcBorders>
            <w:shd w:val="clear" w:color="auto" w:fill="auto"/>
            <w:noWrap/>
            <w:vAlign w:val="bottom"/>
            <w:hideMark/>
          </w:tcPr>
          <w:p w:rsidR="00797714" w:rsidRPr="00797714" w:rsidRDefault="00797714" w:rsidP="00797714">
            <w:pPr>
              <w:jc w:val="center"/>
              <w:rPr>
                <w:rFonts w:ascii="Calibri" w:hAnsi="Calibri"/>
                <w:color w:val="000000"/>
              </w:rPr>
            </w:pPr>
            <w:r w:rsidRPr="00797714">
              <w:rPr>
                <w:rFonts w:ascii="Calibri" w:hAnsi="Calibri"/>
                <w:color w:val="000000"/>
                <w:sz w:val="22"/>
                <w:szCs w:val="22"/>
              </w:rPr>
              <w:t>1,757</w:t>
            </w:r>
          </w:p>
        </w:tc>
        <w:tc>
          <w:tcPr>
            <w:tcW w:w="1220" w:type="dxa"/>
            <w:tcBorders>
              <w:top w:val="nil"/>
              <w:left w:val="nil"/>
              <w:bottom w:val="single" w:sz="4" w:space="0" w:color="auto"/>
              <w:right w:val="single" w:sz="4" w:space="0" w:color="auto"/>
            </w:tcBorders>
            <w:shd w:val="clear" w:color="auto" w:fill="auto"/>
            <w:noWrap/>
            <w:vAlign w:val="bottom"/>
            <w:hideMark/>
          </w:tcPr>
          <w:p w:rsidR="00797714" w:rsidRPr="00797714" w:rsidRDefault="00797714" w:rsidP="00797714">
            <w:pPr>
              <w:jc w:val="center"/>
              <w:rPr>
                <w:rFonts w:ascii="Calibri" w:hAnsi="Calibri"/>
                <w:color w:val="000000"/>
              </w:rPr>
            </w:pPr>
            <w:r w:rsidRPr="00797714">
              <w:rPr>
                <w:rFonts w:ascii="Calibri" w:hAnsi="Calibri"/>
                <w:color w:val="000000"/>
                <w:sz w:val="22"/>
                <w:szCs w:val="22"/>
              </w:rPr>
              <w:t>8.2</w:t>
            </w:r>
          </w:p>
        </w:tc>
      </w:tr>
    </w:tbl>
    <w:p w:rsidR="005B2BE4" w:rsidRDefault="005B2BE4" w:rsidP="004D138C">
      <w:pPr>
        <w:rPr>
          <w:rFonts w:asciiTheme="minorHAnsi" w:hAnsiTheme="minorHAnsi"/>
          <w:b/>
          <w:sz w:val="22"/>
          <w:szCs w:val="22"/>
        </w:rPr>
      </w:pPr>
    </w:p>
    <w:p w:rsidR="005B2BE4" w:rsidRPr="00B86D0C" w:rsidRDefault="005B2BE4" w:rsidP="004D138C">
      <w:pPr>
        <w:rPr>
          <w:rFonts w:asciiTheme="minorHAnsi" w:hAnsiTheme="minorHAnsi"/>
          <w:b/>
          <w:sz w:val="22"/>
          <w:szCs w:val="22"/>
        </w:rPr>
      </w:pPr>
    </w:p>
    <w:p w:rsidR="004D138C" w:rsidRPr="00B86D0C" w:rsidRDefault="004D138C" w:rsidP="004D138C">
      <w:pPr>
        <w:numPr>
          <w:ilvl w:val="0"/>
          <w:numId w:val="1"/>
        </w:numPr>
        <w:tabs>
          <w:tab w:val="num" w:pos="540"/>
        </w:tabs>
        <w:ind w:hanging="1080"/>
        <w:rPr>
          <w:rFonts w:asciiTheme="minorHAnsi" w:hAnsiTheme="minorHAnsi"/>
          <w:b/>
          <w:sz w:val="22"/>
          <w:szCs w:val="22"/>
        </w:rPr>
      </w:pPr>
      <w:r w:rsidRPr="00B86D0C">
        <w:rPr>
          <w:rFonts w:asciiTheme="minorHAnsi" w:hAnsiTheme="minorHAnsi"/>
          <w:b/>
          <w:sz w:val="22"/>
          <w:szCs w:val="22"/>
        </w:rPr>
        <w:t xml:space="preserve">Financial impact </w:t>
      </w:r>
    </w:p>
    <w:p w:rsidR="004D138C" w:rsidRPr="00B86D0C" w:rsidRDefault="004D138C" w:rsidP="004D138C">
      <w:pPr>
        <w:rPr>
          <w:rFonts w:asciiTheme="minorHAnsi" w:hAnsiTheme="minorHAnsi"/>
          <w:b/>
          <w:sz w:val="22"/>
          <w:szCs w:val="22"/>
        </w:rPr>
      </w:pPr>
    </w:p>
    <w:p w:rsidR="00E7670B" w:rsidRDefault="00BE4486" w:rsidP="004D138C">
      <w:pPr>
        <w:rPr>
          <w:rFonts w:asciiTheme="minorHAnsi" w:hAnsiTheme="minorHAnsi"/>
          <w:sz w:val="22"/>
          <w:szCs w:val="22"/>
        </w:rPr>
      </w:pPr>
      <w:r>
        <w:rPr>
          <w:rFonts w:asciiTheme="minorHAnsi" w:hAnsiTheme="minorHAnsi"/>
          <w:sz w:val="22"/>
          <w:szCs w:val="22"/>
        </w:rPr>
        <w:t xml:space="preserve">Annually in </w:t>
      </w:r>
      <w:r w:rsidR="000810F4" w:rsidRPr="00B86D0C">
        <w:rPr>
          <w:rFonts w:asciiTheme="minorHAnsi" w:hAnsiTheme="minorHAnsi"/>
          <w:sz w:val="22"/>
          <w:szCs w:val="22"/>
        </w:rPr>
        <w:t>2009</w:t>
      </w:r>
      <w:r>
        <w:rPr>
          <w:rFonts w:asciiTheme="minorHAnsi" w:hAnsiTheme="minorHAnsi"/>
          <w:sz w:val="22"/>
          <w:szCs w:val="22"/>
        </w:rPr>
        <w:t>-2010</w:t>
      </w:r>
      <w:r w:rsidR="000810F4" w:rsidRPr="00B86D0C">
        <w:rPr>
          <w:rFonts w:asciiTheme="minorHAnsi" w:hAnsiTheme="minorHAnsi"/>
          <w:sz w:val="22"/>
          <w:szCs w:val="22"/>
        </w:rPr>
        <w:t>,</w:t>
      </w:r>
      <w:r w:rsidR="004D138C" w:rsidRPr="00B86D0C">
        <w:rPr>
          <w:rFonts w:asciiTheme="minorHAnsi" w:hAnsiTheme="minorHAnsi"/>
          <w:sz w:val="22"/>
          <w:szCs w:val="22"/>
        </w:rPr>
        <w:t xml:space="preserve"> </w:t>
      </w:r>
      <w:r w:rsidRPr="00E7670B">
        <w:rPr>
          <w:rFonts w:asciiTheme="minorHAnsi" w:hAnsiTheme="minorHAnsi"/>
          <w:sz w:val="22"/>
          <w:szCs w:val="22"/>
        </w:rPr>
        <w:t>about 1,680</w:t>
      </w:r>
      <w:r w:rsidR="00BE0D99" w:rsidRPr="00E7670B">
        <w:rPr>
          <w:rFonts w:asciiTheme="minorHAnsi" w:hAnsiTheme="minorHAnsi"/>
          <w:sz w:val="22"/>
          <w:szCs w:val="22"/>
        </w:rPr>
        <w:t xml:space="preserve"> </w:t>
      </w:r>
      <w:r w:rsidR="004D138C" w:rsidRPr="00E7670B">
        <w:rPr>
          <w:rFonts w:asciiTheme="minorHAnsi" w:hAnsiTheme="minorHAnsi"/>
          <w:sz w:val="22"/>
          <w:szCs w:val="22"/>
        </w:rPr>
        <w:t>cases receive</w:t>
      </w:r>
      <w:r w:rsidR="000810F4" w:rsidRPr="00E7670B">
        <w:rPr>
          <w:rFonts w:asciiTheme="minorHAnsi" w:hAnsiTheme="minorHAnsi"/>
          <w:sz w:val="22"/>
          <w:szCs w:val="22"/>
        </w:rPr>
        <w:t>d</w:t>
      </w:r>
      <w:r w:rsidR="004D138C" w:rsidRPr="00E7670B">
        <w:rPr>
          <w:rFonts w:asciiTheme="minorHAnsi" w:hAnsiTheme="minorHAnsi"/>
          <w:sz w:val="22"/>
          <w:szCs w:val="22"/>
        </w:rPr>
        <w:t xml:space="preserve"> incentives. Expanding the incentive program to include households with </w:t>
      </w:r>
      <w:r w:rsidR="000810F4" w:rsidRPr="00E7670B">
        <w:rPr>
          <w:rFonts w:asciiTheme="minorHAnsi" w:hAnsiTheme="minorHAnsi"/>
          <w:sz w:val="22"/>
          <w:szCs w:val="22"/>
        </w:rPr>
        <w:t>outcome codes of 108</w:t>
      </w:r>
      <w:r w:rsidR="000810F4" w:rsidRPr="00B86D0C">
        <w:rPr>
          <w:rFonts w:asciiTheme="minorHAnsi" w:hAnsiTheme="minorHAnsi"/>
          <w:sz w:val="22"/>
          <w:szCs w:val="22"/>
        </w:rPr>
        <w:t xml:space="preserve"> and 127</w:t>
      </w:r>
      <w:r w:rsidR="004D138C" w:rsidRPr="00B86D0C">
        <w:rPr>
          <w:rFonts w:asciiTheme="minorHAnsi" w:hAnsiTheme="minorHAnsi"/>
          <w:sz w:val="22"/>
          <w:szCs w:val="22"/>
        </w:rPr>
        <w:t xml:space="preserve"> would add approximately</w:t>
      </w:r>
      <w:r>
        <w:rPr>
          <w:rFonts w:asciiTheme="minorHAnsi" w:hAnsiTheme="minorHAnsi"/>
          <w:sz w:val="22"/>
          <w:szCs w:val="22"/>
        </w:rPr>
        <w:t xml:space="preserve"> 880</w:t>
      </w:r>
      <w:r w:rsidR="004D138C" w:rsidRPr="00B86D0C">
        <w:rPr>
          <w:rFonts w:asciiTheme="minorHAnsi" w:hAnsiTheme="minorHAnsi"/>
          <w:sz w:val="22"/>
          <w:szCs w:val="22"/>
        </w:rPr>
        <w:t xml:space="preserve"> new cases to this group per year (this number is </w:t>
      </w:r>
      <w:r>
        <w:rPr>
          <w:rFonts w:asciiTheme="minorHAnsi" w:hAnsiTheme="minorHAnsi"/>
          <w:sz w:val="22"/>
          <w:szCs w:val="22"/>
        </w:rPr>
        <w:t xml:space="preserve">a rounded annual average of cases </w:t>
      </w:r>
      <w:r w:rsidR="00E7670B">
        <w:rPr>
          <w:rFonts w:asciiTheme="minorHAnsi" w:hAnsiTheme="minorHAnsi"/>
          <w:sz w:val="22"/>
          <w:szCs w:val="22"/>
        </w:rPr>
        <w:t>assigned</w:t>
      </w:r>
      <w:r>
        <w:rPr>
          <w:rFonts w:asciiTheme="minorHAnsi" w:hAnsiTheme="minorHAnsi"/>
          <w:sz w:val="22"/>
          <w:szCs w:val="22"/>
        </w:rPr>
        <w:t xml:space="preserve"> these codes in 2009-2010</w:t>
      </w:r>
      <w:r w:rsidR="004D138C" w:rsidRPr="00B86D0C">
        <w:rPr>
          <w:rFonts w:asciiTheme="minorHAnsi" w:hAnsiTheme="minorHAnsi"/>
          <w:sz w:val="22"/>
          <w:szCs w:val="22"/>
        </w:rPr>
        <w:t>). This would yield a total number of incentive cases of about</w:t>
      </w:r>
      <w:r w:rsidR="00BE0D99" w:rsidRPr="00B86D0C">
        <w:rPr>
          <w:rFonts w:asciiTheme="minorHAnsi" w:hAnsiTheme="minorHAnsi"/>
          <w:sz w:val="22"/>
          <w:szCs w:val="22"/>
        </w:rPr>
        <w:t xml:space="preserve"> </w:t>
      </w:r>
      <w:r w:rsidR="00E7670B">
        <w:rPr>
          <w:rFonts w:asciiTheme="minorHAnsi" w:hAnsiTheme="minorHAnsi"/>
          <w:sz w:val="22"/>
          <w:szCs w:val="22"/>
        </w:rPr>
        <w:t>2,560</w:t>
      </w:r>
      <w:r w:rsidR="004D138C" w:rsidRPr="00B86D0C">
        <w:rPr>
          <w:rFonts w:asciiTheme="minorHAnsi" w:hAnsiTheme="minorHAnsi"/>
          <w:sz w:val="22"/>
          <w:szCs w:val="22"/>
        </w:rPr>
        <w:t xml:space="preserve"> per year. </w:t>
      </w:r>
      <w:r w:rsidR="000810F4" w:rsidRPr="00B86D0C">
        <w:rPr>
          <w:rFonts w:asciiTheme="minorHAnsi" w:hAnsiTheme="minorHAnsi"/>
          <w:sz w:val="22"/>
          <w:szCs w:val="22"/>
        </w:rPr>
        <w:t xml:space="preserve"> </w:t>
      </w:r>
    </w:p>
    <w:p w:rsidR="00E7670B" w:rsidRDefault="00E7670B" w:rsidP="004D138C">
      <w:pPr>
        <w:rPr>
          <w:rFonts w:asciiTheme="minorHAnsi" w:hAnsiTheme="minorHAnsi"/>
          <w:sz w:val="22"/>
          <w:szCs w:val="22"/>
        </w:rPr>
      </w:pPr>
    </w:p>
    <w:p w:rsidR="004D138C" w:rsidRPr="0068405B" w:rsidRDefault="00E7670B" w:rsidP="004D138C">
      <w:pPr>
        <w:rPr>
          <w:rFonts w:asciiTheme="minorHAnsi" w:hAnsiTheme="minorHAnsi"/>
          <w:sz w:val="22"/>
          <w:szCs w:val="22"/>
        </w:rPr>
      </w:pPr>
      <w:r>
        <w:rPr>
          <w:rFonts w:asciiTheme="minorHAnsi" w:hAnsiTheme="minorHAnsi"/>
          <w:sz w:val="22"/>
          <w:szCs w:val="22"/>
        </w:rPr>
        <w:lastRenderedPageBreak/>
        <w:t xml:space="preserve">In 2009-2010, the average response rate </w:t>
      </w:r>
      <w:r w:rsidR="004D138C" w:rsidRPr="00B86D0C">
        <w:rPr>
          <w:rFonts w:asciiTheme="minorHAnsi" w:hAnsiTheme="minorHAnsi"/>
          <w:sz w:val="22"/>
          <w:szCs w:val="22"/>
        </w:rPr>
        <w:t xml:space="preserve">for incentive cases </w:t>
      </w:r>
      <w:r w:rsidR="00BE0D99" w:rsidRPr="00B86D0C">
        <w:rPr>
          <w:rFonts w:asciiTheme="minorHAnsi" w:hAnsiTheme="minorHAnsi"/>
          <w:sz w:val="22"/>
          <w:szCs w:val="22"/>
        </w:rPr>
        <w:t xml:space="preserve">with non-viable household numbers (call </w:t>
      </w:r>
      <w:r w:rsidR="00BE0D99" w:rsidRPr="0068405B">
        <w:rPr>
          <w:rFonts w:asciiTheme="minorHAnsi" w:hAnsiTheme="minorHAnsi"/>
          <w:sz w:val="22"/>
          <w:szCs w:val="22"/>
        </w:rPr>
        <w:t xml:space="preserve">outcome codes of 109 and 124) </w:t>
      </w:r>
      <w:r w:rsidR="00366A45" w:rsidRPr="0068405B">
        <w:rPr>
          <w:rFonts w:asciiTheme="minorHAnsi" w:hAnsiTheme="minorHAnsi"/>
          <w:sz w:val="22"/>
          <w:szCs w:val="22"/>
        </w:rPr>
        <w:t>was</w:t>
      </w:r>
      <w:r w:rsidR="004D138C" w:rsidRPr="0068405B">
        <w:rPr>
          <w:rFonts w:asciiTheme="minorHAnsi" w:hAnsiTheme="minorHAnsi"/>
          <w:sz w:val="22"/>
          <w:szCs w:val="22"/>
        </w:rPr>
        <w:t xml:space="preserve"> </w:t>
      </w:r>
      <w:r w:rsidRPr="0068405B">
        <w:rPr>
          <w:rFonts w:asciiTheme="minorHAnsi" w:hAnsiTheme="minorHAnsi"/>
          <w:sz w:val="22"/>
          <w:szCs w:val="22"/>
        </w:rPr>
        <w:t>28.9</w:t>
      </w:r>
      <w:r w:rsidR="00BE0D99" w:rsidRPr="0068405B">
        <w:rPr>
          <w:rFonts w:asciiTheme="minorHAnsi" w:hAnsiTheme="minorHAnsi"/>
          <w:sz w:val="22"/>
          <w:szCs w:val="22"/>
        </w:rPr>
        <w:t xml:space="preserve"> </w:t>
      </w:r>
      <w:r w:rsidR="00CA45D2" w:rsidRPr="0068405B">
        <w:rPr>
          <w:rFonts w:asciiTheme="minorHAnsi" w:hAnsiTheme="minorHAnsi"/>
          <w:sz w:val="22"/>
          <w:szCs w:val="22"/>
        </w:rPr>
        <w:t xml:space="preserve">percent.  Assuming </w:t>
      </w:r>
      <w:r w:rsidRPr="0068405B">
        <w:rPr>
          <w:rFonts w:asciiTheme="minorHAnsi" w:hAnsiTheme="minorHAnsi"/>
          <w:sz w:val="22"/>
          <w:szCs w:val="22"/>
        </w:rPr>
        <w:t xml:space="preserve">those with outcome codes of 108 and 127 would also have a response rate of 28.9 </w:t>
      </w:r>
      <w:proofErr w:type="gramStart"/>
      <w:r w:rsidRPr="0068405B">
        <w:rPr>
          <w:rFonts w:asciiTheme="minorHAnsi" w:hAnsiTheme="minorHAnsi"/>
          <w:sz w:val="22"/>
          <w:szCs w:val="22"/>
        </w:rPr>
        <w:t>percent,</w:t>
      </w:r>
      <w:proofErr w:type="gramEnd"/>
      <w:r w:rsidRPr="0068405B">
        <w:rPr>
          <w:rFonts w:asciiTheme="minorHAnsi" w:hAnsiTheme="minorHAnsi"/>
          <w:sz w:val="22"/>
          <w:szCs w:val="22"/>
        </w:rPr>
        <w:t xml:space="preserve"> about 255 new cases</w:t>
      </w:r>
      <w:r w:rsidR="00CA45D2" w:rsidRPr="0068405B">
        <w:rPr>
          <w:rFonts w:asciiTheme="minorHAnsi" w:hAnsiTheme="minorHAnsi"/>
          <w:sz w:val="22"/>
          <w:szCs w:val="22"/>
        </w:rPr>
        <w:t xml:space="preserve"> per year</w:t>
      </w:r>
      <w:r w:rsidRPr="0068405B">
        <w:rPr>
          <w:rFonts w:asciiTheme="minorHAnsi" w:hAnsiTheme="minorHAnsi"/>
          <w:sz w:val="22"/>
          <w:szCs w:val="22"/>
        </w:rPr>
        <w:t xml:space="preserve"> would be expected to respond to the survey.  This additional response would increase costs by approximately $20,600 [($40 card + $40.60) X 255 new cases] per year.</w:t>
      </w:r>
      <w:r w:rsidR="000B1E60" w:rsidRPr="0068405B">
        <w:rPr>
          <w:rFonts w:asciiTheme="minorHAnsi" w:hAnsiTheme="minorHAnsi"/>
          <w:sz w:val="22"/>
          <w:szCs w:val="22"/>
        </w:rPr>
        <w:t xml:space="preserve">  Sending debit cards to 635 cases that do not respond to the survey would incur some additional expense.  This expense is estimated to be about $23,200 [(36.60) X 635 cases].  </w:t>
      </w:r>
      <w:r w:rsidR="001B6771">
        <w:rPr>
          <w:rFonts w:asciiTheme="minorHAnsi" w:hAnsiTheme="minorHAnsi"/>
          <w:sz w:val="22"/>
          <w:szCs w:val="22"/>
        </w:rPr>
        <w:t>The total cost of an incentive card expansion is thus estimated to be $43,800.</w:t>
      </w:r>
    </w:p>
    <w:p w:rsidR="005A4C79" w:rsidRPr="0068405B" w:rsidRDefault="005A4C79" w:rsidP="004D138C">
      <w:pPr>
        <w:rPr>
          <w:rFonts w:asciiTheme="minorHAnsi" w:hAnsiTheme="minorHAnsi"/>
          <w:sz w:val="22"/>
          <w:szCs w:val="22"/>
        </w:rPr>
      </w:pPr>
    </w:p>
    <w:p w:rsidR="004D138C" w:rsidRPr="0068405B" w:rsidRDefault="004D138C" w:rsidP="004D138C">
      <w:pPr>
        <w:rPr>
          <w:rFonts w:asciiTheme="minorHAnsi" w:hAnsiTheme="minorHAnsi"/>
          <w:sz w:val="22"/>
          <w:szCs w:val="22"/>
        </w:rPr>
      </w:pPr>
      <w:r w:rsidRPr="0068405B">
        <w:rPr>
          <w:rFonts w:asciiTheme="minorHAnsi" w:hAnsiTheme="minorHAnsi"/>
          <w:sz w:val="22"/>
          <w:szCs w:val="22"/>
        </w:rPr>
        <w:t xml:space="preserve">Costs for each completed incentive case are estimated as follows: </w:t>
      </w:r>
    </w:p>
    <w:p w:rsidR="004D138C" w:rsidRPr="0068405B" w:rsidRDefault="004D138C" w:rsidP="004D138C">
      <w:pPr>
        <w:rPr>
          <w:rFonts w:asciiTheme="minorHAnsi" w:hAnsiTheme="minorHAnsi"/>
          <w:sz w:val="22"/>
          <w:szCs w:val="22"/>
        </w:rPr>
      </w:pPr>
      <w:r w:rsidRPr="0068405B">
        <w:rPr>
          <w:rFonts w:asciiTheme="minorHAnsi" w:hAnsiTheme="minorHAnsi"/>
          <w:sz w:val="22"/>
          <w:szCs w:val="22"/>
        </w:rPr>
        <w:t>Debit card:</w:t>
      </w:r>
      <w:r w:rsidRPr="0068405B">
        <w:rPr>
          <w:rFonts w:asciiTheme="minorHAnsi" w:hAnsiTheme="minorHAnsi"/>
          <w:sz w:val="22"/>
          <w:szCs w:val="22"/>
        </w:rPr>
        <w:tab/>
      </w:r>
      <w:r w:rsidRPr="0068405B">
        <w:rPr>
          <w:rFonts w:asciiTheme="minorHAnsi" w:hAnsiTheme="minorHAnsi"/>
          <w:sz w:val="22"/>
          <w:szCs w:val="22"/>
        </w:rPr>
        <w:tab/>
      </w:r>
      <w:r w:rsidRPr="0068405B">
        <w:rPr>
          <w:rFonts w:asciiTheme="minorHAnsi" w:hAnsiTheme="minorHAnsi"/>
          <w:sz w:val="22"/>
          <w:szCs w:val="22"/>
        </w:rPr>
        <w:tab/>
      </w:r>
      <w:r w:rsidRPr="0068405B">
        <w:rPr>
          <w:rFonts w:asciiTheme="minorHAnsi" w:hAnsiTheme="minorHAnsi"/>
          <w:sz w:val="22"/>
          <w:szCs w:val="22"/>
        </w:rPr>
        <w:tab/>
        <w:t>$40</w:t>
      </w:r>
      <w:r w:rsidR="00366A45" w:rsidRPr="0068405B">
        <w:rPr>
          <w:rFonts w:asciiTheme="minorHAnsi" w:hAnsiTheme="minorHAnsi"/>
          <w:sz w:val="22"/>
          <w:szCs w:val="22"/>
        </w:rPr>
        <w:t>.00</w:t>
      </w:r>
    </w:p>
    <w:p w:rsidR="004D138C" w:rsidRPr="0068405B" w:rsidRDefault="004D138C" w:rsidP="004D138C">
      <w:pPr>
        <w:rPr>
          <w:rFonts w:asciiTheme="minorHAnsi" w:hAnsiTheme="minorHAnsi"/>
          <w:sz w:val="22"/>
          <w:szCs w:val="22"/>
        </w:rPr>
      </w:pPr>
      <w:r w:rsidRPr="0068405B">
        <w:rPr>
          <w:rFonts w:asciiTheme="minorHAnsi" w:hAnsiTheme="minorHAnsi"/>
          <w:sz w:val="22"/>
          <w:szCs w:val="22"/>
        </w:rPr>
        <w:t>ATM transaction fee:</w:t>
      </w:r>
      <w:r w:rsidRPr="0068405B">
        <w:rPr>
          <w:rFonts w:asciiTheme="minorHAnsi" w:hAnsiTheme="minorHAnsi"/>
          <w:sz w:val="22"/>
          <w:szCs w:val="22"/>
        </w:rPr>
        <w:tab/>
      </w:r>
      <w:r w:rsidRPr="0068405B">
        <w:rPr>
          <w:rFonts w:asciiTheme="minorHAnsi" w:hAnsiTheme="minorHAnsi"/>
          <w:sz w:val="22"/>
          <w:szCs w:val="22"/>
        </w:rPr>
        <w:tab/>
      </w:r>
      <w:r w:rsidRPr="0068405B">
        <w:rPr>
          <w:rFonts w:asciiTheme="minorHAnsi" w:hAnsiTheme="minorHAnsi"/>
          <w:sz w:val="22"/>
          <w:szCs w:val="22"/>
        </w:rPr>
        <w:tab/>
      </w:r>
      <w:proofErr w:type="gramStart"/>
      <w:r w:rsidRPr="0068405B">
        <w:rPr>
          <w:rFonts w:asciiTheme="minorHAnsi" w:hAnsiTheme="minorHAnsi"/>
          <w:sz w:val="22"/>
          <w:szCs w:val="22"/>
        </w:rPr>
        <w:t>$</w:t>
      </w:r>
      <w:r w:rsidR="00366A45" w:rsidRPr="0068405B">
        <w:rPr>
          <w:rFonts w:asciiTheme="minorHAnsi" w:hAnsiTheme="minorHAnsi"/>
          <w:sz w:val="22"/>
          <w:szCs w:val="22"/>
        </w:rPr>
        <w:t xml:space="preserve">  </w:t>
      </w:r>
      <w:r w:rsidRPr="0068405B">
        <w:rPr>
          <w:rFonts w:asciiTheme="minorHAnsi" w:hAnsiTheme="minorHAnsi"/>
          <w:sz w:val="22"/>
          <w:szCs w:val="22"/>
        </w:rPr>
        <w:t>4</w:t>
      </w:r>
      <w:r w:rsidR="00366A45" w:rsidRPr="0068405B">
        <w:rPr>
          <w:rFonts w:asciiTheme="minorHAnsi" w:hAnsiTheme="minorHAnsi"/>
          <w:sz w:val="22"/>
          <w:szCs w:val="22"/>
        </w:rPr>
        <w:t>.00</w:t>
      </w:r>
      <w:proofErr w:type="gramEnd"/>
      <w:r w:rsidRPr="0068405B">
        <w:rPr>
          <w:rFonts w:asciiTheme="minorHAnsi" w:hAnsiTheme="minorHAnsi"/>
          <w:sz w:val="22"/>
          <w:szCs w:val="22"/>
        </w:rPr>
        <w:t xml:space="preserve"> </w:t>
      </w:r>
    </w:p>
    <w:p w:rsidR="004D138C" w:rsidRPr="0068405B" w:rsidRDefault="004D138C" w:rsidP="004D138C">
      <w:pPr>
        <w:rPr>
          <w:rFonts w:asciiTheme="minorHAnsi" w:hAnsiTheme="minorHAnsi"/>
          <w:sz w:val="22"/>
          <w:szCs w:val="22"/>
        </w:rPr>
      </w:pPr>
      <w:r w:rsidRPr="0068405B">
        <w:rPr>
          <w:rFonts w:asciiTheme="minorHAnsi" w:hAnsiTheme="minorHAnsi"/>
          <w:sz w:val="22"/>
          <w:szCs w:val="22"/>
        </w:rPr>
        <w:t>Card production:</w:t>
      </w:r>
      <w:r w:rsidRPr="0068405B">
        <w:rPr>
          <w:rFonts w:asciiTheme="minorHAnsi" w:hAnsiTheme="minorHAnsi"/>
          <w:sz w:val="22"/>
          <w:szCs w:val="22"/>
        </w:rPr>
        <w:tab/>
      </w:r>
      <w:r w:rsidRPr="0068405B">
        <w:rPr>
          <w:rFonts w:asciiTheme="minorHAnsi" w:hAnsiTheme="minorHAnsi"/>
          <w:sz w:val="22"/>
          <w:szCs w:val="22"/>
        </w:rPr>
        <w:tab/>
      </w:r>
      <w:r w:rsidRPr="0068405B">
        <w:rPr>
          <w:rFonts w:asciiTheme="minorHAnsi" w:hAnsiTheme="minorHAnsi"/>
          <w:sz w:val="22"/>
          <w:szCs w:val="22"/>
        </w:rPr>
        <w:tab/>
      </w:r>
      <w:proofErr w:type="gramStart"/>
      <w:r w:rsidRPr="0068405B">
        <w:rPr>
          <w:rFonts w:asciiTheme="minorHAnsi" w:hAnsiTheme="minorHAnsi"/>
          <w:sz w:val="22"/>
          <w:szCs w:val="22"/>
        </w:rPr>
        <w:t>$</w:t>
      </w:r>
      <w:r w:rsidR="00366A45" w:rsidRPr="0068405B">
        <w:rPr>
          <w:rFonts w:asciiTheme="minorHAnsi" w:hAnsiTheme="minorHAnsi"/>
          <w:sz w:val="22"/>
          <w:szCs w:val="22"/>
        </w:rPr>
        <w:t xml:space="preserve">  5.00</w:t>
      </w:r>
      <w:proofErr w:type="gramEnd"/>
      <w:r w:rsidRPr="0068405B">
        <w:rPr>
          <w:rFonts w:asciiTheme="minorHAnsi" w:hAnsiTheme="minorHAnsi"/>
          <w:sz w:val="22"/>
          <w:szCs w:val="22"/>
        </w:rPr>
        <w:t xml:space="preserve"> </w:t>
      </w:r>
    </w:p>
    <w:p w:rsidR="004D138C" w:rsidRPr="0068405B" w:rsidRDefault="004D138C" w:rsidP="004D138C">
      <w:pPr>
        <w:rPr>
          <w:rFonts w:asciiTheme="minorHAnsi" w:hAnsiTheme="minorHAnsi"/>
          <w:sz w:val="22"/>
          <w:szCs w:val="22"/>
        </w:rPr>
      </w:pPr>
      <w:r w:rsidRPr="0068405B">
        <w:rPr>
          <w:rFonts w:asciiTheme="minorHAnsi" w:hAnsiTheme="minorHAnsi"/>
          <w:sz w:val="22"/>
          <w:szCs w:val="22"/>
        </w:rPr>
        <w:t>Census debit card management:</w:t>
      </w:r>
      <w:r w:rsidRPr="0068405B">
        <w:rPr>
          <w:rFonts w:asciiTheme="minorHAnsi" w:hAnsiTheme="minorHAnsi"/>
          <w:sz w:val="22"/>
          <w:szCs w:val="22"/>
        </w:rPr>
        <w:tab/>
        <w:t xml:space="preserve">$31.60 </w:t>
      </w:r>
    </w:p>
    <w:p w:rsidR="00366A45" w:rsidRPr="0068405B" w:rsidRDefault="00366A45" w:rsidP="004D138C">
      <w:pPr>
        <w:rPr>
          <w:rFonts w:asciiTheme="minorHAnsi" w:hAnsiTheme="minorHAnsi"/>
          <w:sz w:val="22"/>
          <w:szCs w:val="22"/>
        </w:rPr>
      </w:pPr>
    </w:p>
    <w:p w:rsidR="0068405B" w:rsidRPr="0068405B" w:rsidRDefault="0068405B" w:rsidP="0068405B">
      <w:pPr>
        <w:autoSpaceDE w:val="0"/>
        <w:autoSpaceDN w:val="0"/>
        <w:adjustRightInd w:val="0"/>
        <w:rPr>
          <w:rFonts w:asciiTheme="minorHAnsi" w:hAnsiTheme="minorHAnsi"/>
          <w:sz w:val="22"/>
          <w:szCs w:val="22"/>
        </w:rPr>
      </w:pPr>
      <w:r w:rsidRPr="0068405B">
        <w:rPr>
          <w:rFonts w:asciiTheme="minorHAnsi" w:hAnsiTheme="minorHAnsi"/>
          <w:sz w:val="22"/>
          <w:szCs w:val="22"/>
        </w:rPr>
        <w:t xml:space="preserve">The $31.60 </w:t>
      </w:r>
      <w:r>
        <w:rPr>
          <w:rFonts w:asciiTheme="minorHAnsi" w:hAnsiTheme="minorHAnsi"/>
          <w:sz w:val="22"/>
          <w:szCs w:val="22"/>
        </w:rPr>
        <w:t xml:space="preserve">Census management </w:t>
      </w:r>
      <w:r w:rsidRPr="0068405B">
        <w:rPr>
          <w:rFonts w:asciiTheme="minorHAnsi" w:hAnsiTheme="minorHAnsi"/>
          <w:sz w:val="22"/>
          <w:szCs w:val="22"/>
        </w:rPr>
        <w:t>fee covers</w:t>
      </w:r>
      <w:r>
        <w:rPr>
          <w:rFonts w:asciiTheme="minorHAnsi" w:hAnsiTheme="minorHAnsi"/>
          <w:sz w:val="22"/>
          <w:szCs w:val="22"/>
        </w:rPr>
        <w:t xml:space="preserve"> the costs of t</w:t>
      </w:r>
      <w:r w:rsidRPr="0068405B">
        <w:rPr>
          <w:rFonts w:asciiTheme="minorHAnsi" w:hAnsiTheme="minorHAnsi"/>
          <w:sz w:val="22"/>
          <w:szCs w:val="22"/>
        </w:rPr>
        <w:t>racking and managing the debit cards.  Per</w:t>
      </w:r>
      <w:r>
        <w:rPr>
          <w:rFonts w:asciiTheme="minorHAnsi" w:hAnsiTheme="minorHAnsi"/>
          <w:sz w:val="22"/>
          <w:szCs w:val="22"/>
        </w:rPr>
        <w:t xml:space="preserve"> requirements at Census' National Processing Center (</w:t>
      </w:r>
      <w:r w:rsidRPr="0068405B">
        <w:rPr>
          <w:rFonts w:asciiTheme="minorHAnsi" w:hAnsiTheme="minorHAnsi"/>
          <w:sz w:val="22"/>
          <w:szCs w:val="22"/>
        </w:rPr>
        <w:t>NPC</w:t>
      </w:r>
      <w:r>
        <w:rPr>
          <w:rFonts w:asciiTheme="minorHAnsi" w:hAnsiTheme="minorHAnsi"/>
          <w:sz w:val="22"/>
          <w:szCs w:val="22"/>
        </w:rPr>
        <w:t>)</w:t>
      </w:r>
      <w:r w:rsidRPr="0068405B">
        <w:rPr>
          <w:rFonts w:asciiTheme="minorHAnsi" w:hAnsiTheme="minorHAnsi"/>
          <w:sz w:val="22"/>
          <w:szCs w:val="22"/>
        </w:rPr>
        <w:t xml:space="preserve">, the debit cards are stored in a secure area and two people must be present at all times when working with the debit cards.  This is for the security of the debit cards and the employees involved.  This two-person requirement accounts for the majority of costs associated with managing the debit cards, by essentially doubling the staff time, salary, benefits, and overhead costs associated with them. </w:t>
      </w:r>
    </w:p>
    <w:p w:rsidR="0068405B" w:rsidRPr="0068405B" w:rsidRDefault="0068405B" w:rsidP="0068405B">
      <w:pPr>
        <w:autoSpaceDE w:val="0"/>
        <w:autoSpaceDN w:val="0"/>
        <w:adjustRightInd w:val="0"/>
        <w:rPr>
          <w:rFonts w:asciiTheme="minorHAnsi" w:hAnsiTheme="minorHAnsi"/>
          <w:sz w:val="22"/>
          <w:szCs w:val="22"/>
        </w:rPr>
      </w:pPr>
    </w:p>
    <w:p w:rsidR="0068405B" w:rsidRPr="0068405B" w:rsidRDefault="0068405B" w:rsidP="0068405B">
      <w:pPr>
        <w:autoSpaceDE w:val="0"/>
        <w:autoSpaceDN w:val="0"/>
        <w:adjustRightInd w:val="0"/>
        <w:rPr>
          <w:rFonts w:asciiTheme="minorHAnsi" w:hAnsiTheme="minorHAnsi"/>
          <w:sz w:val="22"/>
          <w:szCs w:val="22"/>
        </w:rPr>
      </w:pPr>
      <w:r w:rsidRPr="0068405B">
        <w:rPr>
          <w:rFonts w:asciiTheme="minorHAnsi" w:hAnsiTheme="minorHAnsi"/>
          <w:sz w:val="22"/>
          <w:szCs w:val="22"/>
        </w:rPr>
        <w:t>Debit card staff have a number of responsibilities:  they receive the debit cards, check them in, pull cards to mail, track and monitor cards, prepare weekly reports on card status, handle replacement cards when necessary, post "undeliverable as addressed" for packages returned by the USPS, destroy unused cards for expired panels, and monitor the debit card system for fraud.  These</w:t>
      </w:r>
      <w:r w:rsidR="00BE7D57">
        <w:rPr>
          <w:rFonts w:asciiTheme="minorHAnsi" w:hAnsiTheme="minorHAnsi"/>
          <w:sz w:val="22"/>
          <w:szCs w:val="22"/>
        </w:rPr>
        <w:t xml:space="preserve"> activities are labor intensive, but also necessary to</w:t>
      </w:r>
      <w:r w:rsidRPr="0068405B">
        <w:rPr>
          <w:rFonts w:asciiTheme="minorHAnsi" w:hAnsiTheme="minorHAnsi"/>
          <w:sz w:val="22"/>
          <w:szCs w:val="22"/>
        </w:rPr>
        <w:t xml:space="preserve"> maintain the ATUS debit card operation.</w:t>
      </w:r>
    </w:p>
    <w:p w:rsidR="0068405B" w:rsidRPr="0068405B" w:rsidRDefault="0068405B" w:rsidP="0068405B">
      <w:pPr>
        <w:rPr>
          <w:rFonts w:asciiTheme="minorHAnsi" w:hAnsiTheme="minorHAnsi"/>
          <w:sz w:val="22"/>
          <w:szCs w:val="22"/>
        </w:rPr>
      </w:pPr>
    </w:p>
    <w:p w:rsidR="004D138C" w:rsidRPr="0068405B" w:rsidRDefault="0068405B" w:rsidP="0068405B">
      <w:pPr>
        <w:rPr>
          <w:rFonts w:asciiTheme="minorHAnsi" w:hAnsiTheme="minorHAnsi"/>
          <w:sz w:val="22"/>
          <w:szCs w:val="22"/>
        </w:rPr>
      </w:pPr>
      <w:r w:rsidRPr="0068405B">
        <w:rPr>
          <w:rFonts w:asciiTheme="minorHAnsi" w:hAnsiTheme="minorHAnsi"/>
          <w:sz w:val="22"/>
          <w:szCs w:val="22"/>
        </w:rPr>
        <w:t>The $5.00 per card production fee covers a $3.50 per card fee charged by the bank that produces the debit cards, as well as a $300 monthly account maintenance fee that amounts to $1.50 per card.</w:t>
      </w:r>
    </w:p>
    <w:p w:rsidR="00E7670B" w:rsidRDefault="00E7670B" w:rsidP="004D138C">
      <w:pPr>
        <w:rPr>
          <w:rFonts w:asciiTheme="minorHAnsi" w:hAnsiTheme="minorHAnsi"/>
          <w:sz w:val="22"/>
          <w:szCs w:val="22"/>
        </w:rPr>
      </w:pPr>
    </w:p>
    <w:p w:rsidR="00E7670B" w:rsidRPr="00B86D0C" w:rsidRDefault="00E7670B" w:rsidP="004D138C">
      <w:pPr>
        <w:rPr>
          <w:rFonts w:asciiTheme="minorHAnsi" w:hAnsiTheme="minorHAnsi"/>
          <w:sz w:val="22"/>
          <w:szCs w:val="22"/>
        </w:rPr>
      </w:pPr>
    </w:p>
    <w:p w:rsidR="004D138C" w:rsidRPr="00B86D0C" w:rsidRDefault="004D138C" w:rsidP="004D138C">
      <w:pPr>
        <w:rPr>
          <w:rFonts w:asciiTheme="minorHAnsi" w:hAnsiTheme="minorHAnsi"/>
          <w:b/>
          <w:sz w:val="22"/>
          <w:szCs w:val="22"/>
        </w:rPr>
      </w:pPr>
      <w:r w:rsidRPr="00B86D0C">
        <w:rPr>
          <w:rFonts w:asciiTheme="minorHAnsi" w:hAnsiTheme="minorHAnsi"/>
          <w:b/>
          <w:sz w:val="22"/>
          <w:szCs w:val="22"/>
        </w:rPr>
        <w:t>V. Increase in respondent burden</w:t>
      </w:r>
    </w:p>
    <w:p w:rsidR="004D138C" w:rsidRPr="00B86D0C" w:rsidRDefault="004D138C" w:rsidP="004D138C">
      <w:pPr>
        <w:rPr>
          <w:rFonts w:asciiTheme="minorHAnsi" w:hAnsiTheme="minorHAnsi"/>
          <w:sz w:val="22"/>
          <w:szCs w:val="22"/>
        </w:rPr>
      </w:pPr>
    </w:p>
    <w:p w:rsidR="004D138C" w:rsidRPr="00533114" w:rsidRDefault="004D138C" w:rsidP="004D138C">
      <w:pPr>
        <w:rPr>
          <w:rFonts w:asciiTheme="minorHAnsi" w:hAnsiTheme="minorHAnsi"/>
          <w:sz w:val="22"/>
          <w:szCs w:val="22"/>
        </w:rPr>
      </w:pPr>
      <w:r w:rsidRPr="00505EC7">
        <w:rPr>
          <w:rFonts w:asciiTheme="minorHAnsi" w:hAnsiTheme="minorHAnsi"/>
          <w:sz w:val="22"/>
          <w:szCs w:val="22"/>
        </w:rPr>
        <w:t>The increase in total respondent burden from adding incentive cases is likely to be small—only</w:t>
      </w:r>
      <w:r w:rsidR="007D7740">
        <w:rPr>
          <w:rFonts w:asciiTheme="minorHAnsi" w:hAnsiTheme="minorHAnsi"/>
          <w:sz w:val="22"/>
          <w:szCs w:val="22"/>
        </w:rPr>
        <w:t xml:space="preserve"> about</w:t>
      </w:r>
      <w:r w:rsidRPr="00505EC7">
        <w:rPr>
          <w:rFonts w:asciiTheme="minorHAnsi" w:hAnsiTheme="minorHAnsi"/>
          <w:sz w:val="22"/>
          <w:szCs w:val="22"/>
        </w:rPr>
        <w:t xml:space="preserve"> $</w:t>
      </w:r>
      <w:r w:rsidR="000920EB">
        <w:rPr>
          <w:rFonts w:asciiTheme="minorHAnsi" w:hAnsiTheme="minorHAnsi"/>
          <w:sz w:val="22"/>
          <w:szCs w:val="22"/>
        </w:rPr>
        <w:t>1,100</w:t>
      </w:r>
      <w:r w:rsidRPr="00505EC7">
        <w:rPr>
          <w:rFonts w:asciiTheme="minorHAnsi" w:hAnsiTheme="minorHAnsi"/>
          <w:sz w:val="22"/>
          <w:szCs w:val="22"/>
        </w:rPr>
        <w:t xml:space="preserve"> per year. Table </w:t>
      </w:r>
      <w:r w:rsidR="001B6771" w:rsidRPr="00533114">
        <w:rPr>
          <w:rFonts w:asciiTheme="minorHAnsi" w:hAnsiTheme="minorHAnsi"/>
          <w:sz w:val="22"/>
          <w:szCs w:val="22"/>
        </w:rPr>
        <w:t>3</w:t>
      </w:r>
      <w:r w:rsidRPr="00533114">
        <w:rPr>
          <w:rFonts w:asciiTheme="minorHAnsi" w:hAnsiTheme="minorHAnsi"/>
          <w:sz w:val="22"/>
          <w:szCs w:val="22"/>
        </w:rPr>
        <w:t xml:space="preserve"> </w:t>
      </w:r>
      <w:r w:rsidR="001B6771" w:rsidRPr="00533114">
        <w:rPr>
          <w:rFonts w:asciiTheme="minorHAnsi" w:hAnsiTheme="minorHAnsi"/>
          <w:sz w:val="22"/>
          <w:szCs w:val="22"/>
        </w:rPr>
        <w:t>provides</w:t>
      </w:r>
      <w:r w:rsidRPr="00533114">
        <w:rPr>
          <w:rFonts w:asciiTheme="minorHAnsi" w:hAnsiTheme="minorHAnsi"/>
          <w:sz w:val="22"/>
          <w:szCs w:val="22"/>
        </w:rPr>
        <w:t xml:space="preserve"> </w:t>
      </w:r>
      <w:r w:rsidR="007D7740">
        <w:rPr>
          <w:rFonts w:asciiTheme="minorHAnsi" w:hAnsiTheme="minorHAnsi"/>
          <w:sz w:val="22"/>
          <w:szCs w:val="22"/>
        </w:rPr>
        <w:t>amended estimates of the</w:t>
      </w:r>
      <w:r w:rsidRPr="00533114">
        <w:rPr>
          <w:rFonts w:asciiTheme="minorHAnsi" w:hAnsiTheme="minorHAnsi"/>
          <w:sz w:val="22"/>
          <w:szCs w:val="22"/>
        </w:rPr>
        <w:t xml:space="preserve"> </w:t>
      </w:r>
      <w:r w:rsidR="007D7740">
        <w:rPr>
          <w:rFonts w:asciiTheme="minorHAnsi" w:hAnsiTheme="minorHAnsi"/>
          <w:sz w:val="22"/>
          <w:szCs w:val="22"/>
        </w:rPr>
        <w:t xml:space="preserve">FY2011 </w:t>
      </w:r>
      <w:r w:rsidRPr="00533114">
        <w:rPr>
          <w:rFonts w:asciiTheme="minorHAnsi" w:hAnsiTheme="minorHAnsi"/>
          <w:sz w:val="22"/>
          <w:szCs w:val="22"/>
        </w:rPr>
        <w:t xml:space="preserve">respondent burden </w:t>
      </w:r>
      <w:r w:rsidR="007D7740">
        <w:rPr>
          <w:rFonts w:asciiTheme="minorHAnsi" w:hAnsiTheme="minorHAnsi"/>
          <w:sz w:val="22"/>
          <w:szCs w:val="22"/>
        </w:rPr>
        <w:t xml:space="preserve">that was calculated in the </w:t>
      </w:r>
      <w:r w:rsidR="003C7918" w:rsidRPr="00533114">
        <w:rPr>
          <w:rFonts w:asciiTheme="minorHAnsi" w:hAnsiTheme="minorHAnsi"/>
          <w:sz w:val="22"/>
          <w:szCs w:val="22"/>
        </w:rPr>
        <w:t>2010</w:t>
      </w:r>
      <w:r w:rsidRPr="00533114">
        <w:rPr>
          <w:rFonts w:asciiTheme="minorHAnsi" w:hAnsiTheme="minorHAnsi"/>
          <w:sz w:val="22"/>
          <w:szCs w:val="22"/>
        </w:rPr>
        <w:t xml:space="preserve"> ATUS OMB Clearance Package.</w:t>
      </w:r>
      <w:r w:rsidR="007D7740">
        <w:rPr>
          <w:rFonts w:asciiTheme="minorHAnsi" w:hAnsiTheme="minorHAnsi"/>
          <w:sz w:val="22"/>
          <w:szCs w:val="22"/>
        </w:rPr>
        <w:t xml:space="preserve">  The calculations for FY2011 show the burden and cost of expanding incentives for the last two months of FY2011.  The burden for these 2 months is estimated to be only 15 hours, amounting to $200.  Total respondent burden in FY2012, is expected to increase by </w:t>
      </w:r>
      <w:r w:rsidR="00542668">
        <w:rPr>
          <w:rFonts w:asciiTheme="minorHAnsi" w:hAnsiTheme="minorHAnsi"/>
          <w:sz w:val="22"/>
          <w:szCs w:val="22"/>
        </w:rPr>
        <w:t xml:space="preserve">89 hours, at a cost of $1,100.  </w:t>
      </w:r>
      <w:r w:rsidRPr="00533114">
        <w:rPr>
          <w:rFonts w:asciiTheme="minorHAnsi" w:hAnsiTheme="minorHAnsi"/>
          <w:sz w:val="22"/>
          <w:szCs w:val="22"/>
        </w:rPr>
        <w:t>The respondent burden for the a</w:t>
      </w:r>
      <w:r w:rsidR="003C7918" w:rsidRPr="00533114">
        <w:rPr>
          <w:rFonts w:asciiTheme="minorHAnsi" w:hAnsiTheme="minorHAnsi"/>
          <w:sz w:val="22"/>
          <w:szCs w:val="22"/>
        </w:rPr>
        <w:t xml:space="preserve">dded incentive cases </w:t>
      </w:r>
      <w:r w:rsidR="00542668">
        <w:rPr>
          <w:rFonts w:asciiTheme="minorHAnsi" w:hAnsiTheme="minorHAnsi"/>
          <w:sz w:val="22"/>
          <w:szCs w:val="22"/>
        </w:rPr>
        <w:t>was calculated using a response rate of</w:t>
      </w:r>
      <w:r w:rsidR="003C7918" w:rsidRPr="00533114">
        <w:rPr>
          <w:rFonts w:asciiTheme="minorHAnsi" w:hAnsiTheme="minorHAnsi"/>
          <w:sz w:val="22"/>
          <w:szCs w:val="22"/>
        </w:rPr>
        <w:t xml:space="preserve"> </w:t>
      </w:r>
      <w:r w:rsidR="00505EC7" w:rsidRPr="00533114">
        <w:rPr>
          <w:rFonts w:asciiTheme="minorHAnsi" w:hAnsiTheme="minorHAnsi"/>
          <w:sz w:val="22"/>
          <w:szCs w:val="22"/>
        </w:rPr>
        <w:t>28.9</w:t>
      </w:r>
      <w:r w:rsidRPr="00533114">
        <w:rPr>
          <w:rFonts w:asciiTheme="minorHAnsi" w:hAnsiTheme="minorHAnsi"/>
          <w:sz w:val="22"/>
          <w:szCs w:val="22"/>
        </w:rPr>
        <w:t xml:space="preserve"> percent</w:t>
      </w:r>
      <w:r w:rsidR="00542668">
        <w:rPr>
          <w:rFonts w:asciiTheme="minorHAnsi" w:hAnsiTheme="minorHAnsi"/>
          <w:sz w:val="22"/>
          <w:szCs w:val="22"/>
        </w:rPr>
        <w:t xml:space="preserve"> a</w:t>
      </w:r>
      <w:r w:rsidRPr="00533114">
        <w:rPr>
          <w:rFonts w:asciiTheme="minorHAnsi" w:hAnsiTheme="minorHAnsi"/>
          <w:sz w:val="22"/>
          <w:szCs w:val="22"/>
        </w:rPr>
        <w:t>nd a wage rate of $</w:t>
      </w:r>
      <w:r w:rsidR="003C7918" w:rsidRPr="00533114">
        <w:rPr>
          <w:rFonts w:asciiTheme="minorHAnsi" w:hAnsiTheme="minorHAnsi"/>
          <w:sz w:val="22"/>
          <w:szCs w:val="22"/>
        </w:rPr>
        <w:t>12.44</w:t>
      </w:r>
      <w:r w:rsidRPr="00533114">
        <w:rPr>
          <w:rFonts w:asciiTheme="minorHAnsi" w:hAnsiTheme="minorHAnsi"/>
          <w:sz w:val="22"/>
          <w:szCs w:val="22"/>
        </w:rPr>
        <w:t xml:space="preserve"> per hour</w:t>
      </w:r>
      <w:r w:rsidR="00542668">
        <w:rPr>
          <w:rFonts w:asciiTheme="minorHAnsi" w:hAnsiTheme="minorHAnsi"/>
          <w:sz w:val="22"/>
          <w:szCs w:val="22"/>
        </w:rPr>
        <w:t xml:space="preserve">.  This wage rate is an estimate of the </w:t>
      </w:r>
      <w:r w:rsidR="000920EB" w:rsidRPr="00533114">
        <w:rPr>
          <w:rFonts w:asciiTheme="minorHAnsi" w:hAnsiTheme="minorHAnsi"/>
          <w:sz w:val="22"/>
          <w:szCs w:val="22"/>
        </w:rPr>
        <w:t>median hourly earnings for all wage and salary workers (paid hourly rates) in 2009, and</w:t>
      </w:r>
      <w:r w:rsidRPr="00533114">
        <w:rPr>
          <w:rFonts w:asciiTheme="minorHAnsi" w:hAnsiTheme="minorHAnsi"/>
          <w:sz w:val="22"/>
          <w:szCs w:val="22"/>
        </w:rPr>
        <w:t xml:space="preserve"> </w:t>
      </w:r>
      <w:r w:rsidR="00542668">
        <w:rPr>
          <w:rFonts w:asciiTheme="minorHAnsi" w:hAnsiTheme="minorHAnsi"/>
          <w:sz w:val="22"/>
          <w:szCs w:val="22"/>
        </w:rPr>
        <w:t xml:space="preserve">it </w:t>
      </w:r>
      <w:r w:rsidRPr="00533114">
        <w:rPr>
          <w:rFonts w:asciiTheme="minorHAnsi" w:hAnsiTheme="minorHAnsi"/>
          <w:sz w:val="22"/>
          <w:szCs w:val="22"/>
        </w:rPr>
        <w:t xml:space="preserve">was the wage rate used to calculate the total respondent burden in the </w:t>
      </w:r>
      <w:r w:rsidR="000920EB" w:rsidRPr="00533114">
        <w:rPr>
          <w:rFonts w:asciiTheme="minorHAnsi" w:hAnsiTheme="minorHAnsi"/>
          <w:sz w:val="22"/>
          <w:szCs w:val="22"/>
        </w:rPr>
        <w:t xml:space="preserve">2010 </w:t>
      </w:r>
      <w:r w:rsidRPr="00533114">
        <w:rPr>
          <w:rFonts w:asciiTheme="minorHAnsi" w:hAnsiTheme="minorHAnsi"/>
          <w:sz w:val="22"/>
          <w:szCs w:val="22"/>
        </w:rPr>
        <w:t>OMB Clearance.</w:t>
      </w:r>
    </w:p>
    <w:p w:rsidR="000920EB" w:rsidRPr="00533114" w:rsidRDefault="000920EB" w:rsidP="004D138C">
      <w:pPr>
        <w:rPr>
          <w:rFonts w:asciiTheme="minorHAnsi" w:hAnsiTheme="minorHAnsi"/>
          <w:sz w:val="22"/>
          <w:szCs w:val="22"/>
        </w:rPr>
      </w:pPr>
    </w:p>
    <w:p w:rsidR="001B6771" w:rsidRPr="00533114" w:rsidRDefault="001B6771" w:rsidP="000920EB">
      <w:pPr>
        <w:spacing w:after="200" w:line="276" w:lineRule="auto"/>
        <w:rPr>
          <w:rFonts w:asciiTheme="minorHAnsi" w:hAnsiTheme="minorHAnsi"/>
          <w:sz w:val="22"/>
          <w:szCs w:val="22"/>
        </w:rPr>
      </w:pPr>
      <w:r w:rsidRPr="00533114">
        <w:rPr>
          <w:rFonts w:asciiTheme="minorHAnsi" w:hAnsiTheme="minorHAnsi"/>
          <w:sz w:val="22"/>
          <w:szCs w:val="22"/>
        </w:rPr>
        <w:br w:type="page"/>
      </w:r>
    </w:p>
    <w:p w:rsidR="004D138C" w:rsidRPr="00533114" w:rsidRDefault="004D138C" w:rsidP="004D138C">
      <w:pPr>
        <w:rPr>
          <w:rFonts w:asciiTheme="minorHAnsi" w:hAnsiTheme="minorHAnsi"/>
          <w:sz w:val="22"/>
          <w:szCs w:val="22"/>
        </w:rPr>
      </w:pPr>
    </w:p>
    <w:p w:rsidR="004D138C" w:rsidRPr="00533114" w:rsidRDefault="004D138C" w:rsidP="00533114">
      <w:pPr>
        <w:pStyle w:val="BodyTextIndent"/>
        <w:ind w:left="180" w:firstLine="0"/>
        <w:jc w:val="center"/>
        <w:rPr>
          <w:rFonts w:asciiTheme="minorHAnsi" w:hAnsiTheme="minorHAnsi"/>
          <w:b/>
          <w:sz w:val="22"/>
          <w:szCs w:val="22"/>
        </w:rPr>
      </w:pPr>
      <w:proofErr w:type="gramStart"/>
      <w:r w:rsidRPr="00533114">
        <w:rPr>
          <w:rFonts w:asciiTheme="minorHAnsi" w:hAnsiTheme="minorHAnsi"/>
          <w:b/>
          <w:sz w:val="22"/>
          <w:szCs w:val="22"/>
        </w:rPr>
        <w:t xml:space="preserve">Table </w:t>
      </w:r>
      <w:r w:rsidR="001B6771" w:rsidRPr="00533114">
        <w:rPr>
          <w:rFonts w:asciiTheme="minorHAnsi" w:hAnsiTheme="minorHAnsi"/>
          <w:b/>
          <w:sz w:val="22"/>
          <w:szCs w:val="22"/>
        </w:rPr>
        <w:t>3</w:t>
      </w:r>
      <w:r w:rsidRPr="00533114">
        <w:rPr>
          <w:rFonts w:asciiTheme="minorHAnsi" w:hAnsiTheme="minorHAnsi"/>
          <w:b/>
          <w:sz w:val="22"/>
          <w:szCs w:val="22"/>
        </w:rPr>
        <w:t>.</w:t>
      </w:r>
      <w:proofErr w:type="gramEnd"/>
      <w:r w:rsidRPr="00533114">
        <w:rPr>
          <w:rFonts w:asciiTheme="minorHAnsi" w:hAnsiTheme="minorHAnsi"/>
          <w:b/>
          <w:sz w:val="22"/>
          <w:szCs w:val="22"/>
        </w:rPr>
        <w:t xml:space="preserve"> Estimated Respondent Burden for FY </w:t>
      </w:r>
      <w:r w:rsidR="00762C84" w:rsidRPr="00533114">
        <w:rPr>
          <w:rFonts w:asciiTheme="minorHAnsi" w:hAnsiTheme="minorHAnsi"/>
          <w:b/>
          <w:sz w:val="22"/>
          <w:szCs w:val="22"/>
        </w:rPr>
        <w:t>201</w:t>
      </w:r>
      <w:r w:rsidR="000920EB" w:rsidRPr="00533114">
        <w:rPr>
          <w:rFonts w:asciiTheme="minorHAnsi" w:hAnsiTheme="minorHAnsi"/>
          <w:b/>
          <w:sz w:val="22"/>
          <w:szCs w:val="22"/>
        </w:rPr>
        <w:t>1</w:t>
      </w:r>
      <w:r w:rsidRPr="00533114">
        <w:rPr>
          <w:rFonts w:asciiTheme="minorHAnsi" w:hAnsiTheme="minorHAnsi"/>
          <w:b/>
          <w:sz w:val="22"/>
          <w:szCs w:val="22"/>
        </w:rPr>
        <w:t xml:space="preserve"> (Hours and Dollars)</w:t>
      </w:r>
    </w:p>
    <w:tbl>
      <w:tblPr>
        <w:tblW w:w="9840" w:type="dxa"/>
        <w:tblInd w:w="95" w:type="dxa"/>
        <w:tblLook w:val="04A0"/>
      </w:tblPr>
      <w:tblGrid>
        <w:gridCol w:w="2460"/>
        <w:gridCol w:w="1379"/>
        <w:gridCol w:w="1358"/>
        <w:gridCol w:w="1929"/>
        <w:gridCol w:w="1357"/>
        <w:gridCol w:w="1357"/>
      </w:tblGrid>
      <w:tr w:rsidR="00533114" w:rsidRPr="00533114" w:rsidTr="00533114">
        <w:trPr>
          <w:trHeight w:val="138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Form</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Total Respondents</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proofErr w:type="spellStart"/>
            <w:r w:rsidRPr="00533114">
              <w:rPr>
                <w:rFonts w:asciiTheme="minorHAnsi" w:hAnsiTheme="minorHAnsi"/>
                <w:color w:val="000000"/>
                <w:sz w:val="22"/>
                <w:szCs w:val="22"/>
              </w:rPr>
              <w:t>Frequence</w:t>
            </w:r>
            <w:proofErr w:type="spellEnd"/>
          </w:p>
        </w:tc>
        <w:tc>
          <w:tcPr>
            <w:tcW w:w="1940" w:type="dxa"/>
            <w:tcBorders>
              <w:top w:val="single" w:sz="4" w:space="0" w:color="auto"/>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Average time per response</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Estimated total burden (hours)</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Estimated total burden (dollars)</w:t>
            </w:r>
          </w:p>
        </w:tc>
      </w:tr>
      <w:tr w:rsidR="00533114" w:rsidRPr="00533114" w:rsidTr="00533114">
        <w:trPr>
          <w:trHeight w:val="15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Full production</w:t>
            </w:r>
          </w:p>
        </w:tc>
        <w:tc>
          <w:tcPr>
            <w:tcW w:w="1360" w:type="dxa"/>
            <w:tcBorders>
              <w:top w:val="nil"/>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13,200</w:t>
            </w:r>
          </w:p>
        </w:tc>
        <w:tc>
          <w:tcPr>
            <w:tcW w:w="1360" w:type="dxa"/>
            <w:tcBorders>
              <w:top w:val="nil"/>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One time</w:t>
            </w:r>
          </w:p>
        </w:tc>
        <w:tc>
          <w:tcPr>
            <w:tcW w:w="1940" w:type="dxa"/>
            <w:tcBorders>
              <w:top w:val="nil"/>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21 minutes for 12 months</w:t>
            </w:r>
          </w:p>
        </w:tc>
        <w:tc>
          <w:tcPr>
            <w:tcW w:w="1360" w:type="dxa"/>
            <w:tcBorders>
              <w:top w:val="nil"/>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4,620</w:t>
            </w:r>
          </w:p>
        </w:tc>
        <w:tc>
          <w:tcPr>
            <w:tcW w:w="1360" w:type="dxa"/>
            <w:tcBorders>
              <w:top w:val="nil"/>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$57,500</w:t>
            </w:r>
          </w:p>
        </w:tc>
      </w:tr>
      <w:tr w:rsidR="00533114" w:rsidRPr="00533114" w:rsidTr="00533114">
        <w:trPr>
          <w:trHeight w:val="96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Added incentive cases</w:t>
            </w:r>
          </w:p>
        </w:tc>
        <w:tc>
          <w:tcPr>
            <w:tcW w:w="1360" w:type="dxa"/>
            <w:tcBorders>
              <w:top w:val="nil"/>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43</w:t>
            </w:r>
          </w:p>
        </w:tc>
        <w:tc>
          <w:tcPr>
            <w:tcW w:w="1360" w:type="dxa"/>
            <w:tcBorders>
              <w:top w:val="nil"/>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One time</w:t>
            </w:r>
          </w:p>
        </w:tc>
        <w:tc>
          <w:tcPr>
            <w:tcW w:w="1940" w:type="dxa"/>
            <w:tcBorders>
              <w:top w:val="nil"/>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21 minutes for 3 months</w:t>
            </w:r>
          </w:p>
        </w:tc>
        <w:tc>
          <w:tcPr>
            <w:tcW w:w="1360" w:type="dxa"/>
            <w:tcBorders>
              <w:top w:val="nil"/>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15</w:t>
            </w:r>
          </w:p>
        </w:tc>
        <w:tc>
          <w:tcPr>
            <w:tcW w:w="1360" w:type="dxa"/>
            <w:tcBorders>
              <w:top w:val="nil"/>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$200</w:t>
            </w:r>
          </w:p>
        </w:tc>
      </w:tr>
    </w:tbl>
    <w:p w:rsidR="004D138C" w:rsidRPr="00533114" w:rsidRDefault="004D138C" w:rsidP="004D138C">
      <w:pPr>
        <w:rPr>
          <w:rFonts w:asciiTheme="minorHAnsi" w:hAnsiTheme="minorHAnsi"/>
          <w:sz w:val="22"/>
          <w:szCs w:val="22"/>
        </w:rPr>
      </w:pPr>
    </w:p>
    <w:p w:rsidR="004D138C" w:rsidRPr="00533114" w:rsidRDefault="004D138C" w:rsidP="004D138C">
      <w:pPr>
        <w:rPr>
          <w:rFonts w:asciiTheme="minorHAnsi" w:hAnsiTheme="minorHAnsi"/>
          <w:sz w:val="22"/>
          <w:szCs w:val="22"/>
        </w:rPr>
      </w:pPr>
    </w:p>
    <w:p w:rsidR="00533114" w:rsidRPr="00533114" w:rsidRDefault="00533114" w:rsidP="004D138C">
      <w:pPr>
        <w:rPr>
          <w:rFonts w:asciiTheme="minorHAnsi" w:hAnsiTheme="minorHAnsi"/>
          <w:sz w:val="22"/>
          <w:szCs w:val="22"/>
        </w:rPr>
      </w:pPr>
    </w:p>
    <w:p w:rsidR="00533114" w:rsidRPr="00533114" w:rsidRDefault="00533114" w:rsidP="00533114">
      <w:pPr>
        <w:jc w:val="center"/>
        <w:rPr>
          <w:rFonts w:asciiTheme="minorHAnsi" w:hAnsiTheme="minorHAnsi"/>
          <w:b/>
          <w:sz w:val="22"/>
          <w:szCs w:val="22"/>
        </w:rPr>
      </w:pPr>
      <w:proofErr w:type="gramStart"/>
      <w:r w:rsidRPr="00533114">
        <w:rPr>
          <w:rFonts w:asciiTheme="minorHAnsi" w:hAnsiTheme="minorHAnsi"/>
          <w:b/>
          <w:sz w:val="22"/>
          <w:szCs w:val="22"/>
        </w:rPr>
        <w:t>Table 4.</w:t>
      </w:r>
      <w:proofErr w:type="gramEnd"/>
      <w:r w:rsidRPr="00533114">
        <w:rPr>
          <w:rFonts w:asciiTheme="minorHAnsi" w:hAnsiTheme="minorHAnsi"/>
          <w:b/>
          <w:sz w:val="22"/>
          <w:szCs w:val="22"/>
        </w:rPr>
        <w:t xml:space="preserve"> Estimated Respondent Burden for FY2012 (Hours and Dollars)</w:t>
      </w:r>
    </w:p>
    <w:tbl>
      <w:tblPr>
        <w:tblW w:w="9840" w:type="dxa"/>
        <w:tblInd w:w="95" w:type="dxa"/>
        <w:tblLook w:val="04A0"/>
      </w:tblPr>
      <w:tblGrid>
        <w:gridCol w:w="2460"/>
        <w:gridCol w:w="1379"/>
        <w:gridCol w:w="1358"/>
        <w:gridCol w:w="1929"/>
        <w:gridCol w:w="1357"/>
        <w:gridCol w:w="1357"/>
      </w:tblGrid>
      <w:tr w:rsidR="00533114" w:rsidRPr="00533114" w:rsidTr="00533114">
        <w:trPr>
          <w:trHeight w:val="90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Form</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Total Respondents</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proofErr w:type="spellStart"/>
            <w:r w:rsidRPr="00533114">
              <w:rPr>
                <w:rFonts w:asciiTheme="minorHAnsi" w:hAnsiTheme="minorHAnsi"/>
                <w:color w:val="000000"/>
                <w:sz w:val="22"/>
                <w:szCs w:val="22"/>
              </w:rPr>
              <w:t>Frequence</w:t>
            </w:r>
            <w:proofErr w:type="spellEnd"/>
          </w:p>
        </w:tc>
        <w:tc>
          <w:tcPr>
            <w:tcW w:w="1940" w:type="dxa"/>
            <w:tcBorders>
              <w:top w:val="single" w:sz="4" w:space="0" w:color="auto"/>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Average time per response</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Estimated total burden (hours)</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Estimated total burden (dollars)</w:t>
            </w:r>
          </w:p>
        </w:tc>
      </w:tr>
      <w:tr w:rsidR="00533114" w:rsidRPr="00533114" w:rsidTr="00533114">
        <w:trPr>
          <w:trHeight w:val="12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Full production</w:t>
            </w:r>
          </w:p>
        </w:tc>
        <w:tc>
          <w:tcPr>
            <w:tcW w:w="1360" w:type="dxa"/>
            <w:tcBorders>
              <w:top w:val="nil"/>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13,200</w:t>
            </w:r>
          </w:p>
        </w:tc>
        <w:tc>
          <w:tcPr>
            <w:tcW w:w="1360" w:type="dxa"/>
            <w:tcBorders>
              <w:top w:val="nil"/>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One time</w:t>
            </w:r>
          </w:p>
        </w:tc>
        <w:tc>
          <w:tcPr>
            <w:tcW w:w="1940" w:type="dxa"/>
            <w:tcBorders>
              <w:top w:val="nil"/>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21 minutes for 3 months; 16 minutes for 9 months</w:t>
            </w:r>
          </w:p>
        </w:tc>
        <w:tc>
          <w:tcPr>
            <w:tcW w:w="1360" w:type="dxa"/>
            <w:tcBorders>
              <w:top w:val="nil"/>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3,795</w:t>
            </w:r>
          </w:p>
        </w:tc>
        <w:tc>
          <w:tcPr>
            <w:tcW w:w="1360" w:type="dxa"/>
            <w:tcBorders>
              <w:top w:val="nil"/>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$47,200</w:t>
            </w:r>
          </w:p>
        </w:tc>
      </w:tr>
      <w:tr w:rsidR="00533114" w:rsidRPr="00533114" w:rsidTr="00533114">
        <w:trPr>
          <w:trHeight w:val="6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Added incentive cases</w:t>
            </w:r>
          </w:p>
        </w:tc>
        <w:tc>
          <w:tcPr>
            <w:tcW w:w="1360" w:type="dxa"/>
            <w:tcBorders>
              <w:top w:val="nil"/>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255</w:t>
            </w:r>
          </w:p>
        </w:tc>
        <w:tc>
          <w:tcPr>
            <w:tcW w:w="1360" w:type="dxa"/>
            <w:tcBorders>
              <w:top w:val="nil"/>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One time</w:t>
            </w:r>
          </w:p>
        </w:tc>
        <w:tc>
          <w:tcPr>
            <w:tcW w:w="1940" w:type="dxa"/>
            <w:tcBorders>
              <w:top w:val="nil"/>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21 minutes for 12 months</w:t>
            </w:r>
          </w:p>
        </w:tc>
        <w:tc>
          <w:tcPr>
            <w:tcW w:w="1360" w:type="dxa"/>
            <w:tcBorders>
              <w:top w:val="nil"/>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89</w:t>
            </w:r>
          </w:p>
        </w:tc>
        <w:tc>
          <w:tcPr>
            <w:tcW w:w="1360" w:type="dxa"/>
            <w:tcBorders>
              <w:top w:val="nil"/>
              <w:left w:val="nil"/>
              <w:bottom w:val="single" w:sz="4" w:space="0" w:color="auto"/>
              <w:right w:val="single" w:sz="4" w:space="0" w:color="auto"/>
            </w:tcBorders>
            <w:shd w:val="clear" w:color="auto" w:fill="auto"/>
            <w:vAlign w:val="bottom"/>
            <w:hideMark/>
          </w:tcPr>
          <w:p w:rsidR="00533114" w:rsidRPr="00533114" w:rsidRDefault="00533114" w:rsidP="00533114">
            <w:pPr>
              <w:jc w:val="center"/>
              <w:rPr>
                <w:rFonts w:asciiTheme="minorHAnsi" w:hAnsiTheme="minorHAnsi"/>
                <w:color w:val="000000"/>
              </w:rPr>
            </w:pPr>
            <w:r w:rsidRPr="00533114">
              <w:rPr>
                <w:rFonts w:asciiTheme="minorHAnsi" w:hAnsiTheme="minorHAnsi"/>
                <w:color w:val="000000"/>
                <w:sz w:val="22"/>
                <w:szCs w:val="22"/>
              </w:rPr>
              <w:t>$1,100</w:t>
            </w:r>
          </w:p>
        </w:tc>
      </w:tr>
    </w:tbl>
    <w:p w:rsidR="00533114" w:rsidRPr="00533114" w:rsidRDefault="00533114" w:rsidP="004D138C">
      <w:pPr>
        <w:rPr>
          <w:rFonts w:asciiTheme="minorHAnsi" w:hAnsiTheme="minorHAnsi"/>
          <w:sz w:val="22"/>
          <w:szCs w:val="22"/>
        </w:rPr>
      </w:pPr>
    </w:p>
    <w:sectPr w:rsidR="00533114" w:rsidRPr="00533114" w:rsidSect="004B61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088" w:rsidRDefault="00781088" w:rsidP="004D138C">
      <w:r>
        <w:separator/>
      </w:r>
    </w:p>
  </w:endnote>
  <w:endnote w:type="continuationSeparator" w:id="0">
    <w:p w:rsidR="00781088" w:rsidRDefault="00781088" w:rsidP="004D1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088" w:rsidRDefault="00781088" w:rsidP="004D138C">
      <w:r>
        <w:separator/>
      </w:r>
    </w:p>
  </w:footnote>
  <w:footnote w:type="continuationSeparator" w:id="0">
    <w:p w:rsidR="00781088" w:rsidRDefault="00781088" w:rsidP="004D13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3C3A"/>
    <w:multiLevelType w:val="hybridMultilevel"/>
    <w:tmpl w:val="493C0D58"/>
    <w:lvl w:ilvl="0" w:tplc="95904F4E">
      <w:start w:val="1"/>
      <w:numFmt w:val="upperRoman"/>
      <w:lvlText w:val="%1."/>
      <w:lvlJc w:val="left"/>
      <w:pPr>
        <w:tabs>
          <w:tab w:val="num" w:pos="720"/>
        </w:tabs>
        <w:ind w:left="720" w:hanging="720"/>
      </w:pPr>
      <w:rPr>
        <w:rFonts w:hint="default"/>
      </w:rPr>
    </w:lvl>
    <w:lvl w:ilvl="1" w:tplc="6DE0B18A">
      <w:start w:val="90"/>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23667B"/>
    <w:multiLevelType w:val="hybridMultilevel"/>
    <w:tmpl w:val="B29EC3FE"/>
    <w:lvl w:ilvl="0" w:tplc="6B667ECA">
      <w:start w:val="10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7F51166"/>
    <w:multiLevelType w:val="hybridMultilevel"/>
    <w:tmpl w:val="B29EC3FE"/>
    <w:lvl w:ilvl="0" w:tplc="6B667ECA">
      <w:start w:val="10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1C35FAE"/>
    <w:multiLevelType w:val="hybridMultilevel"/>
    <w:tmpl w:val="FA32FC40"/>
    <w:lvl w:ilvl="0" w:tplc="6F5A6812">
      <w:start w:val="1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D138C"/>
    <w:rsid w:val="00016502"/>
    <w:rsid w:val="00021734"/>
    <w:rsid w:val="0003750B"/>
    <w:rsid w:val="000613BD"/>
    <w:rsid w:val="000810F4"/>
    <w:rsid w:val="000920EB"/>
    <w:rsid w:val="000B1E60"/>
    <w:rsid w:val="000B629A"/>
    <w:rsid w:val="000D51AE"/>
    <w:rsid w:val="00152EF5"/>
    <w:rsid w:val="00193AF3"/>
    <w:rsid w:val="001B03D2"/>
    <w:rsid w:val="001B6771"/>
    <w:rsid w:val="00212F91"/>
    <w:rsid w:val="00230552"/>
    <w:rsid w:val="00234482"/>
    <w:rsid w:val="0024239F"/>
    <w:rsid w:val="00277EF3"/>
    <w:rsid w:val="002B5E53"/>
    <w:rsid w:val="002D18D3"/>
    <w:rsid w:val="002D2E1C"/>
    <w:rsid w:val="00366A45"/>
    <w:rsid w:val="003826EA"/>
    <w:rsid w:val="0039314A"/>
    <w:rsid w:val="003A588A"/>
    <w:rsid w:val="003C52F7"/>
    <w:rsid w:val="003C7918"/>
    <w:rsid w:val="0040494A"/>
    <w:rsid w:val="00437342"/>
    <w:rsid w:val="00450882"/>
    <w:rsid w:val="00475B5A"/>
    <w:rsid w:val="00492319"/>
    <w:rsid w:val="004B4D19"/>
    <w:rsid w:val="004B6144"/>
    <w:rsid w:val="004D138C"/>
    <w:rsid w:val="005039F5"/>
    <w:rsid w:val="00505EC7"/>
    <w:rsid w:val="00512073"/>
    <w:rsid w:val="0052272C"/>
    <w:rsid w:val="00533114"/>
    <w:rsid w:val="00542668"/>
    <w:rsid w:val="00570F06"/>
    <w:rsid w:val="00581656"/>
    <w:rsid w:val="005A164C"/>
    <w:rsid w:val="005A3B38"/>
    <w:rsid w:val="005A4C79"/>
    <w:rsid w:val="005B2BE4"/>
    <w:rsid w:val="005C548C"/>
    <w:rsid w:val="005E4DD7"/>
    <w:rsid w:val="00620E42"/>
    <w:rsid w:val="00662F79"/>
    <w:rsid w:val="00672889"/>
    <w:rsid w:val="0068405B"/>
    <w:rsid w:val="0069503A"/>
    <w:rsid w:val="006A4622"/>
    <w:rsid w:val="00706554"/>
    <w:rsid w:val="00712BE1"/>
    <w:rsid w:val="0072499D"/>
    <w:rsid w:val="00744216"/>
    <w:rsid w:val="00762C84"/>
    <w:rsid w:val="00781088"/>
    <w:rsid w:val="007833C6"/>
    <w:rsid w:val="00797714"/>
    <w:rsid w:val="007D7740"/>
    <w:rsid w:val="007E75BE"/>
    <w:rsid w:val="00811E36"/>
    <w:rsid w:val="008260D5"/>
    <w:rsid w:val="0084431B"/>
    <w:rsid w:val="00862D3A"/>
    <w:rsid w:val="008958D6"/>
    <w:rsid w:val="008B03E5"/>
    <w:rsid w:val="008E3F03"/>
    <w:rsid w:val="00911460"/>
    <w:rsid w:val="00922187"/>
    <w:rsid w:val="00923EFB"/>
    <w:rsid w:val="0093482E"/>
    <w:rsid w:val="00962BBA"/>
    <w:rsid w:val="0096772F"/>
    <w:rsid w:val="00A42190"/>
    <w:rsid w:val="00A446FC"/>
    <w:rsid w:val="00A51644"/>
    <w:rsid w:val="00AB1AFE"/>
    <w:rsid w:val="00AC4FF7"/>
    <w:rsid w:val="00AC51FF"/>
    <w:rsid w:val="00AF1227"/>
    <w:rsid w:val="00B65584"/>
    <w:rsid w:val="00B756B3"/>
    <w:rsid w:val="00B7666A"/>
    <w:rsid w:val="00B86D0C"/>
    <w:rsid w:val="00BE0D99"/>
    <w:rsid w:val="00BE4486"/>
    <w:rsid w:val="00BE7D57"/>
    <w:rsid w:val="00C3456A"/>
    <w:rsid w:val="00C460EF"/>
    <w:rsid w:val="00C80EDF"/>
    <w:rsid w:val="00CA45D2"/>
    <w:rsid w:val="00CF0926"/>
    <w:rsid w:val="00D24223"/>
    <w:rsid w:val="00D51F27"/>
    <w:rsid w:val="00D9590A"/>
    <w:rsid w:val="00DC3784"/>
    <w:rsid w:val="00DE37D3"/>
    <w:rsid w:val="00E01977"/>
    <w:rsid w:val="00E01C76"/>
    <w:rsid w:val="00E37B71"/>
    <w:rsid w:val="00E54839"/>
    <w:rsid w:val="00E75CD5"/>
    <w:rsid w:val="00E7670B"/>
    <w:rsid w:val="00EF37BA"/>
    <w:rsid w:val="00F37EBF"/>
    <w:rsid w:val="00F42070"/>
    <w:rsid w:val="00F57EDA"/>
    <w:rsid w:val="00F867FF"/>
    <w:rsid w:val="00FB64CD"/>
    <w:rsid w:val="00FF5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8C"/>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4D138C"/>
    <w:pPr>
      <w:keepNext/>
      <w:jc w:val="center"/>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4D138C"/>
    <w:rPr>
      <w:sz w:val="16"/>
      <w:szCs w:val="16"/>
    </w:rPr>
  </w:style>
  <w:style w:type="paragraph" w:styleId="CommentText">
    <w:name w:val="annotation text"/>
    <w:basedOn w:val="Normal"/>
    <w:link w:val="CommentTextChar"/>
    <w:semiHidden/>
    <w:rsid w:val="004D138C"/>
    <w:rPr>
      <w:sz w:val="20"/>
      <w:szCs w:val="20"/>
    </w:rPr>
  </w:style>
  <w:style w:type="character" w:customStyle="1" w:styleId="CommentTextChar">
    <w:name w:val="Comment Text Char"/>
    <w:basedOn w:val="DefaultParagraphFont"/>
    <w:link w:val="CommentText"/>
    <w:semiHidden/>
    <w:rsid w:val="004D138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138C"/>
    <w:rPr>
      <w:rFonts w:ascii="Tahoma" w:hAnsi="Tahoma" w:cs="Tahoma"/>
      <w:sz w:val="16"/>
      <w:szCs w:val="16"/>
    </w:rPr>
  </w:style>
  <w:style w:type="character" w:customStyle="1" w:styleId="BalloonTextChar">
    <w:name w:val="Balloon Text Char"/>
    <w:basedOn w:val="DefaultParagraphFont"/>
    <w:link w:val="BalloonText"/>
    <w:uiPriority w:val="99"/>
    <w:semiHidden/>
    <w:rsid w:val="004D138C"/>
    <w:rPr>
      <w:rFonts w:ascii="Tahoma" w:eastAsia="Times New Roman" w:hAnsi="Tahoma" w:cs="Tahoma"/>
      <w:sz w:val="16"/>
      <w:szCs w:val="16"/>
    </w:rPr>
  </w:style>
  <w:style w:type="paragraph" w:styleId="FootnoteText">
    <w:name w:val="footnote text"/>
    <w:basedOn w:val="Normal"/>
    <w:link w:val="FootnoteTextChar"/>
    <w:semiHidden/>
    <w:rsid w:val="004D138C"/>
    <w:rPr>
      <w:sz w:val="20"/>
      <w:szCs w:val="20"/>
    </w:rPr>
  </w:style>
  <w:style w:type="character" w:customStyle="1" w:styleId="FootnoteTextChar">
    <w:name w:val="Footnote Text Char"/>
    <w:basedOn w:val="DefaultParagraphFont"/>
    <w:link w:val="FootnoteText"/>
    <w:semiHidden/>
    <w:rsid w:val="004D138C"/>
    <w:rPr>
      <w:rFonts w:ascii="Times New Roman" w:eastAsia="Times New Roman" w:hAnsi="Times New Roman" w:cs="Times New Roman"/>
      <w:sz w:val="20"/>
      <w:szCs w:val="20"/>
    </w:rPr>
  </w:style>
  <w:style w:type="character" w:styleId="FootnoteReference">
    <w:name w:val="footnote reference"/>
    <w:basedOn w:val="DefaultParagraphFont"/>
    <w:semiHidden/>
    <w:rsid w:val="004D138C"/>
    <w:rPr>
      <w:vertAlign w:val="superscript"/>
    </w:rPr>
  </w:style>
  <w:style w:type="character" w:customStyle="1" w:styleId="Heading6Char">
    <w:name w:val="Heading 6 Char"/>
    <w:basedOn w:val="DefaultParagraphFont"/>
    <w:link w:val="Heading6"/>
    <w:rsid w:val="004D138C"/>
    <w:rPr>
      <w:rFonts w:ascii="Times New Roman" w:eastAsia="Times New Roman" w:hAnsi="Times New Roman" w:cs="Times New Roman"/>
      <w:b/>
      <w:sz w:val="20"/>
      <w:szCs w:val="20"/>
    </w:rPr>
  </w:style>
  <w:style w:type="paragraph" w:styleId="BodyTextIndent">
    <w:name w:val="Body Text Indent"/>
    <w:basedOn w:val="Normal"/>
    <w:link w:val="BodyTextIndentChar"/>
    <w:rsid w:val="004D138C"/>
    <w:pPr>
      <w:ind w:left="1260" w:hanging="540"/>
    </w:pPr>
    <w:rPr>
      <w:szCs w:val="20"/>
    </w:rPr>
  </w:style>
  <w:style w:type="character" w:customStyle="1" w:styleId="BodyTextIndentChar">
    <w:name w:val="Body Text Indent Char"/>
    <w:basedOn w:val="DefaultParagraphFont"/>
    <w:link w:val="BodyTextIndent"/>
    <w:rsid w:val="004D138C"/>
    <w:rPr>
      <w:rFonts w:ascii="Times New Roman" w:eastAsia="Times New Roman" w:hAnsi="Times New Roman" w:cs="Times New Roman"/>
      <w:sz w:val="24"/>
      <w:szCs w:val="20"/>
    </w:rPr>
  </w:style>
  <w:style w:type="table" w:styleId="TableGrid">
    <w:name w:val="Table Grid"/>
    <w:basedOn w:val="TableNormal"/>
    <w:rsid w:val="00DE37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2070"/>
    <w:pPr>
      <w:ind w:left="720"/>
      <w:contextualSpacing/>
    </w:pPr>
  </w:style>
  <w:style w:type="paragraph" w:styleId="CommentSubject">
    <w:name w:val="annotation subject"/>
    <w:basedOn w:val="CommentText"/>
    <w:next w:val="CommentText"/>
    <w:link w:val="CommentSubjectChar"/>
    <w:uiPriority w:val="99"/>
    <w:semiHidden/>
    <w:unhideWhenUsed/>
    <w:rsid w:val="003C7918"/>
    <w:rPr>
      <w:b/>
      <w:bCs/>
    </w:rPr>
  </w:style>
  <w:style w:type="character" w:customStyle="1" w:styleId="CommentSubjectChar">
    <w:name w:val="Comment Subject Char"/>
    <w:basedOn w:val="CommentTextChar"/>
    <w:link w:val="CommentSubject"/>
    <w:uiPriority w:val="99"/>
    <w:semiHidden/>
    <w:rsid w:val="003C7918"/>
    <w:rPr>
      <w:b/>
      <w:bCs/>
    </w:rPr>
  </w:style>
</w:styles>
</file>

<file path=word/webSettings.xml><?xml version="1.0" encoding="utf-8"?>
<w:webSettings xmlns:r="http://schemas.openxmlformats.org/officeDocument/2006/relationships" xmlns:w="http://schemas.openxmlformats.org/wordprocessingml/2006/main">
  <w:divs>
    <w:div w:id="167985928">
      <w:bodyDiv w:val="1"/>
      <w:marLeft w:val="0"/>
      <w:marRight w:val="0"/>
      <w:marTop w:val="0"/>
      <w:marBottom w:val="0"/>
      <w:divBdr>
        <w:top w:val="none" w:sz="0" w:space="0" w:color="auto"/>
        <w:left w:val="none" w:sz="0" w:space="0" w:color="auto"/>
        <w:bottom w:val="none" w:sz="0" w:space="0" w:color="auto"/>
        <w:right w:val="none" w:sz="0" w:space="0" w:color="auto"/>
      </w:divBdr>
    </w:div>
    <w:div w:id="368803700">
      <w:bodyDiv w:val="1"/>
      <w:marLeft w:val="0"/>
      <w:marRight w:val="0"/>
      <w:marTop w:val="0"/>
      <w:marBottom w:val="0"/>
      <w:divBdr>
        <w:top w:val="none" w:sz="0" w:space="0" w:color="auto"/>
        <w:left w:val="none" w:sz="0" w:space="0" w:color="auto"/>
        <w:bottom w:val="none" w:sz="0" w:space="0" w:color="auto"/>
        <w:right w:val="none" w:sz="0" w:space="0" w:color="auto"/>
      </w:divBdr>
    </w:div>
    <w:div w:id="1279678959">
      <w:bodyDiv w:val="1"/>
      <w:marLeft w:val="0"/>
      <w:marRight w:val="0"/>
      <w:marTop w:val="0"/>
      <w:marBottom w:val="0"/>
      <w:divBdr>
        <w:top w:val="none" w:sz="0" w:space="0" w:color="auto"/>
        <w:left w:val="none" w:sz="0" w:space="0" w:color="auto"/>
        <w:bottom w:val="none" w:sz="0" w:space="0" w:color="auto"/>
        <w:right w:val="none" w:sz="0" w:space="0" w:color="auto"/>
      </w:divBdr>
    </w:div>
    <w:div w:id="1493184113">
      <w:bodyDiv w:val="1"/>
      <w:marLeft w:val="0"/>
      <w:marRight w:val="0"/>
      <w:marTop w:val="0"/>
      <w:marBottom w:val="0"/>
      <w:divBdr>
        <w:top w:val="none" w:sz="0" w:space="0" w:color="auto"/>
        <w:left w:val="none" w:sz="0" w:space="0" w:color="auto"/>
        <w:bottom w:val="none" w:sz="0" w:space="0" w:color="auto"/>
        <w:right w:val="none" w:sz="0" w:space="0" w:color="auto"/>
      </w:divBdr>
    </w:div>
    <w:div w:id="1510170936">
      <w:bodyDiv w:val="1"/>
      <w:marLeft w:val="0"/>
      <w:marRight w:val="0"/>
      <w:marTop w:val="0"/>
      <w:marBottom w:val="0"/>
      <w:divBdr>
        <w:top w:val="none" w:sz="0" w:space="0" w:color="auto"/>
        <w:left w:val="none" w:sz="0" w:space="0" w:color="auto"/>
        <w:bottom w:val="none" w:sz="0" w:space="0" w:color="auto"/>
        <w:right w:val="none" w:sz="0" w:space="0" w:color="auto"/>
      </w:divBdr>
    </w:div>
    <w:div w:id="1811552993">
      <w:bodyDiv w:val="1"/>
      <w:marLeft w:val="0"/>
      <w:marRight w:val="0"/>
      <w:marTop w:val="0"/>
      <w:marBottom w:val="0"/>
      <w:divBdr>
        <w:top w:val="none" w:sz="0" w:space="0" w:color="auto"/>
        <w:left w:val="none" w:sz="0" w:space="0" w:color="auto"/>
        <w:bottom w:val="none" w:sz="0" w:space="0" w:color="auto"/>
        <w:right w:val="none" w:sz="0" w:space="0" w:color="auto"/>
      </w:divBdr>
    </w:div>
    <w:div w:id="1846674289">
      <w:bodyDiv w:val="1"/>
      <w:marLeft w:val="0"/>
      <w:marRight w:val="0"/>
      <w:marTop w:val="0"/>
      <w:marBottom w:val="0"/>
      <w:divBdr>
        <w:top w:val="none" w:sz="0" w:space="0" w:color="auto"/>
        <w:left w:val="none" w:sz="0" w:space="0" w:color="auto"/>
        <w:bottom w:val="none" w:sz="0" w:space="0" w:color="auto"/>
        <w:right w:val="none" w:sz="0" w:space="0" w:color="auto"/>
      </w:divBdr>
    </w:div>
    <w:div w:id="1904681907">
      <w:bodyDiv w:val="1"/>
      <w:marLeft w:val="0"/>
      <w:marRight w:val="0"/>
      <w:marTop w:val="0"/>
      <w:marBottom w:val="0"/>
      <w:divBdr>
        <w:top w:val="none" w:sz="0" w:space="0" w:color="auto"/>
        <w:left w:val="none" w:sz="0" w:space="0" w:color="auto"/>
        <w:bottom w:val="none" w:sz="0" w:space="0" w:color="auto"/>
        <w:right w:val="none" w:sz="0" w:space="0" w:color="auto"/>
      </w:divBdr>
    </w:div>
    <w:div w:id="20369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denton_s</dc:creator>
  <cp:keywords/>
  <dc:description/>
  <cp:lastModifiedBy>rowan_c</cp:lastModifiedBy>
  <cp:revision>5</cp:revision>
  <dcterms:created xsi:type="dcterms:W3CDTF">2011-06-15T17:41:00Z</dcterms:created>
  <dcterms:modified xsi:type="dcterms:W3CDTF">2011-06-15T18:20:00Z</dcterms:modified>
</cp:coreProperties>
</file>