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B4" w:rsidRDefault="00C571B4" w:rsidP="00C571B4">
      <w:pPr>
        <w:pStyle w:val="Heading6"/>
      </w:pPr>
    </w:p>
    <w:p w:rsidR="00C571B4" w:rsidRDefault="00C571B4" w:rsidP="00C571B4">
      <w:pPr>
        <w:pStyle w:val="Heading6"/>
      </w:pPr>
      <w:r>
        <w:t>OMB Approval No.  1225-0059</w:t>
      </w:r>
    </w:p>
    <w:p w:rsidR="00C571B4" w:rsidRDefault="00C571B4" w:rsidP="00C571B4">
      <w:pPr>
        <w:jc w:val="center"/>
        <w:rPr>
          <w:b/>
          <w:sz w:val="28"/>
        </w:rPr>
      </w:pPr>
    </w:p>
    <w:p w:rsidR="00C571B4" w:rsidRDefault="00C571B4" w:rsidP="00C571B4">
      <w:pPr>
        <w:jc w:val="center"/>
        <w:rPr>
          <w:b/>
          <w:sz w:val="28"/>
        </w:rPr>
      </w:pPr>
      <w:r>
        <w:rPr>
          <w:b/>
          <w:sz w:val="28"/>
        </w:rPr>
        <w:t>CUSTOMER SATISFACTION SURVEY AND CONFERENCE EVALUATION CLEARANCE FORM</w:t>
      </w:r>
    </w:p>
    <w:p w:rsidR="00C571B4" w:rsidRDefault="00C571B4" w:rsidP="00C571B4">
      <w:pPr>
        <w:ind w:left="360"/>
        <w:jc w:val="center"/>
        <w:rPr>
          <w:b/>
          <w:sz w:val="28"/>
        </w:rPr>
      </w:pPr>
    </w:p>
    <w:p w:rsidR="00C571B4" w:rsidRDefault="00C571B4" w:rsidP="00C571B4">
      <w:pPr>
        <w:ind w:left="360"/>
        <w:rPr>
          <w:b/>
          <w:sz w:val="28"/>
        </w:rPr>
      </w:pPr>
      <w:r>
        <w:rPr>
          <w:b/>
          <w:sz w:val="28"/>
        </w:rPr>
        <w:t>A. SUPPLEMENTAL SUPPORTING STATEMENT</w:t>
      </w:r>
    </w:p>
    <w:p w:rsidR="00C571B4" w:rsidRDefault="00C571B4" w:rsidP="00C571B4">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2227"/>
        <w:gridCol w:w="1128"/>
        <w:gridCol w:w="11"/>
        <w:gridCol w:w="3388"/>
        <w:gridCol w:w="1188"/>
      </w:tblGrid>
      <w:tr w:rsidR="00C571B4" w:rsidTr="003F025D">
        <w:tc>
          <w:tcPr>
            <w:tcW w:w="1278" w:type="dxa"/>
            <w:tcBorders>
              <w:right w:val="nil"/>
            </w:tcBorders>
          </w:tcPr>
          <w:p w:rsidR="00C571B4" w:rsidRDefault="00C571B4" w:rsidP="003F025D">
            <w:pPr>
              <w:rPr>
                <w:b/>
                <w:sz w:val="24"/>
              </w:rPr>
            </w:pPr>
            <w:r>
              <w:rPr>
                <w:b/>
                <w:sz w:val="24"/>
              </w:rPr>
              <w:t>A.1. Title:</w:t>
            </w:r>
          </w:p>
        </w:tc>
        <w:tc>
          <w:tcPr>
            <w:tcW w:w="7938" w:type="dxa"/>
            <w:gridSpan w:val="5"/>
            <w:tcBorders>
              <w:left w:val="nil"/>
            </w:tcBorders>
          </w:tcPr>
          <w:p w:rsidR="00C571B4" w:rsidRDefault="00C571B4" w:rsidP="003F025D">
            <w:pPr>
              <w:rPr>
                <w:b/>
                <w:sz w:val="24"/>
              </w:rPr>
            </w:pPr>
          </w:p>
          <w:p w:rsidR="00C571B4" w:rsidRDefault="00C571B4" w:rsidP="003F025D">
            <w:pPr>
              <w:rPr>
                <w:b/>
                <w:sz w:val="24"/>
              </w:rPr>
            </w:pPr>
            <w:r>
              <w:rPr>
                <w:b/>
                <w:sz w:val="24"/>
              </w:rPr>
              <w:t>EBSA Participant Assistance Program Customer Survey</w:t>
            </w:r>
          </w:p>
        </w:tc>
      </w:tr>
      <w:tr w:rsidR="00C571B4" w:rsidTr="003F025D">
        <w:tc>
          <w:tcPr>
            <w:tcW w:w="4619" w:type="dxa"/>
            <w:gridSpan w:val="4"/>
          </w:tcPr>
          <w:p w:rsidR="00C571B4" w:rsidRDefault="00C571B4" w:rsidP="003F025D">
            <w:pPr>
              <w:rPr>
                <w:sz w:val="24"/>
              </w:rPr>
            </w:pPr>
            <w:r>
              <w:rPr>
                <w:b/>
                <w:sz w:val="24"/>
              </w:rPr>
              <w:t>A.2. Compliance with 5 CFR 1320.5:</w:t>
            </w:r>
            <w:r>
              <w:rPr>
                <w:sz w:val="24"/>
              </w:rPr>
              <w:t xml:space="preserve">  </w:t>
            </w:r>
          </w:p>
          <w:p w:rsidR="00C571B4" w:rsidRDefault="00C571B4" w:rsidP="003F025D">
            <w:pPr>
              <w:rPr>
                <w:b/>
                <w:sz w:val="24"/>
              </w:rPr>
            </w:pPr>
            <w:r>
              <w:rPr>
                <w:sz w:val="24"/>
              </w:rPr>
              <w:tab/>
              <w:t xml:space="preserve">Yes </w:t>
            </w:r>
            <w:r>
              <w:rPr>
                <w:sz w:val="24"/>
                <w:u w:val="single"/>
              </w:rPr>
              <w:t xml:space="preserve">   X    </w:t>
            </w:r>
            <w:r>
              <w:rPr>
                <w:sz w:val="24"/>
              </w:rPr>
              <w:t xml:space="preserve">   No _____</w:t>
            </w:r>
          </w:p>
        </w:tc>
        <w:tc>
          <w:tcPr>
            <w:tcW w:w="4597" w:type="dxa"/>
            <w:gridSpan w:val="2"/>
          </w:tcPr>
          <w:p w:rsidR="00C571B4" w:rsidRDefault="00C571B4" w:rsidP="003F025D">
            <w:pPr>
              <w:rPr>
                <w:sz w:val="24"/>
              </w:rPr>
            </w:pPr>
            <w:r>
              <w:rPr>
                <w:b/>
                <w:sz w:val="24"/>
              </w:rPr>
              <w:t>A.3. Assurances of confidentiality:</w:t>
            </w:r>
            <w:r>
              <w:rPr>
                <w:sz w:val="24"/>
              </w:rPr>
              <w:t xml:space="preserve">  </w:t>
            </w:r>
          </w:p>
          <w:p w:rsidR="00C571B4" w:rsidRDefault="00C571B4" w:rsidP="003F025D">
            <w:pPr>
              <w:rPr>
                <w:sz w:val="24"/>
              </w:rPr>
            </w:pPr>
            <w:r>
              <w:rPr>
                <w:sz w:val="24"/>
              </w:rPr>
              <w:t xml:space="preserve"> No confidential data will be collected.  </w:t>
            </w:r>
          </w:p>
          <w:p w:rsidR="00C571B4" w:rsidRDefault="00C571B4" w:rsidP="003F025D">
            <w:pPr>
              <w:rPr>
                <w:b/>
                <w:sz w:val="24"/>
              </w:rPr>
            </w:pPr>
          </w:p>
        </w:tc>
      </w:tr>
      <w:tr w:rsidR="00C571B4" w:rsidTr="003F025D">
        <w:tc>
          <w:tcPr>
            <w:tcW w:w="4619" w:type="dxa"/>
            <w:gridSpan w:val="4"/>
          </w:tcPr>
          <w:p w:rsidR="00C571B4" w:rsidRDefault="00C571B4" w:rsidP="003F025D">
            <w:pPr>
              <w:rPr>
                <w:bCs/>
                <w:sz w:val="24"/>
              </w:rPr>
            </w:pPr>
            <w:r>
              <w:rPr>
                <w:b/>
                <w:sz w:val="24"/>
              </w:rPr>
              <w:t>A.4. Federal cost</w:t>
            </w:r>
            <w:r>
              <w:rPr>
                <w:bCs/>
                <w:sz w:val="24"/>
              </w:rPr>
              <w:t>:  $</w:t>
            </w:r>
            <w:r>
              <w:rPr>
                <w:sz w:val="24"/>
              </w:rPr>
              <w:t>572,431.69</w:t>
            </w:r>
          </w:p>
          <w:p w:rsidR="00C571B4" w:rsidRPr="00757621" w:rsidRDefault="00C571B4" w:rsidP="003F025D">
            <w:pPr>
              <w:rPr>
                <w:sz w:val="24"/>
              </w:rPr>
            </w:pPr>
            <w:r w:rsidRPr="00757621">
              <w:rPr>
                <w:sz w:val="24"/>
              </w:rPr>
              <w:t xml:space="preserve">Based on </w:t>
            </w:r>
            <w:r>
              <w:rPr>
                <w:sz w:val="24"/>
              </w:rPr>
              <w:t>the cost for research contractor and for IT contractor for support</w:t>
            </w:r>
          </w:p>
        </w:tc>
        <w:tc>
          <w:tcPr>
            <w:tcW w:w="4597" w:type="dxa"/>
            <w:gridSpan w:val="2"/>
          </w:tcPr>
          <w:p w:rsidR="00C571B4" w:rsidRDefault="00C571B4" w:rsidP="003F025D">
            <w:pPr>
              <w:pStyle w:val="BodyText2"/>
            </w:pPr>
            <w:r>
              <w:t>A.5. Requested expiration date (Month/Year):</w:t>
            </w:r>
            <w:r>
              <w:tab/>
              <w:t>0</w:t>
            </w:r>
            <w:r w:rsidR="002000CC">
              <w:t>1</w:t>
            </w:r>
            <w:r>
              <w:t>/201</w:t>
            </w:r>
            <w:r w:rsidR="002000CC">
              <w:t>6</w:t>
            </w:r>
          </w:p>
          <w:p w:rsidR="00C571B4" w:rsidRDefault="00C571B4" w:rsidP="003F025D">
            <w:pPr>
              <w:rPr>
                <w:b/>
                <w:sz w:val="24"/>
              </w:rPr>
            </w:pPr>
          </w:p>
        </w:tc>
      </w:tr>
      <w:tr w:rsidR="00C571B4" w:rsidTr="003F025D">
        <w:tc>
          <w:tcPr>
            <w:tcW w:w="4619" w:type="dxa"/>
            <w:gridSpan w:val="4"/>
          </w:tcPr>
          <w:p w:rsidR="00C571B4" w:rsidRDefault="00C571B4" w:rsidP="003F025D">
            <w:pPr>
              <w:rPr>
                <w:b/>
                <w:sz w:val="24"/>
              </w:rPr>
            </w:pPr>
            <w:r>
              <w:rPr>
                <w:b/>
                <w:sz w:val="24"/>
              </w:rPr>
              <w:t>A.6. Burden Hour estimates:</w:t>
            </w:r>
          </w:p>
          <w:p w:rsidR="00C571B4" w:rsidRDefault="00C571B4" w:rsidP="003F025D">
            <w:pPr>
              <w:ind w:left="360"/>
              <w:rPr>
                <w:sz w:val="24"/>
              </w:rPr>
            </w:pPr>
            <w:r>
              <w:rPr>
                <w:sz w:val="24"/>
              </w:rPr>
              <w:t xml:space="preserve"> </w:t>
            </w:r>
          </w:p>
          <w:p w:rsidR="00C571B4" w:rsidRDefault="00C571B4" w:rsidP="003F025D">
            <w:pPr>
              <w:rPr>
                <w:bCs/>
                <w:sz w:val="24"/>
              </w:rPr>
            </w:pPr>
            <w:r>
              <w:rPr>
                <w:bCs/>
                <w:sz w:val="24"/>
              </w:rPr>
              <w:t xml:space="preserve">a. Number of Respondents: 6380    </w:t>
            </w:r>
          </w:p>
          <w:p w:rsidR="00C571B4" w:rsidRDefault="00C571B4" w:rsidP="003F025D">
            <w:pPr>
              <w:rPr>
                <w:bCs/>
                <w:sz w:val="24"/>
              </w:rPr>
            </w:pPr>
            <w:r>
              <w:rPr>
                <w:bCs/>
                <w:sz w:val="24"/>
              </w:rPr>
              <w:t xml:space="preserve">   a.% Received Electronically   0%</w:t>
            </w:r>
          </w:p>
          <w:p w:rsidR="00C571B4" w:rsidRDefault="00C571B4" w:rsidP="003F025D">
            <w:pPr>
              <w:pStyle w:val="BodyText"/>
              <w:rPr>
                <w:bCs/>
              </w:rPr>
            </w:pPr>
            <w:r>
              <w:rPr>
                <w:bCs/>
              </w:rPr>
              <w:t>b. Frequency:</w:t>
            </w:r>
            <w:r>
              <w:rPr>
                <w:bCs/>
              </w:rPr>
              <w:tab/>
              <w:t>Once</w:t>
            </w:r>
          </w:p>
          <w:p w:rsidR="00C571B4" w:rsidRDefault="00C571B4" w:rsidP="003F025D">
            <w:pPr>
              <w:rPr>
                <w:bCs/>
                <w:sz w:val="24"/>
              </w:rPr>
            </w:pPr>
            <w:r>
              <w:rPr>
                <w:bCs/>
                <w:sz w:val="24"/>
              </w:rPr>
              <w:t>c. Average Response Time:</w:t>
            </w:r>
            <w:r>
              <w:rPr>
                <w:bCs/>
                <w:sz w:val="24"/>
              </w:rPr>
              <w:tab/>
              <w:t xml:space="preserve">       </w:t>
            </w:r>
            <w:r w:rsidR="002000CC">
              <w:rPr>
                <w:bCs/>
                <w:sz w:val="24"/>
              </w:rPr>
              <w:t xml:space="preserve"> </w:t>
            </w:r>
            <w:r w:rsidR="00FA27F1">
              <w:rPr>
                <w:bCs/>
                <w:sz w:val="24"/>
              </w:rPr>
              <w:t>8</w:t>
            </w:r>
            <w:r>
              <w:rPr>
                <w:bCs/>
                <w:sz w:val="24"/>
              </w:rPr>
              <w:t xml:space="preserve"> minutes</w:t>
            </w:r>
          </w:p>
          <w:p w:rsidR="00C571B4" w:rsidRDefault="00C571B4" w:rsidP="003F025D">
            <w:pPr>
              <w:rPr>
                <w:b/>
                <w:sz w:val="24"/>
              </w:rPr>
            </w:pPr>
            <w:r>
              <w:rPr>
                <w:bCs/>
                <w:sz w:val="24"/>
              </w:rPr>
              <w:t>d. Total Annual Burden Hours:</w:t>
            </w:r>
            <w:r>
              <w:rPr>
                <w:b/>
                <w:sz w:val="24"/>
              </w:rPr>
              <w:t xml:space="preserve">     </w:t>
            </w:r>
            <w:r w:rsidR="00FA27F1">
              <w:rPr>
                <w:b/>
                <w:sz w:val="24"/>
              </w:rPr>
              <w:t>851</w:t>
            </w:r>
            <w:r>
              <w:rPr>
                <w:sz w:val="24"/>
              </w:rPr>
              <w:t xml:space="preserve"> hours</w:t>
            </w:r>
          </w:p>
          <w:p w:rsidR="00C571B4" w:rsidRDefault="00C571B4" w:rsidP="003F025D">
            <w:pPr>
              <w:rPr>
                <w:b/>
                <w:sz w:val="24"/>
              </w:rPr>
            </w:pPr>
          </w:p>
        </w:tc>
        <w:tc>
          <w:tcPr>
            <w:tcW w:w="4597" w:type="dxa"/>
            <w:gridSpan w:val="2"/>
          </w:tcPr>
          <w:p w:rsidR="00C571B4" w:rsidRDefault="00C571B4" w:rsidP="003F025D">
            <w:pPr>
              <w:rPr>
                <w:b/>
                <w:bCs/>
                <w:sz w:val="24"/>
              </w:rPr>
            </w:pPr>
            <w:r>
              <w:rPr>
                <w:b/>
                <w:bCs/>
                <w:sz w:val="24"/>
              </w:rPr>
              <w:t>A7.  Does the collection of information employ statistical methods?</w:t>
            </w:r>
          </w:p>
          <w:p w:rsidR="00C571B4" w:rsidRDefault="00C571B4" w:rsidP="003F025D">
            <w:pPr>
              <w:rPr>
                <w:b/>
                <w:sz w:val="24"/>
              </w:rPr>
            </w:pPr>
          </w:p>
          <w:p w:rsidR="00C571B4" w:rsidRDefault="00C571B4" w:rsidP="003F025D">
            <w:pPr>
              <w:rPr>
                <w:bCs/>
                <w:sz w:val="24"/>
              </w:rPr>
            </w:pPr>
            <w:r>
              <w:rPr>
                <w:b/>
                <w:sz w:val="24"/>
              </w:rPr>
              <w:t xml:space="preserve"> </w:t>
            </w:r>
            <w:r w:rsidRPr="00FE0A6C">
              <w:rPr>
                <w:b/>
                <w:sz w:val="24"/>
                <w:u w:val="single"/>
              </w:rPr>
              <w:t xml:space="preserve"> </w:t>
            </w:r>
          </w:p>
          <w:p w:rsidR="00C571B4" w:rsidRDefault="00C571B4" w:rsidP="003F025D">
            <w:pPr>
              <w:ind w:left="360"/>
              <w:rPr>
                <w:b/>
                <w:sz w:val="24"/>
              </w:rPr>
            </w:pPr>
          </w:p>
          <w:p w:rsidR="00C571B4" w:rsidRDefault="00C571B4" w:rsidP="003F025D">
            <w:pPr>
              <w:rPr>
                <w:bCs/>
                <w:sz w:val="24"/>
              </w:rPr>
            </w:pPr>
            <w:r>
              <w:rPr>
                <w:b/>
                <w:sz w:val="24"/>
              </w:rPr>
              <w:t xml:space="preserve">__ ____ </w:t>
            </w:r>
            <w:r>
              <w:rPr>
                <w:bCs/>
                <w:sz w:val="24"/>
              </w:rPr>
              <w:t>Yes (Complete Section B and attach BLS review sheet).</w:t>
            </w:r>
          </w:p>
          <w:p w:rsidR="00C571B4" w:rsidRDefault="00C571B4" w:rsidP="003F025D">
            <w:pPr>
              <w:rPr>
                <w:b/>
                <w:sz w:val="24"/>
              </w:rPr>
            </w:pPr>
          </w:p>
        </w:tc>
      </w:tr>
      <w:tr w:rsidR="00C571B4" w:rsidTr="003F025D">
        <w:trPr>
          <w:cantSplit/>
        </w:trPr>
        <w:tc>
          <w:tcPr>
            <w:tcW w:w="9216" w:type="dxa"/>
            <w:gridSpan w:val="6"/>
          </w:tcPr>
          <w:p w:rsidR="00C571B4" w:rsidRDefault="00C571B4" w:rsidP="003F025D">
            <w:pPr>
              <w:rPr>
                <w:b/>
                <w:bCs/>
                <w:sz w:val="24"/>
              </w:rPr>
            </w:pPr>
            <w:r>
              <w:rPr>
                <w:b/>
                <w:bCs/>
                <w:sz w:val="24"/>
              </w:rPr>
              <w:t xml:space="preserve">A.8. Abstract: </w:t>
            </w:r>
          </w:p>
          <w:p w:rsidR="00C571B4" w:rsidRDefault="00C571B4" w:rsidP="003F025D">
            <w:pPr>
              <w:rPr>
                <w:b/>
                <w:sz w:val="24"/>
              </w:rPr>
            </w:pPr>
            <w:r w:rsidRPr="006C79F8">
              <w:rPr>
                <w:bCs/>
                <w:sz w:val="24"/>
              </w:rPr>
              <w:t xml:space="preserve">This </w:t>
            </w:r>
            <w:r>
              <w:rPr>
                <w:bCs/>
                <w:sz w:val="24"/>
              </w:rPr>
              <w:t>survey</w:t>
            </w:r>
            <w:r w:rsidRPr="006C79F8">
              <w:rPr>
                <w:bCs/>
                <w:sz w:val="24"/>
              </w:rPr>
              <w:t xml:space="preserve"> will collect customer satisfaction data</w:t>
            </w:r>
            <w:r>
              <w:rPr>
                <w:bCs/>
                <w:sz w:val="24"/>
              </w:rPr>
              <w:t xml:space="preserve"> for a sample of private citizens who call into the participant assistance program to ask about their private sector employer provided benefits such as pensions, retirement savings, and health benefits. Three types of callers will be queried: 1. Those who need benefit claim assistance 2. Those who have a valid benefit claim and 3. Those who have an invalid benefit claim.</w:t>
            </w:r>
          </w:p>
          <w:p w:rsidR="00C571B4" w:rsidRDefault="00C571B4" w:rsidP="003F025D">
            <w:pPr>
              <w:rPr>
                <w:b/>
                <w:sz w:val="24"/>
              </w:rPr>
            </w:pPr>
          </w:p>
          <w:p w:rsidR="00C571B4" w:rsidRDefault="00C571B4" w:rsidP="003F025D">
            <w:pPr>
              <w:rPr>
                <w:b/>
                <w:sz w:val="24"/>
              </w:rPr>
            </w:pPr>
          </w:p>
        </w:tc>
      </w:tr>
      <w:tr w:rsidR="00C571B4" w:rsidTr="003F025D">
        <w:trPr>
          <w:cantSplit/>
        </w:trPr>
        <w:tc>
          <w:tcPr>
            <w:tcW w:w="3528" w:type="dxa"/>
            <w:gridSpan w:val="2"/>
          </w:tcPr>
          <w:p w:rsidR="00C571B4" w:rsidRPr="0079745E" w:rsidRDefault="00C571B4" w:rsidP="003F025D">
            <w:r>
              <w:rPr>
                <w:bCs/>
              </w:rPr>
              <w:t xml:space="preserve">Program Official                     </w:t>
            </w:r>
            <w:r>
              <w:rPr>
                <w:bCs/>
              </w:rPr>
              <w:tab/>
            </w:r>
          </w:p>
          <w:p w:rsidR="00C571B4" w:rsidRDefault="00FA27F1" w:rsidP="003F025D">
            <w:r>
              <w:t>Terri Thomas</w:t>
            </w:r>
          </w:p>
          <w:p w:rsidR="00C571B4" w:rsidRPr="00FF6C63" w:rsidRDefault="00C571B4" w:rsidP="003F025D"/>
        </w:tc>
        <w:tc>
          <w:tcPr>
            <w:tcW w:w="1080" w:type="dxa"/>
          </w:tcPr>
          <w:p w:rsidR="00C571B4" w:rsidRDefault="00C571B4" w:rsidP="003F025D">
            <w:pPr>
              <w:rPr>
                <w:b/>
                <w:bCs/>
              </w:rPr>
            </w:pPr>
            <w:r w:rsidRPr="00FF6C63">
              <w:rPr>
                <w:b/>
                <w:bCs/>
              </w:rPr>
              <w:t>Date</w:t>
            </w:r>
            <w:r>
              <w:rPr>
                <w:b/>
                <w:bCs/>
              </w:rPr>
              <w:t xml:space="preserve"> </w:t>
            </w:r>
          </w:p>
          <w:p w:rsidR="00C571B4" w:rsidRPr="00FF6C63" w:rsidRDefault="009B51C9" w:rsidP="003F025D">
            <w:pPr>
              <w:jc w:val="center"/>
              <w:rPr>
                <w:b/>
              </w:rPr>
            </w:pPr>
            <w:r>
              <w:rPr>
                <w:b/>
              </w:rPr>
              <w:t>07/24/2013</w:t>
            </w:r>
          </w:p>
        </w:tc>
        <w:tc>
          <w:tcPr>
            <w:tcW w:w="3420" w:type="dxa"/>
            <w:gridSpan w:val="2"/>
          </w:tcPr>
          <w:p w:rsidR="00C571B4" w:rsidRDefault="00C571B4" w:rsidP="003F025D">
            <w:pPr>
              <w:rPr>
                <w:b/>
                <w:bCs/>
              </w:rPr>
            </w:pPr>
            <w:r>
              <w:rPr>
                <w:b/>
                <w:bCs/>
              </w:rPr>
              <w:t xml:space="preserve">Departmental Clearance Officer             </w:t>
            </w:r>
          </w:p>
          <w:p w:rsidR="00C571B4" w:rsidRDefault="00FA27F1" w:rsidP="003F025D">
            <w:pPr>
              <w:rPr>
                <w:b/>
                <w:bCs/>
              </w:rPr>
            </w:pPr>
            <w:r>
              <w:rPr>
                <w:b/>
                <w:bCs/>
              </w:rPr>
              <w:t>Michel Smyth</w:t>
            </w:r>
          </w:p>
        </w:tc>
        <w:tc>
          <w:tcPr>
            <w:tcW w:w="1188" w:type="dxa"/>
          </w:tcPr>
          <w:p w:rsidR="00C571B4" w:rsidRDefault="00C571B4" w:rsidP="003F025D">
            <w:pPr>
              <w:rPr>
                <w:b/>
                <w:bCs/>
              </w:rPr>
            </w:pPr>
            <w:r>
              <w:rPr>
                <w:b/>
                <w:bCs/>
              </w:rPr>
              <w:t>Date</w:t>
            </w:r>
          </w:p>
          <w:p w:rsidR="00C571B4" w:rsidRDefault="00FA27F1" w:rsidP="003F025D">
            <w:pPr>
              <w:jc w:val="center"/>
              <w:rPr>
                <w:b/>
                <w:bCs/>
              </w:rPr>
            </w:pPr>
            <w:r>
              <w:rPr>
                <w:b/>
                <w:bCs/>
              </w:rPr>
              <w:t>07/24/2013</w:t>
            </w:r>
          </w:p>
        </w:tc>
      </w:tr>
    </w:tbl>
    <w:p w:rsidR="00C571B4" w:rsidRDefault="00C571B4" w:rsidP="00C571B4">
      <w:pPr>
        <w:rPr>
          <w:b/>
          <w:sz w:val="24"/>
        </w:rPr>
      </w:pPr>
    </w:p>
    <w:p w:rsidR="00AB1467" w:rsidRDefault="00AB1467" w:rsidP="00C571B4">
      <w:pPr>
        <w:rPr>
          <w:b/>
          <w:sz w:val="24"/>
        </w:rPr>
      </w:pPr>
    </w:p>
    <w:p w:rsidR="00AB1467" w:rsidRDefault="00AB1467" w:rsidP="00C571B4">
      <w:pPr>
        <w:rPr>
          <w:b/>
          <w:sz w:val="24"/>
        </w:rPr>
      </w:pPr>
    </w:p>
    <w:p w:rsidR="00AB1467" w:rsidRDefault="00AB1467" w:rsidP="00C571B4">
      <w:pPr>
        <w:rPr>
          <w:b/>
          <w:sz w:val="24"/>
        </w:rPr>
      </w:pPr>
    </w:p>
    <w:p w:rsidR="00AB1467" w:rsidRDefault="00AB1467" w:rsidP="00C571B4">
      <w:pPr>
        <w:rPr>
          <w:b/>
          <w:sz w:val="24"/>
        </w:rPr>
      </w:pPr>
      <w:bookmarkStart w:id="0" w:name="_GoBack"/>
      <w:bookmarkEnd w:id="0"/>
    </w:p>
    <w:p w:rsidR="00AB1467" w:rsidRDefault="00AB1467" w:rsidP="00C571B4">
      <w:pPr>
        <w:rPr>
          <w:b/>
          <w:sz w:val="24"/>
        </w:rPr>
      </w:pPr>
    </w:p>
    <w:p w:rsidR="00AB1467" w:rsidRDefault="00AB1467" w:rsidP="00C571B4">
      <w:pPr>
        <w:rPr>
          <w:b/>
          <w:sz w:val="24"/>
        </w:rPr>
      </w:pPr>
    </w:p>
    <w:p w:rsidR="00AB1467" w:rsidRDefault="00AB1467" w:rsidP="00C571B4">
      <w:pPr>
        <w:rPr>
          <w:b/>
          <w:sz w:val="24"/>
        </w:rPr>
      </w:pPr>
    </w:p>
    <w:p w:rsidR="00AB1467" w:rsidRDefault="00AB1467" w:rsidP="00C571B4">
      <w:pPr>
        <w:rPr>
          <w:b/>
          <w:sz w:val="24"/>
        </w:rPr>
      </w:pPr>
    </w:p>
    <w:p w:rsidR="00CA0732" w:rsidRDefault="00CA0732" w:rsidP="0065369D">
      <w:pPr>
        <w:pStyle w:val="Heading2"/>
        <w:numPr>
          <w:ilvl w:val="0"/>
          <w:numId w:val="2"/>
        </w:numPr>
      </w:pPr>
      <w:r>
        <w:lastRenderedPageBreak/>
        <w:t>SURVEYS AND EVALUATIONS EMPLOYING STATISTICAL METHODS</w:t>
      </w:r>
    </w:p>
    <w:p w:rsidR="00CA0732" w:rsidRDefault="00CA0732" w:rsidP="0065369D"/>
    <w:p w:rsidR="00CA0732" w:rsidRDefault="00CA0732" w:rsidP="0065369D">
      <w:pPr>
        <w:ind w:left="360"/>
        <w:rPr>
          <w:bCs/>
        </w:rPr>
      </w:pPr>
    </w:p>
    <w:p w:rsidR="00CA0732" w:rsidRPr="00CA6F0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CA6F0E">
        <w:rPr>
          <w:b/>
          <w:bCs/>
          <w:color w:val="000000"/>
          <w:szCs w:val="21"/>
        </w:rPr>
        <w:t>B.1.</w:t>
      </w:r>
      <w:r w:rsidRPr="00CA6F0E">
        <w:rPr>
          <w:b/>
          <w:bCs/>
          <w:color w:val="000000"/>
          <w:szCs w:val="21"/>
        </w:rPr>
        <w:tab/>
        <w:t>Describe (including a numerical estimate) the potential respondent universe and any sampling or</w:t>
      </w:r>
    </w:p>
    <w:p w:rsidR="00CA0732" w:rsidRPr="00CA6F0E" w:rsidRDefault="00DF3358"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Pr>
          <w:b/>
          <w:bCs/>
          <w:color w:val="000000"/>
          <w:szCs w:val="21"/>
        </w:rPr>
        <w:t>o</w:t>
      </w:r>
      <w:r w:rsidRPr="00CA6F0E">
        <w:rPr>
          <w:b/>
          <w:bCs/>
          <w:color w:val="000000"/>
          <w:szCs w:val="21"/>
        </w:rPr>
        <w:t>ther</w:t>
      </w:r>
      <w:r w:rsidR="00CA0732" w:rsidRPr="00CA6F0E">
        <w:rPr>
          <w:b/>
          <w:bCs/>
          <w:color w:val="000000"/>
          <w:szCs w:val="21"/>
        </w:rPr>
        <w:t xml:space="preserve"> respondent selection methods to be used.  Data on the number of entities (e.g., establishments, State and</w:t>
      </w:r>
    </w:p>
    <w:p w:rsidR="00CA0732" w:rsidRPr="00CA6F0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CA6F0E">
        <w:rPr>
          <w:b/>
          <w:bCs/>
          <w:color w:val="000000"/>
          <w:szCs w:val="21"/>
        </w:rPr>
        <w:t>local government units, households, or persons) in the universe covered by the collection and in the</w:t>
      </w:r>
    </w:p>
    <w:p w:rsidR="00CA0732" w:rsidRPr="00CA6F0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CA6F0E">
        <w:rPr>
          <w:b/>
          <w:bCs/>
          <w:color w:val="000000"/>
          <w:szCs w:val="21"/>
        </w:rPr>
        <w:t>corresponding sample are to be provided in tabular form for the universe as a whole and for each of the</w:t>
      </w:r>
    </w:p>
    <w:p w:rsidR="00CA0732" w:rsidRPr="00CA6F0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CA6F0E">
        <w:rPr>
          <w:b/>
          <w:bCs/>
          <w:color w:val="000000"/>
          <w:szCs w:val="21"/>
        </w:rPr>
        <w:t>strata in the proposed sample. Indicate expected response rates for the collection as a whole.  If the collection</w:t>
      </w:r>
    </w:p>
    <w:p w:rsidR="00CA0732"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CA6F0E">
        <w:rPr>
          <w:b/>
          <w:bCs/>
          <w:color w:val="000000"/>
          <w:szCs w:val="21"/>
        </w:rPr>
        <w:t>had been conducted previously, include the actual response rate achieved during the last collection.</w:t>
      </w:r>
    </w:p>
    <w:p w:rsidR="00CA0732"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CA0732" w:rsidRPr="00E9037E" w:rsidRDefault="00CA0732" w:rsidP="00D71901">
      <w:pPr>
        <w:tabs>
          <w:tab w:val="left" w:pos="-33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The goal of this study is to evaluate EBSA’s Participant Assistance Program (PAP) and the universe consist</w:t>
      </w:r>
      <w:r w:rsidR="00CD200C" w:rsidRPr="00E9037E">
        <w:rPr>
          <w:bCs/>
          <w:color w:val="000000"/>
          <w:sz w:val="22"/>
          <w:szCs w:val="22"/>
        </w:rPr>
        <w:t>s</w:t>
      </w:r>
      <w:r w:rsidRPr="00E9037E">
        <w:rPr>
          <w:bCs/>
          <w:color w:val="000000"/>
          <w:sz w:val="22"/>
          <w:szCs w:val="22"/>
        </w:rPr>
        <w:t xml:space="preserve"> of participant inquiries (individuals who had contacted EBSA for assistance) handled by the 10 regional offices and the Office of Participant Assistance (OPA). Inquiries are made by telephone as well as using letters, emails, web-based inquiries and walk-in visits. For each of the 10 regional offices, the universe include</w:t>
      </w:r>
      <w:r w:rsidR="00AB1467" w:rsidRPr="00E9037E">
        <w:rPr>
          <w:bCs/>
          <w:color w:val="000000"/>
          <w:sz w:val="22"/>
          <w:szCs w:val="22"/>
        </w:rPr>
        <w:t>s</w:t>
      </w:r>
      <w:r w:rsidRPr="00E9037E">
        <w:rPr>
          <w:bCs/>
          <w:color w:val="000000"/>
          <w:sz w:val="22"/>
          <w:szCs w:val="22"/>
        </w:rPr>
        <w:t xml:space="preserve"> only telephone inquiries. For the OPA, the universe will consist of mail and web inquiries</w:t>
      </w:r>
      <w:r w:rsidR="00F16108" w:rsidRPr="00E9037E">
        <w:rPr>
          <w:bCs/>
          <w:color w:val="000000"/>
          <w:sz w:val="22"/>
          <w:szCs w:val="22"/>
        </w:rPr>
        <w:t>.</w:t>
      </w:r>
      <w:r w:rsidRPr="00E9037E">
        <w:rPr>
          <w:bCs/>
          <w:color w:val="000000"/>
          <w:sz w:val="22"/>
          <w:szCs w:val="22"/>
        </w:rPr>
        <w:t xml:space="preserve"> For </w:t>
      </w:r>
      <w:r w:rsidR="00F16108" w:rsidRPr="00E9037E">
        <w:rPr>
          <w:bCs/>
          <w:color w:val="000000"/>
          <w:sz w:val="22"/>
          <w:szCs w:val="22"/>
        </w:rPr>
        <w:t xml:space="preserve">the </w:t>
      </w:r>
      <w:r w:rsidRPr="00E9037E">
        <w:rPr>
          <w:bCs/>
          <w:color w:val="000000"/>
          <w:sz w:val="22"/>
          <w:szCs w:val="22"/>
        </w:rPr>
        <w:t xml:space="preserve">purpose of sampling, the universe will be stratified into 11 strata (the 10 regional offices and the OPA as shown in Table 1 below) and sampling will be done independently within each office using a simple stratified sample design. Table 1 below provides the </w:t>
      </w:r>
      <w:r w:rsidR="00F16108" w:rsidRPr="00E9037E">
        <w:rPr>
          <w:bCs/>
          <w:color w:val="000000"/>
          <w:sz w:val="22"/>
          <w:szCs w:val="22"/>
        </w:rPr>
        <w:t xml:space="preserve">approximate </w:t>
      </w:r>
      <w:r w:rsidRPr="00E9037E">
        <w:rPr>
          <w:bCs/>
          <w:color w:val="000000"/>
          <w:sz w:val="22"/>
          <w:szCs w:val="22"/>
        </w:rPr>
        <w:t xml:space="preserve">number of “closed” inquiries (web/mail inquiries for the OPA and telephone inquiries for the rest of the offices) during </w:t>
      </w:r>
      <w:r w:rsidR="00600F4D" w:rsidRPr="00E9037E">
        <w:rPr>
          <w:bCs/>
          <w:color w:val="000000"/>
          <w:sz w:val="22"/>
          <w:szCs w:val="22"/>
        </w:rPr>
        <w:t>FY2012</w:t>
      </w:r>
      <w:r w:rsidRPr="00E9037E">
        <w:rPr>
          <w:bCs/>
          <w:color w:val="000000"/>
          <w:sz w:val="22"/>
          <w:szCs w:val="22"/>
        </w:rPr>
        <w:t xml:space="preserve">. </w:t>
      </w: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rPr>
      </w:pPr>
      <w:r w:rsidRPr="00E9037E">
        <w:rPr>
          <w:b/>
          <w:bCs/>
          <w:color w:val="000000"/>
        </w:rPr>
        <w:t xml:space="preserve">Table 1: Closed Inquiries by 11 offices during </w:t>
      </w:r>
      <w:r w:rsidR="00600F4D" w:rsidRPr="00E9037E">
        <w:rPr>
          <w:b/>
          <w:bCs/>
          <w:color w:val="000000"/>
        </w:rPr>
        <w:t>FY2012</w:t>
      </w: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tblGrid>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E9037E">
              <w:rPr>
                <w:b/>
                <w:bCs/>
                <w:color w:val="000000"/>
                <w:sz w:val="24"/>
                <w:szCs w:val="24"/>
              </w:rPr>
              <w:t>Regional Office</w:t>
            </w:r>
          </w:p>
        </w:tc>
        <w:tc>
          <w:tcPr>
            <w:tcW w:w="2340"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E9037E">
              <w:rPr>
                <w:b/>
                <w:bCs/>
                <w:color w:val="000000"/>
                <w:sz w:val="24"/>
                <w:szCs w:val="24"/>
              </w:rPr>
              <w:t>Number of Inquiries</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Atlanta</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33,079</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Boston</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13,431</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Chicago</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13,672</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Cincinnati</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19,880</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Dallas</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16,922</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Kansas City</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14,229</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Los Angeles</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13,320</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New York</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13,321</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Philadelphia</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12,936</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San Francisco</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14,775</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OPA</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4,613</w:t>
            </w:r>
          </w:p>
        </w:tc>
      </w:tr>
      <w:tr w:rsidR="00CA0732" w:rsidRPr="00E9037E" w:rsidTr="00D71901">
        <w:tc>
          <w:tcPr>
            <w:tcW w:w="1908" w:type="dxa"/>
          </w:tcPr>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Total</w:t>
            </w:r>
          </w:p>
        </w:tc>
        <w:tc>
          <w:tcPr>
            <w:tcW w:w="2340" w:type="dxa"/>
          </w:tcPr>
          <w:p w:rsidR="00CA0732" w:rsidRPr="00E9037E" w:rsidRDefault="00617860"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170</w:t>
            </w:r>
            <w:r w:rsidR="00F16108" w:rsidRPr="00E9037E">
              <w:rPr>
                <w:b/>
                <w:bCs/>
                <w:color w:val="000000"/>
                <w:szCs w:val="21"/>
              </w:rPr>
              <w:t>,</w:t>
            </w:r>
            <w:r w:rsidRPr="00E9037E">
              <w:rPr>
                <w:b/>
                <w:bCs/>
                <w:color w:val="000000"/>
                <w:szCs w:val="21"/>
              </w:rPr>
              <w:t>178</w:t>
            </w:r>
          </w:p>
        </w:tc>
      </w:tr>
    </w:tbl>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CA0732" w:rsidRPr="00E9037E" w:rsidRDefault="00CA0732" w:rsidP="00D71901">
      <w:pPr>
        <w:rPr>
          <w:sz w:val="24"/>
        </w:rPr>
      </w:pPr>
    </w:p>
    <w:p w:rsidR="00CA0732" w:rsidRPr="00E9037E" w:rsidRDefault="00CA0732"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E9037E">
        <w:rPr>
          <w:rFonts w:ascii="Times New Roman" w:hAnsi="Times New Roman"/>
          <w:bCs/>
          <w:color w:val="000000"/>
          <w:sz w:val="22"/>
          <w:szCs w:val="22"/>
        </w:rPr>
        <w:t xml:space="preserve">Every two weeks, EBSA will send data on all of the participant inquiries identified as newly “closed” during the previous two weeks. </w:t>
      </w:r>
      <w:r w:rsidR="00076F73">
        <w:rPr>
          <w:rFonts w:ascii="Times New Roman" w:hAnsi="Times New Roman"/>
          <w:bCs/>
          <w:color w:val="000000"/>
          <w:sz w:val="22"/>
          <w:szCs w:val="22"/>
        </w:rPr>
        <w:t xml:space="preserve">The newly closed cases consist of all inquiries assigned a determination or closure analysis status in the Technical Assistance Information System. Closure types include </w:t>
      </w:r>
      <w:r w:rsidR="00A734A6">
        <w:rPr>
          <w:rFonts w:ascii="Times New Roman" w:hAnsi="Times New Roman"/>
          <w:bCs/>
          <w:color w:val="000000"/>
          <w:sz w:val="22"/>
          <w:szCs w:val="22"/>
        </w:rPr>
        <w:t xml:space="preserve">Benefit Claim- Assistance, Benefit Claim-Valid Recovery, Benefit Claim-Not Valid, Benefit Claim-Enforcement Lead or Benefit Claim-Secondary Enforcement Lead. </w:t>
      </w:r>
      <w:r w:rsidR="00076F73">
        <w:rPr>
          <w:rFonts w:ascii="Times New Roman" w:hAnsi="Times New Roman"/>
          <w:bCs/>
          <w:color w:val="000000"/>
          <w:sz w:val="22"/>
          <w:szCs w:val="22"/>
        </w:rPr>
        <w:t xml:space="preserve"> </w:t>
      </w:r>
      <w:r w:rsidR="006609D1" w:rsidRPr="008A4A49">
        <w:rPr>
          <w:rFonts w:ascii="Times New Roman" w:hAnsi="Times New Roman"/>
          <w:bCs/>
          <w:color w:val="000000"/>
          <w:sz w:val="22"/>
          <w:szCs w:val="22"/>
          <w:highlight w:val="yellow"/>
        </w:rPr>
        <w:t>[</w:t>
      </w:r>
      <w:r w:rsidRPr="00E9037E">
        <w:rPr>
          <w:rFonts w:ascii="Times New Roman" w:hAnsi="Times New Roman"/>
          <w:bCs/>
          <w:color w:val="000000"/>
          <w:sz w:val="22"/>
          <w:szCs w:val="22"/>
        </w:rPr>
        <w:t xml:space="preserve">Gallup will select samples of participant inquiry </w:t>
      </w:r>
      <w:r w:rsidRPr="00E9037E">
        <w:rPr>
          <w:rFonts w:ascii="Times New Roman" w:hAnsi="Times New Roman"/>
          <w:bCs/>
          <w:color w:val="000000"/>
          <w:sz w:val="22"/>
          <w:szCs w:val="22"/>
        </w:rPr>
        <w:lastRenderedPageBreak/>
        <w:t>records on a bi-weekly basis using a simple stratified sample design. Based on information from the past administration of this study</w:t>
      </w:r>
      <w:r w:rsidR="00294C12" w:rsidRPr="00E9037E">
        <w:rPr>
          <w:rFonts w:ascii="Times New Roman" w:hAnsi="Times New Roman"/>
          <w:bCs/>
          <w:color w:val="000000"/>
          <w:sz w:val="22"/>
          <w:szCs w:val="22"/>
        </w:rPr>
        <w:t xml:space="preserve"> conducted by Gallup </w:t>
      </w:r>
      <w:r w:rsidR="006609D1">
        <w:rPr>
          <w:rFonts w:ascii="Times New Roman" w:hAnsi="Times New Roman"/>
          <w:bCs/>
          <w:color w:val="000000"/>
          <w:sz w:val="22"/>
          <w:szCs w:val="22"/>
        </w:rPr>
        <w:t>for fiscal year 2012</w:t>
      </w:r>
      <w:r w:rsidRPr="00E9037E">
        <w:rPr>
          <w:rFonts w:ascii="Times New Roman" w:hAnsi="Times New Roman"/>
          <w:bCs/>
          <w:color w:val="000000"/>
          <w:sz w:val="22"/>
          <w:szCs w:val="22"/>
        </w:rPr>
        <w:t xml:space="preserve">, we anticipate an average response rate of </w:t>
      </w:r>
      <w:r w:rsidR="00294C12" w:rsidRPr="00E9037E">
        <w:rPr>
          <w:rFonts w:ascii="Times New Roman" w:hAnsi="Times New Roman"/>
          <w:bCs/>
          <w:color w:val="000000"/>
          <w:sz w:val="22"/>
          <w:szCs w:val="22"/>
        </w:rPr>
        <w:t xml:space="preserve">around </w:t>
      </w:r>
      <w:r w:rsidR="006609D1">
        <w:rPr>
          <w:rFonts w:ascii="Times New Roman" w:hAnsi="Times New Roman"/>
          <w:bCs/>
          <w:color w:val="000000"/>
          <w:sz w:val="22"/>
          <w:szCs w:val="22"/>
        </w:rPr>
        <w:t>33.5</w:t>
      </w:r>
      <w:r w:rsidRPr="00E9037E">
        <w:rPr>
          <w:rFonts w:ascii="Times New Roman" w:hAnsi="Times New Roman"/>
          <w:bCs/>
          <w:color w:val="000000"/>
          <w:sz w:val="22"/>
          <w:szCs w:val="22"/>
        </w:rPr>
        <w:t>% for each two-week period</w:t>
      </w:r>
      <w:r w:rsidR="00907368">
        <w:rPr>
          <w:rFonts w:ascii="Times New Roman" w:hAnsi="Times New Roman"/>
          <w:bCs/>
          <w:color w:val="000000"/>
          <w:sz w:val="22"/>
          <w:szCs w:val="22"/>
        </w:rPr>
        <w:t xml:space="preserve"> across all offices</w:t>
      </w:r>
      <w:r w:rsidRPr="00E9037E">
        <w:rPr>
          <w:rFonts w:ascii="Times New Roman" w:hAnsi="Times New Roman"/>
          <w:bCs/>
          <w:color w:val="000000"/>
          <w:sz w:val="22"/>
          <w:szCs w:val="22"/>
        </w:rPr>
        <w:t xml:space="preserve">. </w:t>
      </w:r>
      <w:r w:rsidR="00D2237B" w:rsidRPr="00E9037E">
        <w:rPr>
          <w:rFonts w:ascii="Times New Roman" w:hAnsi="Times New Roman"/>
          <w:bCs/>
          <w:color w:val="000000"/>
          <w:sz w:val="22"/>
          <w:szCs w:val="22"/>
        </w:rPr>
        <w:t>In order to examine the issue of non-response bias</w:t>
      </w:r>
      <w:r w:rsidR="00D5310C" w:rsidRPr="00E9037E">
        <w:rPr>
          <w:rFonts w:ascii="Times New Roman" w:hAnsi="Times New Roman"/>
          <w:bCs/>
          <w:color w:val="000000"/>
          <w:sz w:val="22"/>
          <w:szCs w:val="22"/>
        </w:rPr>
        <w:t>, a</w:t>
      </w:r>
      <w:r w:rsidR="00060BAD" w:rsidRPr="00E9037E">
        <w:rPr>
          <w:rFonts w:ascii="Times New Roman" w:hAnsi="Times New Roman"/>
          <w:bCs/>
          <w:color w:val="000000"/>
          <w:sz w:val="22"/>
          <w:szCs w:val="22"/>
        </w:rPr>
        <w:t xml:space="preserve"> non-response bias analysis will be conducted</w:t>
      </w:r>
      <w:r w:rsidR="009577B3" w:rsidRPr="00E9037E">
        <w:rPr>
          <w:rFonts w:ascii="Times New Roman" w:hAnsi="Times New Roman"/>
          <w:bCs/>
          <w:color w:val="000000"/>
          <w:sz w:val="22"/>
          <w:szCs w:val="22"/>
        </w:rPr>
        <w:t xml:space="preserve">. </w:t>
      </w:r>
      <w:r w:rsidR="00060BAD" w:rsidRPr="00E9037E">
        <w:rPr>
          <w:rFonts w:ascii="Times New Roman" w:hAnsi="Times New Roman"/>
          <w:bCs/>
          <w:color w:val="000000"/>
          <w:sz w:val="22"/>
          <w:szCs w:val="22"/>
        </w:rPr>
        <w:t xml:space="preserve">The non-response bias analysis plan </w:t>
      </w:r>
      <w:r w:rsidR="00AF0F37" w:rsidRPr="00E9037E">
        <w:rPr>
          <w:rFonts w:ascii="Times New Roman" w:hAnsi="Times New Roman"/>
          <w:bCs/>
          <w:color w:val="000000"/>
          <w:sz w:val="22"/>
          <w:szCs w:val="22"/>
        </w:rPr>
        <w:t xml:space="preserve">to be followed for this purpose </w:t>
      </w:r>
      <w:r w:rsidR="00060BAD" w:rsidRPr="00E9037E">
        <w:rPr>
          <w:rFonts w:ascii="Times New Roman" w:hAnsi="Times New Roman"/>
          <w:bCs/>
          <w:color w:val="000000"/>
          <w:sz w:val="22"/>
          <w:szCs w:val="22"/>
        </w:rPr>
        <w:t xml:space="preserve">is </w:t>
      </w:r>
      <w:r w:rsidR="00AF0F37" w:rsidRPr="00E9037E">
        <w:rPr>
          <w:rFonts w:ascii="Times New Roman" w:hAnsi="Times New Roman"/>
          <w:bCs/>
          <w:color w:val="000000"/>
          <w:sz w:val="22"/>
          <w:szCs w:val="22"/>
        </w:rPr>
        <w:t>described</w:t>
      </w:r>
      <w:r w:rsidR="00060BAD" w:rsidRPr="00E9037E">
        <w:rPr>
          <w:rFonts w:ascii="Times New Roman" w:hAnsi="Times New Roman"/>
          <w:bCs/>
          <w:color w:val="000000"/>
          <w:sz w:val="22"/>
          <w:szCs w:val="22"/>
        </w:rPr>
        <w:t xml:space="preserve"> in Section B3. </w:t>
      </w:r>
      <w:r w:rsidRPr="00E9037E">
        <w:rPr>
          <w:rFonts w:ascii="Times New Roman" w:hAnsi="Times New Roman"/>
          <w:bCs/>
          <w:color w:val="000000"/>
          <w:sz w:val="22"/>
          <w:szCs w:val="22"/>
        </w:rPr>
        <w:t xml:space="preserve">In total for </w:t>
      </w:r>
      <w:r w:rsidR="00372DAE" w:rsidRPr="00E9037E">
        <w:rPr>
          <w:rFonts w:ascii="Times New Roman" w:hAnsi="Times New Roman"/>
          <w:bCs/>
          <w:color w:val="000000"/>
          <w:sz w:val="22"/>
          <w:szCs w:val="22"/>
        </w:rPr>
        <w:t>FY2013</w:t>
      </w:r>
      <w:r w:rsidRPr="00E9037E">
        <w:rPr>
          <w:rFonts w:ascii="Times New Roman" w:hAnsi="Times New Roman"/>
          <w:bCs/>
          <w:color w:val="000000"/>
          <w:sz w:val="22"/>
          <w:szCs w:val="22"/>
        </w:rPr>
        <w:t xml:space="preserve">, there will be </w:t>
      </w:r>
      <w:r w:rsidR="00824F45" w:rsidRPr="00E9037E">
        <w:rPr>
          <w:rFonts w:ascii="Times New Roman" w:hAnsi="Times New Roman"/>
          <w:bCs/>
          <w:color w:val="000000"/>
          <w:sz w:val="22"/>
          <w:szCs w:val="22"/>
        </w:rPr>
        <w:t xml:space="preserve">24 two-week </w:t>
      </w:r>
      <w:r w:rsidRPr="00E9037E">
        <w:rPr>
          <w:rFonts w:ascii="Times New Roman" w:hAnsi="Times New Roman"/>
          <w:bCs/>
          <w:color w:val="000000"/>
          <w:sz w:val="22"/>
          <w:szCs w:val="22"/>
        </w:rPr>
        <w:t xml:space="preserve">data collection periods. The goal will be to complete a total of about </w:t>
      </w:r>
      <w:r w:rsidR="00824F45" w:rsidRPr="00E9037E">
        <w:rPr>
          <w:rFonts w:ascii="Times New Roman" w:hAnsi="Times New Roman"/>
          <w:bCs/>
          <w:color w:val="000000"/>
          <w:sz w:val="22"/>
          <w:szCs w:val="22"/>
        </w:rPr>
        <w:t xml:space="preserve">24 </w:t>
      </w:r>
      <w:r w:rsidRPr="00E9037E">
        <w:rPr>
          <w:rFonts w:ascii="Times New Roman" w:hAnsi="Times New Roman"/>
          <w:bCs/>
          <w:color w:val="000000"/>
          <w:sz w:val="22"/>
          <w:szCs w:val="22"/>
        </w:rPr>
        <w:t xml:space="preserve">interviews from each of the 11 offices in each period so that a total of </w:t>
      </w:r>
      <w:r w:rsidR="00824F45" w:rsidRPr="00E9037E">
        <w:rPr>
          <w:rFonts w:ascii="Times New Roman" w:hAnsi="Times New Roman"/>
          <w:bCs/>
          <w:color w:val="000000"/>
          <w:sz w:val="22"/>
          <w:szCs w:val="22"/>
        </w:rPr>
        <w:t xml:space="preserve">576 </w:t>
      </w:r>
      <w:r w:rsidRPr="00E9037E">
        <w:rPr>
          <w:rFonts w:ascii="Times New Roman" w:hAnsi="Times New Roman"/>
          <w:bCs/>
          <w:color w:val="000000"/>
          <w:sz w:val="22"/>
          <w:szCs w:val="22"/>
        </w:rPr>
        <w:t xml:space="preserve">(= </w:t>
      </w:r>
      <w:r w:rsidR="00824F45" w:rsidRPr="00E9037E">
        <w:rPr>
          <w:rFonts w:ascii="Times New Roman" w:hAnsi="Times New Roman"/>
          <w:bCs/>
          <w:color w:val="000000"/>
          <w:sz w:val="22"/>
          <w:szCs w:val="22"/>
        </w:rPr>
        <w:t xml:space="preserve">24 </w:t>
      </w:r>
      <w:r w:rsidRPr="00E9037E">
        <w:rPr>
          <w:rFonts w:ascii="Times New Roman" w:hAnsi="Times New Roman"/>
          <w:bCs/>
          <w:color w:val="000000"/>
          <w:sz w:val="22"/>
          <w:szCs w:val="22"/>
        </w:rPr>
        <w:t xml:space="preserve">X </w:t>
      </w:r>
      <w:r w:rsidR="00824F45" w:rsidRPr="00E9037E">
        <w:rPr>
          <w:rFonts w:ascii="Times New Roman" w:hAnsi="Times New Roman"/>
          <w:bCs/>
          <w:color w:val="000000"/>
          <w:sz w:val="22"/>
          <w:szCs w:val="22"/>
        </w:rPr>
        <w:t>24</w:t>
      </w:r>
      <w:r w:rsidRPr="00E9037E">
        <w:rPr>
          <w:rFonts w:ascii="Times New Roman" w:hAnsi="Times New Roman"/>
          <w:bCs/>
          <w:color w:val="000000"/>
          <w:sz w:val="22"/>
          <w:szCs w:val="22"/>
        </w:rPr>
        <w:t xml:space="preserve">) interviews can be completed for each office over the course of the </w:t>
      </w:r>
      <w:r w:rsidR="00824F45" w:rsidRPr="00E9037E">
        <w:rPr>
          <w:rFonts w:ascii="Times New Roman" w:hAnsi="Times New Roman"/>
          <w:bCs/>
          <w:color w:val="000000"/>
          <w:sz w:val="22"/>
          <w:szCs w:val="22"/>
        </w:rPr>
        <w:t xml:space="preserve">24 </w:t>
      </w:r>
      <w:r w:rsidRPr="00E9037E">
        <w:rPr>
          <w:rFonts w:ascii="Times New Roman" w:hAnsi="Times New Roman"/>
          <w:bCs/>
          <w:color w:val="000000"/>
          <w:sz w:val="22"/>
          <w:szCs w:val="22"/>
        </w:rPr>
        <w:t xml:space="preserve">periods of data collection. The total number of interviews across all offices is therefore estimated to be around </w:t>
      </w:r>
      <w:r w:rsidR="00824F45" w:rsidRPr="00E9037E">
        <w:rPr>
          <w:rFonts w:ascii="Times New Roman" w:hAnsi="Times New Roman"/>
          <w:bCs/>
          <w:color w:val="000000"/>
          <w:sz w:val="22"/>
          <w:szCs w:val="22"/>
        </w:rPr>
        <w:t>6,336</w:t>
      </w:r>
      <w:r w:rsidRPr="00E9037E">
        <w:rPr>
          <w:rFonts w:ascii="Times New Roman" w:hAnsi="Times New Roman"/>
          <w:bCs/>
          <w:color w:val="000000"/>
          <w:sz w:val="22"/>
          <w:szCs w:val="22"/>
        </w:rPr>
        <w:t xml:space="preserve"> (=</w:t>
      </w:r>
      <w:r w:rsidR="00824F45" w:rsidRPr="00E9037E">
        <w:rPr>
          <w:rFonts w:ascii="Times New Roman" w:hAnsi="Times New Roman"/>
          <w:bCs/>
          <w:color w:val="000000"/>
          <w:sz w:val="22"/>
          <w:szCs w:val="22"/>
        </w:rPr>
        <w:t xml:space="preserve">576 </w:t>
      </w:r>
      <w:r w:rsidRPr="00E9037E">
        <w:rPr>
          <w:rFonts w:ascii="Times New Roman" w:hAnsi="Times New Roman"/>
          <w:bCs/>
          <w:color w:val="000000"/>
          <w:sz w:val="22"/>
          <w:szCs w:val="22"/>
        </w:rPr>
        <w:t xml:space="preserve">X 11). </w:t>
      </w:r>
    </w:p>
    <w:p w:rsidR="00CA0732" w:rsidRPr="00E9037E" w:rsidRDefault="00CA0732"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The population parameter of primary interest will be the proportion of customers in specific categories. For example, the “proportion of customers in the population who are satisfied with EBSA overall” or the “proportion of customers who think EBSA is a name they can trust”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likert scale. Customers will also be asked to indicate their level of agreement with statements like “EBSA is a name I can always trust” or “EBSA always delivers on what they promise” on a 5-point scale. The proportion of customers who select one of the top two boxes will provide an estimate of the corresponding population proportion. The sample based estimate (p) of the parameter representing an unknown population proportion (P) can be expressed as:</w:t>
      </w: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E9037E">
        <w:rPr>
          <w:bCs/>
          <w:color w:val="000000"/>
        </w:rPr>
        <w:t xml:space="preserve">p </w:t>
      </w:r>
      <w:r w:rsidR="00DF3358" w:rsidRPr="00E9037E">
        <w:rPr>
          <w:bCs/>
          <w:color w:val="000000"/>
        </w:rPr>
        <w:t>=</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E9037E">
        <w:rPr>
          <w:bCs/>
          <w:color w:val="000000"/>
        </w:rPr>
        <w:t xml:space="preserve">, </w:t>
      </w: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where Yi = 1 if the i</w:t>
      </w:r>
      <w:r w:rsidRPr="00E9037E">
        <w:rPr>
          <w:bCs/>
          <w:color w:val="000000"/>
          <w:sz w:val="22"/>
          <w:szCs w:val="22"/>
          <w:vertAlign w:val="superscript"/>
        </w:rPr>
        <w:t>th</w:t>
      </w:r>
      <w:r w:rsidRPr="00E9037E">
        <w:rPr>
          <w:bCs/>
          <w:color w:val="000000"/>
          <w:sz w:val="22"/>
          <w:szCs w:val="22"/>
        </w:rPr>
        <w:t xml:space="preserve"> sampled respondent belongs to the category of interest (satisfied, for example) and 0 otherwise; W</w:t>
      </w:r>
      <w:r w:rsidRPr="00E9037E">
        <w:rPr>
          <w:bCs/>
          <w:color w:val="000000"/>
          <w:sz w:val="22"/>
          <w:szCs w:val="22"/>
          <w:vertAlign w:val="subscript"/>
        </w:rPr>
        <w:t>i</w:t>
      </w:r>
      <w:r w:rsidRPr="00E9037E">
        <w:rPr>
          <w:bCs/>
          <w:color w:val="000000"/>
          <w:sz w:val="22"/>
          <w:szCs w:val="22"/>
        </w:rPr>
        <w:t xml:space="preserve"> is the sample weight attached to the i</w:t>
      </w:r>
      <w:r w:rsidRPr="00E9037E">
        <w:rPr>
          <w:bCs/>
          <w:color w:val="000000"/>
          <w:sz w:val="22"/>
          <w:szCs w:val="22"/>
          <w:vertAlign w:val="superscript"/>
        </w:rPr>
        <w:t>th</w:t>
      </w:r>
      <w:r w:rsidRPr="00E9037E">
        <w:rPr>
          <w:bCs/>
          <w:color w:val="000000"/>
          <w:sz w:val="22"/>
          <w:szCs w:val="22"/>
        </w:rPr>
        <w:t xml:space="preserve"> respondent and ‘n’ is the number of completed surveys. </w:t>
      </w: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 xml:space="preserve">These parameters (proportions or means) may have to be estimated at the overall EBSA level, for each of the 11 strata (offices) separately and possibly for other domains of interest within each stratum.  </w:t>
      </w:r>
      <w:r w:rsidR="00535AE7" w:rsidRPr="00E9037E">
        <w:rPr>
          <w:bCs/>
          <w:color w:val="000000"/>
          <w:sz w:val="22"/>
          <w:szCs w:val="22"/>
        </w:rPr>
        <w:t xml:space="preserve">For example, it may be of interest to generate </w:t>
      </w:r>
      <w:r w:rsidR="00911C88" w:rsidRPr="00E9037E">
        <w:rPr>
          <w:bCs/>
          <w:color w:val="000000"/>
          <w:sz w:val="22"/>
          <w:szCs w:val="22"/>
        </w:rPr>
        <w:t xml:space="preserve">similar </w:t>
      </w:r>
      <w:r w:rsidR="00535AE7" w:rsidRPr="00E9037E">
        <w:rPr>
          <w:bCs/>
          <w:color w:val="000000"/>
          <w:sz w:val="22"/>
          <w:szCs w:val="22"/>
        </w:rPr>
        <w:t xml:space="preserve">estimates by </w:t>
      </w:r>
      <w:r w:rsidR="009577B3" w:rsidRPr="00E9037E">
        <w:rPr>
          <w:bCs/>
          <w:color w:val="000000"/>
          <w:sz w:val="22"/>
          <w:szCs w:val="22"/>
        </w:rPr>
        <w:t xml:space="preserve">the three </w:t>
      </w:r>
      <w:r w:rsidR="00535AE7" w:rsidRPr="00E9037E">
        <w:rPr>
          <w:bCs/>
          <w:color w:val="000000"/>
          <w:sz w:val="22"/>
          <w:szCs w:val="22"/>
        </w:rPr>
        <w:t xml:space="preserve">Closure </w:t>
      </w:r>
      <w:r w:rsidR="00DF3358" w:rsidRPr="00E9037E">
        <w:rPr>
          <w:bCs/>
          <w:color w:val="000000"/>
          <w:sz w:val="22"/>
          <w:szCs w:val="22"/>
        </w:rPr>
        <w:t>Types:</w:t>
      </w:r>
      <w:r w:rsidR="009577B3" w:rsidRPr="00E9037E">
        <w:rPr>
          <w:bCs/>
          <w:color w:val="000000"/>
          <w:sz w:val="22"/>
          <w:szCs w:val="22"/>
        </w:rPr>
        <w:t xml:space="preserve"> (i) </w:t>
      </w:r>
      <w:r w:rsidR="009577B3" w:rsidRPr="00E9037E">
        <w:rPr>
          <w:bCs/>
          <w:sz w:val="24"/>
        </w:rPr>
        <w:t xml:space="preserve">those who need benefit claim assistance (ii) those who have a valid benefit claim and (iii) those who have an invalid benefit claim. </w:t>
      </w:r>
      <w:r w:rsidR="009577B3" w:rsidRPr="00E9037E">
        <w:rPr>
          <w:bCs/>
          <w:color w:val="000000"/>
          <w:sz w:val="22"/>
          <w:szCs w:val="22"/>
        </w:rPr>
        <w:t xml:space="preserve">The bulk of the calls (about 80 to 90% on an average) will belong to the first </w:t>
      </w:r>
      <w:r w:rsidR="009577B3" w:rsidRPr="00E9037E">
        <w:rPr>
          <w:bCs/>
          <w:color w:val="000000"/>
          <w:sz w:val="22"/>
          <w:szCs w:val="22"/>
        </w:rPr>
        <w:lastRenderedPageBreak/>
        <w:t xml:space="preserve">Closure type (those who need benefit claim assistance) and hence the number of completed surveys within each stratum for this subgroup will be large enough (around 500) to generate estimates of acceptable precision. </w:t>
      </w:r>
      <w:r w:rsidR="00D33BE4" w:rsidRPr="00E9037E">
        <w:rPr>
          <w:bCs/>
          <w:color w:val="000000"/>
          <w:sz w:val="22"/>
          <w:szCs w:val="22"/>
        </w:rPr>
        <w:t xml:space="preserve">Similar estimates for the other two Closure types can also be generated but </w:t>
      </w:r>
      <w:r w:rsidR="009577B3" w:rsidRPr="00E9037E">
        <w:rPr>
          <w:bCs/>
          <w:color w:val="000000"/>
          <w:sz w:val="22"/>
          <w:szCs w:val="22"/>
        </w:rPr>
        <w:t xml:space="preserve">the sample size </w:t>
      </w:r>
      <w:r w:rsidR="00D33BE4" w:rsidRPr="00E9037E">
        <w:rPr>
          <w:bCs/>
          <w:color w:val="000000"/>
          <w:sz w:val="22"/>
          <w:szCs w:val="22"/>
        </w:rPr>
        <w:t xml:space="preserve">within individual offices </w:t>
      </w:r>
      <w:r w:rsidR="009577B3" w:rsidRPr="00E9037E">
        <w:rPr>
          <w:bCs/>
          <w:color w:val="000000"/>
          <w:sz w:val="22"/>
          <w:szCs w:val="22"/>
        </w:rPr>
        <w:t xml:space="preserve">will be </w:t>
      </w:r>
      <w:r w:rsidR="00D33BE4" w:rsidRPr="00E9037E">
        <w:rPr>
          <w:bCs/>
          <w:color w:val="000000"/>
          <w:sz w:val="22"/>
          <w:szCs w:val="22"/>
        </w:rPr>
        <w:t>low</w:t>
      </w:r>
      <w:r w:rsidR="009577B3" w:rsidRPr="00E9037E">
        <w:rPr>
          <w:bCs/>
          <w:color w:val="000000"/>
          <w:sz w:val="22"/>
          <w:szCs w:val="22"/>
        </w:rPr>
        <w:t xml:space="preserve"> and hence the estimates for these two </w:t>
      </w:r>
      <w:r w:rsidR="00D33BE4" w:rsidRPr="00E9037E">
        <w:rPr>
          <w:bCs/>
          <w:color w:val="000000"/>
          <w:sz w:val="22"/>
          <w:szCs w:val="22"/>
        </w:rPr>
        <w:t xml:space="preserve">Closure </w:t>
      </w:r>
      <w:r w:rsidR="009577B3" w:rsidRPr="00E9037E">
        <w:rPr>
          <w:bCs/>
          <w:color w:val="000000"/>
          <w:sz w:val="22"/>
          <w:szCs w:val="22"/>
        </w:rPr>
        <w:t xml:space="preserve">types </w:t>
      </w:r>
      <w:r w:rsidR="00D33BE4" w:rsidRPr="00E9037E">
        <w:rPr>
          <w:bCs/>
          <w:color w:val="000000"/>
          <w:sz w:val="22"/>
          <w:szCs w:val="22"/>
        </w:rPr>
        <w:t>may</w:t>
      </w:r>
      <w:r w:rsidR="009577B3" w:rsidRPr="00E9037E">
        <w:rPr>
          <w:bCs/>
          <w:color w:val="000000"/>
          <w:sz w:val="22"/>
          <w:szCs w:val="22"/>
        </w:rPr>
        <w:t xml:space="preserve"> have to be generated at the o</w:t>
      </w:r>
      <w:r w:rsidR="00D33BE4" w:rsidRPr="00E9037E">
        <w:rPr>
          <w:bCs/>
          <w:color w:val="000000"/>
          <w:sz w:val="22"/>
          <w:szCs w:val="22"/>
        </w:rPr>
        <w:t>verall</w:t>
      </w:r>
      <w:r w:rsidR="009577B3" w:rsidRPr="00E9037E">
        <w:rPr>
          <w:bCs/>
          <w:color w:val="000000"/>
          <w:sz w:val="22"/>
          <w:szCs w:val="22"/>
        </w:rPr>
        <w:t xml:space="preserve"> EBSA </w:t>
      </w:r>
      <w:r w:rsidR="00D33BE4" w:rsidRPr="00E9037E">
        <w:rPr>
          <w:bCs/>
          <w:color w:val="000000"/>
          <w:sz w:val="22"/>
          <w:szCs w:val="22"/>
        </w:rPr>
        <w:t xml:space="preserve">level. </w:t>
      </w:r>
    </w:p>
    <w:p w:rsidR="00CA0732" w:rsidRPr="00E9037E" w:rsidRDefault="00CA0732"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0"/>
        </w:rPr>
      </w:pPr>
      <w:r w:rsidRPr="00E9037E">
        <w:rPr>
          <w:rFonts w:ascii="Times New Roman" w:hAnsi="Times New Roman"/>
          <w:bCs/>
          <w:color w:val="000000"/>
          <w:sz w:val="22"/>
          <w:szCs w:val="22"/>
        </w:rPr>
        <w:t xml:space="preserve"> </w:t>
      </w: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E9037E">
        <w:rPr>
          <w:b/>
          <w:bCs/>
          <w:color w:val="000000"/>
          <w:szCs w:val="21"/>
        </w:rPr>
        <w:t>B.2.</w:t>
      </w:r>
      <w:r w:rsidRPr="00E9037E">
        <w:rPr>
          <w:b/>
          <w:bCs/>
          <w:color w:val="000000"/>
          <w:szCs w:val="21"/>
        </w:rPr>
        <w:tab/>
        <w:t>Describe the procedures for the collection of information including:</w:t>
      </w: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
          <w:bCs/>
          <w:color w:val="000000"/>
          <w:sz w:val="22"/>
          <w:szCs w:val="22"/>
        </w:rPr>
        <w:t xml:space="preserve">•   Statistical methodology for stratification and sample selection – </w:t>
      </w:r>
      <w:r w:rsidRPr="00E9037E">
        <w:rPr>
          <w:bCs/>
          <w:color w:val="000000"/>
          <w:sz w:val="22"/>
          <w:szCs w:val="22"/>
        </w:rPr>
        <w:t xml:space="preserve">The universe of all telephone inquiries will be stratified by the 10 offices such that each office will be a separate stratum. For the OPA office, the universe will consist of all web and mail inquiries. The bi-weekly files to be transmitted from EBSA to the contractor for the purpose of sampling will contain variables necessary to link each inquiry to a particular office. Within each stratum, a simple random sample of specified size will be drawn independently once every two weeks. The initial sample size within each stratum for every two week period will be large enough to yield around </w:t>
      </w:r>
      <w:r w:rsidR="00824F45" w:rsidRPr="00E9037E">
        <w:rPr>
          <w:bCs/>
          <w:color w:val="000000"/>
          <w:sz w:val="22"/>
          <w:szCs w:val="22"/>
        </w:rPr>
        <w:t xml:space="preserve">24 </w:t>
      </w:r>
      <w:r w:rsidRPr="00E9037E">
        <w:rPr>
          <w:bCs/>
          <w:color w:val="000000"/>
          <w:sz w:val="22"/>
          <w:szCs w:val="22"/>
        </w:rPr>
        <w:t xml:space="preserve">completed interviews.  Based on an anticipated response rate of </w:t>
      </w:r>
      <w:r w:rsidR="00824F45" w:rsidRPr="00E9037E">
        <w:rPr>
          <w:bCs/>
          <w:color w:val="000000"/>
          <w:sz w:val="22"/>
          <w:szCs w:val="22"/>
        </w:rPr>
        <w:t>3</w:t>
      </w:r>
      <w:r w:rsidR="006609D1">
        <w:rPr>
          <w:bCs/>
          <w:color w:val="000000"/>
          <w:sz w:val="22"/>
          <w:szCs w:val="22"/>
        </w:rPr>
        <w:t>3.5</w:t>
      </w:r>
      <w:r w:rsidR="00824F45" w:rsidRPr="00E9037E">
        <w:rPr>
          <w:bCs/>
          <w:color w:val="000000"/>
          <w:sz w:val="22"/>
          <w:szCs w:val="22"/>
        </w:rPr>
        <w:t xml:space="preserve"> </w:t>
      </w:r>
      <w:r w:rsidRPr="00E9037E">
        <w:rPr>
          <w:bCs/>
          <w:color w:val="000000"/>
          <w:sz w:val="22"/>
          <w:szCs w:val="22"/>
        </w:rPr>
        <w:t>percent</w:t>
      </w:r>
      <w:r w:rsidR="006609D1">
        <w:rPr>
          <w:bCs/>
          <w:color w:val="000000"/>
          <w:sz w:val="22"/>
          <w:szCs w:val="22"/>
        </w:rPr>
        <w:t xml:space="preserve"> (adjusted for eligibility) and taking into account the expected loss due to ineligibility</w:t>
      </w:r>
      <w:r w:rsidRPr="00E9037E">
        <w:rPr>
          <w:bCs/>
          <w:color w:val="000000"/>
          <w:sz w:val="22"/>
          <w:szCs w:val="22"/>
        </w:rPr>
        <w:t xml:space="preserve">, we will sample about </w:t>
      </w:r>
      <w:r w:rsidR="006609D1">
        <w:rPr>
          <w:bCs/>
          <w:color w:val="000000"/>
          <w:sz w:val="22"/>
          <w:szCs w:val="22"/>
        </w:rPr>
        <w:t>85</w:t>
      </w:r>
      <w:r w:rsidR="006609D1" w:rsidRPr="00E9037E">
        <w:rPr>
          <w:bCs/>
          <w:color w:val="000000"/>
          <w:sz w:val="22"/>
          <w:szCs w:val="22"/>
        </w:rPr>
        <w:t xml:space="preserve"> </w:t>
      </w:r>
      <w:r w:rsidRPr="00E9037E">
        <w:rPr>
          <w:bCs/>
          <w:color w:val="000000"/>
          <w:sz w:val="22"/>
          <w:szCs w:val="22"/>
        </w:rPr>
        <w:t xml:space="preserve">inquiries </w:t>
      </w:r>
      <w:r w:rsidR="006609D1">
        <w:rPr>
          <w:bCs/>
          <w:color w:val="000000"/>
          <w:sz w:val="22"/>
          <w:szCs w:val="22"/>
        </w:rPr>
        <w:t xml:space="preserve">on an average </w:t>
      </w:r>
      <w:r w:rsidRPr="00E9037E">
        <w:rPr>
          <w:bCs/>
          <w:color w:val="000000"/>
          <w:sz w:val="22"/>
          <w:szCs w:val="22"/>
        </w:rPr>
        <w:t xml:space="preserve">for each two week data collection period. That should on an average yield </w:t>
      </w:r>
      <w:r w:rsidR="00824F45" w:rsidRPr="00E9037E">
        <w:rPr>
          <w:bCs/>
          <w:color w:val="000000"/>
          <w:sz w:val="22"/>
          <w:szCs w:val="22"/>
        </w:rPr>
        <w:t xml:space="preserve">24 </w:t>
      </w:r>
      <w:r w:rsidRPr="00E9037E">
        <w:rPr>
          <w:bCs/>
          <w:color w:val="000000"/>
          <w:sz w:val="22"/>
          <w:szCs w:val="22"/>
        </w:rPr>
        <w:t xml:space="preserve">completed surveys. </w:t>
      </w:r>
      <w:r w:rsidR="00824F45" w:rsidRPr="00E9037E">
        <w:rPr>
          <w:bCs/>
          <w:color w:val="000000"/>
          <w:sz w:val="22"/>
          <w:szCs w:val="22"/>
        </w:rPr>
        <w:t>T</w:t>
      </w:r>
      <w:r w:rsidRPr="00E9037E">
        <w:rPr>
          <w:bCs/>
          <w:color w:val="000000"/>
          <w:sz w:val="22"/>
          <w:szCs w:val="22"/>
        </w:rPr>
        <w:t xml:space="preserve">he response rate </w:t>
      </w:r>
      <w:r w:rsidR="00741111">
        <w:rPr>
          <w:bCs/>
          <w:color w:val="000000"/>
          <w:sz w:val="22"/>
          <w:szCs w:val="22"/>
        </w:rPr>
        <w:t xml:space="preserve">may </w:t>
      </w:r>
      <w:r w:rsidR="00824F45" w:rsidRPr="00E9037E">
        <w:rPr>
          <w:bCs/>
          <w:color w:val="000000"/>
          <w:sz w:val="22"/>
          <w:szCs w:val="22"/>
        </w:rPr>
        <w:t xml:space="preserve">actually </w:t>
      </w:r>
      <w:r w:rsidR="00741111">
        <w:rPr>
          <w:bCs/>
          <w:color w:val="000000"/>
          <w:sz w:val="22"/>
          <w:szCs w:val="22"/>
        </w:rPr>
        <w:t>vary</w:t>
      </w:r>
      <w:r w:rsidR="00741111" w:rsidRPr="00E9037E">
        <w:rPr>
          <w:bCs/>
          <w:color w:val="000000"/>
          <w:sz w:val="22"/>
          <w:szCs w:val="22"/>
        </w:rPr>
        <w:t xml:space="preserve"> </w:t>
      </w:r>
      <w:r w:rsidR="00824F45" w:rsidRPr="00E9037E">
        <w:rPr>
          <w:bCs/>
          <w:color w:val="000000"/>
          <w:sz w:val="22"/>
          <w:szCs w:val="22"/>
        </w:rPr>
        <w:t xml:space="preserve">across </w:t>
      </w:r>
      <w:r w:rsidRPr="00E9037E">
        <w:rPr>
          <w:bCs/>
          <w:color w:val="000000"/>
          <w:sz w:val="22"/>
          <w:szCs w:val="22"/>
        </w:rPr>
        <w:t>the data collection period or across different offices</w:t>
      </w:r>
      <w:r w:rsidR="00824F45" w:rsidRPr="00E9037E">
        <w:rPr>
          <w:bCs/>
          <w:color w:val="000000"/>
          <w:sz w:val="22"/>
          <w:szCs w:val="22"/>
        </w:rPr>
        <w:t xml:space="preserve"> and so </w:t>
      </w:r>
      <w:r w:rsidRPr="00E9037E">
        <w:rPr>
          <w:bCs/>
          <w:color w:val="000000"/>
          <w:sz w:val="22"/>
          <w:szCs w:val="22"/>
        </w:rPr>
        <w:t xml:space="preserve">the sample sizes will be </w:t>
      </w:r>
      <w:r w:rsidR="00824F45" w:rsidRPr="00E9037E">
        <w:rPr>
          <w:bCs/>
          <w:color w:val="000000"/>
          <w:sz w:val="22"/>
          <w:szCs w:val="22"/>
        </w:rPr>
        <w:t xml:space="preserve">continuously </w:t>
      </w:r>
      <w:r w:rsidRPr="00E9037E">
        <w:rPr>
          <w:bCs/>
          <w:color w:val="000000"/>
          <w:sz w:val="22"/>
          <w:szCs w:val="22"/>
        </w:rPr>
        <w:t xml:space="preserve">adjusted </w:t>
      </w:r>
      <w:r w:rsidR="00824F45" w:rsidRPr="00E9037E">
        <w:rPr>
          <w:bCs/>
          <w:color w:val="000000"/>
          <w:sz w:val="22"/>
          <w:szCs w:val="22"/>
        </w:rPr>
        <w:t xml:space="preserve">based on observed response rates </w:t>
      </w:r>
      <w:r w:rsidR="00741111">
        <w:rPr>
          <w:bCs/>
          <w:color w:val="000000"/>
          <w:sz w:val="22"/>
          <w:szCs w:val="22"/>
        </w:rPr>
        <w:t xml:space="preserve">at the office level </w:t>
      </w:r>
      <w:r w:rsidRPr="00E9037E">
        <w:rPr>
          <w:bCs/>
          <w:color w:val="000000"/>
          <w:sz w:val="22"/>
          <w:szCs w:val="22"/>
        </w:rPr>
        <w:t xml:space="preserve">to meet the target for the number of completed surveys. </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
          <w:bCs/>
          <w:color w:val="000000"/>
          <w:sz w:val="22"/>
          <w:szCs w:val="22"/>
        </w:rPr>
        <w:t xml:space="preserve">•   Estimation procedure – </w:t>
      </w:r>
      <w:r w:rsidRPr="00E9037E">
        <w:rPr>
          <w:bCs/>
          <w:color w:val="000000"/>
          <w:sz w:val="22"/>
          <w:szCs w:val="22"/>
        </w:rPr>
        <w:t>Sample data will be weighted to generate unbiased estimates for the target population subgroups. Within each stratum, weighting will be carried out to adjust for (i) probability of selection in the sample and (ii) non-response. Once the sampling weights are generated, weighted estimates will be produced for different unknown population parameters (means, proportions etc.) for the target population and also for population subgroups of interest.  For the purpose of illustration, let us assume that we receive a total of 1,</w:t>
      </w:r>
      <w:r w:rsidR="004B7AEA" w:rsidRPr="00E9037E">
        <w:rPr>
          <w:bCs/>
          <w:color w:val="000000"/>
          <w:sz w:val="22"/>
          <w:szCs w:val="22"/>
        </w:rPr>
        <w:t xml:space="preserve">600 </w:t>
      </w:r>
      <w:r w:rsidRPr="00E9037E">
        <w:rPr>
          <w:bCs/>
          <w:color w:val="000000"/>
          <w:sz w:val="22"/>
          <w:szCs w:val="22"/>
        </w:rPr>
        <w:t xml:space="preserve">inquiries in a stratum (or regional office) in a particular two-week period and we select a random sample of size </w:t>
      </w:r>
      <w:r w:rsidR="00824F45" w:rsidRPr="00E9037E">
        <w:rPr>
          <w:bCs/>
          <w:color w:val="000000"/>
          <w:sz w:val="22"/>
          <w:szCs w:val="22"/>
        </w:rPr>
        <w:t xml:space="preserve">80 </w:t>
      </w:r>
      <w:r w:rsidRPr="00E9037E">
        <w:rPr>
          <w:bCs/>
          <w:color w:val="000000"/>
          <w:sz w:val="22"/>
          <w:szCs w:val="22"/>
        </w:rPr>
        <w:t>from those 1,</w:t>
      </w:r>
      <w:r w:rsidR="004B7AEA" w:rsidRPr="00E9037E">
        <w:rPr>
          <w:bCs/>
          <w:color w:val="000000"/>
          <w:sz w:val="22"/>
          <w:szCs w:val="22"/>
        </w:rPr>
        <w:t xml:space="preserve">600 </w:t>
      </w:r>
      <w:r w:rsidRPr="00E9037E">
        <w:rPr>
          <w:bCs/>
          <w:color w:val="000000"/>
          <w:sz w:val="22"/>
          <w:szCs w:val="22"/>
        </w:rPr>
        <w:t xml:space="preserve">inquiries. Also, assume that </w:t>
      </w:r>
      <w:r w:rsidR="00824F45" w:rsidRPr="00E9037E">
        <w:rPr>
          <w:bCs/>
          <w:color w:val="000000"/>
          <w:sz w:val="22"/>
          <w:szCs w:val="22"/>
        </w:rPr>
        <w:t xml:space="preserve">24 </w:t>
      </w:r>
      <w:r w:rsidRPr="00E9037E">
        <w:rPr>
          <w:bCs/>
          <w:color w:val="000000"/>
          <w:sz w:val="22"/>
          <w:szCs w:val="22"/>
        </w:rPr>
        <w:t xml:space="preserve">of those </w:t>
      </w:r>
      <w:r w:rsidR="00824F45" w:rsidRPr="00E9037E">
        <w:rPr>
          <w:bCs/>
          <w:color w:val="000000"/>
          <w:sz w:val="22"/>
          <w:szCs w:val="22"/>
        </w:rPr>
        <w:t>8</w:t>
      </w:r>
      <w:r w:rsidRPr="00E9037E">
        <w:rPr>
          <w:bCs/>
          <w:color w:val="000000"/>
          <w:sz w:val="22"/>
          <w:szCs w:val="22"/>
        </w:rPr>
        <w:t xml:space="preserve">0 sampled cases actually respond i.e. we get </w:t>
      </w:r>
      <w:r w:rsidR="00824F45" w:rsidRPr="00E9037E">
        <w:rPr>
          <w:bCs/>
          <w:color w:val="000000"/>
          <w:sz w:val="22"/>
          <w:szCs w:val="22"/>
        </w:rPr>
        <w:t xml:space="preserve">24 </w:t>
      </w:r>
      <w:r w:rsidRPr="00E9037E">
        <w:rPr>
          <w:bCs/>
          <w:color w:val="000000"/>
          <w:sz w:val="22"/>
          <w:szCs w:val="22"/>
        </w:rPr>
        <w:t xml:space="preserve">completed surveys. The weight assigned to each of those </w:t>
      </w:r>
      <w:r w:rsidR="00824F45" w:rsidRPr="00E9037E">
        <w:rPr>
          <w:bCs/>
          <w:color w:val="000000"/>
          <w:sz w:val="22"/>
          <w:szCs w:val="22"/>
        </w:rPr>
        <w:t xml:space="preserve">24 </w:t>
      </w:r>
      <w:r w:rsidRPr="00E9037E">
        <w:rPr>
          <w:bCs/>
          <w:color w:val="000000"/>
          <w:sz w:val="22"/>
          <w:szCs w:val="22"/>
        </w:rPr>
        <w:t>completed surveys will consist of two weighting factors: (i) selection probability weight (</w:t>
      </w:r>
      <w:r w:rsidR="004B7AEA" w:rsidRPr="00E9037E">
        <w:rPr>
          <w:bCs/>
          <w:color w:val="000000"/>
          <w:sz w:val="22"/>
          <w:szCs w:val="22"/>
        </w:rPr>
        <w:t>1600</w:t>
      </w:r>
      <w:r w:rsidRPr="00E9037E">
        <w:rPr>
          <w:bCs/>
          <w:color w:val="000000"/>
          <w:sz w:val="22"/>
          <w:szCs w:val="22"/>
        </w:rPr>
        <w:t>/</w:t>
      </w:r>
      <w:r w:rsidR="00824F45" w:rsidRPr="00E9037E">
        <w:rPr>
          <w:bCs/>
          <w:color w:val="000000"/>
          <w:sz w:val="22"/>
          <w:szCs w:val="22"/>
        </w:rPr>
        <w:t>80</w:t>
      </w:r>
      <w:r w:rsidRPr="00E9037E">
        <w:rPr>
          <w:bCs/>
          <w:color w:val="000000"/>
          <w:sz w:val="22"/>
          <w:szCs w:val="22"/>
        </w:rPr>
        <w:t>) and (ii) non-response weight (</w:t>
      </w:r>
      <w:r w:rsidR="00824F45" w:rsidRPr="00E9037E">
        <w:rPr>
          <w:bCs/>
          <w:color w:val="000000"/>
          <w:sz w:val="22"/>
          <w:szCs w:val="22"/>
        </w:rPr>
        <w:t>80</w:t>
      </w:r>
      <w:r w:rsidRPr="00E9037E">
        <w:rPr>
          <w:bCs/>
          <w:color w:val="000000"/>
          <w:sz w:val="22"/>
          <w:szCs w:val="22"/>
        </w:rPr>
        <w:t>/</w:t>
      </w:r>
      <w:r w:rsidR="00824F45" w:rsidRPr="00E9037E">
        <w:rPr>
          <w:bCs/>
          <w:color w:val="000000"/>
          <w:sz w:val="22"/>
          <w:szCs w:val="22"/>
        </w:rPr>
        <w:t>24</w:t>
      </w:r>
      <w:r w:rsidRPr="00E9037E">
        <w:rPr>
          <w:bCs/>
          <w:color w:val="000000"/>
          <w:sz w:val="22"/>
          <w:szCs w:val="22"/>
        </w:rPr>
        <w:t xml:space="preserve">).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w:t>
      </w:r>
      <w:r w:rsidR="00824F45" w:rsidRPr="00E9037E">
        <w:rPr>
          <w:bCs/>
          <w:color w:val="000000"/>
          <w:sz w:val="22"/>
          <w:szCs w:val="22"/>
        </w:rPr>
        <w:t xml:space="preserve">24 </w:t>
      </w:r>
      <w:r w:rsidRPr="00E9037E">
        <w:rPr>
          <w:bCs/>
          <w:color w:val="000000"/>
          <w:sz w:val="22"/>
          <w:szCs w:val="22"/>
        </w:rPr>
        <w:t>completed cases will be (1,</w:t>
      </w:r>
      <w:r w:rsidR="004B7AEA" w:rsidRPr="00E9037E">
        <w:rPr>
          <w:bCs/>
          <w:color w:val="000000"/>
          <w:sz w:val="22"/>
          <w:szCs w:val="22"/>
        </w:rPr>
        <w:t>600</w:t>
      </w:r>
      <w:r w:rsidRPr="00E9037E">
        <w:rPr>
          <w:bCs/>
          <w:color w:val="000000"/>
          <w:sz w:val="22"/>
          <w:szCs w:val="22"/>
        </w:rPr>
        <w:t>/</w:t>
      </w:r>
      <w:r w:rsidR="00824F45" w:rsidRPr="00E9037E">
        <w:rPr>
          <w:bCs/>
          <w:color w:val="000000"/>
          <w:sz w:val="22"/>
          <w:szCs w:val="22"/>
        </w:rPr>
        <w:t>80</w:t>
      </w:r>
      <w:r w:rsidRPr="00E9037E">
        <w:rPr>
          <w:bCs/>
          <w:color w:val="000000"/>
          <w:sz w:val="22"/>
          <w:szCs w:val="22"/>
        </w:rPr>
        <w:t>) * (</w:t>
      </w:r>
      <w:r w:rsidR="00824F45" w:rsidRPr="00E9037E">
        <w:rPr>
          <w:bCs/>
          <w:color w:val="000000"/>
          <w:sz w:val="22"/>
          <w:szCs w:val="22"/>
        </w:rPr>
        <w:t>80</w:t>
      </w:r>
      <w:r w:rsidRPr="00E9037E">
        <w:rPr>
          <w:bCs/>
          <w:color w:val="000000"/>
          <w:sz w:val="22"/>
          <w:szCs w:val="22"/>
        </w:rPr>
        <w:t>/</w:t>
      </w:r>
      <w:r w:rsidR="00824F45" w:rsidRPr="00E9037E">
        <w:rPr>
          <w:bCs/>
          <w:color w:val="000000"/>
          <w:sz w:val="22"/>
          <w:szCs w:val="22"/>
        </w:rPr>
        <w:t>24</w:t>
      </w:r>
      <w:r w:rsidRPr="00E9037E">
        <w:rPr>
          <w:bCs/>
          <w:color w:val="000000"/>
          <w:sz w:val="22"/>
          <w:szCs w:val="22"/>
        </w:rPr>
        <w:t>) = 1,</w:t>
      </w:r>
      <w:r w:rsidR="004B7AEA" w:rsidRPr="00E9037E">
        <w:rPr>
          <w:bCs/>
          <w:color w:val="000000"/>
          <w:sz w:val="22"/>
          <w:szCs w:val="22"/>
        </w:rPr>
        <w:t>600</w:t>
      </w:r>
      <w:r w:rsidRPr="00E9037E">
        <w:rPr>
          <w:bCs/>
          <w:color w:val="000000"/>
          <w:sz w:val="22"/>
          <w:szCs w:val="22"/>
        </w:rPr>
        <w:t>/</w:t>
      </w:r>
      <w:r w:rsidR="00824F45" w:rsidRPr="00E9037E">
        <w:rPr>
          <w:bCs/>
          <w:color w:val="000000"/>
          <w:sz w:val="22"/>
          <w:szCs w:val="22"/>
        </w:rPr>
        <w:t>24</w:t>
      </w:r>
      <w:r w:rsidRPr="00E9037E">
        <w:rPr>
          <w:bCs/>
          <w:color w:val="000000"/>
          <w:sz w:val="22"/>
          <w:szCs w:val="22"/>
        </w:rPr>
        <w:t xml:space="preserve">. The sum of the weights of these </w:t>
      </w:r>
      <w:r w:rsidR="00824F45" w:rsidRPr="00E9037E">
        <w:rPr>
          <w:bCs/>
          <w:color w:val="000000"/>
          <w:sz w:val="22"/>
          <w:szCs w:val="22"/>
        </w:rPr>
        <w:t xml:space="preserve">24 </w:t>
      </w:r>
      <w:r w:rsidRPr="00E9037E">
        <w:rPr>
          <w:bCs/>
          <w:color w:val="000000"/>
          <w:sz w:val="22"/>
          <w:szCs w:val="22"/>
        </w:rPr>
        <w:t>cases will add up to 1,</w:t>
      </w:r>
      <w:r w:rsidR="004B7AEA" w:rsidRPr="00E9037E">
        <w:rPr>
          <w:bCs/>
          <w:color w:val="000000"/>
          <w:sz w:val="22"/>
          <w:szCs w:val="22"/>
        </w:rPr>
        <w:t>600</w:t>
      </w:r>
      <w:r w:rsidRPr="00E9037E">
        <w:rPr>
          <w:bCs/>
          <w:color w:val="000000"/>
          <w:sz w:val="22"/>
          <w:szCs w:val="22"/>
        </w:rPr>
        <w:t>, the total number of inquiries for that two-week period.</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CA0732" w:rsidP="0093771A">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 xml:space="preserve">Based on our previous experience in conducting this survey, we do </w:t>
      </w:r>
      <w:r w:rsidR="004B7AEA" w:rsidRPr="00E9037E">
        <w:rPr>
          <w:bCs/>
          <w:color w:val="000000"/>
          <w:sz w:val="22"/>
          <w:szCs w:val="22"/>
        </w:rPr>
        <w:t>expect some</w:t>
      </w:r>
      <w:r w:rsidRPr="00E9037E">
        <w:rPr>
          <w:bCs/>
          <w:color w:val="000000"/>
          <w:sz w:val="22"/>
          <w:szCs w:val="22"/>
        </w:rPr>
        <w:t xml:space="preserve"> “ineligible” cases in the sample.</w:t>
      </w:r>
      <w:r w:rsidR="00F47EC7">
        <w:rPr>
          <w:bCs/>
          <w:color w:val="000000"/>
          <w:sz w:val="22"/>
          <w:szCs w:val="22"/>
        </w:rPr>
        <w:t xml:space="preserve"> </w:t>
      </w:r>
      <w:r w:rsidR="00741111">
        <w:rPr>
          <w:bCs/>
          <w:color w:val="000000"/>
          <w:sz w:val="22"/>
          <w:szCs w:val="22"/>
        </w:rPr>
        <w:t>T</w:t>
      </w:r>
      <w:r w:rsidRPr="00E9037E">
        <w:rPr>
          <w:bCs/>
          <w:color w:val="000000"/>
          <w:sz w:val="22"/>
          <w:szCs w:val="22"/>
        </w:rPr>
        <w:t>he weighting procedure can be easily adjusted to account for ineligible cases</w:t>
      </w:r>
      <w:r w:rsidR="004B7AEA" w:rsidRPr="00E9037E">
        <w:rPr>
          <w:bCs/>
          <w:color w:val="000000"/>
          <w:sz w:val="22"/>
          <w:szCs w:val="22"/>
        </w:rPr>
        <w:t xml:space="preserve">. </w:t>
      </w:r>
      <w:r w:rsidRPr="00E9037E">
        <w:rPr>
          <w:bCs/>
          <w:color w:val="000000"/>
          <w:sz w:val="22"/>
          <w:szCs w:val="22"/>
        </w:rPr>
        <w:t xml:space="preserve"> If, for example, </w:t>
      </w:r>
      <w:r w:rsidR="004B7AEA" w:rsidRPr="00E9037E">
        <w:rPr>
          <w:bCs/>
          <w:color w:val="000000"/>
          <w:sz w:val="22"/>
          <w:szCs w:val="22"/>
        </w:rPr>
        <w:t xml:space="preserve">8 </w:t>
      </w:r>
      <w:r w:rsidRPr="00E9037E">
        <w:rPr>
          <w:bCs/>
          <w:color w:val="000000"/>
          <w:sz w:val="22"/>
          <w:szCs w:val="22"/>
        </w:rPr>
        <w:t xml:space="preserve">out of the </w:t>
      </w:r>
      <w:r w:rsidR="004B7AEA" w:rsidRPr="00E9037E">
        <w:rPr>
          <w:bCs/>
          <w:color w:val="000000"/>
          <w:sz w:val="22"/>
          <w:szCs w:val="22"/>
        </w:rPr>
        <w:t xml:space="preserve">80 </w:t>
      </w:r>
      <w:r w:rsidRPr="00E9037E">
        <w:rPr>
          <w:bCs/>
          <w:color w:val="000000"/>
          <w:sz w:val="22"/>
          <w:szCs w:val="22"/>
        </w:rPr>
        <w:t xml:space="preserve">sampled cases turn out to be ineligible, the non-response weight factor will be equal to </w:t>
      </w:r>
      <w:r w:rsidR="004B7AEA" w:rsidRPr="00E9037E">
        <w:rPr>
          <w:bCs/>
          <w:color w:val="000000"/>
          <w:sz w:val="22"/>
          <w:szCs w:val="22"/>
        </w:rPr>
        <w:t>72</w:t>
      </w:r>
      <w:r w:rsidRPr="00E9037E">
        <w:rPr>
          <w:bCs/>
          <w:color w:val="000000"/>
          <w:sz w:val="22"/>
          <w:szCs w:val="22"/>
        </w:rPr>
        <w:t>/</w:t>
      </w:r>
      <w:r w:rsidR="004B7AEA" w:rsidRPr="00E9037E">
        <w:rPr>
          <w:bCs/>
          <w:color w:val="000000"/>
          <w:sz w:val="22"/>
          <w:szCs w:val="22"/>
        </w:rPr>
        <w:t xml:space="preserve">24 </w:t>
      </w:r>
      <w:r w:rsidRPr="00E9037E">
        <w:rPr>
          <w:bCs/>
          <w:color w:val="000000"/>
          <w:sz w:val="22"/>
          <w:szCs w:val="22"/>
        </w:rPr>
        <w:t xml:space="preserve">and then the final weight assigned to each of the </w:t>
      </w:r>
      <w:r w:rsidR="004B7AEA" w:rsidRPr="00E9037E">
        <w:rPr>
          <w:bCs/>
          <w:color w:val="000000"/>
          <w:sz w:val="22"/>
          <w:szCs w:val="22"/>
        </w:rPr>
        <w:t xml:space="preserve">24 </w:t>
      </w:r>
      <w:r w:rsidRPr="00E9037E">
        <w:rPr>
          <w:bCs/>
          <w:color w:val="000000"/>
          <w:sz w:val="22"/>
          <w:szCs w:val="22"/>
        </w:rPr>
        <w:t>completed surveys will be (</w:t>
      </w:r>
      <w:r w:rsidR="004B7AEA" w:rsidRPr="00E9037E">
        <w:rPr>
          <w:bCs/>
          <w:color w:val="000000"/>
          <w:sz w:val="22"/>
          <w:szCs w:val="22"/>
        </w:rPr>
        <w:t>1600</w:t>
      </w:r>
      <w:r w:rsidRPr="00E9037E">
        <w:rPr>
          <w:bCs/>
          <w:color w:val="000000"/>
          <w:sz w:val="22"/>
          <w:szCs w:val="22"/>
        </w:rPr>
        <w:t>/</w:t>
      </w:r>
      <w:r w:rsidR="004B7AEA" w:rsidRPr="00E9037E">
        <w:rPr>
          <w:bCs/>
          <w:color w:val="000000"/>
          <w:sz w:val="22"/>
          <w:szCs w:val="22"/>
        </w:rPr>
        <w:t>80</w:t>
      </w:r>
      <w:r w:rsidRPr="00E9037E">
        <w:rPr>
          <w:bCs/>
          <w:color w:val="000000"/>
          <w:sz w:val="22"/>
          <w:szCs w:val="22"/>
        </w:rPr>
        <w:t>)*(</w:t>
      </w:r>
      <w:r w:rsidR="004B7AEA" w:rsidRPr="00E9037E">
        <w:rPr>
          <w:bCs/>
          <w:color w:val="000000"/>
          <w:sz w:val="22"/>
          <w:szCs w:val="22"/>
        </w:rPr>
        <w:t>72</w:t>
      </w:r>
      <w:r w:rsidRPr="00E9037E">
        <w:rPr>
          <w:bCs/>
          <w:color w:val="000000"/>
          <w:sz w:val="22"/>
          <w:szCs w:val="22"/>
        </w:rPr>
        <w:t>/</w:t>
      </w:r>
      <w:r w:rsidR="004B7AEA" w:rsidRPr="00E9037E">
        <w:rPr>
          <w:bCs/>
          <w:color w:val="000000"/>
          <w:sz w:val="22"/>
          <w:szCs w:val="22"/>
        </w:rPr>
        <w:t>24</w:t>
      </w:r>
      <w:r w:rsidRPr="00E9037E">
        <w:rPr>
          <w:bCs/>
          <w:color w:val="000000"/>
          <w:sz w:val="22"/>
          <w:szCs w:val="22"/>
        </w:rPr>
        <w:t xml:space="preserve">). The sum of the weights for all </w:t>
      </w:r>
      <w:r w:rsidR="004B7AEA" w:rsidRPr="00E9037E">
        <w:rPr>
          <w:bCs/>
          <w:color w:val="000000"/>
          <w:sz w:val="22"/>
          <w:szCs w:val="22"/>
        </w:rPr>
        <w:t xml:space="preserve">24 </w:t>
      </w:r>
      <w:r w:rsidRPr="00E9037E">
        <w:rPr>
          <w:bCs/>
          <w:color w:val="000000"/>
          <w:sz w:val="22"/>
          <w:szCs w:val="22"/>
        </w:rPr>
        <w:t xml:space="preserve">cases will then equal </w:t>
      </w:r>
      <w:r w:rsidR="004B7AEA" w:rsidRPr="00E9037E">
        <w:rPr>
          <w:bCs/>
          <w:color w:val="000000"/>
          <w:sz w:val="22"/>
          <w:szCs w:val="22"/>
        </w:rPr>
        <w:t>24</w:t>
      </w:r>
      <w:r w:rsidRPr="00E9037E">
        <w:rPr>
          <w:bCs/>
          <w:color w:val="000000"/>
          <w:sz w:val="22"/>
          <w:szCs w:val="22"/>
        </w:rPr>
        <w:t>*(</w:t>
      </w:r>
      <w:r w:rsidR="004B7AEA" w:rsidRPr="00E9037E">
        <w:rPr>
          <w:bCs/>
          <w:color w:val="000000"/>
          <w:sz w:val="22"/>
          <w:szCs w:val="22"/>
        </w:rPr>
        <w:t>1600</w:t>
      </w:r>
      <w:r w:rsidRPr="00E9037E">
        <w:rPr>
          <w:bCs/>
          <w:color w:val="000000"/>
          <w:sz w:val="22"/>
          <w:szCs w:val="22"/>
        </w:rPr>
        <w:t>/</w:t>
      </w:r>
      <w:r w:rsidR="004B7AEA" w:rsidRPr="00E9037E">
        <w:rPr>
          <w:bCs/>
          <w:color w:val="000000"/>
          <w:sz w:val="22"/>
          <w:szCs w:val="22"/>
        </w:rPr>
        <w:t>80</w:t>
      </w:r>
      <w:r w:rsidRPr="00E9037E">
        <w:rPr>
          <w:bCs/>
          <w:color w:val="000000"/>
          <w:sz w:val="22"/>
          <w:szCs w:val="22"/>
        </w:rPr>
        <w:t>)*(</w:t>
      </w:r>
      <w:r w:rsidR="004B7AEA" w:rsidRPr="00E9037E">
        <w:rPr>
          <w:bCs/>
          <w:color w:val="000000"/>
          <w:sz w:val="22"/>
          <w:szCs w:val="22"/>
        </w:rPr>
        <w:t>72</w:t>
      </w:r>
      <w:r w:rsidRPr="00E9037E">
        <w:rPr>
          <w:bCs/>
          <w:color w:val="000000"/>
          <w:sz w:val="22"/>
          <w:szCs w:val="22"/>
        </w:rPr>
        <w:t>/</w:t>
      </w:r>
      <w:r w:rsidR="004B7AEA" w:rsidRPr="00E9037E">
        <w:rPr>
          <w:bCs/>
          <w:color w:val="000000"/>
          <w:sz w:val="22"/>
          <w:szCs w:val="22"/>
        </w:rPr>
        <w:t>24</w:t>
      </w:r>
      <w:r w:rsidRPr="00E9037E">
        <w:rPr>
          <w:bCs/>
          <w:color w:val="000000"/>
          <w:sz w:val="22"/>
          <w:szCs w:val="22"/>
        </w:rPr>
        <w:t xml:space="preserve">) = </w:t>
      </w:r>
      <w:r w:rsidR="004B7AEA" w:rsidRPr="00E9037E">
        <w:rPr>
          <w:bCs/>
          <w:color w:val="000000"/>
          <w:sz w:val="22"/>
          <w:szCs w:val="22"/>
        </w:rPr>
        <w:t>1440</w:t>
      </w:r>
      <w:r w:rsidRPr="00E9037E">
        <w:rPr>
          <w:bCs/>
          <w:color w:val="000000"/>
          <w:sz w:val="22"/>
          <w:szCs w:val="22"/>
        </w:rPr>
        <w:t xml:space="preserve">, the estimated number of eligible cases in the population during that particular data collection period.  </w:t>
      </w:r>
    </w:p>
    <w:p w:rsidR="00CA0732" w:rsidRPr="00E9037E" w:rsidRDefault="00CA0732" w:rsidP="0093771A">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 xml:space="preserve">In terms of mathematical symbols, the weighting steps can be described as follows. Let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E9037E">
        <w:rPr>
          <w:bCs/>
          <w:color w:val="000000"/>
          <w:sz w:val="22"/>
          <w:szCs w:val="22"/>
        </w:rPr>
        <w:t xml:space="preserve"> and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E9037E">
        <w:rPr>
          <w:bCs/>
          <w:color w:val="000000"/>
          <w:sz w:val="22"/>
          <w:szCs w:val="22"/>
        </w:rPr>
        <w:t>denote the population size (total number of cases received) and the corresponding sample size (number of cases sampled) for any</w:t>
      </w:r>
      <w:r w:rsidR="007A213E" w:rsidRPr="00E9037E">
        <w:rPr>
          <w:bCs/>
          <w:color w:val="000000"/>
          <w:sz w:val="22"/>
          <w:szCs w:val="22"/>
        </w:rPr>
        <w:t xml:space="preserve"> </w:t>
      </w:r>
      <w:r w:rsidRPr="00E9037E">
        <w:rPr>
          <w:bCs/>
          <w:color w:val="000000"/>
          <w:sz w:val="22"/>
          <w:szCs w:val="22"/>
        </w:rPr>
        <w:t>particular office i (i=1,2, …,11) and for a specific two-week data collection period j (j=1,2,…,</w:t>
      </w:r>
      <w:r w:rsidR="003F025D" w:rsidRPr="00E9037E">
        <w:rPr>
          <w:bCs/>
          <w:color w:val="000000"/>
          <w:sz w:val="22"/>
          <w:szCs w:val="22"/>
        </w:rPr>
        <w:t>24</w:t>
      </w:r>
      <w:r w:rsidRPr="00E9037E">
        <w:rPr>
          <w:bCs/>
          <w:color w:val="000000"/>
          <w:sz w:val="22"/>
          <w:szCs w:val="22"/>
        </w:rPr>
        <w:t xml:space="preserve">). Also, let </w:t>
      </w:r>
      <m:oMath>
        <m:sSub>
          <m:sSubPr>
            <m:ctrlPr>
              <w:rPr>
                <w:rFonts w:ascii="Cambria Math" w:hAnsi="Cambria Math"/>
                <w:bCs/>
                <w:i/>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ij</m:t>
            </m:r>
          </m:sub>
        </m:sSub>
      </m:oMath>
      <w:r w:rsidRPr="00E9037E">
        <w:rPr>
          <w:bCs/>
          <w:color w:val="000000"/>
          <w:sz w:val="22"/>
          <w:szCs w:val="22"/>
        </w:rPr>
        <w:t xml:space="preserve"> denote the number of responding units in the sample in i</w:t>
      </w:r>
      <w:r w:rsidRPr="00E9037E">
        <w:rPr>
          <w:bCs/>
          <w:color w:val="000000"/>
          <w:sz w:val="22"/>
          <w:szCs w:val="22"/>
          <w:vertAlign w:val="superscript"/>
        </w:rPr>
        <w:t>th</w:t>
      </w:r>
      <w:r w:rsidRPr="00E9037E">
        <w:rPr>
          <w:bCs/>
          <w:color w:val="000000"/>
          <w:sz w:val="22"/>
          <w:szCs w:val="22"/>
        </w:rPr>
        <w:t xml:space="preserve"> office and j</w:t>
      </w:r>
      <w:r w:rsidRPr="00E9037E">
        <w:rPr>
          <w:bCs/>
          <w:color w:val="000000"/>
          <w:sz w:val="22"/>
          <w:szCs w:val="22"/>
          <w:vertAlign w:val="superscript"/>
        </w:rPr>
        <w:t>th</w:t>
      </w:r>
      <w:r w:rsidRPr="00E9037E">
        <w:rPr>
          <w:bCs/>
          <w:color w:val="000000"/>
          <w:sz w:val="22"/>
          <w:szCs w:val="22"/>
        </w:rPr>
        <w:t xml:space="preserve"> data collection period. Then, the base-weight or the probability weight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1ijk</m:t>
            </m:r>
          </m:sub>
        </m:sSub>
      </m:oMath>
      <w:r w:rsidRPr="00E9037E">
        <w:rPr>
          <w:bCs/>
          <w:color w:val="000000"/>
          <w:sz w:val="22"/>
          <w:szCs w:val="22"/>
        </w:rPr>
        <w:t>) assigned to k</w:t>
      </w:r>
      <w:r w:rsidRPr="00E9037E">
        <w:rPr>
          <w:bCs/>
          <w:color w:val="000000"/>
          <w:sz w:val="22"/>
          <w:szCs w:val="22"/>
          <w:vertAlign w:val="superscript"/>
        </w:rPr>
        <w:t>th</w:t>
      </w:r>
      <w:r w:rsidRPr="00E9037E">
        <w:rPr>
          <w:bCs/>
          <w:color w:val="000000"/>
          <w:sz w:val="22"/>
          <w:szCs w:val="22"/>
        </w:rPr>
        <w:t xml:space="preserve"> sampled unit (k=1, 2, …,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E9037E">
        <w:rPr>
          <w:bCs/>
          <w:color w:val="000000"/>
          <w:sz w:val="22"/>
          <w:szCs w:val="22"/>
        </w:rPr>
        <w:t>) will be derived as:</w:t>
      </w: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2944D5"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00CA0732" w:rsidRPr="00E9037E">
        <w:rPr>
          <w:bCs/>
          <w:color w:val="000000"/>
        </w:rPr>
        <w:t xml:space="preserve">= </w:t>
      </w:r>
      <w:r w:rsidR="00CA0732" w:rsidRPr="00E9037E">
        <w:rPr>
          <w:i/>
          <w:color w:val="000000"/>
          <w:sz w:val="24"/>
        </w:rPr>
        <w:t>N</w:t>
      </w:r>
      <w:r w:rsidR="00CA0732" w:rsidRPr="00E9037E">
        <w:rPr>
          <w:i/>
          <w:color w:val="000000"/>
          <w:position w:val="-6"/>
          <w:sz w:val="24"/>
        </w:rPr>
        <w:t>ij</w:t>
      </w:r>
      <w:r w:rsidR="00CA0732" w:rsidRPr="00E9037E">
        <w:rPr>
          <w:i/>
          <w:color w:val="000000"/>
          <w:sz w:val="24"/>
        </w:rPr>
        <w:t>/n</w:t>
      </w:r>
      <w:r w:rsidR="00CA0732" w:rsidRPr="00E9037E">
        <w:rPr>
          <w:i/>
          <w:color w:val="000000"/>
          <w:position w:val="-6"/>
          <w:sz w:val="24"/>
        </w:rPr>
        <w:t>ij</w:t>
      </w:r>
      <w:r w:rsidR="00CA0732" w:rsidRPr="00E9037E">
        <w:rPr>
          <w:bCs/>
          <w:color w:val="000000"/>
        </w:rPr>
        <w:t xml:space="preserve">… (1)   </w:t>
      </w:r>
    </w:p>
    <w:p w:rsidR="00CA0732" w:rsidRPr="00E9037E"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E9037E"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At the next step, the non-response adjustment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2ijk</m:t>
            </m:r>
          </m:sub>
        </m:sSub>
        <m:r>
          <w:rPr>
            <w:rFonts w:ascii="Cambria Math" w:hAnsi="Cambria Math"/>
            <w:color w:val="000000"/>
            <w:sz w:val="22"/>
            <w:szCs w:val="22"/>
          </w:rPr>
          <m:t>)</m:t>
        </m:r>
      </m:oMath>
      <w:r w:rsidRPr="00E9037E">
        <w:rPr>
          <w:bCs/>
          <w:color w:val="000000"/>
          <w:sz w:val="22"/>
          <w:szCs w:val="22"/>
        </w:rPr>
        <w:t xml:space="preserve"> will be derived as:</w:t>
      </w:r>
    </w:p>
    <w:p w:rsidR="00CA0732" w:rsidRPr="00E9037E"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E9037E" w:rsidRDefault="002944D5"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00CA0732" w:rsidRPr="00E9037E">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00CA0732" w:rsidRPr="00E9037E">
        <w:rPr>
          <w:bCs/>
          <w:color w:val="000000"/>
        </w:rPr>
        <w:t xml:space="preserve"> … (2)  </w:t>
      </w:r>
    </w:p>
    <w:p w:rsidR="00CA0732" w:rsidRPr="00E9037E"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rsidR="00CA0732" w:rsidRPr="00E9037E"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if the k</w:t>
      </w:r>
      <w:r w:rsidRPr="00E9037E">
        <w:rPr>
          <w:bCs/>
          <w:color w:val="000000"/>
          <w:sz w:val="22"/>
          <w:szCs w:val="22"/>
          <w:vertAlign w:val="superscript"/>
        </w:rPr>
        <w:t>th</w:t>
      </w:r>
      <w:r w:rsidRPr="00E9037E">
        <w:rPr>
          <w:bCs/>
          <w:color w:val="000000"/>
          <w:sz w:val="22"/>
          <w:szCs w:val="22"/>
        </w:rPr>
        <w:t xml:space="preserve"> unit (k=1, 2, …, n</w:t>
      </w:r>
      <w:r w:rsidRPr="00E9037E">
        <w:rPr>
          <w:bCs/>
          <w:color w:val="000000"/>
          <w:sz w:val="22"/>
          <w:szCs w:val="22"/>
          <w:vertAlign w:val="subscript"/>
        </w:rPr>
        <w:t>ij</w:t>
      </w:r>
      <w:r w:rsidRPr="00E9037E">
        <w:rPr>
          <w:bCs/>
          <w:color w:val="000000"/>
          <w:sz w:val="22"/>
          <w:szCs w:val="22"/>
        </w:rPr>
        <w:t>) is a responding unit and 0 otherwise;</w:t>
      </w: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e</w:t>
      </w:r>
      <w:r w:rsidRPr="00E9037E">
        <w:rPr>
          <w:bCs/>
          <w:color w:val="000000"/>
          <w:sz w:val="22"/>
          <w:szCs w:val="22"/>
          <w:vertAlign w:val="subscript"/>
        </w:rPr>
        <w:t>ijm</w:t>
      </w:r>
      <w:r w:rsidRPr="00E9037E">
        <w:rPr>
          <w:bCs/>
          <w:color w:val="000000"/>
          <w:sz w:val="22"/>
          <w:szCs w:val="22"/>
        </w:rPr>
        <w:t xml:space="preserve"> = 1 if the m</w:t>
      </w:r>
      <w:r w:rsidRPr="00E9037E">
        <w:rPr>
          <w:bCs/>
          <w:color w:val="000000"/>
          <w:sz w:val="22"/>
          <w:szCs w:val="22"/>
          <w:vertAlign w:val="superscript"/>
        </w:rPr>
        <w:t>th</w:t>
      </w:r>
      <w:r w:rsidRPr="00E9037E">
        <w:rPr>
          <w:bCs/>
          <w:color w:val="000000"/>
          <w:sz w:val="22"/>
          <w:szCs w:val="22"/>
        </w:rPr>
        <w:t xml:space="preserve"> unit in the sample is eligible and 0 otherwise; d</w:t>
      </w:r>
      <w:r w:rsidRPr="00E9037E">
        <w:rPr>
          <w:bCs/>
          <w:color w:val="000000"/>
          <w:sz w:val="22"/>
          <w:szCs w:val="22"/>
          <w:vertAlign w:val="subscript"/>
        </w:rPr>
        <w:t>ijm</w:t>
      </w:r>
      <w:r w:rsidRPr="00E9037E">
        <w:rPr>
          <w:bCs/>
          <w:color w:val="000000"/>
          <w:sz w:val="22"/>
          <w:szCs w:val="22"/>
        </w:rPr>
        <w:t xml:space="preserve"> = 1 if the m</w:t>
      </w:r>
      <w:r w:rsidRPr="00E9037E">
        <w:rPr>
          <w:bCs/>
          <w:color w:val="000000"/>
          <w:sz w:val="22"/>
          <w:szCs w:val="22"/>
          <w:vertAlign w:val="superscript"/>
        </w:rPr>
        <w:t>th</w:t>
      </w:r>
      <w:r w:rsidRPr="00E9037E">
        <w:rPr>
          <w:bCs/>
          <w:color w:val="000000"/>
          <w:sz w:val="22"/>
          <w:szCs w:val="22"/>
        </w:rPr>
        <w:t xml:space="preserve"> unit is eligible and responds to the survey and 0 otherwise.</w:t>
      </w: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 xml:space="preserve">In the right hand side of equation (2) above, note that the summation in the numerator is over all sampled eligible cases whereas the summation in the denominator is over all selected eligible persons who actually respond to the survey.  </w:t>
      </w: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E9037E">
        <w:rPr>
          <w:bCs/>
          <w:color w:val="000000"/>
          <w:sz w:val="22"/>
          <w:szCs w:val="22"/>
        </w:rPr>
        <w:t>The final weight (W</w:t>
      </w:r>
      <w:r w:rsidRPr="00E9037E">
        <w:rPr>
          <w:bCs/>
          <w:color w:val="000000"/>
          <w:sz w:val="22"/>
          <w:szCs w:val="22"/>
          <w:vertAlign w:val="subscript"/>
        </w:rPr>
        <w:t>ijl</w:t>
      </w:r>
      <w:r w:rsidRPr="00E9037E">
        <w:rPr>
          <w:bCs/>
          <w:color w:val="000000"/>
          <w:sz w:val="22"/>
          <w:szCs w:val="22"/>
        </w:rPr>
        <w:t>) assigned to all r</w:t>
      </w:r>
      <w:r w:rsidRPr="00E9037E">
        <w:rPr>
          <w:bCs/>
          <w:color w:val="000000"/>
          <w:sz w:val="22"/>
          <w:szCs w:val="22"/>
          <w:vertAlign w:val="subscript"/>
        </w:rPr>
        <w:t>ij</w:t>
      </w:r>
      <w:r w:rsidRPr="00E9037E">
        <w:rPr>
          <w:bCs/>
          <w:color w:val="000000"/>
          <w:sz w:val="22"/>
          <w:szCs w:val="22"/>
        </w:rPr>
        <w:t xml:space="preserve"> responding units (in i</w:t>
      </w:r>
      <w:r w:rsidRPr="00E9037E">
        <w:rPr>
          <w:bCs/>
          <w:color w:val="000000"/>
          <w:sz w:val="22"/>
          <w:szCs w:val="22"/>
          <w:vertAlign w:val="superscript"/>
        </w:rPr>
        <w:t>th</w:t>
      </w:r>
      <w:r w:rsidRPr="00E9037E">
        <w:rPr>
          <w:bCs/>
          <w:color w:val="000000"/>
          <w:sz w:val="22"/>
          <w:szCs w:val="22"/>
        </w:rPr>
        <w:t xml:space="preserve"> office in j</w:t>
      </w:r>
      <w:r w:rsidRPr="00E9037E">
        <w:rPr>
          <w:bCs/>
          <w:color w:val="000000"/>
          <w:sz w:val="22"/>
          <w:szCs w:val="22"/>
          <w:vertAlign w:val="superscript"/>
        </w:rPr>
        <w:t>th</w:t>
      </w:r>
      <w:r w:rsidRPr="00E9037E">
        <w:rPr>
          <w:bCs/>
          <w:color w:val="000000"/>
          <w:sz w:val="22"/>
          <w:szCs w:val="22"/>
        </w:rPr>
        <w:t xml:space="preserve"> data collection period) will be the product of the two weighting factors</w:t>
      </w:r>
      <w:r w:rsidRPr="00E9037E">
        <w:rPr>
          <w:bCs/>
          <w:color w:val="000000"/>
        </w:rPr>
        <w:t>:</w:t>
      </w: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E9037E" w:rsidRDefault="002944D5"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00DF3358" w:rsidRPr="00E9037E">
        <w:rPr>
          <w:bCs/>
          <w:color w:val="000000"/>
        </w:rPr>
        <w:t>… (</w:t>
      </w:r>
      <w:r w:rsidR="00CA0732" w:rsidRPr="00E9037E">
        <w:rPr>
          <w:bCs/>
          <w:color w:val="000000"/>
        </w:rPr>
        <w:t>3)   (l = 1, 2, …, r</w:t>
      </w:r>
      <w:r w:rsidR="00CA0732" w:rsidRPr="00E9037E">
        <w:rPr>
          <w:bCs/>
          <w:color w:val="000000"/>
          <w:vertAlign w:val="subscript"/>
        </w:rPr>
        <w:t>ij</w:t>
      </w:r>
      <w:r w:rsidR="00CA0732" w:rsidRPr="00E9037E">
        <w:rPr>
          <w:bCs/>
          <w:color w:val="000000"/>
        </w:rPr>
        <w:t xml:space="preserve">). </w:t>
      </w:r>
    </w:p>
    <w:p w:rsidR="00CA0732" w:rsidRPr="00E9037E"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176EB9"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 xml:space="preserve">The simple random samples drawn during each data collection period within each office are likely to include proportional representation of cases (inquiries) by </w:t>
      </w:r>
      <w:r w:rsidR="003D7E9C" w:rsidRPr="00E9037E">
        <w:rPr>
          <w:bCs/>
          <w:color w:val="000000"/>
          <w:sz w:val="22"/>
          <w:szCs w:val="22"/>
        </w:rPr>
        <w:t>Closure</w:t>
      </w:r>
      <w:r w:rsidR="007F7A78" w:rsidRPr="00E9037E">
        <w:rPr>
          <w:bCs/>
          <w:color w:val="000000"/>
          <w:sz w:val="22"/>
          <w:szCs w:val="22"/>
        </w:rPr>
        <w:t xml:space="preserve"> </w:t>
      </w:r>
      <w:r w:rsidRPr="00E9037E">
        <w:rPr>
          <w:bCs/>
          <w:color w:val="000000"/>
          <w:sz w:val="22"/>
          <w:szCs w:val="22"/>
        </w:rPr>
        <w:t>type</w:t>
      </w:r>
      <w:r w:rsidR="003D7E9C" w:rsidRPr="00E9037E">
        <w:rPr>
          <w:bCs/>
          <w:color w:val="000000"/>
          <w:sz w:val="22"/>
          <w:szCs w:val="22"/>
        </w:rPr>
        <w:t>s</w:t>
      </w:r>
      <w:r w:rsidRPr="00E9037E">
        <w:rPr>
          <w:bCs/>
          <w:color w:val="000000"/>
          <w:sz w:val="22"/>
          <w:szCs w:val="22"/>
        </w:rPr>
        <w:t xml:space="preserve"> (</w:t>
      </w:r>
      <w:r w:rsidR="00CB248D" w:rsidRPr="00E9037E">
        <w:rPr>
          <w:bCs/>
          <w:color w:val="000000"/>
          <w:sz w:val="22"/>
          <w:szCs w:val="22"/>
        </w:rPr>
        <w:t>t</w:t>
      </w:r>
      <w:r w:rsidR="007F7A78" w:rsidRPr="00E9037E">
        <w:rPr>
          <w:bCs/>
          <w:color w:val="000000"/>
          <w:sz w:val="22"/>
          <w:szCs w:val="22"/>
        </w:rPr>
        <w:t xml:space="preserve">hose who need </w:t>
      </w:r>
      <w:r w:rsidR="00112DB5" w:rsidRPr="00E9037E">
        <w:rPr>
          <w:bCs/>
          <w:color w:val="000000"/>
          <w:sz w:val="22"/>
          <w:szCs w:val="22"/>
        </w:rPr>
        <w:t>b</w:t>
      </w:r>
      <w:r w:rsidRPr="00E9037E">
        <w:rPr>
          <w:bCs/>
          <w:color w:val="000000"/>
          <w:sz w:val="22"/>
          <w:szCs w:val="22"/>
        </w:rPr>
        <w:t>enefit claim-</w:t>
      </w:r>
      <w:r w:rsidRPr="00E9037E">
        <w:rPr>
          <w:bCs/>
          <w:color w:val="000000"/>
          <w:sz w:val="22"/>
          <w:szCs w:val="22"/>
        </w:rPr>
        <w:lastRenderedPageBreak/>
        <w:t xml:space="preserve">assistance, </w:t>
      </w:r>
      <w:r w:rsidR="007F7A78" w:rsidRPr="00E9037E">
        <w:rPr>
          <w:bCs/>
          <w:color w:val="000000"/>
          <w:sz w:val="22"/>
          <w:szCs w:val="22"/>
        </w:rPr>
        <w:t xml:space="preserve">those who have a valid </w:t>
      </w:r>
      <w:r w:rsidR="00112DB5" w:rsidRPr="00E9037E">
        <w:rPr>
          <w:bCs/>
          <w:color w:val="000000"/>
          <w:sz w:val="22"/>
          <w:szCs w:val="22"/>
        </w:rPr>
        <w:t>b</w:t>
      </w:r>
      <w:r w:rsidRPr="00E9037E">
        <w:rPr>
          <w:bCs/>
          <w:color w:val="000000"/>
          <w:sz w:val="22"/>
          <w:szCs w:val="22"/>
        </w:rPr>
        <w:t xml:space="preserve">enefit </w:t>
      </w:r>
      <w:r w:rsidR="00112DB5" w:rsidRPr="00E9037E">
        <w:rPr>
          <w:bCs/>
          <w:color w:val="000000"/>
          <w:sz w:val="22"/>
          <w:szCs w:val="22"/>
        </w:rPr>
        <w:t>c</w:t>
      </w:r>
      <w:r w:rsidR="00DF3358" w:rsidRPr="00E9037E">
        <w:rPr>
          <w:bCs/>
          <w:color w:val="000000"/>
          <w:sz w:val="22"/>
          <w:szCs w:val="22"/>
        </w:rPr>
        <w:t>laim,</w:t>
      </w:r>
      <w:r w:rsidRPr="00E9037E">
        <w:rPr>
          <w:bCs/>
          <w:color w:val="000000"/>
          <w:sz w:val="22"/>
          <w:szCs w:val="22"/>
        </w:rPr>
        <w:t xml:space="preserve"> </w:t>
      </w:r>
      <w:r w:rsidR="007F7A78" w:rsidRPr="00E9037E">
        <w:rPr>
          <w:bCs/>
          <w:color w:val="000000"/>
          <w:sz w:val="22"/>
          <w:szCs w:val="22"/>
        </w:rPr>
        <w:t xml:space="preserve">and those who have an invalid </w:t>
      </w:r>
      <w:r w:rsidR="00112DB5" w:rsidRPr="00E9037E">
        <w:rPr>
          <w:bCs/>
          <w:color w:val="000000"/>
          <w:sz w:val="22"/>
          <w:szCs w:val="22"/>
        </w:rPr>
        <w:t>b</w:t>
      </w:r>
      <w:r w:rsidRPr="00E9037E">
        <w:rPr>
          <w:bCs/>
          <w:color w:val="000000"/>
          <w:sz w:val="22"/>
          <w:szCs w:val="22"/>
        </w:rPr>
        <w:t xml:space="preserve">enefit </w:t>
      </w:r>
      <w:r w:rsidR="00112DB5" w:rsidRPr="00E9037E">
        <w:rPr>
          <w:bCs/>
          <w:color w:val="000000"/>
          <w:sz w:val="22"/>
          <w:szCs w:val="22"/>
        </w:rPr>
        <w:t>c</w:t>
      </w:r>
      <w:r w:rsidRPr="00E9037E">
        <w:rPr>
          <w:bCs/>
          <w:color w:val="000000"/>
          <w:sz w:val="22"/>
          <w:szCs w:val="22"/>
        </w:rPr>
        <w:t>laim</w:t>
      </w:r>
      <w:r w:rsidR="00DF3358" w:rsidRPr="00E9037E">
        <w:rPr>
          <w:bCs/>
          <w:color w:val="000000"/>
          <w:sz w:val="22"/>
          <w:szCs w:val="22"/>
        </w:rPr>
        <w:t>)</w:t>
      </w:r>
      <w:r w:rsidR="00270B86" w:rsidRPr="00E9037E">
        <w:rPr>
          <w:bCs/>
          <w:color w:val="000000"/>
          <w:sz w:val="22"/>
          <w:szCs w:val="22"/>
        </w:rPr>
        <w:t>.</w:t>
      </w:r>
      <w:r w:rsidR="00DF3358" w:rsidRPr="00E9037E">
        <w:rPr>
          <w:bCs/>
          <w:color w:val="000000"/>
          <w:sz w:val="22"/>
          <w:szCs w:val="22"/>
        </w:rPr>
        <w:t xml:space="preserve"> </w:t>
      </w:r>
      <w:r w:rsidR="003F025D" w:rsidRPr="00E9037E">
        <w:rPr>
          <w:bCs/>
          <w:color w:val="000000"/>
          <w:sz w:val="22"/>
          <w:szCs w:val="22"/>
        </w:rPr>
        <w:t>C</w:t>
      </w:r>
      <w:r w:rsidR="001577DD" w:rsidRPr="00E9037E">
        <w:rPr>
          <w:bCs/>
          <w:color w:val="000000"/>
          <w:sz w:val="22"/>
          <w:szCs w:val="22"/>
        </w:rPr>
        <w:t xml:space="preserve">onstruction of </w:t>
      </w:r>
      <w:r w:rsidR="007F7A78" w:rsidRPr="00E9037E">
        <w:rPr>
          <w:bCs/>
          <w:color w:val="000000"/>
          <w:sz w:val="22"/>
          <w:szCs w:val="22"/>
        </w:rPr>
        <w:t xml:space="preserve">non-response adjustment cells based on </w:t>
      </w:r>
      <w:r w:rsidR="001D39A9" w:rsidRPr="00E9037E">
        <w:rPr>
          <w:bCs/>
          <w:color w:val="000000"/>
          <w:sz w:val="22"/>
          <w:szCs w:val="22"/>
        </w:rPr>
        <w:t>Closure</w:t>
      </w:r>
      <w:r w:rsidR="007F7A78" w:rsidRPr="00E9037E">
        <w:rPr>
          <w:bCs/>
          <w:color w:val="000000"/>
          <w:sz w:val="22"/>
          <w:szCs w:val="22"/>
        </w:rPr>
        <w:t xml:space="preserve"> type</w:t>
      </w:r>
      <w:r w:rsidR="001577DD" w:rsidRPr="00E9037E">
        <w:rPr>
          <w:bCs/>
          <w:color w:val="000000"/>
          <w:sz w:val="22"/>
          <w:szCs w:val="22"/>
        </w:rPr>
        <w:t>s may be considered</w:t>
      </w:r>
      <w:r w:rsidR="001D39A9" w:rsidRPr="00E9037E">
        <w:rPr>
          <w:bCs/>
          <w:color w:val="000000"/>
          <w:sz w:val="22"/>
          <w:szCs w:val="22"/>
        </w:rPr>
        <w:t xml:space="preserve">. However, for most strata (offices), the bulk of the calls </w:t>
      </w:r>
      <w:r w:rsidR="009663BB" w:rsidRPr="00E9037E">
        <w:rPr>
          <w:bCs/>
          <w:color w:val="000000"/>
          <w:sz w:val="22"/>
          <w:szCs w:val="22"/>
        </w:rPr>
        <w:t xml:space="preserve">(80 to 90%) </w:t>
      </w:r>
      <w:r w:rsidR="001D39A9" w:rsidRPr="00E9037E">
        <w:rPr>
          <w:bCs/>
          <w:color w:val="000000"/>
          <w:sz w:val="22"/>
          <w:szCs w:val="22"/>
        </w:rPr>
        <w:t xml:space="preserve">are likely to belong to the first Closure type category (those who need </w:t>
      </w:r>
      <w:r w:rsidR="00112DB5" w:rsidRPr="00E9037E">
        <w:rPr>
          <w:bCs/>
          <w:color w:val="000000"/>
          <w:sz w:val="22"/>
          <w:szCs w:val="22"/>
        </w:rPr>
        <w:t>b</w:t>
      </w:r>
      <w:r w:rsidR="001D39A9" w:rsidRPr="00E9037E">
        <w:rPr>
          <w:bCs/>
          <w:color w:val="000000"/>
          <w:sz w:val="22"/>
          <w:szCs w:val="22"/>
        </w:rPr>
        <w:t xml:space="preserve">enefit </w:t>
      </w:r>
      <w:r w:rsidR="00112DB5" w:rsidRPr="00E9037E">
        <w:rPr>
          <w:bCs/>
          <w:color w:val="000000"/>
          <w:sz w:val="22"/>
          <w:szCs w:val="22"/>
        </w:rPr>
        <w:t>c</w:t>
      </w:r>
      <w:r w:rsidR="001D39A9" w:rsidRPr="00E9037E">
        <w:rPr>
          <w:bCs/>
          <w:color w:val="000000"/>
          <w:sz w:val="22"/>
          <w:szCs w:val="22"/>
        </w:rPr>
        <w:t xml:space="preserve">laim </w:t>
      </w:r>
      <w:r w:rsidR="00112DB5" w:rsidRPr="00E9037E">
        <w:rPr>
          <w:bCs/>
          <w:color w:val="000000"/>
          <w:sz w:val="22"/>
          <w:szCs w:val="22"/>
        </w:rPr>
        <w:t>a</w:t>
      </w:r>
      <w:r w:rsidR="001D39A9" w:rsidRPr="00E9037E">
        <w:rPr>
          <w:bCs/>
          <w:color w:val="000000"/>
          <w:sz w:val="22"/>
          <w:szCs w:val="22"/>
        </w:rPr>
        <w:t xml:space="preserve">ssistance) only and </w:t>
      </w:r>
      <w:r w:rsidR="00DF3358" w:rsidRPr="00E9037E">
        <w:rPr>
          <w:bCs/>
          <w:color w:val="000000"/>
          <w:sz w:val="22"/>
          <w:szCs w:val="22"/>
        </w:rPr>
        <w:t>the number</w:t>
      </w:r>
      <w:r w:rsidR="001D39A9" w:rsidRPr="00E9037E">
        <w:rPr>
          <w:bCs/>
          <w:color w:val="000000"/>
          <w:sz w:val="22"/>
          <w:szCs w:val="22"/>
        </w:rPr>
        <w:t xml:space="preserve"> of calls belonging to the other two types </w:t>
      </w:r>
      <w:r w:rsidR="009663BB" w:rsidRPr="00E9037E">
        <w:rPr>
          <w:bCs/>
          <w:color w:val="000000"/>
          <w:sz w:val="22"/>
          <w:szCs w:val="22"/>
        </w:rPr>
        <w:t xml:space="preserve">(valid and invalid) </w:t>
      </w:r>
      <w:r w:rsidR="001D39A9" w:rsidRPr="00E9037E">
        <w:rPr>
          <w:bCs/>
          <w:color w:val="000000"/>
          <w:sz w:val="22"/>
          <w:szCs w:val="22"/>
        </w:rPr>
        <w:t xml:space="preserve">will be small. </w:t>
      </w:r>
      <w:r w:rsidR="00176EB9" w:rsidRPr="00E9037E">
        <w:rPr>
          <w:bCs/>
          <w:color w:val="000000"/>
          <w:sz w:val="22"/>
          <w:szCs w:val="22"/>
        </w:rPr>
        <w:t xml:space="preserve">Collapsing of non-response adjustment cells, therefore, will be necessary. We anticipate using rules based on the (i) size of the cell and (ii) value of the non-response adjustment factor. For this study, given that bulk of the calls will belong to the first category only, we anticipate using </w:t>
      </w:r>
      <w:r w:rsidR="009663BB" w:rsidRPr="00E9037E">
        <w:rPr>
          <w:bCs/>
          <w:color w:val="000000"/>
          <w:sz w:val="22"/>
          <w:szCs w:val="22"/>
        </w:rPr>
        <w:t>the entire stratum as the non-response adjustment cell</w:t>
      </w:r>
      <w:r w:rsidR="00176EB9" w:rsidRPr="00E9037E">
        <w:rPr>
          <w:bCs/>
          <w:color w:val="000000"/>
          <w:sz w:val="22"/>
          <w:szCs w:val="22"/>
        </w:rPr>
        <w:t xml:space="preserve"> for most strata</w:t>
      </w:r>
      <w:r w:rsidR="009663BB" w:rsidRPr="00E9037E">
        <w:rPr>
          <w:bCs/>
          <w:color w:val="000000"/>
          <w:sz w:val="22"/>
          <w:szCs w:val="22"/>
        </w:rPr>
        <w:t xml:space="preserve">. In some strata, it may be possible to use two cells (those who need benefit claim assistance and Others). </w:t>
      </w:r>
      <w:r w:rsidRPr="00E9037E">
        <w:rPr>
          <w:bCs/>
          <w:color w:val="000000"/>
          <w:sz w:val="22"/>
          <w:szCs w:val="22"/>
        </w:rPr>
        <w:t>The non-response weighting adjustment procedure within each of these non-response adjustment cells will be the same as described above.</w:t>
      </w:r>
      <w:r w:rsidR="007F7A78" w:rsidRPr="00E9037E">
        <w:rPr>
          <w:bCs/>
          <w:color w:val="000000"/>
          <w:sz w:val="22"/>
          <w:szCs w:val="22"/>
        </w:rPr>
        <w:t xml:space="preserve"> </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
          <w:bCs/>
          <w:color w:val="000000"/>
          <w:sz w:val="22"/>
          <w:szCs w:val="22"/>
        </w:rPr>
        <w:t xml:space="preserve">•   Degree of accuracy needed for the purpose described in the justification – </w:t>
      </w:r>
      <w:r w:rsidRPr="00E9037E">
        <w:rPr>
          <w:bCs/>
          <w:color w:val="000000"/>
          <w:sz w:val="22"/>
          <w:szCs w:val="22"/>
        </w:rPr>
        <w:t xml:space="preserve">For each stratum (office), the total number of completed interviews over the </w:t>
      </w:r>
      <w:r w:rsidR="00AB2EC7" w:rsidRPr="00E9037E">
        <w:rPr>
          <w:bCs/>
          <w:color w:val="000000"/>
          <w:sz w:val="22"/>
          <w:szCs w:val="22"/>
        </w:rPr>
        <w:t xml:space="preserve">24 </w:t>
      </w:r>
      <w:r w:rsidRPr="00E9037E">
        <w:rPr>
          <w:bCs/>
          <w:color w:val="000000"/>
          <w:sz w:val="22"/>
          <w:szCs w:val="22"/>
        </w:rPr>
        <w:t xml:space="preserve">data collection periods will be around 576. For estimation of any unknown population proportion (P), for example, this will result in a margin of error of 4 percent at the 95% level of significance ignoring any design effect.  The margin of error (MOE) for estimating the unknown population proportion ‘P’ at the 95% confidence level can be derived based on the following formula:   </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MOE = 1.96 *</w:t>
      </w:r>
      <m:oMath>
        <m:rad>
          <m:radPr>
            <m:degHide m:val="1"/>
            <m:ctrlPr>
              <w:rPr>
                <w:rFonts w:ascii="Cambria Math" w:hAnsi="Cambria Math"/>
                <w:bCs/>
                <w:i/>
                <w:color w:val="000000"/>
                <w:sz w:val="22"/>
                <w:szCs w:val="22"/>
              </w:rPr>
            </m:ctrlPr>
          </m:radPr>
          <m:deg/>
          <m:e>
            <m:r>
              <w:rPr>
                <w:rFonts w:ascii="Cambria Math" w:hAnsi="Cambria Math"/>
                <w:color w:val="000000"/>
                <w:sz w:val="22"/>
                <w:szCs w:val="22"/>
              </w:rPr>
              <m:t>P*(1-P)/n</m:t>
            </m:r>
          </m:e>
        </m:rad>
      </m:oMath>
      <w:r w:rsidRPr="00E9037E">
        <w:rPr>
          <w:bCs/>
          <w:color w:val="000000"/>
          <w:sz w:val="22"/>
          <w:szCs w:val="22"/>
        </w:rPr>
        <w:t xml:space="preserve">  where ‘n’ is the sample size</w:t>
      </w:r>
      <w:r w:rsidR="005335DE" w:rsidRPr="00E9037E">
        <w:rPr>
          <w:bCs/>
          <w:color w:val="000000"/>
          <w:sz w:val="22"/>
          <w:szCs w:val="22"/>
        </w:rPr>
        <w:t xml:space="preserve"> (i.e. the number of completed surveys)</w:t>
      </w:r>
      <w:r w:rsidRPr="00E9037E">
        <w:rPr>
          <w:bCs/>
          <w:color w:val="000000"/>
          <w:sz w:val="22"/>
          <w:szCs w:val="22"/>
        </w:rPr>
        <w:t xml:space="preserve">. </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Cs/>
          <w:color w:val="000000"/>
          <w:sz w:val="22"/>
          <w:szCs w:val="22"/>
        </w:rPr>
        <w:t>Under the most conservative assumption (P=0.5), the MOE for a sample size of 576 will be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.25/576</m:t>
            </m:r>
          </m:e>
        </m:rad>
        <m:r>
          <w:rPr>
            <w:rFonts w:ascii="Cambria Math" w:hAnsi="Cambria Math"/>
            <w:color w:val="000000"/>
            <w:sz w:val="22"/>
            <w:szCs w:val="22"/>
          </w:rPr>
          <m:t xml:space="preserve"> </m:t>
        </m:r>
      </m:oMath>
      <w:r w:rsidRPr="00E9037E">
        <w:rPr>
          <w:bCs/>
          <w:color w:val="000000"/>
          <w:sz w:val="22"/>
          <w:szCs w:val="22"/>
        </w:rPr>
        <w:t xml:space="preserve">= 4.08%. </w:t>
      </w:r>
      <w:r w:rsidR="00833D16" w:rsidRPr="00E9037E">
        <w:rPr>
          <w:bCs/>
          <w:color w:val="000000"/>
          <w:sz w:val="22"/>
          <w:szCs w:val="22"/>
        </w:rPr>
        <w:t xml:space="preserve">Based on the past data, the average design effect within each stratum is </w:t>
      </w:r>
      <w:r w:rsidR="006308F0" w:rsidRPr="00E9037E">
        <w:rPr>
          <w:bCs/>
          <w:color w:val="000000"/>
          <w:sz w:val="22"/>
          <w:szCs w:val="22"/>
        </w:rPr>
        <w:t xml:space="preserve">not </w:t>
      </w:r>
      <w:r w:rsidR="00833D16" w:rsidRPr="00E9037E">
        <w:rPr>
          <w:bCs/>
          <w:color w:val="000000"/>
          <w:sz w:val="22"/>
          <w:szCs w:val="22"/>
        </w:rPr>
        <w:t xml:space="preserve">expected to </w:t>
      </w:r>
      <w:r w:rsidR="006308F0" w:rsidRPr="00E9037E">
        <w:rPr>
          <w:bCs/>
          <w:color w:val="000000"/>
          <w:sz w:val="22"/>
          <w:szCs w:val="22"/>
        </w:rPr>
        <w:t>exceed</w:t>
      </w:r>
      <w:r w:rsidR="00833D16" w:rsidRPr="00E9037E">
        <w:rPr>
          <w:bCs/>
          <w:color w:val="000000"/>
          <w:sz w:val="22"/>
          <w:szCs w:val="22"/>
        </w:rPr>
        <w:t xml:space="preserve"> 1.</w:t>
      </w:r>
      <w:r w:rsidR="006308F0" w:rsidRPr="00E9037E">
        <w:rPr>
          <w:bCs/>
          <w:color w:val="000000"/>
          <w:sz w:val="22"/>
          <w:szCs w:val="22"/>
        </w:rPr>
        <w:t xml:space="preserve">2 </w:t>
      </w:r>
      <w:r w:rsidR="00833D16" w:rsidRPr="00E9037E">
        <w:rPr>
          <w:bCs/>
          <w:color w:val="000000"/>
          <w:sz w:val="22"/>
          <w:szCs w:val="22"/>
        </w:rPr>
        <w:t xml:space="preserve">and hence the sampling error is likely to be in 4% to 5% range for estimates at the individual office level. </w:t>
      </w:r>
      <w:r w:rsidRPr="00E9037E">
        <w:rPr>
          <w:bCs/>
          <w:color w:val="000000"/>
          <w:sz w:val="22"/>
          <w:szCs w:val="22"/>
        </w:rPr>
        <w:t xml:space="preserve">It may be noted that, for any given office, the allocation of sample across all </w:t>
      </w:r>
      <w:r w:rsidR="00AB2EC7" w:rsidRPr="00E9037E">
        <w:rPr>
          <w:bCs/>
          <w:color w:val="000000"/>
          <w:sz w:val="22"/>
          <w:szCs w:val="22"/>
        </w:rPr>
        <w:t xml:space="preserve">24 </w:t>
      </w:r>
      <w:r w:rsidRPr="00E9037E">
        <w:rPr>
          <w:bCs/>
          <w:color w:val="000000"/>
          <w:sz w:val="22"/>
          <w:szCs w:val="22"/>
        </w:rPr>
        <w:t xml:space="preserve">data collection periods is not strictly proportional because a fixed number of </w:t>
      </w:r>
      <w:r w:rsidR="001725B0" w:rsidRPr="00E9037E">
        <w:rPr>
          <w:bCs/>
          <w:color w:val="000000"/>
          <w:sz w:val="22"/>
          <w:szCs w:val="22"/>
        </w:rPr>
        <w:t xml:space="preserve">completed </w:t>
      </w:r>
      <w:r w:rsidRPr="00E9037E">
        <w:rPr>
          <w:bCs/>
          <w:color w:val="000000"/>
          <w:sz w:val="22"/>
          <w:szCs w:val="22"/>
        </w:rPr>
        <w:t>surveys (</w:t>
      </w:r>
      <w:r w:rsidR="00AB2EC7" w:rsidRPr="00E9037E">
        <w:rPr>
          <w:bCs/>
          <w:color w:val="000000"/>
          <w:sz w:val="22"/>
          <w:szCs w:val="22"/>
        </w:rPr>
        <w:t>24</w:t>
      </w:r>
      <w:r w:rsidRPr="00E9037E">
        <w:rPr>
          <w:bCs/>
          <w:color w:val="000000"/>
          <w:sz w:val="22"/>
          <w:szCs w:val="22"/>
        </w:rPr>
        <w:t>) will be targeted in each two-week period. However, for the same office, the total number of cases (inquiries) is not expected to vary significantly over time and hence its impact on design effect for estimates based on data for several data collection periods should be minimal.</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365D52" w:rsidRDefault="00CA0732" w:rsidP="008A4A49">
      <w:pPr>
        <w:autoSpaceDE w:val="0"/>
        <w:autoSpaceDN w:val="0"/>
        <w:adjustRightInd w:val="0"/>
        <w:rPr>
          <w:bCs/>
          <w:color w:val="000000"/>
          <w:sz w:val="22"/>
          <w:szCs w:val="22"/>
        </w:rPr>
      </w:pPr>
      <w:r w:rsidRPr="00E9037E">
        <w:rPr>
          <w:bCs/>
          <w:color w:val="000000"/>
          <w:sz w:val="22"/>
          <w:szCs w:val="22"/>
        </w:rPr>
        <w:t>At the overall agency level, the total sample size will be around 6,336 and hence the MOE is expected to be around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.25/6336</m:t>
            </m:r>
          </m:e>
        </m:rad>
      </m:oMath>
      <w:r w:rsidRPr="00E9037E">
        <w:rPr>
          <w:bCs/>
          <w:color w:val="000000"/>
          <w:sz w:val="22"/>
          <w:szCs w:val="22"/>
        </w:rPr>
        <w:t xml:space="preserve">= 1.2% under the assumption of no design effect. However, at the agency level, the disproportional sample allocation across different offices will contribute to the design effect. </w:t>
      </w:r>
      <w:r w:rsidR="00365D52">
        <w:rPr>
          <w:bCs/>
          <w:color w:val="000000"/>
          <w:sz w:val="22"/>
          <w:szCs w:val="22"/>
        </w:rPr>
        <w:t>T</w:t>
      </w:r>
      <w:r w:rsidR="00365D52">
        <w:t xml:space="preserve">he design effect was defined formally by Kish (1965) , Section 8.2, p. 258) as “the ratio of the actual variance of a sample to the variance of a simple random sample of the same number of elements.” </w:t>
      </w:r>
      <w:r w:rsidRPr="00E9037E">
        <w:rPr>
          <w:bCs/>
          <w:color w:val="000000"/>
          <w:sz w:val="22"/>
          <w:szCs w:val="22"/>
        </w:rPr>
        <w:t xml:space="preserve">Based on </w:t>
      </w:r>
      <w:r w:rsidR="00365D52">
        <w:rPr>
          <w:bCs/>
          <w:color w:val="000000"/>
          <w:sz w:val="22"/>
          <w:szCs w:val="22"/>
        </w:rPr>
        <w:t xml:space="preserve">Kish’s </w:t>
      </w:r>
      <w:r w:rsidRPr="00E9037E">
        <w:rPr>
          <w:bCs/>
          <w:color w:val="000000"/>
          <w:sz w:val="22"/>
          <w:szCs w:val="22"/>
        </w:rPr>
        <w:t>approximate formula</w:t>
      </w:r>
    </w:p>
    <w:p w:rsidR="00365D52" w:rsidRDefault="00365D52" w:rsidP="008A4A49">
      <w:pPr>
        <w:autoSpaceDE w:val="0"/>
        <w:autoSpaceDN w:val="0"/>
        <w:adjustRightInd w:val="0"/>
        <w:rPr>
          <w:bCs/>
          <w:color w:val="000000"/>
          <w:sz w:val="22"/>
          <w:szCs w:val="22"/>
        </w:rPr>
      </w:pPr>
    </w:p>
    <w:p w:rsidR="00365D52" w:rsidRDefault="00CA0732" w:rsidP="008A4A49">
      <w:pPr>
        <w:autoSpaceDE w:val="0"/>
        <w:autoSpaceDN w:val="0"/>
        <w:adjustRightInd w:val="0"/>
        <w:rPr>
          <w:bCs/>
          <w:color w:val="000000"/>
          <w:sz w:val="22"/>
          <w:szCs w:val="22"/>
        </w:rPr>
      </w:pPr>
      <w:r w:rsidRPr="00E9037E">
        <w:rPr>
          <w:bCs/>
          <w:color w:val="000000"/>
          <w:sz w:val="22"/>
          <w:szCs w:val="22"/>
        </w:rPr>
        <w:lastRenderedPageBreak/>
        <w:t>{design effect= (sample size)*(sum of squared weights)</w:t>
      </w:r>
      <w:r w:rsidR="00DF3358" w:rsidRPr="00E9037E">
        <w:rPr>
          <w:bCs/>
          <w:color w:val="000000"/>
          <w:sz w:val="22"/>
          <w:szCs w:val="22"/>
        </w:rPr>
        <w:t>/ (</w:t>
      </w:r>
      <w:r w:rsidRPr="00E9037E">
        <w:rPr>
          <w:bCs/>
          <w:color w:val="000000"/>
          <w:sz w:val="22"/>
          <w:szCs w:val="22"/>
        </w:rPr>
        <w:t xml:space="preserve">square of the sum of weights)}, </w:t>
      </w:r>
    </w:p>
    <w:p w:rsidR="00CA0732" w:rsidRDefault="00CA0732" w:rsidP="008A4A49">
      <w:pPr>
        <w:autoSpaceDE w:val="0"/>
        <w:autoSpaceDN w:val="0"/>
        <w:adjustRightInd w:val="0"/>
        <w:rPr>
          <w:bCs/>
          <w:color w:val="000000"/>
          <w:sz w:val="22"/>
          <w:szCs w:val="22"/>
        </w:rPr>
      </w:pPr>
      <w:r w:rsidRPr="00E9037E">
        <w:rPr>
          <w:bCs/>
          <w:color w:val="000000"/>
          <w:sz w:val="22"/>
          <w:szCs w:val="22"/>
        </w:rPr>
        <w:t>the design effect at the overall agency level</w:t>
      </w:r>
      <w:r w:rsidR="00833D16" w:rsidRPr="00E9037E">
        <w:rPr>
          <w:bCs/>
          <w:color w:val="000000"/>
          <w:sz w:val="22"/>
          <w:szCs w:val="22"/>
        </w:rPr>
        <w:t xml:space="preserve"> based on past data</w:t>
      </w:r>
      <w:r w:rsidRPr="00E9037E">
        <w:rPr>
          <w:bCs/>
          <w:color w:val="000000"/>
          <w:sz w:val="22"/>
          <w:szCs w:val="22"/>
        </w:rPr>
        <w:t xml:space="preserve"> is </w:t>
      </w:r>
      <w:r w:rsidR="006308F0" w:rsidRPr="00E9037E">
        <w:rPr>
          <w:bCs/>
          <w:color w:val="000000"/>
          <w:sz w:val="22"/>
          <w:szCs w:val="22"/>
        </w:rPr>
        <w:t xml:space="preserve">expected to be around </w:t>
      </w:r>
      <w:r w:rsidR="00365D52">
        <w:rPr>
          <w:bCs/>
          <w:color w:val="000000"/>
          <w:sz w:val="22"/>
          <w:szCs w:val="22"/>
        </w:rPr>
        <w:t>1.72</w:t>
      </w:r>
      <w:r w:rsidRPr="00E9037E">
        <w:rPr>
          <w:bCs/>
          <w:color w:val="000000"/>
          <w:sz w:val="22"/>
          <w:szCs w:val="22"/>
        </w:rPr>
        <w:t>. After accounting for a</w:t>
      </w:r>
      <w:r w:rsidR="00365D52">
        <w:rPr>
          <w:bCs/>
          <w:color w:val="000000"/>
          <w:sz w:val="22"/>
          <w:szCs w:val="22"/>
        </w:rPr>
        <w:t xml:space="preserve">n expected </w:t>
      </w:r>
      <w:r w:rsidRPr="00E9037E">
        <w:rPr>
          <w:bCs/>
          <w:color w:val="000000"/>
          <w:sz w:val="22"/>
          <w:szCs w:val="22"/>
        </w:rPr>
        <w:t xml:space="preserve"> estimate of design effect equal to 1.</w:t>
      </w:r>
      <w:r w:rsidR="00365D52">
        <w:rPr>
          <w:bCs/>
          <w:color w:val="000000"/>
          <w:sz w:val="22"/>
          <w:szCs w:val="22"/>
        </w:rPr>
        <w:t>72</w:t>
      </w:r>
      <w:r w:rsidRPr="00E9037E">
        <w:rPr>
          <w:bCs/>
          <w:color w:val="000000"/>
          <w:sz w:val="22"/>
          <w:szCs w:val="22"/>
        </w:rPr>
        <w:t>, the margin of error for estimates of population proportions at the overall agency level based on a sample size of 6</w:t>
      </w:r>
      <w:r w:rsidR="00B62B0D" w:rsidRPr="00E9037E">
        <w:rPr>
          <w:bCs/>
          <w:color w:val="000000"/>
          <w:sz w:val="22"/>
          <w:szCs w:val="22"/>
        </w:rPr>
        <w:t>,</w:t>
      </w:r>
      <w:r w:rsidRPr="00E9037E">
        <w:rPr>
          <w:bCs/>
          <w:color w:val="000000"/>
          <w:sz w:val="22"/>
          <w:szCs w:val="22"/>
        </w:rPr>
        <w:t>336 will be about 1</w:t>
      </w:r>
      <w:r w:rsidR="00DA16A9" w:rsidRPr="00E9037E">
        <w:rPr>
          <w:bCs/>
          <w:color w:val="000000"/>
          <w:sz w:val="22"/>
          <w:szCs w:val="22"/>
        </w:rPr>
        <w:t>.</w:t>
      </w:r>
      <w:r w:rsidR="00365D52">
        <w:rPr>
          <w:bCs/>
          <w:color w:val="000000"/>
          <w:sz w:val="22"/>
          <w:szCs w:val="22"/>
        </w:rPr>
        <w:t>6</w:t>
      </w:r>
      <w:r w:rsidRPr="00E9037E">
        <w:rPr>
          <w:bCs/>
          <w:color w:val="000000"/>
          <w:sz w:val="22"/>
          <w:szCs w:val="22"/>
        </w:rPr>
        <w:t xml:space="preserve">%. </w:t>
      </w:r>
    </w:p>
    <w:p w:rsidR="00136E3C" w:rsidRDefault="00136E3C" w:rsidP="008A4A49">
      <w:pPr>
        <w:autoSpaceDE w:val="0"/>
        <w:autoSpaceDN w:val="0"/>
        <w:adjustRightInd w:val="0"/>
        <w:rPr>
          <w:bCs/>
          <w:color w:val="000000"/>
          <w:sz w:val="22"/>
          <w:szCs w:val="22"/>
        </w:rPr>
      </w:pPr>
    </w:p>
    <w:p w:rsidR="00AB5309" w:rsidRDefault="00136E3C" w:rsidP="00AB5309">
      <w:r>
        <w:rPr>
          <w:bCs/>
          <w:color w:val="000000"/>
          <w:sz w:val="22"/>
          <w:szCs w:val="22"/>
        </w:rPr>
        <w:t xml:space="preserve">The sample size across all offices </w:t>
      </w:r>
      <w:r w:rsidR="00C0456E">
        <w:rPr>
          <w:bCs/>
          <w:color w:val="000000"/>
          <w:sz w:val="22"/>
          <w:szCs w:val="22"/>
        </w:rPr>
        <w:t>within</w:t>
      </w:r>
      <w:r>
        <w:rPr>
          <w:bCs/>
          <w:color w:val="000000"/>
          <w:sz w:val="22"/>
          <w:szCs w:val="22"/>
        </w:rPr>
        <w:t xml:space="preserve"> a quarter will be 6336/4=1584. For testing of hypotheses </w:t>
      </w:r>
      <w:r w:rsidR="00C0456E">
        <w:rPr>
          <w:bCs/>
          <w:color w:val="000000"/>
          <w:sz w:val="22"/>
          <w:szCs w:val="22"/>
        </w:rPr>
        <w:t>for the difference in proportions between quarters</w:t>
      </w:r>
      <w:r>
        <w:rPr>
          <w:bCs/>
          <w:color w:val="000000"/>
          <w:sz w:val="22"/>
          <w:szCs w:val="22"/>
        </w:rPr>
        <w:t>, a</w:t>
      </w:r>
      <w:r w:rsidR="00C0456E">
        <w:rPr>
          <w:bCs/>
          <w:color w:val="000000"/>
          <w:sz w:val="22"/>
          <w:szCs w:val="22"/>
        </w:rPr>
        <w:t xml:space="preserve"> difference of 5% in proportions (minimal detectable effect) </w:t>
      </w:r>
      <w:r>
        <w:rPr>
          <w:bCs/>
          <w:color w:val="000000"/>
          <w:sz w:val="22"/>
          <w:szCs w:val="22"/>
        </w:rPr>
        <w:t xml:space="preserve">can be detected </w:t>
      </w:r>
      <w:r w:rsidR="00C0456E">
        <w:rPr>
          <w:bCs/>
          <w:color w:val="000000"/>
          <w:sz w:val="22"/>
          <w:szCs w:val="22"/>
        </w:rPr>
        <w:t xml:space="preserve">based on this sample size </w:t>
      </w:r>
      <w:r>
        <w:rPr>
          <w:bCs/>
          <w:color w:val="000000"/>
          <w:sz w:val="22"/>
          <w:szCs w:val="22"/>
        </w:rPr>
        <w:t>with α</w:t>
      </w:r>
      <w:r w:rsidR="00C0456E">
        <w:rPr>
          <w:bCs/>
          <w:color w:val="000000"/>
          <w:sz w:val="22"/>
          <w:szCs w:val="22"/>
        </w:rPr>
        <w:t xml:space="preserve">=0.05 and 80 percent power ignoring design effect when the proportion is about 50% in one quarter and 45 percent, for example, in another. Under the assumption of a design effect of 1.72, the minimal detectable effect size based on quarterly sample will be around 6.5% when the proportion is about 50% in one quarter and 43.5 percent, for example, in another. </w:t>
      </w:r>
      <w:r w:rsidR="00AB5309">
        <w:t>The formulas for two-sample proportion test are:</w:t>
      </w:r>
    </w:p>
    <w:p w:rsidR="00AB5309" w:rsidRDefault="00AB5309" w:rsidP="00AB5309"/>
    <w:p w:rsidR="00AB5309" w:rsidRDefault="00AB5309" w:rsidP="00AB5309">
      <w:pPr>
        <w:jc w:val="center"/>
      </w:pPr>
      <w:r>
        <w:rPr>
          <w:position w:val="-30"/>
        </w:rPr>
        <w:object w:dxaOrig="37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39pt" o:ole="">
            <v:imagedata r:id="rId9" o:title=""/>
          </v:shape>
          <o:OLEObject Type="Embed" ProgID="Equation.3" ShapeID="_x0000_i1025" DrawAspect="Content" ObjectID="_1436179378" r:id="rId10"/>
        </w:object>
      </w:r>
      <w:r>
        <w:t xml:space="preserve">              [1-tailed test]</w:t>
      </w:r>
    </w:p>
    <w:p w:rsidR="00AB5309" w:rsidRDefault="00AB5309" w:rsidP="00AB5309">
      <w:pPr>
        <w:jc w:val="center"/>
      </w:pPr>
    </w:p>
    <w:p w:rsidR="00AB5309" w:rsidRDefault="00AB5309" w:rsidP="00AB5309">
      <w:pPr>
        <w:jc w:val="center"/>
      </w:pPr>
      <w:r>
        <w:rPr>
          <w:position w:val="-30"/>
        </w:rPr>
        <w:object w:dxaOrig="3920" w:dyaOrig="780">
          <v:shape id="_x0000_i1026" type="#_x0000_t75" style="width:197pt;height:39pt" o:ole="">
            <v:imagedata r:id="rId11" o:title=""/>
          </v:shape>
          <o:OLEObject Type="Embed" ProgID="Equation.3" ShapeID="_x0000_i1026" DrawAspect="Content" ObjectID="_1436179379" r:id="rId12"/>
        </w:object>
      </w:r>
      <w:r>
        <w:t xml:space="preserve">             [2-tailed test]</w:t>
      </w:r>
    </w:p>
    <w:p w:rsidR="00AB5309" w:rsidRDefault="00AB5309" w:rsidP="00AB5309">
      <w:pPr>
        <w:jc w:val="center"/>
      </w:pPr>
    </w:p>
    <w:p w:rsidR="00AB5309" w:rsidRDefault="00AB5309" w:rsidP="00AB5309">
      <w:r>
        <w:t>In these expressions,</w:t>
      </w:r>
    </w:p>
    <w:p w:rsidR="00AB5309" w:rsidRDefault="00AB5309" w:rsidP="00AB5309"/>
    <w:p w:rsidR="00AB5309" w:rsidRDefault="00AB5309" w:rsidP="00AB5309">
      <w:pPr>
        <w:tabs>
          <w:tab w:val="num" w:pos="720"/>
          <w:tab w:val="num" w:pos="1080"/>
        </w:tabs>
        <w:ind w:left="720"/>
      </w:pPr>
      <w:r>
        <w:rPr>
          <w:position w:val="-6"/>
        </w:rPr>
        <w:object w:dxaOrig="200" w:dyaOrig="220">
          <v:shape id="_x0000_i1027" type="#_x0000_t75" style="width:11pt;height:11pt" o:ole="" o:bullet="t">
            <v:imagedata r:id="rId13" o:title=""/>
          </v:shape>
          <o:OLEObject Type="Embed" ProgID="Equation.3" ShapeID="_x0000_i1027" DrawAspect="Content" ObjectID="_1436179380" r:id="rId14"/>
        </w:object>
      </w:r>
      <w:r>
        <w:t xml:space="preserve"> is the sample size required to achieve the desired statistical power; </w:t>
      </w:r>
    </w:p>
    <w:p w:rsidR="00AB5309" w:rsidRDefault="00AB5309" w:rsidP="00AB5309">
      <w:pPr>
        <w:tabs>
          <w:tab w:val="num" w:pos="1080"/>
        </w:tabs>
        <w:ind w:left="720"/>
      </w:pPr>
      <w:r>
        <w:rPr>
          <w:position w:val="-14"/>
        </w:rPr>
        <w:object w:dxaOrig="1579" w:dyaOrig="380">
          <v:shape id="_x0000_i1028" type="#_x0000_t75" style="width:79pt;height:19pt" o:ole="">
            <v:imagedata r:id="rId15" o:title=""/>
          </v:shape>
          <o:OLEObject Type="Embed" ProgID="Equation.3" ShapeID="_x0000_i1028" DrawAspect="Content" ObjectID="_1436179381" r:id="rId16"/>
        </w:object>
      </w:r>
      <w:r>
        <w:t>are the normal abscissas that correspond to the respective probabilities;</w:t>
      </w:r>
    </w:p>
    <w:p w:rsidR="00AB5309" w:rsidRDefault="00AB5309" w:rsidP="00AB5309">
      <w:pPr>
        <w:tabs>
          <w:tab w:val="num" w:pos="1080"/>
        </w:tabs>
        <w:ind w:left="720"/>
      </w:pPr>
      <w:r>
        <w:rPr>
          <w:position w:val="-12"/>
        </w:rPr>
        <w:object w:dxaOrig="620" w:dyaOrig="360">
          <v:shape id="_x0000_i1029" type="#_x0000_t75" style="width:31pt;height:18pt" o:ole="">
            <v:imagedata r:id="rId17" o:title=""/>
          </v:shape>
          <o:OLEObject Type="Embed" ProgID="Equation.3" ShapeID="_x0000_i1029" DrawAspect="Content" ObjectID="_1436179382" r:id="rId18"/>
        </w:object>
      </w:r>
      <w:r>
        <w:t xml:space="preserve"> are the null and alternative hypothesis in the one-sample test;</w:t>
      </w:r>
    </w:p>
    <w:p w:rsidR="00AB5309" w:rsidRDefault="00AB5309" w:rsidP="00AB5309">
      <w:pPr>
        <w:tabs>
          <w:tab w:val="num" w:pos="1080"/>
          <w:tab w:val="num" w:pos="1440"/>
        </w:tabs>
      </w:pPr>
      <w:r>
        <w:t xml:space="preserve">            </w:t>
      </w:r>
      <w:r>
        <w:rPr>
          <w:position w:val="-10"/>
        </w:rPr>
        <w:object w:dxaOrig="660" w:dyaOrig="340">
          <v:shape id="_x0000_i1030" type="#_x0000_t75" style="width:33pt;height:17pt" o:ole="" o:bullet="t">
            <v:imagedata r:id="rId19" o:title=""/>
          </v:shape>
          <o:OLEObject Type="Embed" ProgID="Equation.3" ShapeID="_x0000_i1030" DrawAspect="Content" ObjectID="_1436179383" r:id="rId20"/>
        </w:object>
      </w:r>
      <w:r>
        <w:tab/>
        <w:t>are the two proportions in the two-sample test;</w:t>
      </w:r>
    </w:p>
    <w:p w:rsidR="00AB5309" w:rsidRDefault="00AB5309" w:rsidP="00AB5309">
      <w:pPr>
        <w:tabs>
          <w:tab w:val="num" w:pos="1080"/>
          <w:tab w:val="num" w:pos="1440"/>
        </w:tabs>
      </w:pPr>
      <w:r>
        <w:t xml:space="preserve">            </w:t>
      </w:r>
      <w:r>
        <w:rPr>
          <w:position w:val="-10"/>
        </w:rPr>
        <w:object w:dxaOrig="240" w:dyaOrig="300">
          <v:shape id="_x0000_i1031" type="#_x0000_t75" style="width:12pt;height:15pt" o:ole="">
            <v:imagedata r:id="rId21" o:title=""/>
          </v:shape>
          <o:OLEObject Type="Embed" ProgID="Equation.3" ShapeID="_x0000_i1031" DrawAspect="Content" ObjectID="_1436179384" r:id="rId22"/>
        </w:object>
      </w:r>
      <w:r>
        <w:t xml:space="preserve"> is the simple average of </w:t>
      </w:r>
      <w:r>
        <w:rPr>
          <w:position w:val="-10"/>
        </w:rPr>
        <w:object w:dxaOrig="279" w:dyaOrig="340">
          <v:shape id="_x0000_i1032" type="#_x0000_t75" style="width:13pt;height:17pt" o:ole="">
            <v:imagedata r:id="rId23" o:title=""/>
          </v:shape>
          <o:OLEObject Type="Embed" ProgID="Equation.3" ShapeID="_x0000_i1032" DrawAspect="Content" ObjectID="_1436179385" r:id="rId24"/>
        </w:object>
      </w:r>
      <w:r>
        <w:t xml:space="preserve">and </w:t>
      </w:r>
      <w:r>
        <w:rPr>
          <w:position w:val="-10"/>
        </w:rPr>
        <w:object w:dxaOrig="320" w:dyaOrig="340">
          <v:shape id="_x0000_i1033" type="#_x0000_t75" style="width:17pt;height:17pt" o:ole="">
            <v:imagedata r:id="rId25" o:title=""/>
          </v:shape>
          <o:OLEObject Type="Embed" ProgID="Equation.3" ShapeID="_x0000_i1033" DrawAspect="Content" ObjectID="_1436179386" r:id="rId26"/>
        </w:object>
      </w:r>
      <w:r>
        <w:t xml:space="preserve">and </w:t>
      </w:r>
      <w:r>
        <w:rPr>
          <w:position w:val="-10"/>
        </w:rPr>
        <w:object w:dxaOrig="940" w:dyaOrig="320">
          <v:shape id="_x0000_i1034" type="#_x0000_t75" style="width:47pt;height:17pt" o:ole="">
            <v:imagedata r:id="rId27" o:title=""/>
          </v:shape>
          <o:OLEObject Type="Embed" ProgID="Equation.3" ShapeID="_x0000_i1034" DrawAspect="Content" ObjectID="_1436179387" r:id="rId28"/>
        </w:object>
      </w:r>
      <w:r>
        <w:t>.</w:t>
      </w:r>
      <w:r>
        <w:tab/>
      </w:r>
    </w:p>
    <w:p w:rsidR="00AB5309" w:rsidRDefault="00AB5309" w:rsidP="008A4A49">
      <w:pPr>
        <w:autoSpaceDE w:val="0"/>
        <w:autoSpaceDN w:val="0"/>
        <w:adjustRightInd w:val="0"/>
        <w:rPr>
          <w:bCs/>
          <w:color w:val="000000"/>
          <w:sz w:val="22"/>
          <w:szCs w:val="22"/>
        </w:rPr>
      </w:pPr>
    </w:p>
    <w:p w:rsidR="00136E3C" w:rsidRPr="008A4A49" w:rsidRDefault="00C0456E" w:rsidP="008A4A49">
      <w:pPr>
        <w:autoSpaceDE w:val="0"/>
        <w:autoSpaceDN w:val="0"/>
        <w:adjustRightInd w:val="0"/>
      </w:pPr>
      <w:r>
        <w:rPr>
          <w:bCs/>
          <w:color w:val="000000"/>
          <w:sz w:val="22"/>
          <w:szCs w:val="22"/>
        </w:rPr>
        <w:t xml:space="preserve">The sample size for any particular office for the entire fiscal year will be around 576. For comparison between two offices, a difference of </w:t>
      </w:r>
      <w:r w:rsidR="005604B1">
        <w:rPr>
          <w:bCs/>
          <w:color w:val="000000"/>
          <w:sz w:val="22"/>
          <w:szCs w:val="22"/>
        </w:rPr>
        <w:t>8</w:t>
      </w:r>
      <w:r>
        <w:rPr>
          <w:bCs/>
          <w:color w:val="000000"/>
          <w:sz w:val="22"/>
          <w:szCs w:val="22"/>
        </w:rPr>
        <w:t>% in proportions (minimal detectable effect) can be detected based on this sample size with α=0.05 and 80 percent power ignoring design effect when the proportion is</w:t>
      </w:r>
      <w:r w:rsidR="005604B1">
        <w:rPr>
          <w:bCs/>
          <w:color w:val="000000"/>
          <w:sz w:val="22"/>
          <w:szCs w:val="22"/>
        </w:rPr>
        <w:t xml:space="preserve"> about 50% in one quarter and 42</w:t>
      </w:r>
      <w:r>
        <w:rPr>
          <w:bCs/>
          <w:color w:val="000000"/>
          <w:sz w:val="22"/>
          <w:szCs w:val="22"/>
        </w:rPr>
        <w:t xml:space="preserve"> percent, for example, in another</w:t>
      </w:r>
      <w:r w:rsidR="005604B1">
        <w:rPr>
          <w:bCs/>
          <w:color w:val="000000"/>
          <w:sz w:val="22"/>
          <w:szCs w:val="22"/>
        </w:rPr>
        <w:t xml:space="preserve">. The design effect within an office, as mentioned earlier, is not likely to exceed 1.2. Based on the assumption of a design effect of 1.2, a difference of 9% in proportions (minimal detectable effect) can be detected based on this sample size with α=0.05 and 80 percent power ignoring design effect when the proportion is about 50% in one quarter and 41 percent, for example, in another. </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r w:rsidRPr="00E9037E">
        <w:rPr>
          <w:b/>
          <w:bCs/>
          <w:color w:val="000000"/>
          <w:sz w:val="22"/>
          <w:szCs w:val="22"/>
        </w:rPr>
        <w:t xml:space="preserve">•   Unusual problems requiring specialized sampling procedures and – </w:t>
      </w:r>
      <w:r w:rsidRPr="00E9037E">
        <w:rPr>
          <w:bCs/>
          <w:color w:val="000000"/>
          <w:sz w:val="22"/>
          <w:szCs w:val="22"/>
        </w:rPr>
        <w:t xml:space="preserve">We don’t foresee any unusual problems requiring specialized sampling procedures.  </w:t>
      </w: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p>
    <w:p w:rsidR="00CA0732" w:rsidRPr="00E9037E"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E9037E">
        <w:rPr>
          <w:b/>
          <w:bCs/>
          <w:color w:val="000000"/>
          <w:sz w:val="22"/>
          <w:szCs w:val="22"/>
        </w:rPr>
        <w:t xml:space="preserve">•   Any use of periodic (less frequently than annual) data collection cycles to reduce burden – </w:t>
      </w:r>
      <w:r w:rsidRPr="00E9037E">
        <w:rPr>
          <w:bCs/>
          <w:color w:val="000000"/>
          <w:sz w:val="22"/>
          <w:szCs w:val="22"/>
        </w:rPr>
        <w:t xml:space="preserve">For this study, Gallup will sample once every two weeks and the data collection for every bi-weekly sample will be completed within the following two weeks. The data collection will therefore be a continuous process throughout the </w:t>
      </w:r>
      <w:r w:rsidR="00DA16A9" w:rsidRPr="00E9037E">
        <w:rPr>
          <w:bCs/>
          <w:color w:val="000000"/>
          <w:sz w:val="22"/>
          <w:szCs w:val="22"/>
        </w:rPr>
        <w:t>year</w:t>
      </w:r>
      <w:r w:rsidRPr="00E9037E">
        <w:rPr>
          <w:bCs/>
          <w:color w:val="000000"/>
          <w:sz w:val="22"/>
          <w:szCs w:val="22"/>
        </w:rPr>
        <w:t xml:space="preserve"> but every respondent will be contacted/interviewed within two weeks after his/her inquiry is closed. This will be done to minimize the recall error and thereby increase the overall accuracy of the survey data. </w:t>
      </w:r>
    </w:p>
    <w:p w:rsidR="00CA0732" w:rsidRPr="00E9037E" w:rsidRDefault="00CA0732" w:rsidP="00D71901">
      <w:pPr>
        <w:rPr>
          <w:sz w:val="24"/>
        </w:rPr>
      </w:pP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B.3.</w:t>
      </w:r>
      <w:r w:rsidRPr="00E9037E">
        <w:rPr>
          <w:b/>
          <w:bCs/>
          <w:color w:val="000000"/>
          <w:szCs w:val="21"/>
        </w:rPr>
        <w:tab/>
        <w:t>Describe methods to maximize response rates and to deal with issues of non</w:t>
      </w:r>
      <w:r w:rsidRPr="00E9037E">
        <w:rPr>
          <w:b/>
          <w:bCs/>
          <w:color w:val="000000"/>
          <w:szCs w:val="21"/>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0732" w:rsidRPr="00E9037E" w:rsidRDefault="00CA0732" w:rsidP="00D71901">
      <w:pPr>
        <w:rPr>
          <w:sz w:val="24"/>
        </w:rPr>
      </w:pPr>
      <w:r w:rsidRPr="00E9037E">
        <w:rPr>
          <w:sz w:val="24"/>
        </w:rPr>
        <w:t xml:space="preserve"> </w:t>
      </w:r>
    </w:p>
    <w:p w:rsidR="00CA0732" w:rsidRPr="00E9037E" w:rsidRDefault="002913C3" w:rsidP="00D71901">
      <w:pPr>
        <w:spacing w:line="360" w:lineRule="auto"/>
        <w:rPr>
          <w:sz w:val="22"/>
          <w:szCs w:val="22"/>
        </w:rPr>
      </w:pPr>
      <w:r w:rsidRPr="00E9037E">
        <w:rPr>
          <w:b/>
          <w:sz w:val="22"/>
          <w:szCs w:val="22"/>
        </w:rPr>
        <w:t>Methods to maximize response rates</w:t>
      </w:r>
      <w:r w:rsidR="00CA0732" w:rsidRPr="00E9037E">
        <w:rPr>
          <w:sz w:val="22"/>
          <w:szCs w:val="22"/>
        </w:rPr>
        <w:t xml:space="preserve"> – In order to maximize response rates, Gallup will utilize a</w:t>
      </w:r>
      <w:r w:rsidR="00CA0732" w:rsidRPr="00E9037E">
        <w:rPr>
          <w:b/>
          <w:sz w:val="22"/>
          <w:szCs w:val="22"/>
        </w:rPr>
        <w:t xml:space="preserve"> </w:t>
      </w:r>
      <w:r w:rsidR="00CA0732" w:rsidRPr="00E9037E">
        <w:rPr>
          <w:sz w:val="22"/>
          <w:szCs w:val="22"/>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w:t>
      </w:r>
      <w:r w:rsidR="000E05B4">
        <w:rPr>
          <w:sz w:val="22"/>
          <w:szCs w:val="22"/>
        </w:rPr>
        <w:t xml:space="preserve">and </w:t>
      </w:r>
      <w:r w:rsidR="00CA0732" w:rsidRPr="00E9037E">
        <w:rPr>
          <w:sz w:val="22"/>
          <w:szCs w:val="22"/>
        </w:rPr>
        <w:t>(4) utilizing troubleshooting teams to attack specific data collection problems that may occur during the field period</w:t>
      </w:r>
      <w:r w:rsidR="000E05B4">
        <w:rPr>
          <w:sz w:val="22"/>
          <w:szCs w:val="22"/>
        </w:rPr>
        <w:t xml:space="preserve">. </w:t>
      </w:r>
      <w:r w:rsidR="00CA0732" w:rsidRPr="00E9037E">
        <w:rPr>
          <w:sz w:val="22"/>
          <w:szCs w:val="22"/>
        </w:rPr>
        <w:t xml:space="preserve"> Gallup will use a 5+5 call design </w:t>
      </w:r>
      <w:r w:rsidR="000E031E" w:rsidRPr="00E9037E">
        <w:rPr>
          <w:sz w:val="22"/>
          <w:szCs w:val="22"/>
        </w:rPr>
        <w:t>i.e.</w:t>
      </w:r>
      <w:r w:rsidR="00CA0732" w:rsidRPr="00E9037E">
        <w:rPr>
          <w:sz w:val="22"/>
          <w:szCs w:val="22"/>
        </w:rPr>
        <w:t xml:space="preserve"> </w:t>
      </w:r>
      <w:r w:rsidR="00CB248D" w:rsidRPr="00E9037E">
        <w:rPr>
          <w:sz w:val="22"/>
          <w:szCs w:val="22"/>
        </w:rPr>
        <w:t xml:space="preserve">a maximum of </w:t>
      </w:r>
      <w:r w:rsidR="00CA0732" w:rsidRPr="00E9037E">
        <w:rPr>
          <w:sz w:val="22"/>
          <w:szCs w:val="22"/>
        </w:rPr>
        <w:t xml:space="preserve">five calls will be made on the phone number to </w:t>
      </w:r>
      <w:r w:rsidR="00CB248D" w:rsidRPr="00E9037E">
        <w:rPr>
          <w:sz w:val="22"/>
          <w:szCs w:val="22"/>
        </w:rPr>
        <w:t>reach</w:t>
      </w:r>
      <w:r w:rsidR="00CA0732" w:rsidRPr="00E9037E">
        <w:rPr>
          <w:sz w:val="22"/>
          <w:szCs w:val="22"/>
        </w:rPr>
        <w:t xml:space="preserve"> the specific person that we are attempting to contact</w:t>
      </w:r>
      <w:r w:rsidR="00CB248D" w:rsidRPr="00E9037E">
        <w:rPr>
          <w:sz w:val="22"/>
          <w:szCs w:val="22"/>
        </w:rPr>
        <w:t xml:space="preserve"> and another up to five calls will be made to complete the interview with that selected person.</w:t>
      </w:r>
      <w:r w:rsidR="00CA0732" w:rsidRPr="00E9037E">
        <w:rPr>
          <w:sz w:val="22"/>
          <w:szCs w:val="22"/>
        </w:rPr>
        <w:t xml:space="preserve">   </w:t>
      </w:r>
    </w:p>
    <w:p w:rsidR="00CA0732" w:rsidRPr="00E9037E" w:rsidRDefault="00CA0732" w:rsidP="00D71901">
      <w:pPr>
        <w:spacing w:line="360" w:lineRule="auto"/>
        <w:rPr>
          <w:sz w:val="22"/>
          <w:szCs w:val="22"/>
        </w:rPr>
      </w:pPr>
    </w:p>
    <w:p w:rsidR="00CA0732" w:rsidRPr="00E9037E" w:rsidRDefault="002913C3">
      <w:pPr>
        <w:spacing w:line="360" w:lineRule="auto"/>
        <w:rPr>
          <w:sz w:val="22"/>
          <w:szCs w:val="22"/>
        </w:rPr>
      </w:pPr>
      <w:r w:rsidRPr="00E9037E">
        <w:rPr>
          <w:b/>
          <w:sz w:val="22"/>
          <w:szCs w:val="22"/>
        </w:rPr>
        <w:t>Issues of Non-Response:</w:t>
      </w:r>
      <w:r w:rsidR="00CA0732" w:rsidRPr="00E9037E">
        <w:rPr>
          <w:sz w:val="22"/>
          <w:szCs w:val="22"/>
        </w:rPr>
        <w:t xml:space="preserve"> Survey based estimates for this study will be weighted to minimize any potential bias including any bias that may be associated with unit level non-response. The bi-weekly files (sampling frames) to be received from DOL will contain some useful information (like </w:t>
      </w:r>
      <w:r w:rsidR="005F216D" w:rsidRPr="00E9037E">
        <w:rPr>
          <w:sz w:val="22"/>
          <w:szCs w:val="22"/>
        </w:rPr>
        <w:t>Closure</w:t>
      </w:r>
      <w:r w:rsidR="007C0B81" w:rsidRPr="00E9037E">
        <w:rPr>
          <w:sz w:val="22"/>
          <w:szCs w:val="22"/>
        </w:rPr>
        <w:t xml:space="preserve"> </w:t>
      </w:r>
      <w:r w:rsidR="00CA0732" w:rsidRPr="00E9037E">
        <w:rPr>
          <w:sz w:val="22"/>
          <w:szCs w:val="22"/>
        </w:rPr>
        <w:t xml:space="preserve">types) for all cases including the non-respondents. </w:t>
      </w:r>
      <w:r w:rsidR="00BA53CD">
        <w:rPr>
          <w:sz w:val="22"/>
          <w:szCs w:val="22"/>
        </w:rPr>
        <w:t>N</w:t>
      </w:r>
      <w:r w:rsidR="00CA0732" w:rsidRPr="00E9037E">
        <w:rPr>
          <w:sz w:val="22"/>
          <w:szCs w:val="22"/>
        </w:rPr>
        <w:t xml:space="preserve">on-response adjustment cells, if found necessary, will be formed based on these variable and then ratio type adjustments will be carried out to correct for non-response. This will make the non-response weighting procedure quite effective in terms of minimizing non-response bias, if any. </w:t>
      </w:r>
      <w:r w:rsidR="00E70128">
        <w:rPr>
          <w:sz w:val="22"/>
          <w:szCs w:val="22"/>
        </w:rPr>
        <w:t xml:space="preserve">The data collection mode for this study is telephone and so the item non-response rate is expected to be less compared to data collected using self-administered modes. The respondent will </w:t>
      </w:r>
      <w:r w:rsidR="004A25F3">
        <w:rPr>
          <w:sz w:val="22"/>
          <w:szCs w:val="22"/>
        </w:rPr>
        <w:t xml:space="preserve">however </w:t>
      </w:r>
      <w:r w:rsidR="00E70128">
        <w:rPr>
          <w:sz w:val="22"/>
          <w:szCs w:val="22"/>
        </w:rPr>
        <w:t>have the opportunity to refuse to answer a specific question</w:t>
      </w:r>
      <w:r w:rsidR="004A25F3">
        <w:rPr>
          <w:sz w:val="22"/>
          <w:szCs w:val="22"/>
        </w:rPr>
        <w:t xml:space="preserve">. The item missing rate is not expected to be significant and so imputation of missing item level data was not used in the past and is not recommended for the 2013 study. </w:t>
      </w:r>
    </w:p>
    <w:p w:rsidR="00CA0732" w:rsidRPr="00E9037E" w:rsidRDefault="00CA0732" w:rsidP="00D71901">
      <w:pPr>
        <w:spacing w:line="360" w:lineRule="auto"/>
        <w:rPr>
          <w:sz w:val="22"/>
          <w:szCs w:val="22"/>
        </w:rPr>
      </w:pPr>
    </w:p>
    <w:p w:rsidR="00965747" w:rsidRPr="00E9037E" w:rsidRDefault="00CA0732" w:rsidP="00D71901">
      <w:pPr>
        <w:spacing w:line="360" w:lineRule="auto"/>
        <w:rPr>
          <w:kern w:val="22"/>
          <w:sz w:val="22"/>
          <w:szCs w:val="22"/>
        </w:rPr>
      </w:pPr>
      <w:r w:rsidRPr="00E9037E">
        <w:rPr>
          <w:kern w:val="22"/>
          <w:sz w:val="22"/>
          <w:szCs w:val="22"/>
        </w:rPr>
        <w:t xml:space="preserve">As described above in </w:t>
      </w:r>
      <w:r w:rsidR="000E031E" w:rsidRPr="00E9037E">
        <w:rPr>
          <w:kern w:val="22"/>
          <w:sz w:val="22"/>
          <w:szCs w:val="22"/>
        </w:rPr>
        <w:t xml:space="preserve">Section </w:t>
      </w:r>
      <w:r w:rsidRPr="00E9037E">
        <w:rPr>
          <w:kern w:val="22"/>
          <w:sz w:val="22"/>
          <w:szCs w:val="22"/>
        </w:rPr>
        <w:t>B2, the sampling error associated with estimates of proportions at the individual office level is expected to be in the 4% to 5% range and that for the overall agency level is not likely to exceed 1.5%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rsidR="002913C3" w:rsidRPr="00E9037E" w:rsidRDefault="002913C3" w:rsidP="002913C3">
      <w:pPr>
        <w:autoSpaceDE w:val="0"/>
        <w:autoSpaceDN w:val="0"/>
        <w:adjustRightInd w:val="0"/>
        <w:spacing w:line="360" w:lineRule="auto"/>
        <w:rPr>
          <w:sz w:val="22"/>
          <w:szCs w:val="22"/>
        </w:rPr>
      </w:pPr>
      <w:r w:rsidRPr="00E9037E">
        <w:rPr>
          <w:b/>
          <w:kern w:val="22"/>
          <w:sz w:val="22"/>
          <w:szCs w:val="22"/>
        </w:rPr>
        <w:lastRenderedPageBreak/>
        <w:t>Non-response Bias Analysis:</w:t>
      </w:r>
      <w:r w:rsidR="00965747" w:rsidRPr="00E9037E">
        <w:rPr>
          <w:kern w:val="22"/>
          <w:sz w:val="22"/>
          <w:szCs w:val="22"/>
        </w:rPr>
        <w:t xml:space="preserve"> </w:t>
      </w:r>
      <w:r w:rsidR="00057A10" w:rsidRPr="00E9037E">
        <w:rPr>
          <w:kern w:val="22"/>
          <w:sz w:val="22"/>
          <w:szCs w:val="22"/>
        </w:rPr>
        <w:t>A</w:t>
      </w:r>
      <w:r w:rsidR="00580F6D" w:rsidRPr="00E9037E">
        <w:rPr>
          <w:kern w:val="22"/>
          <w:sz w:val="22"/>
          <w:szCs w:val="22"/>
        </w:rPr>
        <w:t xml:space="preserve"> non-response bias analysis will be conducted to identify potential source of non-response bias. Non-response bias associated with estimates consists of two factors - </w:t>
      </w:r>
      <w:r w:rsidRPr="00E9037E">
        <w:rPr>
          <w:sz w:val="22"/>
          <w:szCs w:val="22"/>
        </w:rPr>
        <w:t>the amount of nonresponse and the difference in the estimate between the groups of respondents and non</w:t>
      </w:r>
      <w:r w:rsidR="00614DE4" w:rsidRPr="00E9037E">
        <w:rPr>
          <w:sz w:val="22"/>
          <w:szCs w:val="22"/>
        </w:rPr>
        <w:t>-</w:t>
      </w:r>
      <w:r w:rsidRPr="00E9037E">
        <w:rPr>
          <w:sz w:val="22"/>
          <w:szCs w:val="22"/>
        </w:rPr>
        <w:t xml:space="preserve">respondents. The bias of an estimate can be expressed mathematically as follows: </w:t>
      </w:r>
    </w:p>
    <w:p w:rsidR="002913C3" w:rsidRPr="00E9037E" w:rsidRDefault="002913C3" w:rsidP="002913C3">
      <w:pPr>
        <w:autoSpaceDE w:val="0"/>
        <w:autoSpaceDN w:val="0"/>
        <w:adjustRightInd w:val="0"/>
        <w:spacing w:line="360" w:lineRule="auto"/>
        <w:rPr>
          <w:i/>
          <w:iCs/>
          <w:sz w:val="22"/>
          <w:szCs w:val="22"/>
        </w:rPr>
      </w:pPr>
    </w:p>
    <w:p w:rsidR="002913C3" w:rsidRPr="00E9037E" w:rsidRDefault="002913C3" w:rsidP="002913C3">
      <w:pPr>
        <w:autoSpaceDE w:val="0"/>
        <w:autoSpaceDN w:val="0"/>
        <w:adjustRightInd w:val="0"/>
        <w:spacing w:line="360" w:lineRule="auto"/>
        <w:rPr>
          <w:i/>
          <w:iCs/>
          <w:sz w:val="22"/>
          <w:szCs w:val="22"/>
        </w:rPr>
      </w:pPr>
      <w:r w:rsidRPr="00E9037E">
        <w:rPr>
          <w:i/>
          <w:iCs/>
          <w:sz w:val="22"/>
          <w:szCs w:val="22"/>
        </w:rPr>
        <w:t>Bias (y</w:t>
      </w:r>
      <w:r w:rsidRPr="00E9037E">
        <w:rPr>
          <w:i/>
          <w:iCs/>
          <w:sz w:val="22"/>
          <w:szCs w:val="22"/>
          <w:vertAlign w:val="subscript"/>
        </w:rPr>
        <w:t>r</w:t>
      </w:r>
      <w:r w:rsidR="00DF3358" w:rsidRPr="00E9037E">
        <w:rPr>
          <w:i/>
          <w:iCs/>
          <w:sz w:val="22"/>
          <w:szCs w:val="22"/>
        </w:rPr>
        <w:t>) =</w:t>
      </w:r>
      <w:r w:rsidRPr="00E9037E">
        <w:rPr>
          <w:i/>
          <w:iCs/>
          <w:sz w:val="22"/>
          <w:szCs w:val="22"/>
        </w:rPr>
        <w:t xml:space="preserve"> (1 – r</w:t>
      </w:r>
      <w:r w:rsidR="00DF3358" w:rsidRPr="00E9037E">
        <w:rPr>
          <w:i/>
          <w:iCs/>
          <w:sz w:val="22"/>
          <w:szCs w:val="22"/>
        </w:rPr>
        <w:t>) {E (</w:t>
      </w:r>
      <w:r w:rsidRPr="00E9037E">
        <w:rPr>
          <w:i/>
          <w:iCs/>
          <w:sz w:val="22"/>
          <w:szCs w:val="22"/>
        </w:rPr>
        <w:t>y</w:t>
      </w:r>
      <w:r w:rsidRPr="00E9037E">
        <w:rPr>
          <w:i/>
          <w:iCs/>
          <w:sz w:val="22"/>
          <w:szCs w:val="22"/>
          <w:vertAlign w:val="subscript"/>
        </w:rPr>
        <w:t>r</w:t>
      </w:r>
      <w:r w:rsidRPr="00E9037E">
        <w:rPr>
          <w:i/>
          <w:iCs/>
          <w:sz w:val="22"/>
          <w:szCs w:val="22"/>
        </w:rPr>
        <w:t xml:space="preserve"> – y</w:t>
      </w:r>
      <w:r w:rsidRPr="00E9037E">
        <w:rPr>
          <w:i/>
          <w:iCs/>
          <w:sz w:val="22"/>
          <w:szCs w:val="22"/>
          <w:vertAlign w:val="subscript"/>
        </w:rPr>
        <w:t>n</w:t>
      </w:r>
      <w:r w:rsidRPr="00E9037E">
        <w:rPr>
          <w:i/>
          <w:iCs/>
          <w:sz w:val="22"/>
          <w:szCs w:val="22"/>
        </w:rPr>
        <w:t xml:space="preserve"> )}</w:t>
      </w:r>
    </w:p>
    <w:p w:rsidR="002913C3" w:rsidRPr="00E9037E" w:rsidRDefault="002913C3" w:rsidP="002913C3">
      <w:pPr>
        <w:autoSpaceDE w:val="0"/>
        <w:autoSpaceDN w:val="0"/>
        <w:adjustRightInd w:val="0"/>
        <w:spacing w:line="360" w:lineRule="auto"/>
        <w:rPr>
          <w:i/>
          <w:iCs/>
          <w:sz w:val="22"/>
          <w:szCs w:val="22"/>
        </w:rPr>
      </w:pPr>
    </w:p>
    <w:p w:rsidR="002913C3" w:rsidRPr="00E9037E" w:rsidRDefault="002913C3" w:rsidP="002913C3">
      <w:pPr>
        <w:autoSpaceDE w:val="0"/>
        <w:autoSpaceDN w:val="0"/>
        <w:adjustRightInd w:val="0"/>
        <w:spacing w:line="360" w:lineRule="auto"/>
        <w:rPr>
          <w:sz w:val="22"/>
          <w:szCs w:val="22"/>
        </w:rPr>
      </w:pPr>
      <w:r w:rsidRPr="00E9037E">
        <w:rPr>
          <w:sz w:val="22"/>
          <w:szCs w:val="22"/>
        </w:rPr>
        <w:t xml:space="preserve">where </w:t>
      </w:r>
      <w:r w:rsidRPr="00E9037E">
        <w:rPr>
          <w:i/>
          <w:iCs/>
          <w:sz w:val="22"/>
          <w:szCs w:val="22"/>
        </w:rPr>
        <w:t>y</w:t>
      </w:r>
      <w:r w:rsidRPr="00E9037E">
        <w:rPr>
          <w:i/>
          <w:iCs/>
          <w:sz w:val="22"/>
          <w:szCs w:val="22"/>
          <w:vertAlign w:val="subscript"/>
        </w:rPr>
        <w:t>r</w:t>
      </w:r>
      <w:r w:rsidRPr="00E9037E">
        <w:rPr>
          <w:i/>
          <w:iCs/>
          <w:sz w:val="22"/>
          <w:szCs w:val="22"/>
        </w:rPr>
        <w:t xml:space="preserve"> </w:t>
      </w:r>
      <w:r w:rsidRPr="00E9037E">
        <w:rPr>
          <w:sz w:val="22"/>
          <w:szCs w:val="22"/>
        </w:rPr>
        <w:t xml:space="preserve">is the estimated characteristic based on </w:t>
      </w:r>
      <w:r w:rsidR="000D5EF4" w:rsidRPr="00E9037E">
        <w:rPr>
          <w:sz w:val="22"/>
          <w:szCs w:val="22"/>
        </w:rPr>
        <w:t>survey</w:t>
      </w:r>
      <w:r w:rsidRPr="00E9037E">
        <w:rPr>
          <w:sz w:val="22"/>
          <w:szCs w:val="22"/>
        </w:rPr>
        <w:t xml:space="preserve"> respondents only, </w:t>
      </w:r>
      <w:r w:rsidR="000E031E" w:rsidRPr="00E9037E">
        <w:rPr>
          <w:sz w:val="22"/>
          <w:szCs w:val="22"/>
        </w:rPr>
        <w:t xml:space="preserve">‘r’ is the response rate and so </w:t>
      </w:r>
      <w:r w:rsidRPr="00E9037E">
        <w:rPr>
          <w:i/>
          <w:iCs/>
          <w:sz w:val="22"/>
          <w:szCs w:val="22"/>
        </w:rPr>
        <w:t xml:space="preserve">(1 – r) </w:t>
      </w:r>
      <w:r w:rsidRPr="00E9037E">
        <w:rPr>
          <w:sz w:val="22"/>
          <w:szCs w:val="22"/>
        </w:rPr>
        <w:t xml:space="preserve">is the nonresponse rate, </w:t>
      </w:r>
      <w:r w:rsidRPr="00E9037E">
        <w:rPr>
          <w:i/>
          <w:iCs/>
          <w:sz w:val="22"/>
          <w:szCs w:val="22"/>
        </w:rPr>
        <w:t>y</w:t>
      </w:r>
      <w:r w:rsidRPr="00E9037E">
        <w:rPr>
          <w:i/>
          <w:iCs/>
          <w:sz w:val="22"/>
          <w:szCs w:val="22"/>
          <w:vertAlign w:val="subscript"/>
        </w:rPr>
        <w:t>n</w:t>
      </w:r>
      <w:r w:rsidRPr="00E9037E">
        <w:rPr>
          <w:i/>
          <w:iCs/>
          <w:sz w:val="22"/>
          <w:szCs w:val="22"/>
        </w:rPr>
        <w:t xml:space="preserve"> </w:t>
      </w:r>
      <w:r w:rsidR="00576B5E" w:rsidRPr="00E9037E">
        <w:rPr>
          <w:sz w:val="22"/>
          <w:szCs w:val="22"/>
        </w:rPr>
        <w:t xml:space="preserve">is the </w:t>
      </w:r>
      <w:r w:rsidRPr="00E9037E">
        <w:rPr>
          <w:sz w:val="22"/>
          <w:szCs w:val="22"/>
        </w:rPr>
        <w:t>estimated characteristic based on the non</w:t>
      </w:r>
      <w:r w:rsidR="00614DE4" w:rsidRPr="00E9037E">
        <w:rPr>
          <w:sz w:val="22"/>
          <w:szCs w:val="22"/>
        </w:rPr>
        <w:t>-</w:t>
      </w:r>
      <w:r w:rsidRPr="00E9037E">
        <w:rPr>
          <w:sz w:val="22"/>
          <w:szCs w:val="22"/>
        </w:rPr>
        <w:t xml:space="preserve">respondents only, and </w:t>
      </w:r>
      <w:r w:rsidRPr="00E9037E">
        <w:rPr>
          <w:i/>
          <w:iCs/>
          <w:sz w:val="22"/>
          <w:szCs w:val="22"/>
        </w:rPr>
        <w:t xml:space="preserve">E </w:t>
      </w:r>
      <w:r w:rsidRPr="00E9037E">
        <w:rPr>
          <w:sz w:val="22"/>
          <w:szCs w:val="22"/>
        </w:rPr>
        <w:t xml:space="preserve">is the expectation </w:t>
      </w:r>
      <w:r w:rsidR="00576B5E" w:rsidRPr="00E9037E">
        <w:rPr>
          <w:sz w:val="22"/>
          <w:szCs w:val="22"/>
        </w:rPr>
        <w:t xml:space="preserve">for averaging over </w:t>
      </w:r>
      <w:r w:rsidRPr="00E9037E">
        <w:rPr>
          <w:sz w:val="22"/>
          <w:szCs w:val="22"/>
        </w:rPr>
        <w:t>all possible samples</w:t>
      </w:r>
      <w:r w:rsidR="00576B5E" w:rsidRPr="00E9037E">
        <w:rPr>
          <w:sz w:val="22"/>
          <w:szCs w:val="22"/>
        </w:rPr>
        <w:t xml:space="preserve">. </w:t>
      </w:r>
    </w:p>
    <w:p w:rsidR="002913C3" w:rsidRPr="00E9037E" w:rsidRDefault="00580F6D" w:rsidP="002913C3">
      <w:pPr>
        <w:autoSpaceDE w:val="0"/>
        <w:autoSpaceDN w:val="0"/>
        <w:adjustRightInd w:val="0"/>
        <w:spacing w:line="360" w:lineRule="auto"/>
        <w:rPr>
          <w:sz w:val="22"/>
          <w:szCs w:val="22"/>
        </w:rPr>
      </w:pPr>
      <w:r w:rsidRPr="00E9037E">
        <w:rPr>
          <w:sz w:val="22"/>
          <w:szCs w:val="22"/>
        </w:rPr>
        <w:t xml:space="preserve">Bias may therefore be caused by lower response rate and/or by significant difference in estimates between respondents and non-respondents. As </w:t>
      </w:r>
      <w:r w:rsidR="00DF3358" w:rsidRPr="00E9037E">
        <w:rPr>
          <w:sz w:val="22"/>
          <w:szCs w:val="22"/>
        </w:rPr>
        <w:t>described earlier</w:t>
      </w:r>
      <w:r w:rsidRPr="00E9037E">
        <w:rPr>
          <w:sz w:val="22"/>
          <w:szCs w:val="22"/>
        </w:rPr>
        <w:t xml:space="preserve">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w:t>
      </w:r>
      <w:r w:rsidR="002913C3" w:rsidRPr="00E9037E">
        <w:rPr>
          <w:sz w:val="22"/>
          <w:szCs w:val="22"/>
        </w:rPr>
        <w:t>However, despite all these attempts, non-response bias can still persist in estimates.</w:t>
      </w:r>
      <w:r w:rsidR="00962890" w:rsidRPr="00E9037E">
        <w:rPr>
          <w:sz w:val="22"/>
          <w:szCs w:val="22"/>
        </w:rPr>
        <w:t xml:space="preserve"> </w:t>
      </w:r>
      <w:r w:rsidR="00D75911" w:rsidRPr="00E9037E">
        <w:rPr>
          <w:sz w:val="22"/>
          <w:szCs w:val="22"/>
        </w:rPr>
        <w:t xml:space="preserve">The goal of the non-response </w:t>
      </w:r>
      <w:r w:rsidR="00F110CB" w:rsidRPr="00E9037E">
        <w:rPr>
          <w:sz w:val="22"/>
          <w:szCs w:val="22"/>
        </w:rPr>
        <w:t xml:space="preserve">bias </w:t>
      </w:r>
      <w:r w:rsidR="00D75911" w:rsidRPr="00E9037E">
        <w:rPr>
          <w:sz w:val="22"/>
          <w:szCs w:val="22"/>
        </w:rPr>
        <w:t xml:space="preserve">analysis will be to identify </w:t>
      </w:r>
      <w:r w:rsidR="002913C3" w:rsidRPr="00E9037E">
        <w:rPr>
          <w:sz w:val="22"/>
          <w:szCs w:val="22"/>
        </w:rPr>
        <w:t>potential sources of nonresponse bias on estimates</w:t>
      </w:r>
      <w:r w:rsidR="00D75911" w:rsidRPr="00E9037E">
        <w:rPr>
          <w:sz w:val="22"/>
          <w:szCs w:val="22"/>
        </w:rPr>
        <w:t xml:space="preserve"> and </w:t>
      </w:r>
      <w:r w:rsidR="00614DE4" w:rsidRPr="00E9037E">
        <w:rPr>
          <w:sz w:val="22"/>
          <w:szCs w:val="22"/>
        </w:rPr>
        <w:t xml:space="preserve">to identify </w:t>
      </w:r>
      <w:r w:rsidR="002913C3" w:rsidRPr="00E9037E">
        <w:rPr>
          <w:sz w:val="22"/>
          <w:szCs w:val="22"/>
        </w:rPr>
        <w:t xml:space="preserve">potentially biased estimates. </w:t>
      </w:r>
    </w:p>
    <w:p w:rsidR="00D75911" w:rsidRPr="00E9037E" w:rsidRDefault="00D75911" w:rsidP="00D75911">
      <w:pPr>
        <w:autoSpaceDE w:val="0"/>
        <w:autoSpaceDN w:val="0"/>
        <w:adjustRightInd w:val="0"/>
        <w:rPr>
          <w:sz w:val="22"/>
          <w:szCs w:val="22"/>
        </w:rPr>
      </w:pPr>
    </w:p>
    <w:p w:rsidR="002913C3" w:rsidRPr="00E9037E" w:rsidRDefault="0071486F" w:rsidP="002913C3">
      <w:pPr>
        <w:autoSpaceDE w:val="0"/>
        <w:autoSpaceDN w:val="0"/>
        <w:adjustRightInd w:val="0"/>
        <w:spacing w:line="360" w:lineRule="auto"/>
        <w:rPr>
          <w:sz w:val="22"/>
          <w:szCs w:val="22"/>
        </w:rPr>
      </w:pPr>
      <w:r w:rsidRPr="00E9037E">
        <w:rPr>
          <w:sz w:val="22"/>
          <w:szCs w:val="22"/>
        </w:rPr>
        <w:t>The non-response bias analysis will compare the “Early” respondents to “Late” respondents on selected key varia</w:t>
      </w:r>
      <w:r w:rsidR="00580F6D" w:rsidRPr="00E9037E">
        <w:rPr>
          <w:sz w:val="22"/>
          <w:szCs w:val="22"/>
        </w:rPr>
        <w:t>bles of primary interest. The basic</w:t>
      </w:r>
      <w:r w:rsidR="002913C3" w:rsidRPr="00E9037E">
        <w:rPr>
          <w:sz w:val="22"/>
          <w:szCs w:val="22"/>
        </w:rPr>
        <w:t xml:space="preserve"> assumption in such an approach is that later respondents to a survey are more similar to</w:t>
      </w:r>
      <w:r w:rsidRPr="00E9037E">
        <w:rPr>
          <w:sz w:val="22"/>
          <w:szCs w:val="22"/>
        </w:rPr>
        <w:t xml:space="preserve"> </w:t>
      </w:r>
      <w:r w:rsidR="002913C3" w:rsidRPr="00E9037E">
        <w:rPr>
          <w:sz w:val="22"/>
          <w:szCs w:val="22"/>
        </w:rPr>
        <w:t>non</w:t>
      </w:r>
      <w:r w:rsidRPr="00E9037E">
        <w:rPr>
          <w:sz w:val="22"/>
          <w:szCs w:val="22"/>
        </w:rPr>
        <w:t>-</w:t>
      </w:r>
      <w:r w:rsidR="002913C3" w:rsidRPr="00E9037E">
        <w:rPr>
          <w:sz w:val="22"/>
          <w:szCs w:val="22"/>
        </w:rPr>
        <w:t xml:space="preserve">respondents than are earlier respondents. </w:t>
      </w:r>
      <w:r w:rsidRPr="00E9037E">
        <w:rPr>
          <w:sz w:val="22"/>
          <w:szCs w:val="22"/>
        </w:rPr>
        <w:t>In this study, data collection will be conducted usin</w:t>
      </w:r>
      <w:r w:rsidR="00580F6D" w:rsidRPr="00E9037E">
        <w:rPr>
          <w:sz w:val="22"/>
          <w:szCs w:val="22"/>
        </w:rPr>
        <w:t>g telephone and a respondent can receive anywhere between 1 and 10 calls to complete an interview.</w:t>
      </w:r>
      <w:r w:rsidR="002913C3" w:rsidRPr="00E9037E">
        <w:rPr>
          <w:sz w:val="22"/>
          <w:szCs w:val="22"/>
        </w:rPr>
        <w:t xml:space="preserve"> Respondents </w:t>
      </w:r>
      <w:r w:rsidR="00557528" w:rsidRPr="00E9037E">
        <w:rPr>
          <w:sz w:val="22"/>
          <w:szCs w:val="22"/>
        </w:rPr>
        <w:t>will be</w:t>
      </w:r>
      <w:r w:rsidR="002913C3" w:rsidRPr="00E9037E">
        <w:rPr>
          <w:sz w:val="22"/>
          <w:szCs w:val="22"/>
        </w:rPr>
        <w:t xml:space="preserve"> divided into </w:t>
      </w:r>
      <w:r w:rsidR="00557528" w:rsidRPr="00E9037E">
        <w:rPr>
          <w:sz w:val="22"/>
          <w:szCs w:val="22"/>
        </w:rPr>
        <w:t xml:space="preserve">two </w:t>
      </w:r>
      <w:r w:rsidR="002913C3" w:rsidRPr="00E9037E">
        <w:rPr>
          <w:sz w:val="22"/>
          <w:szCs w:val="22"/>
        </w:rPr>
        <w:t xml:space="preserve">groups </w:t>
      </w:r>
      <w:r w:rsidR="00557528" w:rsidRPr="00E9037E">
        <w:rPr>
          <w:sz w:val="22"/>
          <w:szCs w:val="22"/>
        </w:rPr>
        <w:t>(Early and Late respondents) based on the number of calls received</w:t>
      </w:r>
      <w:r w:rsidR="00580F6D" w:rsidRPr="00E9037E">
        <w:rPr>
          <w:sz w:val="22"/>
          <w:szCs w:val="22"/>
        </w:rPr>
        <w:t>. The exact definition of these two groups will be finalized after examining the distribution of the ‘number of calls’ needed to complete an interview for this study. Comparison of estimates (</w:t>
      </w:r>
      <w:r w:rsidR="000E031E" w:rsidRPr="00E9037E">
        <w:rPr>
          <w:sz w:val="22"/>
          <w:szCs w:val="22"/>
        </w:rPr>
        <w:t xml:space="preserve">proportions or </w:t>
      </w:r>
      <w:r w:rsidR="00DF3358" w:rsidRPr="00E9037E">
        <w:rPr>
          <w:sz w:val="22"/>
          <w:szCs w:val="22"/>
        </w:rPr>
        <w:t>means</w:t>
      </w:r>
      <w:r w:rsidR="000E031E" w:rsidRPr="00E9037E">
        <w:rPr>
          <w:sz w:val="22"/>
          <w:szCs w:val="22"/>
        </w:rPr>
        <w:t xml:space="preserve"> of selected key variables </w:t>
      </w:r>
      <w:r w:rsidR="00580F6D" w:rsidRPr="00E9037E">
        <w:rPr>
          <w:sz w:val="22"/>
          <w:szCs w:val="22"/>
        </w:rPr>
        <w:t xml:space="preserve">like proportion of satisfied customers, for example) between these two groups will be carried out by testing the hypothesis of equality of proportions (or means). The analysis can be done using non-response adjusted weights but can also be done using the base weights. This process will help identify estimates that may be subject to non-response bias. </w:t>
      </w:r>
    </w:p>
    <w:p w:rsidR="00394340" w:rsidRPr="00E9037E" w:rsidRDefault="00394340" w:rsidP="00394340">
      <w:pPr>
        <w:autoSpaceDE w:val="0"/>
        <w:autoSpaceDN w:val="0"/>
        <w:adjustRightInd w:val="0"/>
        <w:spacing w:line="360" w:lineRule="auto"/>
        <w:rPr>
          <w:sz w:val="22"/>
          <w:szCs w:val="22"/>
        </w:rPr>
      </w:pPr>
    </w:p>
    <w:p w:rsidR="00394340" w:rsidRPr="00E9037E" w:rsidRDefault="005F14AC" w:rsidP="00394340">
      <w:pPr>
        <w:autoSpaceDE w:val="0"/>
        <w:autoSpaceDN w:val="0"/>
        <w:adjustRightInd w:val="0"/>
        <w:spacing w:line="360" w:lineRule="auto"/>
        <w:rPr>
          <w:sz w:val="22"/>
          <w:szCs w:val="22"/>
        </w:rPr>
      </w:pPr>
      <w:r w:rsidRPr="00E9037E">
        <w:rPr>
          <w:sz w:val="22"/>
          <w:szCs w:val="22"/>
        </w:rPr>
        <w:t>The key variables (or survey questions) for the comparison of “Early” and “Late” respondents will include the following eight questions</w:t>
      </w:r>
      <w:r w:rsidR="00036D95" w:rsidRPr="00E9037E">
        <w:rPr>
          <w:sz w:val="22"/>
          <w:szCs w:val="22"/>
        </w:rPr>
        <w:t xml:space="preserve"> that are expected to be </w:t>
      </w:r>
      <w:r w:rsidR="00B262D1" w:rsidRPr="00E9037E">
        <w:rPr>
          <w:sz w:val="22"/>
          <w:szCs w:val="22"/>
        </w:rPr>
        <w:t>strong</w:t>
      </w:r>
      <w:r w:rsidR="00036D95" w:rsidRPr="00E9037E">
        <w:rPr>
          <w:sz w:val="22"/>
          <w:szCs w:val="22"/>
        </w:rPr>
        <w:t xml:space="preserve"> predictors of overall customer satisfaction</w:t>
      </w:r>
      <w:r w:rsidR="002F6920" w:rsidRPr="00E9037E">
        <w:rPr>
          <w:sz w:val="22"/>
          <w:szCs w:val="22"/>
        </w:rPr>
        <w:t xml:space="preserve">. (Each of these </w:t>
      </w:r>
      <w:r w:rsidR="00036D95" w:rsidRPr="00E9037E">
        <w:rPr>
          <w:sz w:val="22"/>
          <w:szCs w:val="22"/>
        </w:rPr>
        <w:t xml:space="preserve">eight </w:t>
      </w:r>
      <w:r w:rsidR="002F6920" w:rsidRPr="00E9037E">
        <w:rPr>
          <w:sz w:val="22"/>
          <w:szCs w:val="22"/>
        </w:rPr>
        <w:t>questions use</w:t>
      </w:r>
      <w:r w:rsidR="00A879F7" w:rsidRPr="00E9037E">
        <w:rPr>
          <w:sz w:val="22"/>
          <w:szCs w:val="22"/>
        </w:rPr>
        <w:t>s</w:t>
      </w:r>
      <w:r w:rsidR="002F6920" w:rsidRPr="00E9037E">
        <w:rPr>
          <w:sz w:val="22"/>
          <w:szCs w:val="22"/>
        </w:rPr>
        <w:t xml:space="preserve"> a five-point scale, where 5 means </w:t>
      </w:r>
      <w:r w:rsidR="00D90F00" w:rsidRPr="00E9037E">
        <w:rPr>
          <w:sz w:val="22"/>
          <w:szCs w:val="22"/>
        </w:rPr>
        <w:t xml:space="preserve">strongly agree and 1 </w:t>
      </w:r>
      <w:r w:rsidR="00D90F00" w:rsidRPr="00E9037E">
        <w:rPr>
          <w:sz w:val="22"/>
          <w:szCs w:val="22"/>
        </w:rPr>
        <w:lastRenderedPageBreak/>
        <w:t xml:space="preserve">means strongly disagree and the respondent </w:t>
      </w:r>
      <w:r w:rsidR="005B14AE" w:rsidRPr="00E9037E">
        <w:rPr>
          <w:sz w:val="22"/>
          <w:szCs w:val="22"/>
        </w:rPr>
        <w:t>is</w:t>
      </w:r>
      <w:r w:rsidR="00D90F00" w:rsidRPr="00E9037E">
        <w:rPr>
          <w:sz w:val="22"/>
          <w:szCs w:val="22"/>
        </w:rPr>
        <w:t xml:space="preserve"> asked to tell how much he or she agrees or disagrees with each statement as it applies to EBSA).</w:t>
      </w:r>
      <w:r w:rsidRPr="00E9037E">
        <w:rPr>
          <w:sz w:val="22"/>
          <w:szCs w:val="22"/>
        </w:rPr>
        <w:t xml:space="preserve"> </w:t>
      </w:r>
    </w:p>
    <w:p w:rsidR="006F5D32" w:rsidRPr="00E9037E" w:rsidRDefault="00D90F00" w:rsidP="00AB1467">
      <w:pPr>
        <w:pStyle w:val="ListParagraph"/>
        <w:numPr>
          <w:ilvl w:val="0"/>
          <w:numId w:val="4"/>
        </w:numPr>
        <w:autoSpaceDE w:val="0"/>
        <w:autoSpaceDN w:val="0"/>
        <w:adjustRightInd w:val="0"/>
        <w:spacing w:line="360" w:lineRule="auto"/>
        <w:rPr>
          <w:sz w:val="22"/>
          <w:szCs w:val="22"/>
        </w:rPr>
      </w:pPr>
      <w:r w:rsidRPr="00E9037E">
        <w:rPr>
          <w:sz w:val="22"/>
          <w:szCs w:val="22"/>
        </w:rPr>
        <w:t>EBSA treats me like a valued customer</w:t>
      </w:r>
    </w:p>
    <w:p w:rsidR="006F5D32" w:rsidRPr="00E9037E" w:rsidRDefault="00D90F00" w:rsidP="00AB1467">
      <w:pPr>
        <w:pStyle w:val="ListParagraph"/>
        <w:numPr>
          <w:ilvl w:val="0"/>
          <w:numId w:val="4"/>
        </w:numPr>
        <w:autoSpaceDE w:val="0"/>
        <w:autoSpaceDN w:val="0"/>
        <w:adjustRightInd w:val="0"/>
        <w:spacing w:line="360" w:lineRule="auto"/>
        <w:rPr>
          <w:sz w:val="22"/>
          <w:szCs w:val="22"/>
        </w:rPr>
      </w:pPr>
      <w:r w:rsidRPr="00E9037E">
        <w:rPr>
          <w:sz w:val="22"/>
          <w:szCs w:val="22"/>
        </w:rPr>
        <w:t xml:space="preserve">EBSA is willing </w:t>
      </w:r>
      <w:r w:rsidR="00036D95" w:rsidRPr="00E9037E">
        <w:rPr>
          <w:sz w:val="22"/>
          <w:szCs w:val="22"/>
        </w:rPr>
        <w:t>to work with me to make sure my needs are met</w:t>
      </w:r>
    </w:p>
    <w:p w:rsidR="006F5D32" w:rsidRPr="00E9037E" w:rsidRDefault="00036D95" w:rsidP="00AB1467">
      <w:pPr>
        <w:pStyle w:val="ListParagraph"/>
        <w:numPr>
          <w:ilvl w:val="0"/>
          <w:numId w:val="4"/>
        </w:numPr>
        <w:autoSpaceDE w:val="0"/>
        <w:autoSpaceDN w:val="0"/>
        <w:adjustRightInd w:val="0"/>
        <w:spacing w:line="360" w:lineRule="auto"/>
        <w:rPr>
          <w:sz w:val="22"/>
          <w:szCs w:val="22"/>
        </w:rPr>
      </w:pPr>
      <w:r w:rsidRPr="00E9037E">
        <w:rPr>
          <w:sz w:val="22"/>
          <w:szCs w:val="22"/>
        </w:rPr>
        <w:t>EBSA acts in a timely fashion</w:t>
      </w:r>
    </w:p>
    <w:p w:rsidR="006F5D32" w:rsidRPr="00E9037E" w:rsidRDefault="00036D95" w:rsidP="00AB1467">
      <w:pPr>
        <w:pStyle w:val="ListParagraph"/>
        <w:numPr>
          <w:ilvl w:val="0"/>
          <w:numId w:val="4"/>
        </w:numPr>
        <w:autoSpaceDE w:val="0"/>
        <w:autoSpaceDN w:val="0"/>
        <w:adjustRightInd w:val="0"/>
        <w:spacing w:line="360" w:lineRule="auto"/>
        <w:rPr>
          <w:sz w:val="22"/>
          <w:szCs w:val="22"/>
        </w:rPr>
      </w:pPr>
      <w:r w:rsidRPr="00E9037E">
        <w:rPr>
          <w:sz w:val="22"/>
          <w:szCs w:val="22"/>
        </w:rPr>
        <w:t>EBSA does what it says it will do</w:t>
      </w:r>
    </w:p>
    <w:p w:rsidR="006F5D32" w:rsidRPr="00E9037E" w:rsidRDefault="00036D95" w:rsidP="00AB1467">
      <w:pPr>
        <w:pStyle w:val="ListParagraph"/>
        <w:numPr>
          <w:ilvl w:val="0"/>
          <w:numId w:val="4"/>
        </w:numPr>
        <w:autoSpaceDE w:val="0"/>
        <w:autoSpaceDN w:val="0"/>
        <w:adjustRightInd w:val="0"/>
        <w:spacing w:line="360" w:lineRule="auto"/>
        <w:rPr>
          <w:sz w:val="22"/>
          <w:szCs w:val="22"/>
        </w:rPr>
      </w:pPr>
      <w:r w:rsidRPr="00E9037E">
        <w:rPr>
          <w:sz w:val="22"/>
          <w:szCs w:val="22"/>
        </w:rPr>
        <w:t>EBSA services are available when I need them</w:t>
      </w:r>
    </w:p>
    <w:p w:rsidR="006F5D32" w:rsidRPr="00E9037E" w:rsidRDefault="00036D95" w:rsidP="00AB1467">
      <w:pPr>
        <w:pStyle w:val="ListParagraph"/>
        <w:numPr>
          <w:ilvl w:val="0"/>
          <w:numId w:val="4"/>
        </w:numPr>
        <w:autoSpaceDE w:val="0"/>
        <w:autoSpaceDN w:val="0"/>
        <w:adjustRightInd w:val="0"/>
        <w:spacing w:line="360" w:lineRule="auto"/>
        <w:rPr>
          <w:sz w:val="22"/>
          <w:szCs w:val="22"/>
        </w:rPr>
      </w:pPr>
      <w:r w:rsidRPr="00E9037E">
        <w:rPr>
          <w:sz w:val="22"/>
          <w:szCs w:val="22"/>
        </w:rPr>
        <w:t>EBSA is easy to reach</w:t>
      </w:r>
    </w:p>
    <w:p w:rsidR="006F5D32" w:rsidRPr="00E9037E" w:rsidRDefault="00036D95" w:rsidP="00AB1467">
      <w:pPr>
        <w:pStyle w:val="ListParagraph"/>
        <w:numPr>
          <w:ilvl w:val="0"/>
          <w:numId w:val="4"/>
        </w:numPr>
        <w:autoSpaceDE w:val="0"/>
        <w:autoSpaceDN w:val="0"/>
        <w:adjustRightInd w:val="0"/>
        <w:spacing w:line="360" w:lineRule="auto"/>
        <w:rPr>
          <w:sz w:val="22"/>
          <w:szCs w:val="22"/>
        </w:rPr>
      </w:pPr>
      <w:r w:rsidRPr="00E9037E">
        <w:rPr>
          <w:sz w:val="22"/>
          <w:szCs w:val="22"/>
        </w:rPr>
        <w:t>The information I receive from EBSA is clear and easy to understand</w:t>
      </w:r>
    </w:p>
    <w:p w:rsidR="006F5D32" w:rsidRPr="00E9037E" w:rsidRDefault="00036D95" w:rsidP="00AB1467">
      <w:pPr>
        <w:pStyle w:val="ListParagraph"/>
        <w:numPr>
          <w:ilvl w:val="0"/>
          <w:numId w:val="4"/>
        </w:numPr>
        <w:autoSpaceDE w:val="0"/>
        <w:autoSpaceDN w:val="0"/>
        <w:adjustRightInd w:val="0"/>
        <w:spacing w:line="360" w:lineRule="auto"/>
        <w:rPr>
          <w:sz w:val="22"/>
          <w:szCs w:val="22"/>
        </w:rPr>
      </w:pPr>
      <w:r w:rsidRPr="00E9037E">
        <w:rPr>
          <w:sz w:val="22"/>
          <w:szCs w:val="22"/>
        </w:rPr>
        <w:t>EBSA does its best to help me out</w:t>
      </w:r>
    </w:p>
    <w:p w:rsidR="006F5D32" w:rsidRPr="00E9037E" w:rsidRDefault="006F5D32" w:rsidP="00AB1467">
      <w:pPr>
        <w:autoSpaceDE w:val="0"/>
        <w:autoSpaceDN w:val="0"/>
        <w:adjustRightInd w:val="0"/>
        <w:spacing w:line="360" w:lineRule="auto"/>
        <w:ind w:left="720"/>
        <w:rPr>
          <w:sz w:val="22"/>
          <w:szCs w:val="22"/>
        </w:rPr>
      </w:pPr>
    </w:p>
    <w:p w:rsidR="006F5D32" w:rsidRPr="00E9037E" w:rsidRDefault="006F5D32" w:rsidP="00AB1467">
      <w:pPr>
        <w:autoSpaceDE w:val="0"/>
        <w:autoSpaceDN w:val="0"/>
        <w:adjustRightInd w:val="0"/>
        <w:spacing w:line="360" w:lineRule="auto"/>
        <w:ind w:left="720"/>
        <w:rPr>
          <w:sz w:val="22"/>
          <w:szCs w:val="22"/>
        </w:rPr>
      </w:pPr>
    </w:p>
    <w:p w:rsidR="00696AE7" w:rsidRPr="00E9037E" w:rsidRDefault="00696AE7"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p>
    <w:p w:rsidR="00696AE7" w:rsidRPr="00236683" w:rsidRDefault="0005032B" w:rsidP="00696AE7">
      <w:pPr>
        <w:rPr>
          <w:sz w:val="22"/>
          <w:szCs w:val="22"/>
        </w:rPr>
      </w:pPr>
      <w:r w:rsidRPr="00F47EC7">
        <w:rPr>
          <w:sz w:val="22"/>
          <w:szCs w:val="22"/>
        </w:rPr>
        <w:t>For each of these selected variables</w:t>
      </w:r>
      <w:r w:rsidR="00CD5338" w:rsidRPr="00F47EC7">
        <w:rPr>
          <w:sz w:val="22"/>
          <w:szCs w:val="22"/>
        </w:rPr>
        <w:t xml:space="preserve">, the mean of the two groups (‘early’ and ’late’ respondents) will be compared based on a t- test using </w:t>
      </w:r>
      <w:r w:rsidR="00DA16A9" w:rsidRPr="00236683">
        <w:rPr>
          <w:sz w:val="22"/>
          <w:szCs w:val="22"/>
        </w:rPr>
        <w:t>u</w:t>
      </w:r>
      <w:r w:rsidR="00696AE7" w:rsidRPr="00236683">
        <w:rPr>
          <w:sz w:val="22"/>
          <w:szCs w:val="22"/>
        </w:rPr>
        <w:t>sing software SUDAAN so that the sample design and the resulting sample weights can be taken into consideration.</w:t>
      </w:r>
    </w:p>
    <w:p w:rsidR="00DA16A9" w:rsidRPr="00E9037E" w:rsidRDefault="00DA16A9" w:rsidP="00696AE7"/>
    <w:p w:rsidR="003745E3" w:rsidRPr="00E9037E" w:rsidRDefault="00CD5338"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r w:rsidRPr="00E9037E">
        <w:rPr>
          <w:sz w:val="22"/>
          <w:szCs w:val="22"/>
        </w:rPr>
        <w:t>Let the mean (or equivalently the proportion of 1</w:t>
      </w:r>
      <w:r w:rsidR="005F14AC" w:rsidRPr="00E9037E">
        <w:rPr>
          <w:sz w:val="22"/>
          <w:szCs w:val="22"/>
          <w:vertAlign w:val="superscript"/>
        </w:rPr>
        <w:t>s</w:t>
      </w:r>
      <w:r w:rsidRPr="00E9037E">
        <w:rPr>
          <w:sz w:val="22"/>
          <w:szCs w:val="22"/>
        </w:rPr>
        <w:t xml:space="preserve"> for a 0-1 variable) of ‘early’ </w:t>
      </w:r>
      <w:r w:rsidR="002745F9" w:rsidRPr="00E9037E">
        <w:rPr>
          <w:sz w:val="22"/>
          <w:szCs w:val="22"/>
        </w:rPr>
        <w:t xml:space="preserve">and ‘late’ respondents for a specific variable </w:t>
      </w:r>
      <w:r w:rsidR="003745E3" w:rsidRPr="00E9037E">
        <w:rPr>
          <w:sz w:val="22"/>
          <w:szCs w:val="22"/>
        </w:rPr>
        <w:t xml:space="preserve">(Y) </w:t>
      </w:r>
      <w:r w:rsidR="002745F9" w:rsidRPr="00E9037E">
        <w:rPr>
          <w:sz w:val="22"/>
          <w:szCs w:val="22"/>
        </w:rPr>
        <w:t>based on survey data be denoted by p</w:t>
      </w:r>
      <w:r w:rsidR="005F14AC" w:rsidRPr="00E9037E">
        <w:rPr>
          <w:sz w:val="22"/>
          <w:szCs w:val="22"/>
          <w:vertAlign w:val="subscript"/>
        </w:rPr>
        <w:t>1</w:t>
      </w:r>
      <w:r w:rsidR="002745F9" w:rsidRPr="00E9037E">
        <w:rPr>
          <w:sz w:val="22"/>
          <w:szCs w:val="22"/>
        </w:rPr>
        <w:t xml:space="preserve"> and p</w:t>
      </w:r>
      <w:r w:rsidR="005F14AC" w:rsidRPr="00E9037E">
        <w:rPr>
          <w:sz w:val="22"/>
          <w:szCs w:val="22"/>
          <w:vertAlign w:val="subscript"/>
        </w:rPr>
        <w:t>2</w:t>
      </w:r>
      <w:r w:rsidR="003745E3" w:rsidRPr="00E9037E">
        <w:rPr>
          <w:sz w:val="22"/>
          <w:szCs w:val="22"/>
        </w:rPr>
        <w:t xml:space="preserve"> respectively. Then, p</w:t>
      </w:r>
      <w:r w:rsidR="005F14AC" w:rsidRPr="00E9037E">
        <w:rPr>
          <w:sz w:val="22"/>
          <w:szCs w:val="22"/>
          <w:vertAlign w:val="subscript"/>
        </w:rPr>
        <w:t>1</w:t>
      </w:r>
      <w:r w:rsidR="003745E3" w:rsidRPr="00E9037E">
        <w:rPr>
          <w:sz w:val="22"/>
          <w:szCs w:val="22"/>
        </w:rPr>
        <w:t xml:space="preserve"> can be written as </w:t>
      </w:r>
    </w:p>
    <w:p w:rsidR="0096178B" w:rsidRPr="00E9037E" w:rsidRDefault="003745E3" w:rsidP="003745E3">
      <w:pPr>
        <w:autoSpaceDE w:val="0"/>
        <w:autoSpaceDN w:val="0"/>
        <w:adjustRightInd w:val="0"/>
        <w:spacing w:line="360" w:lineRule="auto"/>
        <w:rPr>
          <w:sz w:val="22"/>
          <w:szCs w:val="22"/>
        </w:rPr>
      </w:pPr>
      <w:r w:rsidRPr="00E9037E">
        <w:rPr>
          <w:sz w:val="22"/>
          <w:szCs w:val="22"/>
        </w:rPr>
        <w:t>p</w:t>
      </w:r>
      <w:r w:rsidR="005F14AC" w:rsidRPr="00E9037E">
        <w:rPr>
          <w:sz w:val="22"/>
          <w:szCs w:val="22"/>
          <w:vertAlign w:val="subscript"/>
        </w:rPr>
        <w:t>1</w:t>
      </w:r>
      <w:r w:rsidRPr="00E9037E">
        <w:rPr>
          <w:sz w:val="22"/>
          <w:szCs w:val="22"/>
        </w:rPr>
        <w:t xml:space="preserve"> = ∑W</w:t>
      </w:r>
      <w:r w:rsidR="005F14AC" w:rsidRPr="00E9037E">
        <w:rPr>
          <w:sz w:val="22"/>
          <w:szCs w:val="22"/>
          <w:vertAlign w:val="subscript"/>
        </w:rPr>
        <w:t>i</w:t>
      </w:r>
      <w:r w:rsidRPr="00E9037E">
        <w:rPr>
          <w:sz w:val="22"/>
          <w:szCs w:val="22"/>
        </w:rPr>
        <w:t>y</w:t>
      </w:r>
      <w:r w:rsidR="005F14AC" w:rsidRPr="00E9037E">
        <w:rPr>
          <w:sz w:val="22"/>
          <w:szCs w:val="22"/>
          <w:vertAlign w:val="subscript"/>
        </w:rPr>
        <w:t>i</w:t>
      </w:r>
      <w:r w:rsidRPr="00E9037E">
        <w:rPr>
          <w:sz w:val="22"/>
          <w:szCs w:val="22"/>
        </w:rPr>
        <w:t>/∑W</w:t>
      </w:r>
      <w:r w:rsidR="005F14AC" w:rsidRPr="00E9037E">
        <w:rPr>
          <w:sz w:val="22"/>
          <w:szCs w:val="22"/>
          <w:vertAlign w:val="subscript"/>
        </w:rPr>
        <w:t>i</w:t>
      </w:r>
      <w:r w:rsidRPr="00E9037E">
        <w:rPr>
          <w:sz w:val="22"/>
          <w:szCs w:val="22"/>
        </w:rPr>
        <w:t>, where y</w:t>
      </w:r>
      <w:r w:rsidR="005F14AC" w:rsidRPr="00E9037E">
        <w:rPr>
          <w:sz w:val="22"/>
          <w:szCs w:val="22"/>
          <w:vertAlign w:val="subscript"/>
        </w:rPr>
        <w:t>i</w:t>
      </w:r>
      <w:r w:rsidRPr="00E9037E">
        <w:rPr>
          <w:sz w:val="22"/>
          <w:szCs w:val="22"/>
        </w:rPr>
        <w:t xml:space="preserve"> is 1 if the value of </w:t>
      </w:r>
      <w:r w:rsidR="003E512A" w:rsidRPr="00E9037E">
        <w:rPr>
          <w:sz w:val="22"/>
          <w:szCs w:val="22"/>
        </w:rPr>
        <w:t xml:space="preserve">variable </w:t>
      </w:r>
      <w:r w:rsidRPr="00E9037E">
        <w:rPr>
          <w:sz w:val="22"/>
          <w:szCs w:val="22"/>
        </w:rPr>
        <w:t>Y for the i</w:t>
      </w:r>
      <w:r w:rsidR="005F14AC" w:rsidRPr="00E9037E">
        <w:rPr>
          <w:sz w:val="22"/>
          <w:szCs w:val="22"/>
          <w:vertAlign w:val="superscript"/>
        </w:rPr>
        <w:t>th</w:t>
      </w:r>
      <w:r w:rsidRPr="00E9037E">
        <w:rPr>
          <w:sz w:val="22"/>
          <w:szCs w:val="22"/>
        </w:rPr>
        <w:t xml:space="preserve"> respondent is 1 and ‘0’ otherwise; W</w:t>
      </w:r>
      <w:r w:rsidR="005F14AC" w:rsidRPr="00E9037E">
        <w:rPr>
          <w:sz w:val="22"/>
          <w:szCs w:val="22"/>
          <w:vertAlign w:val="subscript"/>
        </w:rPr>
        <w:t>i</w:t>
      </w:r>
      <w:r w:rsidRPr="00E9037E">
        <w:rPr>
          <w:sz w:val="22"/>
          <w:szCs w:val="22"/>
        </w:rPr>
        <w:t xml:space="preserve"> is the weight assigned to the i</w:t>
      </w:r>
      <w:r w:rsidR="005F14AC" w:rsidRPr="00E9037E">
        <w:rPr>
          <w:sz w:val="22"/>
          <w:szCs w:val="22"/>
          <w:vertAlign w:val="superscript"/>
        </w:rPr>
        <w:t>th</w:t>
      </w:r>
      <w:r w:rsidRPr="00E9037E">
        <w:rPr>
          <w:sz w:val="22"/>
          <w:szCs w:val="22"/>
        </w:rPr>
        <w:t xml:space="preserve"> respondent and the summation in both numerator and denominator is over all ‘early’ respondents in the sample.  p</w:t>
      </w:r>
      <w:r w:rsidR="005F14AC" w:rsidRPr="00E9037E">
        <w:rPr>
          <w:sz w:val="22"/>
          <w:szCs w:val="22"/>
          <w:vertAlign w:val="subscript"/>
        </w:rPr>
        <w:t xml:space="preserve">2 </w:t>
      </w:r>
      <w:r w:rsidRPr="00E9037E">
        <w:rPr>
          <w:sz w:val="22"/>
          <w:szCs w:val="22"/>
        </w:rPr>
        <w:t>can be similarly defined.  The t-statistic for testing the equality of means for those two groups (H</w:t>
      </w:r>
      <w:r w:rsidR="005F14AC" w:rsidRPr="00E9037E">
        <w:rPr>
          <w:sz w:val="22"/>
          <w:szCs w:val="22"/>
          <w:vertAlign w:val="subscript"/>
        </w:rPr>
        <w:t>o</w:t>
      </w:r>
      <w:r w:rsidRPr="00E9037E">
        <w:rPr>
          <w:sz w:val="22"/>
          <w:szCs w:val="22"/>
        </w:rPr>
        <w:t>: P</w:t>
      </w:r>
      <w:r w:rsidR="005F14AC" w:rsidRPr="00E9037E">
        <w:rPr>
          <w:sz w:val="22"/>
          <w:szCs w:val="22"/>
          <w:vertAlign w:val="subscript"/>
        </w:rPr>
        <w:t>1</w:t>
      </w:r>
      <w:r w:rsidRPr="00E9037E">
        <w:rPr>
          <w:sz w:val="22"/>
          <w:szCs w:val="22"/>
        </w:rPr>
        <w:t>=P</w:t>
      </w:r>
      <w:r w:rsidR="005F14AC" w:rsidRPr="00E9037E">
        <w:rPr>
          <w:sz w:val="22"/>
          <w:szCs w:val="22"/>
          <w:vertAlign w:val="subscript"/>
        </w:rPr>
        <w:t>2</w:t>
      </w:r>
      <w:r w:rsidRPr="00E9037E">
        <w:rPr>
          <w:sz w:val="22"/>
          <w:szCs w:val="22"/>
        </w:rPr>
        <w:t xml:space="preserve"> vs. H</w:t>
      </w:r>
      <w:r w:rsidR="005F14AC" w:rsidRPr="00E9037E">
        <w:rPr>
          <w:sz w:val="22"/>
          <w:szCs w:val="22"/>
          <w:vertAlign w:val="subscript"/>
        </w:rPr>
        <w:t>1</w:t>
      </w:r>
      <w:r w:rsidRPr="00E9037E">
        <w:rPr>
          <w:sz w:val="22"/>
          <w:szCs w:val="22"/>
        </w:rPr>
        <w:t>:P</w:t>
      </w:r>
      <w:r w:rsidR="005F14AC" w:rsidRPr="00E9037E">
        <w:rPr>
          <w:sz w:val="22"/>
          <w:szCs w:val="22"/>
          <w:vertAlign w:val="subscript"/>
        </w:rPr>
        <w:t>1</w:t>
      </w:r>
      <w:r w:rsidRPr="00E9037E">
        <w:rPr>
          <w:sz w:val="22"/>
          <w:szCs w:val="22"/>
        </w:rPr>
        <w:t xml:space="preserve"> ≠ P</w:t>
      </w:r>
      <w:r w:rsidR="005F14AC" w:rsidRPr="00E9037E">
        <w:rPr>
          <w:sz w:val="22"/>
          <w:szCs w:val="22"/>
          <w:vertAlign w:val="subscript"/>
        </w:rPr>
        <w:t>2</w:t>
      </w:r>
      <w:r w:rsidRPr="00E9037E">
        <w:rPr>
          <w:sz w:val="22"/>
          <w:szCs w:val="22"/>
        </w:rPr>
        <w:t xml:space="preserve"> where P</w:t>
      </w:r>
      <w:r w:rsidR="005F14AC" w:rsidRPr="00E9037E">
        <w:rPr>
          <w:sz w:val="22"/>
          <w:szCs w:val="22"/>
          <w:vertAlign w:val="subscript"/>
        </w:rPr>
        <w:t>1</w:t>
      </w:r>
      <w:r w:rsidRPr="00E9037E">
        <w:rPr>
          <w:sz w:val="22"/>
          <w:szCs w:val="22"/>
        </w:rPr>
        <w:t xml:space="preserve"> and P</w:t>
      </w:r>
      <w:r w:rsidR="005F14AC" w:rsidRPr="00E9037E">
        <w:rPr>
          <w:sz w:val="22"/>
          <w:szCs w:val="22"/>
          <w:vertAlign w:val="subscript"/>
        </w:rPr>
        <w:t>2</w:t>
      </w:r>
      <w:r w:rsidRPr="00E9037E">
        <w:rPr>
          <w:sz w:val="22"/>
          <w:szCs w:val="22"/>
        </w:rPr>
        <w:t xml:space="preserve"> are the corresponding population means) will be computed as</w:t>
      </w:r>
      <w:r w:rsidR="0096178B" w:rsidRPr="00E9037E">
        <w:rPr>
          <w:sz w:val="22"/>
          <w:szCs w:val="22"/>
        </w:rPr>
        <w:t>:</w:t>
      </w:r>
    </w:p>
    <w:p w:rsidR="003745E3" w:rsidRPr="00E9037E" w:rsidRDefault="003745E3" w:rsidP="003745E3">
      <w:pPr>
        <w:autoSpaceDE w:val="0"/>
        <w:autoSpaceDN w:val="0"/>
        <w:adjustRightInd w:val="0"/>
        <w:spacing w:line="360" w:lineRule="auto"/>
        <w:rPr>
          <w:sz w:val="22"/>
          <w:szCs w:val="22"/>
        </w:rPr>
      </w:pPr>
      <w:r w:rsidRPr="00E9037E">
        <w:rPr>
          <w:sz w:val="22"/>
          <w:szCs w:val="22"/>
        </w:rPr>
        <w:t>t=(p</w:t>
      </w:r>
      <w:r w:rsidRPr="00E9037E">
        <w:rPr>
          <w:sz w:val="22"/>
          <w:szCs w:val="22"/>
          <w:vertAlign w:val="subscript"/>
        </w:rPr>
        <w:t>1</w:t>
      </w:r>
      <w:r w:rsidRPr="00E9037E">
        <w:rPr>
          <w:sz w:val="22"/>
          <w:szCs w:val="22"/>
        </w:rPr>
        <w:t xml:space="preserve"> – p</w:t>
      </w:r>
      <w:r w:rsidRPr="00E9037E">
        <w:rPr>
          <w:sz w:val="22"/>
          <w:szCs w:val="22"/>
          <w:vertAlign w:val="subscript"/>
        </w:rPr>
        <w:t>2</w:t>
      </w:r>
      <w:r w:rsidRPr="00E9037E">
        <w:rPr>
          <w:sz w:val="22"/>
          <w:szCs w:val="22"/>
        </w:rPr>
        <w:t>)/SE (p</w:t>
      </w:r>
      <w:r w:rsidRPr="00E9037E">
        <w:rPr>
          <w:sz w:val="22"/>
          <w:szCs w:val="22"/>
          <w:vertAlign w:val="subscript"/>
        </w:rPr>
        <w:t>1</w:t>
      </w:r>
      <w:r w:rsidRPr="00E9037E">
        <w:rPr>
          <w:sz w:val="22"/>
          <w:szCs w:val="22"/>
        </w:rPr>
        <w:t xml:space="preserve"> – p</w:t>
      </w:r>
      <w:r w:rsidRPr="00E9037E">
        <w:rPr>
          <w:sz w:val="22"/>
          <w:szCs w:val="22"/>
          <w:vertAlign w:val="subscript"/>
        </w:rPr>
        <w:t>2</w:t>
      </w:r>
      <w:r w:rsidRPr="00E9037E">
        <w:rPr>
          <w:sz w:val="22"/>
          <w:szCs w:val="22"/>
        </w:rPr>
        <w:t xml:space="preserve">) </w:t>
      </w:r>
      <w:r w:rsidR="0096178B" w:rsidRPr="00E9037E">
        <w:rPr>
          <w:sz w:val="22"/>
          <w:szCs w:val="22"/>
        </w:rPr>
        <w:t>, where SE (p</w:t>
      </w:r>
      <w:r w:rsidR="005F14AC" w:rsidRPr="00E9037E">
        <w:rPr>
          <w:sz w:val="22"/>
          <w:szCs w:val="22"/>
          <w:vertAlign w:val="subscript"/>
        </w:rPr>
        <w:t>1</w:t>
      </w:r>
      <w:r w:rsidR="0096178B" w:rsidRPr="00E9037E">
        <w:rPr>
          <w:sz w:val="22"/>
          <w:szCs w:val="22"/>
        </w:rPr>
        <w:t xml:space="preserve"> – p</w:t>
      </w:r>
      <w:r w:rsidR="005F14AC" w:rsidRPr="00E9037E">
        <w:rPr>
          <w:sz w:val="22"/>
          <w:szCs w:val="22"/>
          <w:vertAlign w:val="subscript"/>
        </w:rPr>
        <w:t>2</w:t>
      </w:r>
      <w:r w:rsidR="0096178B" w:rsidRPr="00E9037E">
        <w:rPr>
          <w:sz w:val="22"/>
          <w:szCs w:val="22"/>
        </w:rPr>
        <w:t xml:space="preserve">) is the standard error or </w:t>
      </w:r>
      <w:r w:rsidR="003E512A" w:rsidRPr="00E9037E">
        <w:rPr>
          <w:sz w:val="22"/>
          <w:szCs w:val="22"/>
        </w:rPr>
        <w:t xml:space="preserve">the estimated </w:t>
      </w:r>
      <w:r w:rsidR="0096178B" w:rsidRPr="00E9037E">
        <w:rPr>
          <w:sz w:val="22"/>
          <w:szCs w:val="22"/>
        </w:rPr>
        <w:t>square-root of the variance of (p</w:t>
      </w:r>
      <w:r w:rsidR="005F14AC" w:rsidRPr="00E9037E">
        <w:rPr>
          <w:sz w:val="22"/>
          <w:szCs w:val="22"/>
          <w:vertAlign w:val="subscript"/>
        </w:rPr>
        <w:t>1</w:t>
      </w:r>
      <w:r w:rsidR="0096178B" w:rsidRPr="00E9037E">
        <w:rPr>
          <w:sz w:val="22"/>
          <w:szCs w:val="22"/>
        </w:rPr>
        <w:t xml:space="preserve"> – p</w:t>
      </w:r>
      <w:r w:rsidR="005F14AC" w:rsidRPr="00E9037E">
        <w:rPr>
          <w:sz w:val="22"/>
          <w:szCs w:val="22"/>
          <w:vertAlign w:val="subscript"/>
        </w:rPr>
        <w:t>2</w:t>
      </w:r>
      <w:r w:rsidR="0096178B" w:rsidRPr="00E9037E">
        <w:rPr>
          <w:sz w:val="22"/>
          <w:szCs w:val="22"/>
        </w:rPr>
        <w:t xml:space="preserve">). </w:t>
      </w:r>
    </w:p>
    <w:p w:rsidR="003745E3" w:rsidRPr="00E9037E" w:rsidRDefault="003745E3" w:rsidP="003745E3">
      <w:pPr>
        <w:autoSpaceDE w:val="0"/>
        <w:autoSpaceDN w:val="0"/>
        <w:adjustRightInd w:val="0"/>
        <w:spacing w:line="360" w:lineRule="auto"/>
        <w:rPr>
          <w:sz w:val="22"/>
          <w:szCs w:val="22"/>
        </w:rPr>
      </w:pPr>
    </w:p>
    <w:p w:rsidR="0096178B" w:rsidRPr="00E9037E" w:rsidRDefault="0096178B" w:rsidP="003745E3">
      <w:pPr>
        <w:autoSpaceDE w:val="0"/>
        <w:autoSpaceDN w:val="0"/>
        <w:adjustRightInd w:val="0"/>
        <w:spacing w:line="360" w:lineRule="auto"/>
        <w:rPr>
          <w:sz w:val="22"/>
          <w:szCs w:val="22"/>
        </w:rPr>
      </w:pPr>
      <w:r w:rsidRPr="00E9037E">
        <w:rPr>
          <w:sz w:val="22"/>
          <w:szCs w:val="22"/>
        </w:rPr>
        <w:t xml:space="preserve">In order to obtain the value of t-statistic (and the corresponding significance level or p-value), the main SUDAAN commands </w:t>
      </w:r>
      <w:r w:rsidR="00733165" w:rsidRPr="00E9037E">
        <w:rPr>
          <w:sz w:val="22"/>
          <w:szCs w:val="22"/>
        </w:rPr>
        <w:t xml:space="preserve">using the DESCRIPT procedure </w:t>
      </w:r>
      <w:r w:rsidRPr="00E9037E">
        <w:rPr>
          <w:sz w:val="22"/>
          <w:szCs w:val="22"/>
        </w:rPr>
        <w:t>will be as follows:</w:t>
      </w:r>
    </w:p>
    <w:p w:rsidR="00506495" w:rsidRPr="00E9037E" w:rsidRDefault="00506495" w:rsidP="00506495">
      <w:pPr>
        <w:autoSpaceDE w:val="0"/>
        <w:autoSpaceDN w:val="0"/>
        <w:adjustRightInd w:val="0"/>
        <w:spacing w:line="360" w:lineRule="auto"/>
        <w:rPr>
          <w:sz w:val="22"/>
          <w:szCs w:val="22"/>
        </w:rPr>
      </w:pPr>
      <w:r w:rsidRPr="00E9037E">
        <w:rPr>
          <w:sz w:val="22"/>
          <w:szCs w:val="22"/>
        </w:rPr>
        <w:t>PROC DESCRIPT DATA=XXXX FILETYPE=SAS DESIGN=STRWR;</w:t>
      </w:r>
    </w:p>
    <w:p w:rsidR="00506495" w:rsidRPr="00E9037E" w:rsidRDefault="00506495" w:rsidP="00506495">
      <w:pPr>
        <w:autoSpaceDE w:val="0"/>
        <w:autoSpaceDN w:val="0"/>
        <w:adjustRightInd w:val="0"/>
        <w:spacing w:line="360" w:lineRule="auto"/>
        <w:rPr>
          <w:sz w:val="22"/>
          <w:szCs w:val="22"/>
        </w:rPr>
      </w:pPr>
      <w:r w:rsidRPr="00E9037E">
        <w:rPr>
          <w:sz w:val="22"/>
          <w:szCs w:val="22"/>
        </w:rPr>
        <w:t>nest office_period;</w:t>
      </w:r>
    </w:p>
    <w:p w:rsidR="005F14AC" w:rsidRPr="00E9037E" w:rsidRDefault="00506495" w:rsidP="00AB1467">
      <w:pPr>
        <w:autoSpaceDE w:val="0"/>
        <w:autoSpaceDN w:val="0"/>
        <w:rPr>
          <w:color w:val="000000"/>
          <w:shd w:val="clear" w:color="auto" w:fill="FFFFFF"/>
        </w:rPr>
      </w:pPr>
      <w:r w:rsidRPr="00E9037E">
        <w:rPr>
          <w:color w:val="0000FF"/>
          <w:shd w:val="clear" w:color="auto" w:fill="FFFFFF"/>
        </w:rPr>
        <w:t>WEIGHT</w:t>
      </w:r>
      <w:r w:rsidRPr="00E9037E">
        <w:rPr>
          <w:color w:val="000000"/>
          <w:shd w:val="clear" w:color="auto" w:fill="FFFFFF"/>
        </w:rPr>
        <w:t xml:space="preserve"> FINALWT;</w:t>
      </w:r>
    </w:p>
    <w:p w:rsidR="00506495" w:rsidRPr="00E9037E" w:rsidRDefault="00506495" w:rsidP="00506495">
      <w:pPr>
        <w:autoSpaceDE w:val="0"/>
        <w:autoSpaceDN w:val="0"/>
        <w:adjustRightInd w:val="0"/>
        <w:spacing w:line="360" w:lineRule="auto"/>
        <w:rPr>
          <w:sz w:val="22"/>
          <w:szCs w:val="22"/>
        </w:rPr>
      </w:pPr>
      <w:r w:rsidRPr="00E9037E">
        <w:rPr>
          <w:sz w:val="22"/>
          <w:szCs w:val="22"/>
        </w:rPr>
        <w:t>class early</w:t>
      </w:r>
      <w:r w:rsidR="00C90853" w:rsidRPr="00E9037E">
        <w:rPr>
          <w:sz w:val="22"/>
          <w:szCs w:val="22"/>
        </w:rPr>
        <w:t>_</w:t>
      </w:r>
      <w:r w:rsidRPr="00E9037E">
        <w:rPr>
          <w:sz w:val="22"/>
          <w:szCs w:val="22"/>
        </w:rPr>
        <w:t>late;</w:t>
      </w:r>
    </w:p>
    <w:p w:rsidR="00506495" w:rsidRPr="00E9037E" w:rsidRDefault="00506495" w:rsidP="00506495">
      <w:pPr>
        <w:autoSpaceDE w:val="0"/>
        <w:autoSpaceDN w:val="0"/>
        <w:adjustRightInd w:val="0"/>
        <w:spacing w:line="360" w:lineRule="auto"/>
        <w:rPr>
          <w:sz w:val="22"/>
          <w:szCs w:val="22"/>
        </w:rPr>
      </w:pPr>
      <w:r w:rsidRPr="00E9037E">
        <w:rPr>
          <w:sz w:val="22"/>
          <w:szCs w:val="22"/>
        </w:rPr>
        <w:t>var  Y;</w:t>
      </w:r>
    </w:p>
    <w:p w:rsidR="00506495" w:rsidRPr="00E9037E" w:rsidRDefault="00506495" w:rsidP="00506495">
      <w:pPr>
        <w:autoSpaceDE w:val="0"/>
        <w:autoSpaceDN w:val="0"/>
        <w:adjustRightInd w:val="0"/>
        <w:spacing w:line="360" w:lineRule="auto"/>
        <w:rPr>
          <w:sz w:val="22"/>
          <w:szCs w:val="22"/>
        </w:rPr>
      </w:pPr>
      <w:r w:rsidRPr="00E9037E">
        <w:rPr>
          <w:sz w:val="22"/>
          <w:szCs w:val="22"/>
        </w:rPr>
        <w:t>contrast early_late = (1 -1)/name = "respondent vs. nonrespondent";</w:t>
      </w:r>
    </w:p>
    <w:p w:rsidR="002874BA" w:rsidRDefault="00506495" w:rsidP="00506495">
      <w:pPr>
        <w:autoSpaceDE w:val="0"/>
        <w:autoSpaceDN w:val="0"/>
        <w:adjustRightInd w:val="0"/>
        <w:spacing w:line="360" w:lineRule="auto"/>
        <w:rPr>
          <w:sz w:val="22"/>
          <w:szCs w:val="22"/>
        </w:rPr>
      </w:pPr>
      <w:r w:rsidRPr="00E9037E">
        <w:rPr>
          <w:sz w:val="22"/>
          <w:szCs w:val="22"/>
        </w:rPr>
        <w:t>print nsum t_mean p_mean mean;</w:t>
      </w:r>
    </w:p>
    <w:p w:rsidR="006409BB" w:rsidRDefault="006409BB" w:rsidP="00506495">
      <w:pPr>
        <w:autoSpaceDE w:val="0"/>
        <w:autoSpaceDN w:val="0"/>
        <w:adjustRightInd w:val="0"/>
        <w:spacing w:line="360" w:lineRule="auto"/>
        <w:rPr>
          <w:sz w:val="22"/>
          <w:szCs w:val="22"/>
        </w:rPr>
      </w:pPr>
    </w:p>
    <w:p w:rsidR="006409BB" w:rsidRDefault="006409BB" w:rsidP="00F47EC7">
      <w:pPr>
        <w:autoSpaceDE w:val="0"/>
        <w:autoSpaceDN w:val="0"/>
        <w:adjustRightInd w:val="0"/>
        <w:spacing w:line="360" w:lineRule="auto"/>
        <w:rPr>
          <w:sz w:val="22"/>
          <w:szCs w:val="22"/>
        </w:rPr>
      </w:pPr>
      <w:r>
        <w:rPr>
          <w:sz w:val="22"/>
          <w:szCs w:val="22"/>
        </w:rPr>
        <w:t xml:space="preserve">The variable office_period (obtained by crossing the levels of regional offices and data collection periods) will represent all the strata. The design STRWR is proposed in the design statement based on the assumption that the sampling fraction within each stratum will be small ( less than 10 percent). If that condition is not satisfied, the STRWOR (stratified without replacement) option will be used and necessary information (TOTCNT representing the total number of cases per stratum) will be included in the SUDAAN statements. The WEIGHT statement specifies the final weight variable. The CLASS statement defines the independent variables as categorical and REFLEVEL specifies the reference level for each of these variables. </w:t>
      </w:r>
    </w:p>
    <w:p w:rsidR="00C90853" w:rsidRPr="00E9037E" w:rsidRDefault="00C90853" w:rsidP="00506495">
      <w:pPr>
        <w:autoSpaceDE w:val="0"/>
        <w:autoSpaceDN w:val="0"/>
        <w:adjustRightInd w:val="0"/>
        <w:spacing w:line="360" w:lineRule="auto"/>
        <w:rPr>
          <w:sz w:val="22"/>
          <w:szCs w:val="22"/>
        </w:rPr>
      </w:pPr>
      <w:r w:rsidRPr="00E9037E">
        <w:rPr>
          <w:sz w:val="22"/>
          <w:szCs w:val="22"/>
        </w:rPr>
        <w:t xml:space="preserve">The early_late variable will contain two distinct values (0-1 for example) to identify the </w:t>
      </w:r>
      <w:r w:rsidR="003E512A" w:rsidRPr="00E9037E">
        <w:rPr>
          <w:sz w:val="22"/>
          <w:szCs w:val="22"/>
        </w:rPr>
        <w:t xml:space="preserve">two </w:t>
      </w:r>
      <w:r w:rsidRPr="00E9037E">
        <w:rPr>
          <w:sz w:val="22"/>
          <w:szCs w:val="22"/>
        </w:rPr>
        <w:t xml:space="preserve">groups (‘early’ or ‘late’) for each case in the data set. The VAR statement will include the variables for which the mean has to be compared between the two groups. For each selected variable included in the VAR statement, the </w:t>
      </w:r>
      <w:r w:rsidR="004E4A0C" w:rsidRPr="00E9037E">
        <w:rPr>
          <w:sz w:val="22"/>
          <w:szCs w:val="22"/>
        </w:rPr>
        <w:t xml:space="preserve">hypothesis of equality of means will be rejected (or not) based on the p-value (less than 0.05 or not). </w:t>
      </w:r>
    </w:p>
    <w:p w:rsidR="006F5D32" w:rsidRPr="00E9037E" w:rsidRDefault="006F5D32" w:rsidP="00AB1467"/>
    <w:p w:rsidR="00696AE7" w:rsidRPr="00E9037E" w:rsidRDefault="00580F6D" w:rsidP="002913C3">
      <w:pPr>
        <w:autoSpaceDE w:val="0"/>
        <w:autoSpaceDN w:val="0"/>
        <w:adjustRightInd w:val="0"/>
        <w:spacing w:line="360" w:lineRule="auto"/>
        <w:rPr>
          <w:sz w:val="22"/>
          <w:szCs w:val="22"/>
        </w:rPr>
      </w:pPr>
      <w:r w:rsidRPr="00E9037E">
        <w:rPr>
          <w:sz w:val="22"/>
          <w:szCs w:val="22"/>
        </w:rPr>
        <w:t>Non-response bias analysis may also involve comparison of survey based estimates to known</w:t>
      </w:r>
      <w:r w:rsidR="002913C3" w:rsidRPr="00E9037E">
        <w:rPr>
          <w:bCs/>
          <w:sz w:val="22"/>
          <w:szCs w:val="22"/>
        </w:rPr>
        <w:t xml:space="preserve"> Population Values</w:t>
      </w:r>
      <w:r w:rsidR="00DA16A9" w:rsidRPr="00E9037E">
        <w:rPr>
          <w:bCs/>
          <w:sz w:val="22"/>
          <w:szCs w:val="22"/>
        </w:rPr>
        <w:t xml:space="preserve"> </w:t>
      </w:r>
      <w:r w:rsidR="000B6107" w:rsidRPr="00E9037E">
        <w:rPr>
          <w:bCs/>
          <w:sz w:val="22"/>
          <w:szCs w:val="22"/>
        </w:rPr>
        <w:t xml:space="preserve">and/or (ii) External Estimates that may be available. </w:t>
      </w:r>
      <w:r w:rsidR="00BF3973" w:rsidRPr="00E9037E">
        <w:rPr>
          <w:sz w:val="22"/>
          <w:szCs w:val="22"/>
        </w:rPr>
        <w:t xml:space="preserve">For this </w:t>
      </w:r>
      <w:r w:rsidR="00D5310C" w:rsidRPr="00E9037E">
        <w:rPr>
          <w:sz w:val="22"/>
          <w:szCs w:val="22"/>
        </w:rPr>
        <w:t>study, variables</w:t>
      </w:r>
      <w:r w:rsidR="00D2237B" w:rsidRPr="00E9037E">
        <w:rPr>
          <w:sz w:val="22"/>
          <w:szCs w:val="22"/>
        </w:rPr>
        <w:t xml:space="preserve"> l</w:t>
      </w:r>
      <w:r w:rsidR="00251277" w:rsidRPr="00E9037E">
        <w:rPr>
          <w:sz w:val="22"/>
          <w:szCs w:val="22"/>
        </w:rPr>
        <w:t>ike Subject entry code, C</w:t>
      </w:r>
      <w:r w:rsidR="00D2237B" w:rsidRPr="00E9037E">
        <w:rPr>
          <w:sz w:val="22"/>
          <w:szCs w:val="22"/>
        </w:rPr>
        <w:t xml:space="preserve">losure types </w:t>
      </w:r>
      <w:r w:rsidR="00F6108C" w:rsidRPr="00E9037E">
        <w:rPr>
          <w:sz w:val="22"/>
          <w:szCs w:val="22"/>
        </w:rPr>
        <w:t xml:space="preserve">and Date </w:t>
      </w:r>
      <w:r w:rsidR="00251277" w:rsidRPr="00E9037E">
        <w:rPr>
          <w:sz w:val="22"/>
          <w:szCs w:val="22"/>
        </w:rPr>
        <w:t>open and D</w:t>
      </w:r>
      <w:r w:rsidR="00F6108C" w:rsidRPr="00E9037E">
        <w:rPr>
          <w:sz w:val="22"/>
          <w:szCs w:val="22"/>
        </w:rPr>
        <w:t xml:space="preserve">ate closed </w:t>
      </w:r>
      <w:r w:rsidR="00251277" w:rsidRPr="00E9037E">
        <w:rPr>
          <w:sz w:val="22"/>
          <w:szCs w:val="22"/>
        </w:rPr>
        <w:t xml:space="preserve">(of inquiry) </w:t>
      </w:r>
      <w:r w:rsidR="00F6108C" w:rsidRPr="00E9037E">
        <w:rPr>
          <w:sz w:val="22"/>
          <w:szCs w:val="22"/>
        </w:rPr>
        <w:t xml:space="preserve">will be available for all cases on the sampling frame.  </w:t>
      </w:r>
      <w:r w:rsidRPr="00E9037E">
        <w:rPr>
          <w:sz w:val="22"/>
          <w:szCs w:val="22"/>
        </w:rPr>
        <w:t xml:space="preserve"> </w:t>
      </w:r>
      <w:r w:rsidR="00251277" w:rsidRPr="00E9037E">
        <w:rPr>
          <w:sz w:val="22"/>
          <w:szCs w:val="22"/>
        </w:rPr>
        <w:t xml:space="preserve">It is, therefore, possible to compute the actual value of population parameters </w:t>
      </w:r>
      <w:r w:rsidR="003E512A" w:rsidRPr="00E9037E">
        <w:rPr>
          <w:sz w:val="22"/>
          <w:szCs w:val="22"/>
        </w:rPr>
        <w:t>that are functions of</w:t>
      </w:r>
      <w:r w:rsidR="00251277" w:rsidRPr="00E9037E">
        <w:rPr>
          <w:sz w:val="22"/>
          <w:szCs w:val="22"/>
        </w:rPr>
        <w:t xml:space="preserve"> these variables and compare those with the corresponding s</w:t>
      </w:r>
      <w:r w:rsidR="00AB28D7" w:rsidRPr="00E9037E">
        <w:rPr>
          <w:sz w:val="22"/>
          <w:szCs w:val="22"/>
        </w:rPr>
        <w:t>a</w:t>
      </w:r>
      <w:r w:rsidR="00251277" w:rsidRPr="00E9037E">
        <w:rPr>
          <w:sz w:val="22"/>
          <w:szCs w:val="22"/>
        </w:rPr>
        <w:t xml:space="preserve">mple based </w:t>
      </w:r>
      <w:r w:rsidR="00AB28D7" w:rsidRPr="00E9037E">
        <w:rPr>
          <w:sz w:val="22"/>
          <w:szCs w:val="22"/>
        </w:rPr>
        <w:t xml:space="preserve">(weighted) </w:t>
      </w:r>
      <w:r w:rsidR="00251277" w:rsidRPr="00E9037E">
        <w:rPr>
          <w:sz w:val="22"/>
          <w:szCs w:val="22"/>
        </w:rPr>
        <w:t xml:space="preserve">estimates. For example, </w:t>
      </w:r>
      <w:r w:rsidR="00696AE7" w:rsidRPr="00E9037E">
        <w:rPr>
          <w:sz w:val="22"/>
          <w:szCs w:val="22"/>
        </w:rPr>
        <w:t xml:space="preserve">the following three population parameters may be used for this comparison. </w:t>
      </w:r>
    </w:p>
    <w:p w:rsidR="00696AE7" w:rsidRPr="00E9037E" w:rsidRDefault="00696AE7" w:rsidP="00696AE7">
      <w:pPr>
        <w:numPr>
          <w:ilvl w:val="0"/>
          <w:numId w:val="5"/>
        </w:numPr>
        <w:contextualSpacing/>
        <w:rPr>
          <w:sz w:val="22"/>
          <w:szCs w:val="22"/>
        </w:rPr>
      </w:pPr>
      <w:r w:rsidRPr="00E9037E">
        <w:rPr>
          <w:sz w:val="22"/>
          <w:szCs w:val="22"/>
        </w:rPr>
        <w:t>P_BCA: Proportion of Benefit Claim Assistance (BCA) calls (derived from the Closure Analysis variable on the sampling frame)</w:t>
      </w:r>
    </w:p>
    <w:p w:rsidR="00696AE7" w:rsidRPr="00E9037E" w:rsidRDefault="00696AE7" w:rsidP="00696AE7">
      <w:pPr>
        <w:numPr>
          <w:ilvl w:val="0"/>
          <w:numId w:val="5"/>
        </w:numPr>
        <w:contextualSpacing/>
        <w:rPr>
          <w:sz w:val="22"/>
          <w:szCs w:val="22"/>
        </w:rPr>
      </w:pPr>
      <w:r w:rsidRPr="00E9037E">
        <w:rPr>
          <w:sz w:val="22"/>
          <w:szCs w:val="22"/>
        </w:rPr>
        <w:t>M_Close: Mean of the variable Days to Close (derived based on Date Opened and Date Closed variables on the sampling frame)</w:t>
      </w:r>
    </w:p>
    <w:p w:rsidR="00696AE7" w:rsidRPr="00E9037E" w:rsidRDefault="00696AE7" w:rsidP="00696AE7">
      <w:pPr>
        <w:numPr>
          <w:ilvl w:val="0"/>
          <w:numId w:val="5"/>
        </w:numPr>
        <w:contextualSpacing/>
        <w:rPr>
          <w:sz w:val="22"/>
          <w:szCs w:val="22"/>
        </w:rPr>
      </w:pPr>
      <w:r w:rsidRPr="00E9037E">
        <w:rPr>
          <w:sz w:val="22"/>
          <w:szCs w:val="22"/>
        </w:rPr>
        <w:t>P_PBS: Proportion of calls falling under a certain subject entry code (for example, the proportion of calls under PBS (Pension Benefits, Social Security Notice). This was derived from the Subject Entry Code variable on the sampling frame.</w:t>
      </w:r>
    </w:p>
    <w:p w:rsidR="00696AE7" w:rsidRPr="00E9037E" w:rsidRDefault="00696AE7" w:rsidP="00696AE7">
      <w:pPr>
        <w:contextualSpacing/>
        <w:rPr>
          <w:sz w:val="22"/>
          <w:szCs w:val="22"/>
        </w:rPr>
      </w:pPr>
    </w:p>
    <w:p w:rsidR="00696AE7" w:rsidRPr="00E9037E" w:rsidRDefault="00696AE7" w:rsidP="00696AE7">
      <w:pPr>
        <w:contextualSpacing/>
        <w:rPr>
          <w:sz w:val="22"/>
          <w:szCs w:val="22"/>
        </w:rPr>
      </w:pPr>
      <w:r w:rsidRPr="00E9037E">
        <w:rPr>
          <w:sz w:val="22"/>
          <w:szCs w:val="22"/>
        </w:rPr>
        <w:t>The corresponding sample-based weighted estimates for the three population parameters will be generated using the values of those variables from the completed surveys. The comparison will be carried out using a one-sample t-test based on a t-statistic = (p–P)/SE(p) where ”p” is the sample-based estimate of the corresponding population proportion (or mean) ”P,” and SE(p) is the estimated standard error of p. The main SUDAAN statements</w:t>
      </w:r>
      <w:r w:rsidR="000B6107" w:rsidRPr="00E9037E">
        <w:rPr>
          <w:sz w:val="22"/>
          <w:szCs w:val="22"/>
        </w:rPr>
        <w:t xml:space="preserve"> to be</w:t>
      </w:r>
      <w:r w:rsidRPr="00E9037E">
        <w:rPr>
          <w:sz w:val="22"/>
          <w:szCs w:val="22"/>
        </w:rPr>
        <w:t xml:space="preserve"> used for the computation of SE(p) </w:t>
      </w:r>
      <w:r w:rsidR="000B6107" w:rsidRPr="00E9037E">
        <w:rPr>
          <w:sz w:val="22"/>
          <w:szCs w:val="22"/>
        </w:rPr>
        <w:t xml:space="preserve">for the variable “Days to Close”, for example, </w:t>
      </w:r>
      <w:r w:rsidRPr="00E9037E">
        <w:rPr>
          <w:sz w:val="22"/>
          <w:szCs w:val="22"/>
        </w:rPr>
        <w:t>will be as follows:</w:t>
      </w:r>
    </w:p>
    <w:p w:rsidR="00696AE7" w:rsidRPr="00E9037E" w:rsidRDefault="00696AE7" w:rsidP="00696AE7">
      <w:pPr>
        <w:ind w:left="720"/>
        <w:contextualSpacing/>
        <w:rPr>
          <w:rFonts w:eastAsia="Calibri"/>
          <w:sz w:val="22"/>
          <w:szCs w:val="22"/>
        </w:rPr>
      </w:pPr>
    </w:p>
    <w:p w:rsidR="00696AE7" w:rsidRPr="00E9037E" w:rsidRDefault="00696AE7" w:rsidP="00696AE7">
      <w:pPr>
        <w:ind w:left="360"/>
        <w:contextualSpacing/>
        <w:rPr>
          <w:rFonts w:eastAsia="Calibri"/>
          <w:sz w:val="22"/>
          <w:szCs w:val="22"/>
        </w:rPr>
      </w:pPr>
      <w:r w:rsidRPr="00E9037E">
        <w:rPr>
          <w:rFonts w:eastAsia="Calibri"/>
          <w:sz w:val="22"/>
          <w:szCs w:val="22"/>
        </w:rPr>
        <w:t>PROC descript data = XXXX filetype = sas design = strwr;</w:t>
      </w:r>
    </w:p>
    <w:p w:rsidR="00696AE7" w:rsidRPr="00E9037E" w:rsidRDefault="00696AE7" w:rsidP="00696AE7">
      <w:pPr>
        <w:ind w:left="360"/>
        <w:contextualSpacing/>
        <w:rPr>
          <w:rFonts w:eastAsia="Calibri"/>
          <w:sz w:val="22"/>
          <w:szCs w:val="22"/>
        </w:rPr>
      </w:pPr>
      <w:r w:rsidRPr="00E9037E">
        <w:rPr>
          <w:rFonts w:eastAsia="Calibri"/>
          <w:sz w:val="22"/>
          <w:szCs w:val="22"/>
        </w:rPr>
        <w:t>NEST office_period;</w:t>
      </w:r>
    </w:p>
    <w:p w:rsidR="00696AE7" w:rsidRPr="00E9037E" w:rsidRDefault="00696AE7" w:rsidP="00696AE7">
      <w:pPr>
        <w:ind w:left="360"/>
        <w:contextualSpacing/>
        <w:rPr>
          <w:rFonts w:eastAsia="Calibri"/>
          <w:sz w:val="22"/>
          <w:szCs w:val="22"/>
        </w:rPr>
      </w:pPr>
      <w:r w:rsidRPr="00E9037E">
        <w:rPr>
          <w:rFonts w:eastAsia="Calibri"/>
          <w:sz w:val="22"/>
          <w:szCs w:val="22"/>
        </w:rPr>
        <w:t>WEIGHT finalwt;</w:t>
      </w:r>
    </w:p>
    <w:p w:rsidR="00696AE7" w:rsidRPr="00E9037E" w:rsidRDefault="00696AE7" w:rsidP="00696AE7">
      <w:pPr>
        <w:ind w:left="360"/>
        <w:contextualSpacing/>
        <w:rPr>
          <w:rFonts w:eastAsia="Calibri"/>
          <w:sz w:val="22"/>
          <w:szCs w:val="22"/>
        </w:rPr>
      </w:pPr>
      <w:r w:rsidRPr="00E9037E">
        <w:rPr>
          <w:rFonts w:eastAsia="Calibri"/>
          <w:sz w:val="22"/>
          <w:szCs w:val="22"/>
        </w:rPr>
        <w:t>VAR days_to_close;</w:t>
      </w:r>
    </w:p>
    <w:p w:rsidR="00696AE7" w:rsidRPr="00E9037E" w:rsidRDefault="00696AE7" w:rsidP="00696AE7">
      <w:pPr>
        <w:ind w:left="360"/>
        <w:contextualSpacing/>
        <w:rPr>
          <w:rFonts w:eastAsia="Calibri"/>
          <w:sz w:val="22"/>
          <w:szCs w:val="22"/>
        </w:rPr>
      </w:pPr>
      <w:r w:rsidRPr="00E9037E">
        <w:rPr>
          <w:rFonts w:eastAsia="Calibri"/>
          <w:sz w:val="22"/>
          <w:szCs w:val="22"/>
        </w:rPr>
        <w:t>PRINT nsum wsum mean semean;</w:t>
      </w:r>
    </w:p>
    <w:p w:rsidR="00696AE7" w:rsidRPr="00E9037E" w:rsidRDefault="00696AE7" w:rsidP="00696AE7">
      <w:pPr>
        <w:autoSpaceDE w:val="0"/>
        <w:autoSpaceDN w:val="0"/>
        <w:adjustRightInd w:val="0"/>
        <w:contextualSpacing/>
        <w:rPr>
          <w:sz w:val="22"/>
          <w:szCs w:val="22"/>
        </w:rPr>
      </w:pPr>
    </w:p>
    <w:p w:rsidR="00696AE7" w:rsidRPr="00E9037E" w:rsidRDefault="00696AE7" w:rsidP="00696AE7">
      <w:pPr>
        <w:autoSpaceDE w:val="0"/>
        <w:autoSpaceDN w:val="0"/>
        <w:adjustRightInd w:val="0"/>
        <w:ind w:left="360"/>
        <w:contextualSpacing/>
        <w:rPr>
          <w:sz w:val="22"/>
          <w:szCs w:val="22"/>
        </w:rPr>
      </w:pPr>
      <w:r w:rsidRPr="00E9037E">
        <w:rPr>
          <w:sz w:val="22"/>
          <w:szCs w:val="22"/>
        </w:rPr>
        <w:t>[</w:t>
      </w:r>
      <w:r w:rsidRPr="00E9037E">
        <w:rPr>
          <w:color w:val="000000"/>
          <w:sz w:val="22"/>
          <w:szCs w:val="22"/>
          <w:shd w:val="clear" w:color="auto" w:fill="FFFFFF"/>
        </w:rPr>
        <w:t xml:space="preserve">NEST statement specifies the strata determined by office and period (2-week data collection period) and FINALWT is the final weight variable. </w:t>
      </w:r>
      <w:r w:rsidRPr="00E9037E">
        <w:rPr>
          <w:sz w:val="22"/>
          <w:szCs w:val="22"/>
        </w:rPr>
        <w:t xml:space="preserve">The VAR statement will include the variable (M_Close: Days to Close) for which the mean was to be compared between the two groups. The hypothesis of equality of means </w:t>
      </w:r>
      <w:r w:rsidR="000B6107" w:rsidRPr="00E9037E">
        <w:rPr>
          <w:sz w:val="22"/>
          <w:szCs w:val="22"/>
        </w:rPr>
        <w:t>will be</w:t>
      </w:r>
      <w:r w:rsidRPr="00E9037E">
        <w:rPr>
          <w:sz w:val="22"/>
          <w:szCs w:val="22"/>
        </w:rPr>
        <w:t xml:space="preserve"> rejected (or not) based on the p-value (less than 0.05 or not).]</w:t>
      </w:r>
    </w:p>
    <w:p w:rsidR="00696AE7" w:rsidRPr="00E9037E" w:rsidRDefault="00696AE7" w:rsidP="00696AE7">
      <w:pPr>
        <w:contextualSpacing/>
        <w:rPr>
          <w:sz w:val="22"/>
          <w:szCs w:val="22"/>
        </w:rPr>
      </w:pPr>
    </w:p>
    <w:p w:rsidR="00696AE7" w:rsidRPr="00E9037E" w:rsidRDefault="00696AE7" w:rsidP="00696AE7">
      <w:pPr>
        <w:contextualSpacing/>
        <w:rPr>
          <w:sz w:val="22"/>
          <w:szCs w:val="22"/>
        </w:rPr>
      </w:pPr>
      <w:r w:rsidRPr="00E9037E">
        <w:rPr>
          <w:sz w:val="22"/>
          <w:szCs w:val="22"/>
        </w:rPr>
        <w:t xml:space="preserve">Once SE(p) </w:t>
      </w:r>
      <w:r w:rsidR="000B6107" w:rsidRPr="00E9037E">
        <w:rPr>
          <w:sz w:val="22"/>
          <w:szCs w:val="22"/>
        </w:rPr>
        <w:t>is</w:t>
      </w:r>
      <w:r w:rsidRPr="00E9037E">
        <w:rPr>
          <w:sz w:val="22"/>
          <w:szCs w:val="22"/>
        </w:rPr>
        <w:t xml:space="preserve"> estimated using SUDAAN, the t-statistic </w:t>
      </w:r>
      <w:r w:rsidR="000B6107" w:rsidRPr="00E9037E">
        <w:rPr>
          <w:sz w:val="22"/>
          <w:szCs w:val="22"/>
        </w:rPr>
        <w:t>will be</w:t>
      </w:r>
      <w:r w:rsidRPr="00E9037E">
        <w:rPr>
          <w:sz w:val="22"/>
          <w:szCs w:val="22"/>
        </w:rPr>
        <w:t xml:space="preserve"> calculated using the values of p and P, and the hypothesis of equality (p = P) </w:t>
      </w:r>
      <w:r w:rsidR="000B6107" w:rsidRPr="00E9037E">
        <w:rPr>
          <w:sz w:val="22"/>
          <w:szCs w:val="22"/>
        </w:rPr>
        <w:t>will be</w:t>
      </w:r>
      <w:r w:rsidRPr="00E9037E">
        <w:rPr>
          <w:sz w:val="22"/>
          <w:szCs w:val="22"/>
        </w:rPr>
        <w:t xml:space="preserve"> rejected (or not) based on the observed significance level (less than 0.05 or not). </w:t>
      </w:r>
    </w:p>
    <w:p w:rsidR="00696AE7" w:rsidRPr="00DA16A9" w:rsidRDefault="00696AE7" w:rsidP="002913C3">
      <w:pPr>
        <w:autoSpaceDE w:val="0"/>
        <w:autoSpaceDN w:val="0"/>
        <w:adjustRightInd w:val="0"/>
        <w:spacing w:line="360" w:lineRule="auto"/>
        <w:rPr>
          <w:sz w:val="22"/>
          <w:szCs w:val="22"/>
        </w:rPr>
      </w:pPr>
    </w:p>
    <w:p w:rsidR="002913C3" w:rsidRPr="00E9037E" w:rsidRDefault="00EC030D" w:rsidP="002913C3">
      <w:pPr>
        <w:autoSpaceDE w:val="0"/>
        <w:autoSpaceDN w:val="0"/>
        <w:adjustRightInd w:val="0"/>
        <w:spacing w:line="360" w:lineRule="auto"/>
        <w:rPr>
          <w:sz w:val="22"/>
          <w:szCs w:val="22"/>
        </w:rPr>
      </w:pPr>
      <w:r w:rsidRPr="00E9037E">
        <w:rPr>
          <w:sz w:val="22"/>
          <w:szCs w:val="22"/>
        </w:rPr>
        <w:t xml:space="preserve">For the purpose of comparing survey based estimates with External estimates, the estimate of the proportion of satisfied customers (proportion of </w:t>
      </w:r>
      <w:r w:rsidR="00C4011D" w:rsidRPr="00E9037E">
        <w:rPr>
          <w:sz w:val="22"/>
          <w:szCs w:val="22"/>
        </w:rPr>
        <w:t xml:space="preserve">responses in the top two boxes on the overall satisfaction question) from the previous round of this survey </w:t>
      </w:r>
      <w:r w:rsidR="00F47EC7">
        <w:rPr>
          <w:sz w:val="22"/>
          <w:szCs w:val="22"/>
        </w:rPr>
        <w:t>may</w:t>
      </w:r>
      <w:r w:rsidR="00F47EC7" w:rsidRPr="00E9037E">
        <w:rPr>
          <w:sz w:val="22"/>
          <w:szCs w:val="22"/>
        </w:rPr>
        <w:t xml:space="preserve"> </w:t>
      </w:r>
      <w:r w:rsidR="00C4011D" w:rsidRPr="00E9037E">
        <w:rPr>
          <w:sz w:val="22"/>
          <w:szCs w:val="22"/>
        </w:rPr>
        <w:t xml:space="preserve">be used as an </w:t>
      </w:r>
      <w:r w:rsidR="003E512A" w:rsidRPr="00E9037E">
        <w:rPr>
          <w:sz w:val="22"/>
          <w:szCs w:val="22"/>
        </w:rPr>
        <w:t>E</w:t>
      </w:r>
      <w:r w:rsidR="00C4011D" w:rsidRPr="00E9037E">
        <w:rPr>
          <w:sz w:val="22"/>
          <w:szCs w:val="22"/>
        </w:rPr>
        <w:t xml:space="preserve">xternal estimate. The sample based estimate for the same proportion can be obtained from the current round of the survey and compared with that from the previous round. </w:t>
      </w:r>
      <w:r w:rsidR="00646B58" w:rsidRPr="00E9037E">
        <w:rPr>
          <w:sz w:val="22"/>
          <w:szCs w:val="22"/>
        </w:rPr>
        <w:t>The comparison can be done based on a test of hypothesis of equality (as described above for comparison with population values).</w:t>
      </w:r>
      <w:r w:rsidR="00F47EC7">
        <w:rPr>
          <w:sz w:val="22"/>
          <w:szCs w:val="22"/>
        </w:rPr>
        <w:t xml:space="preserve"> It is, however, noted that such comparisons may be subject to confounding factors (changes due to non-response bias or actual change in satisfaction level over time etc.) and the results may not be influenced by non-response only. However, t</w:t>
      </w:r>
      <w:r w:rsidR="00646B58" w:rsidRPr="00E9037E">
        <w:rPr>
          <w:sz w:val="22"/>
          <w:szCs w:val="22"/>
        </w:rPr>
        <w:t>he results of such comparison along with other findings of the non-response bias analysis may be helpful</w:t>
      </w:r>
      <w:r w:rsidR="008B790D" w:rsidRPr="00E9037E">
        <w:rPr>
          <w:sz w:val="22"/>
          <w:szCs w:val="22"/>
        </w:rPr>
        <w:t xml:space="preserve"> for examining the issue of non-response bias.</w:t>
      </w:r>
      <w:r w:rsidR="00646B58" w:rsidRPr="00E9037E">
        <w:rPr>
          <w:sz w:val="22"/>
          <w:szCs w:val="22"/>
        </w:rPr>
        <w:t xml:space="preserve"> </w:t>
      </w:r>
    </w:p>
    <w:p w:rsidR="00646B58" w:rsidRPr="00E9037E" w:rsidRDefault="00646B58" w:rsidP="002913C3">
      <w:pPr>
        <w:autoSpaceDE w:val="0"/>
        <w:autoSpaceDN w:val="0"/>
        <w:adjustRightInd w:val="0"/>
        <w:spacing w:line="360" w:lineRule="auto"/>
        <w:rPr>
          <w:sz w:val="22"/>
          <w:szCs w:val="22"/>
        </w:rPr>
      </w:pPr>
    </w:p>
    <w:p w:rsidR="00646B58" w:rsidRPr="00E9037E" w:rsidRDefault="00646B58" w:rsidP="002913C3">
      <w:pPr>
        <w:autoSpaceDE w:val="0"/>
        <w:autoSpaceDN w:val="0"/>
        <w:adjustRightInd w:val="0"/>
        <w:spacing w:line="360" w:lineRule="auto"/>
        <w:rPr>
          <w:sz w:val="22"/>
          <w:szCs w:val="22"/>
        </w:rPr>
      </w:pPr>
      <w:r w:rsidRPr="00E9037E">
        <w:rPr>
          <w:sz w:val="22"/>
          <w:szCs w:val="22"/>
        </w:rPr>
        <w:t xml:space="preserve">The non-response bias analysis plan described above will be carried out at the full population level and </w:t>
      </w:r>
      <w:r w:rsidR="00483349" w:rsidRPr="00E9037E">
        <w:rPr>
          <w:sz w:val="22"/>
          <w:szCs w:val="22"/>
        </w:rPr>
        <w:t>th</w:t>
      </w:r>
      <w:r w:rsidR="0083345B" w:rsidRPr="00E9037E">
        <w:rPr>
          <w:sz w:val="22"/>
          <w:szCs w:val="22"/>
        </w:rPr>
        <w:t>e</w:t>
      </w:r>
      <w:r w:rsidR="00483349" w:rsidRPr="00E9037E">
        <w:rPr>
          <w:sz w:val="22"/>
          <w:szCs w:val="22"/>
        </w:rPr>
        <w:t xml:space="preserve">re is no plan to carry out similar analyses for </w:t>
      </w:r>
      <w:r w:rsidR="00135CAD" w:rsidRPr="00E9037E">
        <w:rPr>
          <w:sz w:val="22"/>
          <w:szCs w:val="22"/>
        </w:rPr>
        <w:t>any sub-populations.</w:t>
      </w:r>
    </w:p>
    <w:p w:rsidR="00576B5E" w:rsidRPr="00E9037E" w:rsidRDefault="00576B5E" w:rsidP="00576B5E">
      <w:pPr>
        <w:autoSpaceDE w:val="0"/>
        <w:autoSpaceDN w:val="0"/>
        <w:adjustRightInd w:val="0"/>
        <w:rPr>
          <w:sz w:val="22"/>
          <w:szCs w:val="22"/>
        </w:rPr>
      </w:pPr>
    </w:p>
    <w:p w:rsidR="00CA0732" w:rsidRPr="00E9037E" w:rsidRDefault="00CA0732" w:rsidP="00D71901">
      <w:pPr>
        <w:spacing w:line="360" w:lineRule="auto"/>
        <w:rPr>
          <w:b/>
          <w:bCs/>
          <w:color w:val="000000"/>
          <w:szCs w:val="21"/>
        </w:rPr>
      </w:pPr>
      <w:r w:rsidRPr="00E9037E">
        <w:rPr>
          <w:b/>
          <w:bCs/>
          <w:color w:val="000000"/>
          <w:szCs w:val="21"/>
        </w:rPr>
        <w:t>B.4.</w:t>
      </w:r>
      <w:r w:rsidRPr="00E9037E">
        <w:rPr>
          <w:b/>
          <w:bCs/>
          <w:color w:val="000000"/>
          <w:szCs w:val="21"/>
        </w:rPr>
        <w:tab/>
        <w:t xml:space="preserve">Describe any tests of procedures or methods to be undertaken.  – </w:t>
      </w:r>
      <w:r w:rsidRPr="00E9037E">
        <w:rPr>
          <w:bCs/>
          <w:color w:val="000000"/>
          <w:szCs w:val="21"/>
        </w:rPr>
        <w:t>None</w:t>
      </w:r>
      <w:r w:rsidRPr="00E9037E">
        <w:rPr>
          <w:b/>
          <w:bCs/>
          <w:color w:val="000000"/>
          <w:szCs w:val="21"/>
        </w:rPr>
        <w:t>.</w:t>
      </w:r>
    </w:p>
    <w:p w:rsidR="00CA0732" w:rsidRPr="00E9037E"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E9037E">
        <w:rPr>
          <w:b/>
          <w:bCs/>
          <w:color w:val="000000"/>
          <w:szCs w:val="21"/>
        </w:rPr>
        <w:t>B.5.</w:t>
      </w:r>
      <w:r w:rsidRPr="00E9037E">
        <w:rPr>
          <w:b/>
          <w:bCs/>
          <w:color w:val="000000"/>
          <w:szCs w:val="21"/>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CA0732" w:rsidRPr="00E9037E" w:rsidRDefault="00CA0732" w:rsidP="00D71901">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3282"/>
        <w:gridCol w:w="2990"/>
      </w:tblGrid>
      <w:tr w:rsidR="00CA0732" w:rsidRPr="00E9037E" w:rsidTr="0006058D">
        <w:tc>
          <w:tcPr>
            <w:tcW w:w="2944" w:type="dxa"/>
          </w:tcPr>
          <w:p w:rsidR="00CA0732" w:rsidRPr="00E9037E" w:rsidRDefault="00CA0732" w:rsidP="0006058D">
            <w:pPr>
              <w:jc w:val="center"/>
              <w:rPr>
                <w:sz w:val="24"/>
                <w:u w:val="single"/>
              </w:rPr>
            </w:pPr>
            <w:r w:rsidRPr="00E9037E">
              <w:rPr>
                <w:sz w:val="24"/>
                <w:u w:val="single"/>
              </w:rPr>
              <w:t>Name</w:t>
            </w:r>
          </w:p>
        </w:tc>
        <w:tc>
          <w:tcPr>
            <w:tcW w:w="3282" w:type="dxa"/>
          </w:tcPr>
          <w:p w:rsidR="00CA0732" w:rsidRPr="00E9037E" w:rsidRDefault="00CA0732" w:rsidP="0006058D">
            <w:pPr>
              <w:jc w:val="center"/>
              <w:rPr>
                <w:sz w:val="24"/>
                <w:u w:val="single"/>
              </w:rPr>
            </w:pPr>
            <w:r w:rsidRPr="00E9037E">
              <w:rPr>
                <w:sz w:val="24"/>
                <w:u w:val="single"/>
              </w:rPr>
              <w:t>Agency/Company/Organization</w:t>
            </w:r>
          </w:p>
        </w:tc>
        <w:tc>
          <w:tcPr>
            <w:tcW w:w="2990" w:type="dxa"/>
          </w:tcPr>
          <w:p w:rsidR="00CA0732" w:rsidRPr="00E9037E" w:rsidRDefault="00CA0732" w:rsidP="0006058D">
            <w:pPr>
              <w:jc w:val="center"/>
              <w:rPr>
                <w:sz w:val="24"/>
                <w:u w:val="single"/>
              </w:rPr>
            </w:pPr>
            <w:r w:rsidRPr="00E9037E">
              <w:rPr>
                <w:sz w:val="24"/>
                <w:u w:val="single"/>
              </w:rPr>
              <w:t>Number Telephone</w:t>
            </w:r>
          </w:p>
        </w:tc>
      </w:tr>
      <w:tr w:rsidR="00CA0732" w:rsidRPr="00E9037E" w:rsidTr="0006058D">
        <w:tc>
          <w:tcPr>
            <w:tcW w:w="2944" w:type="dxa"/>
          </w:tcPr>
          <w:p w:rsidR="00CA0732" w:rsidRPr="00E9037E" w:rsidRDefault="004E7A79" w:rsidP="0006058D">
            <w:pPr>
              <w:rPr>
                <w:sz w:val="24"/>
              </w:rPr>
            </w:pPr>
            <w:r w:rsidRPr="00E9037E">
              <w:rPr>
                <w:sz w:val="24"/>
              </w:rPr>
              <w:t>Susan Conner</w:t>
            </w:r>
          </w:p>
        </w:tc>
        <w:tc>
          <w:tcPr>
            <w:tcW w:w="3282" w:type="dxa"/>
          </w:tcPr>
          <w:p w:rsidR="00CA0732" w:rsidRPr="00E9037E" w:rsidRDefault="00CA0732" w:rsidP="0006058D">
            <w:pPr>
              <w:rPr>
                <w:sz w:val="24"/>
              </w:rPr>
            </w:pPr>
            <w:r w:rsidRPr="00E9037E">
              <w:rPr>
                <w:sz w:val="24"/>
              </w:rPr>
              <w:t xml:space="preserve">Gallup Organization </w:t>
            </w:r>
          </w:p>
        </w:tc>
        <w:tc>
          <w:tcPr>
            <w:tcW w:w="2990" w:type="dxa"/>
          </w:tcPr>
          <w:p w:rsidR="00CA0732" w:rsidRPr="00E9037E" w:rsidRDefault="00CA0732" w:rsidP="000B6107">
            <w:pPr>
              <w:rPr>
                <w:sz w:val="24"/>
              </w:rPr>
            </w:pPr>
            <w:r w:rsidRPr="00E9037E">
              <w:rPr>
                <w:sz w:val="24"/>
              </w:rPr>
              <w:t>202</w:t>
            </w:r>
            <w:r w:rsidR="000B6107" w:rsidRPr="00E9037E">
              <w:rPr>
                <w:sz w:val="24"/>
              </w:rPr>
              <w:t>-</w:t>
            </w:r>
            <w:r w:rsidRPr="00E9037E">
              <w:rPr>
                <w:sz w:val="24"/>
              </w:rPr>
              <w:t>715</w:t>
            </w:r>
            <w:r w:rsidR="000B6107" w:rsidRPr="00E9037E">
              <w:rPr>
                <w:sz w:val="24"/>
              </w:rPr>
              <w:t>-3124</w:t>
            </w:r>
          </w:p>
        </w:tc>
      </w:tr>
      <w:tr w:rsidR="00CA0732" w:rsidRPr="00E9037E" w:rsidTr="0006058D">
        <w:tc>
          <w:tcPr>
            <w:tcW w:w="2944" w:type="dxa"/>
          </w:tcPr>
          <w:p w:rsidR="00CA0732" w:rsidRPr="00E9037E" w:rsidRDefault="00CA0732" w:rsidP="0006058D">
            <w:pPr>
              <w:rPr>
                <w:sz w:val="24"/>
              </w:rPr>
            </w:pPr>
            <w:r w:rsidRPr="00E9037E">
              <w:rPr>
                <w:sz w:val="24"/>
              </w:rPr>
              <w:t>Manas Chattopadhyay</w:t>
            </w:r>
          </w:p>
        </w:tc>
        <w:tc>
          <w:tcPr>
            <w:tcW w:w="3282" w:type="dxa"/>
          </w:tcPr>
          <w:p w:rsidR="00CA0732" w:rsidRPr="00E9037E" w:rsidRDefault="00CA0732" w:rsidP="0006058D">
            <w:pPr>
              <w:rPr>
                <w:sz w:val="24"/>
              </w:rPr>
            </w:pPr>
            <w:r w:rsidRPr="00E9037E">
              <w:rPr>
                <w:sz w:val="24"/>
              </w:rPr>
              <w:t>Gallup Organization</w:t>
            </w:r>
          </w:p>
        </w:tc>
        <w:tc>
          <w:tcPr>
            <w:tcW w:w="2990" w:type="dxa"/>
          </w:tcPr>
          <w:p w:rsidR="00CA0732" w:rsidRPr="00E9037E" w:rsidRDefault="00CA0732" w:rsidP="000B6107">
            <w:pPr>
              <w:rPr>
                <w:sz w:val="24"/>
              </w:rPr>
            </w:pPr>
            <w:r w:rsidRPr="00E9037E">
              <w:rPr>
                <w:sz w:val="24"/>
              </w:rPr>
              <w:t>202</w:t>
            </w:r>
            <w:r w:rsidR="000B6107" w:rsidRPr="00E9037E">
              <w:rPr>
                <w:sz w:val="24"/>
              </w:rPr>
              <w:t>-</w:t>
            </w:r>
            <w:r w:rsidRPr="00E9037E">
              <w:rPr>
                <w:sz w:val="24"/>
              </w:rPr>
              <w:t>715</w:t>
            </w:r>
            <w:r w:rsidR="000B6107" w:rsidRPr="00E9037E">
              <w:rPr>
                <w:sz w:val="24"/>
              </w:rPr>
              <w:t>-</w:t>
            </w:r>
            <w:r w:rsidRPr="00E9037E">
              <w:rPr>
                <w:sz w:val="24"/>
              </w:rPr>
              <w:t>3179</w:t>
            </w:r>
          </w:p>
        </w:tc>
      </w:tr>
      <w:tr w:rsidR="00CA0732" w:rsidRPr="00E9037E" w:rsidTr="0006058D">
        <w:tc>
          <w:tcPr>
            <w:tcW w:w="2944" w:type="dxa"/>
          </w:tcPr>
          <w:p w:rsidR="00CA0732" w:rsidRPr="00E9037E" w:rsidRDefault="004E7A79" w:rsidP="0006058D">
            <w:pPr>
              <w:rPr>
                <w:sz w:val="24"/>
                <w:u w:val="single"/>
              </w:rPr>
            </w:pPr>
            <w:r w:rsidRPr="00E9037E">
              <w:rPr>
                <w:sz w:val="24"/>
                <w:u w:val="single"/>
              </w:rPr>
              <w:t>Camille Lloyd</w:t>
            </w:r>
          </w:p>
        </w:tc>
        <w:tc>
          <w:tcPr>
            <w:tcW w:w="3282" w:type="dxa"/>
          </w:tcPr>
          <w:p w:rsidR="00CA0732" w:rsidRPr="00E9037E" w:rsidRDefault="004E7A79" w:rsidP="0006058D">
            <w:pPr>
              <w:rPr>
                <w:sz w:val="24"/>
                <w:u w:val="single"/>
              </w:rPr>
            </w:pPr>
            <w:r w:rsidRPr="00E9037E">
              <w:rPr>
                <w:sz w:val="24"/>
              </w:rPr>
              <w:t>Gallup Organization</w:t>
            </w:r>
          </w:p>
        </w:tc>
        <w:tc>
          <w:tcPr>
            <w:tcW w:w="2990" w:type="dxa"/>
          </w:tcPr>
          <w:p w:rsidR="00CA0732" w:rsidRPr="00E9037E" w:rsidRDefault="000B6107" w:rsidP="0006058D">
            <w:pPr>
              <w:rPr>
                <w:sz w:val="24"/>
                <w:u w:val="single"/>
              </w:rPr>
            </w:pPr>
            <w:r w:rsidRPr="00E9037E">
              <w:rPr>
                <w:sz w:val="24"/>
                <w:u w:val="single"/>
              </w:rPr>
              <w:t>202-715-3188</w:t>
            </w:r>
          </w:p>
        </w:tc>
      </w:tr>
    </w:tbl>
    <w:p w:rsidR="00CA0732" w:rsidRPr="00E9037E" w:rsidRDefault="00CA0732" w:rsidP="00D71901">
      <w:pPr>
        <w:ind w:left="360"/>
        <w:rPr>
          <w:bCs/>
        </w:rPr>
      </w:pPr>
    </w:p>
    <w:p w:rsidR="00CA0732" w:rsidRPr="00E9037E" w:rsidRDefault="00CA0732" w:rsidP="00D71901">
      <w:pPr>
        <w:spacing w:line="360" w:lineRule="auto"/>
        <w:rPr>
          <w:kern w:val="22"/>
        </w:rPr>
      </w:pPr>
      <w:r w:rsidRPr="00E9037E">
        <w:rPr>
          <w:kern w:val="22"/>
        </w:rPr>
        <w:t xml:space="preserve"> </w:t>
      </w:r>
    </w:p>
    <w:p w:rsidR="0011560C" w:rsidRPr="00E9037E" w:rsidRDefault="0011560C" w:rsidP="006461E7"/>
    <w:sectPr w:rsidR="0011560C" w:rsidRPr="00E9037E" w:rsidSect="00520D8F">
      <w:footerReference w:type="even" r:id="rId29"/>
      <w:footerReference w:type="default" r:id="rId30"/>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9D" w:rsidRDefault="0059569D">
      <w:r>
        <w:separator/>
      </w:r>
    </w:p>
  </w:endnote>
  <w:endnote w:type="continuationSeparator" w:id="0">
    <w:p w:rsidR="0059569D" w:rsidRDefault="0059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CD" w:rsidRDefault="00BA5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A53CD" w:rsidRDefault="00BA53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CD" w:rsidRDefault="00BA53CD">
    <w:pPr>
      <w:pStyle w:val="Footer"/>
      <w:jc w:val="right"/>
    </w:pPr>
    <w:r>
      <w:fldChar w:fldCharType="begin"/>
    </w:r>
    <w:r>
      <w:instrText xml:space="preserve"> PAGE   \* MERGEFORMAT </w:instrText>
    </w:r>
    <w:r>
      <w:fldChar w:fldCharType="separate"/>
    </w:r>
    <w:r w:rsidR="002944D5">
      <w:rPr>
        <w:noProof/>
      </w:rPr>
      <w:t>3</w:t>
    </w:r>
    <w:r>
      <w:rPr>
        <w:noProof/>
      </w:rPr>
      <w:fldChar w:fldCharType="end"/>
    </w:r>
  </w:p>
  <w:p w:rsidR="00BA53CD" w:rsidRDefault="00BA5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9D" w:rsidRDefault="0059569D">
      <w:r>
        <w:separator/>
      </w:r>
    </w:p>
  </w:footnote>
  <w:footnote w:type="continuationSeparator" w:id="0">
    <w:p w:rsidR="0059569D" w:rsidRDefault="00595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2">
    <w:nsid w:val="1F93063E"/>
    <w:multiLevelType w:val="hybridMultilevel"/>
    <w:tmpl w:val="B06A4E6A"/>
    <w:lvl w:ilvl="0" w:tplc="2B9EC3A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5EA2"/>
    <w:rsid w:val="0000643D"/>
    <w:rsid w:val="000165F3"/>
    <w:rsid w:val="00021E6F"/>
    <w:rsid w:val="00024B58"/>
    <w:rsid w:val="0002672E"/>
    <w:rsid w:val="00027D9C"/>
    <w:rsid w:val="000325F2"/>
    <w:rsid w:val="000358FF"/>
    <w:rsid w:val="00036BAB"/>
    <w:rsid w:val="00036D95"/>
    <w:rsid w:val="00040EE9"/>
    <w:rsid w:val="0005032B"/>
    <w:rsid w:val="00057A10"/>
    <w:rsid w:val="0006058D"/>
    <w:rsid w:val="00060BAD"/>
    <w:rsid w:val="00072E9C"/>
    <w:rsid w:val="00076F73"/>
    <w:rsid w:val="00085DB7"/>
    <w:rsid w:val="00087664"/>
    <w:rsid w:val="000941EA"/>
    <w:rsid w:val="00096274"/>
    <w:rsid w:val="000B15DC"/>
    <w:rsid w:val="000B31BB"/>
    <w:rsid w:val="000B4F02"/>
    <w:rsid w:val="000B6107"/>
    <w:rsid w:val="000C66C2"/>
    <w:rsid w:val="000C6B7E"/>
    <w:rsid w:val="000D1BEF"/>
    <w:rsid w:val="000D5EF4"/>
    <w:rsid w:val="000D6E58"/>
    <w:rsid w:val="000D7EC2"/>
    <w:rsid w:val="000E031E"/>
    <w:rsid w:val="000E05B4"/>
    <w:rsid w:val="000E36FD"/>
    <w:rsid w:val="000F175A"/>
    <w:rsid w:val="000F567B"/>
    <w:rsid w:val="00100EC4"/>
    <w:rsid w:val="001014BF"/>
    <w:rsid w:val="001059EE"/>
    <w:rsid w:val="00110100"/>
    <w:rsid w:val="00110A4B"/>
    <w:rsid w:val="001114F2"/>
    <w:rsid w:val="0011150C"/>
    <w:rsid w:val="00112DB5"/>
    <w:rsid w:val="0011560C"/>
    <w:rsid w:val="0011561D"/>
    <w:rsid w:val="0011609B"/>
    <w:rsid w:val="0012711E"/>
    <w:rsid w:val="00130582"/>
    <w:rsid w:val="0013160F"/>
    <w:rsid w:val="00132A23"/>
    <w:rsid w:val="00135CAD"/>
    <w:rsid w:val="00136E3C"/>
    <w:rsid w:val="00137D1E"/>
    <w:rsid w:val="001411EC"/>
    <w:rsid w:val="00142031"/>
    <w:rsid w:val="00152A75"/>
    <w:rsid w:val="001543DE"/>
    <w:rsid w:val="0015572E"/>
    <w:rsid w:val="001577DD"/>
    <w:rsid w:val="00157C94"/>
    <w:rsid w:val="0016351A"/>
    <w:rsid w:val="001667C8"/>
    <w:rsid w:val="001725B0"/>
    <w:rsid w:val="00176EB9"/>
    <w:rsid w:val="001779A1"/>
    <w:rsid w:val="00191BAF"/>
    <w:rsid w:val="001950CB"/>
    <w:rsid w:val="001A1115"/>
    <w:rsid w:val="001A5548"/>
    <w:rsid w:val="001A5630"/>
    <w:rsid w:val="001A5F93"/>
    <w:rsid w:val="001A7ECB"/>
    <w:rsid w:val="001B4DF3"/>
    <w:rsid w:val="001C128C"/>
    <w:rsid w:val="001C2558"/>
    <w:rsid w:val="001D3841"/>
    <w:rsid w:val="001D39A9"/>
    <w:rsid w:val="001D3D88"/>
    <w:rsid w:val="002000CC"/>
    <w:rsid w:val="00207DCF"/>
    <w:rsid w:val="00210C80"/>
    <w:rsid w:val="00212025"/>
    <w:rsid w:val="00217BF1"/>
    <w:rsid w:val="00224C91"/>
    <w:rsid w:val="002258FB"/>
    <w:rsid w:val="00226352"/>
    <w:rsid w:val="00234539"/>
    <w:rsid w:val="00236683"/>
    <w:rsid w:val="00251277"/>
    <w:rsid w:val="00251870"/>
    <w:rsid w:val="00255133"/>
    <w:rsid w:val="00270B86"/>
    <w:rsid w:val="00271DB3"/>
    <w:rsid w:val="002745F9"/>
    <w:rsid w:val="0027708C"/>
    <w:rsid w:val="00283D14"/>
    <w:rsid w:val="00285145"/>
    <w:rsid w:val="00286655"/>
    <w:rsid w:val="002874BA"/>
    <w:rsid w:val="00290435"/>
    <w:rsid w:val="002913C3"/>
    <w:rsid w:val="002944D5"/>
    <w:rsid w:val="00294C12"/>
    <w:rsid w:val="002A1CF8"/>
    <w:rsid w:val="002A3E31"/>
    <w:rsid w:val="002B15D8"/>
    <w:rsid w:val="002B2C7B"/>
    <w:rsid w:val="002B64F1"/>
    <w:rsid w:val="002C066D"/>
    <w:rsid w:val="002C542B"/>
    <w:rsid w:val="002C629D"/>
    <w:rsid w:val="002C6A88"/>
    <w:rsid w:val="002D3CEC"/>
    <w:rsid w:val="002D5605"/>
    <w:rsid w:val="002E6FD3"/>
    <w:rsid w:val="002F1A16"/>
    <w:rsid w:val="002F4CE5"/>
    <w:rsid w:val="002F6803"/>
    <w:rsid w:val="002F6920"/>
    <w:rsid w:val="002F7CEA"/>
    <w:rsid w:val="00320962"/>
    <w:rsid w:val="00322887"/>
    <w:rsid w:val="0033035D"/>
    <w:rsid w:val="003303F3"/>
    <w:rsid w:val="00335E94"/>
    <w:rsid w:val="00345F30"/>
    <w:rsid w:val="003503A0"/>
    <w:rsid w:val="003618AF"/>
    <w:rsid w:val="00363FC6"/>
    <w:rsid w:val="00364F3E"/>
    <w:rsid w:val="00365D52"/>
    <w:rsid w:val="003660E7"/>
    <w:rsid w:val="00372DAE"/>
    <w:rsid w:val="00374427"/>
    <w:rsid w:val="003745E3"/>
    <w:rsid w:val="003759F0"/>
    <w:rsid w:val="00382D03"/>
    <w:rsid w:val="00387355"/>
    <w:rsid w:val="00394340"/>
    <w:rsid w:val="003A636C"/>
    <w:rsid w:val="003A78C7"/>
    <w:rsid w:val="003D1280"/>
    <w:rsid w:val="003D5394"/>
    <w:rsid w:val="003D7E9C"/>
    <w:rsid w:val="003E32EA"/>
    <w:rsid w:val="003E512A"/>
    <w:rsid w:val="003F025D"/>
    <w:rsid w:val="003F1C5C"/>
    <w:rsid w:val="00400CFB"/>
    <w:rsid w:val="00401177"/>
    <w:rsid w:val="004158A7"/>
    <w:rsid w:val="00416C38"/>
    <w:rsid w:val="004243FC"/>
    <w:rsid w:val="00425571"/>
    <w:rsid w:val="00434B9A"/>
    <w:rsid w:val="004408F9"/>
    <w:rsid w:val="00442DC3"/>
    <w:rsid w:val="00443009"/>
    <w:rsid w:val="00452377"/>
    <w:rsid w:val="00452A59"/>
    <w:rsid w:val="00453E83"/>
    <w:rsid w:val="00455B59"/>
    <w:rsid w:val="00456789"/>
    <w:rsid w:val="00465EFC"/>
    <w:rsid w:val="004735AC"/>
    <w:rsid w:val="00477ACE"/>
    <w:rsid w:val="00483349"/>
    <w:rsid w:val="00484D44"/>
    <w:rsid w:val="00492187"/>
    <w:rsid w:val="004A0D10"/>
    <w:rsid w:val="004A25F3"/>
    <w:rsid w:val="004A272A"/>
    <w:rsid w:val="004A27BC"/>
    <w:rsid w:val="004B1614"/>
    <w:rsid w:val="004B4327"/>
    <w:rsid w:val="004B7AEA"/>
    <w:rsid w:val="004C06ED"/>
    <w:rsid w:val="004C4359"/>
    <w:rsid w:val="004D3747"/>
    <w:rsid w:val="004D4F46"/>
    <w:rsid w:val="004D55B7"/>
    <w:rsid w:val="004D6545"/>
    <w:rsid w:val="004D7942"/>
    <w:rsid w:val="004E17C9"/>
    <w:rsid w:val="004E44AB"/>
    <w:rsid w:val="004E4A0C"/>
    <w:rsid w:val="004E5C25"/>
    <w:rsid w:val="004E7A79"/>
    <w:rsid w:val="004E7CF4"/>
    <w:rsid w:val="004F70F0"/>
    <w:rsid w:val="004F721F"/>
    <w:rsid w:val="00506495"/>
    <w:rsid w:val="00510368"/>
    <w:rsid w:val="005165D0"/>
    <w:rsid w:val="00520D8F"/>
    <w:rsid w:val="00532629"/>
    <w:rsid w:val="005335DE"/>
    <w:rsid w:val="005353D1"/>
    <w:rsid w:val="00535AE7"/>
    <w:rsid w:val="00550049"/>
    <w:rsid w:val="00555CA2"/>
    <w:rsid w:val="00557528"/>
    <w:rsid w:val="00560072"/>
    <w:rsid w:val="005604B1"/>
    <w:rsid w:val="00561E7B"/>
    <w:rsid w:val="005630DE"/>
    <w:rsid w:val="0056437A"/>
    <w:rsid w:val="005644CE"/>
    <w:rsid w:val="00570332"/>
    <w:rsid w:val="00573DB6"/>
    <w:rsid w:val="00576B5E"/>
    <w:rsid w:val="00580F6D"/>
    <w:rsid w:val="005903E5"/>
    <w:rsid w:val="0059569D"/>
    <w:rsid w:val="005A40B3"/>
    <w:rsid w:val="005A72F5"/>
    <w:rsid w:val="005B14AE"/>
    <w:rsid w:val="005C2D83"/>
    <w:rsid w:val="005D68FC"/>
    <w:rsid w:val="005F14AC"/>
    <w:rsid w:val="005F216D"/>
    <w:rsid w:val="00600F4D"/>
    <w:rsid w:val="00614DE4"/>
    <w:rsid w:val="006150D1"/>
    <w:rsid w:val="00617860"/>
    <w:rsid w:val="00617CA5"/>
    <w:rsid w:val="00620421"/>
    <w:rsid w:val="00624023"/>
    <w:rsid w:val="00626468"/>
    <w:rsid w:val="006308F0"/>
    <w:rsid w:val="00631029"/>
    <w:rsid w:val="00631CAB"/>
    <w:rsid w:val="006409BB"/>
    <w:rsid w:val="00644370"/>
    <w:rsid w:val="006461E7"/>
    <w:rsid w:val="00646B58"/>
    <w:rsid w:val="0065369D"/>
    <w:rsid w:val="00653CD6"/>
    <w:rsid w:val="006609D1"/>
    <w:rsid w:val="006611FD"/>
    <w:rsid w:val="00663222"/>
    <w:rsid w:val="00674476"/>
    <w:rsid w:val="00677902"/>
    <w:rsid w:val="0068416F"/>
    <w:rsid w:val="00696AE7"/>
    <w:rsid w:val="006A4E65"/>
    <w:rsid w:val="006B4AEF"/>
    <w:rsid w:val="006B6791"/>
    <w:rsid w:val="006C15EE"/>
    <w:rsid w:val="006C79F8"/>
    <w:rsid w:val="006D0B92"/>
    <w:rsid w:val="006D3653"/>
    <w:rsid w:val="006D51F0"/>
    <w:rsid w:val="006E0B0E"/>
    <w:rsid w:val="006E5C24"/>
    <w:rsid w:val="006E632D"/>
    <w:rsid w:val="006F23E9"/>
    <w:rsid w:val="006F57CE"/>
    <w:rsid w:val="006F5D32"/>
    <w:rsid w:val="0070371F"/>
    <w:rsid w:val="0071486F"/>
    <w:rsid w:val="00727885"/>
    <w:rsid w:val="00733165"/>
    <w:rsid w:val="007370E3"/>
    <w:rsid w:val="007372D5"/>
    <w:rsid w:val="00741111"/>
    <w:rsid w:val="007432DE"/>
    <w:rsid w:val="0075183F"/>
    <w:rsid w:val="00756322"/>
    <w:rsid w:val="00757621"/>
    <w:rsid w:val="00761FDD"/>
    <w:rsid w:val="00763578"/>
    <w:rsid w:val="007713C7"/>
    <w:rsid w:val="007737B2"/>
    <w:rsid w:val="00782C4D"/>
    <w:rsid w:val="00790ABF"/>
    <w:rsid w:val="007917D5"/>
    <w:rsid w:val="007944E8"/>
    <w:rsid w:val="0079745E"/>
    <w:rsid w:val="007A213E"/>
    <w:rsid w:val="007A23F6"/>
    <w:rsid w:val="007C0B81"/>
    <w:rsid w:val="007C1FAA"/>
    <w:rsid w:val="007D17A3"/>
    <w:rsid w:val="007D5126"/>
    <w:rsid w:val="007E0CAA"/>
    <w:rsid w:val="007E337F"/>
    <w:rsid w:val="007E52C8"/>
    <w:rsid w:val="007F2056"/>
    <w:rsid w:val="007F7A78"/>
    <w:rsid w:val="008239DC"/>
    <w:rsid w:val="00824F45"/>
    <w:rsid w:val="00827BE5"/>
    <w:rsid w:val="0083345B"/>
    <w:rsid w:val="00833D16"/>
    <w:rsid w:val="00840B1F"/>
    <w:rsid w:val="008456D6"/>
    <w:rsid w:val="00845FAE"/>
    <w:rsid w:val="00853C88"/>
    <w:rsid w:val="0085435F"/>
    <w:rsid w:val="008569DF"/>
    <w:rsid w:val="00857503"/>
    <w:rsid w:val="00876BAE"/>
    <w:rsid w:val="008912C1"/>
    <w:rsid w:val="008921DF"/>
    <w:rsid w:val="008A4A49"/>
    <w:rsid w:val="008B790D"/>
    <w:rsid w:val="008C02D4"/>
    <w:rsid w:val="008C099D"/>
    <w:rsid w:val="008C675E"/>
    <w:rsid w:val="008C6B3F"/>
    <w:rsid w:val="008D47A7"/>
    <w:rsid w:val="008D5ECF"/>
    <w:rsid w:val="008D6D3F"/>
    <w:rsid w:val="008D7428"/>
    <w:rsid w:val="008E7047"/>
    <w:rsid w:val="008F0855"/>
    <w:rsid w:val="008F62A3"/>
    <w:rsid w:val="008F7FD2"/>
    <w:rsid w:val="009039FA"/>
    <w:rsid w:val="00907368"/>
    <w:rsid w:val="00907422"/>
    <w:rsid w:val="00911C88"/>
    <w:rsid w:val="009128F0"/>
    <w:rsid w:val="00924888"/>
    <w:rsid w:val="009249C2"/>
    <w:rsid w:val="0093771A"/>
    <w:rsid w:val="00941598"/>
    <w:rsid w:val="009440C4"/>
    <w:rsid w:val="009508EC"/>
    <w:rsid w:val="00953998"/>
    <w:rsid w:val="009541AB"/>
    <w:rsid w:val="00956794"/>
    <w:rsid w:val="009577B3"/>
    <w:rsid w:val="0096178B"/>
    <w:rsid w:val="00962890"/>
    <w:rsid w:val="00965747"/>
    <w:rsid w:val="009663BB"/>
    <w:rsid w:val="00970FAB"/>
    <w:rsid w:val="00971914"/>
    <w:rsid w:val="00981C5B"/>
    <w:rsid w:val="00990E66"/>
    <w:rsid w:val="00994E48"/>
    <w:rsid w:val="009A6D09"/>
    <w:rsid w:val="009B51C9"/>
    <w:rsid w:val="009C1FA3"/>
    <w:rsid w:val="009D5013"/>
    <w:rsid w:val="009E2D42"/>
    <w:rsid w:val="009E39E4"/>
    <w:rsid w:val="009E67AE"/>
    <w:rsid w:val="009F3DB5"/>
    <w:rsid w:val="009F7C0E"/>
    <w:rsid w:val="00A02D7B"/>
    <w:rsid w:val="00A03BB1"/>
    <w:rsid w:val="00A11C41"/>
    <w:rsid w:val="00A1303C"/>
    <w:rsid w:val="00A20E7B"/>
    <w:rsid w:val="00A20FDF"/>
    <w:rsid w:val="00A31B12"/>
    <w:rsid w:val="00A54585"/>
    <w:rsid w:val="00A6105B"/>
    <w:rsid w:val="00A626F1"/>
    <w:rsid w:val="00A63927"/>
    <w:rsid w:val="00A66590"/>
    <w:rsid w:val="00A67A1A"/>
    <w:rsid w:val="00A71D3D"/>
    <w:rsid w:val="00A734A6"/>
    <w:rsid w:val="00A74139"/>
    <w:rsid w:val="00A81194"/>
    <w:rsid w:val="00A879F7"/>
    <w:rsid w:val="00A87A3D"/>
    <w:rsid w:val="00A956CE"/>
    <w:rsid w:val="00AA20EF"/>
    <w:rsid w:val="00AA2A46"/>
    <w:rsid w:val="00AB1467"/>
    <w:rsid w:val="00AB28D7"/>
    <w:rsid w:val="00AB2EC7"/>
    <w:rsid w:val="00AB5309"/>
    <w:rsid w:val="00AB5493"/>
    <w:rsid w:val="00AC4B3B"/>
    <w:rsid w:val="00AD5DAF"/>
    <w:rsid w:val="00AE78C6"/>
    <w:rsid w:val="00AF0F37"/>
    <w:rsid w:val="00AF43BA"/>
    <w:rsid w:val="00AF5725"/>
    <w:rsid w:val="00B00BE3"/>
    <w:rsid w:val="00B1171C"/>
    <w:rsid w:val="00B138B2"/>
    <w:rsid w:val="00B1624B"/>
    <w:rsid w:val="00B25436"/>
    <w:rsid w:val="00B262D1"/>
    <w:rsid w:val="00B33635"/>
    <w:rsid w:val="00B43E46"/>
    <w:rsid w:val="00B520A6"/>
    <w:rsid w:val="00B52C51"/>
    <w:rsid w:val="00B5744C"/>
    <w:rsid w:val="00B611D4"/>
    <w:rsid w:val="00B62B0D"/>
    <w:rsid w:val="00B63E21"/>
    <w:rsid w:val="00B7099A"/>
    <w:rsid w:val="00B80985"/>
    <w:rsid w:val="00B80A7F"/>
    <w:rsid w:val="00B86909"/>
    <w:rsid w:val="00B86F26"/>
    <w:rsid w:val="00B87B86"/>
    <w:rsid w:val="00B93693"/>
    <w:rsid w:val="00BA53CD"/>
    <w:rsid w:val="00BB32D8"/>
    <w:rsid w:val="00BC01F6"/>
    <w:rsid w:val="00BC0EF6"/>
    <w:rsid w:val="00BC66DB"/>
    <w:rsid w:val="00BD1A0C"/>
    <w:rsid w:val="00BD2760"/>
    <w:rsid w:val="00BD51FA"/>
    <w:rsid w:val="00BD6409"/>
    <w:rsid w:val="00BE20A0"/>
    <w:rsid w:val="00BE2F49"/>
    <w:rsid w:val="00BE6B58"/>
    <w:rsid w:val="00BF3973"/>
    <w:rsid w:val="00BF6727"/>
    <w:rsid w:val="00C009CD"/>
    <w:rsid w:val="00C038F3"/>
    <w:rsid w:val="00C0456E"/>
    <w:rsid w:val="00C15516"/>
    <w:rsid w:val="00C2672F"/>
    <w:rsid w:val="00C31350"/>
    <w:rsid w:val="00C4011D"/>
    <w:rsid w:val="00C47FD2"/>
    <w:rsid w:val="00C571B4"/>
    <w:rsid w:val="00C63355"/>
    <w:rsid w:val="00C664AB"/>
    <w:rsid w:val="00C729E0"/>
    <w:rsid w:val="00C87A37"/>
    <w:rsid w:val="00C90013"/>
    <w:rsid w:val="00C90853"/>
    <w:rsid w:val="00C93EBB"/>
    <w:rsid w:val="00C95583"/>
    <w:rsid w:val="00C96C2C"/>
    <w:rsid w:val="00CA0732"/>
    <w:rsid w:val="00CA6F0E"/>
    <w:rsid w:val="00CB0D80"/>
    <w:rsid w:val="00CB248D"/>
    <w:rsid w:val="00CC2920"/>
    <w:rsid w:val="00CC4C14"/>
    <w:rsid w:val="00CC50D7"/>
    <w:rsid w:val="00CD200C"/>
    <w:rsid w:val="00CD4F39"/>
    <w:rsid w:val="00CD502A"/>
    <w:rsid w:val="00CD5338"/>
    <w:rsid w:val="00CD72DE"/>
    <w:rsid w:val="00CE2AB3"/>
    <w:rsid w:val="00CE44B0"/>
    <w:rsid w:val="00CE6CB6"/>
    <w:rsid w:val="00CF3874"/>
    <w:rsid w:val="00CF54AE"/>
    <w:rsid w:val="00CF74CD"/>
    <w:rsid w:val="00CF74DD"/>
    <w:rsid w:val="00D01883"/>
    <w:rsid w:val="00D02184"/>
    <w:rsid w:val="00D2077B"/>
    <w:rsid w:val="00D21025"/>
    <w:rsid w:val="00D2237B"/>
    <w:rsid w:val="00D227B3"/>
    <w:rsid w:val="00D24A29"/>
    <w:rsid w:val="00D30CA2"/>
    <w:rsid w:val="00D33BE4"/>
    <w:rsid w:val="00D40E2B"/>
    <w:rsid w:val="00D46D08"/>
    <w:rsid w:val="00D4735C"/>
    <w:rsid w:val="00D502B5"/>
    <w:rsid w:val="00D52D47"/>
    <w:rsid w:val="00D5310C"/>
    <w:rsid w:val="00D55F92"/>
    <w:rsid w:val="00D6404D"/>
    <w:rsid w:val="00D66414"/>
    <w:rsid w:val="00D71901"/>
    <w:rsid w:val="00D72EB2"/>
    <w:rsid w:val="00D75911"/>
    <w:rsid w:val="00D75FC6"/>
    <w:rsid w:val="00D81DCE"/>
    <w:rsid w:val="00D82ADE"/>
    <w:rsid w:val="00D86A04"/>
    <w:rsid w:val="00D90F00"/>
    <w:rsid w:val="00D96B7A"/>
    <w:rsid w:val="00DA16A9"/>
    <w:rsid w:val="00DA4269"/>
    <w:rsid w:val="00DA6F09"/>
    <w:rsid w:val="00DB1528"/>
    <w:rsid w:val="00DB6670"/>
    <w:rsid w:val="00DC2D63"/>
    <w:rsid w:val="00DD3E0B"/>
    <w:rsid w:val="00DE2503"/>
    <w:rsid w:val="00DE34F6"/>
    <w:rsid w:val="00DF3358"/>
    <w:rsid w:val="00E03E1F"/>
    <w:rsid w:val="00E05198"/>
    <w:rsid w:val="00E05E05"/>
    <w:rsid w:val="00E07085"/>
    <w:rsid w:val="00E101E9"/>
    <w:rsid w:val="00E109CB"/>
    <w:rsid w:val="00E12A1D"/>
    <w:rsid w:val="00E1347A"/>
    <w:rsid w:val="00E147EB"/>
    <w:rsid w:val="00E20A21"/>
    <w:rsid w:val="00E24A19"/>
    <w:rsid w:val="00E31975"/>
    <w:rsid w:val="00E332B9"/>
    <w:rsid w:val="00E37874"/>
    <w:rsid w:val="00E40575"/>
    <w:rsid w:val="00E51F1F"/>
    <w:rsid w:val="00E60ADF"/>
    <w:rsid w:val="00E61678"/>
    <w:rsid w:val="00E65C59"/>
    <w:rsid w:val="00E70128"/>
    <w:rsid w:val="00E8080B"/>
    <w:rsid w:val="00E9037E"/>
    <w:rsid w:val="00EA2489"/>
    <w:rsid w:val="00EA24CB"/>
    <w:rsid w:val="00EA27C3"/>
    <w:rsid w:val="00EA51B9"/>
    <w:rsid w:val="00EA59A9"/>
    <w:rsid w:val="00EA66CC"/>
    <w:rsid w:val="00EC030D"/>
    <w:rsid w:val="00EC081A"/>
    <w:rsid w:val="00EC3D43"/>
    <w:rsid w:val="00EC7350"/>
    <w:rsid w:val="00ED7B01"/>
    <w:rsid w:val="00EF6D6F"/>
    <w:rsid w:val="00F03038"/>
    <w:rsid w:val="00F110CB"/>
    <w:rsid w:val="00F16108"/>
    <w:rsid w:val="00F169EF"/>
    <w:rsid w:val="00F2327E"/>
    <w:rsid w:val="00F24B47"/>
    <w:rsid w:val="00F35519"/>
    <w:rsid w:val="00F3592E"/>
    <w:rsid w:val="00F36088"/>
    <w:rsid w:val="00F37E31"/>
    <w:rsid w:val="00F41AA5"/>
    <w:rsid w:val="00F47EC7"/>
    <w:rsid w:val="00F525CD"/>
    <w:rsid w:val="00F6108C"/>
    <w:rsid w:val="00F7190E"/>
    <w:rsid w:val="00F750E2"/>
    <w:rsid w:val="00F76241"/>
    <w:rsid w:val="00F93063"/>
    <w:rsid w:val="00FA27F1"/>
    <w:rsid w:val="00FA389F"/>
    <w:rsid w:val="00FB5949"/>
    <w:rsid w:val="00FB612A"/>
    <w:rsid w:val="00FC3E90"/>
    <w:rsid w:val="00FD1EFC"/>
    <w:rsid w:val="00FE0A6C"/>
    <w:rsid w:val="00FF1FC2"/>
    <w:rsid w:val="00FF2B14"/>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19562">
      <w:bodyDiv w:val="1"/>
      <w:marLeft w:val="0"/>
      <w:marRight w:val="0"/>
      <w:marTop w:val="0"/>
      <w:marBottom w:val="0"/>
      <w:divBdr>
        <w:top w:val="none" w:sz="0" w:space="0" w:color="auto"/>
        <w:left w:val="none" w:sz="0" w:space="0" w:color="auto"/>
        <w:bottom w:val="none" w:sz="0" w:space="0" w:color="auto"/>
        <w:right w:val="none" w:sz="0" w:space="0" w:color="auto"/>
      </w:divBdr>
    </w:div>
    <w:div w:id="1689986559">
      <w:bodyDiv w:val="1"/>
      <w:marLeft w:val="0"/>
      <w:marRight w:val="0"/>
      <w:marTop w:val="0"/>
      <w:marBottom w:val="0"/>
      <w:divBdr>
        <w:top w:val="none" w:sz="0" w:space="0" w:color="auto"/>
        <w:left w:val="none" w:sz="0" w:space="0" w:color="auto"/>
        <w:bottom w:val="none" w:sz="0" w:space="0" w:color="auto"/>
        <w:right w:val="none" w:sz="0" w:space="0" w:color="auto"/>
      </w:divBdr>
    </w:div>
    <w:div w:id="19318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8413B-14C5-4253-A466-81CC4319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4692</Words>
  <Characters>26746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31376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kurz-karin</dc:creator>
  <cp:lastModifiedBy>Smyth, Michel - OASAM OCIO</cp:lastModifiedBy>
  <cp:revision>2</cp:revision>
  <cp:lastPrinted>2011-01-05T17:19:00Z</cp:lastPrinted>
  <dcterms:created xsi:type="dcterms:W3CDTF">2013-07-24T17:56:00Z</dcterms:created>
  <dcterms:modified xsi:type="dcterms:W3CDTF">2013-07-24T17:56:00Z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