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FA" w:rsidRPr="00CD1337" w:rsidRDefault="00C016FA">
      <w:pPr>
        <w:tabs>
          <w:tab w:val="center" w:pos="4680"/>
        </w:tabs>
        <w:rPr>
          <w:rFonts w:ascii="Times New Roman" w:hAnsi="Times New Roman"/>
          <w:b/>
          <w:bCs/>
        </w:rPr>
      </w:pPr>
      <w:r w:rsidRPr="00CD1337">
        <w:rPr>
          <w:rFonts w:ascii="Times New Roman" w:hAnsi="Times New Roman"/>
        </w:rPr>
        <w:tab/>
      </w:r>
      <w:r w:rsidR="00912705">
        <w:rPr>
          <w:rFonts w:ascii="Times New Roman" w:hAnsi="Times New Roman"/>
          <w:b/>
          <w:bCs/>
        </w:rPr>
        <w:t>Justification for Nonmaterial Change</w:t>
      </w:r>
    </w:p>
    <w:p w:rsidR="00EA4390" w:rsidRDefault="00EA4390">
      <w:pPr>
        <w:jc w:val="center"/>
        <w:rPr>
          <w:rFonts w:ascii="Times New Roman" w:hAnsi="Times New Roman"/>
          <w:b/>
          <w:bCs/>
        </w:rPr>
      </w:pPr>
      <w:r>
        <w:rPr>
          <w:rFonts w:ascii="Times New Roman" w:hAnsi="Times New Roman"/>
          <w:b/>
          <w:bCs/>
        </w:rPr>
        <w:t xml:space="preserve">Lending Limits </w:t>
      </w:r>
    </w:p>
    <w:p w:rsidR="00C016FA" w:rsidRPr="00CD1337" w:rsidRDefault="00C016FA">
      <w:pPr>
        <w:jc w:val="center"/>
        <w:rPr>
          <w:rFonts w:ascii="Times New Roman" w:hAnsi="Times New Roman"/>
          <w:b/>
          <w:bCs/>
        </w:rPr>
      </w:pPr>
      <w:r w:rsidRPr="00CD1337">
        <w:rPr>
          <w:rFonts w:ascii="Times New Roman" w:hAnsi="Times New Roman"/>
          <w:b/>
          <w:bCs/>
        </w:rPr>
        <w:t>12 CFR 32</w:t>
      </w:r>
    </w:p>
    <w:p w:rsidR="00C016FA" w:rsidRPr="00CD1337" w:rsidRDefault="00C016FA">
      <w:pPr>
        <w:jc w:val="center"/>
        <w:rPr>
          <w:rFonts w:ascii="Times New Roman" w:hAnsi="Times New Roman"/>
          <w:b/>
          <w:bCs/>
        </w:rPr>
      </w:pPr>
      <w:r w:rsidRPr="00CD1337">
        <w:rPr>
          <w:rFonts w:ascii="Times New Roman" w:hAnsi="Times New Roman"/>
          <w:b/>
          <w:bCs/>
        </w:rPr>
        <w:t xml:space="preserve">OMB </w:t>
      </w:r>
      <w:r w:rsidR="00215876">
        <w:rPr>
          <w:rFonts w:ascii="Times New Roman" w:hAnsi="Times New Roman"/>
          <w:b/>
          <w:bCs/>
        </w:rPr>
        <w:t>Control No.</w:t>
      </w:r>
      <w:r w:rsidRPr="00CD1337">
        <w:rPr>
          <w:rFonts w:ascii="Times New Roman" w:hAnsi="Times New Roman"/>
          <w:b/>
          <w:bCs/>
        </w:rPr>
        <w:t xml:space="preserve"> 1557-0221</w:t>
      </w:r>
    </w:p>
    <w:p w:rsidR="00C016FA" w:rsidRPr="00CD1337" w:rsidRDefault="00C016FA">
      <w:pPr>
        <w:rPr>
          <w:rFonts w:ascii="Times New Roman" w:hAnsi="Times New Roman"/>
        </w:rPr>
      </w:pPr>
    </w:p>
    <w:p w:rsidR="00C016FA" w:rsidRPr="00CD1337" w:rsidRDefault="00C016FA">
      <w:pPr>
        <w:rPr>
          <w:rFonts w:ascii="Times New Roman" w:hAnsi="Times New Roman"/>
        </w:rPr>
      </w:pPr>
    </w:p>
    <w:p w:rsidR="00912705" w:rsidRPr="00912705" w:rsidRDefault="00912705" w:rsidP="00912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rPr>
      </w:pPr>
      <w:r>
        <w:rPr>
          <w:rFonts w:ascii="Times New Roman" w:hAnsi="Times New Roman"/>
        </w:rPr>
        <w:tab/>
      </w:r>
      <w:r w:rsidRPr="00912705">
        <w:rPr>
          <w:rFonts w:ascii="Times New Roman" w:hAnsi="Times New Roman"/>
        </w:rPr>
        <w:t xml:space="preserve">The Office of the Comptroller of the Currency (OCC) </w:t>
      </w:r>
      <w:r>
        <w:rPr>
          <w:rFonts w:ascii="Times New Roman" w:hAnsi="Times New Roman"/>
        </w:rPr>
        <w:t>amended</w:t>
      </w:r>
      <w:r w:rsidRPr="00912705">
        <w:rPr>
          <w:rFonts w:ascii="Times New Roman" w:hAnsi="Times New Roman"/>
        </w:rPr>
        <w:t xml:space="preserve"> its regulation governing lending limits for national banks to consolidate the lending limit rules applicable to national banks and savings associations and remove its separate regulation governing lending limits for savings associations. </w:t>
      </w:r>
      <w:r>
        <w:rPr>
          <w:rFonts w:ascii="Times New Roman" w:hAnsi="Times New Roman"/>
        </w:rPr>
        <w:t>As a result, the OCC is making a nonmaterial change to this collection to increase the number of respondents to include savings associations.</w:t>
      </w:r>
    </w:p>
    <w:p w:rsidR="00680F28" w:rsidRPr="00912705" w:rsidRDefault="00680F28" w:rsidP="00680F28">
      <w:pPr>
        <w:rPr>
          <w:rFonts w:ascii="Times New Roman" w:hAnsi="Times New Roman"/>
        </w:rPr>
      </w:pPr>
    </w:p>
    <w:p w:rsidR="004E7C86" w:rsidRDefault="004E7C86" w:rsidP="00680F28">
      <w:pPr>
        <w:ind w:firstLine="720"/>
        <w:rPr>
          <w:rFonts w:ascii="Times New Roman" w:hAnsi="Times New Roman"/>
        </w:rPr>
      </w:pPr>
      <w:r>
        <w:rPr>
          <w:rFonts w:ascii="Times New Roman" w:hAnsi="Times New Roman"/>
        </w:rPr>
        <w:t>Current Burden:</w:t>
      </w:r>
    </w:p>
    <w:p w:rsidR="004E7C86" w:rsidRDefault="004E7C86" w:rsidP="00680F28">
      <w:pPr>
        <w:ind w:firstLine="720"/>
        <w:rPr>
          <w:rFonts w:ascii="Times New Roman" w:hAnsi="Times New Roman"/>
        </w:rPr>
      </w:pPr>
    </w:p>
    <w:p w:rsidR="00680F28" w:rsidRPr="00912705" w:rsidRDefault="00680F28" w:rsidP="00680F28">
      <w:pPr>
        <w:ind w:firstLine="720"/>
        <w:rPr>
          <w:rFonts w:ascii="Times New Roman" w:hAnsi="Times New Roman"/>
        </w:rPr>
      </w:pPr>
      <w:r w:rsidRPr="00912705">
        <w:rPr>
          <w:rFonts w:ascii="Times New Roman" w:hAnsi="Times New Roman"/>
        </w:rPr>
        <w:t xml:space="preserve">40 respondents x 1 response = 40 responses </w:t>
      </w:r>
    </w:p>
    <w:p w:rsidR="00680F28" w:rsidRPr="00912705" w:rsidRDefault="00680F28" w:rsidP="00680F28">
      <w:pPr>
        <w:ind w:firstLine="720"/>
        <w:rPr>
          <w:rFonts w:ascii="Times New Roman" w:hAnsi="Times New Roman"/>
        </w:rPr>
      </w:pPr>
      <w:r w:rsidRPr="00912705">
        <w:rPr>
          <w:rFonts w:ascii="Times New Roman" w:hAnsi="Times New Roman"/>
        </w:rPr>
        <w:t>40 responses x 26 burden hours = 1,040 burden hours</w:t>
      </w:r>
    </w:p>
    <w:p w:rsidR="00680F28" w:rsidRPr="00912705" w:rsidRDefault="00680F28" w:rsidP="00680F28">
      <w:pPr>
        <w:rPr>
          <w:rFonts w:ascii="Times New Roman" w:hAnsi="Times New Roman"/>
        </w:rPr>
      </w:pPr>
    </w:p>
    <w:p w:rsidR="00912705" w:rsidRDefault="004E7C86">
      <w:pPr>
        <w:rPr>
          <w:rFonts w:ascii="Times New Roman" w:hAnsi="Times New Roman"/>
        </w:rPr>
      </w:pPr>
      <w:r>
        <w:rPr>
          <w:rFonts w:ascii="Times New Roman" w:hAnsi="Times New Roman"/>
        </w:rPr>
        <w:tab/>
        <w:t>Revised Burden:</w:t>
      </w:r>
    </w:p>
    <w:p w:rsidR="004E7C86" w:rsidRDefault="004E7C86">
      <w:pPr>
        <w:rPr>
          <w:rFonts w:ascii="Times New Roman" w:hAnsi="Times New Roman"/>
        </w:rPr>
      </w:pPr>
    </w:p>
    <w:p w:rsidR="004E7C86" w:rsidRDefault="004E7C86">
      <w:pPr>
        <w:rPr>
          <w:rFonts w:ascii="Times New Roman" w:hAnsi="Times New Roman"/>
        </w:rPr>
      </w:pPr>
      <w:r>
        <w:rPr>
          <w:rFonts w:ascii="Times New Roman" w:hAnsi="Times New Roman"/>
        </w:rPr>
        <w:tab/>
        <w:t>57 respondents x 1 response = 57 responses</w:t>
      </w:r>
    </w:p>
    <w:p w:rsidR="004E7C86" w:rsidRDefault="004E7C86">
      <w:pPr>
        <w:rPr>
          <w:rFonts w:ascii="Times New Roman" w:hAnsi="Times New Roman"/>
        </w:rPr>
      </w:pPr>
      <w:r>
        <w:rPr>
          <w:rFonts w:ascii="Times New Roman" w:hAnsi="Times New Roman"/>
        </w:rPr>
        <w:tab/>
        <w:t>57 responses x 26 burden hours = 1,482 burden hours</w:t>
      </w:r>
    </w:p>
    <w:p w:rsidR="004E7C86" w:rsidRDefault="004E7C86">
      <w:pPr>
        <w:rPr>
          <w:rFonts w:ascii="Times New Roman" w:hAnsi="Times New Roman"/>
        </w:rPr>
      </w:pPr>
    </w:p>
    <w:p w:rsidR="004E7C86" w:rsidRDefault="004E7C86">
      <w:pPr>
        <w:rPr>
          <w:rFonts w:ascii="Times New Roman" w:hAnsi="Times New Roman"/>
        </w:rPr>
      </w:pPr>
      <w:r>
        <w:rPr>
          <w:rFonts w:ascii="Times New Roman" w:hAnsi="Times New Roman"/>
        </w:rPr>
        <w:tab/>
        <w:t>Difference:</w:t>
      </w:r>
    </w:p>
    <w:p w:rsidR="004E7C86" w:rsidRDefault="004E7C86">
      <w:pPr>
        <w:rPr>
          <w:rFonts w:ascii="Times New Roman" w:hAnsi="Times New Roman"/>
        </w:rPr>
      </w:pPr>
    </w:p>
    <w:p w:rsidR="004E7C86" w:rsidRPr="00912705" w:rsidRDefault="004E7C86">
      <w:pPr>
        <w:rPr>
          <w:rFonts w:ascii="Times New Roman" w:hAnsi="Times New Roman"/>
        </w:rPr>
      </w:pPr>
      <w:r>
        <w:rPr>
          <w:rFonts w:ascii="Times New Roman" w:hAnsi="Times New Roman"/>
        </w:rPr>
        <w:tab/>
        <w:t>+17 respondents; +17 responses = +442 burden hours</w:t>
      </w:r>
    </w:p>
    <w:sectPr w:rsidR="004E7C86" w:rsidRPr="00912705" w:rsidSect="00912705">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FD" w:rsidRDefault="00AF14FD">
      <w:r>
        <w:separator/>
      </w:r>
    </w:p>
  </w:endnote>
  <w:endnote w:type="continuationSeparator" w:id="0">
    <w:p w:rsidR="00AF14FD" w:rsidRDefault="00AF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FD" w:rsidRDefault="00AF14FD">
      <w:r>
        <w:separator/>
      </w:r>
    </w:p>
  </w:footnote>
  <w:footnote w:type="continuationSeparator" w:id="0">
    <w:p w:rsidR="00AF14FD" w:rsidRDefault="00AF1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093876"/>
    <w:rsid w:val="000046AA"/>
    <w:rsid w:val="00093876"/>
    <w:rsid w:val="000A2E7C"/>
    <w:rsid w:val="000C212F"/>
    <w:rsid w:val="00106D39"/>
    <w:rsid w:val="00123314"/>
    <w:rsid w:val="00151E1B"/>
    <w:rsid w:val="00160787"/>
    <w:rsid w:val="00163E7A"/>
    <w:rsid w:val="00215876"/>
    <w:rsid w:val="00220447"/>
    <w:rsid w:val="00231936"/>
    <w:rsid w:val="002D0360"/>
    <w:rsid w:val="002E0D1E"/>
    <w:rsid w:val="00325F23"/>
    <w:rsid w:val="0040187E"/>
    <w:rsid w:val="004344B6"/>
    <w:rsid w:val="00434EA1"/>
    <w:rsid w:val="0047415F"/>
    <w:rsid w:val="004B03E8"/>
    <w:rsid w:val="004E7C86"/>
    <w:rsid w:val="00527569"/>
    <w:rsid w:val="005560BB"/>
    <w:rsid w:val="005744A0"/>
    <w:rsid w:val="00593541"/>
    <w:rsid w:val="005D4A6A"/>
    <w:rsid w:val="0060075A"/>
    <w:rsid w:val="0065080A"/>
    <w:rsid w:val="00680F28"/>
    <w:rsid w:val="00715395"/>
    <w:rsid w:val="00727FA6"/>
    <w:rsid w:val="007330D4"/>
    <w:rsid w:val="00755618"/>
    <w:rsid w:val="00791565"/>
    <w:rsid w:val="007E5DB5"/>
    <w:rsid w:val="00805489"/>
    <w:rsid w:val="00826038"/>
    <w:rsid w:val="0083626F"/>
    <w:rsid w:val="008821FB"/>
    <w:rsid w:val="0089408B"/>
    <w:rsid w:val="00912705"/>
    <w:rsid w:val="00922C92"/>
    <w:rsid w:val="00A15BC6"/>
    <w:rsid w:val="00A53502"/>
    <w:rsid w:val="00AF14FD"/>
    <w:rsid w:val="00B333A2"/>
    <w:rsid w:val="00B529DF"/>
    <w:rsid w:val="00B62F4D"/>
    <w:rsid w:val="00B72BEF"/>
    <w:rsid w:val="00BA4492"/>
    <w:rsid w:val="00BA4F19"/>
    <w:rsid w:val="00C013EC"/>
    <w:rsid w:val="00C016FA"/>
    <w:rsid w:val="00CD1337"/>
    <w:rsid w:val="00CD5D13"/>
    <w:rsid w:val="00CF2593"/>
    <w:rsid w:val="00D26557"/>
    <w:rsid w:val="00D57368"/>
    <w:rsid w:val="00D95DEF"/>
    <w:rsid w:val="00DC6EB0"/>
    <w:rsid w:val="00E3704B"/>
    <w:rsid w:val="00EA4390"/>
    <w:rsid w:val="00EE363E"/>
    <w:rsid w:val="00F67284"/>
    <w:rsid w:val="00F7530C"/>
    <w:rsid w:val="00FF3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a">
    <w:name w:val="_"/>
  </w:style>
  <w:style w:type="paragraph" w:styleId="BalloonText">
    <w:name w:val="Balloon Text"/>
    <w:basedOn w:val="Normal"/>
    <w:semiHidden/>
    <w:rsid w:val="00325F23"/>
    <w:rPr>
      <w:rFonts w:ascii="Tahoma" w:hAnsi="Tahoma" w:cs="Tahoma"/>
      <w:sz w:val="16"/>
      <w:szCs w:val="16"/>
    </w:rPr>
  </w:style>
  <w:style w:type="paragraph" w:styleId="HTMLPreformatted">
    <w:name w:val="HTML Preformatted"/>
    <w:basedOn w:val="Normal"/>
    <w:link w:val="HTMLPreformattedChar"/>
    <w:uiPriority w:val="99"/>
    <w:unhideWhenUsed/>
    <w:rsid w:val="009127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1270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18817834">
      <w:bodyDiv w:val="1"/>
      <w:marLeft w:val="0"/>
      <w:marRight w:val="0"/>
      <w:marTop w:val="0"/>
      <w:marBottom w:val="0"/>
      <w:divBdr>
        <w:top w:val="none" w:sz="0" w:space="0" w:color="auto"/>
        <w:left w:val="none" w:sz="0" w:space="0" w:color="auto"/>
        <w:bottom w:val="none" w:sz="0" w:space="0" w:color="auto"/>
        <w:right w:val="none" w:sz="0" w:space="0" w:color="auto"/>
      </w:divBdr>
    </w:div>
    <w:div w:id="17073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127</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mary.gottlieb</cp:lastModifiedBy>
  <cp:revision>4</cp:revision>
  <cp:lastPrinted>2010-02-01T21:21:00Z</cp:lastPrinted>
  <dcterms:created xsi:type="dcterms:W3CDTF">2012-12-03T16:32:00Z</dcterms:created>
  <dcterms:modified xsi:type="dcterms:W3CDTF">2012-12-03T19:44:00Z</dcterms:modified>
</cp:coreProperties>
</file>