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902" w:rsidRPr="00FE4902" w:rsidRDefault="00FE4902" w:rsidP="005511FE">
      <w:pPr>
        <w:spacing w:after="60" w:line="360" w:lineRule="exact"/>
        <w:ind w:firstLine="0"/>
        <w:jc w:val="left"/>
        <w:rPr>
          <w:rFonts w:ascii="Lucida Sans" w:hAnsi="Lucida Sans"/>
          <w:b/>
          <w:sz w:val="22"/>
          <w:szCs w:val="22"/>
        </w:rPr>
      </w:pPr>
      <w:bookmarkStart w:id="0" w:name="_Toc267993995"/>
      <w:bookmarkStart w:id="1" w:name="_Toc339354902"/>
      <w:bookmarkStart w:id="2" w:name="_Toc213228313"/>
      <w:bookmarkStart w:id="3" w:name="_Toc221936206"/>
      <w:bookmarkStart w:id="4" w:name="_Toc256354799"/>
      <w:bookmarkStart w:id="5" w:name="_Toc256354828"/>
      <w:bookmarkStart w:id="6" w:name="_GoBack"/>
      <w:bookmarkEnd w:id="6"/>
    </w:p>
    <w:p w:rsidR="00FE4902" w:rsidRPr="00FE4902" w:rsidRDefault="00216F5B" w:rsidP="00FE4902">
      <w:pPr>
        <w:spacing w:after="144" w:line="312" w:lineRule="auto"/>
        <w:ind w:left="5112" w:right="360" w:firstLine="0"/>
        <w:jc w:val="left"/>
        <w:rPr>
          <w:rFonts w:ascii="Lucida Sans" w:hAnsi="Lucida Sans"/>
          <w:b/>
          <w:sz w:val="22"/>
          <w:szCs w:val="22"/>
        </w:rPr>
      </w:pPr>
      <w:bookmarkStart w:id="7" w:name="RepTitle"/>
      <w:bookmarkEnd w:id="7"/>
      <w:r>
        <w:rPr>
          <w:rFonts w:ascii="Lucida Sans" w:hAnsi="Lucida Sans"/>
          <w:b/>
          <w:sz w:val="22"/>
          <w:szCs w:val="22"/>
        </w:rPr>
        <w:t>Evaluation of Sta</w:t>
      </w:r>
      <w:r w:rsidR="000A7A9E">
        <w:rPr>
          <w:rFonts w:ascii="Lucida Sans" w:hAnsi="Lucida Sans"/>
          <w:b/>
          <w:sz w:val="22"/>
          <w:szCs w:val="22"/>
        </w:rPr>
        <w:t>te Expanded Learning Time (ELT)</w:t>
      </w:r>
    </w:p>
    <w:p w:rsidR="00FE4902" w:rsidRPr="00FE4902" w:rsidRDefault="00FE4902" w:rsidP="00FE4902">
      <w:pPr>
        <w:spacing w:before="144" w:line="360" w:lineRule="exact"/>
        <w:ind w:left="5115" w:right="360" w:firstLine="0"/>
        <w:rPr>
          <w:rFonts w:ascii="Lucida Sans" w:hAnsi="Lucida Sans"/>
          <w:sz w:val="22"/>
          <w:szCs w:val="22"/>
        </w:rPr>
      </w:pPr>
      <w:bookmarkStart w:id="8" w:name="RepType"/>
      <w:bookmarkEnd w:id="8"/>
      <w:r w:rsidRPr="00FE4902">
        <w:rPr>
          <w:rFonts w:ascii="Lucida Sans" w:hAnsi="Lucida Sans"/>
          <w:sz w:val="22"/>
          <w:szCs w:val="22"/>
        </w:rPr>
        <w:t>Section A</w:t>
      </w:r>
    </w:p>
    <w:p w:rsidR="00FE4902" w:rsidRPr="00FE4902" w:rsidRDefault="00171E50" w:rsidP="00FE4902">
      <w:pPr>
        <w:spacing w:before="144" w:after="288" w:line="360" w:lineRule="exact"/>
        <w:ind w:left="5112" w:right="360" w:firstLine="0"/>
        <w:rPr>
          <w:rFonts w:ascii="Lucida Sans" w:hAnsi="Lucida Sans"/>
          <w:sz w:val="22"/>
          <w:szCs w:val="22"/>
        </w:rPr>
      </w:pPr>
      <w:bookmarkStart w:id="9" w:name="DateMark"/>
      <w:bookmarkEnd w:id="9"/>
      <w:r>
        <w:rPr>
          <w:rFonts w:ascii="Lucida Sans" w:hAnsi="Lucida Sans"/>
          <w:sz w:val="22"/>
          <w:szCs w:val="22"/>
        </w:rPr>
        <w:t>April 3,</w:t>
      </w:r>
      <w:r w:rsidR="0057135F">
        <w:rPr>
          <w:rFonts w:ascii="Lucida Sans" w:hAnsi="Lucida Sans"/>
          <w:sz w:val="22"/>
          <w:szCs w:val="22"/>
        </w:rPr>
        <w:t xml:space="preserve"> 2013</w:t>
      </w:r>
    </w:p>
    <w:p w:rsidR="00FE4902" w:rsidRPr="00FE4902" w:rsidRDefault="00FE4902" w:rsidP="00FE4902">
      <w:pPr>
        <w:spacing w:line="280" w:lineRule="exact"/>
        <w:ind w:left="5225" w:firstLine="0"/>
        <w:rPr>
          <w:rFonts w:ascii="Lucida Sans" w:hAnsi="Lucida Sans"/>
          <w:sz w:val="20"/>
          <w:szCs w:val="20"/>
        </w:rPr>
      </w:pPr>
      <w:bookmarkStart w:id="10" w:name="StartingPoint"/>
      <w:bookmarkEnd w:id="10"/>
      <w:r w:rsidRPr="00FE4902">
        <w:rPr>
          <w:rFonts w:ascii="Lucida Sans" w:hAnsi="Lucida Sans"/>
          <w:noProof/>
          <w:sz w:val="20"/>
          <w:szCs w:val="20"/>
        </w:rPr>
        <w:drawing>
          <wp:anchor distT="0" distB="0" distL="114300" distR="114300" simplePos="0" relativeHeight="251663360" behindDoc="0" locked="1" layoutInCell="1" allowOverlap="1" wp14:anchorId="4E634691" wp14:editId="519718C5">
            <wp:simplePos x="0" y="0"/>
            <wp:positionH relativeFrom="page">
              <wp:posOffset>4105275</wp:posOffset>
            </wp:positionH>
            <wp:positionV relativeFrom="page">
              <wp:posOffset>7086600</wp:posOffset>
            </wp:positionV>
            <wp:extent cx="1809750" cy="577215"/>
            <wp:effectExtent l="19050" t="0" r="0" b="0"/>
            <wp:wrapThrough wrapText="bothSides">
              <wp:wrapPolygon edited="0">
                <wp:start x="-227" y="0"/>
                <wp:lineTo x="-227" y="20673"/>
                <wp:lineTo x="21600" y="20673"/>
                <wp:lineTo x="21600" y="12832"/>
                <wp:lineTo x="19326" y="11406"/>
                <wp:lineTo x="21600" y="9267"/>
                <wp:lineTo x="21600" y="0"/>
                <wp:lineTo x="-227" y="0"/>
              </wp:wrapPolygon>
            </wp:wrapThrough>
            <wp:docPr id="4" name="Picture 4"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thematica Policy Research logo."/>
                    <pic:cNvPicPr>
                      <a:picLocks noChangeAspect="1" noChangeArrowheads="1"/>
                    </pic:cNvPicPr>
                  </pic:nvPicPr>
                  <pic:blipFill>
                    <a:blip r:embed="rId16" cstate="print"/>
                    <a:stretch>
                      <a:fillRect/>
                    </a:stretch>
                  </pic:blipFill>
                  <pic:spPr bwMode="auto">
                    <a:xfrm>
                      <a:off x="0" y="0"/>
                      <a:ext cx="1809750" cy="577215"/>
                    </a:xfrm>
                    <a:prstGeom prst="rect">
                      <a:avLst/>
                    </a:prstGeom>
                    <a:noFill/>
                  </pic:spPr>
                </pic:pic>
              </a:graphicData>
            </a:graphic>
          </wp:anchor>
        </w:drawing>
      </w:r>
      <w:r w:rsidRPr="00FE4902">
        <w:rPr>
          <w:rFonts w:ascii="Lucida Sans" w:hAnsi="Lucida Sans"/>
          <w:noProof/>
          <w:sz w:val="20"/>
          <w:szCs w:val="20"/>
        </w:rPr>
        <w:drawing>
          <wp:anchor distT="0" distB="0" distL="114300" distR="114300" simplePos="0" relativeHeight="251661312" behindDoc="0" locked="1" layoutInCell="1" allowOverlap="1" wp14:anchorId="2C9E0D37" wp14:editId="466DD40B">
            <wp:simplePos x="0" y="0"/>
            <wp:positionH relativeFrom="page">
              <wp:posOffset>0</wp:posOffset>
            </wp:positionH>
            <wp:positionV relativeFrom="page">
              <wp:posOffset>6172200</wp:posOffset>
            </wp:positionV>
            <wp:extent cx="7802880" cy="2562225"/>
            <wp:effectExtent l="19050" t="0" r="7620" b="0"/>
            <wp:wrapThrough wrapText="bothSides">
              <wp:wrapPolygon edited="0">
                <wp:start x="-53" y="0"/>
                <wp:lineTo x="-53" y="21520"/>
                <wp:lineTo x="21621" y="21520"/>
                <wp:lineTo x="21621" y="0"/>
                <wp:lineTo x="-53"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7802880" cy="2562225"/>
                    </a:xfrm>
                    <a:prstGeom prst="rect">
                      <a:avLst/>
                    </a:prstGeom>
                    <a:noFill/>
                  </pic:spPr>
                </pic:pic>
              </a:graphicData>
            </a:graphic>
          </wp:anchor>
        </w:drawing>
      </w:r>
      <w:r w:rsidRPr="00FE4902">
        <w:rPr>
          <w:rFonts w:ascii="Lucida Sans" w:hAnsi="Lucida Sans"/>
          <w:sz w:val="20"/>
          <w:szCs w:val="20"/>
        </w:rPr>
        <w:t xml:space="preserve"> </w:t>
      </w:r>
    </w:p>
    <w:p w:rsidR="00FE4902" w:rsidRPr="00FE4902" w:rsidRDefault="00FE4902" w:rsidP="00FE4902">
      <w:pPr>
        <w:spacing w:line="264" w:lineRule="auto"/>
        <w:ind w:left="5040" w:firstLine="0"/>
        <w:rPr>
          <w:rFonts w:ascii="Lucida Sans" w:hAnsi="Lucida Sans"/>
          <w:sz w:val="20"/>
          <w:szCs w:val="20"/>
        </w:rPr>
        <w:sectPr w:rsidR="00FE4902" w:rsidRPr="00FE4902" w:rsidSect="00B61853">
          <w:footerReference w:type="default" r:id="rId18"/>
          <w:endnotePr>
            <w:numFmt w:val="decimal"/>
          </w:endnotePr>
          <w:pgSz w:w="12240" w:h="15840" w:code="1"/>
          <w:pgMar w:top="2592" w:right="1440" w:bottom="576" w:left="1440" w:header="720" w:footer="576" w:gutter="0"/>
          <w:cols w:space="720"/>
          <w:docGrid w:linePitch="150"/>
        </w:sectPr>
      </w:pPr>
    </w:p>
    <w:tbl>
      <w:tblPr>
        <w:tblpPr w:leftFromText="187" w:rightFromText="187" w:vertAnchor="page" w:tblpY="2881"/>
        <w:tblOverlap w:val="never"/>
        <w:tblW w:w="0" w:type="auto"/>
        <w:tblInd w:w="1440" w:type="dxa"/>
        <w:tblLayout w:type="fixed"/>
        <w:tblCellMar>
          <w:left w:w="115" w:type="dxa"/>
          <w:right w:w="115" w:type="dxa"/>
        </w:tblCellMar>
        <w:tblLook w:val="04A0" w:firstRow="1" w:lastRow="0" w:firstColumn="1" w:lastColumn="0" w:noHBand="0" w:noVBand="1"/>
      </w:tblPr>
      <w:tblGrid>
        <w:gridCol w:w="3618"/>
        <w:gridCol w:w="4057"/>
      </w:tblGrid>
      <w:tr w:rsidR="00FE4902" w:rsidRPr="00FE4902" w:rsidTr="00B61853">
        <w:tc>
          <w:tcPr>
            <w:tcW w:w="3618" w:type="dxa"/>
          </w:tcPr>
          <w:p w:rsidR="00FE4902" w:rsidRPr="00FE4902" w:rsidRDefault="00FE4902" w:rsidP="00FE4902">
            <w:pPr>
              <w:spacing w:line="240" w:lineRule="exact"/>
              <w:ind w:firstLine="0"/>
              <w:jc w:val="left"/>
              <w:rPr>
                <w:rFonts w:ascii="Lucida Sans" w:hAnsi="Lucida Sans"/>
                <w:sz w:val="17"/>
                <w:szCs w:val="16"/>
              </w:rPr>
            </w:pPr>
            <w:r w:rsidRPr="00FE4902">
              <w:rPr>
                <w:rFonts w:ascii="Lucida Sans" w:hAnsi="Lucida Sans"/>
                <w:sz w:val="17"/>
                <w:szCs w:val="16"/>
              </w:rPr>
              <w:lastRenderedPageBreak/>
              <w:t>Contract Number:</w:t>
            </w:r>
          </w:p>
          <w:p w:rsidR="00FE4902" w:rsidRPr="00FE4902" w:rsidRDefault="00FE4902" w:rsidP="00FE4902">
            <w:pPr>
              <w:spacing w:after="180" w:line="240" w:lineRule="exact"/>
              <w:ind w:firstLine="0"/>
              <w:jc w:val="left"/>
              <w:rPr>
                <w:rFonts w:ascii="Lucida Sans" w:hAnsi="Lucida Sans"/>
                <w:sz w:val="17"/>
                <w:szCs w:val="16"/>
              </w:rPr>
            </w:pPr>
            <w:bookmarkStart w:id="11" w:name="Contract"/>
            <w:bookmarkEnd w:id="11"/>
            <w:r w:rsidRPr="00FE4902">
              <w:rPr>
                <w:rFonts w:ascii="Lucida Sans" w:hAnsi="Lucida Sans"/>
                <w:sz w:val="17"/>
                <w:szCs w:val="16"/>
              </w:rPr>
              <w:t>ED-IES-12-C-0086</w:t>
            </w:r>
          </w:p>
          <w:p w:rsidR="00FE4902" w:rsidRPr="00FE4902" w:rsidRDefault="00FE4902" w:rsidP="00FE4902">
            <w:pPr>
              <w:spacing w:line="240" w:lineRule="exact"/>
              <w:ind w:firstLine="0"/>
              <w:jc w:val="left"/>
              <w:rPr>
                <w:rFonts w:ascii="Lucida Sans" w:hAnsi="Lucida Sans"/>
                <w:sz w:val="17"/>
                <w:szCs w:val="16"/>
              </w:rPr>
            </w:pPr>
            <w:r w:rsidRPr="00FE4902">
              <w:rPr>
                <w:rFonts w:ascii="Lucida Sans" w:hAnsi="Lucida Sans"/>
                <w:sz w:val="17"/>
                <w:szCs w:val="16"/>
              </w:rPr>
              <w:t>Mathematica Reference Number:</w:t>
            </w:r>
          </w:p>
          <w:p w:rsidR="00FE4902" w:rsidRPr="00FE4902" w:rsidRDefault="00FE4902" w:rsidP="00FE4902">
            <w:pPr>
              <w:spacing w:after="180" w:line="240" w:lineRule="exact"/>
              <w:ind w:firstLine="0"/>
              <w:jc w:val="left"/>
              <w:rPr>
                <w:rFonts w:ascii="Lucida Sans" w:hAnsi="Lucida Sans"/>
                <w:sz w:val="17"/>
                <w:szCs w:val="16"/>
              </w:rPr>
            </w:pPr>
            <w:bookmarkStart w:id="12" w:name="MPRRef"/>
            <w:bookmarkEnd w:id="12"/>
            <w:r w:rsidRPr="00FE4902">
              <w:rPr>
                <w:rFonts w:ascii="Lucida Sans" w:hAnsi="Lucida Sans"/>
                <w:sz w:val="17"/>
                <w:szCs w:val="16"/>
              </w:rPr>
              <w:t>40166-300</w:t>
            </w:r>
          </w:p>
          <w:p w:rsidR="00FE4902" w:rsidRPr="00FE4902" w:rsidRDefault="00FE4902" w:rsidP="00FE4902">
            <w:pPr>
              <w:spacing w:line="240" w:lineRule="exact"/>
              <w:ind w:firstLine="0"/>
              <w:jc w:val="left"/>
              <w:rPr>
                <w:rFonts w:ascii="Lucida Sans" w:hAnsi="Lucida Sans"/>
                <w:sz w:val="17"/>
                <w:szCs w:val="16"/>
              </w:rPr>
            </w:pPr>
            <w:r w:rsidRPr="00FE4902">
              <w:rPr>
                <w:rFonts w:ascii="Lucida Sans" w:hAnsi="Lucida Sans"/>
                <w:sz w:val="17"/>
                <w:szCs w:val="16"/>
              </w:rPr>
              <w:t>Submitted to:</w:t>
            </w:r>
          </w:p>
          <w:p w:rsidR="00FE4902" w:rsidRPr="00FE4902" w:rsidRDefault="00FE4902" w:rsidP="00FE4902">
            <w:pPr>
              <w:spacing w:line="240" w:lineRule="exact"/>
              <w:ind w:firstLine="0"/>
              <w:jc w:val="left"/>
              <w:rPr>
                <w:rFonts w:ascii="Lucida Sans" w:hAnsi="Lucida Sans"/>
                <w:sz w:val="17"/>
                <w:szCs w:val="16"/>
              </w:rPr>
            </w:pPr>
            <w:bookmarkStart w:id="13" w:name="Agency"/>
            <w:bookmarkEnd w:id="13"/>
            <w:r w:rsidRPr="00FE4902">
              <w:rPr>
                <w:rFonts w:ascii="Lucida Sans" w:hAnsi="Lucida Sans"/>
                <w:sz w:val="17"/>
                <w:szCs w:val="16"/>
              </w:rPr>
              <w:t>Institute of Education Sciences</w:t>
            </w:r>
          </w:p>
          <w:p w:rsidR="00FE4902" w:rsidRPr="00FE4902" w:rsidRDefault="00FE4902" w:rsidP="00FE4902">
            <w:pPr>
              <w:spacing w:line="240" w:lineRule="exact"/>
              <w:ind w:firstLine="0"/>
              <w:jc w:val="left"/>
              <w:rPr>
                <w:rFonts w:ascii="Lucida Sans" w:hAnsi="Lucida Sans"/>
                <w:sz w:val="17"/>
                <w:szCs w:val="16"/>
              </w:rPr>
            </w:pPr>
            <w:r w:rsidRPr="00FE4902">
              <w:rPr>
                <w:rFonts w:ascii="Lucida Sans" w:hAnsi="Lucida Sans"/>
                <w:sz w:val="17"/>
                <w:szCs w:val="16"/>
              </w:rPr>
              <w:t>IES/NCEE</w:t>
            </w:r>
          </w:p>
          <w:p w:rsidR="00FE4902" w:rsidRPr="00FE4902" w:rsidRDefault="00FE4902" w:rsidP="00FE4902">
            <w:pPr>
              <w:spacing w:line="240" w:lineRule="exact"/>
              <w:ind w:firstLine="0"/>
              <w:jc w:val="left"/>
              <w:rPr>
                <w:rFonts w:ascii="Lucida Sans" w:hAnsi="Lucida Sans"/>
                <w:sz w:val="17"/>
                <w:szCs w:val="16"/>
              </w:rPr>
            </w:pPr>
            <w:r w:rsidRPr="00FE4902">
              <w:rPr>
                <w:rFonts w:ascii="Lucida Sans" w:hAnsi="Lucida Sans"/>
                <w:sz w:val="17"/>
                <w:szCs w:val="16"/>
              </w:rPr>
              <w:t>U.S. Department of Education</w:t>
            </w:r>
          </w:p>
          <w:p w:rsidR="00FE4902" w:rsidRPr="00FE4902" w:rsidRDefault="00FE4902" w:rsidP="00FE4902">
            <w:pPr>
              <w:spacing w:line="240" w:lineRule="exact"/>
              <w:ind w:firstLine="0"/>
              <w:jc w:val="left"/>
              <w:rPr>
                <w:rFonts w:ascii="Lucida Sans" w:hAnsi="Lucida Sans"/>
                <w:sz w:val="17"/>
                <w:szCs w:val="16"/>
              </w:rPr>
            </w:pPr>
            <w:r w:rsidRPr="00FE4902">
              <w:rPr>
                <w:rFonts w:ascii="Lucida Sans" w:hAnsi="Lucida Sans"/>
                <w:sz w:val="17"/>
                <w:szCs w:val="16"/>
              </w:rPr>
              <w:t>555 New Jersey Avenue, NW</w:t>
            </w:r>
          </w:p>
          <w:p w:rsidR="00FE4902" w:rsidRPr="00FE4902" w:rsidRDefault="00FE4902" w:rsidP="00FE4902">
            <w:pPr>
              <w:spacing w:line="240" w:lineRule="exact"/>
              <w:ind w:firstLine="0"/>
              <w:jc w:val="left"/>
              <w:rPr>
                <w:rFonts w:ascii="Lucida Sans" w:hAnsi="Lucida Sans"/>
                <w:sz w:val="17"/>
                <w:szCs w:val="16"/>
              </w:rPr>
            </w:pPr>
            <w:r w:rsidRPr="00FE4902">
              <w:rPr>
                <w:rFonts w:ascii="Lucida Sans" w:hAnsi="Lucida Sans"/>
                <w:sz w:val="17"/>
                <w:szCs w:val="16"/>
              </w:rPr>
              <w:t>Washington, DC 20208</w:t>
            </w:r>
          </w:p>
          <w:p w:rsidR="00FE4902" w:rsidRPr="00FE4902" w:rsidRDefault="00FE4902" w:rsidP="00FE4902">
            <w:pPr>
              <w:spacing w:after="180" w:line="240" w:lineRule="exact"/>
              <w:ind w:firstLine="0"/>
              <w:jc w:val="left"/>
              <w:rPr>
                <w:rFonts w:ascii="Lucida Sans" w:hAnsi="Lucida Sans"/>
                <w:sz w:val="17"/>
                <w:szCs w:val="16"/>
              </w:rPr>
            </w:pPr>
            <w:r w:rsidRPr="00FE4902">
              <w:rPr>
                <w:rFonts w:ascii="Lucida Sans" w:hAnsi="Lucida Sans"/>
                <w:sz w:val="17"/>
                <w:szCs w:val="16"/>
              </w:rPr>
              <w:t xml:space="preserve">Project Officer: </w:t>
            </w:r>
            <w:bookmarkStart w:id="14" w:name="ProjOff"/>
            <w:bookmarkEnd w:id="14"/>
            <w:r w:rsidRPr="00FE4902">
              <w:rPr>
                <w:rFonts w:ascii="Lucida Sans" w:hAnsi="Lucida Sans"/>
                <w:sz w:val="17"/>
                <w:szCs w:val="16"/>
              </w:rPr>
              <w:t xml:space="preserve"> Erica Johnson</w:t>
            </w:r>
          </w:p>
          <w:p w:rsidR="00FE4902" w:rsidRPr="00FE4902" w:rsidRDefault="00FE4902" w:rsidP="00FE4902">
            <w:pPr>
              <w:spacing w:line="240" w:lineRule="exact"/>
              <w:ind w:firstLine="0"/>
              <w:jc w:val="left"/>
              <w:rPr>
                <w:rFonts w:ascii="Lucida Sans" w:hAnsi="Lucida Sans"/>
                <w:sz w:val="17"/>
                <w:szCs w:val="16"/>
              </w:rPr>
            </w:pPr>
            <w:r w:rsidRPr="00FE4902">
              <w:rPr>
                <w:rFonts w:ascii="Lucida Sans" w:hAnsi="Lucida Sans"/>
                <w:sz w:val="17"/>
                <w:szCs w:val="16"/>
              </w:rPr>
              <w:t>Submitted by:</w:t>
            </w:r>
          </w:p>
          <w:p w:rsidR="00FE4902" w:rsidRPr="00FE4902" w:rsidRDefault="00FE4902" w:rsidP="00FE4902">
            <w:pPr>
              <w:spacing w:line="240" w:lineRule="exact"/>
              <w:ind w:firstLine="0"/>
              <w:jc w:val="left"/>
              <w:rPr>
                <w:rFonts w:ascii="Lucida Sans" w:hAnsi="Lucida Sans"/>
                <w:sz w:val="17"/>
                <w:szCs w:val="16"/>
              </w:rPr>
            </w:pPr>
            <w:r w:rsidRPr="00FE4902">
              <w:rPr>
                <w:rFonts w:ascii="Lucida Sans" w:hAnsi="Lucida Sans"/>
                <w:sz w:val="17"/>
                <w:szCs w:val="16"/>
              </w:rPr>
              <w:t>Mathematica Policy Research</w:t>
            </w:r>
          </w:p>
          <w:p w:rsidR="00FE4902" w:rsidRPr="00FE4902" w:rsidRDefault="00FE4902" w:rsidP="00FE4902">
            <w:pPr>
              <w:spacing w:line="240" w:lineRule="exact"/>
              <w:ind w:firstLine="0"/>
              <w:jc w:val="left"/>
              <w:rPr>
                <w:rFonts w:ascii="Lucida Sans" w:hAnsi="Lucida Sans"/>
                <w:sz w:val="17"/>
                <w:szCs w:val="16"/>
              </w:rPr>
            </w:pPr>
            <w:bookmarkStart w:id="15" w:name="MPRAddress2"/>
            <w:bookmarkEnd w:id="15"/>
            <w:r w:rsidRPr="00FE4902">
              <w:rPr>
                <w:rFonts w:ascii="Lucida Sans" w:hAnsi="Lucida Sans"/>
                <w:sz w:val="17"/>
                <w:szCs w:val="16"/>
              </w:rPr>
              <w:t>600 Alexander Park</w:t>
            </w:r>
          </w:p>
          <w:p w:rsidR="00FE4902" w:rsidRPr="00FE4902" w:rsidRDefault="00FE4902" w:rsidP="00FE4902">
            <w:pPr>
              <w:spacing w:line="240" w:lineRule="exact"/>
              <w:ind w:firstLine="0"/>
              <w:jc w:val="left"/>
              <w:rPr>
                <w:rFonts w:ascii="Lucida Sans" w:hAnsi="Lucida Sans"/>
                <w:sz w:val="17"/>
                <w:szCs w:val="16"/>
              </w:rPr>
            </w:pPr>
            <w:r w:rsidRPr="00FE4902">
              <w:rPr>
                <w:rFonts w:ascii="Lucida Sans" w:hAnsi="Lucida Sans"/>
                <w:sz w:val="17"/>
                <w:szCs w:val="16"/>
              </w:rPr>
              <w:t>Suite 100</w:t>
            </w:r>
          </w:p>
          <w:p w:rsidR="00FE4902" w:rsidRPr="00FE4902" w:rsidRDefault="00FE4902" w:rsidP="00FE4902">
            <w:pPr>
              <w:spacing w:line="240" w:lineRule="exact"/>
              <w:ind w:firstLine="0"/>
              <w:jc w:val="left"/>
              <w:rPr>
                <w:rFonts w:ascii="Lucida Sans" w:hAnsi="Lucida Sans"/>
                <w:sz w:val="17"/>
                <w:szCs w:val="16"/>
              </w:rPr>
            </w:pPr>
            <w:r w:rsidRPr="00FE4902">
              <w:rPr>
                <w:rFonts w:ascii="Lucida Sans" w:hAnsi="Lucida Sans"/>
                <w:sz w:val="17"/>
                <w:szCs w:val="16"/>
              </w:rPr>
              <w:t>Princeton, NJ 08540</w:t>
            </w:r>
          </w:p>
          <w:p w:rsidR="00FE4902" w:rsidRPr="00FE4902" w:rsidRDefault="00FE4902" w:rsidP="00FE4902">
            <w:pPr>
              <w:spacing w:line="240" w:lineRule="exact"/>
              <w:ind w:firstLine="0"/>
              <w:jc w:val="left"/>
              <w:rPr>
                <w:rFonts w:ascii="Lucida Sans" w:hAnsi="Lucida Sans"/>
                <w:sz w:val="17"/>
                <w:szCs w:val="16"/>
              </w:rPr>
            </w:pPr>
            <w:r w:rsidRPr="00FE4902">
              <w:rPr>
                <w:rFonts w:ascii="Lucida Sans" w:hAnsi="Lucida Sans"/>
                <w:sz w:val="17"/>
                <w:szCs w:val="16"/>
              </w:rPr>
              <w:t>Telephone: (609) 799-3535</w:t>
            </w:r>
          </w:p>
          <w:p w:rsidR="00FE4902" w:rsidRPr="00FE4902" w:rsidRDefault="00FE4902" w:rsidP="00FE4902">
            <w:pPr>
              <w:spacing w:line="240" w:lineRule="exact"/>
              <w:ind w:firstLine="0"/>
              <w:jc w:val="left"/>
              <w:rPr>
                <w:rFonts w:ascii="Lucida Sans" w:hAnsi="Lucida Sans"/>
                <w:sz w:val="17"/>
                <w:szCs w:val="16"/>
              </w:rPr>
            </w:pPr>
            <w:r w:rsidRPr="00FE4902">
              <w:rPr>
                <w:rFonts w:ascii="Lucida Sans" w:hAnsi="Lucida Sans"/>
                <w:sz w:val="17"/>
                <w:szCs w:val="16"/>
              </w:rPr>
              <w:t>Facsimile: (609) 799-0005</w:t>
            </w:r>
          </w:p>
          <w:p w:rsidR="00FE4902" w:rsidRPr="00FE4902" w:rsidRDefault="00FE4902" w:rsidP="00FE4902">
            <w:pPr>
              <w:spacing w:after="180" w:line="240" w:lineRule="exact"/>
              <w:ind w:firstLine="0"/>
              <w:jc w:val="left"/>
              <w:rPr>
                <w:rFonts w:ascii="Lucida Sans" w:hAnsi="Lucida Sans"/>
                <w:sz w:val="16"/>
                <w:szCs w:val="16"/>
              </w:rPr>
            </w:pPr>
            <w:r w:rsidRPr="00FE4902">
              <w:rPr>
                <w:rFonts w:ascii="Lucida Sans" w:hAnsi="Lucida Sans"/>
                <w:sz w:val="17"/>
                <w:szCs w:val="16"/>
              </w:rPr>
              <w:t>Project Director: Phil Gleason</w:t>
            </w:r>
            <w:bookmarkStart w:id="16" w:name="ProjDir"/>
            <w:bookmarkEnd w:id="16"/>
          </w:p>
        </w:tc>
        <w:tc>
          <w:tcPr>
            <w:tcW w:w="4057" w:type="dxa"/>
          </w:tcPr>
          <w:p w:rsidR="00FE4902" w:rsidRPr="00FE4902" w:rsidRDefault="00216F5B" w:rsidP="00FE4902">
            <w:pPr>
              <w:spacing w:after="144" w:line="312" w:lineRule="auto"/>
              <w:ind w:left="58" w:firstLine="0"/>
              <w:jc w:val="left"/>
              <w:rPr>
                <w:rFonts w:ascii="Lucida Sans" w:hAnsi="Lucida Sans"/>
                <w:b/>
                <w:sz w:val="22"/>
                <w:szCs w:val="22"/>
              </w:rPr>
            </w:pPr>
            <w:bookmarkStart w:id="17" w:name="RepTitle2"/>
            <w:bookmarkEnd w:id="17"/>
            <w:r>
              <w:rPr>
                <w:rFonts w:ascii="Lucida Sans" w:hAnsi="Lucida Sans"/>
                <w:b/>
                <w:sz w:val="22"/>
                <w:szCs w:val="22"/>
              </w:rPr>
              <w:t>Evaluation of Sta</w:t>
            </w:r>
            <w:r w:rsidR="000A7A9E">
              <w:rPr>
                <w:rFonts w:ascii="Lucida Sans" w:hAnsi="Lucida Sans"/>
                <w:b/>
                <w:sz w:val="22"/>
                <w:szCs w:val="22"/>
              </w:rPr>
              <w:t>te Expanded Learning Time (ELT)</w:t>
            </w:r>
          </w:p>
          <w:p w:rsidR="00FE4902" w:rsidRPr="00FE4902" w:rsidRDefault="00FE4902" w:rsidP="00FE4902">
            <w:pPr>
              <w:spacing w:before="144" w:line="360" w:lineRule="exact"/>
              <w:ind w:left="58" w:firstLine="14"/>
              <w:jc w:val="left"/>
              <w:rPr>
                <w:rFonts w:ascii="Lucida Sans" w:hAnsi="Lucida Sans"/>
                <w:sz w:val="22"/>
                <w:szCs w:val="22"/>
              </w:rPr>
            </w:pPr>
            <w:bookmarkStart w:id="18" w:name="RepType2"/>
            <w:bookmarkEnd w:id="18"/>
            <w:r w:rsidRPr="00FE4902">
              <w:rPr>
                <w:rFonts w:ascii="Lucida Sans" w:hAnsi="Lucida Sans"/>
                <w:sz w:val="22"/>
                <w:szCs w:val="22"/>
              </w:rPr>
              <w:t>Section A</w:t>
            </w:r>
          </w:p>
          <w:p w:rsidR="00FE4902" w:rsidRPr="00FE4902" w:rsidRDefault="00171E50" w:rsidP="00FE4902">
            <w:pPr>
              <w:spacing w:before="144" w:after="288" w:line="360" w:lineRule="exact"/>
              <w:ind w:left="58" w:firstLine="0"/>
              <w:jc w:val="left"/>
              <w:rPr>
                <w:rFonts w:ascii="Lucida Sans" w:hAnsi="Lucida Sans"/>
                <w:sz w:val="22"/>
                <w:szCs w:val="22"/>
              </w:rPr>
            </w:pPr>
            <w:bookmarkStart w:id="19" w:name="DateMark2"/>
            <w:bookmarkEnd w:id="19"/>
            <w:r>
              <w:rPr>
                <w:rFonts w:ascii="Lucida Sans" w:hAnsi="Lucida Sans"/>
                <w:sz w:val="22"/>
                <w:szCs w:val="22"/>
              </w:rPr>
              <w:t>April 3</w:t>
            </w:r>
            <w:r w:rsidR="0057135F">
              <w:rPr>
                <w:rFonts w:ascii="Lucida Sans" w:hAnsi="Lucida Sans"/>
                <w:sz w:val="22"/>
                <w:szCs w:val="22"/>
              </w:rPr>
              <w:t>, 2013</w:t>
            </w:r>
          </w:p>
          <w:p w:rsidR="00FE4902" w:rsidRPr="00FE4902" w:rsidRDefault="00FE4902" w:rsidP="00FE4902">
            <w:pPr>
              <w:spacing w:line="264" w:lineRule="auto"/>
              <w:ind w:left="58" w:firstLine="0"/>
              <w:jc w:val="left"/>
              <w:rPr>
                <w:rFonts w:ascii="Lucida Sans" w:hAnsi="Lucida Sans"/>
                <w:sz w:val="20"/>
                <w:szCs w:val="20"/>
              </w:rPr>
            </w:pPr>
          </w:p>
          <w:p w:rsidR="00FE4902" w:rsidRPr="00FE4902" w:rsidRDefault="00FE4902" w:rsidP="00FE4902">
            <w:pPr>
              <w:spacing w:line="264" w:lineRule="auto"/>
              <w:ind w:left="58" w:firstLine="0"/>
              <w:jc w:val="left"/>
              <w:rPr>
                <w:rFonts w:ascii="Lucida Sans" w:hAnsi="Lucida Sans"/>
                <w:sz w:val="22"/>
                <w:szCs w:val="22"/>
              </w:rPr>
            </w:pPr>
          </w:p>
        </w:tc>
      </w:tr>
    </w:tbl>
    <w:p w:rsidR="00FE4902" w:rsidRPr="00FE4902" w:rsidRDefault="00FE4902" w:rsidP="00FE4902">
      <w:pPr>
        <w:tabs>
          <w:tab w:val="clear" w:pos="432"/>
          <w:tab w:val="left" w:pos="8255"/>
        </w:tabs>
        <w:spacing w:line="264" w:lineRule="auto"/>
        <w:ind w:firstLine="0"/>
        <w:rPr>
          <w:rFonts w:ascii="Lucida Sans" w:hAnsi="Lucida Sans"/>
          <w:sz w:val="22"/>
          <w:szCs w:val="22"/>
        </w:rPr>
      </w:pPr>
      <w:r w:rsidRPr="00FE4902">
        <w:rPr>
          <w:rFonts w:ascii="Lucida Sans" w:hAnsi="Lucida Sans"/>
          <w:sz w:val="22"/>
          <w:szCs w:val="22"/>
        </w:rPr>
        <w:tab/>
      </w:r>
    </w:p>
    <w:p w:rsidR="00FE4902" w:rsidRPr="00FE4902" w:rsidRDefault="00FE4902" w:rsidP="00FE4902">
      <w:pPr>
        <w:spacing w:line="264" w:lineRule="auto"/>
        <w:ind w:firstLine="0"/>
        <w:rPr>
          <w:rFonts w:ascii="Lucida Sans" w:hAnsi="Lucida Sans"/>
          <w:sz w:val="22"/>
          <w:szCs w:val="22"/>
        </w:rPr>
      </w:pPr>
      <w:r w:rsidRPr="00FE4902">
        <w:rPr>
          <w:rFonts w:ascii="Lucida Sans" w:hAnsi="Lucida Sans"/>
          <w:noProof/>
        </w:rPr>
        <w:drawing>
          <wp:anchor distT="0" distB="0" distL="114300" distR="114300" simplePos="0" relativeHeight="251664384" behindDoc="0" locked="1" layoutInCell="1" allowOverlap="1" wp14:anchorId="7E6C7465" wp14:editId="21BA550F">
            <wp:simplePos x="0" y="0"/>
            <wp:positionH relativeFrom="page">
              <wp:posOffset>4100195</wp:posOffset>
            </wp:positionH>
            <wp:positionV relativeFrom="page">
              <wp:posOffset>7086600</wp:posOffset>
            </wp:positionV>
            <wp:extent cx="1819275" cy="581025"/>
            <wp:effectExtent l="19050" t="0" r="9525" b="0"/>
            <wp:wrapThrough wrapText="bothSides">
              <wp:wrapPolygon edited="0">
                <wp:start x="-226" y="0"/>
                <wp:lineTo x="-226" y="21246"/>
                <wp:lineTo x="21713" y="21246"/>
                <wp:lineTo x="21713" y="13456"/>
                <wp:lineTo x="20130" y="11331"/>
                <wp:lineTo x="21713" y="9915"/>
                <wp:lineTo x="21713" y="0"/>
                <wp:lineTo x="-226" y="0"/>
              </wp:wrapPolygon>
            </wp:wrapThrough>
            <wp:docPr id="8" name="Picture 7"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thematica Policy Research logo."/>
                    <pic:cNvPicPr>
                      <a:picLocks noChangeAspect="1" noChangeArrowheads="1"/>
                    </pic:cNvPicPr>
                  </pic:nvPicPr>
                  <pic:blipFill>
                    <a:blip r:embed="rId16" cstate="print"/>
                    <a:stretch>
                      <a:fillRect/>
                    </a:stretch>
                  </pic:blipFill>
                  <pic:spPr bwMode="auto">
                    <a:xfrm>
                      <a:off x="0" y="0"/>
                      <a:ext cx="1819275" cy="581025"/>
                    </a:xfrm>
                    <a:prstGeom prst="rect">
                      <a:avLst/>
                    </a:prstGeom>
                    <a:noFill/>
                  </pic:spPr>
                </pic:pic>
              </a:graphicData>
            </a:graphic>
          </wp:anchor>
        </w:drawing>
      </w:r>
      <w:r w:rsidRPr="00FE4902">
        <w:rPr>
          <w:rFonts w:ascii="Lucida Sans" w:hAnsi="Lucida Sans"/>
          <w:noProof/>
          <w:sz w:val="22"/>
          <w:szCs w:val="22"/>
        </w:rPr>
        <w:drawing>
          <wp:anchor distT="0" distB="0" distL="114300" distR="114300" simplePos="0" relativeHeight="251662336" behindDoc="0" locked="1" layoutInCell="1" allowOverlap="1" wp14:anchorId="045DD86D" wp14:editId="1F447503">
            <wp:simplePos x="0" y="0"/>
            <wp:positionH relativeFrom="page">
              <wp:posOffset>0</wp:posOffset>
            </wp:positionH>
            <wp:positionV relativeFrom="page">
              <wp:posOffset>6172200</wp:posOffset>
            </wp:positionV>
            <wp:extent cx="7802880" cy="2562225"/>
            <wp:effectExtent l="19050" t="0" r="7620" b="0"/>
            <wp:wrapThrough wrapText="bothSides">
              <wp:wrapPolygon edited="0">
                <wp:start x="-53" y="0"/>
                <wp:lineTo x="-53" y="21520"/>
                <wp:lineTo x="21621" y="21520"/>
                <wp:lineTo x="21621" y="0"/>
                <wp:lineTo x="-53" y="0"/>
              </wp:wrapPolygon>
            </wp:wrapThrough>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srcRect/>
                    <a:stretch>
                      <a:fillRect/>
                    </a:stretch>
                  </pic:blipFill>
                  <pic:spPr bwMode="auto">
                    <a:xfrm>
                      <a:off x="0" y="0"/>
                      <a:ext cx="7802880" cy="2562225"/>
                    </a:xfrm>
                    <a:prstGeom prst="rect">
                      <a:avLst/>
                    </a:prstGeom>
                    <a:noFill/>
                  </pic:spPr>
                </pic:pic>
              </a:graphicData>
            </a:graphic>
          </wp:anchor>
        </w:drawing>
      </w:r>
    </w:p>
    <w:p w:rsidR="00FE4902" w:rsidRPr="00FE4902" w:rsidRDefault="00FE4902" w:rsidP="00FE4902">
      <w:pPr>
        <w:spacing w:line="264" w:lineRule="auto"/>
        <w:ind w:firstLine="0"/>
        <w:rPr>
          <w:rFonts w:ascii="Lucida Sans" w:hAnsi="Lucida Sans"/>
          <w:sz w:val="22"/>
          <w:szCs w:val="22"/>
        </w:rPr>
        <w:sectPr w:rsidR="00FE4902" w:rsidRPr="00FE4902" w:rsidSect="00B61853">
          <w:endnotePr>
            <w:numFmt w:val="decimal"/>
          </w:endnotePr>
          <w:pgSz w:w="12240" w:h="15840" w:code="1"/>
          <w:pgMar w:top="2880" w:right="1440" w:bottom="576" w:left="1440" w:header="720" w:footer="576" w:gutter="0"/>
          <w:cols w:space="720"/>
          <w:docGrid w:linePitch="150"/>
        </w:sectPr>
      </w:pPr>
    </w:p>
    <w:bookmarkEnd w:id="0"/>
    <w:bookmarkEnd w:id="1"/>
    <w:p w:rsidR="00216F5B" w:rsidRDefault="00FE4902" w:rsidP="00216F5B">
      <w:pPr>
        <w:pStyle w:val="TOC1"/>
        <w:jc w:val="center"/>
        <w:rPr>
          <w:b/>
          <w:noProof/>
          <w:color w:val="345294"/>
        </w:rPr>
      </w:pPr>
      <w:r>
        <w:rPr>
          <w:b/>
          <w:noProof/>
          <w:color w:val="345294"/>
        </w:rPr>
        <w:lastRenderedPageBreak/>
        <w:t>CONTENTS</w:t>
      </w:r>
    </w:p>
    <w:p w:rsidR="006D447F" w:rsidRDefault="00731CC2">
      <w:pPr>
        <w:pStyle w:val="TOC1"/>
        <w:rPr>
          <w:rFonts w:asciiTheme="minorHAnsi" w:eastAsiaTheme="minorEastAsia" w:hAnsiTheme="minorHAnsi" w:cstheme="minorBidi"/>
          <w:caps w:val="0"/>
          <w:noProof/>
          <w:szCs w:val="22"/>
        </w:rPr>
      </w:pPr>
      <w:r>
        <w:rPr>
          <w:b/>
          <w:noProof/>
          <w:color w:val="345294"/>
        </w:rPr>
        <w:fldChar w:fldCharType="begin"/>
      </w:r>
      <w:r w:rsidR="00FE4902">
        <w:rPr>
          <w:b/>
          <w:noProof/>
          <w:color w:val="345294"/>
        </w:rPr>
        <w:instrText xml:space="preserve"> TOC \o "1-3" \z \t "Heading 1_Black,1,Heading 1_Red,1,Heading 1_Blue,1,Heading 2_Black,2,Heading 2_Red,2,Heading 2_Blue,2,Mark for Appendix Heading_Black,8,Mark for Appendix Heading_Blue,8,Mark for Appendix Heading_Red,8" </w:instrText>
      </w:r>
      <w:r>
        <w:rPr>
          <w:b/>
          <w:noProof/>
          <w:color w:val="345294"/>
        </w:rPr>
        <w:fldChar w:fldCharType="separate"/>
      </w:r>
      <w:r w:rsidR="006D447F">
        <w:rPr>
          <w:noProof/>
        </w:rPr>
        <w:t>PART A:  SUPPORTING STATEMENT FOR PAPERWORK  REDUCTION ACT SUBMISSION</w:t>
      </w:r>
      <w:r w:rsidR="006D447F">
        <w:rPr>
          <w:noProof/>
          <w:webHidden/>
        </w:rPr>
        <w:tab/>
      </w:r>
      <w:r>
        <w:rPr>
          <w:noProof/>
          <w:webHidden/>
        </w:rPr>
        <w:fldChar w:fldCharType="begin"/>
      </w:r>
      <w:r w:rsidR="006D447F">
        <w:rPr>
          <w:noProof/>
          <w:webHidden/>
        </w:rPr>
        <w:instrText xml:space="preserve"> PAGEREF _Toc345502304 \h </w:instrText>
      </w:r>
      <w:r>
        <w:rPr>
          <w:noProof/>
          <w:webHidden/>
        </w:rPr>
      </w:r>
      <w:r>
        <w:rPr>
          <w:noProof/>
          <w:webHidden/>
        </w:rPr>
        <w:fldChar w:fldCharType="separate"/>
      </w:r>
      <w:r w:rsidR="002E773E">
        <w:rPr>
          <w:noProof/>
          <w:webHidden/>
        </w:rPr>
        <w:t>1</w:t>
      </w:r>
      <w:r>
        <w:rPr>
          <w:noProof/>
          <w:webHidden/>
        </w:rPr>
        <w:fldChar w:fldCharType="end"/>
      </w:r>
    </w:p>
    <w:p w:rsidR="006D447F" w:rsidRDefault="006D447F">
      <w:pPr>
        <w:pStyle w:val="TOC2"/>
        <w:rPr>
          <w:rFonts w:asciiTheme="minorHAnsi" w:eastAsiaTheme="minorEastAsia" w:hAnsiTheme="minorHAnsi" w:cstheme="minorBidi"/>
          <w:noProof/>
          <w:szCs w:val="22"/>
        </w:rPr>
      </w:pPr>
      <w:r>
        <w:rPr>
          <w:noProof/>
        </w:rPr>
        <w:t>JUSTIFICATION</w:t>
      </w:r>
      <w:r>
        <w:rPr>
          <w:noProof/>
          <w:webHidden/>
        </w:rPr>
        <w:tab/>
      </w:r>
      <w:r w:rsidR="00731CC2">
        <w:rPr>
          <w:noProof/>
          <w:webHidden/>
        </w:rPr>
        <w:fldChar w:fldCharType="begin"/>
      </w:r>
      <w:r>
        <w:rPr>
          <w:noProof/>
          <w:webHidden/>
        </w:rPr>
        <w:instrText xml:space="preserve"> PAGEREF _Toc345502305 \h </w:instrText>
      </w:r>
      <w:r w:rsidR="00731CC2">
        <w:rPr>
          <w:noProof/>
          <w:webHidden/>
        </w:rPr>
      </w:r>
      <w:r w:rsidR="00731CC2">
        <w:rPr>
          <w:noProof/>
          <w:webHidden/>
        </w:rPr>
        <w:fldChar w:fldCharType="separate"/>
      </w:r>
      <w:r w:rsidR="002E773E">
        <w:rPr>
          <w:noProof/>
          <w:webHidden/>
        </w:rPr>
        <w:t>1</w:t>
      </w:r>
      <w:r w:rsidR="00731CC2">
        <w:rPr>
          <w:noProof/>
          <w:webHidden/>
        </w:rPr>
        <w:fldChar w:fldCharType="end"/>
      </w:r>
    </w:p>
    <w:p w:rsidR="006D447F" w:rsidRDefault="006D447F">
      <w:pPr>
        <w:pStyle w:val="TOC3"/>
        <w:rPr>
          <w:rFonts w:asciiTheme="minorHAnsi" w:eastAsiaTheme="minorEastAsia" w:hAnsiTheme="minorHAnsi" w:cstheme="minorBidi"/>
          <w:noProof/>
          <w:szCs w:val="22"/>
        </w:rPr>
      </w:pPr>
      <w:r>
        <w:rPr>
          <w:noProof/>
        </w:rPr>
        <w:t>1.</w:t>
      </w:r>
      <w:r>
        <w:rPr>
          <w:rFonts w:asciiTheme="minorHAnsi" w:eastAsiaTheme="minorEastAsia" w:hAnsiTheme="minorHAnsi" w:cstheme="minorBidi"/>
          <w:noProof/>
          <w:szCs w:val="22"/>
        </w:rPr>
        <w:tab/>
      </w:r>
      <w:r>
        <w:rPr>
          <w:noProof/>
        </w:rPr>
        <w:t>Circumstances Necessitating the Collection of Information</w:t>
      </w:r>
      <w:r>
        <w:rPr>
          <w:noProof/>
          <w:webHidden/>
        </w:rPr>
        <w:tab/>
      </w:r>
      <w:r w:rsidR="00731CC2">
        <w:rPr>
          <w:noProof/>
          <w:webHidden/>
        </w:rPr>
        <w:fldChar w:fldCharType="begin"/>
      </w:r>
      <w:r>
        <w:rPr>
          <w:noProof/>
          <w:webHidden/>
        </w:rPr>
        <w:instrText xml:space="preserve"> PAGEREF _Toc345502306 \h </w:instrText>
      </w:r>
      <w:r w:rsidR="00731CC2">
        <w:rPr>
          <w:noProof/>
          <w:webHidden/>
        </w:rPr>
      </w:r>
      <w:r w:rsidR="00731CC2">
        <w:rPr>
          <w:noProof/>
          <w:webHidden/>
        </w:rPr>
        <w:fldChar w:fldCharType="separate"/>
      </w:r>
      <w:r w:rsidR="002E773E">
        <w:rPr>
          <w:noProof/>
          <w:webHidden/>
        </w:rPr>
        <w:t>1</w:t>
      </w:r>
      <w:r w:rsidR="00731CC2">
        <w:rPr>
          <w:noProof/>
          <w:webHidden/>
        </w:rPr>
        <w:fldChar w:fldCharType="end"/>
      </w:r>
    </w:p>
    <w:p w:rsidR="006D447F" w:rsidRDefault="006D447F">
      <w:pPr>
        <w:pStyle w:val="TOC3"/>
        <w:rPr>
          <w:rFonts w:asciiTheme="minorHAnsi" w:eastAsiaTheme="minorEastAsia" w:hAnsiTheme="minorHAnsi" w:cstheme="minorBidi"/>
          <w:noProof/>
          <w:szCs w:val="22"/>
        </w:rPr>
      </w:pPr>
      <w:r>
        <w:rPr>
          <w:noProof/>
        </w:rPr>
        <w:t>2.</w:t>
      </w:r>
      <w:r>
        <w:rPr>
          <w:rFonts w:asciiTheme="minorHAnsi" w:eastAsiaTheme="minorEastAsia" w:hAnsiTheme="minorHAnsi" w:cstheme="minorBidi"/>
          <w:noProof/>
          <w:szCs w:val="22"/>
        </w:rPr>
        <w:tab/>
      </w:r>
      <w:r>
        <w:rPr>
          <w:noProof/>
        </w:rPr>
        <w:t>Purposes and Uses of Data</w:t>
      </w:r>
      <w:r>
        <w:rPr>
          <w:noProof/>
          <w:webHidden/>
        </w:rPr>
        <w:tab/>
      </w:r>
      <w:r w:rsidR="00731CC2">
        <w:rPr>
          <w:noProof/>
          <w:webHidden/>
        </w:rPr>
        <w:fldChar w:fldCharType="begin"/>
      </w:r>
      <w:r>
        <w:rPr>
          <w:noProof/>
          <w:webHidden/>
        </w:rPr>
        <w:instrText xml:space="preserve"> PAGEREF _Toc345502307 \h </w:instrText>
      </w:r>
      <w:r w:rsidR="00731CC2">
        <w:rPr>
          <w:noProof/>
          <w:webHidden/>
        </w:rPr>
      </w:r>
      <w:r w:rsidR="00731CC2">
        <w:rPr>
          <w:noProof/>
          <w:webHidden/>
        </w:rPr>
        <w:fldChar w:fldCharType="separate"/>
      </w:r>
      <w:r w:rsidR="002E773E">
        <w:rPr>
          <w:noProof/>
          <w:webHidden/>
        </w:rPr>
        <w:t>3</w:t>
      </w:r>
      <w:r w:rsidR="00731CC2">
        <w:rPr>
          <w:noProof/>
          <w:webHidden/>
        </w:rPr>
        <w:fldChar w:fldCharType="end"/>
      </w:r>
    </w:p>
    <w:p w:rsidR="006D447F" w:rsidRDefault="006D447F">
      <w:pPr>
        <w:pStyle w:val="TOC3"/>
        <w:rPr>
          <w:rFonts w:asciiTheme="minorHAnsi" w:eastAsiaTheme="minorEastAsia" w:hAnsiTheme="minorHAnsi" w:cstheme="minorBidi"/>
          <w:noProof/>
          <w:szCs w:val="22"/>
        </w:rPr>
      </w:pPr>
      <w:r>
        <w:rPr>
          <w:noProof/>
        </w:rPr>
        <w:t>3.</w:t>
      </w:r>
      <w:r>
        <w:rPr>
          <w:rFonts w:asciiTheme="minorHAnsi" w:eastAsiaTheme="minorEastAsia" w:hAnsiTheme="minorHAnsi" w:cstheme="minorBidi"/>
          <w:noProof/>
          <w:szCs w:val="22"/>
        </w:rPr>
        <w:tab/>
      </w:r>
      <w:r>
        <w:rPr>
          <w:noProof/>
        </w:rPr>
        <w:t>Use of Technology to Reduce Burden</w:t>
      </w:r>
      <w:r>
        <w:rPr>
          <w:noProof/>
          <w:webHidden/>
        </w:rPr>
        <w:tab/>
      </w:r>
      <w:r w:rsidR="00731CC2">
        <w:rPr>
          <w:noProof/>
          <w:webHidden/>
        </w:rPr>
        <w:fldChar w:fldCharType="begin"/>
      </w:r>
      <w:r>
        <w:rPr>
          <w:noProof/>
          <w:webHidden/>
        </w:rPr>
        <w:instrText xml:space="preserve"> PAGEREF _Toc345502308 \h </w:instrText>
      </w:r>
      <w:r w:rsidR="00731CC2">
        <w:rPr>
          <w:noProof/>
          <w:webHidden/>
        </w:rPr>
      </w:r>
      <w:r w:rsidR="00731CC2">
        <w:rPr>
          <w:noProof/>
          <w:webHidden/>
        </w:rPr>
        <w:fldChar w:fldCharType="separate"/>
      </w:r>
      <w:r w:rsidR="002E773E">
        <w:rPr>
          <w:noProof/>
          <w:webHidden/>
        </w:rPr>
        <w:t>3</w:t>
      </w:r>
      <w:r w:rsidR="00731CC2">
        <w:rPr>
          <w:noProof/>
          <w:webHidden/>
        </w:rPr>
        <w:fldChar w:fldCharType="end"/>
      </w:r>
    </w:p>
    <w:p w:rsidR="006D447F" w:rsidRDefault="006D447F">
      <w:pPr>
        <w:pStyle w:val="TOC3"/>
        <w:rPr>
          <w:rFonts w:asciiTheme="minorHAnsi" w:eastAsiaTheme="minorEastAsia" w:hAnsiTheme="minorHAnsi" w:cstheme="minorBidi"/>
          <w:noProof/>
          <w:szCs w:val="22"/>
        </w:rPr>
      </w:pPr>
      <w:r>
        <w:rPr>
          <w:noProof/>
        </w:rPr>
        <w:t>4.</w:t>
      </w:r>
      <w:r>
        <w:rPr>
          <w:rFonts w:asciiTheme="minorHAnsi" w:eastAsiaTheme="minorEastAsia" w:hAnsiTheme="minorHAnsi" w:cstheme="minorBidi"/>
          <w:noProof/>
          <w:szCs w:val="22"/>
        </w:rPr>
        <w:tab/>
      </w:r>
      <w:r>
        <w:rPr>
          <w:noProof/>
        </w:rPr>
        <w:t>Efforts to Avoid Duplication of Effort</w:t>
      </w:r>
      <w:r>
        <w:rPr>
          <w:noProof/>
          <w:webHidden/>
        </w:rPr>
        <w:tab/>
      </w:r>
      <w:r w:rsidR="00731CC2">
        <w:rPr>
          <w:noProof/>
          <w:webHidden/>
        </w:rPr>
        <w:fldChar w:fldCharType="begin"/>
      </w:r>
      <w:r>
        <w:rPr>
          <w:noProof/>
          <w:webHidden/>
        </w:rPr>
        <w:instrText xml:space="preserve"> PAGEREF _Toc345502309 \h </w:instrText>
      </w:r>
      <w:r w:rsidR="00731CC2">
        <w:rPr>
          <w:noProof/>
          <w:webHidden/>
        </w:rPr>
      </w:r>
      <w:r w:rsidR="00731CC2">
        <w:rPr>
          <w:noProof/>
          <w:webHidden/>
        </w:rPr>
        <w:fldChar w:fldCharType="separate"/>
      </w:r>
      <w:r w:rsidR="002E773E">
        <w:rPr>
          <w:noProof/>
          <w:webHidden/>
        </w:rPr>
        <w:t>4</w:t>
      </w:r>
      <w:r w:rsidR="00731CC2">
        <w:rPr>
          <w:noProof/>
          <w:webHidden/>
        </w:rPr>
        <w:fldChar w:fldCharType="end"/>
      </w:r>
    </w:p>
    <w:p w:rsidR="006D447F" w:rsidRDefault="006D447F">
      <w:pPr>
        <w:pStyle w:val="TOC3"/>
        <w:rPr>
          <w:rFonts w:asciiTheme="minorHAnsi" w:eastAsiaTheme="minorEastAsia" w:hAnsiTheme="minorHAnsi" w:cstheme="minorBidi"/>
          <w:noProof/>
          <w:szCs w:val="22"/>
        </w:rPr>
      </w:pPr>
      <w:r>
        <w:rPr>
          <w:noProof/>
        </w:rPr>
        <w:t>5.</w:t>
      </w:r>
      <w:r>
        <w:rPr>
          <w:rFonts w:asciiTheme="minorHAnsi" w:eastAsiaTheme="minorEastAsia" w:hAnsiTheme="minorHAnsi" w:cstheme="minorBidi"/>
          <w:noProof/>
          <w:szCs w:val="22"/>
        </w:rPr>
        <w:tab/>
      </w:r>
      <w:r>
        <w:rPr>
          <w:noProof/>
        </w:rPr>
        <w:t>Methods to Minimize Burden on Small Entities</w:t>
      </w:r>
      <w:r>
        <w:rPr>
          <w:noProof/>
          <w:webHidden/>
        </w:rPr>
        <w:tab/>
      </w:r>
      <w:r w:rsidR="00731CC2">
        <w:rPr>
          <w:noProof/>
          <w:webHidden/>
        </w:rPr>
        <w:fldChar w:fldCharType="begin"/>
      </w:r>
      <w:r>
        <w:rPr>
          <w:noProof/>
          <w:webHidden/>
        </w:rPr>
        <w:instrText xml:space="preserve"> PAGEREF _Toc345502310 \h </w:instrText>
      </w:r>
      <w:r w:rsidR="00731CC2">
        <w:rPr>
          <w:noProof/>
          <w:webHidden/>
        </w:rPr>
      </w:r>
      <w:r w:rsidR="00731CC2">
        <w:rPr>
          <w:noProof/>
          <w:webHidden/>
        </w:rPr>
        <w:fldChar w:fldCharType="separate"/>
      </w:r>
      <w:r w:rsidR="002E773E">
        <w:rPr>
          <w:noProof/>
          <w:webHidden/>
        </w:rPr>
        <w:t>4</w:t>
      </w:r>
      <w:r w:rsidR="00731CC2">
        <w:rPr>
          <w:noProof/>
          <w:webHidden/>
        </w:rPr>
        <w:fldChar w:fldCharType="end"/>
      </w:r>
    </w:p>
    <w:p w:rsidR="006D447F" w:rsidRDefault="006D447F">
      <w:pPr>
        <w:pStyle w:val="TOC3"/>
        <w:rPr>
          <w:rFonts w:asciiTheme="minorHAnsi" w:eastAsiaTheme="minorEastAsia" w:hAnsiTheme="minorHAnsi" w:cstheme="minorBidi"/>
          <w:noProof/>
          <w:szCs w:val="22"/>
        </w:rPr>
      </w:pPr>
      <w:r>
        <w:rPr>
          <w:noProof/>
        </w:rPr>
        <w:t>6.</w:t>
      </w:r>
      <w:r>
        <w:rPr>
          <w:rFonts w:asciiTheme="minorHAnsi" w:eastAsiaTheme="minorEastAsia" w:hAnsiTheme="minorHAnsi" w:cstheme="minorBidi"/>
          <w:noProof/>
          <w:szCs w:val="22"/>
        </w:rPr>
        <w:tab/>
      </w:r>
      <w:r>
        <w:rPr>
          <w:noProof/>
        </w:rPr>
        <w:t>Consequences of Not Collecting Data</w:t>
      </w:r>
      <w:r>
        <w:rPr>
          <w:noProof/>
          <w:webHidden/>
        </w:rPr>
        <w:tab/>
      </w:r>
      <w:r w:rsidR="00731CC2">
        <w:rPr>
          <w:noProof/>
          <w:webHidden/>
        </w:rPr>
        <w:fldChar w:fldCharType="begin"/>
      </w:r>
      <w:r>
        <w:rPr>
          <w:noProof/>
          <w:webHidden/>
        </w:rPr>
        <w:instrText xml:space="preserve"> PAGEREF _Toc345502311 \h </w:instrText>
      </w:r>
      <w:r w:rsidR="00731CC2">
        <w:rPr>
          <w:noProof/>
          <w:webHidden/>
        </w:rPr>
      </w:r>
      <w:r w:rsidR="00731CC2">
        <w:rPr>
          <w:noProof/>
          <w:webHidden/>
        </w:rPr>
        <w:fldChar w:fldCharType="separate"/>
      </w:r>
      <w:r w:rsidR="002E773E">
        <w:rPr>
          <w:noProof/>
          <w:webHidden/>
        </w:rPr>
        <w:t>4</w:t>
      </w:r>
      <w:r w:rsidR="00731CC2">
        <w:rPr>
          <w:noProof/>
          <w:webHidden/>
        </w:rPr>
        <w:fldChar w:fldCharType="end"/>
      </w:r>
    </w:p>
    <w:p w:rsidR="006D447F" w:rsidRDefault="006D447F">
      <w:pPr>
        <w:pStyle w:val="TOC3"/>
        <w:rPr>
          <w:rFonts w:asciiTheme="minorHAnsi" w:eastAsiaTheme="minorEastAsia" w:hAnsiTheme="minorHAnsi" w:cstheme="minorBidi"/>
          <w:noProof/>
          <w:szCs w:val="22"/>
        </w:rPr>
      </w:pPr>
      <w:r>
        <w:rPr>
          <w:noProof/>
        </w:rPr>
        <w:t>7.</w:t>
      </w:r>
      <w:r>
        <w:rPr>
          <w:rFonts w:asciiTheme="minorHAnsi" w:eastAsiaTheme="minorEastAsia" w:hAnsiTheme="minorHAnsi" w:cstheme="minorBidi"/>
          <w:noProof/>
          <w:szCs w:val="22"/>
        </w:rPr>
        <w:tab/>
      </w:r>
      <w:r>
        <w:rPr>
          <w:noProof/>
        </w:rPr>
        <w:t>Special Circumstances</w:t>
      </w:r>
      <w:r>
        <w:rPr>
          <w:noProof/>
          <w:webHidden/>
        </w:rPr>
        <w:tab/>
      </w:r>
      <w:r w:rsidR="00731CC2">
        <w:rPr>
          <w:noProof/>
          <w:webHidden/>
        </w:rPr>
        <w:fldChar w:fldCharType="begin"/>
      </w:r>
      <w:r>
        <w:rPr>
          <w:noProof/>
          <w:webHidden/>
        </w:rPr>
        <w:instrText xml:space="preserve"> PAGEREF _Toc345502312 \h </w:instrText>
      </w:r>
      <w:r w:rsidR="00731CC2">
        <w:rPr>
          <w:noProof/>
          <w:webHidden/>
        </w:rPr>
      </w:r>
      <w:r w:rsidR="00731CC2">
        <w:rPr>
          <w:noProof/>
          <w:webHidden/>
        </w:rPr>
        <w:fldChar w:fldCharType="separate"/>
      </w:r>
      <w:r w:rsidR="002E773E">
        <w:rPr>
          <w:noProof/>
          <w:webHidden/>
        </w:rPr>
        <w:t>5</w:t>
      </w:r>
      <w:r w:rsidR="00731CC2">
        <w:rPr>
          <w:noProof/>
          <w:webHidden/>
        </w:rPr>
        <w:fldChar w:fldCharType="end"/>
      </w:r>
    </w:p>
    <w:p w:rsidR="006D447F" w:rsidRDefault="006D447F">
      <w:pPr>
        <w:pStyle w:val="TOC3"/>
        <w:rPr>
          <w:rFonts w:asciiTheme="minorHAnsi" w:eastAsiaTheme="minorEastAsia" w:hAnsiTheme="minorHAnsi" w:cstheme="minorBidi"/>
          <w:noProof/>
          <w:szCs w:val="22"/>
        </w:rPr>
      </w:pPr>
      <w:r>
        <w:rPr>
          <w:noProof/>
        </w:rPr>
        <w:t>8.</w:t>
      </w:r>
      <w:r>
        <w:rPr>
          <w:rFonts w:asciiTheme="minorHAnsi" w:eastAsiaTheme="minorEastAsia" w:hAnsiTheme="minorHAnsi" w:cstheme="minorBidi"/>
          <w:noProof/>
          <w:szCs w:val="22"/>
        </w:rPr>
        <w:tab/>
      </w:r>
      <w:r w:rsidRPr="004371C8">
        <w:rPr>
          <w:i/>
          <w:noProof/>
        </w:rPr>
        <w:t>Federal Register</w:t>
      </w:r>
      <w:r>
        <w:rPr>
          <w:noProof/>
        </w:rPr>
        <w:t xml:space="preserve"> Announcement and Consultation</w:t>
      </w:r>
      <w:r>
        <w:rPr>
          <w:noProof/>
          <w:webHidden/>
        </w:rPr>
        <w:tab/>
      </w:r>
      <w:r w:rsidR="00731CC2">
        <w:rPr>
          <w:noProof/>
          <w:webHidden/>
        </w:rPr>
        <w:fldChar w:fldCharType="begin"/>
      </w:r>
      <w:r>
        <w:rPr>
          <w:noProof/>
          <w:webHidden/>
        </w:rPr>
        <w:instrText xml:space="preserve"> PAGEREF _Toc345502313 \h </w:instrText>
      </w:r>
      <w:r w:rsidR="00731CC2">
        <w:rPr>
          <w:noProof/>
          <w:webHidden/>
        </w:rPr>
      </w:r>
      <w:r w:rsidR="00731CC2">
        <w:rPr>
          <w:noProof/>
          <w:webHidden/>
        </w:rPr>
        <w:fldChar w:fldCharType="separate"/>
      </w:r>
      <w:r w:rsidR="002E773E">
        <w:rPr>
          <w:noProof/>
          <w:webHidden/>
        </w:rPr>
        <w:t>5</w:t>
      </w:r>
      <w:r w:rsidR="00731CC2">
        <w:rPr>
          <w:noProof/>
          <w:webHidden/>
        </w:rPr>
        <w:fldChar w:fldCharType="end"/>
      </w:r>
    </w:p>
    <w:p w:rsidR="006D447F" w:rsidRDefault="006D447F">
      <w:pPr>
        <w:pStyle w:val="TOC3"/>
        <w:rPr>
          <w:rFonts w:asciiTheme="minorHAnsi" w:eastAsiaTheme="minorEastAsia" w:hAnsiTheme="minorHAnsi" w:cstheme="minorBidi"/>
          <w:noProof/>
          <w:szCs w:val="22"/>
        </w:rPr>
      </w:pPr>
      <w:r>
        <w:rPr>
          <w:noProof/>
        </w:rPr>
        <w:t>9.</w:t>
      </w:r>
      <w:r>
        <w:rPr>
          <w:rFonts w:asciiTheme="minorHAnsi" w:eastAsiaTheme="minorEastAsia" w:hAnsiTheme="minorHAnsi" w:cstheme="minorBidi"/>
          <w:noProof/>
          <w:szCs w:val="22"/>
        </w:rPr>
        <w:tab/>
      </w:r>
      <w:r>
        <w:rPr>
          <w:noProof/>
        </w:rPr>
        <w:t>Payments or Gifts</w:t>
      </w:r>
      <w:r>
        <w:rPr>
          <w:noProof/>
          <w:webHidden/>
        </w:rPr>
        <w:tab/>
      </w:r>
      <w:r w:rsidR="00731CC2">
        <w:rPr>
          <w:noProof/>
          <w:webHidden/>
        </w:rPr>
        <w:fldChar w:fldCharType="begin"/>
      </w:r>
      <w:r>
        <w:rPr>
          <w:noProof/>
          <w:webHidden/>
        </w:rPr>
        <w:instrText xml:space="preserve"> PAGEREF _Toc345502314 \h </w:instrText>
      </w:r>
      <w:r w:rsidR="00731CC2">
        <w:rPr>
          <w:noProof/>
          <w:webHidden/>
        </w:rPr>
      </w:r>
      <w:r w:rsidR="00731CC2">
        <w:rPr>
          <w:noProof/>
          <w:webHidden/>
        </w:rPr>
        <w:fldChar w:fldCharType="separate"/>
      </w:r>
      <w:r w:rsidR="002E773E">
        <w:rPr>
          <w:noProof/>
          <w:webHidden/>
        </w:rPr>
        <w:t>5</w:t>
      </w:r>
      <w:r w:rsidR="00731CC2">
        <w:rPr>
          <w:noProof/>
          <w:webHidden/>
        </w:rPr>
        <w:fldChar w:fldCharType="end"/>
      </w:r>
    </w:p>
    <w:p w:rsidR="006D447F" w:rsidRDefault="006D447F">
      <w:pPr>
        <w:pStyle w:val="TOC3"/>
        <w:rPr>
          <w:rFonts w:asciiTheme="minorHAnsi" w:eastAsiaTheme="minorEastAsia" w:hAnsiTheme="minorHAnsi" w:cstheme="minorBidi"/>
          <w:noProof/>
          <w:szCs w:val="22"/>
        </w:rPr>
      </w:pPr>
      <w:r>
        <w:rPr>
          <w:noProof/>
        </w:rPr>
        <w:t>10.</w:t>
      </w:r>
      <w:r>
        <w:rPr>
          <w:rFonts w:asciiTheme="minorHAnsi" w:eastAsiaTheme="minorEastAsia" w:hAnsiTheme="minorHAnsi" w:cstheme="minorBidi"/>
          <w:noProof/>
          <w:szCs w:val="22"/>
        </w:rPr>
        <w:tab/>
      </w:r>
      <w:r>
        <w:rPr>
          <w:noProof/>
        </w:rPr>
        <w:t>Assurances of Confidentiality</w:t>
      </w:r>
      <w:r>
        <w:rPr>
          <w:noProof/>
          <w:webHidden/>
        </w:rPr>
        <w:tab/>
      </w:r>
      <w:r w:rsidR="00731CC2">
        <w:rPr>
          <w:noProof/>
          <w:webHidden/>
        </w:rPr>
        <w:fldChar w:fldCharType="begin"/>
      </w:r>
      <w:r>
        <w:rPr>
          <w:noProof/>
          <w:webHidden/>
        </w:rPr>
        <w:instrText xml:space="preserve"> PAGEREF _Toc345502315 \h </w:instrText>
      </w:r>
      <w:r w:rsidR="00731CC2">
        <w:rPr>
          <w:noProof/>
          <w:webHidden/>
        </w:rPr>
      </w:r>
      <w:r w:rsidR="00731CC2">
        <w:rPr>
          <w:noProof/>
          <w:webHidden/>
        </w:rPr>
        <w:fldChar w:fldCharType="separate"/>
      </w:r>
      <w:r w:rsidR="002E773E">
        <w:rPr>
          <w:noProof/>
          <w:webHidden/>
        </w:rPr>
        <w:t>5</w:t>
      </w:r>
      <w:r w:rsidR="00731CC2">
        <w:rPr>
          <w:noProof/>
          <w:webHidden/>
        </w:rPr>
        <w:fldChar w:fldCharType="end"/>
      </w:r>
    </w:p>
    <w:p w:rsidR="006D447F" w:rsidRDefault="006D447F">
      <w:pPr>
        <w:pStyle w:val="TOC3"/>
        <w:rPr>
          <w:rFonts w:asciiTheme="minorHAnsi" w:eastAsiaTheme="minorEastAsia" w:hAnsiTheme="minorHAnsi" w:cstheme="minorBidi"/>
          <w:noProof/>
          <w:szCs w:val="22"/>
        </w:rPr>
      </w:pPr>
      <w:r>
        <w:rPr>
          <w:noProof/>
        </w:rPr>
        <w:t>11.</w:t>
      </w:r>
      <w:r>
        <w:rPr>
          <w:rFonts w:asciiTheme="minorHAnsi" w:eastAsiaTheme="minorEastAsia" w:hAnsiTheme="minorHAnsi" w:cstheme="minorBidi"/>
          <w:noProof/>
          <w:szCs w:val="22"/>
        </w:rPr>
        <w:tab/>
      </w:r>
      <w:r>
        <w:rPr>
          <w:noProof/>
        </w:rPr>
        <w:t>Additional Justification for Sensitive Questions</w:t>
      </w:r>
      <w:r>
        <w:rPr>
          <w:noProof/>
          <w:webHidden/>
        </w:rPr>
        <w:tab/>
      </w:r>
      <w:r w:rsidR="00731CC2">
        <w:rPr>
          <w:noProof/>
          <w:webHidden/>
        </w:rPr>
        <w:fldChar w:fldCharType="begin"/>
      </w:r>
      <w:r>
        <w:rPr>
          <w:noProof/>
          <w:webHidden/>
        </w:rPr>
        <w:instrText xml:space="preserve"> PAGEREF _Toc345502316 \h </w:instrText>
      </w:r>
      <w:r w:rsidR="00731CC2">
        <w:rPr>
          <w:noProof/>
          <w:webHidden/>
        </w:rPr>
      </w:r>
      <w:r w:rsidR="00731CC2">
        <w:rPr>
          <w:noProof/>
          <w:webHidden/>
        </w:rPr>
        <w:fldChar w:fldCharType="separate"/>
      </w:r>
      <w:r w:rsidR="002E773E">
        <w:rPr>
          <w:noProof/>
          <w:webHidden/>
        </w:rPr>
        <w:t>6</w:t>
      </w:r>
      <w:r w:rsidR="00731CC2">
        <w:rPr>
          <w:noProof/>
          <w:webHidden/>
        </w:rPr>
        <w:fldChar w:fldCharType="end"/>
      </w:r>
    </w:p>
    <w:p w:rsidR="006D447F" w:rsidRDefault="006D447F">
      <w:pPr>
        <w:pStyle w:val="TOC3"/>
        <w:rPr>
          <w:rFonts w:asciiTheme="minorHAnsi" w:eastAsiaTheme="minorEastAsia" w:hAnsiTheme="minorHAnsi" w:cstheme="minorBidi"/>
          <w:noProof/>
          <w:szCs w:val="22"/>
        </w:rPr>
      </w:pPr>
      <w:r>
        <w:rPr>
          <w:noProof/>
        </w:rPr>
        <w:t>12.</w:t>
      </w:r>
      <w:r>
        <w:rPr>
          <w:rFonts w:asciiTheme="minorHAnsi" w:eastAsiaTheme="minorEastAsia" w:hAnsiTheme="minorHAnsi" w:cstheme="minorBidi"/>
          <w:noProof/>
          <w:szCs w:val="22"/>
        </w:rPr>
        <w:tab/>
      </w:r>
      <w:r>
        <w:rPr>
          <w:noProof/>
        </w:rPr>
        <w:t>Estimates of Hours Burden</w:t>
      </w:r>
      <w:r>
        <w:rPr>
          <w:noProof/>
          <w:webHidden/>
        </w:rPr>
        <w:tab/>
      </w:r>
      <w:r w:rsidR="00731CC2">
        <w:rPr>
          <w:noProof/>
          <w:webHidden/>
        </w:rPr>
        <w:fldChar w:fldCharType="begin"/>
      </w:r>
      <w:r>
        <w:rPr>
          <w:noProof/>
          <w:webHidden/>
        </w:rPr>
        <w:instrText xml:space="preserve"> PAGEREF _Toc345502317 \h </w:instrText>
      </w:r>
      <w:r w:rsidR="00731CC2">
        <w:rPr>
          <w:noProof/>
          <w:webHidden/>
        </w:rPr>
      </w:r>
      <w:r w:rsidR="00731CC2">
        <w:rPr>
          <w:noProof/>
          <w:webHidden/>
        </w:rPr>
        <w:fldChar w:fldCharType="separate"/>
      </w:r>
      <w:r w:rsidR="002E773E">
        <w:rPr>
          <w:noProof/>
          <w:webHidden/>
        </w:rPr>
        <w:t>6</w:t>
      </w:r>
      <w:r w:rsidR="00731CC2">
        <w:rPr>
          <w:noProof/>
          <w:webHidden/>
        </w:rPr>
        <w:fldChar w:fldCharType="end"/>
      </w:r>
    </w:p>
    <w:p w:rsidR="006D447F" w:rsidRDefault="006D447F">
      <w:pPr>
        <w:pStyle w:val="TOC3"/>
        <w:rPr>
          <w:rFonts w:asciiTheme="minorHAnsi" w:eastAsiaTheme="minorEastAsia" w:hAnsiTheme="minorHAnsi" w:cstheme="minorBidi"/>
          <w:noProof/>
          <w:szCs w:val="22"/>
        </w:rPr>
      </w:pPr>
      <w:r>
        <w:rPr>
          <w:noProof/>
        </w:rPr>
        <w:t>13.</w:t>
      </w:r>
      <w:r>
        <w:rPr>
          <w:rFonts w:asciiTheme="minorHAnsi" w:eastAsiaTheme="minorEastAsia" w:hAnsiTheme="minorHAnsi" w:cstheme="minorBidi"/>
          <w:noProof/>
          <w:szCs w:val="22"/>
        </w:rPr>
        <w:tab/>
      </w:r>
      <w:r>
        <w:rPr>
          <w:noProof/>
        </w:rPr>
        <w:t>Estimates of Cost Burden to Respondents</w:t>
      </w:r>
      <w:r>
        <w:rPr>
          <w:noProof/>
          <w:webHidden/>
        </w:rPr>
        <w:tab/>
      </w:r>
      <w:r w:rsidR="00731CC2">
        <w:rPr>
          <w:noProof/>
          <w:webHidden/>
        </w:rPr>
        <w:fldChar w:fldCharType="begin"/>
      </w:r>
      <w:r>
        <w:rPr>
          <w:noProof/>
          <w:webHidden/>
        </w:rPr>
        <w:instrText xml:space="preserve"> PAGEREF _Toc345502318 \h </w:instrText>
      </w:r>
      <w:r w:rsidR="00731CC2">
        <w:rPr>
          <w:noProof/>
          <w:webHidden/>
        </w:rPr>
      </w:r>
      <w:r w:rsidR="00731CC2">
        <w:rPr>
          <w:noProof/>
          <w:webHidden/>
        </w:rPr>
        <w:fldChar w:fldCharType="separate"/>
      </w:r>
      <w:r w:rsidR="002E773E">
        <w:rPr>
          <w:noProof/>
          <w:webHidden/>
        </w:rPr>
        <w:t>6</w:t>
      </w:r>
      <w:r w:rsidR="00731CC2">
        <w:rPr>
          <w:noProof/>
          <w:webHidden/>
        </w:rPr>
        <w:fldChar w:fldCharType="end"/>
      </w:r>
    </w:p>
    <w:p w:rsidR="006D447F" w:rsidRDefault="006D447F">
      <w:pPr>
        <w:pStyle w:val="TOC3"/>
        <w:rPr>
          <w:rFonts w:asciiTheme="minorHAnsi" w:eastAsiaTheme="minorEastAsia" w:hAnsiTheme="minorHAnsi" w:cstheme="minorBidi"/>
          <w:noProof/>
          <w:szCs w:val="22"/>
        </w:rPr>
      </w:pPr>
      <w:r>
        <w:rPr>
          <w:noProof/>
        </w:rPr>
        <w:t>14.</w:t>
      </w:r>
      <w:r>
        <w:rPr>
          <w:rFonts w:asciiTheme="minorHAnsi" w:eastAsiaTheme="minorEastAsia" w:hAnsiTheme="minorHAnsi" w:cstheme="minorBidi"/>
          <w:noProof/>
          <w:szCs w:val="22"/>
        </w:rPr>
        <w:tab/>
      </w:r>
      <w:r>
        <w:rPr>
          <w:noProof/>
        </w:rPr>
        <w:t>Estimates of Annual Costs to the Federal Government</w:t>
      </w:r>
      <w:r>
        <w:rPr>
          <w:noProof/>
          <w:webHidden/>
        </w:rPr>
        <w:tab/>
      </w:r>
      <w:r w:rsidR="00731CC2">
        <w:rPr>
          <w:noProof/>
          <w:webHidden/>
        </w:rPr>
        <w:fldChar w:fldCharType="begin"/>
      </w:r>
      <w:r>
        <w:rPr>
          <w:noProof/>
          <w:webHidden/>
        </w:rPr>
        <w:instrText xml:space="preserve"> PAGEREF _Toc345502319 \h </w:instrText>
      </w:r>
      <w:r w:rsidR="00731CC2">
        <w:rPr>
          <w:noProof/>
          <w:webHidden/>
        </w:rPr>
      </w:r>
      <w:r w:rsidR="00731CC2">
        <w:rPr>
          <w:noProof/>
          <w:webHidden/>
        </w:rPr>
        <w:fldChar w:fldCharType="separate"/>
      </w:r>
      <w:r w:rsidR="002E773E">
        <w:rPr>
          <w:noProof/>
          <w:webHidden/>
        </w:rPr>
        <w:t>7</w:t>
      </w:r>
      <w:r w:rsidR="00731CC2">
        <w:rPr>
          <w:noProof/>
          <w:webHidden/>
        </w:rPr>
        <w:fldChar w:fldCharType="end"/>
      </w:r>
    </w:p>
    <w:p w:rsidR="006D447F" w:rsidRDefault="006D447F">
      <w:pPr>
        <w:pStyle w:val="TOC3"/>
        <w:rPr>
          <w:rFonts w:asciiTheme="minorHAnsi" w:eastAsiaTheme="minorEastAsia" w:hAnsiTheme="minorHAnsi" w:cstheme="minorBidi"/>
          <w:noProof/>
          <w:szCs w:val="22"/>
        </w:rPr>
      </w:pPr>
      <w:r>
        <w:rPr>
          <w:noProof/>
        </w:rPr>
        <w:t>15.</w:t>
      </w:r>
      <w:r>
        <w:rPr>
          <w:rFonts w:asciiTheme="minorHAnsi" w:eastAsiaTheme="minorEastAsia" w:hAnsiTheme="minorHAnsi" w:cstheme="minorBidi"/>
          <w:noProof/>
          <w:szCs w:val="22"/>
        </w:rPr>
        <w:tab/>
      </w:r>
      <w:r>
        <w:rPr>
          <w:noProof/>
        </w:rPr>
        <w:t>Reasons for Program Changes or Adjustments</w:t>
      </w:r>
      <w:r>
        <w:rPr>
          <w:noProof/>
          <w:webHidden/>
        </w:rPr>
        <w:tab/>
      </w:r>
      <w:r w:rsidR="00731CC2">
        <w:rPr>
          <w:noProof/>
          <w:webHidden/>
        </w:rPr>
        <w:fldChar w:fldCharType="begin"/>
      </w:r>
      <w:r>
        <w:rPr>
          <w:noProof/>
          <w:webHidden/>
        </w:rPr>
        <w:instrText xml:space="preserve"> PAGEREF _Toc345502320 \h </w:instrText>
      </w:r>
      <w:r w:rsidR="00731CC2">
        <w:rPr>
          <w:noProof/>
          <w:webHidden/>
        </w:rPr>
      </w:r>
      <w:r w:rsidR="00731CC2">
        <w:rPr>
          <w:noProof/>
          <w:webHidden/>
        </w:rPr>
        <w:fldChar w:fldCharType="separate"/>
      </w:r>
      <w:r w:rsidR="002E773E">
        <w:rPr>
          <w:noProof/>
          <w:webHidden/>
        </w:rPr>
        <w:t>7</w:t>
      </w:r>
      <w:r w:rsidR="00731CC2">
        <w:rPr>
          <w:noProof/>
          <w:webHidden/>
        </w:rPr>
        <w:fldChar w:fldCharType="end"/>
      </w:r>
    </w:p>
    <w:p w:rsidR="006D447F" w:rsidRDefault="006D447F">
      <w:pPr>
        <w:pStyle w:val="TOC3"/>
        <w:rPr>
          <w:rFonts w:asciiTheme="minorHAnsi" w:eastAsiaTheme="minorEastAsia" w:hAnsiTheme="minorHAnsi" w:cstheme="minorBidi"/>
          <w:noProof/>
          <w:szCs w:val="22"/>
        </w:rPr>
      </w:pPr>
      <w:r w:rsidRPr="006D447F">
        <w:rPr>
          <w:noProof/>
        </w:rPr>
        <w:t>16.</w:t>
      </w:r>
      <w:r w:rsidRPr="006D447F">
        <w:rPr>
          <w:rFonts w:asciiTheme="minorHAnsi" w:eastAsiaTheme="minorEastAsia" w:hAnsiTheme="minorHAnsi" w:cstheme="minorBidi"/>
          <w:noProof/>
          <w:szCs w:val="22"/>
        </w:rPr>
        <w:tab/>
      </w:r>
      <w:r w:rsidRPr="006D447F">
        <w:rPr>
          <w:noProof/>
        </w:rPr>
        <w:t>Plan for Tabulation and Publication of Results</w:t>
      </w:r>
      <w:r>
        <w:rPr>
          <w:noProof/>
          <w:webHidden/>
        </w:rPr>
        <w:tab/>
      </w:r>
      <w:r w:rsidR="00731CC2">
        <w:rPr>
          <w:noProof/>
          <w:webHidden/>
        </w:rPr>
        <w:fldChar w:fldCharType="begin"/>
      </w:r>
      <w:r>
        <w:rPr>
          <w:noProof/>
          <w:webHidden/>
        </w:rPr>
        <w:instrText xml:space="preserve"> PAGEREF _Toc345502321 \h </w:instrText>
      </w:r>
      <w:r w:rsidR="00731CC2">
        <w:rPr>
          <w:noProof/>
          <w:webHidden/>
        </w:rPr>
      </w:r>
      <w:r w:rsidR="00731CC2">
        <w:rPr>
          <w:noProof/>
          <w:webHidden/>
        </w:rPr>
        <w:fldChar w:fldCharType="separate"/>
      </w:r>
      <w:r w:rsidR="002E773E">
        <w:rPr>
          <w:noProof/>
          <w:webHidden/>
        </w:rPr>
        <w:t>7</w:t>
      </w:r>
      <w:r w:rsidR="00731CC2">
        <w:rPr>
          <w:noProof/>
          <w:webHidden/>
        </w:rPr>
        <w:fldChar w:fldCharType="end"/>
      </w:r>
    </w:p>
    <w:p w:rsidR="006D447F" w:rsidRDefault="006D447F">
      <w:pPr>
        <w:pStyle w:val="TOC3"/>
        <w:rPr>
          <w:rFonts w:asciiTheme="minorHAnsi" w:eastAsiaTheme="minorEastAsia" w:hAnsiTheme="minorHAnsi" w:cstheme="minorBidi"/>
          <w:noProof/>
          <w:szCs w:val="22"/>
        </w:rPr>
      </w:pPr>
      <w:r>
        <w:rPr>
          <w:noProof/>
        </w:rPr>
        <w:t>17.</w:t>
      </w:r>
      <w:r>
        <w:rPr>
          <w:rFonts w:asciiTheme="minorHAnsi" w:eastAsiaTheme="minorEastAsia" w:hAnsiTheme="minorHAnsi" w:cstheme="minorBidi"/>
          <w:noProof/>
          <w:szCs w:val="22"/>
        </w:rPr>
        <w:tab/>
      </w:r>
      <w:r>
        <w:rPr>
          <w:noProof/>
        </w:rPr>
        <w:t>Approval Not to Display the OMB Expiration Date</w:t>
      </w:r>
      <w:r>
        <w:rPr>
          <w:noProof/>
          <w:webHidden/>
        </w:rPr>
        <w:tab/>
      </w:r>
      <w:r w:rsidR="00731CC2">
        <w:rPr>
          <w:noProof/>
          <w:webHidden/>
        </w:rPr>
        <w:fldChar w:fldCharType="begin"/>
      </w:r>
      <w:r>
        <w:rPr>
          <w:noProof/>
          <w:webHidden/>
        </w:rPr>
        <w:instrText xml:space="preserve"> PAGEREF _Toc345502322 \h </w:instrText>
      </w:r>
      <w:r w:rsidR="00731CC2">
        <w:rPr>
          <w:noProof/>
          <w:webHidden/>
        </w:rPr>
      </w:r>
      <w:r w:rsidR="00731CC2">
        <w:rPr>
          <w:noProof/>
          <w:webHidden/>
        </w:rPr>
        <w:fldChar w:fldCharType="separate"/>
      </w:r>
      <w:r w:rsidR="002E773E">
        <w:rPr>
          <w:noProof/>
          <w:webHidden/>
        </w:rPr>
        <w:t>7</w:t>
      </w:r>
      <w:r w:rsidR="00731CC2">
        <w:rPr>
          <w:noProof/>
          <w:webHidden/>
        </w:rPr>
        <w:fldChar w:fldCharType="end"/>
      </w:r>
    </w:p>
    <w:p w:rsidR="006D447F" w:rsidRDefault="006D447F">
      <w:pPr>
        <w:pStyle w:val="TOC3"/>
        <w:rPr>
          <w:rFonts w:asciiTheme="minorHAnsi" w:eastAsiaTheme="minorEastAsia" w:hAnsiTheme="minorHAnsi" w:cstheme="minorBidi"/>
          <w:noProof/>
          <w:szCs w:val="22"/>
        </w:rPr>
      </w:pPr>
      <w:r>
        <w:rPr>
          <w:noProof/>
        </w:rPr>
        <w:t>18.</w:t>
      </w:r>
      <w:r>
        <w:rPr>
          <w:rFonts w:asciiTheme="minorHAnsi" w:eastAsiaTheme="minorEastAsia" w:hAnsiTheme="minorHAnsi" w:cstheme="minorBidi"/>
          <w:noProof/>
          <w:szCs w:val="22"/>
        </w:rPr>
        <w:tab/>
      </w:r>
      <w:r>
        <w:rPr>
          <w:noProof/>
        </w:rPr>
        <w:t>Explanation of Exceptions</w:t>
      </w:r>
      <w:r>
        <w:rPr>
          <w:noProof/>
          <w:webHidden/>
        </w:rPr>
        <w:tab/>
      </w:r>
      <w:r w:rsidR="00731CC2">
        <w:rPr>
          <w:noProof/>
          <w:webHidden/>
        </w:rPr>
        <w:fldChar w:fldCharType="begin"/>
      </w:r>
      <w:r>
        <w:rPr>
          <w:noProof/>
          <w:webHidden/>
        </w:rPr>
        <w:instrText xml:space="preserve"> PAGEREF _Toc345502323 \h </w:instrText>
      </w:r>
      <w:r w:rsidR="00731CC2">
        <w:rPr>
          <w:noProof/>
          <w:webHidden/>
        </w:rPr>
      </w:r>
      <w:r w:rsidR="00731CC2">
        <w:rPr>
          <w:noProof/>
          <w:webHidden/>
        </w:rPr>
        <w:fldChar w:fldCharType="separate"/>
      </w:r>
      <w:r w:rsidR="002E773E">
        <w:rPr>
          <w:noProof/>
          <w:webHidden/>
        </w:rPr>
        <w:t>7</w:t>
      </w:r>
      <w:r w:rsidR="00731CC2">
        <w:rPr>
          <w:noProof/>
          <w:webHidden/>
        </w:rPr>
        <w:fldChar w:fldCharType="end"/>
      </w:r>
    </w:p>
    <w:p w:rsidR="00810F73" w:rsidRDefault="00731CC2" w:rsidP="00FE4902">
      <w:pPr>
        <w:pStyle w:val="TOC1"/>
        <w:rPr>
          <w:b/>
          <w:caps w:val="0"/>
          <w:noProof/>
          <w:color w:val="345294"/>
        </w:rPr>
      </w:pPr>
      <w:r>
        <w:rPr>
          <w:b/>
          <w:caps w:val="0"/>
          <w:noProof/>
          <w:color w:val="345294"/>
        </w:rPr>
        <w:fldChar w:fldCharType="end"/>
      </w:r>
    </w:p>
    <w:p w:rsidR="00FE4902" w:rsidRDefault="00FE4902" w:rsidP="00FE4902">
      <w:pPr>
        <w:pStyle w:val="TOC1"/>
        <w:rPr>
          <w:noProof/>
        </w:rPr>
      </w:pPr>
      <w:r>
        <w:rPr>
          <w:noProof/>
        </w:rPr>
        <w:t xml:space="preserve">Appendix </w:t>
      </w:r>
      <w:r w:rsidR="00975A58">
        <w:rPr>
          <w:noProof/>
        </w:rPr>
        <w:t>A</w:t>
      </w:r>
      <w:r>
        <w:rPr>
          <w:noProof/>
        </w:rPr>
        <w:t xml:space="preserve">: State ELT Plans Report </w:t>
      </w:r>
      <w:r w:rsidR="004F4663">
        <w:rPr>
          <w:noProof/>
        </w:rPr>
        <w:t xml:space="preserve">interview </w:t>
      </w:r>
      <w:r>
        <w:rPr>
          <w:noProof/>
        </w:rPr>
        <w:t>Protocol</w:t>
      </w:r>
    </w:p>
    <w:p w:rsidR="002E773E" w:rsidRDefault="002E773E" w:rsidP="00FE4902">
      <w:pPr>
        <w:pStyle w:val="TOC1"/>
        <w:rPr>
          <w:noProof/>
        </w:rPr>
      </w:pPr>
      <w:r>
        <w:rPr>
          <w:noProof/>
        </w:rPr>
        <w:t xml:space="preserve">APPENDIX B: STATE ELT PLANS REPORT </w:t>
      </w:r>
      <w:r w:rsidR="004F4663">
        <w:rPr>
          <w:noProof/>
        </w:rPr>
        <w:t xml:space="preserve">interview </w:t>
      </w:r>
      <w:r>
        <w:rPr>
          <w:noProof/>
        </w:rPr>
        <w:t>ADVANCED LETTER</w:t>
      </w:r>
    </w:p>
    <w:p w:rsidR="00FE4902" w:rsidRPr="008976CB" w:rsidRDefault="00FE4902" w:rsidP="00FE4902">
      <w:pPr>
        <w:pStyle w:val="TOC1"/>
        <w:rPr>
          <w:rFonts w:eastAsiaTheme="minorEastAsia"/>
        </w:rPr>
      </w:pPr>
      <w:r>
        <w:rPr>
          <w:noProof/>
        </w:rPr>
        <w:t xml:space="preserve">Appendix </w:t>
      </w:r>
      <w:r w:rsidR="004F4663">
        <w:rPr>
          <w:noProof/>
        </w:rPr>
        <w:t>C</w:t>
      </w:r>
      <w:r>
        <w:rPr>
          <w:noProof/>
        </w:rPr>
        <w:t>: Mathematica Confidentiality Pledge</w:t>
      </w:r>
    </w:p>
    <w:p w:rsidR="00FE4902" w:rsidRPr="003B5581" w:rsidRDefault="00FE4902" w:rsidP="00FE4902">
      <w:pPr>
        <w:pStyle w:val="Normalcontinued"/>
        <w:rPr>
          <w:rFonts w:eastAsiaTheme="minorEastAsia"/>
        </w:rPr>
      </w:pPr>
    </w:p>
    <w:p w:rsidR="009A3B4A" w:rsidRDefault="009A3B4A" w:rsidP="00B61853">
      <w:pPr>
        <w:pStyle w:val="Heading1Blue"/>
        <w:rPr>
          <w:b w:val="0"/>
        </w:rPr>
      </w:pPr>
    </w:p>
    <w:p w:rsidR="00557A50" w:rsidRDefault="009A3B4A" w:rsidP="00664076">
      <w:pPr>
        <w:spacing w:after="240" w:line="240" w:lineRule="auto"/>
        <w:rPr>
          <w:rFonts w:ascii="Lucida Sans" w:hAnsi="Lucida Sans"/>
          <w:b/>
          <w:caps/>
          <w:color w:val="345294"/>
        </w:rPr>
      </w:pPr>
      <w:r>
        <w:br w:type="page"/>
      </w:r>
    </w:p>
    <w:p w:rsidR="009A3B4A" w:rsidRDefault="009A3B4A" w:rsidP="00B61853">
      <w:pPr>
        <w:tabs>
          <w:tab w:val="clear" w:pos="432"/>
        </w:tabs>
        <w:spacing w:line="240" w:lineRule="auto"/>
        <w:ind w:firstLine="0"/>
        <w:jc w:val="left"/>
        <w:sectPr w:rsidR="009A3B4A" w:rsidSect="00F16D00">
          <w:footerReference w:type="default" r:id="rId20"/>
          <w:endnotePr>
            <w:numFmt w:val="decimal"/>
          </w:endnotePr>
          <w:pgSz w:w="12240" w:h="15840" w:code="1"/>
          <w:pgMar w:top="1440" w:right="1440" w:bottom="576" w:left="1440" w:header="720" w:footer="576" w:gutter="0"/>
          <w:pgNumType w:fmt="lowerRoman" w:start="2"/>
          <w:cols w:space="720"/>
          <w:docGrid w:linePitch="326"/>
        </w:sectPr>
      </w:pPr>
    </w:p>
    <w:p w:rsidR="009A3B4A" w:rsidRPr="00183453" w:rsidRDefault="009A3B4A" w:rsidP="009A3B4A">
      <w:pPr>
        <w:pStyle w:val="Heading1Blue"/>
      </w:pPr>
      <w:bookmarkStart w:id="20" w:name="_Toc339354904"/>
      <w:bookmarkStart w:id="21" w:name="_Toc345502304"/>
      <w:r w:rsidRPr="00183453">
        <w:lastRenderedPageBreak/>
        <w:t xml:space="preserve">PART A:  SUPPORTING STATEMENT FOR PAPERWORK </w:t>
      </w:r>
      <w:r w:rsidRPr="00183453">
        <w:br/>
      </w:r>
      <w:r w:rsidRPr="009A3B4A">
        <w:t>REDUCTION</w:t>
      </w:r>
      <w:r w:rsidRPr="00183453">
        <w:t xml:space="preserve"> ACT SUBMISSION</w:t>
      </w:r>
      <w:bookmarkEnd w:id="2"/>
      <w:bookmarkEnd w:id="3"/>
      <w:bookmarkEnd w:id="4"/>
      <w:bookmarkEnd w:id="5"/>
      <w:bookmarkEnd w:id="20"/>
      <w:bookmarkEnd w:id="21"/>
    </w:p>
    <w:p w:rsidR="009557D3" w:rsidRDefault="009A3B4A" w:rsidP="00B61853">
      <w:r w:rsidRPr="00861B86">
        <w:t xml:space="preserve">This OMB package requests clearance </w:t>
      </w:r>
      <w:r>
        <w:t>to conduct semi-structured interviews with 21</w:t>
      </w:r>
      <w:r w:rsidRPr="002E0C7C">
        <w:rPr>
          <w:vertAlign w:val="superscript"/>
        </w:rPr>
        <w:t>st</w:t>
      </w:r>
      <w:r>
        <w:t xml:space="preserve"> Century Community Learning Centers (21</w:t>
      </w:r>
      <w:r w:rsidRPr="00627CD8">
        <w:rPr>
          <w:vertAlign w:val="superscript"/>
        </w:rPr>
        <w:t>st</w:t>
      </w:r>
      <w:r>
        <w:t xml:space="preserve"> CCLC) state </w:t>
      </w:r>
      <w:r w:rsidR="00D67502">
        <w:t>coordinators</w:t>
      </w:r>
      <w:r>
        <w:t xml:space="preserve">. </w:t>
      </w:r>
      <w:r w:rsidR="00E33BF6">
        <w:t xml:space="preserve">The state </w:t>
      </w:r>
      <w:r w:rsidR="00D67502">
        <w:t xml:space="preserve">coordinator </w:t>
      </w:r>
      <w:r w:rsidR="00E33BF6">
        <w:t xml:space="preserve">interviews will be used to produce a </w:t>
      </w:r>
      <w:r>
        <w:t xml:space="preserve">State </w:t>
      </w:r>
      <w:r w:rsidR="00664076">
        <w:t>Expanded Learning Time (</w:t>
      </w:r>
      <w:r>
        <w:t>ELT</w:t>
      </w:r>
      <w:r w:rsidR="00664076">
        <w:t>)</w:t>
      </w:r>
      <w:r>
        <w:t xml:space="preserve"> Plans Report</w:t>
      </w:r>
      <w:r w:rsidR="00844617">
        <w:t xml:space="preserve">.  The purpose of this data collection is to provide early </w:t>
      </w:r>
      <w:r w:rsidR="00810F73">
        <w:t xml:space="preserve">State Education Agency (SEA) </w:t>
      </w:r>
      <w:r w:rsidR="00BD3A38">
        <w:t xml:space="preserve">implementation </w:t>
      </w:r>
      <w:r w:rsidR="00844617">
        <w:t>information for</w:t>
      </w:r>
      <w:r>
        <w:t xml:space="preserve"> the states that have received the optional </w:t>
      </w:r>
      <w:r w:rsidRPr="00801CFE">
        <w:t xml:space="preserve">Elementary and Secondary Education Act </w:t>
      </w:r>
      <w:r>
        <w:t xml:space="preserve">(ESEA) </w:t>
      </w:r>
      <w:r w:rsidR="004A77D6">
        <w:t xml:space="preserve">Flexibility </w:t>
      </w:r>
      <w:r>
        <w:t>to use 21</w:t>
      </w:r>
      <w:r w:rsidRPr="004F4B19">
        <w:rPr>
          <w:vertAlign w:val="superscript"/>
        </w:rPr>
        <w:t>st</w:t>
      </w:r>
      <w:r>
        <w:t xml:space="preserve"> CCLC funds to support ELT. </w:t>
      </w:r>
      <w:r w:rsidR="00844617">
        <w:t xml:space="preserve"> In addition, the information will be used by the Institute of Education Sciences (IES) to guide potential future impact studies in this area. </w:t>
      </w:r>
      <w:r>
        <w:t xml:space="preserve">The report will </w:t>
      </w:r>
      <w:r w:rsidR="00844617">
        <w:t xml:space="preserve">summarize these states’ ELT plans and </w:t>
      </w:r>
      <w:r>
        <w:t xml:space="preserve">focus on how </w:t>
      </w:r>
      <w:r w:rsidR="00844617">
        <w:t xml:space="preserve">they </w:t>
      </w:r>
      <w:r>
        <w:t xml:space="preserve">plan to use these funds to support ELT, the level of their support, and how they will monitor subgrantees’ ELT implementation. </w:t>
      </w:r>
      <w:r w:rsidR="009557D3" w:rsidRPr="00B61853">
        <w:t xml:space="preserve">Included in this request is </w:t>
      </w:r>
      <w:r w:rsidR="009557D3" w:rsidRPr="004A2477">
        <w:t xml:space="preserve">the State ELT Plans Report </w:t>
      </w:r>
      <w:r w:rsidR="004F4663">
        <w:t xml:space="preserve">interview </w:t>
      </w:r>
      <w:r w:rsidR="009557D3" w:rsidRPr="004A2477">
        <w:t xml:space="preserve">protocol (Appendix </w:t>
      </w:r>
      <w:r w:rsidR="009557D3">
        <w:t>A</w:t>
      </w:r>
      <w:r w:rsidR="009557D3" w:rsidRPr="004A2477">
        <w:t xml:space="preserve">), </w:t>
      </w:r>
      <w:r w:rsidR="002E773E">
        <w:t xml:space="preserve">State ELT Plans Report </w:t>
      </w:r>
      <w:r w:rsidR="004F4663">
        <w:t xml:space="preserve">interview </w:t>
      </w:r>
      <w:r w:rsidR="002E773E">
        <w:t xml:space="preserve">advanced letter (Appendix B) </w:t>
      </w:r>
      <w:r w:rsidR="009557D3" w:rsidRPr="004A2477">
        <w:t xml:space="preserve">and Mathematica’s internal confidentiality pledge (Appendix </w:t>
      </w:r>
      <w:r w:rsidR="002E773E">
        <w:t>C</w:t>
      </w:r>
      <w:r w:rsidR="009557D3" w:rsidRPr="004A2477">
        <w:t>)</w:t>
      </w:r>
      <w:r w:rsidR="009557D3">
        <w:t>.</w:t>
      </w:r>
    </w:p>
    <w:p w:rsidR="009A3B4A" w:rsidRDefault="009A3B4A" w:rsidP="00B61853">
      <w:r w:rsidRPr="00861B86">
        <w:t>The Institute of Education Sciences (IES) with</w:t>
      </w:r>
      <w:r>
        <w:t>in</w:t>
      </w:r>
      <w:r w:rsidRPr="00861B86">
        <w:t xml:space="preserve"> </w:t>
      </w:r>
      <w:r w:rsidR="007E1657">
        <w:t>the Department of Education (</w:t>
      </w:r>
      <w:r w:rsidRPr="00861B86">
        <w:t>ED</w:t>
      </w:r>
      <w:r w:rsidR="007E1657">
        <w:t>)</w:t>
      </w:r>
      <w:r w:rsidRPr="00861B86">
        <w:t xml:space="preserve"> has contracted with Mathematica Policy Research and its partners </w:t>
      </w:r>
      <w:r>
        <w:t>Abt Associates, Synergy Enterprises (SEI), and Evidence-Based Education Research &amp; Evaluation (EBERE), to conduct the</w:t>
      </w:r>
      <w:r w:rsidR="00E743A2">
        <w:t xml:space="preserve"> interviews and write the report</w:t>
      </w:r>
      <w:r>
        <w:t>.</w:t>
      </w:r>
    </w:p>
    <w:p w:rsidR="009557D3" w:rsidRDefault="009557D3" w:rsidP="009A3B4A">
      <w:pPr>
        <w:pStyle w:val="Heading2Blue"/>
      </w:pPr>
      <w:bookmarkStart w:id="22" w:name="_Toc115852067"/>
      <w:bookmarkStart w:id="23" w:name="_Toc256354800"/>
      <w:bookmarkStart w:id="24" w:name="_Toc256354829"/>
      <w:bookmarkStart w:id="25" w:name="_Toc339354905"/>
    </w:p>
    <w:p w:rsidR="009A3B4A" w:rsidRPr="00861B86" w:rsidRDefault="009A3B4A" w:rsidP="009A3B4A">
      <w:pPr>
        <w:pStyle w:val="Heading2Blue"/>
      </w:pPr>
      <w:bookmarkStart w:id="26" w:name="_Toc345502305"/>
      <w:r w:rsidRPr="00861B86">
        <w:t>JUSTIFICATION</w:t>
      </w:r>
      <w:bookmarkEnd w:id="22"/>
      <w:bookmarkEnd w:id="23"/>
      <w:bookmarkEnd w:id="24"/>
      <w:bookmarkEnd w:id="25"/>
      <w:bookmarkEnd w:id="26"/>
    </w:p>
    <w:p w:rsidR="009A3B4A" w:rsidRPr="00861B86" w:rsidRDefault="009A3B4A" w:rsidP="009A3B4A">
      <w:pPr>
        <w:pStyle w:val="Heading3"/>
      </w:pPr>
      <w:bookmarkStart w:id="27" w:name="_Toc256354801"/>
      <w:bookmarkStart w:id="28" w:name="_Toc256354830"/>
      <w:bookmarkStart w:id="29" w:name="_Toc339354906"/>
      <w:bookmarkStart w:id="30" w:name="_Toc345502306"/>
      <w:r w:rsidRPr="00861B86">
        <w:t>1.</w:t>
      </w:r>
      <w:r w:rsidRPr="00861B86">
        <w:tab/>
        <w:t xml:space="preserve">Circumstances </w:t>
      </w:r>
      <w:r w:rsidRPr="009A3B4A">
        <w:t>Necessitating</w:t>
      </w:r>
      <w:r w:rsidRPr="00861B86">
        <w:t xml:space="preserve"> the Collection of Information</w:t>
      </w:r>
      <w:bookmarkEnd w:id="27"/>
      <w:bookmarkEnd w:id="28"/>
      <w:bookmarkEnd w:id="29"/>
      <w:bookmarkEnd w:id="30"/>
    </w:p>
    <w:p w:rsidR="009A3B4A" w:rsidRPr="00183453" w:rsidRDefault="009A3B4A" w:rsidP="009A3B4A">
      <w:pPr>
        <w:pStyle w:val="Heading4"/>
      </w:pPr>
      <w:r w:rsidRPr="00183453">
        <w:t>a.</w:t>
      </w:r>
      <w:r w:rsidRPr="00183453">
        <w:tab/>
        <w:t>Statement of Need for ELT</w:t>
      </w:r>
      <w:r w:rsidR="00B14021">
        <w:t xml:space="preserve"> Data Collection</w:t>
      </w:r>
    </w:p>
    <w:p w:rsidR="009A3B4A" w:rsidRDefault="009A3B4A" w:rsidP="00B61853">
      <w:pPr>
        <w:pStyle w:val="TableText"/>
        <w:spacing w:line="480" w:lineRule="auto"/>
        <w:ind w:firstLine="432"/>
        <w:jc w:val="both"/>
        <w:rPr>
          <w:rFonts w:ascii="Garamond" w:hAnsi="Garamond"/>
          <w:sz w:val="24"/>
        </w:rPr>
      </w:pPr>
      <w:r w:rsidRPr="00801CFE">
        <w:rPr>
          <w:rFonts w:ascii="Garamond" w:hAnsi="Garamond"/>
          <w:sz w:val="24"/>
        </w:rPr>
        <w:t xml:space="preserve">The specific legislation authorizing this data collection is Title IV, Part B, Sections 4201-4206 of the ESEA, as amended by No Child Left Behind (NCLB), </w:t>
      </w:r>
      <w:r>
        <w:rPr>
          <w:rFonts w:ascii="Garamond" w:hAnsi="Garamond"/>
          <w:sz w:val="24"/>
        </w:rPr>
        <w:t xml:space="preserve">which </w:t>
      </w:r>
      <w:r w:rsidRPr="00801CFE">
        <w:rPr>
          <w:rFonts w:ascii="Garamond" w:hAnsi="Garamond"/>
          <w:sz w:val="24"/>
        </w:rPr>
        <w:t xml:space="preserve">allow community learning centers to establish or expand activities which provide opportunities for academic enrichment beyond the normal school day and </w:t>
      </w:r>
      <w:r>
        <w:rPr>
          <w:rFonts w:ascii="Garamond" w:hAnsi="Garamond"/>
          <w:sz w:val="24"/>
        </w:rPr>
        <w:t xml:space="preserve">also </w:t>
      </w:r>
      <w:r w:rsidRPr="00801CFE">
        <w:rPr>
          <w:rFonts w:ascii="Garamond" w:hAnsi="Garamond"/>
          <w:sz w:val="24"/>
        </w:rPr>
        <w:t xml:space="preserve">allow for an evaluation of such activities. Section 9401 of ESEA gives </w:t>
      </w:r>
      <w:r w:rsidRPr="00801CFE">
        <w:rPr>
          <w:rFonts w:ascii="Garamond" w:hAnsi="Garamond"/>
          <w:sz w:val="24"/>
        </w:rPr>
        <w:lastRenderedPageBreak/>
        <w:t xml:space="preserve">the Secretary of Education the authority to grant flexibility to states regarding the provisions of ESEA. As part of the ESEA </w:t>
      </w:r>
      <w:r>
        <w:rPr>
          <w:rFonts w:ascii="Garamond" w:hAnsi="Garamond"/>
          <w:sz w:val="24"/>
        </w:rPr>
        <w:t>f</w:t>
      </w:r>
      <w:r w:rsidRPr="00801CFE">
        <w:rPr>
          <w:rFonts w:ascii="Garamond" w:hAnsi="Garamond"/>
          <w:sz w:val="24"/>
        </w:rPr>
        <w:t>lexibility, states may opt to request a waiver “to permit community learning centers that receive funds under the Twenty-First Century Community Learning Centers (21</w:t>
      </w:r>
      <w:r w:rsidRPr="00801CFE">
        <w:rPr>
          <w:rFonts w:ascii="Garamond" w:hAnsi="Garamond"/>
          <w:sz w:val="24"/>
          <w:vertAlign w:val="superscript"/>
        </w:rPr>
        <w:t>st</w:t>
      </w:r>
      <w:r w:rsidRPr="00801CFE">
        <w:rPr>
          <w:rFonts w:ascii="Garamond" w:hAnsi="Garamond"/>
          <w:sz w:val="24"/>
        </w:rPr>
        <w:t xml:space="preserve"> CCLC) program to use those funds to support expanded learning time during the school day in addition to activities during nonschool hours or periods when school is not in session (</w:t>
      </w:r>
      <w:r>
        <w:rPr>
          <w:rFonts w:ascii="Garamond" w:hAnsi="Garamond"/>
          <w:sz w:val="24"/>
        </w:rPr>
        <w:t xml:space="preserve">that is, </w:t>
      </w:r>
      <w:r w:rsidRPr="00801CFE">
        <w:rPr>
          <w:rFonts w:ascii="Garamond" w:hAnsi="Garamond"/>
          <w:sz w:val="24"/>
        </w:rPr>
        <w:t>before and after school or during summer recess).”</w:t>
      </w:r>
      <w:r>
        <w:rPr>
          <w:rFonts w:ascii="Garamond" w:hAnsi="Garamond"/>
          <w:sz w:val="24"/>
        </w:rPr>
        <w:t xml:space="preserve"> </w:t>
      </w:r>
    </w:p>
    <w:p w:rsidR="00493B33" w:rsidRDefault="009A3B4A" w:rsidP="00493B33">
      <w:pPr>
        <w:pStyle w:val="TableText"/>
        <w:spacing w:line="480" w:lineRule="auto"/>
        <w:ind w:firstLine="432"/>
        <w:jc w:val="both"/>
      </w:pPr>
      <w:r w:rsidRPr="00DC51CB">
        <w:rPr>
          <w:rFonts w:ascii="Garamond" w:hAnsi="Garamond"/>
          <w:sz w:val="24"/>
        </w:rPr>
        <w:t xml:space="preserve">The federal government is </w:t>
      </w:r>
      <w:r>
        <w:rPr>
          <w:rFonts w:ascii="Garamond" w:hAnsi="Garamond"/>
          <w:sz w:val="24"/>
        </w:rPr>
        <w:t xml:space="preserve">also </w:t>
      </w:r>
      <w:r w:rsidRPr="00DC51CB">
        <w:rPr>
          <w:rFonts w:ascii="Garamond" w:hAnsi="Garamond"/>
          <w:sz w:val="24"/>
        </w:rPr>
        <w:t xml:space="preserve">actively promoting ELT through </w:t>
      </w:r>
      <w:r>
        <w:rPr>
          <w:rFonts w:ascii="Garamond" w:hAnsi="Garamond"/>
          <w:sz w:val="24"/>
        </w:rPr>
        <w:t>other</w:t>
      </w:r>
      <w:r w:rsidRPr="00DC51CB">
        <w:rPr>
          <w:rFonts w:ascii="Garamond" w:hAnsi="Garamond"/>
          <w:sz w:val="24"/>
        </w:rPr>
        <w:t xml:space="preserve"> initiat</w:t>
      </w:r>
      <w:r>
        <w:rPr>
          <w:rFonts w:ascii="Garamond" w:hAnsi="Garamond"/>
          <w:sz w:val="24"/>
        </w:rPr>
        <w:t>ives, including Race to the Top and</w:t>
      </w:r>
      <w:r w:rsidRPr="00DC51CB">
        <w:rPr>
          <w:rFonts w:ascii="Garamond" w:hAnsi="Garamond"/>
          <w:sz w:val="24"/>
        </w:rPr>
        <w:t xml:space="preserve"> School Improvement Grants</w:t>
      </w:r>
      <w:r>
        <w:rPr>
          <w:rFonts w:ascii="Garamond" w:hAnsi="Garamond"/>
          <w:sz w:val="24"/>
        </w:rPr>
        <w:t xml:space="preserve">, </w:t>
      </w:r>
      <w:r w:rsidRPr="00FB7ECB">
        <w:rPr>
          <w:rFonts w:ascii="Garamond" w:hAnsi="Garamond"/>
          <w:sz w:val="24"/>
        </w:rPr>
        <w:t xml:space="preserve">and a growing number of schools </w:t>
      </w:r>
      <w:r>
        <w:rPr>
          <w:rFonts w:ascii="Garamond" w:hAnsi="Garamond"/>
          <w:sz w:val="24"/>
        </w:rPr>
        <w:t>have adopted</w:t>
      </w:r>
      <w:r w:rsidRPr="00FB7ECB">
        <w:rPr>
          <w:rFonts w:ascii="Garamond" w:hAnsi="Garamond"/>
          <w:sz w:val="24"/>
        </w:rPr>
        <w:t xml:space="preserve"> ELT programs. Although there are no comprehensive national data on the current number of ELT schools, the National Center on Time &amp; Learning (NCTL) has identified 1,026 schools in 36 states and the District of Columbia that provided substantially more learning time than surrounding public schools in school year (SY) 2011</w:t>
      </w:r>
      <w:r>
        <w:rPr>
          <w:rFonts w:ascii="Garamond" w:hAnsi="Garamond"/>
          <w:sz w:val="24"/>
        </w:rPr>
        <w:t>–</w:t>
      </w:r>
      <w:r w:rsidRPr="00FB7ECB">
        <w:rPr>
          <w:rFonts w:ascii="Garamond" w:hAnsi="Garamond"/>
          <w:sz w:val="24"/>
        </w:rPr>
        <w:t>2012. These initiatives are distributed</w:t>
      </w:r>
      <w:r>
        <w:rPr>
          <w:rFonts w:ascii="Garamond" w:hAnsi="Garamond"/>
          <w:sz w:val="24"/>
        </w:rPr>
        <w:t xml:space="preserve"> widely</w:t>
      </w:r>
      <w:r w:rsidRPr="00FB7ECB">
        <w:rPr>
          <w:rFonts w:ascii="Garamond" w:hAnsi="Garamond"/>
          <w:sz w:val="24"/>
        </w:rPr>
        <w:t xml:space="preserve"> across the country.</w:t>
      </w:r>
      <w:r w:rsidRPr="00D37708">
        <w:t xml:space="preserve"> </w:t>
      </w:r>
    </w:p>
    <w:p w:rsidR="00493B33" w:rsidRPr="00493B33" w:rsidRDefault="00493B33" w:rsidP="00493B33">
      <w:pPr>
        <w:pStyle w:val="TableText"/>
        <w:spacing w:line="480" w:lineRule="auto"/>
        <w:ind w:firstLine="432"/>
        <w:jc w:val="both"/>
        <w:rPr>
          <w:rFonts w:ascii="Garamond" w:hAnsi="Garamond"/>
          <w:sz w:val="24"/>
        </w:rPr>
      </w:pPr>
      <w:r>
        <w:rPr>
          <w:rFonts w:ascii="Garamond" w:hAnsi="Garamond"/>
          <w:sz w:val="24"/>
        </w:rPr>
        <w:t xml:space="preserve">This State ELT Plans Report will provide </w:t>
      </w:r>
      <w:r w:rsidR="007C7815">
        <w:rPr>
          <w:rFonts w:ascii="Garamond" w:hAnsi="Garamond"/>
          <w:sz w:val="24"/>
        </w:rPr>
        <w:t xml:space="preserve">valuable information to states and the federal government on states’ use of the </w:t>
      </w:r>
      <w:r w:rsidR="004A77D6">
        <w:rPr>
          <w:rFonts w:ascii="Garamond" w:hAnsi="Garamond"/>
          <w:sz w:val="24"/>
        </w:rPr>
        <w:t xml:space="preserve">optional </w:t>
      </w:r>
      <w:r w:rsidR="007C7815">
        <w:rPr>
          <w:rFonts w:ascii="Garamond" w:hAnsi="Garamond"/>
          <w:sz w:val="24"/>
        </w:rPr>
        <w:t xml:space="preserve">ESEA </w:t>
      </w:r>
      <w:r w:rsidR="004A77D6">
        <w:rPr>
          <w:rFonts w:ascii="Garamond" w:hAnsi="Garamond"/>
          <w:sz w:val="24"/>
        </w:rPr>
        <w:t xml:space="preserve">Flexibility </w:t>
      </w:r>
      <w:r w:rsidR="007C7815">
        <w:rPr>
          <w:rFonts w:ascii="Garamond" w:hAnsi="Garamond"/>
          <w:sz w:val="24"/>
        </w:rPr>
        <w:t>to use 21</w:t>
      </w:r>
      <w:r w:rsidR="00C34F4D" w:rsidRPr="00664076">
        <w:rPr>
          <w:rFonts w:ascii="Garamond" w:hAnsi="Garamond"/>
          <w:sz w:val="24"/>
          <w:vertAlign w:val="superscript"/>
        </w:rPr>
        <w:t>st</w:t>
      </w:r>
      <w:r w:rsidR="007C7815">
        <w:rPr>
          <w:rFonts w:ascii="Garamond" w:hAnsi="Garamond"/>
          <w:sz w:val="24"/>
        </w:rPr>
        <w:t xml:space="preserve"> CCLC funds to fund</w:t>
      </w:r>
      <w:r w:rsidR="0040519E">
        <w:rPr>
          <w:rFonts w:ascii="Garamond" w:hAnsi="Garamond"/>
          <w:sz w:val="24"/>
        </w:rPr>
        <w:t xml:space="preserve"> </w:t>
      </w:r>
      <w:r w:rsidR="007C7815">
        <w:rPr>
          <w:rFonts w:ascii="Garamond" w:hAnsi="Garamond"/>
          <w:sz w:val="24"/>
        </w:rPr>
        <w:t xml:space="preserve">and encourage the </w:t>
      </w:r>
      <w:r w:rsidR="00A66EA1">
        <w:rPr>
          <w:rFonts w:ascii="Garamond" w:hAnsi="Garamond"/>
          <w:sz w:val="24"/>
        </w:rPr>
        <w:t>adoption</w:t>
      </w:r>
      <w:r w:rsidR="007C7815">
        <w:rPr>
          <w:rFonts w:ascii="Garamond" w:hAnsi="Garamond"/>
          <w:sz w:val="24"/>
        </w:rPr>
        <w:t xml:space="preserve"> of ELT</w:t>
      </w:r>
      <w:r w:rsidR="00A66EA1">
        <w:rPr>
          <w:rFonts w:ascii="Garamond" w:hAnsi="Garamond"/>
          <w:sz w:val="24"/>
        </w:rPr>
        <w:t xml:space="preserve">. The report will also describe the </w:t>
      </w:r>
      <w:r w:rsidR="00790F58">
        <w:rPr>
          <w:rFonts w:ascii="Garamond" w:hAnsi="Garamond"/>
          <w:sz w:val="24"/>
        </w:rPr>
        <w:t xml:space="preserve">features of the ELT </w:t>
      </w:r>
      <w:r w:rsidR="00A66EA1">
        <w:rPr>
          <w:rFonts w:ascii="Garamond" w:hAnsi="Garamond"/>
          <w:sz w:val="24"/>
        </w:rPr>
        <w:t xml:space="preserve">programs adopted, </w:t>
      </w:r>
      <w:r w:rsidR="007C7815">
        <w:rPr>
          <w:rFonts w:ascii="Garamond" w:hAnsi="Garamond"/>
          <w:sz w:val="24"/>
        </w:rPr>
        <w:t>the challenges</w:t>
      </w:r>
      <w:r w:rsidR="0040519E">
        <w:rPr>
          <w:rFonts w:ascii="Garamond" w:hAnsi="Garamond"/>
          <w:sz w:val="24"/>
        </w:rPr>
        <w:t xml:space="preserve"> that</w:t>
      </w:r>
      <w:r w:rsidR="007C7815">
        <w:rPr>
          <w:rFonts w:ascii="Garamond" w:hAnsi="Garamond"/>
          <w:sz w:val="24"/>
        </w:rPr>
        <w:t xml:space="preserve"> states have encountered</w:t>
      </w:r>
      <w:r w:rsidR="0040519E">
        <w:rPr>
          <w:rFonts w:ascii="Garamond" w:hAnsi="Garamond"/>
          <w:sz w:val="24"/>
        </w:rPr>
        <w:t>, and the strategies used to meet those challenges</w:t>
      </w:r>
      <w:r w:rsidR="007C7815">
        <w:rPr>
          <w:rFonts w:ascii="Garamond" w:hAnsi="Garamond"/>
          <w:sz w:val="24"/>
        </w:rPr>
        <w:t>.</w:t>
      </w:r>
    </w:p>
    <w:p w:rsidR="009A3B4A" w:rsidRPr="00183453" w:rsidRDefault="009A3B4A" w:rsidP="009A3B4A">
      <w:pPr>
        <w:pStyle w:val="Heading4"/>
      </w:pPr>
      <w:r w:rsidRPr="00183453">
        <w:t>b.</w:t>
      </w:r>
      <w:r w:rsidRPr="00183453">
        <w:tab/>
      </w:r>
      <w:r w:rsidRPr="009A3B4A">
        <w:t>Research</w:t>
      </w:r>
      <w:r w:rsidRPr="00183453">
        <w:t xml:space="preserve"> Questions</w:t>
      </w:r>
    </w:p>
    <w:p w:rsidR="009A3B4A" w:rsidRDefault="009A3B4A" w:rsidP="00B61853">
      <w:pPr>
        <w:spacing w:after="240" w:line="240" w:lineRule="auto"/>
      </w:pPr>
      <w:r>
        <w:t xml:space="preserve">The State ELT Plans Report will address the following research questions: </w:t>
      </w:r>
    </w:p>
    <w:p w:rsidR="009A3B4A" w:rsidRDefault="009A3B4A" w:rsidP="009A3B4A">
      <w:pPr>
        <w:pStyle w:val="BulletBlue"/>
      </w:pPr>
      <w:r>
        <w:t>How do the states plan to use 21</w:t>
      </w:r>
      <w:r w:rsidRPr="0086047E">
        <w:rPr>
          <w:vertAlign w:val="superscript"/>
        </w:rPr>
        <w:t>st</w:t>
      </w:r>
      <w:r>
        <w:t xml:space="preserve"> CCLC funds to support ELT? </w:t>
      </w:r>
    </w:p>
    <w:p w:rsidR="009A3B4A" w:rsidRDefault="009A3B4A" w:rsidP="009A3B4A">
      <w:pPr>
        <w:pStyle w:val="BulletBlue"/>
      </w:pPr>
      <w:r>
        <w:t>How do states define eligible ELT programs</w:t>
      </w:r>
      <w:r w:rsidRPr="008B1056">
        <w:t>?</w:t>
      </w:r>
    </w:p>
    <w:p w:rsidR="009A3B4A" w:rsidRDefault="009A3B4A" w:rsidP="009A3B4A">
      <w:pPr>
        <w:pStyle w:val="BulletBlue"/>
      </w:pPr>
      <w:r>
        <w:t>What is the process for awarding 21</w:t>
      </w:r>
      <w:r w:rsidRPr="00380400">
        <w:rPr>
          <w:vertAlign w:val="superscript"/>
        </w:rPr>
        <w:t>st</w:t>
      </w:r>
      <w:r>
        <w:t xml:space="preserve"> CCLC funds to districts? </w:t>
      </w:r>
    </w:p>
    <w:p w:rsidR="009A3B4A" w:rsidRDefault="009A3B4A" w:rsidP="00D408D1">
      <w:pPr>
        <w:pStyle w:val="BulletBlueLastDS"/>
      </w:pPr>
      <w:r>
        <w:t>How do the states plan to monitor districts’ use of ELT funds?</w:t>
      </w:r>
    </w:p>
    <w:p w:rsidR="009A3B4A" w:rsidRPr="00C57536" w:rsidRDefault="00181A0D" w:rsidP="00B61853">
      <w:pPr>
        <w:pStyle w:val="Heading4"/>
        <w:spacing w:after="0" w:line="480" w:lineRule="auto"/>
      </w:pPr>
      <w:r>
        <w:t>c</w:t>
      </w:r>
      <w:r w:rsidR="009A3B4A" w:rsidRPr="00C57536">
        <w:t>.</w:t>
      </w:r>
      <w:r w:rsidR="009A3B4A" w:rsidRPr="00C57536">
        <w:tab/>
        <w:t>Data Collection Plan</w:t>
      </w:r>
    </w:p>
    <w:p w:rsidR="00CE5774" w:rsidRDefault="009A3B4A" w:rsidP="00B61853">
      <w:r w:rsidRPr="00857DB3">
        <w:lastRenderedPageBreak/>
        <w:t>To address the study research questions</w:t>
      </w:r>
      <w:r w:rsidR="00CE5774">
        <w:t xml:space="preserve"> and</w:t>
      </w:r>
      <w:r w:rsidRPr="00857DB3">
        <w:t xml:space="preserve"> </w:t>
      </w:r>
      <w:r w:rsidR="00CE5774">
        <w:t xml:space="preserve">to obtain </w:t>
      </w:r>
      <w:r w:rsidR="00CE5774" w:rsidRPr="00EA7E92">
        <w:t xml:space="preserve">consistent information on each </w:t>
      </w:r>
      <w:r w:rsidR="00E76CF8">
        <w:t xml:space="preserve">ESEA </w:t>
      </w:r>
      <w:r w:rsidR="004A77D6">
        <w:t xml:space="preserve">Flexibility </w:t>
      </w:r>
      <w:r w:rsidR="00CE5774" w:rsidRPr="00EA7E92">
        <w:t>state’s ELT plans</w:t>
      </w:r>
      <w:r w:rsidR="00CE5774">
        <w:t>, we will conduct semi-structured interviews with the 21</w:t>
      </w:r>
      <w:r w:rsidR="00CE5774" w:rsidRPr="004931BE">
        <w:t>st</w:t>
      </w:r>
      <w:r w:rsidR="00CE5774">
        <w:t xml:space="preserve"> CCLC </w:t>
      </w:r>
      <w:r w:rsidR="00D67502">
        <w:t xml:space="preserve">coordinators </w:t>
      </w:r>
      <w:r w:rsidR="00CE5774">
        <w:t>of the 2</w:t>
      </w:r>
      <w:r w:rsidR="00572684">
        <w:t>2</w:t>
      </w:r>
      <w:r w:rsidR="00CE5774">
        <w:t xml:space="preserve"> states that have applied for and received the </w:t>
      </w:r>
      <w:r w:rsidR="00E76CF8">
        <w:t>optional 21</w:t>
      </w:r>
      <w:r w:rsidR="00E76CF8" w:rsidRPr="00A67B1F">
        <w:rPr>
          <w:vertAlign w:val="superscript"/>
        </w:rPr>
        <w:t>st</w:t>
      </w:r>
      <w:r w:rsidR="00E76CF8">
        <w:t xml:space="preserve"> CCLC </w:t>
      </w:r>
      <w:proofErr w:type="spellStart"/>
      <w:r w:rsidR="00E76CF8">
        <w:t>ESEA</w:t>
      </w:r>
      <w:r w:rsidR="004A77D6">
        <w:t>Flexibility</w:t>
      </w:r>
      <w:proofErr w:type="spellEnd"/>
      <w:r w:rsidR="004A77D6">
        <w:t xml:space="preserve"> </w:t>
      </w:r>
      <w:r w:rsidR="00CE5774">
        <w:t xml:space="preserve">to obtain information for the State ELT Plans Report. </w:t>
      </w:r>
      <w:r w:rsidR="00CE5774" w:rsidRPr="00EA7E92">
        <w:t xml:space="preserve">These calls will occur </w:t>
      </w:r>
      <w:r w:rsidR="00CE5774">
        <w:t>in</w:t>
      </w:r>
      <w:r w:rsidR="00CE5774" w:rsidRPr="00EA7E92">
        <w:t xml:space="preserve"> </w:t>
      </w:r>
      <w:r w:rsidR="00CE5774">
        <w:t xml:space="preserve">summer </w:t>
      </w:r>
      <w:r w:rsidR="00CE5774" w:rsidRPr="00EA7E92">
        <w:t>2013</w:t>
      </w:r>
      <w:r w:rsidR="00CE5774">
        <w:t xml:space="preserve">. If additional states receive </w:t>
      </w:r>
      <w:r w:rsidR="004A77D6">
        <w:t>optional 21</w:t>
      </w:r>
      <w:r w:rsidR="004A77D6" w:rsidRPr="00A67B1F">
        <w:rPr>
          <w:vertAlign w:val="superscript"/>
        </w:rPr>
        <w:t>st</w:t>
      </w:r>
      <w:r w:rsidR="004A77D6">
        <w:t xml:space="preserve"> CCLC Flexibility </w:t>
      </w:r>
      <w:r w:rsidR="00CE5774">
        <w:t xml:space="preserve">approval, </w:t>
      </w:r>
      <w:r w:rsidR="00CE5774" w:rsidRPr="00D77AA0">
        <w:t xml:space="preserve">or if the </w:t>
      </w:r>
      <w:r w:rsidR="00664076">
        <w:t>fiscal year (</w:t>
      </w:r>
      <w:r w:rsidR="00CE5774" w:rsidRPr="00D77AA0">
        <w:t>FY</w:t>
      </w:r>
      <w:r w:rsidR="00664076">
        <w:t>)</w:t>
      </w:r>
      <w:r w:rsidR="00CE5774" w:rsidRPr="00D77AA0">
        <w:t xml:space="preserve"> 2013 budget includes ELT as an allowable use of </w:t>
      </w:r>
      <w:r w:rsidR="00CE5774">
        <w:t>21</w:t>
      </w:r>
      <w:r w:rsidR="00CE5774" w:rsidRPr="005662DE">
        <w:rPr>
          <w:vertAlign w:val="superscript"/>
        </w:rPr>
        <w:t>st</w:t>
      </w:r>
      <w:r w:rsidR="00CE5774">
        <w:t xml:space="preserve"> </w:t>
      </w:r>
      <w:r w:rsidR="00CE5774" w:rsidRPr="00D77AA0">
        <w:t>CCLC fund</w:t>
      </w:r>
      <w:r w:rsidR="00CE5774">
        <w:t>s</w:t>
      </w:r>
      <w:r w:rsidR="00CE5774" w:rsidRPr="00D77AA0">
        <w:t xml:space="preserve">, </w:t>
      </w:r>
      <w:r w:rsidR="00CE5774">
        <w:t xml:space="preserve">we may conduct interviews with these additional states. </w:t>
      </w:r>
      <w:r w:rsidR="00CE5774" w:rsidRPr="00EA7E92">
        <w:t xml:space="preserve">The interviews will be conducted by </w:t>
      </w:r>
      <w:r w:rsidR="00572684">
        <w:t>individuals</w:t>
      </w:r>
      <w:r w:rsidR="00CE5774">
        <w:t xml:space="preserve"> who will be</w:t>
      </w:r>
      <w:r w:rsidR="00CE5774" w:rsidRPr="00EA7E92">
        <w:t xml:space="preserve"> specifically trained to conduct these </w:t>
      </w:r>
      <w:r w:rsidR="00CE5774">
        <w:t>interviews</w:t>
      </w:r>
      <w:r w:rsidR="00CE5774" w:rsidRPr="00EA7E92">
        <w:t xml:space="preserve">. </w:t>
      </w:r>
      <w:r w:rsidR="00572684">
        <w:t>Prior to</w:t>
      </w:r>
      <w:r w:rsidR="00CE5774" w:rsidRPr="00EA7E92">
        <w:t xml:space="preserve"> the interview</w:t>
      </w:r>
      <w:r w:rsidR="002E773E">
        <w:t xml:space="preserve">, respondents will receive an advanced letter (Appendix B) that describes the data collection.  A member of the research team will then follow-up and request </w:t>
      </w:r>
      <w:r w:rsidR="00CE5774" w:rsidRPr="00EA7E92">
        <w:t>copies of relevant documents</w:t>
      </w:r>
      <w:r w:rsidR="00CE5774">
        <w:t>,</w:t>
      </w:r>
      <w:r w:rsidR="00CE5774" w:rsidRPr="00EA7E92">
        <w:t xml:space="preserve"> such as the state </w:t>
      </w:r>
      <w:r w:rsidR="00664076">
        <w:t>Request for Proposals (</w:t>
      </w:r>
      <w:r w:rsidR="00CE5774" w:rsidRPr="00EA7E92">
        <w:t>RFP</w:t>
      </w:r>
      <w:r w:rsidR="00664076">
        <w:t>) for the 21</w:t>
      </w:r>
      <w:r w:rsidR="00664076" w:rsidRPr="00385E47">
        <w:rPr>
          <w:vertAlign w:val="superscript"/>
        </w:rPr>
        <w:t>st</w:t>
      </w:r>
      <w:r w:rsidR="00664076">
        <w:t xml:space="preserve"> CCLC grant competition</w:t>
      </w:r>
      <w:r w:rsidR="00CE5774" w:rsidRPr="00EA7E92">
        <w:t xml:space="preserve"> (if released) </w:t>
      </w:r>
      <w:r w:rsidR="001D196C">
        <w:t>and</w:t>
      </w:r>
      <w:r w:rsidR="00CE5774" w:rsidRPr="00EA7E92">
        <w:t xml:space="preserve"> any documentation </w:t>
      </w:r>
      <w:r w:rsidR="00CE5774">
        <w:t>the state has</w:t>
      </w:r>
      <w:r w:rsidR="00CE5774" w:rsidRPr="00EA7E92">
        <w:t xml:space="preserve"> shared with prospective grantees</w:t>
      </w:r>
      <w:r w:rsidR="002E773E">
        <w:t xml:space="preserve">, which will be used to tailor </w:t>
      </w:r>
      <w:r w:rsidR="004F4663">
        <w:t xml:space="preserve">the </w:t>
      </w:r>
      <w:r w:rsidR="002E773E">
        <w:t>interview and reduce burden on the respondent</w:t>
      </w:r>
      <w:r w:rsidR="00CE5774" w:rsidRPr="00EA7E92">
        <w:t>.</w:t>
      </w:r>
    </w:p>
    <w:p w:rsidR="009A3B4A" w:rsidRPr="00C57536" w:rsidRDefault="002D312C" w:rsidP="009A3B4A">
      <w:pPr>
        <w:pStyle w:val="Heading4"/>
      </w:pPr>
      <w:r>
        <w:t>d</w:t>
      </w:r>
      <w:r w:rsidR="009A3B4A" w:rsidRPr="00C57536">
        <w:t>.</w:t>
      </w:r>
      <w:r w:rsidR="009A3B4A" w:rsidRPr="00C57536">
        <w:tab/>
        <w:t>Study Activities and Time Line</w:t>
      </w:r>
    </w:p>
    <w:p w:rsidR="00557A50" w:rsidRDefault="00572684" w:rsidP="00664076">
      <w:pPr>
        <w:ind w:firstLine="0"/>
      </w:pPr>
      <w:r>
        <w:tab/>
      </w:r>
      <w:r w:rsidR="009A3B4A" w:rsidRPr="00712046">
        <w:t xml:space="preserve">The </w:t>
      </w:r>
      <w:r w:rsidR="00181A0D">
        <w:t>interview and report are</w:t>
      </w:r>
      <w:r w:rsidR="009A3B4A" w:rsidRPr="00712046">
        <w:t xml:space="preserve"> expected to be completed in </w:t>
      </w:r>
      <w:r w:rsidR="00181A0D">
        <w:t>13</w:t>
      </w:r>
      <w:r w:rsidR="00181A0D" w:rsidRPr="00712046">
        <w:t xml:space="preserve"> </w:t>
      </w:r>
      <w:r w:rsidR="009A3B4A" w:rsidRPr="00712046">
        <w:t xml:space="preserve">months. </w:t>
      </w:r>
      <w:r w:rsidR="00181A0D">
        <w:t>We will conduct interviews in summer 2013</w:t>
      </w:r>
      <w:r w:rsidR="00664076">
        <w:t xml:space="preserve"> once we have received OMB clearance</w:t>
      </w:r>
      <w:r w:rsidR="00181A0D">
        <w:t xml:space="preserve">, and prepare the State ELT Plans Report in the fall 2013. </w:t>
      </w:r>
      <w:bookmarkStart w:id="31" w:name="_Toc256354802"/>
      <w:bookmarkStart w:id="32" w:name="_Toc256354831"/>
    </w:p>
    <w:p w:rsidR="009A3B4A" w:rsidRPr="00861B86" w:rsidRDefault="009A3B4A" w:rsidP="005D5286">
      <w:pPr>
        <w:pStyle w:val="Heading3"/>
      </w:pPr>
      <w:bookmarkStart w:id="33" w:name="_Toc339354907"/>
      <w:bookmarkStart w:id="34" w:name="_Toc345502307"/>
      <w:r w:rsidRPr="00861B86">
        <w:t>2.</w:t>
      </w:r>
      <w:r w:rsidRPr="00861B86">
        <w:tab/>
        <w:t>Purposes and Uses of Data</w:t>
      </w:r>
      <w:bookmarkEnd w:id="31"/>
      <w:bookmarkEnd w:id="32"/>
      <w:bookmarkEnd w:id="33"/>
      <w:bookmarkEnd w:id="34"/>
    </w:p>
    <w:p w:rsidR="009A3B4A" w:rsidRPr="00861B86" w:rsidRDefault="009A3B4A" w:rsidP="00C07283">
      <w:r w:rsidRPr="008E0ECB">
        <w:t xml:space="preserve">The purpose of this </w:t>
      </w:r>
      <w:r w:rsidR="009363BB">
        <w:t>study</w:t>
      </w:r>
      <w:r w:rsidR="009363BB" w:rsidRPr="008E0ECB">
        <w:t xml:space="preserve"> </w:t>
      </w:r>
      <w:r w:rsidRPr="008E0ECB">
        <w:t xml:space="preserve">is to document </w:t>
      </w:r>
      <w:r w:rsidR="00642C45">
        <w:t xml:space="preserve">states’ use of the </w:t>
      </w:r>
      <w:r w:rsidR="004A77D6">
        <w:t xml:space="preserve">optional </w:t>
      </w:r>
      <w:r w:rsidR="00642C45">
        <w:t xml:space="preserve">ESEA </w:t>
      </w:r>
      <w:r w:rsidR="004A77D6">
        <w:t xml:space="preserve">Flexibility </w:t>
      </w:r>
      <w:r w:rsidR="00642C45">
        <w:t>to use 21</w:t>
      </w:r>
      <w:r w:rsidR="00C34F4D" w:rsidRPr="00664076">
        <w:rPr>
          <w:vertAlign w:val="superscript"/>
        </w:rPr>
        <w:t>st</w:t>
      </w:r>
      <w:r w:rsidR="00642C45">
        <w:t xml:space="preserve"> CCLC funds to support ELT. </w:t>
      </w:r>
      <w:r w:rsidRPr="008E0ECB">
        <w:t>ELT is increasingly</w:t>
      </w:r>
      <w:r>
        <w:t xml:space="preserve"> being regarded as an </w:t>
      </w:r>
      <w:r w:rsidRPr="008E0ECB">
        <w:t xml:space="preserve">important education policy to promote improved instruction; however, </w:t>
      </w:r>
      <w:r w:rsidR="009363BB">
        <w:t>adopting ELT presents many challenges for states, districts and schools</w:t>
      </w:r>
      <w:r w:rsidRPr="008E0ECB">
        <w:t>.</w:t>
      </w:r>
      <w:r>
        <w:t xml:space="preserve"> </w:t>
      </w:r>
      <w:r w:rsidRPr="006640C9">
        <w:t xml:space="preserve">This </w:t>
      </w:r>
      <w:r w:rsidR="009363BB">
        <w:t>report</w:t>
      </w:r>
      <w:r w:rsidR="009363BB" w:rsidRPr="006640C9">
        <w:t xml:space="preserve"> </w:t>
      </w:r>
      <w:r w:rsidRPr="006640C9">
        <w:t>will provide policymakers and practitioners with important insight into</w:t>
      </w:r>
      <w:r w:rsidR="00C07283">
        <w:t xml:space="preserve"> approaches to support</w:t>
      </w:r>
      <w:r w:rsidR="00642C45">
        <w:t xml:space="preserve"> </w:t>
      </w:r>
      <w:r w:rsidR="00C07283">
        <w:t xml:space="preserve">and encourage </w:t>
      </w:r>
      <w:r w:rsidR="00640D1E">
        <w:t>ELT and describe the</w:t>
      </w:r>
      <w:r w:rsidR="00642C45">
        <w:t xml:space="preserve"> features of </w:t>
      </w:r>
      <w:r w:rsidR="009B6CF0">
        <w:t xml:space="preserve">state-supported </w:t>
      </w:r>
      <w:r w:rsidR="00642C45">
        <w:t>ELT programs</w:t>
      </w:r>
      <w:r w:rsidRPr="006640C9">
        <w:t xml:space="preserve">. </w:t>
      </w:r>
      <w:r w:rsidR="00C07283">
        <w:t>The State ELT Plans Report will summarize the information obtained from the interviews with 21</w:t>
      </w:r>
      <w:r w:rsidR="00C34F4D" w:rsidRPr="00664076">
        <w:rPr>
          <w:vertAlign w:val="superscript"/>
        </w:rPr>
        <w:t>st</w:t>
      </w:r>
      <w:r w:rsidR="00C07283">
        <w:t xml:space="preserve"> CCLC </w:t>
      </w:r>
      <w:r w:rsidR="00E7209A">
        <w:t xml:space="preserve">state </w:t>
      </w:r>
      <w:r w:rsidR="00C07283">
        <w:t>coordinators</w:t>
      </w:r>
      <w:r w:rsidRPr="00204BD9">
        <w:t>.</w:t>
      </w:r>
    </w:p>
    <w:p w:rsidR="009A3B4A" w:rsidRPr="00C57536" w:rsidRDefault="009A3B4A" w:rsidP="00B61853">
      <w:pPr>
        <w:pStyle w:val="Heading3"/>
        <w:spacing w:after="0" w:line="480" w:lineRule="auto"/>
      </w:pPr>
      <w:bookmarkStart w:id="35" w:name="_Toc256354803"/>
      <w:bookmarkStart w:id="36" w:name="_Toc256354832"/>
      <w:bookmarkStart w:id="37" w:name="_Toc339354908"/>
      <w:bookmarkStart w:id="38" w:name="_Toc345502308"/>
      <w:r w:rsidRPr="00C57536">
        <w:lastRenderedPageBreak/>
        <w:t>3.</w:t>
      </w:r>
      <w:r w:rsidRPr="00C57536">
        <w:tab/>
        <w:t>Use of Technology to Reduce Burden</w:t>
      </w:r>
      <w:bookmarkEnd w:id="35"/>
      <w:bookmarkEnd w:id="36"/>
      <w:bookmarkEnd w:id="37"/>
      <w:bookmarkEnd w:id="38"/>
    </w:p>
    <w:p w:rsidR="009A3B4A" w:rsidRDefault="009A3B4A" w:rsidP="00FC2CB9">
      <w:r w:rsidRPr="00204BD9">
        <w:t xml:space="preserve">The </w:t>
      </w:r>
      <w:r>
        <w:t xml:space="preserve">coordinator interviews are </w:t>
      </w:r>
      <w:r w:rsidRPr="00204BD9">
        <w:t xml:space="preserve">designed to obtain reliable information in an efficient way that minimizes respondent burden. </w:t>
      </w:r>
      <w:r w:rsidR="00FC2CB9">
        <w:t>The semi-structured interviews with the 21</w:t>
      </w:r>
      <w:r w:rsidR="00FC2CB9" w:rsidRPr="002E0C7C">
        <w:rPr>
          <w:vertAlign w:val="superscript"/>
        </w:rPr>
        <w:t>st</w:t>
      </w:r>
      <w:r w:rsidR="00FC2CB9">
        <w:t xml:space="preserve"> CCLC state coordinators will be conducted over the telephone. Prior to conducting interviews, we will review state RFPs for 21</w:t>
      </w:r>
      <w:r w:rsidR="00C34F4D" w:rsidRPr="00664076">
        <w:rPr>
          <w:vertAlign w:val="superscript"/>
        </w:rPr>
        <w:t>st</w:t>
      </w:r>
      <w:r w:rsidR="00FC2CB9">
        <w:t xml:space="preserve"> CCLC subgrants, if available, and any other publicly available sources. </w:t>
      </w:r>
      <w:r>
        <w:t>We will use a protocol to ensure that we collect the required information efficiently</w:t>
      </w:r>
      <w:r w:rsidRPr="007925A4">
        <w:t xml:space="preserve"> </w:t>
      </w:r>
      <w:r>
        <w:t>and we will avoid asking for information</w:t>
      </w:r>
      <w:r w:rsidR="002D055F">
        <w:t xml:space="preserve"> during the interviews that</w:t>
      </w:r>
      <w:r>
        <w:t xml:space="preserve"> we are able to obtain from </w:t>
      </w:r>
      <w:r w:rsidR="002D055F">
        <w:t xml:space="preserve">the state RFP or from </w:t>
      </w:r>
      <w:r>
        <w:t>other public sources, such as state websites.</w:t>
      </w:r>
    </w:p>
    <w:p w:rsidR="009A3B4A" w:rsidRPr="00C57536" w:rsidRDefault="009A3B4A" w:rsidP="00B61853">
      <w:pPr>
        <w:pStyle w:val="Heading3"/>
        <w:spacing w:after="0" w:line="480" w:lineRule="auto"/>
      </w:pPr>
      <w:bookmarkStart w:id="39" w:name="_Toc256354804"/>
      <w:bookmarkStart w:id="40" w:name="_Toc256354833"/>
      <w:bookmarkStart w:id="41" w:name="_Toc339354909"/>
      <w:bookmarkStart w:id="42" w:name="_Toc345502309"/>
      <w:r w:rsidRPr="00C57536">
        <w:t>4.</w:t>
      </w:r>
      <w:r w:rsidRPr="00C57536">
        <w:tab/>
        <w:t>Efforts to Avoid Duplication of Effort</w:t>
      </w:r>
      <w:bookmarkEnd w:id="39"/>
      <w:bookmarkEnd w:id="40"/>
      <w:bookmarkEnd w:id="41"/>
      <w:bookmarkEnd w:id="42"/>
    </w:p>
    <w:p w:rsidR="009A3B4A" w:rsidRDefault="00FF6F29" w:rsidP="00B61853">
      <w:r>
        <w:t>The</w:t>
      </w:r>
      <w:r w:rsidR="009A3B4A">
        <w:t xml:space="preserve"> 21</w:t>
      </w:r>
      <w:r w:rsidR="009A3B4A" w:rsidRPr="00021352">
        <w:rPr>
          <w:vertAlign w:val="superscript"/>
        </w:rPr>
        <w:t>st</w:t>
      </w:r>
      <w:r w:rsidR="009A3B4A">
        <w:t xml:space="preserve"> CCLC state coordinator interviews avoid</w:t>
      </w:r>
      <w:r w:rsidR="009A3B4A" w:rsidRPr="00861B86">
        <w:t xml:space="preserve"> unnecessary collection of information from multiple sources. </w:t>
      </w:r>
      <w:r w:rsidR="009A3B4A" w:rsidRPr="00EB0E26">
        <w:t>For example, the study will obtain preliminary information about</w:t>
      </w:r>
      <w:r>
        <w:t xml:space="preserve"> state</w:t>
      </w:r>
      <w:r w:rsidR="009A3B4A" w:rsidRPr="00EB0E26">
        <w:t xml:space="preserve"> </w:t>
      </w:r>
      <w:r w:rsidR="009A3B4A">
        <w:t>ELT programs</w:t>
      </w:r>
      <w:r w:rsidR="009A3B4A" w:rsidRPr="00EB0E26">
        <w:t xml:space="preserve"> from </w:t>
      </w:r>
      <w:r w:rsidR="009A3B4A">
        <w:t xml:space="preserve">state </w:t>
      </w:r>
      <w:r>
        <w:t>RFPs, state and</w:t>
      </w:r>
      <w:r w:rsidR="009A3B4A">
        <w:t xml:space="preserve"> district websites</w:t>
      </w:r>
      <w:r>
        <w:t>,</w:t>
      </w:r>
      <w:r w:rsidR="009A3B4A">
        <w:t xml:space="preserve"> and grant applications</w:t>
      </w:r>
      <w:r>
        <w:t xml:space="preserve">, </w:t>
      </w:r>
      <w:r w:rsidR="006146F7">
        <w:t>if</w:t>
      </w:r>
      <w:r>
        <w:t xml:space="preserve"> available</w:t>
      </w:r>
      <w:r w:rsidR="009A3B4A">
        <w:t xml:space="preserve">. </w:t>
      </w:r>
    </w:p>
    <w:p w:rsidR="009A3B4A" w:rsidRDefault="009A3B4A" w:rsidP="00B61853">
      <w:r w:rsidRPr="00BA6F2F">
        <w:t xml:space="preserve">No other national study has been conducted </w:t>
      </w:r>
      <w:r>
        <w:t>(</w:t>
      </w:r>
      <w:r w:rsidRPr="00BA6F2F">
        <w:t>or is underway</w:t>
      </w:r>
      <w:r>
        <w:t>)</w:t>
      </w:r>
      <w:r w:rsidRPr="00BA6F2F">
        <w:t xml:space="preserve"> </w:t>
      </w:r>
      <w:r>
        <w:t xml:space="preserve">to </w:t>
      </w:r>
      <w:r w:rsidRPr="00BA6F2F">
        <w:t xml:space="preserve">address the research questions </w:t>
      </w:r>
      <w:r>
        <w:t xml:space="preserve">included in </w:t>
      </w:r>
      <w:r w:rsidRPr="00BA6F2F">
        <w:t>this study.</w:t>
      </w:r>
      <w:r>
        <w:t xml:space="preserve"> </w:t>
      </w:r>
      <w:r w:rsidR="00664076">
        <w:t xml:space="preserve"> </w:t>
      </w:r>
      <w:r w:rsidR="002D76C5">
        <w:t xml:space="preserve">The </w:t>
      </w:r>
      <w:r w:rsidR="00664076">
        <w:t xml:space="preserve">Policy and Program Studies Service (PPSS) </w:t>
      </w:r>
      <w:r w:rsidR="005560E8">
        <w:t>has recently completed data collection for a</w:t>
      </w:r>
      <w:r w:rsidR="007D49A7">
        <w:t xml:space="preserve"> study of 21</w:t>
      </w:r>
      <w:r w:rsidR="007D49A7" w:rsidRPr="00385E47">
        <w:rPr>
          <w:vertAlign w:val="superscript"/>
        </w:rPr>
        <w:t>st</w:t>
      </w:r>
      <w:r w:rsidR="007D49A7">
        <w:t xml:space="preserve"> CCLC sta</w:t>
      </w:r>
      <w:r w:rsidR="005560E8">
        <w:t>te competitions.  The PPSS study</w:t>
      </w:r>
      <w:r w:rsidR="007D49A7">
        <w:t xml:space="preserve"> includes case studies of nine states (some of which have the optional ESEA </w:t>
      </w:r>
      <w:r w:rsidR="004A77D6">
        <w:t xml:space="preserve">Flexibility </w:t>
      </w:r>
      <w:r w:rsidR="007D49A7">
        <w:t>to use 21</w:t>
      </w:r>
      <w:r w:rsidR="007D49A7" w:rsidRPr="00385E47">
        <w:rPr>
          <w:vertAlign w:val="superscript"/>
        </w:rPr>
        <w:t>st</w:t>
      </w:r>
      <w:r w:rsidR="007D49A7">
        <w:t xml:space="preserve"> CCLC funds </w:t>
      </w:r>
      <w:r w:rsidR="002D76C5">
        <w:t>to support</w:t>
      </w:r>
      <w:r w:rsidR="007D49A7">
        <w:t xml:space="preserve"> ELT and some of which do not) and nine districts within those states.  </w:t>
      </w:r>
      <w:r w:rsidR="005560E8">
        <w:t>However, the timing of the PPSS data collection did not allow for inclusion of information about the upcoming 21</w:t>
      </w:r>
      <w:r w:rsidR="005560E8" w:rsidRPr="00385E47">
        <w:rPr>
          <w:vertAlign w:val="superscript"/>
        </w:rPr>
        <w:t>st</w:t>
      </w:r>
      <w:r w:rsidR="005560E8">
        <w:t xml:space="preserve"> CCLC competitions in most states since </w:t>
      </w:r>
      <w:r w:rsidR="00900DF7">
        <w:t>s</w:t>
      </w:r>
      <w:r w:rsidR="005560E8">
        <w:t xml:space="preserve">pring 2013 is the first opportunity for most </w:t>
      </w:r>
      <w:r w:rsidR="00C21206">
        <w:t>states</w:t>
      </w:r>
      <w:r w:rsidR="005560E8">
        <w:t xml:space="preserve"> to incorporate ELT into their 21</w:t>
      </w:r>
      <w:r w:rsidR="005560E8" w:rsidRPr="00385E47">
        <w:rPr>
          <w:vertAlign w:val="superscript"/>
        </w:rPr>
        <w:t>st</w:t>
      </w:r>
      <w:r w:rsidR="005560E8">
        <w:t xml:space="preserve"> CCLC competitions</w:t>
      </w:r>
      <w:r w:rsidR="002D76C5">
        <w:t xml:space="preserve">.  </w:t>
      </w:r>
      <w:r w:rsidR="005560E8">
        <w:t>The IES study of ELT</w:t>
      </w:r>
      <w:r w:rsidR="007D49A7">
        <w:t xml:space="preserve"> will include all states which receive the optional ESEA </w:t>
      </w:r>
      <w:r w:rsidR="004A77D6">
        <w:t xml:space="preserve">Flexibility </w:t>
      </w:r>
      <w:r w:rsidR="002D76C5">
        <w:t>to use 21</w:t>
      </w:r>
      <w:r w:rsidR="002D76C5" w:rsidRPr="00385E47">
        <w:rPr>
          <w:vertAlign w:val="superscript"/>
        </w:rPr>
        <w:t>st</w:t>
      </w:r>
      <w:r w:rsidR="002D76C5">
        <w:t xml:space="preserve"> CCLC funds to support ELT </w:t>
      </w:r>
      <w:r w:rsidR="007D49A7">
        <w:t xml:space="preserve">and will </w:t>
      </w:r>
      <w:r w:rsidR="005560E8">
        <w:t>collect</w:t>
      </w:r>
      <w:r w:rsidR="007D49A7">
        <w:t xml:space="preserve"> in-depth </w:t>
      </w:r>
      <w:r w:rsidR="005560E8">
        <w:t>information about the</w:t>
      </w:r>
      <w:r w:rsidR="007D49A7">
        <w:t xml:space="preserve"> ELT </w:t>
      </w:r>
      <w:r w:rsidR="005560E8" w:rsidRPr="005560E8">
        <w:t xml:space="preserve">aspect </w:t>
      </w:r>
      <w:r w:rsidR="002D76C5" w:rsidRPr="006854CA">
        <w:t xml:space="preserve">of </w:t>
      </w:r>
      <w:r w:rsidR="005560E8" w:rsidRPr="00385E47">
        <w:t xml:space="preserve">their </w:t>
      </w:r>
      <w:r w:rsidR="00234481" w:rsidRPr="005560E8">
        <w:t>21</w:t>
      </w:r>
      <w:r w:rsidR="00234481" w:rsidRPr="00385E47">
        <w:rPr>
          <w:vertAlign w:val="superscript"/>
        </w:rPr>
        <w:t>st</w:t>
      </w:r>
      <w:r w:rsidR="00234481" w:rsidRPr="005560E8">
        <w:t xml:space="preserve"> CCLC state </w:t>
      </w:r>
      <w:r w:rsidR="002D76C5" w:rsidRPr="006854CA">
        <w:t>competitions</w:t>
      </w:r>
      <w:r w:rsidR="00234481" w:rsidRPr="006854CA">
        <w:t>.</w:t>
      </w:r>
      <w:r w:rsidR="007D49A7">
        <w:t xml:space="preserve">  </w:t>
      </w:r>
    </w:p>
    <w:p w:rsidR="009A3B4A" w:rsidRPr="00C57536" w:rsidRDefault="009A3B4A" w:rsidP="00B61853">
      <w:pPr>
        <w:pStyle w:val="Heading3"/>
        <w:spacing w:after="0" w:line="480" w:lineRule="auto"/>
      </w:pPr>
      <w:bookmarkStart w:id="43" w:name="_Toc256354805"/>
      <w:bookmarkStart w:id="44" w:name="_Toc256354834"/>
      <w:bookmarkStart w:id="45" w:name="_Toc339354910"/>
      <w:bookmarkStart w:id="46" w:name="_Toc345502310"/>
      <w:r w:rsidRPr="00C57536">
        <w:t>5.</w:t>
      </w:r>
      <w:r w:rsidRPr="00C57536">
        <w:tab/>
        <w:t>Methods to Minimize Burden on Small Entities</w:t>
      </w:r>
      <w:bookmarkEnd w:id="43"/>
      <w:bookmarkEnd w:id="44"/>
      <w:bookmarkEnd w:id="45"/>
      <w:bookmarkEnd w:id="46"/>
    </w:p>
    <w:p w:rsidR="009A3B4A" w:rsidRPr="00861B86" w:rsidRDefault="009A3B4A" w:rsidP="00B61853">
      <w:r w:rsidRPr="00861B86">
        <w:t xml:space="preserve">The entities for the study are </w:t>
      </w:r>
      <w:r w:rsidR="00B72BB3">
        <w:t xml:space="preserve"> 21</w:t>
      </w:r>
      <w:r w:rsidR="00C34F4D" w:rsidRPr="00664076">
        <w:rPr>
          <w:vertAlign w:val="superscript"/>
        </w:rPr>
        <w:t>st</w:t>
      </w:r>
      <w:r w:rsidR="00B72BB3">
        <w:t xml:space="preserve"> CCLC </w:t>
      </w:r>
      <w:r w:rsidR="000102CE">
        <w:t>state coordinators</w:t>
      </w:r>
      <w:r w:rsidRPr="00861B86">
        <w:t xml:space="preserve">. Burden is minimized for all respondents by requesting only the minimum data required to meet study objectives. </w:t>
      </w:r>
    </w:p>
    <w:p w:rsidR="009A3B4A" w:rsidRPr="00C57536" w:rsidRDefault="009A3B4A" w:rsidP="00B61853">
      <w:pPr>
        <w:pStyle w:val="Heading3"/>
        <w:spacing w:after="0" w:line="480" w:lineRule="auto"/>
      </w:pPr>
      <w:bookmarkStart w:id="47" w:name="_Toc256354806"/>
      <w:bookmarkStart w:id="48" w:name="_Toc256354835"/>
      <w:bookmarkStart w:id="49" w:name="_Toc339354911"/>
      <w:bookmarkStart w:id="50" w:name="_Toc345502311"/>
      <w:r w:rsidRPr="00C57536">
        <w:lastRenderedPageBreak/>
        <w:t>6.</w:t>
      </w:r>
      <w:r w:rsidRPr="00C57536">
        <w:tab/>
        <w:t>Consequences of Not Collecting Data</w:t>
      </w:r>
      <w:bookmarkEnd w:id="47"/>
      <w:bookmarkEnd w:id="48"/>
      <w:bookmarkEnd w:id="49"/>
      <w:bookmarkEnd w:id="50"/>
    </w:p>
    <w:p w:rsidR="009A3B4A" w:rsidRPr="00861B86" w:rsidRDefault="009A3B4A" w:rsidP="00B61853">
      <w:r w:rsidRPr="00861B86">
        <w:t xml:space="preserve">The </w:t>
      </w:r>
      <w:r>
        <w:t>interviews with 21</w:t>
      </w:r>
      <w:r w:rsidRPr="00021352">
        <w:rPr>
          <w:vertAlign w:val="superscript"/>
        </w:rPr>
        <w:t>st</w:t>
      </w:r>
      <w:r>
        <w:t xml:space="preserve"> CCLC state coordinators</w:t>
      </w:r>
      <w:r w:rsidR="000102CE">
        <w:t xml:space="preserve"> </w:t>
      </w:r>
      <w:r w:rsidR="00664076">
        <w:t xml:space="preserve">are </w:t>
      </w:r>
      <w:r w:rsidRPr="00861B86">
        <w:t xml:space="preserve">necessary </w:t>
      </w:r>
      <w:r w:rsidR="000102CE">
        <w:t xml:space="preserve">to produce the State ELT Plans Report. This report will provide important information for ED, policymakers and </w:t>
      </w:r>
      <w:r w:rsidR="002B71FC">
        <w:t>practitioners</w:t>
      </w:r>
      <w:r w:rsidR="000102CE">
        <w:t xml:space="preserve"> on the use of 21</w:t>
      </w:r>
      <w:r w:rsidR="00C34F4D" w:rsidRPr="00664076">
        <w:rPr>
          <w:vertAlign w:val="superscript"/>
        </w:rPr>
        <w:t>st</w:t>
      </w:r>
      <w:r w:rsidR="000102CE">
        <w:t xml:space="preserve"> CCLC funds to support ELT</w:t>
      </w:r>
      <w:r w:rsidR="00B14021" w:rsidRPr="00B14021">
        <w:t xml:space="preserve"> </w:t>
      </w:r>
      <w:r w:rsidR="00B14021">
        <w:t>as well as information to guide potential future impact studies in this area</w:t>
      </w:r>
      <w:r w:rsidR="000102CE">
        <w:t xml:space="preserve">. </w:t>
      </w:r>
      <w:r w:rsidRPr="00021352">
        <w:t xml:space="preserve">Without the data collected </w:t>
      </w:r>
      <w:r w:rsidR="000102CE">
        <w:t>for</w:t>
      </w:r>
      <w:r w:rsidR="000102CE" w:rsidRPr="00021352">
        <w:t xml:space="preserve"> </w:t>
      </w:r>
      <w:r w:rsidRPr="00021352">
        <w:t xml:space="preserve">this </w:t>
      </w:r>
      <w:r w:rsidR="000102CE">
        <w:t>study</w:t>
      </w:r>
      <w:r w:rsidRPr="00021352">
        <w:t xml:space="preserve">, ED will </w:t>
      </w:r>
      <w:r w:rsidR="00B14021">
        <w:t xml:space="preserve">have less information to guide potential future evaluation efforts in this area and will </w:t>
      </w:r>
      <w:r w:rsidRPr="00021352">
        <w:t xml:space="preserve">not know </w:t>
      </w:r>
      <w:r w:rsidR="000102CE">
        <w:t>how</w:t>
      </w:r>
      <w:r w:rsidR="000102CE" w:rsidRPr="00021352">
        <w:t xml:space="preserve"> </w:t>
      </w:r>
      <w:r w:rsidRPr="00021352">
        <w:t xml:space="preserve">its investment in ELT, </w:t>
      </w:r>
      <w:r>
        <w:t>through 21</w:t>
      </w:r>
      <w:r w:rsidRPr="005662DE">
        <w:rPr>
          <w:vertAlign w:val="superscript"/>
        </w:rPr>
        <w:t>st</w:t>
      </w:r>
      <w:r>
        <w:t xml:space="preserve"> </w:t>
      </w:r>
      <w:r w:rsidRPr="00021352">
        <w:t xml:space="preserve">CCLC grants, </w:t>
      </w:r>
      <w:r w:rsidR="000102CE">
        <w:t>can help promote and support the adoption of ELT</w:t>
      </w:r>
      <w:r w:rsidR="006146F7">
        <w:t>.</w:t>
      </w:r>
    </w:p>
    <w:p w:rsidR="009A3B4A" w:rsidRPr="00C57536" w:rsidRDefault="009A3B4A" w:rsidP="00B61853">
      <w:pPr>
        <w:pStyle w:val="Heading3"/>
        <w:spacing w:after="0" w:line="480" w:lineRule="auto"/>
      </w:pPr>
      <w:bookmarkStart w:id="51" w:name="_Toc198100696"/>
      <w:bookmarkStart w:id="52" w:name="_Toc228592169"/>
      <w:bookmarkStart w:id="53" w:name="_Toc228593420"/>
      <w:bookmarkStart w:id="54" w:name="_Toc256354807"/>
      <w:bookmarkStart w:id="55" w:name="_Toc256354836"/>
      <w:bookmarkStart w:id="56" w:name="_Toc339354912"/>
      <w:bookmarkStart w:id="57" w:name="_Toc345502312"/>
      <w:r w:rsidRPr="00C57536">
        <w:t>7.</w:t>
      </w:r>
      <w:r w:rsidRPr="00C57536">
        <w:tab/>
        <w:t>Special Circumstances</w:t>
      </w:r>
      <w:bookmarkEnd w:id="51"/>
      <w:bookmarkEnd w:id="52"/>
      <w:bookmarkEnd w:id="53"/>
      <w:bookmarkEnd w:id="54"/>
      <w:bookmarkEnd w:id="55"/>
      <w:bookmarkEnd w:id="56"/>
      <w:bookmarkEnd w:id="57"/>
    </w:p>
    <w:p w:rsidR="009A3B4A" w:rsidRPr="00861B86" w:rsidRDefault="009A3B4A" w:rsidP="00B61853">
      <w:r w:rsidRPr="00861B86">
        <w:t>There are no special ci</w:t>
      </w:r>
      <w:r>
        <w:t>rcumstances associated with the school recruiting effort</w:t>
      </w:r>
      <w:r w:rsidRPr="00861B86">
        <w:t>.</w:t>
      </w:r>
    </w:p>
    <w:p w:rsidR="009A3B4A" w:rsidRPr="00861B86" w:rsidRDefault="009A3B4A" w:rsidP="00B61853">
      <w:pPr>
        <w:pStyle w:val="Heading3"/>
        <w:spacing w:after="0" w:line="480" w:lineRule="auto"/>
      </w:pPr>
      <w:bookmarkStart w:id="58" w:name="_Toc256354808"/>
      <w:bookmarkStart w:id="59" w:name="_Toc256354837"/>
      <w:bookmarkStart w:id="60" w:name="_Toc339354913"/>
      <w:bookmarkStart w:id="61" w:name="_Toc345502313"/>
      <w:r w:rsidRPr="00861B86">
        <w:t>8.</w:t>
      </w:r>
      <w:r w:rsidRPr="00861B86">
        <w:tab/>
      </w:r>
      <w:bookmarkStart w:id="62" w:name="_Toc198100697"/>
      <w:bookmarkStart w:id="63" w:name="_Toc228592170"/>
      <w:bookmarkStart w:id="64" w:name="_Toc228593421"/>
      <w:r w:rsidRPr="00861B86">
        <w:rPr>
          <w:i/>
        </w:rPr>
        <w:t xml:space="preserve">Federal </w:t>
      </w:r>
      <w:r w:rsidRPr="00E46CE6">
        <w:rPr>
          <w:i/>
        </w:rPr>
        <w:t>Register</w:t>
      </w:r>
      <w:r w:rsidRPr="00861B86">
        <w:t xml:space="preserve"> Announcement and Consultation</w:t>
      </w:r>
      <w:bookmarkEnd w:id="58"/>
      <w:bookmarkEnd w:id="59"/>
      <w:bookmarkEnd w:id="60"/>
      <w:bookmarkEnd w:id="61"/>
      <w:bookmarkEnd w:id="62"/>
      <w:bookmarkEnd w:id="63"/>
      <w:bookmarkEnd w:id="64"/>
    </w:p>
    <w:p w:rsidR="009A3B4A" w:rsidRPr="00C57536" w:rsidRDefault="009A3B4A" w:rsidP="00B61853">
      <w:pPr>
        <w:pStyle w:val="Heading4"/>
        <w:spacing w:after="0" w:line="480" w:lineRule="auto"/>
      </w:pPr>
      <w:r w:rsidRPr="00C57536">
        <w:t xml:space="preserve">a. </w:t>
      </w:r>
      <w:r w:rsidRPr="00C57536">
        <w:tab/>
      </w:r>
      <w:r w:rsidRPr="00C57536">
        <w:rPr>
          <w:i/>
        </w:rPr>
        <w:t>Federal Register</w:t>
      </w:r>
      <w:r w:rsidRPr="00C57536">
        <w:t xml:space="preserve"> Announcement</w:t>
      </w:r>
    </w:p>
    <w:p w:rsidR="009A3B4A" w:rsidRPr="00861B86" w:rsidRDefault="009A3B4A" w:rsidP="00B61853">
      <w:r w:rsidRPr="00861B86">
        <w:t xml:space="preserve">The 60-day notice to solicit public comments was published in </w:t>
      </w:r>
      <w:r w:rsidRPr="00C57536">
        <w:t xml:space="preserve">Volume </w:t>
      </w:r>
      <w:r w:rsidR="007E1657">
        <w:t>78, Number 18</w:t>
      </w:r>
      <w:r w:rsidRPr="00C57536">
        <w:t>, page</w:t>
      </w:r>
      <w:r w:rsidR="007E1657">
        <w:t>s</w:t>
      </w:r>
      <w:r w:rsidRPr="00C57536">
        <w:t xml:space="preserve"> </w:t>
      </w:r>
      <w:r w:rsidR="007E1657">
        <w:t>5793-5794</w:t>
      </w:r>
      <w:r w:rsidR="007E1657" w:rsidRPr="00C57536">
        <w:t xml:space="preserve"> </w:t>
      </w:r>
      <w:r w:rsidRPr="00C57536">
        <w:t xml:space="preserve">of the </w:t>
      </w:r>
      <w:r w:rsidRPr="00C57536">
        <w:rPr>
          <w:i/>
        </w:rPr>
        <w:t xml:space="preserve">Federal Register </w:t>
      </w:r>
      <w:r w:rsidRPr="00C57536">
        <w:t xml:space="preserve">on </w:t>
      </w:r>
      <w:r w:rsidR="007E1657">
        <w:t>January 28</w:t>
      </w:r>
      <w:r w:rsidRPr="00C57536">
        <w:t>, 20</w:t>
      </w:r>
      <w:r w:rsidR="007E1657">
        <w:t>13</w:t>
      </w:r>
      <w:r w:rsidRPr="00C57536">
        <w:t>.</w:t>
      </w:r>
      <w:r>
        <w:t xml:space="preserve"> </w:t>
      </w:r>
    </w:p>
    <w:p w:rsidR="009A3B4A" w:rsidRPr="00C57536" w:rsidRDefault="009A3B4A" w:rsidP="00B61853">
      <w:pPr>
        <w:pStyle w:val="Heading4"/>
        <w:spacing w:after="0" w:line="480" w:lineRule="auto"/>
      </w:pPr>
      <w:r w:rsidRPr="00C57536">
        <w:t xml:space="preserve">b. </w:t>
      </w:r>
      <w:r w:rsidRPr="00C57536">
        <w:tab/>
        <w:t>Consultations Outside of the Agency</w:t>
      </w:r>
    </w:p>
    <w:p w:rsidR="009A3B4A" w:rsidRPr="00861B86" w:rsidRDefault="007E1657" w:rsidP="00B61853">
      <w:r>
        <w:t xml:space="preserve">The interview protocol has been reviewed </w:t>
      </w:r>
      <w:r w:rsidR="00F8002A">
        <w:t>internally within ED</w:t>
      </w:r>
      <w:r>
        <w:t>.</w:t>
      </w:r>
    </w:p>
    <w:p w:rsidR="009A3B4A" w:rsidRPr="00C57536" w:rsidRDefault="009A3B4A" w:rsidP="00B61853">
      <w:pPr>
        <w:pStyle w:val="Heading4"/>
        <w:spacing w:after="0" w:line="480" w:lineRule="auto"/>
      </w:pPr>
      <w:r w:rsidRPr="00C57536">
        <w:t xml:space="preserve">c. </w:t>
      </w:r>
      <w:r w:rsidRPr="00C57536">
        <w:tab/>
        <w:t>Unresolved Issues</w:t>
      </w:r>
    </w:p>
    <w:p w:rsidR="009A3B4A" w:rsidRPr="00861B86" w:rsidRDefault="009A3B4A" w:rsidP="00B61853">
      <w:r w:rsidRPr="00861B86">
        <w:t>None.</w:t>
      </w:r>
    </w:p>
    <w:p w:rsidR="009A3B4A" w:rsidRPr="00C57536" w:rsidRDefault="009A3B4A" w:rsidP="00B61853">
      <w:pPr>
        <w:pStyle w:val="Heading3"/>
        <w:spacing w:after="0" w:line="480" w:lineRule="auto"/>
      </w:pPr>
      <w:bookmarkStart w:id="65" w:name="_Toc228592173"/>
      <w:bookmarkStart w:id="66" w:name="_Toc228593424"/>
      <w:bookmarkStart w:id="67" w:name="_Toc256354809"/>
      <w:bookmarkStart w:id="68" w:name="_Toc256354838"/>
      <w:bookmarkStart w:id="69" w:name="_Toc339354914"/>
      <w:bookmarkStart w:id="70" w:name="_Toc345502314"/>
      <w:r w:rsidRPr="00C57536">
        <w:t>9.</w:t>
      </w:r>
      <w:r w:rsidRPr="00C57536">
        <w:tab/>
        <w:t>Payments or Gifts</w:t>
      </w:r>
      <w:bookmarkEnd w:id="65"/>
      <w:bookmarkEnd w:id="66"/>
      <w:bookmarkEnd w:id="67"/>
      <w:bookmarkEnd w:id="68"/>
      <w:bookmarkEnd w:id="69"/>
      <w:bookmarkEnd w:id="70"/>
    </w:p>
    <w:p w:rsidR="009A3B4A" w:rsidRPr="00861B86" w:rsidRDefault="009A3B4A" w:rsidP="00B61853">
      <w:pPr>
        <w:rPr>
          <w:b/>
        </w:rPr>
      </w:pPr>
      <w:r w:rsidRPr="00861B86">
        <w:t xml:space="preserve">The study does not plan to give gifts to </w:t>
      </w:r>
      <w:r w:rsidR="006F54A4">
        <w:t>21</w:t>
      </w:r>
      <w:r w:rsidR="00C34F4D" w:rsidRPr="00664076">
        <w:rPr>
          <w:vertAlign w:val="superscript"/>
        </w:rPr>
        <w:t>st</w:t>
      </w:r>
      <w:r w:rsidR="006F54A4">
        <w:t xml:space="preserve"> CCLC state coordinators</w:t>
      </w:r>
      <w:r w:rsidR="006F54A4" w:rsidRPr="00861B86">
        <w:t xml:space="preserve"> </w:t>
      </w:r>
      <w:r w:rsidRPr="00861B86">
        <w:t xml:space="preserve">for participating in the </w:t>
      </w:r>
      <w:r w:rsidR="006F54A4">
        <w:t>interviews</w:t>
      </w:r>
      <w:r w:rsidRPr="00861B86">
        <w:t xml:space="preserve">. </w:t>
      </w:r>
    </w:p>
    <w:p w:rsidR="009A3B4A" w:rsidRPr="00C57536" w:rsidRDefault="00462044" w:rsidP="00B61853">
      <w:pPr>
        <w:pStyle w:val="Heading3"/>
        <w:spacing w:after="0" w:line="480" w:lineRule="auto"/>
      </w:pPr>
      <w:bookmarkStart w:id="71" w:name="_Toc256354810"/>
      <w:bookmarkStart w:id="72" w:name="_Toc256354839"/>
      <w:bookmarkStart w:id="73" w:name="_Toc339354915"/>
      <w:bookmarkStart w:id="74" w:name="_Toc345502315"/>
      <w:r w:rsidRPr="00621DCB">
        <w:t>10.</w:t>
      </w:r>
      <w:r w:rsidRPr="00621DCB">
        <w:tab/>
        <w:t>Assurances of Confidentiality</w:t>
      </w:r>
      <w:bookmarkEnd w:id="71"/>
      <w:bookmarkEnd w:id="72"/>
      <w:bookmarkEnd w:id="73"/>
      <w:bookmarkEnd w:id="74"/>
    </w:p>
    <w:p w:rsidR="009A3B4A" w:rsidRPr="00861B86" w:rsidRDefault="009A3B4A" w:rsidP="00067554">
      <w:r>
        <w:t>The interviews with the 21</w:t>
      </w:r>
      <w:r w:rsidRPr="0081226B">
        <w:rPr>
          <w:vertAlign w:val="superscript"/>
        </w:rPr>
        <w:t>st</w:t>
      </w:r>
      <w:r>
        <w:t xml:space="preserve"> CCLC state coordinators </w:t>
      </w:r>
      <w:r w:rsidRPr="00861B86">
        <w:t xml:space="preserve">will be conducted in accordance with all relevant regulations and requirements. These include the Education Sciences Institute Reform Act of 2002, Title I, Part E, Section 183, that requires “[a]ll collection, maintenance, use, and wide dissemination of data by the Institute … to conform with the requirements of section 552 of Title 5, </w:t>
      </w:r>
      <w:r w:rsidRPr="00861B86">
        <w:lastRenderedPageBreak/>
        <w:t xml:space="preserve">United States Code, the confidentiality standards of subsections (c) of this section, and </w:t>
      </w:r>
      <w:r>
        <w:t>S</w:t>
      </w:r>
      <w:r w:rsidRPr="00861B86">
        <w:t xml:space="preserve">ections 444 and 445 of the General Education Provisions Act (20 U.S.C. 1232 g, 1232h).” These citations refer to the Privacy Act, the Family Education Rights and Privacy Act, and the Protection of Pupil Rights Amendment. </w:t>
      </w:r>
      <w:r w:rsidR="00067554">
        <w:t>The study will also adhere to requirements of subsection  (d) of section 183 prohibiting disclosure of individually identifiable information as well as making the publishing or inappropriate communication of individually identifiable information by employees or staff a felony</w:t>
      </w:r>
      <w:r w:rsidR="00067554" w:rsidRPr="00CA1CD5">
        <w:t>.</w:t>
      </w:r>
    </w:p>
    <w:p w:rsidR="00845216" w:rsidRDefault="009A3B4A" w:rsidP="00061286">
      <w:r w:rsidRPr="00CA1CD5">
        <w:t>All members of the study te</w:t>
      </w:r>
      <w:r w:rsidRPr="00861B86">
        <w:t xml:space="preserve">am </w:t>
      </w:r>
      <w:r>
        <w:t>with</w:t>
      </w:r>
      <w:r w:rsidRPr="00861B86">
        <w:t xml:space="preserve"> access to the data will be trained and certified on the importance of confidentiality and data security. All data will be kept in secured locations and identifiers will be destroyed as soon as they are no longer required.</w:t>
      </w:r>
      <w:r w:rsidR="00061286">
        <w:t xml:space="preserve"> </w:t>
      </w:r>
    </w:p>
    <w:p w:rsidR="009A3B4A" w:rsidRPr="00861B86" w:rsidRDefault="009A3B4A" w:rsidP="00B61853">
      <w:r w:rsidRPr="00861B86">
        <w:t xml:space="preserve">The following safeguards are routinely employed by Mathematica to carry out confidentiality assurances during the study: </w:t>
      </w:r>
    </w:p>
    <w:p w:rsidR="009A3B4A" w:rsidRPr="00861B86" w:rsidRDefault="009A3B4A" w:rsidP="005D5286">
      <w:pPr>
        <w:pStyle w:val="BulletBlue"/>
      </w:pPr>
      <w:r w:rsidRPr="00861B86">
        <w:t xml:space="preserve">All Mathematica </w:t>
      </w:r>
      <w:r>
        <w:t xml:space="preserve">employees </w:t>
      </w:r>
      <w:r w:rsidRPr="00861B86">
        <w:t>sign a confidentiality pledge (</w:t>
      </w:r>
      <w:r w:rsidR="00462044" w:rsidRPr="001D196C">
        <w:t xml:space="preserve">Appendix </w:t>
      </w:r>
      <w:r w:rsidR="004F4663">
        <w:t>C</w:t>
      </w:r>
      <w:r w:rsidRPr="00861B86">
        <w:t>) emphasizing its importance and describing their obligation.</w:t>
      </w:r>
    </w:p>
    <w:p w:rsidR="009A3B4A" w:rsidRPr="00861B86" w:rsidRDefault="009A3B4A" w:rsidP="005D5286">
      <w:pPr>
        <w:pStyle w:val="BulletBlue"/>
      </w:pPr>
      <w:r w:rsidRPr="00861B86">
        <w:t>Identifying information is maintained on separate forms and files, which are linked only by sample identification number.</w:t>
      </w:r>
    </w:p>
    <w:p w:rsidR="009A3B4A" w:rsidRPr="00861B86" w:rsidRDefault="009A3B4A" w:rsidP="005D5286">
      <w:pPr>
        <w:pStyle w:val="BulletBlue"/>
      </w:pPr>
      <w:r w:rsidRPr="00861B86">
        <w:t>Access to hard copy documents is strictly limited. Documents are stored in locked files and cabinets. Discarded materials are shredded.</w:t>
      </w:r>
    </w:p>
    <w:p w:rsidR="009A3B4A" w:rsidRPr="00861B86" w:rsidRDefault="009A3B4A" w:rsidP="005D5286">
      <w:pPr>
        <w:pStyle w:val="BulletBlue"/>
      </w:pPr>
      <w:r w:rsidRPr="00861B86">
        <w:t xml:space="preserve">Computer data files are protected with passwords and access is limited to specific users. </w:t>
      </w:r>
    </w:p>
    <w:p w:rsidR="009A3B4A" w:rsidRDefault="009A3B4A" w:rsidP="005D5286">
      <w:pPr>
        <w:pStyle w:val="BulletBlueLastSS"/>
      </w:pPr>
      <w:r w:rsidRPr="00861B86">
        <w:t>Especially sensitive data are maintained on removable storage devices that are kept physically secure when not in use.</w:t>
      </w:r>
    </w:p>
    <w:p w:rsidR="009A3B4A" w:rsidRPr="00FC2B2D" w:rsidRDefault="009A3B4A" w:rsidP="00B61853">
      <w:pPr>
        <w:pStyle w:val="NormalSS"/>
        <w:rPr>
          <w:sz w:val="6"/>
        </w:rPr>
      </w:pPr>
    </w:p>
    <w:p w:rsidR="009A3B4A" w:rsidRPr="00C57536" w:rsidRDefault="009A3B4A" w:rsidP="00B61853">
      <w:pPr>
        <w:pStyle w:val="Heading3"/>
        <w:spacing w:after="0" w:line="480" w:lineRule="auto"/>
      </w:pPr>
      <w:bookmarkStart w:id="75" w:name="_Toc198100703"/>
      <w:bookmarkStart w:id="76" w:name="_Toc228592174"/>
      <w:bookmarkStart w:id="77" w:name="_Toc228593426"/>
      <w:bookmarkStart w:id="78" w:name="_Toc256354811"/>
      <w:bookmarkStart w:id="79" w:name="_Toc256354840"/>
      <w:bookmarkStart w:id="80" w:name="_Toc339354916"/>
      <w:bookmarkStart w:id="81" w:name="_Toc345502316"/>
      <w:r w:rsidRPr="00C57536">
        <w:t>11.</w:t>
      </w:r>
      <w:r w:rsidRPr="00C57536">
        <w:tab/>
        <w:t>Additional Justification for Sensitive Questions</w:t>
      </w:r>
      <w:bookmarkEnd w:id="75"/>
      <w:bookmarkEnd w:id="76"/>
      <w:bookmarkEnd w:id="77"/>
      <w:bookmarkEnd w:id="78"/>
      <w:bookmarkEnd w:id="79"/>
      <w:bookmarkEnd w:id="80"/>
      <w:bookmarkEnd w:id="81"/>
    </w:p>
    <w:p w:rsidR="009A3B4A" w:rsidRPr="00861B86" w:rsidRDefault="009A3B4A" w:rsidP="00B61853">
      <w:r w:rsidRPr="00861B86">
        <w:t xml:space="preserve"> </w:t>
      </w:r>
      <w:r w:rsidR="001D7BDB">
        <w:t>T</w:t>
      </w:r>
      <w:r w:rsidRPr="00861B86">
        <w:t xml:space="preserve">he </w:t>
      </w:r>
      <w:r w:rsidR="001D7BDB">
        <w:t>state ELT protocol</w:t>
      </w:r>
      <w:r w:rsidRPr="00861B86">
        <w:t xml:space="preserve"> will </w:t>
      </w:r>
      <w:r w:rsidR="001D7BDB">
        <w:t xml:space="preserve">not </w:t>
      </w:r>
      <w:r w:rsidRPr="00861B86">
        <w:t xml:space="preserve">contain items considered to be of a sensitive nature. </w:t>
      </w:r>
    </w:p>
    <w:p w:rsidR="009A3B4A" w:rsidRPr="00C57536" w:rsidRDefault="009A3B4A" w:rsidP="00B61853">
      <w:pPr>
        <w:pStyle w:val="Heading3"/>
        <w:spacing w:after="0" w:line="480" w:lineRule="auto"/>
      </w:pPr>
      <w:bookmarkStart w:id="82" w:name="_Toc198100704"/>
      <w:bookmarkStart w:id="83" w:name="_Toc228592175"/>
      <w:bookmarkStart w:id="84" w:name="_Toc228593427"/>
      <w:bookmarkStart w:id="85" w:name="_Toc256354812"/>
      <w:bookmarkStart w:id="86" w:name="_Toc256354841"/>
      <w:bookmarkStart w:id="87" w:name="_Toc339354917"/>
      <w:bookmarkStart w:id="88" w:name="_Toc345502317"/>
      <w:bookmarkStart w:id="89" w:name="_Toc228592176"/>
      <w:bookmarkStart w:id="90" w:name="_Toc228593428"/>
      <w:bookmarkStart w:id="91" w:name="_Toc256354813"/>
      <w:bookmarkStart w:id="92" w:name="_Toc256354842"/>
      <w:r w:rsidRPr="00C57536">
        <w:t>12.</w:t>
      </w:r>
      <w:r w:rsidRPr="00C57536">
        <w:tab/>
        <w:t>Estimates of Hours Burden</w:t>
      </w:r>
      <w:bookmarkEnd w:id="82"/>
      <w:bookmarkEnd w:id="83"/>
      <w:bookmarkEnd w:id="84"/>
      <w:bookmarkEnd w:id="85"/>
      <w:bookmarkEnd w:id="86"/>
      <w:bookmarkEnd w:id="87"/>
      <w:bookmarkEnd w:id="88"/>
    </w:p>
    <w:p w:rsidR="00C47746" w:rsidRDefault="00621DCB" w:rsidP="00C47746">
      <w:r>
        <w:t>Currently</w:t>
      </w:r>
      <w:r w:rsidR="00C47746">
        <w:t xml:space="preserve">, 22 states have received the optional ESEA </w:t>
      </w:r>
      <w:r w:rsidR="004A77D6">
        <w:t xml:space="preserve">Flexibility </w:t>
      </w:r>
      <w:r w:rsidR="00C47746">
        <w:t>to use 21</w:t>
      </w:r>
      <w:r w:rsidR="00C34F4D" w:rsidRPr="00664076">
        <w:rPr>
          <w:vertAlign w:val="superscript"/>
        </w:rPr>
        <w:t>st</w:t>
      </w:r>
      <w:r w:rsidR="00C47746">
        <w:t xml:space="preserve"> CCLC funds to support ELT. We will conduct interviews with each of the 21</w:t>
      </w:r>
      <w:r w:rsidR="00C34F4D" w:rsidRPr="00664076">
        <w:rPr>
          <w:vertAlign w:val="superscript"/>
        </w:rPr>
        <w:t>st</w:t>
      </w:r>
      <w:r w:rsidR="00C47746">
        <w:t xml:space="preserve"> CCLC state coordinators in these states. </w:t>
      </w:r>
      <w:r w:rsidR="007E1657">
        <w:t xml:space="preserve">The interview and </w:t>
      </w:r>
      <w:r w:rsidR="00DB5CCD">
        <w:t>supplying</w:t>
      </w:r>
      <w:r w:rsidR="007E1657">
        <w:t xml:space="preserve"> of any relevant documents </w:t>
      </w:r>
      <w:r w:rsidR="00DB5CCD">
        <w:t>(e.g., 21</w:t>
      </w:r>
      <w:r w:rsidR="00DB5CCD" w:rsidRPr="00A67B1F">
        <w:rPr>
          <w:vertAlign w:val="superscript"/>
        </w:rPr>
        <w:t>st</w:t>
      </w:r>
      <w:r w:rsidR="00DB5CCD">
        <w:t xml:space="preserve"> CCLC grant competitions RFPs) </w:t>
      </w:r>
      <w:r w:rsidR="007E1657">
        <w:t xml:space="preserve">will take approximately one hour. </w:t>
      </w:r>
      <w:r w:rsidR="00C47746">
        <w:t>Therefore,</w:t>
      </w:r>
      <w:r w:rsidR="009A3B4A" w:rsidRPr="00861B86">
        <w:t xml:space="preserve"> the estimated burden </w:t>
      </w:r>
      <w:proofErr w:type="gramStart"/>
      <w:r w:rsidR="009A3B4A" w:rsidRPr="00861B86">
        <w:t>hours</w:t>
      </w:r>
      <w:r w:rsidR="009A3B4A">
        <w:t xml:space="preserve"> for </w:t>
      </w:r>
      <w:r w:rsidR="009A3B4A" w:rsidRPr="00861B86">
        <w:t>interviews</w:t>
      </w:r>
      <w:r w:rsidR="009A3B4A">
        <w:t xml:space="preserve"> with </w:t>
      </w:r>
      <w:r w:rsidR="009A3B4A">
        <w:lastRenderedPageBreak/>
        <w:t>the 21</w:t>
      </w:r>
      <w:r w:rsidR="009A3B4A" w:rsidRPr="00427325">
        <w:rPr>
          <w:vertAlign w:val="superscript"/>
        </w:rPr>
        <w:t>st</w:t>
      </w:r>
      <w:r w:rsidR="009A3B4A">
        <w:t xml:space="preserve"> CCLC coordinators</w:t>
      </w:r>
      <w:r w:rsidR="00C47746">
        <w:t xml:space="preserve"> </w:t>
      </w:r>
      <w:r w:rsidR="007E1657">
        <w:t xml:space="preserve">and </w:t>
      </w:r>
      <w:r w:rsidR="00DB5CCD">
        <w:t>providing</w:t>
      </w:r>
      <w:r w:rsidR="007E1657">
        <w:t xml:space="preserve"> of relevant documents </w:t>
      </w:r>
      <w:r w:rsidR="00C47746">
        <w:t>is</w:t>
      </w:r>
      <w:proofErr w:type="gramEnd"/>
      <w:r w:rsidR="00C47746">
        <w:t xml:space="preserve"> 22 hours, or approximately 7.3 hours</w:t>
      </w:r>
      <w:r w:rsidR="00170BA8">
        <w:t xml:space="preserve"> per </w:t>
      </w:r>
      <w:r w:rsidR="00C47746">
        <w:t>year for three years.</w:t>
      </w:r>
    </w:p>
    <w:p w:rsidR="009A3B4A" w:rsidRPr="00C57536" w:rsidRDefault="009A3B4A" w:rsidP="00B61853">
      <w:pPr>
        <w:pStyle w:val="Heading3"/>
        <w:spacing w:after="0" w:line="480" w:lineRule="auto"/>
      </w:pPr>
      <w:bookmarkStart w:id="93" w:name="_Toc339354918"/>
      <w:bookmarkStart w:id="94" w:name="_Toc345502318"/>
      <w:r w:rsidRPr="00C57536">
        <w:t>13.</w:t>
      </w:r>
      <w:r w:rsidRPr="00C57536">
        <w:tab/>
        <w:t xml:space="preserve">Estimates of </w:t>
      </w:r>
      <w:bookmarkEnd w:id="89"/>
      <w:bookmarkEnd w:id="90"/>
      <w:r w:rsidRPr="00C57536">
        <w:t>Cost Burden to Respondents</w:t>
      </w:r>
      <w:bookmarkEnd w:id="91"/>
      <w:bookmarkEnd w:id="92"/>
      <w:bookmarkEnd w:id="93"/>
      <w:bookmarkEnd w:id="94"/>
    </w:p>
    <w:p w:rsidR="009A3B4A" w:rsidRDefault="009A3B4A" w:rsidP="00B61853">
      <w:r w:rsidRPr="00861B86">
        <w:t>There are no start-up costs for respondents.</w:t>
      </w:r>
    </w:p>
    <w:p w:rsidR="009A3B4A" w:rsidRPr="00C57536" w:rsidRDefault="009A3B4A" w:rsidP="00B61853">
      <w:pPr>
        <w:pStyle w:val="Heading3"/>
        <w:spacing w:after="0" w:line="480" w:lineRule="auto"/>
      </w:pPr>
      <w:bookmarkStart w:id="95" w:name="_Toc198100706"/>
      <w:bookmarkStart w:id="96" w:name="_Toc228592177"/>
      <w:bookmarkStart w:id="97" w:name="_Toc228593429"/>
      <w:bookmarkStart w:id="98" w:name="_Toc256354814"/>
      <w:bookmarkStart w:id="99" w:name="_Toc256354843"/>
      <w:bookmarkStart w:id="100" w:name="_Toc339354919"/>
      <w:bookmarkStart w:id="101" w:name="_Toc345502319"/>
      <w:r w:rsidRPr="00C57536">
        <w:t>14.</w:t>
      </w:r>
      <w:r w:rsidRPr="00C57536">
        <w:tab/>
        <w:t>Estimates of Annual Costs to the Federal Government</w:t>
      </w:r>
      <w:bookmarkEnd w:id="95"/>
      <w:bookmarkEnd w:id="96"/>
      <w:bookmarkEnd w:id="97"/>
      <w:bookmarkEnd w:id="98"/>
      <w:bookmarkEnd w:id="99"/>
      <w:bookmarkEnd w:id="100"/>
      <w:bookmarkEnd w:id="101"/>
    </w:p>
    <w:p w:rsidR="009A3B4A" w:rsidRPr="00861B86" w:rsidRDefault="009A3B4A" w:rsidP="00B61853">
      <w:pPr>
        <w:jc w:val="left"/>
      </w:pPr>
      <w:r w:rsidRPr="00F04B67">
        <w:t xml:space="preserve">The total cost to the Federal government of carrying out this study is </w:t>
      </w:r>
      <w:r w:rsidR="00DB2AD7" w:rsidRPr="00767A7C">
        <w:t>$1,</w:t>
      </w:r>
      <w:r w:rsidR="00767A7C" w:rsidRPr="00767A7C">
        <w:t>720</w:t>
      </w:r>
      <w:r w:rsidR="00767A7C">
        <w:t>,373</w:t>
      </w:r>
      <w:r w:rsidRPr="00F04B67">
        <w:t xml:space="preserve">, to be expended over </w:t>
      </w:r>
      <w:r>
        <w:t xml:space="preserve">the study period of </w:t>
      </w:r>
      <w:r w:rsidR="00364422">
        <w:t>thirteen months</w:t>
      </w:r>
      <w:r>
        <w:t xml:space="preserve">.  </w:t>
      </w:r>
    </w:p>
    <w:p w:rsidR="009A3B4A" w:rsidRPr="00C57536" w:rsidRDefault="009A3B4A" w:rsidP="00B61853">
      <w:pPr>
        <w:pStyle w:val="Heading3"/>
        <w:spacing w:after="0" w:line="480" w:lineRule="auto"/>
      </w:pPr>
      <w:bookmarkStart w:id="102" w:name="_Toc256354815"/>
      <w:bookmarkStart w:id="103" w:name="_Toc256354844"/>
      <w:bookmarkStart w:id="104" w:name="_Toc339354920"/>
      <w:bookmarkStart w:id="105" w:name="_Toc345502320"/>
      <w:r w:rsidRPr="00C57536">
        <w:t>15.</w:t>
      </w:r>
      <w:r w:rsidRPr="00C57536">
        <w:tab/>
        <w:t>Reasons for Program Changes or Adjustments</w:t>
      </w:r>
      <w:bookmarkEnd w:id="102"/>
      <w:bookmarkEnd w:id="103"/>
      <w:bookmarkEnd w:id="104"/>
      <w:bookmarkEnd w:id="105"/>
    </w:p>
    <w:p w:rsidR="009A3B4A" w:rsidRPr="00917356" w:rsidRDefault="009A3B4A" w:rsidP="00B61853">
      <w:pPr>
        <w:rPr>
          <w:b/>
        </w:rPr>
      </w:pPr>
      <w:bookmarkStart w:id="106" w:name="_Toc256354816"/>
      <w:bookmarkStart w:id="107" w:name="_Toc256354845"/>
      <w:r>
        <w:t>This is a new data collection.</w:t>
      </w:r>
    </w:p>
    <w:p w:rsidR="009A3B4A" w:rsidRPr="00C57536" w:rsidRDefault="00DB2AD7" w:rsidP="00B61853">
      <w:pPr>
        <w:pStyle w:val="Heading3"/>
        <w:spacing w:after="0" w:line="480" w:lineRule="auto"/>
      </w:pPr>
      <w:bookmarkStart w:id="108" w:name="_Toc339354921"/>
      <w:bookmarkStart w:id="109" w:name="_Toc345502321"/>
      <w:r w:rsidRPr="006D447F">
        <w:t>16.</w:t>
      </w:r>
      <w:r w:rsidRPr="006D447F">
        <w:tab/>
        <w:t>Plan for Tabulation and Publication of Results</w:t>
      </w:r>
      <w:bookmarkEnd w:id="106"/>
      <w:bookmarkEnd w:id="107"/>
      <w:bookmarkEnd w:id="108"/>
      <w:bookmarkEnd w:id="109"/>
    </w:p>
    <w:p w:rsidR="009A3B4A" w:rsidRDefault="009A3B4A" w:rsidP="00B61853">
      <w:r w:rsidRPr="001B3220">
        <w:t xml:space="preserve">We will prepare </w:t>
      </w:r>
      <w:r w:rsidR="00192770">
        <w:t>a</w:t>
      </w:r>
      <w:r>
        <w:t xml:space="preserve"> </w:t>
      </w:r>
      <w:r w:rsidRPr="001B3220">
        <w:t>State ELT Plans</w:t>
      </w:r>
      <w:r>
        <w:t xml:space="preserve"> Report that </w:t>
      </w:r>
      <w:r w:rsidRPr="001B3220">
        <w:t>will document all 21</w:t>
      </w:r>
      <w:r w:rsidRPr="001B3220">
        <w:rPr>
          <w:vertAlign w:val="superscript"/>
        </w:rPr>
        <w:t>st</w:t>
      </w:r>
      <w:r w:rsidRPr="001B3220">
        <w:t xml:space="preserve"> CCLC</w:t>
      </w:r>
      <w:r>
        <w:t xml:space="preserve"> </w:t>
      </w:r>
      <w:r w:rsidR="004A77D6">
        <w:t xml:space="preserve">Flexibility </w:t>
      </w:r>
      <w:r>
        <w:t xml:space="preserve">states’ plans for ELT by providing a </w:t>
      </w:r>
      <w:r w:rsidRPr="001B3220">
        <w:t>description of the range of ELT policies and their implementation</w:t>
      </w:r>
      <w:r>
        <w:t xml:space="preserve">. The projected release date for this report is </w:t>
      </w:r>
      <w:r w:rsidR="00900DF7">
        <w:t>w</w:t>
      </w:r>
      <w:r w:rsidR="001C675D">
        <w:t>inter 2014</w:t>
      </w:r>
      <w:r>
        <w:t>.</w:t>
      </w:r>
      <w:r w:rsidRPr="001B3220">
        <w:t xml:space="preserve">  </w:t>
      </w:r>
    </w:p>
    <w:p w:rsidR="001A0053" w:rsidRDefault="00802044" w:rsidP="00B61853">
      <w:r>
        <w:t>T</w:t>
      </w:r>
      <w:r w:rsidR="001A0053">
        <w:t>he</w:t>
      </w:r>
      <w:r>
        <w:t xml:space="preserve"> State ELT Plans Report will </w:t>
      </w:r>
      <w:r w:rsidR="001A0053">
        <w:t xml:space="preserve">present findings from interviews with </w:t>
      </w:r>
      <w:r>
        <w:t xml:space="preserve">information to states and the federal government on states’ use of the ESEA </w:t>
      </w:r>
      <w:proofErr w:type="spellStart"/>
      <w:r w:rsidR="004A77D6">
        <w:t>Flexiblity</w:t>
      </w:r>
      <w:proofErr w:type="spellEnd"/>
      <w:r w:rsidR="004A77D6">
        <w:t xml:space="preserve"> </w:t>
      </w:r>
      <w:r>
        <w:t>to use 21</w:t>
      </w:r>
      <w:r w:rsidRPr="00E75269">
        <w:rPr>
          <w:vertAlign w:val="superscript"/>
        </w:rPr>
        <w:t>st</w:t>
      </w:r>
      <w:r w:rsidR="00061286">
        <w:t xml:space="preserve"> CCLC funds.  The report will address how states plan to use 21</w:t>
      </w:r>
      <w:r w:rsidR="00C34F4D" w:rsidRPr="00664076">
        <w:rPr>
          <w:vertAlign w:val="superscript"/>
        </w:rPr>
        <w:t>st</w:t>
      </w:r>
      <w:r w:rsidR="00061286">
        <w:t xml:space="preserve"> CCLC funds to support ELT, how they define ELT, as well as the process for awarding and monitoring the use of funds.  </w:t>
      </w:r>
      <w:r>
        <w:t>The report will also describe the features of the ELT programs adopted, the challenges that states have encountered, and the strategies used to meet those challenges.</w:t>
      </w:r>
      <w:r w:rsidR="00A45AAF">
        <w:t xml:space="preserve"> In presenting results from the State ELT interviews, we will tabulate the number of states falling into different categories with respect to these topics or, where appropriate, the mean values of particular characteristics across responding states.</w:t>
      </w:r>
    </w:p>
    <w:p w:rsidR="009A3B4A" w:rsidRPr="00861B86" w:rsidRDefault="00192770" w:rsidP="00B61853">
      <w:r>
        <w:t>The r</w:t>
      </w:r>
      <w:r w:rsidR="009A3B4A" w:rsidRPr="003D3951">
        <w:t>eport will be written in a style and format accessible to policymakers and practitioners</w:t>
      </w:r>
      <w:r w:rsidR="009A3B4A">
        <w:t>,</w:t>
      </w:r>
      <w:r w:rsidR="009A3B4A" w:rsidRPr="003D3951">
        <w:t xml:space="preserve"> and will comply fully with the standards set by the National Center for Education Statistics (NCES).</w:t>
      </w:r>
    </w:p>
    <w:p w:rsidR="009A3B4A" w:rsidRPr="00BE7AA4" w:rsidRDefault="009A3B4A" w:rsidP="00D408D1">
      <w:pPr>
        <w:pStyle w:val="Heading3"/>
      </w:pPr>
      <w:bookmarkStart w:id="110" w:name="_Toc256354817"/>
      <w:bookmarkStart w:id="111" w:name="_Toc256354846"/>
      <w:bookmarkStart w:id="112" w:name="_Toc339354922"/>
      <w:bookmarkStart w:id="113" w:name="_Toc345502322"/>
      <w:r w:rsidRPr="00BE7AA4">
        <w:t>17.</w:t>
      </w:r>
      <w:r w:rsidRPr="00BE7AA4">
        <w:tab/>
      </w:r>
      <w:r w:rsidRPr="00D408D1">
        <w:t>Approval</w:t>
      </w:r>
      <w:r w:rsidRPr="00BE7AA4">
        <w:t xml:space="preserve"> Not to Display the OMB Expiration Date</w:t>
      </w:r>
      <w:bookmarkEnd w:id="110"/>
      <w:bookmarkEnd w:id="111"/>
      <w:bookmarkEnd w:id="112"/>
      <w:bookmarkEnd w:id="113"/>
    </w:p>
    <w:p w:rsidR="009A3B4A" w:rsidRPr="00861B86" w:rsidRDefault="009A3B4A" w:rsidP="00B61853">
      <w:r w:rsidRPr="00861B86">
        <w:t>The study will display the OMB expiration date.</w:t>
      </w:r>
    </w:p>
    <w:p w:rsidR="009A3B4A" w:rsidRPr="00BE7AA4" w:rsidRDefault="009A3B4A" w:rsidP="00B61853">
      <w:pPr>
        <w:pStyle w:val="Heading3"/>
        <w:spacing w:after="0" w:line="480" w:lineRule="auto"/>
      </w:pPr>
      <w:bookmarkStart w:id="114" w:name="_Toc256354818"/>
      <w:bookmarkStart w:id="115" w:name="_Toc256354847"/>
      <w:bookmarkStart w:id="116" w:name="_Toc339354923"/>
      <w:bookmarkStart w:id="117" w:name="_Toc345502323"/>
      <w:r w:rsidRPr="00BE7AA4">
        <w:lastRenderedPageBreak/>
        <w:t>18.</w:t>
      </w:r>
      <w:r w:rsidRPr="00BE7AA4">
        <w:tab/>
        <w:t>Explanation of Exceptions</w:t>
      </w:r>
      <w:bookmarkEnd w:id="114"/>
      <w:bookmarkEnd w:id="115"/>
      <w:bookmarkEnd w:id="116"/>
      <w:bookmarkEnd w:id="117"/>
    </w:p>
    <w:p w:rsidR="009A3B4A" w:rsidRPr="00861B86" w:rsidRDefault="009A3B4A" w:rsidP="00B61853">
      <w:r w:rsidRPr="00861B86">
        <w:t>No exceptions are being sought.</w:t>
      </w:r>
    </w:p>
    <w:p w:rsidR="009A3B4A" w:rsidRPr="00861B86" w:rsidRDefault="009A3B4A" w:rsidP="00B61853">
      <w:r w:rsidRPr="00861B86">
        <w:br w:type="page"/>
      </w:r>
    </w:p>
    <w:p w:rsidR="00FE4902" w:rsidRPr="00FE4902" w:rsidRDefault="007E1657" w:rsidP="00FE4902">
      <w:pPr>
        <w:spacing w:after="960" w:line="264" w:lineRule="auto"/>
        <w:ind w:firstLine="0"/>
        <w:rPr>
          <w:rFonts w:ascii="Lucida Sans" w:hAnsi="Lucida Sans"/>
          <w:sz w:val="22"/>
          <w:szCs w:val="22"/>
        </w:rPr>
      </w:pPr>
      <w:r>
        <w:rPr>
          <w:rFonts w:ascii="Lucida Sans" w:hAnsi="Lucida Sans"/>
          <w:noProof/>
          <w:sz w:val="22"/>
          <w:szCs w:val="22"/>
        </w:rPr>
        <w:lastRenderedPageBreak/>
        <mc:AlternateContent>
          <mc:Choice Requires="wps">
            <w:drawing>
              <wp:anchor distT="0" distB="0" distL="114300" distR="114300" simplePos="0" relativeHeight="251667456" behindDoc="0" locked="0" layoutInCell="1" allowOverlap="1">
                <wp:simplePos x="0" y="0"/>
                <wp:positionH relativeFrom="column">
                  <wp:posOffset>-723265</wp:posOffset>
                </wp:positionH>
                <wp:positionV relativeFrom="paragraph">
                  <wp:posOffset>6057900</wp:posOffset>
                </wp:positionV>
                <wp:extent cx="7390130" cy="85725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0130"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16F5B" w:rsidRPr="000F53E2" w:rsidRDefault="00216F5B" w:rsidP="00FE4902">
                            <w:pPr>
                              <w:tabs>
                                <w:tab w:val="clear" w:pos="432"/>
                              </w:tabs>
                              <w:spacing w:after="200" w:line="264" w:lineRule="auto"/>
                              <w:ind w:firstLine="0"/>
                              <w:jc w:val="center"/>
                              <w:rPr>
                                <w:rFonts w:ascii="Lucida Sans" w:hAnsi="Lucida Sans"/>
                                <w:sz w:val="17"/>
                                <w:szCs w:val="18"/>
                              </w:rPr>
                            </w:pPr>
                            <w:r w:rsidRPr="000F53E2">
                              <w:rPr>
                                <w:rFonts w:ascii="Lucida Sans" w:hAnsi="Lucida Sans"/>
                                <w:sz w:val="17"/>
                                <w:szCs w:val="18"/>
                              </w:rPr>
                              <w:t>Improving public well-being by conducting high-quality, objective research and surveys</w:t>
                            </w:r>
                          </w:p>
                          <w:p w:rsidR="00216F5B" w:rsidRDefault="00216F5B" w:rsidP="00FE4902">
                            <w:pPr>
                              <w:tabs>
                                <w:tab w:val="clear" w:pos="432"/>
                              </w:tabs>
                              <w:spacing w:line="264" w:lineRule="auto"/>
                              <w:ind w:firstLine="0"/>
                              <w:jc w:val="center"/>
                              <w:rPr>
                                <w:rFonts w:ascii="Lucida Sans" w:hAnsi="Lucida Sans"/>
                                <w:sz w:val="17"/>
                                <w:szCs w:val="18"/>
                              </w:rPr>
                            </w:pPr>
                            <w:r w:rsidRPr="000F53E2">
                              <w:rPr>
                                <w:rFonts w:ascii="Lucida Sans" w:hAnsi="Lucida Sans"/>
                                <w:sz w:val="17"/>
                                <w:szCs w:val="18"/>
                              </w:rPr>
                              <w:t xml:space="preserve">Princeton, NJ  </w:t>
                            </w:r>
                            <w:r w:rsidRPr="000F53E2">
                              <w:rPr>
                                <w:sz w:val="17"/>
                                <w:szCs w:val="16"/>
                              </w:rPr>
                              <w:t>■</w:t>
                            </w:r>
                            <w:r w:rsidRPr="000F53E2">
                              <w:rPr>
                                <w:rFonts w:ascii="Lucida Sans" w:hAnsi="Lucida Sans"/>
                                <w:sz w:val="17"/>
                                <w:szCs w:val="18"/>
                              </w:rPr>
                              <w:t xml:space="preserve">  Ann Arbor, MI  </w:t>
                            </w:r>
                            <w:r w:rsidRPr="000F53E2">
                              <w:rPr>
                                <w:sz w:val="17"/>
                                <w:szCs w:val="18"/>
                              </w:rPr>
                              <w:t>■</w:t>
                            </w:r>
                            <w:r w:rsidRPr="000F53E2">
                              <w:rPr>
                                <w:rFonts w:ascii="Lucida Sans" w:hAnsi="Lucida Sans"/>
                                <w:sz w:val="17"/>
                                <w:szCs w:val="18"/>
                              </w:rPr>
                              <w:t xml:space="preserve">  Cambridge, MA  </w:t>
                            </w:r>
                            <w:r w:rsidRPr="000F53E2">
                              <w:rPr>
                                <w:sz w:val="17"/>
                                <w:szCs w:val="18"/>
                              </w:rPr>
                              <w:t>■</w:t>
                            </w:r>
                            <w:r w:rsidRPr="000F53E2">
                              <w:rPr>
                                <w:rFonts w:ascii="Lucida Sans" w:hAnsi="Lucida Sans"/>
                                <w:sz w:val="17"/>
                                <w:szCs w:val="18"/>
                              </w:rPr>
                              <w:t xml:space="preserve">  Chicago, IL  </w:t>
                            </w:r>
                            <w:r w:rsidRPr="000F53E2">
                              <w:rPr>
                                <w:sz w:val="17"/>
                                <w:szCs w:val="18"/>
                              </w:rPr>
                              <w:t>■</w:t>
                            </w:r>
                            <w:r w:rsidRPr="000F53E2">
                              <w:rPr>
                                <w:rFonts w:ascii="Lucida Sans" w:hAnsi="Lucida Sans"/>
                                <w:sz w:val="17"/>
                                <w:szCs w:val="18"/>
                              </w:rPr>
                              <w:t xml:space="preserve">  Oakland, CA  </w:t>
                            </w:r>
                            <w:r w:rsidRPr="000F53E2">
                              <w:rPr>
                                <w:sz w:val="17"/>
                                <w:szCs w:val="18"/>
                              </w:rPr>
                              <w:t>■</w:t>
                            </w:r>
                            <w:r w:rsidRPr="000F53E2">
                              <w:rPr>
                                <w:rFonts w:ascii="Lucida Sans" w:hAnsi="Lucida Sans"/>
                                <w:sz w:val="17"/>
                                <w:szCs w:val="18"/>
                              </w:rPr>
                              <w:t xml:space="preserve">  Washington, DC</w:t>
                            </w:r>
                          </w:p>
                          <w:p w:rsidR="00216F5B" w:rsidRDefault="00216F5B" w:rsidP="00FE4902">
                            <w:pPr>
                              <w:tabs>
                                <w:tab w:val="clear" w:pos="432"/>
                              </w:tabs>
                              <w:spacing w:line="264" w:lineRule="auto"/>
                              <w:ind w:firstLine="0"/>
                              <w:jc w:val="center"/>
                              <w:rPr>
                                <w:rFonts w:ascii="Lucida Sans" w:hAnsi="Lucida Sans"/>
                                <w:sz w:val="17"/>
                                <w:szCs w:val="18"/>
                              </w:rPr>
                            </w:pPr>
                          </w:p>
                          <w:p w:rsidR="00216F5B" w:rsidRPr="000F53E2" w:rsidRDefault="00216F5B" w:rsidP="00FE4902">
                            <w:pPr>
                              <w:tabs>
                                <w:tab w:val="clear" w:pos="432"/>
                              </w:tabs>
                              <w:spacing w:line="264" w:lineRule="auto"/>
                              <w:ind w:firstLine="0"/>
                              <w:jc w:val="center"/>
                              <w:rPr>
                                <w:rFonts w:ascii="Lucida Sans" w:hAnsi="Lucida Sans"/>
                                <w:sz w:val="17"/>
                                <w:szCs w:val="18"/>
                              </w:rPr>
                            </w:pPr>
                            <w:r w:rsidRPr="00D03435">
                              <w:rPr>
                                <w:rFonts w:ascii="Lucida Sans" w:hAnsi="Lucida Sans"/>
                                <w:sz w:val="17"/>
                                <w:szCs w:val="18"/>
                              </w:rPr>
                              <w:t>Mathematica® is a registered trademark of Mathematica Policy Research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56.95pt;margin-top:477pt;width:581.9pt;height: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" filled="f" stroked="f" strokeweight="0">
                <v:textbox>
                  <w:txbxContent>
                    <w:p w:rsidR="00216F5B" w:rsidRPr="000F53E2" w:rsidRDefault="00216F5B" w:rsidP="00FE4902">
                      <w:pPr>
                        <w:tabs>
                          <w:tab w:val="clear" w:pos="432"/>
                        </w:tabs>
                        <w:spacing w:after="200" w:line="264" w:lineRule="auto"/>
                        <w:ind w:firstLine="0"/>
                        <w:jc w:val="center"/>
                        <w:rPr>
                          <w:rFonts w:ascii="Lucida Sans" w:hAnsi="Lucida Sans"/>
                          <w:sz w:val="17"/>
                          <w:szCs w:val="18"/>
                        </w:rPr>
                      </w:pPr>
                      <w:r w:rsidRPr="000F53E2">
                        <w:rPr>
                          <w:rFonts w:ascii="Lucida Sans" w:hAnsi="Lucida Sans"/>
                          <w:sz w:val="17"/>
                          <w:szCs w:val="18"/>
                        </w:rPr>
                        <w:t>Improving public well-being by conducting high-quality, objective research and surveys</w:t>
                      </w:r>
                    </w:p>
                    <w:p w:rsidR="00216F5B" w:rsidRDefault="00216F5B" w:rsidP="00FE4902">
                      <w:pPr>
                        <w:tabs>
                          <w:tab w:val="clear" w:pos="432"/>
                        </w:tabs>
                        <w:spacing w:line="264" w:lineRule="auto"/>
                        <w:ind w:firstLine="0"/>
                        <w:jc w:val="center"/>
                        <w:rPr>
                          <w:rFonts w:ascii="Lucida Sans" w:hAnsi="Lucida Sans"/>
                          <w:sz w:val="17"/>
                          <w:szCs w:val="18"/>
                        </w:rPr>
                      </w:pPr>
                      <w:r w:rsidRPr="000F53E2">
                        <w:rPr>
                          <w:rFonts w:ascii="Lucida Sans" w:hAnsi="Lucida Sans"/>
                          <w:sz w:val="17"/>
                          <w:szCs w:val="18"/>
                        </w:rPr>
                        <w:t xml:space="preserve">Princeton, NJ  </w:t>
                      </w:r>
                      <w:r w:rsidRPr="000F53E2">
                        <w:rPr>
                          <w:sz w:val="17"/>
                          <w:szCs w:val="16"/>
                        </w:rPr>
                        <w:t>■</w:t>
                      </w:r>
                      <w:r w:rsidRPr="000F53E2">
                        <w:rPr>
                          <w:rFonts w:ascii="Lucida Sans" w:hAnsi="Lucida Sans"/>
                          <w:sz w:val="17"/>
                          <w:szCs w:val="18"/>
                        </w:rPr>
                        <w:t xml:space="preserve">  Ann Arbor, MI  </w:t>
                      </w:r>
                      <w:r w:rsidRPr="000F53E2">
                        <w:rPr>
                          <w:sz w:val="17"/>
                          <w:szCs w:val="18"/>
                        </w:rPr>
                        <w:t>■</w:t>
                      </w:r>
                      <w:r w:rsidRPr="000F53E2">
                        <w:rPr>
                          <w:rFonts w:ascii="Lucida Sans" w:hAnsi="Lucida Sans"/>
                          <w:sz w:val="17"/>
                          <w:szCs w:val="18"/>
                        </w:rPr>
                        <w:t xml:space="preserve">  Cambridge, MA  </w:t>
                      </w:r>
                      <w:r w:rsidRPr="000F53E2">
                        <w:rPr>
                          <w:sz w:val="17"/>
                          <w:szCs w:val="18"/>
                        </w:rPr>
                        <w:t>■</w:t>
                      </w:r>
                      <w:r w:rsidRPr="000F53E2">
                        <w:rPr>
                          <w:rFonts w:ascii="Lucida Sans" w:hAnsi="Lucida Sans"/>
                          <w:sz w:val="17"/>
                          <w:szCs w:val="18"/>
                        </w:rPr>
                        <w:t xml:space="preserve">  Chicago, IL  </w:t>
                      </w:r>
                      <w:r w:rsidRPr="000F53E2">
                        <w:rPr>
                          <w:sz w:val="17"/>
                          <w:szCs w:val="18"/>
                        </w:rPr>
                        <w:t>■</w:t>
                      </w:r>
                      <w:r w:rsidRPr="000F53E2">
                        <w:rPr>
                          <w:rFonts w:ascii="Lucida Sans" w:hAnsi="Lucida Sans"/>
                          <w:sz w:val="17"/>
                          <w:szCs w:val="18"/>
                        </w:rPr>
                        <w:t xml:space="preserve">  Oakland, CA  </w:t>
                      </w:r>
                      <w:r w:rsidRPr="000F53E2">
                        <w:rPr>
                          <w:sz w:val="17"/>
                          <w:szCs w:val="18"/>
                        </w:rPr>
                        <w:t>■</w:t>
                      </w:r>
                      <w:r w:rsidRPr="000F53E2">
                        <w:rPr>
                          <w:rFonts w:ascii="Lucida Sans" w:hAnsi="Lucida Sans"/>
                          <w:sz w:val="17"/>
                          <w:szCs w:val="18"/>
                        </w:rPr>
                        <w:t xml:space="preserve">  Washington, DC</w:t>
                      </w:r>
                    </w:p>
                    <w:p w:rsidR="00216F5B" w:rsidRDefault="00216F5B" w:rsidP="00FE4902">
                      <w:pPr>
                        <w:tabs>
                          <w:tab w:val="clear" w:pos="432"/>
                        </w:tabs>
                        <w:spacing w:line="264" w:lineRule="auto"/>
                        <w:ind w:firstLine="0"/>
                        <w:jc w:val="center"/>
                        <w:rPr>
                          <w:rFonts w:ascii="Lucida Sans" w:hAnsi="Lucida Sans"/>
                          <w:sz w:val="17"/>
                          <w:szCs w:val="18"/>
                        </w:rPr>
                      </w:pPr>
                    </w:p>
                    <w:p w:rsidR="00216F5B" w:rsidRPr="000F53E2" w:rsidRDefault="00216F5B" w:rsidP="00FE4902">
                      <w:pPr>
                        <w:tabs>
                          <w:tab w:val="clear" w:pos="432"/>
                        </w:tabs>
                        <w:spacing w:line="264" w:lineRule="auto"/>
                        <w:ind w:firstLine="0"/>
                        <w:jc w:val="center"/>
                        <w:rPr>
                          <w:rFonts w:ascii="Lucida Sans" w:hAnsi="Lucida Sans"/>
                          <w:sz w:val="17"/>
                          <w:szCs w:val="18"/>
                        </w:rPr>
                      </w:pPr>
                      <w:r w:rsidRPr="00D03435">
                        <w:rPr>
                          <w:rFonts w:ascii="Lucida Sans" w:hAnsi="Lucida Sans"/>
                          <w:sz w:val="17"/>
                          <w:szCs w:val="18"/>
                        </w:rPr>
                        <w:t>Mathematica® is a registered trademark of Mathematica Policy Research</w:t>
                      </w:r>
                    </w:p>
                  </w:txbxContent>
                </v:textbox>
              </v:shape>
            </w:pict>
          </mc:Fallback>
        </mc:AlternateContent>
      </w:r>
      <w:r>
        <w:rPr>
          <w:rFonts w:ascii="Lucida Sans" w:hAnsi="Lucida Sans"/>
          <w:noProof/>
          <w:sz w:val="22"/>
          <w:szCs w:val="22"/>
        </w:rPr>
        <mc:AlternateContent>
          <mc:Choice Requires="wps">
            <w:drawing>
              <wp:anchor distT="0" distB="0" distL="114300" distR="114300" simplePos="0" relativeHeight="251669504" behindDoc="1" locked="0" layoutInCell="1" allowOverlap="1">
                <wp:simplePos x="0" y="0"/>
                <wp:positionH relativeFrom="page">
                  <wp:posOffset>4232275</wp:posOffset>
                </wp:positionH>
                <wp:positionV relativeFrom="page">
                  <wp:posOffset>5239385</wp:posOffset>
                </wp:positionV>
                <wp:extent cx="1961515" cy="354330"/>
                <wp:effectExtent l="0" t="0" r="0" b="7620"/>
                <wp:wrapThrough wrapText="bothSides">
                  <wp:wrapPolygon edited="0">
                    <wp:start x="420" y="0"/>
                    <wp:lineTo x="420" y="20903"/>
                    <wp:lineTo x="20978" y="20903"/>
                    <wp:lineTo x="20978" y="0"/>
                    <wp:lineTo x="420" y="0"/>
                  </wp:wrapPolygon>
                </wp:wrapThrough>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1515"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6F5B" w:rsidRPr="00347DD8" w:rsidRDefault="00216F5B" w:rsidP="00FE4902">
                            <w:pPr>
                              <w:tabs>
                                <w:tab w:val="clear" w:pos="432"/>
                              </w:tabs>
                              <w:ind w:firstLine="0"/>
                              <w:rPr>
                                <w:rFonts w:ascii="Lucida Sans Std" w:hAnsi="Lucida Sans Std"/>
                                <w:b/>
                                <w:sz w:val="18"/>
                                <w:szCs w:val="18"/>
                              </w:rPr>
                            </w:pPr>
                            <w:r w:rsidRPr="00347DD8">
                              <w:rPr>
                                <w:rFonts w:ascii="Lucida Sans Std" w:hAnsi="Lucida Sans Std"/>
                                <w:b/>
                                <w:sz w:val="18"/>
                                <w:szCs w:val="18"/>
                              </w:rPr>
                              <w:t>www.mathematica-mpr.com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8" o:spid="_x0000_s1027" type="#_x0000_t202" style="position:absolute;left:0;text-align:left;margin-left:333.25pt;margin-top:412.55pt;width:154.45pt;height:27.9pt;z-index:-251646976;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" filled="f" stroked="f">
                <v:textbox style="mso-fit-shape-to-text:t">
                  <w:txbxContent>
                    <w:p w:rsidR="00216F5B" w:rsidRPr="00347DD8" w:rsidRDefault="00216F5B" w:rsidP="00FE4902">
                      <w:pPr>
                        <w:tabs>
                          <w:tab w:val="clear" w:pos="432"/>
                        </w:tabs>
                        <w:ind w:firstLine="0"/>
                        <w:rPr>
                          <w:rFonts w:ascii="Lucida Sans Std" w:hAnsi="Lucida Sans Std"/>
                          <w:b/>
                          <w:sz w:val="18"/>
                          <w:szCs w:val="18"/>
                        </w:rPr>
                      </w:pPr>
                      <w:r w:rsidRPr="00347DD8">
                        <w:rPr>
                          <w:rFonts w:ascii="Lucida Sans Std" w:hAnsi="Lucida Sans Std"/>
                          <w:b/>
                          <w:sz w:val="18"/>
                          <w:szCs w:val="18"/>
                        </w:rPr>
                        <w:t>www.mathematica-mpr.com</w:t>
                      </w:r>
                    </w:p>
                  </w:txbxContent>
                </v:textbox>
                <w10:wrap type="through" anchorx="page" anchory="page"/>
              </v:shape>
            </w:pict>
          </mc:Fallback>
        </mc:AlternateContent>
      </w:r>
      <w:r w:rsidR="00FE4902" w:rsidRPr="00FE4902">
        <w:rPr>
          <w:rFonts w:ascii="Lucida Sans" w:hAnsi="Lucida Sans"/>
          <w:noProof/>
          <w:sz w:val="22"/>
          <w:szCs w:val="22"/>
        </w:rPr>
        <w:drawing>
          <wp:anchor distT="0" distB="0" distL="114300" distR="114300" simplePos="0" relativeHeight="251668480" behindDoc="0" locked="1" layoutInCell="1" allowOverlap="1">
            <wp:simplePos x="0" y="0"/>
            <wp:positionH relativeFrom="page">
              <wp:posOffset>4204970</wp:posOffset>
            </wp:positionH>
            <wp:positionV relativeFrom="page">
              <wp:posOffset>4572000</wp:posOffset>
            </wp:positionV>
            <wp:extent cx="1819275" cy="581025"/>
            <wp:effectExtent l="19050" t="0" r="9525" b="0"/>
            <wp:wrapThrough wrapText="bothSides">
              <wp:wrapPolygon edited="0">
                <wp:start x="-226" y="0"/>
                <wp:lineTo x="-226" y="21246"/>
                <wp:lineTo x="21713" y="21246"/>
                <wp:lineTo x="21713" y="13456"/>
                <wp:lineTo x="20130" y="11331"/>
                <wp:lineTo x="21713" y="9915"/>
                <wp:lineTo x="21713" y="0"/>
                <wp:lineTo x="-226" y="0"/>
              </wp:wrapPolygon>
            </wp:wrapThrough>
            <wp:docPr id="13" name="Picture 6"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thematica Policy Research logo."/>
                    <pic:cNvPicPr>
                      <a:picLocks noChangeAspect="1" noChangeArrowheads="1"/>
                    </pic:cNvPicPr>
                  </pic:nvPicPr>
                  <pic:blipFill>
                    <a:blip r:embed="rId16" cstate="print"/>
                    <a:stretch>
                      <a:fillRect/>
                    </a:stretch>
                  </pic:blipFill>
                  <pic:spPr bwMode="auto">
                    <a:xfrm>
                      <a:off x="0" y="0"/>
                      <a:ext cx="1819275" cy="581025"/>
                    </a:xfrm>
                    <a:prstGeom prst="rect">
                      <a:avLst/>
                    </a:prstGeom>
                    <a:noFill/>
                  </pic:spPr>
                </pic:pic>
              </a:graphicData>
            </a:graphic>
          </wp:anchor>
        </w:drawing>
      </w:r>
      <w:r w:rsidR="00FE4902" w:rsidRPr="00FE4902">
        <w:rPr>
          <w:rFonts w:ascii="Lucida Sans" w:hAnsi="Lucida Sans"/>
          <w:noProof/>
          <w:sz w:val="22"/>
          <w:szCs w:val="22"/>
        </w:rPr>
        <w:drawing>
          <wp:anchor distT="0" distB="0" distL="114300" distR="114300" simplePos="0" relativeHeight="251666432" behindDoc="0" locked="1" layoutInCell="1" allowOverlap="1">
            <wp:simplePos x="0" y="0"/>
            <wp:positionH relativeFrom="page">
              <wp:posOffset>-27305</wp:posOffset>
            </wp:positionH>
            <wp:positionV relativeFrom="page">
              <wp:posOffset>6172200</wp:posOffset>
            </wp:positionV>
            <wp:extent cx="7879080" cy="2562225"/>
            <wp:effectExtent l="19050" t="0" r="7620" b="0"/>
            <wp:wrapThrough wrapText="bothSides">
              <wp:wrapPolygon edited="0">
                <wp:start x="-52" y="0"/>
                <wp:lineTo x="-52" y="21520"/>
                <wp:lineTo x="21621" y="21520"/>
                <wp:lineTo x="21621" y="0"/>
                <wp:lineTo x="-52" y="0"/>
              </wp:wrapPolygon>
            </wp:wrapThrough>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srcRect/>
                    <a:stretch>
                      <a:fillRect/>
                    </a:stretch>
                  </pic:blipFill>
                  <pic:spPr bwMode="auto">
                    <a:xfrm>
                      <a:off x="0" y="0"/>
                      <a:ext cx="7879080" cy="2562225"/>
                    </a:xfrm>
                    <a:prstGeom prst="rect">
                      <a:avLst/>
                    </a:prstGeom>
                    <a:noFill/>
                  </pic:spPr>
                </pic:pic>
              </a:graphicData>
            </a:graphic>
          </wp:anchor>
        </w:drawing>
      </w:r>
    </w:p>
    <w:p w:rsidR="00E33FB4" w:rsidRPr="0001119F" w:rsidRDefault="00E33FB4" w:rsidP="00F16D00">
      <w:pPr>
        <w:pStyle w:val="References"/>
      </w:pPr>
    </w:p>
    <w:sectPr w:rsidR="00E33FB4" w:rsidRPr="0001119F" w:rsidSect="00FE4902">
      <w:headerReference w:type="default" r:id="rId22"/>
      <w:footerReference w:type="default" r:id="rId23"/>
      <w:endnotePr>
        <w:numFmt w:val="decimal"/>
      </w:endnotePr>
      <w:pgSz w:w="12240" w:h="15840" w:code="1"/>
      <w:pgMar w:top="1440" w:right="1440" w:bottom="576" w:left="1440" w:header="720" w:footer="576"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360" w:rsidRDefault="00636360">
      <w:pPr>
        <w:spacing w:line="240" w:lineRule="auto"/>
        <w:ind w:firstLine="0"/>
      </w:pPr>
    </w:p>
  </w:endnote>
  <w:endnote w:type="continuationSeparator" w:id="0">
    <w:p w:rsidR="00636360" w:rsidRDefault="00636360">
      <w:pPr>
        <w:spacing w:line="240" w:lineRule="auto"/>
        <w:ind w:firstLine="0"/>
      </w:pPr>
    </w:p>
  </w:endnote>
  <w:endnote w:type="continuationNotice" w:id="1">
    <w:p w:rsidR="00636360" w:rsidRDefault="00636360">
      <w:pPr>
        <w:spacing w:line="240" w:lineRule="auto"/>
        <w:ind w:firstLine="0"/>
      </w:pPr>
    </w:p>
    <w:p w:rsidR="00636360" w:rsidRDefault="00636360"/>
    <w:p w:rsidR="00636360" w:rsidRDefault="00636360">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C:\Users\lgoble\Documents\SharePoint Drafts\ELT OMB Section A.docx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8100AAF7" w:usb1="0000807B" w:usb2="00000008" w:usb3="00000000" w:csb0="000000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Lucida Sans Std">
    <w:panose1 w:val="00000000000000000000"/>
    <w:charset w:val="00"/>
    <w:family w:val="swiss"/>
    <w:notTrueType/>
    <w:pitch w:val="variable"/>
    <w:sig w:usb0="800000EF" w:usb1="5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502" w:rsidRPr="008F1A3F" w:rsidRDefault="00D67502" w:rsidP="00B61853">
    <w:pPr>
      <w:pStyle w:val="Footer"/>
      <w:ind w:firstLine="0"/>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18791"/>
      <w:docPartObj>
        <w:docPartGallery w:val="Page Numbers (Bottom of Page)"/>
        <w:docPartUnique/>
      </w:docPartObj>
    </w:sdtPr>
    <w:sdtEndPr/>
    <w:sdtContent>
      <w:p w:rsidR="00D67502" w:rsidRPr="008F1A3F" w:rsidRDefault="00731CC2" w:rsidP="00F16D00">
        <w:pPr>
          <w:pStyle w:val="Footer"/>
          <w:jc w:val="center"/>
          <w:rPr>
            <w:rStyle w:val="PageNumber"/>
          </w:rPr>
        </w:pPr>
        <w:r>
          <w:fldChar w:fldCharType="begin"/>
        </w:r>
        <w:r w:rsidR="00D67502">
          <w:instrText xml:space="preserve"> PAGE   \* MERGEFORMAT </w:instrText>
        </w:r>
        <w:r>
          <w:fldChar w:fldCharType="separate"/>
        </w:r>
        <w:r w:rsidR="00A67B1F">
          <w:rPr>
            <w:noProof/>
          </w:rPr>
          <w:t>ii</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502" w:rsidRDefault="00731CC2" w:rsidP="00D408D1">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fldChar w:fldCharType="begin"/>
    </w:r>
    <w:r w:rsidR="00D67502">
      <w:rPr>
        <w:rStyle w:val="PageNumber"/>
      </w:rPr>
      <w:instrText xml:space="preserve"> PAGE </w:instrText>
    </w:r>
    <w:r>
      <w:rPr>
        <w:rStyle w:val="PageNumber"/>
      </w:rPr>
      <w:fldChar w:fldCharType="separate"/>
    </w:r>
    <w:r w:rsidR="00A67B1F">
      <w:rPr>
        <w:rStyle w:val="PageNumber"/>
        <w:noProof/>
      </w:rPr>
      <w:t>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360" w:rsidRDefault="00636360">
      <w:pPr>
        <w:spacing w:line="240" w:lineRule="auto"/>
        <w:ind w:firstLine="0"/>
      </w:pPr>
      <w:r>
        <w:separator/>
      </w:r>
    </w:p>
  </w:footnote>
  <w:footnote w:type="continuationSeparator" w:id="0">
    <w:p w:rsidR="00636360" w:rsidRDefault="00636360">
      <w:pPr>
        <w:spacing w:line="240" w:lineRule="auto"/>
        <w:ind w:firstLine="0"/>
      </w:pPr>
      <w:r>
        <w:separator/>
      </w:r>
    </w:p>
    <w:p w:rsidR="00636360" w:rsidRDefault="00636360">
      <w:pPr>
        <w:spacing w:line="240" w:lineRule="auto"/>
        <w:ind w:firstLine="0"/>
        <w:rPr>
          <w:i/>
        </w:rPr>
      </w:pPr>
      <w:r>
        <w:rPr>
          <w:i/>
        </w:rPr>
        <w:t>(continued)</w:t>
      </w:r>
    </w:p>
  </w:footnote>
  <w:footnote w:type="continuationNotice" w:id="1">
    <w:p w:rsidR="00636360" w:rsidRDefault="00636360">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502" w:rsidRPr="000A4439" w:rsidRDefault="00D67502" w:rsidP="006C5B99">
    <w:pPr>
      <w:pStyle w:val="Header"/>
      <w:rPr>
        <w:szCs w:val="22"/>
      </w:rPr>
    </w:pPr>
    <w:r w:rsidRPr="000A4439">
      <w:rPr>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22D5"/>
    <w:multiLevelType w:val="hybridMultilevel"/>
    <w:tmpl w:val="E69447D4"/>
    <w:lvl w:ilvl="0" w:tplc="D0DE4BD6">
      <w:start w:val="1"/>
      <w:numFmt w:val="bullet"/>
      <w:lvlText w:val=""/>
      <w:lvlJc w:val="left"/>
      <w:pPr>
        <w:ind w:left="1152" w:hanging="360"/>
      </w:pPr>
      <w:rPr>
        <w:rFonts w:ascii="Symbol" w:hAnsi="Symbol" w:hint="default"/>
        <w:color w:val="1F497D" w:themeColor="text2"/>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C3E5EB0"/>
    <w:multiLevelType w:val="hybridMultilevel"/>
    <w:tmpl w:val="98FEECA0"/>
    <w:lvl w:ilvl="0" w:tplc="D0DE4BD6">
      <w:start w:val="1"/>
      <w:numFmt w:val="bullet"/>
      <w:lvlText w:val=""/>
      <w:lvlJc w:val="left"/>
      <w:pPr>
        <w:ind w:left="1152" w:hanging="360"/>
      </w:pPr>
      <w:rPr>
        <w:rFonts w:ascii="Symbol" w:hAnsi="Symbol" w:hint="default"/>
        <w:color w:val="1F497D" w:themeColor="text2"/>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6876946"/>
    <w:multiLevelType w:val="hybridMultilevel"/>
    <w:tmpl w:val="BD3085A2"/>
    <w:lvl w:ilvl="0" w:tplc="839EB194">
      <w:start w:val="1"/>
      <w:numFmt w:val="bullet"/>
      <w:lvlText w:val=""/>
      <w:lvlJc w:val="left"/>
      <w:pPr>
        <w:ind w:left="1152" w:hanging="432"/>
      </w:pPr>
      <w:rPr>
        <w:rFonts w:ascii="Symbol" w:hAnsi="Symbol" w:hint="default"/>
        <w:color w:val="1F497D" w:themeColor="text2"/>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270D6559"/>
    <w:multiLevelType w:val="hybridMultilevel"/>
    <w:tmpl w:val="B574913C"/>
    <w:lvl w:ilvl="0" w:tplc="1BA4C566">
      <w:start w:val="1"/>
      <w:numFmt w:val="bullet"/>
      <w:pStyle w:val="Bullet"/>
      <w:lvlText w:val=""/>
      <w:lvlJc w:val="left"/>
      <w:pPr>
        <w:tabs>
          <w:tab w:val="num" w:pos="792"/>
        </w:tabs>
        <w:ind w:left="720"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3">
    <w:nsid w:val="4B6D641F"/>
    <w:multiLevelType w:val="hybridMultilevel"/>
    <w:tmpl w:val="A6940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6F93999"/>
    <w:multiLevelType w:val="hybridMultilevel"/>
    <w:tmpl w:val="C2D28FCC"/>
    <w:lvl w:ilvl="0" w:tplc="1EB674A8">
      <w:start w:val="1"/>
      <w:numFmt w:val="bullet"/>
      <w:lvlText w:val=""/>
      <w:lvlJc w:val="left"/>
      <w:pPr>
        <w:ind w:left="1152" w:hanging="432"/>
      </w:pPr>
      <w:rPr>
        <w:rFonts w:ascii="Symbol" w:hAnsi="Symbol" w:hint="default"/>
        <w:color w:val="1F497D" w:themeColor="text2"/>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nsid w:val="7A932204"/>
    <w:multiLevelType w:val="hybridMultilevel"/>
    <w:tmpl w:val="3D30CA6C"/>
    <w:lvl w:ilvl="0" w:tplc="D0DE4BD6">
      <w:start w:val="1"/>
      <w:numFmt w:val="bullet"/>
      <w:lvlText w:val=""/>
      <w:lvlJc w:val="left"/>
      <w:pPr>
        <w:ind w:left="1152" w:hanging="360"/>
      </w:pPr>
      <w:rPr>
        <w:rFonts w:ascii="Symbol" w:hAnsi="Symbol" w:hint="default"/>
        <w:color w:val="1F497D" w:themeColor="text2"/>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2"/>
  </w:num>
  <w:num w:numId="2">
    <w:abstractNumId w:val="20"/>
  </w:num>
  <w:num w:numId="3">
    <w:abstractNumId w:val="15"/>
  </w:num>
  <w:num w:numId="4">
    <w:abstractNumId w:val="3"/>
  </w:num>
  <w:num w:numId="5">
    <w:abstractNumId w:val="2"/>
  </w:num>
  <w:num w:numId="6">
    <w:abstractNumId w:val="22"/>
  </w:num>
  <w:num w:numId="7">
    <w:abstractNumId w:val="18"/>
  </w:num>
  <w:num w:numId="8">
    <w:abstractNumId w:val="7"/>
  </w:num>
  <w:num w:numId="9">
    <w:abstractNumId w:val="8"/>
  </w:num>
  <w:num w:numId="10">
    <w:abstractNumId w:val="10"/>
  </w:num>
  <w:num w:numId="11">
    <w:abstractNumId w:val="4"/>
  </w:num>
  <w:num w:numId="12">
    <w:abstractNumId w:val="16"/>
  </w:num>
  <w:num w:numId="13">
    <w:abstractNumId w:val="5"/>
  </w:num>
  <w:num w:numId="14">
    <w:abstractNumId w:val="14"/>
  </w:num>
  <w:num w:numId="15">
    <w:abstractNumId w:val="17"/>
  </w:num>
  <w:num w:numId="16">
    <w:abstractNumId w:val="9"/>
  </w:num>
  <w:num w:numId="17">
    <w:abstractNumId w:val="11"/>
  </w:num>
  <w:num w:numId="18">
    <w:abstractNumId w:val="21"/>
  </w:num>
  <w:num w:numId="19">
    <w:abstractNumId w:val="0"/>
  </w:num>
  <w:num w:numId="20">
    <w:abstractNumId w:val="1"/>
  </w:num>
  <w:num w:numId="21">
    <w:abstractNumId w:val="19"/>
  </w:num>
  <w:num w:numId="22">
    <w:abstractNumId w:val="6"/>
  </w:num>
  <w:num w:numId="23">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131077" w:nlCheck="1" w:checkStyle="1"/>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revisionView w:markup="0"/>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150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029"/>
    <w:rsid w:val="000015FB"/>
    <w:rsid w:val="00003CD6"/>
    <w:rsid w:val="00005F28"/>
    <w:rsid w:val="00006E1F"/>
    <w:rsid w:val="00007CA0"/>
    <w:rsid w:val="000102CE"/>
    <w:rsid w:val="0001119F"/>
    <w:rsid w:val="00012372"/>
    <w:rsid w:val="00012863"/>
    <w:rsid w:val="00017DD1"/>
    <w:rsid w:val="00021A62"/>
    <w:rsid w:val="000300AF"/>
    <w:rsid w:val="00030721"/>
    <w:rsid w:val="00036E12"/>
    <w:rsid w:val="00037098"/>
    <w:rsid w:val="00046CA3"/>
    <w:rsid w:val="00046E51"/>
    <w:rsid w:val="00052499"/>
    <w:rsid w:val="00053968"/>
    <w:rsid w:val="00057811"/>
    <w:rsid w:val="00061286"/>
    <w:rsid w:val="00063123"/>
    <w:rsid w:val="000637D8"/>
    <w:rsid w:val="00063FEF"/>
    <w:rsid w:val="00066AB9"/>
    <w:rsid w:val="00067554"/>
    <w:rsid w:val="000769A1"/>
    <w:rsid w:val="00076CF0"/>
    <w:rsid w:val="00077E8B"/>
    <w:rsid w:val="00080DFA"/>
    <w:rsid w:val="000812AE"/>
    <w:rsid w:val="00081914"/>
    <w:rsid w:val="00081D47"/>
    <w:rsid w:val="00090529"/>
    <w:rsid w:val="00096752"/>
    <w:rsid w:val="000975F7"/>
    <w:rsid w:val="000A4439"/>
    <w:rsid w:val="000A544F"/>
    <w:rsid w:val="000A5B09"/>
    <w:rsid w:val="000A7A9E"/>
    <w:rsid w:val="000B2BD0"/>
    <w:rsid w:val="000B3A77"/>
    <w:rsid w:val="000B3D02"/>
    <w:rsid w:val="000B7E70"/>
    <w:rsid w:val="000C0118"/>
    <w:rsid w:val="000C0CD4"/>
    <w:rsid w:val="000C15B4"/>
    <w:rsid w:val="000C21AF"/>
    <w:rsid w:val="000C70DC"/>
    <w:rsid w:val="000C72F8"/>
    <w:rsid w:val="000D709F"/>
    <w:rsid w:val="000E1D9E"/>
    <w:rsid w:val="000E6D11"/>
    <w:rsid w:val="000F41AE"/>
    <w:rsid w:val="000F79B9"/>
    <w:rsid w:val="001001FA"/>
    <w:rsid w:val="00105D23"/>
    <w:rsid w:val="00107204"/>
    <w:rsid w:val="001073C9"/>
    <w:rsid w:val="00110529"/>
    <w:rsid w:val="001110F1"/>
    <w:rsid w:val="001139E9"/>
    <w:rsid w:val="00115FBA"/>
    <w:rsid w:val="0011780F"/>
    <w:rsid w:val="00123EF4"/>
    <w:rsid w:val="00130424"/>
    <w:rsid w:val="0013282C"/>
    <w:rsid w:val="00132E2F"/>
    <w:rsid w:val="001332C0"/>
    <w:rsid w:val="001340C4"/>
    <w:rsid w:val="00135AF5"/>
    <w:rsid w:val="00141646"/>
    <w:rsid w:val="00141705"/>
    <w:rsid w:val="00141A0B"/>
    <w:rsid w:val="001425AF"/>
    <w:rsid w:val="00142AE3"/>
    <w:rsid w:val="0014321C"/>
    <w:rsid w:val="00144DA7"/>
    <w:rsid w:val="0014500D"/>
    <w:rsid w:val="00147D47"/>
    <w:rsid w:val="0015677A"/>
    <w:rsid w:val="00160306"/>
    <w:rsid w:val="00160E09"/>
    <w:rsid w:val="00162191"/>
    <w:rsid w:val="00170BA8"/>
    <w:rsid w:val="00171E50"/>
    <w:rsid w:val="00181A0D"/>
    <w:rsid w:val="00181F53"/>
    <w:rsid w:val="0018564C"/>
    <w:rsid w:val="00192770"/>
    <w:rsid w:val="001933B1"/>
    <w:rsid w:val="001A0053"/>
    <w:rsid w:val="001A07D4"/>
    <w:rsid w:val="001B100A"/>
    <w:rsid w:val="001B1ECD"/>
    <w:rsid w:val="001B360E"/>
    <w:rsid w:val="001B7611"/>
    <w:rsid w:val="001C675D"/>
    <w:rsid w:val="001C6D08"/>
    <w:rsid w:val="001D0063"/>
    <w:rsid w:val="001D11DE"/>
    <w:rsid w:val="001D196C"/>
    <w:rsid w:val="001D1F5F"/>
    <w:rsid w:val="001D247C"/>
    <w:rsid w:val="001D3C41"/>
    <w:rsid w:val="001D634E"/>
    <w:rsid w:val="001D7BDB"/>
    <w:rsid w:val="001E045B"/>
    <w:rsid w:val="001E0AB2"/>
    <w:rsid w:val="001E387A"/>
    <w:rsid w:val="001E466A"/>
    <w:rsid w:val="001E5C8A"/>
    <w:rsid w:val="001F5410"/>
    <w:rsid w:val="00200B10"/>
    <w:rsid w:val="00200CC4"/>
    <w:rsid w:val="002025CC"/>
    <w:rsid w:val="002053F3"/>
    <w:rsid w:val="00216F5B"/>
    <w:rsid w:val="00223990"/>
    <w:rsid w:val="0022402B"/>
    <w:rsid w:val="00234481"/>
    <w:rsid w:val="00236122"/>
    <w:rsid w:val="002361A2"/>
    <w:rsid w:val="00237F6F"/>
    <w:rsid w:val="00243909"/>
    <w:rsid w:val="00243DEE"/>
    <w:rsid w:val="00244706"/>
    <w:rsid w:val="00251354"/>
    <w:rsid w:val="0025182E"/>
    <w:rsid w:val="002529B7"/>
    <w:rsid w:val="00253EE5"/>
    <w:rsid w:val="00255C2A"/>
    <w:rsid w:val="00256468"/>
    <w:rsid w:val="002613D2"/>
    <w:rsid w:val="00264716"/>
    <w:rsid w:val="0026627C"/>
    <w:rsid w:val="00266F36"/>
    <w:rsid w:val="00267F6C"/>
    <w:rsid w:val="00271B2B"/>
    <w:rsid w:val="00280AB2"/>
    <w:rsid w:val="002812A2"/>
    <w:rsid w:val="00281C08"/>
    <w:rsid w:val="00282FD0"/>
    <w:rsid w:val="00284557"/>
    <w:rsid w:val="002849EE"/>
    <w:rsid w:val="00285A5A"/>
    <w:rsid w:val="00287D61"/>
    <w:rsid w:val="00287FD7"/>
    <w:rsid w:val="002921C5"/>
    <w:rsid w:val="002942FB"/>
    <w:rsid w:val="00294EE0"/>
    <w:rsid w:val="00297497"/>
    <w:rsid w:val="002A0847"/>
    <w:rsid w:val="002A1ADA"/>
    <w:rsid w:val="002A28C9"/>
    <w:rsid w:val="002A70E7"/>
    <w:rsid w:val="002A7359"/>
    <w:rsid w:val="002B1593"/>
    <w:rsid w:val="002B68A5"/>
    <w:rsid w:val="002B6DA0"/>
    <w:rsid w:val="002B71FC"/>
    <w:rsid w:val="002C3757"/>
    <w:rsid w:val="002C413C"/>
    <w:rsid w:val="002C64E8"/>
    <w:rsid w:val="002C7011"/>
    <w:rsid w:val="002C734A"/>
    <w:rsid w:val="002D055F"/>
    <w:rsid w:val="002D0A34"/>
    <w:rsid w:val="002D1816"/>
    <w:rsid w:val="002D279D"/>
    <w:rsid w:val="002D312C"/>
    <w:rsid w:val="002D34DE"/>
    <w:rsid w:val="002D6999"/>
    <w:rsid w:val="002D76C5"/>
    <w:rsid w:val="002E0F55"/>
    <w:rsid w:val="002E39B3"/>
    <w:rsid w:val="002E4A66"/>
    <w:rsid w:val="002E773E"/>
    <w:rsid w:val="002F1E71"/>
    <w:rsid w:val="002F440B"/>
    <w:rsid w:val="002F60A0"/>
    <w:rsid w:val="002F71D4"/>
    <w:rsid w:val="002F7C83"/>
    <w:rsid w:val="00300CE3"/>
    <w:rsid w:val="00303CF8"/>
    <w:rsid w:val="003045D4"/>
    <w:rsid w:val="00313671"/>
    <w:rsid w:val="00313E69"/>
    <w:rsid w:val="003142E6"/>
    <w:rsid w:val="00317EDA"/>
    <w:rsid w:val="00320EB3"/>
    <w:rsid w:val="00326013"/>
    <w:rsid w:val="00334028"/>
    <w:rsid w:val="00336A60"/>
    <w:rsid w:val="00336E6A"/>
    <w:rsid w:val="0034008A"/>
    <w:rsid w:val="00342CD8"/>
    <w:rsid w:val="00343A0C"/>
    <w:rsid w:val="0034513F"/>
    <w:rsid w:val="00350399"/>
    <w:rsid w:val="00350E63"/>
    <w:rsid w:val="00353544"/>
    <w:rsid w:val="00353E51"/>
    <w:rsid w:val="00354942"/>
    <w:rsid w:val="00354C34"/>
    <w:rsid w:val="0035674B"/>
    <w:rsid w:val="003607F3"/>
    <w:rsid w:val="00362133"/>
    <w:rsid w:val="00364422"/>
    <w:rsid w:val="00372AB1"/>
    <w:rsid w:val="00374549"/>
    <w:rsid w:val="00375C82"/>
    <w:rsid w:val="00381A96"/>
    <w:rsid w:val="00381B5C"/>
    <w:rsid w:val="00385CC1"/>
    <w:rsid w:val="00385E47"/>
    <w:rsid w:val="00386508"/>
    <w:rsid w:val="00394752"/>
    <w:rsid w:val="003A1506"/>
    <w:rsid w:val="003A1774"/>
    <w:rsid w:val="003A17E0"/>
    <w:rsid w:val="003A26BB"/>
    <w:rsid w:val="003B1FFC"/>
    <w:rsid w:val="003B303A"/>
    <w:rsid w:val="003B6EF7"/>
    <w:rsid w:val="003C0A5F"/>
    <w:rsid w:val="003C27A1"/>
    <w:rsid w:val="003C4B00"/>
    <w:rsid w:val="003C5390"/>
    <w:rsid w:val="003C57EB"/>
    <w:rsid w:val="003D2A9B"/>
    <w:rsid w:val="003D77B2"/>
    <w:rsid w:val="003E0A97"/>
    <w:rsid w:val="003E0D48"/>
    <w:rsid w:val="003E10A4"/>
    <w:rsid w:val="003E4DE6"/>
    <w:rsid w:val="003E5DE6"/>
    <w:rsid w:val="00401627"/>
    <w:rsid w:val="0040519E"/>
    <w:rsid w:val="0040780A"/>
    <w:rsid w:val="00407BBB"/>
    <w:rsid w:val="00407CAE"/>
    <w:rsid w:val="00410D8F"/>
    <w:rsid w:val="00410F60"/>
    <w:rsid w:val="004118E0"/>
    <w:rsid w:val="00412D08"/>
    <w:rsid w:val="00414FF6"/>
    <w:rsid w:val="004178CB"/>
    <w:rsid w:val="00417B7A"/>
    <w:rsid w:val="0042039D"/>
    <w:rsid w:val="0042391D"/>
    <w:rsid w:val="00423D51"/>
    <w:rsid w:val="0042461E"/>
    <w:rsid w:val="004338D1"/>
    <w:rsid w:val="00442080"/>
    <w:rsid w:val="0044551C"/>
    <w:rsid w:val="00446472"/>
    <w:rsid w:val="00446CE2"/>
    <w:rsid w:val="00447C62"/>
    <w:rsid w:val="00450873"/>
    <w:rsid w:val="00455C7B"/>
    <w:rsid w:val="00460835"/>
    <w:rsid w:val="004613B0"/>
    <w:rsid w:val="00462044"/>
    <w:rsid w:val="00463045"/>
    <w:rsid w:val="00474405"/>
    <w:rsid w:val="0047478B"/>
    <w:rsid w:val="00475483"/>
    <w:rsid w:val="00476CB1"/>
    <w:rsid w:val="0048761C"/>
    <w:rsid w:val="00490847"/>
    <w:rsid w:val="00492B73"/>
    <w:rsid w:val="00493B33"/>
    <w:rsid w:val="00494DE9"/>
    <w:rsid w:val="004A0392"/>
    <w:rsid w:val="004A071B"/>
    <w:rsid w:val="004A46CC"/>
    <w:rsid w:val="004A77D6"/>
    <w:rsid w:val="004B0D54"/>
    <w:rsid w:val="004C0257"/>
    <w:rsid w:val="004D62CD"/>
    <w:rsid w:val="004E5581"/>
    <w:rsid w:val="004E55F3"/>
    <w:rsid w:val="004E7992"/>
    <w:rsid w:val="004E7D79"/>
    <w:rsid w:val="004F0B74"/>
    <w:rsid w:val="004F18F9"/>
    <w:rsid w:val="004F4663"/>
    <w:rsid w:val="004F493C"/>
    <w:rsid w:val="004F7785"/>
    <w:rsid w:val="00501766"/>
    <w:rsid w:val="00514703"/>
    <w:rsid w:val="00525772"/>
    <w:rsid w:val="00531424"/>
    <w:rsid w:val="00534DA4"/>
    <w:rsid w:val="00537F22"/>
    <w:rsid w:val="00542523"/>
    <w:rsid w:val="00543330"/>
    <w:rsid w:val="005511FE"/>
    <w:rsid w:val="005560E8"/>
    <w:rsid w:val="00557A3F"/>
    <w:rsid w:val="00557A50"/>
    <w:rsid w:val="00557FE1"/>
    <w:rsid w:val="005604DC"/>
    <w:rsid w:val="005637D0"/>
    <w:rsid w:val="0056487B"/>
    <w:rsid w:val="0057135F"/>
    <w:rsid w:val="00572684"/>
    <w:rsid w:val="00573077"/>
    <w:rsid w:val="005761A8"/>
    <w:rsid w:val="00576C4F"/>
    <w:rsid w:val="00577284"/>
    <w:rsid w:val="005811B3"/>
    <w:rsid w:val="00581EE2"/>
    <w:rsid w:val="00582CD2"/>
    <w:rsid w:val="00583141"/>
    <w:rsid w:val="00584664"/>
    <w:rsid w:val="005863F0"/>
    <w:rsid w:val="0058753C"/>
    <w:rsid w:val="00591AE6"/>
    <w:rsid w:val="00592E1A"/>
    <w:rsid w:val="005944EC"/>
    <w:rsid w:val="00597C9C"/>
    <w:rsid w:val="00597FEB"/>
    <w:rsid w:val="005A19C0"/>
    <w:rsid w:val="005A3631"/>
    <w:rsid w:val="005A3D02"/>
    <w:rsid w:val="005A4E2C"/>
    <w:rsid w:val="005A52EB"/>
    <w:rsid w:val="005A66CB"/>
    <w:rsid w:val="005A74BC"/>
    <w:rsid w:val="005B0472"/>
    <w:rsid w:val="005B07DA"/>
    <w:rsid w:val="005C228F"/>
    <w:rsid w:val="005C272F"/>
    <w:rsid w:val="005D01A8"/>
    <w:rsid w:val="005D5286"/>
    <w:rsid w:val="005E1375"/>
    <w:rsid w:val="005E7695"/>
    <w:rsid w:val="005F0444"/>
    <w:rsid w:val="005F162C"/>
    <w:rsid w:val="005F1B50"/>
    <w:rsid w:val="005F1BC2"/>
    <w:rsid w:val="005F430F"/>
    <w:rsid w:val="005F53E1"/>
    <w:rsid w:val="00600494"/>
    <w:rsid w:val="006146F7"/>
    <w:rsid w:val="006150A8"/>
    <w:rsid w:val="00621DCB"/>
    <w:rsid w:val="0062522C"/>
    <w:rsid w:val="00626A6D"/>
    <w:rsid w:val="00626C58"/>
    <w:rsid w:val="0063473C"/>
    <w:rsid w:val="00635EC3"/>
    <w:rsid w:val="00636360"/>
    <w:rsid w:val="00636860"/>
    <w:rsid w:val="00637A61"/>
    <w:rsid w:val="0064008B"/>
    <w:rsid w:val="00640D1E"/>
    <w:rsid w:val="00641AC0"/>
    <w:rsid w:val="00642C45"/>
    <w:rsid w:val="00645029"/>
    <w:rsid w:val="00645FA6"/>
    <w:rsid w:val="006532FD"/>
    <w:rsid w:val="00656171"/>
    <w:rsid w:val="006571CE"/>
    <w:rsid w:val="00664076"/>
    <w:rsid w:val="00666459"/>
    <w:rsid w:val="00666558"/>
    <w:rsid w:val="00666769"/>
    <w:rsid w:val="00670448"/>
    <w:rsid w:val="006714AC"/>
    <w:rsid w:val="00671927"/>
    <w:rsid w:val="00671E2B"/>
    <w:rsid w:val="00672F90"/>
    <w:rsid w:val="0067684B"/>
    <w:rsid w:val="0067783E"/>
    <w:rsid w:val="00677BF6"/>
    <w:rsid w:val="00682BCD"/>
    <w:rsid w:val="006854CA"/>
    <w:rsid w:val="0068692D"/>
    <w:rsid w:val="00690B57"/>
    <w:rsid w:val="006959AF"/>
    <w:rsid w:val="0069791C"/>
    <w:rsid w:val="006A2ABC"/>
    <w:rsid w:val="006A3DE8"/>
    <w:rsid w:val="006A5367"/>
    <w:rsid w:val="006A65E7"/>
    <w:rsid w:val="006A7614"/>
    <w:rsid w:val="006B0652"/>
    <w:rsid w:val="006B2B5D"/>
    <w:rsid w:val="006B43E8"/>
    <w:rsid w:val="006C5B99"/>
    <w:rsid w:val="006C5F78"/>
    <w:rsid w:val="006D413F"/>
    <w:rsid w:val="006D4428"/>
    <w:rsid w:val="006D447F"/>
    <w:rsid w:val="006D44FA"/>
    <w:rsid w:val="006D67B8"/>
    <w:rsid w:val="006D6B4E"/>
    <w:rsid w:val="006E2AEF"/>
    <w:rsid w:val="006E3C38"/>
    <w:rsid w:val="006E3DE1"/>
    <w:rsid w:val="006F053F"/>
    <w:rsid w:val="006F0832"/>
    <w:rsid w:val="006F168E"/>
    <w:rsid w:val="006F54A4"/>
    <w:rsid w:val="00700049"/>
    <w:rsid w:val="00701871"/>
    <w:rsid w:val="00701BE4"/>
    <w:rsid w:val="00702D34"/>
    <w:rsid w:val="00707664"/>
    <w:rsid w:val="007079EC"/>
    <w:rsid w:val="00711CA6"/>
    <w:rsid w:val="0071244B"/>
    <w:rsid w:val="00712A21"/>
    <w:rsid w:val="00717B10"/>
    <w:rsid w:val="00720A3E"/>
    <w:rsid w:val="00720F11"/>
    <w:rsid w:val="007214EF"/>
    <w:rsid w:val="00721BC6"/>
    <w:rsid w:val="00723C00"/>
    <w:rsid w:val="00723E48"/>
    <w:rsid w:val="00726DD4"/>
    <w:rsid w:val="00730892"/>
    <w:rsid w:val="00731A4C"/>
    <w:rsid w:val="00731CC2"/>
    <w:rsid w:val="00742342"/>
    <w:rsid w:val="00742C8C"/>
    <w:rsid w:val="00744CFB"/>
    <w:rsid w:val="007461F0"/>
    <w:rsid w:val="0074653C"/>
    <w:rsid w:val="00747001"/>
    <w:rsid w:val="0074778F"/>
    <w:rsid w:val="00747B99"/>
    <w:rsid w:val="007525FD"/>
    <w:rsid w:val="00752BB3"/>
    <w:rsid w:val="00754E03"/>
    <w:rsid w:val="00763A57"/>
    <w:rsid w:val="00766486"/>
    <w:rsid w:val="00767A7C"/>
    <w:rsid w:val="00773734"/>
    <w:rsid w:val="007761AF"/>
    <w:rsid w:val="0078127B"/>
    <w:rsid w:val="00784BA2"/>
    <w:rsid w:val="00786C54"/>
    <w:rsid w:val="007906CE"/>
    <w:rsid w:val="00790F58"/>
    <w:rsid w:val="007959C1"/>
    <w:rsid w:val="007A30B4"/>
    <w:rsid w:val="007A5803"/>
    <w:rsid w:val="007B2015"/>
    <w:rsid w:val="007B2F7F"/>
    <w:rsid w:val="007B5799"/>
    <w:rsid w:val="007B6D9E"/>
    <w:rsid w:val="007B705F"/>
    <w:rsid w:val="007C0CD8"/>
    <w:rsid w:val="007C1E2F"/>
    <w:rsid w:val="007C21D9"/>
    <w:rsid w:val="007C3668"/>
    <w:rsid w:val="007C39E6"/>
    <w:rsid w:val="007C4167"/>
    <w:rsid w:val="007C5524"/>
    <w:rsid w:val="007C5F5A"/>
    <w:rsid w:val="007C7815"/>
    <w:rsid w:val="007D1991"/>
    <w:rsid w:val="007D4181"/>
    <w:rsid w:val="007D4918"/>
    <w:rsid w:val="007D49A7"/>
    <w:rsid w:val="007D4EE1"/>
    <w:rsid w:val="007D64C8"/>
    <w:rsid w:val="007E1553"/>
    <w:rsid w:val="007E1657"/>
    <w:rsid w:val="007E4B90"/>
    <w:rsid w:val="007E6625"/>
    <w:rsid w:val="007F0DA1"/>
    <w:rsid w:val="007F1C0F"/>
    <w:rsid w:val="007F26DD"/>
    <w:rsid w:val="007F2742"/>
    <w:rsid w:val="007F3E0A"/>
    <w:rsid w:val="007F58E6"/>
    <w:rsid w:val="007F686C"/>
    <w:rsid w:val="007F76BA"/>
    <w:rsid w:val="00802044"/>
    <w:rsid w:val="00802AA5"/>
    <w:rsid w:val="00806376"/>
    <w:rsid w:val="00810F73"/>
    <w:rsid w:val="00813568"/>
    <w:rsid w:val="00815170"/>
    <w:rsid w:val="00815ABB"/>
    <w:rsid w:val="008169DF"/>
    <w:rsid w:val="00816DF1"/>
    <w:rsid w:val="00821DD9"/>
    <w:rsid w:val="00833128"/>
    <w:rsid w:val="00840C16"/>
    <w:rsid w:val="00840E7C"/>
    <w:rsid w:val="00841D30"/>
    <w:rsid w:val="008421A1"/>
    <w:rsid w:val="008431AC"/>
    <w:rsid w:val="008432EE"/>
    <w:rsid w:val="00844617"/>
    <w:rsid w:val="00845216"/>
    <w:rsid w:val="00850CF2"/>
    <w:rsid w:val="00851DFB"/>
    <w:rsid w:val="00853F7E"/>
    <w:rsid w:val="00855573"/>
    <w:rsid w:val="00857845"/>
    <w:rsid w:val="0086314C"/>
    <w:rsid w:val="0086519F"/>
    <w:rsid w:val="00865D38"/>
    <w:rsid w:val="008663FA"/>
    <w:rsid w:val="00873713"/>
    <w:rsid w:val="00874265"/>
    <w:rsid w:val="00875D2C"/>
    <w:rsid w:val="00880A11"/>
    <w:rsid w:val="00883BD4"/>
    <w:rsid w:val="008840EE"/>
    <w:rsid w:val="00887A63"/>
    <w:rsid w:val="00890924"/>
    <w:rsid w:val="00890A71"/>
    <w:rsid w:val="00893B1D"/>
    <w:rsid w:val="00894485"/>
    <w:rsid w:val="00895A2A"/>
    <w:rsid w:val="0089668A"/>
    <w:rsid w:val="008A2883"/>
    <w:rsid w:val="008A3B53"/>
    <w:rsid w:val="008A780C"/>
    <w:rsid w:val="008B032B"/>
    <w:rsid w:val="008B1F5A"/>
    <w:rsid w:val="008B43D6"/>
    <w:rsid w:val="008C0EA3"/>
    <w:rsid w:val="008C43E1"/>
    <w:rsid w:val="008C4666"/>
    <w:rsid w:val="008D0DC0"/>
    <w:rsid w:val="008D129A"/>
    <w:rsid w:val="008D5B53"/>
    <w:rsid w:val="008E12AE"/>
    <w:rsid w:val="008E27F1"/>
    <w:rsid w:val="008E5499"/>
    <w:rsid w:val="008E602B"/>
    <w:rsid w:val="008F0709"/>
    <w:rsid w:val="008F0865"/>
    <w:rsid w:val="008F256C"/>
    <w:rsid w:val="008F312B"/>
    <w:rsid w:val="008F45F8"/>
    <w:rsid w:val="008F5A8F"/>
    <w:rsid w:val="009006B4"/>
    <w:rsid w:val="009009D0"/>
    <w:rsid w:val="00900DF7"/>
    <w:rsid w:val="00902B68"/>
    <w:rsid w:val="00903CAA"/>
    <w:rsid w:val="00912344"/>
    <w:rsid w:val="009156D2"/>
    <w:rsid w:val="0092134D"/>
    <w:rsid w:val="00924D79"/>
    <w:rsid w:val="00931AEF"/>
    <w:rsid w:val="00931BDB"/>
    <w:rsid w:val="00936037"/>
    <w:rsid w:val="009363BB"/>
    <w:rsid w:val="009445B3"/>
    <w:rsid w:val="00944D67"/>
    <w:rsid w:val="00945642"/>
    <w:rsid w:val="00945D20"/>
    <w:rsid w:val="00952494"/>
    <w:rsid w:val="009527CF"/>
    <w:rsid w:val="00952FE4"/>
    <w:rsid w:val="009557D3"/>
    <w:rsid w:val="00955CD5"/>
    <w:rsid w:val="00956F27"/>
    <w:rsid w:val="0095754B"/>
    <w:rsid w:val="009603FE"/>
    <w:rsid w:val="009672E4"/>
    <w:rsid w:val="00972701"/>
    <w:rsid w:val="009735AF"/>
    <w:rsid w:val="00975A58"/>
    <w:rsid w:val="00980DB0"/>
    <w:rsid w:val="00984B0B"/>
    <w:rsid w:val="00987516"/>
    <w:rsid w:val="009902D1"/>
    <w:rsid w:val="00994EDD"/>
    <w:rsid w:val="00997375"/>
    <w:rsid w:val="009A1591"/>
    <w:rsid w:val="009A2D04"/>
    <w:rsid w:val="009A3B4A"/>
    <w:rsid w:val="009B20BD"/>
    <w:rsid w:val="009B4174"/>
    <w:rsid w:val="009B61A1"/>
    <w:rsid w:val="009B6CF0"/>
    <w:rsid w:val="009B6D5F"/>
    <w:rsid w:val="009C0EAF"/>
    <w:rsid w:val="009C1F87"/>
    <w:rsid w:val="009C4947"/>
    <w:rsid w:val="009C67C5"/>
    <w:rsid w:val="009D3855"/>
    <w:rsid w:val="009D478C"/>
    <w:rsid w:val="009E29BE"/>
    <w:rsid w:val="009E7EE8"/>
    <w:rsid w:val="009F0F58"/>
    <w:rsid w:val="009F3745"/>
    <w:rsid w:val="00A01202"/>
    <w:rsid w:val="00A0718C"/>
    <w:rsid w:val="00A075E0"/>
    <w:rsid w:val="00A10ACD"/>
    <w:rsid w:val="00A129F1"/>
    <w:rsid w:val="00A24143"/>
    <w:rsid w:val="00A26CF0"/>
    <w:rsid w:val="00A274D2"/>
    <w:rsid w:val="00A31BC3"/>
    <w:rsid w:val="00A3304F"/>
    <w:rsid w:val="00A356E7"/>
    <w:rsid w:val="00A36752"/>
    <w:rsid w:val="00A37976"/>
    <w:rsid w:val="00A42745"/>
    <w:rsid w:val="00A43B1C"/>
    <w:rsid w:val="00A45AAF"/>
    <w:rsid w:val="00A467CE"/>
    <w:rsid w:val="00A47C93"/>
    <w:rsid w:val="00A5366E"/>
    <w:rsid w:val="00A55276"/>
    <w:rsid w:val="00A553D5"/>
    <w:rsid w:val="00A5598A"/>
    <w:rsid w:val="00A56BB5"/>
    <w:rsid w:val="00A56C6B"/>
    <w:rsid w:val="00A60711"/>
    <w:rsid w:val="00A60FFF"/>
    <w:rsid w:val="00A61A2C"/>
    <w:rsid w:val="00A6306A"/>
    <w:rsid w:val="00A63890"/>
    <w:rsid w:val="00A66EA1"/>
    <w:rsid w:val="00A678FC"/>
    <w:rsid w:val="00A67B1F"/>
    <w:rsid w:val="00A711A1"/>
    <w:rsid w:val="00A71B7A"/>
    <w:rsid w:val="00A72CF0"/>
    <w:rsid w:val="00A80A4F"/>
    <w:rsid w:val="00A82430"/>
    <w:rsid w:val="00A91891"/>
    <w:rsid w:val="00A937F9"/>
    <w:rsid w:val="00A93F00"/>
    <w:rsid w:val="00A9613A"/>
    <w:rsid w:val="00A973B2"/>
    <w:rsid w:val="00AB0F92"/>
    <w:rsid w:val="00AB567E"/>
    <w:rsid w:val="00AC08A8"/>
    <w:rsid w:val="00AC3943"/>
    <w:rsid w:val="00AC4317"/>
    <w:rsid w:val="00AC5EBF"/>
    <w:rsid w:val="00AC6981"/>
    <w:rsid w:val="00AD4163"/>
    <w:rsid w:val="00AD5854"/>
    <w:rsid w:val="00AD7F26"/>
    <w:rsid w:val="00AE3A26"/>
    <w:rsid w:val="00AE5339"/>
    <w:rsid w:val="00AF1B2F"/>
    <w:rsid w:val="00AF4F6E"/>
    <w:rsid w:val="00AF5996"/>
    <w:rsid w:val="00B074E7"/>
    <w:rsid w:val="00B13000"/>
    <w:rsid w:val="00B14021"/>
    <w:rsid w:val="00B16937"/>
    <w:rsid w:val="00B20019"/>
    <w:rsid w:val="00B21550"/>
    <w:rsid w:val="00B24137"/>
    <w:rsid w:val="00B31D94"/>
    <w:rsid w:val="00B31FEF"/>
    <w:rsid w:val="00B325E1"/>
    <w:rsid w:val="00B3588C"/>
    <w:rsid w:val="00B43736"/>
    <w:rsid w:val="00B528FB"/>
    <w:rsid w:val="00B559AA"/>
    <w:rsid w:val="00B564BC"/>
    <w:rsid w:val="00B57DA5"/>
    <w:rsid w:val="00B61853"/>
    <w:rsid w:val="00B62E57"/>
    <w:rsid w:val="00B63270"/>
    <w:rsid w:val="00B64400"/>
    <w:rsid w:val="00B65228"/>
    <w:rsid w:val="00B65A14"/>
    <w:rsid w:val="00B70CD9"/>
    <w:rsid w:val="00B71319"/>
    <w:rsid w:val="00B714B7"/>
    <w:rsid w:val="00B72BB3"/>
    <w:rsid w:val="00B771B3"/>
    <w:rsid w:val="00B82337"/>
    <w:rsid w:val="00B82E71"/>
    <w:rsid w:val="00B83493"/>
    <w:rsid w:val="00B8612C"/>
    <w:rsid w:val="00B93FD5"/>
    <w:rsid w:val="00B940DD"/>
    <w:rsid w:val="00B95847"/>
    <w:rsid w:val="00B966ED"/>
    <w:rsid w:val="00BA238C"/>
    <w:rsid w:val="00BA268A"/>
    <w:rsid w:val="00BA3D8F"/>
    <w:rsid w:val="00BA65A5"/>
    <w:rsid w:val="00BB5BD4"/>
    <w:rsid w:val="00BB6193"/>
    <w:rsid w:val="00BB6A0B"/>
    <w:rsid w:val="00BB756B"/>
    <w:rsid w:val="00BB7841"/>
    <w:rsid w:val="00BC084C"/>
    <w:rsid w:val="00BC15E4"/>
    <w:rsid w:val="00BD1A05"/>
    <w:rsid w:val="00BD1B80"/>
    <w:rsid w:val="00BD3A38"/>
    <w:rsid w:val="00BD5FBC"/>
    <w:rsid w:val="00BD78DC"/>
    <w:rsid w:val="00BE195E"/>
    <w:rsid w:val="00BE335A"/>
    <w:rsid w:val="00BF187B"/>
    <w:rsid w:val="00C02961"/>
    <w:rsid w:val="00C02B5E"/>
    <w:rsid w:val="00C057EF"/>
    <w:rsid w:val="00C05C5E"/>
    <w:rsid w:val="00C06E1A"/>
    <w:rsid w:val="00C07274"/>
    <w:rsid w:val="00C07283"/>
    <w:rsid w:val="00C14296"/>
    <w:rsid w:val="00C16B6E"/>
    <w:rsid w:val="00C20008"/>
    <w:rsid w:val="00C21206"/>
    <w:rsid w:val="00C2333D"/>
    <w:rsid w:val="00C2452C"/>
    <w:rsid w:val="00C2695D"/>
    <w:rsid w:val="00C32246"/>
    <w:rsid w:val="00C34F4D"/>
    <w:rsid w:val="00C41693"/>
    <w:rsid w:val="00C4260B"/>
    <w:rsid w:val="00C43792"/>
    <w:rsid w:val="00C450AE"/>
    <w:rsid w:val="00C47746"/>
    <w:rsid w:val="00C510A3"/>
    <w:rsid w:val="00C53387"/>
    <w:rsid w:val="00C546B7"/>
    <w:rsid w:val="00C56ED2"/>
    <w:rsid w:val="00C6623A"/>
    <w:rsid w:val="00C673E2"/>
    <w:rsid w:val="00C70000"/>
    <w:rsid w:val="00C70B6C"/>
    <w:rsid w:val="00C74089"/>
    <w:rsid w:val="00C758F5"/>
    <w:rsid w:val="00C827EE"/>
    <w:rsid w:val="00C90E85"/>
    <w:rsid w:val="00C92E5D"/>
    <w:rsid w:val="00C93509"/>
    <w:rsid w:val="00C9777C"/>
    <w:rsid w:val="00CA0455"/>
    <w:rsid w:val="00CA1CD5"/>
    <w:rsid w:val="00CA4A39"/>
    <w:rsid w:val="00CA4C69"/>
    <w:rsid w:val="00CA58CB"/>
    <w:rsid w:val="00CA5BC7"/>
    <w:rsid w:val="00CB137C"/>
    <w:rsid w:val="00CB4E54"/>
    <w:rsid w:val="00CB6AA7"/>
    <w:rsid w:val="00CC0945"/>
    <w:rsid w:val="00CC215D"/>
    <w:rsid w:val="00CC3F2F"/>
    <w:rsid w:val="00CC4A3E"/>
    <w:rsid w:val="00CC51D9"/>
    <w:rsid w:val="00CC602E"/>
    <w:rsid w:val="00CC62E0"/>
    <w:rsid w:val="00CD05A2"/>
    <w:rsid w:val="00CD0EB5"/>
    <w:rsid w:val="00CD4255"/>
    <w:rsid w:val="00CD6D27"/>
    <w:rsid w:val="00CD6F65"/>
    <w:rsid w:val="00CE16E0"/>
    <w:rsid w:val="00CE5774"/>
    <w:rsid w:val="00CF1131"/>
    <w:rsid w:val="00CF3E4E"/>
    <w:rsid w:val="00CF5581"/>
    <w:rsid w:val="00D11C16"/>
    <w:rsid w:val="00D1214E"/>
    <w:rsid w:val="00D1374C"/>
    <w:rsid w:val="00D14FDB"/>
    <w:rsid w:val="00D150CA"/>
    <w:rsid w:val="00D15D3F"/>
    <w:rsid w:val="00D20BD0"/>
    <w:rsid w:val="00D2311D"/>
    <w:rsid w:val="00D27605"/>
    <w:rsid w:val="00D3638A"/>
    <w:rsid w:val="00D36521"/>
    <w:rsid w:val="00D408D1"/>
    <w:rsid w:val="00D41E4A"/>
    <w:rsid w:val="00D42C39"/>
    <w:rsid w:val="00D451FE"/>
    <w:rsid w:val="00D45B4E"/>
    <w:rsid w:val="00D4647D"/>
    <w:rsid w:val="00D50E23"/>
    <w:rsid w:val="00D531A3"/>
    <w:rsid w:val="00D55184"/>
    <w:rsid w:val="00D61BF4"/>
    <w:rsid w:val="00D627AE"/>
    <w:rsid w:val="00D62AA3"/>
    <w:rsid w:val="00D62DF9"/>
    <w:rsid w:val="00D64476"/>
    <w:rsid w:val="00D67274"/>
    <w:rsid w:val="00D67502"/>
    <w:rsid w:val="00D77566"/>
    <w:rsid w:val="00D90DB4"/>
    <w:rsid w:val="00D94283"/>
    <w:rsid w:val="00DA0583"/>
    <w:rsid w:val="00DA371A"/>
    <w:rsid w:val="00DA39C5"/>
    <w:rsid w:val="00DA621C"/>
    <w:rsid w:val="00DB2AD7"/>
    <w:rsid w:val="00DB3842"/>
    <w:rsid w:val="00DB4896"/>
    <w:rsid w:val="00DB4CA9"/>
    <w:rsid w:val="00DB5A55"/>
    <w:rsid w:val="00DB5CCD"/>
    <w:rsid w:val="00DB6227"/>
    <w:rsid w:val="00DB625D"/>
    <w:rsid w:val="00DB783D"/>
    <w:rsid w:val="00DC05C1"/>
    <w:rsid w:val="00DC289C"/>
    <w:rsid w:val="00DD34AD"/>
    <w:rsid w:val="00DE1DED"/>
    <w:rsid w:val="00DE264C"/>
    <w:rsid w:val="00DE5628"/>
    <w:rsid w:val="00DE6AD2"/>
    <w:rsid w:val="00DE6E1C"/>
    <w:rsid w:val="00DF2ACE"/>
    <w:rsid w:val="00DF4385"/>
    <w:rsid w:val="00E008D5"/>
    <w:rsid w:val="00E03491"/>
    <w:rsid w:val="00E04753"/>
    <w:rsid w:val="00E0544B"/>
    <w:rsid w:val="00E12C39"/>
    <w:rsid w:val="00E13871"/>
    <w:rsid w:val="00E16A37"/>
    <w:rsid w:val="00E25796"/>
    <w:rsid w:val="00E3155F"/>
    <w:rsid w:val="00E316DB"/>
    <w:rsid w:val="00E33BF6"/>
    <w:rsid w:val="00E33FB4"/>
    <w:rsid w:val="00E34DAB"/>
    <w:rsid w:val="00E3500C"/>
    <w:rsid w:val="00E35802"/>
    <w:rsid w:val="00E36FE2"/>
    <w:rsid w:val="00E40BF3"/>
    <w:rsid w:val="00E51F41"/>
    <w:rsid w:val="00E5691B"/>
    <w:rsid w:val="00E601F3"/>
    <w:rsid w:val="00E61505"/>
    <w:rsid w:val="00E6158B"/>
    <w:rsid w:val="00E63ACD"/>
    <w:rsid w:val="00E673D2"/>
    <w:rsid w:val="00E701E0"/>
    <w:rsid w:val="00E7209A"/>
    <w:rsid w:val="00E72220"/>
    <w:rsid w:val="00E74213"/>
    <w:rsid w:val="00E743A2"/>
    <w:rsid w:val="00E75269"/>
    <w:rsid w:val="00E76CD9"/>
    <w:rsid w:val="00E76CF8"/>
    <w:rsid w:val="00E80549"/>
    <w:rsid w:val="00E81FB4"/>
    <w:rsid w:val="00E85272"/>
    <w:rsid w:val="00E91E19"/>
    <w:rsid w:val="00E95106"/>
    <w:rsid w:val="00E95F26"/>
    <w:rsid w:val="00E96406"/>
    <w:rsid w:val="00EA023E"/>
    <w:rsid w:val="00EA0EBF"/>
    <w:rsid w:val="00EB034A"/>
    <w:rsid w:val="00EC0B2E"/>
    <w:rsid w:val="00EC386C"/>
    <w:rsid w:val="00ED1CC5"/>
    <w:rsid w:val="00ED47C6"/>
    <w:rsid w:val="00ED74EC"/>
    <w:rsid w:val="00ED79BB"/>
    <w:rsid w:val="00EE0957"/>
    <w:rsid w:val="00EE0E4E"/>
    <w:rsid w:val="00EF0715"/>
    <w:rsid w:val="00EF0B95"/>
    <w:rsid w:val="00EF1732"/>
    <w:rsid w:val="00EF195A"/>
    <w:rsid w:val="00EF3ABF"/>
    <w:rsid w:val="00EF636A"/>
    <w:rsid w:val="00EF6795"/>
    <w:rsid w:val="00EF776D"/>
    <w:rsid w:val="00EF7ECE"/>
    <w:rsid w:val="00EF7F86"/>
    <w:rsid w:val="00F03412"/>
    <w:rsid w:val="00F11FE7"/>
    <w:rsid w:val="00F142BF"/>
    <w:rsid w:val="00F1508D"/>
    <w:rsid w:val="00F155C6"/>
    <w:rsid w:val="00F16D00"/>
    <w:rsid w:val="00F30F6D"/>
    <w:rsid w:val="00F31F97"/>
    <w:rsid w:val="00F32CC7"/>
    <w:rsid w:val="00F336F6"/>
    <w:rsid w:val="00F35860"/>
    <w:rsid w:val="00F35BAB"/>
    <w:rsid w:val="00F36C1D"/>
    <w:rsid w:val="00F40E54"/>
    <w:rsid w:val="00F42C01"/>
    <w:rsid w:val="00F45261"/>
    <w:rsid w:val="00F46DA5"/>
    <w:rsid w:val="00F5243D"/>
    <w:rsid w:val="00F570F0"/>
    <w:rsid w:val="00F5755F"/>
    <w:rsid w:val="00F60020"/>
    <w:rsid w:val="00F62807"/>
    <w:rsid w:val="00F647CA"/>
    <w:rsid w:val="00F731D3"/>
    <w:rsid w:val="00F8002A"/>
    <w:rsid w:val="00F86BD3"/>
    <w:rsid w:val="00F96808"/>
    <w:rsid w:val="00F968DD"/>
    <w:rsid w:val="00FA172A"/>
    <w:rsid w:val="00FA2139"/>
    <w:rsid w:val="00FA63D5"/>
    <w:rsid w:val="00FA7F74"/>
    <w:rsid w:val="00FB0335"/>
    <w:rsid w:val="00FB3929"/>
    <w:rsid w:val="00FB3D18"/>
    <w:rsid w:val="00FB6988"/>
    <w:rsid w:val="00FB6B35"/>
    <w:rsid w:val="00FB6B9E"/>
    <w:rsid w:val="00FC0EF5"/>
    <w:rsid w:val="00FC2CB9"/>
    <w:rsid w:val="00FC5611"/>
    <w:rsid w:val="00FC5F8C"/>
    <w:rsid w:val="00FC79B6"/>
    <w:rsid w:val="00FD1CCB"/>
    <w:rsid w:val="00FE130F"/>
    <w:rsid w:val="00FE2767"/>
    <w:rsid w:val="00FE4902"/>
    <w:rsid w:val="00FF0DCF"/>
    <w:rsid w:val="00FF6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qFormat="1"/>
    <w:lsdException w:name="caption" w:uiPriority="35" w:qFormat="1"/>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FE4902"/>
    <w:pPr>
      <w:tabs>
        <w:tab w:val="left" w:pos="1008"/>
        <w:tab w:val="right" w:leader="dot" w:pos="9360"/>
      </w:tabs>
      <w:spacing w:after="240"/>
      <w:ind w:left="990" w:right="1080" w:hanging="990"/>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uiPriority w:val="39"/>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link w:val="FootnoteTextChar"/>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ParagraphLAST">
    <w:name w:val="Paragraph (LAST)"/>
    <w:basedOn w:val="Normal"/>
    <w:next w:val="Normal"/>
    <w:qFormat/>
    <w:rsid w:val="009A3B4A"/>
    <w:pPr>
      <w:spacing w:after="240"/>
    </w:pPr>
  </w:style>
  <w:style w:type="paragraph" w:customStyle="1" w:styleId="ParagraphLASTcontinued">
    <w:name w:val="Paragraph (LAST_continued)"/>
    <w:basedOn w:val="ParagraphLAST"/>
    <w:next w:val="Normal"/>
    <w:qFormat/>
    <w:rsid w:val="009A3B4A"/>
    <w:pPr>
      <w:ind w:firstLine="0"/>
    </w:pPr>
  </w:style>
  <w:style w:type="paragraph" w:customStyle="1" w:styleId="Bullet">
    <w:name w:val="Bullet"/>
    <w:qFormat/>
    <w:rsid w:val="009A3B4A"/>
    <w:pPr>
      <w:numPr>
        <w:numId w:val="17"/>
      </w:numPr>
      <w:spacing w:after="180"/>
      <w:ind w:right="360"/>
      <w:jc w:val="both"/>
    </w:pPr>
    <w:rPr>
      <w:rFonts w:ascii="Times New Roman" w:hAnsi="Times New Roman"/>
      <w:szCs w:val="20"/>
    </w:rPr>
  </w:style>
  <w:style w:type="character" w:styleId="CommentReference">
    <w:name w:val="annotation reference"/>
    <w:basedOn w:val="DefaultParagraphFont"/>
    <w:uiPriority w:val="99"/>
    <w:semiHidden/>
    <w:unhideWhenUsed/>
    <w:rsid w:val="009A3B4A"/>
    <w:rPr>
      <w:sz w:val="16"/>
      <w:szCs w:val="16"/>
    </w:rPr>
  </w:style>
  <w:style w:type="paragraph" w:styleId="CommentText">
    <w:name w:val="annotation text"/>
    <w:basedOn w:val="Normal"/>
    <w:link w:val="CommentTextChar"/>
    <w:uiPriority w:val="99"/>
    <w:unhideWhenUsed/>
    <w:rsid w:val="009A3B4A"/>
    <w:pPr>
      <w:tabs>
        <w:tab w:val="clear" w:pos="432"/>
      </w:tabs>
      <w:spacing w:after="200" w:line="240" w:lineRule="auto"/>
      <w:ind w:firstLine="0"/>
      <w:jc w:val="left"/>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9A3B4A"/>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9A3B4A"/>
    <w:pPr>
      <w:tabs>
        <w:tab w:val="left" w:pos="432"/>
      </w:tabs>
      <w:spacing w:after="0"/>
      <w:ind w:firstLine="432"/>
      <w:jc w:val="both"/>
    </w:pPr>
    <w:rPr>
      <w:rFonts w:ascii="Garamond" w:eastAsia="Times New Roman" w:hAnsi="Garamond" w:cs="Times New Roman"/>
      <w:b/>
      <w:bCs/>
    </w:rPr>
  </w:style>
  <w:style w:type="character" w:customStyle="1" w:styleId="CommentSubjectChar">
    <w:name w:val="Comment Subject Char"/>
    <w:basedOn w:val="CommentTextChar"/>
    <w:link w:val="CommentSubject"/>
    <w:uiPriority w:val="99"/>
    <w:semiHidden/>
    <w:rsid w:val="009A3B4A"/>
    <w:rPr>
      <w:rFonts w:asciiTheme="minorHAnsi" w:eastAsiaTheme="minorHAnsi" w:hAnsiTheme="minorHAnsi" w:cstheme="minorBidi"/>
      <w:b/>
      <w:bCs/>
      <w:sz w:val="20"/>
      <w:szCs w:val="20"/>
    </w:rPr>
  </w:style>
  <w:style w:type="character" w:styleId="Emphasis">
    <w:name w:val="Emphasis"/>
    <w:basedOn w:val="DefaultParagraphFont"/>
    <w:uiPriority w:val="20"/>
    <w:rsid w:val="009A3B4A"/>
    <w:rPr>
      <w:i/>
    </w:rPr>
  </w:style>
  <w:style w:type="paragraph" w:styleId="Revision">
    <w:name w:val="Revision"/>
    <w:hidden/>
    <w:uiPriority w:val="99"/>
    <w:semiHidden/>
    <w:rsid w:val="009A3B4A"/>
  </w:style>
  <w:style w:type="paragraph" w:customStyle="1" w:styleId="Default">
    <w:name w:val="Default"/>
    <w:rsid w:val="009A3B4A"/>
    <w:pPr>
      <w:autoSpaceDE w:val="0"/>
      <w:autoSpaceDN w:val="0"/>
      <w:adjustRightInd w:val="0"/>
    </w:pPr>
    <w:rPr>
      <w:rFonts w:ascii="Cambria" w:hAnsi="Cambria" w:cs="Cambria"/>
      <w:color w:val="000000"/>
    </w:rPr>
  </w:style>
  <w:style w:type="paragraph" w:styleId="PlainText">
    <w:name w:val="Plain Text"/>
    <w:basedOn w:val="Normal"/>
    <w:link w:val="PlainTextChar"/>
    <w:uiPriority w:val="99"/>
    <w:unhideWhenUsed/>
    <w:rsid w:val="009A3B4A"/>
    <w:pPr>
      <w:tabs>
        <w:tab w:val="clear" w:pos="432"/>
      </w:tabs>
      <w:spacing w:line="240" w:lineRule="auto"/>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9A3B4A"/>
    <w:rPr>
      <w:rFonts w:ascii="Consolas" w:eastAsiaTheme="minorHAnsi" w:hAnsi="Consolas" w:cstheme="minorBidi"/>
      <w:sz w:val="21"/>
      <w:szCs w:val="21"/>
    </w:rPr>
  </w:style>
  <w:style w:type="paragraph" w:customStyle="1" w:styleId="LastParagraph">
    <w:name w:val="Last Paragraph"/>
    <w:basedOn w:val="Normal"/>
    <w:next w:val="Normal"/>
    <w:rsid w:val="009A3B4A"/>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pPr>
    <w:rPr>
      <w:rFonts w:ascii="Times New Roman" w:hAnsi="Times New Roman"/>
      <w:szCs w:val="20"/>
    </w:rPr>
  </w:style>
  <w:style w:type="character" w:customStyle="1" w:styleId="FootnoteTextChar">
    <w:name w:val="Footnote Text Char"/>
    <w:basedOn w:val="DefaultParagraphFont"/>
    <w:link w:val="FootnoteText"/>
    <w:rsid w:val="009A3B4A"/>
    <w:rPr>
      <w:sz w:val="20"/>
    </w:rPr>
  </w:style>
  <w:style w:type="character" w:customStyle="1" w:styleId="Heading3Char">
    <w:name w:val="Heading 3 Char"/>
    <w:basedOn w:val="DefaultParagraphFont"/>
    <w:link w:val="Heading3"/>
    <w:rsid w:val="009A3B4A"/>
    <w:rPr>
      <w:b/>
    </w:rPr>
  </w:style>
  <w:style w:type="character" w:customStyle="1" w:styleId="FooterChar">
    <w:name w:val="Footer Char"/>
    <w:basedOn w:val="DefaultParagraphFont"/>
    <w:link w:val="Footer"/>
    <w:uiPriority w:val="99"/>
    <w:rsid w:val="009A3B4A"/>
  </w:style>
  <w:style w:type="paragraph" w:styleId="DocumentMap">
    <w:name w:val="Document Map"/>
    <w:basedOn w:val="Normal"/>
    <w:link w:val="DocumentMapChar"/>
    <w:uiPriority w:val="99"/>
    <w:semiHidden/>
    <w:unhideWhenUsed/>
    <w:rsid w:val="009A3B4A"/>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A3B4A"/>
    <w:rPr>
      <w:rFonts w:ascii="Tahoma" w:hAnsi="Tahoma" w:cs="Tahoma"/>
      <w:sz w:val="16"/>
      <w:szCs w:val="16"/>
    </w:rPr>
  </w:style>
  <w:style w:type="paragraph" w:customStyle="1" w:styleId="APP1">
    <w:name w:val="APP 1"/>
    <w:basedOn w:val="TOC1"/>
    <w:rsid w:val="009A3B4A"/>
    <w:pPr>
      <w:tabs>
        <w:tab w:val="clear" w:pos="1008"/>
        <w:tab w:val="center" w:pos="432"/>
      </w:tabs>
      <w:ind w:left="1440" w:right="0" w:hanging="1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qFormat="1"/>
    <w:lsdException w:name="caption" w:uiPriority="35" w:qFormat="1"/>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FE4902"/>
    <w:pPr>
      <w:tabs>
        <w:tab w:val="left" w:pos="1008"/>
        <w:tab w:val="right" w:leader="dot" w:pos="9360"/>
      </w:tabs>
      <w:spacing w:after="240"/>
      <w:ind w:left="990" w:right="1080" w:hanging="990"/>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uiPriority w:val="39"/>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link w:val="FootnoteTextChar"/>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ParagraphLAST">
    <w:name w:val="Paragraph (LAST)"/>
    <w:basedOn w:val="Normal"/>
    <w:next w:val="Normal"/>
    <w:qFormat/>
    <w:rsid w:val="009A3B4A"/>
    <w:pPr>
      <w:spacing w:after="240"/>
    </w:pPr>
  </w:style>
  <w:style w:type="paragraph" w:customStyle="1" w:styleId="ParagraphLASTcontinued">
    <w:name w:val="Paragraph (LAST_continued)"/>
    <w:basedOn w:val="ParagraphLAST"/>
    <w:next w:val="Normal"/>
    <w:qFormat/>
    <w:rsid w:val="009A3B4A"/>
    <w:pPr>
      <w:ind w:firstLine="0"/>
    </w:pPr>
  </w:style>
  <w:style w:type="paragraph" w:customStyle="1" w:styleId="Bullet">
    <w:name w:val="Bullet"/>
    <w:qFormat/>
    <w:rsid w:val="009A3B4A"/>
    <w:pPr>
      <w:numPr>
        <w:numId w:val="17"/>
      </w:numPr>
      <w:spacing w:after="180"/>
      <w:ind w:right="360"/>
      <w:jc w:val="both"/>
    </w:pPr>
    <w:rPr>
      <w:rFonts w:ascii="Times New Roman" w:hAnsi="Times New Roman"/>
      <w:szCs w:val="20"/>
    </w:rPr>
  </w:style>
  <w:style w:type="character" w:styleId="CommentReference">
    <w:name w:val="annotation reference"/>
    <w:basedOn w:val="DefaultParagraphFont"/>
    <w:uiPriority w:val="99"/>
    <w:semiHidden/>
    <w:unhideWhenUsed/>
    <w:rsid w:val="009A3B4A"/>
    <w:rPr>
      <w:sz w:val="16"/>
      <w:szCs w:val="16"/>
    </w:rPr>
  </w:style>
  <w:style w:type="paragraph" w:styleId="CommentText">
    <w:name w:val="annotation text"/>
    <w:basedOn w:val="Normal"/>
    <w:link w:val="CommentTextChar"/>
    <w:uiPriority w:val="99"/>
    <w:unhideWhenUsed/>
    <w:rsid w:val="009A3B4A"/>
    <w:pPr>
      <w:tabs>
        <w:tab w:val="clear" w:pos="432"/>
      </w:tabs>
      <w:spacing w:after="200" w:line="240" w:lineRule="auto"/>
      <w:ind w:firstLine="0"/>
      <w:jc w:val="left"/>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9A3B4A"/>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9A3B4A"/>
    <w:pPr>
      <w:tabs>
        <w:tab w:val="left" w:pos="432"/>
      </w:tabs>
      <w:spacing w:after="0"/>
      <w:ind w:firstLine="432"/>
      <w:jc w:val="both"/>
    </w:pPr>
    <w:rPr>
      <w:rFonts w:ascii="Garamond" w:eastAsia="Times New Roman" w:hAnsi="Garamond" w:cs="Times New Roman"/>
      <w:b/>
      <w:bCs/>
    </w:rPr>
  </w:style>
  <w:style w:type="character" w:customStyle="1" w:styleId="CommentSubjectChar">
    <w:name w:val="Comment Subject Char"/>
    <w:basedOn w:val="CommentTextChar"/>
    <w:link w:val="CommentSubject"/>
    <w:uiPriority w:val="99"/>
    <w:semiHidden/>
    <w:rsid w:val="009A3B4A"/>
    <w:rPr>
      <w:rFonts w:asciiTheme="minorHAnsi" w:eastAsiaTheme="minorHAnsi" w:hAnsiTheme="minorHAnsi" w:cstheme="minorBidi"/>
      <w:b/>
      <w:bCs/>
      <w:sz w:val="20"/>
      <w:szCs w:val="20"/>
    </w:rPr>
  </w:style>
  <w:style w:type="character" w:styleId="Emphasis">
    <w:name w:val="Emphasis"/>
    <w:basedOn w:val="DefaultParagraphFont"/>
    <w:uiPriority w:val="20"/>
    <w:rsid w:val="009A3B4A"/>
    <w:rPr>
      <w:i/>
    </w:rPr>
  </w:style>
  <w:style w:type="paragraph" w:styleId="Revision">
    <w:name w:val="Revision"/>
    <w:hidden/>
    <w:uiPriority w:val="99"/>
    <w:semiHidden/>
    <w:rsid w:val="009A3B4A"/>
  </w:style>
  <w:style w:type="paragraph" w:customStyle="1" w:styleId="Default">
    <w:name w:val="Default"/>
    <w:rsid w:val="009A3B4A"/>
    <w:pPr>
      <w:autoSpaceDE w:val="0"/>
      <w:autoSpaceDN w:val="0"/>
      <w:adjustRightInd w:val="0"/>
    </w:pPr>
    <w:rPr>
      <w:rFonts w:ascii="Cambria" w:hAnsi="Cambria" w:cs="Cambria"/>
      <w:color w:val="000000"/>
    </w:rPr>
  </w:style>
  <w:style w:type="paragraph" w:styleId="PlainText">
    <w:name w:val="Plain Text"/>
    <w:basedOn w:val="Normal"/>
    <w:link w:val="PlainTextChar"/>
    <w:uiPriority w:val="99"/>
    <w:unhideWhenUsed/>
    <w:rsid w:val="009A3B4A"/>
    <w:pPr>
      <w:tabs>
        <w:tab w:val="clear" w:pos="432"/>
      </w:tabs>
      <w:spacing w:line="240" w:lineRule="auto"/>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9A3B4A"/>
    <w:rPr>
      <w:rFonts w:ascii="Consolas" w:eastAsiaTheme="minorHAnsi" w:hAnsi="Consolas" w:cstheme="minorBidi"/>
      <w:sz w:val="21"/>
      <w:szCs w:val="21"/>
    </w:rPr>
  </w:style>
  <w:style w:type="paragraph" w:customStyle="1" w:styleId="LastParagraph">
    <w:name w:val="Last Paragraph"/>
    <w:basedOn w:val="Normal"/>
    <w:next w:val="Normal"/>
    <w:rsid w:val="009A3B4A"/>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240" w:line="240" w:lineRule="auto"/>
    </w:pPr>
    <w:rPr>
      <w:rFonts w:ascii="Times New Roman" w:hAnsi="Times New Roman"/>
      <w:szCs w:val="20"/>
    </w:rPr>
  </w:style>
  <w:style w:type="character" w:customStyle="1" w:styleId="FootnoteTextChar">
    <w:name w:val="Footnote Text Char"/>
    <w:basedOn w:val="DefaultParagraphFont"/>
    <w:link w:val="FootnoteText"/>
    <w:rsid w:val="009A3B4A"/>
    <w:rPr>
      <w:sz w:val="20"/>
    </w:rPr>
  </w:style>
  <w:style w:type="character" w:customStyle="1" w:styleId="Heading3Char">
    <w:name w:val="Heading 3 Char"/>
    <w:basedOn w:val="DefaultParagraphFont"/>
    <w:link w:val="Heading3"/>
    <w:rsid w:val="009A3B4A"/>
    <w:rPr>
      <w:b/>
    </w:rPr>
  </w:style>
  <w:style w:type="character" w:customStyle="1" w:styleId="FooterChar">
    <w:name w:val="Footer Char"/>
    <w:basedOn w:val="DefaultParagraphFont"/>
    <w:link w:val="Footer"/>
    <w:uiPriority w:val="99"/>
    <w:rsid w:val="009A3B4A"/>
  </w:style>
  <w:style w:type="paragraph" w:styleId="DocumentMap">
    <w:name w:val="Document Map"/>
    <w:basedOn w:val="Normal"/>
    <w:link w:val="DocumentMapChar"/>
    <w:uiPriority w:val="99"/>
    <w:semiHidden/>
    <w:unhideWhenUsed/>
    <w:rsid w:val="009A3B4A"/>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A3B4A"/>
    <w:rPr>
      <w:rFonts w:ascii="Tahoma" w:hAnsi="Tahoma" w:cs="Tahoma"/>
      <w:sz w:val="16"/>
      <w:szCs w:val="16"/>
    </w:rPr>
  </w:style>
  <w:style w:type="paragraph" w:customStyle="1" w:styleId="APP1">
    <w:name w:val="APP 1"/>
    <w:basedOn w:val="TOC1"/>
    <w:rsid w:val="009A3B4A"/>
    <w:pPr>
      <w:tabs>
        <w:tab w:val="clear" w:pos="1008"/>
        <w:tab w:val="center" w:pos="432"/>
      </w:tabs>
      <w:ind w:left="1440" w:right="0" w:hanging="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141123">
      <w:bodyDiv w:val="1"/>
      <w:marLeft w:val="0"/>
      <w:marRight w:val="0"/>
      <w:marTop w:val="0"/>
      <w:marBottom w:val="0"/>
      <w:divBdr>
        <w:top w:val="none" w:sz="0" w:space="0" w:color="auto"/>
        <w:left w:val="none" w:sz="0" w:space="0" w:color="auto"/>
        <w:bottom w:val="none" w:sz="0" w:space="0" w:color="auto"/>
        <w:right w:val="none" w:sz="0" w:space="0" w:color="auto"/>
      </w:divBdr>
    </w:div>
    <w:div w:id="195278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2.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oter" Target="footer3.xml"/><Relationship Id="rId10" Type="http://schemas.openxmlformats.org/officeDocument/2006/relationships/styles" Target="styl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009C1EFB5F744AAA981BA8C505A621" ma:contentTypeVersion="0" ma:contentTypeDescription="Create a new document." ma:contentTypeScope="" ma:versionID="dea04c92c8be3c9c61c8f03dfe536a7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6009C1EFB5F744AAA981BA8C505A621" ma:contentTypeVersion="0" ma:contentTypeDescription="Create a new document." ma:contentTypeScope="" ma:versionID="dea04c92c8be3c9c61c8f03dfe536a7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A9917-42AB-4F7F-ABEE-328DFFCC09A7}">
  <ds:schemaRefs>
    <ds:schemaRef ds:uri="http://schemas.microsoft.com/sharepoint/v3/contenttype/forms"/>
  </ds:schemaRefs>
</ds:datastoreItem>
</file>

<file path=customXml/itemProps2.xml><?xml version="1.0" encoding="utf-8"?>
<ds:datastoreItem xmlns:ds="http://schemas.openxmlformats.org/officeDocument/2006/customXml" ds:itemID="{5A9E8C53-91AD-4395-B80A-763269897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8AD5365-11DA-4B63-99C6-DD391B4DE23D}">
  <ds:schemaRefs>
    <ds:schemaRef ds:uri="http://schemas.microsoft.com/sharepoint/v3/contenttype/forms"/>
  </ds:schemaRefs>
</ds:datastoreItem>
</file>

<file path=customXml/itemProps4.xml><?xml version="1.0" encoding="utf-8"?>
<ds:datastoreItem xmlns:ds="http://schemas.openxmlformats.org/officeDocument/2006/customXml" ds:itemID="{8D6D9E70-96E7-4E4F-B33C-B812D05F597C}">
  <ds:schemaRefs>
    <ds:schemaRef ds:uri="http://schemas.microsoft.com/office/2006/metadata/properties"/>
    <ds:schemaRef ds:uri="http://purl.org/dc/elements/1.1/"/>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E630DBA1-CDED-4720-A298-9F98482DC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B8CB9E93-DFDB-445D-9809-5E29F81DD7C0}">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dcmitype/"/>
    <ds:schemaRef ds:uri="http://www.w3.org/XML/1998/namespace"/>
    <ds:schemaRef ds:uri="http://purl.org/dc/elements/1.1/"/>
  </ds:schemaRefs>
</ds:datastoreItem>
</file>

<file path=customXml/itemProps7.xml><?xml version="1.0" encoding="utf-8"?>
<ds:datastoreItem xmlns:ds="http://schemas.openxmlformats.org/officeDocument/2006/customXml" ds:itemID="{0E022AFB-3FB2-4350-966E-2B0CB485D070}">
  <ds:schemaRefs>
    <ds:schemaRef ds:uri="http://schemas.openxmlformats.org/officeDocument/2006/bibliography"/>
  </ds:schemaRefs>
</ds:datastoreItem>
</file>

<file path=customXml/itemProps8.xml><?xml version="1.0" encoding="utf-8"?>
<ds:datastoreItem xmlns:ds="http://schemas.openxmlformats.org/officeDocument/2006/customXml" ds:itemID="{F383E8BE-2190-4F7A-9AE2-577BF85C4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2370</Words>
  <Characters>13740</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16078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Dorsey</dc:creator>
  <cp:lastModifiedBy>Erica Johnson</cp:lastModifiedBy>
  <cp:revision>2</cp:revision>
  <cp:lastPrinted>2013-04-03T13:22:00Z</cp:lastPrinted>
  <dcterms:created xsi:type="dcterms:W3CDTF">2013-04-05T18:15:00Z</dcterms:created>
  <dcterms:modified xsi:type="dcterms:W3CDTF">2013-04-05T18:15:00Z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0x01010006009C1EFB5F744AAA981BA8C505A621</vt:lpwstr>
  </property>
</Properties>
</file>