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A7" w:rsidRDefault="00BF46A7" w:rsidP="000E48A3">
      <w:pPr>
        <w:pStyle w:val="Title"/>
        <w:spacing w:after="0" w:line="240" w:lineRule="auto"/>
      </w:pPr>
      <w:r>
        <w:t>TABLE OF CONTENTS</w:t>
      </w:r>
    </w:p>
    <w:p w:rsidR="00ED4ACB" w:rsidRDefault="009720AA">
      <w:pPr>
        <w:pStyle w:val="TOC1"/>
        <w:rPr>
          <w:rFonts w:asciiTheme="minorHAnsi" w:eastAsiaTheme="minorEastAsia" w:hAnsiTheme="minorHAnsi" w:cstheme="minorBidi"/>
          <w:noProof/>
          <w:sz w:val="22"/>
          <w:szCs w:val="22"/>
        </w:rPr>
      </w:pPr>
      <w:r>
        <w:fldChar w:fldCharType="begin"/>
      </w:r>
      <w:r w:rsidR="00BF46A7">
        <w:instrText xml:space="preserve"> TOC \h \z \t "Heading 1,1,Heading 2,2,Heading 3,3" </w:instrText>
      </w:r>
      <w:r>
        <w:fldChar w:fldCharType="separate"/>
      </w:r>
      <w:hyperlink w:anchor="_Toc352603603" w:history="1">
        <w:r w:rsidR="00ED4ACB" w:rsidRPr="00CC2B39">
          <w:rPr>
            <w:rStyle w:val="Hyperlink"/>
            <w:noProof/>
          </w:rPr>
          <w:t>A.</w:t>
        </w:r>
        <w:r w:rsidR="00ED4ACB">
          <w:rPr>
            <w:rFonts w:asciiTheme="minorHAnsi" w:eastAsiaTheme="minorEastAsia" w:hAnsiTheme="minorHAnsi" w:cstheme="minorBidi"/>
            <w:noProof/>
            <w:sz w:val="22"/>
            <w:szCs w:val="22"/>
          </w:rPr>
          <w:tab/>
        </w:r>
        <w:r w:rsidR="00ED4ACB" w:rsidRPr="00CC2B39">
          <w:rPr>
            <w:rStyle w:val="Hyperlink"/>
            <w:noProof/>
          </w:rPr>
          <w:t>Justification</w:t>
        </w:r>
        <w:r w:rsidR="00ED4ACB">
          <w:rPr>
            <w:noProof/>
            <w:webHidden/>
          </w:rPr>
          <w:tab/>
        </w:r>
        <w:r w:rsidR="00ED4ACB">
          <w:rPr>
            <w:noProof/>
            <w:webHidden/>
          </w:rPr>
          <w:fldChar w:fldCharType="begin"/>
        </w:r>
        <w:r w:rsidR="00ED4ACB">
          <w:rPr>
            <w:noProof/>
            <w:webHidden/>
          </w:rPr>
          <w:instrText xml:space="preserve"> PAGEREF _Toc352603603 \h </w:instrText>
        </w:r>
        <w:r w:rsidR="00ED4ACB">
          <w:rPr>
            <w:noProof/>
            <w:webHidden/>
          </w:rPr>
        </w:r>
        <w:r w:rsidR="00ED4ACB">
          <w:rPr>
            <w:noProof/>
            <w:webHidden/>
          </w:rPr>
          <w:fldChar w:fldCharType="separate"/>
        </w:r>
        <w:r w:rsidR="00ED4ACB">
          <w:rPr>
            <w:noProof/>
            <w:webHidden/>
          </w:rPr>
          <w:t>3</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4" w:history="1">
        <w:r w:rsidR="00ED4ACB" w:rsidRPr="00CC2B39">
          <w:rPr>
            <w:rStyle w:val="Hyperlink"/>
            <w:noProof/>
          </w:rPr>
          <w:t xml:space="preserve">A.1. </w:t>
        </w:r>
        <w:r w:rsidR="00ED4ACB">
          <w:rPr>
            <w:rFonts w:asciiTheme="minorHAnsi" w:eastAsiaTheme="minorEastAsia" w:hAnsiTheme="minorHAnsi" w:cstheme="minorBidi"/>
            <w:noProof/>
            <w:sz w:val="22"/>
            <w:szCs w:val="22"/>
          </w:rPr>
          <w:tab/>
        </w:r>
        <w:r w:rsidR="00ED4ACB" w:rsidRPr="00CC2B39">
          <w:rPr>
            <w:rStyle w:val="Hyperlink"/>
            <w:noProof/>
          </w:rPr>
          <w:t>Circumstances That Make the Collection of Information Necessary</w:t>
        </w:r>
        <w:r w:rsidR="00ED4ACB">
          <w:rPr>
            <w:noProof/>
            <w:webHidden/>
          </w:rPr>
          <w:tab/>
        </w:r>
        <w:r w:rsidR="00ED4ACB">
          <w:rPr>
            <w:noProof/>
            <w:webHidden/>
          </w:rPr>
          <w:fldChar w:fldCharType="begin"/>
        </w:r>
        <w:r w:rsidR="00ED4ACB">
          <w:rPr>
            <w:noProof/>
            <w:webHidden/>
          </w:rPr>
          <w:instrText xml:space="preserve"> PAGEREF _Toc352603604 \h </w:instrText>
        </w:r>
        <w:r w:rsidR="00ED4ACB">
          <w:rPr>
            <w:noProof/>
            <w:webHidden/>
          </w:rPr>
        </w:r>
        <w:r w:rsidR="00ED4ACB">
          <w:rPr>
            <w:noProof/>
            <w:webHidden/>
          </w:rPr>
          <w:fldChar w:fldCharType="separate"/>
        </w:r>
        <w:r w:rsidR="00ED4ACB">
          <w:rPr>
            <w:noProof/>
            <w:webHidden/>
          </w:rPr>
          <w:t>3</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5" w:history="1">
        <w:r w:rsidR="00ED4ACB" w:rsidRPr="00CC2B39">
          <w:rPr>
            <w:rStyle w:val="Hyperlink"/>
            <w:noProof/>
          </w:rPr>
          <w:t>A.2.</w:t>
        </w:r>
        <w:r w:rsidR="00ED4ACB">
          <w:rPr>
            <w:rFonts w:asciiTheme="minorHAnsi" w:eastAsiaTheme="minorEastAsia" w:hAnsiTheme="minorHAnsi" w:cstheme="minorBidi"/>
            <w:noProof/>
            <w:sz w:val="22"/>
            <w:szCs w:val="22"/>
          </w:rPr>
          <w:tab/>
        </w:r>
        <w:r w:rsidR="00ED4ACB" w:rsidRPr="00CC2B39">
          <w:rPr>
            <w:rStyle w:val="Hyperlink"/>
            <w:noProof/>
          </w:rPr>
          <w:t>Purpose and Use of Information Collection</w:t>
        </w:r>
        <w:r w:rsidR="00ED4ACB">
          <w:rPr>
            <w:noProof/>
            <w:webHidden/>
          </w:rPr>
          <w:tab/>
        </w:r>
        <w:r w:rsidR="00ED4ACB">
          <w:rPr>
            <w:noProof/>
            <w:webHidden/>
          </w:rPr>
          <w:fldChar w:fldCharType="begin"/>
        </w:r>
        <w:r w:rsidR="00ED4ACB">
          <w:rPr>
            <w:noProof/>
            <w:webHidden/>
          </w:rPr>
          <w:instrText xml:space="preserve"> PAGEREF _Toc352603605 \h </w:instrText>
        </w:r>
        <w:r w:rsidR="00ED4ACB">
          <w:rPr>
            <w:noProof/>
            <w:webHidden/>
          </w:rPr>
        </w:r>
        <w:r w:rsidR="00ED4ACB">
          <w:rPr>
            <w:noProof/>
            <w:webHidden/>
          </w:rPr>
          <w:fldChar w:fldCharType="separate"/>
        </w:r>
        <w:r w:rsidR="00ED4ACB">
          <w:rPr>
            <w:noProof/>
            <w:webHidden/>
          </w:rPr>
          <w:t>4</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6" w:history="1">
        <w:r w:rsidR="00ED4ACB" w:rsidRPr="00CC2B39">
          <w:rPr>
            <w:rStyle w:val="Hyperlink"/>
            <w:noProof/>
          </w:rPr>
          <w:t>A.3.</w:t>
        </w:r>
        <w:r w:rsidR="00ED4ACB">
          <w:rPr>
            <w:rFonts w:asciiTheme="minorHAnsi" w:eastAsiaTheme="minorEastAsia" w:hAnsiTheme="minorHAnsi" w:cstheme="minorBidi"/>
            <w:noProof/>
            <w:sz w:val="22"/>
            <w:szCs w:val="22"/>
          </w:rPr>
          <w:tab/>
        </w:r>
        <w:r w:rsidR="00ED4ACB" w:rsidRPr="00CC2B39">
          <w:rPr>
            <w:rStyle w:val="Hyperlink"/>
            <w:noProof/>
          </w:rPr>
          <w:t>Use of Improved Information Technology and Burden Reduction</w:t>
        </w:r>
        <w:r w:rsidR="00ED4ACB">
          <w:rPr>
            <w:noProof/>
            <w:webHidden/>
          </w:rPr>
          <w:tab/>
        </w:r>
        <w:r w:rsidR="00ED4ACB">
          <w:rPr>
            <w:noProof/>
            <w:webHidden/>
          </w:rPr>
          <w:fldChar w:fldCharType="begin"/>
        </w:r>
        <w:r w:rsidR="00ED4ACB">
          <w:rPr>
            <w:noProof/>
            <w:webHidden/>
          </w:rPr>
          <w:instrText xml:space="preserve"> PAGEREF _Toc352603606 \h </w:instrText>
        </w:r>
        <w:r w:rsidR="00ED4ACB">
          <w:rPr>
            <w:noProof/>
            <w:webHidden/>
          </w:rPr>
        </w:r>
        <w:r w:rsidR="00ED4ACB">
          <w:rPr>
            <w:noProof/>
            <w:webHidden/>
          </w:rPr>
          <w:fldChar w:fldCharType="separate"/>
        </w:r>
        <w:r w:rsidR="00ED4ACB">
          <w:rPr>
            <w:noProof/>
            <w:webHidden/>
          </w:rPr>
          <w:t>5</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7" w:history="1">
        <w:r w:rsidR="00ED4ACB" w:rsidRPr="00CC2B39">
          <w:rPr>
            <w:rStyle w:val="Hyperlink"/>
            <w:noProof/>
          </w:rPr>
          <w:t>A.4.</w:t>
        </w:r>
        <w:r w:rsidR="00ED4ACB">
          <w:rPr>
            <w:rFonts w:asciiTheme="minorHAnsi" w:eastAsiaTheme="minorEastAsia" w:hAnsiTheme="minorHAnsi" w:cstheme="minorBidi"/>
            <w:noProof/>
            <w:sz w:val="22"/>
            <w:szCs w:val="22"/>
          </w:rPr>
          <w:tab/>
        </w:r>
        <w:r w:rsidR="00ED4ACB" w:rsidRPr="00CC2B39">
          <w:rPr>
            <w:rStyle w:val="Hyperlink"/>
            <w:noProof/>
          </w:rPr>
          <w:t>Efforts to Identify Duplication</w:t>
        </w:r>
        <w:r w:rsidR="00ED4ACB">
          <w:rPr>
            <w:noProof/>
            <w:webHidden/>
          </w:rPr>
          <w:tab/>
        </w:r>
        <w:r w:rsidR="00ED4ACB">
          <w:rPr>
            <w:noProof/>
            <w:webHidden/>
          </w:rPr>
          <w:fldChar w:fldCharType="begin"/>
        </w:r>
        <w:r w:rsidR="00ED4ACB">
          <w:rPr>
            <w:noProof/>
            <w:webHidden/>
          </w:rPr>
          <w:instrText xml:space="preserve"> PAGEREF _Toc352603607 \h </w:instrText>
        </w:r>
        <w:r w:rsidR="00ED4ACB">
          <w:rPr>
            <w:noProof/>
            <w:webHidden/>
          </w:rPr>
        </w:r>
        <w:r w:rsidR="00ED4ACB">
          <w:rPr>
            <w:noProof/>
            <w:webHidden/>
          </w:rPr>
          <w:fldChar w:fldCharType="separate"/>
        </w:r>
        <w:r w:rsidR="00ED4ACB">
          <w:rPr>
            <w:noProof/>
            <w:webHidden/>
          </w:rPr>
          <w:t>6</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8" w:history="1">
        <w:r w:rsidR="00ED4ACB" w:rsidRPr="00CC2B39">
          <w:rPr>
            <w:rStyle w:val="Hyperlink"/>
            <w:noProof/>
          </w:rPr>
          <w:t>A.5.</w:t>
        </w:r>
        <w:r w:rsidR="00ED4ACB">
          <w:rPr>
            <w:rFonts w:asciiTheme="minorHAnsi" w:eastAsiaTheme="minorEastAsia" w:hAnsiTheme="minorHAnsi" w:cstheme="minorBidi"/>
            <w:noProof/>
            <w:sz w:val="22"/>
            <w:szCs w:val="22"/>
          </w:rPr>
          <w:tab/>
        </w:r>
        <w:r w:rsidR="00ED4ACB" w:rsidRPr="00CC2B39">
          <w:rPr>
            <w:rStyle w:val="Hyperlink"/>
            <w:noProof/>
          </w:rPr>
          <w:t>Impact on Small Businesses or Other Small Entities</w:t>
        </w:r>
        <w:r w:rsidR="00ED4ACB">
          <w:rPr>
            <w:noProof/>
            <w:webHidden/>
          </w:rPr>
          <w:tab/>
        </w:r>
        <w:r w:rsidR="00ED4ACB">
          <w:rPr>
            <w:noProof/>
            <w:webHidden/>
          </w:rPr>
          <w:fldChar w:fldCharType="begin"/>
        </w:r>
        <w:r w:rsidR="00ED4ACB">
          <w:rPr>
            <w:noProof/>
            <w:webHidden/>
          </w:rPr>
          <w:instrText xml:space="preserve"> PAGEREF _Toc352603608 \h </w:instrText>
        </w:r>
        <w:r w:rsidR="00ED4ACB">
          <w:rPr>
            <w:noProof/>
            <w:webHidden/>
          </w:rPr>
        </w:r>
        <w:r w:rsidR="00ED4ACB">
          <w:rPr>
            <w:noProof/>
            <w:webHidden/>
          </w:rPr>
          <w:fldChar w:fldCharType="separate"/>
        </w:r>
        <w:r w:rsidR="00ED4ACB">
          <w:rPr>
            <w:noProof/>
            <w:webHidden/>
          </w:rPr>
          <w:t>6</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09" w:history="1">
        <w:r w:rsidR="00ED4ACB" w:rsidRPr="00CC2B39">
          <w:rPr>
            <w:rStyle w:val="Hyperlink"/>
            <w:noProof/>
          </w:rPr>
          <w:t>A.6.</w:t>
        </w:r>
        <w:r w:rsidR="00ED4ACB">
          <w:rPr>
            <w:rFonts w:asciiTheme="minorHAnsi" w:eastAsiaTheme="minorEastAsia" w:hAnsiTheme="minorHAnsi" w:cstheme="minorBidi"/>
            <w:noProof/>
            <w:sz w:val="22"/>
            <w:szCs w:val="22"/>
          </w:rPr>
          <w:tab/>
        </w:r>
        <w:r w:rsidR="00ED4ACB" w:rsidRPr="00CC2B39">
          <w:rPr>
            <w:rStyle w:val="Hyperlink"/>
            <w:noProof/>
          </w:rPr>
          <w:t>Consequences if Information Collected Less Frequently</w:t>
        </w:r>
        <w:r w:rsidR="00ED4ACB">
          <w:rPr>
            <w:noProof/>
            <w:webHidden/>
          </w:rPr>
          <w:tab/>
        </w:r>
        <w:r w:rsidR="00ED4ACB">
          <w:rPr>
            <w:noProof/>
            <w:webHidden/>
          </w:rPr>
          <w:fldChar w:fldCharType="begin"/>
        </w:r>
        <w:r w:rsidR="00ED4ACB">
          <w:rPr>
            <w:noProof/>
            <w:webHidden/>
          </w:rPr>
          <w:instrText xml:space="preserve"> PAGEREF _Toc352603609 \h </w:instrText>
        </w:r>
        <w:r w:rsidR="00ED4ACB">
          <w:rPr>
            <w:noProof/>
            <w:webHidden/>
          </w:rPr>
        </w:r>
        <w:r w:rsidR="00ED4ACB">
          <w:rPr>
            <w:noProof/>
            <w:webHidden/>
          </w:rPr>
          <w:fldChar w:fldCharType="separate"/>
        </w:r>
        <w:r w:rsidR="00ED4ACB">
          <w:rPr>
            <w:noProof/>
            <w:webHidden/>
          </w:rPr>
          <w:t>7</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0" w:history="1">
        <w:r w:rsidR="00ED4ACB" w:rsidRPr="00CC2B39">
          <w:rPr>
            <w:rStyle w:val="Hyperlink"/>
            <w:noProof/>
          </w:rPr>
          <w:t>A.7.</w:t>
        </w:r>
        <w:r w:rsidR="00ED4ACB">
          <w:rPr>
            <w:rFonts w:asciiTheme="minorHAnsi" w:eastAsiaTheme="minorEastAsia" w:hAnsiTheme="minorHAnsi" w:cstheme="minorBidi"/>
            <w:noProof/>
            <w:sz w:val="22"/>
            <w:szCs w:val="22"/>
          </w:rPr>
          <w:tab/>
        </w:r>
        <w:r w:rsidR="00ED4ACB" w:rsidRPr="00CC2B39">
          <w:rPr>
            <w:rStyle w:val="Hyperlink"/>
            <w:noProof/>
          </w:rPr>
          <w:t>Consistency with Guidelines of 5 CFR 1320.8(d)</w:t>
        </w:r>
        <w:r w:rsidR="00ED4ACB">
          <w:rPr>
            <w:noProof/>
            <w:webHidden/>
          </w:rPr>
          <w:tab/>
        </w:r>
        <w:r w:rsidR="00ED4ACB">
          <w:rPr>
            <w:noProof/>
            <w:webHidden/>
          </w:rPr>
          <w:fldChar w:fldCharType="begin"/>
        </w:r>
        <w:r w:rsidR="00ED4ACB">
          <w:rPr>
            <w:noProof/>
            <w:webHidden/>
          </w:rPr>
          <w:instrText xml:space="preserve"> PAGEREF _Toc352603610 \h </w:instrText>
        </w:r>
        <w:r w:rsidR="00ED4ACB">
          <w:rPr>
            <w:noProof/>
            <w:webHidden/>
          </w:rPr>
        </w:r>
        <w:r w:rsidR="00ED4ACB">
          <w:rPr>
            <w:noProof/>
            <w:webHidden/>
          </w:rPr>
          <w:fldChar w:fldCharType="separate"/>
        </w:r>
        <w:r w:rsidR="00ED4ACB">
          <w:rPr>
            <w:noProof/>
            <w:webHidden/>
          </w:rPr>
          <w:t>7</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1" w:history="1">
        <w:r w:rsidR="00ED4ACB" w:rsidRPr="00CC2B39">
          <w:rPr>
            <w:rStyle w:val="Hyperlink"/>
            <w:noProof/>
          </w:rPr>
          <w:t>A.8.</w:t>
        </w:r>
        <w:r w:rsidR="00ED4ACB">
          <w:rPr>
            <w:rFonts w:asciiTheme="minorHAnsi" w:eastAsiaTheme="minorEastAsia" w:hAnsiTheme="minorHAnsi" w:cstheme="minorBidi"/>
            <w:noProof/>
            <w:sz w:val="22"/>
            <w:szCs w:val="22"/>
          </w:rPr>
          <w:tab/>
        </w:r>
        <w:r w:rsidR="00ED4ACB" w:rsidRPr="00CC2B39">
          <w:rPr>
            <w:rStyle w:val="Hyperlink"/>
            <w:noProof/>
          </w:rPr>
          <w:t xml:space="preserve">Comments in Response to the </w:t>
        </w:r>
        <w:r w:rsidR="00ED4ACB" w:rsidRPr="00CC2B39">
          <w:rPr>
            <w:rStyle w:val="Hyperlink"/>
            <w:i/>
            <w:noProof/>
          </w:rPr>
          <w:t xml:space="preserve">Federal Register </w:t>
        </w:r>
        <w:r w:rsidR="00ED4ACB" w:rsidRPr="00CC2B39">
          <w:rPr>
            <w:rStyle w:val="Hyperlink"/>
            <w:noProof/>
          </w:rPr>
          <w:t>Notice and Efforts to Consult Outside the Agency</w:t>
        </w:r>
        <w:r w:rsidR="00ED4ACB">
          <w:rPr>
            <w:noProof/>
            <w:webHidden/>
          </w:rPr>
          <w:tab/>
        </w:r>
        <w:r w:rsidR="00ED4ACB">
          <w:rPr>
            <w:noProof/>
            <w:webHidden/>
          </w:rPr>
          <w:fldChar w:fldCharType="begin"/>
        </w:r>
        <w:r w:rsidR="00ED4ACB">
          <w:rPr>
            <w:noProof/>
            <w:webHidden/>
          </w:rPr>
          <w:instrText xml:space="preserve"> PAGEREF _Toc352603611 \h </w:instrText>
        </w:r>
        <w:r w:rsidR="00ED4ACB">
          <w:rPr>
            <w:noProof/>
            <w:webHidden/>
          </w:rPr>
        </w:r>
        <w:r w:rsidR="00ED4ACB">
          <w:rPr>
            <w:noProof/>
            <w:webHidden/>
          </w:rPr>
          <w:fldChar w:fldCharType="separate"/>
        </w:r>
        <w:r w:rsidR="00ED4ACB">
          <w:rPr>
            <w:noProof/>
            <w:webHidden/>
          </w:rPr>
          <w:t>7</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2" w:history="1">
        <w:r w:rsidR="00ED4ACB" w:rsidRPr="00CC2B39">
          <w:rPr>
            <w:rStyle w:val="Hyperlink"/>
            <w:noProof/>
          </w:rPr>
          <w:t>A.9.</w:t>
        </w:r>
        <w:r w:rsidR="00ED4ACB">
          <w:rPr>
            <w:rFonts w:asciiTheme="minorHAnsi" w:eastAsiaTheme="minorEastAsia" w:hAnsiTheme="minorHAnsi" w:cstheme="minorBidi"/>
            <w:noProof/>
            <w:sz w:val="22"/>
            <w:szCs w:val="22"/>
          </w:rPr>
          <w:tab/>
        </w:r>
        <w:r w:rsidR="00ED4ACB" w:rsidRPr="00CC2B39">
          <w:rPr>
            <w:rStyle w:val="Hyperlink"/>
            <w:noProof/>
          </w:rPr>
          <w:t>Explanation of any Payment or Gift to Respondents</w:t>
        </w:r>
        <w:r w:rsidR="00ED4ACB">
          <w:rPr>
            <w:noProof/>
            <w:webHidden/>
          </w:rPr>
          <w:tab/>
        </w:r>
        <w:r w:rsidR="00ED4ACB">
          <w:rPr>
            <w:noProof/>
            <w:webHidden/>
          </w:rPr>
          <w:fldChar w:fldCharType="begin"/>
        </w:r>
        <w:r w:rsidR="00ED4ACB">
          <w:rPr>
            <w:noProof/>
            <w:webHidden/>
          </w:rPr>
          <w:instrText xml:space="preserve"> PAGEREF _Toc352603612 \h </w:instrText>
        </w:r>
        <w:r w:rsidR="00ED4ACB">
          <w:rPr>
            <w:noProof/>
            <w:webHidden/>
          </w:rPr>
        </w:r>
        <w:r w:rsidR="00ED4ACB">
          <w:rPr>
            <w:noProof/>
            <w:webHidden/>
          </w:rPr>
          <w:fldChar w:fldCharType="separate"/>
        </w:r>
        <w:r w:rsidR="00ED4ACB">
          <w:rPr>
            <w:noProof/>
            <w:webHidden/>
          </w:rPr>
          <w:t>8</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3" w:history="1">
        <w:r w:rsidR="00ED4ACB" w:rsidRPr="00CC2B39">
          <w:rPr>
            <w:rStyle w:val="Hyperlink"/>
            <w:noProof/>
          </w:rPr>
          <w:t>A.10.</w:t>
        </w:r>
        <w:r w:rsidR="00ED4ACB">
          <w:rPr>
            <w:rFonts w:asciiTheme="minorHAnsi" w:eastAsiaTheme="minorEastAsia" w:hAnsiTheme="minorHAnsi" w:cstheme="minorBidi"/>
            <w:noProof/>
            <w:sz w:val="22"/>
            <w:szCs w:val="22"/>
          </w:rPr>
          <w:tab/>
        </w:r>
        <w:r w:rsidR="00ED4ACB" w:rsidRPr="00CC2B39">
          <w:rPr>
            <w:rStyle w:val="Hyperlink"/>
            <w:noProof/>
          </w:rPr>
          <w:t>Assurance of Confidentiality Provided to Respondents</w:t>
        </w:r>
        <w:r w:rsidR="00ED4ACB">
          <w:rPr>
            <w:noProof/>
            <w:webHidden/>
          </w:rPr>
          <w:tab/>
        </w:r>
        <w:r w:rsidR="00ED4ACB">
          <w:rPr>
            <w:noProof/>
            <w:webHidden/>
          </w:rPr>
          <w:fldChar w:fldCharType="begin"/>
        </w:r>
        <w:r w:rsidR="00ED4ACB">
          <w:rPr>
            <w:noProof/>
            <w:webHidden/>
          </w:rPr>
          <w:instrText xml:space="preserve"> PAGEREF _Toc352603613 \h </w:instrText>
        </w:r>
        <w:r w:rsidR="00ED4ACB">
          <w:rPr>
            <w:noProof/>
            <w:webHidden/>
          </w:rPr>
        </w:r>
        <w:r w:rsidR="00ED4ACB">
          <w:rPr>
            <w:noProof/>
            <w:webHidden/>
          </w:rPr>
          <w:fldChar w:fldCharType="separate"/>
        </w:r>
        <w:r w:rsidR="00ED4ACB">
          <w:rPr>
            <w:noProof/>
            <w:webHidden/>
          </w:rPr>
          <w:t>8</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4" w:history="1">
        <w:r w:rsidR="00ED4ACB" w:rsidRPr="00CC2B39">
          <w:rPr>
            <w:rStyle w:val="Hyperlink"/>
            <w:noProof/>
          </w:rPr>
          <w:t>A.11.</w:t>
        </w:r>
        <w:r w:rsidR="00ED4ACB">
          <w:rPr>
            <w:rFonts w:asciiTheme="minorHAnsi" w:eastAsiaTheme="minorEastAsia" w:hAnsiTheme="minorHAnsi" w:cstheme="minorBidi"/>
            <w:noProof/>
            <w:sz w:val="22"/>
            <w:szCs w:val="22"/>
          </w:rPr>
          <w:tab/>
        </w:r>
        <w:r w:rsidR="00ED4ACB" w:rsidRPr="00CC2B39">
          <w:rPr>
            <w:rStyle w:val="Hyperlink"/>
            <w:noProof/>
          </w:rPr>
          <w:t>Justification for Sensitive Questions</w:t>
        </w:r>
        <w:r w:rsidR="00ED4ACB">
          <w:rPr>
            <w:noProof/>
            <w:webHidden/>
          </w:rPr>
          <w:tab/>
        </w:r>
        <w:r w:rsidR="00ED4ACB">
          <w:rPr>
            <w:noProof/>
            <w:webHidden/>
          </w:rPr>
          <w:fldChar w:fldCharType="begin"/>
        </w:r>
        <w:r w:rsidR="00ED4ACB">
          <w:rPr>
            <w:noProof/>
            <w:webHidden/>
          </w:rPr>
          <w:instrText xml:space="preserve"> PAGEREF _Toc352603614 \h </w:instrText>
        </w:r>
        <w:r w:rsidR="00ED4ACB">
          <w:rPr>
            <w:noProof/>
            <w:webHidden/>
          </w:rPr>
        </w:r>
        <w:r w:rsidR="00ED4ACB">
          <w:rPr>
            <w:noProof/>
            <w:webHidden/>
          </w:rPr>
          <w:fldChar w:fldCharType="separate"/>
        </w:r>
        <w:r w:rsidR="00ED4ACB">
          <w:rPr>
            <w:noProof/>
            <w:webHidden/>
          </w:rPr>
          <w:t>9</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5" w:history="1">
        <w:r w:rsidR="00ED4ACB" w:rsidRPr="00CC2B39">
          <w:rPr>
            <w:rStyle w:val="Hyperlink"/>
            <w:noProof/>
          </w:rPr>
          <w:t>A.12.</w:t>
        </w:r>
        <w:r w:rsidR="00ED4ACB">
          <w:rPr>
            <w:rFonts w:asciiTheme="minorHAnsi" w:eastAsiaTheme="minorEastAsia" w:hAnsiTheme="minorHAnsi" w:cstheme="minorBidi"/>
            <w:noProof/>
            <w:sz w:val="22"/>
            <w:szCs w:val="22"/>
          </w:rPr>
          <w:tab/>
        </w:r>
        <w:r w:rsidR="00ED4ACB" w:rsidRPr="00CC2B39">
          <w:rPr>
            <w:rStyle w:val="Hyperlink"/>
            <w:noProof/>
          </w:rPr>
          <w:t>Estimates of Annualized Hour Burden and Costs</w:t>
        </w:r>
        <w:r w:rsidR="00ED4ACB">
          <w:rPr>
            <w:noProof/>
            <w:webHidden/>
          </w:rPr>
          <w:tab/>
        </w:r>
        <w:r w:rsidR="00ED4ACB">
          <w:rPr>
            <w:noProof/>
            <w:webHidden/>
          </w:rPr>
          <w:fldChar w:fldCharType="begin"/>
        </w:r>
        <w:r w:rsidR="00ED4ACB">
          <w:rPr>
            <w:noProof/>
            <w:webHidden/>
          </w:rPr>
          <w:instrText xml:space="preserve"> PAGEREF _Toc352603615 \h </w:instrText>
        </w:r>
        <w:r w:rsidR="00ED4ACB">
          <w:rPr>
            <w:noProof/>
            <w:webHidden/>
          </w:rPr>
        </w:r>
        <w:r w:rsidR="00ED4ACB">
          <w:rPr>
            <w:noProof/>
            <w:webHidden/>
          </w:rPr>
          <w:fldChar w:fldCharType="separate"/>
        </w:r>
        <w:r w:rsidR="00ED4ACB">
          <w:rPr>
            <w:noProof/>
            <w:webHidden/>
          </w:rPr>
          <w:t>9</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6" w:history="1">
        <w:r w:rsidR="00ED4ACB" w:rsidRPr="00CC2B39">
          <w:rPr>
            <w:rStyle w:val="Hyperlink"/>
            <w:noProof/>
          </w:rPr>
          <w:t>A.13.</w:t>
        </w:r>
        <w:r w:rsidR="00ED4ACB">
          <w:rPr>
            <w:rFonts w:asciiTheme="minorHAnsi" w:eastAsiaTheme="minorEastAsia" w:hAnsiTheme="minorHAnsi" w:cstheme="minorBidi"/>
            <w:noProof/>
            <w:sz w:val="22"/>
            <w:szCs w:val="22"/>
          </w:rPr>
          <w:tab/>
        </w:r>
        <w:r w:rsidR="00ED4ACB" w:rsidRPr="00CC2B39">
          <w:rPr>
            <w:rStyle w:val="Hyperlink"/>
            <w:noProof/>
          </w:rPr>
          <w:t>Estimates of Other Total Annual Cost Burden to Respondents and Record Keepers</w:t>
        </w:r>
        <w:r w:rsidR="00ED4ACB">
          <w:rPr>
            <w:noProof/>
            <w:webHidden/>
          </w:rPr>
          <w:tab/>
        </w:r>
        <w:r w:rsidR="00ED4ACB">
          <w:rPr>
            <w:noProof/>
            <w:webHidden/>
          </w:rPr>
          <w:fldChar w:fldCharType="begin"/>
        </w:r>
        <w:r w:rsidR="00ED4ACB">
          <w:rPr>
            <w:noProof/>
            <w:webHidden/>
          </w:rPr>
          <w:instrText xml:space="preserve"> PAGEREF _Toc352603616 \h </w:instrText>
        </w:r>
        <w:r w:rsidR="00ED4ACB">
          <w:rPr>
            <w:noProof/>
            <w:webHidden/>
          </w:rPr>
        </w:r>
        <w:r w:rsidR="00ED4ACB">
          <w:rPr>
            <w:noProof/>
            <w:webHidden/>
          </w:rPr>
          <w:fldChar w:fldCharType="separate"/>
        </w:r>
        <w:r w:rsidR="00ED4ACB">
          <w:rPr>
            <w:noProof/>
            <w:webHidden/>
          </w:rPr>
          <w:t>10</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7" w:history="1">
        <w:r w:rsidR="00ED4ACB" w:rsidRPr="00CC2B39">
          <w:rPr>
            <w:rStyle w:val="Hyperlink"/>
            <w:noProof/>
          </w:rPr>
          <w:t>A.14.</w:t>
        </w:r>
        <w:r w:rsidR="00ED4ACB">
          <w:rPr>
            <w:rFonts w:asciiTheme="minorHAnsi" w:eastAsiaTheme="minorEastAsia" w:hAnsiTheme="minorHAnsi" w:cstheme="minorBidi"/>
            <w:noProof/>
            <w:sz w:val="22"/>
            <w:szCs w:val="22"/>
          </w:rPr>
          <w:tab/>
        </w:r>
        <w:r w:rsidR="00ED4ACB" w:rsidRPr="00CC2B39">
          <w:rPr>
            <w:rStyle w:val="Hyperlink"/>
            <w:noProof/>
          </w:rPr>
          <w:t>Estimates of Annualized Costs to the Federal Government</w:t>
        </w:r>
        <w:r w:rsidR="00ED4ACB">
          <w:rPr>
            <w:noProof/>
            <w:webHidden/>
          </w:rPr>
          <w:tab/>
        </w:r>
        <w:r w:rsidR="00ED4ACB">
          <w:rPr>
            <w:noProof/>
            <w:webHidden/>
          </w:rPr>
          <w:fldChar w:fldCharType="begin"/>
        </w:r>
        <w:r w:rsidR="00ED4ACB">
          <w:rPr>
            <w:noProof/>
            <w:webHidden/>
          </w:rPr>
          <w:instrText xml:space="preserve"> PAGEREF _Toc352603617 \h </w:instrText>
        </w:r>
        <w:r w:rsidR="00ED4ACB">
          <w:rPr>
            <w:noProof/>
            <w:webHidden/>
          </w:rPr>
        </w:r>
        <w:r w:rsidR="00ED4ACB">
          <w:rPr>
            <w:noProof/>
            <w:webHidden/>
          </w:rPr>
          <w:fldChar w:fldCharType="separate"/>
        </w:r>
        <w:r w:rsidR="00ED4ACB">
          <w:rPr>
            <w:noProof/>
            <w:webHidden/>
          </w:rPr>
          <w:t>11</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8" w:history="1">
        <w:r w:rsidR="00ED4ACB" w:rsidRPr="00CC2B39">
          <w:rPr>
            <w:rStyle w:val="Hyperlink"/>
            <w:noProof/>
          </w:rPr>
          <w:t>A.15.</w:t>
        </w:r>
        <w:r w:rsidR="00ED4ACB">
          <w:rPr>
            <w:rFonts w:asciiTheme="minorHAnsi" w:eastAsiaTheme="minorEastAsia" w:hAnsiTheme="minorHAnsi" w:cstheme="minorBidi"/>
            <w:noProof/>
            <w:sz w:val="22"/>
            <w:szCs w:val="22"/>
          </w:rPr>
          <w:tab/>
        </w:r>
        <w:r w:rsidR="00ED4ACB" w:rsidRPr="00CC2B39">
          <w:rPr>
            <w:rStyle w:val="Hyperlink"/>
            <w:noProof/>
          </w:rPr>
          <w:t>Explanation for Program Changes or Adjustments</w:t>
        </w:r>
        <w:r w:rsidR="00ED4ACB">
          <w:rPr>
            <w:noProof/>
            <w:webHidden/>
          </w:rPr>
          <w:tab/>
        </w:r>
        <w:r w:rsidR="00ED4ACB">
          <w:rPr>
            <w:noProof/>
            <w:webHidden/>
          </w:rPr>
          <w:fldChar w:fldCharType="begin"/>
        </w:r>
        <w:r w:rsidR="00ED4ACB">
          <w:rPr>
            <w:noProof/>
            <w:webHidden/>
          </w:rPr>
          <w:instrText xml:space="preserve"> PAGEREF _Toc352603618 \h </w:instrText>
        </w:r>
        <w:r w:rsidR="00ED4ACB">
          <w:rPr>
            <w:noProof/>
            <w:webHidden/>
          </w:rPr>
        </w:r>
        <w:r w:rsidR="00ED4ACB">
          <w:rPr>
            <w:noProof/>
            <w:webHidden/>
          </w:rPr>
          <w:fldChar w:fldCharType="separate"/>
        </w:r>
        <w:r w:rsidR="00ED4ACB">
          <w:rPr>
            <w:noProof/>
            <w:webHidden/>
          </w:rPr>
          <w:t>11</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19" w:history="1">
        <w:r w:rsidR="00ED4ACB" w:rsidRPr="00CC2B39">
          <w:rPr>
            <w:rStyle w:val="Hyperlink"/>
            <w:noProof/>
          </w:rPr>
          <w:t>A.16.</w:t>
        </w:r>
        <w:r w:rsidR="00ED4ACB">
          <w:rPr>
            <w:rFonts w:asciiTheme="minorHAnsi" w:eastAsiaTheme="minorEastAsia" w:hAnsiTheme="minorHAnsi" w:cstheme="minorBidi"/>
            <w:noProof/>
            <w:sz w:val="22"/>
            <w:szCs w:val="22"/>
          </w:rPr>
          <w:tab/>
        </w:r>
        <w:r w:rsidR="00ED4ACB" w:rsidRPr="00CC2B39">
          <w:rPr>
            <w:rStyle w:val="Hyperlink"/>
            <w:noProof/>
          </w:rPr>
          <w:t>Plans for Tabulation and Publication and Project Time Schedule</w:t>
        </w:r>
        <w:r w:rsidR="00ED4ACB">
          <w:rPr>
            <w:noProof/>
            <w:webHidden/>
          </w:rPr>
          <w:tab/>
        </w:r>
        <w:r w:rsidR="00ED4ACB">
          <w:rPr>
            <w:noProof/>
            <w:webHidden/>
          </w:rPr>
          <w:fldChar w:fldCharType="begin"/>
        </w:r>
        <w:r w:rsidR="00ED4ACB">
          <w:rPr>
            <w:noProof/>
            <w:webHidden/>
          </w:rPr>
          <w:instrText xml:space="preserve"> PAGEREF _Toc352603619 \h </w:instrText>
        </w:r>
        <w:r w:rsidR="00ED4ACB">
          <w:rPr>
            <w:noProof/>
            <w:webHidden/>
          </w:rPr>
        </w:r>
        <w:r w:rsidR="00ED4ACB">
          <w:rPr>
            <w:noProof/>
            <w:webHidden/>
          </w:rPr>
          <w:fldChar w:fldCharType="separate"/>
        </w:r>
        <w:r w:rsidR="00ED4ACB">
          <w:rPr>
            <w:noProof/>
            <w:webHidden/>
          </w:rPr>
          <w:t>11</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20" w:history="1">
        <w:r w:rsidR="00ED4ACB" w:rsidRPr="00CC2B39">
          <w:rPr>
            <w:rStyle w:val="Hyperlink"/>
            <w:noProof/>
          </w:rPr>
          <w:t>A.17.</w:t>
        </w:r>
        <w:r w:rsidR="00ED4ACB">
          <w:rPr>
            <w:rFonts w:asciiTheme="minorHAnsi" w:eastAsiaTheme="minorEastAsia" w:hAnsiTheme="minorHAnsi" w:cstheme="minorBidi"/>
            <w:noProof/>
            <w:sz w:val="22"/>
            <w:szCs w:val="22"/>
          </w:rPr>
          <w:tab/>
        </w:r>
        <w:r w:rsidR="00ED4ACB" w:rsidRPr="00CC2B39">
          <w:rPr>
            <w:rStyle w:val="Hyperlink"/>
            <w:noProof/>
          </w:rPr>
          <w:t>Exception for Display of Expiration Date</w:t>
        </w:r>
        <w:r w:rsidR="00ED4ACB">
          <w:rPr>
            <w:noProof/>
            <w:webHidden/>
          </w:rPr>
          <w:tab/>
        </w:r>
        <w:r w:rsidR="00ED4ACB">
          <w:rPr>
            <w:noProof/>
            <w:webHidden/>
          </w:rPr>
          <w:fldChar w:fldCharType="begin"/>
        </w:r>
        <w:r w:rsidR="00ED4ACB">
          <w:rPr>
            <w:noProof/>
            <w:webHidden/>
          </w:rPr>
          <w:instrText xml:space="preserve"> PAGEREF _Toc352603620 \h </w:instrText>
        </w:r>
        <w:r w:rsidR="00ED4ACB">
          <w:rPr>
            <w:noProof/>
            <w:webHidden/>
          </w:rPr>
        </w:r>
        <w:r w:rsidR="00ED4ACB">
          <w:rPr>
            <w:noProof/>
            <w:webHidden/>
          </w:rPr>
          <w:fldChar w:fldCharType="separate"/>
        </w:r>
        <w:r w:rsidR="00ED4ACB">
          <w:rPr>
            <w:noProof/>
            <w:webHidden/>
          </w:rPr>
          <w:t>12</w:t>
        </w:r>
        <w:r w:rsidR="00ED4ACB">
          <w:rPr>
            <w:noProof/>
            <w:webHidden/>
          </w:rPr>
          <w:fldChar w:fldCharType="end"/>
        </w:r>
      </w:hyperlink>
    </w:p>
    <w:p w:rsidR="00ED4ACB" w:rsidRDefault="00F0271B">
      <w:pPr>
        <w:pStyle w:val="TOC2"/>
        <w:rPr>
          <w:rFonts w:asciiTheme="minorHAnsi" w:eastAsiaTheme="minorEastAsia" w:hAnsiTheme="minorHAnsi" w:cstheme="minorBidi"/>
          <w:noProof/>
          <w:sz w:val="22"/>
          <w:szCs w:val="22"/>
        </w:rPr>
      </w:pPr>
      <w:hyperlink w:anchor="_Toc352603621" w:history="1">
        <w:r w:rsidR="00ED4ACB" w:rsidRPr="00CC2B39">
          <w:rPr>
            <w:rStyle w:val="Hyperlink"/>
            <w:noProof/>
          </w:rPr>
          <w:t>A.18.</w:t>
        </w:r>
        <w:r w:rsidR="00ED4ACB">
          <w:rPr>
            <w:rFonts w:asciiTheme="minorHAnsi" w:eastAsiaTheme="minorEastAsia" w:hAnsiTheme="minorHAnsi" w:cstheme="minorBidi"/>
            <w:noProof/>
            <w:sz w:val="22"/>
            <w:szCs w:val="22"/>
          </w:rPr>
          <w:tab/>
        </w:r>
        <w:r w:rsidR="00ED4ACB" w:rsidRPr="00CC2B39">
          <w:rPr>
            <w:rStyle w:val="Hyperlink"/>
            <w:noProof/>
          </w:rPr>
          <w:t>Certifications</w:t>
        </w:r>
        <w:r w:rsidR="00ED4ACB">
          <w:rPr>
            <w:noProof/>
            <w:webHidden/>
          </w:rPr>
          <w:tab/>
        </w:r>
        <w:r w:rsidR="00ED4ACB">
          <w:rPr>
            <w:noProof/>
            <w:webHidden/>
          </w:rPr>
          <w:fldChar w:fldCharType="begin"/>
        </w:r>
        <w:r w:rsidR="00ED4ACB">
          <w:rPr>
            <w:noProof/>
            <w:webHidden/>
          </w:rPr>
          <w:instrText xml:space="preserve"> PAGEREF _Toc352603621 \h </w:instrText>
        </w:r>
        <w:r w:rsidR="00ED4ACB">
          <w:rPr>
            <w:noProof/>
            <w:webHidden/>
          </w:rPr>
        </w:r>
        <w:r w:rsidR="00ED4ACB">
          <w:rPr>
            <w:noProof/>
            <w:webHidden/>
          </w:rPr>
          <w:fldChar w:fldCharType="separate"/>
        </w:r>
        <w:r w:rsidR="00ED4ACB">
          <w:rPr>
            <w:noProof/>
            <w:webHidden/>
          </w:rPr>
          <w:t>12</w:t>
        </w:r>
        <w:r w:rsidR="00ED4ACB">
          <w:rPr>
            <w:noProof/>
            <w:webHidden/>
          </w:rPr>
          <w:fldChar w:fldCharType="end"/>
        </w:r>
      </w:hyperlink>
    </w:p>
    <w:p w:rsidR="00BF46A7" w:rsidRDefault="009720AA" w:rsidP="000E48A3">
      <w:pPr>
        <w:pStyle w:val="TOC1"/>
        <w:spacing w:before="0" w:after="0"/>
        <w:rPr>
          <w:b/>
          <w:smallCaps/>
          <w:szCs w:val="28"/>
        </w:rPr>
      </w:pPr>
      <w:r>
        <w:fldChar w:fldCharType="end"/>
      </w:r>
    </w:p>
    <w:p w:rsidR="00BF46A7" w:rsidRDefault="00BF46A7" w:rsidP="000E48A3">
      <w:pPr>
        <w:pStyle w:val="Title"/>
        <w:spacing w:after="0" w:line="240" w:lineRule="auto"/>
      </w:pPr>
    </w:p>
    <w:p w:rsidR="00BF46A7" w:rsidRDefault="00BF46A7" w:rsidP="000E48A3">
      <w:pPr>
        <w:pStyle w:val="Title"/>
        <w:spacing w:after="0" w:line="240" w:lineRule="auto"/>
      </w:pPr>
      <w:r>
        <w:br w:type="page"/>
      </w:r>
      <w:r>
        <w:lastRenderedPageBreak/>
        <w:t>LIST OF TABLES</w:t>
      </w:r>
    </w:p>
    <w:p w:rsidR="00ED4ACB" w:rsidRDefault="009720AA">
      <w:pPr>
        <w:pStyle w:val="TableofFigures"/>
        <w:tabs>
          <w:tab w:val="right" w:leader="dot" w:pos="9350"/>
        </w:tabs>
        <w:rPr>
          <w:rFonts w:asciiTheme="minorHAnsi" w:eastAsiaTheme="minorEastAsia" w:hAnsiTheme="minorHAnsi" w:cstheme="minorBidi"/>
          <w:noProof/>
          <w:sz w:val="22"/>
          <w:szCs w:val="22"/>
        </w:rPr>
      </w:pPr>
      <w:r>
        <w:fldChar w:fldCharType="begin"/>
      </w:r>
      <w:r w:rsidR="00BF46A7">
        <w:instrText xml:space="preserve"> TOC \h \z \t "Exhibit Title" \c </w:instrText>
      </w:r>
      <w:r>
        <w:fldChar w:fldCharType="separate"/>
      </w:r>
      <w:hyperlink w:anchor="_Toc352603622" w:history="1">
        <w:r w:rsidR="00ED4ACB" w:rsidRPr="00587AC7">
          <w:rPr>
            <w:rStyle w:val="Hyperlink"/>
            <w:noProof/>
          </w:rPr>
          <w:t>Exhibit 1: Key Evaluation Questions for Process Assessment and Impact Evaluation</w:t>
        </w:r>
        <w:r w:rsidR="00ED4ACB">
          <w:rPr>
            <w:noProof/>
            <w:webHidden/>
          </w:rPr>
          <w:tab/>
        </w:r>
        <w:r w:rsidR="00ED4ACB">
          <w:rPr>
            <w:noProof/>
            <w:webHidden/>
          </w:rPr>
          <w:fldChar w:fldCharType="begin"/>
        </w:r>
        <w:r w:rsidR="00ED4ACB">
          <w:rPr>
            <w:noProof/>
            <w:webHidden/>
          </w:rPr>
          <w:instrText xml:space="preserve"> PAGEREF _Toc352603622 \h </w:instrText>
        </w:r>
        <w:r w:rsidR="00ED4ACB">
          <w:rPr>
            <w:noProof/>
            <w:webHidden/>
          </w:rPr>
        </w:r>
        <w:r w:rsidR="00ED4ACB">
          <w:rPr>
            <w:noProof/>
            <w:webHidden/>
          </w:rPr>
          <w:fldChar w:fldCharType="separate"/>
        </w:r>
        <w:r w:rsidR="00ED4ACB">
          <w:rPr>
            <w:noProof/>
            <w:webHidden/>
          </w:rPr>
          <w:t>5</w:t>
        </w:r>
        <w:r w:rsidR="00ED4ACB">
          <w:rPr>
            <w:noProof/>
            <w:webHidden/>
          </w:rPr>
          <w:fldChar w:fldCharType="end"/>
        </w:r>
      </w:hyperlink>
    </w:p>
    <w:p w:rsidR="00ED4ACB" w:rsidRDefault="00F0271B">
      <w:pPr>
        <w:pStyle w:val="TableofFigures"/>
        <w:tabs>
          <w:tab w:val="right" w:leader="dot" w:pos="9350"/>
        </w:tabs>
        <w:rPr>
          <w:rFonts w:asciiTheme="minorHAnsi" w:eastAsiaTheme="minorEastAsia" w:hAnsiTheme="minorHAnsi" w:cstheme="minorBidi"/>
          <w:noProof/>
          <w:sz w:val="22"/>
          <w:szCs w:val="22"/>
        </w:rPr>
      </w:pPr>
      <w:hyperlink w:anchor="_Toc352603623" w:history="1">
        <w:r w:rsidR="00ED4ACB" w:rsidRPr="00587AC7">
          <w:rPr>
            <w:rStyle w:val="Hyperlink"/>
            <w:noProof/>
          </w:rPr>
          <w:t>Exhibit 2: Estimated Burden Hours</w:t>
        </w:r>
        <w:r w:rsidR="00ED4ACB">
          <w:rPr>
            <w:noProof/>
            <w:webHidden/>
          </w:rPr>
          <w:tab/>
        </w:r>
        <w:r w:rsidR="00ED4ACB">
          <w:rPr>
            <w:noProof/>
            <w:webHidden/>
          </w:rPr>
          <w:fldChar w:fldCharType="begin"/>
        </w:r>
        <w:r w:rsidR="00ED4ACB">
          <w:rPr>
            <w:noProof/>
            <w:webHidden/>
          </w:rPr>
          <w:instrText xml:space="preserve"> PAGEREF _Toc352603623 \h </w:instrText>
        </w:r>
        <w:r w:rsidR="00ED4ACB">
          <w:rPr>
            <w:noProof/>
            <w:webHidden/>
          </w:rPr>
        </w:r>
        <w:r w:rsidR="00ED4ACB">
          <w:rPr>
            <w:noProof/>
            <w:webHidden/>
          </w:rPr>
          <w:fldChar w:fldCharType="separate"/>
        </w:r>
        <w:r w:rsidR="00ED4ACB">
          <w:rPr>
            <w:noProof/>
            <w:webHidden/>
          </w:rPr>
          <w:t>10</w:t>
        </w:r>
        <w:r w:rsidR="00ED4ACB">
          <w:rPr>
            <w:noProof/>
            <w:webHidden/>
          </w:rPr>
          <w:fldChar w:fldCharType="end"/>
        </w:r>
      </w:hyperlink>
    </w:p>
    <w:p w:rsidR="00ED4ACB" w:rsidRDefault="00F0271B">
      <w:pPr>
        <w:pStyle w:val="TableofFigures"/>
        <w:tabs>
          <w:tab w:val="right" w:leader="dot" w:pos="9350"/>
        </w:tabs>
        <w:rPr>
          <w:rFonts w:asciiTheme="minorHAnsi" w:eastAsiaTheme="minorEastAsia" w:hAnsiTheme="minorHAnsi" w:cstheme="minorBidi"/>
          <w:noProof/>
          <w:sz w:val="22"/>
          <w:szCs w:val="22"/>
        </w:rPr>
      </w:pPr>
      <w:hyperlink w:anchor="_Toc352603624" w:history="1">
        <w:r w:rsidR="00ED4ACB" w:rsidRPr="00587AC7">
          <w:rPr>
            <w:rStyle w:val="Hyperlink"/>
            <w:noProof/>
          </w:rPr>
          <w:t>Exhibit 3: Timetable for Data Collection and Publication For Other Data Collection Efforts</w:t>
        </w:r>
        <w:r w:rsidR="00ED4ACB">
          <w:rPr>
            <w:noProof/>
            <w:webHidden/>
          </w:rPr>
          <w:tab/>
        </w:r>
        <w:r w:rsidR="00ED4ACB">
          <w:rPr>
            <w:noProof/>
            <w:webHidden/>
          </w:rPr>
          <w:fldChar w:fldCharType="begin"/>
        </w:r>
        <w:r w:rsidR="00ED4ACB">
          <w:rPr>
            <w:noProof/>
            <w:webHidden/>
          </w:rPr>
          <w:instrText xml:space="preserve"> PAGEREF _Toc352603624 \h </w:instrText>
        </w:r>
        <w:r w:rsidR="00ED4ACB">
          <w:rPr>
            <w:noProof/>
            <w:webHidden/>
          </w:rPr>
        </w:r>
        <w:r w:rsidR="00ED4ACB">
          <w:rPr>
            <w:noProof/>
            <w:webHidden/>
          </w:rPr>
          <w:fldChar w:fldCharType="separate"/>
        </w:r>
        <w:r w:rsidR="00ED4ACB">
          <w:rPr>
            <w:noProof/>
            <w:webHidden/>
          </w:rPr>
          <w:t>12</w:t>
        </w:r>
        <w:r w:rsidR="00ED4ACB">
          <w:rPr>
            <w:noProof/>
            <w:webHidden/>
          </w:rPr>
          <w:fldChar w:fldCharType="end"/>
        </w:r>
      </w:hyperlink>
    </w:p>
    <w:p w:rsidR="00BF46A7" w:rsidRPr="0079465E" w:rsidRDefault="009720AA" w:rsidP="000E48A3">
      <w:r>
        <w:fldChar w:fldCharType="end"/>
      </w:r>
    </w:p>
    <w:p w:rsidR="00BC3CAB" w:rsidRDefault="00BF46A7" w:rsidP="00BC3CAB">
      <w:pPr>
        <w:pStyle w:val="Title"/>
        <w:spacing w:after="0" w:line="240" w:lineRule="auto"/>
      </w:pPr>
      <w:r w:rsidRPr="00D00AED">
        <w:t>ATTACHMENTS</w:t>
      </w:r>
    </w:p>
    <w:p w:rsidR="00BC3CAB" w:rsidRPr="00BC3CAB" w:rsidRDefault="00BC3CAB" w:rsidP="00BC3CAB"/>
    <w:p w:rsidR="007C25BB" w:rsidRDefault="007C25BB" w:rsidP="007C25BB"/>
    <w:p w:rsidR="007C25BB" w:rsidRDefault="007C25BB" w:rsidP="007C25BB">
      <w:r w:rsidRPr="003F5593">
        <w:t xml:space="preserve">Attachment 1: </w:t>
      </w:r>
      <w:r w:rsidR="009355A9">
        <w:t>Advance Letter</w:t>
      </w:r>
      <w:r w:rsidRPr="003F5593">
        <w:t xml:space="preserve"> Invitation to Complete the MRC </w:t>
      </w:r>
      <w:r w:rsidR="00E4670C" w:rsidRPr="003F5593">
        <w:t>Follow-up</w:t>
      </w:r>
      <w:r w:rsidRPr="003F5593">
        <w:t xml:space="preserve"> Member Survey</w:t>
      </w:r>
    </w:p>
    <w:p w:rsidR="009355A9" w:rsidRDefault="009355A9" w:rsidP="009355A9">
      <w:r w:rsidRPr="003F5593">
        <w:t xml:space="preserve">Attachment </w:t>
      </w:r>
      <w:r>
        <w:t>2</w:t>
      </w:r>
      <w:r w:rsidRPr="003F5593">
        <w:t xml:space="preserve">: </w:t>
      </w:r>
      <w:r w:rsidR="00742567">
        <w:t>Letter</w:t>
      </w:r>
      <w:r w:rsidR="001C4B37">
        <w:t>/</w:t>
      </w:r>
      <w:r w:rsidR="00742567">
        <w:t xml:space="preserve"> </w:t>
      </w:r>
      <w:r w:rsidRPr="003F5593">
        <w:t xml:space="preserve">Email </w:t>
      </w:r>
      <w:r>
        <w:t>Reminder</w:t>
      </w:r>
      <w:r w:rsidRPr="003F5593">
        <w:t xml:space="preserve"> to Complete the MRC Follow-up Member Survey</w:t>
      </w:r>
    </w:p>
    <w:p w:rsidR="007C25BB" w:rsidRDefault="007C25BB" w:rsidP="007C25BB">
      <w:r>
        <w:t xml:space="preserve">Attachment </w:t>
      </w:r>
      <w:r w:rsidR="009355A9">
        <w:t>3</w:t>
      </w:r>
      <w:r>
        <w:t xml:space="preserve">: MRC </w:t>
      </w:r>
      <w:r w:rsidR="00E4670C">
        <w:t>Follow-up</w:t>
      </w:r>
      <w:r>
        <w:t xml:space="preserve"> Member Survey Consent </w:t>
      </w:r>
      <w:r w:rsidR="003F5593">
        <w:t>Script</w:t>
      </w:r>
    </w:p>
    <w:p w:rsidR="00BC3CAB" w:rsidRDefault="007C25BB" w:rsidP="007C25BB">
      <w:r>
        <w:t xml:space="preserve">Attachment </w:t>
      </w:r>
      <w:r w:rsidR="009355A9">
        <w:t>4</w:t>
      </w:r>
      <w:r>
        <w:t xml:space="preserve">: MRC </w:t>
      </w:r>
      <w:r w:rsidR="00E4670C">
        <w:t>Follow-up</w:t>
      </w:r>
      <w:r>
        <w:t xml:space="preserve"> Member Survey</w:t>
      </w:r>
    </w:p>
    <w:p w:rsidR="00BC3CAB" w:rsidRDefault="00BC3CAB" w:rsidP="000E48A3"/>
    <w:p w:rsidR="00BC3CAB" w:rsidRPr="00090643" w:rsidRDefault="00BC3CAB" w:rsidP="000E48A3">
      <w:pPr>
        <w:sectPr w:rsidR="00BC3CAB" w:rsidRPr="00090643" w:rsidSect="00BF46A7">
          <w:footerReference w:type="default" r:id="rId9"/>
          <w:pgSz w:w="12240" w:h="15840"/>
          <w:pgMar w:top="1440" w:right="1440" w:bottom="1440" w:left="1440" w:header="720" w:footer="720" w:gutter="0"/>
          <w:cols w:space="720"/>
          <w:noEndnote/>
          <w:docGrid w:linePitch="360"/>
        </w:sectPr>
      </w:pPr>
    </w:p>
    <w:p w:rsidR="00D3105F" w:rsidRDefault="00D3105F" w:rsidP="000E48A3">
      <w:pPr>
        <w:keepNext/>
        <w:jc w:val="center"/>
        <w:rPr>
          <w:rFonts w:ascii="Arial" w:hAnsi="Arial" w:cs="Arial"/>
          <w:b/>
          <w:sz w:val="26"/>
          <w:szCs w:val="26"/>
        </w:rPr>
      </w:pPr>
      <w:r>
        <w:rPr>
          <w:rFonts w:ascii="Arial" w:hAnsi="Arial" w:cs="Arial"/>
          <w:b/>
          <w:sz w:val="26"/>
          <w:szCs w:val="26"/>
        </w:rPr>
        <w:lastRenderedPageBreak/>
        <w:t>O</w:t>
      </w:r>
      <w:r w:rsidRPr="00D3105F">
        <w:rPr>
          <w:rFonts w:ascii="Arial" w:hAnsi="Arial" w:cs="Arial"/>
          <w:b/>
          <w:sz w:val="26"/>
          <w:szCs w:val="26"/>
        </w:rPr>
        <w:t xml:space="preserve">ffice of </w:t>
      </w:r>
      <w:r w:rsidR="005C7D31">
        <w:rPr>
          <w:rFonts w:ascii="Arial" w:hAnsi="Arial" w:cs="Arial"/>
          <w:b/>
          <w:sz w:val="26"/>
          <w:szCs w:val="26"/>
        </w:rPr>
        <w:t>Research and Evaluation</w:t>
      </w:r>
    </w:p>
    <w:p w:rsidR="00D3105F" w:rsidRPr="00D3105F" w:rsidRDefault="00D3105F" w:rsidP="000E48A3">
      <w:pPr>
        <w:keepNext/>
        <w:jc w:val="center"/>
        <w:rPr>
          <w:rFonts w:ascii="Arial" w:hAnsi="Arial" w:cs="Arial"/>
          <w:b/>
          <w:sz w:val="26"/>
          <w:szCs w:val="26"/>
        </w:rPr>
      </w:pPr>
    </w:p>
    <w:p w:rsidR="00D373A5" w:rsidRDefault="00D3105F" w:rsidP="000E48A3">
      <w:pPr>
        <w:keepNext/>
        <w:jc w:val="center"/>
        <w:rPr>
          <w:rFonts w:ascii="Arial" w:hAnsi="Arial" w:cs="Arial"/>
          <w:b/>
          <w:sz w:val="26"/>
          <w:szCs w:val="26"/>
        </w:rPr>
      </w:pPr>
      <w:r w:rsidRPr="00D3105F">
        <w:rPr>
          <w:rFonts w:ascii="Arial" w:hAnsi="Arial" w:cs="Arial"/>
          <w:b/>
          <w:sz w:val="26"/>
          <w:szCs w:val="26"/>
        </w:rPr>
        <w:t>Corporation for National and Commu</w:t>
      </w:r>
      <w:r w:rsidR="00D373A5">
        <w:rPr>
          <w:rFonts w:ascii="Arial" w:hAnsi="Arial" w:cs="Arial"/>
          <w:b/>
          <w:sz w:val="26"/>
          <w:szCs w:val="26"/>
        </w:rPr>
        <w:t>nity Service</w:t>
      </w:r>
    </w:p>
    <w:p w:rsidR="00D373A5" w:rsidRDefault="00D373A5" w:rsidP="000E48A3">
      <w:pPr>
        <w:keepNext/>
        <w:jc w:val="center"/>
        <w:rPr>
          <w:rFonts w:ascii="Arial" w:hAnsi="Arial" w:cs="Arial"/>
          <w:b/>
          <w:sz w:val="26"/>
          <w:szCs w:val="26"/>
        </w:rPr>
      </w:pPr>
    </w:p>
    <w:p w:rsidR="00D373A5" w:rsidRDefault="00D3105F" w:rsidP="000E48A3">
      <w:pPr>
        <w:keepNext/>
        <w:jc w:val="center"/>
        <w:rPr>
          <w:rFonts w:ascii="Arial" w:hAnsi="Arial" w:cs="Arial"/>
          <w:b/>
          <w:caps/>
          <w:sz w:val="26"/>
          <w:szCs w:val="26"/>
        </w:rPr>
      </w:pPr>
      <w:r w:rsidRPr="00D3105F">
        <w:rPr>
          <w:rFonts w:ascii="Arial" w:hAnsi="Arial" w:cs="Arial"/>
          <w:b/>
          <w:caps/>
          <w:sz w:val="26"/>
          <w:szCs w:val="26"/>
        </w:rPr>
        <w:t xml:space="preserve">Process and Impact Evaluation of </w:t>
      </w:r>
    </w:p>
    <w:p w:rsidR="00D3105F" w:rsidRDefault="00D3105F" w:rsidP="000E48A3">
      <w:pPr>
        <w:keepNext/>
        <w:jc w:val="center"/>
        <w:rPr>
          <w:rFonts w:ascii="Arial" w:hAnsi="Arial" w:cs="Arial"/>
          <w:b/>
          <w:caps/>
          <w:sz w:val="26"/>
          <w:szCs w:val="26"/>
        </w:rPr>
      </w:pPr>
      <w:r w:rsidRPr="00D3105F">
        <w:rPr>
          <w:rFonts w:ascii="Arial" w:hAnsi="Arial" w:cs="Arial"/>
          <w:b/>
          <w:caps/>
          <w:sz w:val="26"/>
          <w:szCs w:val="26"/>
        </w:rPr>
        <w:t>the Minnesota Reading Corps (MRC)</w:t>
      </w:r>
    </w:p>
    <w:p w:rsidR="00D373A5" w:rsidRPr="00D373A5" w:rsidRDefault="00D373A5" w:rsidP="000E48A3">
      <w:pPr>
        <w:keepNext/>
        <w:jc w:val="center"/>
        <w:rPr>
          <w:rFonts w:ascii="Arial" w:hAnsi="Arial" w:cs="Arial"/>
          <w:b/>
          <w:sz w:val="26"/>
          <w:szCs w:val="26"/>
        </w:rPr>
      </w:pPr>
    </w:p>
    <w:p w:rsidR="00D3105F" w:rsidRPr="00D3105F" w:rsidRDefault="00D3105F" w:rsidP="000E48A3"/>
    <w:p w:rsidR="00BF46A7" w:rsidRDefault="00BF46A7" w:rsidP="000E48A3">
      <w:pPr>
        <w:pStyle w:val="Subtitle"/>
        <w:spacing w:after="0"/>
      </w:pPr>
      <w:r w:rsidRPr="00922345">
        <w:t>Supporting Statement</w:t>
      </w:r>
    </w:p>
    <w:p w:rsidR="000E48A3" w:rsidRDefault="000E48A3" w:rsidP="000E48A3"/>
    <w:p w:rsidR="000E48A3" w:rsidRPr="000E48A3" w:rsidRDefault="000E48A3" w:rsidP="000E48A3"/>
    <w:p w:rsidR="00BF46A7" w:rsidRDefault="00BF46A7" w:rsidP="000E48A3">
      <w:pPr>
        <w:pStyle w:val="Heading1"/>
      </w:pPr>
      <w:bookmarkStart w:id="0" w:name="_Toc352603603"/>
      <w:r w:rsidRPr="00FA57AD">
        <w:t>A.</w:t>
      </w:r>
      <w:r w:rsidRPr="00FA57AD">
        <w:tab/>
        <w:t>Justification</w:t>
      </w:r>
      <w:bookmarkEnd w:id="0"/>
    </w:p>
    <w:p w:rsidR="000E48A3" w:rsidRPr="000E48A3" w:rsidRDefault="000E48A3" w:rsidP="000E48A3"/>
    <w:p w:rsidR="00BF46A7" w:rsidRDefault="00BF46A7" w:rsidP="000E48A3">
      <w:pPr>
        <w:pStyle w:val="Heading2"/>
        <w:spacing w:before="0" w:after="0"/>
      </w:pPr>
      <w:bookmarkStart w:id="1" w:name="_Toc267041905"/>
      <w:bookmarkStart w:id="2" w:name="_Toc352603604"/>
      <w:r>
        <w:t>A.</w:t>
      </w:r>
      <w:r w:rsidRPr="00FA57AD">
        <w:t xml:space="preserve">1. </w:t>
      </w:r>
      <w:r>
        <w:tab/>
      </w:r>
      <w:r w:rsidRPr="00FA57AD">
        <w:t xml:space="preserve">Circumstances </w:t>
      </w:r>
      <w:bookmarkEnd w:id="1"/>
      <w:r w:rsidRPr="0095713A">
        <w:t>That Make the Collection of Information Necessary</w:t>
      </w:r>
      <w:bookmarkEnd w:id="2"/>
    </w:p>
    <w:p w:rsidR="000E48A3" w:rsidRPr="000E48A3" w:rsidRDefault="000E48A3" w:rsidP="000E48A3"/>
    <w:p w:rsidR="008170F4" w:rsidRDefault="00200D27" w:rsidP="000E48A3">
      <w:pPr>
        <w:pStyle w:val="BodyText"/>
        <w:spacing w:after="0" w:line="240" w:lineRule="auto"/>
        <w:rPr>
          <w:szCs w:val="22"/>
        </w:rPr>
      </w:pPr>
      <w:bookmarkStart w:id="3" w:name="_Toc267041906"/>
      <w:r w:rsidRPr="00200D27">
        <w:t xml:space="preserve">The Corporation for National </w:t>
      </w:r>
      <w:r w:rsidR="00EE2A7E">
        <w:t xml:space="preserve">&amp; </w:t>
      </w:r>
      <w:r w:rsidRPr="00200D27">
        <w:t>Community Service (CNCS)</w:t>
      </w:r>
      <w:r w:rsidR="0038527C" w:rsidRPr="00200D27">
        <w:t xml:space="preserve"> is requesting Office of Management and Budget (OMB) approval </w:t>
      </w:r>
      <w:r w:rsidR="008170F4" w:rsidRPr="00200D27">
        <w:t xml:space="preserve">for </w:t>
      </w:r>
      <w:r w:rsidR="000925D1">
        <w:t xml:space="preserve">data collection associated with </w:t>
      </w:r>
      <w:r w:rsidR="008170F4" w:rsidRPr="00200D27">
        <w:t xml:space="preserve">the </w:t>
      </w:r>
      <w:r w:rsidR="008170F4" w:rsidRPr="00200D27">
        <w:rPr>
          <w:i/>
        </w:rPr>
        <w:t xml:space="preserve">Process and Impact Evaluation of the Minnesota Reading Corps (MRC) </w:t>
      </w:r>
      <w:r w:rsidR="000925D1">
        <w:rPr>
          <w:i/>
        </w:rPr>
        <w:t>P</w:t>
      </w:r>
      <w:r w:rsidR="008170F4" w:rsidRPr="000925D1">
        <w:rPr>
          <w:i/>
        </w:rPr>
        <w:t>rogram</w:t>
      </w:r>
      <w:r w:rsidR="008170F4">
        <w:t>.</w:t>
      </w:r>
      <w:r w:rsidR="00277A0B">
        <w:rPr>
          <w:szCs w:val="22"/>
        </w:rPr>
        <w:t xml:space="preserve"> </w:t>
      </w:r>
      <w:r w:rsidR="00277A0B" w:rsidRPr="007A7107">
        <w:t>Minnesota Reading Corps (MRC) is the largest AmeriCorps State program in the country. For the 2012-13 school year, the MRC program plans to serve over 30,000 students in 652 elementary schools, Head Start centers, and preschools using mor</w:t>
      </w:r>
      <w:r w:rsidR="003E1B9B">
        <w:t>e than 1,0</w:t>
      </w:r>
      <w:r w:rsidR="00277A0B">
        <w:t>00 AmeriCorps members</w:t>
      </w:r>
      <w:r w:rsidR="00277A0B" w:rsidRPr="007A7107">
        <w:t>. The goal of MRC is to ensure that students become successful readers and meet reading proficiency targets by the end of the third grade. The MRC program was started in 2003 to provide reading and literacy tutoring to children in four preschool (</w:t>
      </w:r>
      <w:proofErr w:type="spellStart"/>
      <w:r w:rsidR="00277A0B" w:rsidRPr="007A7107">
        <w:t>PreK</w:t>
      </w:r>
      <w:proofErr w:type="spellEnd"/>
      <w:r w:rsidR="00277A0B" w:rsidRPr="007A7107">
        <w:t xml:space="preserve">) Head Start programs. In 2005, MRC expanded its program to serve students in kindergarten through third grade (K-3). The core activities of MRC, and its host organization, </w:t>
      </w:r>
      <w:proofErr w:type="spellStart"/>
      <w:r w:rsidR="00277A0B" w:rsidRPr="007A7107">
        <w:t>ServeMinnesota</w:t>
      </w:r>
      <w:proofErr w:type="spellEnd"/>
      <w:r w:rsidR="00277A0B" w:rsidRPr="007A7107">
        <w:t xml:space="preserve">, </w:t>
      </w:r>
      <w:r w:rsidR="00277A0B">
        <w:t>are to</w:t>
      </w:r>
      <w:r w:rsidR="00277A0B" w:rsidRPr="007A7107">
        <w:t xml:space="preserve"> recruit, train, place and monitor AmeriCorps members to implement research-based literacy enrichment activities and interventions </w:t>
      </w:r>
      <w:r w:rsidR="00277A0B">
        <w:t>for</w:t>
      </w:r>
      <w:r w:rsidR="00277A0B" w:rsidRPr="007A7107">
        <w:t xml:space="preserve"> preschool children and at-risk </w:t>
      </w:r>
      <w:r w:rsidR="00277A0B">
        <w:t>K-3</w:t>
      </w:r>
      <w:r w:rsidR="00277A0B" w:rsidRPr="007A7107">
        <w:t xml:space="preserve"> students.</w:t>
      </w:r>
    </w:p>
    <w:p w:rsidR="008170F4" w:rsidRDefault="008170F4" w:rsidP="000E48A3">
      <w:pPr>
        <w:pStyle w:val="BodyText"/>
        <w:spacing w:after="0" w:line="240" w:lineRule="auto"/>
        <w:rPr>
          <w:szCs w:val="22"/>
        </w:rPr>
      </w:pPr>
    </w:p>
    <w:p w:rsidR="00E477FF" w:rsidRDefault="008170F4" w:rsidP="008170F4">
      <w:pPr>
        <w:pStyle w:val="BodyText"/>
        <w:spacing w:after="0" w:line="240" w:lineRule="auto"/>
        <w:rPr>
          <w:szCs w:val="22"/>
        </w:rPr>
      </w:pPr>
      <w:r>
        <w:rPr>
          <w:szCs w:val="22"/>
        </w:rPr>
        <w:t xml:space="preserve">The process and impact evaluation </w:t>
      </w:r>
      <w:r w:rsidR="000925D1">
        <w:rPr>
          <w:szCs w:val="22"/>
        </w:rPr>
        <w:t xml:space="preserve">of the MRC </w:t>
      </w:r>
      <w:r w:rsidRPr="00504CCF">
        <w:rPr>
          <w:szCs w:val="22"/>
        </w:rPr>
        <w:t xml:space="preserve">consists of three phases:  Phase 1- Feasibility Study; Phase II - Process Assessment; and Phase III – Impact Evaluation. </w:t>
      </w:r>
      <w:r w:rsidR="008C0F39">
        <w:rPr>
          <w:szCs w:val="22"/>
        </w:rPr>
        <w:t>T</w:t>
      </w:r>
      <w:r>
        <w:rPr>
          <w:szCs w:val="22"/>
        </w:rPr>
        <w:t>he feasibility phase</w:t>
      </w:r>
      <w:r w:rsidRPr="00504CCF">
        <w:rPr>
          <w:szCs w:val="22"/>
        </w:rPr>
        <w:t xml:space="preserve"> explore</w:t>
      </w:r>
      <w:r w:rsidR="00D4332D">
        <w:rPr>
          <w:szCs w:val="22"/>
        </w:rPr>
        <w:t>d</w:t>
      </w:r>
      <w:r w:rsidRPr="00504CCF">
        <w:rPr>
          <w:szCs w:val="22"/>
        </w:rPr>
        <w:t xml:space="preserve"> options for designing a </w:t>
      </w:r>
      <w:r w:rsidR="00FA573E">
        <w:rPr>
          <w:szCs w:val="22"/>
        </w:rPr>
        <w:t xml:space="preserve">random assignment </w:t>
      </w:r>
      <w:r w:rsidRPr="00504CCF">
        <w:rPr>
          <w:szCs w:val="22"/>
        </w:rPr>
        <w:t xml:space="preserve">impact evaluation of the MRC that assesses the impact of the program on students’ literacy levels. </w:t>
      </w:r>
      <w:r w:rsidR="008C0F39" w:rsidRPr="00222965">
        <w:rPr>
          <w:szCs w:val="22"/>
        </w:rPr>
        <w:t>The purpose of the process assessment</w:t>
      </w:r>
      <w:r w:rsidR="00D4332D">
        <w:rPr>
          <w:szCs w:val="22"/>
        </w:rPr>
        <w:t xml:space="preserve"> </w:t>
      </w:r>
      <w:r w:rsidR="00214A3E">
        <w:rPr>
          <w:szCs w:val="22"/>
        </w:rPr>
        <w:t>is</w:t>
      </w:r>
      <w:r w:rsidR="008C0F39" w:rsidRPr="00222965">
        <w:rPr>
          <w:szCs w:val="22"/>
        </w:rPr>
        <w:t xml:space="preserve"> to thoro</w:t>
      </w:r>
      <w:r w:rsidR="000925D1">
        <w:rPr>
          <w:szCs w:val="22"/>
        </w:rPr>
        <w:t xml:space="preserve">ughly understand the MRC model; </w:t>
      </w:r>
      <w:r w:rsidR="008C0F39" w:rsidRPr="00222965">
        <w:rPr>
          <w:szCs w:val="22"/>
        </w:rPr>
        <w:t>conduct an assessment of the effects of serving as an AmeriCorps member in MRC; and capture lessons learned for future program replication</w:t>
      </w:r>
      <w:r w:rsidR="008C0F39">
        <w:rPr>
          <w:szCs w:val="22"/>
        </w:rPr>
        <w:t xml:space="preserve">. </w:t>
      </w:r>
      <w:r w:rsidRPr="00504CCF">
        <w:rPr>
          <w:szCs w:val="22"/>
        </w:rPr>
        <w:t xml:space="preserve">The primary goal of the impact evaluation </w:t>
      </w:r>
      <w:r w:rsidR="00E97F92">
        <w:rPr>
          <w:szCs w:val="22"/>
        </w:rPr>
        <w:t>is</w:t>
      </w:r>
      <w:r w:rsidRPr="00504CCF">
        <w:rPr>
          <w:szCs w:val="22"/>
        </w:rPr>
        <w:t xml:space="preserve"> to understand if the MRC is having an impact</w:t>
      </w:r>
      <w:r w:rsidR="004F7208">
        <w:rPr>
          <w:szCs w:val="22"/>
        </w:rPr>
        <w:t xml:space="preserve"> on student literacy proficiency</w:t>
      </w:r>
      <w:r w:rsidRPr="00504CCF">
        <w:rPr>
          <w:szCs w:val="22"/>
        </w:rPr>
        <w:t>; the secondary goal is to understand why.</w:t>
      </w:r>
      <w:r>
        <w:rPr>
          <w:szCs w:val="22"/>
        </w:rPr>
        <w:t xml:space="preserve"> </w:t>
      </w:r>
      <w:r w:rsidR="005C7D31">
        <w:rPr>
          <w:szCs w:val="22"/>
        </w:rPr>
        <w:t>T</w:t>
      </w:r>
      <w:r w:rsidR="00E477FF">
        <w:rPr>
          <w:szCs w:val="22"/>
        </w:rPr>
        <w:t xml:space="preserve">he Phase I Feasibility Study </w:t>
      </w:r>
      <w:r w:rsidR="005C7D31">
        <w:rPr>
          <w:szCs w:val="22"/>
        </w:rPr>
        <w:t>in 2011-2012 resulted in the</w:t>
      </w:r>
      <w:r w:rsidR="00E477FF">
        <w:rPr>
          <w:szCs w:val="22"/>
        </w:rPr>
        <w:t xml:space="preserve"> design of </w:t>
      </w:r>
      <w:r w:rsidR="00E477FF" w:rsidRPr="00D447A9">
        <w:t>a Randomized Controlled Trial (</w:t>
      </w:r>
      <w:r w:rsidR="00E477FF" w:rsidRPr="00D447A9">
        <w:rPr>
          <w:rFonts w:cs="Arial"/>
        </w:rPr>
        <w:t xml:space="preserve">RCT) evaluation of the MRC K-3 program and a Quasi-Experimental Design (QED) evaluation of the MRC </w:t>
      </w:r>
      <w:proofErr w:type="spellStart"/>
      <w:r w:rsidR="00E477FF" w:rsidRPr="00D447A9">
        <w:rPr>
          <w:rFonts w:cs="Arial"/>
        </w:rPr>
        <w:t>PreK</w:t>
      </w:r>
      <w:proofErr w:type="spellEnd"/>
      <w:r w:rsidR="00E477FF" w:rsidRPr="00D447A9">
        <w:rPr>
          <w:rFonts w:cs="Arial"/>
        </w:rPr>
        <w:t xml:space="preserve"> program</w:t>
      </w:r>
      <w:r w:rsidR="00E477FF">
        <w:rPr>
          <w:rFonts w:cs="Arial"/>
        </w:rPr>
        <w:t xml:space="preserve">. The RCT study of the K-3 program </w:t>
      </w:r>
      <w:r w:rsidR="008E199B">
        <w:rPr>
          <w:rFonts w:cs="Arial"/>
        </w:rPr>
        <w:t>does not require</w:t>
      </w:r>
      <w:r w:rsidR="00E477FF">
        <w:rPr>
          <w:rFonts w:cs="Arial"/>
        </w:rPr>
        <w:t xml:space="preserve"> primary data collection</w:t>
      </w:r>
      <w:r w:rsidR="008E199B">
        <w:rPr>
          <w:rFonts w:cs="Arial"/>
        </w:rPr>
        <w:t xml:space="preserve"> and instead </w:t>
      </w:r>
      <w:r w:rsidR="00B73CE5">
        <w:rPr>
          <w:rFonts w:cs="Arial"/>
        </w:rPr>
        <w:t>will rely</w:t>
      </w:r>
      <w:r w:rsidR="008E199B">
        <w:rPr>
          <w:rFonts w:cs="Arial"/>
        </w:rPr>
        <w:t xml:space="preserve"> on</w:t>
      </w:r>
      <w:r w:rsidR="00E477FF">
        <w:rPr>
          <w:rFonts w:cs="Arial"/>
        </w:rPr>
        <w:t xml:space="preserve"> </w:t>
      </w:r>
      <w:r w:rsidR="00B73CE5">
        <w:rPr>
          <w:rFonts w:cs="Arial"/>
        </w:rPr>
        <w:t xml:space="preserve">de-identified </w:t>
      </w:r>
      <w:r w:rsidR="00E477FF">
        <w:rPr>
          <w:rFonts w:cs="Arial"/>
        </w:rPr>
        <w:t xml:space="preserve">administrative program data </w:t>
      </w:r>
      <w:r w:rsidR="00B73CE5">
        <w:rPr>
          <w:rFonts w:cs="Arial"/>
        </w:rPr>
        <w:t>from the 2012-2013</w:t>
      </w:r>
      <w:r w:rsidR="005C7D31">
        <w:rPr>
          <w:rFonts w:cs="Arial"/>
        </w:rPr>
        <w:t xml:space="preserve"> school </w:t>
      </w:r>
      <w:proofErr w:type="gramStart"/>
      <w:r w:rsidR="005C7D31">
        <w:rPr>
          <w:rFonts w:cs="Arial"/>
        </w:rPr>
        <w:t>year</w:t>
      </w:r>
      <w:proofErr w:type="gramEnd"/>
      <w:r w:rsidR="005C7D31">
        <w:rPr>
          <w:rFonts w:cs="Arial"/>
        </w:rPr>
        <w:t xml:space="preserve">, which </w:t>
      </w:r>
      <w:r w:rsidR="00B73CE5">
        <w:rPr>
          <w:rFonts w:cs="Arial"/>
        </w:rPr>
        <w:t>will be</w:t>
      </w:r>
      <w:r w:rsidR="008E199B">
        <w:rPr>
          <w:rFonts w:cs="Arial"/>
        </w:rPr>
        <w:t xml:space="preserve"> provided by</w:t>
      </w:r>
      <w:r w:rsidR="00E477FF">
        <w:rPr>
          <w:rFonts w:cs="Arial"/>
        </w:rPr>
        <w:t xml:space="preserve"> the MRC program.</w:t>
      </w:r>
      <w:r w:rsidR="008E199B">
        <w:rPr>
          <w:rFonts w:cs="Arial"/>
        </w:rPr>
        <w:t xml:space="preserve"> However, the QED study of the </w:t>
      </w:r>
      <w:proofErr w:type="spellStart"/>
      <w:r w:rsidR="008E199B">
        <w:rPr>
          <w:rFonts w:cs="Arial"/>
        </w:rPr>
        <w:t>PreK</w:t>
      </w:r>
      <w:proofErr w:type="spellEnd"/>
      <w:r w:rsidR="008E199B">
        <w:rPr>
          <w:rFonts w:cs="Arial"/>
        </w:rPr>
        <w:t xml:space="preserve"> program </w:t>
      </w:r>
      <w:r w:rsidR="00D94C65">
        <w:rPr>
          <w:rFonts w:cs="Arial"/>
        </w:rPr>
        <w:t xml:space="preserve">will require primary data collection from </w:t>
      </w:r>
      <w:proofErr w:type="spellStart"/>
      <w:r w:rsidR="00D94C65">
        <w:rPr>
          <w:rFonts w:cs="Arial"/>
        </w:rPr>
        <w:t>PreK</w:t>
      </w:r>
      <w:proofErr w:type="spellEnd"/>
      <w:r w:rsidR="00D94C65">
        <w:rPr>
          <w:rFonts w:cs="Arial"/>
        </w:rPr>
        <w:t xml:space="preserve"> students </w:t>
      </w:r>
      <w:r w:rsidR="00B73CE5">
        <w:rPr>
          <w:rFonts w:cs="Arial"/>
        </w:rPr>
        <w:t xml:space="preserve">enrolled </w:t>
      </w:r>
      <w:r w:rsidR="00D94C65">
        <w:rPr>
          <w:rFonts w:cs="Arial"/>
        </w:rPr>
        <w:t>at non-MRC match schools</w:t>
      </w:r>
      <w:r w:rsidR="005C7D31">
        <w:rPr>
          <w:rFonts w:cs="Arial"/>
        </w:rPr>
        <w:t>, and, therefore, is included in this current OMB request</w:t>
      </w:r>
      <w:r w:rsidR="00D94C65">
        <w:rPr>
          <w:rFonts w:cs="Arial"/>
        </w:rPr>
        <w:t xml:space="preserve">. More detail on the </w:t>
      </w:r>
      <w:r w:rsidR="005C7D31">
        <w:rPr>
          <w:rFonts w:cs="Arial"/>
        </w:rPr>
        <w:t xml:space="preserve">QED </w:t>
      </w:r>
      <w:r w:rsidR="00D94C65">
        <w:rPr>
          <w:rFonts w:cs="Arial"/>
        </w:rPr>
        <w:t xml:space="preserve">study design is provided below. </w:t>
      </w:r>
    </w:p>
    <w:p w:rsidR="00E477FF" w:rsidRDefault="00E477FF" w:rsidP="008170F4">
      <w:pPr>
        <w:pStyle w:val="BodyText"/>
        <w:spacing w:after="0" w:line="240" w:lineRule="auto"/>
        <w:rPr>
          <w:szCs w:val="22"/>
        </w:rPr>
      </w:pPr>
    </w:p>
    <w:p w:rsidR="008170F4" w:rsidRPr="00504CCF" w:rsidRDefault="00D94C65" w:rsidP="008170F4">
      <w:pPr>
        <w:pStyle w:val="BodyText"/>
        <w:spacing w:after="0" w:line="240" w:lineRule="auto"/>
        <w:rPr>
          <w:szCs w:val="22"/>
        </w:rPr>
      </w:pPr>
      <w:r>
        <w:rPr>
          <w:szCs w:val="22"/>
        </w:rPr>
        <w:t>A previous OMB package (</w:t>
      </w:r>
      <w:r w:rsidR="0057230B">
        <w:rPr>
          <w:szCs w:val="22"/>
        </w:rPr>
        <w:t>OMB-3045-0144</w:t>
      </w:r>
      <w:r>
        <w:rPr>
          <w:szCs w:val="22"/>
        </w:rPr>
        <w:t xml:space="preserve">) </w:t>
      </w:r>
      <w:r w:rsidR="0057230B">
        <w:rPr>
          <w:szCs w:val="22"/>
        </w:rPr>
        <w:t xml:space="preserve">was approved in 2012 </w:t>
      </w:r>
      <w:r>
        <w:rPr>
          <w:szCs w:val="22"/>
        </w:rPr>
        <w:t xml:space="preserve">to conduct data collection associated with the </w:t>
      </w:r>
      <w:r w:rsidR="005C7D31">
        <w:rPr>
          <w:szCs w:val="22"/>
        </w:rPr>
        <w:t>Phase I F</w:t>
      </w:r>
      <w:r>
        <w:rPr>
          <w:szCs w:val="22"/>
        </w:rPr>
        <w:t xml:space="preserve">easibility </w:t>
      </w:r>
      <w:r w:rsidR="005C7D31">
        <w:rPr>
          <w:szCs w:val="22"/>
        </w:rPr>
        <w:t>Study and Phase II Process A</w:t>
      </w:r>
      <w:r>
        <w:rPr>
          <w:szCs w:val="22"/>
        </w:rPr>
        <w:t xml:space="preserve">ssessment. </w:t>
      </w:r>
      <w:r w:rsidR="008170F4" w:rsidRPr="00504CCF">
        <w:rPr>
          <w:szCs w:val="22"/>
        </w:rPr>
        <w:t>This package addresses</w:t>
      </w:r>
      <w:r w:rsidR="00D4332D">
        <w:rPr>
          <w:szCs w:val="22"/>
        </w:rPr>
        <w:t xml:space="preserve"> </w:t>
      </w:r>
      <w:r>
        <w:rPr>
          <w:szCs w:val="22"/>
        </w:rPr>
        <w:t xml:space="preserve">additional </w:t>
      </w:r>
      <w:r w:rsidR="00E477FF">
        <w:rPr>
          <w:szCs w:val="22"/>
        </w:rPr>
        <w:t>data collection activities for the</w:t>
      </w:r>
      <w:r w:rsidR="005C7D31">
        <w:rPr>
          <w:szCs w:val="22"/>
        </w:rPr>
        <w:t xml:space="preserve"> continuation of the </w:t>
      </w:r>
      <w:r w:rsidR="00447337">
        <w:rPr>
          <w:szCs w:val="22"/>
        </w:rPr>
        <w:t>p</w:t>
      </w:r>
      <w:r w:rsidR="00D4332D">
        <w:rPr>
          <w:szCs w:val="22"/>
        </w:rPr>
        <w:t xml:space="preserve">rocess </w:t>
      </w:r>
      <w:r w:rsidR="00447337">
        <w:rPr>
          <w:szCs w:val="22"/>
        </w:rPr>
        <w:t>a</w:t>
      </w:r>
      <w:r w:rsidR="00D4332D">
        <w:rPr>
          <w:szCs w:val="22"/>
        </w:rPr>
        <w:t xml:space="preserve">ssessment, as </w:t>
      </w:r>
      <w:r w:rsidR="00D4332D" w:rsidRPr="009C1400">
        <w:rPr>
          <w:szCs w:val="22"/>
        </w:rPr>
        <w:t xml:space="preserve">well as </w:t>
      </w:r>
      <w:r w:rsidR="000741B6">
        <w:rPr>
          <w:szCs w:val="22"/>
        </w:rPr>
        <w:t xml:space="preserve">the </w:t>
      </w:r>
      <w:r w:rsidR="005C7D31">
        <w:rPr>
          <w:szCs w:val="22"/>
        </w:rPr>
        <w:t xml:space="preserve">Phase III </w:t>
      </w:r>
      <w:r w:rsidR="008E199B">
        <w:rPr>
          <w:szCs w:val="22"/>
        </w:rPr>
        <w:t xml:space="preserve">QED </w:t>
      </w:r>
      <w:r w:rsidR="000741B6">
        <w:rPr>
          <w:szCs w:val="22"/>
        </w:rPr>
        <w:t>evaluation</w:t>
      </w:r>
      <w:r w:rsidR="008E199B">
        <w:rPr>
          <w:szCs w:val="22"/>
        </w:rPr>
        <w:t xml:space="preserve"> of the </w:t>
      </w:r>
      <w:proofErr w:type="spellStart"/>
      <w:r w:rsidR="008E199B">
        <w:rPr>
          <w:szCs w:val="22"/>
        </w:rPr>
        <w:t>PreK</w:t>
      </w:r>
      <w:proofErr w:type="spellEnd"/>
      <w:r w:rsidR="008E199B">
        <w:rPr>
          <w:szCs w:val="22"/>
        </w:rPr>
        <w:t xml:space="preserve"> program</w:t>
      </w:r>
      <w:r w:rsidR="00D4332D">
        <w:rPr>
          <w:szCs w:val="22"/>
        </w:rPr>
        <w:t xml:space="preserve">, </w:t>
      </w:r>
      <w:r w:rsidR="00E97F92">
        <w:rPr>
          <w:szCs w:val="22"/>
        </w:rPr>
        <w:t>and</w:t>
      </w:r>
      <w:r w:rsidR="008170F4" w:rsidRPr="00504CCF">
        <w:rPr>
          <w:szCs w:val="22"/>
        </w:rPr>
        <w:t xml:space="preserve"> include</w:t>
      </w:r>
      <w:r w:rsidR="009C1400">
        <w:rPr>
          <w:szCs w:val="22"/>
        </w:rPr>
        <w:t>s</w:t>
      </w:r>
      <w:r w:rsidR="008170F4" w:rsidRPr="00504CCF">
        <w:rPr>
          <w:szCs w:val="22"/>
        </w:rPr>
        <w:t xml:space="preserve"> the following </w:t>
      </w:r>
      <w:r w:rsidR="008C0F39">
        <w:rPr>
          <w:szCs w:val="22"/>
        </w:rPr>
        <w:t>data collection instruments</w:t>
      </w:r>
      <w:r w:rsidR="008170F4" w:rsidRPr="00504CCF">
        <w:rPr>
          <w:szCs w:val="22"/>
        </w:rPr>
        <w:t xml:space="preserve"> to </w:t>
      </w:r>
      <w:r w:rsidR="000925D1">
        <w:rPr>
          <w:szCs w:val="22"/>
        </w:rPr>
        <w:t xml:space="preserve">be </w:t>
      </w:r>
      <w:r w:rsidR="008170F4" w:rsidRPr="00504CCF">
        <w:rPr>
          <w:szCs w:val="22"/>
        </w:rPr>
        <w:t>review</w:t>
      </w:r>
      <w:r w:rsidR="000925D1">
        <w:rPr>
          <w:szCs w:val="22"/>
        </w:rPr>
        <w:t>ed</w:t>
      </w:r>
      <w:r w:rsidR="008170F4" w:rsidRPr="00504CCF">
        <w:rPr>
          <w:szCs w:val="22"/>
        </w:rPr>
        <w:t>:</w:t>
      </w:r>
    </w:p>
    <w:p w:rsidR="008170F4" w:rsidRPr="00504CCF" w:rsidRDefault="008170F4" w:rsidP="008170F4">
      <w:pPr>
        <w:pStyle w:val="NORCProposalBodySingleSpacing11ptGaramond"/>
        <w:spacing w:after="0"/>
        <w:jc w:val="both"/>
        <w:rPr>
          <w:rFonts w:ascii="Times New Roman" w:hAnsi="Times New Roman" w:cs="Times New Roman"/>
          <w:szCs w:val="22"/>
        </w:rPr>
      </w:pPr>
    </w:p>
    <w:p w:rsidR="008170F4" w:rsidRDefault="00D4332D" w:rsidP="00FA573E">
      <w:pPr>
        <w:pStyle w:val="ListParagraph"/>
        <w:numPr>
          <w:ilvl w:val="0"/>
          <w:numId w:val="21"/>
        </w:numPr>
        <w:contextualSpacing w:val="0"/>
        <w:rPr>
          <w:rFonts w:ascii="Times New Roman" w:hAnsi="Times New Roman"/>
          <w:sz w:val="22"/>
          <w:szCs w:val="22"/>
        </w:rPr>
      </w:pPr>
      <w:r>
        <w:rPr>
          <w:rFonts w:ascii="Times New Roman" w:hAnsi="Times New Roman"/>
          <w:b/>
          <w:sz w:val="22"/>
          <w:szCs w:val="22"/>
        </w:rPr>
        <w:lastRenderedPageBreak/>
        <w:t>Follow-up</w:t>
      </w:r>
      <w:r w:rsidR="00FA573E" w:rsidRPr="00C6264E">
        <w:rPr>
          <w:rFonts w:ascii="Times New Roman" w:hAnsi="Times New Roman"/>
          <w:b/>
          <w:sz w:val="22"/>
          <w:szCs w:val="22"/>
        </w:rPr>
        <w:t xml:space="preserve"> Member Survey:</w:t>
      </w:r>
      <w:r w:rsidR="00FA573E" w:rsidRPr="00C6264E">
        <w:rPr>
          <w:rFonts w:ascii="Times New Roman" w:hAnsi="Times New Roman"/>
          <w:sz w:val="22"/>
          <w:szCs w:val="22"/>
        </w:rPr>
        <w:t xml:space="preserve"> A </w:t>
      </w:r>
      <w:r>
        <w:rPr>
          <w:rFonts w:ascii="Times New Roman" w:hAnsi="Times New Roman"/>
          <w:sz w:val="22"/>
          <w:szCs w:val="22"/>
        </w:rPr>
        <w:t>follow-up</w:t>
      </w:r>
      <w:r w:rsidR="00FA573E" w:rsidRPr="00C6264E">
        <w:rPr>
          <w:rFonts w:ascii="Times New Roman" w:hAnsi="Times New Roman"/>
          <w:sz w:val="22"/>
          <w:szCs w:val="22"/>
        </w:rPr>
        <w:t xml:space="preserve"> survey with </w:t>
      </w:r>
      <w:r>
        <w:rPr>
          <w:rFonts w:ascii="Times New Roman" w:hAnsi="Times New Roman"/>
          <w:sz w:val="22"/>
          <w:szCs w:val="22"/>
        </w:rPr>
        <w:t xml:space="preserve">members </w:t>
      </w:r>
      <w:r w:rsidR="009C1400">
        <w:rPr>
          <w:rFonts w:ascii="Times New Roman" w:hAnsi="Times New Roman"/>
          <w:sz w:val="22"/>
          <w:szCs w:val="22"/>
        </w:rPr>
        <w:t>(tutors)</w:t>
      </w:r>
      <w:r>
        <w:rPr>
          <w:rFonts w:ascii="Times New Roman" w:hAnsi="Times New Roman"/>
          <w:sz w:val="22"/>
          <w:szCs w:val="22"/>
        </w:rPr>
        <w:t xml:space="preserve"> </w:t>
      </w:r>
      <w:r w:rsidR="009C1400">
        <w:rPr>
          <w:rFonts w:ascii="Times New Roman" w:hAnsi="Times New Roman"/>
          <w:sz w:val="22"/>
          <w:szCs w:val="22"/>
        </w:rPr>
        <w:t xml:space="preserve">of </w:t>
      </w:r>
      <w:r w:rsidR="00FA573E" w:rsidRPr="00C6264E">
        <w:rPr>
          <w:rFonts w:ascii="Times New Roman" w:hAnsi="Times New Roman"/>
          <w:sz w:val="22"/>
          <w:szCs w:val="22"/>
        </w:rPr>
        <w:t>the 2012-13 MRC program</w:t>
      </w:r>
      <w:r w:rsidR="00B73CE5">
        <w:rPr>
          <w:rFonts w:ascii="Times New Roman" w:hAnsi="Times New Roman"/>
          <w:sz w:val="22"/>
          <w:szCs w:val="22"/>
        </w:rPr>
        <w:t xml:space="preserve">. </w:t>
      </w:r>
      <w:r>
        <w:rPr>
          <w:rFonts w:ascii="Times New Roman" w:hAnsi="Times New Roman"/>
          <w:sz w:val="22"/>
          <w:szCs w:val="22"/>
        </w:rPr>
        <w:t>An earlier round of the study included a baseline member survey</w:t>
      </w:r>
      <w:r w:rsidR="00B73CE5">
        <w:rPr>
          <w:rFonts w:ascii="Times New Roman" w:hAnsi="Times New Roman"/>
          <w:sz w:val="22"/>
          <w:szCs w:val="22"/>
        </w:rPr>
        <w:t xml:space="preserve">. </w:t>
      </w:r>
      <w:r w:rsidR="00FA573E" w:rsidRPr="00C6264E">
        <w:rPr>
          <w:rFonts w:ascii="Times New Roman" w:hAnsi="Times New Roman"/>
          <w:sz w:val="22"/>
          <w:szCs w:val="22"/>
        </w:rPr>
        <w:t xml:space="preserve">Approximately </w:t>
      </w:r>
      <w:r w:rsidR="00F25F91">
        <w:rPr>
          <w:rFonts w:ascii="Times New Roman" w:hAnsi="Times New Roman"/>
          <w:sz w:val="22"/>
          <w:szCs w:val="22"/>
        </w:rPr>
        <w:t>1,031</w:t>
      </w:r>
      <w:r w:rsidR="00FA573E" w:rsidRPr="00C6264E">
        <w:rPr>
          <w:rFonts w:ascii="Times New Roman" w:hAnsi="Times New Roman"/>
          <w:sz w:val="22"/>
          <w:szCs w:val="22"/>
        </w:rPr>
        <w:t xml:space="preserve"> subjects will be asked to participate in the </w:t>
      </w:r>
      <w:r w:rsidR="00D94C65">
        <w:rPr>
          <w:rFonts w:ascii="Times New Roman" w:hAnsi="Times New Roman"/>
          <w:sz w:val="22"/>
          <w:szCs w:val="22"/>
        </w:rPr>
        <w:t xml:space="preserve">follow-up </w:t>
      </w:r>
      <w:r w:rsidR="00FA573E" w:rsidRPr="00C6264E">
        <w:rPr>
          <w:rFonts w:ascii="Times New Roman" w:hAnsi="Times New Roman"/>
          <w:sz w:val="22"/>
          <w:szCs w:val="22"/>
        </w:rPr>
        <w:t>survey.</w:t>
      </w:r>
    </w:p>
    <w:p w:rsidR="004F7208" w:rsidRDefault="00DA1B9D" w:rsidP="00FA573E">
      <w:pPr>
        <w:pStyle w:val="ListParagraph"/>
        <w:numPr>
          <w:ilvl w:val="0"/>
          <w:numId w:val="21"/>
        </w:numPr>
        <w:contextualSpacing w:val="0"/>
        <w:rPr>
          <w:rFonts w:ascii="Times New Roman" w:hAnsi="Times New Roman"/>
          <w:sz w:val="22"/>
          <w:szCs w:val="22"/>
        </w:rPr>
      </w:pPr>
      <w:r w:rsidRPr="00F82D2A">
        <w:rPr>
          <w:rFonts w:ascii="Times New Roman" w:hAnsi="Times New Roman"/>
          <w:b/>
          <w:sz w:val="22"/>
          <w:szCs w:val="22"/>
        </w:rPr>
        <w:t>Pre-K Assessments</w:t>
      </w:r>
      <w:r w:rsidR="004F7208" w:rsidRPr="00F82D2A">
        <w:rPr>
          <w:rFonts w:ascii="Times New Roman" w:hAnsi="Times New Roman"/>
          <w:b/>
          <w:sz w:val="22"/>
          <w:szCs w:val="22"/>
        </w:rPr>
        <w:t xml:space="preserve">: </w:t>
      </w:r>
      <w:r w:rsidR="004F7208" w:rsidRPr="00F82D2A">
        <w:rPr>
          <w:rFonts w:ascii="Times New Roman" w:hAnsi="Times New Roman"/>
          <w:sz w:val="22"/>
          <w:szCs w:val="22"/>
        </w:rPr>
        <w:t>Administration of the</w:t>
      </w:r>
      <w:r w:rsidR="004F7208">
        <w:rPr>
          <w:rFonts w:ascii="Times New Roman" w:hAnsi="Times New Roman"/>
          <w:b/>
          <w:sz w:val="22"/>
          <w:szCs w:val="22"/>
        </w:rPr>
        <w:t xml:space="preserve"> </w:t>
      </w:r>
      <w:r w:rsidR="004F7208" w:rsidRPr="00F82D2A">
        <w:rPr>
          <w:rFonts w:ascii="Times New Roman" w:hAnsi="Times New Roman"/>
          <w:sz w:val="22"/>
          <w:szCs w:val="22"/>
        </w:rPr>
        <w:t>Individual Growth and Development Indicators (</w:t>
      </w:r>
      <w:r w:rsidR="004F7208" w:rsidRPr="004F7208">
        <w:rPr>
          <w:rFonts w:ascii="Times New Roman" w:hAnsi="Times New Roman"/>
          <w:sz w:val="22"/>
          <w:szCs w:val="22"/>
        </w:rPr>
        <w:t>IGDI</w:t>
      </w:r>
      <w:r w:rsidR="004F7208" w:rsidRPr="00F82D2A">
        <w:rPr>
          <w:rFonts w:ascii="Times New Roman" w:hAnsi="Times New Roman"/>
          <w:sz w:val="22"/>
          <w:szCs w:val="22"/>
        </w:rPr>
        <w:t>)</w:t>
      </w:r>
      <w:r w:rsidR="004F7208">
        <w:rPr>
          <w:rFonts w:ascii="Times New Roman" w:hAnsi="Times New Roman"/>
          <w:sz w:val="22"/>
          <w:szCs w:val="22"/>
        </w:rPr>
        <w:t xml:space="preserve"> assessment with </w:t>
      </w:r>
      <w:r w:rsidR="002E0AB9">
        <w:rPr>
          <w:rFonts w:ascii="Times New Roman" w:hAnsi="Times New Roman"/>
          <w:sz w:val="22"/>
          <w:szCs w:val="22"/>
        </w:rPr>
        <w:t xml:space="preserve">up to </w:t>
      </w:r>
      <w:r w:rsidR="00E1367B">
        <w:rPr>
          <w:rFonts w:ascii="Times New Roman" w:hAnsi="Times New Roman"/>
          <w:sz w:val="22"/>
          <w:szCs w:val="22"/>
        </w:rPr>
        <w:t>1,</w:t>
      </w:r>
      <w:r w:rsidR="00B85C59">
        <w:rPr>
          <w:rFonts w:ascii="Times New Roman" w:hAnsi="Times New Roman"/>
          <w:sz w:val="22"/>
          <w:szCs w:val="22"/>
        </w:rPr>
        <w:t>44</w:t>
      </w:r>
      <w:r w:rsidR="004F7208" w:rsidRPr="00090428">
        <w:rPr>
          <w:rFonts w:ascii="Times New Roman" w:hAnsi="Times New Roman"/>
          <w:sz w:val="22"/>
          <w:szCs w:val="22"/>
        </w:rPr>
        <w:t>0 preschool students during the fall</w:t>
      </w:r>
      <w:r w:rsidR="00E11246">
        <w:rPr>
          <w:rFonts w:ascii="Times New Roman" w:hAnsi="Times New Roman"/>
          <w:sz w:val="22"/>
          <w:szCs w:val="22"/>
        </w:rPr>
        <w:t>, winter</w:t>
      </w:r>
      <w:r w:rsidR="004F7208" w:rsidRPr="00090428">
        <w:rPr>
          <w:rFonts w:ascii="Times New Roman" w:hAnsi="Times New Roman"/>
          <w:sz w:val="22"/>
          <w:szCs w:val="22"/>
        </w:rPr>
        <w:t xml:space="preserve"> and spring</w:t>
      </w:r>
      <w:r w:rsidR="004F7208">
        <w:rPr>
          <w:rFonts w:ascii="Times New Roman" w:hAnsi="Times New Roman"/>
          <w:sz w:val="22"/>
          <w:szCs w:val="22"/>
        </w:rPr>
        <w:t xml:space="preserve"> of the 2013-2014 school year</w:t>
      </w:r>
      <w:r w:rsidR="002E0AB9">
        <w:rPr>
          <w:rFonts w:ascii="Times New Roman" w:hAnsi="Times New Roman"/>
          <w:sz w:val="22"/>
          <w:szCs w:val="22"/>
        </w:rPr>
        <w:t xml:space="preserve"> (allowing for attrition and nonresponse rates)</w:t>
      </w:r>
      <w:r w:rsidR="004F7208" w:rsidRPr="004F7208">
        <w:rPr>
          <w:rFonts w:ascii="Times New Roman" w:hAnsi="Times New Roman"/>
          <w:sz w:val="22"/>
          <w:szCs w:val="22"/>
        </w:rPr>
        <w:t xml:space="preserve">. </w:t>
      </w:r>
    </w:p>
    <w:p w:rsidR="00D4332D" w:rsidRPr="00FA573E" w:rsidRDefault="00D4332D" w:rsidP="00F82D2A"/>
    <w:p w:rsidR="004F7D9B" w:rsidRPr="00C7099C" w:rsidRDefault="004F7D9B" w:rsidP="004F7D9B">
      <w:pPr>
        <w:pStyle w:val="BodyText"/>
        <w:keepLines/>
        <w:spacing w:after="0" w:line="240" w:lineRule="auto"/>
        <w:rPr>
          <w:szCs w:val="22"/>
        </w:rPr>
      </w:pPr>
      <w:r w:rsidRPr="00C7099C">
        <w:t xml:space="preserve">CNCS anticipates that this study will not only </w:t>
      </w:r>
      <w:r w:rsidRPr="00C7099C">
        <w:rPr>
          <w:szCs w:val="22"/>
        </w:rPr>
        <w:t xml:space="preserve">examine if the MRC is </w:t>
      </w:r>
      <w:r w:rsidR="00E562B9">
        <w:rPr>
          <w:szCs w:val="22"/>
        </w:rPr>
        <w:t>effective with</w:t>
      </w:r>
      <w:r w:rsidRPr="00C7099C">
        <w:rPr>
          <w:szCs w:val="22"/>
        </w:rPr>
        <w:t xml:space="preserve"> service recipients (stud</w:t>
      </w:r>
      <w:r w:rsidR="001D69A5" w:rsidRPr="00C7099C">
        <w:rPr>
          <w:szCs w:val="22"/>
        </w:rPr>
        <w:t xml:space="preserve">ents) and </w:t>
      </w:r>
      <w:r w:rsidR="00FA573E">
        <w:rPr>
          <w:szCs w:val="22"/>
        </w:rPr>
        <w:t>what the effects of the program are for</w:t>
      </w:r>
      <w:r w:rsidR="001D69A5" w:rsidRPr="00C7099C">
        <w:rPr>
          <w:szCs w:val="22"/>
        </w:rPr>
        <w:t xml:space="preserve"> AmeriCorps member</w:t>
      </w:r>
      <w:r w:rsidR="008E67BA" w:rsidRPr="00C7099C">
        <w:rPr>
          <w:szCs w:val="22"/>
        </w:rPr>
        <w:t>s</w:t>
      </w:r>
      <w:r w:rsidR="001D69A5" w:rsidRPr="00C7099C">
        <w:rPr>
          <w:szCs w:val="22"/>
        </w:rPr>
        <w:t xml:space="preserve"> who serve as literacy tutors</w:t>
      </w:r>
      <w:r w:rsidRPr="00C7099C">
        <w:rPr>
          <w:szCs w:val="22"/>
        </w:rPr>
        <w:t>, but it will provide stakeholders with an understanding of the extent to which trained volunteer tutoring programs can effectively provide reading assistance to students at low cost to school districts</w:t>
      </w:r>
      <w:r w:rsidR="003A49EA" w:rsidRPr="00C7099C">
        <w:rPr>
          <w:szCs w:val="22"/>
        </w:rPr>
        <w:t xml:space="preserve">. </w:t>
      </w:r>
    </w:p>
    <w:p w:rsidR="000E48A3" w:rsidRPr="00C7099C" w:rsidRDefault="000E48A3" w:rsidP="000E48A3">
      <w:pPr>
        <w:pStyle w:val="BodyText"/>
        <w:spacing w:after="0" w:line="240" w:lineRule="auto"/>
        <w:rPr>
          <w:color w:val="FF0000"/>
        </w:rPr>
      </w:pPr>
    </w:p>
    <w:p w:rsidR="00F0271B" w:rsidRDefault="00C444EC" w:rsidP="00F0271B">
      <w:pPr>
        <w:rPr>
          <w:color w:val="1F497D"/>
        </w:rPr>
      </w:pPr>
      <w:r w:rsidRPr="0057230B">
        <w:rPr>
          <w:sz w:val="22"/>
          <w:szCs w:val="22"/>
        </w:rPr>
        <w:t>CNCS is relying on the study findings to assist with future funding decisions around other educationally-</w:t>
      </w:r>
      <w:bookmarkStart w:id="4" w:name="_GoBack"/>
      <w:bookmarkEnd w:id="4"/>
      <w:r w:rsidRPr="0057230B">
        <w:rPr>
          <w:sz w:val="22"/>
          <w:szCs w:val="22"/>
        </w:rPr>
        <w:t>focused AmeriCorps programs</w:t>
      </w:r>
      <w:r w:rsidR="00B73CE5">
        <w:rPr>
          <w:sz w:val="22"/>
          <w:szCs w:val="22"/>
        </w:rPr>
        <w:t xml:space="preserve">. </w:t>
      </w:r>
      <w:r w:rsidR="00DA1B9D" w:rsidRPr="0057230B">
        <w:rPr>
          <w:sz w:val="22"/>
          <w:szCs w:val="22"/>
        </w:rPr>
        <w:t>The</w:t>
      </w:r>
      <w:r w:rsidRPr="0057230B">
        <w:rPr>
          <w:sz w:val="22"/>
          <w:szCs w:val="22"/>
        </w:rPr>
        <w:t xml:space="preserve"> </w:t>
      </w:r>
      <w:r w:rsidR="00E562B9">
        <w:rPr>
          <w:sz w:val="22"/>
          <w:szCs w:val="22"/>
        </w:rPr>
        <w:t xml:space="preserve">QED </w:t>
      </w:r>
      <w:r w:rsidRPr="0057230B">
        <w:rPr>
          <w:sz w:val="22"/>
          <w:szCs w:val="22"/>
        </w:rPr>
        <w:t xml:space="preserve">evaluation </w:t>
      </w:r>
      <w:r w:rsidR="00DA1B9D" w:rsidRPr="0057230B">
        <w:rPr>
          <w:sz w:val="22"/>
          <w:szCs w:val="22"/>
        </w:rPr>
        <w:t>will</w:t>
      </w:r>
      <w:r w:rsidRPr="0057230B">
        <w:rPr>
          <w:sz w:val="22"/>
          <w:szCs w:val="22"/>
        </w:rPr>
        <w:t xml:space="preserve"> assess the </w:t>
      </w:r>
      <w:r w:rsidR="00E562B9">
        <w:rPr>
          <w:sz w:val="22"/>
          <w:szCs w:val="22"/>
        </w:rPr>
        <w:t>effect</w:t>
      </w:r>
      <w:r w:rsidR="00E562B9" w:rsidRPr="0057230B">
        <w:rPr>
          <w:sz w:val="22"/>
          <w:szCs w:val="22"/>
        </w:rPr>
        <w:t xml:space="preserve"> </w:t>
      </w:r>
      <w:r w:rsidRPr="0057230B">
        <w:rPr>
          <w:sz w:val="22"/>
          <w:szCs w:val="22"/>
        </w:rPr>
        <w:t xml:space="preserve">of the program on </w:t>
      </w:r>
      <w:r w:rsidR="00015055" w:rsidRPr="0057230B">
        <w:rPr>
          <w:sz w:val="22"/>
          <w:szCs w:val="22"/>
        </w:rPr>
        <w:t xml:space="preserve">preschool </w:t>
      </w:r>
      <w:r w:rsidRPr="0057230B">
        <w:rPr>
          <w:sz w:val="22"/>
          <w:szCs w:val="22"/>
        </w:rPr>
        <w:t>students’ literacy levels</w:t>
      </w:r>
      <w:r w:rsidR="00B73CE5">
        <w:rPr>
          <w:sz w:val="22"/>
          <w:szCs w:val="22"/>
        </w:rPr>
        <w:t xml:space="preserve">. </w:t>
      </w:r>
      <w:r w:rsidRPr="0057230B">
        <w:rPr>
          <w:sz w:val="22"/>
          <w:szCs w:val="22"/>
        </w:rPr>
        <w:t xml:space="preserve">The follow-up member survey will measure changes in AmeriCorps members’ educational </w:t>
      </w:r>
      <w:r w:rsidR="00E97F92" w:rsidRPr="0057230B">
        <w:rPr>
          <w:sz w:val="22"/>
          <w:szCs w:val="22"/>
        </w:rPr>
        <w:t xml:space="preserve">and employment </w:t>
      </w:r>
      <w:r w:rsidRPr="0057230B">
        <w:rPr>
          <w:sz w:val="22"/>
          <w:szCs w:val="22"/>
        </w:rPr>
        <w:t>goals</w:t>
      </w:r>
      <w:r w:rsidR="00E97F92" w:rsidRPr="0057230B">
        <w:rPr>
          <w:sz w:val="22"/>
          <w:szCs w:val="22"/>
        </w:rPr>
        <w:t xml:space="preserve">, </w:t>
      </w:r>
      <w:r w:rsidRPr="0057230B">
        <w:rPr>
          <w:sz w:val="22"/>
          <w:szCs w:val="22"/>
        </w:rPr>
        <w:t>civic engagement</w:t>
      </w:r>
      <w:r w:rsidR="00E97F92" w:rsidRPr="0057230B">
        <w:rPr>
          <w:sz w:val="22"/>
          <w:szCs w:val="22"/>
        </w:rPr>
        <w:t>, as well as program satisfaction.</w:t>
      </w:r>
      <w:r w:rsidR="00DA1B9D" w:rsidRPr="0057230B">
        <w:rPr>
          <w:sz w:val="22"/>
          <w:szCs w:val="22"/>
        </w:rPr>
        <w:t xml:space="preserve"> The </w:t>
      </w:r>
      <w:r w:rsidR="00015055" w:rsidRPr="0057230B">
        <w:rPr>
          <w:sz w:val="22"/>
          <w:szCs w:val="22"/>
        </w:rPr>
        <w:t>IGDI will assess preschool students’ proficiencies in five critical emergent literacy skills: 1) rhyming</w:t>
      </w:r>
      <w:r w:rsidR="00875928" w:rsidRPr="0057230B">
        <w:rPr>
          <w:sz w:val="22"/>
          <w:szCs w:val="22"/>
        </w:rPr>
        <w:t>,</w:t>
      </w:r>
      <w:r w:rsidR="00B77B8D" w:rsidRPr="0057230B">
        <w:rPr>
          <w:sz w:val="22"/>
          <w:szCs w:val="22"/>
        </w:rPr>
        <w:t xml:space="preserve"> 2</w:t>
      </w:r>
      <w:r w:rsidR="00015055" w:rsidRPr="0057230B">
        <w:rPr>
          <w:sz w:val="22"/>
          <w:szCs w:val="22"/>
        </w:rPr>
        <w:t>) alliteration,</w:t>
      </w:r>
      <w:r w:rsidR="00B77B8D" w:rsidRPr="0057230B">
        <w:rPr>
          <w:sz w:val="22"/>
          <w:szCs w:val="22"/>
        </w:rPr>
        <w:t xml:space="preserve"> 3) </w:t>
      </w:r>
      <w:r w:rsidR="00B77B8D" w:rsidRPr="00E562B9">
        <w:rPr>
          <w:sz w:val="22"/>
          <w:szCs w:val="22"/>
        </w:rPr>
        <w:t xml:space="preserve">picture naming, </w:t>
      </w:r>
      <w:r w:rsidR="00015055" w:rsidRPr="00E562B9">
        <w:rPr>
          <w:sz w:val="22"/>
          <w:szCs w:val="22"/>
        </w:rPr>
        <w:t>4) letter name fluency and 5) letter sound fluency.</w:t>
      </w:r>
      <w:r w:rsidR="0057230B" w:rsidRPr="00E562B9">
        <w:rPr>
          <w:sz w:val="22"/>
          <w:szCs w:val="22"/>
        </w:rPr>
        <w:t xml:space="preserve"> </w:t>
      </w:r>
      <w:r w:rsidR="00F0271B" w:rsidRPr="00F0271B">
        <w:rPr>
          <w:sz w:val="22"/>
          <w:szCs w:val="22"/>
        </w:rPr>
        <w:t xml:space="preserve">Information on the IGDI assessment tool and materials to be used for the </w:t>
      </w:r>
      <w:proofErr w:type="spellStart"/>
      <w:r w:rsidR="00F0271B" w:rsidRPr="00F0271B">
        <w:rPr>
          <w:sz w:val="22"/>
          <w:szCs w:val="22"/>
        </w:rPr>
        <w:t>PreK</w:t>
      </w:r>
      <w:proofErr w:type="spellEnd"/>
      <w:r w:rsidR="00F0271B" w:rsidRPr="00F0271B">
        <w:rPr>
          <w:sz w:val="22"/>
          <w:szCs w:val="22"/>
        </w:rPr>
        <w:t xml:space="preserve"> data collection is available at </w:t>
      </w:r>
      <w:hyperlink r:id="rId10" w:history="1">
        <w:r w:rsidR="00F0271B" w:rsidRPr="00F0271B">
          <w:rPr>
            <w:rStyle w:val="Hyperlink"/>
            <w:sz w:val="22"/>
            <w:szCs w:val="22"/>
          </w:rPr>
          <w:t>http://www.myigdis.com</w:t>
        </w:r>
      </w:hyperlink>
      <w:r w:rsidR="00F0271B" w:rsidRPr="00F0271B">
        <w:rPr>
          <w:color w:val="1F497D"/>
          <w:sz w:val="22"/>
          <w:szCs w:val="22"/>
        </w:rPr>
        <w:t xml:space="preserve">. </w:t>
      </w:r>
      <w:r w:rsidR="00F0271B" w:rsidRPr="00F0271B">
        <w:rPr>
          <w:sz w:val="22"/>
          <w:szCs w:val="22"/>
        </w:rPr>
        <w:t xml:space="preserve">The administration manual with example assessment questions is also available on-line at: </w:t>
      </w:r>
      <w:hyperlink r:id="rId11" w:history="1">
        <w:r w:rsidR="00F0271B" w:rsidRPr="00F0271B">
          <w:rPr>
            <w:rStyle w:val="Hyperlink"/>
            <w:sz w:val="22"/>
            <w:szCs w:val="22"/>
          </w:rPr>
          <w:t>http://www.myigdis.com/wp-content/uploads/2013/01/myIGDIs-Literacy+-Screening-Administration-Manual.pdf</w:t>
        </w:r>
      </w:hyperlink>
      <w:r w:rsidR="00F0271B" w:rsidRPr="00F0271B">
        <w:rPr>
          <w:color w:val="1F497D"/>
          <w:sz w:val="22"/>
          <w:szCs w:val="22"/>
        </w:rPr>
        <w:t xml:space="preserve">. </w:t>
      </w:r>
      <w:r w:rsidR="00F0271B" w:rsidRPr="00F0271B">
        <w:rPr>
          <w:sz w:val="22"/>
          <w:szCs w:val="22"/>
        </w:rPr>
        <w:t>Furthermore, two summaries report on the psychometrics of the IGDIs are available at:</w:t>
      </w:r>
      <w:r w:rsidR="00F0271B" w:rsidRPr="00F0271B">
        <w:rPr>
          <w:color w:val="1F497D"/>
          <w:sz w:val="22"/>
          <w:szCs w:val="22"/>
        </w:rPr>
        <w:t xml:space="preserve"> </w:t>
      </w:r>
      <w:hyperlink r:id="rId12" w:history="1">
        <w:r w:rsidR="00F0271B" w:rsidRPr="00F0271B">
          <w:rPr>
            <w:rStyle w:val="Hyperlink"/>
            <w:sz w:val="22"/>
            <w:szCs w:val="22"/>
          </w:rPr>
          <w:t>http://www.myigdis.com/wp-content/uploads/2013/01/IGDIs-EL-2nd-Ed-Technical-Info-Summary.pdf</w:t>
        </w:r>
      </w:hyperlink>
      <w:r w:rsidR="00F0271B" w:rsidRPr="00F0271B">
        <w:rPr>
          <w:color w:val="1F497D"/>
          <w:sz w:val="22"/>
          <w:szCs w:val="22"/>
        </w:rPr>
        <w:t xml:space="preserve"> </w:t>
      </w:r>
      <w:r w:rsidR="00F0271B" w:rsidRPr="00F0271B">
        <w:rPr>
          <w:sz w:val="22"/>
          <w:szCs w:val="22"/>
        </w:rPr>
        <w:t xml:space="preserve">and </w:t>
      </w:r>
      <w:hyperlink r:id="rId13" w:history="1">
        <w:r w:rsidR="00F0271B" w:rsidRPr="00F0271B">
          <w:rPr>
            <w:rStyle w:val="Hyperlink"/>
            <w:sz w:val="22"/>
            <w:szCs w:val="22"/>
          </w:rPr>
          <w:t>http://www.myigdis.com/wp-content/uploads/2013/01/IGDIs-EL-1st-Ed-Technical-Info-Summary-Sheet.pdf</w:t>
        </w:r>
      </w:hyperlink>
      <w:r w:rsidR="00F0271B" w:rsidRPr="00F0271B">
        <w:rPr>
          <w:color w:val="1F497D"/>
          <w:sz w:val="22"/>
          <w:szCs w:val="22"/>
        </w:rPr>
        <w:t>.</w:t>
      </w:r>
    </w:p>
    <w:p w:rsidR="00C444EC" w:rsidRPr="0057230B" w:rsidRDefault="00C444EC" w:rsidP="00E97F92">
      <w:pPr>
        <w:autoSpaceDE w:val="0"/>
        <w:autoSpaceDN w:val="0"/>
        <w:adjustRightInd w:val="0"/>
        <w:rPr>
          <w:sz w:val="22"/>
          <w:szCs w:val="22"/>
        </w:rPr>
      </w:pPr>
    </w:p>
    <w:p w:rsidR="000E48A3" w:rsidRPr="00D373A5" w:rsidRDefault="000E48A3" w:rsidP="000E48A3">
      <w:pPr>
        <w:pStyle w:val="BodyText"/>
        <w:spacing w:after="0" w:line="240" w:lineRule="auto"/>
        <w:rPr>
          <w:color w:val="FF0000"/>
        </w:rPr>
      </w:pPr>
    </w:p>
    <w:p w:rsidR="00BF46A7" w:rsidRDefault="00BF46A7" w:rsidP="000E48A3">
      <w:pPr>
        <w:pStyle w:val="Heading2"/>
        <w:spacing w:before="0" w:after="0"/>
        <w:rPr>
          <w:color w:val="000000"/>
        </w:rPr>
      </w:pPr>
      <w:bookmarkStart w:id="5" w:name="_Toc352603605"/>
      <w:r>
        <w:t>A.2.</w:t>
      </w:r>
      <w:r>
        <w:tab/>
        <w:t>Purpose and Use of Information</w:t>
      </w:r>
      <w:bookmarkEnd w:id="3"/>
      <w:r>
        <w:t xml:space="preserve"> </w:t>
      </w:r>
      <w:r w:rsidRPr="00D65922">
        <w:rPr>
          <w:color w:val="000000"/>
        </w:rPr>
        <w:t>Collection</w:t>
      </w:r>
      <w:bookmarkEnd w:id="5"/>
    </w:p>
    <w:p w:rsidR="000E48A3" w:rsidRPr="000E48A3" w:rsidRDefault="000E48A3" w:rsidP="000E48A3"/>
    <w:p w:rsidR="00222965" w:rsidRDefault="00D94C65" w:rsidP="000E48A3">
      <w:pPr>
        <w:jc w:val="both"/>
        <w:rPr>
          <w:sz w:val="22"/>
          <w:szCs w:val="22"/>
        </w:rPr>
      </w:pPr>
      <w:r>
        <w:rPr>
          <w:sz w:val="22"/>
          <w:szCs w:val="22"/>
        </w:rPr>
        <w:t xml:space="preserve">The first phase of the process assessment was completed at the beginning of the 2012-2013 school </w:t>
      </w:r>
      <w:proofErr w:type="gramStart"/>
      <w:r>
        <w:rPr>
          <w:sz w:val="22"/>
          <w:szCs w:val="22"/>
        </w:rPr>
        <w:t>year</w:t>
      </w:r>
      <w:proofErr w:type="gramEnd"/>
      <w:r>
        <w:rPr>
          <w:sz w:val="22"/>
          <w:szCs w:val="22"/>
        </w:rPr>
        <w:t xml:space="preserve"> and involved the administration of a baseline survey to 1,031</w:t>
      </w:r>
      <w:r w:rsidRPr="00222965">
        <w:rPr>
          <w:sz w:val="22"/>
          <w:szCs w:val="22"/>
        </w:rPr>
        <w:t xml:space="preserve"> </w:t>
      </w:r>
      <w:r>
        <w:rPr>
          <w:sz w:val="22"/>
          <w:szCs w:val="22"/>
        </w:rPr>
        <w:t>AmeriCorps members who served as MRC tutors in the 2012-2013 school year.</w:t>
      </w:r>
      <w:r w:rsidRPr="00222965">
        <w:rPr>
          <w:sz w:val="22"/>
          <w:szCs w:val="22"/>
        </w:rPr>
        <w:t xml:space="preserve"> </w:t>
      </w:r>
      <w:r w:rsidR="00222965" w:rsidRPr="00222965">
        <w:rPr>
          <w:sz w:val="22"/>
          <w:szCs w:val="22"/>
        </w:rPr>
        <w:t xml:space="preserve">The </w:t>
      </w:r>
      <w:r w:rsidR="00214A3E">
        <w:rPr>
          <w:sz w:val="22"/>
          <w:szCs w:val="22"/>
        </w:rPr>
        <w:t xml:space="preserve">second phase of the </w:t>
      </w:r>
      <w:r w:rsidR="00222965" w:rsidRPr="00222965">
        <w:rPr>
          <w:sz w:val="22"/>
          <w:szCs w:val="22"/>
        </w:rPr>
        <w:t>process assessment involves the administration</w:t>
      </w:r>
      <w:r w:rsidR="001145A3">
        <w:rPr>
          <w:sz w:val="22"/>
          <w:szCs w:val="22"/>
        </w:rPr>
        <w:t xml:space="preserve"> of a </w:t>
      </w:r>
      <w:r w:rsidR="00DA1B9D">
        <w:rPr>
          <w:sz w:val="22"/>
          <w:szCs w:val="22"/>
        </w:rPr>
        <w:t>follow-up</w:t>
      </w:r>
      <w:r w:rsidR="001145A3">
        <w:rPr>
          <w:sz w:val="22"/>
          <w:szCs w:val="22"/>
        </w:rPr>
        <w:t xml:space="preserve"> member survey </w:t>
      </w:r>
      <w:r w:rsidR="000B4450">
        <w:rPr>
          <w:sz w:val="22"/>
          <w:szCs w:val="22"/>
        </w:rPr>
        <w:t>t</w:t>
      </w:r>
      <w:r w:rsidR="00222965" w:rsidRPr="00222965">
        <w:rPr>
          <w:sz w:val="22"/>
          <w:szCs w:val="22"/>
        </w:rPr>
        <w:t>o</w:t>
      </w:r>
      <w:r w:rsidR="00DA1B9D">
        <w:rPr>
          <w:sz w:val="22"/>
          <w:szCs w:val="22"/>
        </w:rPr>
        <w:t xml:space="preserve"> </w:t>
      </w:r>
      <w:r>
        <w:rPr>
          <w:sz w:val="22"/>
          <w:szCs w:val="22"/>
        </w:rPr>
        <w:t xml:space="preserve">the same group of </w:t>
      </w:r>
      <w:r w:rsidR="00F25F91">
        <w:rPr>
          <w:sz w:val="22"/>
          <w:szCs w:val="22"/>
        </w:rPr>
        <w:t>1,031</w:t>
      </w:r>
      <w:r w:rsidR="00222965" w:rsidRPr="00222965">
        <w:rPr>
          <w:sz w:val="22"/>
          <w:szCs w:val="22"/>
        </w:rPr>
        <w:t xml:space="preserve"> </w:t>
      </w:r>
      <w:r w:rsidR="00471884">
        <w:rPr>
          <w:sz w:val="22"/>
          <w:szCs w:val="22"/>
        </w:rPr>
        <w:t xml:space="preserve">AmeriCorps </w:t>
      </w:r>
      <w:r w:rsidR="00DA1B9D">
        <w:rPr>
          <w:sz w:val="22"/>
          <w:szCs w:val="22"/>
        </w:rPr>
        <w:t>members</w:t>
      </w:r>
      <w:r w:rsidR="005C7D31">
        <w:rPr>
          <w:sz w:val="22"/>
          <w:szCs w:val="22"/>
        </w:rPr>
        <w:t xml:space="preserve"> at the end of their service year</w:t>
      </w:r>
      <w:r w:rsidR="00DA1B9D" w:rsidRPr="00471884">
        <w:rPr>
          <w:sz w:val="22"/>
          <w:szCs w:val="22"/>
        </w:rPr>
        <w:t xml:space="preserve">. </w:t>
      </w:r>
      <w:r>
        <w:rPr>
          <w:sz w:val="22"/>
          <w:szCs w:val="22"/>
        </w:rPr>
        <w:t xml:space="preserve">Findings </w:t>
      </w:r>
      <w:r w:rsidR="009C5DAB">
        <w:rPr>
          <w:sz w:val="22"/>
          <w:szCs w:val="22"/>
        </w:rPr>
        <w:t xml:space="preserve">from the baseline and follow-up surveys will be compared to examine changes in </w:t>
      </w:r>
      <w:r w:rsidR="005C7D31">
        <w:rPr>
          <w:sz w:val="22"/>
          <w:szCs w:val="22"/>
        </w:rPr>
        <w:t>AmeriCorps members’</w:t>
      </w:r>
      <w:r w:rsidR="009C5DAB">
        <w:rPr>
          <w:sz w:val="22"/>
          <w:szCs w:val="22"/>
        </w:rPr>
        <w:t xml:space="preserve"> educational goals and civic engagement. </w:t>
      </w:r>
      <w:r w:rsidR="004F7D9B" w:rsidRPr="00471884">
        <w:rPr>
          <w:sz w:val="22"/>
          <w:szCs w:val="22"/>
        </w:rPr>
        <w:t xml:space="preserve">The survey </w:t>
      </w:r>
      <w:r w:rsidR="00222965" w:rsidRPr="00471884">
        <w:rPr>
          <w:sz w:val="22"/>
          <w:szCs w:val="22"/>
        </w:rPr>
        <w:t>include</w:t>
      </w:r>
      <w:r w:rsidR="004F7D9B" w:rsidRPr="00471884">
        <w:rPr>
          <w:sz w:val="22"/>
          <w:szCs w:val="22"/>
        </w:rPr>
        <w:t>s</w:t>
      </w:r>
      <w:r w:rsidR="00222965" w:rsidRPr="00471884">
        <w:rPr>
          <w:sz w:val="22"/>
          <w:szCs w:val="22"/>
        </w:rPr>
        <w:t xml:space="preserve"> questions on the applicant’s interests and values as they relate to tutoring, </w:t>
      </w:r>
      <w:r w:rsidR="005C7D31">
        <w:rPr>
          <w:sz w:val="22"/>
          <w:szCs w:val="22"/>
        </w:rPr>
        <w:t xml:space="preserve">measures of civic engagement and volunteer attitudes and behaviors, </w:t>
      </w:r>
      <w:r w:rsidR="00222965" w:rsidRPr="00471884">
        <w:rPr>
          <w:sz w:val="22"/>
          <w:szCs w:val="22"/>
        </w:rPr>
        <w:t>what the applicant thinks he/she might do after the program</w:t>
      </w:r>
      <w:r w:rsidR="00471884" w:rsidRPr="00471884">
        <w:rPr>
          <w:sz w:val="22"/>
          <w:szCs w:val="22"/>
        </w:rPr>
        <w:t>, as well how the service might have affected them personally</w:t>
      </w:r>
      <w:r w:rsidR="003A49EA" w:rsidRPr="00471884">
        <w:rPr>
          <w:sz w:val="22"/>
          <w:szCs w:val="22"/>
        </w:rPr>
        <w:t>.</w:t>
      </w:r>
      <w:r w:rsidR="003A49EA">
        <w:rPr>
          <w:sz w:val="22"/>
          <w:szCs w:val="22"/>
        </w:rPr>
        <w:t xml:space="preserve"> </w:t>
      </w:r>
    </w:p>
    <w:p w:rsidR="00D37433" w:rsidRDefault="00D37433" w:rsidP="000E48A3">
      <w:pPr>
        <w:jc w:val="both"/>
        <w:rPr>
          <w:sz w:val="22"/>
          <w:szCs w:val="22"/>
        </w:rPr>
      </w:pPr>
    </w:p>
    <w:p w:rsidR="00D37433" w:rsidRPr="00CF488F" w:rsidRDefault="00D37433" w:rsidP="00ED4ACB">
      <w:pPr>
        <w:pStyle w:val="BodyText"/>
        <w:spacing w:line="240" w:lineRule="auto"/>
      </w:pPr>
      <w:r w:rsidRPr="00CF488F">
        <w:t>During</w:t>
      </w:r>
      <w:r w:rsidRPr="00CF488F">
        <w:rPr>
          <w:b/>
        </w:rPr>
        <w:t xml:space="preserve"> </w:t>
      </w:r>
      <w:r>
        <w:t>the P</w:t>
      </w:r>
      <w:r w:rsidRPr="00CF488F">
        <w:t>hase</w:t>
      </w:r>
      <w:r>
        <w:t xml:space="preserve"> I Feasibility Study</w:t>
      </w:r>
      <w:r w:rsidRPr="00CF488F">
        <w:t xml:space="preserve">, </w:t>
      </w:r>
      <w:r>
        <w:t>CNCS</w:t>
      </w:r>
      <w:r w:rsidRPr="00CF488F">
        <w:t xml:space="preserve"> concluded that</w:t>
      </w:r>
      <w:r w:rsidR="00EF301A">
        <w:t>, unlike the K-3 MRC program,</w:t>
      </w:r>
      <w:r w:rsidRPr="00CF488F">
        <w:t xml:space="preserve"> the random assignment of individual students to treatment and control groups within a s</w:t>
      </w:r>
      <w:r>
        <w:t>ite</w:t>
      </w:r>
      <w:r w:rsidRPr="00CF488F">
        <w:t xml:space="preserve"> is not feasible for the MRC </w:t>
      </w:r>
      <w:proofErr w:type="spellStart"/>
      <w:r w:rsidRPr="00CF488F">
        <w:t>PreK</w:t>
      </w:r>
      <w:proofErr w:type="spellEnd"/>
      <w:r w:rsidRPr="00CF488F">
        <w:t xml:space="preserve"> program because the program is designed to serve an entire classroom of students and transform teachers’ instructional practices which affect all students. Therefore, options for providing the best alternative design</w:t>
      </w:r>
      <w:r w:rsidR="00EF301A">
        <w:t xml:space="preserve"> were explored and the design of</w:t>
      </w:r>
      <w:r w:rsidRPr="00CF488F">
        <w:t xml:space="preserve"> a rigorous QED </w:t>
      </w:r>
      <w:r w:rsidR="00EF301A">
        <w:t xml:space="preserve">resulted. In the QED design, </w:t>
      </w:r>
      <w:r w:rsidRPr="00CF488F">
        <w:t xml:space="preserve">the treatment group (i.e., </w:t>
      </w:r>
      <w:r>
        <w:t xml:space="preserve">MRC </w:t>
      </w:r>
      <w:proofErr w:type="spellStart"/>
      <w:r w:rsidRPr="00CF488F">
        <w:t>PreK</w:t>
      </w:r>
      <w:proofErr w:type="spellEnd"/>
      <w:r w:rsidRPr="00CF488F">
        <w:t xml:space="preserve"> </w:t>
      </w:r>
      <w:r>
        <w:t>site</w:t>
      </w:r>
      <w:r w:rsidRPr="00CF488F">
        <w:t xml:space="preserve">) and </w:t>
      </w:r>
      <w:r w:rsidR="00EF301A">
        <w:t>comparison</w:t>
      </w:r>
      <w:r>
        <w:t xml:space="preserve"> group (i.e., non-MRC sites</w:t>
      </w:r>
      <w:r w:rsidRPr="00CF488F">
        <w:t>) are equated at baseline on important p</w:t>
      </w:r>
      <w:r w:rsidR="00EF301A">
        <w:t>re-intervention characteristics</w:t>
      </w:r>
      <w:r w:rsidRPr="00CF488F">
        <w:t xml:space="preserve"> and also equated during data analysis using statistical controls, so as to adjust for pre-intervention differences among groups. </w:t>
      </w:r>
    </w:p>
    <w:p w:rsidR="009355A9" w:rsidRPr="00ED4ACB" w:rsidRDefault="00D37433" w:rsidP="000E48A3">
      <w:pPr>
        <w:pStyle w:val="Header"/>
        <w:rPr>
          <w:sz w:val="22"/>
          <w:szCs w:val="22"/>
        </w:rPr>
      </w:pPr>
      <w:r w:rsidRPr="00ED4ACB">
        <w:rPr>
          <w:sz w:val="22"/>
          <w:szCs w:val="22"/>
        </w:rPr>
        <w:t xml:space="preserve">In designing the </w:t>
      </w:r>
      <w:proofErr w:type="spellStart"/>
      <w:r w:rsidRPr="00ED4ACB">
        <w:rPr>
          <w:sz w:val="22"/>
          <w:szCs w:val="22"/>
        </w:rPr>
        <w:t>PreK</w:t>
      </w:r>
      <w:proofErr w:type="spellEnd"/>
      <w:r w:rsidRPr="00ED4ACB">
        <w:rPr>
          <w:sz w:val="22"/>
          <w:szCs w:val="22"/>
        </w:rPr>
        <w:t xml:space="preserve"> QED work plan and analysis plan, CNCS has followed the US Department of Education’s Institute of Education Sciences’ (IES) What Works Clearing House (WWC) guidelines for a </w:t>
      </w:r>
      <w:r w:rsidRPr="00ED4ACB">
        <w:rPr>
          <w:sz w:val="22"/>
          <w:szCs w:val="22"/>
        </w:rPr>
        <w:lastRenderedPageBreak/>
        <w:t>QED that “</w:t>
      </w:r>
      <w:r w:rsidRPr="00ED4ACB">
        <w:rPr>
          <w:i/>
          <w:sz w:val="22"/>
          <w:szCs w:val="22"/>
        </w:rPr>
        <w:t>Meets Evidence Standards with Reservations”</w:t>
      </w:r>
      <w:r w:rsidRPr="00ED4ACB">
        <w:rPr>
          <w:sz w:val="22"/>
          <w:szCs w:val="22"/>
        </w:rPr>
        <w:t xml:space="preserve">. A representative sample of MRC </w:t>
      </w:r>
      <w:proofErr w:type="spellStart"/>
      <w:r w:rsidRPr="00ED4ACB">
        <w:rPr>
          <w:sz w:val="22"/>
          <w:szCs w:val="22"/>
        </w:rPr>
        <w:t>PreK</w:t>
      </w:r>
      <w:proofErr w:type="spellEnd"/>
      <w:r w:rsidRPr="00ED4ACB">
        <w:rPr>
          <w:sz w:val="22"/>
          <w:szCs w:val="22"/>
        </w:rPr>
        <w:t xml:space="preserve"> sites was selected and then matched with non-MRC sites on a set of educationally meaningful variables</w:t>
      </w:r>
      <w:r w:rsidR="00F54A46" w:rsidRPr="00ED4ACB">
        <w:rPr>
          <w:sz w:val="22"/>
          <w:szCs w:val="22"/>
        </w:rPr>
        <w:t xml:space="preserve">. CNCS chose matching variables based on </w:t>
      </w:r>
      <w:r w:rsidR="00BB5C8C" w:rsidRPr="00ED4ACB">
        <w:rPr>
          <w:sz w:val="22"/>
          <w:szCs w:val="22"/>
        </w:rPr>
        <w:t xml:space="preserve">differences in MRC site characteristics </w:t>
      </w:r>
      <w:r w:rsidR="00F54A46" w:rsidRPr="00ED4ACB">
        <w:rPr>
          <w:sz w:val="22"/>
          <w:szCs w:val="22"/>
        </w:rPr>
        <w:t xml:space="preserve">(i.e., </w:t>
      </w:r>
      <w:proofErr w:type="spellStart"/>
      <w:r w:rsidR="00F54A46" w:rsidRPr="00ED4ACB">
        <w:rPr>
          <w:sz w:val="22"/>
          <w:szCs w:val="22"/>
        </w:rPr>
        <w:t>urbanicity</w:t>
      </w:r>
      <w:proofErr w:type="spellEnd"/>
      <w:r w:rsidR="00F54A46" w:rsidRPr="00ED4ACB">
        <w:rPr>
          <w:sz w:val="22"/>
          <w:szCs w:val="22"/>
        </w:rPr>
        <w:t>, institution type)</w:t>
      </w:r>
      <w:r w:rsidR="00BB5C8C" w:rsidRPr="00ED4ACB">
        <w:rPr>
          <w:sz w:val="22"/>
          <w:szCs w:val="22"/>
        </w:rPr>
        <w:t>,</w:t>
      </w:r>
      <w:r w:rsidR="00F54A46" w:rsidRPr="00ED4ACB">
        <w:rPr>
          <w:sz w:val="22"/>
          <w:szCs w:val="22"/>
        </w:rPr>
        <w:t xml:space="preserve"> as well as r</w:t>
      </w:r>
      <w:r w:rsidR="00BB5C8C" w:rsidRPr="00ED4ACB">
        <w:rPr>
          <w:sz w:val="22"/>
          <w:szCs w:val="22"/>
        </w:rPr>
        <w:t>esearch literature, which show</w:t>
      </w:r>
      <w:r w:rsidR="00F54A46" w:rsidRPr="00ED4ACB">
        <w:rPr>
          <w:sz w:val="22"/>
          <w:szCs w:val="22"/>
        </w:rPr>
        <w:t xml:space="preserve"> that the variables  (i.e., SES, English language proficiency, student age, student to teacher ratio) explain statistically significant variance in student literacy outcomes</w:t>
      </w:r>
      <w:r w:rsidRPr="00ED4ACB">
        <w:rPr>
          <w:sz w:val="22"/>
          <w:szCs w:val="22"/>
        </w:rPr>
        <w:t>.</w:t>
      </w:r>
      <w:r w:rsidR="009355A9" w:rsidRPr="00ED4ACB">
        <w:rPr>
          <w:sz w:val="22"/>
          <w:szCs w:val="22"/>
        </w:rPr>
        <w:t xml:space="preserve"> </w:t>
      </w:r>
      <w:r w:rsidRPr="00ED4ACB">
        <w:rPr>
          <w:sz w:val="22"/>
          <w:szCs w:val="22"/>
        </w:rPr>
        <w:t xml:space="preserve"> </w:t>
      </w:r>
    </w:p>
    <w:p w:rsidR="009355A9" w:rsidRDefault="009355A9" w:rsidP="000E48A3">
      <w:pPr>
        <w:pStyle w:val="Header"/>
        <w:rPr>
          <w:sz w:val="22"/>
          <w:szCs w:val="22"/>
        </w:rPr>
      </w:pPr>
    </w:p>
    <w:p w:rsidR="008B5FC9" w:rsidRDefault="0075098C" w:rsidP="000E48A3">
      <w:pPr>
        <w:pStyle w:val="Header"/>
        <w:rPr>
          <w:sz w:val="22"/>
          <w:szCs w:val="22"/>
        </w:rPr>
      </w:pPr>
      <w:r w:rsidRPr="00F82D2A">
        <w:rPr>
          <w:sz w:val="22"/>
          <w:szCs w:val="22"/>
        </w:rPr>
        <w:t xml:space="preserve">The primary goal of the MRC </w:t>
      </w:r>
      <w:proofErr w:type="spellStart"/>
      <w:r w:rsidRPr="00F82D2A">
        <w:rPr>
          <w:sz w:val="22"/>
          <w:szCs w:val="22"/>
        </w:rPr>
        <w:t>PreK</w:t>
      </w:r>
      <w:proofErr w:type="spellEnd"/>
      <w:r w:rsidRPr="00F82D2A">
        <w:rPr>
          <w:sz w:val="22"/>
          <w:szCs w:val="22"/>
        </w:rPr>
        <w:t xml:space="preserve"> program’s instructional interventions is to increase student literacy proficiency. At preschool, </w:t>
      </w:r>
      <w:r w:rsidR="00875928" w:rsidRPr="00F82D2A">
        <w:rPr>
          <w:sz w:val="22"/>
          <w:szCs w:val="22"/>
        </w:rPr>
        <w:t>literacy instruction focuses on three</w:t>
      </w:r>
      <w:r w:rsidRPr="00F82D2A">
        <w:rPr>
          <w:sz w:val="22"/>
          <w:szCs w:val="22"/>
        </w:rPr>
        <w:t xml:space="preserve"> </w:t>
      </w:r>
      <w:r w:rsidR="00875928" w:rsidRPr="00F82D2A">
        <w:rPr>
          <w:sz w:val="22"/>
          <w:szCs w:val="22"/>
        </w:rPr>
        <w:t xml:space="preserve">foundational skills, referred to as </w:t>
      </w:r>
      <w:r w:rsidR="00234B77">
        <w:rPr>
          <w:sz w:val="22"/>
          <w:szCs w:val="22"/>
        </w:rPr>
        <w:t>“</w:t>
      </w:r>
      <w:r w:rsidR="00875928" w:rsidRPr="00F82D2A">
        <w:rPr>
          <w:sz w:val="22"/>
          <w:szCs w:val="22"/>
        </w:rPr>
        <w:t>emergent literacy skills</w:t>
      </w:r>
      <w:r w:rsidR="00234B77">
        <w:rPr>
          <w:sz w:val="22"/>
          <w:szCs w:val="22"/>
        </w:rPr>
        <w:t>”</w:t>
      </w:r>
      <w:r w:rsidR="00875928" w:rsidRPr="00F82D2A">
        <w:rPr>
          <w:sz w:val="22"/>
          <w:szCs w:val="22"/>
        </w:rPr>
        <w:t xml:space="preserve">, necessary for reading: phonological awareness, vocabulary, and print awareness. The content of the MRC instructional programming and “literacy rich scheduling” focuses on </w:t>
      </w:r>
      <w:r w:rsidR="00603D03" w:rsidRPr="00F82D2A">
        <w:rPr>
          <w:sz w:val="22"/>
          <w:szCs w:val="22"/>
        </w:rPr>
        <w:t xml:space="preserve">improving </w:t>
      </w:r>
      <w:r w:rsidR="00875928" w:rsidRPr="00F82D2A">
        <w:rPr>
          <w:sz w:val="22"/>
          <w:szCs w:val="22"/>
        </w:rPr>
        <w:t xml:space="preserve">these foundational skills. The IGDI is a widely used, psychometrically sound and research validated instrument that is designed to </w:t>
      </w:r>
      <w:r w:rsidR="00281B22">
        <w:rPr>
          <w:sz w:val="22"/>
          <w:szCs w:val="22"/>
        </w:rPr>
        <w:t>measure</w:t>
      </w:r>
      <w:r w:rsidR="00875928" w:rsidRPr="00F82D2A">
        <w:rPr>
          <w:sz w:val="22"/>
          <w:szCs w:val="22"/>
        </w:rPr>
        <w:t xml:space="preserve"> five specific emergent literacy skills</w:t>
      </w:r>
      <w:r w:rsidR="00B77B8D" w:rsidRPr="00F82D2A">
        <w:rPr>
          <w:sz w:val="22"/>
          <w:szCs w:val="22"/>
        </w:rPr>
        <w:t xml:space="preserve">: 1) rhyming (phonological awareness), 2) alliteration (phonological awareness), 3) picture naming (vocabulary), 4) letter name fluency (print awareness) and 5) letter sound fluency (print awareness). </w:t>
      </w:r>
      <w:r w:rsidR="008B5FC9">
        <w:rPr>
          <w:sz w:val="22"/>
          <w:szCs w:val="22"/>
        </w:rPr>
        <w:t xml:space="preserve">The data obtained for each IGDI measure consists of a single score indicating the number of </w:t>
      </w:r>
      <w:r w:rsidR="005E6D11">
        <w:rPr>
          <w:sz w:val="22"/>
          <w:szCs w:val="22"/>
        </w:rPr>
        <w:t>items of interest</w:t>
      </w:r>
      <w:r w:rsidR="008B5FC9">
        <w:rPr>
          <w:sz w:val="22"/>
          <w:szCs w:val="22"/>
        </w:rPr>
        <w:t xml:space="preserve"> a student can accurately produce in a</w:t>
      </w:r>
      <w:r w:rsidR="005E6D11">
        <w:rPr>
          <w:sz w:val="22"/>
          <w:szCs w:val="22"/>
        </w:rPr>
        <w:t xml:space="preserve"> constrained period of time (e.g., the number of letters a child can name correctly in 2 minutes).</w:t>
      </w:r>
    </w:p>
    <w:p w:rsidR="005E6D11" w:rsidRDefault="005E6D11" w:rsidP="000E48A3">
      <w:pPr>
        <w:pStyle w:val="Header"/>
        <w:rPr>
          <w:sz w:val="22"/>
          <w:szCs w:val="22"/>
        </w:rPr>
      </w:pPr>
    </w:p>
    <w:p w:rsidR="00222965" w:rsidRPr="00F82D2A" w:rsidRDefault="00234B77" w:rsidP="000E48A3">
      <w:pPr>
        <w:pStyle w:val="Header"/>
        <w:rPr>
          <w:sz w:val="22"/>
          <w:szCs w:val="22"/>
        </w:rPr>
      </w:pPr>
      <w:r>
        <w:rPr>
          <w:sz w:val="22"/>
          <w:szCs w:val="22"/>
        </w:rPr>
        <w:t xml:space="preserve">The MRC program currently collects IGDI </w:t>
      </w:r>
      <w:r w:rsidR="007C4770">
        <w:rPr>
          <w:sz w:val="22"/>
          <w:szCs w:val="22"/>
        </w:rPr>
        <w:t xml:space="preserve">assessment </w:t>
      </w:r>
      <w:r>
        <w:rPr>
          <w:sz w:val="22"/>
          <w:szCs w:val="22"/>
        </w:rPr>
        <w:t xml:space="preserve">data on all preschool students enrolled in the program. For the </w:t>
      </w:r>
      <w:r w:rsidR="00D94C65">
        <w:rPr>
          <w:sz w:val="22"/>
          <w:szCs w:val="22"/>
        </w:rPr>
        <w:t>QED</w:t>
      </w:r>
      <w:r>
        <w:rPr>
          <w:sz w:val="22"/>
          <w:szCs w:val="22"/>
        </w:rPr>
        <w:t xml:space="preserve"> evaluation, MRC will </w:t>
      </w:r>
      <w:r w:rsidR="003927E2">
        <w:rPr>
          <w:sz w:val="22"/>
          <w:szCs w:val="22"/>
        </w:rPr>
        <w:t xml:space="preserve">provide </w:t>
      </w:r>
      <w:r>
        <w:rPr>
          <w:sz w:val="22"/>
          <w:szCs w:val="22"/>
        </w:rPr>
        <w:t xml:space="preserve"> IGDI data </w:t>
      </w:r>
      <w:r w:rsidR="003927E2">
        <w:rPr>
          <w:sz w:val="22"/>
          <w:szCs w:val="22"/>
        </w:rPr>
        <w:t xml:space="preserve">already being collected </w:t>
      </w:r>
      <w:r>
        <w:rPr>
          <w:sz w:val="22"/>
          <w:szCs w:val="22"/>
        </w:rPr>
        <w:t>on all enrolled preschool students at</w:t>
      </w:r>
      <w:r w:rsidR="007C4770">
        <w:rPr>
          <w:sz w:val="22"/>
          <w:szCs w:val="22"/>
        </w:rPr>
        <w:t xml:space="preserve"> 40 program sites at</w:t>
      </w:r>
      <w:r>
        <w:rPr>
          <w:sz w:val="22"/>
          <w:szCs w:val="22"/>
        </w:rPr>
        <w:t xml:space="preserve"> the beginning (fall)</w:t>
      </w:r>
      <w:r w:rsidR="00E11246">
        <w:rPr>
          <w:sz w:val="22"/>
          <w:szCs w:val="22"/>
        </w:rPr>
        <w:t>, middle (winter)</w:t>
      </w:r>
      <w:r>
        <w:rPr>
          <w:sz w:val="22"/>
          <w:szCs w:val="22"/>
        </w:rPr>
        <w:t xml:space="preserve"> and end (spring) of the 2013-2014 school year. </w:t>
      </w:r>
      <w:r w:rsidR="00EE3DDE">
        <w:rPr>
          <w:sz w:val="22"/>
          <w:szCs w:val="22"/>
        </w:rPr>
        <w:t>Research</w:t>
      </w:r>
      <w:r>
        <w:rPr>
          <w:sz w:val="22"/>
          <w:szCs w:val="22"/>
        </w:rPr>
        <w:t xml:space="preserve"> staff will </w:t>
      </w:r>
      <w:r w:rsidR="003927E2">
        <w:rPr>
          <w:sz w:val="22"/>
          <w:szCs w:val="22"/>
        </w:rPr>
        <w:t xml:space="preserve">conduct primary data </w:t>
      </w:r>
      <w:r>
        <w:rPr>
          <w:sz w:val="22"/>
          <w:szCs w:val="22"/>
        </w:rPr>
        <w:t>collect</w:t>
      </w:r>
      <w:r w:rsidR="003927E2">
        <w:rPr>
          <w:sz w:val="22"/>
          <w:szCs w:val="22"/>
        </w:rPr>
        <w:t>ion to obtain</w:t>
      </w:r>
      <w:r>
        <w:rPr>
          <w:sz w:val="22"/>
          <w:szCs w:val="22"/>
        </w:rPr>
        <w:t xml:space="preserve"> IGDI </w:t>
      </w:r>
      <w:r w:rsidR="007C4770">
        <w:rPr>
          <w:sz w:val="22"/>
          <w:szCs w:val="22"/>
        </w:rPr>
        <w:t xml:space="preserve">assessment </w:t>
      </w:r>
      <w:r>
        <w:rPr>
          <w:sz w:val="22"/>
          <w:szCs w:val="22"/>
        </w:rPr>
        <w:t>data on</w:t>
      </w:r>
      <w:r w:rsidR="002651FA">
        <w:rPr>
          <w:sz w:val="22"/>
          <w:szCs w:val="22"/>
        </w:rPr>
        <w:t xml:space="preserve"> </w:t>
      </w:r>
      <w:r w:rsidR="002E0AB9">
        <w:rPr>
          <w:sz w:val="22"/>
          <w:szCs w:val="22"/>
        </w:rPr>
        <w:t xml:space="preserve">up to </w:t>
      </w:r>
      <w:r w:rsidR="002651FA">
        <w:rPr>
          <w:sz w:val="22"/>
          <w:szCs w:val="22"/>
        </w:rPr>
        <w:t>1,</w:t>
      </w:r>
      <w:r w:rsidR="00B85C59">
        <w:rPr>
          <w:sz w:val="22"/>
          <w:szCs w:val="22"/>
        </w:rPr>
        <w:t>44</w:t>
      </w:r>
      <w:r w:rsidR="007C4770">
        <w:rPr>
          <w:sz w:val="22"/>
          <w:szCs w:val="22"/>
        </w:rPr>
        <w:t xml:space="preserve">0 preschool students at 40 comparison sites during the same time frame. IGDI assessment data from both the MRC program sites and comparison sites will be analyzed so as to determine the </w:t>
      </w:r>
      <w:r w:rsidR="00E562B9">
        <w:rPr>
          <w:sz w:val="22"/>
          <w:szCs w:val="22"/>
        </w:rPr>
        <w:t xml:space="preserve">effect </w:t>
      </w:r>
      <w:r w:rsidR="007C4770">
        <w:rPr>
          <w:sz w:val="22"/>
          <w:szCs w:val="22"/>
        </w:rPr>
        <w:t xml:space="preserve">of the MRC </w:t>
      </w:r>
      <w:proofErr w:type="spellStart"/>
      <w:r w:rsidR="007C4770">
        <w:rPr>
          <w:sz w:val="22"/>
          <w:szCs w:val="22"/>
        </w:rPr>
        <w:t>PreK</w:t>
      </w:r>
      <w:proofErr w:type="spellEnd"/>
      <w:r w:rsidR="007C4770">
        <w:rPr>
          <w:sz w:val="22"/>
          <w:szCs w:val="22"/>
        </w:rPr>
        <w:t xml:space="preserve"> program on the growth in preschool students’ emergent literacy skills over the course of the school year.</w:t>
      </w:r>
    </w:p>
    <w:p w:rsidR="00015055" w:rsidRPr="00222965" w:rsidRDefault="00015055" w:rsidP="000E48A3">
      <w:pPr>
        <w:pStyle w:val="Header"/>
        <w:rPr>
          <w:b/>
        </w:rPr>
      </w:pPr>
    </w:p>
    <w:p w:rsidR="00CC25CD" w:rsidRDefault="002575E0" w:rsidP="000E48A3">
      <w:pPr>
        <w:pStyle w:val="BodyText"/>
        <w:spacing w:after="0" w:line="240" w:lineRule="auto"/>
      </w:pPr>
      <w:r>
        <w:t>The contractor</w:t>
      </w:r>
      <w:r w:rsidRPr="00B43575">
        <w:t xml:space="preserve"> </w:t>
      </w:r>
      <w:r w:rsidR="00CC25CD" w:rsidRPr="00B43575">
        <w:t xml:space="preserve">will </w:t>
      </w:r>
      <w:r w:rsidR="0038527C" w:rsidRPr="00B43575">
        <w:t>achieve</w:t>
      </w:r>
      <w:r w:rsidR="00CC25CD" w:rsidRPr="00B43575">
        <w:t xml:space="preserve"> </w:t>
      </w:r>
      <w:r w:rsidR="0038527C" w:rsidRPr="00B43575">
        <w:t xml:space="preserve">these objectives by answering </w:t>
      </w:r>
      <w:r w:rsidR="00CC25CD" w:rsidRPr="00B43575">
        <w:t>the key research questions provided in Exhibit 1</w:t>
      </w:r>
      <w:r w:rsidR="00B73CE5">
        <w:t xml:space="preserve">. </w:t>
      </w:r>
    </w:p>
    <w:p w:rsidR="004D6290" w:rsidRPr="00B43575" w:rsidRDefault="004D6290" w:rsidP="000E48A3">
      <w:pPr>
        <w:pStyle w:val="BodyText"/>
        <w:spacing w:after="0" w:line="240" w:lineRule="auto"/>
      </w:pPr>
    </w:p>
    <w:p w:rsidR="00BF46A7" w:rsidRPr="00AC20CC" w:rsidRDefault="00BF46A7" w:rsidP="000E48A3">
      <w:pPr>
        <w:pStyle w:val="ExhibitTitle"/>
        <w:spacing w:before="0" w:after="0" w:line="240" w:lineRule="auto"/>
        <w:rPr>
          <w:rFonts w:ascii="Times New Roman" w:hAnsi="Times New Roman"/>
        </w:rPr>
      </w:pPr>
      <w:bookmarkStart w:id="6" w:name="_Toc352603622"/>
      <w:r w:rsidRPr="00F82D2A">
        <w:rPr>
          <w:rFonts w:ascii="Times New Roman" w:hAnsi="Times New Roman"/>
        </w:rPr>
        <w:t>Exhibit 1: Key Evaluation Questions</w:t>
      </w:r>
      <w:r w:rsidR="00DA1B9D" w:rsidRPr="00F82D2A">
        <w:rPr>
          <w:rFonts w:ascii="Times New Roman" w:hAnsi="Times New Roman"/>
        </w:rPr>
        <w:t xml:space="preserve"> for </w:t>
      </w:r>
      <w:r w:rsidR="00214A3E" w:rsidRPr="00F82D2A">
        <w:rPr>
          <w:rFonts w:ascii="Times New Roman" w:hAnsi="Times New Roman"/>
        </w:rPr>
        <w:t>Process Assessment</w:t>
      </w:r>
      <w:r w:rsidR="00C312CC" w:rsidRPr="00F82D2A">
        <w:rPr>
          <w:rFonts w:ascii="Times New Roman" w:hAnsi="Times New Roman"/>
        </w:rPr>
        <w:t xml:space="preserve"> and Impact Evaluation</w:t>
      </w:r>
      <w:bookmarkEnd w:id="6"/>
      <w:r w:rsidR="00214A3E" w:rsidRPr="00F82D2A">
        <w:rPr>
          <w:rFonts w:ascii="Times New Roman" w:hAnsi="Times New Roman"/>
        </w:rPr>
        <w:t xml:space="preserve"> </w:t>
      </w:r>
    </w:p>
    <w:p w:rsidR="00667498" w:rsidRDefault="00667498" w:rsidP="000E48A3">
      <w:pPr>
        <w:widowControl w:val="0"/>
        <w:autoSpaceDE w:val="0"/>
        <w:autoSpaceDN w:val="0"/>
        <w:adjustRightInd w:val="0"/>
        <w:rPr>
          <w:color w:val="FF0000"/>
        </w:rPr>
      </w:pPr>
    </w:p>
    <w:p w:rsidR="00E562B9" w:rsidRPr="003E67D5" w:rsidRDefault="00E562B9" w:rsidP="003E67D5">
      <w:pPr>
        <w:pStyle w:val="ListParagraph"/>
        <w:rPr>
          <w:rFonts w:ascii="Times New Roman" w:hAnsi="Times New Roman"/>
          <w:sz w:val="22"/>
          <w:szCs w:val="22"/>
        </w:rPr>
      </w:pPr>
    </w:p>
    <w:p w:rsidR="00E562B9" w:rsidRPr="000F3118" w:rsidRDefault="00E562B9" w:rsidP="00E562B9">
      <w:pPr>
        <w:pStyle w:val="Header"/>
        <w:numPr>
          <w:ilvl w:val="0"/>
          <w:numId w:val="32"/>
        </w:numPr>
        <w:tabs>
          <w:tab w:val="clear" w:pos="4680"/>
          <w:tab w:val="clear" w:pos="9360"/>
        </w:tabs>
        <w:rPr>
          <w:sz w:val="22"/>
          <w:szCs w:val="22"/>
        </w:rPr>
      </w:pPr>
      <w:r w:rsidRPr="000F3118">
        <w:rPr>
          <w:sz w:val="22"/>
          <w:szCs w:val="22"/>
        </w:rPr>
        <w:t xml:space="preserve">What is the effect of the </w:t>
      </w:r>
      <w:r w:rsidR="00A01BC5" w:rsidRPr="000F3118">
        <w:rPr>
          <w:sz w:val="22"/>
          <w:szCs w:val="22"/>
        </w:rPr>
        <w:t xml:space="preserve">MRC </w:t>
      </w:r>
      <w:r w:rsidRPr="000F3118">
        <w:rPr>
          <w:sz w:val="22"/>
          <w:szCs w:val="22"/>
        </w:rPr>
        <w:t xml:space="preserve">program on AmeriCorps members? </w:t>
      </w:r>
      <w:r w:rsidR="003D3E21">
        <w:rPr>
          <w:sz w:val="22"/>
          <w:szCs w:val="22"/>
        </w:rPr>
        <w:t xml:space="preserve"> Did </w:t>
      </w:r>
      <w:r w:rsidR="00ED4ACB">
        <w:rPr>
          <w:sz w:val="22"/>
          <w:szCs w:val="22"/>
        </w:rPr>
        <w:t xml:space="preserve">MRC </w:t>
      </w:r>
      <w:r w:rsidR="003D3E21">
        <w:rPr>
          <w:sz w:val="22"/>
          <w:szCs w:val="22"/>
        </w:rPr>
        <w:t xml:space="preserve">service change AmeriCorps members’ educational </w:t>
      </w:r>
      <w:r w:rsidR="00E15237">
        <w:rPr>
          <w:sz w:val="22"/>
          <w:szCs w:val="22"/>
        </w:rPr>
        <w:t xml:space="preserve">and professional </w:t>
      </w:r>
      <w:r w:rsidR="003D3E21">
        <w:rPr>
          <w:sz w:val="22"/>
          <w:szCs w:val="22"/>
        </w:rPr>
        <w:t xml:space="preserve">goals and </w:t>
      </w:r>
      <w:r w:rsidR="00ED4ACB">
        <w:rPr>
          <w:sz w:val="22"/>
          <w:szCs w:val="22"/>
        </w:rPr>
        <w:t xml:space="preserve">level of </w:t>
      </w:r>
      <w:r w:rsidR="003D3E21">
        <w:rPr>
          <w:sz w:val="22"/>
          <w:szCs w:val="22"/>
        </w:rPr>
        <w:t>civic engagement</w:t>
      </w:r>
      <w:r w:rsidR="00E15237">
        <w:rPr>
          <w:sz w:val="22"/>
          <w:szCs w:val="22"/>
        </w:rPr>
        <w:t xml:space="preserve">?  </w:t>
      </w:r>
      <w:r w:rsidRPr="000F3118">
        <w:rPr>
          <w:sz w:val="22"/>
          <w:szCs w:val="22"/>
        </w:rPr>
        <w:t>(Member survey</w:t>
      </w:r>
      <w:r w:rsidR="00A01BC5" w:rsidRPr="000F3118">
        <w:rPr>
          <w:sz w:val="22"/>
          <w:szCs w:val="22"/>
        </w:rPr>
        <w:t>, Process Assessment</w:t>
      </w:r>
      <w:r w:rsidRPr="000F3118">
        <w:rPr>
          <w:sz w:val="22"/>
          <w:szCs w:val="22"/>
        </w:rPr>
        <w:t>)</w:t>
      </w:r>
    </w:p>
    <w:p w:rsidR="00E562B9" w:rsidRDefault="00E562B9" w:rsidP="00A01BC5">
      <w:pPr>
        <w:pStyle w:val="ListParagraph"/>
        <w:rPr>
          <w:sz w:val="22"/>
          <w:szCs w:val="22"/>
        </w:rPr>
      </w:pPr>
    </w:p>
    <w:p w:rsidR="00E562B9" w:rsidRDefault="00E562B9" w:rsidP="00E562B9">
      <w:pPr>
        <w:pStyle w:val="ListParagraph"/>
        <w:numPr>
          <w:ilvl w:val="0"/>
          <w:numId w:val="32"/>
        </w:numPr>
        <w:spacing w:after="60"/>
        <w:rPr>
          <w:rFonts w:ascii="Times New Roman" w:hAnsi="Times New Roman"/>
          <w:sz w:val="22"/>
          <w:szCs w:val="22"/>
        </w:rPr>
      </w:pPr>
      <w:r w:rsidRPr="00E562B9">
        <w:rPr>
          <w:rFonts w:ascii="Times New Roman" w:hAnsi="Times New Roman"/>
          <w:sz w:val="22"/>
          <w:szCs w:val="22"/>
        </w:rPr>
        <w:t xml:space="preserve">What is the </w:t>
      </w:r>
      <w:r w:rsidR="00A01BC5">
        <w:rPr>
          <w:rFonts w:ascii="Times New Roman" w:hAnsi="Times New Roman"/>
          <w:sz w:val="22"/>
          <w:szCs w:val="22"/>
        </w:rPr>
        <w:t>effect</w:t>
      </w:r>
      <w:r w:rsidRPr="00E562B9">
        <w:rPr>
          <w:rFonts w:ascii="Times New Roman" w:hAnsi="Times New Roman"/>
          <w:sz w:val="22"/>
          <w:szCs w:val="22"/>
        </w:rPr>
        <w:t xml:space="preserve"> of the </w:t>
      </w:r>
      <w:proofErr w:type="spellStart"/>
      <w:r w:rsidRPr="00E562B9">
        <w:rPr>
          <w:rFonts w:ascii="Times New Roman" w:hAnsi="Times New Roman"/>
          <w:sz w:val="22"/>
          <w:szCs w:val="22"/>
        </w:rPr>
        <w:t>PreK</w:t>
      </w:r>
      <w:proofErr w:type="spellEnd"/>
      <w:r w:rsidRPr="00E562B9">
        <w:rPr>
          <w:rFonts w:ascii="Times New Roman" w:hAnsi="Times New Roman"/>
          <w:sz w:val="22"/>
          <w:szCs w:val="22"/>
        </w:rPr>
        <w:t xml:space="preserve"> MRC program on preschool students?  </w:t>
      </w:r>
      <w:r w:rsidR="00A01BC5" w:rsidRPr="00E562B9">
        <w:rPr>
          <w:rFonts w:ascii="Times New Roman" w:hAnsi="Times New Roman"/>
          <w:sz w:val="22"/>
          <w:szCs w:val="22"/>
        </w:rPr>
        <w:t>(</w:t>
      </w:r>
      <w:proofErr w:type="spellStart"/>
      <w:r w:rsidR="00A01BC5" w:rsidRPr="00E562B9">
        <w:rPr>
          <w:rFonts w:ascii="Times New Roman" w:hAnsi="Times New Roman"/>
          <w:sz w:val="22"/>
          <w:szCs w:val="22"/>
        </w:rPr>
        <w:t>PreK</w:t>
      </w:r>
      <w:proofErr w:type="spellEnd"/>
      <w:r w:rsidR="00A01BC5" w:rsidRPr="00E562B9">
        <w:rPr>
          <w:rFonts w:ascii="Times New Roman" w:hAnsi="Times New Roman"/>
          <w:sz w:val="22"/>
          <w:szCs w:val="22"/>
        </w:rPr>
        <w:t xml:space="preserve"> </w:t>
      </w:r>
      <w:r w:rsidR="00A01BC5">
        <w:rPr>
          <w:rFonts w:ascii="Times New Roman" w:hAnsi="Times New Roman"/>
          <w:sz w:val="22"/>
          <w:szCs w:val="22"/>
        </w:rPr>
        <w:t>study, Impact Evaluation</w:t>
      </w:r>
      <w:r w:rsidR="00A01BC5" w:rsidRPr="00E562B9">
        <w:rPr>
          <w:rFonts w:ascii="Times New Roman" w:hAnsi="Times New Roman"/>
          <w:sz w:val="22"/>
          <w:szCs w:val="22"/>
        </w:rPr>
        <w:t>)</w:t>
      </w:r>
    </w:p>
    <w:p w:rsidR="00E562B9" w:rsidRPr="00A01BC5" w:rsidRDefault="00E562B9" w:rsidP="00A01BC5">
      <w:pPr>
        <w:pStyle w:val="ListParagraph"/>
        <w:rPr>
          <w:rFonts w:ascii="Times New Roman" w:hAnsi="Times New Roman"/>
          <w:sz w:val="22"/>
          <w:szCs w:val="22"/>
        </w:rPr>
      </w:pPr>
    </w:p>
    <w:p w:rsidR="00A01BC5" w:rsidRDefault="00E562B9" w:rsidP="00A01BC5">
      <w:pPr>
        <w:pStyle w:val="ListParagraph"/>
        <w:numPr>
          <w:ilvl w:val="1"/>
          <w:numId w:val="32"/>
        </w:numPr>
        <w:spacing w:after="60"/>
        <w:rPr>
          <w:rFonts w:ascii="Times New Roman" w:hAnsi="Times New Roman"/>
          <w:sz w:val="22"/>
          <w:szCs w:val="22"/>
        </w:rPr>
      </w:pPr>
      <w:r w:rsidRPr="00A01BC5">
        <w:rPr>
          <w:rFonts w:ascii="Times New Roman" w:hAnsi="Times New Roman"/>
          <w:sz w:val="22"/>
          <w:szCs w:val="22"/>
        </w:rPr>
        <w:t xml:space="preserve">Do preschool students in MRC </w:t>
      </w:r>
      <w:r w:rsidR="002E0AB9">
        <w:rPr>
          <w:rFonts w:ascii="Times New Roman" w:hAnsi="Times New Roman"/>
          <w:sz w:val="22"/>
          <w:szCs w:val="22"/>
        </w:rPr>
        <w:t>sites</w:t>
      </w:r>
      <w:r w:rsidRPr="00A01BC5">
        <w:rPr>
          <w:rFonts w:ascii="Times New Roman" w:hAnsi="Times New Roman"/>
          <w:sz w:val="22"/>
          <w:szCs w:val="22"/>
        </w:rPr>
        <w:t xml:space="preserve"> experience greater gains on the Individual Growth and Developmental Indicator (IGDI) measures than prescho</w:t>
      </w:r>
      <w:r w:rsidR="002E0AB9">
        <w:rPr>
          <w:rFonts w:ascii="Times New Roman" w:hAnsi="Times New Roman"/>
          <w:sz w:val="22"/>
          <w:szCs w:val="22"/>
        </w:rPr>
        <w:t>ol students in non-MRC site</w:t>
      </w:r>
      <w:r w:rsidRPr="00A01BC5">
        <w:rPr>
          <w:rFonts w:ascii="Times New Roman" w:hAnsi="Times New Roman"/>
          <w:sz w:val="22"/>
          <w:szCs w:val="22"/>
        </w:rPr>
        <w:t xml:space="preserve">s at subsequent benchmarking periods? </w:t>
      </w:r>
    </w:p>
    <w:p w:rsidR="00A01BC5" w:rsidRPr="00A01BC5" w:rsidRDefault="00A01BC5" w:rsidP="00A01BC5">
      <w:pPr>
        <w:pStyle w:val="ListParagraph"/>
        <w:spacing w:after="60"/>
        <w:ind w:left="1440"/>
        <w:rPr>
          <w:rFonts w:ascii="Times New Roman" w:hAnsi="Times New Roman"/>
          <w:sz w:val="22"/>
          <w:szCs w:val="22"/>
        </w:rPr>
      </w:pPr>
    </w:p>
    <w:p w:rsidR="001C070C" w:rsidRDefault="001C070C" w:rsidP="001C070C">
      <w:pPr>
        <w:pStyle w:val="BodyText"/>
        <w:numPr>
          <w:ilvl w:val="1"/>
          <w:numId w:val="32"/>
        </w:numPr>
        <w:tabs>
          <w:tab w:val="clear" w:pos="720"/>
          <w:tab w:val="clear" w:pos="1080"/>
          <w:tab w:val="clear" w:pos="1440"/>
          <w:tab w:val="clear" w:pos="1800"/>
        </w:tabs>
        <w:spacing w:after="0" w:line="276" w:lineRule="auto"/>
        <w:rPr>
          <w:i/>
          <w:iCs/>
        </w:rPr>
      </w:pPr>
      <w:r>
        <w:t xml:space="preserve">Does the impact of the MRC </w:t>
      </w:r>
      <w:proofErr w:type="spellStart"/>
      <w:r>
        <w:t>PreK</w:t>
      </w:r>
      <w:proofErr w:type="spellEnd"/>
      <w:r>
        <w:t xml:space="preserve"> program on emergent literacy skills vary as a function of student characteristics (e.g., demographics) or program-level variables (e.g., </w:t>
      </w:r>
      <w:proofErr w:type="spellStart"/>
      <w:r>
        <w:t>urbanicity</w:t>
      </w:r>
      <w:proofErr w:type="spellEnd"/>
      <w:r>
        <w:t>, institution type, member characteristics)?</w:t>
      </w:r>
    </w:p>
    <w:p w:rsidR="00E562B9" w:rsidRPr="001C070C" w:rsidRDefault="00E562B9" w:rsidP="001C070C">
      <w:pPr>
        <w:spacing w:after="60"/>
        <w:rPr>
          <w:sz w:val="22"/>
          <w:szCs w:val="22"/>
        </w:rPr>
      </w:pPr>
      <w:r w:rsidRPr="001C070C">
        <w:rPr>
          <w:sz w:val="22"/>
          <w:szCs w:val="22"/>
        </w:rPr>
        <w:t xml:space="preserve"> </w:t>
      </w:r>
    </w:p>
    <w:p w:rsidR="000E48A3" w:rsidRPr="00D373A5" w:rsidRDefault="00B73CE5" w:rsidP="00C312CC">
      <w:pPr>
        <w:pStyle w:val="BodyText"/>
        <w:spacing w:after="60" w:line="240" w:lineRule="auto"/>
        <w:rPr>
          <w:color w:val="FF0000"/>
        </w:rPr>
      </w:pPr>
      <w:r>
        <w:rPr>
          <w:szCs w:val="22"/>
        </w:rPr>
        <w:lastRenderedPageBreak/>
        <w:t xml:space="preserve">. </w:t>
      </w:r>
    </w:p>
    <w:p w:rsidR="000E48A3" w:rsidRPr="000E48A3" w:rsidRDefault="00BF46A7" w:rsidP="00C312CC">
      <w:pPr>
        <w:pStyle w:val="Heading2"/>
        <w:spacing w:before="0"/>
      </w:pPr>
      <w:bookmarkStart w:id="7" w:name="_Toc267041907"/>
      <w:bookmarkStart w:id="8" w:name="_Toc352603606"/>
      <w:r w:rsidRPr="00106091">
        <w:t>A.3.</w:t>
      </w:r>
      <w:r w:rsidRPr="00106091">
        <w:tab/>
        <w:t>Use of Improved Information Technology</w:t>
      </w:r>
      <w:bookmarkEnd w:id="7"/>
      <w:r w:rsidRPr="00106091">
        <w:t xml:space="preserve"> and Burden Reduction</w:t>
      </w:r>
      <w:bookmarkEnd w:id="8"/>
    </w:p>
    <w:p w:rsidR="00AD2B28" w:rsidRDefault="00AD2B28" w:rsidP="00AD2B28">
      <w:pPr>
        <w:pStyle w:val="BodyText"/>
        <w:spacing w:after="0" w:line="240" w:lineRule="auto"/>
      </w:pPr>
      <w:r w:rsidRPr="00A771AB">
        <w:t>Th</w:t>
      </w:r>
      <w:r>
        <w:t xml:space="preserve">e </w:t>
      </w:r>
      <w:r w:rsidR="00312F7A">
        <w:t>MRC</w:t>
      </w:r>
      <w:r w:rsidR="003E67D5">
        <w:t xml:space="preserve"> follow-up</w:t>
      </w:r>
      <w:r w:rsidR="00312F7A">
        <w:t xml:space="preserve"> </w:t>
      </w:r>
      <w:r>
        <w:t xml:space="preserve">member survey </w:t>
      </w:r>
      <w:r w:rsidRPr="00A771AB">
        <w:t xml:space="preserve">will rely on data gathered from a self-administered, </w:t>
      </w:r>
      <w:r w:rsidR="003E67D5">
        <w:t>w</w:t>
      </w:r>
      <w:r w:rsidRPr="00A771AB">
        <w:t xml:space="preserve">eb-based survey of </w:t>
      </w:r>
      <w:r>
        <w:t xml:space="preserve">MRC </w:t>
      </w:r>
      <w:r w:rsidR="00312F7A">
        <w:t>members who served in the 2012-2013 school year</w:t>
      </w:r>
      <w:r w:rsidR="003A49EA">
        <w:t xml:space="preserve">. </w:t>
      </w:r>
      <w:r w:rsidRPr="00A771AB">
        <w:t>(Please see our sampling plan in S</w:t>
      </w:r>
      <w:r w:rsidR="007939D0">
        <w:t>ection B.1 for more detail). I</w:t>
      </w:r>
      <w:r w:rsidRPr="00A771AB">
        <w:t xml:space="preserve">ndividual respondents will have access to and be familiar with the necessary technology to complete the survey due to the fact that </w:t>
      </w:r>
      <w:r>
        <w:t xml:space="preserve">they had to apply to the MRC program online. </w:t>
      </w:r>
      <w:r w:rsidRPr="00A771AB">
        <w:t xml:space="preserve">The survey will be administered electronically to </w:t>
      </w:r>
      <w:r>
        <w:t>minimize the</w:t>
      </w:r>
      <w:r w:rsidRPr="00A771AB">
        <w:t xml:space="preserve"> burden on the respondents. The </w:t>
      </w:r>
      <w:r>
        <w:t>w</w:t>
      </w:r>
      <w:r w:rsidRPr="00A771AB">
        <w:t xml:space="preserve">eb-based survey permits respondents to complete </w:t>
      </w:r>
      <w:r>
        <w:t>the survey</w:t>
      </w:r>
      <w:r w:rsidRPr="00A771AB">
        <w:t xml:space="preserve"> at their preferred time. Respondents who begin the survey and are unable to complete it in one attempt will be able to save their responses and resume work on the survey at a later time. The </w:t>
      </w:r>
      <w:r>
        <w:t>w</w:t>
      </w:r>
      <w:r w:rsidRPr="00A771AB">
        <w:t xml:space="preserve">eb-based format will incorporate skip patterns that ensure that respondents automatically skip past sections of the survey that are not relevant to their experiences. The study will have a centralized case management system (CMS), linked to the </w:t>
      </w:r>
      <w:r>
        <w:t>w</w:t>
      </w:r>
      <w:r w:rsidRPr="00A771AB">
        <w:t>eb survey</w:t>
      </w:r>
      <w:r>
        <w:t>,</w:t>
      </w:r>
      <w:r w:rsidRPr="00A771AB">
        <w:t xml:space="preserve"> as well as the prompting and receipt control systems, which will allow for the review of case status at any time. This </w:t>
      </w:r>
      <w:r>
        <w:t xml:space="preserve">CMS </w:t>
      </w:r>
      <w:r w:rsidRPr="00A771AB">
        <w:t>will allow for effective follow-up</w:t>
      </w:r>
      <w:r w:rsidR="001145A3">
        <w:t xml:space="preserve"> with non</w:t>
      </w:r>
      <w:r w:rsidR="00312F7A">
        <w:t>-</w:t>
      </w:r>
      <w:r w:rsidR="001145A3">
        <w:t>respondents</w:t>
      </w:r>
      <w:r w:rsidRPr="00A771AB">
        <w:t xml:space="preserve">, including ensuring no sample member is prompted for a survey response once they have completed the </w:t>
      </w:r>
      <w:r>
        <w:t>w</w:t>
      </w:r>
      <w:r w:rsidRPr="00A771AB">
        <w:t>eb survey. </w:t>
      </w:r>
      <w:r>
        <w:t xml:space="preserve">All MRC </w:t>
      </w:r>
      <w:r w:rsidR="0064229F">
        <w:t>members</w:t>
      </w:r>
      <w:r>
        <w:t xml:space="preserve"> </w:t>
      </w:r>
      <w:r w:rsidRPr="00A771AB">
        <w:t xml:space="preserve">will be emailed an invitation letter with </w:t>
      </w:r>
      <w:r>
        <w:t>w</w:t>
      </w:r>
      <w:r w:rsidRPr="00A771AB">
        <w:t>eb survey access, including a unique Personal Identification Number (PIN) and password</w:t>
      </w:r>
      <w:r w:rsidR="003A49EA">
        <w:t xml:space="preserve">. </w:t>
      </w:r>
      <w:r w:rsidRPr="00A771AB">
        <w:t>This initial contact will be followed-up with additional emails encouraging participation</w:t>
      </w:r>
      <w:r w:rsidR="001145A3">
        <w:t>. If necessary, follow-up phone calls may be used to encourage partici</w:t>
      </w:r>
      <w:r w:rsidR="0064229F">
        <w:t>pation when email prompts fail.</w:t>
      </w:r>
    </w:p>
    <w:p w:rsidR="0064229F" w:rsidRDefault="0064229F" w:rsidP="00AD2B28">
      <w:pPr>
        <w:pStyle w:val="BodyText"/>
        <w:spacing w:after="0" w:line="240" w:lineRule="auto"/>
      </w:pPr>
    </w:p>
    <w:p w:rsidR="00281B22" w:rsidRDefault="003927E2" w:rsidP="00AD2B28">
      <w:pPr>
        <w:pStyle w:val="BodyText"/>
        <w:spacing w:after="0" w:line="240" w:lineRule="auto"/>
      </w:pPr>
      <w:r>
        <w:t xml:space="preserve">IGDI data currently is collected by all MRC sites on all preschool students participating in the program. MRC sites have already agreed to allow the use of these de-identified data for research purposes. Therefore, no primary data collection will be required at MRC sites participating in the impact evaluation. However, non-MRC </w:t>
      </w:r>
      <w:r w:rsidR="00B85C59">
        <w:t>pre</w:t>
      </w:r>
      <w:r>
        <w:t xml:space="preserve">schools in the state of Minnesota rarely collect IGDI data, and, therefore, IGDI data will have to be collected on students enrolled at the non-MRC sites. </w:t>
      </w:r>
      <w:r w:rsidR="00281B22">
        <w:t>The IGDI is a pa</w:t>
      </w:r>
      <w:r w:rsidR="00E0240C">
        <w:t>per and pencil based assessment</w:t>
      </w:r>
      <w:r w:rsidR="00281B22">
        <w:t xml:space="preserve"> which is conducted one-on-one between a trained </w:t>
      </w:r>
      <w:r w:rsidR="008B5FC9">
        <w:t>assesso</w:t>
      </w:r>
      <w:r w:rsidR="00281B22">
        <w:t>r and a preschool student. It takes appro</w:t>
      </w:r>
      <w:r w:rsidR="00281B22" w:rsidRPr="00084EFE">
        <w:t xml:space="preserve">ximately </w:t>
      </w:r>
      <w:r w:rsidR="00B85C59">
        <w:t>7</w:t>
      </w:r>
      <w:r w:rsidR="00281B22" w:rsidRPr="00084EFE">
        <w:t xml:space="preserve"> minutes to assess one student on all five IGDI measures</w:t>
      </w:r>
      <w:r w:rsidR="00B85C59">
        <w:t>; less than 2 minutes</w:t>
      </w:r>
      <w:r w:rsidR="003B6BCF">
        <w:t xml:space="preserve"> per measure</w:t>
      </w:r>
      <w:r w:rsidR="00281B22" w:rsidRPr="00084EFE">
        <w:t xml:space="preserve">. Assessors will conduct the assessment with a student over the course of two days </w:t>
      </w:r>
      <w:r w:rsidR="003B6BCF">
        <w:t>to account for preschool students’ limited attention spans (i.e., three</w:t>
      </w:r>
      <w:r w:rsidR="00E0240C">
        <w:t xml:space="preserve"> measures </w:t>
      </w:r>
      <w:r w:rsidR="00F82D2A">
        <w:t xml:space="preserve">on </w:t>
      </w:r>
      <w:r w:rsidR="00E0240C">
        <w:t>day one</w:t>
      </w:r>
      <w:r w:rsidR="003B6BCF">
        <w:t xml:space="preserve"> and two measures </w:t>
      </w:r>
      <w:r w:rsidR="00F82D2A">
        <w:t xml:space="preserve">on </w:t>
      </w:r>
      <w:r w:rsidR="003B6BCF">
        <w:t>day two)</w:t>
      </w:r>
      <w:r w:rsidR="00281B22" w:rsidRPr="00084EFE">
        <w:t xml:space="preserve">. </w:t>
      </w:r>
      <w:r w:rsidR="008B5FC9">
        <w:t xml:space="preserve">Data from the assessments will be entered into </w:t>
      </w:r>
      <w:r w:rsidR="00B85C59">
        <w:t xml:space="preserve">a centralized, web-based computer assisted data entry (CADE) program, which will allow </w:t>
      </w:r>
      <w:r w:rsidR="008B5FC9">
        <w:t>for secure data entry, data storage, and follow-up</w:t>
      </w:r>
      <w:r w:rsidR="000E6D51">
        <w:t xml:space="preserve"> during the</w:t>
      </w:r>
      <w:r w:rsidR="00554793">
        <w:t xml:space="preserve"> winter and</w:t>
      </w:r>
      <w:r w:rsidR="000E6D51">
        <w:t xml:space="preserve"> spring assessment window</w:t>
      </w:r>
      <w:r w:rsidR="0012465E">
        <w:t>s</w:t>
      </w:r>
      <w:r w:rsidR="00B73CE5">
        <w:t xml:space="preserve">. </w:t>
      </w:r>
    </w:p>
    <w:p w:rsidR="000E48A3" w:rsidRPr="00D373A5" w:rsidRDefault="000E48A3" w:rsidP="000E48A3">
      <w:pPr>
        <w:pStyle w:val="BodyText"/>
        <w:spacing w:after="0" w:line="240" w:lineRule="auto"/>
        <w:rPr>
          <w:color w:val="FF0000"/>
        </w:rPr>
      </w:pPr>
    </w:p>
    <w:p w:rsidR="000E48A3" w:rsidRPr="000E48A3" w:rsidRDefault="00BF46A7" w:rsidP="000E48A3">
      <w:pPr>
        <w:pStyle w:val="Heading2"/>
        <w:spacing w:before="0" w:after="0"/>
      </w:pPr>
      <w:bookmarkStart w:id="9" w:name="_Toc267041908"/>
      <w:bookmarkStart w:id="10" w:name="_Toc352603607"/>
      <w:r>
        <w:t>A.</w:t>
      </w:r>
      <w:r w:rsidRPr="00C076CD">
        <w:t>4.</w:t>
      </w:r>
      <w:r>
        <w:tab/>
      </w:r>
      <w:r w:rsidRPr="00C076CD">
        <w:t>Efforts to Identify Duplication</w:t>
      </w:r>
      <w:bookmarkEnd w:id="9"/>
      <w:bookmarkEnd w:id="10"/>
    </w:p>
    <w:p w:rsidR="000E48A3" w:rsidRDefault="00AD2B28" w:rsidP="000E48A3">
      <w:pPr>
        <w:pStyle w:val="BodyText"/>
        <w:spacing w:after="0" w:line="240" w:lineRule="auto"/>
      </w:pPr>
      <w:bookmarkStart w:id="11" w:name="_Toc267041909"/>
      <w:r w:rsidRPr="00096905">
        <w:t xml:space="preserve">The information </w:t>
      </w:r>
      <w:r w:rsidR="00FA573E">
        <w:t xml:space="preserve">necessary </w:t>
      </w:r>
      <w:r w:rsidRPr="00096905">
        <w:t xml:space="preserve">for this evaluation </w:t>
      </w:r>
      <w:r>
        <w:t>has not been collected elsewhere in any format t</w:t>
      </w:r>
      <w:r w:rsidRPr="00096905">
        <w:t xml:space="preserve">hat could be adapted to obtain the </w:t>
      </w:r>
      <w:r>
        <w:t>information</w:t>
      </w:r>
      <w:r w:rsidRPr="00096905">
        <w:t xml:space="preserve"> required to address the research objectives of the evaluation. </w:t>
      </w:r>
      <w:r>
        <w:t>B</w:t>
      </w:r>
      <w:r w:rsidRPr="00096905">
        <w:t>ased on our thorough review of existing information,</w:t>
      </w:r>
      <w:r w:rsidR="001145A3">
        <w:t xml:space="preserve"> including a project literature review</w:t>
      </w:r>
      <w:r w:rsidR="00FA573E">
        <w:t xml:space="preserve"> and field assessment</w:t>
      </w:r>
      <w:r w:rsidR="001145A3">
        <w:t>,</w:t>
      </w:r>
      <w:r w:rsidRPr="00096905">
        <w:t xml:space="preserve"> no survey or other mode of data collection has </w:t>
      </w:r>
      <w:r>
        <w:t>captured</w:t>
      </w:r>
      <w:r w:rsidRPr="00096905">
        <w:t xml:space="preserve"> th</w:t>
      </w:r>
      <w:r>
        <w:t>e</w:t>
      </w:r>
      <w:r w:rsidRPr="00096905">
        <w:t xml:space="preserve"> </w:t>
      </w:r>
      <w:r>
        <w:t xml:space="preserve">needed </w:t>
      </w:r>
      <w:r w:rsidRPr="00096905">
        <w:t>information</w:t>
      </w:r>
      <w:r>
        <w:t xml:space="preserve"> on the </w:t>
      </w:r>
      <w:r w:rsidR="00FA573E">
        <w:t xml:space="preserve">MRC </w:t>
      </w:r>
      <w:r w:rsidRPr="00222965">
        <w:rPr>
          <w:szCs w:val="22"/>
        </w:rPr>
        <w:t>program</w:t>
      </w:r>
      <w:r w:rsidR="00427E39">
        <w:rPr>
          <w:szCs w:val="22"/>
        </w:rPr>
        <w:t>’s processes and procedures</w:t>
      </w:r>
      <w:r w:rsidRPr="00222965">
        <w:rPr>
          <w:szCs w:val="22"/>
        </w:rPr>
        <w:t xml:space="preserve"> and </w:t>
      </w:r>
      <w:r w:rsidR="00FA573E">
        <w:rPr>
          <w:szCs w:val="22"/>
        </w:rPr>
        <w:t>on the program’s effect</w:t>
      </w:r>
      <w:r w:rsidR="00427E39">
        <w:rPr>
          <w:szCs w:val="22"/>
        </w:rPr>
        <w:t xml:space="preserve"> </w:t>
      </w:r>
      <w:r w:rsidRPr="00222965">
        <w:rPr>
          <w:szCs w:val="22"/>
        </w:rPr>
        <w:t>on Ameri</w:t>
      </w:r>
      <w:r w:rsidR="00427E39">
        <w:rPr>
          <w:szCs w:val="22"/>
        </w:rPr>
        <w:t>Corps members’</w:t>
      </w:r>
      <w:r w:rsidRPr="00222965">
        <w:rPr>
          <w:szCs w:val="22"/>
        </w:rPr>
        <w:t xml:space="preserve"> educational goals and civic engagement</w:t>
      </w:r>
      <w:r w:rsidRPr="00096905">
        <w:t>, nor is it available elsewhere. No other data are currently being collected to answer these specific research questions</w:t>
      </w:r>
      <w:r w:rsidR="004F7D9B">
        <w:t xml:space="preserve">. </w:t>
      </w:r>
      <w:r w:rsidRPr="00096905">
        <w:t xml:space="preserve">However, </w:t>
      </w:r>
      <w:r>
        <w:t>any existing information that might be useful for the research questions</w:t>
      </w:r>
      <w:r w:rsidRPr="00096905">
        <w:t xml:space="preserve"> can and will be used whenever possible.</w:t>
      </w:r>
      <w:r w:rsidR="00427E39">
        <w:t xml:space="preserve"> </w:t>
      </w:r>
      <w:r w:rsidRPr="00096905">
        <w:t xml:space="preserve">The </w:t>
      </w:r>
      <w:r>
        <w:t xml:space="preserve">information sought as part of this study is </w:t>
      </w:r>
      <w:r w:rsidRPr="00096905">
        <w:t>unique</w:t>
      </w:r>
      <w:r>
        <w:t>, and will set the framework for the future impact evaluation</w:t>
      </w:r>
      <w:r w:rsidR="003A49EA">
        <w:t xml:space="preserve">. </w:t>
      </w:r>
    </w:p>
    <w:p w:rsidR="0064229F" w:rsidRDefault="0064229F" w:rsidP="000E48A3">
      <w:pPr>
        <w:pStyle w:val="BodyText"/>
        <w:spacing w:after="0" w:line="240" w:lineRule="auto"/>
      </w:pPr>
    </w:p>
    <w:p w:rsidR="009C531B" w:rsidRDefault="009C531B" w:rsidP="0064229F">
      <w:pPr>
        <w:pStyle w:val="BodyText"/>
        <w:spacing w:after="0" w:line="240" w:lineRule="auto"/>
      </w:pPr>
      <w:r>
        <w:t xml:space="preserve">In regard to the </w:t>
      </w:r>
      <w:proofErr w:type="spellStart"/>
      <w:r>
        <w:t>PreK</w:t>
      </w:r>
      <w:proofErr w:type="spellEnd"/>
      <w:r>
        <w:t xml:space="preserve"> </w:t>
      </w:r>
      <w:r w:rsidR="00C3122A">
        <w:t xml:space="preserve">QED </w:t>
      </w:r>
      <w:r>
        <w:t xml:space="preserve">evaluation, </w:t>
      </w:r>
      <w:r w:rsidR="00C3122A">
        <w:t xml:space="preserve">the MRC </w:t>
      </w:r>
      <w:proofErr w:type="spellStart"/>
      <w:r w:rsidR="00C3122A">
        <w:t>PreK</w:t>
      </w:r>
      <w:proofErr w:type="spellEnd"/>
      <w:r w:rsidR="00C3122A">
        <w:t xml:space="preserve"> program currently collects IGDI data from all enrolled preschool students at participating schools (i.e., MRC sites). However, </w:t>
      </w:r>
      <w:r>
        <w:t xml:space="preserve">the results of the feasibility study showed that potential comparison sites in the state of Minnesota (i.e., those who do not currently participate in the MRC </w:t>
      </w:r>
      <w:proofErr w:type="spellStart"/>
      <w:r>
        <w:t>PreK</w:t>
      </w:r>
      <w:proofErr w:type="spellEnd"/>
      <w:r>
        <w:t xml:space="preserve"> program</w:t>
      </w:r>
      <w:r w:rsidR="00C3122A">
        <w:t xml:space="preserve"> and are referred to as non-MRC sites</w:t>
      </w:r>
      <w:r>
        <w:t xml:space="preserve">) rarely collect IGDI data. As such, in order to evaluate the differential impact of the MRC program on </w:t>
      </w:r>
      <w:proofErr w:type="spellStart"/>
      <w:r>
        <w:t>PreK</w:t>
      </w:r>
      <w:proofErr w:type="spellEnd"/>
      <w:r>
        <w:t xml:space="preserve"> emergent literacy outcomes, it is necessary to conduct IGDI assessments with students at </w:t>
      </w:r>
      <w:r w:rsidR="00C3122A">
        <w:t xml:space="preserve">non-MRC </w:t>
      </w:r>
      <w:r>
        <w:t>comparison sites.</w:t>
      </w:r>
    </w:p>
    <w:p w:rsidR="000E48A3" w:rsidRPr="00B73BD5" w:rsidRDefault="000E48A3" w:rsidP="000E48A3">
      <w:pPr>
        <w:pStyle w:val="BodyText"/>
        <w:spacing w:after="0" w:line="240" w:lineRule="auto"/>
      </w:pPr>
    </w:p>
    <w:p w:rsidR="00BF46A7" w:rsidRPr="00C076CD" w:rsidRDefault="00BF46A7" w:rsidP="000E48A3">
      <w:pPr>
        <w:pStyle w:val="Heading2"/>
        <w:spacing w:before="0" w:after="0"/>
      </w:pPr>
      <w:bookmarkStart w:id="12" w:name="_Toc352603608"/>
      <w:r>
        <w:t>A.</w:t>
      </w:r>
      <w:r w:rsidRPr="00C076CD">
        <w:t>5.</w:t>
      </w:r>
      <w:r>
        <w:tab/>
      </w:r>
      <w:bookmarkEnd w:id="11"/>
      <w:r w:rsidRPr="00D65922">
        <w:t>Impact on Small Businesses or Other Small Entities</w:t>
      </w:r>
      <w:bookmarkEnd w:id="12"/>
    </w:p>
    <w:p w:rsidR="009C531B" w:rsidRDefault="00AD2B28" w:rsidP="00AD2B28">
      <w:pPr>
        <w:pStyle w:val="BodyText"/>
        <w:spacing w:after="0" w:line="240" w:lineRule="auto"/>
      </w:pPr>
      <w:r w:rsidRPr="00C076CD">
        <w:t>No small businesses are involved</w:t>
      </w:r>
      <w:r w:rsidR="001145A3">
        <w:t>,</w:t>
      </w:r>
      <w:r w:rsidRPr="00C076CD">
        <w:t xml:space="preserve"> as respondents </w:t>
      </w:r>
      <w:r>
        <w:t xml:space="preserve">are all MRC </w:t>
      </w:r>
      <w:r w:rsidR="00FF4280">
        <w:t xml:space="preserve">members or </w:t>
      </w:r>
      <w:r w:rsidR="009C531B">
        <w:t>preschool students.</w:t>
      </w:r>
    </w:p>
    <w:p w:rsidR="00FC73D8" w:rsidRPr="00AD2B28" w:rsidRDefault="00FC73D8" w:rsidP="00AD2B28">
      <w:pPr>
        <w:pStyle w:val="BodyText"/>
        <w:spacing w:after="0" w:line="240" w:lineRule="auto"/>
      </w:pPr>
    </w:p>
    <w:p w:rsidR="003E0E3F" w:rsidRPr="003E0E3F" w:rsidRDefault="00BF46A7" w:rsidP="003E0E3F">
      <w:pPr>
        <w:pStyle w:val="Heading2"/>
        <w:spacing w:before="0" w:after="0"/>
      </w:pPr>
      <w:bookmarkStart w:id="13" w:name="_Toc267041910"/>
      <w:bookmarkStart w:id="14" w:name="_Toc352603609"/>
      <w:r>
        <w:t>A.</w:t>
      </w:r>
      <w:r w:rsidRPr="00C076CD">
        <w:t>6.</w:t>
      </w:r>
      <w:r>
        <w:tab/>
      </w:r>
      <w:r w:rsidRPr="00C076CD">
        <w:t>Consequences if Information Collected Less Frequently</w:t>
      </w:r>
      <w:bookmarkEnd w:id="13"/>
      <w:bookmarkEnd w:id="14"/>
    </w:p>
    <w:p w:rsidR="00AD6E1F" w:rsidRPr="003E0E3F" w:rsidRDefault="00FF4280" w:rsidP="00AD6E1F">
      <w:pPr>
        <w:pStyle w:val="BodyText"/>
        <w:keepLines/>
        <w:spacing w:after="0" w:line="240" w:lineRule="auto"/>
        <w:rPr>
          <w:szCs w:val="22"/>
        </w:rPr>
      </w:pPr>
      <w:r>
        <w:rPr>
          <w:szCs w:val="22"/>
        </w:rPr>
        <w:t>T</w:t>
      </w:r>
      <w:r w:rsidR="005816BF">
        <w:rPr>
          <w:szCs w:val="22"/>
        </w:rPr>
        <w:t>he</w:t>
      </w:r>
      <w:r>
        <w:rPr>
          <w:szCs w:val="22"/>
        </w:rPr>
        <w:t xml:space="preserve"> follow-up</w:t>
      </w:r>
      <w:r w:rsidR="005816BF">
        <w:rPr>
          <w:szCs w:val="22"/>
        </w:rPr>
        <w:t xml:space="preserve"> membe</w:t>
      </w:r>
      <w:r w:rsidR="007C01CE">
        <w:rPr>
          <w:szCs w:val="22"/>
        </w:rPr>
        <w:t>r survey will be administered a single time</w:t>
      </w:r>
      <w:r w:rsidR="005816BF">
        <w:rPr>
          <w:szCs w:val="22"/>
        </w:rPr>
        <w:t>.</w:t>
      </w:r>
      <w:r w:rsidR="007C01CE">
        <w:rPr>
          <w:szCs w:val="22"/>
        </w:rPr>
        <w:t xml:space="preserve"> </w:t>
      </w:r>
      <w:r w:rsidR="009C531B">
        <w:rPr>
          <w:szCs w:val="22"/>
        </w:rPr>
        <w:t>The IGDI assessments will be administered at the beginning (fall)</w:t>
      </w:r>
      <w:r w:rsidR="00E11246">
        <w:rPr>
          <w:szCs w:val="22"/>
        </w:rPr>
        <w:t>, middle (winter)</w:t>
      </w:r>
      <w:r w:rsidR="009C531B">
        <w:rPr>
          <w:szCs w:val="22"/>
        </w:rPr>
        <w:t xml:space="preserve"> and end (spring) o</w:t>
      </w:r>
      <w:r w:rsidR="00E11246">
        <w:rPr>
          <w:szCs w:val="22"/>
        </w:rPr>
        <w:t>f the 2013-2014 school year. Three</w:t>
      </w:r>
      <w:r w:rsidR="009C531B">
        <w:rPr>
          <w:szCs w:val="22"/>
        </w:rPr>
        <w:t xml:space="preserve"> IGDI assessments are </w:t>
      </w:r>
      <w:r w:rsidR="00E11246">
        <w:rPr>
          <w:szCs w:val="22"/>
        </w:rPr>
        <w:t>necessary</w:t>
      </w:r>
      <w:r w:rsidR="006D215F">
        <w:rPr>
          <w:szCs w:val="22"/>
        </w:rPr>
        <w:t xml:space="preserve"> to</w:t>
      </w:r>
      <w:r w:rsidR="00E11246">
        <w:rPr>
          <w:szCs w:val="22"/>
        </w:rPr>
        <w:t xml:space="preserve"> chart</w:t>
      </w:r>
      <w:r w:rsidR="006D215F">
        <w:rPr>
          <w:szCs w:val="22"/>
        </w:rPr>
        <w:t xml:space="preserve"> the growth in student emergent literacy skills over the course of the school year. Given well documented differences in assessment scores at preschool entry</w:t>
      </w:r>
      <w:r w:rsidR="00E11246">
        <w:rPr>
          <w:szCs w:val="22"/>
        </w:rPr>
        <w:t xml:space="preserve"> and differences in growth rates during instruction</w:t>
      </w:r>
      <w:r w:rsidR="006D215F">
        <w:rPr>
          <w:szCs w:val="22"/>
        </w:rPr>
        <w:t xml:space="preserve">, it is </w:t>
      </w:r>
      <w:r w:rsidR="00C3122A">
        <w:rPr>
          <w:szCs w:val="22"/>
        </w:rPr>
        <w:t xml:space="preserve">currently recommended that </w:t>
      </w:r>
      <w:r w:rsidR="006D215F">
        <w:rPr>
          <w:szCs w:val="22"/>
        </w:rPr>
        <w:t xml:space="preserve">IGDI data </w:t>
      </w:r>
      <w:r w:rsidR="00C3122A">
        <w:rPr>
          <w:szCs w:val="22"/>
        </w:rPr>
        <w:t xml:space="preserve">be collected </w:t>
      </w:r>
      <w:r w:rsidR="006D215F">
        <w:rPr>
          <w:szCs w:val="22"/>
        </w:rPr>
        <w:t>at the beginning</w:t>
      </w:r>
      <w:r w:rsidR="00E11246">
        <w:rPr>
          <w:szCs w:val="22"/>
        </w:rPr>
        <w:t>, middle</w:t>
      </w:r>
      <w:r w:rsidR="006D215F">
        <w:rPr>
          <w:szCs w:val="22"/>
        </w:rPr>
        <w:t xml:space="preserve"> and end of the school year. </w:t>
      </w:r>
      <w:r w:rsidR="007C01CE">
        <w:rPr>
          <w:szCs w:val="22"/>
        </w:rPr>
        <w:t xml:space="preserve">This information is not currently being collected in any other form, making the current data collection request necessary for achieving the goals of the evaluation. </w:t>
      </w:r>
    </w:p>
    <w:p w:rsidR="000E48A3" w:rsidRPr="00D373A5" w:rsidRDefault="000E48A3" w:rsidP="000E48A3">
      <w:pPr>
        <w:pStyle w:val="BodyText"/>
        <w:keepLines/>
        <w:spacing w:after="0" w:line="240" w:lineRule="auto"/>
        <w:rPr>
          <w:color w:val="FF0000"/>
        </w:rPr>
      </w:pPr>
    </w:p>
    <w:p w:rsidR="00BF46A7" w:rsidRPr="00C076CD" w:rsidRDefault="00BF46A7" w:rsidP="000E48A3">
      <w:pPr>
        <w:pStyle w:val="Heading2"/>
        <w:spacing w:before="0" w:after="0"/>
      </w:pPr>
      <w:bookmarkStart w:id="15" w:name="_Toc267041911"/>
      <w:bookmarkStart w:id="16" w:name="_Toc352603610"/>
      <w:r>
        <w:t>A.</w:t>
      </w:r>
      <w:r w:rsidRPr="00C076CD">
        <w:t>7</w:t>
      </w:r>
      <w:r>
        <w:t>.</w:t>
      </w:r>
      <w:r>
        <w:tab/>
        <w:t>Consistency with</w:t>
      </w:r>
      <w:r w:rsidRPr="00D65922">
        <w:t xml:space="preserve"> </w:t>
      </w:r>
      <w:r w:rsidRPr="00C076CD">
        <w:t xml:space="preserve">Guidelines of </w:t>
      </w:r>
      <w:bookmarkEnd w:id="15"/>
      <w:r w:rsidRPr="00C076CD">
        <w:t>5 CFR 1320.8(d)</w:t>
      </w:r>
      <w:bookmarkEnd w:id="16"/>
    </w:p>
    <w:p w:rsidR="00BF46A7" w:rsidRDefault="00BF46A7" w:rsidP="000E48A3">
      <w:pPr>
        <w:pStyle w:val="BodyText"/>
        <w:spacing w:after="0" w:line="240" w:lineRule="auto"/>
      </w:pPr>
      <w:r w:rsidRPr="00C076CD">
        <w:t>This data collection request is fully consistent with the guidelines in 5 CFR 1320</w:t>
      </w:r>
      <w:r>
        <w:t>.8(d)</w:t>
      </w:r>
      <w:r w:rsidRPr="00C076CD">
        <w:t>. There are no special circumstances required for the collection of information in this data collection.</w:t>
      </w:r>
    </w:p>
    <w:p w:rsidR="000E48A3" w:rsidRPr="00C076CD" w:rsidRDefault="000E48A3" w:rsidP="000E48A3">
      <w:pPr>
        <w:pStyle w:val="BodyText"/>
        <w:spacing w:after="0" w:line="240" w:lineRule="auto"/>
      </w:pPr>
    </w:p>
    <w:p w:rsidR="00B00E52" w:rsidRPr="00B00E52" w:rsidRDefault="00BF46A7" w:rsidP="00B00E52">
      <w:pPr>
        <w:pStyle w:val="Heading2"/>
        <w:spacing w:before="0" w:after="0"/>
        <w:ind w:left="741" w:hanging="741"/>
      </w:pPr>
      <w:bookmarkStart w:id="17" w:name="_Toc267041912"/>
      <w:bookmarkStart w:id="18" w:name="_Toc352603611"/>
      <w:r>
        <w:t>A.8.</w:t>
      </w:r>
      <w:r>
        <w:tab/>
      </w:r>
      <w:bookmarkEnd w:id="17"/>
      <w:r w:rsidRPr="00D65922">
        <w:t xml:space="preserve">Comments in Response to the </w:t>
      </w:r>
      <w:r w:rsidRPr="00D65922">
        <w:rPr>
          <w:i/>
        </w:rPr>
        <w:t xml:space="preserve">Federal Register </w:t>
      </w:r>
      <w:r w:rsidRPr="00D65922">
        <w:t>Notice</w:t>
      </w:r>
      <w:r>
        <w:t xml:space="preserve"> and Efforts to Consult Outside </w:t>
      </w:r>
      <w:r w:rsidRPr="00D65922">
        <w:t>the Agency</w:t>
      </w:r>
      <w:bookmarkEnd w:id="18"/>
    </w:p>
    <w:p w:rsidR="00427E39" w:rsidRPr="00B43575" w:rsidRDefault="00BF46A7" w:rsidP="00754155">
      <w:pPr>
        <w:pStyle w:val="BodyText"/>
        <w:spacing w:after="0" w:line="240" w:lineRule="auto"/>
      </w:pPr>
      <w:r w:rsidRPr="00B00E52">
        <w:t>A</w:t>
      </w:r>
      <w:r w:rsidR="003A49EA">
        <w:t xml:space="preserve">. </w:t>
      </w:r>
      <w:r w:rsidRPr="00B00E52">
        <w:t xml:space="preserve">In accordance with the paperwork Reduction Act of 1995, the notice required in 5 CFR 1320.8(d) has been published in the </w:t>
      </w:r>
      <w:r w:rsidRPr="00B00E52">
        <w:rPr>
          <w:i/>
          <w:iCs/>
        </w:rPr>
        <w:t>Federal Register</w:t>
      </w:r>
      <w:r w:rsidRPr="00B00E52">
        <w:t xml:space="preserve"> announcing </w:t>
      </w:r>
      <w:r w:rsidR="00B00E52" w:rsidRPr="00B00E52">
        <w:t>CNCS’</w:t>
      </w:r>
      <w:r w:rsidRPr="00B00E52">
        <w:t xml:space="preserve"> intention to request an OMB review of data collection activities. This notice was </w:t>
      </w:r>
      <w:r w:rsidRPr="00F25F91">
        <w:t xml:space="preserve">published on </w:t>
      </w:r>
      <w:r w:rsidR="00F25F91" w:rsidRPr="00F25F91">
        <w:t>Thursday</w:t>
      </w:r>
      <w:r w:rsidR="00B00E52" w:rsidRPr="00F25F91">
        <w:t xml:space="preserve">, </w:t>
      </w:r>
      <w:r w:rsidR="00F25F91" w:rsidRPr="00F25F91">
        <w:t>February 21</w:t>
      </w:r>
      <w:r w:rsidR="00B00E52" w:rsidRPr="00F25F91">
        <w:t>, 201</w:t>
      </w:r>
      <w:r w:rsidR="00F25F91" w:rsidRPr="00F25F91">
        <w:t>3</w:t>
      </w:r>
      <w:r w:rsidRPr="00F25F91">
        <w:t xml:space="preserve"> in volume </w:t>
      </w:r>
      <w:r w:rsidR="00743211" w:rsidRPr="00F25F91">
        <w:t>7</w:t>
      </w:r>
      <w:r w:rsidR="00F25F91" w:rsidRPr="00F25F91">
        <w:t>8</w:t>
      </w:r>
      <w:r w:rsidRPr="00F25F91">
        <w:t xml:space="preserve">, number </w:t>
      </w:r>
      <w:r w:rsidR="00F25F91" w:rsidRPr="00F25F91">
        <w:t>35</w:t>
      </w:r>
      <w:r w:rsidRPr="00F25F91">
        <w:t xml:space="preserve">, on pages </w:t>
      </w:r>
      <w:r w:rsidR="00B00E52" w:rsidRPr="00F25F91">
        <w:rPr>
          <w:bCs/>
          <w:szCs w:val="22"/>
        </w:rPr>
        <w:t>1</w:t>
      </w:r>
      <w:r w:rsidR="00F25F91" w:rsidRPr="00F25F91">
        <w:rPr>
          <w:bCs/>
          <w:szCs w:val="22"/>
        </w:rPr>
        <w:t>2040</w:t>
      </w:r>
      <w:r w:rsidR="00B00E52" w:rsidRPr="00F25F91">
        <w:rPr>
          <w:bCs/>
          <w:szCs w:val="22"/>
        </w:rPr>
        <w:t xml:space="preserve"> and 1</w:t>
      </w:r>
      <w:r w:rsidR="00F25F91" w:rsidRPr="00F25F91">
        <w:rPr>
          <w:bCs/>
          <w:szCs w:val="22"/>
        </w:rPr>
        <w:t>2041</w:t>
      </w:r>
      <w:r w:rsidRPr="00F25F91">
        <w:t xml:space="preserve"> and provided a 60-day period for public commen</w:t>
      </w:r>
      <w:r w:rsidR="00743211" w:rsidRPr="00F25F91">
        <w:t>t</w:t>
      </w:r>
      <w:r w:rsidR="00CF4CB3" w:rsidRPr="00F25F91">
        <w:t>. No</w:t>
      </w:r>
      <w:r w:rsidR="00E31326" w:rsidRPr="00F25F91">
        <w:t xml:space="preserve"> comments</w:t>
      </w:r>
      <w:r w:rsidR="00017D2E" w:rsidRPr="00F25F91">
        <w:t xml:space="preserve"> w</w:t>
      </w:r>
      <w:r w:rsidR="00CF4CB3" w:rsidRPr="00F25F91">
        <w:t>ere</w:t>
      </w:r>
      <w:r w:rsidR="00017D2E" w:rsidRPr="00F25F91">
        <w:t xml:space="preserve"> received </w:t>
      </w:r>
      <w:r w:rsidR="00E40257" w:rsidRPr="00F25F91">
        <w:t>during the 60 day period</w:t>
      </w:r>
      <w:r w:rsidR="00CF4CB3" w:rsidRPr="00F25F91">
        <w:t>.</w:t>
      </w:r>
    </w:p>
    <w:tbl>
      <w:tblPr>
        <w:tblW w:w="8433" w:type="dxa"/>
        <w:tblInd w:w="89" w:type="dxa"/>
        <w:tblLook w:val="04A0" w:firstRow="1" w:lastRow="0" w:firstColumn="1" w:lastColumn="0" w:noHBand="0" w:noVBand="1"/>
      </w:tblPr>
      <w:tblGrid>
        <w:gridCol w:w="3979"/>
        <w:gridCol w:w="2834"/>
        <w:gridCol w:w="1620"/>
      </w:tblGrid>
      <w:tr w:rsidR="005C5848" w:rsidRPr="005C5848" w:rsidTr="005C5848">
        <w:trPr>
          <w:trHeight w:val="300"/>
        </w:trPr>
        <w:tc>
          <w:tcPr>
            <w:tcW w:w="3979" w:type="dxa"/>
            <w:tcBorders>
              <w:top w:val="nil"/>
              <w:left w:val="nil"/>
              <w:bottom w:val="nil"/>
              <w:right w:val="nil"/>
            </w:tcBorders>
            <w:shd w:val="clear" w:color="auto" w:fill="auto"/>
            <w:hideMark/>
          </w:tcPr>
          <w:p w:rsidR="005C5848" w:rsidRPr="005C5848" w:rsidRDefault="005C5848" w:rsidP="00CF4CB3">
            <w:pPr>
              <w:rPr>
                <w:rFonts w:ascii="Calibri" w:hAnsi="Calibri"/>
                <w:color w:val="000000"/>
                <w:sz w:val="22"/>
                <w:szCs w:val="22"/>
              </w:rPr>
            </w:pPr>
          </w:p>
        </w:tc>
        <w:tc>
          <w:tcPr>
            <w:tcW w:w="2834" w:type="dxa"/>
            <w:tcBorders>
              <w:top w:val="nil"/>
              <w:left w:val="nil"/>
              <w:bottom w:val="nil"/>
              <w:right w:val="nil"/>
            </w:tcBorders>
            <w:shd w:val="clear" w:color="auto" w:fill="auto"/>
            <w:hideMark/>
          </w:tcPr>
          <w:p w:rsidR="005C5848" w:rsidRPr="005C5848" w:rsidRDefault="005C5848" w:rsidP="005C5848">
            <w:pPr>
              <w:rPr>
                <w:rFonts w:ascii="Calibri" w:hAnsi="Calibri"/>
                <w:color w:val="000000"/>
                <w:sz w:val="22"/>
                <w:szCs w:val="22"/>
              </w:rPr>
            </w:pPr>
          </w:p>
        </w:tc>
        <w:tc>
          <w:tcPr>
            <w:tcW w:w="1620" w:type="dxa"/>
            <w:tcBorders>
              <w:top w:val="nil"/>
              <w:left w:val="nil"/>
              <w:bottom w:val="nil"/>
              <w:right w:val="nil"/>
            </w:tcBorders>
            <w:shd w:val="clear" w:color="auto" w:fill="auto"/>
            <w:hideMark/>
          </w:tcPr>
          <w:p w:rsidR="005C5848" w:rsidRPr="005C5848" w:rsidRDefault="005C5848" w:rsidP="005C5848">
            <w:pPr>
              <w:rPr>
                <w:rFonts w:ascii="Calibri" w:hAnsi="Calibri"/>
                <w:color w:val="000000"/>
                <w:sz w:val="22"/>
                <w:szCs w:val="22"/>
              </w:rPr>
            </w:pPr>
          </w:p>
        </w:tc>
      </w:tr>
    </w:tbl>
    <w:p w:rsidR="00AA05AF" w:rsidRDefault="004D33E8" w:rsidP="00427E39">
      <w:pPr>
        <w:pStyle w:val="BodyText"/>
        <w:spacing w:after="0" w:line="240" w:lineRule="auto"/>
      </w:pPr>
      <w:r w:rsidRPr="00E40257">
        <w:t xml:space="preserve">The survey instrument </w:t>
      </w:r>
      <w:r w:rsidR="00D027D8">
        <w:t>w</w:t>
      </w:r>
      <w:r>
        <w:t>as</w:t>
      </w:r>
      <w:r w:rsidR="00D027D8">
        <w:t xml:space="preserve"> developed by CNCS</w:t>
      </w:r>
      <w:r w:rsidR="007C01CE">
        <w:t xml:space="preserve"> </w:t>
      </w:r>
      <w:r>
        <w:t>and its</w:t>
      </w:r>
      <w:r w:rsidR="00D027D8">
        <w:t xml:space="preserve"> con</w:t>
      </w:r>
      <w:r w:rsidR="007C01CE">
        <w:t>tractor</w:t>
      </w:r>
      <w:r w:rsidR="00C3122A">
        <w:t>, NORC at the University of Chicago</w:t>
      </w:r>
      <w:r w:rsidR="00F46D40">
        <w:t xml:space="preserve">. Input and feedback on the </w:t>
      </w:r>
      <w:r>
        <w:t>survey</w:t>
      </w:r>
      <w:r w:rsidR="00F46D40">
        <w:t xml:space="preserve"> instrument w</w:t>
      </w:r>
      <w:r>
        <w:t>as</w:t>
      </w:r>
      <w:r w:rsidR="00F46D40">
        <w:t xml:space="preserve"> also </w:t>
      </w:r>
      <w:r w:rsidR="00367478">
        <w:t>obtained from</w:t>
      </w:r>
      <w:r w:rsidRPr="004D33E8">
        <w:t xml:space="preserve"> </w:t>
      </w:r>
      <w:r>
        <w:t xml:space="preserve">AmeriCorps program staff, the project’s </w:t>
      </w:r>
      <w:r w:rsidR="00C3122A">
        <w:t>Technical Working Group (</w:t>
      </w:r>
      <w:r>
        <w:t>TWG</w:t>
      </w:r>
      <w:r w:rsidR="00C3122A">
        <w:t>)</w:t>
      </w:r>
      <w:r>
        <w:t xml:space="preserve">, and </w:t>
      </w:r>
      <w:proofErr w:type="spellStart"/>
      <w:r>
        <w:t>ServeMinnesota</w:t>
      </w:r>
      <w:proofErr w:type="spellEnd"/>
      <w:r w:rsidR="00D027D8">
        <w:t xml:space="preserve">. </w:t>
      </w:r>
      <w:r w:rsidRPr="0064229F">
        <w:t xml:space="preserve">In addition, the instrument was pretested with a small group of </w:t>
      </w:r>
      <w:r w:rsidR="00330BFE" w:rsidRPr="0064229F">
        <w:t>five</w:t>
      </w:r>
      <w:r w:rsidRPr="0064229F">
        <w:t xml:space="preserve"> AmeriCorps members</w:t>
      </w:r>
      <w:r w:rsidR="0064229F">
        <w:t xml:space="preserve"> who served with</w:t>
      </w:r>
      <w:r w:rsidRPr="0064229F">
        <w:t xml:space="preserve"> MRC.</w:t>
      </w:r>
    </w:p>
    <w:p w:rsidR="000E48A3" w:rsidRDefault="000E48A3" w:rsidP="000E48A3">
      <w:pPr>
        <w:pStyle w:val="BodyText"/>
        <w:spacing w:after="0" w:line="240" w:lineRule="auto"/>
        <w:ind w:left="342" w:hanging="342"/>
        <w:rPr>
          <w:color w:val="FF0000"/>
        </w:rPr>
      </w:pPr>
    </w:p>
    <w:p w:rsidR="0057230B" w:rsidRPr="00862AE9" w:rsidRDefault="0022512B" w:rsidP="0057230B">
      <w:r w:rsidRPr="003927E2">
        <w:t xml:space="preserve">The IGDI is </w:t>
      </w:r>
      <w:r w:rsidR="00872D29" w:rsidRPr="003927E2">
        <w:t xml:space="preserve">a standardized, research validated and reliable measure of emergent literacy skills that has an established evidentiary base in the literature. </w:t>
      </w:r>
      <w:r w:rsidR="00DF5C40">
        <w:t>I</w:t>
      </w:r>
      <w:r w:rsidR="00872D29" w:rsidRPr="003927E2">
        <w:t xml:space="preserve">ts use in the evaluation was reviewed by the project’s TWG, CNCS staff, and </w:t>
      </w:r>
      <w:proofErr w:type="spellStart"/>
      <w:r w:rsidR="00872D29" w:rsidRPr="003927E2">
        <w:t>Serve</w:t>
      </w:r>
      <w:r w:rsidR="00DF5C40" w:rsidRPr="00DF5C40">
        <w:t>Minnesota</w:t>
      </w:r>
      <w:proofErr w:type="spellEnd"/>
      <w:r w:rsidR="00DF5C40" w:rsidRPr="00DF5C40">
        <w:t xml:space="preserve"> staff</w:t>
      </w:r>
      <w:r w:rsidR="00DF5C40">
        <w:t xml:space="preserve">. Further, </w:t>
      </w:r>
      <w:r w:rsidR="00C3122A">
        <w:t xml:space="preserve">the </w:t>
      </w:r>
      <w:r w:rsidR="00DF5C40" w:rsidRPr="00090428">
        <w:t xml:space="preserve">MRC </w:t>
      </w:r>
      <w:proofErr w:type="spellStart"/>
      <w:r w:rsidR="00DF5C40" w:rsidRPr="00090428">
        <w:t>PreK</w:t>
      </w:r>
      <w:proofErr w:type="spellEnd"/>
      <w:r w:rsidR="00DF5C40" w:rsidRPr="00090428">
        <w:t xml:space="preserve"> program</w:t>
      </w:r>
      <w:r w:rsidR="00DF5C40">
        <w:t xml:space="preserve"> currently administers the IGDI to all enrolled preschool students.</w:t>
      </w:r>
      <w:r w:rsidR="0057230B">
        <w:t xml:space="preserve"> Information on the IGDI assessment tool and materials to be used for the </w:t>
      </w:r>
      <w:proofErr w:type="spellStart"/>
      <w:r w:rsidR="0057230B">
        <w:t>PreK</w:t>
      </w:r>
      <w:proofErr w:type="spellEnd"/>
      <w:r w:rsidR="0057230B">
        <w:t xml:space="preserve"> data collection is available at </w:t>
      </w:r>
      <w:r w:rsidR="0057230B" w:rsidRPr="00862AE9">
        <w:t>http://www.myigdis.com/</w:t>
      </w:r>
      <w:r w:rsidR="002E0AB9" w:rsidRPr="00862AE9">
        <w:t>.</w:t>
      </w:r>
    </w:p>
    <w:p w:rsidR="000129E7" w:rsidRDefault="000129E7" w:rsidP="003927E2">
      <w:pPr>
        <w:pStyle w:val="BodyText"/>
        <w:tabs>
          <w:tab w:val="left" w:pos="1890"/>
        </w:tabs>
        <w:spacing w:after="0" w:line="240" w:lineRule="auto"/>
        <w:ind w:firstLine="18"/>
      </w:pPr>
    </w:p>
    <w:p w:rsidR="000129E7" w:rsidRPr="00D373A5" w:rsidRDefault="000129E7" w:rsidP="000E48A3">
      <w:pPr>
        <w:pStyle w:val="BodyText"/>
        <w:spacing w:after="0" w:line="240" w:lineRule="auto"/>
        <w:ind w:left="342" w:hanging="342"/>
        <w:rPr>
          <w:color w:val="FF0000"/>
        </w:rPr>
      </w:pPr>
    </w:p>
    <w:p w:rsidR="00BF46A7" w:rsidRPr="006D51CF" w:rsidRDefault="00BF46A7" w:rsidP="000E48A3">
      <w:pPr>
        <w:pStyle w:val="BodyText"/>
        <w:numPr>
          <w:ilvl w:val="0"/>
          <w:numId w:val="6"/>
        </w:numPr>
        <w:spacing w:after="0" w:line="240" w:lineRule="auto"/>
        <w:rPr>
          <w:szCs w:val="22"/>
        </w:rPr>
      </w:pPr>
      <w:r w:rsidRPr="0064229F">
        <w:t xml:space="preserve">Since </w:t>
      </w:r>
      <w:r w:rsidR="0064229F" w:rsidRPr="0064229F">
        <w:t>January</w:t>
      </w:r>
      <w:r w:rsidR="00FC73D8" w:rsidRPr="0064229F">
        <w:t xml:space="preserve"> 201</w:t>
      </w:r>
      <w:r w:rsidR="0064229F" w:rsidRPr="0064229F">
        <w:t>3</w:t>
      </w:r>
      <w:r w:rsidRPr="0064229F">
        <w:t xml:space="preserve">, </w:t>
      </w:r>
      <w:r w:rsidR="00FC73D8" w:rsidRPr="0064229F">
        <w:t>CNCS</w:t>
      </w:r>
      <w:r w:rsidRPr="0064229F">
        <w:t xml:space="preserve"> has consulted</w:t>
      </w:r>
      <w:r w:rsidRPr="00AC20CC">
        <w:t xml:space="preserve"> with the following persons regard</w:t>
      </w:r>
      <w:r w:rsidR="005C239E">
        <w:t>ing this information collection:</w:t>
      </w:r>
    </w:p>
    <w:p w:rsidR="00810586"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Robert </w:t>
      </w:r>
      <w:proofErr w:type="spellStart"/>
      <w:r w:rsidRPr="005C239E">
        <w:rPr>
          <w:rFonts w:ascii="Times New Roman" w:hAnsi="Times New Roman"/>
          <w:sz w:val="22"/>
          <w:szCs w:val="22"/>
        </w:rPr>
        <w:t>Boruch</w:t>
      </w:r>
      <w:proofErr w:type="spellEnd"/>
      <w:r w:rsidRPr="005C239E">
        <w:rPr>
          <w:rFonts w:ascii="Times New Roman" w:hAnsi="Times New Roman"/>
          <w:sz w:val="22"/>
          <w:szCs w:val="22"/>
        </w:rPr>
        <w:t>, University of Pennsylvania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Dana M. Stein, Civic Works, Inc.</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Robert </w:t>
      </w:r>
      <w:proofErr w:type="spellStart"/>
      <w:r w:rsidRPr="005C239E">
        <w:rPr>
          <w:rFonts w:ascii="Times New Roman" w:hAnsi="Times New Roman"/>
          <w:sz w:val="22"/>
          <w:szCs w:val="22"/>
        </w:rPr>
        <w:t>LaLonde</w:t>
      </w:r>
      <w:proofErr w:type="spellEnd"/>
      <w:r w:rsidRPr="005C239E">
        <w:rPr>
          <w:rFonts w:ascii="Times New Roman" w:hAnsi="Times New Roman"/>
          <w:sz w:val="22"/>
          <w:szCs w:val="22"/>
        </w:rPr>
        <w:t>, University of Chicago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Christopher </w:t>
      </w:r>
      <w:proofErr w:type="spellStart"/>
      <w:r w:rsidRPr="005C239E">
        <w:rPr>
          <w:rFonts w:ascii="Times New Roman" w:hAnsi="Times New Roman"/>
          <w:sz w:val="22"/>
          <w:szCs w:val="22"/>
        </w:rPr>
        <w:t>Hulleman</w:t>
      </w:r>
      <w:proofErr w:type="spellEnd"/>
      <w:r w:rsidRPr="005C239E">
        <w:rPr>
          <w:rFonts w:ascii="Times New Roman" w:hAnsi="Times New Roman"/>
          <w:sz w:val="22"/>
          <w:szCs w:val="22"/>
        </w:rPr>
        <w:t>, James Madison University</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Matthew Stagner, Chapin Hall at the University of Chicago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Elizabeth </w:t>
      </w:r>
      <w:proofErr w:type="spellStart"/>
      <w:r w:rsidRPr="005C239E">
        <w:rPr>
          <w:rFonts w:ascii="Times New Roman" w:hAnsi="Times New Roman"/>
          <w:sz w:val="22"/>
          <w:szCs w:val="22"/>
        </w:rPr>
        <w:t>Albro</w:t>
      </w:r>
      <w:proofErr w:type="spellEnd"/>
      <w:r w:rsidRPr="005C239E">
        <w:rPr>
          <w:rFonts w:ascii="Times New Roman" w:hAnsi="Times New Roman"/>
          <w:sz w:val="22"/>
          <w:szCs w:val="22"/>
        </w:rPr>
        <w:t>, Institute for Education Services</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Terry A. Ackerman, University of North Carolina at Greensboro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Ann Casey, Minneapolis Public Schools, Minnesota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Kerry </w:t>
      </w:r>
      <w:proofErr w:type="spellStart"/>
      <w:r w:rsidRPr="005C239E">
        <w:rPr>
          <w:rFonts w:ascii="Times New Roman" w:hAnsi="Times New Roman"/>
          <w:sz w:val="22"/>
          <w:szCs w:val="22"/>
        </w:rPr>
        <w:t>Bollman</w:t>
      </w:r>
      <w:proofErr w:type="spellEnd"/>
      <w:r w:rsidRPr="005C239E">
        <w:rPr>
          <w:rFonts w:ascii="Times New Roman" w:hAnsi="Times New Roman"/>
          <w:sz w:val="22"/>
          <w:szCs w:val="22"/>
        </w:rPr>
        <w:t>, Saint Croix River Education District, Minnesota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lastRenderedPageBreak/>
        <w:t xml:space="preserve">Audrey </w:t>
      </w:r>
      <w:proofErr w:type="spellStart"/>
      <w:r w:rsidRPr="005C239E">
        <w:rPr>
          <w:rFonts w:ascii="Times New Roman" w:hAnsi="Times New Roman"/>
          <w:sz w:val="22"/>
          <w:szCs w:val="22"/>
        </w:rPr>
        <w:t>Suker</w:t>
      </w:r>
      <w:proofErr w:type="spellEnd"/>
      <w:r w:rsidR="006D51CF" w:rsidRPr="005C239E">
        <w:rPr>
          <w:rFonts w:ascii="Times New Roman" w:hAnsi="Times New Roman"/>
          <w:sz w:val="22"/>
          <w:szCs w:val="22"/>
        </w:rPr>
        <w:t xml:space="preserve">, </w:t>
      </w:r>
      <w:proofErr w:type="spellStart"/>
      <w:r w:rsidR="006D51CF" w:rsidRPr="005C239E">
        <w:rPr>
          <w:rFonts w:ascii="Times New Roman" w:hAnsi="Times New Roman"/>
          <w:sz w:val="22"/>
          <w:szCs w:val="22"/>
        </w:rPr>
        <w:t>ServeMinnesota</w:t>
      </w:r>
      <w:proofErr w:type="spellEnd"/>
    </w:p>
    <w:p w:rsidR="006D51CF" w:rsidRDefault="006D51CF"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Sadie O'Connor, </w:t>
      </w:r>
      <w:proofErr w:type="spellStart"/>
      <w:r w:rsidRPr="005C239E">
        <w:rPr>
          <w:rFonts w:ascii="Times New Roman" w:hAnsi="Times New Roman"/>
          <w:sz w:val="22"/>
          <w:szCs w:val="22"/>
        </w:rPr>
        <w:t>ServeMinnesota</w:t>
      </w:r>
      <w:proofErr w:type="spellEnd"/>
    </w:p>
    <w:p w:rsidR="00C3122A" w:rsidRPr="005C239E" w:rsidRDefault="00C3122A" w:rsidP="005C239E">
      <w:pPr>
        <w:pStyle w:val="ListParagraph"/>
        <w:numPr>
          <w:ilvl w:val="0"/>
          <w:numId w:val="31"/>
        </w:numPr>
        <w:rPr>
          <w:rFonts w:ascii="Times New Roman" w:hAnsi="Times New Roman"/>
          <w:sz w:val="22"/>
          <w:szCs w:val="22"/>
        </w:rPr>
      </w:pPr>
      <w:r>
        <w:rPr>
          <w:rFonts w:ascii="Times New Roman" w:hAnsi="Times New Roman"/>
          <w:sz w:val="22"/>
          <w:szCs w:val="22"/>
        </w:rPr>
        <w:t>Kate Horst, Minnesota Reading Corps</w:t>
      </w:r>
    </w:p>
    <w:p w:rsidR="00CF4CB3" w:rsidRDefault="00CF4CB3" w:rsidP="000E48A3">
      <w:pPr>
        <w:pStyle w:val="Heading2"/>
        <w:spacing w:before="0" w:after="0"/>
      </w:pPr>
      <w:bookmarkStart w:id="19" w:name="_Toc267041913"/>
    </w:p>
    <w:p w:rsidR="00BF46A7" w:rsidRPr="00C076CD" w:rsidRDefault="00BF46A7" w:rsidP="000E48A3">
      <w:pPr>
        <w:pStyle w:val="Heading2"/>
        <w:spacing w:before="0" w:after="0"/>
      </w:pPr>
      <w:bookmarkStart w:id="20" w:name="_Toc352603612"/>
      <w:r>
        <w:t>A.</w:t>
      </w:r>
      <w:r w:rsidRPr="00C076CD">
        <w:t>9.</w:t>
      </w:r>
      <w:r>
        <w:tab/>
      </w:r>
      <w:r w:rsidRPr="00D65922">
        <w:t xml:space="preserve">Explanation of any </w:t>
      </w:r>
      <w:r w:rsidRPr="00C076CD">
        <w:t>Payment or Gift to Respondents</w:t>
      </w:r>
      <w:bookmarkEnd w:id="19"/>
      <w:bookmarkEnd w:id="20"/>
    </w:p>
    <w:p w:rsidR="00DF5C40" w:rsidRDefault="00E01495" w:rsidP="000E48A3">
      <w:pPr>
        <w:pStyle w:val="BodyText"/>
        <w:spacing w:after="0" w:line="240" w:lineRule="auto"/>
      </w:pPr>
      <w:r>
        <w:t xml:space="preserve">No payment or gift will be offered to respondents for their participation in the </w:t>
      </w:r>
      <w:r w:rsidR="00DF5C40">
        <w:t xml:space="preserve">member survey </w:t>
      </w:r>
      <w:r>
        <w:t>data collection.</w:t>
      </w:r>
      <w:r w:rsidR="00C3122A">
        <w:t xml:space="preserve"> </w:t>
      </w:r>
      <w:r w:rsidR="00DF5C40">
        <w:t xml:space="preserve">Preschools that agree to participate in the impact evaluation will be offered two incentives: </w:t>
      </w:r>
      <w:r w:rsidR="00DF5C40" w:rsidRPr="003927E2">
        <w:t>1) access to all data on all assessed students at the end of the 2013-2014 school year</w:t>
      </w:r>
      <w:r w:rsidR="00C3122A">
        <w:t xml:space="preserve"> (after data collection ends)</w:t>
      </w:r>
      <w:r w:rsidR="00DF5C40" w:rsidRPr="003927E2">
        <w:t xml:space="preserve">, and 2) priority consideration should the preschool choose to apply to participate in the Minnesota Reading Corps program in the 2014-2015 school year. </w:t>
      </w:r>
    </w:p>
    <w:p w:rsidR="00BF46A7" w:rsidRDefault="00BF46A7" w:rsidP="000E48A3">
      <w:pPr>
        <w:pStyle w:val="BodyText"/>
        <w:spacing w:after="0" w:line="240" w:lineRule="auto"/>
      </w:pPr>
    </w:p>
    <w:p w:rsidR="00BF46A7" w:rsidRPr="00C076CD" w:rsidRDefault="00BF46A7" w:rsidP="000E48A3">
      <w:pPr>
        <w:pStyle w:val="Heading2"/>
        <w:spacing w:before="0" w:after="0"/>
      </w:pPr>
      <w:bookmarkStart w:id="21" w:name="_Toc267041914"/>
      <w:bookmarkStart w:id="22" w:name="_Toc352603613"/>
      <w:r>
        <w:t>A.</w:t>
      </w:r>
      <w:r w:rsidRPr="00C076CD">
        <w:t>10.</w:t>
      </w:r>
      <w:r>
        <w:tab/>
      </w:r>
      <w:r w:rsidRPr="00C076CD">
        <w:t>Assurance of Confidentiality</w:t>
      </w:r>
      <w:bookmarkEnd w:id="21"/>
      <w:r>
        <w:t xml:space="preserve"> </w:t>
      </w:r>
      <w:r w:rsidRPr="00D65922">
        <w:t>Provided to Respondents</w:t>
      </w:r>
      <w:bookmarkEnd w:id="22"/>
    </w:p>
    <w:p w:rsidR="00D86E24" w:rsidRDefault="00BF46A7" w:rsidP="000E48A3">
      <w:pPr>
        <w:pStyle w:val="BodyText"/>
        <w:spacing w:after="0" w:line="240" w:lineRule="auto"/>
        <w:rPr>
          <w:szCs w:val="22"/>
        </w:rPr>
      </w:pPr>
      <w:r w:rsidRPr="00075A92">
        <w:t xml:space="preserve">Participation in </w:t>
      </w:r>
      <w:r w:rsidR="003D48B1">
        <w:t>this study</w:t>
      </w:r>
      <w:r w:rsidRPr="00075A92">
        <w:t xml:space="preserve"> is voluntary</w:t>
      </w:r>
      <w:r w:rsidR="003A49EA">
        <w:t xml:space="preserve">. </w:t>
      </w:r>
      <w:r w:rsidR="003D48B1" w:rsidRPr="00C457EC">
        <w:t>R</w:t>
      </w:r>
      <w:r w:rsidR="003D48B1">
        <w:t xml:space="preserve">espondents </w:t>
      </w:r>
      <w:r w:rsidR="00C3122A">
        <w:t xml:space="preserve">to the member survey </w:t>
      </w:r>
      <w:r w:rsidRPr="00C457EC">
        <w:t xml:space="preserve">will be told the purposes for which the information is collected and that, in accordance with this </w:t>
      </w:r>
      <w:r w:rsidRPr="00D86E24">
        <w:t>statute, any identifiable information about them will not be used or di</w:t>
      </w:r>
      <w:r w:rsidR="003A49EA">
        <w:t xml:space="preserve">sclosed for any other purpose. </w:t>
      </w:r>
      <w:r w:rsidR="003D48B1" w:rsidRPr="00D86E24">
        <w:rPr>
          <w:szCs w:val="22"/>
        </w:rPr>
        <w:t xml:space="preserve">MRC </w:t>
      </w:r>
      <w:r w:rsidR="00521FFD">
        <w:rPr>
          <w:szCs w:val="22"/>
        </w:rPr>
        <w:t>members that served in the 2012-2013 school year wi</w:t>
      </w:r>
      <w:r w:rsidR="003D48B1" w:rsidRPr="00D86E24">
        <w:rPr>
          <w:szCs w:val="22"/>
        </w:rPr>
        <w:t xml:space="preserve">ll be eligible to complete the </w:t>
      </w:r>
      <w:r w:rsidR="00521FFD">
        <w:rPr>
          <w:szCs w:val="22"/>
        </w:rPr>
        <w:t>follow-up</w:t>
      </w:r>
      <w:r w:rsidR="003D48B1" w:rsidRPr="00D86E24">
        <w:rPr>
          <w:szCs w:val="22"/>
        </w:rPr>
        <w:t xml:space="preserve"> member survey</w:t>
      </w:r>
      <w:r w:rsidR="003A49EA">
        <w:rPr>
          <w:szCs w:val="22"/>
        </w:rPr>
        <w:t xml:space="preserve">. </w:t>
      </w:r>
      <w:r w:rsidR="00521FFD">
        <w:rPr>
          <w:szCs w:val="22"/>
        </w:rPr>
        <w:t>The contractor maintains</w:t>
      </w:r>
      <w:r w:rsidR="003D48B1" w:rsidRPr="00D86E24">
        <w:rPr>
          <w:szCs w:val="22"/>
        </w:rPr>
        <w:t xml:space="preserve"> </w:t>
      </w:r>
      <w:r w:rsidR="007C01CE">
        <w:rPr>
          <w:szCs w:val="22"/>
        </w:rPr>
        <w:t>a list</w:t>
      </w:r>
      <w:r w:rsidR="003D48B1" w:rsidRPr="00D86E24">
        <w:rPr>
          <w:szCs w:val="22"/>
        </w:rPr>
        <w:t xml:space="preserve"> of all MRC </w:t>
      </w:r>
      <w:r w:rsidR="00521FFD">
        <w:rPr>
          <w:szCs w:val="22"/>
        </w:rPr>
        <w:t>members from the baseline survey</w:t>
      </w:r>
      <w:r w:rsidR="003D48B1" w:rsidRPr="00D86E24">
        <w:rPr>
          <w:szCs w:val="22"/>
        </w:rPr>
        <w:t xml:space="preserve">. </w:t>
      </w:r>
      <w:r w:rsidR="003D48B1">
        <w:rPr>
          <w:szCs w:val="22"/>
        </w:rPr>
        <w:t>T</w:t>
      </w:r>
      <w:r w:rsidR="003D48B1" w:rsidRPr="00D86E24">
        <w:rPr>
          <w:szCs w:val="22"/>
        </w:rPr>
        <w:t xml:space="preserve">he </w:t>
      </w:r>
      <w:r w:rsidR="00521FFD">
        <w:rPr>
          <w:szCs w:val="22"/>
        </w:rPr>
        <w:t>members</w:t>
      </w:r>
      <w:r w:rsidR="003D48B1" w:rsidRPr="00D86E24">
        <w:rPr>
          <w:szCs w:val="22"/>
        </w:rPr>
        <w:t xml:space="preserve"> </w:t>
      </w:r>
      <w:r w:rsidR="003D48B1">
        <w:rPr>
          <w:szCs w:val="22"/>
        </w:rPr>
        <w:t xml:space="preserve">will be contacted </w:t>
      </w:r>
      <w:r w:rsidR="001728A8">
        <w:rPr>
          <w:szCs w:val="22"/>
        </w:rPr>
        <w:t xml:space="preserve">by email </w:t>
      </w:r>
      <w:r w:rsidR="001728A8" w:rsidRPr="0064229F">
        <w:rPr>
          <w:szCs w:val="22"/>
        </w:rPr>
        <w:t xml:space="preserve">in </w:t>
      </w:r>
      <w:r w:rsidR="00927F5B" w:rsidRPr="0064229F">
        <w:rPr>
          <w:szCs w:val="22"/>
        </w:rPr>
        <w:t xml:space="preserve">June </w:t>
      </w:r>
      <w:r w:rsidR="001728A8" w:rsidRPr="0064229F">
        <w:rPr>
          <w:szCs w:val="22"/>
        </w:rPr>
        <w:t>of 201</w:t>
      </w:r>
      <w:r w:rsidR="00521FFD" w:rsidRPr="0064229F">
        <w:rPr>
          <w:szCs w:val="22"/>
        </w:rPr>
        <w:t>3</w:t>
      </w:r>
      <w:r w:rsidR="001728A8" w:rsidRPr="0064229F">
        <w:rPr>
          <w:szCs w:val="22"/>
        </w:rPr>
        <w:t xml:space="preserve"> requesting</w:t>
      </w:r>
      <w:r w:rsidR="001728A8">
        <w:rPr>
          <w:szCs w:val="22"/>
        </w:rPr>
        <w:t xml:space="preserve"> that they </w:t>
      </w:r>
      <w:r w:rsidR="003D48B1" w:rsidRPr="00D86E24">
        <w:rPr>
          <w:szCs w:val="22"/>
        </w:rPr>
        <w:t>complete the survey</w:t>
      </w:r>
      <w:r w:rsidR="00B73CE5">
        <w:rPr>
          <w:szCs w:val="22"/>
        </w:rPr>
        <w:t xml:space="preserve">. </w:t>
      </w:r>
      <w:r w:rsidR="001728A8">
        <w:rPr>
          <w:szCs w:val="22"/>
        </w:rPr>
        <w:t>Respondents</w:t>
      </w:r>
      <w:r w:rsidR="00D86E24" w:rsidRPr="00D86E24">
        <w:rPr>
          <w:szCs w:val="22"/>
        </w:rPr>
        <w:t xml:space="preserve"> will click on a survey link </w:t>
      </w:r>
      <w:r w:rsidR="001728A8">
        <w:rPr>
          <w:szCs w:val="22"/>
        </w:rPr>
        <w:t>in the</w:t>
      </w:r>
      <w:r w:rsidR="00D86E24" w:rsidRPr="00D86E24">
        <w:rPr>
          <w:szCs w:val="22"/>
        </w:rPr>
        <w:t xml:space="preserve"> </w:t>
      </w:r>
      <w:r w:rsidR="001728A8">
        <w:rPr>
          <w:szCs w:val="22"/>
        </w:rPr>
        <w:t>email</w:t>
      </w:r>
      <w:r w:rsidR="003D48B1">
        <w:rPr>
          <w:szCs w:val="22"/>
        </w:rPr>
        <w:t xml:space="preserve"> and will be required to enter a </w:t>
      </w:r>
      <w:r w:rsidR="007B7118">
        <w:rPr>
          <w:szCs w:val="22"/>
        </w:rPr>
        <w:t xml:space="preserve">unique </w:t>
      </w:r>
      <w:r w:rsidR="003D48B1">
        <w:rPr>
          <w:szCs w:val="22"/>
        </w:rPr>
        <w:t>user ID and password</w:t>
      </w:r>
      <w:r w:rsidR="003A49EA">
        <w:rPr>
          <w:szCs w:val="22"/>
        </w:rPr>
        <w:t xml:space="preserve">. </w:t>
      </w:r>
      <w:r w:rsidR="00D86E24" w:rsidRPr="00D86E24">
        <w:rPr>
          <w:szCs w:val="22"/>
        </w:rPr>
        <w:t xml:space="preserve">Survey participants will first see a screen that provides a brief overview of the study, informs participants about confidentiality and privacy, </w:t>
      </w:r>
      <w:r w:rsidR="001728A8">
        <w:rPr>
          <w:szCs w:val="22"/>
        </w:rPr>
        <w:t>requests</w:t>
      </w:r>
      <w:r w:rsidR="001728A8" w:rsidRPr="00D86E24">
        <w:rPr>
          <w:szCs w:val="22"/>
        </w:rPr>
        <w:t xml:space="preserve"> their voluntary participation</w:t>
      </w:r>
      <w:r w:rsidR="001728A8">
        <w:rPr>
          <w:szCs w:val="22"/>
        </w:rPr>
        <w:t>,</w:t>
      </w:r>
      <w:r w:rsidR="001728A8" w:rsidRPr="00D86E24">
        <w:rPr>
          <w:szCs w:val="22"/>
        </w:rPr>
        <w:t xml:space="preserve"> </w:t>
      </w:r>
      <w:r w:rsidR="001728A8">
        <w:rPr>
          <w:szCs w:val="22"/>
        </w:rPr>
        <w:t xml:space="preserve">and </w:t>
      </w:r>
      <w:r w:rsidR="00D86E24" w:rsidRPr="00D86E24">
        <w:rPr>
          <w:szCs w:val="22"/>
        </w:rPr>
        <w:t xml:space="preserve">provides a </w:t>
      </w:r>
      <w:r w:rsidR="001728A8">
        <w:rPr>
          <w:szCs w:val="22"/>
        </w:rPr>
        <w:t xml:space="preserve">frequently asked questions link, </w:t>
      </w:r>
      <w:r w:rsidR="00D86E24" w:rsidRPr="00D86E24">
        <w:rPr>
          <w:szCs w:val="22"/>
        </w:rPr>
        <w:t>a toll-free telephone number</w:t>
      </w:r>
      <w:r w:rsidR="001728A8">
        <w:rPr>
          <w:szCs w:val="22"/>
        </w:rPr>
        <w:t>,</w:t>
      </w:r>
      <w:r w:rsidR="00D86E24" w:rsidRPr="00D86E24">
        <w:rPr>
          <w:szCs w:val="22"/>
        </w:rPr>
        <w:t xml:space="preserve"> and email address if participants have any questions about the survey</w:t>
      </w:r>
      <w:r w:rsidR="003A49EA">
        <w:rPr>
          <w:szCs w:val="22"/>
        </w:rPr>
        <w:t xml:space="preserve">. </w:t>
      </w:r>
      <w:r w:rsidR="00D86E24" w:rsidRPr="00D86E24">
        <w:rPr>
          <w:szCs w:val="22"/>
        </w:rPr>
        <w:t xml:space="preserve">By clicking </w:t>
      </w:r>
      <w:r w:rsidR="001728A8">
        <w:rPr>
          <w:szCs w:val="22"/>
        </w:rPr>
        <w:t>a button</w:t>
      </w:r>
      <w:r w:rsidR="00D86E24" w:rsidRPr="00D86E24">
        <w:rPr>
          <w:szCs w:val="22"/>
        </w:rPr>
        <w:t xml:space="preserve"> at the bottom of the consent screen, the survey participant is providing their voluntary consent to participate in the survey. </w:t>
      </w:r>
    </w:p>
    <w:p w:rsidR="000E48A3" w:rsidRDefault="000E48A3" w:rsidP="000E48A3">
      <w:pPr>
        <w:pStyle w:val="BodyText"/>
        <w:spacing w:after="0" w:line="240" w:lineRule="auto"/>
        <w:rPr>
          <w:szCs w:val="22"/>
        </w:rPr>
      </w:pPr>
    </w:p>
    <w:p w:rsidR="00D86E24" w:rsidRDefault="00D86E24" w:rsidP="000E48A3">
      <w:pPr>
        <w:pStyle w:val="BodyText"/>
        <w:spacing w:after="0" w:line="240" w:lineRule="auto"/>
        <w:jc w:val="both"/>
      </w:pPr>
      <w:r w:rsidRPr="00CA4379">
        <w:t xml:space="preserve">The data collection plan </w:t>
      </w:r>
      <w:r w:rsidR="002D1F45">
        <w:t>and instrument ha</w:t>
      </w:r>
      <w:r w:rsidR="00521FFD">
        <w:t>s</w:t>
      </w:r>
      <w:r w:rsidRPr="00CA4379">
        <w:t xml:space="preserve"> been reviewed and approved by the Institutional Review Board of CNCS's contractor</w:t>
      </w:r>
      <w:r w:rsidR="001728A8">
        <w:t>, NORC at the University of Chicago</w:t>
      </w:r>
      <w:r w:rsidR="00A54EE9">
        <w:t xml:space="preserve">. </w:t>
      </w:r>
      <w:r w:rsidRPr="00CA4379">
        <w:t xml:space="preserve">Data collection procedures will incorporate numerous safeguards for the data. While collecting data, information that could identify a particular sample member </w:t>
      </w:r>
      <w:r w:rsidR="004D33E8">
        <w:t>will</w:t>
      </w:r>
      <w:r w:rsidRPr="00CA4379">
        <w:t xml:space="preserve"> be stored in a separate file from survey data collected from that person. Each sample member will be assigned a unique identifier, and this identifier will be used to store identifying information (such as name, address, etc.) in a separate database from the survey response data.</w:t>
      </w:r>
    </w:p>
    <w:p w:rsidR="000E48A3" w:rsidRPr="00D86E24" w:rsidRDefault="000E48A3" w:rsidP="000E48A3">
      <w:pPr>
        <w:pStyle w:val="BodyText"/>
        <w:spacing w:after="0" w:line="240" w:lineRule="auto"/>
        <w:jc w:val="both"/>
      </w:pPr>
    </w:p>
    <w:p w:rsidR="00D33DF5" w:rsidRDefault="00450C6A" w:rsidP="000E48A3">
      <w:pPr>
        <w:pStyle w:val="BodyText"/>
        <w:spacing w:after="0" w:line="240" w:lineRule="auto"/>
        <w:jc w:val="both"/>
      </w:pPr>
      <w:r w:rsidRPr="00450C6A">
        <w:rPr>
          <w:szCs w:val="22"/>
        </w:rPr>
        <w:t>While t</w:t>
      </w:r>
      <w:r w:rsidR="00A54EE9" w:rsidRPr="00450C6A">
        <w:rPr>
          <w:szCs w:val="22"/>
        </w:rPr>
        <w:t xml:space="preserve">he contractor </w:t>
      </w:r>
      <w:r w:rsidR="00967395" w:rsidRPr="00450C6A">
        <w:rPr>
          <w:szCs w:val="22"/>
        </w:rPr>
        <w:t xml:space="preserve">will </w:t>
      </w:r>
      <w:r w:rsidRPr="00450C6A">
        <w:rPr>
          <w:szCs w:val="22"/>
        </w:rPr>
        <w:t xml:space="preserve">not collect </w:t>
      </w:r>
      <w:r>
        <w:rPr>
          <w:szCs w:val="22"/>
        </w:rPr>
        <w:t xml:space="preserve">any new </w:t>
      </w:r>
      <w:r w:rsidRPr="00450C6A">
        <w:rPr>
          <w:szCs w:val="22"/>
        </w:rPr>
        <w:t xml:space="preserve">identifiable information </w:t>
      </w:r>
      <w:r>
        <w:rPr>
          <w:szCs w:val="22"/>
        </w:rPr>
        <w:t>a</w:t>
      </w:r>
      <w:r w:rsidRPr="00450C6A">
        <w:rPr>
          <w:szCs w:val="22"/>
        </w:rPr>
        <w:t>s part of th</w:t>
      </w:r>
      <w:r w:rsidR="000806B9">
        <w:rPr>
          <w:szCs w:val="22"/>
        </w:rPr>
        <w:t>is</w:t>
      </w:r>
      <w:r w:rsidRPr="00450C6A">
        <w:rPr>
          <w:szCs w:val="22"/>
        </w:rPr>
        <w:t xml:space="preserve"> </w:t>
      </w:r>
      <w:r w:rsidR="00967395" w:rsidRPr="00450C6A">
        <w:rPr>
          <w:szCs w:val="22"/>
        </w:rPr>
        <w:t>member survey</w:t>
      </w:r>
      <w:r w:rsidRPr="00450C6A">
        <w:rPr>
          <w:szCs w:val="22"/>
        </w:rPr>
        <w:t xml:space="preserve">, information </w:t>
      </w:r>
      <w:r>
        <w:rPr>
          <w:szCs w:val="22"/>
        </w:rPr>
        <w:t>including phone numbers and email addresses were</w:t>
      </w:r>
      <w:r w:rsidRPr="00450C6A">
        <w:rPr>
          <w:szCs w:val="22"/>
        </w:rPr>
        <w:t xml:space="preserve"> collected during the baseline survey to</w:t>
      </w:r>
      <w:r>
        <w:rPr>
          <w:szCs w:val="22"/>
        </w:rPr>
        <w:t xml:space="preserve"> ensure reliable contact information for the future follow-up survey.</w:t>
      </w:r>
      <w:r w:rsidR="000806B9">
        <w:rPr>
          <w:szCs w:val="22"/>
        </w:rPr>
        <w:t xml:space="preserve"> </w:t>
      </w:r>
      <w:r w:rsidR="00967395" w:rsidRPr="00450C6A">
        <w:rPr>
          <w:szCs w:val="22"/>
        </w:rPr>
        <w:t>With regards to confidentiality, responses will be de-identified and will be identified by ID number only. The survey data will be tabulated and analyzed statistically with no individual names or responses every identified.</w:t>
      </w:r>
      <w:r w:rsidR="00521FFD" w:rsidRPr="00450C6A">
        <w:rPr>
          <w:szCs w:val="22"/>
        </w:rPr>
        <w:t xml:space="preserve"> </w:t>
      </w:r>
      <w:r w:rsidR="002569B7" w:rsidRPr="00450C6A">
        <w:rPr>
          <w:szCs w:val="22"/>
        </w:rPr>
        <w:t xml:space="preserve">Data will be </w:t>
      </w:r>
      <w:r w:rsidR="00967395" w:rsidRPr="00450C6A">
        <w:rPr>
          <w:szCs w:val="22"/>
        </w:rPr>
        <w:t>coded such that obvious identifiers will be substituted with a unique</w:t>
      </w:r>
      <w:r w:rsidR="002569B7" w:rsidRPr="00450C6A">
        <w:rPr>
          <w:szCs w:val="22"/>
        </w:rPr>
        <w:t xml:space="preserve"> identifying number. </w:t>
      </w:r>
      <w:r w:rsidR="00A54EE9" w:rsidRPr="00450C6A">
        <w:rPr>
          <w:szCs w:val="22"/>
        </w:rPr>
        <w:t xml:space="preserve">The contractor </w:t>
      </w:r>
      <w:r w:rsidR="002569B7" w:rsidRPr="00450C6A">
        <w:rPr>
          <w:szCs w:val="22"/>
        </w:rPr>
        <w:t>will</w:t>
      </w:r>
      <w:r w:rsidR="00832EE8">
        <w:rPr>
          <w:szCs w:val="22"/>
        </w:rPr>
        <w:t xml:space="preserve"> not</w:t>
      </w:r>
      <w:r w:rsidR="002569B7" w:rsidRPr="00450C6A">
        <w:rPr>
          <w:szCs w:val="22"/>
        </w:rPr>
        <w:t xml:space="preserve"> </w:t>
      </w:r>
      <w:r w:rsidR="00967395" w:rsidRPr="00450C6A">
        <w:rPr>
          <w:szCs w:val="22"/>
        </w:rPr>
        <w:t>retain a master list linking study codes and direct identifiers</w:t>
      </w:r>
      <w:r w:rsidR="00832EE8">
        <w:rPr>
          <w:szCs w:val="22"/>
        </w:rPr>
        <w:t xml:space="preserve"> and will destroy any such information upon completion of the project.</w:t>
      </w:r>
      <w:r w:rsidR="00967395" w:rsidRPr="00450C6A">
        <w:rPr>
          <w:szCs w:val="22"/>
        </w:rPr>
        <w:t xml:space="preserve"> </w:t>
      </w:r>
      <w:r w:rsidR="00967395" w:rsidRPr="00450C6A">
        <w:t>All systems used to store electronic survey data are secure by design and protected by passwords only available to authorized study staff</w:t>
      </w:r>
      <w:r w:rsidR="003A49EA" w:rsidRPr="00450C6A">
        <w:t>.</w:t>
      </w:r>
      <w:r w:rsidR="003A49EA">
        <w:t xml:space="preserve"> </w:t>
      </w:r>
    </w:p>
    <w:p w:rsidR="00D33DF5" w:rsidRDefault="00D33DF5" w:rsidP="000E48A3">
      <w:pPr>
        <w:pStyle w:val="BodyText"/>
        <w:spacing w:after="0" w:line="240" w:lineRule="auto"/>
        <w:jc w:val="both"/>
      </w:pPr>
    </w:p>
    <w:p w:rsidR="00967395" w:rsidRDefault="00967395" w:rsidP="000E48A3">
      <w:pPr>
        <w:pStyle w:val="BodyText"/>
        <w:spacing w:after="0" w:line="240" w:lineRule="auto"/>
        <w:jc w:val="both"/>
      </w:pPr>
      <w:r w:rsidRPr="00CA4379">
        <w:t xml:space="preserve">Special steps will be taken to ensure that data collected via the </w:t>
      </w:r>
      <w:r w:rsidR="000806B9">
        <w:t>w</w:t>
      </w:r>
      <w:r w:rsidRPr="00CA4379">
        <w:t>eb questionnaire are secure</w:t>
      </w:r>
      <w:r w:rsidR="003A49EA">
        <w:t xml:space="preserve">. </w:t>
      </w:r>
      <w:r w:rsidRPr="00CA4379">
        <w:t xml:space="preserve">First, access to the </w:t>
      </w:r>
      <w:r w:rsidR="000806B9">
        <w:t>w</w:t>
      </w:r>
      <w:r w:rsidRPr="00CA4379">
        <w:t xml:space="preserve">eb instrument is only allowed with a valid Personal Identification login user name and password. Second, data will be transmitted by the Secure Sockets Layer (SSL) protocol that uses powerful encryption during transmission through the Internet. If a respondent keeps a </w:t>
      </w:r>
      <w:r w:rsidR="000806B9">
        <w:t>w</w:t>
      </w:r>
      <w:r w:rsidRPr="00CA4379">
        <w:t xml:space="preserve">eb survey open without any activity, the </w:t>
      </w:r>
      <w:r w:rsidR="000806B9">
        <w:t>w</w:t>
      </w:r>
      <w:r w:rsidRPr="00CA4379">
        <w:t>eb server will close the survey after a short period of inactivity, thus preserving the data up to the break-off point and securely closing the connection. Both development and production servers are backed up nightly</w:t>
      </w:r>
      <w:r w:rsidR="003A49EA">
        <w:t xml:space="preserve">. </w:t>
      </w:r>
    </w:p>
    <w:p w:rsidR="000E48A3" w:rsidRPr="00CA4379" w:rsidRDefault="000E48A3" w:rsidP="000E48A3">
      <w:pPr>
        <w:pStyle w:val="BodyText"/>
        <w:spacing w:after="0" w:line="240" w:lineRule="auto"/>
        <w:jc w:val="both"/>
      </w:pPr>
    </w:p>
    <w:p w:rsidR="00D33DF5" w:rsidRDefault="00967395" w:rsidP="00D33DF5">
      <w:pPr>
        <w:pStyle w:val="BodyText"/>
        <w:spacing w:after="0" w:line="240" w:lineRule="auto"/>
        <w:jc w:val="both"/>
        <w:rPr>
          <w:szCs w:val="22"/>
        </w:rPr>
      </w:pPr>
      <w:r w:rsidRPr="00CA4379">
        <w:rPr>
          <w:szCs w:val="22"/>
        </w:rPr>
        <w:lastRenderedPageBreak/>
        <w:t xml:space="preserve">CNCS and </w:t>
      </w:r>
      <w:r w:rsidR="00E60D54">
        <w:rPr>
          <w:szCs w:val="22"/>
        </w:rPr>
        <w:t>its contractor</w:t>
      </w:r>
      <w:r w:rsidR="00E60D54" w:rsidRPr="00CA4379">
        <w:rPr>
          <w:szCs w:val="22"/>
        </w:rPr>
        <w:t xml:space="preserve"> </w:t>
      </w:r>
      <w:r w:rsidRPr="00D33DF5">
        <w:rPr>
          <w:szCs w:val="22"/>
        </w:rPr>
        <w:t xml:space="preserve">will publish aggregate statistics of the survey responses </w:t>
      </w:r>
      <w:r w:rsidR="00C3122A">
        <w:rPr>
          <w:szCs w:val="22"/>
        </w:rPr>
        <w:t xml:space="preserve">and add them to the findings from the current process assessment </w:t>
      </w:r>
      <w:r w:rsidRPr="00D33DF5">
        <w:rPr>
          <w:szCs w:val="22"/>
        </w:rPr>
        <w:t>report</w:t>
      </w:r>
      <w:r w:rsidR="00C3122A">
        <w:rPr>
          <w:szCs w:val="22"/>
        </w:rPr>
        <w:t xml:space="preserve"> produced in February 2013</w:t>
      </w:r>
      <w:r w:rsidR="00521FFD">
        <w:rPr>
          <w:szCs w:val="22"/>
        </w:rPr>
        <w:t xml:space="preserve">. </w:t>
      </w:r>
      <w:r w:rsidR="00CA4379" w:rsidRPr="00D33DF5">
        <w:t>Individual respondents will not be identified in any report, publication, or presentation of this study or its results</w:t>
      </w:r>
      <w:r w:rsidR="00D33DF5" w:rsidRPr="00D33DF5">
        <w:t xml:space="preserve">. </w:t>
      </w:r>
      <w:r w:rsidR="00D33DF5" w:rsidRPr="00D33DF5">
        <w:rPr>
          <w:szCs w:val="22"/>
        </w:rPr>
        <w:t>Upon completion of the project,</w:t>
      </w:r>
      <w:r w:rsidR="00832EE8">
        <w:rPr>
          <w:szCs w:val="22"/>
        </w:rPr>
        <w:t xml:space="preserve"> the contractor will destroy any files with identifiable information from the member survey</w:t>
      </w:r>
      <w:r w:rsidR="00B73CE5">
        <w:rPr>
          <w:szCs w:val="22"/>
        </w:rPr>
        <w:t xml:space="preserve">. </w:t>
      </w:r>
    </w:p>
    <w:p w:rsidR="003D01A0" w:rsidRDefault="003D01A0" w:rsidP="00D33DF5">
      <w:pPr>
        <w:pStyle w:val="BodyText"/>
        <w:spacing w:after="0" w:line="240" w:lineRule="auto"/>
        <w:jc w:val="both"/>
        <w:rPr>
          <w:szCs w:val="22"/>
        </w:rPr>
      </w:pPr>
    </w:p>
    <w:p w:rsidR="00BD608D" w:rsidRDefault="00C05AF5" w:rsidP="003927E2">
      <w:pPr>
        <w:pStyle w:val="BodyText"/>
        <w:spacing w:after="0" w:line="240" w:lineRule="auto"/>
        <w:rPr>
          <w:szCs w:val="22"/>
        </w:rPr>
      </w:pPr>
      <w:r w:rsidRPr="003927E2">
        <w:rPr>
          <w:szCs w:val="22"/>
        </w:rPr>
        <w:t>For the impact evaluation,</w:t>
      </w:r>
      <w:r w:rsidR="00FA460F">
        <w:rPr>
          <w:szCs w:val="22"/>
        </w:rPr>
        <w:t xml:space="preserve"> the contractor’s</w:t>
      </w:r>
      <w:r w:rsidRPr="003927E2">
        <w:rPr>
          <w:szCs w:val="22"/>
        </w:rPr>
        <w:t xml:space="preserve"> field staff will collect IGDI data directly from </w:t>
      </w:r>
      <w:proofErr w:type="spellStart"/>
      <w:r w:rsidRPr="003927E2">
        <w:rPr>
          <w:szCs w:val="22"/>
        </w:rPr>
        <w:t>PreK</w:t>
      </w:r>
      <w:proofErr w:type="spellEnd"/>
      <w:r w:rsidRPr="003927E2">
        <w:rPr>
          <w:szCs w:val="22"/>
        </w:rPr>
        <w:t xml:space="preserve"> students at comparison preschool sites. As such, it will be necessary to obtain students’ names during data collection. To ensure confidentiality, each participating student </w:t>
      </w:r>
      <w:r w:rsidR="00FA460F">
        <w:rPr>
          <w:szCs w:val="22"/>
        </w:rPr>
        <w:t xml:space="preserve">will be assigned </w:t>
      </w:r>
      <w:r w:rsidRPr="003927E2">
        <w:rPr>
          <w:szCs w:val="22"/>
        </w:rPr>
        <w:t xml:space="preserve">a unique identification number. All assessment forms will display only this unique identifying number, which will allow evaluators to track student progress over the course of the 2013-2014 school </w:t>
      </w:r>
      <w:proofErr w:type="gramStart"/>
      <w:r w:rsidRPr="003927E2">
        <w:rPr>
          <w:szCs w:val="22"/>
        </w:rPr>
        <w:t>year</w:t>
      </w:r>
      <w:proofErr w:type="gramEnd"/>
      <w:r w:rsidRPr="003927E2">
        <w:rPr>
          <w:szCs w:val="22"/>
        </w:rPr>
        <w:t xml:space="preserve">. </w:t>
      </w:r>
    </w:p>
    <w:p w:rsidR="00BD608D" w:rsidRDefault="00BD608D" w:rsidP="003927E2">
      <w:pPr>
        <w:pStyle w:val="BodyText"/>
        <w:spacing w:after="0" w:line="240" w:lineRule="auto"/>
        <w:rPr>
          <w:szCs w:val="22"/>
        </w:rPr>
      </w:pPr>
    </w:p>
    <w:p w:rsidR="003D01A0" w:rsidRDefault="00C05AF5" w:rsidP="003927E2">
      <w:pPr>
        <w:pStyle w:val="BodyText"/>
        <w:spacing w:after="0" w:line="240" w:lineRule="auto"/>
        <w:rPr>
          <w:szCs w:val="22"/>
        </w:rPr>
      </w:pPr>
      <w:r w:rsidRPr="003927E2">
        <w:rPr>
          <w:szCs w:val="22"/>
        </w:rPr>
        <w:t xml:space="preserve">To further ensure confidentiality and other human research protections, the NORC Internal Review Board </w:t>
      </w:r>
      <w:r w:rsidR="00BD608D" w:rsidRPr="00BD608D">
        <w:rPr>
          <w:szCs w:val="22"/>
        </w:rPr>
        <w:t>will require the evaluators to</w:t>
      </w:r>
      <w:r w:rsidR="00BD608D">
        <w:rPr>
          <w:szCs w:val="22"/>
        </w:rPr>
        <w:t xml:space="preserve"> notify students’ parents about their child’s potential</w:t>
      </w:r>
      <w:r w:rsidRPr="003927E2">
        <w:rPr>
          <w:szCs w:val="22"/>
        </w:rPr>
        <w:t xml:space="preserve"> participation in the evaluation</w:t>
      </w:r>
      <w:r w:rsidR="00D64CE8" w:rsidRPr="003927E2">
        <w:rPr>
          <w:szCs w:val="22"/>
        </w:rPr>
        <w:t>.</w:t>
      </w:r>
      <w:r w:rsidR="00BD608D">
        <w:rPr>
          <w:szCs w:val="22"/>
        </w:rPr>
        <w:t xml:space="preserve"> </w:t>
      </w:r>
      <w:r w:rsidR="00BD608D">
        <w:rPr>
          <w:bCs/>
          <w:szCs w:val="22"/>
        </w:rPr>
        <w:t>Parents who do not want their children participating in the evaluation will contact the evaluation team via email, phone, or writing and their children not be assessed during the evaluation.</w:t>
      </w:r>
    </w:p>
    <w:p w:rsidR="00BD608D" w:rsidRDefault="00BD608D" w:rsidP="00D33DF5">
      <w:pPr>
        <w:pStyle w:val="BodyText"/>
        <w:spacing w:after="0" w:line="240" w:lineRule="auto"/>
        <w:jc w:val="both"/>
        <w:rPr>
          <w:szCs w:val="22"/>
        </w:rPr>
      </w:pPr>
    </w:p>
    <w:p w:rsidR="00D64CE8" w:rsidRPr="00BD608D" w:rsidRDefault="00D64CE8" w:rsidP="00D64CE8">
      <w:pPr>
        <w:pStyle w:val="BodyText"/>
        <w:spacing w:after="0" w:line="240" w:lineRule="auto"/>
        <w:jc w:val="both"/>
        <w:rPr>
          <w:szCs w:val="22"/>
        </w:rPr>
      </w:pPr>
      <w:r>
        <w:rPr>
          <w:szCs w:val="22"/>
        </w:rPr>
        <w:t xml:space="preserve">IGDI assessment </w:t>
      </w:r>
      <w:r w:rsidRPr="00450C6A">
        <w:rPr>
          <w:szCs w:val="22"/>
        </w:rPr>
        <w:t xml:space="preserve">data will be tabulated and analyzed statistically with no individual names or responses identified. Data will be coded such that obvious identifiers will be substituted with a unique identifying number. </w:t>
      </w:r>
      <w:r w:rsidR="00886DFE">
        <w:rPr>
          <w:szCs w:val="22"/>
        </w:rPr>
        <w:t>Researchers</w:t>
      </w:r>
      <w:r w:rsidRPr="00450C6A">
        <w:rPr>
          <w:szCs w:val="22"/>
        </w:rPr>
        <w:t xml:space="preserve"> will</w:t>
      </w:r>
      <w:r>
        <w:rPr>
          <w:szCs w:val="22"/>
        </w:rPr>
        <w:t xml:space="preserve"> not</w:t>
      </w:r>
      <w:r w:rsidRPr="00450C6A">
        <w:rPr>
          <w:szCs w:val="22"/>
        </w:rPr>
        <w:t xml:space="preserve"> retain a master list linking study codes and direct identifiers</w:t>
      </w:r>
      <w:r>
        <w:rPr>
          <w:szCs w:val="22"/>
        </w:rPr>
        <w:t xml:space="preserve"> and will destroy any such information upon completion of the project.</w:t>
      </w:r>
      <w:r w:rsidRPr="00450C6A">
        <w:rPr>
          <w:szCs w:val="22"/>
        </w:rPr>
        <w:t xml:space="preserve"> </w:t>
      </w:r>
      <w:r w:rsidRPr="00D64CE8">
        <w:rPr>
          <w:szCs w:val="22"/>
        </w:rPr>
        <w:t>All systems used to store electronic assessment data are secure by design and protected by passwords only available to authorized study staff</w:t>
      </w:r>
      <w:r w:rsidRPr="00BD608D">
        <w:rPr>
          <w:szCs w:val="22"/>
        </w:rPr>
        <w:t xml:space="preserve">. </w:t>
      </w:r>
    </w:p>
    <w:p w:rsidR="00D64CE8" w:rsidRPr="00F82D2A" w:rsidRDefault="00D64CE8" w:rsidP="00D64CE8">
      <w:pPr>
        <w:pStyle w:val="BodyText"/>
        <w:spacing w:after="0" w:line="240" w:lineRule="auto"/>
        <w:jc w:val="both"/>
        <w:rPr>
          <w:szCs w:val="22"/>
        </w:rPr>
      </w:pPr>
    </w:p>
    <w:p w:rsidR="00D64CE8" w:rsidRPr="00D64CE8" w:rsidRDefault="00D64CE8" w:rsidP="00D64CE8">
      <w:pPr>
        <w:pStyle w:val="BodyText"/>
        <w:spacing w:after="0" w:line="240" w:lineRule="auto"/>
        <w:jc w:val="both"/>
        <w:rPr>
          <w:szCs w:val="22"/>
        </w:rPr>
      </w:pPr>
      <w:r w:rsidRPr="000D2249">
        <w:rPr>
          <w:szCs w:val="22"/>
        </w:rPr>
        <w:t xml:space="preserve">Special steps will be taken to ensure that data entered via the CADE are secure. First, access to the CADE is only allowed with a valid Personal Identification login user name and password. Second, data will be transmitted by the Secure Sockets Layer (SSL) protocol that uses powerful encryption during transmission through the Internet. If a data enterer keeps a web survey open without any activity, the web server will </w:t>
      </w:r>
      <w:r w:rsidR="003C6AD2">
        <w:rPr>
          <w:szCs w:val="22"/>
        </w:rPr>
        <w:t>terminate the session</w:t>
      </w:r>
      <w:r w:rsidRPr="000D2249">
        <w:rPr>
          <w:szCs w:val="22"/>
        </w:rPr>
        <w:t xml:space="preserve"> after a short period of inactivity, thus preserving the data up to the break-off point and securely closing the connection. Both development and production servers are backed up nightly.</w:t>
      </w:r>
      <w:r w:rsidRPr="003927E2">
        <w:rPr>
          <w:szCs w:val="22"/>
        </w:rPr>
        <w:t xml:space="preserve"> </w:t>
      </w:r>
    </w:p>
    <w:p w:rsidR="00D64CE8" w:rsidRPr="00D33DF5" w:rsidRDefault="00D64CE8" w:rsidP="00D33DF5">
      <w:pPr>
        <w:pStyle w:val="BodyText"/>
        <w:spacing w:after="0" w:line="240" w:lineRule="auto"/>
        <w:jc w:val="both"/>
        <w:rPr>
          <w:szCs w:val="22"/>
        </w:rPr>
      </w:pPr>
    </w:p>
    <w:p w:rsidR="000E48A3" w:rsidRDefault="000E48A3" w:rsidP="000E48A3">
      <w:pPr>
        <w:pStyle w:val="BodyText"/>
        <w:spacing w:after="0" w:line="240" w:lineRule="auto"/>
        <w:jc w:val="both"/>
        <w:rPr>
          <w:szCs w:val="22"/>
        </w:rPr>
      </w:pPr>
    </w:p>
    <w:p w:rsidR="00BF46A7" w:rsidRPr="00C076CD" w:rsidRDefault="00BF46A7" w:rsidP="000E48A3">
      <w:pPr>
        <w:pStyle w:val="Heading2"/>
        <w:spacing w:before="0" w:after="0"/>
      </w:pPr>
      <w:bookmarkStart w:id="23" w:name="_Toc267041915"/>
      <w:bookmarkStart w:id="24" w:name="_Toc352603614"/>
      <w:r>
        <w:t>A.11.</w:t>
      </w:r>
      <w:r>
        <w:tab/>
      </w:r>
      <w:bookmarkEnd w:id="23"/>
      <w:r w:rsidRPr="00D65922">
        <w:t>Justification for Sensitive Questions</w:t>
      </w:r>
      <w:bookmarkEnd w:id="24"/>
    </w:p>
    <w:p w:rsidR="00D64CE8" w:rsidRDefault="00C35EEB" w:rsidP="000155A7">
      <w:pPr>
        <w:pStyle w:val="BodyText"/>
        <w:spacing w:after="0" w:line="240" w:lineRule="auto"/>
      </w:pPr>
      <w:r w:rsidRPr="00C076CD">
        <w:t xml:space="preserve">No questions of </w:t>
      </w:r>
      <w:r>
        <w:t>a sensitive nature are asked during the member survey</w:t>
      </w:r>
      <w:r w:rsidR="00886DFE">
        <w:t xml:space="preserve"> or during the IGDI assessment administration to preschool students</w:t>
      </w:r>
      <w:r w:rsidRPr="00C076CD">
        <w:t xml:space="preserve">. </w:t>
      </w:r>
      <w:r w:rsidR="00D64CE8" w:rsidRPr="00C076CD">
        <w:t xml:space="preserve">. </w:t>
      </w:r>
    </w:p>
    <w:p w:rsidR="006F2039" w:rsidRDefault="006F2039" w:rsidP="000E48A3">
      <w:pPr>
        <w:pStyle w:val="BodyText"/>
        <w:spacing w:after="0" w:line="240" w:lineRule="auto"/>
      </w:pPr>
    </w:p>
    <w:p w:rsidR="006F2039" w:rsidRPr="00C076CD" w:rsidRDefault="006F2039" w:rsidP="006F2039">
      <w:pPr>
        <w:pStyle w:val="Heading2"/>
        <w:spacing w:before="0" w:after="0"/>
      </w:pPr>
      <w:bookmarkStart w:id="25" w:name="_Toc352603615"/>
      <w:r>
        <w:t>A.12.</w:t>
      </w:r>
      <w:r>
        <w:tab/>
      </w:r>
      <w:r w:rsidRPr="00C076CD">
        <w:t>Estimates of Annualized Hour Burden</w:t>
      </w:r>
      <w:r>
        <w:t xml:space="preserve"> </w:t>
      </w:r>
      <w:r w:rsidRPr="00D65922">
        <w:t>and Costs</w:t>
      </w:r>
      <w:bookmarkEnd w:id="25"/>
    </w:p>
    <w:p w:rsidR="006F2039" w:rsidRPr="002575E0" w:rsidRDefault="006F2039" w:rsidP="006F2039">
      <w:pPr>
        <w:pStyle w:val="BodyText"/>
        <w:spacing w:after="0" w:line="240" w:lineRule="auto"/>
        <w:rPr>
          <w:color w:val="FF0000"/>
        </w:rPr>
      </w:pPr>
      <w:r w:rsidRPr="001558E9">
        <w:t>CNCS estimates that they will contact approximately</w:t>
      </w:r>
      <w:r w:rsidR="003D01A0" w:rsidRPr="001558E9">
        <w:t xml:space="preserve"> </w:t>
      </w:r>
      <w:r w:rsidR="00F25F91" w:rsidRPr="001558E9">
        <w:t>1,031</w:t>
      </w:r>
      <w:r w:rsidRPr="001558E9">
        <w:t xml:space="preserve"> AmeriCorps </w:t>
      </w:r>
      <w:r w:rsidR="003D01A0" w:rsidRPr="001558E9">
        <w:t>members who serve</w:t>
      </w:r>
      <w:r w:rsidR="000806B9" w:rsidRPr="001558E9">
        <w:t>d</w:t>
      </w:r>
      <w:r w:rsidR="003D01A0" w:rsidRPr="001558E9">
        <w:t xml:space="preserve"> in the </w:t>
      </w:r>
      <w:r w:rsidR="000806B9" w:rsidRPr="001558E9">
        <w:t xml:space="preserve">2012-2013 </w:t>
      </w:r>
      <w:r w:rsidR="003D01A0" w:rsidRPr="001558E9">
        <w:t xml:space="preserve">MRC </w:t>
      </w:r>
      <w:proofErr w:type="gramStart"/>
      <w:r w:rsidRPr="001558E9">
        <w:t>program</w:t>
      </w:r>
      <w:proofErr w:type="gramEnd"/>
      <w:r w:rsidRPr="001558E9">
        <w:t xml:space="preserve"> to complete the web-based member survey</w:t>
      </w:r>
      <w:r w:rsidR="00751986">
        <w:t>.</w:t>
      </w:r>
      <w:r w:rsidR="00DA2E51">
        <w:t xml:space="preserve"> </w:t>
      </w:r>
      <w:r w:rsidR="00C434DB" w:rsidRPr="001558E9">
        <w:t xml:space="preserve"> </w:t>
      </w:r>
      <w:r w:rsidR="00751986">
        <w:t xml:space="preserve">The baseline survey achieved a 68 percent response rate; therefore, we predict that a similar percentage will respond to the follow-up survey. </w:t>
      </w:r>
      <w:r w:rsidR="00ED4ACB">
        <w:t>However, a</w:t>
      </w:r>
      <w:r w:rsidR="00751986">
        <w:t xml:space="preserve"> number of </w:t>
      </w:r>
      <w:r w:rsidR="00ED4ACB">
        <w:t xml:space="preserve">new </w:t>
      </w:r>
      <w:r w:rsidR="00751986">
        <w:t xml:space="preserve">measures will be employed </w:t>
      </w:r>
      <w:r w:rsidR="00ED4ACB">
        <w:t xml:space="preserve">with the follow-up survey </w:t>
      </w:r>
      <w:r w:rsidR="00751986">
        <w:t>in an effort to attain an 80 percent</w:t>
      </w:r>
      <w:r w:rsidR="00ED4ACB">
        <w:t xml:space="preserve"> response rate</w:t>
      </w:r>
      <w:r w:rsidR="00751986">
        <w:t xml:space="preserve">. </w:t>
      </w:r>
      <w:r w:rsidR="00DA2E51">
        <w:t xml:space="preserve">The approach to </w:t>
      </w:r>
      <w:r w:rsidR="001558E9">
        <w:t xml:space="preserve">the follow-up survey will </w:t>
      </w:r>
      <w:r w:rsidR="00742567">
        <w:t>differ from the baseline</w:t>
      </w:r>
      <w:r w:rsidR="00751986">
        <w:t>, which relied p</w:t>
      </w:r>
      <w:r w:rsidR="00ED4ACB">
        <w:t>rimarily on email communication</w:t>
      </w:r>
      <w:r w:rsidR="00742567">
        <w:t xml:space="preserve"> and will </w:t>
      </w:r>
      <w:r w:rsidR="00DA2E51">
        <w:t>include the following elements:</w:t>
      </w:r>
      <w:r w:rsidR="001558E9">
        <w:t xml:space="preserve"> </w:t>
      </w:r>
      <w:r w:rsidR="00DA2E51">
        <w:t xml:space="preserve">a) </w:t>
      </w:r>
      <w:r w:rsidR="001558E9">
        <w:t>a personalized advance letter on CNCS letterhead sent by Federal Express</w:t>
      </w:r>
      <w:r w:rsidR="00DA2E51">
        <w:t>;</w:t>
      </w:r>
      <w:r w:rsidR="001558E9">
        <w:t xml:space="preserve"> </w:t>
      </w:r>
      <w:r w:rsidR="00DA2E51">
        <w:t xml:space="preserve">b) </w:t>
      </w:r>
      <w:r w:rsidR="00751986">
        <w:t xml:space="preserve">a </w:t>
      </w:r>
      <w:r w:rsidR="00DA2E51">
        <w:t>r</w:t>
      </w:r>
      <w:r w:rsidR="001558E9">
        <w:t xml:space="preserve">eminder </w:t>
      </w:r>
      <w:r w:rsidR="00DA2E51">
        <w:t>in</w:t>
      </w:r>
      <w:r w:rsidR="001558E9">
        <w:t xml:space="preserve"> the form of a hard copy letter</w:t>
      </w:r>
      <w:r w:rsidR="00DA2E51">
        <w:t xml:space="preserve"> </w:t>
      </w:r>
      <w:r w:rsidR="00751986">
        <w:t>on CNCS</w:t>
      </w:r>
      <w:r w:rsidR="00ED4ACB">
        <w:t>/MRC</w:t>
      </w:r>
      <w:r w:rsidR="00751986">
        <w:t xml:space="preserve"> letterhead, c) additional email reminders</w:t>
      </w:r>
      <w:r w:rsidR="00DA2E51">
        <w:t>;</w:t>
      </w:r>
      <w:r w:rsidR="001558E9">
        <w:t xml:space="preserve"> and </w:t>
      </w:r>
      <w:r w:rsidR="00751986">
        <w:t>lastly, d</w:t>
      </w:r>
      <w:r w:rsidR="00DA2E51">
        <w:t>)</w:t>
      </w:r>
      <w:r w:rsidR="001558E9">
        <w:t xml:space="preserve"> telephone prompting.  Moreover, t</w:t>
      </w:r>
      <w:r w:rsidRPr="001558E9">
        <w:t xml:space="preserve">he survey takes a short amount of time to complete (20 minutes), respondents are well-immersed in the use of email and the Web, and there is a high-level of enthusiasm </w:t>
      </w:r>
      <w:r w:rsidR="00554F74" w:rsidRPr="001558E9">
        <w:t xml:space="preserve">among </w:t>
      </w:r>
      <w:r w:rsidRPr="001558E9">
        <w:t xml:space="preserve">MRC </w:t>
      </w:r>
      <w:r w:rsidR="003D01A0" w:rsidRPr="001558E9">
        <w:t>members</w:t>
      </w:r>
      <w:r w:rsidRPr="001558E9">
        <w:t xml:space="preserve">. </w:t>
      </w:r>
      <w:r w:rsidR="001558E9">
        <w:t>While w</w:t>
      </w:r>
      <w:r w:rsidR="00863F5F" w:rsidRPr="001558E9">
        <w:t>e will make efforts to achieve an 80</w:t>
      </w:r>
      <w:r w:rsidR="00482EAD" w:rsidRPr="001558E9">
        <w:t xml:space="preserve"> percent</w:t>
      </w:r>
      <w:r w:rsidR="00863F5F" w:rsidRPr="001558E9">
        <w:t xml:space="preserve"> response rate</w:t>
      </w:r>
      <w:r w:rsidR="001558E9">
        <w:t xml:space="preserve">, </w:t>
      </w:r>
      <w:r w:rsidR="00863F5F" w:rsidRPr="001558E9">
        <w:t>i</w:t>
      </w:r>
      <w:r w:rsidRPr="001558E9">
        <w:t xml:space="preserve">f a lower </w:t>
      </w:r>
      <w:r w:rsidR="00BB3C67" w:rsidRPr="001558E9">
        <w:t>response rate results, the contractor</w:t>
      </w:r>
      <w:r w:rsidRPr="001558E9">
        <w:t xml:space="preserve"> will conduct non-response bias tests to determine if any bias resulted from the lower response rate. If these tests provide evidence of bias, </w:t>
      </w:r>
      <w:r w:rsidR="00CC25C5" w:rsidRPr="001558E9">
        <w:t xml:space="preserve">statistical </w:t>
      </w:r>
      <w:r w:rsidRPr="001558E9">
        <w:t xml:space="preserve">adjustments </w:t>
      </w:r>
      <w:r w:rsidR="00BB3C67" w:rsidRPr="001558E9">
        <w:t>will be made to the</w:t>
      </w:r>
      <w:r w:rsidRPr="001558E9">
        <w:t xml:space="preserve"> results with the use of weight adjustments and/or response imputation.</w:t>
      </w:r>
    </w:p>
    <w:p w:rsidR="00F5276A" w:rsidRPr="00D373A5" w:rsidRDefault="00F5276A" w:rsidP="006F2039">
      <w:pPr>
        <w:pStyle w:val="BodyText"/>
        <w:spacing w:after="0" w:line="240" w:lineRule="auto"/>
        <w:rPr>
          <w:color w:val="FF0000"/>
        </w:rPr>
      </w:pPr>
    </w:p>
    <w:p w:rsidR="006F2039" w:rsidRPr="00C35EEB" w:rsidRDefault="006F2039" w:rsidP="006F2039">
      <w:pPr>
        <w:pStyle w:val="BodyText"/>
        <w:spacing w:after="0" w:line="240" w:lineRule="auto"/>
      </w:pPr>
      <w:r w:rsidRPr="00FC638B">
        <w:t xml:space="preserve">Exhibit </w:t>
      </w:r>
      <w:r w:rsidR="00AC1B9C">
        <w:t>2</w:t>
      </w:r>
      <w:r w:rsidRPr="00FC638B">
        <w:t xml:space="preserve"> presents estimates of the reporting burden for </w:t>
      </w:r>
      <w:r>
        <w:t xml:space="preserve">survey </w:t>
      </w:r>
      <w:r w:rsidRPr="00FC638B">
        <w:t>respondents</w:t>
      </w:r>
      <w:r w:rsidRPr="000806B9">
        <w:t xml:space="preserve">. The average burden per response is approximately </w:t>
      </w:r>
      <w:r w:rsidR="00886DFE">
        <w:t>20</w:t>
      </w:r>
      <w:r w:rsidR="00886DFE" w:rsidRPr="000806B9">
        <w:t xml:space="preserve"> </w:t>
      </w:r>
      <w:r w:rsidRPr="000806B9">
        <w:t>minutes. The total cost to all respondents for the burden is estimated to be $0 because these interviews will be conducted during professional hours as part of respondents’ usual job requirements.</w:t>
      </w:r>
    </w:p>
    <w:p w:rsidR="00C35EEB" w:rsidRDefault="00C35EEB" w:rsidP="000E48A3">
      <w:pPr>
        <w:pStyle w:val="BodyText"/>
        <w:spacing w:after="0" w:line="240" w:lineRule="auto"/>
      </w:pPr>
    </w:p>
    <w:p w:rsidR="00F5276A" w:rsidRPr="000155A7" w:rsidRDefault="00F5276A" w:rsidP="00F5276A">
      <w:pPr>
        <w:pStyle w:val="BodyText"/>
        <w:spacing w:after="0" w:line="240" w:lineRule="auto"/>
      </w:pPr>
      <w:r w:rsidRPr="000155A7">
        <w:t>For t</w:t>
      </w:r>
      <w:r w:rsidR="000155A7" w:rsidRPr="000155A7">
        <w:t xml:space="preserve">he </w:t>
      </w:r>
      <w:proofErr w:type="spellStart"/>
      <w:r w:rsidR="000155A7" w:rsidRPr="000155A7">
        <w:t>PreK</w:t>
      </w:r>
      <w:proofErr w:type="spellEnd"/>
      <w:r w:rsidR="000155A7" w:rsidRPr="000155A7">
        <w:t xml:space="preserve"> impact evaluation, the contractor </w:t>
      </w:r>
      <w:r w:rsidRPr="000155A7">
        <w:t>will coll</w:t>
      </w:r>
      <w:r w:rsidR="000155A7" w:rsidRPr="000155A7">
        <w:t xml:space="preserve">ect IGDI assessment data on </w:t>
      </w:r>
      <w:r w:rsidR="00482EAD">
        <w:t xml:space="preserve">up to </w:t>
      </w:r>
      <w:r w:rsidR="000155A7" w:rsidRPr="000155A7">
        <w:t>1,44</w:t>
      </w:r>
      <w:r w:rsidRPr="000155A7">
        <w:t>0 students from 40 preschools three times a year (fall, winter, spring).</w:t>
      </w:r>
      <w:r w:rsidR="000155A7">
        <w:t xml:space="preserve"> A</w:t>
      </w:r>
      <w:r w:rsidRPr="000155A7">
        <w:t xml:space="preserve"> 10 percent attrition rate </w:t>
      </w:r>
      <w:r w:rsidR="000155A7">
        <w:t xml:space="preserve">is expected </w:t>
      </w:r>
      <w:r w:rsidRPr="000155A7">
        <w:t xml:space="preserve">due primarily to families moving to new locations. </w:t>
      </w:r>
      <w:r w:rsidR="00413F2F">
        <w:t>An additional 10 percent</w:t>
      </w:r>
      <w:r w:rsidRPr="000155A7">
        <w:t xml:space="preserve"> of students </w:t>
      </w:r>
      <w:r w:rsidR="00CC25C5">
        <w:t xml:space="preserve">are expected </w:t>
      </w:r>
      <w:r w:rsidR="00413F2F">
        <w:t xml:space="preserve">not </w:t>
      </w:r>
      <w:r w:rsidR="00CC25C5">
        <w:t xml:space="preserve">to </w:t>
      </w:r>
      <w:r w:rsidRPr="000155A7">
        <w:t>complete the assessments. Those few students who do not complete the assessment typically have attention difficulties or behavior problems.</w:t>
      </w:r>
      <w:r w:rsidR="00413F2F">
        <w:t xml:space="preserve"> Thus, we expect to </w:t>
      </w:r>
      <w:r w:rsidR="00482EAD">
        <w:t>obtain complete assessment data at all three data collection points with 80 percent (1,200) students.</w:t>
      </w:r>
      <w:r w:rsidRPr="000155A7">
        <w:t xml:space="preserve"> </w:t>
      </w:r>
    </w:p>
    <w:p w:rsidR="00F5276A" w:rsidRDefault="00F5276A" w:rsidP="000E48A3">
      <w:pPr>
        <w:pStyle w:val="BodyText"/>
        <w:spacing w:after="0" w:line="240" w:lineRule="auto"/>
      </w:pPr>
    </w:p>
    <w:p w:rsidR="00F5276A" w:rsidRDefault="00F5276A" w:rsidP="000E48A3">
      <w:pPr>
        <w:pStyle w:val="BodyText"/>
        <w:spacing w:after="0" w:line="240" w:lineRule="auto"/>
      </w:pPr>
      <w:r w:rsidRPr="00FC638B">
        <w:t xml:space="preserve">Exhibit </w:t>
      </w:r>
      <w:r w:rsidR="006A5A6A">
        <w:t>2</w:t>
      </w:r>
      <w:r w:rsidRPr="00FC638B">
        <w:t xml:space="preserve"> </w:t>
      </w:r>
      <w:r w:rsidR="006A5A6A">
        <w:t xml:space="preserve">also </w:t>
      </w:r>
      <w:r w:rsidRPr="00FC638B">
        <w:t>presents estimates of the</w:t>
      </w:r>
      <w:r>
        <w:t xml:space="preserve"> burden for students who complete the IGDI assessment</w:t>
      </w:r>
      <w:r w:rsidRPr="000806B9">
        <w:t>. The average burden per</w:t>
      </w:r>
      <w:r>
        <w:t xml:space="preserve"> student is </w:t>
      </w:r>
      <w:r w:rsidR="000155A7">
        <w:t xml:space="preserve">7 minutes per IGDI administration and </w:t>
      </w:r>
      <w:r>
        <w:t>approximately 2</w:t>
      </w:r>
      <w:r w:rsidR="000155A7">
        <w:t>1</w:t>
      </w:r>
      <w:r w:rsidRPr="000806B9">
        <w:t xml:space="preserve"> minutes</w:t>
      </w:r>
      <w:r w:rsidR="000155A7">
        <w:t xml:space="preserve"> in total for all three administrations (i.e., fall, winter, and spring)</w:t>
      </w:r>
      <w:r w:rsidRPr="000806B9">
        <w:t xml:space="preserve">. The total cost to </w:t>
      </w:r>
      <w:r>
        <w:t>students</w:t>
      </w:r>
      <w:r w:rsidRPr="000806B9">
        <w:t xml:space="preserve"> for the burden is estimated to be $0 because these interviews will be conducted during </w:t>
      </w:r>
      <w:r>
        <w:t xml:space="preserve">school </w:t>
      </w:r>
      <w:r w:rsidRPr="000806B9">
        <w:t>hours as part of</w:t>
      </w:r>
      <w:r>
        <w:t xml:space="preserve"> students’ typical assessment activities</w:t>
      </w:r>
      <w:r w:rsidRPr="000806B9">
        <w:t>.</w:t>
      </w:r>
    </w:p>
    <w:p w:rsidR="00863F5F" w:rsidRDefault="00863F5F" w:rsidP="000E48A3">
      <w:pPr>
        <w:pStyle w:val="BodyText"/>
        <w:spacing w:after="0" w:line="240" w:lineRule="auto"/>
      </w:pPr>
    </w:p>
    <w:p w:rsidR="00863F5F" w:rsidRDefault="00863F5F" w:rsidP="00863F5F">
      <w:pPr>
        <w:rPr>
          <w:rFonts w:ascii="Arial" w:hAnsi="Arial"/>
          <w:b/>
          <w:color w:val="000000"/>
          <w:sz w:val="22"/>
          <w:szCs w:val="22"/>
        </w:rPr>
      </w:pPr>
    </w:p>
    <w:p w:rsidR="00863F5F" w:rsidRPr="003C3A9B" w:rsidRDefault="00863F5F" w:rsidP="00863F5F">
      <w:pPr>
        <w:pStyle w:val="ExhibitTitle"/>
        <w:spacing w:before="0" w:after="0" w:line="240" w:lineRule="auto"/>
      </w:pPr>
      <w:bookmarkStart w:id="26" w:name="_Toc352603623"/>
      <w:r w:rsidRPr="00C076CD">
        <w:t xml:space="preserve">Exhibit </w:t>
      </w:r>
      <w:r>
        <w:t>2</w:t>
      </w:r>
      <w:r w:rsidRPr="003C3A9B">
        <w:t>: Estimated Burden Hours</w:t>
      </w:r>
      <w:bookmarkEnd w:id="26"/>
    </w:p>
    <w:p w:rsidR="00863F5F" w:rsidRDefault="00863F5F" w:rsidP="00863F5F"/>
    <w:tbl>
      <w:tblPr>
        <w:tblW w:w="8205" w:type="dxa"/>
        <w:tblInd w:w="93" w:type="dxa"/>
        <w:tblLayout w:type="fixed"/>
        <w:tblLook w:val="04A0" w:firstRow="1" w:lastRow="0" w:firstColumn="1" w:lastColumn="0" w:noHBand="0" w:noVBand="1"/>
      </w:tblPr>
      <w:tblGrid>
        <w:gridCol w:w="1185"/>
        <w:gridCol w:w="2070"/>
        <w:gridCol w:w="1260"/>
        <w:gridCol w:w="1260"/>
        <w:gridCol w:w="1260"/>
        <w:gridCol w:w="1170"/>
      </w:tblGrid>
      <w:tr w:rsidR="00863F5F" w:rsidRPr="0026579B" w:rsidTr="00742567">
        <w:trPr>
          <w:trHeight w:val="1365"/>
        </w:trPr>
        <w:tc>
          <w:tcPr>
            <w:tcW w:w="1185"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Forms</w:t>
            </w:r>
          </w:p>
        </w:tc>
        <w:tc>
          <w:tcPr>
            <w:tcW w:w="2070"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Type of Respondent</w:t>
            </w:r>
          </w:p>
        </w:tc>
        <w:tc>
          <w:tcPr>
            <w:tcW w:w="1260"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Number of Respondents per year</w:t>
            </w:r>
          </w:p>
        </w:tc>
        <w:tc>
          <w:tcPr>
            <w:tcW w:w="1260"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Number of Responses per Respondent</w:t>
            </w:r>
          </w:p>
        </w:tc>
        <w:tc>
          <w:tcPr>
            <w:tcW w:w="1260"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Average Burden hours per Response</w:t>
            </w:r>
          </w:p>
        </w:tc>
        <w:tc>
          <w:tcPr>
            <w:tcW w:w="1170" w:type="dxa"/>
            <w:tcBorders>
              <w:top w:val="single" w:sz="8" w:space="0" w:color="000000"/>
              <w:left w:val="nil"/>
              <w:bottom w:val="nil"/>
              <w:right w:val="nil"/>
            </w:tcBorders>
            <w:shd w:val="clear" w:color="F79646" w:fill="FFFFFF" w:themeFill="background1"/>
            <w:vAlign w:val="center"/>
            <w:hideMark/>
          </w:tcPr>
          <w:p w:rsidR="00863F5F" w:rsidRPr="00D22B96" w:rsidRDefault="00863F5F" w:rsidP="00863F5F">
            <w:pPr>
              <w:rPr>
                <w:rFonts w:ascii="Arial Narrow" w:hAnsi="Arial Narrow" w:cs="Calibri"/>
                <w:b/>
                <w:color w:val="000000"/>
                <w:sz w:val="20"/>
                <w:szCs w:val="20"/>
              </w:rPr>
            </w:pPr>
            <w:r w:rsidRPr="00D22B96">
              <w:rPr>
                <w:rFonts w:ascii="Arial Narrow" w:hAnsi="Arial Narrow" w:cs="Calibri"/>
                <w:b/>
                <w:color w:val="000000"/>
                <w:sz w:val="20"/>
                <w:szCs w:val="20"/>
              </w:rPr>
              <w:t>Total Burden Hours per Response</w:t>
            </w:r>
          </w:p>
        </w:tc>
      </w:tr>
      <w:tr w:rsidR="00863F5F" w:rsidRPr="0026579B" w:rsidTr="00742567">
        <w:trPr>
          <w:trHeight w:val="1320"/>
        </w:trPr>
        <w:tc>
          <w:tcPr>
            <w:tcW w:w="1185" w:type="dxa"/>
            <w:tcBorders>
              <w:top w:val="nil"/>
              <w:left w:val="nil"/>
              <w:bottom w:val="nil"/>
              <w:right w:val="nil"/>
            </w:tcBorders>
            <w:shd w:val="clear" w:color="D9D9D9" w:fill="D9D9D9"/>
            <w:vAlign w:val="center"/>
            <w:hideMark/>
          </w:tcPr>
          <w:p w:rsidR="00863F5F" w:rsidRPr="0026579B" w:rsidRDefault="00863F5F" w:rsidP="00863F5F">
            <w:pPr>
              <w:rPr>
                <w:rFonts w:ascii="Arial Narrow" w:hAnsi="Arial Narrow" w:cs="Calibri"/>
                <w:color w:val="000000"/>
                <w:sz w:val="20"/>
                <w:szCs w:val="20"/>
              </w:rPr>
            </w:pPr>
            <w:r w:rsidRPr="0026579B">
              <w:rPr>
                <w:rFonts w:ascii="Arial Narrow" w:hAnsi="Arial Narrow" w:cs="Calibri"/>
                <w:color w:val="000000"/>
                <w:sz w:val="20"/>
                <w:szCs w:val="20"/>
              </w:rPr>
              <w:t>Web-based Member  Survey</w:t>
            </w:r>
          </w:p>
        </w:tc>
        <w:tc>
          <w:tcPr>
            <w:tcW w:w="2070" w:type="dxa"/>
            <w:tcBorders>
              <w:top w:val="nil"/>
              <w:left w:val="nil"/>
              <w:bottom w:val="nil"/>
              <w:right w:val="nil"/>
            </w:tcBorders>
            <w:shd w:val="clear" w:color="D9D9D9" w:fill="D9D9D9"/>
            <w:vAlign w:val="center"/>
            <w:hideMark/>
          </w:tcPr>
          <w:p w:rsidR="00863F5F" w:rsidRPr="0026579B" w:rsidRDefault="00863F5F" w:rsidP="00863F5F">
            <w:pPr>
              <w:rPr>
                <w:rFonts w:ascii="Arial Narrow" w:hAnsi="Arial Narrow" w:cs="Calibri"/>
                <w:color w:val="000000"/>
                <w:sz w:val="20"/>
                <w:szCs w:val="20"/>
              </w:rPr>
            </w:pPr>
            <w:r w:rsidRPr="0026579B">
              <w:rPr>
                <w:rFonts w:ascii="Arial Narrow" w:hAnsi="Arial Narrow" w:cs="Calibri"/>
                <w:color w:val="000000"/>
                <w:sz w:val="20"/>
                <w:szCs w:val="20"/>
              </w:rPr>
              <w:t xml:space="preserve">AmeriCorps Member </w:t>
            </w:r>
            <w:r>
              <w:rPr>
                <w:rFonts w:ascii="Arial Narrow" w:hAnsi="Arial Narrow" w:cs="Calibri"/>
                <w:color w:val="000000"/>
                <w:sz w:val="20"/>
                <w:szCs w:val="20"/>
              </w:rPr>
              <w:t>who served in the MN</w:t>
            </w:r>
            <w:r w:rsidRPr="0026579B">
              <w:rPr>
                <w:rFonts w:ascii="Arial Narrow" w:hAnsi="Arial Narrow" w:cs="Calibri"/>
                <w:color w:val="000000"/>
                <w:sz w:val="20"/>
                <w:szCs w:val="20"/>
              </w:rPr>
              <w:t xml:space="preserve"> Reading Corps Program</w:t>
            </w:r>
            <w:r>
              <w:rPr>
                <w:rFonts w:ascii="Arial Narrow" w:hAnsi="Arial Narrow" w:cs="Calibri"/>
                <w:color w:val="000000"/>
                <w:sz w:val="20"/>
                <w:szCs w:val="20"/>
              </w:rPr>
              <w:t xml:space="preserve"> during the 2012-2013 school year</w:t>
            </w:r>
          </w:p>
        </w:tc>
        <w:tc>
          <w:tcPr>
            <w:tcW w:w="1260" w:type="dxa"/>
            <w:tcBorders>
              <w:top w:val="nil"/>
              <w:left w:val="nil"/>
              <w:bottom w:val="nil"/>
              <w:right w:val="nil"/>
            </w:tcBorders>
            <w:shd w:val="clear" w:color="D9D9D9" w:fill="D9D9D9"/>
            <w:vAlign w:val="center"/>
            <w:hideMark/>
          </w:tcPr>
          <w:p w:rsidR="00863F5F" w:rsidRPr="0026579B" w:rsidRDefault="00863F5F" w:rsidP="00863F5F">
            <w:pPr>
              <w:jc w:val="center"/>
              <w:rPr>
                <w:rFonts w:ascii="Arial Narrow" w:hAnsi="Arial Narrow" w:cs="Calibri"/>
                <w:color w:val="000000"/>
                <w:sz w:val="20"/>
                <w:szCs w:val="20"/>
              </w:rPr>
            </w:pPr>
            <w:r>
              <w:rPr>
                <w:rFonts w:ascii="Arial Narrow" w:hAnsi="Arial Narrow" w:cs="Calibri"/>
                <w:color w:val="000000"/>
                <w:sz w:val="20"/>
                <w:szCs w:val="20"/>
              </w:rPr>
              <w:t>1031</w:t>
            </w:r>
          </w:p>
        </w:tc>
        <w:tc>
          <w:tcPr>
            <w:tcW w:w="1260" w:type="dxa"/>
            <w:tcBorders>
              <w:top w:val="nil"/>
              <w:left w:val="nil"/>
              <w:bottom w:val="nil"/>
              <w:right w:val="nil"/>
            </w:tcBorders>
            <w:shd w:val="clear" w:color="D9D9D9" w:fill="D9D9D9"/>
            <w:vAlign w:val="center"/>
            <w:hideMark/>
          </w:tcPr>
          <w:p w:rsidR="00863F5F" w:rsidRPr="0026579B" w:rsidRDefault="00863F5F" w:rsidP="00863F5F">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260" w:type="dxa"/>
            <w:tcBorders>
              <w:top w:val="nil"/>
              <w:left w:val="nil"/>
              <w:bottom w:val="nil"/>
              <w:right w:val="nil"/>
            </w:tcBorders>
            <w:shd w:val="clear" w:color="D9D9D9" w:fill="D9D9D9"/>
            <w:vAlign w:val="center"/>
            <w:hideMark/>
          </w:tcPr>
          <w:p w:rsidR="00863F5F" w:rsidRPr="0026579B" w:rsidRDefault="00863F5F" w:rsidP="00742567">
            <w:pPr>
              <w:jc w:val="center"/>
              <w:rPr>
                <w:rFonts w:ascii="Arial Narrow" w:hAnsi="Arial Narrow" w:cs="Calibri"/>
                <w:color w:val="000000"/>
                <w:sz w:val="20"/>
                <w:szCs w:val="20"/>
              </w:rPr>
            </w:pPr>
            <w:r>
              <w:rPr>
                <w:rFonts w:ascii="Arial Narrow" w:hAnsi="Arial Narrow" w:cs="Calibri"/>
                <w:color w:val="000000"/>
                <w:sz w:val="20"/>
                <w:szCs w:val="20"/>
              </w:rPr>
              <w:t>20/60=0.33</w:t>
            </w:r>
            <w:r w:rsidR="00742567">
              <w:rPr>
                <w:rFonts w:ascii="Arial Narrow" w:hAnsi="Arial Narrow" w:cs="Calibri"/>
                <w:color w:val="000000"/>
                <w:sz w:val="20"/>
                <w:szCs w:val="20"/>
              </w:rPr>
              <w:t>33</w:t>
            </w:r>
            <w:r>
              <w:rPr>
                <w:rFonts w:ascii="Arial Narrow" w:hAnsi="Arial Narrow" w:cs="Calibri"/>
                <w:color w:val="000000"/>
                <w:sz w:val="20"/>
                <w:szCs w:val="20"/>
              </w:rPr>
              <w:t xml:space="preserve"> hours per response</w:t>
            </w:r>
          </w:p>
        </w:tc>
        <w:tc>
          <w:tcPr>
            <w:tcW w:w="1170" w:type="dxa"/>
            <w:tcBorders>
              <w:top w:val="nil"/>
              <w:left w:val="nil"/>
              <w:bottom w:val="nil"/>
              <w:right w:val="nil"/>
            </w:tcBorders>
            <w:shd w:val="clear" w:color="D9D9D9" w:fill="D9D9D9"/>
            <w:vAlign w:val="center"/>
          </w:tcPr>
          <w:p w:rsidR="00863F5F" w:rsidRPr="0026579B" w:rsidRDefault="00863F5F" w:rsidP="00742567">
            <w:pPr>
              <w:jc w:val="center"/>
              <w:rPr>
                <w:rFonts w:ascii="Arial Narrow" w:hAnsi="Arial Narrow" w:cs="Calibri"/>
                <w:color w:val="000000"/>
                <w:sz w:val="20"/>
                <w:szCs w:val="20"/>
              </w:rPr>
            </w:pPr>
            <w:r>
              <w:rPr>
                <w:rFonts w:ascii="Arial Narrow" w:hAnsi="Arial Narrow" w:cs="Calibri"/>
                <w:color w:val="000000"/>
                <w:sz w:val="20"/>
                <w:szCs w:val="20"/>
              </w:rPr>
              <w:t>34</w:t>
            </w:r>
            <w:r w:rsidR="00ED4ACB">
              <w:rPr>
                <w:rFonts w:ascii="Arial Narrow" w:hAnsi="Arial Narrow" w:cs="Calibri"/>
                <w:color w:val="000000"/>
                <w:sz w:val="20"/>
                <w:szCs w:val="20"/>
              </w:rPr>
              <w:t>4</w:t>
            </w:r>
          </w:p>
        </w:tc>
      </w:tr>
      <w:tr w:rsidR="00863F5F" w:rsidRPr="0026579B" w:rsidTr="00742567">
        <w:trPr>
          <w:trHeight w:val="330"/>
        </w:trPr>
        <w:tc>
          <w:tcPr>
            <w:tcW w:w="1185" w:type="dxa"/>
            <w:tcBorders>
              <w:top w:val="nil"/>
              <w:left w:val="nil"/>
              <w:bottom w:val="nil"/>
              <w:right w:val="nil"/>
            </w:tcBorders>
            <w:shd w:val="clear" w:color="auto" w:fill="auto"/>
            <w:vAlign w:val="center"/>
            <w:hideMark/>
          </w:tcPr>
          <w:p w:rsidR="00863F5F" w:rsidRPr="0026579B" w:rsidRDefault="00863F5F" w:rsidP="00863F5F">
            <w:pPr>
              <w:rPr>
                <w:rFonts w:ascii="Arial Narrow" w:hAnsi="Arial Narrow" w:cs="Calibri"/>
                <w:color w:val="000000"/>
                <w:sz w:val="20"/>
                <w:szCs w:val="20"/>
              </w:rPr>
            </w:pPr>
          </w:p>
        </w:tc>
        <w:tc>
          <w:tcPr>
            <w:tcW w:w="2070" w:type="dxa"/>
            <w:tcBorders>
              <w:top w:val="nil"/>
              <w:left w:val="nil"/>
              <w:bottom w:val="nil"/>
              <w:right w:val="nil"/>
            </w:tcBorders>
            <w:shd w:val="clear" w:color="auto" w:fill="auto"/>
            <w:vAlign w:val="center"/>
            <w:hideMark/>
          </w:tcPr>
          <w:p w:rsidR="00863F5F" w:rsidRPr="0026579B" w:rsidRDefault="00863F5F" w:rsidP="00863F5F">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ind w:firstLineChars="200" w:firstLine="400"/>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vAlign w:val="center"/>
          </w:tcPr>
          <w:p w:rsidR="00863F5F" w:rsidRPr="0026579B" w:rsidRDefault="00863F5F" w:rsidP="00863F5F">
            <w:pPr>
              <w:jc w:val="center"/>
              <w:rPr>
                <w:rFonts w:ascii="Arial Narrow" w:hAnsi="Arial Narrow" w:cs="Calibri"/>
                <w:color w:val="000000"/>
                <w:sz w:val="20"/>
                <w:szCs w:val="20"/>
              </w:rPr>
            </w:pPr>
          </w:p>
        </w:tc>
      </w:tr>
      <w:tr w:rsidR="00863F5F" w:rsidRPr="0026579B" w:rsidTr="00742567">
        <w:trPr>
          <w:trHeight w:val="330"/>
        </w:trPr>
        <w:tc>
          <w:tcPr>
            <w:tcW w:w="1185" w:type="dxa"/>
            <w:tcBorders>
              <w:top w:val="nil"/>
              <w:left w:val="nil"/>
              <w:bottom w:val="nil"/>
              <w:right w:val="nil"/>
            </w:tcBorders>
            <w:shd w:val="clear" w:color="auto" w:fill="auto"/>
            <w:vAlign w:val="center"/>
            <w:hideMark/>
          </w:tcPr>
          <w:p w:rsidR="00863F5F" w:rsidRPr="0026579B" w:rsidRDefault="00863F5F" w:rsidP="00863F5F">
            <w:pPr>
              <w:rPr>
                <w:rFonts w:ascii="Arial Narrow" w:hAnsi="Arial Narrow" w:cs="Calibri"/>
                <w:color w:val="000000"/>
                <w:sz w:val="20"/>
                <w:szCs w:val="20"/>
              </w:rPr>
            </w:pPr>
          </w:p>
        </w:tc>
        <w:tc>
          <w:tcPr>
            <w:tcW w:w="2070" w:type="dxa"/>
            <w:tcBorders>
              <w:top w:val="nil"/>
              <w:left w:val="nil"/>
              <w:bottom w:val="nil"/>
              <w:right w:val="nil"/>
            </w:tcBorders>
            <w:shd w:val="clear" w:color="auto" w:fill="auto"/>
            <w:vAlign w:val="center"/>
            <w:hideMark/>
          </w:tcPr>
          <w:p w:rsidR="00863F5F" w:rsidRPr="0026579B" w:rsidRDefault="00863F5F" w:rsidP="00863F5F">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ind w:firstLineChars="200" w:firstLine="400"/>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vAlign w:val="center"/>
            <w:hideMark/>
          </w:tcPr>
          <w:p w:rsidR="00863F5F" w:rsidRPr="0026579B" w:rsidRDefault="00863F5F" w:rsidP="00863F5F">
            <w:pPr>
              <w:jc w:val="center"/>
              <w:rPr>
                <w:rFonts w:ascii="Arial Narrow" w:hAnsi="Arial Narrow" w:cs="Calibri"/>
                <w:color w:val="000000"/>
                <w:sz w:val="20"/>
                <w:szCs w:val="20"/>
              </w:rPr>
            </w:pPr>
          </w:p>
        </w:tc>
      </w:tr>
      <w:tr w:rsidR="00863F5F" w:rsidRPr="0026579B" w:rsidTr="00742567">
        <w:trPr>
          <w:trHeight w:val="900"/>
        </w:trPr>
        <w:tc>
          <w:tcPr>
            <w:tcW w:w="1185" w:type="dxa"/>
            <w:tcBorders>
              <w:top w:val="nil"/>
              <w:left w:val="nil"/>
              <w:bottom w:val="nil"/>
              <w:right w:val="nil"/>
            </w:tcBorders>
            <w:shd w:val="clear" w:color="000000" w:fill="D9D9D9"/>
            <w:vAlign w:val="center"/>
          </w:tcPr>
          <w:p w:rsidR="00863F5F" w:rsidRPr="009C5140" w:rsidRDefault="00863F5F" w:rsidP="00863F5F">
            <w:pPr>
              <w:jc w:val="center"/>
              <w:rPr>
                <w:rFonts w:ascii="Arial Narrow" w:hAnsi="Arial Narrow" w:cs="Calibri"/>
                <w:color w:val="000000"/>
                <w:sz w:val="20"/>
                <w:szCs w:val="20"/>
              </w:rPr>
            </w:pPr>
            <w:r w:rsidRPr="009C5140">
              <w:rPr>
                <w:rFonts w:ascii="Arial Narrow" w:hAnsi="Arial Narrow" w:cs="Calibri"/>
                <w:color w:val="000000"/>
                <w:sz w:val="20"/>
                <w:szCs w:val="20"/>
              </w:rPr>
              <w:t>IGDI Assessment</w:t>
            </w:r>
          </w:p>
        </w:tc>
        <w:tc>
          <w:tcPr>
            <w:tcW w:w="2070" w:type="dxa"/>
            <w:tcBorders>
              <w:top w:val="nil"/>
              <w:left w:val="nil"/>
              <w:bottom w:val="nil"/>
              <w:right w:val="nil"/>
            </w:tcBorders>
            <w:shd w:val="clear" w:color="000000" w:fill="D9D9D9"/>
            <w:vAlign w:val="center"/>
          </w:tcPr>
          <w:p w:rsidR="00863F5F" w:rsidRPr="009C5140" w:rsidRDefault="00863F5F" w:rsidP="00863F5F">
            <w:pPr>
              <w:jc w:val="center"/>
              <w:rPr>
                <w:rFonts w:ascii="Arial Narrow" w:hAnsi="Arial Narrow" w:cs="Calibri"/>
                <w:color w:val="000000"/>
                <w:sz w:val="20"/>
                <w:szCs w:val="20"/>
              </w:rPr>
            </w:pPr>
            <w:r w:rsidRPr="009C5140">
              <w:rPr>
                <w:rFonts w:ascii="Arial Narrow" w:hAnsi="Arial Narrow" w:cs="Calibri"/>
                <w:color w:val="000000"/>
                <w:sz w:val="20"/>
                <w:szCs w:val="20"/>
              </w:rPr>
              <w:t xml:space="preserve">Preschool students at sites that do not participate in the MRC </w:t>
            </w:r>
            <w:proofErr w:type="spellStart"/>
            <w:r w:rsidRPr="009C5140">
              <w:rPr>
                <w:rFonts w:ascii="Arial Narrow" w:hAnsi="Arial Narrow" w:cs="Calibri"/>
                <w:color w:val="000000"/>
                <w:sz w:val="20"/>
                <w:szCs w:val="20"/>
              </w:rPr>
              <w:t>PreK</w:t>
            </w:r>
            <w:proofErr w:type="spellEnd"/>
            <w:r w:rsidRPr="009C5140">
              <w:rPr>
                <w:rFonts w:ascii="Arial Narrow" w:hAnsi="Arial Narrow" w:cs="Calibri"/>
                <w:color w:val="000000"/>
                <w:sz w:val="20"/>
                <w:szCs w:val="20"/>
              </w:rPr>
              <w:t xml:space="preserve"> program</w:t>
            </w:r>
          </w:p>
        </w:tc>
        <w:tc>
          <w:tcPr>
            <w:tcW w:w="1260" w:type="dxa"/>
            <w:tcBorders>
              <w:top w:val="nil"/>
              <w:left w:val="nil"/>
              <w:bottom w:val="nil"/>
              <w:right w:val="nil"/>
            </w:tcBorders>
            <w:shd w:val="clear" w:color="000000" w:fill="D9D9D9"/>
            <w:vAlign w:val="center"/>
          </w:tcPr>
          <w:p w:rsidR="00863F5F" w:rsidRPr="0026579B" w:rsidRDefault="00863F5F" w:rsidP="00863F5F">
            <w:pPr>
              <w:jc w:val="center"/>
              <w:rPr>
                <w:rFonts w:ascii="Arial Narrow" w:hAnsi="Arial Narrow" w:cs="Calibri"/>
                <w:color w:val="000000"/>
                <w:sz w:val="20"/>
                <w:szCs w:val="20"/>
              </w:rPr>
            </w:pPr>
            <w:r>
              <w:rPr>
                <w:rFonts w:ascii="Arial Narrow" w:hAnsi="Arial Narrow" w:cs="Calibri"/>
                <w:color w:val="000000"/>
                <w:sz w:val="20"/>
                <w:szCs w:val="20"/>
              </w:rPr>
              <w:t>1,440</w:t>
            </w:r>
          </w:p>
        </w:tc>
        <w:tc>
          <w:tcPr>
            <w:tcW w:w="1260" w:type="dxa"/>
            <w:tcBorders>
              <w:top w:val="nil"/>
              <w:left w:val="nil"/>
              <w:bottom w:val="nil"/>
              <w:right w:val="nil"/>
            </w:tcBorders>
            <w:shd w:val="clear" w:color="000000" w:fill="D9D9D9"/>
            <w:vAlign w:val="center"/>
          </w:tcPr>
          <w:p w:rsidR="00863F5F" w:rsidRPr="0026579B" w:rsidRDefault="00863F5F" w:rsidP="00863F5F">
            <w:pPr>
              <w:jc w:val="center"/>
              <w:rPr>
                <w:rFonts w:ascii="Arial Narrow" w:hAnsi="Arial Narrow" w:cs="Calibri"/>
                <w:color w:val="000000"/>
                <w:sz w:val="20"/>
                <w:szCs w:val="20"/>
              </w:rPr>
            </w:pPr>
            <w:r>
              <w:rPr>
                <w:rFonts w:ascii="Arial Narrow" w:hAnsi="Arial Narrow" w:cs="Calibri"/>
                <w:color w:val="000000"/>
                <w:sz w:val="20"/>
                <w:szCs w:val="20"/>
              </w:rPr>
              <w:t>3</w:t>
            </w:r>
          </w:p>
        </w:tc>
        <w:tc>
          <w:tcPr>
            <w:tcW w:w="1260" w:type="dxa"/>
            <w:tcBorders>
              <w:top w:val="nil"/>
              <w:left w:val="nil"/>
              <w:bottom w:val="nil"/>
              <w:right w:val="nil"/>
            </w:tcBorders>
            <w:shd w:val="clear" w:color="000000" w:fill="D9D9D9"/>
            <w:vAlign w:val="center"/>
          </w:tcPr>
          <w:p w:rsidR="00863F5F" w:rsidRPr="0026579B" w:rsidRDefault="00863F5F" w:rsidP="00863F5F">
            <w:pPr>
              <w:jc w:val="center"/>
              <w:rPr>
                <w:rFonts w:ascii="Arial Narrow" w:hAnsi="Arial Narrow" w:cs="Calibri"/>
                <w:color w:val="000000"/>
                <w:sz w:val="20"/>
                <w:szCs w:val="20"/>
              </w:rPr>
            </w:pPr>
            <w:r>
              <w:rPr>
                <w:rFonts w:ascii="Arial Narrow" w:hAnsi="Arial Narrow" w:cs="Calibri"/>
                <w:color w:val="000000"/>
                <w:sz w:val="20"/>
                <w:szCs w:val="20"/>
              </w:rPr>
              <w:t>7/60=0.1167 hours per response</w:t>
            </w:r>
          </w:p>
        </w:tc>
        <w:tc>
          <w:tcPr>
            <w:tcW w:w="1170" w:type="dxa"/>
            <w:tcBorders>
              <w:top w:val="nil"/>
              <w:left w:val="nil"/>
              <w:bottom w:val="nil"/>
              <w:right w:val="nil"/>
            </w:tcBorders>
            <w:shd w:val="clear" w:color="D9D9D9" w:fill="D9D9D9"/>
            <w:vAlign w:val="center"/>
          </w:tcPr>
          <w:p w:rsidR="00863F5F" w:rsidRPr="0026579B" w:rsidRDefault="00863F5F" w:rsidP="00863F5F">
            <w:pPr>
              <w:jc w:val="center"/>
              <w:rPr>
                <w:rFonts w:ascii="Arial Narrow" w:hAnsi="Arial Narrow" w:cs="Calibri"/>
                <w:color w:val="000000"/>
                <w:sz w:val="20"/>
                <w:szCs w:val="20"/>
              </w:rPr>
            </w:pPr>
            <w:r>
              <w:rPr>
                <w:rFonts w:ascii="Arial Narrow" w:hAnsi="Arial Narrow" w:cs="Calibri"/>
                <w:color w:val="000000"/>
                <w:sz w:val="20"/>
                <w:szCs w:val="20"/>
              </w:rPr>
              <w:t>50</w:t>
            </w:r>
            <w:r w:rsidR="00ED4ACB">
              <w:rPr>
                <w:rFonts w:ascii="Arial Narrow" w:hAnsi="Arial Narrow" w:cs="Calibri"/>
                <w:color w:val="000000"/>
                <w:sz w:val="20"/>
                <w:szCs w:val="20"/>
              </w:rPr>
              <w:t>4</w:t>
            </w:r>
          </w:p>
        </w:tc>
      </w:tr>
      <w:tr w:rsidR="00863F5F" w:rsidRPr="0026579B" w:rsidTr="00742567">
        <w:trPr>
          <w:trHeight w:val="330"/>
        </w:trPr>
        <w:tc>
          <w:tcPr>
            <w:tcW w:w="1185" w:type="dxa"/>
            <w:tcBorders>
              <w:top w:val="nil"/>
              <w:left w:val="nil"/>
              <w:bottom w:val="nil"/>
              <w:right w:val="nil"/>
            </w:tcBorders>
            <w:shd w:val="clear" w:color="auto" w:fill="auto"/>
            <w:noWrap/>
            <w:vAlign w:val="center"/>
            <w:hideMark/>
          </w:tcPr>
          <w:p w:rsidR="00863F5F" w:rsidRPr="0026579B" w:rsidRDefault="00863F5F" w:rsidP="00863F5F">
            <w:pPr>
              <w:rPr>
                <w:rFonts w:ascii="Arial Narrow" w:hAnsi="Arial Narrow" w:cs="Calibri"/>
                <w:color w:val="000000"/>
                <w:sz w:val="20"/>
                <w:szCs w:val="20"/>
              </w:rPr>
            </w:pPr>
          </w:p>
        </w:tc>
        <w:tc>
          <w:tcPr>
            <w:tcW w:w="2070" w:type="dxa"/>
            <w:tcBorders>
              <w:top w:val="nil"/>
              <w:left w:val="nil"/>
              <w:bottom w:val="nil"/>
              <w:right w:val="nil"/>
            </w:tcBorders>
            <w:shd w:val="clear" w:color="auto" w:fill="auto"/>
            <w:noWrap/>
            <w:vAlign w:val="center"/>
            <w:hideMark/>
          </w:tcPr>
          <w:p w:rsidR="00863F5F" w:rsidRPr="0026579B" w:rsidRDefault="00863F5F" w:rsidP="00863F5F">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863F5F" w:rsidRPr="0026579B" w:rsidRDefault="00863F5F" w:rsidP="00863F5F">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noWrap/>
            <w:vAlign w:val="center"/>
            <w:hideMark/>
          </w:tcPr>
          <w:p w:rsidR="00863F5F" w:rsidRPr="0026579B" w:rsidRDefault="00863F5F" w:rsidP="00863F5F">
            <w:pPr>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noWrap/>
            <w:vAlign w:val="center"/>
            <w:hideMark/>
          </w:tcPr>
          <w:p w:rsidR="00863F5F" w:rsidRPr="0026579B" w:rsidRDefault="00863F5F" w:rsidP="00863F5F">
            <w:pPr>
              <w:ind w:firstLineChars="200" w:firstLine="400"/>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noWrap/>
            <w:vAlign w:val="center"/>
            <w:hideMark/>
          </w:tcPr>
          <w:p w:rsidR="00863F5F" w:rsidRPr="0026579B" w:rsidRDefault="00863F5F" w:rsidP="00863F5F">
            <w:pPr>
              <w:jc w:val="center"/>
              <w:rPr>
                <w:rFonts w:ascii="Arial Narrow" w:hAnsi="Arial Narrow" w:cs="Calibri"/>
                <w:color w:val="000000"/>
                <w:sz w:val="20"/>
                <w:szCs w:val="20"/>
              </w:rPr>
            </w:pPr>
          </w:p>
        </w:tc>
      </w:tr>
      <w:tr w:rsidR="00863F5F" w:rsidRPr="0026579B" w:rsidTr="00742567">
        <w:trPr>
          <w:trHeight w:val="330"/>
        </w:trPr>
        <w:tc>
          <w:tcPr>
            <w:tcW w:w="1185" w:type="dxa"/>
            <w:tcBorders>
              <w:top w:val="nil"/>
              <w:left w:val="nil"/>
              <w:bottom w:val="nil"/>
              <w:right w:val="nil"/>
            </w:tcBorders>
            <w:shd w:val="clear" w:color="000000" w:fill="D9D9D9"/>
            <w:noWrap/>
            <w:vAlign w:val="center"/>
            <w:hideMark/>
          </w:tcPr>
          <w:p w:rsidR="00863F5F" w:rsidRPr="0026579B" w:rsidRDefault="00863F5F" w:rsidP="00863F5F">
            <w:pPr>
              <w:rPr>
                <w:rFonts w:ascii="Arial Narrow" w:hAnsi="Arial Narrow" w:cs="Calibri"/>
                <w:b/>
                <w:bCs/>
                <w:color w:val="000000"/>
                <w:sz w:val="20"/>
                <w:szCs w:val="20"/>
              </w:rPr>
            </w:pPr>
            <w:r w:rsidRPr="0026579B">
              <w:rPr>
                <w:rFonts w:ascii="Arial Narrow" w:hAnsi="Arial Narrow" w:cs="Calibri"/>
                <w:b/>
                <w:bCs/>
                <w:color w:val="000000"/>
                <w:sz w:val="20"/>
                <w:szCs w:val="20"/>
              </w:rPr>
              <w:t>Total</w:t>
            </w:r>
          </w:p>
        </w:tc>
        <w:tc>
          <w:tcPr>
            <w:tcW w:w="2070" w:type="dxa"/>
            <w:tcBorders>
              <w:top w:val="nil"/>
              <w:left w:val="nil"/>
              <w:bottom w:val="nil"/>
              <w:right w:val="nil"/>
            </w:tcBorders>
            <w:shd w:val="clear" w:color="000000" w:fill="D9D9D9"/>
            <w:noWrap/>
            <w:vAlign w:val="center"/>
            <w:hideMark/>
          </w:tcPr>
          <w:p w:rsidR="00863F5F" w:rsidRPr="0026579B" w:rsidRDefault="00863F5F" w:rsidP="00863F5F">
            <w:pPr>
              <w:rPr>
                <w:rFonts w:ascii="Arial Narrow" w:hAnsi="Arial Narrow" w:cs="Calibri"/>
                <w:b/>
                <w:bCs/>
                <w:color w:val="000000"/>
                <w:sz w:val="20"/>
                <w:szCs w:val="20"/>
              </w:rPr>
            </w:pPr>
            <w:r w:rsidRPr="0026579B">
              <w:rPr>
                <w:rFonts w:ascii="Arial Narrow" w:hAnsi="Arial Narrow" w:cs="Calibri"/>
                <w:b/>
                <w:bCs/>
                <w:color w:val="000000"/>
                <w:sz w:val="20"/>
                <w:szCs w:val="20"/>
              </w:rPr>
              <w:t> </w:t>
            </w:r>
          </w:p>
        </w:tc>
        <w:tc>
          <w:tcPr>
            <w:tcW w:w="1260" w:type="dxa"/>
            <w:tcBorders>
              <w:top w:val="nil"/>
              <w:left w:val="nil"/>
              <w:bottom w:val="nil"/>
              <w:right w:val="nil"/>
            </w:tcBorders>
            <w:shd w:val="clear" w:color="000000" w:fill="D9D9D9"/>
            <w:vAlign w:val="center"/>
            <w:hideMark/>
          </w:tcPr>
          <w:p w:rsidR="00863F5F" w:rsidRPr="0026579B" w:rsidRDefault="00863F5F" w:rsidP="00863F5F">
            <w:pPr>
              <w:ind w:firstLineChars="300" w:firstLine="602"/>
              <w:jc w:val="center"/>
              <w:rPr>
                <w:rFonts w:ascii="Arial Narrow" w:hAnsi="Arial Narrow" w:cs="Calibri"/>
                <w:b/>
                <w:bCs/>
                <w:color w:val="000000"/>
                <w:sz w:val="20"/>
                <w:szCs w:val="20"/>
              </w:rPr>
            </w:pPr>
            <w:r>
              <w:rPr>
                <w:rFonts w:ascii="Arial Narrow" w:hAnsi="Arial Narrow" w:cs="Calibri"/>
                <w:b/>
                <w:bCs/>
                <w:color w:val="000000"/>
                <w:sz w:val="20"/>
                <w:szCs w:val="20"/>
              </w:rPr>
              <w:t>2,471</w:t>
            </w:r>
          </w:p>
        </w:tc>
        <w:tc>
          <w:tcPr>
            <w:tcW w:w="1260" w:type="dxa"/>
            <w:tcBorders>
              <w:top w:val="nil"/>
              <w:left w:val="nil"/>
              <w:bottom w:val="nil"/>
              <w:right w:val="nil"/>
            </w:tcBorders>
            <w:shd w:val="clear" w:color="000000" w:fill="D9D9D9"/>
            <w:noWrap/>
            <w:vAlign w:val="center"/>
            <w:hideMark/>
          </w:tcPr>
          <w:p w:rsidR="00863F5F" w:rsidRPr="0026579B" w:rsidRDefault="00863F5F" w:rsidP="00863F5F">
            <w:pPr>
              <w:jc w:val="center"/>
              <w:rPr>
                <w:rFonts w:ascii="Arial Narrow" w:hAnsi="Arial Narrow" w:cs="Calibri"/>
                <w:b/>
                <w:bCs/>
                <w:color w:val="000000"/>
                <w:sz w:val="20"/>
                <w:szCs w:val="20"/>
              </w:rPr>
            </w:pPr>
          </w:p>
        </w:tc>
        <w:tc>
          <w:tcPr>
            <w:tcW w:w="1260" w:type="dxa"/>
            <w:tcBorders>
              <w:top w:val="nil"/>
              <w:left w:val="nil"/>
              <w:bottom w:val="nil"/>
              <w:right w:val="nil"/>
            </w:tcBorders>
            <w:shd w:val="clear" w:color="000000" w:fill="D9D9D9"/>
            <w:noWrap/>
            <w:vAlign w:val="center"/>
            <w:hideMark/>
          </w:tcPr>
          <w:p w:rsidR="00863F5F" w:rsidRPr="0026579B" w:rsidRDefault="00863F5F" w:rsidP="00863F5F">
            <w:pPr>
              <w:ind w:left="-198"/>
              <w:rPr>
                <w:rFonts w:ascii="Arial Narrow" w:hAnsi="Arial Narrow" w:cs="Calibri"/>
                <w:b/>
                <w:bCs/>
                <w:color w:val="000000"/>
                <w:sz w:val="20"/>
                <w:szCs w:val="20"/>
              </w:rPr>
            </w:pPr>
            <w:r>
              <w:rPr>
                <w:rFonts w:ascii="Arial Narrow" w:hAnsi="Arial Narrow" w:cs="Calibri"/>
                <w:b/>
                <w:bCs/>
                <w:color w:val="000000"/>
                <w:sz w:val="20"/>
                <w:szCs w:val="20"/>
              </w:rPr>
              <w:t xml:space="preserve"> </w:t>
            </w:r>
          </w:p>
        </w:tc>
        <w:tc>
          <w:tcPr>
            <w:tcW w:w="1170" w:type="dxa"/>
            <w:tcBorders>
              <w:top w:val="nil"/>
              <w:left w:val="nil"/>
              <w:bottom w:val="nil"/>
              <w:right w:val="nil"/>
            </w:tcBorders>
            <w:shd w:val="clear" w:color="000000" w:fill="D9D9D9"/>
            <w:noWrap/>
            <w:vAlign w:val="center"/>
            <w:hideMark/>
          </w:tcPr>
          <w:p w:rsidR="00863F5F" w:rsidRPr="0026579B" w:rsidRDefault="00863F5F" w:rsidP="00863F5F">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848 </w:t>
            </w:r>
            <w:proofErr w:type="spellStart"/>
            <w:r>
              <w:rPr>
                <w:rFonts w:ascii="Arial Narrow" w:hAnsi="Arial Narrow" w:cs="Calibri"/>
                <w:b/>
                <w:bCs/>
                <w:color w:val="000000"/>
                <w:sz w:val="20"/>
                <w:szCs w:val="20"/>
              </w:rPr>
              <w:t>hrs</w:t>
            </w:r>
            <w:proofErr w:type="spellEnd"/>
          </w:p>
        </w:tc>
      </w:tr>
    </w:tbl>
    <w:p w:rsidR="00863F5F" w:rsidRDefault="00863F5F" w:rsidP="000E48A3">
      <w:pPr>
        <w:pStyle w:val="BodyText"/>
        <w:spacing w:after="0" w:line="240" w:lineRule="auto"/>
      </w:pPr>
    </w:p>
    <w:p w:rsidR="00F5276A" w:rsidRPr="0025041C" w:rsidRDefault="00F5276A" w:rsidP="000E48A3">
      <w:pPr>
        <w:pStyle w:val="BodyText"/>
        <w:spacing w:after="0" w:line="240" w:lineRule="auto"/>
      </w:pPr>
    </w:p>
    <w:p w:rsidR="005C239E" w:rsidRPr="00C076CD" w:rsidRDefault="005C239E" w:rsidP="005C239E">
      <w:pPr>
        <w:pStyle w:val="Heading2"/>
        <w:spacing w:before="0" w:after="0"/>
        <w:ind w:left="741" w:hanging="741"/>
      </w:pPr>
      <w:bookmarkStart w:id="27" w:name="_Toc352603616"/>
      <w:r>
        <w:t>A.13.</w:t>
      </w:r>
      <w:r>
        <w:tab/>
      </w:r>
      <w:r w:rsidRPr="0095713A">
        <w:t>Estimates of Other Total Annual Cost Burden to Respondents and Record Keepers</w:t>
      </w:r>
      <w:bookmarkEnd w:id="27"/>
    </w:p>
    <w:p w:rsidR="005C239E" w:rsidRDefault="005C239E" w:rsidP="005C239E">
      <w:pPr>
        <w:pStyle w:val="BodyText"/>
        <w:spacing w:after="0" w:line="240" w:lineRule="auto"/>
      </w:pPr>
      <w:r w:rsidRPr="00C076CD">
        <w:t xml:space="preserve">There </w:t>
      </w:r>
      <w:proofErr w:type="gramStart"/>
      <w:r w:rsidRPr="00C076CD">
        <w:t>are</w:t>
      </w:r>
      <w:proofErr w:type="gramEnd"/>
      <w:r w:rsidRPr="00C076CD">
        <w:t xml:space="preserve"> no annualized capital/startup or ongoing operation and maintenance costs involved in collecting the information. Other than th</w:t>
      </w:r>
      <w:r>
        <w:t>eir time to complete the survey or</w:t>
      </w:r>
      <w:r w:rsidR="000806B9">
        <w:t xml:space="preserve"> </w:t>
      </w:r>
      <w:r w:rsidR="00935C6F" w:rsidRPr="000155A7">
        <w:t>IGDI assessment</w:t>
      </w:r>
      <w:r w:rsidRPr="000155A7">
        <w:t>, w</w:t>
      </w:r>
      <w:r w:rsidRPr="00C076CD">
        <w:t>hich is estimated in Exhibit 2, there are no direct monetary costs to respondents</w:t>
      </w:r>
      <w:r>
        <w:t xml:space="preserve">. </w:t>
      </w:r>
    </w:p>
    <w:p w:rsidR="005C239E" w:rsidRPr="00C076CD" w:rsidRDefault="005C239E" w:rsidP="005C239E">
      <w:pPr>
        <w:pStyle w:val="BodyText"/>
        <w:spacing w:after="0" w:line="240" w:lineRule="auto"/>
      </w:pPr>
    </w:p>
    <w:p w:rsidR="005C239E" w:rsidRPr="00C076CD" w:rsidRDefault="005C239E" w:rsidP="005C239E">
      <w:pPr>
        <w:pStyle w:val="Heading2"/>
        <w:spacing w:before="0" w:after="0"/>
      </w:pPr>
      <w:bookmarkStart w:id="28" w:name="_Toc267041918"/>
      <w:bookmarkStart w:id="29" w:name="_Toc352603617"/>
      <w:r>
        <w:lastRenderedPageBreak/>
        <w:t>A.14.</w:t>
      </w:r>
      <w:r>
        <w:tab/>
      </w:r>
      <w:bookmarkEnd w:id="28"/>
      <w:r w:rsidRPr="0095713A">
        <w:t>Estimates of Annualized Costs to the Federal Government</w:t>
      </w:r>
      <w:bookmarkEnd w:id="29"/>
    </w:p>
    <w:p w:rsidR="005C239E" w:rsidRPr="00B00E52" w:rsidRDefault="005C239E" w:rsidP="005C239E">
      <w:pPr>
        <w:pStyle w:val="BodyText"/>
        <w:spacing w:after="0" w:line="240" w:lineRule="auto"/>
      </w:pPr>
      <w:r w:rsidRPr="00B00E52">
        <w:t xml:space="preserve">The estimated cost to the Federal Government for the </w:t>
      </w:r>
      <w:r w:rsidRPr="00B00E52">
        <w:rPr>
          <w:i/>
        </w:rPr>
        <w:t xml:space="preserve">Process and Impact Evaluation of the Minnesota Reading Corps (MRC) </w:t>
      </w:r>
      <w:r w:rsidRPr="00B00E52">
        <w:t xml:space="preserve">data collection activities </w:t>
      </w:r>
      <w:r w:rsidRPr="000155A7">
        <w:t>is</w:t>
      </w:r>
      <w:r w:rsidRPr="000155A7">
        <w:rPr>
          <w:color w:val="FF0000"/>
        </w:rPr>
        <w:t xml:space="preserve"> </w:t>
      </w:r>
      <w:r w:rsidRPr="000155A7">
        <w:t>$</w:t>
      </w:r>
      <w:r w:rsidR="008A1E37">
        <w:t>404,945</w:t>
      </w:r>
      <w:r w:rsidRPr="00875F3A">
        <w:t>.</w:t>
      </w:r>
      <w:r>
        <w:t xml:space="preserve"> </w:t>
      </w:r>
      <w:r w:rsidRPr="00B00E52">
        <w:t>This is the cost to our Federal contractor, NORC</w:t>
      </w:r>
      <w:r>
        <w:t xml:space="preserve"> at the University of Chicago</w:t>
      </w:r>
      <w:r w:rsidRPr="00B00E52">
        <w:t>, for data collection activities associated with this submission.</w:t>
      </w:r>
    </w:p>
    <w:p w:rsidR="005C239E" w:rsidRPr="00D373A5" w:rsidRDefault="005C239E" w:rsidP="005C239E">
      <w:pPr>
        <w:pStyle w:val="BodyText"/>
        <w:spacing w:after="0" w:line="240" w:lineRule="auto"/>
        <w:rPr>
          <w:color w:val="FF0000"/>
        </w:rPr>
      </w:pPr>
    </w:p>
    <w:p w:rsidR="00A470B5" w:rsidRPr="00C076CD" w:rsidRDefault="00A470B5" w:rsidP="00A470B5">
      <w:pPr>
        <w:pStyle w:val="Heading2"/>
        <w:spacing w:before="0" w:after="0"/>
      </w:pPr>
      <w:bookmarkStart w:id="30" w:name="_Toc352603618"/>
      <w:bookmarkStart w:id="31" w:name="_Toc267041919"/>
      <w:r>
        <w:t>A.15.</w:t>
      </w:r>
      <w:r>
        <w:tab/>
      </w:r>
      <w:r w:rsidRPr="0095713A">
        <w:t>Explanation for Program Changes or Adjustments</w:t>
      </w:r>
      <w:bookmarkEnd w:id="30"/>
    </w:p>
    <w:p w:rsidR="00601143" w:rsidRDefault="00601143" w:rsidP="00A470B5">
      <w:pPr>
        <w:pStyle w:val="BodyText"/>
        <w:spacing w:after="0" w:line="240" w:lineRule="auto"/>
      </w:pPr>
    </w:p>
    <w:p w:rsidR="007330AA" w:rsidRDefault="00863F5F" w:rsidP="00A470B5">
      <w:pPr>
        <w:pStyle w:val="BodyText"/>
        <w:spacing w:after="0" w:line="240" w:lineRule="auto"/>
      </w:pPr>
      <w:r w:rsidRPr="00C076CD">
        <w:t>No change in burden is requested</w:t>
      </w:r>
      <w:r w:rsidR="00B73CE5">
        <w:t xml:space="preserve">. </w:t>
      </w:r>
      <w:r w:rsidRPr="00C076CD">
        <w:t>This submission to OMB is for an initial request for approval.</w:t>
      </w:r>
      <w:r w:rsidR="007330AA">
        <w:t xml:space="preserve"> </w:t>
      </w:r>
    </w:p>
    <w:p w:rsidR="00A470B5" w:rsidRPr="000F3F25" w:rsidRDefault="00A470B5" w:rsidP="00A470B5"/>
    <w:p w:rsidR="00A470B5" w:rsidRPr="00C076CD" w:rsidRDefault="00A470B5" w:rsidP="00A470B5">
      <w:pPr>
        <w:pStyle w:val="Heading2"/>
        <w:spacing w:before="0" w:after="0"/>
      </w:pPr>
      <w:bookmarkStart w:id="32" w:name="_Toc352603619"/>
      <w:r>
        <w:t>A.16.</w:t>
      </w:r>
      <w:r>
        <w:tab/>
      </w:r>
      <w:r w:rsidRPr="00C076CD">
        <w:t>Plans for Tabulation and Publication and Project Time Schedule</w:t>
      </w:r>
      <w:bookmarkEnd w:id="32"/>
    </w:p>
    <w:p w:rsidR="00F54A46" w:rsidRPr="00CF488F" w:rsidRDefault="00863F5F" w:rsidP="00ED4ACB">
      <w:pPr>
        <w:pStyle w:val="BodyText"/>
        <w:spacing w:line="240" w:lineRule="auto"/>
      </w:pPr>
      <w:r w:rsidRPr="00863F5F">
        <w:t xml:space="preserve">Data will be collected from the </w:t>
      </w:r>
      <w:proofErr w:type="spellStart"/>
      <w:r w:rsidRPr="00863F5F">
        <w:t>PreK</w:t>
      </w:r>
      <w:proofErr w:type="spellEnd"/>
      <w:r w:rsidRPr="00863F5F">
        <w:t xml:space="preserve"> students </w:t>
      </w:r>
      <w:r w:rsidR="00F54A46" w:rsidRPr="00863F5F">
        <w:t>at the beginning (fall), middle (winter) and end (spring) of the 2013-2014 school year</w:t>
      </w:r>
      <w:r w:rsidRPr="00863F5F">
        <w:t xml:space="preserve">. Analysis will begin shortly after </w:t>
      </w:r>
      <w:r w:rsidR="00F54A46">
        <w:t xml:space="preserve">the final </w:t>
      </w:r>
      <w:r w:rsidRPr="00863F5F">
        <w:t>data are collected</w:t>
      </w:r>
      <w:r w:rsidR="00F54A46">
        <w:t xml:space="preserve"> in May 2014</w:t>
      </w:r>
      <w:r w:rsidRPr="00863F5F">
        <w:t>.</w:t>
      </w:r>
      <w:r>
        <w:t xml:space="preserve"> </w:t>
      </w:r>
      <w:r w:rsidR="00F54A46">
        <w:t>The evaluation team</w:t>
      </w:r>
      <w:r w:rsidR="00F54A46" w:rsidRPr="00CF488F">
        <w:t xml:space="preserve"> </w:t>
      </w:r>
      <w:r w:rsidR="00F54A46">
        <w:t>will use</w:t>
      </w:r>
      <w:r w:rsidR="00F54A46" w:rsidRPr="00CF488F">
        <w:t xml:space="preserve"> hierarchical linear modeling (HLM) with each individual benchmark measure at level one, students at level two, and s</w:t>
      </w:r>
      <w:r w:rsidR="00F54A46">
        <w:t>ite</w:t>
      </w:r>
      <w:r w:rsidR="00F54A46" w:rsidRPr="00CF488F">
        <w:t>s at level three. The covariates used for matching s</w:t>
      </w:r>
      <w:r w:rsidR="00F54A46">
        <w:t>ite</w:t>
      </w:r>
      <w:r w:rsidR="00F54A46" w:rsidRPr="00CF488F">
        <w:t>s will be entered into the model at the appropriate level; given the nature of these variables, they will be primarily at the s</w:t>
      </w:r>
      <w:r w:rsidR="00F54A46">
        <w:t>ite</w:t>
      </w:r>
      <w:r w:rsidR="00F54A46" w:rsidRPr="00CF488F">
        <w:t xml:space="preserve"> level with the exception of student age. Recall that treatment occurs at the s</w:t>
      </w:r>
      <w:r w:rsidR="00F54A46">
        <w:t>ite</w:t>
      </w:r>
      <w:r w:rsidR="00F54A46" w:rsidRPr="00CF488F">
        <w:t xml:space="preserve"> level. HLM analyses will be run for each of the five </w:t>
      </w:r>
      <w:r w:rsidR="00F54A46">
        <w:t xml:space="preserve">IGDI </w:t>
      </w:r>
      <w:r w:rsidR="00F54A46" w:rsidRPr="00CF488F">
        <w:t xml:space="preserve">outcome measures. This model provides an opportunity to analyze differences in treatment and </w:t>
      </w:r>
      <w:r w:rsidR="00F54A46">
        <w:t>comparison</w:t>
      </w:r>
      <w:r w:rsidR="00F54A46" w:rsidRPr="00CF488F">
        <w:t xml:space="preserve"> while controlling for critical covariates. It also allows for analysis of student growth across the three benchmark periods.</w:t>
      </w:r>
      <w:r w:rsidR="00F54A46">
        <w:t xml:space="preserve"> </w:t>
      </w:r>
    </w:p>
    <w:p w:rsidR="00A470B5" w:rsidRPr="00393EB9" w:rsidRDefault="00F54A46" w:rsidP="00F54A46">
      <w:pPr>
        <w:pStyle w:val="NORC-BodySingleSpacedArial"/>
        <w:spacing w:after="0"/>
        <w:rPr>
          <w:rFonts w:ascii="Times New Roman" w:hAnsi="Times New Roman"/>
          <w:szCs w:val="20"/>
        </w:rPr>
      </w:pPr>
      <w:r w:rsidRPr="00F54A46">
        <w:rPr>
          <w:rFonts w:ascii="Times New Roman" w:hAnsi="Times New Roman"/>
          <w:szCs w:val="20"/>
        </w:rPr>
        <w:t xml:space="preserve">Upon completion of data analysis, </w:t>
      </w:r>
      <w:r w:rsidR="00656402">
        <w:rPr>
          <w:rFonts w:ascii="Times New Roman" w:hAnsi="Times New Roman"/>
          <w:szCs w:val="20"/>
        </w:rPr>
        <w:t>a</w:t>
      </w:r>
      <w:r w:rsidR="00E50089">
        <w:rPr>
          <w:rFonts w:ascii="Times New Roman" w:hAnsi="Times New Roman"/>
          <w:szCs w:val="20"/>
        </w:rPr>
        <w:t xml:space="preserve"> final</w:t>
      </w:r>
      <w:r w:rsidR="00A470B5">
        <w:rPr>
          <w:rFonts w:ascii="Times New Roman" w:hAnsi="Times New Roman"/>
          <w:szCs w:val="20"/>
        </w:rPr>
        <w:t xml:space="preserve"> </w:t>
      </w:r>
      <w:proofErr w:type="spellStart"/>
      <w:r w:rsidR="00656402">
        <w:rPr>
          <w:rFonts w:ascii="Times New Roman" w:hAnsi="Times New Roman"/>
          <w:szCs w:val="20"/>
        </w:rPr>
        <w:t>PreK</w:t>
      </w:r>
      <w:proofErr w:type="spellEnd"/>
      <w:r w:rsidR="00656402">
        <w:rPr>
          <w:rFonts w:ascii="Times New Roman" w:hAnsi="Times New Roman"/>
          <w:szCs w:val="20"/>
        </w:rPr>
        <w:t xml:space="preserve"> </w:t>
      </w:r>
      <w:r w:rsidR="00A470B5">
        <w:rPr>
          <w:rFonts w:ascii="Times New Roman" w:hAnsi="Times New Roman"/>
          <w:szCs w:val="20"/>
        </w:rPr>
        <w:t xml:space="preserve">study report will </w:t>
      </w:r>
      <w:r>
        <w:rPr>
          <w:rFonts w:ascii="Times New Roman" w:hAnsi="Times New Roman"/>
          <w:szCs w:val="20"/>
        </w:rPr>
        <w:t>provide</w:t>
      </w:r>
      <w:r w:rsidR="00A470B5">
        <w:rPr>
          <w:rFonts w:ascii="Times New Roman" w:hAnsi="Times New Roman"/>
          <w:szCs w:val="20"/>
        </w:rPr>
        <w:t xml:space="preserve"> </w:t>
      </w:r>
      <w:r w:rsidR="00A470B5" w:rsidRPr="00393EB9">
        <w:rPr>
          <w:rFonts w:ascii="Times New Roman" w:hAnsi="Times New Roman"/>
          <w:szCs w:val="20"/>
        </w:rPr>
        <w:t xml:space="preserve">findings from </w:t>
      </w:r>
      <w:r w:rsidR="00656402">
        <w:rPr>
          <w:rFonts w:ascii="Times New Roman" w:hAnsi="Times New Roman"/>
          <w:szCs w:val="20"/>
        </w:rPr>
        <w:t xml:space="preserve">the </w:t>
      </w:r>
      <w:r w:rsidR="00A470B5">
        <w:rPr>
          <w:rFonts w:ascii="Times New Roman" w:hAnsi="Times New Roman"/>
          <w:szCs w:val="20"/>
        </w:rPr>
        <w:t xml:space="preserve">analysis of </w:t>
      </w:r>
      <w:r w:rsidR="00A470B5" w:rsidRPr="00393EB9">
        <w:rPr>
          <w:rFonts w:ascii="Times New Roman" w:hAnsi="Times New Roman"/>
          <w:szCs w:val="20"/>
        </w:rPr>
        <w:t xml:space="preserve">the </w:t>
      </w:r>
      <w:proofErr w:type="spellStart"/>
      <w:r w:rsidR="00863F5F">
        <w:rPr>
          <w:rFonts w:ascii="Times New Roman" w:hAnsi="Times New Roman"/>
          <w:szCs w:val="20"/>
        </w:rPr>
        <w:t>PreK</w:t>
      </w:r>
      <w:proofErr w:type="spellEnd"/>
      <w:r w:rsidR="00863F5F">
        <w:rPr>
          <w:rFonts w:ascii="Times New Roman" w:hAnsi="Times New Roman"/>
          <w:szCs w:val="20"/>
        </w:rPr>
        <w:t xml:space="preserve"> </w:t>
      </w:r>
      <w:r w:rsidR="00E50089">
        <w:rPr>
          <w:rFonts w:ascii="Times New Roman" w:hAnsi="Times New Roman"/>
          <w:szCs w:val="20"/>
        </w:rPr>
        <w:t>student-level data</w:t>
      </w:r>
      <w:r w:rsidR="00A470B5" w:rsidRPr="00393EB9">
        <w:rPr>
          <w:rFonts w:ascii="Times New Roman" w:hAnsi="Times New Roman"/>
          <w:szCs w:val="20"/>
        </w:rPr>
        <w:t>. The final report will include the following sections:</w:t>
      </w:r>
    </w:p>
    <w:p w:rsidR="00A470B5" w:rsidRPr="00393EB9" w:rsidRDefault="00A470B5" w:rsidP="00A470B5">
      <w:pPr>
        <w:pStyle w:val="ListBullet"/>
        <w:numPr>
          <w:ilvl w:val="0"/>
          <w:numId w:val="10"/>
        </w:numPr>
        <w:rPr>
          <w:sz w:val="22"/>
          <w:szCs w:val="22"/>
        </w:rPr>
      </w:pPr>
      <w:r w:rsidRPr="005C239E">
        <w:rPr>
          <w:i/>
          <w:sz w:val="22"/>
          <w:szCs w:val="22"/>
        </w:rPr>
        <w:t>Executive Summary</w:t>
      </w:r>
      <w:r w:rsidRPr="00393EB9">
        <w:rPr>
          <w:sz w:val="22"/>
          <w:szCs w:val="22"/>
        </w:rPr>
        <w:t xml:space="preserve">. The executive summary will be written in a manner that makes it useful as a stand-alone document. </w:t>
      </w:r>
      <w:r w:rsidR="00656402">
        <w:rPr>
          <w:sz w:val="22"/>
          <w:szCs w:val="22"/>
        </w:rPr>
        <w:t xml:space="preserve">It will </w:t>
      </w:r>
      <w:r w:rsidR="00656402">
        <w:t>provide</w:t>
      </w:r>
      <w:r w:rsidR="00656402" w:rsidRPr="00E42F69">
        <w:t xml:space="preserve"> a concise, and easy-to-read, description of the </w:t>
      </w:r>
      <w:proofErr w:type="spellStart"/>
      <w:r w:rsidR="00656402">
        <w:t>PreK</w:t>
      </w:r>
      <w:proofErr w:type="spellEnd"/>
      <w:r w:rsidR="00656402" w:rsidRPr="00E42F69">
        <w:t xml:space="preserve"> evaluation and final findings, which will serve to inform policy makers and practitioners</w:t>
      </w:r>
      <w:r w:rsidRPr="00393EB9">
        <w:rPr>
          <w:sz w:val="22"/>
          <w:szCs w:val="22"/>
        </w:rPr>
        <w:t xml:space="preserve">. </w:t>
      </w:r>
    </w:p>
    <w:p w:rsidR="00A470B5" w:rsidRPr="00393EB9" w:rsidRDefault="00A470B5" w:rsidP="00A470B5">
      <w:pPr>
        <w:pStyle w:val="ListBullet"/>
        <w:numPr>
          <w:ilvl w:val="0"/>
          <w:numId w:val="10"/>
        </w:numPr>
        <w:rPr>
          <w:sz w:val="22"/>
          <w:szCs w:val="22"/>
        </w:rPr>
      </w:pPr>
      <w:r w:rsidRPr="005C239E">
        <w:rPr>
          <w:i/>
          <w:sz w:val="22"/>
          <w:szCs w:val="22"/>
        </w:rPr>
        <w:t>Methodology.</w:t>
      </w:r>
      <w:r w:rsidRPr="00393EB9">
        <w:rPr>
          <w:sz w:val="22"/>
          <w:szCs w:val="22"/>
        </w:rPr>
        <w:t xml:space="preserve"> This section will describe the methods used for developing, implementing and analyzing the</w:t>
      </w:r>
      <w:r w:rsidR="009C5140">
        <w:rPr>
          <w:sz w:val="22"/>
          <w:szCs w:val="22"/>
        </w:rPr>
        <w:t xml:space="preserve"> IGDI</w:t>
      </w:r>
      <w:r w:rsidRPr="00393EB9">
        <w:rPr>
          <w:sz w:val="22"/>
          <w:szCs w:val="22"/>
        </w:rPr>
        <w:t xml:space="preserve"> </w:t>
      </w:r>
      <w:r w:rsidR="00E50089">
        <w:rPr>
          <w:sz w:val="22"/>
          <w:szCs w:val="22"/>
        </w:rPr>
        <w:t>assessment data</w:t>
      </w:r>
      <w:r w:rsidRPr="00393EB9">
        <w:rPr>
          <w:sz w:val="22"/>
          <w:szCs w:val="22"/>
        </w:rPr>
        <w:t xml:space="preserve">. </w:t>
      </w:r>
    </w:p>
    <w:p w:rsidR="00A470B5" w:rsidRPr="00393EB9" w:rsidRDefault="00A470B5" w:rsidP="00A470B5">
      <w:pPr>
        <w:pStyle w:val="ListBullet"/>
        <w:numPr>
          <w:ilvl w:val="0"/>
          <w:numId w:val="10"/>
        </w:numPr>
        <w:rPr>
          <w:sz w:val="22"/>
          <w:szCs w:val="22"/>
        </w:rPr>
      </w:pPr>
      <w:r w:rsidRPr="005C239E">
        <w:rPr>
          <w:i/>
          <w:sz w:val="22"/>
          <w:szCs w:val="22"/>
        </w:rPr>
        <w:t>Key Issues and Findings.</w:t>
      </w:r>
      <w:r w:rsidRPr="00393EB9">
        <w:rPr>
          <w:sz w:val="22"/>
          <w:szCs w:val="22"/>
        </w:rPr>
        <w:t xml:space="preserve"> This section will discuss findings around each of the key research questions. </w:t>
      </w:r>
    </w:p>
    <w:p w:rsidR="00A470B5" w:rsidRPr="00393EB9" w:rsidRDefault="00A470B5" w:rsidP="00A470B5">
      <w:pPr>
        <w:pStyle w:val="ListBullet"/>
        <w:numPr>
          <w:ilvl w:val="0"/>
          <w:numId w:val="10"/>
        </w:numPr>
        <w:rPr>
          <w:sz w:val="22"/>
          <w:szCs w:val="22"/>
        </w:rPr>
      </w:pPr>
      <w:r w:rsidRPr="005C239E">
        <w:rPr>
          <w:i/>
          <w:sz w:val="22"/>
          <w:szCs w:val="22"/>
        </w:rPr>
        <w:t>Conclusions.</w:t>
      </w:r>
      <w:r w:rsidRPr="00393EB9">
        <w:rPr>
          <w:b/>
          <w:sz w:val="22"/>
          <w:szCs w:val="22"/>
        </w:rPr>
        <w:t xml:space="preserve"> </w:t>
      </w:r>
      <w:r w:rsidRPr="00393EB9">
        <w:rPr>
          <w:sz w:val="22"/>
          <w:szCs w:val="22"/>
        </w:rPr>
        <w:t xml:space="preserve">Conclusions will include </w:t>
      </w:r>
      <w:r w:rsidR="00656402">
        <w:rPr>
          <w:sz w:val="22"/>
          <w:szCs w:val="22"/>
        </w:rPr>
        <w:t xml:space="preserve">implications of the findings for the MRC </w:t>
      </w:r>
      <w:proofErr w:type="spellStart"/>
      <w:r w:rsidR="00656402">
        <w:rPr>
          <w:sz w:val="22"/>
          <w:szCs w:val="22"/>
        </w:rPr>
        <w:t>PreK</w:t>
      </w:r>
      <w:proofErr w:type="spellEnd"/>
      <w:r w:rsidR="00656402">
        <w:rPr>
          <w:sz w:val="22"/>
          <w:szCs w:val="22"/>
        </w:rPr>
        <w:t xml:space="preserve"> program and </w:t>
      </w:r>
      <w:r w:rsidRPr="00393EB9">
        <w:rPr>
          <w:sz w:val="22"/>
          <w:szCs w:val="22"/>
        </w:rPr>
        <w:t xml:space="preserve">recommendations </w:t>
      </w:r>
      <w:r w:rsidR="00656402">
        <w:rPr>
          <w:sz w:val="22"/>
          <w:szCs w:val="22"/>
        </w:rPr>
        <w:t>and</w:t>
      </w:r>
      <w:r w:rsidRPr="00393EB9">
        <w:rPr>
          <w:sz w:val="22"/>
          <w:szCs w:val="22"/>
        </w:rPr>
        <w:t xml:space="preserve"> suggestions for future research and policy initiatives. </w:t>
      </w:r>
    </w:p>
    <w:p w:rsidR="00A470B5" w:rsidRDefault="00A470B5" w:rsidP="00A470B5">
      <w:pPr>
        <w:pStyle w:val="BodyText"/>
        <w:spacing w:after="0" w:line="240" w:lineRule="auto"/>
        <w:rPr>
          <w:szCs w:val="22"/>
        </w:rPr>
      </w:pPr>
    </w:p>
    <w:p w:rsidR="00A470B5" w:rsidRDefault="00A470B5" w:rsidP="00A470B5">
      <w:pPr>
        <w:pStyle w:val="BodyText"/>
        <w:spacing w:after="0" w:line="240" w:lineRule="auto"/>
        <w:rPr>
          <w:szCs w:val="22"/>
        </w:rPr>
      </w:pPr>
      <w:r w:rsidRPr="003F5C95">
        <w:t xml:space="preserve">Data for the web-based survey will be collected once over a two month period </w:t>
      </w:r>
      <w:r w:rsidRPr="0035589F">
        <w:t xml:space="preserve">starting in </w:t>
      </w:r>
      <w:r w:rsidR="00E4670C" w:rsidRPr="0035589F">
        <w:t>June</w:t>
      </w:r>
      <w:r w:rsidR="0035589F" w:rsidRPr="0035589F">
        <w:t xml:space="preserve"> </w:t>
      </w:r>
      <w:r w:rsidRPr="0035589F">
        <w:t>201</w:t>
      </w:r>
      <w:r w:rsidR="0051129D" w:rsidRPr="0035589F">
        <w:t>3</w:t>
      </w:r>
      <w:r w:rsidRPr="0035589F">
        <w:t>,</w:t>
      </w:r>
      <w:r w:rsidRPr="003F5C95">
        <w:t xml:space="preserve"> contingent on receiving OMB approval</w:t>
      </w:r>
      <w:r>
        <w:t xml:space="preserve">. Some basic frequencies and weighting </w:t>
      </w:r>
      <w:r w:rsidR="0051129D">
        <w:t>were</w:t>
      </w:r>
      <w:r>
        <w:t xml:space="preserve"> conducted on the baseline survey; however, the final analysis will take place </w:t>
      </w:r>
      <w:r w:rsidR="0051129D">
        <w:t>once</w:t>
      </w:r>
      <w:r>
        <w:t xml:space="preserve"> data </w:t>
      </w:r>
      <w:r w:rsidR="0051129D">
        <w:t>are</w:t>
      </w:r>
      <w:r>
        <w:t xml:space="preserve"> collected </w:t>
      </w:r>
      <w:r w:rsidR="0051129D">
        <w:t xml:space="preserve">through the </w:t>
      </w:r>
      <w:r>
        <w:t xml:space="preserve">follow-up survey at the end of the AmeriCorps member’s service. </w:t>
      </w:r>
      <w:r>
        <w:rPr>
          <w:szCs w:val="22"/>
        </w:rPr>
        <w:t>Data from the baseline survey will be combined with information provided through the follow-up survey with the same respondents to provide evidence to support possible effects of the program on AmeriCorps members.</w:t>
      </w:r>
    </w:p>
    <w:p w:rsidR="008A1E37" w:rsidRDefault="008A1E37" w:rsidP="00A470B5">
      <w:pPr>
        <w:pStyle w:val="BodyText"/>
        <w:spacing w:after="0" w:line="240" w:lineRule="auto"/>
        <w:rPr>
          <w:szCs w:val="22"/>
        </w:rPr>
      </w:pPr>
    </w:p>
    <w:p w:rsidR="008A1E37" w:rsidRPr="003F5C95" w:rsidRDefault="008A1E37" w:rsidP="00A470B5">
      <w:pPr>
        <w:pStyle w:val="BodyText"/>
        <w:spacing w:after="0" w:line="240" w:lineRule="auto"/>
      </w:pPr>
      <w:r>
        <w:rPr>
          <w:szCs w:val="22"/>
        </w:rPr>
        <w:t>A separate memo will be developed after completing the follow-up survey which provides pre-post comparisons of findings. The memo will summarize study findings on the various topics measured by the survey, including member satisfaction, levels of civic engagement, and future education and career plans. Simple statistical testing will be used (t-test and chi-square) to identify significant changes in these key outcomes pre and post members’ service.</w:t>
      </w:r>
      <w:r w:rsidR="00F54A46">
        <w:rPr>
          <w:szCs w:val="22"/>
        </w:rPr>
        <w:t xml:space="preserve"> The memo would then be adapted to serve as an additional chapter of findings </w:t>
      </w:r>
      <w:r w:rsidR="00656402">
        <w:rPr>
          <w:szCs w:val="22"/>
        </w:rPr>
        <w:t xml:space="preserve">to be added to </w:t>
      </w:r>
      <w:r w:rsidR="00F54A46">
        <w:rPr>
          <w:szCs w:val="22"/>
        </w:rPr>
        <w:t xml:space="preserve">the current process assessment report produced in February 2013. </w:t>
      </w:r>
    </w:p>
    <w:p w:rsidR="00A470B5" w:rsidRPr="00D373A5" w:rsidRDefault="00A470B5" w:rsidP="00A470B5">
      <w:pPr>
        <w:pStyle w:val="BodyText"/>
        <w:spacing w:after="0" w:line="240" w:lineRule="auto"/>
        <w:rPr>
          <w:color w:val="FF0000"/>
        </w:rPr>
      </w:pPr>
    </w:p>
    <w:p w:rsidR="00A470B5" w:rsidRDefault="00A470B5" w:rsidP="00A470B5">
      <w:pPr>
        <w:pStyle w:val="BodyText"/>
        <w:spacing w:after="0" w:line="240" w:lineRule="auto"/>
      </w:pPr>
      <w:r>
        <w:t xml:space="preserve">Exhibit </w:t>
      </w:r>
      <w:r w:rsidR="00410215">
        <w:t>3</w:t>
      </w:r>
      <w:r>
        <w:t xml:space="preserve"> provides the reporting schedule for the entire study</w:t>
      </w:r>
      <w:r w:rsidRPr="00C076CD">
        <w:t xml:space="preserve">. </w:t>
      </w:r>
    </w:p>
    <w:p w:rsidR="00A470B5" w:rsidRDefault="00A470B5" w:rsidP="00A470B5">
      <w:pPr>
        <w:pStyle w:val="BodyText"/>
        <w:spacing w:after="0" w:line="240" w:lineRule="auto"/>
      </w:pPr>
    </w:p>
    <w:p w:rsidR="00A470B5" w:rsidRDefault="00A470B5" w:rsidP="00A470B5">
      <w:pPr>
        <w:pStyle w:val="ExhibitTitle"/>
        <w:pBdr>
          <w:bottom w:val="single" w:sz="4" w:space="2" w:color="000000"/>
        </w:pBdr>
        <w:spacing w:before="0" w:after="0" w:line="240" w:lineRule="auto"/>
        <w:rPr>
          <w:b w:val="0"/>
          <w:bCs/>
        </w:rPr>
      </w:pPr>
      <w:bookmarkStart w:id="33" w:name="_Toc352603624"/>
      <w:r>
        <w:lastRenderedPageBreak/>
        <w:t xml:space="preserve">Exhibit </w:t>
      </w:r>
      <w:r w:rsidR="000B6177">
        <w:t>3</w:t>
      </w:r>
      <w:r w:rsidRPr="00236F95">
        <w:t xml:space="preserve">: Timetable for Data Collection </w:t>
      </w:r>
      <w:r>
        <w:t>a</w:t>
      </w:r>
      <w:r w:rsidRPr="00236F95">
        <w:t>nd</w:t>
      </w:r>
      <w:r w:rsidRPr="00BC09A8">
        <w:t xml:space="preserve"> Publication </w:t>
      </w:r>
      <w:proofErr w:type="gramStart"/>
      <w:r w:rsidRPr="00BC09A8">
        <w:t>For</w:t>
      </w:r>
      <w:proofErr w:type="gramEnd"/>
      <w:r w:rsidRPr="00BC09A8">
        <w:t xml:space="preserve"> Other Data Collection Efforts</w:t>
      </w:r>
      <w:bookmarkEnd w:id="33"/>
    </w:p>
    <w:p w:rsidR="00A470B5" w:rsidRDefault="00A470B5" w:rsidP="00A470B5">
      <w:pPr>
        <w:autoSpaceDE w:val="0"/>
        <w:autoSpaceDN w:val="0"/>
        <w:adjustRightInd w:val="0"/>
        <w:rPr>
          <w:b/>
          <w:bCs/>
        </w:rPr>
      </w:pPr>
    </w:p>
    <w:tbl>
      <w:tblPr>
        <w:tblW w:w="9289" w:type="dxa"/>
        <w:tblInd w:w="89" w:type="dxa"/>
        <w:tblLook w:val="04A0" w:firstRow="1" w:lastRow="0" w:firstColumn="1" w:lastColumn="0" w:noHBand="0" w:noVBand="1"/>
      </w:tblPr>
      <w:tblGrid>
        <w:gridCol w:w="6409"/>
        <w:gridCol w:w="1440"/>
        <w:gridCol w:w="1440"/>
      </w:tblGrid>
      <w:tr w:rsidR="00A470B5" w:rsidRPr="006E72B3" w:rsidTr="00A8377B">
        <w:trPr>
          <w:trHeight w:val="20"/>
        </w:trPr>
        <w:tc>
          <w:tcPr>
            <w:tcW w:w="6409" w:type="dxa"/>
            <w:tcBorders>
              <w:top w:val="single" w:sz="8" w:space="0" w:color="000000"/>
              <w:left w:val="nil"/>
              <w:bottom w:val="single" w:sz="8" w:space="0" w:color="000000"/>
              <w:right w:val="nil"/>
            </w:tcBorders>
            <w:shd w:val="clear" w:color="000000" w:fill="FFFFFF" w:themeFill="background1"/>
            <w:noWrap/>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Activity</w:t>
            </w:r>
          </w:p>
        </w:tc>
        <w:tc>
          <w:tcPr>
            <w:tcW w:w="1440" w:type="dxa"/>
            <w:tcBorders>
              <w:top w:val="single" w:sz="8" w:space="0" w:color="000000"/>
              <w:left w:val="nil"/>
              <w:bottom w:val="single" w:sz="8" w:space="0" w:color="000000"/>
              <w:right w:val="nil"/>
            </w:tcBorders>
            <w:shd w:val="clear" w:color="000000" w:fill="FFFFFF" w:themeFill="background1"/>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Estimated</w:t>
            </w:r>
          </w:p>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Start Date</w:t>
            </w:r>
          </w:p>
        </w:tc>
        <w:tc>
          <w:tcPr>
            <w:tcW w:w="1440" w:type="dxa"/>
            <w:tcBorders>
              <w:top w:val="single" w:sz="8" w:space="0" w:color="000000"/>
              <w:left w:val="nil"/>
              <w:bottom w:val="single" w:sz="8" w:space="0" w:color="000000"/>
              <w:right w:val="nil"/>
            </w:tcBorders>
            <w:shd w:val="clear" w:color="000000" w:fill="FFFFFF" w:themeFill="background1"/>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Estimated</w:t>
            </w:r>
          </w:p>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End Date</w:t>
            </w:r>
          </w:p>
        </w:tc>
      </w:tr>
      <w:tr w:rsidR="00A470B5" w:rsidRPr="006E72B3" w:rsidTr="00A8377B">
        <w:trPr>
          <w:trHeight w:val="20"/>
        </w:trPr>
        <w:tc>
          <w:tcPr>
            <w:tcW w:w="6409" w:type="dxa"/>
            <w:tcBorders>
              <w:top w:val="nil"/>
              <w:left w:val="nil"/>
              <w:bottom w:val="nil"/>
              <w:right w:val="nil"/>
            </w:tcBorders>
            <w:shd w:val="clear" w:color="000000" w:fill="D8D8D8"/>
            <w:noWrap/>
            <w:vAlign w:val="center"/>
            <w:hideMark/>
          </w:tcPr>
          <w:p w:rsidR="00A470B5" w:rsidRPr="006E72B3" w:rsidRDefault="00A07729" w:rsidP="00A07729">
            <w:pPr>
              <w:rPr>
                <w:rFonts w:ascii="Arial Narrow" w:hAnsi="Arial Narrow"/>
                <w:b/>
                <w:bCs/>
                <w:color w:val="000000"/>
                <w:sz w:val="20"/>
                <w:szCs w:val="20"/>
              </w:rPr>
            </w:pPr>
            <w:r>
              <w:rPr>
                <w:rFonts w:ascii="Arial Narrow" w:hAnsi="Arial Narrow"/>
                <w:b/>
                <w:bCs/>
                <w:color w:val="000000"/>
                <w:sz w:val="20"/>
                <w:szCs w:val="20"/>
              </w:rPr>
              <w:t>Feasibility Study</w:t>
            </w: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A07729" w:rsidP="00A8377B">
            <w:pPr>
              <w:ind w:firstLineChars="100" w:firstLine="200"/>
              <w:rPr>
                <w:rFonts w:ascii="Arial Narrow" w:hAnsi="Arial Narrow"/>
                <w:color w:val="000000"/>
                <w:sz w:val="20"/>
                <w:szCs w:val="20"/>
              </w:rPr>
            </w:pPr>
            <w:r>
              <w:rPr>
                <w:rFonts w:ascii="Arial Narrow" w:hAnsi="Arial Narrow"/>
                <w:color w:val="000000"/>
                <w:sz w:val="20"/>
                <w:szCs w:val="20"/>
              </w:rPr>
              <w:t xml:space="preserve">Final </w:t>
            </w:r>
            <w:proofErr w:type="spellStart"/>
            <w:r>
              <w:rPr>
                <w:rFonts w:ascii="Arial Narrow" w:hAnsi="Arial Narrow"/>
                <w:color w:val="000000"/>
                <w:sz w:val="20"/>
                <w:szCs w:val="20"/>
              </w:rPr>
              <w:t>PreK</w:t>
            </w:r>
            <w:proofErr w:type="spellEnd"/>
            <w:r>
              <w:rPr>
                <w:rFonts w:ascii="Arial Narrow" w:hAnsi="Arial Narrow"/>
                <w:color w:val="000000"/>
                <w:sz w:val="20"/>
                <w:szCs w:val="20"/>
              </w:rPr>
              <w:t xml:space="preserve"> design</w:t>
            </w:r>
          </w:p>
        </w:tc>
        <w:tc>
          <w:tcPr>
            <w:tcW w:w="1440" w:type="dxa"/>
            <w:tcBorders>
              <w:top w:val="nil"/>
              <w:left w:val="nil"/>
              <w:bottom w:val="nil"/>
              <w:right w:val="nil"/>
            </w:tcBorders>
            <w:shd w:val="clear" w:color="auto" w:fill="auto"/>
            <w:noWrap/>
            <w:vAlign w:val="center"/>
            <w:hideMark/>
          </w:tcPr>
          <w:p w:rsidR="00A470B5" w:rsidRPr="006E72B3" w:rsidRDefault="004B621D" w:rsidP="004B621D">
            <w:pPr>
              <w:rPr>
                <w:rFonts w:ascii="Arial Narrow" w:hAnsi="Arial Narrow"/>
                <w:color w:val="000000"/>
                <w:sz w:val="20"/>
                <w:szCs w:val="20"/>
              </w:rPr>
            </w:pPr>
            <w:r>
              <w:rPr>
                <w:rFonts w:ascii="Arial Narrow" w:hAnsi="Arial Narrow"/>
                <w:color w:val="000000"/>
                <w:sz w:val="20"/>
                <w:szCs w:val="20"/>
              </w:rPr>
              <w:t>January</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c>
          <w:tcPr>
            <w:tcW w:w="1440" w:type="dxa"/>
            <w:tcBorders>
              <w:top w:val="nil"/>
              <w:left w:val="nil"/>
              <w:bottom w:val="nil"/>
              <w:right w:val="nil"/>
            </w:tcBorders>
            <w:shd w:val="clear" w:color="auto" w:fill="auto"/>
            <w:noWrap/>
            <w:vAlign w:val="center"/>
            <w:hideMark/>
          </w:tcPr>
          <w:p w:rsidR="00A470B5" w:rsidRPr="006E72B3" w:rsidRDefault="009A2E74" w:rsidP="004B621D">
            <w:pPr>
              <w:rPr>
                <w:rFonts w:ascii="Arial Narrow" w:hAnsi="Arial Narrow"/>
                <w:color w:val="000000"/>
                <w:sz w:val="20"/>
                <w:szCs w:val="20"/>
              </w:rPr>
            </w:pPr>
            <w:r>
              <w:rPr>
                <w:rFonts w:ascii="Arial Narrow" w:hAnsi="Arial Narrow"/>
                <w:color w:val="000000"/>
                <w:sz w:val="20"/>
                <w:szCs w:val="20"/>
              </w:rPr>
              <w:t>February</w:t>
            </w:r>
            <w:r w:rsidR="00A470B5">
              <w:rPr>
                <w:rFonts w:ascii="Arial Narrow" w:hAnsi="Arial Narrow"/>
                <w:color w:val="000000"/>
                <w:sz w:val="20"/>
                <w:szCs w:val="20"/>
              </w:rPr>
              <w:t xml:space="preserve"> </w:t>
            </w:r>
            <w:r w:rsidR="00A470B5" w:rsidRPr="006E72B3">
              <w:rPr>
                <w:rFonts w:ascii="Arial Narrow" w:hAnsi="Arial Narrow"/>
                <w:color w:val="000000"/>
                <w:sz w:val="20"/>
                <w:szCs w:val="20"/>
              </w:rPr>
              <w:t xml:space="preserve"> 201</w:t>
            </w:r>
            <w:r w:rsidR="004B621D">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Obtain IRB approval</w:t>
            </w:r>
          </w:p>
        </w:tc>
        <w:tc>
          <w:tcPr>
            <w:tcW w:w="1440" w:type="dxa"/>
            <w:tcBorders>
              <w:top w:val="nil"/>
              <w:left w:val="nil"/>
              <w:bottom w:val="nil"/>
              <w:right w:val="nil"/>
            </w:tcBorders>
            <w:shd w:val="clear" w:color="auto" w:fill="auto"/>
            <w:vAlign w:val="center"/>
            <w:hideMark/>
          </w:tcPr>
          <w:p w:rsidR="00A470B5" w:rsidRPr="006E72B3" w:rsidRDefault="004B621D" w:rsidP="004B621D">
            <w:pPr>
              <w:rPr>
                <w:rFonts w:ascii="Arial Narrow" w:hAnsi="Arial Narrow"/>
                <w:color w:val="000000"/>
                <w:sz w:val="20"/>
                <w:szCs w:val="20"/>
              </w:rPr>
            </w:pPr>
            <w:r>
              <w:rPr>
                <w:rFonts w:ascii="Arial Narrow" w:hAnsi="Arial Narrow"/>
                <w:color w:val="000000"/>
                <w:sz w:val="20"/>
                <w:szCs w:val="20"/>
              </w:rPr>
              <w:t>March 2</w:t>
            </w:r>
            <w:r w:rsidR="00A470B5" w:rsidRPr="006E72B3">
              <w:rPr>
                <w:rFonts w:ascii="Arial Narrow" w:hAnsi="Arial Narrow"/>
                <w:color w:val="000000"/>
                <w:sz w:val="20"/>
                <w:szCs w:val="20"/>
              </w:rPr>
              <w:t>01</w:t>
            </w:r>
            <w:r>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4B621D" w:rsidP="004B621D">
            <w:pPr>
              <w:rPr>
                <w:rFonts w:ascii="Arial Narrow" w:hAnsi="Arial Narrow"/>
                <w:color w:val="000000"/>
                <w:sz w:val="20"/>
                <w:szCs w:val="20"/>
              </w:rPr>
            </w:pPr>
            <w:r>
              <w:rPr>
                <w:rFonts w:ascii="Arial Narrow" w:hAnsi="Arial Narrow"/>
                <w:color w:val="000000"/>
                <w:sz w:val="20"/>
                <w:szCs w:val="20"/>
              </w:rPr>
              <w:t>April</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Obtain OMB approval</w:t>
            </w:r>
          </w:p>
        </w:tc>
        <w:tc>
          <w:tcPr>
            <w:tcW w:w="1440" w:type="dxa"/>
            <w:tcBorders>
              <w:top w:val="nil"/>
              <w:left w:val="nil"/>
              <w:bottom w:val="nil"/>
              <w:right w:val="nil"/>
            </w:tcBorders>
            <w:shd w:val="clear" w:color="auto" w:fill="auto"/>
            <w:vAlign w:val="center"/>
            <w:hideMark/>
          </w:tcPr>
          <w:p w:rsidR="00A470B5" w:rsidRPr="006E72B3" w:rsidRDefault="004B621D" w:rsidP="004B621D">
            <w:pPr>
              <w:rPr>
                <w:rFonts w:ascii="Arial Narrow" w:hAnsi="Arial Narrow"/>
                <w:color w:val="000000"/>
                <w:sz w:val="20"/>
                <w:szCs w:val="20"/>
              </w:rPr>
            </w:pPr>
            <w:r>
              <w:rPr>
                <w:rFonts w:ascii="Arial Narrow" w:hAnsi="Arial Narrow"/>
                <w:color w:val="000000"/>
                <w:sz w:val="20"/>
                <w:szCs w:val="20"/>
              </w:rPr>
              <w:t>April</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A470B5" w:rsidP="004B621D">
            <w:pPr>
              <w:rPr>
                <w:rFonts w:ascii="Arial Narrow" w:hAnsi="Arial Narrow"/>
                <w:color w:val="000000"/>
                <w:sz w:val="20"/>
                <w:szCs w:val="20"/>
              </w:rPr>
            </w:pPr>
            <w:r w:rsidRPr="006E72B3">
              <w:rPr>
                <w:rFonts w:ascii="Arial Narrow" w:hAnsi="Arial Narrow"/>
                <w:color w:val="000000"/>
                <w:sz w:val="20"/>
                <w:szCs w:val="20"/>
              </w:rPr>
              <w:t>Ju</w:t>
            </w:r>
            <w:r w:rsidR="004B621D">
              <w:rPr>
                <w:rFonts w:ascii="Arial Narrow" w:hAnsi="Arial Narrow"/>
                <w:color w:val="000000"/>
                <w:sz w:val="20"/>
                <w:szCs w:val="20"/>
              </w:rPr>
              <w:t>ne</w:t>
            </w:r>
            <w:r w:rsidRPr="006E72B3">
              <w:rPr>
                <w:rFonts w:ascii="Arial Narrow" w:hAnsi="Arial Narrow"/>
                <w:color w:val="000000"/>
                <w:sz w:val="20"/>
                <w:szCs w:val="20"/>
              </w:rPr>
              <w:t xml:space="preserve"> 201</w:t>
            </w:r>
            <w:r w:rsidR="004B621D">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 xml:space="preserve">Sampling Plan </w:t>
            </w: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4C0028" w:rsidP="004C0028">
            <w:pPr>
              <w:ind w:firstLineChars="100" w:firstLine="200"/>
              <w:rPr>
                <w:rFonts w:ascii="Arial Narrow" w:hAnsi="Arial Narrow"/>
                <w:color w:val="000000"/>
                <w:sz w:val="20"/>
                <w:szCs w:val="20"/>
              </w:rPr>
            </w:pPr>
            <w:r>
              <w:rPr>
                <w:rFonts w:ascii="Arial Narrow" w:hAnsi="Arial Narrow"/>
                <w:color w:val="000000"/>
                <w:sz w:val="20"/>
                <w:szCs w:val="20"/>
              </w:rPr>
              <w:t>Identify potential non-MRC match sites</w:t>
            </w:r>
          </w:p>
        </w:tc>
        <w:tc>
          <w:tcPr>
            <w:tcW w:w="1440" w:type="dxa"/>
            <w:tcBorders>
              <w:top w:val="nil"/>
              <w:left w:val="nil"/>
              <w:bottom w:val="nil"/>
              <w:right w:val="nil"/>
            </w:tcBorders>
            <w:shd w:val="clear" w:color="auto" w:fill="auto"/>
            <w:vAlign w:val="center"/>
            <w:hideMark/>
          </w:tcPr>
          <w:p w:rsidR="00A470B5" w:rsidRPr="006E72B3" w:rsidRDefault="00A470B5" w:rsidP="00D3177E">
            <w:pPr>
              <w:rPr>
                <w:rFonts w:ascii="Arial Narrow" w:hAnsi="Arial Narrow"/>
                <w:color w:val="000000"/>
                <w:sz w:val="20"/>
                <w:szCs w:val="20"/>
              </w:rPr>
            </w:pPr>
            <w:r w:rsidRPr="006E72B3">
              <w:rPr>
                <w:rFonts w:ascii="Arial Narrow" w:hAnsi="Arial Narrow"/>
                <w:color w:val="000000"/>
                <w:sz w:val="20"/>
                <w:szCs w:val="20"/>
              </w:rPr>
              <w:t>February 201</w:t>
            </w:r>
            <w:r w:rsidR="00D3177E">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9A2E74" w:rsidP="00D3177E">
            <w:pPr>
              <w:rPr>
                <w:rFonts w:ascii="Arial Narrow" w:hAnsi="Arial Narrow"/>
                <w:color w:val="000000"/>
                <w:sz w:val="20"/>
                <w:szCs w:val="20"/>
              </w:rPr>
            </w:pPr>
            <w:r>
              <w:rPr>
                <w:rFonts w:ascii="Arial Narrow" w:hAnsi="Arial Narrow"/>
                <w:color w:val="000000"/>
                <w:sz w:val="20"/>
                <w:szCs w:val="20"/>
              </w:rPr>
              <w:t>March</w:t>
            </w:r>
            <w:r w:rsidR="00A470B5" w:rsidRPr="006E72B3">
              <w:rPr>
                <w:rFonts w:ascii="Arial Narrow" w:hAnsi="Arial Narrow"/>
                <w:color w:val="000000"/>
                <w:sz w:val="20"/>
                <w:szCs w:val="20"/>
              </w:rPr>
              <w:t xml:space="preserve"> 201</w:t>
            </w:r>
            <w:r w:rsidR="00D3177E">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4C0028" w:rsidP="00A8377B">
            <w:pPr>
              <w:ind w:firstLineChars="100" w:firstLine="200"/>
              <w:rPr>
                <w:rFonts w:ascii="Arial Narrow" w:hAnsi="Arial Narrow"/>
                <w:color w:val="000000"/>
                <w:sz w:val="20"/>
                <w:szCs w:val="20"/>
              </w:rPr>
            </w:pPr>
            <w:r>
              <w:rPr>
                <w:rFonts w:ascii="Arial Narrow" w:hAnsi="Arial Narrow"/>
                <w:color w:val="000000"/>
                <w:sz w:val="20"/>
                <w:szCs w:val="20"/>
              </w:rPr>
              <w:t>Recruit MRC and non-MRC match sites</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March</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April</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4C0028" w:rsidP="004C0028">
            <w:pPr>
              <w:ind w:left="181"/>
              <w:rPr>
                <w:rFonts w:ascii="Arial Narrow" w:hAnsi="Arial Narrow"/>
                <w:color w:val="000000"/>
                <w:sz w:val="20"/>
                <w:szCs w:val="20"/>
              </w:rPr>
            </w:pPr>
            <w:r>
              <w:rPr>
                <w:rFonts w:ascii="Arial Narrow" w:hAnsi="Arial Narrow"/>
                <w:color w:val="000000"/>
                <w:sz w:val="20"/>
                <w:szCs w:val="20"/>
              </w:rPr>
              <w:t>Obtain IRB approvals from school districts</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April</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June</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D8D8D8" w:fill="D8D8D8"/>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Implement Data Collection</w:t>
            </w:r>
          </w:p>
        </w:tc>
        <w:tc>
          <w:tcPr>
            <w:tcW w:w="1440" w:type="dxa"/>
            <w:tcBorders>
              <w:top w:val="nil"/>
              <w:left w:val="nil"/>
              <w:bottom w:val="nil"/>
              <w:right w:val="nil"/>
            </w:tcBorders>
            <w:shd w:val="clear" w:color="000000" w:fill="D8D8D8"/>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8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 xml:space="preserve">Program on-line </w:t>
            </w:r>
            <w:r w:rsidR="004C0028">
              <w:rPr>
                <w:rFonts w:ascii="Arial Narrow" w:hAnsi="Arial Narrow"/>
                <w:color w:val="000000"/>
                <w:sz w:val="20"/>
                <w:szCs w:val="20"/>
              </w:rPr>
              <w:t xml:space="preserve">Follow-up </w:t>
            </w:r>
            <w:r w:rsidRPr="006E72B3">
              <w:rPr>
                <w:rFonts w:ascii="Arial Narrow" w:hAnsi="Arial Narrow"/>
                <w:color w:val="000000"/>
                <w:sz w:val="20"/>
                <w:szCs w:val="20"/>
              </w:rPr>
              <w:t>Member Survey</w:t>
            </w:r>
          </w:p>
        </w:tc>
        <w:tc>
          <w:tcPr>
            <w:tcW w:w="1440" w:type="dxa"/>
            <w:tcBorders>
              <w:top w:val="nil"/>
              <w:left w:val="nil"/>
              <w:bottom w:val="nil"/>
              <w:right w:val="nil"/>
            </w:tcBorders>
            <w:shd w:val="clear" w:color="auto" w:fill="auto"/>
            <w:vAlign w:val="center"/>
            <w:hideMark/>
          </w:tcPr>
          <w:p w:rsidR="00A470B5" w:rsidRPr="006E72B3" w:rsidRDefault="00A470B5" w:rsidP="00D3177E">
            <w:pPr>
              <w:rPr>
                <w:rFonts w:ascii="Arial Narrow" w:hAnsi="Arial Narrow"/>
                <w:color w:val="000000"/>
                <w:sz w:val="20"/>
                <w:szCs w:val="20"/>
              </w:rPr>
            </w:pPr>
            <w:r>
              <w:rPr>
                <w:rFonts w:ascii="Arial Narrow" w:hAnsi="Arial Narrow"/>
                <w:color w:val="000000"/>
                <w:sz w:val="20"/>
                <w:szCs w:val="20"/>
              </w:rPr>
              <w:t>Ma</w:t>
            </w:r>
            <w:r w:rsidR="00D3177E">
              <w:rPr>
                <w:rFonts w:ascii="Arial Narrow" w:hAnsi="Arial Narrow"/>
                <w:color w:val="000000"/>
                <w:sz w:val="20"/>
                <w:szCs w:val="20"/>
              </w:rPr>
              <w:t>y</w:t>
            </w:r>
            <w:r w:rsidRPr="006E72B3">
              <w:rPr>
                <w:rFonts w:ascii="Arial Narrow" w:hAnsi="Arial Narrow"/>
                <w:color w:val="000000"/>
                <w:sz w:val="20"/>
                <w:szCs w:val="20"/>
              </w:rPr>
              <w:t xml:space="preserve"> 201</w:t>
            </w:r>
            <w:r w:rsidR="00D3177E">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May</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 xml:space="preserve">Beta-test on-line </w:t>
            </w:r>
            <w:r w:rsidR="004C0028">
              <w:rPr>
                <w:rFonts w:ascii="Arial Narrow" w:hAnsi="Arial Narrow"/>
                <w:color w:val="000000"/>
                <w:sz w:val="20"/>
                <w:szCs w:val="20"/>
              </w:rPr>
              <w:t xml:space="preserve">Follow-up </w:t>
            </w:r>
            <w:r w:rsidRPr="006E72B3">
              <w:rPr>
                <w:rFonts w:ascii="Arial Narrow" w:hAnsi="Arial Narrow"/>
                <w:color w:val="000000"/>
                <w:sz w:val="20"/>
                <w:szCs w:val="20"/>
              </w:rPr>
              <w:t>Member survey</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 xml:space="preserve">May </w:t>
            </w:r>
            <w:r w:rsidR="00A470B5" w:rsidRPr="006E72B3">
              <w:rPr>
                <w:rFonts w:ascii="Arial Narrow" w:hAnsi="Arial Narrow"/>
                <w:color w:val="000000"/>
                <w:sz w:val="20"/>
                <w:szCs w:val="20"/>
              </w:rPr>
              <w:t>201</w:t>
            </w:r>
            <w:r>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May</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4C0028">
            <w:pPr>
              <w:ind w:firstLineChars="100" w:firstLine="200"/>
              <w:rPr>
                <w:rFonts w:ascii="Arial Narrow" w:hAnsi="Arial Narrow"/>
                <w:color w:val="000000"/>
                <w:sz w:val="20"/>
                <w:szCs w:val="20"/>
              </w:rPr>
            </w:pPr>
            <w:r w:rsidRPr="006E72B3">
              <w:rPr>
                <w:rFonts w:ascii="Arial Narrow" w:hAnsi="Arial Narrow"/>
                <w:color w:val="000000"/>
                <w:sz w:val="20"/>
                <w:szCs w:val="20"/>
              </w:rPr>
              <w:t xml:space="preserve">Survey AC members </w:t>
            </w:r>
          </w:p>
        </w:tc>
        <w:tc>
          <w:tcPr>
            <w:tcW w:w="1440" w:type="dxa"/>
            <w:tcBorders>
              <w:top w:val="nil"/>
              <w:left w:val="nil"/>
              <w:bottom w:val="nil"/>
              <w:right w:val="nil"/>
            </w:tcBorders>
            <w:shd w:val="clear" w:color="auto" w:fill="auto"/>
            <w:vAlign w:val="center"/>
            <w:hideMark/>
          </w:tcPr>
          <w:p w:rsidR="00A470B5" w:rsidRPr="006E72B3" w:rsidRDefault="00A470B5" w:rsidP="00D3177E">
            <w:pPr>
              <w:rPr>
                <w:rFonts w:ascii="Arial Narrow" w:hAnsi="Arial Narrow"/>
                <w:color w:val="000000"/>
                <w:sz w:val="20"/>
                <w:szCs w:val="20"/>
              </w:rPr>
            </w:pPr>
            <w:r w:rsidRPr="006E72B3">
              <w:rPr>
                <w:rFonts w:ascii="Arial Narrow" w:hAnsi="Arial Narrow"/>
                <w:color w:val="000000"/>
                <w:sz w:val="20"/>
                <w:szCs w:val="20"/>
              </w:rPr>
              <w:t>Ju</w:t>
            </w:r>
            <w:r w:rsidR="00D3177E">
              <w:rPr>
                <w:rFonts w:ascii="Arial Narrow" w:hAnsi="Arial Narrow"/>
                <w:color w:val="000000"/>
                <w:sz w:val="20"/>
                <w:szCs w:val="20"/>
              </w:rPr>
              <w:t>ne</w:t>
            </w:r>
            <w:r w:rsidRPr="006E72B3">
              <w:rPr>
                <w:rFonts w:ascii="Arial Narrow" w:hAnsi="Arial Narrow"/>
                <w:color w:val="000000"/>
                <w:sz w:val="20"/>
                <w:szCs w:val="20"/>
              </w:rPr>
              <w:t xml:space="preserve"> 201</w:t>
            </w:r>
            <w:r w:rsidR="00D3177E">
              <w:rPr>
                <w:rFonts w:ascii="Arial Narrow" w:hAnsi="Arial Narrow"/>
                <w:color w:val="000000"/>
                <w:sz w:val="20"/>
                <w:szCs w:val="20"/>
              </w:rPr>
              <w:t>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July</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382915" w:rsidRPr="006E72B3" w:rsidTr="00A8377B">
        <w:trPr>
          <w:trHeight w:val="20"/>
        </w:trPr>
        <w:tc>
          <w:tcPr>
            <w:tcW w:w="6409" w:type="dxa"/>
            <w:tcBorders>
              <w:top w:val="nil"/>
              <w:left w:val="nil"/>
              <w:bottom w:val="nil"/>
              <w:right w:val="nil"/>
            </w:tcBorders>
            <w:shd w:val="clear" w:color="auto" w:fill="auto"/>
            <w:vAlign w:val="center"/>
          </w:tcPr>
          <w:p w:rsidR="00382915" w:rsidRDefault="00382915" w:rsidP="00A8377B">
            <w:pPr>
              <w:ind w:firstLineChars="100" w:firstLine="200"/>
              <w:rPr>
                <w:rFonts w:ascii="Arial Narrow" w:hAnsi="Arial Narrow"/>
                <w:color w:val="000000"/>
                <w:sz w:val="20"/>
                <w:szCs w:val="20"/>
              </w:rPr>
            </w:pPr>
            <w:r>
              <w:rPr>
                <w:rFonts w:ascii="Arial Narrow" w:hAnsi="Arial Narrow"/>
                <w:color w:val="000000"/>
                <w:sz w:val="20"/>
                <w:szCs w:val="20"/>
              </w:rPr>
              <w:t>Train IGDI Assessors</w:t>
            </w:r>
          </w:p>
        </w:tc>
        <w:tc>
          <w:tcPr>
            <w:tcW w:w="1440" w:type="dxa"/>
            <w:tcBorders>
              <w:top w:val="nil"/>
              <w:left w:val="nil"/>
              <w:bottom w:val="nil"/>
              <w:right w:val="nil"/>
            </w:tcBorders>
            <w:shd w:val="clear" w:color="auto" w:fill="auto"/>
            <w:vAlign w:val="center"/>
          </w:tcPr>
          <w:p w:rsidR="00382915" w:rsidRDefault="00382915" w:rsidP="00D3177E">
            <w:pPr>
              <w:rPr>
                <w:rFonts w:ascii="Arial Narrow" w:hAnsi="Arial Narrow"/>
                <w:color w:val="000000"/>
                <w:sz w:val="20"/>
                <w:szCs w:val="20"/>
              </w:rPr>
            </w:pPr>
            <w:r>
              <w:rPr>
                <w:rFonts w:ascii="Arial Narrow" w:hAnsi="Arial Narrow"/>
                <w:color w:val="000000"/>
                <w:sz w:val="20"/>
                <w:szCs w:val="20"/>
              </w:rPr>
              <w:t>August 2013</w:t>
            </w:r>
          </w:p>
        </w:tc>
        <w:tc>
          <w:tcPr>
            <w:tcW w:w="1440" w:type="dxa"/>
            <w:tcBorders>
              <w:top w:val="nil"/>
              <w:left w:val="nil"/>
              <w:bottom w:val="nil"/>
              <w:right w:val="nil"/>
            </w:tcBorders>
            <w:shd w:val="clear" w:color="auto" w:fill="auto"/>
            <w:vAlign w:val="center"/>
          </w:tcPr>
          <w:p w:rsidR="00382915" w:rsidRPr="006E72B3" w:rsidRDefault="00382915" w:rsidP="00D3177E">
            <w:pPr>
              <w:rPr>
                <w:rFonts w:ascii="Arial Narrow" w:hAnsi="Arial Narrow"/>
                <w:color w:val="000000"/>
                <w:sz w:val="20"/>
                <w:szCs w:val="20"/>
              </w:rPr>
            </w:pPr>
            <w:r>
              <w:rPr>
                <w:rFonts w:ascii="Arial Narrow" w:hAnsi="Arial Narrow"/>
                <w:color w:val="000000"/>
                <w:sz w:val="20"/>
                <w:szCs w:val="20"/>
              </w:rPr>
              <w:t>August 2013</w:t>
            </w: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9A2E74" w:rsidP="004C0028">
            <w:pPr>
              <w:ind w:firstLineChars="100" w:firstLine="200"/>
              <w:rPr>
                <w:rFonts w:ascii="Arial Narrow" w:hAnsi="Arial Narrow"/>
                <w:color w:val="000000"/>
                <w:sz w:val="20"/>
                <w:szCs w:val="20"/>
              </w:rPr>
            </w:pPr>
            <w:r>
              <w:rPr>
                <w:rFonts w:ascii="Arial Narrow" w:hAnsi="Arial Narrow"/>
                <w:iCs/>
                <w:color w:val="000000"/>
                <w:sz w:val="20"/>
                <w:szCs w:val="20"/>
              </w:rPr>
              <w:t>Conduct Fall IGDI assessments</w:t>
            </w:r>
          </w:p>
        </w:tc>
        <w:tc>
          <w:tcPr>
            <w:tcW w:w="1440" w:type="dxa"/>
            <w:tcBorders>
              <w:top w:val="nil"/>
              <w:left w:val="nil"/>
              <w:bottom w:val="nil"/>
              <w:right w:val="nil"/>
            </w:tcBorders>
            <w:shd w:val="clear" w:color="auto" w:fill="auto"/>
            <w:noWrap/>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September</w:t>
            </w:r>
            <w:r w:rsidR="00A470B5">
              <w:rPr>
                <w:rFonts w:ascii="Arial Narrow" w:hAnsi="Arial Narrow"/>
                <w:color w:val="000000"/>
                <w:sz w:val="20"/>
                <w:szCs w:val="20"/>
              </w:rPr>
              <w:t xml:space="preserve"> </w:t>
            </w:r>
            <w:r w:rsidR="00A470B5" w:rsidRPr="006E72B3">
              <w:rPr>
                <w:rFonts w:ascii="Arial Narrow" w:hAnsi="Arial Narrow"/>
                <w:color w:val="000000"/>
                <w:sz w:val="20"/>
                <w:szCs w:val="20"/>
              </w:rPr>
              <w:t>201</w:t>
            </w:r>
            <w:r>
              <w:rPr>
                <w:rFonts w:ascii="Arial Narrow" w:hAnsi="Arial Narrow"/>
                <w:color w:val="000000"/>
                <w:sz w:val="20"/>
                <w:szCs w:val="20"/>
              </w:rPr>
              <w:t>3</w:t>
            </w:r>
          </w:p>
        </w:tc>
        <w:tc>
          <w:tcPr>
            <w:tcW w:w="1440" w:type="dxa"/>
            <w:tcBorders>
              <w:top w:val="nil"/>
              <w:left w:val="nil"/>
              <w:bottom w:val="nil"/>
              <w:right w:val="nil"/>
            </w:tcBorders>
            <w:shd w:val="clear" w:color="auto" w:fill="auto"/>
            <w:noWrap/>
            <w:vAlign w:val="center"/>
            <w:hideMark/>
          </w:tcPr>
          <w:p w:rsidR="00A470B5" w:rsidRPr="006E72B3" w:rsidRDefault="009A2E74" w:rsidP="00D3177E">
            <w:pPr>
              <w:rPr>
                <w:rFonts w:ascii="Arial Narrow" w:hAnsi="Arial Narrow"/>
                <w:color w:val="000000"/>
                <w:sz w:val="20"/>
                <w:szCs w:val="20"/>
              </w:rPr>
            </w:pPr>
            <w:r>
              <w:rPr>
                <w:rFonts w:ascii="Arial Narrow" w:hAnsi="Arial Narrow"/>
                <w:color w:val="000000"/>
                <w:sz w:val="20"/>
                <w:szCs w:val="20"/>
              </w:rPr>
              <w:t>October</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9A2E74" w:rsidRPr="006E72B3" w:rsidTr="00A8377B">
        <w:trPr>
          <w:trHeight w:val="20"/>
        </w:trPr>
        <w:tc>
          <w:tcPr>
            <w:tcW w:w="6409" w:type="dxa"/>
            <w:tcBorders>
              <w:top w:val="nil"/>
              <w:left w:val="nil"/>
              <w:bottom w:val="nil"/>
              <w:right w:val="nil"/>
            </w:tcBorders>
            <w:shd w:val="clear" w:color="auto" w:fill="auto"/>
            <w:noWrap/>
            <w:vAlign w:val="center"/>
          </w:tcPr>
          <w:p w:rsidR="009A2E74" w:rsidRPr="006E72B3" w:rsidDel="009A2E74" w:rsidRDefault="009A2E74" w:rsidP="004C0028">
            <w:pPr>
              <w:ind w:firstLineChars="100" w:firstLine="200"/>
              <w:rPr>
                <w:rFonts w:ascii="Arial Narrow" w:hAnsi="Arial Narrow"/>
                <w:iCs/>
                <w:color w:val="000000"/>
                <w:sz w:val="20"/>
                <w:szCs w:val="20"/>
              </w:rPr>
            </w:pPr>
            <w:r>
              <w:rPr>
                <w:rFonts w:ascii="Arial Narrow" w:hAnsi="Arial Narrow"/>
                <w:iCs/>
                <w:color w:val="000000"/>
                <w:sz w:val="20"/>
                <w:szCs w:val="20"/>
              </w:rPr>
              <w:t>Conduct Winter IGDI assessments</w:t>
            </w:r>
          </w:p>
        </w:tc>
        <w:tc>
          <w:tcPr>
            <w:tcW w:w="1440" w:type="dxa"/>
            <w:tcBorders>
              <w:top w:val="nil"/>
              <w:left w:val="nil"/>
              <w:bottom w:val="nil"/>
              <w:right w:val="nil"/>
            </w:tcBorders>
            <w:shd w:val="clear" w:color="auto" w:fill="auto"/>
            <w:noWrap/>
            <w:vAlign w:val="center"/>
          </w:tcPr>
          <w:p w:rsidR="009A2E74" w:rsidRDefault="009A2E74" w:rsidP="00D3177E">
            <w:pPr>
              <w:rPr>
                <w:rFonts w:ascii="Arial Narrow" w:hAnsi="Arial Narrow"/>
                <w:color w:val="000000"/>
                <w:sz w:val="20"/>
                <w:szCs w:val="20"/>
              </w:rPr>
            </w:pPr>
            <w:r>
              <w:rPr>
                <w:rFonts w:ascii="Arial Narrow" w:hAnsi="Arial Narrow"/>
                <w:color w:val="000000"/>
                <w:sz w:val="20"/>
                <w:szCs w:val="20"/>
              </w:rPr>
              <w:t>January 2014</w:t>
            </w:r>
          </w:p>
        </w:tc>
        <w:tc>
          <w:tcPr>
            <w:tcW w:w="1440" w:type="dxa"/>
            <w:tcBorders>
              <w:top w:val="nil"/>
              <w:left w:val="nil"/>
              <w:bottom w:val="nil"/>
              <w:right w:val="nil"/>
            </w:tcBorders>
            <w:shd w:val="clear" w:color="auto" w:fill="auto"/>
            <w:noWrap/>
            <w:vAlign w:val="center"/>
          </w:tcPr>
          <w:p w:rsidR="009A2E74" w:rsidRDefault="009A2E74" w:rsidP="00D3177E">
            <w:pPr>
              <w:rPr>
                <w:rFonts w:ascii="Arial Narrow" w:hAnsi="Arial Narrow"/>
                <w:color w:val="000000"/>
                <w:sz w:val="20"/>
                <w:szCs w:val="20"/>
              </w:rPr>
            </w:pPr>
            <w:r>
              <w:rPr>
                <w:rFonts w:ascii="Arial Narrow" w:hAnsi="Arial Narrow"/>
                <w:color w:val="000000"/>
                <w:sz w:val="20"/>
                <w:szCs w:val="20"/>
              </w:rPr>
              <w:t>February 2014</w:t>
            </w:r>
          </w:p>
        </w:tc>
      </w:tr>
      <w:tr w:rsidR="009A2E74" w:rsidRPr="006E72B3" w:rsidTr="00A8377B">
        <w:trPr>
          <w:trHeight w:val="20"/>
        </w:trPr>
        <w:tc>
          <w:tcPr>
            <w:tcW w:w="6409" w:type="dxa"/>
            <w:tcBorders>
              <w:top w:val="nil"/>
              <w:left w:val="nil"/>
              <w:bottom w:val="nil"/>
              <w:right w:val="nil"/>
            </w:tcBorders>
            <w:shd w:val="clear" w:color="auto" w:fill="auto"/>
            <w:noWrap/>
            <w:vAlign w:val="center"/>
          </w:tcPr>
          <w:p w:rsidR="009A2E74" w:rsidRPr="006E72B3" w:rsidDel="009A2E74" w:rsidRDefault="009A2E74" w:rsidP="004C0028">
            <w:pPr>
              <w:ind w:firstLineChars="100" w:firstLine="200"/>
              <w:rPr>
                <w:rFonts w:ascii="Arial Narrow" w:hAnsi="Arial Narrow"/>
                <w:iCs/>
                <w:color w:val="000000"/>
                <w:sz w:val="20"/>
                <w:szCs w:val="20"/>
              </w:rPr>
            </w:pPr>
            <w:r>
              <w:rPr>
                <w:rFonts w:ascii="Arial Narrow" w:hAnsi="Arial Narrow"/>
                <w:iCs/>
                <w:color w:val="000000"/>
                <w:sz w:val="20"/>
                <w:szCs w:val="20"/>
              </w:rPr>
              <w:t>Conduct Spring IGDI assessments</w:t>
            </w:r>
          </w:p>
        </w:tc>
        <w:tc>
          <w:tcPr>
            <w:tcW w:w="1440" w:type="dxa"/>
            <w:tcBorders>
              <w:top w:val="nil"/>
              <w:left w:val="nil"/>
              <w:bottom w:val="nil"/>
              <w:right w:val="nil"/>
            </w:tcBorders>
            <w:shd w:val="clear" w:color="auto" w:fill="auto"/>
            <w:noWrap/>
            <w:vAlign w:val="center"/>
          </w:tcPr>
          <w:p w:rsidR="009A2E74" w:rsidRDefault="009A2E74" w:rsidP="00D3177E">
            <w:pPr>
              <w:rPr>
                <w:rFonts w:ascii="Arial Narrow" w:hAnsi="Arial Narrow"/>
                <w:color w:val="000000"/>
                <w:sz w:val="20"/>
                <w:szCs w:val="20"/>
              </w:rPr>
            </w:pPr>
            <w:r>
              <w:rPr>
                <w:rFonts w:ascii="Arial Narrow" w:hAnsi="Arial Narrow"/>
                <w:color w:val="000000"/>
                <w:sz w:val="20"/>
                <w:szCs w:val="20"/>
              </w:rPr>
              <w:t>May 2014</w:t>
            </w:r>
          </w:p>
        </w:tc>
        <w:tc>
          <w:tcPr>
            <w:tcW w:w="1440" w:type="dxa"/>
            <w:tcBorders>
              <w:top w:val="nil"/>
              <w:left w:val="nil"/>
              <w:bottom w:val="nil"/>
              <w:right w:val="nil"/>
            </w:tcBorders>
            <w:shd w:val="clear" w:color="auto" w:fill="auto"/>
            <w:noWrap/>
            <w:vAlign w:val="center"/>
          </w:tcPr>
          <w:p w:rsidR="009A2E74" w:rsidRDefault="009A2E74" w:rsidP="00D3177E">
            <w:pPr>
              <w:rPr>
                <w:rFonts w:ascii="Arial Narrow" w:hAnsi="Arial Narrow"/>
                <w:color w:val="000000"/>
                <w:sz w:val="20"/>
                <w:szCs w:val="20"/>
              </w:rPr>
            </w:pPr>
            <w:r>
              <w:rPr>
                <w:rFonts w:ascii="Arial Narrow" w:hAnsi="Arial Narrow"/>
                <w:color w:val="000000"/>
                <w:sz w:val="20"/>
                <w:szCs w:val="20"/>
              </w:rPr>
              <w:t>June 2014</w:t>
            </w:r>
          </w:p>
        </w:tc>
      </w:tr>
      <w:tr w:rsidR="00A470B5" w:rsidRPr="006E72B3" w:rsidTr="00A8377B">
        <w:trPr>
          <w:trHeight w:val="20"/>
        </w:trPr>
        <w:tc>
          <w:tcPr>
            <w:tcW w:w="6409" w:type="dxa"/>
            <w:tcBorders>
              <w:top w:val="nil"/>
              <w:left w:val="nil"/>
              <w:bottom w:val="nil"/>
              <w:right w:val="nil"/>
            </w:tcBorders>
            <w:shd w:val="clear" w:color="auto" w:fill="D9D9D9" w:themeFill="background1" w:themeFillShade="D9"/>
            <w:vAlign w:val="center"/>
            <w:hideMark/>
          </w:tcPr>
          <w:p w:rsidR="00A470B5" w:rsidRPr="006E72B3" w:rsidRDefault="004C0028" w:rsidP="00A8377B">
            <w:pPr>
              <w:rPr>
                <w:rFonts w:ascii="Arial Narrow" w:hAnsi="Arial Narrow"/>
                <w:b/>
                <w:bCs/>
                <w:color w:val="000000"/>
                <w:sz w:val="20"/>
                <w:szCs w:val="20"/>
              </w:rPr>
            </w:pPr>
            <w:r>
              <w:rPr>
                <w:rFonts w:ascii="Arial Narrow" w:hAnsi="Arial Narrow"/>
                <w:b/>
                <w:bCs/>
                <w:color w:val="000000"/>
                <w:sz w:val="20"/>
                <w:szCs w:val="20"/>
              </w:rPr>
              <w:t>An</w:t>
            </w:r>
            <w:r w:rsidR="00A470B5" w:rsidRPr="006E72B3">
              <w:rPr>
                <w:rFonts w:ascii="Arial Narrow" w:hAnsi="Arial Narrow"/>
                <w:b/>
                <w:bCs/>
                <w:color w:val="000000"/>
                <w:sz w:val="20"/>
                <w:szCs w:val="20"/>
              </w:rPr>
              <w:t>a</w:t>
            </w:r>
            <w:r>
              <w:rPr>
                <w:rFonts w:ascii="Arial Narrow" w:hAnsi="Arial Narrow"/>
                <w:b/>
                <w:bCs/>
                <w:color w:val="000000"/>
                <w:sz w:val="20"/>
                <w:szCs w:val="20"/>
              </w:rPr>
              <w:t>lysis Plan</w:t>
            </w:r>
          </w:p>
        </w:tc>
        <w:tc>
          <w:tcPr>
            <w:tcW w:w="1440" w:type="dxa"/>
            <w:tcBorders>
              <w:top w:val="nil"/>
              <w:left w:val="nil"/>
              <w:bottom w:val="nil"/>
              <w:right w:val="nil"/>
            </w:tcBorders>
            <w:shd w:val="clear" w:color="auto" w:fill="D9D9D9" w:themeFill="background1" w:themeFillShade="D9"/>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D9D9D9" w:themeFill="background1" w:themeFillShade="D9"/>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4C0028" w:rsidP="004C0028">
            <w:pPr>
              <w:ind w:firstLineChars="100" w:firstLine="200"/>
              <w:rPr>
                <w:rFonts w:ascii="Arial Narrow" w:hAnsi="Arial Narrow"/>
                <w:color w:val="000000"/>
                <w:sz w:val="20"/>
                <w:szCs w:val="20"/>
              </w:rPr>
            </w:pPr>
            <w:r>
              <w:rPr>
                <w:rFonts w:ascii="Arial Narrow" w:hAnsi="Arial Narrow"/>
                <w:color w:val="000000"/>
                <w:sz w:val="20"/>
                <w:szCs w:val="20"/>
              </w:rPr>
              <w:t>Final Analysis Plan</w:t>
            </w:r>
          </w:p>
        </w:tc>
        <w:tc>
          <w:tcPr>
            <w:tcW w:w="1440" w:type="dxa"/>
            <w:tcBorders>
              <w:top w:val="nil"/>
              <w:left w:val="nil"/>
              <w:bottom w:val="nil"/>
              <w:right w:val="nil"/>
            </w:tcBorders>
            <w:shd w:val="clear" w:color="auto" w:fill="auto"/>
            <w:vAlign w:val="center"/>
            <w:hideMark/>
          </w:tcPr>
          <w:p w:rsidR="00A470B5" w:rsidRPr="006E72B3" w:rsidRDefault="00D3177E" w:rsidP="00A8377B">
            <w:pPr>
              <w:rPr>
                <w:rFonts w:ascii="Arial Narrow" w:hAnsi="Arial Narrow"/>
                <w:color w:val="000000"/>
                <w:sz w:val="20"/>
                <w:szCs w:val="20"/>
              </w:rPr>
            </w:pPr>
            <w:r>
              <w:rPr>
                <w:rFonts w:ascii="Arial Narrow" w:hAnsi="Arial Narrow"/>
                <w:color w:val="000000"/>
                <w:sz w:val="20"/>
                <w:szCs w:val="20"/>
              </w:rPr>
              <w:t>March 2013</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April</w:t>
            </w:r>
            <w:r w:rsidR="00A470B5" w:rsidRPr="006E72B3">
              <w:rPr>
                <w:rFonts w:ascii="Arial Narrow" w:hAnsi="Arial Narrow"/>
                <w:color w:val="000000"/>
                <w:sz w:val="20"/>
                <w:szCs w:val="20"/>
              </w:rPr>
              <w:t xml:space="preserve"> 201</w:t>
            </w:r>
            <w:r>
              <w:rPr>
                <w:rFonts w:ascii="Arial Narrow" w:hAnsi="Arial Narrow"/>
                <w:color w:val="000000"/>
                <w:sz w:val="20"/>
                <w:szCs w:val="20"/>
              </w:rPr>
              <w:t>3</w:t>
            </w:r>
          </w:p>
        </w:tc>
      </w:tr>
      <w:tr w:rsidR="00A470B5" w:rsidRPr="006E72B3" w:rsidTr="00A8377B">
        <w:trPr>
          <w:trHeight w:val="20"/>
        </w:trPr>
        <w:tc>
          <w:tcPr>
            <w:tcW w:w="6409"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Report</w:t>
            </w:r>
            <w:r w:rsidR="004C0028">
              <w:rPr>
                <w:rFonts w:ascii="Arial Narrow" w:hAnsi="Arial Narrow"/>
                <w:b/>
                <w:bCs/>
                <w:color w:val="000000"/>
                <w:sz w:val="20"/>
                <w:szCs w:val="20"/>
              </w:rPr>
              <w:t>ing</w:t>
            </w:r>
          </w:p>
        </w:tc>
        <w:tc>
          <w:tcPr>
            <w:tcW w:w="1440"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E218E3" w:rsidP="00E218E3">
            <w:pPr>
              <w:ind w:firstLineChars="100" w:firstLine="200"/>
              <w:rPr>
                <w:rFonts w:ascii="Arial Narrow" w:hAnsi="Arial Narrow"/>
                <w:color w:val="000000"/>
                <w:sz w:val="20"/>
                <w:szCs w:val="20"/>
              </w:rPr>
            </w:pPr>
            <w:r>
              <w:rPr>
                <w:rFonts w:ascii="Arial Narrow" w:hAnsi="Arial Narrow"/>
                <w:color w:val="000000"/>
                <w:sz w:val="20"/>
                <w:szCs w:val="20"/>
              </w:rPr>
              <w:t xml:space="preserve">Draft </w:t>
            </w:r>
            <w:proofErr w:type="spellStart"/>
            <w:r>
              <w:rPr>
                <w:rFonts w:ascii="Arial Narrow" w:hAnsi="Arial Narrow"/>
                <w:color w:val="000000"/>
                <w:sz w:val="20"/>
                <w:szCs w:val="20"/>
              </w:rPr>
              <w:t>PreK</w:t>
            </w:r>
            <w:proofErr w:type="spellEnd"/>
            <w:r>
              <w:rPr>
                <w:rFonts w:ascii="Arial Narrow" w:hAnsi="Arial Narrow"/>
                <w:color w:val="000000"/>
                <w:sz w:val="20"/>
                <w:szCs w:val="20"/>
              </w:rPr>
              <w:t xml:space="preserve"> impact evaluation report</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July</w:t>
            </w:r>
            <w:r w:rsidR="00A470B5" w:rsidRPr="006E72B3">
              <w:rPr>
                <w:rFonts w:ascii="Arial Narrow" w:hAnsi="Arial Narrow"/>
                <w:color w:val="000000"/>
                <w:sz w:val="20"/>
                <w:szCs w:val="20"/>
              </w:rPr>
              <w:t xml:space="preserve"> 201</w:t>
            </w:r>
            <w:r>
              <w:rPr>
                <w:rFonts w:ascii="Arial Narrow" w:hAnsi="Arial Narrow"/>
                <w:color w:val="000000"/>
                <w:sz w:val="20"/>
                <w:szCs w:val="20"/>
              </w:rPr>
              <w:t>4</w:t>
            </w:r>
          </w:p>
        </w:tc>
        <w:tc>
          <w:tcPr>
            <w:tcW w:w="1440" w:type="dxa"/>
            <w:tcBorders>
              <w:top w:val="nil"/>
              <w:left w:val="nil"/>
              <w:bottom w:val="nil"/>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September</w:t>
            </w:r>
            <w:r w:rsidR="00A470B5" w:rsidRPr="006E72B3">
              <w:rPr>
                <w:rFonts w:ascii="Arial Narrow" w:hAnsi="Arial Narrow"/>
                <w:color w:val="000000"/>
                <w:sz w:val="20"/>
                <w:szCs w:val="20"/>
              </w:rPr>
              <w:t xml:space="preserve"> 201</w:t>
            </w:r>
            <w:r>
              <w:rPr>
                <w:rFonts w:ascii="Arial Narrow" w:hAnsi="Arial Narrow"/>
                <w:color w:val="000000"/>
                <w:sz w:val="20"/>
                <w:szCs w:val="20"/>
              </w:rPr>
              <w:t>4</w:t>
            </w:r>
          </w:p>
        </w:tc>
      </w:tr>
      <w:tr w:rsidR="00A470B5" w:rsidRPr="006E72B3" w:rsidTr="00A8377B">
        <w:trPr>
          <w:trHeight w:val="20"/>
        </w:trPr>
        <w:tc>
          <w:tcPr>
            <w:tcW w:w="6409" w:type="dxa"/>
            <w:tcBorders>
              <w:top w:val="nil"/>
              <w:left w:val="nil"/>
              <w:bottom w:val="single" w:sz="8" w:space="0" w:color="auto"/>
              <w:right w:val="nil"/>
            </w:tcBorders>
            <w:shd w:val="clear" w:color="auto" w:fill="auto"/>
            <w:vAlign w:val="center"/>
            <w:hideMark/>
          </w:tcPr>
          <w:p w:rsidR="00A470B5" w:rsidRPr="006E72B3" w:rsidRDefault="00A470B5" w:rsidP="00E218E3">
            <w:pPr>
              <w:ind w:firstLineChars="100" w:firstLine="200"/>
              <w:rPr>
                <w:rFonts w:ascii="Arial Narrow" w:hAnsi="Arial Narrow"/>
                <w:color w:val="000000"/>
                <w:sz w:val="20"/>
                <w:szCs w:val="20"/>
              </w:rPr>
            </w:pPr>
            <w:r w:rsidRPr="006E72B3">
              <w:rPr>
                <w:rFonts w:ascii="Arial Narrow" w:hAnsi="Arial Narrow"/>
                <w:color w:val="000000"/>
                <w:sz w:val="20"/>
                <w:szCs w:val="20"/>
              </w:rPr>
              <w:t>Final</w:t>
            </w:r>
            <w:r>
              <w:rPr>
                <w:rFonts w:ascii="Arial Narrow" w:hAnsi="Arial Narrow"/>
                <w:color w:val="000000"/>
                <w:sz w:val="20"/>
                <w:szCs w:val="20"/>
              </w:rPr>
              <w:t xml:space="preserve"> </w:t>
            </w:r>
            <w:proofErr w:type="spellStart"/>
            <w:r w:rsidR="00E218E3">
              <w:rPr>
                <w:rFonts w:ascii="Arial Narrow" w:hAnsi="Arial Narrow"/>
                <w:color w:val="000000"/>
                <w:sz w:val="20"/>
                <w:szCs w:val="20"/>
              </w:rPr>
              <w:t>PreK</w:t>
            </w:r>
            <w:proofErr w:type="spellEnd"/>
            <w:r w:rsidR="00E218E3">
              <w:rPr>
                <w:rFonts w:ascii="Arial Narrow" w:hAnsi="Arial Narrow"/>
                <w:color w:val="000000"/>
                <w:sz w:val="20"/>
                <w:szCs w:val="20"/>
              </w:rPr>
              <w:t xml:space="preserve"> impact evaluation </w:t>
            </w:r>
            <w:r w:rsidRPr="006E72B3">
              <w:rPr>
                <w:rFonts w:ascii="Arial Narrow" w:hAnsi="Arial Narrow"/>
                <w:color w:val="000000"/>
                <w:sz w:val="20"/>
                <w:szCs w:val="20"/>
              </w:rPr>
              <w:t>report</w:t>
            </w:r>
          </w:p>
        </w:tc>
        <w:tc>
          <w:tcPr>
            <w:tcW w:w="1440" w:type="dxa"/>
            <w:tcBorders>
              <w:top w:val="nil"/>
              <w:left w:val="nil"/>
              <w:bottom w:val="single" w:sz="8" w:space="0" w:color="auto"/>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September 2014</w:t>
            </w:r>
          </w:p>
        </w:tc>
        <w:tc>
          <w:tcPr>
            <w:tcW w:w="1440" w:type="dxa"/>
            <w:tcBorders>
              <w:top w:val="nil"/>
              <w:left w:val="nil"/>
              <w:bottom w:val="single" w:sz="8" w:space="0" w:color="auto"/>
              <w:right w:val="nil"/>
            </w:tcBorders>
            <w:shd w:val="clear" w:color="auto" w:fill="auto"/>
            <w:vAlign w:val="center"/>
            <w:hideMark/>
          </w:tcPr>
          <w:p w:rsidR="00A470B5" w:rsidRPr="006E72B3" w:rsidRDefault="00D3177E" w:rsidP="00D3177E">
            <w:pPr>
              <w:rPr>
                <w:rFonts w:ascii="Arial Narrow" w:hAnsi="Arial Narrow"/>
                <w:color w:val="000000"/>
                <w:sz w:val="20"/>
                <w:szCs w:val="20"/>
              </w:rPr>
            </w:pPr>
            <w:r>
              <w:rPr>
                <w:rFonts w:ascii="Arial Narrow" w:hAnsi="Arial Narrow"/>
                <w:color w:val="000000"/>
                <w:sz w:val="20"/>
                <w:szCs w:val="20"/>
              </w:rPr>
              <w:t>October</w:t>
            </w:r>
            <w:r w:rsidR="00A470B5" w:rsidRPr="006E72B3">
              <w:rPr>
                <w:rFonts w:ascii="Arial Narrow" w:hAnsi="Arial Narrow"/>
                <w:color w:val="000000"/>
                <w:sz w:val="20"/>
                <w:szCs w:val="20"/>
              </w:rPr>
              <w:t xml:space="preserve"> 201</w:t>
            </w:r>
            <w:r>
              <w:rPr>
                <w:rFonts w:ascii="Arial Narrow" w:hAnsi="Arial Narrow"/>
                <w:color w:val="000000"/>
                <w:sz w:val="20"/>
                <w:szCs w:val="20"/>
              </w:rPr>
              <w:t>4</w:t>
            </w:r>
          </w:p>
        </w:tc>
      </w:tr>
    </w:tbl>
    <w:p w:rsidR="00A470B5" w:rsidRDefault="00A470B5" w:rsidP="00A470B5">
      <w:pPr>
        <w:autoSpaceDE w:val="0"/>
        <w:autoSpaceDN w:val="0"/>
        <w:adjustRightInd w:val="0"/>
        <w:rPr>
          <w:b/>
          <w:bCs/>
        </w:rPr>
      </w:pPr>
    </w:p>
    <w:p w:rsidR="00A470B5" w:rsidRPr="00C076CD" w:rsidRDefault="00A470B5" w:rsidP="00A470B5">
      <w:pPr>
        <w:pStyle w:val="Heading2"/>
        <w:spacing w:before="0" w:after="0"/>
      </w:pPr>
      <w:bookmarkStart w:id="34" w:name="_Toc352603620"/>
      <w:r>
        <w:t>A.</w:t>
      </w:r>
      <w:r w:rsidRPr="00C076CD">
        <w:t>17.</w:t>
      </w:r>
      <w:r>
        <w:tab/>
      </w:r>
      <w:r w:rsidRPr="00C076CD">
        <w:t>Exception for Display of Expiration Date</w:t>
      </w:r>
      <w:bookmarkEnd w:id="34"/>
    </w:p>
    <w:p w:rsidR="00A470B5" w:rsidRDefault="00A470B5" w:rsidP="00A470B5">
      <w:pPr>
        <w:pStyle w:val="BodyText"/>
        <w:spacing w:after="0" w:line="240" w:lineRule="auto"/>
      </w:pPr>
      <w:r w:rsidRPr="00C076CD">
        <w:t>All data collection materials will display the OMB expiration date.</w:t>
      </w:r>
    </w:p>
    <w:p w:rsidR="00A470B5" w:rsidRPr="00A90F84" w:rsidRDefault="00A470B5" w:rsidP="00A470B5">
      <w:pPr>
        <w:pStyle w:val="BodyText"/>
        <w:spacing w:after="0" w:line="240" w:lineRule="auto"/>
      </w:pPr>
    </w:p>
    <w:p w:rsidR="00A470B5" w:rsidRPr="00C076CD" w:rsidRDefault="00A470B5" w:rsidP="00A470B5">
      <w:pPr>
        <w:pStyle w:val="Heading2"/>
        <w:spacing w:before="0" w:after="0"/>
      </w:pPr>
      <w:bookmarkStart w:id="35" w:name="_Toc352603621"/>
      <w:r>
        <w:t>A.</w:t>
      </w:r>
      <w:r w:rsidRPr="00C076CD">
        <w:t>18.</w:t>
      </w:r>
      <w:r>
        <w:tab/>
      </w:r>
      <w:r w:rsidRPr="00C076CD">
        <w:t>Certifications</w:t>
      </w:r>
      <w:bookmarkEnd w:id="35"/>
    </w:p>
    <w:p w:rsidR="00A470B5" w:rsidRPr="00C076CD" w:rsidRDefault="00A470B5" w:rsidP="00A470B5">
      <w:pPr>
        <w:pStyle w:val="BodyText"/>
        <w:spacing w:after="0" w:line="240" w:lineRule="auto"/>
      </w:pPr>
      <w:r>
        <w:t>CNCS</w:t>
      </w:r>
      <w:r w:rsidRPr="00C076CD">
        <w:t xml:space="preserve"> certifies that the collection of information encompassed by this request complies with 5 CFR 1320.9 and the related provisions of 5 CFR 1320.8(b</w:t>
      </w:r>
      <w:proofErr w:type="gramStart"/>
      <w:r w:rsidRPr="00C076CD">
        <w:t>)(</w:t>
      </w:r>
      <w:proofErr w:type="gramEnd"/>
      <w:r w:rsidRPr="00C076CD">
        <w:t>3).</w:t>
      </w:r>
    </w:p>
    <w:p w:rsidR="00A470B5" w:rsidRPr="00C076CD" w:rsidRDefault="00A470B5" w:rsidP="00A470B5">
      <w:pPr>
        <w:autoSpaceDE w:val="0"/>
        <w:autoSpaceDN w:val="0"/>
        <w:adjustRightInd w:val="0"/>
        <w:rPr>
          <w:b/>
          <w:bCs/>
        </w:rPr>
      </w:pPr>
    </w:p>
    <w:bookmarkEnd w:id="31"/>
    <w:p w:rsidR="000E48A3" w:rsidRDefault="000E48A3" w:rsidP="000E48A3">
      <w:pPr>
        <w:pStyle w:val="BodyText"/>
        <w:spacing w:after="0" w:line="240" w:lineRule="auto"/>
      </w:pPr>
    </w:p>
    <w:p w:rsidR="005C239E" w:rsidRDefault="005C239E">
      <w:pPr>
        <w:rPr>
          <w:rFonts w:ascii="Arial" w:hAnsi="Arial"/>
          <w:b/>
          <w:color w:val="000000"/>
          <w:sz w:val="22"/>
          <w:szCs w:val="22"/>
        </w:rPr>
      </w:pPr>
    </w:p>
    <w:sectPr w:rsidR="005C239E" w:rsidSect="006E72B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92" w:rsidRDefault="00C94492">
      <w:r>
        <w:separator/>
      </w:r>
    </w:p>
  </w:endnote>
  <w:endnote w:type="continuationSeparator" w:id="0">
    <w:p w:rsidR="00C94492" w:rsidRDefault="00C9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altName w:val=" 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F5F" w:rsidRPr="00D721EB" w:rsidRDefault="00863F5F"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F0271B">
      <w:rPr>
        <w:rFonts w:ascii="Arial" w:hAnsi="Arial" w:cs="Arial"/>
        <w:noProof/>
        <w:sz w:val="20"/>
        <w:szCs w:val="20"/>
      </w:rPr>
      <w:t>2</w:t>
    </w:r>
    <w:r w:rsidRPr="00D721EB">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F5F" w:rsidRPr="00D721EB" w:rsidRDefault="00863F5F"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F0271B">
      <w:rPr>
        <w:rFonts w:ascii="Arial" w:hAnsi="Arial" w:cs="Arial"/>
        <w:noProof/>
        <w:sz w:val="20"/>
        <w:szCs w:val="20"/>
      </w:rPr>
      <w:t>4</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92" w:rsidRDefault="00C94492">
      <w:r>
        <w:separator/>
      </w:r>
    </w:p>
  </w:footnote>
  <w:footnote w:type="continuationSeparator" w:id="0">
    <w:p w:rsidR="00C94492" w:rsidRDefault="00C94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nsid w:val="FFFFFF89"/>
    <w:multiLevelType w:val="singleLevel"/>
    <w:tmpl w:val="0409000F"/>
    <w:lvl w:ilvl="0">
      <w:start w:val="1"/>
      <w:numFmt w:val="decimal"/>
      <w:lvlText w:val="%1."/>
      <w:lvlJc w:val="left"/>
      <w:pPr>
        <w:ind w:left="360" w:hanging="360"/>
      </w:pPr>
      <w:rPr>
        <w:rFonts w:hint="default"/>
      </w:rPr>
    </w:lvl>
  </w:abstractNum>
  <w:abstractNum w:abstractNumId="3">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53F0F"/>
    <w:multiLevelType w:val="hybridMultilevel"/>
    <w:tmpl w:val="AA5401E0"/>
    <w:lvl w:ilvl="0" w:tplc="0409000F">
      <w:start w:val="1"/>
      <w:numFmt w:val="decimal"/>
      <w:lvlText w:val="%1."/>
      <w:lvlJc w:val="left"/>
      <w:pPr>
        <w:ind w:left="720" w:hanging="360"/>
      </w:pPr>
      <w:rPr>
        <w:rFonts w:hint="default"/>
      </w:rPr>
    </w:lvl>
    <w:lvl w:ilvl="1" w:tplc="2B501CF8">
      <w:start w:val="1"/>
      <w:numFmt w:val="lowerLetter"/>
      <w:lvlText w:val="%2."/>
      <w:lvlJc w:val="left"/>
      <w:pPr>
        <w:ind w:left="1440" w:hanging="360"/>
      </w:pPr>
      <w:rPr>
        <w:rFonts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7">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D72131"/>
    <w:multiLevelType w:val="hybridMultilevel"/>
    <w:tmpl w:val="3E38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A56D4"/>
    <w:multiLevelType w:val="hybridMultilevel"/>
    <w:tmpl w:val="A8902D2A"/>
    <w:lvl w:ilvl="0" w:tplc="13E0E7D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6F56F8"/>
    <w:multiLevelType w:val="hybridMultilevel"/>
    <w:tmpl w:val="43846D94"/>
    <w:lvl w:ilvl="0" w:tplc="D8CA4D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B6A4A"/>
    <w:multiLevelType w:val="hybridMultilevel"/>
    <w:tmpl w:val="CB60B510"/>
    <w:lvl w:ilvl="0" w:tplc="A6E402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11"/>
  </w:num>
  <w:num w:numId="6">
    <w:abstractNumId w:val="29"/>
  </w:num>
  <w:num w:numId="7">
    <w:abstractNumId w:val="28"/>
  </w:num>
  <w:num w:numId="8">
    <w:abstractNumId w:val="33"/>
  </w:num>
  <w:num w:numId="9">
    <w:abstractNumId w:val="32"/>
  </w:num>
  <w:num w:numId="10">
    <w:abstractNumId w:val="30"/>
  </w:num>
  <w:num w:numId="11">
    <w:abstractNumId w:val="17"/>
  </w:num>
  <w:num w:numId="12">
    <w:abstractNumId w:val="14"/>
  </w:num>
  <w:num w:numId="13">
    <w:abstractNumId w:val="25"/>
  </w:num>
  <w:num w:numId="14">
    <w:abstractNumId w:val="13"/>
  </w:num>
  <w:num w:numId="15">
    <w:abstractNumId w:val="15"/>
  </w:num>
  <w:num w:numId="16">
    <w:abstractNumId w:val="19"/>
  </w:num>
  <w:num w:numId="17">
    <w:abstractNumId w:val="24"/>
  </w:num>
  <w:num w:numId="18">
    <w:abstractNumId w:val="12"/>
  </w:num>
  <w:num w:numId="19">
    <w:abstractNumId w:val="27"/>
  </w:num>
  <w:num w:numId="20">
    <w:abstractNumId w:val="22"/>
  </w:num>
  <w:num w:numId="21">
    <w:abstractNumId w:val="18"/>
  </w:num>
  <w:num w:numId="22">
    <w:abstractNumId w:val="23"/>
  </w:num>
  <w:num w:numId="23">
    <w:abstractNumId w:val="31"/>
  </w:num>
  <w:num w:numId="24">
    <w:abstractNumId w:val="10"/>
  </w:num>
  <w:num w:numId="25">
    <w:abstractNumId w:val="8"/>
  </w:num>
  <w:num w:numId="26">
    <w:abstractNumId w:val="9"/>
  </w:num>
  <w:num w:numId="27">
    <w:abstractNumId w:val="16"/>
  </w:num>
  <w:num w:numId="28">
    <w:abstractNumId w:val="4"/>
  </w:num>
  <w:num w:numId="29">
    <w:abstractNumId w:val="7"/>
  </w:num>
  <w:num w:numId="30">
    <w:abstractNumId w:val="21"/>
  </w:num>
  <w:num w:numId="31">
    <w:abstractNumId w:val="3"/>
  </w:num>
  <w:num w:numId="32">
    <w:abstractNumId w:val="5"/>
  </w:num>
  <w:num w:numId="33">
    <w:abstractNumId w:val="2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A7"/>
    <w:rsid w:val="0000089D"/>
    <w:rsid w:val="00000A23"/>
    <w:rsid w:val="00002874"/>
    <w:rsid w:val="000041DB"/>
    <w:rsid w:val="00004A56"/>
    <w:rsid w:val="00005A07"/>
    <w:rsid w:val="000129E7"/>
    <w:rsid w:val="00015055"/>
    <w:rsid w:val="000155A7"/>
    <w:rsid w:val="00017D2E"/>
    <w:rsid w:val="00027353"/>
    <w:rsid w:val="00035E25"/>
    <w:rsid w:val="00036D1F"/>
    <w:rsid w:val="00041455"/>
    <w:rsid w:val="000467B0"/>
    <w:rsid w:val="00050784"/>
    <w:rsid w:val="0005426F"/>
    <w:rsid w:val="00056C22"/>
    <w:rsid w:val="00060ECC"/>
    <w:rsid w:val="000741B6"/>
    <w:rsid w:val="00075A92"/>
    <w:rsid w:val="00080305"/>
    <w:rsid w:val="000806B9"/>
    <w:rsid w:val="00081C4C"/>
    <w:rsid w:val="000846BC"/>
    <w:rsid w:val="00085BCC"/>
    <w:rsid w:val="00090643"/>
    <w:rsid w:val="00091D1C"/>
    <w:rsid w:val="000925D1"/>
    <w:rsid w:val="000938CC"/>
    <w:rsid w:val="00096314"/>
    <w:rsid w:val="000A428E"/>
    <w:rsid w:val="000B0234"/>
    <w:rsid w:val="000B4450"/>
    <w:rsid w:val="000B6177"/>
    <w:rsid w:val="000B707C"/>
    <w:rsid w:val="000C5A3A"/>
    <w:rsid w:val="000C713D"/>
    <w:rsid w:val="000C7FBF"/>
    <w:rsid w:val="000D2249"/>
    <w:rsid w:val="000E3661"/>
    <w:rsid w:val="000E48A3"/>
    <w:rsid w:val="000E6D51"/>
    <w:rsid w:val="000F1BD7"/>
    <w:rsid w:val="000F2B93"/>
    <w:rsid w:val="000F3118"/>
    <w:rsid w:val="000F3C14"/>
    <w:rsid w:val="000F3F25"/>
    <w:rsid w:val="000F57B4"/>
    <w:rsid w:val="00106091"/>
    <w:rsid w:val="00107E88"/>
    <w:rsid w:val="001145A3"/>
    <w:rsid w:val="00116697"/>
    <w:rsid w:val="00116D8C"/>
    <w:rsid w:val="0012296C"/>
    <w:rsid w:val="00124556"/>
    <w:rsid w:val="0012465E"/>
    <w:rsid w:val="00127EE2"/>
    <w:rsid w:val="001436B5"/>
    <w:rsid w:val="00145E8E"/>
    <w:rsid w:val="001558E9"/>
    <w:rsid w:val="001563B2"/>
    <w:rsid w:val="00165346"/>
    <w:rsid w:val="00171514"/>
    <w:rsid w:val="001728A8"/>
    <w:rsid w:val="001803D6"/>
    <w:rsid w:val="00187767"/>
    <w:rsid w:val="0019000A"/>
    <w:rsid w:val="00193816"/>
    <w:rsid w:val="00196562"/>
    <w:rsid w:val="001A14F4"/>
    <w:rsid w:val="001A18CD"/>
    <w:rsid w:val="001A44F8"/>
    <w:rsid w:val="001A4CAA"/>
    <w:rsid w:val="001B7293"/>
    <w:rsid w:val="001C070C"/>
    <w:rsid w:val="001C3EA9"/>
    <w:rsid w:val="001C3ED8"/>
    <w:rsid w:val="001C4B37"/>
    <w:rsid w:val="001C57D8"/>
    <w:rsid w:val="001D1048"/>
    <w:rsid w:val="001D391A"/>
    <w:rsid w:val="001D69A5"/>
    <w:rsid w:val="001E2B71"/>
    <w:rsid w:val="001E71F8"/>
    <w:rsid w:val="001F3EF6"/>
    <w:rsid w:val="00200D27"/>
    <w:rsid w:val="00201926"/>
    <w:rsid w:val="0020353F"/>
    <w:rsid w:val="0020534B"/>
    <w:rsid w:val="002058EA"/>
    <w:rsid w:val="00214A3E"/>
    <w:rsid w:val="00220C00"/>
    <w:rsid w:val="0022126D"/>
    <w:rsid w:val="00222965"/>
    <w:rsid w:val="0022512B"/>
    <w:rsid w:val="002300CA"/>
    <w:rsid w:val="00231140"/>
    <w:rsid w:val="0023489C"/>
    <w:rsid w:val="00234B77"/>
    <w:rsid w:val="00236F95"/>
    <w:rsid w:val="00242318"/>
    <w:rsid w:val="00242863"/>
    <w:rsid w:val="00246B68"/>
    <w:rsid w:val="0025041C"/>
    <w:rsid w:val="00250C2E"/>
    <w:rsid w:val="0025603B"/>
    <w:rsid w:val="002569B7"/>
    <w:rsid w:val="002575E0"/>
    <w:rsid w:val="002577B3"/>
    <w:rsid w:val="002651FA"/>
    <w:rsid w:val="0026579B"/>
    <w:rsid w:val="00274515"/>
    <w:rsid w:val="00277393"/>
    <w:rsid w:val="00277A0B"/>
    <w:rsid w:val="00281B22"/>
    <w:rsid w:val="00282DA7"/>
    <w:rsid w:val="00286323"/>
    <w:rsid w:val="00294F92"/>
    <w:rsid w:val="002A05A1"/>
    <w:rsid w:val="002A4E18"/>
    <w:rsid w:val="002A70F2"/>
    <w:rsid w:val="002B07D2"/>
    <w:rsid w:val="002B099E"/>
    <w:rsid w:val="002C10CA"/>
    <w:rsid w:val="002C27E8"/>
    <w:rsid w:val="002C7FE3"/>
    <w:rsid w:val="002D07AF"/>
    <w:rsid w:val="002D127D"/>
    <w:rsid w:val="002D1F45"/>
    <w:rsid w:val="002D332D"/>
    <w:rsid w:val="002E0AB9"/>
    <w:rsid w:val="002E5D57"/>
    <w:rsid w:val="002E7FA7"/>
    <w:rsid w:val="002F03AF"/>
    <w:rsid w:val="002F03E3"/>
    <w:rsid w:val="002F40D3"/>
    <w:rsid w:val="002F432A"/>
    <w:rsid w:val="002F5ADB"/>
    <w:rsid w:val="002F6D42"/>
    <w:rsid w:val="0030143E"/>
    <w:rsid w:val="00302105"/>
    <w:rsid w:val="00303ADD"/>
    <w:rsid w:val="00307140"/>
    <w:rsid w:val="00312F7A"/>
    <w:rsid w:val="00313ED3"/>
    <w:rsid w:val="00330BFE"/>
    <w:rsid w:val="00334277"/>
    <w:rsid w:val="00337449"/>
    <w:rsid w:val="0035589F"/>
    <w:rsid w:val="00367478"/>
    <w:rsid w:val="00367B8B"/>
    <w:rsid w:val="003722B1"/>
    <w:rsid w:val="00372F30"/>
    <w:rsid w:val="00382915"/>
    <w:rsid w:val="0038527C"/>
    <w:rsid w:val="003927E2"/>
    <w:rsid w:val="00393EB9"/>
    <w:rsid w:val="003A1E16"/>
    <w:rsid w:val="003A49EA"/>
    <w:rsid w:val="003B2A7F"/>
    <w:rsid w:val="003B6BCF"/>
    <w:rsid w:val="003C1B04"/>
    <w:rsid w:val="003C3FA4"/>
    <w:rsid w:val="003C4BCE"/>
    <w:rsid w:val="003C6AD2"/>
    <w:rsid w:val="003D01A0"/>
    <w:rsid w:val="003D3E21"/>
    <w:rsid w:val="003D48B1"/>
    <w:rsid w:val="003E0E3F"/>
    <w:rsid w:val="003E1B9B"/>
    <w:rsid w:val="003E67D5"/>
    <w:rsid w:val="003E7700"/>
    <w:rsid w:val="003E7F44"/>
    <w:rsid w:val="003F3C7E"/>
    <w:rsid w:val="003F423D"/>
    <w:rsid w:val="003F5593"/>
    <w:rsid w:val="003F5C95"/>
    <w:rsid w:val="004020B8"/>
    <w:rsid w:val="00410215"/>
    <w:rsid w:val="00411B04"/>
    <w:rsid w:val="004130E5"/>
    <w:rsid w:val="00413F2F"/>
    <w:rsid w:val="0041447A"/>
    <w:rsid w:val="00427E39"/>
    <w:rsid w:val="00433BC7"/>
    <w:rsid w:val="00434204"/>
    <w:rsid w:val="00435C12"/>
    <w:rsid w:val="00435C9E"/>
    <w:rsid w:val="004364E4"/>
    <w:rsid w:val="00441497"/>
    <w:rsid w:val="00442F2C"/>
    <w:rsid w:val="00443482"/>
    <w:rsid w:val="00447337"/>
    <w:rsid w:val="00450C6A"/>
    <w:rsid w:val="00462E6C"/>
    <w:rsid w:val="00463F86"/>
    <w:rsid w:val="00466D60"/>
    <w:rsid w:val="00467A15"/>
    <w:rsid w:val="00470F98"/>
    <w:rsid w:val="00471884"/>
    <w:rsid w:val="00472587"/>
    <w:rsid w:val="00474806"/>
    <w:rsid w:val="004758C8"/>
    <w:rsid w:val="00476BE9"/>
    <w:rsid w:val="00482EAD"/>
    <w:rsid w:val="004A1846"/>
    <w:rsid w:val="004A1CC6"/>
    <w:rsid w:val="004A5DAF"/>
    <w:rsid w:val="004B16BD"/>
    <w:rsid w:val="004B621D"/>
    <w:rsid w:val="004B7531"/>
    <w:rsid w:val="004B7AB6"/>
    <w:rsid w:val="004C0028"/>
    <w:rsid w:val="004C528E"/>
    <w:rsid w:val="004D33E8"/>
    <w:rsid w:val="004D51AA"/>
    <w:rsid w:val="004D6290"/>
    <w:rsid w:val="004D7083"/>
    <w:rsid w:val="004D7614"/>
    <w:rsid w:val="004E08FA"/>
    <w:rsid w:val="004F2E1A"/>
    <w:rsid w:val="004F6E2C"/>
    <w:rsid w:val="004F7208"/>
    <w:rsid w:val="004F7D9B"/>
    <w:rsid w:val="005007C3"/>
    <w:rsid w:val="00504CCF"/>
    <w:rsid w:val="0051129D"/>
    <w:rsid w:val="005153A4"/>
    <w:rsid w:val="00521FFD"/>
    <w:rsid w:val="005264DC"/>
    <w:rsid w:val="00530432"/>
    <w:rsid w:val="00533543"/>
    <w:rsid w:val="00535E32"/>
    <w:rsid w:val="00537890"/>
    <w:rsid w:val="00542F14"/>
    <w:rsid w:val="00546AF3"/>
    <w:rsid w:val="00547E9B"/>
    <w:rsid w:val="005536A8"/>
    <w:rsid w:val="00554793"/>
    <w:rsid w:val="00554F74"/>
    <w:rsid w:val="00566595"/>
    <w:rsid w:val="0056703E"/>
    <w:rsid w:val="0057230B"/>
    <w:rsid w:val="0057607B"/>
    <w:rsid w:val="005816BF"/>
    <w:rsid w:val="005830E0"/>
    <w:rsid w:val="00586B67"/>
    <w:rsid w:val="005900F4"/>
    <w:rsid w:val="005A1DA7"/>
    <w:rsid w:val="005B626A"/>
    <w:rsid w:val="005C225C"/>
    <w:rsid w:val="005C239E"/>
    <w:rsid w:val="005C5848"/>
    <w:rsid w:val="005C7D31"/>
    <w:rsid w:val="005D7AD9"/>
    <w:rsid w:val="005D7BB6"/>
    <w:rsid w:val="005E53EA"/>
    <w:rsid w:val="005E6D11"/>
    <w:rsid w:val="005F2231"/>
    <w:rsid w:val="005F67A6"/>
    <w:rsid w:val="005F6C2A"/>
    <w:rsid w:val="00601143"/>
    <w:rsid w:val="00603D03"/>
    <w:rsid w:val="0061177C"/>
    <w:rsid w:val="006171F3"/>
    <w:rsid w:val="00617733"/>
    <w:rsid w:val="006217AB"/>
    <w:rsid w:val="006233BF"/>
    <w:rsid w:val="006302B9"/>
    <w:rsid w:val="006309F1"/>
    <w:rsid w:val="0063440E"/>
    <w:rsid w:val="006376A9"/>
    <w:rsid w:val="0064229F"/>
    <w:rsid w:val="006424FC"/>
    <w:rsid w:val="00646FAF"/>
    <w:rsid w:val="00656402"/>
    <w:rsid w:val="006639B8"/>
    <w:rsid w:val="00667498"/>
    <w:rsid w:val="0066749E"/>
    <w:rsid w:val="0066779C"/>
    <w:rsid w:val="00670987"/>
    <w:rsid w:val="006759B4"/>
    <w:rsid w:val="00675DCA"/>
    <w:rsid w:val="00677FAE"/>
    <w:rsid w:val="006A1D7E"/>
    <w:rsid w:val="006A225B"/>
    <w:rsid w:val="006A5A6A"/>
    <w:rsid w:val="006D215F"/>
    <w:rsid w:val="006D51CF"/>
    <w:rsid w:val="006E1307"/>
    <w:rsid w:val="006E72B3"/>
    <w:rsid w:val="006F1897"/>
    <w:rsid w:val="006F1CFC"/>
    <w:rsid w:val="006F2039"/>
    <w:rsid w:val="006F2484"/>
    <w:rsid w:val="006F3300"/>
    <w:rsid w:val="006F4AB3"/>
    <w:rsid w:val="006F5435"/>
    <w:rsid w:val="006F7125"/>
    <w:rsid w:val="0070295A"/>
    <w:rsid w:val="00710EA6"/>
    <w:rsid w:val="00712340"/>
    <w:rsid w:val="007224CF"/>
    <w:rsid w:val="00724968"/>
    <w:rsid w:val="007330AA"/>
    <w:rsid w:val="00742567"/>
    <w:rsid w:val="00743211"/>
    <w:rsid w:val="0075098C"/>
    <w:rsid w:val="00751986"/>
    <w:rsid w:val="00754155"/>
    <w:rsid w:val="00756FD1"/>
    <w:rsid w:val="00760878"/>
    <w:rsid w:val="0079213C"/>
    <w:rsid w:val="007939D0"/>
    <w:rsid w:val="00797DA6"/>
    <w:rsid w:val="007B4418"/>
    <w:rsid w:val="007B6088"/>
    <w:rsid w:val="007B7118"/>
    <w:rsid w:val="007C01CE"/>
    <w:rsid w:val="007C25BB"/>
    <w:rsid w:val="007C4770"/>
    <w:rsid w:val="007D0044"/>
    <w:rsid w:val="007D02A2"/>
    <w:rsid w:val="007E2FFF"/>
    <w:rsid w:val="007E4CC3"/>
    <w:rsid w:val="007F0866"/>
    <w:rsid w:val="00801EF7"/>
    <w:rsid w:val="00810586"/>
    <w:rsid w:val="00810AF2"/>
    <w:rsid w:val="008170F4"/>
    <w:rsid w:val="00823B07"/>
    <w:rsid w:val="00831DA2"/>
    <w:rsid w:val="00832EE8"/>
    <w:rsid w:val="0083454E"/>
    <w:rsid w:val="008459DF"/>
    <w:rsid w:val="00856405"/>
    <w:rsid w:val="008564FC"/>
    <w:rsid w:val="00862AE9"/>
    <w:rsid w:val="00863F5F"/>
    <w:rsid w:val="008672B1"/>
    <w:rsid w:val="00872D29"/>
    <w:rsid w:val="008749D4"/>
    <w:rsid w:val="00875928"/>
    <w:rsid w:val="00875F3A"/>
    <w:rsid w:val="00886DFE"/>
    <w:rsid w:val="008A1C1B"/>
    <w:rsid w:val="008A1E37"/>
    <w:rsid w:val="008B5FC9"/>
    <w:rsid w:val="008C0F39"/>
    <w:rsid w:val="008C2F14"/>
    <w:rsid w:val="008D393D"/>
    <w:rsid w:val="008E199B"/>
    <w:rsid w:val="008E33FF"/>
    <w:rsid w:val="008E67BA"/>
    <w:rsid w:val="008F4430"/>
    <w:rsid w:val="008F6C21"/>
    <w:rsid w:val="008F7FE4"/>
    <w:rsid w:val="00903C30"/>
    <w:rsid w:val="00903C59"/>
    <w:rsid w:val="00906E63"/>
    <w:rsid w:val="00925B42"/>
    <w:rsid w:val="0092707B"/>
    <w:rsid w:val="00927F5B"/>
    <w:rsid w:val="009341AD"/>
    <w:rsid w:val="009355A9"/>
    <w:rsid w:val="00935C6F"/>
    <w:rsid w:val="00945427"/>
    <w:rsid w:val="00957101"/>
    <w:rsid w:val="0095718B"/>
    <w:rsid w:val="009615EF"/>
    <w:rsid w:val="00964246"/>
    <w:rsid w:val="00964CB0"/>
    <w:rsid w:val="00967395"/>
    <w:rsid w:val="00970C4A"/>
    <w:rsid w:val="009720AA"/>
    <w:rsid w:val="009900B4"/>
    <w:rsid w:val="009A2E74"/>
    <w:rsid w:val="009A4460"/>
    <w:rsid w:val="009A7B81"/>
    <w:rsid w:val="009B60E8"/>
    <w:rsid w:val="009B61C1"/>
    <w:rsid w:val="009C1400"/>
    <w:rsid w:val="009C4087"/>
    <w:rsid w:val="009C5140"/>
    <w:rsid w:val="009C531B"/>
    <w:rsid w:val="009C5DAB"/>
    <w:rsid w:val="009D0E4C"/>
    <w:rsid w:val="009D15EB"/>
    <w:rsid w:val="009D535D"/>
    <w:rsid w:val="009D64FB"/>
    <w:rsid w:val="009E77D8"/>
    <w:rsid w:val="009F10D1"/>
    <w:rsid w:val="009F1CA7"/>
    <w:rsid w:val="00A00EAD"/>
    <w:rsid w:val="00A01BC5"/>
    <w:rsid w:val="00A07184"/>
    <w:rsid w:val="00A07729"/>
    <w:rsid w:val="00A10116"/>
    <w:rsid w:val="00A128B8"/>
    <w:rsid w:val="00A131BB"/>
    <w:rsid w:val="00A21DDD"/>
    <w:rsid w:val="00A360B1"/>
    <w:rsid w:val="00A4448E"/>
    <w:rsid w:val="00A470B5"/>
    <w:rsid w:val="00A54EE9"/>
    <w:rsid w:val="00A5742E"/>
    <w:rsid w:val="00A8377B"/>
    <w:rsid w:val="00A92A6F"/>
    <w:rsid w:val="00A95897"/>
    <w:rsid w:val="00AA05AF"/>
    <w:rsid w:val="00AA53A0"/>
    <w:rsid w:val="00AA6229"/>
    <w:rsid w:val="00AB054E"/>
    <w:rsid w:val="00AB5BBB"/>
    <w:rsid w:val="00AC1B9C"/>
    <w:rsid w:val="00AC1F9F"/>
    <w:rsid w:val="00AC20CC"/>
    <w:rsid w:val="00AC264F"/>
    <w:rsid w:val="00AD2B28"/>
    <w:rsid w:val="00AD43AA"/>
    <w:rsid w:val="00AD64FC"/>
    <w:rsid w:val="00AD6E1F"/>
    <w:rsid w:val="00AE004F"/>
    <w:rsid w:val="00AE13AC"/>
    <w:rsid w:val="00AE7F97"/>
    <w:rsid w:val="00AF6B28"/>
    <w:rsid w:val="00AF71F8"/>
    <w:rsid w:val="00B00C3D"/>
    <w:rsid w:val="00B00E52"/>
    <w:rsid w:val="00B0154D"/>
    <w:rsid w:val="00B01A7F"/>
    <w:rsid w:val="00B046B4"/>
    <w:rsid w:val="00B13171"/>
    <w:rsid w:val="00B211A3"/>
    <w:rsid w:val="00B2500B"/>
    <w:rsid w:val="00B26240"/>
    <w:rsid w:val="00B3335A"/>
    <w:rsid w:val="00B363D8"/>
    <w:rsid w:val="00B400A7"/>
    <w:rsid w:val="00B43575"/>
    <w:rsid w:val="00B64E00"/>
    <w:rsid w:val="00B67C78"/>
    <w:rsid w:val="00B73BD5"/>
    <w:rsid w:val="00B73CE5"/>
    <w:rsid w:val="00B76BF5"/>
    <w:rsid w:val="00B77B8D"/>
    <w:rsid w:val="00B85C59"/>
    <w:rsid w:val="00B91972"/>
    <w:rsid w:val="00BA4718"/>
    <w:rsid w:val="00BA5746"/>
    <w:rsid w:val="00BA6B35"/>
    <w:rsid w:val="00BB2578"/>
    <w:rsid w:val="00BB3C67"/>
    <w:rsid w:val="00BB5C8C"/>
    <w:rsid w:val="00BB7BE2"/>
    <w:rsid w:val="00BC3CAB"/>
    <w:rsid w:val="00BD608D"/>
    <w:rsid w:val="00BE68FD"/>
    <w:rsid w:val="00BE7EF6"/>
    <w:rsid w:val="00BF46A7"/>
    <w:rsid w:val="00BF7F37"/>
    <w:rsid w:val="00C03685"/>
    <w:rsid w:val="00C05AF5"/>
    <w:rsid w:val="00C0608A"/>
    <w:rsid w:val="00C0622D"/>
    <w:rsid w:val="00C06CC6"/>
    <w:rsid w:val="00C1295B"/>
    <w:rsid w:val="00C3122A"/>
    <w:rsid w:val="00C312CC"/>
    <w:rsid w:val="00C33B09"/>
    <w:rsid w:val="00C35EEB"/>
    <w:rsid w:val="00C41E30"/>
    <w:rsid w:val="00C434DB"/>
    <w:rsid w:val="00C444EC"/>
    <w:rsid w:val="00C46DCC"/>
    <w:rsid w:val="00C46E40"/>
    <w:rsid w:val="00C478A4"/>
    <w:rsid w:val="00C5414F"/>
    <w:rsid w:val="00C6264E"/>
    <w:rsid w:val="00C7099C"/>
    <w:rsid w:val="00C7261C"/>
    <w:rsid w:val="00C803C5"/>
    <w:rsid w:val="00C84B27"/>
    <w:rsid w:val="00C87975"/>
    <w:rsid w:val="00C94492"/>
    <w:rsid w:val="00CA27D6"/>
    <w:rsid w:val="00CA4379"/>
    <w:rsid w:val="00CA67FF"/>
    <w:rsid w:val="00CB7230"/>
    <w:rsid w:val="00CC25C5"/>
    <w:rsid w:val="00CC25CD"/>
    <w:rsid w:val="00CF10D7"/>
    <w:rsid w:val="00CF4CB3"/>
    <w:rsid w:val="00D007E3"/>
    <w:rsid w:val="00D027D8"/>
    <w:rsid w:val="00D03F04"/>
    <w:rsid w:val="00D10732"/>
    <w:rsid w:val="00D3105F"/>
    <w:rsid w:val="00D311A0"/>
    <w:rsid w:val="00D3177E"/>
    <w:rsid w:val="00D33DF5"/>
    <w:rsid w:val="00D35026"/>
    <w:rsid w:val="00D373A5"/>
    <w:rsid w:val="00D37433"/>
    <w:rsid w:val="00D41AC1"/>
    <w:rsid w:val="00D4332D"/>
    <w:rsid w:val="00D45771"/>
    <w:rsid w:val="00D46868"/>
    <w:rsid w:val="00D47118"/>
    <w:rsid w:val="00D54A06"/>
    <w:rsid w:val="00D54C30"/>
    <w:rsid w:val="00D601CA"/>
    <w:rsid w:val="00D64CE8"/>
    <w:rsid w:val="00D802B3"/>
    <w:rsid w:val="00D86E24"/>
    <w:rsid w:val="00D94C65"/>
    <w:rsid w:val="00D95CCC"/>
    <w:rsid w:val="00DA1B9D"/>
    <w:rsid w:val="00DA2E51"/>
    <w:rsid w:val="00DA411E"/>
    <w:rsid w:val="00DA7C54"/>
    <w:rsid w:val="00DD011E"/>
    <w:rsid w:val="00DD11E0"/>
    <w:rsid w:val="00DD26D3"/>
    <w:rsid w:val="00DD2E1F"/>
    <w:rsid w:val="00DE3EF5"/>
    <w:rsid w:val="00DF5C40"/>
    <w:rsid w:val="00E01495"/>
    <w:rsid w:val="00E0240C"/>
    <w:rsid w:val="00E07E8F"/>
    <w:rsid w:val="00E11246"/>
    <w:rsid w:val="00E1367B"/>
    <w:rsid w:val="00E15237"/>
    <w:rsid w:val="00E17DA0"/>
    <w:rsid w:val="00E218E3"/>
    <w:rsid w:val="00E218E6"/>
    <w:rsid w:val="00E219F1"/>
    <w:rsid w:val="00E241F9"/>
    <w:rsid w:val="00E31326"/>
    <w:rsid w:val="00E35FA7"/>
    <w:rsid w:val="00E40257"/>
    <w:rsid w:val="00E424D4"/>
    <w:rsid w:val="00E441D1"/>
    <w:rsid w:val="00E4670C"/>
    <w:rsid w:val="00E477FF"/>
    <w:rsid w:val="00E50089"/>
    <w:rsid w:val="00E501EB"/>
    <w:rsid w:val="00E5356D"/>
    <w:rsid w:val="00E53F4C"/>
    <w:rsid w:val="00E562B9"/>
    <w:rsid w:val="00E60D54"/>
    <w:rsid w:val="00E6793D"/>
    <w:rsid w:val="00E720F8"/>
    <w:rsid w:val="00E77E16"/>
    <w:rsid w:val="00E8328C"/>
    <w:rsid w:val="00E8440F"/>
    <w:rsid w:val="00E92077"/>
    <w:rsid w:val="00E97F92"/>
    <w:rsid w:val="00EA3DA0"/>
    <w:rsid w:val="00EA5783"/>
    <w:rsid w:val="00EB37C6"/>
    <w:rsid w:val="00ED01F7"/>
    <w:rsid w:val="00ED4ACB"/>
    <w:rsid w:val="00ED713A"/>
    <w:rsid w:val="00EE2A7E"/>
    <w:rsid w:val="00EE3DDE"/>
    <w:rsid w:val="00EF1FC1"/>
    <w:rsid w:val="00EF301A"/>
    <w:rsid w:val="00EF50E9"/>
    <w:rsid w:val="00F0271B"/>
    <w:rsid w:val="00F0663B"/>
    <w:rsid w:val="00F214B0"/>
    <w:rsid w:val="00F239A8"/>
    <w:rsid w:val="00F25F91"/>
    <w:rsid w:val="00F34257"/>
    <w:rsid w:val="00F34638"/>
    <w:rsid w:val="00F355F7"/>
    <w:rsid w:val="00F35B9C"/>
    <w:rsid w:val="00F415D0"/>
    <w:rsid w:val="00F43D2D"/>
    <w:rsid w:val="00F46D40"/>
    <w:rsid w:val="00F5276A"/>
    <w:rsid w:val="00F54A46"/>
    <w:rsid w:val="00F55CA5"/>
    <w:rsid w:val="00F5783D"/>
    <w:rsid w:val="00F57D46"/>
    <w:rsid w:val="00F60652"/>
    <w:rsid w:val="00F61600"/>
    <w:rsid w:val="00F639BA"/>
    <w:rsid w:val="00F82D2A"/>
    <w:rsid w:val="00F85234"/>
    <w:rsid w:val="00F868DA"/>
    <w:rsid w:val="00F9702A"/>
    <w:rsid w:val="00F97AD1"/>
    <w:rsid w:val="00FA460F"/>
    <w:rsid w:val="00FA573E"/>
    <w:rsid w:val="00FA759F"/>
    <w:rsid w:val="00FC060C"/>
    <w:rsid w:val="00FC5AC6"/>
    <w:rsid w:val="00FC638B"/>
    <w:rsid w:val="00FC73D8"/>
    <w:rsid w:val="00FC7D2E"/>
    <w:rsid w:val="00FE2266"/>
    <w:rsid w:val="00FF3271"/>
    <w:rsid w:val="00FF34FF"/>
    <w:rsid w:val="00FF3825"/>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styleId="Revision">
    <w:name w:val="Revision"/>
    <w:hidden/>
    <w:uiPriority w:val="99"/>
    <w:semiHidden/>
    <w:rsid w:val="009C5140"/>
    <w:rPr>
      <w:sz w:val="24"/>
      <w:szCs w:val="24"/>
    </w:rPr>
  </w:style>
  <w:style w:type="paragraph" w:styleId="EndnoteText">
    <w:name w:val="endnote text"/>
    <w:basedOn w:val="Normal"/>
    <w:link w:val="EndnoteTextChar"/>
    <w:uiPriority w:val="99"/>
    <w:unhideWhenUsed/>
    <w:rsid w:val="00F54A46"/>
    <w:rPr>
      <w:rFonts w:ascii="Garamond" w:hAnsi="Garamond"/>
      <w:sz w:val="20"/>
      <w:szCs w:val="20"/>
    </w:rPr>
  </w:style>
  <w:style w:type="character" w:customStyle="1" w:styleId="EndnoteTextChar">
    <w:name w:val="Endnote Text Char"/>
    <w:basedOn w:val="DefaultParagraphFont"/>
    <w:link w:val="EndnoteText"/>
    <w:uiPriority w:val="99"/>
    <w:rsid w:val="00F54A46"/>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styleId="Revision">
    <w:name w:val="Revision"/>
    <w:hidden/>
    <w:uiPriority w:val="99"/>
    <w:semiHidden/>
    <w:rsid w:val="009C5140"/>
    <w:rPr>
      <w:sz w:val="24"/>
      <w:szCs w:val="24"/>
    </w:rPr>
  </w:style>
  <w:style w:type="paragraph" w:styleId="EndnoteText">
    <w:name w:val="endnote text"/>
    <w:basedOn w:val="Normal"/>
    <w:link w:val="EndnoteTextChar"/>
    <w:uiPriority w:val="99"/>
    <w:unhideWhenUsed/>
    <w:rsid w:val="00F54A46"/>
    <w:rPr>
      <w:rFonts w:ascii="Garamond" w:hAnsi="Garamond"/>
      <w:sz w:val="20"/>
      <w:szCs w:val="20"/>
    </w:rPr>
  </w:style>
  <w:style w:type="character" w:customStyle="1" w:styleId="EndnoteTextChar">
    <w:name w:val="Endnote Text Char"/>
    <w:basedOn w:val="DefaultParagraphFont"/>
    <w:link w:val="EndnoteText"/>
    <w:uiPriority w:val="99"/>
    <w:rsid w:val="00F54A46"/>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262298300">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308021029">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0809342">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igdis.com/wp-content/uploads/2013/01/IGDIs-EL-1st-Ed-Technical-Info-Summary-Shee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igdis.com/wp-content/uploads/2013/01/IGDIs-EL-2nd-Ed-Technical-Info-Summar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igdis.com/wp-content/uploads/2013/01/myIGDIs-Literacy+-Screening-Administration-Manu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yigdis.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4E97DD8-30C6-4C9A-89ED-980CB6F4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5296</Words>
  <Characters>31566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36789</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Richardson, Scott</cp:lastModifiedBy>
  <cp:revision>4</cp:revision>
  <cp:lastPrinted>2012-05-16T12:41:00Z</cp:lastPrinted>
  <dcterms:created xsi:type="dcterms:W3CDTF">2013-04-16T11:49:00Z</dcterms:created>
  <dcterms:modified xsi:type="dcterms:W3CDTF">2013-04-16T15:57:00Z</dcterms:modified>
</cp:coreProperties>
</file>