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ABD38" w14:textId="77777777" w:rsidR="009337AD" w:rsidRDefault="009337AD" w:rsidP="009337AD">
      <w:bookmarkStart w:id="0" w:name="_GoBack"/>
      <w:bookmarkEnd w:id="0"/>
    </w:p>
    <w:p w14:paraId="185ABD39" w14:textId="77777777" w:rsidR="009337AD" w:rsidRDefault="009337AD" w:rsidP="009337AD">
      <w:pPr>
        <w:jc w:val="center"/>
        <w:rPr>
          <w:b/>
          <w:bCs/>
        </w:rPr>
      </w:pPr>
      <w:r>
        <w:rPr>
          <w:b/>
          <w:bCs/>
        </w:rPr>
        <w:t>SUPPORTING STATEMENT</w:t>
      </w:r>
    </w:p>
    <w:p w14:paraId="185ABD3A" w14:textId="77777777" w:rsidR="009337AD" w:rsidRDefault="009337AD" w:rsidP="009337AD">
      <w:pPr>
        <w:jc w:val="center"/>
        <w:rPr>
          <w:b/>
          <w:bCs/>
        </w:rPr>
      </w:pPr>
      <w:proofErr w:type="gramStart"/>
      <w:r>
        <w:rPr>
          <w:b/>
          <w:bCs/>
        </w:rPr>
        <w:t>for</w:t>
      </w:r>
      <w:proofErr w:type="gramEnd"/>
      <w:r>
        <w:rPr>
          <w:b/>
          <w:bCs/>
        </w:rPr>
        <w:t xml:space="preserve"> the Paperwork Reduction Act Information Collection Submission for</w:t>
      </w:r>
    </w:p>
    <w:p w14:paraId="185ABD3B" w14:textId="77777777" w:rsidR="009337AD" w:rsidRDefault="009337AD" w:rsidP="009337AD">
      <w:pPr>
        <w:jc w:val="center"/>
        <w:rPr>
          <w:b/>
          <w:bCs/>
        </w:rPr>
      </w:pPr>
      <w:r>
        <w:rPr>
          <w:b/>
          <w:bCs/>
        </w:rPr>
        <w:t>“Regulation S-ID”</w:t>
      </w:r>
    </w:p>
    <w:p w14:paraId="185ABD3C" w14:textId="77777777" w:rsidR="000567BC" w:rsidRDefault="000567BC">
      <w:pPr>
        <w:pStyle w:val="Heading1"/>
        <w:rPr>
          <w:rFonts w:ascii="Times New Roman" w:hAnsi="Times New Roman" w:cs="Times New Roman"/>
        </w:rPr>
      </w:pPr>
      <w:r>
        <w:rPr>
          <w:rFonts w:ascii="Times New Roman" w:hAnsi="Times New Roman" w:cs="Times New Roman"/>
        </w:rPr>
        <w:t>JUSTIFICATION</w:t>
      </w:r>
    </w:p>
    <w:p w14:paraId="185ABD3D" w14:textId="77777777" w:rsidR="000567BC" w:rsidRDefault="000567BC">
      <w:pPr>
        <w:pStyle w:val="Heading2"/>
        <w:rPr>
          <w:rFonts w:ascii="Times New Roman" w:hAnsi="Times New Roman" w:cs="Times New Roman"/>
        </w:rPr>
      </w:pPr>
      <w:r>
        <w:rPr>
          <w:rFonts w:ascii="Times New Roman" w:hAnsi="Times New Roman" w:cs="Times New Roman"/>
        </w:rPr>
        <w:t>1.</w:t>
      </w:r>
      <w:r>
        <w:rPr>
          <w:rFonts w:ascii="Times New Roman" w:hAnsi="Times New Roman" w:cs="Times New Roman"/>
        </w:rPr>
        <w:tab/>
        <w:t>Necessity for the Information Collection</w:t>
      </w:r>
    </w:p>
    <w:p w14:paraId="185ABD3E" w14:textId="77777777" w:rsidR="007F41B1" w:rsidRDefault="000567BC">
      <w:pPr>
        <w:rPr>
          <w:rFonts w:ascii="Times New Roman" w:hAnsi="Times New Roman" w:cs="Times New Roman"/>
        </w:rPr>
      </w:pPr>
      <w:r>
        <w:rPr>
          <w:rFonts w:ascii="Times New Roman" w:hAnsi="Times New Roman" w:cs="Times New Roman"/>
        </w:rPr>
        <w:tab/>
      </w:r>
      <w:r w:rsidR="00F559A3">
        <w:rPr>
          <w:rFonts w:ascii="Times New Roman" w:hAnsi="Times New Roman" w:cs="Times New Roman"/>
        </w:rPr>
        <w:t xml:space="preserve">Under </w:t>
      </w:r>
      <w:r w:rsidR="007F41B1" w:rsidRPr="00246329">
        <w:t>Regulation S-ID</w:t>
      </w:r>
      <w:r w:rsidR="00F559A3">
        <w:t>,</w:t>
      </w:r>
      <w:bookmarkStart w:id="1" w:name="_Ref353442714"/>
      <w:r w:rsidR="00D712F1">
        <w:rPr>
          <w:rStyle w:val="FootnoteReference"/>
        </w:rPr>
        <w:footnoteReference w:id="2"/>
      </w:r>
      <w:bookmarkEnd w:id="1"/>
      <w:r w:rsidR="00D712F1" w:rsidRPr="00246329">
        <w:t xml:space="preserve"> </w:t>
      </w:r>
      <w:r w:rsidR="007F41B1" w:rsidRPr="00246329">
        <w:t xml:space="preserve">SEC-regulated entities </w:t>
      </w:r>
      <w:r w:rsidR="00F559A3">
        <w:t>are required to</w:t>
      </w:r>
      <w:r w:rsidR="007F41B1" w:rsidRPr="00246329">
        <w:t xml:space="preserve"> develop and implement reasonable policies and procedures to identify, detect and respond to relevant red flags and, in the case of entities that issue credit or debit cards, to assess the validity of, and communicate with cardholders regarding, address changes.</w:t>
      </w:r>
      <w:r w:rsidR="00C97D34">
        <w:t xml:space="preserve"> </w:t>
      </w:r>
      <w:r w:rsidR="007F41B1" w:rsidRPr="00246329">
        <w:t xml:space="preserve"> </w:t>
      </w:r>
      <w:r w:rsidR="00F559A3">
        <w:t>Section</w:t>
      </w:r>
      <w:r w:rsidR="007F41B1">
        <w:t> 248.201 of Regulation S</w:t>
      </w:r>
      <w:r w:rsidR="007F41B1">
        <w:noBreakHyphen/>
      </w:r>
      <w:r w:rsidR="007F41B1" w:rsidRPr="00246329">
        <w:t>ID include</w:t>
      </w:r>
      <w:r w:rsidR="00F559A3">
        <w:t>s</w:t>
      </w:r>
      <w:r w:rsidR="007F41B1" w:rsidRPr="00246329">
        <w:t xml:space="preserve"> the following “collections of information” by SEC-regulated entities that are financial institutions or creditors if the entity maintains covered accounts: </w:t>
      </w:r>
      <w:r w:rsidR="00C97D34">
        <w:t xml:space="preserve"> </w:t>
      </w:r>
      <w:r w:rsidR="007F41B1" w:rsidRPr="00246329">
        <w:t>(1) creation and periodic updating of a</w:t>
      </w:r>
      <w:r w:rsidR="00002A60">
        <w:t>n identity theft prevention p</w:t>
      </w:r>
      <w:r w:rsidR="007F41B1" w:rsidRPr="00246329">
        <w:t xml:space="preserve">rogram </w:t>
      </w:r>
      <w:r w:rsidR="00675449">
        <w:t xml:space="preserve">(“Program”) </w:t>
      </w:r>
      <w:r w:rsidR="007F41B1" w:rsidRPr="00246329">
        <w:t>that is approved by the board of directors</w:t>
      </w:r>
      <w:r w:rsidR="003A2B34">
        <w:t>, an appropriate committee thereof, or a designated senior management employee</w:t>
      </w:r>
      <w:r w:rsidR="007F41B1" w:rsidRPr="00246329">
        <w:t xml:space="preserve">; (2) periodic staff reporting on compliance with the identify theft red flags rules and guidelines, as required to be considered by section VI of the guidelines; and (3) training of staff to implement the Program.  </w:t>
      </w:r>
      <w:r w:rsidR="00F559A3">
        <w:t>Section</w:t>
      </w:r>
      <w:r w:rsidR="007F41B1">
        <w:t> </w:t>
      </w:r>
      <w:r w:rsidR="007F41B1" w:rsidRPr="00246329">
        <w:t>248.202 of Regulation S</w:t>
      </w:r>
      <w:r w:rsidR="007F41B1" w:rsidRPr="00246329">
        <w:noBreakHyphen/>
        <w:t>ID include</w:t>
      </w:r>
      <w:r w:rsidR="003A2B34">
        <w:t>s</w:t>
      </w:r>
      <w:r w:rsidR="007F41B1" w:rsidRPr="00246329">
        <w:t xml:space="preserve"> the following “collections of information” by SEC-regulated entities that are credit or debit card issuers: </w:t>
      </w:r>
      <w:r w:rsidR="001C2FC6">
        <w:t xml:space="preserve"> </w:t>
      </w:r>
      <w:r w:rsidR="007F41B1" w:rsidRPr="00246329">
        <w:t xml:space="preserve">(1) establishment of policies and procedures that assess the validity of a change of address notification if a request for an </w:t>
      </w:r>
      <w:r w:rsidR="007F41B1" w:rsidRPr="00246329">
        <w:lastRenderedPageBreak/>
        <w:t xml:space="preserve">additional </w:t>
      </w:r>
      <w:r w:rsidR="00F559A3">
        <w:t xml:space="preserve">or replacement </w:t>
      </w:r>
      <w:r w:rsidR="007F41B1" w:rsidRPr="00246329">
        <w:t>card on the account follow</w:t>
      </w:r>
      <w:r w:rsidR="00254E68">
        <w:t>s soon after the address change; and</w:t>
      </w:r>
      <w:r w:rsidR="007F41B1" w:rsidRPr="00246329">
        <w:t xml:space="preserve"> (2) notification of a cardholder, before issuance of an additional or replacement card, at the previous address or through some other previously agreed-upon form of communication, or alternatively, assessment of the validity of the address change request through the entity’s established policies and procedures</w:t>
      </w:r>
      <w:r w:rsidR="00D712F1">
        <w:t xml:space="preserve">. </w:t>
      </w:r>
    </w:p>
    <w:p w14:paraId="185ABD3F" w14:textId="77777777" w:rsidR="000567BC" w:rsidRDefault="000567BC">
      <w:pPr>
        <w:pStyle w:val="Heading2"/>
        <w:rPr>
          <w:rFonts w:ascii="Times New Roman" w:hAnsi="Times New Roman" w:cs="Times New Roman"/>
        </w:rPr>
      </w:pPr>
      <w:r>
        <w:rPr>
          <w:rFonts w:ascii="Times New Roman" w:hAnsi="Times New Roman" w:cs="Times New Roman"/>
        </w:rPr>
        <w:t>2.</w:t>
      </w:r>
      <w:r>
        <w:rPr>
          <w:rFonts w:ascii="Times New Roman" w:hAnsi="Times New Roman" w:cs="Times New Roman"/>
        </w:rPr>
        <w:tab/>
        <w:t>Purpose of the Information Collection</w:t>
      </w:r>
    </w:p>
    <w:p w14:paraId="185ABD40" w14:textId="77777777" w:rsidR="000567BC" w:rsidRDefault="000567BC">
      <w:pPr>
        <w:rPr>
          <w:rFonts w:ascii="Times New Roman" w:hAnsi="Times New Roman" w:cs="Times New Roman"/>
        </w:rPr>
      </w:pPr>
      <w:r>
        <w:rPr>
          <w:rFonts w:ascii="Times New Roman" w:hAnsi="Times New Roman" w:cs="Times New Roman"/>
        </w:rPr>
        <w:tab/>
      </w:r>
      <w:bookmarkStart w:id="2" w:name="OLE_LINK1"/>
      <w:bookmarkStart w:id="3" w:name="OLE_LINK2"/>
      <w:r w:rsidR="00397909">
        <w:rPr>
          <w:rFonts w:ascii="Times New Roman" w:hAnsi="Times New Roman" w:cs="Times New Roman"/>
        </w:rPr>
        <w:t xml:space="preserve">Regulation S-ID, and the information collection it requires, is designed to better protect consumers from the risks of identity theft.  The regulation </w:t>
      </w:r>
      <w:r w:rsidR="00397909">
        <w:rPr>
          <w:rFonts w:cs="Times New Roman"/>
        </w:rPr>
        <w:t>requires</w:t>
      </w:r>
      <w:r w:rsidR="00397909" w:rsidRPr="00246329">
        <w:rPr>
          <w:rFonts w:cs="Times New Roman"/>
        </w:rPr>
        <w:t xml:space="preserve"> entities that </w:t>
      </w:r>
      <w:r w:rsidR="00397909">
        <w:rPr>
          <w:rFonts w:cs="Times New Roman"/>
        </w:rPr>
        <w:t>are subject to the Commission’s</w:t>
      </w:r>
      <w:r w:rsidR="00397909" w:rsidRPr="00246329">
        <w:rPr>
          <w:rFonts w:cs="Times New Roman"/>
        </w:rPr>
        <w:t xml:space="preserve"> jurisdiction to address identity theft in two ways.  First, the rules and guidelines require financial institutions and creditors </w:t>
      </w:r>
      <w:r w:rsidR="000010F3">
        <w:rPr>
          <w:rFonts w:cs="Times New Roman"/>
        </w:rPr>
        <w:t xml:space="preserve">that offer or maintain certain accounts </w:t>
      </w:r>
      <w:r w:rsidR="00397909" w:rsidRPr="00246329">
        <w:rPr>
          <w:rFonts w:cs="Times New Roman"/>
        </w:rPr>
        <w:t xml:space="preserve">to </w:t>
      </w:r>
      <w:r w:rsidR="00397909" w:rsidRPr="00246329">
        <w:t xml:space="preserve">develop and implement a written </w:t>
      </w:r>
      <w:r w:rsidR="00397909">
        <w:t>i</w:t>
      </w:r>
      <w:r w:rsidR="00397909" w:rsidRPr="00246329">
        <w:t xml:space="preserve">dentity </w:t>
      </w:r>
      <w:r w:rsidR="00397909">
        <w:t>t</w:t>
      </w:r>
      <w:r w:rsidR="00397909" w:rsidRPr="00246329">
        <w:t xml:space="preserve">heft </w:t>
      </w:r>
      <w:r w:rsidR="00397909">
        <w:t>p</w:t>
      </w:r>
      <w:r w:rsidR="00397909" w:rsidRPr="00246329">
        <w:t xml:space="preserve">revention </w:t>
      </w:r>
      <w:r w:rsidR="00397909">
        <w:t>p</w:t>
      </w:r>
      <w:r w:rsidR="00397909" w:rsidRPr="00246329">
        <w:t>rogram designed to detect, prevent, and mitigate identity theft</w:t>
      </w:r>
      <w:r w:rsidR="00397909">
        <w:t xml:space="preserve"> </w:t>
      </w:r>
      <w:r w:rsidR="000010F3">
        <w:rPr>
          <w:rFonts w:cs="Times New Roman"/>
        </w:rPr>
        <w:t xml:space="preserve">in connection with </w:t>
      </w:r>
      <w:r w:rsidR="00397909" w:rsidRPr="00246329">
        <w:rPr>
          <w:rFonts w:cs="Times New Roman"/>
        </w:rPr>
        <w:t xml:space="preserve">existing accounts </w:t>
      </w:r>
      <w:r w:rsidR="00397909">
        <w:rPr>
          <w:rFonts w:cs="Times New Roman"/>
        </w:rPr>
        <w:t xml:space="preserve">or </w:t>
      </w:r>
      <w:r w:rsidR="00397909" w:rsidRPr="00246329">
        <w:rPr>
          <w:rFonts w:cs="Times New Roman"/>
        </w:rPr>
        <w:t xml:space="preserve">the opening of </w:t>
      </w:r>
      <w:r w:rsidR="00397909">
        <w:rPr>
          <w:rFonts w:cs="Times New Roman"/>
        </w:rPr>
        <w:t xml:space="preserve">new </w:t>
      </w:r>
      <w:r w:rsidR="00397909" w:rsidRPr="00246329">
        <w:rPr>
          <w:rFonts w:cs="Times New Roman"/>
        </w:rPr>
        <w:t xml:space="preserve">accounts. </w:t>
      </w:r>
      <w:r w:rsidR="00397909">
        <w:rPr>
          <w:rFonts w:cs="Times New Roman"/>
        </w:rPr>
        <w:t xml:space="preserve"> </w:t>
      </w:r>
      <w:r w:rsidR="00397909" w:rsidRPr="00246329">
        <w:rPr>
          <w:rFonts w:cs="Times New Roman"/>
        </w:rPr>
        <w:t xml:space="preserve">Second, the rules establish special requirements for credit and debit card issuers </w:t>
      </w:r>
      <w:r w:rsidR="00397909">
        <w:rPr>
          <w:rFonts w:cs="Times New Roman"/>
        </w:rPr>
        <w:t xml:space="preserve">that are </w:t>
      </w:r>
      <w:r w:rsidR="00397909" w:rsidRPr="00246329">
        <w:rPr>
          <w:rFonts w:cs="Times New Roman"/>
        </w:rPr>
        <w:t xml:space="preserve">subject to </w:t>
      </w:r>
      <w:r w:rsidR="00F94F9D">
        <w:rPr>
          <w:rFonts w:cs="Times New Roman"/>
        </w:rPr>
        <w:t>the Commission’s</w:t>
      </w:r>
      <w:r w:rsidR="00397909" w:rsidRPr="00246329">
        <w:rPr>
          <w:rFonts w:cs="Times New Roman"/>
        </w:rPr>
        <w:t xml:space="preserve"> jurisdiction</w:t>
      </w:r>
      <w:r w:rsidR="00397909">
        <w:rPr>
          <w:rFonts w:cs="Times New Roman"/>
        </w:rPr>
        <w:t>,</w:t>
      </w:r>
      <w:r w:rsidR="00397909" w:rsidRPr="00246329">
        <w:rPr>
          <w:rFonts w:cs="Times New Roman"/>
        </w:rPr>
        <w:t xml:space="preserve"> to assess the validity of notifications of changes of address under certain circumstances.</w:t>
      </w:r>
    </w:p>
    <w:bookmarkEnd w:id="2"/>
    <w:bookmarkEnd w:id="3"/>
    <w:p w14:paraId="185ABD41" w14:textId="6223DF5B" w:rsidR="000567BC" w:rsidRDefault="000567BC">
      <w:pPr>
        <w:pStyle w:val="Heading2"/>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0E7679">
        <w:rPr>
          <w:rFonts w:ascii="Times New Roman" w:hAnsi="Times New Roman" w:cs="Times New Roman"/>
        </w:rPr>
        <w:t xml:space="preserve">Consideration Given to </w:t>
      </w:r>
      <w:r>
        <w:rPr>
          <w:rFonts w:ascii="Times New Roman" w:hAnsi="Times New Roman" w:cs="Times New Roman"/>
        </w:rPr>
        <w:t>Information Technology</w:t>
      </w:r>
    </w:p>
    <w:p w14:paraId="185ABD42" w14:textId="77777777" w:rsidR="000567BC" w:rsidRDefault="000567BC">
      <w:pPr>
        <w:rPr>
          <w:rFonts w:ascii="Times New Roman" w:hAnsi="Times New Roman" w:cs="Times New Roman"/>
        </w:rPr>
      </w:pPr>
      <w:r>
        <w:rPr>
          <w:rFonts w:ascii="Times New Roman" w:hAnsi="Times New Roman" w:cs="Times New Roman"/>
        </w:rPr>
        <w:tab/>
      </w:r>
      <w:r>
        <w:rPr>
          <w:rFonts w:ascii="Times New Roman" w:hAnsi="Times New Roman"/>
        </w:rPr>
        <w:t xml:space="preserve">The Commission’s Electronic Data Gathering, Analysis and Retrieval System (“EDGAR”) provides for the automated filing, processing, and dissemination of full disclosure filings.  The automation provides for speed, accuracy and public availability of information, </w:t>
      </w:r>
      <w:r>
        <w:rPr>
          <w:rFonts w:ascii="Times New Roman" w:hAnsi="Times New Roman"/>
        </w:rPr>
        <w:lastRenderedPageBreak/>
        <w:t xml:space="preserve">generating benefits to investors and financial markets.  </w:t>
      </w:r>
      <w:r>
        <w:rPr>
          <w:rFonts w:ascii="Times New Roman" w:hAnsi="Times New Roman" w:cs="Times New Roman"/>
        </w:rPr>
        <w:t xml:space="preserve">While EDGAR currently is limited to disclosure and fund deregistration filings, EDGAR may be used in the future to obtain other types of information from </w:t>
      </w:r>
      <w:r w:rsidR="00B44AF6">
        <w:rPr>
          <w:rFonts w:ascii="Times New Roman" w:hAnsi="Times New Roman" w:cs="Times New Roman"/>
        </w:rPr>
        <w:t xml:space="preserve">sources outside the Commission.  </w:t>
      </w:r>
      <w:r w:rsidRPr="00170F6C">
        <w:rPr>
          <w:rFonts w:ascii="Times New Roman" w:hAnsi="Times New Roman" w:cs="Times New Roman"/>
        </w:rPr>
        <w:t>The Electronic Signatures in Global and National Commerce Act</w:t>
      </w:r>
      <w:r w:rsidR="00170F6C" w:rsidRPr="00170F6C">
        <w:rPr>
          <w:rStyle w:val="FootnoteReference"/>
          <w:rFonts w:ascii="Times New Roman" w:hAnsi="Times New Roman" w:cs="Times New Roman"/>
        </w:rPr>
        <w:t xml:space="preserve"> </w:t>
      </w:r>
      <w:r w:rsidR="00170F6C" w:rsidRPr="00170F6C">
        <w:rPr>
          <w:rFonts w:ascii="Times New Roman" w:hAnsi="Times New Roman" w:cs="Times New Roman"/>
        </w:rPr>
        <w:t xml:space="preserve"> (15 U.S.C. 7001)</w:t>
      </w:r>
      <w:r w:rsidRPr="00170F6C">
        <w:rPr>
          <w:rFonts w:ascii="Times New Roman" w:hAnsi="Times New Roman" w:cs="Times New Roman"/>
        </w:rPr>
        <w:t xml:space="preserve"> and the conforming amendments to recordkeeping rules under the Investment Company Act </w:t>
      </w:r>
      <w:r w:rsidR="00F94F9D">
        <w:rPr>
          <w:rFonts w:ascii="Times New Roman" w:hAnsi="Times New Roman" w:cs="Times New Roman"/>
        </w:rPr>
        <w:t xml:space="preserve">of 1940 (15 U.S.C. 80a) </w:t>
      </w:r>
      <w:r w:rsidRPr="00170F6C">
        <w:rPr>
          <w:rFonts w:ascii="Times New Roman" w:hAnsi="Times New Roman" w:cs="Times New Roman"/>
        </w:rPr>
        <w:t>p</w:t>
      </w:r>
      <w:r>
        <w:rPr>
          <w:rFonts w:ascii="Times New Roman" w:hAnsi="Times New Roman"/>
        </w:rPr>
        <w:t>ermit funds to maintain records electronically.</w:t>
      </w:r>
    </w:p>
    <w:p w14:paraId="185ABD43" w14:textId="153CA271" w:rsidR="000567BC" w:rsidRDefault="000567BC">
      <w:pPr>
        <w:pStyle w:val="Heading2"/>
        <w:rPr>
          <w:rFonts w:ascii="Times New Roman" w:hAnsi="Times New Roman" w:cs="Times New Roman"/>
        </w:rPr>
      </w:pPr>
      <w:r>
        <w:rPr>
          <w:rFonts w:ascii="Times New Roman" w:hAnsi="Times New Roman" w:cs="Times New Roman"/>
        </w:rPr>
        <w:t>4.</w:t>
      </w:r>
      <w:r>
        <w:rPr>
          <w:rFonts w:ascii="Times New Roman" w:hAnsi="Times New Roman" w:cs="Times New Roman"/>
        </w:rPr>
        <w:tab/>
        <w:t>Duplication</w:t>
      </w:r>
    </w:p>
    <w:p w14:paraId="185ABD44" w14:textId="77777777" w:rsidR="000567BC" w:rsidRDefault="000567BC">
      <w:pPr>
        <w:rPr>
          <w:rFonts w:ascii="Times New Roman" w:hAnsi="Times New Roman" w:cs="Times New Roman"/>
        </w:rPr>
      </w:pPr>
      <w:r>
        <w:rPr>
          <w:rFonts w:ascii="Times New Roman" w:hAnsi="Times New Roman" w:cs="Times New Roman"/>
        </w:rPr>
        <w:tab/>
        <w:t xml:space="preserve">The Commission sought to avoid duplication of requirements imposed under </w:t>
      </w:r>
      <w:r w:rsidR="00A03982">
        <w:rPr>
          <w:rFonts w:ascii="Times New Roman" w:hAnsi="Times New Roman" w:cs="Times New Roman"/>
        </w:rPr>
        <w:t>other agencies</w:t>
      </w:r>
      <w:r w:rsidR="00F94F9D">
        <w:rPr>
          <w:rFonts w:ascii="Times New Roman" w:hAnsi="Times New Roman" w:cs="Times New Roman"/>
        </w:rPr>
        <w:t>’</w:t>
      </w:r>
      <w:r w:rsidR="00A03982">
        <w:rPr>
          <w:rFonts w:ascii="Times New Roman" w:hAnsi="Times New Roman" w:cs="Times New Roman"/>
        </w:rPr>
        <w:t xml:space="preserve"> rules.  For example, Regulation S-ID is limited to entities under the Commission’s jurisdiction, and although substantiall</w:t>
      </w:r>
      <w:r w:rsidR="001C2FC6">
        <w:rPr>
          <w:rFonts w:ascii="Times New Roman" w:hAnsi="Times New Roman" w:cs="Times New Roman"/>
        </w:rPr>
        <w:t>y similar to regulations issued</w:t>
      </w:r>
      <w:r w:rsidR="00A03982">
        <w:rPr>
          <w:rFonts w:ascii="Times New Roman" w:hAnsi="Times New Roman" w:cs="Times New Roman"/>
        </w:rPr>
        <w:t xml:space="preserve"> </w:t>
      </w:r>
      <w:r w:rsidR="001C2FC6">
        <w:rPr>
          <w:rFonts w:ascii="Times New Roman" w:hAnsi="Times New Roman" w:cs="Times New Roman"/>
        </w:rPr>
        <w:t xml:space="preserve">in 2007 </w:t>
      </w:r>
      <w:r w:rsidR="000010F3">
        <w:rPr>
          <w:rFonts w:ascii="Times New Roman" w:hAnsi="Times New Roman" w:cs="Times New Roman"/>
        </w:rPr>
        <w:t>by the F</w:t>
      </w:r>
      <w:r w:rsidR="00002A60">
        <w:rPr>
          <w:rFonts w:ascii="Times New Roman" w:hAnsi="Times New Roman" w:cs="Times New Roman"/>
        </w:rPr>
        <w:t xml:space="preserve">ederal </w:t>
      </w:r>
      <w:r w:rsidR="000010F3">
        <w:rPr>
          <w:rFonts w:ascii="Times New Roman" w:hAnsi="Times New Roman" w:cs="Times New Roman"/>
        </w:rPr>
        <w:t>T</w:t>
      </w:r>
      <w:r w:rsidR="00002A60">
        <w:rPr>
          <w:rFonts w:ascii="Times New Roman" w:hAnsi="Times New Roman" w:cs="Times New Roman"/>
        </w:rPr>
        <w:t xml:space="preserve">rade </w:t>
      </w:r>
      <w:r w:rsidR="000010F3">
        <w:rPr>
          <w:rFonts w:ascii="Times New Roman" w:hAnsi="Times New Roman" w:cs="Times New Roman"/>
        </w:rPr>
        <w:t>C</w:t>
      </w:r>
      <w:r w:rsidR="00002A60">
        <w:rPr>
          <w:rFonts w:ascii="Times New Roman" w:hAnsi="Times New Roman" w:cs="Times New Roman"/>
        </w:rPr>
        <w:t>ommission</w:t>
      </w:r>
      <w:r w:rsidR="000010F3">
        <w:rPr>
          <w:rFonts w:ascii="Times New Roman" w:hAnsi="Times New Roman" w:cs="Times New Roman"/>
        </w:rPr>
        <w:t xml:space="preserve">, </w:t>
      </w:r>
      <w:r w:rsidR="001C2FC6">
        <w:rPr>
          <w:rFonts w:ascii="Times New Roman" w:hAnsi="Times New Roman" w:cs="Times New Roman"/>
        </w:rPr>
        <w:t>the federal banking</w:t>
      </w:r>
      <w:r w:rsidR="00A03982">
        <w:rPr>
          <w:rFonts w:ascii="Times New Roman" w:hAnsi="Times New Roman" w:cs="Times New Roman"/>
        </w:rPr>
        <w:t xml:space="preserve"> agencies</w:t>
      </w:r>
      <w:r w:rsidR="000010F3">
        <w:rPr>
          <w:rFonts w:ascii="Times New Roman" w:hAnsi="Times New Roman" w:cs="Times New Roman"/>
        </w:rPr>
        <w:t>, and the National Credit Union Association</w:t>
      </w:r>
      <w:r w:rsidR="0074186E">
        <w:rPr>
          <w:rFonts w:ascii="Times New Roman" w:hAnsi="Times New Roman" w:cs="Times New Roman"/>
        </w:rPr>
        <w:t xml:space="preserve"> (collectively, the “Agencies”)</w:t>
      </w:r>
      <w:r w:rsidR="00A03982">
        <w:rPr>
          <w:rFonts w:ascii="Times New Roman" w:hAnsi="Times New Roman" w:cs="Times New Roman"/>
        </w:rPr>
        <w:t>, does not apply to entities regulated by othe</w:t>
      </w:r>
      <w:r w:rsidR="001C2FC6">
        <w:rPr>
          <w:rFonts w:ascii="Times New Roman" w:hAnsi="Times New Roman" w:cs="Times New Roman"/>
        </w:rPr>
        <w:t>r agencies.</w:t>
      </w:r>
      <w:r w:rsidR="00824430" w:rsidRPr="00824430">
        <w:rPr>
          <w:rStyle w:val="FootnoteReference"/>
        </w:rPr>
        <w:t xml:space="preserve"> </w:t>
      </w:r>
      <w:bookmarkStart w:id="4" w:name="_Ref353191769"/>
      <w:r w:rsidR="00824430" w:rsidRPr="00246329">
        <w:rPr>
          <w:rStyle w:val="FootnoteReference"/>
        </w:rPr>
        <w:footnoteReference w:id="3"/>
      </w:r>
      <w:bookmarkEnd w:id="4"/>
      <w:r w:rsidR="001C2FC6">
        <w:rPr>
          <w:rFonts w:ascii="Times New Roman" w:hAnsi="Times New Roman" w:cs="Times New Roman"/>
        </w:rPr>
        <w:t xml:space="preserve">  In addition, the identity</w:t>
      </w:r>
      <w:r w:rsidR="00A03982">
        <w:rPr>
          <w:rFonts w:ascii="Times New Roman" w:hAnsi="Times New Roman" w:cs="Times New Roman"/>
        </w:rPr>
        <w:t xml:space="preserve"> theft </w:t>
      </w:r>
      <w:r w:rsidR="001C2FC6">
        <w:rPr>
          <w:rFonts w:ascii="Times New Roman" w:hAnsi="Times New Roman" w:cs="Times New Roman"/>
        </w:rPr>
        <w:t xml:space="preserve">prevention </w:t>
      </w:r>
      <w:r w:rsidR="00A03982">
        <w:rPr>
          <w:rFonts w:ascii="Times New Roman" w:hAnsi="Times New Roman" w:cs="Times New Roman"/>
        </w:rPr>
        <w:t xml:space="preserve">program required by Regulation S-ID may be integrated into other </w:t>
      </w:r>
      <w:r w:rsidR="001C2FC6">
        <w:rPr>
          <w:rFonts w:ascii="Times New Roman" w:hAnsi="Times New Roman" w:cs="Times New Roman"/>
        </w:rPr>
        <w:t>identity</w:t>
      </w:r>
      <w:r w:rsidR="00A03982">
        <w:rPr>
          <w:rFonts w:ascii="Times New Roman" w:hAnsi="Times New Roman" w:cs="Times New Roman"/>
        </w:rPr>
        <w:t xml:space="preserve"> theft </w:t>
      </w:r>
      <w:r w:rsidR="001C2FC6">
        <w:rPr>
          <w:rFonts w:ascii="Times New Roman" w:hAnsi="Times New Roman" w:cs="Times New Roman"/>
        </w:rPr>
        <w:t xml:space="preserve">prevention </w:t>
      </w:r>
      <w:r w:rsidR="00A03982">
        <w:rPr>
          <w:rFonts w:ascii="Times New Roman" w:hAnsi="Times New Roman" w:cs="Times New Roman"/>
        </w:rPr>
        <w:t xml:space="preserve">or privacy programs that the financial institution or creditor may already have.  </w:t>
      </w:r>
    </w:p>
    <w:p w14:paraId="185ABD45" w14:textId="77777777" w:rsidR="000567BC" w:rsidRDefault="000567BC">
      <w:pPr>
        <w:pStyle w:val="Heading2"/>
        <w:rPr>
          <w:rFonts w:ascii="Times New Roman" w:hAnsi="Times New Roman" w:cs="Times New Roman"/>
        </w:rPr>
      </w:pPr>
      <w:r>
        <w:rPr>
          <w:rFonts w:ascii="Times New Roman" w:hAnsi="Times New Roman" w:cs="Times New Roman"/>
        </w:rPr>
        <w:t>5.</w:t>
      </w:r>
      <w:r>
        <w:rPr>
          <w:rFonts w:ascii="Times New Roman" w:hAnsi="Times New Roman" w:cs="Times New Roman"/>
        </w:rPr>
        <w:tab/>
        <w:t>Effect on Small Entities</w:t>
      </w:r>
    </w:p>
    <w:p w14:paraId="185ABD46" w14:textId="77777777" w:rsidR="000567BC" w:rsidRDefault="000567BC">
      <w:pPr>
        <w:rPr>
          <w:rFonts w:ascii="Times New Roman" w:hAnsi="Times New Roman" w:cs="Times New Roman"/>
        </w:rPr>
      </w:pPr>
      <w:r>
        <w:rPr>
          <w:rFonts w:ascii="Times New Roman" w:hAnsi="Times New Roman" w:cs="Times New Roman"/>
        </w:rPr>
        <w:tab/>
      </w:r>
      <w:r w:rsidR="00571614">
        <w:rPr>
          <w:rFonts w:ascii="Times New Roman" w:hAnsi="Times New Roman" w:cs="Times New Roman"/>
        </w:rPr>
        <w:t xml:space="preserve">The information collection requirements of </w:t>
      </w:r>
      <w:r w:rsidR="00A03982">
        <w:rPr>
          <w:rFonts w:ascii="Times New Roman" w:hAnsi="Times New Roman" w:cs="Times New Roman"/>
        </w:rPr>
        <w:t>Regulation S-ID</w:t>
      </w:r>
      <w:r w:rsidR="00571614">
        <w:rPr>
          <w:rFonts w:ascii="Times New Roman" w:hAnsi="Times New Roman" w:cs="Times New Roman"/>
        </w:rPr>
        <w:t xml:space="preserve"> apply to all </w:t>
      </w:r>
      <w:r w:rsidR="00824430">
        <w:rPr>
          <w:rFonts w:ascii="Times New Roman" w:hAnsi="Times New Roman" w:cs="Times New Roman"/>
        </w:rPr>
        <w:t xml:space="preserve">covered </w:t>
      </w:r>
      <w:r w:rsidR="00A03982">
        <w:rPr>
          <w:rFonts w:ascii="Times New Roman" w:hAnsi="Times New Roman" w:cs="Times New Roman"/>
        </w:rPr>
        <w:t>entities subject to the SEC’s jurisdiction</w:t>
      </w:r>
      <w:r w:rsidR="00571614">
        <w:rPr>
          <w:rFonts w:ascii="Times New Roman" w:hAnsi="Times New Roman" w:cs="Times New Roman"/>
        </w:rPr>
        <w:t xml:space="preserve">, including those that are small entities.  </w:t>
      </w:r>
      <w:r w:rsidR="00824430">
        <w:rPr>
          <w:rFonts w:ascii="Times New Roman" w:hAnsi="Times New Roman" w:cs="Times New Roman"/>
        </w:rPr>
        <w:t>Because all SEC-</w:t>
      </w:r>
      <w:r w:rsidR="00824430">
        <w:rPr>
          <w:rFonts w:ascii="Times New Roman" w:hAnsi="Times New Roman" w:cs="Times New Roman"/>
        </w:rPr>
        <w:lastRenderedPageBreak/>
        <w:t>regulated entities, including small entities, should already be in compliance with substantially similar identity theft red flags rules adopted by the Agencies, t</w:t>
      </w:r>
      <w:r>
        <w:rPr>
          <w:rFonts w:ascii="Times New Roman" w:hAnsi="Times New Roman" w:cs="Times New Roman"/>
        </w:rPr>
        <w:t>he Commission believes that the costs of complying with the rule</w:t>
      </w:r>
      <w:r w:rsidR="00A04A20">
        <w:rPr>
          <w:rFonts w:ascii="Times New Roman" w:hAnsi="Times New Roman" w:cs="Times New Roman"/>
        </w:rPr>
        <w:t>s</w:t>
      </w:r>
      <w:r>
        <w:rPr>
          <w:rFonts w:ascii="Times New Roman" w:hAnsi="Times New Roman" w:cs="Times New Roman"/>
        </w:rPr>
        <w:t xml:space="preserve"> </w:t>
      </w:r>
      <w:r w:rsidR="00D951A0">
        <w:rPr>
          <w:rFonts w:ascii="Times New Roman" w:hAnsi="Times New Roman" w:cs="Times New Roman"/>
        </w:rPr>
        <w:t>will</w:t>
      </w:r>
      <w:r w:rsidR="00A03982">
        <w:rPr>
          <w:rFonts w:ascii="Times New Roman" w:hAnsi="Times New Roman" w:cs="Times New Roman"/>
        </w:rPr>
        <w:t xml:space="preserve"> be</w:t>
      </w:r>
      <w:r>
        <w:rPr>
          <w:rFonts w:ascii="Times New Roman" w:hAnsi="Times New Roman" w:cs="Times New Roman"/>
        </w:rPr>
        <w:t xml:space="preserve"> minimal and do not impose a significant burden on small entities.</w:t>
      </w:r>
    </w:p>
    <w:p w14:paraId="185ABD47" w14:textId="77777777" w:rsidR="000567BC" w:rsidRDefault="000567BC">
      <w:pPr>
        <w:pStyle w:val="Heading2"/>
        <w:rPr>
          <w:rFonts w:ascii="Times New Roman" w:hAnsi="Times New Roman" w:cs="Times New Roman"/>
        </w:rPr>
      </w:pPr>
      <w:r>
        <w:rPr>
          <w:rFonts w:ascii="Times New Roman" w:hAnsi="Times New Roman" w:cs="Times New Roman"/>
        </w:rPr>
        <w:t>6.</w:t>
      </w:r>
      <w:r>
        <w:rPr>
          <w:rFonts w:ascii="Times New Roman" w:hAnsi="Times New Roman" w:cs="Times New Roman"/>
        </w:rPr>
        <w:tab/>
        <w:t>Consequences of Less Frequent Collection</w:t>
      </w:r>
    </w:p>
    <w:p w14:paraId="185ABD48" w14:textId="77777777" w:rsidR="000567BC" w:rsidRDefault="000567BC">
      <w:pPr>
        <w:rPr>
          <w:rFonts w:ascii="Times New Roman" w:hAnsi="Times New Roman" w:cs="Times New Roman"/>
        </w:rPr>
      </w:pPr>
      <w:r>
        <w:rPr>
          <w:rFonts w:ascii="Times New Roman" w:hAnsi="Times New Roman" w:cs="Times New Roman"/>
        </w:rPr>
        <w:tab/>
        <w:t>Less frequent collection would not be consistent with the Commission’s investor protection objectives.</w:t>
      </w:r>
    </w:p>
    <w:p w14:paraId="185ABD49" w14:textId="77777777" w:rsidR="000567BC" w:rsidRDefault="000567BC">
      <w:pPr>
        <w:pStyle w:val="Heading2"/>
        <w:rPr>
          <w:rFonts w:ascii="Times New Roman" w:hAnsi="Times New Roman" w:cs="Times New Roman"/>
        </w:rPr>
      </w:pPr>
      <w:r>
        <w:rPr>
          <w:rFonts w:ascii="Times New Roman" w:hAnsi="Times New Roman" w:cs="Times New Roman"/>
        </w:rPr>
        <w:t>7.</w:t>
      </w:r>
      <w:r>
        <w:rPr>
          <w:rFonts w:ascii="Times New Roman" w:hAnsi="Times New Roman" w:cs="Times New Roman"/>
        </w:rPr>
        <w:tab/>
        <w:t>Inconsistencies with Guidelines in 5 CFR 1320.5(d</w:t>
      </w:r>
      <w:proofErr w:type="gramStart"/>
      <w:r>
        <w:rPr>
          <w:rFonts w:ascii="Times New Roman" w:hAnsi="Times New Roman" w:cs="Times New Roman"/>
        </w:rPr>
        <w:t>)(</w:t>
      </w:r>
      <w:proofErr w:type="gramEnd"/>
      <w:r>
        <w:rPr>
          <w:rFonts w:ascii="Times New Roman" w:hAnsi="Times New Roman" w:cs="Times New Roman"/>
        </w:rPr>
        <w:t>2)</w:t>
      </w:r>
    </w:p>
    <w:p w14:paraId="185ABD4A" w14:textId="77777777" w:rsidR="000567BC" w:rsidRDefault="000567BC">
      <w:pPr>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None.</w:t>
      </w:r>
      <w:proofErr w:type="gramEnd"/>
    </w:p>
    <w:p w14:paraId="185ABD4B" w14:textId="77777777" w:rsidR="000567BC" w:rsidRDefault="004B0115">
      <w:pPr>
        <w:pStyle w:val="Heading2"/>
        <w:rPr>
          <w:rFonts w:ascii="Times New Roman" w:hAnsi="Times New Roman" w:cs="Times New Roman"/>
        </w:rPr>
      </w:pPr>
      <w:r>
        <w:rPr>
          <w:rFonts w:ascii="Times New Roman" w:hAnsi="Times New Roman" w:cs="Times New Roman"/>
        </w:rPr>
        <w:t>8.</w:t>
      </w:r>
      <w:r>
        <w:rPr>
          <w:rFonts w:ascii="Times New Roman" w:hAnsi="Times New Roman" w:cs="Times New Roman"/>
        </w:rPr>
        <w:tab/>
        <w:t>Consultation</w:t>
      </w:r>
      <w:r w:rsidR="000567BC">
        <w:rPr>
          <w:rFonts w:ascii="Times New Roman" w:hAnsi="Times New Roman" w:cs="Times New Roman"/>
        </w:rPr>
        <w:t xml:space="preserve"> </w:t>
      </w:r>
      <w:proofErr w:type="gramStart"/>
      <w:r w:rsidR="000567BC">
        <w:rPr>
          <w:rFonts w:ascii="Times New Roman" w:hAnsi="Times New Roman" w:cs="Times New Roman"/>
        </w:rPr>
        <w:t>Outside</w:t>
      </w:r>
      <w:proofErr w:type="gramEnd"/>
      <w:r w:rsidR="000567BC">
        <w:rPr>
          <w:rFonts w:ascii="Times New Roman" w:hAnsi="Times New Roman" w:cs="Times New Roman"/>
        </w:rPr>
        <w:t xml:space="preserve"> the Agency</w:t>
      </w:r>
    </w:p>
    <w:p w14:paraId="185ABD4C" w14:textId="0B7BACAE" w:rsidR="000567BC" w:rsidRDefault="000567BC">
      <w:pPr>
        <w:rPr>
          <w:rFonts w:ascii="Times New Roman" w:hAnsi="Times New Roman" w:cs="Times New Roman"/>
        </w:rPr>
      </w:pPr>
      <w:r>
        <w:rPr>
          <w:rFonts w:ascii="Times New Roman" w:hAnsi="Times New Roman" w:cs="Times New Roman"/>
        </w:rPr>
        <w:tab/>
      </w:r>
      <w:r w:rsidR="0074186E">
        <w:rPr>
          <w:rFonts w:ascii="Times New Roman" w:hAnsi="Times New Roman" w:cs="Times New Roman"/>
        </w:rPr>
        <w:t xml:space="preserve">Regulation S-ID </w:t>
      </w:r>
      <w:r w:rsidR="00EF0507">
        <w:rPr>
          <w:rFonts w:ascii="Times New Roman" w:hAnsi="Times New Roman" w:cs="Times New Roman"/>
        </w:rPr>
        <w:t>was</w:t>
      </w:r>
      <w:r w:rsidR="0074186E">
        <w:rPr>
          <w:rFonts w:ascii="Times New Roman" w:hAnsi="Times New Roman" w:cs="Times New Roman"/>
        </w:rPr>
        <w:t xml:space="preserve"> jointly </w:t>
      </w:r>
      <w:r w:rsidR="002107B8">
        <w:rPr>
          <w:rFonts w:ascii="Times New Roman" w:hAnsi="Times New Roman" w:cs="Times New Roman"/>
        </w:rPr>
        <w:t xml:space="preserve">adopted </w:t>
      </w:r>
      <w:r w:rsidR="0074186E">
        <w:rPr>
          <w:rFonts w:ascii="Times New Roman" w:hAnsi="Times New Roman" w:cs="Times New Roman"/>
        </w:rPr>
        <w:t>with the CFTC</w:t>
      </w:r>
      <w:r w:rsidR="002107B8">
        <w:rPr>
          <w:rFonts w:ascii="Times New Roman" w:hAnsi="Times New Roman" w:cs="Times New Roman"/>
        </w:rPr>
        <w:t>’s rules on identity theft red flags</w:t>
      </w:r>
      <w:r w:rsidR="0074186E">
        <w:rPr>
          <w:rFonts w:ascii="Times New Roman" w:hAnsi="Times New Roman" w:cs="Times New Roman"/>
        </w:rPr>
        <w:t xml:space="preserve">.  </w:t>
      </w:r>
      <w:r w:rsidR="00A03982">
        <w:rPr>
          <w:rFonts w:ascii="Times New Roman" w:hAnsi="Times New Roman" w:cs="Times New Roman"/>
        </w:rPr>
        <w:t xml:space="preserve">The Commission </w:t>
      </w:r>
      <w:r w:rsidR="0074186E">
        <w:rPr>
          <w:rFonts w:ascii="Times New Roman" w:hAnsi="Times New Roman" w:cs="Times New Roman"/>
        </w:rPr>
        <w:t>also</w:t>
      </w:r>
      <w:r w:rsidR="00A03982">
        <w:rPr>
          <w:rFonts w:ascii="Times New Roman" w:hAnsi="Times New Roman" w:cs="Times New Roman"/>
        </w:rPr>
        <w:t xml:space="preserve"> </w:t>
      </w:r>
      <w:r w:rsidR="0074186E">
        <w:rPr>
          <w:rFonts w:ascii="Times New Roman" w:hAnsi="Times New Roman" w:cs="Times New Roman"/>
        </w:rPr>
        <w:t xml:space="preserve">consulted </w:t>
      </w:r>
      <w:r w:rsidR="00A03982">
        <w:rPr>
          <w:rFonts w:ascii="Times New Roman" w:hAnsi="Times New Roman" w:cs="Times New Roman"/>
        </w:rPr>
        <w:t xml:space="preserve">with </w:t>
      </w:r>
      <w:r w:rsidR="0074186E">
        <w:rPr>
          <w:rFonts w:ascii="Times New Roman" w:hAnsi="Times New Roman" w:cs="Times New Roman"/>
        </w:rPr>
        <w:t>the Agencies, which</w:t>
      </w:r>
      <w:r w:rsidR="00A03982">
        <w:rPr>
          <w:rFonts w:ascii="Times New Roman" w:hAnsi="Times New Roman" w:cs="Times New Roman"/>
        </w:rPr>
        <w:t xml:space="preserve"> </w:t>
      </w:r>
      <w:r w:rsidR="0074186E">
        <w:rPr>
          <w:rFonts w:ascii="Times New Roman" w:hAnsi="Times New Roman" w:cs="Times New Roman"/>
        </w:rPr>
        <w:t>earlier</w:t>
      </w:r>
      <w:r w:rsidR="00A03982">
        <w:rPr>
          <w:rFonts w:ascii="Times New Roman" w:hAnsi="Times New Roman" w:cs="Times New Roman"/>
        </w:rPr>
        <w:t xml:space="preserve"> adopted substantially similar rules</w:t>
      </w:r>
      <w:r w:rsidR="0074186E">
        <w:rPr>
          <w:rFonts w:ascii="Times New Roman" w:hAnsi="Times New Roman" w:cs="Times New Roman"/>
        </w:rPr>
        <w:t>,</w:t>
      </w:r>
      <w:r w:rsidR="00A03982">
        <w:rPr>
          <w:rFonts w:ascii="Times New Roman" w:hAnsi="Times New Roman" w:cs="Times New Roman"/>
        </w:rPr>
        <w:t xml:space="preserve"> in crafting Regulation S-ID. </w:t>
      </w:r>
      <w:r w:rsidR="00A03982">
        <w:t xml:space="preserve">The Commission requested public comment on the collection of information requirements in Regulation S-ID </w:t>
      </w:r>
      <w:r w:rsidR="002107B8">
        <w:t>when it was proposed</w:t>
      </w:r>
      <w:r w:rsidR="00A03982">
        <w:t xml:space="preserve">.  </w:t>
      </w:r>
      <w:r w:rsidR="00DD0C2E">
        <w:rPr>
          <w:sz w:val="22"/>
          <w:szCs w:val="22"/>
        </w:rPr>
        <w:t xml:space="preserve">Comments on the proposal, including comments referenced in this release, are available on the SEC’s website at </w:t>
      </w:r>
      <w:r w:rsidR="00DD0C2E">
        <w:rPr>
          <w:color w:val="0000FF"/>
          <w:sz w:val="22"/>
          <w:szCs w:val="22"/>
        </w:rPr>
        <w:t xml:space="preserve">http://www.sec.gov/comments/s7-02-12/s70212.shtml. </w:t>
      </w:r>
      <w:r w:rsidR="00DD0C2E">
        <w:t xml:space="preserve"> </w:t>
      </w:r>
      <w:r w:rsidR="00A03982">
        <w:t xml:space="preserve">The Commission </w:t>
      </w:r>
      <w:r w:rsidR="002107B8">
        <w:t>receive</w:t>
      </w:r>
      <w:r w:rsidR="006377FC">
        <w:t>d</w:t>
      </w:r>
      <w:r w:rsidR="00A03982">
        <w:t xml:space="preserve"> </w:t>
      </w:r>
      <w:r w:rsidR="006377FC">
        <w:t>one comment</w:t>
      </w:r>
      <w:r w:rsidR="00A03982">
        <w:t xml:space="preserve"> in response to its request related to the </w:t>
      </w:r>
      <w:r w:rsidR="001C2FC6">
        <w:t>Paperwork Reduction Act</w:t>
      </w:r>
      <w:r w:rsidR="00A03982">
        <w:t>.</w:t>
      </w:r>
      <w:bookmarkStart w:id="5" w:name="_Ref353192941"/>
      <w:r w:rsidR="006377FC">
        <w:rPr>
          <w:rStyle w:val="FootnoteReference"/>
        </w:rPr>
        <w:footnoteReference w:id="4"/>
      </w:r>
      <w:bookmarkEnd w:id="5"/>
    </w:p>
    <w:p w14:paraId="185ABD4D" w14:textId="77777777" w:rsidR="000567BC" w:rsidRDefault="000567BC">
      <w:pPr>
        <w:rPr>
          <w:rFonts w:ascii="Times New Roman" w:hAnsi="Times New Roman" w:cs="Times New Roman"/>
        </w:rPr>
      </w:pPr>
      <w:r>
        <w:rPr>
          <w:rFonts w:ascii="Times New Roman" w:hAnsi="Times New Roman" w:cs="Times New Roman"/>
        </w:rPr>
        <w:lastRenderedPageBreak/>
        <w:tab/>
        <w:t>In addition, the Commission and its staff participate in an ongoing dialogue with representatives of the fund industry through public conferences, meetings and informal exchanges.  These various forums provide the Commission and the staff with a means of ascertaining and acting upon paperwork burdens confronting the industry.</w:t>
      </w:r>
    </w:p>
    <w:p w14:paraId="185ABD4E" w14:textId="5230909B" w:rsidR="000567BC" w:rsidRDefault="000567BC">
      <w:pPr>
        <w:pStyle w:val="Heading2"/>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Payment or Gift </w:t>
      </w:r>
    </w:p>
    <w:p w14:paraId="185ABD4F" w14:textId="77777777" w:rsidR="000567BC" w:rsidRDefault="000567BC">
      <w:pPr>
        <w:rPr>
          <w:rFonts w:ascii="Times New Roman" w:hAnsi="Times New Roman" w:cs="Times New Roman"/>
        </w:rPr>
      </w:pPr>
      <w:r>
        <w:rPr>
          <w:rFonts w:ascii="Times New Roman" w:hAnsi="Times New Roman" w:cs="Times New Roman"/>
        </w:rPr>
        <w:tab/>
        <w:t>Not applicable.</w:t>
      </w:r>
    </w:p>
    <w:p w14:paraId="185ABD50" w14:textId="2C28760F" w:rsidR="000567BC" w:rsidRDefault="000567BC">
      <w:pPr>
        <w:pStyle w:val="Heading2"/>
        <w:rPr>
          <w:rFonts w:ascii="Times New Roman" w:hAnsi="Times New Roman" w:cs="Times New Roman"/>
        </w:rPr>
      </w:pPr>
      <w:r>
        <w:rPr>
          <w:rFonts w:ascii="Times New Roman" w:hAnsi="Times New Roman" w:cs="Times New Roman"/>
        </w:rPr>
        <w:t>10.</w:t>
      </w:r>
      <w:r>
        <w:rPr>
          <w:rFonts w:ascii="Times New Roman" w:hAnsi="Times New Roman" w:cs="Times New Roman"/>
        </w:rPr>
        <w:tab/>
        <w:t>Confidentiality</w:t>
      </w:r>
    </w:p>
    <w:p w14:paraId="185ABD51" w14:textId="77777777" w:rsidR="000567BC" w:rsidRDefault="000567BC">
      <w:pPr>
        <w:rPr>
          <w:rFonts w:ascii="Times New Roman" w:hAnsi="Times New Roman" w:cs="Times New Roman"/>
        </w:rPr>
      </w:pPr>
      <w:r>
        <w:rPr>
          <w:rFonts w:ascii="Times New Roman" w:hAnsi="Times New Roman" w:cs="Times New Roman"/>
        </w:rPr>
        <w:tab/>
      </w:r>
      <w:r w:rsidR="00A03982">
        <w:rPr>
          <w:rFonts w:ascii="Times New Roman" w:hAnsi="Times New Roman" w:cs="Times New Roman"/>
        </w:rPr>
        <w:t xml:space="preserve">Not applicable. </w:t>
      </w:r>
    </w:p>
    <w:p w14:paraId="185ABD52" w14:textId="77777777" w:rsidR="000567BC" w:rsidRDefault="000567BC">
      <w:pPr>
        <w:pStyle w:val="Heading2"/>
        <w:rPr>
          <w:rFonts w:ascii="Times New Roman" w:hAnsi="Times New Roman" w:cs="Times New Roman"/>
        </w:rPr>
      </w:pPr>
      <w:r>
        <w:rPr>
          <w:rFonts w:ascii="Times New Roman" w:hAnsi="Times New Roman" w:cs="Times New Roman"/>
        </w:rPr>
        <w:t>11.</w:t>
      </w:r>
      <w:r>
        <w:rPr>
          <w:rFonts w:ascii="Times New Roman" w:hAnsi="Times New Roman" w:cs="Times New Roman"/>
        </w:rPr>
        <w:tab/>
        <w:t>Sensitive Questions</w:t>
      </w:r>
    </w:p>
    <w:p w14:paraId="185ABD53" w14:textId="77777777" w:rsidR="000567BC" w:rsidRDefault="000567BC">
      <w:pPr>
        <w:rPr>
          <w:rFonts w:ascii="Times New Roman" w:hAnsi="Times New Roman" w:cs="Times New Roman"/>
        </w:rPr>
      </w:pPr>
      <w:r>
        <w:rPr>
          <w:rFonts w:ascii="Times New Roman" w:hAnsi="Times New Roman" w:cs="Times New Roman"/>
        </w:rPr>
        <w:tab/>
        <w:t>Not applicable.</w:t>
      </w:r>
    </w:p>
    <w:p w14:paraId="185ABD54" w14:textId="77777777" w:rsidR="000567BC" w:rsidRDefault="004A7246">
      <w:pPr>
        <w:pStyle w:val="Heading2"/>
        <w:rPr>
          <w:rFonts w:ascii="Times New Roman" w:hAnsi="Times New Roman" w:cs="Times New Roman"/>
        </w:rPr>
      </w:pPr>
      <w:r>
        <w:rPr>
          <w:rFonts w:ascii="Times New Roman" w:hAnsi="Times New Roman" w:cs="Times New Roman"/>
        </w:rPr>
        <w:t>12.</w:t>
      </w:r>
      <w:r>
        <w:rPr>
          <w:rFonts w:ascii="Times New Roman" w:hAnsi="Times New Roman" w:cs="Times New Roman"/>
        </w:rPr>
        <w:tab/>
        <w:t>Estimate</w:t>
      </w:r>
      <w:r w:rsidR="000567BC">
        <w:rPr>
          <w:rFonts w:ascii="Times New Roman" w:hAnsi="Times New Roman" w:cs="Times New Roman"/>
        </w:rPr>
        <w:t xml:space="preserve"> of Hour Burden</w:t>
      </w:r>
    </w:p>
    <w:p w14:paraId="185ABD55" w14:textId="77777777" w:rsidR="00391F00" w:rsidRDefault="00391F00" w:rsidP="00391F00">
      <w:pPr>
        <w:tabs>
          <w:tab w:val="left" w:pos="720"/>
        </w:tabs>
        <w:ind w:firstLine="720"/>
      </w:pPr>
      <w:r>
        <w:t xml:space="preserve">SEC regulated entities that must comply with the collections of information required by Regulation S-ID should already be in compliance with the identity theft red flags rules that the </w:t>
      </w:r>
      <w:r>
        <w:lastRenderedPageBreak/>
        <w:t>Agencies jointly adopted in 2007.</w:t>
      </w:r>
      <w:r>
        <w:rPr>
          <w:rStyle w:val="FootnoteReference"/>
        </w:rPr>
        <w:footnoteReference w:id="5"/>
      </w:r>
      <w:r>
        <w:t xml:space="preserve">   The requirements of those rules are substantially similar and comparable to the requirements of Regulation S-ID.</w:t>
      </w:r>
      <w:r>
        <w:rPr>
          <w:rStyle w:val="FootnoteReference"/>
        </w:rPr>
        <w:footnoteReference w:id="6"/>
      </w:r>
      <w:r>
        <w:t xml:space="preserve">   </w:t>
      </w:r>
    </w:p>
    <w:p w14:paraId="185ABD56" w14:textId="77777777" w:rsidR="00391F00" w:rsidRDefault="00391F00" w:rsidP="00391F00">
      <w:pPr>
        <w:tabs>
          <w:tab w:val="left" w:pos="720"/>
        </w:tabs>
        <w:ind w:firstLine="720"/>
      </w:pPr>
      <w:r>
        <w:t>In addition, SEC staff understands that most SEC-regulated entities that are financial institutions or creditors may otherwise have in place many of the protections regarding identity theft and changes of address that Regulation S-ID requires because they are usual and customary business practices that they engage in to minimize losses from fraud.  Furthermore, SEC staff believes that many of them are likely to have already effectively implemented most of the requirements as a result of having to comply (or an affiliate having to comply) with other, existing statutes, regulations and guidance, such as the federal customer identification program rules implementing section 326 of the USA PATRIOT Act,</w:t>
      </w:r>
      <w:r>
        <w:rPr>
          <w:rStyle w:val="FootnoteReference"/>
        </w:rPr>
        <w:footnoteReference w:id="7"/>
      </w:r>
      <w:r>
        <w:t xml:space="preserve"> the Interagency Guidelines Establishing Information Security Standards that implement section 501(b) of the Gramm Leach Bliley Act (GLBA),</w:t>
      </w:r>
      <w:r>
        <w:rPr>
          <w:rStyle w:val="FootnoteReference"/>
        </w:rPr>
        <w:footnoteReference w:id="8"/>
      </w:r>
      <w:r>
        <w:t xml:space="preserve">  section 216 of the Fair and Accurate Credit Transactions </w:t>
      </w:r>
      <w:r>
        <w:lastRenderedPageBreak/>
        <w:t>Act of 2003,</w:t>
      </w:r>
      <w:r>
        <w:rPr>
          <w:rStyle w:val="FootnoteReference"/>
        </w:rPr>
        <w:footnoteReference w:id="9"/>
      </w:r>
      <w:r>
        <w:t xml:space="preserve">   and guidance issued by the Agencies or the Federal Financial Institutions Examination Council regarding information security, authentication, identity theft, and response programs.</w:t>
      </w:r>
      <w:r>
        <w:rPr>
          <w:rStyle w:val="FootnoteReference"/>
        </w:rPr>
        <w:footnoteReference w:id="10"/>
      </w:r>
      <w:r>
        <w:t xml:space="preserve">   </w:t>
      </w:r>
    </w:p>
    <w:p w14:paraId="185ABD57" w14:textId="77777777" w:rsidR="006C50AA" w:rsidRDefault="00391F00" w:rsidP="006C50AA">
      <w:pPr>
        <w:tabs>
          <w:tab w:val="left" w:pos="720"/>
        </w:tabs>
        <w:ind w:firstLine="720"/>
      </w:pPr>
      <w:r>
        <w:t>SEC staff estimates of time and cost burdens represent the one time burden</w:t>
      </w:r>
      <w:r w:rsidR="001C2FFB">
        <w:t xml:space="preserve"> of complying with Regulation S-ID for newly formed SEC-</w:t>
      </w:r>
      <w:r>
        <w:t xml:space="preserve">regulated entities, and the ongoing </w:t>
      </w:r>
      <w:r w:rsidR="001C2FFB">
        <w:t>costs of compliance for all SEC-</w:t>
      </w:r>
      <w:r>
        <w:t>regulated entities.</w:t>
      </w:r>
      <w:r w:rsidR="008F18BC">
        <w:rPr>
          <w:rStyle w:val="FootnoteReference"/>
        </w:rPr>
        <w:footnoteReference w:id="11"/>
      </w:r>
      <w:r>
        <w:t xml:space="preserve">   SEC staff estimates also attribute all burdens to entities that are directly subject to the requirements of the rulemaking.  An entity d</w:t>
      </w:r>
      <w:r w:rsidR="001C2FFB">
        <w:t>irectly subject to Regulation S-</w:t>
      </w:r>
      <w:r>
        <w:t>ID that outsources activities to a service provider is, in effect, shifting to that service provider the burden that it would otherwise have carried itself.  Under these circumstances, the burden is, by contract, shifted from the entity that is d</w:t>
      </w:r>
      <w:r w:rsidR="001C2FFB">
        <w:t>irectly subject to Regulation S-</w:t>
      </w:r>
      <w:r>
        <w:t>ID to the service provider, but the total amount of burden is not increased.  Thus, service provider burdens are already included in the burden estimates provided for entities that are d</w:t>
      </w:r>
      <w:r w:rsidR="001C2FFB">
        <w:t>irectly subject to Regulation S-</w:t>
      </w:r>
      <w:r>
        <w:t xml:space="preserve">ID.  The time and cost estimates made here are based on conversations with industry representatives and on a review of comments </w:t>
      </w:r>
      <w:r>
        <w:lastRenderedPageBreak/>
        <w:t xml:space="preserve">received on the proposed rules as well as the estimates made in the regulatory analyses of the identity theft red flags rules previously issued by the Agencies. </w:t>
      </w:r>
    </w:p>
    <w:p w14:paraId="185ABD58" w14:textId="77777777" w:rsidR="007A6B6F" w:rsidRPr="007A6B6F" w:rsidRDefault="007A6B6F" w:rsidP="006C50AA">
      <w:pPr>
        <w:tabs>
          <w:tab w:val="left" w:pos="720"/>
        </w:tabs>
        <w:ind w:firstLine="720"/>
        <w:rPr>
          <w:i/>
        </w:rPr>
      </w:pPr>
      <w:r w:rsidRPr="007A6B6F">
        <w:rPr>
          <w:rFonts w:ascii="Times New Roman" w:hAnsi="Times New Roman" w:cs="Times New Roman"/>
          <w:i/>
        </w:rPr>
        <w:t>§</w:t>
      </w:r>
      <w:r w:rsidRPr="007A6B6F">
        <w:rPr>
          <w:i/>
        </w:rPr>
        <w:t xml:space="preserve"> 248.201 (duties regarding detection, prevention, and mitigation of identity theft)</w:t>
      </w:r>
    </w:p>
    <w:p w14:paraId="185ABD59" w14:textId="77777777" w:rsidR="006C50AA" w:rsidRPr="006C50AA" w:rsidRDefault="006C50AA" w:rsidP="006C50AA">
      <w:pPr>
        <w:tabs>
          <w:tab w:val="left" w:pos="720"/>
        </w:tabs>
        <w:ind w:firstLine="720"/>
      </w:pPr>
      <w:r w:rsidRPr="006C50AA">
        <w:rPr>
          <w:rFonts w:ascii="Times New Roman" w:eastAsia="Calibri" w:hAnsi="Times New Roman" w:cs="Times New Roman"/>
        </w:rPr>
        <w:t xml:space="preserve">The collections of information required by </w:t>
      </w:r>
      <w:r w:rsidRPr="006C50AA">
        <w:rPr>
          <w:rFonts w:ascii="Times New Roman" w:eastAsia="Calibri" w:hAnsi="Times New Roman" w:cs="Times New Roman"/>
          <w:szCs w:val="22"/>
        </w:rPr>
        <w:t>section</w:t>
      </w:r>
      <w:r w:rsidRPr="006C50AA">
        <w:rPr>
          <w:rFonts w:ascii="Times New Roman" w:eastAsia="Calibri" w:hAnsi="Times New Roman" w:cs="Times New Roman"/>
        </w:rPr>
        <w:t> 248.201 apply to SEC</w:t>
      </w:r>
      <w:r w:rsidRPr="006C50AA">
        <w:rPr>
          <w:rFonts w:ascii="Times New Roman" w:eastAsia="Calibri" w:hAnsi="Times New Roman" w:cs="Times New Roman"/>
        </w:rPr>
        <w:noBreakHyphen/>
        <w:t>regulated entities that are financial institutions or creditors.</w:t>
      </w:r>
      <w:r w:rsidRPr="006C50AA">
        <w:rPr>
          <w:rFonts w:ascii="Times New Roman" w:eastAsia="Calibri" w:hAnsi="Times New Roman" w:cs="Times New Roman"/>
          <w:vertAlign w:val="superscript"/>
        </w:rPr>
        <w:footnoteReference w:id="12"/>
      </w:r>
      <w:r w:rsidRPr="006C50AA">
        <w:rPr>
          <w:rFonts w:ascii="Times New Roman" w:eastAsia="Calibri" w:hAnsi="Times New Roman" w:cs="Times New Roman"/>
        </w:rPr>
        <w:t xml:space="preserve">  As stated above, SEC staff expects that </w:t>
      </w:r>
      <w:r w:rsidR="0029263D">
        <w:rPr>
          <w:rFonts w:ascii="Times New Roman" w:eastAsia="Calibri" w:hAnsi="Times New Roman" w:cs="Times New Roman"/>
        </w:rPr>
        <w:t xml:space="preserve">existing </w:t>
      </w:r>
      <w:r w:rsidRPr="006C50AA">
        <w:rPr>
          <w:rFonts w:ascii="Times New Roman" w:eastAsia="Calibri" w:hAnsi="Times New Roman" w:cs="Times New Roman"/>
        </w:rPr>
        <w:t>SEC</w:t>
      </w:r>
      <w:r w:rsidRPr="006C50AA">
        <w:rPr>
          <w:rFonts w:ascii="Times New Roman" w:eastAsia="Calibri" w:hAnsi="Times New Roman" w:cs="Times New Roman"/>
        </w:rPr>
        <w:noBreakHyphen/>
        <w:t>regulated entities should already have incurred initial or one</w:t>
      </w:r>
      <w:r w:rsidRPr="006C50AA">
        <w:rPr>
          <w:rFonts w:ascii="Times New Roman" w:eastAsia="Calibri" w:hAnsi="Times New Roman" w:cs="Times New Roman"/>
        </w:rPr>
        <w:noBreakHyphen/>
        <w:t>time burdens associated with compliance with Regulation S</w:t>
      </w:r>
      <w:r w:rsidRPr="006C50AA">
        <w:rPr>
          <w:rFonts w:ascii="Times New Roman" w:eastAsia="Calibri" w:hAnsi="Times New Roman" w:cs="Times New Roman"/>
        </w:rPr>
        <w:noBreakHyphen/>
        <w:t>ID because they should already be in compliance with the substantially identical requirements of the Agencies’ identity theft red flags rules.</w:t>
      </w:r>
      <w:r w:rsidRPr="006C50AA">
        <w:rPr>
          <w:rFonts w:ascii="Times New Roman" w:eastAsia="Calibri" w:hAnsi="Times New Roman" w:cs="Times New Roman"/>
          <w:vertAlign w:val="superscript"/>
        </w:rPr>
        <w:footnoteReference w:id="13"/>
      </w:r>
      <w:r w:rsidRPr="006C50AA">
        <w:rPr>
          <w:rFonts w:ascii="Times New Roman" w:eastAsia="Calibri" w:hAnsi="Times New Roman" w:cs="Times New Roman"/>
        </w:rPr>
        <w:t xml:space="preserve">  Any initial or one</w:t>
      </w:r>
      <w:r w:rsidRPr="006C50AA">
        <w:rPr>
          <w:rFonts w:ascii="Times New Roman" w:eastAsia="Calibri" w:hAnsi="Times New Roman" w:cs="Times New Roman"/>
        </w:rPr>
        <w:noBreakHyphen/>
        <w:t xml:space="preserve">time burden estimates associated with compliance with </w:t>
      </w:r>
      <w:r w:rsidRPr="006C50AA">
        <w:rPr>
          <w:rFonts w:ascii="Times New Roman" w:eastAsia="Calibri" w:hAnsi="Times New Roman" w:cs="Times New Roman"/>
          <w:szCs w:val="22"/>
        </w:rPr>
        <w:t>section</w:t>
      </w:r>
      <w:r w:rsidRPr="006C50AA">
        <w:rPr>
          <w:rFonts w:ascii="Times New Roman" w:eastAsia="Calibri" w:hAnsi="Times New Roman" w:cs="Times New Roman"/>
        </w:rPr>
        <w:t> 248.201 of Regulation S</w:t>
      </w:r>
      <w:r w:rsidRPr="006C50AA">
        <w:rPr>
          <w:rFonts w:ascii="Times New Roman" w:eastAsia="Calibri" w:hAnsi="Times New Roman" w:cs="Times New Roman"/>
        </w:rPr>
        <w:noBreakHyphen/>
        <w:t>ID apply only to newly</w:t>
      </w:r>
      <w:r w:rsidRPr="006C50AA">
        <w:rPr>
          <w:rFonts w:ascii="Times New Roman" w:eastAsia="Calibri" w:hAnsi="Times New Roman" w:cs="Times New Roman"/>
        </w:rPr>
        <w:noBreakHyphen/>
        <w:t>formed entities.  The ongoing burden estimates apply to all SEC</w:t>
      </w:r>
      <w:r w:rsidRPr="006C50AA">
        <w:rPr>
          <w:rFonts w:ascii="Times New Roman" w:eastAsia="Calibri" w:hAnsi="Times New Roman" w:cs="Times New Roman"/>
        </w:rPr>
        <w:noBreakHyphen/>
        <w:t xml:space="preserve">regulated entities that are financial institutions or creditors.  Existing entities subject to Regulation S-ID should already bear, and will continue to be subject to, this burden.  In the </w:t>
      </w:r>
      <w:r w:rsidR="006377FC">
        <w:rPr>
          <w:rFonts w:ascii="Times New Roman" w:eastAsia="Calibri" w:hAnsi="Times New Roman" w:cs="Times New Roman"/>
        </w:rPr>
        <w:t>P</w:t>
      </w:r>
      <w:r w:rsidRPr="006C50AA">
        <w:rPr>
          <w:rFonts w:ascii="Times New Roman" w:eastAsia="Calibri" w:hAnsi="Times New Roman" w:cs="Times New Roman"/>
        </w:rPr>
        <w:t xml:space="preserve">roposing </w:t>
      </w:r>
      <w:r w:rsidR="006377FC">
        <w:rPr>
          <w:rFonts w:ascii="Times New Roman" w:eastAsia="Calibri" w:hAnsi="Times New Roman" w:cs="Times New Roman"/>
        </w:rPr>
        <w:t>R</w:t>
      </w:r>
      <w:r w:rsidRPr="006C50AA">
        <w:rPr>
          <w:rFonts w:ascii="Times New Roman" w:eastAsia="Calibri" w:hAnsi="Times New Roman" w:cs="Times New Roman"/>
        </w:rPr>
        <w:t xml:space="preserve">elease, the SEC solicited comment on its estimates of the burdens associated with the collections of information required by </w:t>
      </w:r>
      <w:r w:rsidRPr="006C50AA">
        <w:rPr>
          <w:rFonts w:ascii="Times New Roman" w:eastAsia="Calibri" w:hAnsi="Times New Roman" w:cs="Times New Roman"/>
          <w:szCs w:val="22"/>
        </w:rPr>
        <w:t>section</w:t>
      </w:r>
      <w:r w:rsidRPr="006C50AA">
        <w:rPr>
          <w:rFonts w:ascii="Times New Roman" w:eastAsia="Calibri" w:hAnsi="Times New Roman" w:cs="Times New Roman"/>
        </w:rPr>
        <w:t xml:space="preserve"> 248.201; one commenter raised concerns with </w:t>
      </w:r>
      <w:r w:rsidRPr="006C50AA">
        <w:rPr>
          <w:rFonts w:ascii="Times New Roman" w:eastAsia="Calibri" w:hAnsi="Times New Roman" w:cs="Times New Roman"/>
        </w:rPr>
        <w:lastRenderedPageBreak/>
        <w:t>the estimates in the Proposing Release, arguing that actual burdens could be greater than estimated.</w:t>
      </w:r>
      <w:r w:rsidRPr="006C50AA">
        <w:rPr>
          <w:rFonts w:ascii="Times New Roman" w:eastAsia="Calibri" w:hAnsi="Times New Roman" w:cs="Times New Roman"/>
          <w:vertAlign w:val="superscript"/>
        </w:rPr>
        <w:footnoteReference w:id="14"/>
      </w:r>
      <w:r w:rsidRPr="006C50AA">
        <w:rPr>
          <w:rFonts w:ascii="Times New Roman" w:eastAsia="Calibri" w:hAnsi="Times New Roman" w:cs="Times New Roman"/>
        </w:rPr>
        <w:t xml:space="preserve"> </w:t>
      </w:r>
    </w:p>
    <w:p w14:paraId="185ABD5A" w14:textId="77777777" w:rsidR="00397909" w:rsidRPr="00246329" w:rsidRDefault="007F774C" w:rsidP="00397909">
      <w:pPr>
        <w:keepNext/>
        <w:tabs>
          <w:tab w:val="left" w:pos="720"/>
          <w:tab w:val="left" w:pos="1260"/>
          <w:tab w:val="left" w:pos="1800"/>
          <w:tab w:val="left" w:pos="2340"/>
          <w:tab w:val="left" w:pos="2880"/>
          <w:tab w:val="left" w:pos="3420"/>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i/>
        </w:rPr>
        <w:tab/>
      </w:r>
      <w:r w:rsidR="00397909" w:rsidRPr="00246329">
        <w:rPr>
          <w:i/>
        </w:rPr>
        <w:t>Initial Burden</w:t>
      </w:r>
    </w:p>
    <w:p w14:paraId="185ABD5B" w14:textId="77777777" w:rsidR="00397909" w:rsidRPr="00246329" w:rsidRDefault="00397909" w:rsidP="00397909">
      <w:pPr>
        <w:tabs>
          <w:tab w:val="left" w:pos="720"/>
        </w:tabs>
        <w:ind w:firstLine="720"/>
      </w:pPr>
      <w:r w:rsidRPr="00246329">
        <w:t xml:space="preserve">SEC staff estimates that the one-time burden of compliance with </w:t>
      </w:r>
      <w:r w:rsidR="00C246D3">
        <w:t>section</w:t>
      </w:r>
      <w:r>
        <w:t> </w:t>
      </w:r>
      <w:r w:rsidRPr="00246329">
        <w:t xml:space="preserve">248.201 for SEC-regulated financial institutions and creditors with covered accounts </w:t>
      </w:r>
      <w:r w:rsidR="00C246D3">
        <w:t>is</w:t>
      </w:r>
      <w:r w:rsidRPr="00246329">
        <w:t>:  (i) 25 hours to develop and obt</w:t>
      </w:r>
      <w:r w:rsidR="00C246D3">
        <w:t>ain board approval of a Program; (ii) 4 hours to train staff;</w:t>
      </w:r>
      <w:r w:rsidRPr="00246329">
        <w:t xml:space="preserve"> </w:t>
      </w:r>
      <w:r>
        <w:t xml:space="preserve">and (iii) 2 hours to conduct an initial assessment of covered accounts, </w:t>
      </w:r>
      <w:r w:rsidRPr="00246329">
        <w:t xml:space="preserve">for a total of </w:t>
      </w:r>
      <w:r>
        <w:t>31</w:t>
      </w:r>
      <w:r w:rsidRPr="00246329">
        <w:t xml:space="preserve"> hours.</w:t>
      </w:r>
      <w:r w:rsidR="004565C6">
        <w:rPr>
          <w:rStyle w:val="FootnoteReference"/>
        </w:rPr>
        <w:footnoteReference w:id="15"/>
      </w:r>
      <w:r w:rsidRPr="00246329">
        <w:t xml:space="preserve">  SEC staff es</w:t>
      </w:r>
      <w:r>
        <w:t>timates that, of the 31</w:t>
      </w:r>
      <w:r w:rsidRPr="00246329">
        <w:t xml:space="preserve"> hours incurred, 1</w:t>
      </w:r>
      <w:r>
        <w:t>2</w:t>
      </w:r>
      <w:r w:rsidRPr="00246329">
        <w:t xml:space="preserve"> hours w</w:t>
      </w:r>
      <w:r w:rsidR="00C246D3">
        <w:t>ill</w:t>
      </w:r>
      <w:r w:rsidRPr="00246329">
        <w:t xml:space="preserve"> be spent by internal counsel</w:t>
      </w:r>
      <w:r w:rsidR="004565C6">
        <w:t xml:space="preserve"> at an hourly rate of $3</w:t>
      </w:r>
      <w:r w:rsidR="00C246D3">
        <w:t>78</w:t>
      </w:r>
      <w:r w:rsidRPr="00246329">
        <w:t>, 1</w:t>
      </w:r>
      <w:r>
        <w:t>7</w:t>
      </w:r>
      <w:r w:rsidRPr="00246329">
        <w:t xml:space="preserve"> hours w</w:t>
      </w:r>
      <w:r w:rsidR="00C246D3">
        <w:t>ill</w:t>
      </w:r>
      <w:r w:rsidRPr="00246329">
        <w:t xml:space="preserve"> be spent by administrative assistants</w:t>
      </w:r>
      <w:r w:rsidR="004565C6">
        <w:t xml:space="preserve"> at an hourly rate of </w:t>
      </w:r>
      <w:r w:rsidR="004565C6">
        <w:lastRenderedPageBreak/>
        <w:t>$6</w:t>
      </w:r>
      <w:r w:rsidR="00C246D3">
        <w:t>5</w:t>
      </w:r>
      <w:r w:rsidRPr="00246329">
        <w:t>, and 2 hours w</w:t>
      </w:r>
      <w:r w:rsidR="00C246D3">
        <w:t>ill</w:t>
      </w:r>
      <w:r w:rsidRPr="00246329">
        <w:t xml:space="preserve"> be spent by the board of directors as a whole</w:t>
      </w:r>
      <w:r w:rsidR="004565C6">
        <w:t xml:space="preserve"> at an hourly rate of $4</w:t>
      </w:r>
      <w:r w:rsidR="00C246D3">
        <w:t>5</w:t>
      </w:r>
      <w:r w:rsidR="004565C6">
        <w:t>00, for a total cost of $</w:t>
      </w:r>
      <w:r w:rsidR="00C246D3">
        <w:t>14,641</w:t>
      </w:r>
      <w:r w:rsidR="004565C6">
        <w:t xml:space="preserve"> per </w:t>
      </w:r>
      <w:r w:rsidR="00155AF1">
        <w:t xml:space="preserve">newly </w:t>
      </w:r>
      <w:r w:rsidR="00C246D3">
        <w:t xml:space="preserve">formed </w:t>
      </w:r>
      <w:r w:rsidRPr="00246329">
        <w:t>entit</w:t>
      </w:r>
      <w:r w:rsidR="00C246D3">
        <w:t>y</w:t>
      </w:r>
      <w:r w:rsidRPr="00246329">
        <w:t>.</w:t>
      </w:r>
      <w:r w:rsidR="004565C6">
        <w:rPr>
          <w:rStyle w:val="FootnoteReference"/>
        </w:rPr>
        <w:footnoteReference w:id="16"/>
      </w:r>
      <w:r w:rsidRPr="00246329">
        <w:t xml:space="preserve">  </w:t>
      </w:r>
    </w:p>
    <w:p w14:paraId="185ABD5C" w14:textId="77777777" w:rsidR="00397909" w:rsidRPr="00246329" w:rsidRDefault="00397909" w:rsidP="00397909">
      <w:pPr>
        <w:tabs>
          <w:tab w:val="left" w:pos="720"/>
        </w:tabs>
        <w:ind w:firstLine="720"/>
      </w:pPr>
      <w:r w:rsidRPr="007B0D8E">
        <w:t>SEC staff</w:t>
      </w:r>
      <w:r w:rsidRPr="00246329">
        <w:t xml:space="preserve"> estimates that approximately </w:t>
      </w:r>
      <w:r w:rsidR="007B0D8E">
        <w:t>668</w:t>
      </w:r>
      <w:r w:rsidRPr="00246329">
        <w:t xml:space="preserve"> SEC-regulated financial institutions and creditors are newly formed each year.</w:t>
      </w:r>
      <w:bookmarkStart w:id="6" w:name="_Ref295731403"/>
      <w:r w:rsidRPr="00246329">
        <w:rPr>
          <w:rStyle w:val="FootnoteReference"/>
        </w:rPr>
        <w:footnoteReference w:id="17"/>
      </w:r>
      <w:bookmarkEnd w:id="6"/>
      <w:r w:rsidRPr="00246329">
        <w:t xml:space="preserve">  </w:t>
      </w:r>
      <w:r>
        <w:t xml:space="preserve">Each of these </w:t>
      </w:r>
      <w:r w:rsidR="007B0D8E">
        <w:t>668</w:t>
      </w:r>
      <w:r>
        <w:t xml:space="preserve"> entities w</w:t>
      </w:r>
      <w:r w:rsidR="007B0D8E">
        <w:t>ill</w:t>
      </w:r>
      <w:r>
        <w:t xml:space="preserve"> need to conduct an initial assessment of covered accounts, for a total of 1</w:t>
      </w:r>
      <w:r w:rsidR="007B0D8E">
        <w:t>336</w:t>
      </w:r>
      <w:r>
        <w:t xml:space="preserve"> hours</w:t>
      </w:r>
      <w:r w:rsidR="004565C6">
        <w:t xml:space="preserve"> at a total cost of</w:t>
      </w:r>
      <w:r w:rsidR="008D7114">
        <w:t xml:space="preserve"> $</w:t>
      </w:r>
      <w:r w:rsidR="00155AF1">
        <w:t>505,008</w:t>
      </w:r>
      <w:r>
        <w:t>.</w:t>
      </w:r>
      <w:r>
        <w:rPr>
          <w:rStyle w:val="FootnoteReference"/>
        </w:rPr>
        <w:footnoteReference w:id="18"/>
      </w:r>
      <w:r>
        <w:t xml:space="preserve">  </w:t>
      </w:r>
      <w:r w:rsidRPr="00246329">
        <w:t>Of these</w:t>
      </w:r>
      <w:r w:rsidR="007B0D8E">
        <w:t xml:space="preserve"> 668 entities</w:t>
      </w:r>
      <w:r w:rsidRPr="00246329">
        <w:t xml:space="preserve">, SEC staff estimates that approximately 90% (or </w:t>
      </w:r>
      <w:r w:rsidR="007B0D8E">
        <w:t>601</w:t>
      </w:r>
      <w:r w:rsidRPr="00246329">
        <w:t>) maintain covered accounts.</w:t>
      </w:r>
      <w:bookmarkStart w:id="7" w:name="_Ref353202936"/>
      <w:r w:rsidR="00155AF1">
        <w:rPr>
          <w:rStyle w:val="FootnoteReference"/>
        </w:rPr>
        <w:footnoteReference w:id="19"/>
      </w:r>
      <w:bookmarkEnd w:id="7"/>
      <w:r w:rsidRPr="00246329">
        <w:t xml:space="preserve">  Accordingly, SEC staff estimates that the total </w:t>
      </w:r>
      <w:r w:rsidR="007B0D8E">
        <w:t>initial</w:t>
      </w:r>
      <w:r w:rsidRPr="00246329">
        <w:t xml:space="preserve"> burden for the </w:t>
      </w:r>
      <w:r w:rsidR="007B0D8E">
        <w:t>601</w:t>
      </w:r>
      <w:r w:rsidRPr="00246329">
        <w:t xml:space="preserve"> </w:t>
      </w:r>
      <w:r w:rsidR="007B0D8E">
        <w:t xml:space="preserve">newly formed SEC-regulated </w:t>
      </w:r>
      <w:r w:rsidRPr="00246329">
        <w:t xml:space="preserve">entities </w:t>
      </w:r>
      <w:r w:rsidR="007B0D8E">
        <w:t>that are likely to qualify as financial institutions or creditors and maintain covered accounts is 18,631</w:t>
      </w:r>
      <w:r>
        <w:t xml:space="preserve"> </w:t>
      </w:r>
      <w:r w:rsidRPr="00246329">
        <w:t>hours</w:t>
      </w:r>
      <w:r w:rsidR="008D7114">
        <w:t xml:space="preserve"> at a total cost of $</w:t>
      </w:r>
      <w:r w:rsidR="00E8082F">
        <w:rPr>
          <w:rFonts w:ascii="Times New Roman" w:hAnsi="Times New Roman"/>
          <w:szCs w:val="22"/>
        </w:rPr>
        <w:t>8,799,241</w:t>
      </w:r>
      <w:r>
        <w:t xml:space="preserve">, and the total </w:t>
      </w:r>
      <w:r w:rsidR="007B0D8E">
        <w:t>initial</w:t>
      </w:r>
      <w:r>
        <w:t xml:space="preserve"> </w:t>
      </w:r>
      <w:r>
        <w:lastRenderedPageBreak/>
        <w:t xml:space="preserve">burden for all </w:t>
      </w:r>
      <w:r w:rsidR="007B0D8E">
        <w:t>newly formed SEC-</w:t>
      </w:r>
      <w:r>
        <w:t xml:space="preserve">regulated entities </w:t>
      </w:r>
      <w:r w:rsidR="004419BC">
        <w:t>is</w:t>
      </w:r>
      <w:r>
        <w:t xml:space="preserve"> </w:t>
      </w:r>
      <w:r w:rsidR="007B0D8E">
        <w:t>18,765</w:t>
      </w:r>
      <w:r>
        <w:t xml:space="preserve"> hours</w:t>
      </w:r>
      <w:r w:rsidR="008D7114">
        <w:t xml:space="preserve"> at a total cost of $</w:t>
      </w:r>
      <w:r w:rsidR="00BC7514">
        <w:t>8,849</w:t>
      </w:r>
      <w:r w:rsidR="008D7114">
        <w:t>,</w:t>
      </w:r>
      <w:r w:rsidR="00BC7514">
        <w:t>893</w:t>
      </w:r>
      <w:r w:rsidRPr="00246329">
        <w:t>.</w:t>
      </w:r>
      <w:r w:rsidRPr="00246329">
        <w:rPr>
          <w:rStyle w:val="FootnoteReference"/>
        </w:rPr>
        <w:footnoteReference w:id="20"/>
      </w:r>
      <w:r w:rsidRPr="00246329">
        <w:t xml:space="preserve"> </w:t>
      </w:r>
    </w:p>
    <w:p w14:paraId="185ABD5D" w14:textId="77777777" w:rsidR="00397909" w:rsidRPr="00246329" w:rsidRDefault="00397909" w:rsidP="00397909">
      <w:pPr>
        <w:keepNext/>
        <w:tabs>
          <w:tab w:val="left" w:pos="720"/>
          <w:tab w:val="left" w:pos="1260"/>
          <w:tab w:val="left" w:pos="1800"/>
          <w:tab w:val="left" w:pos="2340"/>
          <w:tab w:val="left" w:pos="2880"/>
          <w:tab w:val="left" w:pos="3420"/>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tab/>
      </w:r>
      <w:r w:rsidRPr="00246329">
        <w:rPr>
          <w:i/>
        </w:rPr>
        <w:t>Ongoing Burden</w:t>
      </w:r>
    </w:p>
    <w:p w14:paraId="185ABD5E" w14:textId="77777777" w:rsidR="00397909" w:rsidRPr="00246329" w:rsidRDefault="00397909" w:rsidP="00397909">
      <w:pPr>
        <w:tabs>
          <w:tab w:val="left" w:pos="720"/>
        </w:tabs>
        <w:ind w:firstLine="720"/>
      </w:pPr>
      <w:r w:rsidRPr="00246329">
        <w:t xml:space="preserve">SEC staff estimates that the ongoing burden of compliance with </w:t>
      </w:r>
      <w:r w:rsidR="00A95AEE">
        <w:t>section</w:t>
      </w:r>
      <w:r>
        <w:t> </w:t>
      </w:r>
      <w:r w:rsidRPr="00246329">
        <w:t>248.201 include</w:t>
      </w:r>
      <w:r w:rsidR="00A95AEE">
        <w:t>s</w:t>
      </w:r>
      <w:r w:rsidRPr="00246329">
        <w:t>:  (i) </w:t>
      </w:r>
      <w:r w:rsidR="00A95AEE">
        <w:t xml:space="preserve">2 hours to conduct periodic assessments to determine if the entity offers or maintains covered accounts; (ii) </w:t>
      </w:r>
      <w:r w:rsidRPr="00246329">
        <w:t>4 hours to prepare and presen</w:t>
      </w:r>
      <w:r w:rsidR="00A95AEE">
        <w:t>t an annual report to the board;</w:t>
      </w:r>
      <w:r w:rsidRPr="00246329">
        <w:t xml:space="preserve"> </w:t>
      </w:r>
      <w:r>
        <w:t>and (iii) </w:t>
      </w:r>
      <w:r w:rsidR="00A95AEE" w:rsidRPr="00246329">
        <w:t>2 hours to periodicall</w:t>
      </w:r>
      <w:r w:rsidR="00A95AEE">
        <w:t>y review and update the Program, including review and preservation of contracts with service providers, and review and preservation of any documentation received from service providers,</w:t>
      </w:r>
      <w:r w:rsidR="00A95AEE" w:rsidRPr="00246329">
        <w:t xml:space="preserve"> </w:t>
      </w:r>
      <w:r w:rsidRPr="00246329">
        <w:t xml:space="preserve">for a total of </w:t>
      </w:r>
      <w:r>
        <w:t>8</w:t>
      </w:r>
      <w:r w:rsidRPr="00246329">
        <w:t xml:space="preserve"> hours.  S</w:t>
      </w:r>
      <w:r>
        <w:t>EC staff estimates that of the 8</w:t>
      </w:r>
      <w:r w:rsidRPr="00246329">
        <w:t xml:space="preserve"> hours incurred, </w:t>
      </w:r>
      <w:r>
        <w:t>7</w:t>
      </w:r>
      <w:r w:rsidRPr="00246329">
        <w:t xml:space="preserve"> hours </w:t>
      </w:r>
      <w:r w:rsidR="00A95AEE">
        <w:t>will</w:t>
      </w:r>
      <w:r w:rsidRPr="00246329">
        <w:t xml:space="preserve"> be spent by internal counsel</w:t>
      </w:r>
      <w:r w:rsidR="008D7114">
        <w:t xml:space="preserve"> at an hourly cost of $3</w:t>
      </w:r>
      <w:r w:rsidR="00A95AEE">
        <w:t>78</w:t>
      </w:r>
      <w:r w:rsidR="008D7114">
        <w:t xml:space="preserve"> </w:t>
      </w:r>
      <w:r w:rsidRPr="00246329">
        <w:t>and 1 hour w</w:t>
      </w:r>
      <w:r w:rsidR="00A95AEE">
        <w:t>ill</w:t>
      </w:r>
      <w:r w:rsidRPr="00246329">
        <w:t xml:space="preserve"> be spent by the board of directors as a whole</w:t>
      </w:r>
      <w:r w:rsidR="008D7114">
        <w:t xml:space="preserve"> at an hourly cost of $4</w:t>
      </w:r>
      <w:r w:rsidR="00A95AEE">
        <w:t>5</w:t>
      </w:r>
      <w:r w:rsidR="008D7114">
        <w:t>00</w:t>
      </w:r>
      <w:r w:rsidRPr="00246329">
        <w:t xml:space="preserve">. </w:t>
      </w:r>
    </w:p>
    <w:p w14:paraId="185ABD5F" w14:textId="77777777" w:rsidR="00397909" w:rsidRPr="00246329" w:rsidRDefault="00397909" w:rsidP="00397909">
      <w:pPr>
        <w:tabs>
          <w:tab w:val="left" w:pos="720"/>
        </w:tabs>
        <w:ind w:firstLine="720"/>
      </w:pPr>
      <w:r w:rsidRPr="00246329">
        <w:t xml:space="preserve">SEC staff estimates that there are </w:t>
      </w:r>
      <w:r w:rsidR="003C51D6">
        <w:t>10,339 SEC-</w:t>
      </w:r>
      <w:r w:rsidRPr="00246329">
        <w:t>regulated entities that are either financial institutions or creditors</w:t>
      </w:r>
      <w:r>
        <w:t xml:space="preserve">, and that all of these </w:t>
      </w:r>
      <w:r w:rsidR="004419BC">
        <w:t>will</w:t>
      </w:r>
      <w:r>
        <w:t xml:space="preserve"> be required to periodically review their accounts to determine if they offer or maintain covered accounts, for a total of </w:t>
      </w:r>
      <w:r w:rsidR="003C51D6">
        <w:t>20,678</w:t>
      </w:r>
      <w:r>
        <w:t xml:space="preserve"> hours for these entities</w:t>
      </w:r>
      <w:r w:rsidR="008D7114">
        <w:t xml:space="preserve"> at a total cost of $</w:t>
      </w:r>
      <w:r w:rsidR="00A47601">
        <w:t>7</w:t>
      </w:r>
      <w:r w:rsidR="008D7114">
        <w:t>,</w:t>
      </w:r>
      <w:r w:rsidR="00A47601">
        <w:t>816,284</w:t>
      </w:r>
      <w:r w:rsidRPr="00246329">
        <w:t>.</w:t>
      </w:r>
      <w:bookmarkStart w:id="8" w:name="_Ref295733031"/>
      <w:r w:rsidRPr="00246329">
        <w:rPr>
          <w:rStyle w:val="FootnoteReference"/>
        </w:rPr>
        <w:footnoteReference w:id="21"/>
      </w:r>
      <w:bookmarkEnd w:id="8"/>
      <w:r w:rsidRPr="00246329">
        <w:t xml:space="preserve">  Of these</w:t>
      </w:r>
      <w:r>
        <w:t xml:space="preserve"> </w:t>
      </w:r>
      <w:r w:rsidR="003358A3">
        <w:t>10,339</w:t>
      </w:r>
      <w:r>
        <w:t xml:space="preserve"> entities</w:t>
      </w:r>
      <w:r w:rsidRPr="00246329">
        <w:t xml:space="preserve">, SEC staff estimates </w:t>
      </w:r>
      <w:r w:rsidRPr="00246329">
        <w:lastRenderedPageBreak/>
        <w:t>that approximately 90 percent</w:t>
      </w:r>
      <w:r>
        <w:t>,</w:t>
      </w:r>
      <w:r w:rsidRPr="00246329">
        <w:t xml:space="preserve"> or </w:t>
      </w:r>
      <w:r w:rsidR="003358A3">
        <w:t>9305</w:t>
      </w:r>
      <w:r>
        <w:t>,</w:t>
      </w:r>
      <w:r w:rsidRPr="00246329">
        <w:t xml:space="preserve"> maintain covered accounts</w:t>
      </w:r>
      <w:r>
        <w:t>, and thus w</w:t>
      </w:r>
      <w:r w:rsidR="003358A3">
        <w:t>ill</w:t>
      </w:r>
      <w:r>
        <w:t xml:space="preserve"> need the additional burdens related to complying with the rule</w:t>
      </w:r>
      <w:r w:rsidR="003358A3">
        <w:t>s</w:t>
      </w:r>
      <w:r w:rsidRPr="00246329">
        <w:t>.</w:t>
      </w:r>
      <w:r w:rsidRPr="00246329">
        <w:rPr>
          <w:rStyle w:val="FootnoteReference"/>
        </w:rPr>
        <w:footnoteReference w:id="22"/>
      </w:r>
      <w:r w:rsidRPr="00246329">
        <w:t xml:space="preserve">  Accordingly, SEC staff estimates that the total ongoing burden for the</w:t>
      </w:r>
      <w:r w:rsidR="002A7A91">
        <w:t>se</w:t>
      </w:r>
      <w:r w:rsidRPr="00246329">
        <w:t xml:space="preserve"> </w:t>
      </w:r>
      <w:r w:rsidR="002A7A91">
        <w:t>9305</w:t>
      </w:r>
      <w:r w:rsidRPr="00246329">
        <w:t xml:space="preserve"> </w:t>
      </w:r>
      <w:r w:rsidR="002A7A91">
        <w:t>financial institutions and creditors that maintain covered accounts will be</w:t>
      </w:r>
      <w:r w:rsidRPr="00246329">
        <w:t xml:space="preserve"> </w:t>
      </w:r>
      <w:r w:rsidR="002A7A91">
        <w:t>74,440</w:t>
      </w:r>
      <w:r w:rsidRPr="00246329">
        <w:t xml:space="preserve"> hours</w:t>
      </w:r>
      <w:r w:rsidR="008D7114">
        <w:t xml:space="preserve"> at a total cost of $</w:t>
      </w:r>
      <w:r w:rsidR="004B092C">
        <w:rPr>
          <w:rFonts w:ascii="Times New Roman" w:hAnsi="Times New Roman"/>
          <w:szCs w:val="22"/>
        </w:rPr>
        <w:t>66,493,530</w:t>
      </w:r>
      <w:r w:rsidR="002A7A91">
        <w:t>.</w:t>
      </w:r>
      <w:r w:rsidR="00B44AF6">
        <w:rPr>
          <w:rStyle w:val="FootnoteReference"/>
        </w:rPr>
        <w:footnoteReference w:id="23"/>
      </w:r>
      <w:r>
        <w:t xml:space="preserve"> </w:t>
      </w:r>
      <w:r w:rsidR="002A7A91">
        <w:t xml:space="preserve"> The estimated total </w:t>
      </w:r>
      <w:r w:rsidR="002A7A91">
        <w:lastRenderedPageBreak/>
        <w:t>ongoing burden for the 10,339 SEC-</w:t>
      </w:r>
      <w:r>
        <w:t xml:space="preserve">regulated entities </w:t>
      </w:r>
      <w:r w:rsidR="002A7A91">
        <w:t>that are financial institutions or creditors covered by Regulation S-ID will be 76,508</w:t>
      </w:r>
      <w:r>
        <w:t xml:space="preserve"> hours</w:t>
      </w:r>
      <w:r w:rsidR="009C1DD1">
        <w:t xml:space="preserve"> at total cost of $</w:t>
      </w:r>
      <w:r w:rsidR="0005070E">
        <w:rPr>
          <w:rFonts w:ascii="Times New Roman" w:hAnsi="Times New Roman"/>
          <w:szCs w:val="22"/>
        </w:rPr>
        <w:t>67,275,234</w:t>
      </w:r>
      <w:r w:rsidRPr="00246329">
        <w:t>.</w:t>
      </w:r>
      <w:r w:rsidRPr="00246329">
        <w:rPr>
          <w:rStyle w:val="FootnoteReference"/>
        </w:rPr>
        <w:footnoteReference w:id="24"/>
      </w:r>
      <w:r w:rsidRPr="00246329">
        <w:t xml:space="preserve"> </w:t>
      </w:r>
    </w:p>
    <w:p w14:paraId="185ABD60" w14:textId="77777777" w:rsidR="00397909" w:rsidRPr="00246329" w:rsidRDefault="00397909" w:rsidP="00397909">
      <w:pPr>
        <w:keepNext/>
        <w:tabs>
          <w:tab w:val="left" w:pos="720"/>
          <w:tab w:val="left" w:pos="1260"/>
          <w:tab w:val="left" w:pos="1800"/>
          <w:tab w:val="left" w:pos="2340"/>
          <w:tab w:val="left" w:pos="2880"/>
          <w:tab w:val="left" w:pos="3420"/>
          <w:tab w:val="left" w:pos="396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tab/>
      </w:r>
      <w:r>
        <w:rPr>
          <w:i/>
        </w:rPr>
        <w:t xml:space="preserve">§ 248.202 </w:t>
      </w:r>
      <w:r w:rsidRPr="00246329">
        <w:rPr>
          <w:i/>
        </w:rPr>
        <w:t>(duties of card issuers regarding changes of address).</w:t>
      </w:r>
    </w:p>
    <w:p w14:paraId="185ABD61" w14:textId="77777777" w:rsidR="00397909" w:rsidRPr="00246329" w:rsidRDefault="00397909" w:rsidP="00397909">
      <w:pPr>
        <w:tabs>
          <w:tab w:val="left" w:pos="720"/>
        </w:tabs>
        <w:ind w:firstLine="720"/>
      </w:pPr>
      <w:r w:rsidRPr="00246329">
        <w:t xml:space="preserve">The collections of information required by </w:t>
      </w:r>
      <w:r w:rsidR="007A6B6F">
        <w:t xml:space="preserve">section </w:t>
      </w:r>
      <w:r w:rsidRPr="00246329">
        <w:t xml:space="preserve">248.202 </w:t>
      </w:r>
      <w:r w:rsidR="004419BC">
        <w:t>will</w:t>
      </w:r>
      <w:r w:rsidRPr="00246329">
        <w:t xml:space="preserve"> apply only to SEC-regulated entities that issue credit or debit cards.</w:t>
      </w:r>
      <w:r w:rsidRPr="00246329">
        <w:rPr>
          <w:rStyle w:val="FootnoteReference"/>
        </w:rPr>
        <w:footnoteReference w:id="25"/>
      </w:r>
      <w:r w:rsidRPr="00246329">
        <w:t xml:space="preserve">  SEC staff understands that SEC-regulated entities generally do not issue credit or debit cards, but instead partner with other entities, such as banks, that issue cards on their behalf.  These </w:t>
      </w:r>
      <w:r w:rsidR="007A6B6F">
        <w:t>other</w:t>
      </w:r>
      <w:r w:rsidRPr="00246329">
        <w:t xml:space="preserve"> entities, which are not regulated by the SEC, are already subject to substantially similar change of address obligations pursuant to the Agencies’ identity theft red flags rules.  In addition, SEC staff understands that card issuers already assess the validity of change of address requests and, for the most part, have automated the process of notifying the cardholder or using other means to assess the validity of changes of address.  Therefore, implementation of this requirement pose</w:t>
      </w:r>
      <w:r w:rsidR="004419BC">
        <w:t>s</w:t>
      </w:r>
      <w:r w:rsidRPr="00246329">
        <w:t xml:space="preserve"> no further burden. </w:t>
      </w:r>
    </w:p>
    <w:p w14:paraId="185ABD62" w14:textId="77777777" w:rsidR="00397909" w:rsidRPr="00246329" w:rsidRDefault="00397909" w:rsidP="00397909">
      <w:pPr>
        <w:tabs>
          <w:tab w:val="left" w:pos="720"/>
        </w:tabs>
        <w:ind w:firstLine="720"/>
      </w:pPr>
      <w:r w:rsidRPr="00246329">
        <w:t xml:space="preserve">SEC staff does not expect that any SEC-regulated entities </w:t>
      </w:r>
      <w:r>
        <w:t>w</w:t>
      </w:r>
      <w:r w:rsidR="007A6B6F">
        <w:t>ill</w:t>
      </w:r>
      <w:r w:rsidRPr="00246329">
        <w:t xml:space="preserve"> be subject to the information collection requirements of </w:t>
      </w:r>
      <w:r w:rsidR="007A6B6F">
        <w:t>section</w:t>
      </w:r>
      <w:r>
        <w:t> </w:t>
      </w:r>
      <w:r w:rsidRPr="00246329">
        <w:t xml:space="preserve">248.202.  Accordingly, SEC staff estimates that there </w:t>
      </w:r>
      <w:r w:rsidR="007A6B6F">
        <w:t>is</w:t>
      </w:r>
      <w:r w:rsidRPr="00246329">
        <w:t xml:space="preserve"> no hourly or cost burden for SEC-regulated entities related to </w:t>
      </w:r>
      <w:r w:rsidR="007A6B6F">
        <w:t>section</w:t>
      </w:r>
      <w:r>
        <w:t> </w:t>
      </w:r>
      <w:r w:rsidRPr="00246329">
        <w:t>248.202.</w:t>
      </w:r>
      <w:r w:rsidR="007A6B6F">
        <w:t xml:space="preserve">  In the Proposing Release, </w:t>
      </w:r>
      <w:r w:rsidR="007A6B6F" w:rsidRPr="00593A0E">
        <w:t xml:space="preserve">the </w:t>
      </w:r>
      <w:r w:rsidR="007A6B6F">
        <w:t>SEC</w:t>
      </w:r>
      <w:r w:rsidR="007A6B6F" w:rsidRPr="00593A0E">
        <w:t xml:space="preserve"> solicited comment on </w:t>
      </w:r>
      <w:r w:rsidR="007A6B6F">
        <w:t xml:space="preserve">this same estimate of the burdens associated </w:t>
      </w:r>
      <w:r w:rsidR="007A6B6F">
        <w:lastRenderedPageBreak/>
        <w:t xml:space="preserve">with the </w:t>
      </w:r>
      <w:r w:rsidR="007A6B6F" w:rsidRPr="00593A0E">
        <w:t>collec</w:t>
      </w:r>
      <w:r w:rsidR="007A6B6F">
        <w:t>tions of information required by section </w:t>
      </w:r>
      <w:r w:rsidR="007A6B6F" w:rsidRPr="00246329">
        <w:t>248.20</w:t>
      </w:r>
      <w:r w:rsidR="007A6B6F">
        <w:t>2 and received no comments on its burden estimate.</w:t>
      </w:r>
      <w:r w:rsidRPr="00246329">
        <w:t xml:space="preserve">  </w:t>
      </w:r>
    </w:p>
    <w:p w14:paraId="185ABD63" w14:textId="77777777" w:rsidR="000567BC" w:rsidRDefault="000567BC" w:rsidP="00397909">
      <w:pPr>
        <w:pStyle w:val="Heading2"/>
        <w:rPr>
          <w:rFonts w:ascii="Times New Roman" w:hAnsi="Times New Roman" w:cs="Times New Roman"/>
        </w:rPr>
      </w:pPr>
      <w:r>
        <w:rPr>
          <w:rFonts w:ascii="Times New Roman" w:hAnsi="Times New Roman" w:cs="Times New Roman"/>
        </w:rPr>
        <w:t>13.</w:t>
      </w:r>
      <w:r>
        <w:rPr>
          <w:rFonts w:ascii="Times New Roman" w:hAnsi="Times New Roman" w:cs="Times New Roman"/>
        </w:rPr>
        <w:tab/>
        <w:t>Estimate of Total Annual Cost Burden</w:t>
      </w:r>
    </w:p>
    <w:p w14:paraId="185ABD64" w14:textId="77777777" w:rsidR="000567BC" w:rsidRDefault="000567BC">
      <w:pPr>
        <w:rPr>
          <w:rFonts w:ascii="Times New Roman" w:hAnsi="Times New Roman" w:cs="Times New Roman"/>
        </w:rPr>
      </w:pPr>
      <w:r>
        <w:rPr>
          <w:rFonts w:ascii="Times New Roman" w:hAnsi="Times New Roman" w:cs="Times New Roman"/>
        </w:rPr>
        <w:tab/>
        <w:t>The rule is not estimated to impose any burdens other than those discussed in item 12 above.</w:t>
      </w:r>
    </w:p>
    <w:p w14:paraId="185ABD65" w14:textId="77777777" w:rsidR="000567BC" w:rsidRDefault="000567BC">
      <w:pPr>
        <w:pStyle w:val="Heading2"/>
        <w:rPr>
          <w:rFonts w:ascii="Times New Roman" w:hAnsi="Times New Roman" w:cs="Times New Roman"/>
        </w:rPr>
      </w:pPr>
      <w:r>
        <w:rPr>
          <w:rFonts w:ascii="Times New Roman" w:hAnsi="Times New Roman" w:cs="Times New Roman"/>
        </w:rPr>
        <w:t>14.</w:t>
      </w:r>
      <w:r>
        <w:rPr>
          <w:rFonts w:ascii="Times New Roman" w:hAnsi="Times New Roman" w:cs="Times New Roman"/>
        </w:rPr>
        <w:tab/>
        <w:t>Estimate of Cost to the Federal Government</w:t>
      </w:r>
    </w:p>
    <w:p w14:paraId="185ABD66" w14:textId="77777777" w:rsidR="000567BC" w:rsidRDefault="000567BC">
      <w:pPr>
        <w:rPr>
          <w:rFonts w:ascii="Times New Roman" w:hAnsi="Times New Roman" w:cs="Times New Roman"/>
        </w:rPr>
      </w:pPr>
      <w:r>
        <w:rPr>
          <w:rFonts w:ascii="Times New Roman" w:hAnsi="Times New Roman" w:cs="Times New Roman"/>
        </w:rPr>
        <w:tab/>
        <w:t>The rule does not impose any additional costs on the Federal government.</w:t>
      </w:r>
    </w:p>
    <w:p w14:paraId="185ABD67" w14:textId="2745D892" w:rsidR="000567BC" w:rsidRDefault="000567BC">
      <w:pPr>
        <w:pStyle w:val="Heading2"/>
        <w:rPr>
          <w:rFonts w:ascii="Times New Roman" w:hAnsi="Times New Roman" w:cs="Times New Roman"/>
        </w:rPr>
      </w:pPr>
      <w:r>
        <w:rPr>
          <w:rFonts w:ascii="Times New Roman" w:hAnsi="Times New Roman" w:cs="Times New Roman"/>
        </w:rPr>
        <w:t>15.</w:t>
      </w:r>
      <w:r>
        <w:rPr>
          <w:rFonts w:ascii="Times New Roman" w:hAnsi="Times New Roman" w:cs="Times New Roman"/>
        </w:rPr>
        <w:tab/>
        <w:t>Changes in Burden</w:t>
      </w:r>
    </w:p>
    <w:p w14:paraId="185ABD68" w14:textId="77777777" w:rsidR="000567BC" w:rsidRDefault="000567BC">
      <w:pPr>
        <w:rPr>
          <w:rFonts w:ascii="Times New Roman" w:hAnsi="Times New Roman" w:cs="Times New Roman"/>
        </w:rPr>
      </w:pPr>
      <w:r>
        <w:rPr>
          <w:rFonts w:ascii="Times New Roman" w:hAnsi="Times New Roman" w:cs="Times New Roman"/>
        </w:rPr>
        <w:tab/>
      </w:r>
      <w:r w:rsidR="009C1DD1">
        <w:rPr>
          <w:rFonts w:ascii="Times New Roman" w:hAnsi="Times New Roman" w:cs="Times New Roman"/>
        </w:rPr>
        <w:t xml:space="preserve">Not applicable. </w:t>
      </w:r>
    </w:p>
    <w:p w14:paraId="185ABD69" w14:textId="77777777" w:rsidR="000567BC" w:rsidRDefault="000567BC">
      <w:pPr>
        <w:pStyle w:val="Heading2"/>
        <w:rPr>
          <w:rFonts w:ascii="Times New Roman" w:hAnsi="Times New Roman" w:cs="Times New Roman"/>
        </w:rPr>
      </w:pPr>
      <w:r>
        <w:rPr>
          <w:rFonts w:ascii="Times New Roman" w:hAnsi="Times New Roman" w:cs="Times New Roman"/>
        </w:rPr>
        <w:t>16.</w:t>
      </w:r>
      <w:r>
        <w:rPr>
          <w:rFonts w:ascii="Times New Roman" w:hAnsi="Times New Roman" w:cs="Times New Roman"/>
        </w:rPr>
        <w:tab/>
        <w:t>Information Collection Planned for Statistical Purposes</w:t>
      </w:r>
    </w:p>
    <w:p w14:paraId="185ABD6A" w14:textId="77777777" w:rsidR="000567BC" w:rsidRDefault="000567BC">
      <w:pPr>
        <w:rPr>
          <w:rFonts w:ascii="Times New Roman" w:hAnsi="Times New Roman" w:cs="Times New Roman"/>
        </w:rPr>
      </w:pPr>
      <w:r>
        <w:rPr>
          <w:rFonts w:ascii="Times New Roman" w:hAnsi="Times New Roman" w:cs="Times New Roman"/>
        </w:rPr>
        <w:tab/>
        <w:t>Not applicable.</w:t>
      </w:r>
    </w:p>
    <w:p w14:paraId="185ABD6B" w14:textId="28C5C0CE" w:rsidR="000567BC" w:rsidRDefault="004A7246">
      <w:pPr>
        <w:pStyle w:val="Heading2"/>
        <w:rPr>
          <w:rFonts w:ascii="Times New Roman" w:hAnsi="Times New Roman" w:cs="Times New Roman"/>
        </w:rPr>
      </w:pPr>
      <w:r>
        <w:rPr>
          <w:rFonts w:ascii="Times New Roman" w:hAnsi="Times New Roman" w:cs="Times New Roman"/>
        </w:rPr>
        <w:t>17.</w:t>
      </w:r>
      <w:r>
        <w:rPr>
          <w:rFonts w:ascii="Times New Roman" w:hAnsi="Times New Roman" w:cs="Times New Roman"/>
        </w:rPr>
        <w:tab/>
        <w:t xml:space="preserve">Approval to </w:t>
      </w:r>
      <w:r w:rsidR="000E7679">
        <w:rPr>
          <w:rFonts w:ascii="Times New Roman" w:hAnsi="Times New Roman" w:cs="Times New Roman"/>
        </w:rPr>
        <w:t xml:space="preserve">Omit OMB </w:t>
      </w:r>
      <w:r w:rsidR="000567BC">
        <w:rPr>
          <w:rFonts w:ascii="Times New Roman" w:hAnsi="Times New Roman" w:cs="Times New Roman"/>
        </w:rPr>
        <w:t>Expiration Date</w:t>
      </w:r>
    </w:p>
    <w:p w14:paraId="185ABD6C" w14:textId="77777777" w:rsidR="000567BC" w:rsidRDefault="000567BC">
      <w:pPr>
        <w:rPr>
          <w:rFonts w:ascii="Times New Roman" w:hAnsi="Times New Roman" w:cs="Times New Roman"/>
        </w:rPr>
      </w:pPr>
      <w:r>
        <w:rPr>
          <w:rFonts w:ascii="Times New Roman" w:hAnsi="Times New Roman" w:cs="Times New Roman"/>
        </w:rPr>
        <w:tab/>
        <w:t>Not applicable.</w:t>
      </w:r>
    </w:p>
    <w:p w14:paraId="185ABD6D" w14:textId="77777777" w:rsidR="000567BC" w:rsidRDefault="000567BC">
      <w:pPr>
        <w:pStyle w:val="Heading2"/>
        <w:rPr>
          <w:rFonts w:ascii="Times New Roman" w:hAnsi="Times New Roman" w:cs="Times New Roman"/>
        </w:rPr>
      </w:pPr>
      <w:r>
        <w:rPr>
          <w:rFonts w:ascii="Times New Roman" w:hAnsi="Times New Roman" w:cs="Times New Roman"/>
        </w:rPr>
        <w:t>18.</w:t>
      </w:r>
      <w:r>
        <w:rPr>
          <w:rFonts w:ascii="Times New Roman" w:hAnsi="Times New Roman" w:cs="Times New Roman"/>
        </w:rPr>
        <w:tab/>
        <w:t>Exception</w:t>
      </w:r>
      <w:r w:rsidR="004A7246">
        <w:rPr>
          <w:rFonts w:ascii="Times New Roman" w:hAnsi="Times New Roman" w:cs="Times New Roman"/>
        </w:rPr>
        <w:t>s</w:t>
      </w:r>
      <w:r>
        <w:rPr>
          <w:rFonts w:ascii="Times New Roman" w:hAnsi="Times New Roman" w:cs="Times New Roman"/>
        </w:rPr>
        <w:t xml:space="preserve"> to Certification Statement</w:t>
      </w:r>
    </w:p>
    <w:p w14:paraId="185ABD6E" w14:textId="77777777" w:rsidR="000567BC" w:rsidRDefault="000567BC">
      <w:pPr>
        <w:rPr>
          <w:rFonts w:ascii="Times New Roman" w:hAnsi="Times New Roman" w:cs="Times New Roman"/>
        </w:rPr>
      </w:pPr>
      <w:r>
        <w:rPr>
          <w:rFonts w:ascii="Times New Roman" w:hAnsi="Times New Roman" w:cs="Times New Roman"/>
        </w:rPr>
        <w:tab/>
        <w:t>Not applicable.</w:t>
      </w:r>
    </w:p>
    <w:p w14:paraId="185ABD6F" w14:textId="77777777" w:rsidR="000567BC" w:rsidRDefault="000567BC">
      <w:pPr>
        <w:pStyle w:val="Heading1"/>
        <w:spacing w:before="0" w:after="0"/>
        <w:rPr>
          <w:rFonts w:ascii="Times New Roman" w:hAnsi="Times New Roman" w:cs="Times New Roman"/>
        </w:rPr>
      </w:pPr>
      <w:r>
        <w:rPr>
          <w:rFonts w:ascii="Times New Roman" w:hAnsi="Times New Roman" w:cs="Times New Roman"/>
        </w:rPr>
        <w:t>Collections of information employing statistical methods</w:t>
      </w:r>
    </w:p>
    <w:p w14:paraId="185ABD70" w14:textId="77777777" w:rsidR="000567BC" w:rsidRDefault="000567BC">
      <w:pPr>
        <w:ind w:left="720"/>
        <w:rPr>
          <w:rFonts w:ascii="Times New Roman" w:hAnsi="Times New Roman" w:cs="Times New Roman"/>
        </w:rPr>
      </w:pPr>
      <w:r>
        <w:rPr>
          <w:rFonts w:ascii="Times New Roman" w:hAnsi="Times New Roman" w:cs="Times New Roman"/>
        </w:rPr>
        <w:t>Not applicable.</w:t>
      </w:r>
    </w:p>
    <w:sectPr w:rsidR="000567BC" w:rsidSect="00FA360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2E6F6" w14:textId="77777777" w:rsidR="00276031" w:rsidRDefault="00276031">
      <w:pPr>
        <w:spacing w:line="20" w:lineRule="exact"/>
        <w:rPr>
          <w:rFonts w:cs="Times New Roman"/>
          <w:sz w:val="20"/>
        </w:rPr>
      </w:pPr>
    </w:p>
  </w:endnote>
  <w:endnote w:type="continuationSeparator" w:id="0">
    <w:p w14:paraId="3010A046" w14:textId="77777777" w:rsidR="00276031" w:rsidRDefault="00276031">
      <w:r>
        <w:rPr>
          <w:rFonts w:cs="Times New Roman"/>
          <w:sz w:val="20"/>
        </w:rPr>
        <w:t xml:space="preserve"> </w:t>
      </w:r>
    </w:p>
  </w:endnote>
  <w:endnote w:type="continuationNotice" w:id="1">
    <w:p w14:paraId="4811B8A2" w14:textId="77777777" w:rsidR="00276031" w:rsidRDefault="00276031">
      <w:r>
        <w:rPr>
          <w:rFonts w:cs="Times New Roman"/>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Bold">
    <w:altName w:val="Kino 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ADB94" w14:textId="77777777" w:rsidR="005F2FD3" w:rsidRDefault="005F2F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548DF" w14:textId="77777777" w:rsidR="005F2FD3" w:rsidRDefault="005F2F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DC6B8" w14:textId="77777777" w:rsidR="005F2FD3" w:rsidRDefault="005F2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33C97" w14:textId="77777777" w:rsidR="00276031" w:rsidRDefault="00276031">
      <w:pPr>
        <w:spacing w:line="240" w:lineRule="auto"/>
      </w:pPr>
      <w:r>
        <w:rPr>
          <w:rFonts w:cs="Times New Roman"/>
          <w:sz w:val="20"/>
        </w:rPr>
        <w:separator/>
      </w:r>
    </w:p>
  </w:footnote>
  <w:footnote w:type="continuationSeparator" w:id="0">
    <w:p w14:paraId="795614A0" w14:textId="77777777" w:rsidR="00276031" w:rsidRDefault="00276031">
      <w:pPr>
        <w:spacing w:line="240" w:lineRule="auto"/>
      </w:pPr>
      <w:r>
        <w:continuationSeparator/>
      </w:r>
    </w:p>
  </w:footnote>
  <w:footnote w:type="continuationNotice" w:id="1">
    <w:p w14:paraId="32348BBB" w14:textId="77777777" w:rsidR="00276031" w:rsidRDefault="00276031"/>
  </w:footnote>
  <w:footnote w:id="2">
    <w:p w14:paraId="185ABD79" w14:textId="77777777" w:rsidR="001C2FC6" w:rsidRPr="006C50AA" w:rsidRDefault="00FA3607" w:rsidP="007F774C">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r w:rsidR="00472305">
        <w:rPr>
          <w:rFonts w:ascii="Times New Roman" w:hAnsi="Times New Roman"/>
          <w:szCs w:val="22"/>
        </w:rPr>
        <w:t>Identity Theft Red Flags, Investment Company Act Release No. 30456 (Apr. 10, 2013)</w:t>
      </w:r>
      <w:r w:rsidR="00EF0507">
        <w:rPr>
          <w:rFonts w:ascii="Times New Roman" w:hAnsi="Times New Roman"/>
          <w:szCs w:val="22"/>
        </w:rPr>
        <w:t xml:space="preserve"> (“Adopting Release”)</w:t>
      </w:r>
      <w:r w:rsidR="00472305">
        <w:rPr>
          <w:rFonts w:ascii="Times New Roman" w:hAnsi="Times New Roman"/>
          <w:szCs w:val="22"/>
        </w:rPr>
        <w:t xml:space="preserve">; </w:t>
      </w:r>
      <w:r w:rsidRPr="006C50AA">
        <w:rPr>
          <w:rFonts w:ascii="Times New Roman" w:hAnsi="Times New Roman"/>
          <w:szCs w:val="22"/>
        </w:rPr>
        <w:t xml:space="preserve">Identity Theft Red Flags, </w:t>
      </w:r>
      <w:r w:rsidR="00F559A3" w:rsidRPr="006C50AA">
        <w:rPr>
          <w:rFonts w:ascii="Times New Roman" w:hAnsi="Times New Roman"/>
          <w:szCs w:val="22"/>
        </w:rPr>
        <w:t>Investment Company Act</w:t>
      </w:r>
      <w:r w:rsidRPr="006C50AA">
        <w:rPr>
          <w:rFonts w:ascii="Times New Roman" w:hAnsi="Times New Roman"/>
          <w:szCs w:val="22"/>
        </w:rPr>
        <w:t xml:space="preserve"> Release No. 29969 (Feb. 28, 2012) [77 FR 13450 (Mar. 6. 2012)]</w:t>
      </w:r>
      <w:r w:rsidR="006377FC">
        <w:rPr>
          <w:rFonts w:ascii="Times New Roman" w:hAnsi="Times New Roman"/>
          <w:szCs w:val="22"/>
        </w:rPr>
        <w:t xml:space="preserve"> (“Proposing Release”)</w:t>
      </w:r>
      <w:r w:rsidRPr="006C50AA">
        <w:rPr>
          <w:rFonts w:ascii="Times New Roman" w:hAnsi="Times New Roman"/>
          <w:szCs w:val="22"/>
        </w:rPr>
        <w:t>.</w:t>
      </w:r>
    </w:p>
  </w:footnote>
  <w:footnote w:id="3">
    <w:p w14:paraId="185ABD7A" w14:textId="77777777" w:rsidR="00824430" w:rsidRPr="006C50AA" w:rsidRDefault="00824430" w:rsidP="00824430">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r w:rsidRPr="006C50AA">
        <w:rPr>
          <w:rFonts w:ascii="Times New Roman" w:hAnsi="Times New Roman"/>
          <w:i/>
          <w:szCs w:val="22"/>
        </w:rPr>
        <w:t>See</w:t>
      </w:r>
      <w:r w:rsidRPr="006C50AA">
        <w:rPr>
          <w:rFonts w:ascii="Times New Roman" w:hAnsi="Times New Roman"/>
          <w:szCs w:val="22"/>
        </w:rPr>
        <w:t xml:space="preserve"> Identity Theft Red Flags and Address Discrepancies </w:t>
      </w:r>
      <w:proofErr w:type="gramStart"/>
      <w:r w:rsidRPr="006C50AA">
        <w:rPr>
          <w:rFonts w:ascii="Times New Roman" w:hAnsi="Times New Roman"/>
          <w:szCs w:val="22"/>
        </w:rPr>
        <w:t>Under</w:t>
      </w:r>
      <w:proofErr w:type="gramEnd"/>
      <w:r w:rsidRPr="006C50AA">
        <w:rPr>
          <w:rFonts w:ascii="Times New Roman" w:hAnsi="Times New Roman"/>
          <w:szCs w:val="22"/>
        </w:rPr>
        <w:t xml:space="preserve"> the Fair and Accurate Credit Transactions Act of 2003, 72 FR 63718 (Nov. 9, 2007) (“2007 Adopting Release”).  In addition, the Commodity Futures Trading Commission (“CFTC”) </w:t>
      </w:r>
      <w:r w:rsidR="00EF0507">
        <w:rPr>
          <w:rFonts w:ascii="Times New Roman" w:hAnsi="Times New Roman"/>
          <w:szCs w:val="22"/>
        </w:rPr>
        <w:t>adopted</w:t>
      </w:r>
      <w:r w:rsidRPr="006C50AA">
        <w:rPr>
          <w:rFonts w:ascii="Times New Roman" w:hAnsi="Times New Roman"/>
          <w:szCs w:val="22"/>
        </w:rPr>
        <w:t xml:space="preserve"> rules </w:t>
      </w:r>
      <w:r w:rsidR="00EF0507">
        <w:rPr>
          <w:rFonts w:ascii="Times New Roman" w:hAnsi="Times New Roman"/>
          <w:szCs w:val="22"/>
        </w:rPr>
        <w:t>for</w:t>
      </w:r>
      <w:r w:rsidRPr="006C50AA">
        <w:rPr>
          <w:rFonts w:ascii="Times New Roman" w:hAnsi="Times New Roman"/>
          <w:szCs w:val="22"/>
        </w:rPr>
        <w:t xml:space="preserve"> the entities it regulates</w:t>
      </w:r>
      <w:r w:rsidR="00EF0507">
        <w:rPr>
          <w:rFonts w:ascii="Times New Roman" w:hAnsi="Times New Roman"/>
          <w:szCs w:val="22"/>
        </w:rPr>
        <w:t xml:space="preserve"> at the same time the Commission adopted Regulation S-ID</w:t>
      </w:r>
      <w:r w:rsidRPr="006C50AA">
        <w:rPr>
          <w:rFonts w:ascii="Times New Roman" w:hAnsi="Times New Roman"/>
          <w:szCs w:val="22"/>
        </w:rPr>
        <w:t xml:space="preserve">.  </w:t>
      </w:r>
      <w:r w:rsidR="00EF0507" w:rsidRPr="00EF0507">
        <w:rPr>
          <w:rFonts w:ascii="Times New Roman" w:hAnsi="Times New Roman"/>
          <w:i/>
          <w:szCs w:val="22"/>
        </w:rPr>
        <w:t>See</w:t>
      </w:r>
      <w:r w:rsidR="00EF0507">
        <w:rPr>
          <w:rFonts w:ascii="Times New Roman" w:hAnsi="Times New Roman"/>
          <w:szCs w:val="22"/>
        </w:rPr>
        <w:t xml:space="preserve"> Adopting Release, </w:t>
      </w:r>
      <w:r w:rsidR="00EF0507" w:rsidRPr="00EF0507">
        <w:rPr>
          <w:rFonts w:ascii="Times New Roman" w:hAnsi="Times New Roman"/>
          <w:i/>
          <w:szCs w:val="22"/>
        </w:rPr>
        <w:t>supra</w:t>
      </w:r>
      <w:r w:rsidR="00EF0507">
        <w:rPr>
          <w:rFonts w:ascii="Times New Roman" w:hAnsi="Times New Roman"/>
          <w:szCs w:val="22"/>
        </w:rPr>
        <w:t xml:space="preserve"> note </w:t>
      </w:r>
      <w:r w:rsidR="00EF0507">
        <w:rPr>
          <w:rFonts w:ascii="Times New Roman" w:hAnsi="Times New Roman"/>
          <w:szCs w:val="22"/>
        </w:rPr>
        <w:fldChar w:fldCharType="begin"/>
      </w:r>
      <w:r w:rsidR="00EF0507">
        <w:rPr>
          <w:rFonts w:ascii="Times New Roman" w:hAnsi="Times New Roman"/>
          <w:szCs w:val="22"/>
        </w:rPr>
        <w:instrText xml:space="preserve"> NOTEREF _Ref353442714 \h </w:instrText>
      </w:r>
      <w:r w:rsidR="00EF0507">
        <w:rPr>
          <w:rFonts w:ascii="Times New Roman" w:hAnsi="Times New Roman"/>
          <w:szCs w:val="22"/>
        </w:rPr>
      </w:r>
      <w:r w:rsidR="00EF0507">
        <w:rPr>
          <w:rFonts w:ascii="Times New Roman" w:hAnsi="Times New Roman"/>
          <w:szCs w:val="22"/>
        </w:rPr>
        <w:fldChar w:fldCharType="separate"/>
      </w:r>
      <w:r w:rsidR="00EF0507">
        <w:rPr>
          <w:rFonts w:ascii="Times New Roman" w:hAnsi="Times New Roman"/>
          <w:szCs w:val="22"/>
        </w:rPr>
        <w:t>1</w:t>
      </w:r>
      <w:r w:rsidR="00EF0507">
        <w:rPr>
          <w:rFonts w:ascii="Times New Roman" w:hAnsi="Times New Roman"/>
          <w:szCs w:val="22"/>
        </w:rPr>
        <w:fldChar w:fldCharType="end"/>
      </w:r>
      <w:r w:rsidR="00EF0507">
        <w:rPr>
          <w:rFonts w:ascii="Times New Roman" w:hAnsi="Times New Roman"/>
          <w:szCs w:val="22"/>
        </w:rPr>
        <w:t>.</w:t>
      </w:r>
    </w:p>
  </w:footnote>
  <w:footnote w:id="4">
    <w:p w14:paraId="6D67800A" w14:textId="46B9DFD3" w:rsidR="007B41B2" w:rsidRPr="00DD0C2E" w:rsidRDefault="006377FC" w:rsidP="00DD0C2E">
      <w:pPr>
        <w:spacing w:line="240" w:lineRule="auto"/>
        <w:rPr>
          <w:rFonts w:ascii="Melior" w:hAnsi="Melior" w:cs="Melior"/>
          <w:sz w:val="22"/>
          <w:szCs w:val="22"/>
        </w:rPr>
      </w:pPr>
      <w:r>
        <w:rPr>
          <w:rStyle w:val="FootnoteReference"/>
        </w:rPr>
        <w:footnoteRef/>
      </w:r>
      <w:r>
        <w:t xml:space="preserve"> </w:t>
      </w:r>
      <w:r>
        <w:tab/>
      </w:r>
      <w:r w:rsidR="00C200F6">
        <w:rPr>
          <w:rFonts w:ascii="Times New Roman" w:hAnsi="Times New Roman" w:cs="Times New Roman"/>
          <w:i/>
          <w:iCs/>
        </w:rPr>
        <w:t>See</w:t>
      </w:r>
      <w:r w:rsidR="00C200F6">
        <w:rPr>
          <w:rFonts w:ascii="Times New Roman" w:hAnsi="Times New Roman" w:cs="Times New Roman"/>
        </w:rPr>
        <w:t xml:space="preserve"> Comment Letter of the Financial Services Roundtable and the Securities Industry and Financial Markets Association (May 2, 2012) (“FSR/SIFMA Comment Letter”).  The commenter raised concerns with the cost estimates in the Proposing Release, and argued that the actual costs of compliance could be much greater than estimated.  </w:t>
      </w:r>
      <w:r w:rsidR="00C200F6">
        <w:rPr>
          <w:rFonts w:ascii="Times New Roman" w:hAnsi="Times New Roman" w:cs="Times New Roman"/>
          <w:i/>
          <w:iCs/>
        </w:rPr>
        <w:t>See infra</w:t>
      </w:r>
      <w:r w:rsidR="00C200F6">
        <w:rPr>
          <w:rFonts w:ascii="Times New Roman" w:hAnsi="Times New Roman" w:cs="Times New Roman"/>
        </w:rPr>
        <w:t xml:space="preserve"> note 13.</w:t>
      </w:r>
      <w:r w:rsidRPr="00DD0C2E">
        <w:rPr>
          <w:rFonts w:ascii="Times New Roman" w:hAnsi="Times New Roman"/>
          <w:sz w:val="22"/>
          <w:szCs w:val="22"/>
        </w:rPr>
        <w:t xml:space="preserve"> </w:t>
      </w:r>
    </w:p>
    <w:p w14:paraId="185ABD7B" w14:textId="7727CA40" w:rsidR="006377FC" w:rsidRDefault="006377FC" w:rsidP="007B41B2">
      <w:pPr>
        <w:pStyle w:val="FootnoteText"/>
        <w:ind w:left="0" w:firstLine="0"/>
      </w:pPr>
    </w:p>
  </w:footnote>
  <w:footnote w:id="5">
    <w:p w14:paraId="185ABD7C" w14:textId="77777777" w:rsidR="00391F00" w:rsidRPr="006C50AA" w:rsidRDefault="00391F00">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t>SEC staff, however, understands that a number of investment advisers may not currently have identity theft red flags programs.  Under the new guidance, for entities having now determined that they should comply with Regulation S-ID, the collections of information required by Regulation S-ID and the estimates of time and costs discussed below may be new.  As discussed further below, SEC staff estimates that there are approximately 3791 investment advisers that are currently registered with the SEC and are likely to qualify as financial institutions or creditors.  SEC staff is unable to estimate how many of these investment advisers previously complied with the Agencies’ identity theft red flags rules.</w:t>
      </w:r>
    </w:p>
  </w:footnote>
  <w:footnote w:id="6">
    <w:p w14:paraId="185ABD7D" w14:textId="77777777" w:rsidR="00391F00" w:rsidRPr="006C50AA" w:rsidRDefault="00391F00">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r w:rsidRPr="006C50AA">
        <w:rPr>
          <w:rFonts w:ascii="Times New Roman" w:hAnsi="Times New Roman"/>
          <w:i/>
          <w:szCs w:val="22"/>
        </w:rPr>
        <w:t>See</w:t>
      </w:r>
      <w:r w:rsidRPr="006C50AA">
        <w:rPr>
          <w:rFonts w:ascii="Times New Roman" w:hAnsi="Times New Roman"/>
          <w:szCs w:val="22"/>
        </w:rPr>
        <w:t xml:space="preserve"> 2007 Adopting Release, </w:t>
      </w:r>
      <w:r w:rsidRPr="00A04A20">
        <w:rPr>
          <w:rFonts w:ascii="Times New Roman" w:hAnsi="Times New Roman"/>
          <w:i/>
          <w:szCs w:val="22"/>
        </w:rPr>
        <w:t>supra</w:t>
      </w:r>
      <w:r w:rsidRPr="006C50AA">
        <w:rPr>
          <w:rFonts w:ascii="Times New Roman" w:hAnsi="Times New Roman"/>
          <w:szCs w:val="22"/>
        </w:rPr>
        <w:t xml:space="preserve"> note </w:t>
      </w:r>
      <w:r w:rsidRPr="006C50AA">
        <w:rPr>
          <w:rFonts w:ascii="Times New Roman" w:hAnsi="Times New Roman"/>
          <w:szCs w:val="22"/>
        </w:rPr>
        <w:fldChar w:fldCharType="begin"/>
      </w:r>
      <w:r w:rsidRPr="006C50AA">
        <w:rPr>
          <w:rFonts w:ascii="Times New Roman" w:hAnsi="Times New Roman"/>
          <w:szCs w:val="22"/>
        </w:rPr>
        <w:instrText xml:space="preserve"> NOTEREF _Ref353191769 \h </w:instrText>
      </w:r>
      <w:r w:rsidR="006C50AA" w:rsidRPr="006C50AA">
        <w:rPr>
          <w:rFonts w:ascii="Times New Roman" w:hAnsi="Times New Roman"/>
          <w:szCs w:val="22"/>
        </w:rPr>
        <w:instrText xml:space="preserve"> \* MERGEFORMAT </w:instrText>
      </w:r>
      <w:r w:rsidRPr="006C50AA">
        <w:rPr>
          <w:rFonts w:ascii="Times New Roman" w:hAnsi="Times New Roman"/>
          <w:szCs w:val="22"/>
        </w:rPr>
      </w:r>
      <w:r w:rsidRPr="006C50AA">
        <w:rPr>
          <w:rFonts w:ascii="Times New Roman" w:hAnsi="Times New Roman"/>
          <w:szCs w:val="22"/>
        </w:rPr>
        <w:fldChar w:fldCharType="separate"/>
      </w:r>
      <w:r w:rsidRPr="006C50AA">
        <w:rPr>
          <w:rFonts w:ascii="Times New Roman" w:hAnsi="Times New Roman"/>
          <w:szCs w:val="22"/>
        </w:rPr>
        <w:t>2</w:t>
      </w:r>
      <w:r w:rsidRPr="006C50AA">
        <w:rPr>
          <w:rFonts w:ascii="Times New Roman" w:hAnsi="Times New Roman"/>
          <w:szCs w:val="22"/>
        </w:rPr>
        <w:fldChar w:fldCharType="end"/>
      </w:r>
      <w:r w:rsidRPr="006C50AA">
        <w:rPr>
          <w:rFonts w:ascii="Times New Roman" w:hAnsi="Times New Roman"/>
          <w:szCs w:val="22"/>
        </w:rPr>
        <w:t xml:space="preserve">, at Section VI.A (discussing the Paperwork Reduction Act </w:t>
      </w:r>
      <w:r w:rsidR="006C50AA" w:rsidRPr="006C50AA">
        <w:rPr>
          <w:rFonts w:ascii="Times New Roman" w:hAnsi="Times New Roman"/>
          <w:szCs w:val="22"/>
        </w:rPr>
        <w:t xml:space="preserve">(“PRA”) </w:t>
      </w:r>
      <w:r w:rsidRPr="006C50AA">
        <w:rPr>
          <w:rFonts w:ascii="Times New Roman" w:hAnsi="Times New Roman"/>
          <w:szCs w:val="22"/>
        </w:rPr>
        <w:t xml:space="preserve">analysis with respect to the Agencies’ identity theft red flags rules); “FTC Extends Enforcement Deadline for Identity Theft Red Flags Rule,” </w:t>
      </w:r>
      <w:r w:rsidRPr="006C50AA">
        <w:rPr>
          <w:rFonts w:ascii="Times New Roman" w:hAnsi="Times New Roman"/>
          <w:i/>
          <w:szCs w:val="22"/>
        </w:rPr>
        <w:t xml:space="preserve">at </w:t>
      </w:r>
      <w:hyperlink r:id="rId1" w:history="1">
        <w:r w:rsidRPr="006C50AA">
          <w:rPr>
            <w:rStyle w:val="Hyperlink"/>
            <w:rFonts w:ascii="Times New Roman" w:hAnsi="Times New Roman"/>
            <w:szCs w:val="22"/>
          </w:rPr>
          <w:t>http://www.ftc.gov/opa/2010/05/redflags.shtm</w:t>
        </w:r>
      </w:hyperlink>
      <w:r w:rsidRPr="006C50AA">
        <w:rPr>
          <w:rFonts w:ascii="Times New Roman" w:hAnsi="Times New Roman"/>
          <w:szCs w:val="22"/>
        </w:rPr>
        <w:t xml:space="preserve">. </w:t>
      </w:r>
    </w:p>
  </w:footnote>
  <w:footnote w:id="7">
    <w:p w14:paraId="185ABD7E" w14:textId="77777777" w:rsidR="00391F00" w:rsidRPr="006C50AA" w:rsidRDefault="00391F00">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proofErr w:type="gramStart"/>
      <w:r w:rsidRPr="006C50AA">
        <w:rPr>
          <w:rFonts w:ascii="Times New Roman" w:hAnsi="Times New Roman"/>
          <w:szCs w:val="22"/>
        </w:rPr>
        <w:t>31 U.S.C. 5318(l) (requiring verification of the identity of persons opening accounts).</w:t>
      </w:r>
      <w:proofErr w:type="gramEnd"/>
    </w:p>
  </w:footnote>
  <w:footnote w:id="8">
    <w:p w14:paraId="185ABD7F" w14:textId="77777777" w:rsidR="00391F00" w:rsidRPr="006C50AA" w:rsidRDefault="00391F00">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proofErr w:type="gramStart"/>
      <w:r w:rsidRPr="006C50AA">
        <w:rPr>
          <w:rFonts w:ascii="Times New Roman" w:hAnsi="Times New Roman"/>
          <w:szCs w:val="22"/>
        </w:rPr>
        <w:t>15 U.S.C. 6801.</w:t>
      </w:r>
      <w:proofErr w:type="gramEnd"/>
    </w:p>
  </w:footnote>
  <w:footnote w:id="9">
    <w:p w14:paraId="185ABD80" w14:textId="77777777" w:rsidR="00391F00" w:rsidRPr="006C50AA" w:rsidRDefault="00391F00">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proofErr w:type="gramStart"/>
      <w:r w:rsidRPr="006C50AA">
        <w:rPr>
          <w:rFonts w:ascii="Times New Roman" w:hAnsi="Times New Roman"/>
          <w:color w:val="000000"/>
          <w:szCs w:val="22"/>
        </w:rPr>
        <w:t>15 U.S.C. 1681w.</w:t>
      </w:r>
      <w:proofErr w:type="gramEnd"/>
    </w:p>
  </w:footnote>
  <w:footnote w:id="10">
    <w:p w14:paraId="185ABD81" w14:textId="77777777" w:rsidR="00391F00" w:rsidRPr="006C50AA" w:rsidRDefault="00391F00">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r w:rsidRPr="006C50AA">
        <w:rPr>
          <w:rFonts w:ascii="Times New Roman" w:hAnsi="Times New Roman"/>
          <w:i/>
          <w:szCs w:val="22"/>
        </w:rPr>
        <w:t>See</w:t>
      </w:r>
      <w:r w:rsidRPr="006C50AA">
        <w:rPr>
          <w:rFonts w:ascii="Times New Roman" w:hAnsi="Times New Roman"/>
          <w:szCs w:val="22"/>
        </w:rPr>
        <w:t xml:space="preserve"> 2007 Adopting </w:t>
      </w:r>
      <w:proofErr w:type="gramStart"/>
      <w:r w:rsidRPr="006C50AA">
        <w:rPr>
          <w:rFonts w:ascii="Times New Roman" w:hAnsi="Times New Roman"/>
          <w:szCs w:val="22"/>
        </w:rPr>
        <w:t>Release,</w:t>
      </w:r>
      <w:proofErr w:type="gramEnd"/>
      <w:r w:rsidRPr="006C50AA">
        <w:rPr>
          <w:rFonts w:ascii="Times New Roman" w:hAnsi="Times New Roman"/>
          <w:szCs w:val="22"/>
        </w:rPr>
        <w:t xml:space="preserve"> </w:t>
      </w:r>
      <w:r w:rsidRPr="006C50AA">
        <w:rPr>
          <w:rFonts w:ascii="Times New Roman" w:hAnsi="Times New Roman"/>
          <w:i/>
          <w:szCs w:val="22"/>
        </w:rPr>
        <w:t>supra</w:t>
      </w:r>
      <w:r w:rsidRPr="006C50AA">
        <w:rPr>
          <w:rFonts w:ascii="Times New Roman" w:hAnsi="Times New Roman"/>
          <w:szCs w:val="22"/>
        </w:rPr>
        <w:t xml:space="preserve"> note </w:t>
      </w:r>
      <w:r w:rsidRPr="006C50AA">
        <w:rPr>
          <w:rFonts w:ascii="Times New Roman" w:hAnsi="Times New Roman"/>
          <w:szCs w:val="22"/>
        </w:rPr>
        <w:fldChar w:fldCharType="begin"/>
      </w:r>
      <w:r w:rsidRPr="006C50AA">
        <w:rPr>
          <w:rFonts w:ascii="Times New Roman" w:hAnsi="Times New Roman"/>
          <w:szCs w:val="22"/>
        </w:rPr>
        <w:instrText xml:space="preserve"> NOTEREF _Ref353191769 \h </w:instrText>
      </w:r>
      <w:r w:rsidR="006C50AA" w:rsidRPr="006C50AA">
        <w:rPr>
          <w:rFonts w:ascii="Times New Roman" w:hAnsi="Times New Roman"/>
          <w:szCs w:val="22"/>
        </w:rPr>
        <w:instrText xml:space="preserve"> \* MERGEFORMAT </w:instrText>
      </w:r>
      <w:r w:rsidRPr="006C50AA">
        <w:rPr>
          <w:rFonts w:ascii="Times New Roman" w:hAnsi="Times New Roman"/>
          <w:szCs w:val="22"/>
        </w:rPr>
      </w:r>
      <w:r w:rsidRPr="006C50AA">
        <w:rPr>
          <w:rFonts w:ascii="Times New Roman" w:hAnsi="Times New Roman"/>
          <w:szCs w:val="22"/>
        </w:rPr>
        <w:fldChar w:fldCharType="separate"/>
      </w:r>
      <w:r w:rsidRPr="006C50AA">
        <w:rPr>
          <w:rFonts w:ascii="Times New Roman" w:hAnsi="Times New Roman"/>
          <w:szCs w:val="22"/>
        </w:rPr>
        <w:t>2</w:t>
      </w:r>
      <w:r w:rsidRPr="006C50AA">
        <w:rPr>
          <w:rFonts w:ascii="Times New Roman" w:hAnsi="Times New Roman"/>
          <w:szCs w:val="22"/>
        </w:rPr>
        <w:fldChar w:fldCharType="end"/>
      </w:r>
      <w:r w:rsidRPr="006C50AA">
        <w:rPr>
          <w:rFonts w:ascii="Times New Roman" w:hAnsi="Times New Roman"/>
          <w:szCs w:val="22"/>
        </w:rPr>
        <w:t>, at nn.55–57 (describing applicable statutes, regulations, and guidance).</w:t>
      </w:r>
    </w:p>
  </w:footnote>
  <w:footnote w:id="11">
    <w:p w14:paraId="185ABD82" w14:textId="77777777" w:rsidR="008F18BC" w:rsidRPr="006C50AA" w:rsidRDefault="008F18BC">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t>Based on discussions with industry representatives and a review of applicable law, SEC staff expects that, of the SEC-regulated entities that fall within the scope of Regulation S-ID, most broker-dealers, many investment companies (including almost all open-end investment companies and employees’ securities companies</w:t>
      </w:r>
      <w:r w:rsidR="0029263D">
        <w:rPr>
          <w:rFonts w:ascii="Times New Roman" w:hAnsi="Times New Roman"/>
          <w:szCs w:val="22"/>
        </w:rPr>
        <w:t xml:space="preserve"> (“ESCs”)</w:t>
      </w:r>
      <w:r w:rsidRPr="006C50AA">
        <w:rPr>
          <w:rFonts w:ascii="Times New Roman" w:hAnsi="Times New Roman"/>
          <w:szCs w:val="22"/>
        </w:rPr>
        <w:t>), and some registered investment advisers will likely qualify as financial institutions or creditors.  SEC staff expects that other SEC regulated entities described in the scope section of Regulation S-ID, such as business development companies, transfer agents, nationally recognized statistical rating organizations, self-regulatory organizations, and clearing agencies may be less likely to be financial institutions or creditors as defined in the rules, and therefore we do not include these entities in our estimates.</w:t>
      </w:r>
    </w:p>
  </w:footnote>
  <w:footnote w:id="12">
    <w:p w14:paraId="185ABD83" w14:textId="77777777" w:rsidR="006C50AA" w:rsidRPr="006C50AA" w:rsidRDefault="006C50AA" w:rsidP="006C50AA">
      <w:pPr>
        <w:pStyle w:val="footnotes"/>
        <w:rPr>
          <w:rFonts w:ascii="Times New Roman" w:hAnsi="Times New Roman" w:cs="Times New Roman"/>
          <w:spacing w:val="0"/>
          <w:sz w:val="22"/>
          <w:szCs w:val="22"/>
        </w:rPr>
      </w:pPr>
      <w:r w:rsidRPr="006C50AA">
        <w:rPr>
          <w:rStyle w:val="FootnoteReference"/>
          <w:rFonts w:ascii="Times New Roman" w:hAnsi="Times New Roman" w:cs="Times New Roman"/>
          <w:sz w:val="22"/>
          <w:szCs w:val="22"/>
        </w:rPr>
        <w:footnoteRef/>
      </w:r>
      <w:r w:rsidRPr="006C50AA">
        <w:rPr>
          <w:rStyle w:val="FootnoteReference"/>
          <w:rFonts w:ascii="Times New Roman" w:hAnsi="Times New Roman" w:cs="Times New Roman"/>
          <w:sz w:val="22"/>
          <w:szCs w:val="22"/>
        </w:rPr>
        <w:t xml:space="preserve"> </w:t>
      </w:r>
      <w:r w:rsidRPr="006C50AA">
        <w:rPr>
          <w:rFonts w:ascii="Times New Roman" w:hAnsi="Times New Roman" w:cs="Times New Roman"/>
          <w:spacing w:val="0"/>
          <w:sz w:val="22"/>
          <w:szCs w:val="22"/>
        </w:rPr>
        <w:tab/>
        <w:t xml:space="preserve">§ 248.201(a). </w:t>
      </w:r>
    </w:p>
    <w:p w14:paraId="185ABD84" w14:textId="77777777" w:rsidR="006C50AA" w:rsidRPr="006C50AA" w:rsidRDefault="006C50AA" w:rsidP="006C50AA">
      <w:pPr>
        <w:pStyle w:val="footnotes"/>
        <w:rPr>
          <w:rFonts w:ascii="Times New Roman" w:hAnsi="Times New Roman" w:cs="Times New Roman"/>
          <w:sz w:val="22"/>
          <w:szCs w:val="22"/>
        </w:rPr>
      </w:pPr>
    </w:p>
  </w:footnote>
  <w:footnote w:id="13">
    <w:p w14:paraId="185ABD85" w14:textId="77777777" w:rsidR="006C50AA" w:rsidRPr="006C50AA" w:rsidRDefault="006C50AA" w:rsidP="006C50AA">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r w:rsidRPr="006C50AA">
        <w:rPr>
          <w:rFonts w:ascii="Times New Roman" w:hAnsi="Times New Roman"/>
          <w:i/>
          <w:szCs w:val="22"/>
        </w:rPr>
        <w:t>See</w:t>
      </w:r>
      <w:r w:rsidRPr="006C50AA">
        <w:rPr>
          <w:rFonts w:ascii="Times New Roman" w:hAnsi="Times New Roman"/>
          <w:szCs w:val="22"/>
        </w:rPr>
        <w:t xml:space="preserve"> 2007 Adopting </w:t>
      </w:r>
      <w:proofErr w:type="gramStart"/>
      <w:r w:rsidRPr="006C50AA">
        <w:rPr>
          <w:rFonts w:ascii="Times New Roman" w:hAnsi="Times New Roman"/>
          <w:szCs w:val="22"/>
        </w:rPr>
        <w:t>Release,</w:t>
      </w:r>
      <w:proofErr w:type="gramEnd"/>
      <w:r w:rsidRPr="006C50AA">
        <w:rPr>
          <w:rFonts w:ascii="Times New Roman" w:hAnsi="Times New Roman"/>
          <w:szCs w:val="22"/>
        </w:rPr>
        <w:t xml:space="preserve"> </w:t>
      </w:r>
      <w:r w:rsidRPr="006C50AA">
        <w:rPr>
          <w:rFonts w:ascii="Times New Roman" w:hAnsi="Times New Roman"/>
          <w:i/>
          <w:szCs w:val="22"/>
        </w:rPr>
        <w:t>supra</w:t>
      </w:r>
      <w:r w:rsidRPr="006C50AA">
        <w:rPr>
          <w:rFonts w:ascii="Times New Roman" w:hAnsi="Times New Roman"/>
          <w:szCs w:val="22"/>
        </w:rPr>
        <w:t xml:space="preserve"> note </w:t>
      </w:r>
      <w:r w:rsidRPr="006C50AA">
        <w:rPr>
          <w:rFonts w:ascii="Times New Roman" w:hAnsi="Times New Roman"/>
          <w:szCs w:val="22"/>
        </w:rPr>
        <w:fldChar w:fldCharType="begin"/>
      </w:r>
      <w:r w:rsidRPr="006C50AA">
        <w:rPr>
          <w:rFonts w:ascii="Times New Roman" w:hAnsi="Times New Roman"/>
          <w:szCs w:val="22"/>
        </w:rPr>
        <w:instrText xml:space="preserve"> NOTEREF _Ref353191769 \h  \* MERGEFORMAT </w:instrText>
      </w:r>
      <w:r w:rsidRPr="006C50AA">
        <w:rPr>
          <w:rFonts w:ascii="Times New Roman" w:hAnsi="Times New Roman"/>
          <w:szCs w:val="22"/>
        </w:rPr>
      </w:r>
      <w:r w:rsidRPr="006C50AA">
        <w:rPr>
          <w:rFonts w:ascii="Times New Roman" w:hAnsi="Times New Roman"/>
          <w:szCs w:val="22"/>
        </w:rPr>
        <w:fldChar w:fldCharType="separate"/>
      </w:r>
      <w:r w:rsidRPr="006C50AA">
        <w:rPr>
          <w:rFonts w:ascii="Times New Roman" w:hAnsi="Times New Roman"/>
          <w:szCs w:val="22"/>
        </w:rPr>
        <w:t>2</w:t>
      </w:r>
      <w:r w:rsidRPr="006C50AA">
        <w:rPr>
          <w:rFonts w:ascii="Times New Roman" w:hAnsi="Times New Roman"/>
          <w:szCs w:val="22"/>
        </w:rPr>
        <w:fldChar w:fldCharType="end"/>
      </w:r>
      <w:r w:rsidRPr="006C50AA">
        <w:rPr>
          <w:rFonts w:ascii="Times New Roman" w:hAnsi="Times New Roman"/>
          <w:szCs w:val="22"/>
        </w:rPr>
        <w:t>, at Section VI.A (discussing the PRA analysis with respect to the Agencies’ identity theft red flags rules).  Because the requirements of Regulation S-ID are substantially identical to the requirements of the Agencies’ identity theft red flags rules, the SEC staff took the Agencies’ PRA analysis into account in estimating the regulatory burdens of Regulation S-ID.</w:t>
      </w:r>
    </w:p>
  </w:footnote>
  <w:footnote w:id="14">
    <w:p w14:paraId="185ABD86" w14:textId="77777777" w:rsidR="006C50AA" w:rsidRDefault="006C50AA" w:rsidP="006C50AA">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r w:rsidRPr="006C50AA">
        <w:rPr>
          <w:rFonts w:ascii="Times New Roman" w:hAnsi="Times New Roman"/>
          <w:i/>
          <w:szCs w:val="22"/>
        </w:rPr>
        <w:t>See</w:t>
      </w:r>
      <w:r w:rsidRPr="006C50AA">
        <w:rPr>
          <w:rFonts w:ascii="Times New Roman" w:hAnsi="Times New Roman"/>
          <w:szCs w:val="22"/>
        </w:rPr>
        <w:t xml:space="preserve"> </w:t>
      </w:r>
      <w:r w:rsidR="006377FC">
        <w:rPr>
          <w:rFonts w:ascii="Times New Roman" w:hAnsi="Times New Roman"/>
          <w:szCs w:val="22"/>
        </w:rPr>
        <w:t xml:space="preserve">FSR/SIFMA Comment Letter, </w:t>
      </w:r>
      <w:r w:rsidR="006377FC" w:rsidRPr="00C246D3">
        <w:rPr>
          <w:rFonts w:ascii="Times New Roman" w:hAnsi="Times New Roman"/>
          <w:i/>
          <w:szCs w:val="22"/>
        </w:rPr>
        <w:t>supra</w:t>
      </w:r>
      <w:r w:rsidR="006377FC">
        <w:rPr>
          <w:rFonts w:ascii="Times New Roman" w:hAnsi="Times New Roman"/>
          <w:szCs w:val="22"/>
        </w:rPr>
        <w:t xml:space="preserve"> note </w:t>
      </w:r>
      <w:r w:rsidR="006377FC">
        <w:rPr>
          <w:rFonts w:ascii="Times New Roman" w:hAnsi="Times New Roman"/>
          <w:szCs w:val="22"/>
        </w:rPr>
        <w:fldChar w:fldCharType="begin"/>
      </w:r>
      <w:r w:rsidR="006377FC">
        <w:rPr>
          <w:rFonts w:ascii="Times New Roman" w:hAnsi="Times New Roman"/>
          <w:szCs w:val="22"/>
        </w:rPr>
        <w:instrText xml:space="preserve"> NOTEREF _Ref353192941 \h </w:instrText>
      </w:r>
      <w:r w:rsidR="006377FC">
        <w:rPr>
          <w:rFonts w:ascii="Times New Roman" w:hAnsi="Times New Roman"/>
          <w:szCs w:val="22"/>
        </w:rPr>
      </w:r>
      <w:r w:rsidR="006377FC">
        <w:rPr>
          <w:rFonts w:ascii="Times New Roman" w:hAnsi="Times New Roman"/>
          <w:szCs w:val="22"/>
        </w:rPr>
        <w:fldChar w:fldCharType="separate"/>
      </w:r>
      <w:r w:rsidR="006377FC">
        <w:rPr>
          <w:rFonts w:ascii="Times New Roman" w:hAnsi="Times New Roman"/>
          <w:szCs w:val="22"/>
        </w:rPr>
        <w:t>3</w:t>
      </w:r>
      <w:r w:rsidR="006377FC">
        <w:rPr>
          <w:rFonts w:ascii="Times New Roman" w:hAnsi="Times New Roman"/>
          <w:szCs w:val="22"/>
        </w:rPr>
        <w:fldChar w:fldCharType="end"/>
      </w:r>
      <w:r w:rsidRPr="006C50AA">
        <w:rPr>
          <w:rFonts w:ascii="Times New Roman" w:hAnsi="Times New Roman"/>
          <w:szCs w:val="22"/>
        </w:rPr>
        <w:t>.  FSR/SIFMA estimated that “the initial compliance burden to implement the [proposed rules] would average 2,000 hours for each line of business conducted by a large, complex financial institution …” and that “the continuing compliance monitoring for a large, complex financial institution … would average 400 hours annually.”  FSR/SIFMA also noted that “financial institutions with an existing Red Flags program would experience an incremental burden” in connection with the SEC’s rules.</w:t>
      </w:r>
    </w:p>
    <w:p w14:paraId="185ABD87" w14:textId="77777777" w:rsidR="00A04A20" w:rsidRPr="006C50AA" w:rsidRDefault="00A04A20" w:rsidP="006C50AA">
      <w:pPr>
        <w:pStyle w:val="FootnoteText"/>
        <w:rPr>
          <w:rFonts w:ascii="Times New Roman" w:hAnsi="Times New Roman"/>
          <w:szCs w:val="22"/>
        </w:rPr>
      </w:pPr>
      <w:r>
        <w:rPr>
          <w:rFonts w:ascii="Times New Roman" w:hAnsi="Times New Roman"/>
          <w:szCs w:val="22"/>
        </w:rPr>
        <w:tab/>
      </w:r>
      <w:r w:rsidR="00E61C89">
        <w:rPr>
          <w:rFonts w:ascii="Times New Roman" w:hAnsi="Times New Roman"/>
          <w:szCs w:val="22"/>
        </w:rPr>
        <w:t xml:space="preserve">In its estimates, </w:t>
      </w:r>
      <w:r>
        <w:t>FSR/SIFMA focused on large, complex financial institutions.  Regulation S</w:t>
      </w:r>
      <w:r>
        <w:noBreakHyphen/>
        <w:t xml:space="preserve">ID requires each financial institution and creditor to tailor its Program to its size and complexity, and to the nature and scope of its activities.  </w:t>
      </w:r>
      <w:r w:rsidR="00E61C89">
        <w:t>Our</w:t>
      </w:r>
      <w:r>
        <w:t xml:space="preserve"> estimates take into account the hour burdens for small financial institutions and creditors, which we understand, based on discussions with industry representatives, to be significantly less than the estimates provided by this commenter.  </w:t>
      </w:r>
    </w:p>
  </w:footnote>
  <w:footnote w:id="15">
    <w:p w14:paraId="185ABD88" w14:textId="77777777" w:rsidR="001C2FC6" w:rsidRPr="007B0D8E" w:rsidRDefault="00FA3607" w:rsidP="007F774C">
      <w:pPr>
        <w:pStyle w:val="FootnoteText"/>
        <w:rPr>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r w:rsidR="007B0D8E">
        <w:rPr>
          <w:rFonts w:ascii="Times New Roman" w:hAnsi="Times New Roman"/>
          <w:szCs w:val="22"/>
        </w:rPr>
        <w:t>The cost estimate</w:t>
      </w:r>
      <w:r w:rsidR="00992000" w:rsidRPr="00992000">
        <w:rPr>
          <w:rFonts w:ascii="Times New Roman" w:hAnsi="Times New Roman"/>
          <w:szCs w:val="22"/>
        </w:rPr>
        <w:t xml:space="preserve"> for </w:t>
      </w:r>
      <w:r w:rsidR="007B0D8E">
        <w:rPr>
          <w:rFonts w:ascii="Times New Roman" w:hAnsi="Times New Roman"/>
          <w:szCs w:val="22"/>
        </w:rPr>
        <w:t>internal counsel</w:t>
      </w:r>
      <w:r w:rsidR="00992000" w:rsidRPr="00992000">
        <w:rPr>
          <w:rFonts w:ascii="Times New Roman" w:hAnsi="Times New Roman"/>
          <w:szCs w:val="22"/>
        </w:rPr>
        <w:t xml:space="preserve"> </w:t>
      </w:r>
      <w:r w:rsidR="007B0D8E">
        <w:rPr>
          <w:rFonts w:ascii="Times New Roman" w:hAnsi="Times New Roman"/>
          <w:szCs w:val="22"/>
        </w:rPr>
        <w:t>is</w:t>
      </w:r>
      <w:r w:rsidR="00992000" w:rsidRPr="00992000">
        <w:rPr>
          <w:rFonts w:ascii="Times New Roman" w:hAnsi="Times New Roman"/>
          <w:szCs w:val="22"/>
        </w:rPr>
        <w:t xml:space="preserve"> derived from SIFMA’s Management &amp; Professional Earnings in the Securities Industry 2011, modified to account for an 1800 hour work year and multiplied by 5.35 to account for bonuses, entity size, employee benefits, and overhead. </w:t>
      </w:r>
      <w:r w:rsidR="007B0D8E" w:rsidRPr="00DC7810">
        <w:rPr>
          <w:szCs w:val="22"/>
        </w:rPr>
        <w:t>The cost estima</w:t>
      </w:r>
      <w:r w:rsidR="007B0D8E">
        <w:rPr>
          <w:szCs w:val="22"/>
        </w:rPr>
        <w:t xml:space="preserve">te for administrative assistants </w:t>
      </w:r>
      <w:r w:rsidR="007B0D8E" w:rsidRPr="00DC7810">
        <w:rPr>
          <w:szCs w:val="22"/>
        </w:rPr>
        <w:t>is derived from SIFMA’s Office Salaries in the Securities Industry 2011, modified to account for an 1800</w:t>
      </w:r>
      <w:r w:rsidR="007B0D8E">
        <w:rPr>
          <w:szCs w:val="22"/>
        </w:rPr>
        <w:noBreakHyphen/>
      </w:r>
      <w:r w:rsidR="007B0D8E" w:rsidRPr="00DC7810">
        <w:rPr>
          <w:szCs w:val="22"/>
        </w:rPr>
        <w:t>hour work</w:t>
      </w:r>
      <w:r w:rsidR="007B0D8E">
        <w:rPr>
          <w:szCs w:val="22"/>
        </w:rPr>
        <w:noBreakHyphen/>
      </w:r>
      <w:r w:rsidR="007B0D8E" w:rsidRPr="00DC7810">
        <w:rPr>
          <w:szCs w:val="22"/>
        </w:rPr>
        <w:t xml:space="preserve">year and multiplied by 2.93 to account for bonuses, </w:t>
      </w:r>
      <w:r w:rsidR="007B0D8E">
        <w:rPr>
          <w:szCs w:val="22"/>
        </w:rPr>
        <w:t>entity</w:t>
      </w:r>
      <w:r w:rsidR="007B0D8E" w:rsidRPr="00DC7810">
        <w:rPr>
          <w:szCs w:val="22"/>
        </w:rPr>
        <w:t xml:space="preserve"> size, employee benefits, and overhead.</w:t>
      </w:r>
      <w:r w:rsidR="007B0D8E" w:rsidRPr="00992000">
        <w:rPr>
          <w:rFonts w:ascii="Times New Roman" w:hAnsi="Times New Roman"/>
          <w:szCs w:val="22"/>
        </w:rPr>
        <w:t xml:space="preserve">   </w:t>
      </w:r>
      <w:r w:rsidR="007B0D8E" w:rsidRPr="00DC7810">
        <w:rPr>
          <w:szCs w:val="22"/>
        </w:rPr>
        <w:t xml:space="preserve">The cost estimate for the board of directors is derived from estimates made by SEC staff regarding typical board size and compensation that is based on information received from fund representatives and publicly available sources.  </w:t>
      </w:r>
    </w:p>
  </w:footnote>
  <w:footnote w:id="16">
    <w:p w14:paraId="185ABD89" w14:textId="77777777" w:rsidR="001C2FC6" w:rsidRPr="00C60638" w:rsidRDefault="00FA3607" w:rsidP="007F774C">
      <w:pPr>
        <w:pStyle w:val="FootnoteText"/>
        <w:rPr>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t>This estimate is based on the following calculations:  $3</w:t>
      </w:r>
      <w:r w:rsidR="00992000">
        <w:rPr>
          <w:rFonts w:ascii="Times New Roman" w:hAnsi="Times New Roman"/>
          <w:szCs w:val="22"/>
        </w:rPr>
        <w:t>78 x 12 hours = $4536</w:t>
      </w:r>
      <w:r w:rsidRPr="006C50AA">
        <w:rPr>
          <w:rFonts w:ascii="Times New Roman" w:hAnsi="Times New Roman"/>
          <w:szCs w:val="22"/>
        </w:rPr>
        <w:t>; $6</w:t>
      </w:r>
      <w:r w:rsidR="00992000">
        <w:rPr>
          <w:rFonts w:ascii="Times New Roman" w:hAnsi="Times New Roman"/>
          <w:szCs w:val="22"/>
        </w:rPr>
        <w:t>5</w:t>
      </w:r>
      <w:r w:rsidRPr="006C50AA">
        <w:rPr>
          <w:rFonts w:ascii="Times New Roman" w:hAnsi="Times New Roman"/>
          <w:szCs w:val="22"/>
        </w:rPr>
        <w:t xml:space="preserve"> x 17 = $1,1</w:t>
      </w:r>
      <w:r w:rsidR="00992000">
        <w:rPr>
          <w:rFonts w:ascii="Times New Roman" w:hAnsi="Times New Roman"/>
          <w:szCs w:val="22"/>
        </w:rPr>
        <w:t>05</w:t>
      </w:r>
      <w:r w:rsidRPr="006C50AA">
        <w:rPr>
          <w:rFonts w:ascii="Times New Roman" w:hAnsi="Times New Roman"/>
          <w:szCs w:val="22"/>
        </w:rPr>
        <w:t>; $4</w:t>
      </w:r>
      <w:r w:rsidR="00992000">
        <w:rPr>
          <w:rFonts w:ascii="Times New Roman" w:hAnsi="Times New Roman"/>
          <w:szCs w:val="22"/>
        </w:rPr>
        <w:t>5</w:t>
      </w:r>
      <w:r w:rsidRPr="006C50AA">
        <w:rPr>
          <w:rFonts w:ascii="Times New Roman" w:hAnsi="Times New Roman"/>
          <w:szCs w:val="22"/>
        </w:rPr>
        <w:t>00 x 2 = $</w:t>
      </w:r>
      <w:r w:rsidR="00992000">
        <w:rPr>
          <w:rFonts w:ascii="Times New Roman" w:hAnsi="Times New Roman"/>
          <w:szCs w:val="22"/>
        </w:rPr>
        <w:t>9</w:t>
      </w:r>
      <w:r w:rsidRPr="006C50AA">
        <w:rPr>
          <w:rFonts w:ascii="Times New Roman" w:hAnsi="Times New Roman"/>
          <w:szCs w:val="22"/>
        </w:rPr>
        <w:t>000; $4</w:t>
      </w:r>
      <w:r w:rsidR="00992000">
        <w:rPr>
          <w:rFonts w:ascii="Times New Roman" w:hAnsi="Times New Roman"/>
          <w:szCs w:val="22"/>
        </w:rPr>
        <w:t>536</w:t>
      </w:r>
      <w:r w:rsidRPr="006C50AA">
        <w:rPr>
          <w:rFonts w:ascii="Times New Roman" w:hAnsi="Times New Roman"/>
          <w:szCs w:val="22"/>
        </w:rPr>
        <w:t xml:space="preserve"> + $1,1</w:t>
      </w:r>
      <w:r w:rsidR="00992000">
        <w:rPr>
          <w:rFonts w:ascii="Times New Roman" w:hAnsi="Times New Roman"/>
          <w:szCs w:val="22"/>
        </w:rPr>
        <w:t>05</w:t>
      </w:r>
      <w:r w:rsidRPr="006C50AA">
        <w:rPr>
          <w:rFonts w:ascii="Times New Roman" w:hAnsi="Times New Roman"/>
          <w:szCs w:val="22"/>
        </w:rPr>
        <w:t xml:space="preserve"> + $</w:t>
      </w:r>
      <w:r w:rsidR="00992000">
        <w:rPr>
          <w:rFonts w:ascii="Times New Roman" w:hAnsi="Times New Roman"/>
          <w:szCs w:val="22"/>
        </w:rPr>
        <w:t>9</w:t>
      </w:r>
      <w:r w:rsidRPr="006C50AA">
        <w:rPr>
          <w:rFonts w:ascii="Times New Roman" w:hAnsi="Times New Roman"/>
          <w:szCs w:val="22"/>
        </w:rPr>
        <w:t>000 = $</w:t>
      </w:r>
      <w:r w:rsidR="00992000">
        <w:rPr>
          <w:rFonts w:ascii="Times New Roman" w:hAnsi="Times New Roman"/>
          <w:szCs w:val="22"/>
        </w:rPr>
        <w:t>14,641</w:t>
      </w:r>
      <w:r w:rsidRPr="006C50AA">
        <w:rPr>
          <w:rFonts w:ascii="Times New Roman" w:hAnsi="Times New Roman"/>
          <w:szCs w:val="22"/>
        </w:rPr>
        <w:t xml:space="preserve">.  </w:t>
      </w:r>
    </w:p>
  </w:footnote>
  <w:footnote w:id="17">
    <w:p w14:paraId="185ABD8A" w14:textId="77777777" w:rsidR="001C2FC6" w:rsidRPr="006C50AA" w:rsidRDefault="00FA3607" w:rsidP="007F774C">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proofErr w:type="gramStart"/>
      <w:r w:rsidR="007B0D8E" w:rsidRPr="007B0D8E">
        <w:rPr>
          <w:rFonts w:ascii="Times New Roman" w:hAnsi="Times New Roman"/>
          <w:szCs w:val="22"/>
        </w:rPr>
        <w:t>Based on a review of new registrations typically filed with the SEC each year, SEC staff estimates that approximately 900 investment advisers, 231 broker dealers, 139 investment companies, and 1 ESC typically apply for registration with the SEC or otherwise are newly formed each year, for a total of 1271 entities that could be financial institutions or creditors.</w:t>
      </w:r>
      <w:proofErr w:type="gramEnd"/>
      <w:r w:rsidR="007B0D8E" w:rsidRPr="007B0D8E">
        <w:rPr>
          <w:rFonts w:ascii="Times New Roman" w:hAnsi="Times New Roman"/>
          <w:szCs w:val="22"/>
        </w:rPr>
        <w:t xml:space="preserve">  Of these, SEC staff estimates that all of the investm</w:t>
      </w:r>
      <w:r w:rsidR="007B0D8E">
        <w:rPr>
          <w:rFonts w:ascii="Times New Roman" w:hAnsi="Times New Roman"/>
          <w:szCs w:val="22"/>
        </w:rPr>
        <w:t>ent companies, ESCs, and broker-</w:t>
      </w:r>
      <w:r w:rsidR="007B0D8E" w:rsidRPr="007B0D8E">
        <w:rPr>
          <w:rFonts w:ascii="Times New Roman" w:hAnsi="Times New Roman"/>
          <w:szCs w:val="22"/>
        </w:rPr>
        <w:t>dealers are likely to qualify as financial institutions or creditors, and 33% (or 297) of investment advisers are likely to qualify, for a total of 668 total financial institutions or creditors that will bear the initial one time burden of assessing cove</w:t>
      </w:r>
      <w:r w:rsidR="007B0D8E">
        <w:rPr>
          <w:rFonts w:ascii="Times New Roman" w:hAnsi="Times New Roman"/>
          <w:szCs w:val="22"/>
        </w:rPr>
        <w:t>red accounts under Regulation S-</w:t>
      </w:r>
      <w:r w:rsidR="007B0D8E" w:rsidRPr="007B0D8E">
        <w:rPr>
          <w:rFonts w:ascii="Times New Roman" w:hAnsi="Times New Roman"/>
          <w:szCs w:val="22"/>
        </w:rPr>
        <w:t xml:space="preserve">ID.  Information regarding the method used to estimate that 33% of investment advisers are likely to qualify as financial institutions or creditors can be found in note </w:t>
      </w:r>
      <w:r w:rsidR="0029263D">
        <w:rPr>
          <w:rFonts w:ascii="Times New Roman" w:hAnsi="Times New Roman"/>
          <w:szCs w:val="22"/>
          <w:highlight w:val="yellow"/>
        </w:rPr>
        <w:fldChar w:fldCharType="begin"/>
      </w:r>
      <w:r w:rsidR="0029263D">
        <w:rPr>
          <w:rFonts w:ascii="Times New Roman" w:hAnsi="Times New Roman"/>
          <w:szCs w:val="22"/>
        </w:rPr>
        <w:instrText xml:space="preserve"> NOTEREF _Ref295733031 \h </w:instrText>
      </w:r>
      <w:r w:rsidR="0029263D">
        <w:rPr>
          <w:rFonts w:ascii="Times New Roman" w:hAnsi="Times New Roman"/>
          <w:szCs w:val="22"/>
          <w:highlight w:val="yellow"/>
        </w:rPr>
      </w:r>
      <w:r w:rsidR="0029263D">
        <w:rPr>
          <w:rFonts w:ascii="Times New Roman" w:hAnsi="Times New Roman"/>
          <w:szCs w:val="22"/>
          <w:highlight w:val="yellow"/>
        </w:rPr>
        <w:fldChar w:fldCharType="separate"/>
      </w:r>
      <w:r w:rsidR="0029263D">
        <w:rPr>
          <w:rFonts w:ascii="Times New Roman" w:hAnsi="Times New Roman"/>
          <w:szCs w:val="22"/>
        </w:rPr>
        <w:t>20</w:t>
      </w:r>
      <w:r w:rsidR="0029263D">
        <w:rPr>
          <w:rFonts w:ascii="Times New Roman" w:hAnsi="Times New Roman"/>
          <w:szCs w:val="22"/>
          <w:highlight w:val="yellow"/>
        </w:rPr>
        <w:fldChar w:fldCharType="end"/>
      </w:r>
      <w:r w:rsidR="007B0D8E" w:rsidRPr="007B0D8E">
        <w:rPr>
          <w:rFonts w:ascii="Times New Roman" w:hAnsi="Times New Roman"/>
          <w:szCs w:val="22"/>
        </w:rPr>
        <w:t xml:space="preserve"> below.</w:t>
      </w:r>
      <w:r w:rsidRPr="006C50AA">
        <w:rPr>
          <w:rFonts w:ascii="Times New Roman" w:hAnsi="Times New Roman"/>
          <w:szCs w:val="22"/>
        </w:rPr>
        <w:t xml:space="preserve"> </w:t>
      </w:r>
    </w:p>
  </w:footnote>
  <w:footnote w:id="18">
    <w:p w14:paraId="185ABD8B" w14:textId="77777777" w:rsidR="001C2FC6" w:rsidRPr="00155AF1" w:rsidRDefault="00FA3607" w:rsidP="007F774C">
      <w:pPr>
        <w:pStyle w:val="FootnoteText"/>
        <w:rPr>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r w:rsidR="00155AF1" w:rsidRPr="00DC7810">
        <w:rPr>
          <w:szCs w:val="22"/>
        </w:rPr>
        <w:t>Th</w:t>
      </w:r>
      <w:r w:rsidR="00155AF1">
        <w:rPr>
          <w:szCs w:val="22"/>
        </w:rPr>
        <w:t>ese</w:t>
      </w:r>
      <w:r w:rsidR="00155AF1" w:rsidRPr="00DC7810">
        <w:rPr>
          <w:szCs w:val="22"/>
        </w:rPr>
        <w:t xml:space="preserve"> estimate</w:t>
      </w:r>
      <w:r w:rsidR="00155AF1">
        <w:rPr>
          <w:szCs w:val="22"/>
        </w:rPr>
        <w:t>s</w:t>
      </w:r>
      <w:r w:rsidR="00155AF1" w:rsidRPr="00DC7810">
        <w:rPr>
          <w:szCs w:val="22"/>
        </w:rPr>
        <w:t xml:space="preserve"> </w:t>
      </w:r>
      <w:r w:rsidR="00155AF1">
        <w:rPr>
          <w:szCs w:val="22"/>
        </w:rPr>
        <w:t>are</w:t>
      </w:r>
      <w:r w:rsidR="00155AF1" w:rsidRPr="00DC7810">
        <w:rPr>
          <w:szCs w:val="22"/>
        </w:rPr>
        <w:t xml:space="preserve"> based on the following calculation</w:t>
      </w:r>
      <w:r w:rsidR="00155AF1">
        <w:rPr>
          <w:szCs w:val="22"/>
        </w:rPr>
        <w:t>s</w:t>
      </w:r>
      <w:r w:rsidR="00155AF1" w:rsidRPr="00DC7810">
        <w:rPr>
          <w:szCs w:val="22"/>
        </w:rPr>
        <w:t>:</w:t>
      </w:r>
      <w:r w:rsidR="00155AF1">
        <w:rPr>
          <w:szCs w:val="22"/>
        </w:rPr>
        <w:t xml:space="preserve"> </w:t>
      </w:r>
      <w:r w:rsidR="00155AF1" w:rsidRPr="00DC7810">
        <w:rPr>
          <w:szCs w:val="22"/>
        </w:rPr>
        <w:t xml:space="preserve"> 668 entities x 2 hours = 1336 hours</w:t>
      </w:r>
      <w:r w:rsidR="00155AF1">
        <w:rPr>
          <w:szCs w:val="22"/>
        </w:rPr>
        <w:t>; $378 x 1336 = $505,008</w:t>
      </w:r>
      <w:r w:rsidR="00155AF1" w:rsidRPr="00DC7810">
        <w:rPr>
          <w:szCs w:val="22"/>
        </w:rPr>
        <w:t>.</w:t>
      </w:r>
    </w:p>
  </w:footnote>
  <w:footnote w:id="19">
    <w:p w14:paraId="185ABD8C" w14:textId="77777777" w:rsidR="00155AF1" w:rsidRPr="00155AF1" w:rsidRDefault="00155AF1">
      <w:pPr>
        <w:pStyle w:val="FootnoteText"/>
        <w:rPr>
          <w:szCs w:val="22"/>
        </w:rPr>
      </w:pPr>
      <w:r>
        <w:rPr>
          <w:rStyle w:val="FootnoteReference"/>
        </w:rPr>
        <w:footnoteRef/>
      </w:r>
      <w:r>
        <w:t xml:space="preserve"> </w:t>
      </w:r>
      <w:r>
        <w:tab/>
      </w:r>
      <w:r w:rsidRPr="00DC7810">
        <w:rPr>
          <w:szCs w:val="22"/>
        </w:rPr>
        <w:t>In the Proposing Release, the SEC requested comment on the estimate that approximately 90% of all financial institutions and creditors maintain covered accounts; the SEC received no comments on this estimate.</w:t>
      </w:r>
    </w:p>
  </w:footnote>
  <w:footnote w:id="20">
    <w:p w14:paraId="185ABD8D" w14:textId="77777777" w:rsidR="001C2FC6" w:rsidRPr="00E8082F" w:rsidRDefault="00FA3607" w:rsidP="007F774C">
      <w:pPr>
        <w:pStyle w:val="FootnoteText"/>
        <w:rPr>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r w:rsidR="00155AF1" w:rsidRPr="00155AF1">
        <w:rPr>
          <w:rFonts w:ascii="Times New Roman" w:hAnsi="Times New Roman"/>
          <w:szCs w:val="22"/>
        </w:rPr>
        <w:t>These estimates are based on the following calculations:  601 financial institutions and creditors that maintain covered acc</w:t>
      </w:r>
      <w:r w:rsidR="00BC7514">
        <w:rPr>
          <w:rFonts w:ascii="Times New Roman" w:hAnsi="Times New Roman"/>
          <w:szCs w:val="22"/>
        </w:rPr>
        <w:t>ounts x 31 hours = 18,631 hours</w:t>
      </w:r>
      <w:r w:rsidR="00E8082F">
        <w:rPr>
          <w:rFonts w:ascii="Times New Roman" w:hAnsi="Times New Roman"/>
          <w:szCs w:val="22"/>
        </w:rPr>
        <w:t xml:space="preserve">; 601 x $14,641 = $8,799,241; </w:t>
      </w:r>
      <w:r w:rsidR="00155AF1" w:rsidRPr="00155AF1">
        <w:rPr>
          <w:rFonts w:ascii="Times New Roman" w:hAnsi="Times New Roman"/>
          <w:szCs w:val="22"/>
        </w:rPr>
        <w:t>17,429 hours (601 financial institutions and creditors that maintain covered accounts x 29 hours) + 1336 hours (burden for all SEC regulated entities that are financial institutions or creditors to conduct an initial assessment of covered accounts) = 18,765 hours</w:t>
      </w:r>
      <w:r w:rsidR="00E8082F">
        <w:rPr>
          <w:rFonts w:ascii="Times New Roman" w:hAnsi="Times New Roman"/>
          <w:szCs w:val="22"/>
        </w:rPr>
        <w:t>; ($378 x 10 hours) + (</w:t>
      </w:r>
      <w:r w:rsidR="00E8082F" w:rsidRPr="006C50AA">
        <w:rPr>
          <w:rFonts w:ascii="Times New Roman" w:hAnsi="Times New Roman"/>
          <w:szCs w:val="22"/>
        </w:rPr>
        <w:t>$6</w:t>
      </w:r>
      <w:r w:rsidR="00E8082F">
        <w:rPr>
          <w:rFonts w:ascii="Times New Roman" w:hAnsi="Times New Roman"/>
          <w:szCs w:val="22"/>
        </w:rPr>
        <w:t>5</w:t>
      </w:r>
      <w:r w:rsidR="00E8082F" w:rsidRPr="006C50AA">
        <w:rPr>
          <w:rFonts w:ascii="Times New Roman" w:hAnsi="Times New Roman"/>
          <w:szCs w:val="22"/>
        </w:rPr>
        <w:t xml:space="preserve"> x 17</w:t>
      </w:r>
      <w:r w:rsidR="00E8082F">
        <w:rPr>
          <w:rFonts w:ascii="Times New Roman" w:hAnsi="Times New Roman"/>
          <w:szCs w:val="22"/>
        </w:rPr>
        <w:t>) +</w:t>
      </w:r>
      <w:r w:rsidR="00E8082F" w:rsidRPr="006C50AA">
        <w:rPr>
          <w:rFonts w:ascii="Times New Roman" w:hAnsi="Times New Roman"/>
          <w:szCs w:val="22"/>
        </w:rPr>
        <w:t xml:space="preserve"> </w:t>
      </w:r>
      <w:r w:rsidR="00E8082F">
        <w:rPr>
          <w:rFonts w:ascii="Times New Roman" w:hAnsi="Times New Roman"/>
          <w:szCs w:val="22"/>
        </w:rPr>
        <w:t>(</w:t>
      </w:r>
      <w:r w:rsidR="00E8082F" w:rsidRPr="006C50AA">
        <w:rPr>
          <w:rFonts w:ascii="Times New Roman" w:hAnsi="Times New Roman"/>
          <w:szCs w:val="22"/>
        </w:rPr>
        <w:t>$4</w:t>
      </w:r>
      <w:r w:rsidR="00E8082F">
        <w:rPr>
          <w:rFonts w:ascii="Times New Roman" w:hAnsi="Times New Roman"/>
          <w:szCs w:val="22"/>
        </w:rPr>
        <w:t>5</w:t>
      </w:r>
      <w:r w:rsidR="00E8082F" w:rsidRPr="006C50AA">
        <w:rPr>
          <w:rFonts w:ascii="Times New Roman" w:hAnsi="Times New Roman"/>
          <w:szCs w:val="22"/>
        </w:rPr>
        <w:t>00 x 2</w:t>
      </w:r>
      <w:r w:rsidR="00E8082F">
        <w:rPr>
          <w:rFonts w:ascii="Times New Roman" w:hAnsi="Times New Roman"/>
          <w:szCs w:val="22"/>
        </w:rPr>
        <w:t>)</w:t>
      </w:r>
      <w:r w:rsidR="00E8082F" w:rsidRPr="006C50AA">
        <w:rPr>
          <w:rFonts w:ascii="Times New Roman" w:hAnsi="Times New Roman"/>
          <w:szCs w:val="22"/>
        </w:rPr>
        <w:t xml:space="preserve"> =</w:t>
      </w:r>
      <w:r w:rsidR="00E8082F">
        <w:rPr>
          <w:rFonts w:ascii="Times New Roman" w:hAnsi="Times New Roman"/>
          <w:szCs w:val="22"/>
        </w:rPr>
        <w:t xml:space="preserve"> $13,885; $378 x 2 = </w:t>
      </w:r>
      <w:r w:rsidR="0084410C">
        <w:rPr>
          <w:rFonts w:ascii="Times New Roman" w:hAnsi="Times New Roman"/>
          <w:szCs w:val="22"/>
        </w:rPr>
        <w:t>$756; (601 x $13,885) + (</w:t>
      </w:r>
      <w:r w:rsidR="00132F4B">
        <w:rPr>
          <w:rFonts w:ascii="Times New Roman" w:hAnsi="Times New Roman"/>
          <w:szCs w:val="22"/>
        </w:rPr>
        <w:t>668</w:t>
      </w:r>
      <w:r w:rsidR="0084410C">
        <w:rPr>
          <w:rFonts w:ascii="Times New Roman" w:hAnsi="Times New Roman"/>
          <w:szCs w:val="22"/>
        </w:rPr>
        <w:t xml:space="preserve"> x $756) = </w:t>
      </w:r>
      <w:r w:rsidR="00132F4B">
        <w:rPr>
          <w:rFonts w:ascii="Times New Roman" w:hAnsi="Times New Roman"/>
          <w:szCs w:val="22"/>
        </w:rPr>
        <w:t>$8,849,893.</w:t>
      </w:r>
    </w:p>
  </w:footnote>
  <w:footnote w:id="21">
    <w:p w14:paraId="185ABD8E" w14:textId="77777777" w:rsidR="003C51D6" w:rsidRPr="003C51D6" w:rsidRDefault="00FA3607" w:rsidP="003C51D6">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proofErr w:type="gramStart"/>
      <w:r w:rsidR="003C51D6" w:rsidRPr="003C51D6">
        <w:rPr>
          <w:rFonts w:ascii="Times New Roman" w:hAnsi="Times New Roman"/>
          <w:szCs w:val="22"/>
        </w:rPr>
        <w:t>Based on a review of entities that the SEC regulates, SEC staff estimates that, as of July 1, 2012, there are approximately 11,622 investment advisers, 4706 broker</w:t>
      </w:r>
      <w:r w:rsidR="003C51D6" w:rsidRPr="003C51D6">
        <w:rPr>
          <w:rFonts w:ascii="Times New Roman" w:hAnsi="Times New Roman"/>
          <w:szCs w:val="22"/>
        </w:rPr>
        <w:noBreakHyphen/>
        <w:t>dealers, 1692 active open</w:t>
      </w:r>
      <w:r w:rsidR="003C51D6" w:rsidRPr="003C51D6">
        <w:rPr>
          <w:rFonts w:ascii="Times New Roman" w:hAnsi="Times New Roman"/>
          <w:szCs w:val="22"/>
        </w:rPr>
        <w:noBreakHyphen/>
        <w:t>end investment companies, and 150 ESCs.</w:t>
      </w:r>
      <w:proofErr w:type="gramEnd"/>
      <w:r w:rsidR="003C51D6" w:rsidRPr="003C51D6">
        <w:rPr>
          <w:rFonts w:ascii="Times New Roman" w:hAnsi="Times New Roman"/>
          <w:szCs w:val="22"/>
        </w:rPr>
        <w:t xml:space="preserve">  Of these, SEC staff estimates that all of the broker</w:t>
      </w:r>
      <w:r w:rsidR="003C51D6" w:rsidRPr="003C51D6">
        <w:rPr>
          <w:rFonts w:ascii="Times New Roman" w:hAnsi="Times New Roman"/>
          <w:szCs w:val="22"/>
        </w:rPr>
        <w:noBreakHyphen/>
        <w:t>dealers, open</w:t>
      </w:r>
      <w:r w:rsidR="003C51D6" w:rsidRPr="003C51D6">
        <w:rPr>
          <w:rFonts w:ascii="Times New Roman" w:hAnsi="Times New Roman"/>
          <w:szCs w:val="22"/>
        </w:rPr>
        <w:noBreakHyphen/>
        <w:t>end investment companies and ESCs are likely to qualify as financial institutions or creditors, and approximately 3791 investment advisers (or about 33%, as explained further below) are likely to qualify, for a total of 10,339 total financial institutions or creditors that will bear the ongoing burden of assessing covered accounts under Regulation S</w:t>
      </w:r>
      <w:r w:rsidR="003C51D6" w:rsidRPr="003C51D6">
        <w:rPr>
          <w:rFonts w:ascii="Times New Roman" w:hAnsi="Times New Roman"/>
          <w:szCs w:val="22"/>
        </w:rPr>
        <w:noBreakHyphen/>
      </w:r>
      <w:r w:rsidR="003C51D6">
        <w:rPr>
          <w:rFonts w:ascii="Times New Roman" w:hAnsi="Times New Roman"/>
          <w:szCs w:val="22"/>
        </w:rPr>
        <w:t xml:space="preserve">ID. </w:t>
      </w:r>
      <w:r w:rsidR="003C51D6" w:rsidRPr="003C51D6">
        <w:rPr>
          <w:rFonts w:ascii="Times New Roman" w:hAnsi="Times New Roman"/>
          <w:szCs w:val="22"/>
        </w:rPr>
        <w:t xml:space="preserve">(The SEC staff estimates that the other types of entities that are covered by the scope of the SEC’s rules will not be financial institutions or creditors and therefore </w:t>
      </w:r>
      <w:r w:rsidR="003C51D6">
        <w:rPr>
          <w:rFonts w:ascii="Times New Roman" w:hAnsi="Times New Roman"/>
          <w:szCs w:val="22"/>
        </w:rPr>
        <w:t>will not be subject to the rule</w:t>
      </w:r>
      <w:r w:rsidR="003C51D6" w:rsidRPr="003C51D6">
        <w:rPr>
          <w:rFonts w:ascii="Times New Roman" w:hAnsi="Times New Roman"/>
          <w:szCs w:val="22"/>
        </w:rPr>
        <w:t>s</w:t>
      </w:r>
      <w:r w:rsidR="003C51D6">
        <w:rPr>
          <w:rFonts w:ascii="Times New Roman" w:hAnsi="Times New Roman"/>
          <w:szCs w:val="22"/>
        </w:rPr>
        <w:t>’</w:t>
      </w:r>
      <w:r w:rsidR="003C51D6" w:rsidRPr="003C51D6">
        <w:rPr>
          <w:rFonts w:ascii="Times New Roman" w:hAnsi="Times New Roman"/>
          <w:szCs w:val="22"/>
        </w:rPr>
        <w:t xml:space="preserve"> requirements.)  The total hours estimate is based on the following calculation:  10,339 entities x 2 hours = 20,678 hours. </w:t>
      </w:r>
      <w:r w:rsidR="00A47601">
        <w:rPr>
          <w:rFonts w:ascii="Times New Roman" w:hAnsi="Times New Roman"/>
          <w:szCs w:val="22"/>
        </w:rPr>
        <w:t xml:space="preserve"> The total cost estimate is based on the following calculation:  10,339 + ($378 x 2) = $7,816,284.</w:t>
      </w:r>
    </w:p>
    <w:p w14:paraId="185ABD8F" w14:textId="77777777" w:rsidR="001C2FC6" w:rsidRPr="006C50AA" w:rsidRDefault="003C51D6" w:rsidP="007F774C">
      <w:pPr>
        <w:pStyle w:val="FootnoteText"/>
        <w:rPr>
          <w:rFonts w:ascii="Times New Roman" w:hAnsi="Times New Roman"/>
          <w:szCs w:val="22"/>
        </w:rPr>
      </w:pPr>
      <w:r w:rsidRPr="003C51D6">
        <w:rPr>
          <w:rFonts w:ascii="Times New Roman" w:hAnsi="Times New Roman"/>
          <w:szCs w:val="22"/>
        </w:rPr>
        <w:tab/>
        <w:t xml:space="preserve">The SEC </w:t>
      </w:r>
      <w:proofErr w:type="gramStart"/>
      <w:r w:rsidRPr="003C51D6">
        <w:rPr>
          <w:rFonts w:ascii="Times New Roman" w:hAnsi="Times New Roman"/>
          <w:szCs w:val="22"/>
        </w:rPr>
        <w:t>staff estimate</w:t>
      </w:r>
      <w:proofErr w:type="gramEnd"/>
      <w:r w:rsidRPr="003C51D6">
        <w:rPr>
          <w:rFonts w:ascii="Times New Roman" w:hAnsi="Times New Roman"/>
          <w:szCs w:val="22"/>
        </w:rPr>
        <w:t xml:space="preserve"> that 33% of SEC</w:t>
      </w:r>
      <w:r w:rsidRPr="003C51D6">
        <w:rPr>
          <w:rFonts w:ascii="Times New Roman" w:hAnsi="Times New Roman"/>
          <w:szCs w:val="22"/>
        </w:rPr>
        <w:noBreakHyphen/>
        <w:t>registered investment advisers will be subject to the requirements of Regulation S</w:t>
      </w:r>
      <w:r w:rsidRPr="003C51D6">
        <w:rPr>
          <w:rFonts w:ascii="Times New Roman" w:hAnsi="Times New Roman"/>
          <w:szCs w:val="22"/>
        </w:rPr>
        <w:noBreakHyphen/>
        <w:t>ID is based on the following calculation.  According to Investment Adviser Registration Depository (IARD) data, there are approximately 11,622 investment advisers registered with the SEC as of July 1, 2012.  Of these advisers, approximately 7327 could potentially be subject to the rule as financial institutions because they indicate they have customers who are natural persons.  We estimate that approximately 16%, or 1202 of these 7327 advisers, hold transaction accounts belonging to natural persons and therefore would qualify as financial institutions under the rule.  Additionally, 4055 of the 11,622 advisers registered with the SEC have private fund clients.  We expect that most of the funds advised by these advisers would have at least one natural person investor, and thus they could potentially meet the definition of “financial institution.”  In addition, some of these private fund advisers may engage in lending activities that would also qualify them as creditors under the rule.  In order to avoid duplication, however, we are deducting 1466 private fund advisers from the total number of advisers we estimate will be subject to the rule, because they also indicated on Form ADV that they have individual or high net worth clients and are already accounted for in our estimates above.  Accordingly, the staff estimates that approximately 3791 (</w:t>
      </w:r>
      <w:r w:rsidRPr="003C51D6">
        <w:rPr>
          <w:rFonts w:ascii="Times New Roman" w:hAnsi="Times New Roman"/>
          <w:i/>
          <w:szCs w:val="22"/>
        </w:rPr>
        <w:t>i.e.</w:t>
      </w:r>
      <w:r w:rsidRPr="003C51D6">
        <w:rPr>
          <w:rFonts w:ascii="Times New Roman" w:hAnsi="Times New Roman"/>
          <w:szCs w:val="22"/>
        </w:rPr>
        <w:t>, 1202 + 4055 – 1466) advisers registered with the SEC will be subject to the rule.  These 3791 advisers are about 33% of the 11,622 SEC</w:t>
      </w:r>
      <w:r w:rsidRPr="003C51D6">
        <w:rPr>
          <w:rFonts w:ascii="Times New Roman" w:hAnsi="Times New Roman"/>
          <w:szCs w:val="22"/>
        </w:rPr>
        <w:noBreakHyphen/>
        <w:t xml:space="preserve">registered advisers.  </w:t>
      </w:r>
    </w:p>
  </w:footnote>
  <w:footnote w:id="22">
    <w:p w14:paraId="185ABD90" w14:textId="77777777" w:rsidR="001C2FC6" w:rsidRPr="006C50AA" w:rsidRDefault="00FA3607" w:rsidP="007F774C">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r>
      <w:r w:rsidR="003358A3">
        <w:rPr>
          <w:i/>
        </w:rPr>
        <w:t>See supra</w:t>
      </w:r>
      <w:r w:rsidR="003358A3">
        <w:t xml:space="preserve"> note </w:t>
      </w:r>
      <w:r w:rsidR="003358A3">
        <w:fldChar w:fldCharType="begin"/>
      </w:r>
      <w:r w:rsidR="003358A3">
        <w:instrText xml:space="preserve"> NOTEREF _Ref353202936 \h </w:instrText>
      </w:r>
      <w:r w:rsidR="003358A3">
        <w:fldChar w:fldCharType="separate"/>
      </w:r>
      <w:r w:rsidR="003358A3">
        <w:t>18</w:t>
      </w:r>
      <w:r w:rsidR="003358A3">
        <w:fldChar w:fldCharType="end"/>
      </w:r>
      <w:r w:rsidR="003358A3">
        <w:t xml:space="preserve"> and accompanying text.  </w:t>
      </w:r>
      <w:r w:rsidRPr="006C50AA">
        <w:rPr>
          <w:rFonts w:ascii="Times New Roman" w:hAnsi="Times New Roman"/>
          <w:szCs w:val="22"/>
        </w:rPr>
        <w:t>If a financial institution or creditor does not maintain covered accounts, there would be no ongoing annual burden for purposes of the PRA.</w:t>
      </w:r>
    </w:p>
  </w:footnote>
  <w:footnote w:id="23">
    <w:p w14:paraId="185ABD91" w14:textId="77777777" w:rsidR="001C2FC6" w:rsidRPr="004B092C" w:rsidRDefault="00FA3607">
      <w:pPr>
        <w:pStyle w:val="FootnoteText"/>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t>Th</w:t>
      </w:r>
      <w:r w:rsidR="004B092C">
        <w:rPr>
          <w:rFonts w:ascii="Times New Roman" w:hAnsi="Times New Roman"/>
          <w:szCs w:val="22"/>
        </w:rPr>
        <w:t>ese</w:t>
      </w:r>
      <w:r w:rsidRPr="006C50AA">
        <w:rPr>
          <w:rFonts w:ascii="Times New Roman" w:hAnsi="Times New Roman"/>
          <w:szCs w:val="22"/>
        </w:rPr>
        <w:t xml:space="preserve"> estimate</w:t>
      </w:r>
      <w:r w:rsidR="004B092C">
        <w:rPr>
          <w:rFonts w:ascii="Times New Roman" w:hAnsi="Times New Roman"/>
          <w:szCs w:val="22"/>
        </w:rPr>
        <w:t>s</w:t>
      </w:r>
      <w:r w:rsidRPr="006C50AA">
        <w:rPr>
          <w:rFonts w:ascii="Times New Roman" w:hAnsi="Times New Roman"/>
          <w:szCs w:val="22"/>
        </w:rPr>
        <w:t xml:space="preserve"> </w:t>
      </w:r>
      <w:r w:rsidR="004B092C">
        <w:rPr>
          <w:rFonts w:ascii="Times New Roman" w:hAnsi="Times New Roman"/>
          <w:szCs w:val="22"/>
        </w:rPr>
        <w:t>are</w:t>
      </w:r>
      <w:r w:rsidRPr="006C50AA">
        <w:rPr>
          <w:rFonts w:ascii="Times New Roman" w:hAnsi="Times New Roman"/>
          <w:szCs w:val="22"/>
        </w:rPr>
        <w:t xml:space="preserve"> based on the following calculation</w:t>
      </w:r>
      <w:r w:rsidR="004B092C">
        <w:rPr>
          <w:rFonts w:ascii="Times New Roman" w:hAnsi="Times New Roman"/>
          <w:szCs w:val="22"/>
        </w:rPr>
        <w:t>s</w:t>
      </w:r>
      <w:r w:rsidRPr="006C50AA">
        <w:rPr>
          <w:rFonts w:ascii="Times New Roman" w:hAnsi="Times New Roman"/>
          <w:szCs w:val="22"/>
        </w:rPr>
        <w:t xml:space="preserve">: </w:t>
      </w:r>
      <w:r w:rsidR="004B092C" w:rsidRPr="00DC7810">
        <w:t>930</w:t>
      </w:r>
      <w:r w:rsidR="004B092C">
        <w:t>5</w:t>
      </w:r>
      <w:r w:rsidR="004B092C" w:rsidRPr="00DC7810">
        <w:t xml:space="preserve"> financial institutions and creditors that maintain covered accounts x 8 hours = 74,44</w:t>
      </w:r>
      <w:r w:rsidR="004B092C">
        <w:t>0</w:t>
      </w:r>
      <w:r w:rsidR="004B092C" w:rsidRPr="00DC7810">
        <w:t xml:space="preserve"> hours</w:t>
      </w:r>
      <w:r w:rsidR="004B092C">
        <w:rPr>
          <w:rFonts w:ascii="Times New Roman" w:hAnsi="Times New Roman"/>
          <w:szCs w:val="22"/>
        </w:rPr>
        <w:t>;</w:t>
      </w:r>
      <w:r w:rsidRPr="006C50AA">
        <w:rPr>
          <w:rFonts w:ascii="Times New Roman" w:hAnsi="Times New Roman"/>
          <w:szCs w:val="22"/>
        </w:rPr>
        <w:t xml:space="preserve"> </w:t>
      </w:r>
      <w:r w:rsidR="004B092C">
        <w:rPr>
          <w:rFonts w:ascii="Times New Roman" w:hAnsi="Times New Roman"/>
          <w:szCs w:val="22"/>
        </w:rPr>
        <w:t>($378 x 7) + $4500 = $7146; 9305 x $7146 = $66,493,530.</w:t>
      </w:r>
    </w:p>
  </w:footnote>
  <w:footnote w:id="24">
    <w:p w14:paraId="185ABD92" w14:textId="77777777" w:rsidR="001C2FC6" w:rsidRPr="006C50AA" w:rsidRDefault="00FA3607" w:rsidP="007F774C">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Pr="006C50AA">
        <w:rPr>
          <w:rFonts w:ascii="Times New Roman" w:hAnsi="Times New Roman"/>
          <w:szCs w:val="22"/>
        </w:rPr>
        <w:t xml:space="preserve"> </w:t>
      </w:r>
      <w:r w:rsidRPr="006C50AA">
        <w:rPr>
          <w:rFonts w:ascii="Times New Roman" w:hAnsi="Times New Roman"/>
          <w:szCs w:val="22"/>
        </w:rPr>
        <w:tab/>
        <w:t xml:space="preserve">These estimates are based on the following calculations:  </w:t>
      </w:r>
      <w:r w:rsidR="004B092C" w:rsidRPr="00DC7810">
        <w:t>20,678 hours (</w:t>
      </w:r>
      <w:r w:rsidR="004B092C">
        <w:t>10,339 financial institutions and creditors x 2 hours (for review of accounts)</w:t>
      </w:r>
      <w:r w:rsidR="004B092C" w:rsidRPr="00DC7810">
        <w:t>)</w:t>
      </w:r>
      <w:r w:rsidR="004B092C">
        <w:t xml:space="preserve"> + </w:t>
      </w:r>
      <w:r w:rsidR="004B092C" w:rsidRPr="00DC7810">
        <w:t>55,83</w:t>
      </w:r>
      <w:r w:rsidR="004B092C">
        <w:t>0</w:t>
      </w:r>
      <w:r w:rsidR="004B092C" w:rsidRPr="00DC7810">
        <w:t xml:space="preserve"> hours (930</w:t>
      </w:r>
      <w:r w:rsidR="004B092C">
        <w:t>5</w:t>
      </w:r>
      <w:r w:rsidR="004B092C" w:rsidRPr="00DC7810">
        <w:t xml:space="preserve"> financial institutions and creditors that maintain covered accounts x 6 hours</w:t>
      </w:r>
      <w:r w:rsidR="004B092C">
        <w:t xml:space="preserve"> (for report to board, and review and update of Program)</w:t>
      </w:r>
      <w:r w:rsidR="004B092C" w:rsidRPr="00DC7810">
        <w:t>) = 76,5</w:t>
      </w:r>
      <w:r w:rsidR="004B092C">
        <w:t>08</w:t>
      </w:r>
      <w:r w:rsidR="0005070E">
        <w:t xml:space="preserve"> hours; (10,339 x ($378 x 2)) + (9305 x (($378 x 5)</w:t>
      </w:r>
      <w:r w:rsidRPr="006C50AA">
        <w:rPr>
          <w:rFonts w:ascii="Times New Roman" w:hAnsi="Times New Roman"/>
          <w:szCs w:val="22"/>
        </w:rPr>
        <w:t xml:space="preserve"> </w:t>
      </w:r>
      <w:r w:rsidR="0005070E">
        <w:rPr>
          <w:rFonts w:ascii="Times New Roman" w:hAnsi="Times New Roman"/>
          <w:szCs w:val="22"/>
        </w:rPr>
        <w:t>+ $4500)) = $67,275,234.</w:t>
      </w:r>
    </w:p>
  </w:footnote>
  <w:footnote w:id="25">
    <w:p w14:paraId="185ABD93" w14:textId="77777777" w:rsidR="001C2FC6" w:rsidRPr="006C50AA" w:rsidRDefault="00FA3607" w:rsidP="007F774C">
      <w:pPr>
        <w:pStyle w:val="FootnoteText"/>
        <w:rPr>
          <w:rFonts w:ascii="Times New Roman" w:hAnsi="Times New Roman"/>
          <w:szCs w:val="22"/>
        </w:rPr>
      </w:pPr>
      <w:r w:rsidRPr="006C50AA">
        <w:rPr>
          <w:rStyle w:val="FootnoteReference"/>
          <w:rFonts w:ascii="Times New Roman" w:hAnsi="Times New Roman" w:cs="Times New Roman"/>
          <w:sz w:val="22"/>
          <w:szCs w:val="22"/>
        </w:rPr>
        <w:footnoteRef/>
      </w:r>
      <w:r w:rsidR="007A6B6F">
        <w:rPr>
          <w:rFonts w:ascii="Times New Roman" w:hAnsi="Times New Roman"/>
          <w:szCs w:val="22"/>
        </w:rPr>
        <w:t xml:space="preserve"> </w:t>
      </w:r>
      <w:r w:rsidR="007A6B6F">
        <w:rPr>
          <w:rFonts w:ascii="Times New Roman" w:hAnsi="Times New Roman"/>
          <w:szCs w:val="22"/>
        </w:rPr>
        <w:tab/>
      </w:r>
      <w:r w:rsidRPr="006C50AA">
        <w:rPr>
          <w:rFonts w:ascii="Times New Roman" w:hAnsi="Times New Roman"/>
          <w:szCs w:val="22"/>
        </w:rPr>
        <w:t xml:space="preserve">§ 248.202(a).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64A72" w14:textId="77777777" w:rsidR="005F2FD3" w:rsidRDefault="005F2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ABD77" w14:textId="77777777" w:rsidR="001C2FC6" w:rsidRDefault="001C2FC6">
    <w:pPr>
      <w:tabs>
        <w:tab w:val="center" w:pos="4680"/>
      </w:tabs>
      <w:suppressAutoHyphens/>
      <w:spacing w:line="240" w:lineRule="atLeast"/>
      <w:jc w:val="both"/>
      <w:rPr>
        <w:rFonts w:cs="Times New Roman"/>
        <w:spacing w:val="-3"/>
      </w:rPr>
    </w:pPr>
    <w:r>
      <w:rPr>
        <w:rFonts w:cs="Times New Roman"/>
        <w:spacing w:val="-3"/>
      </w:rPr>
      <w:tab/>
      <w:t xml:space="preserve">- </w:t>
    </w:r>
    <w:r w:rsidR="00FA3607">
      <w:rPr>
        <w:rFonts w:cs="Times New Roman"/>
        <w:spacing w:val="-3"/>
      </w:rPr>
      <w:fldChar w:fldCharType="begin"/>
    </w:r>
    <w:r>
      <w:rPr>
        <w:rFonts w:cs="Times New Roman"/>
        <w:spacing w:val="-3"/>
      </w:rPr>
      <w:instrText>page \* arabic</w:instrText>
    </w:r>
    <w:r w:rsidR="00FA3607">
      <w:rPr>
        <w:rFonts w:cs="Times New Roman"/>
        <w:spacing w:val="-3"/>
      </w:rPr>
      <w:fldChar w:fldCharType="separate"/>
    </w:r>
    <w:r w:rsidR="00490B3C">
      <w:rPr>
        <w:rFonts w:cs="Times New Roman"/>
        <w:noProof/>
        <w:spacing w:val="-3"/>
      </w:rPr>
      <w:t>14</w:t>
    </w:r>
    <w:r w:rsidR="00FA3607">
      <w:rPr>
        <w:rFonts w:cs="Times New Roman"/>
        <w:spacing w:val="-3"/>
      </w:rPr>
      <w:fldChar w:fldCharType="end"/>
    </w:r>
    <w:r w:rsidR="0074186E">
      <w:rPr>
        <w:rFonts w:cs="Times New Roman"/>
        <w:spacing w:val="-3"/>
      </w:rPr>
      <w:t xml:space="preserve"> -</w:t>
    </w:r>
  </w:p>
  <w:p w14:paraId="185ABD78" w14:textId="77777777" w:rsidR="001C2FC6" w:rsidRDefault="001C2FC6">
    <w:pPr>
      <w:tabs>
        <w:tab w:val="center" w:pos="4680"/>
      </w:tabs>
      <w:suppressAutoHyphens/>
      <w:spacing w:line="240" w:lineRule="atLeast"/>
      <w:jc w:val="both"/>
      <w:rPr>
        <w:rFonts w:cs="Times New Roman"/>
        <w:spacing w:val="-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C94B7" w14:textId="77777777" w:rsidR="005F2FD3" w:rsidRDefault="005F2F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EFE34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2DC8C3F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ACD0CF7"/>
    <w:multiLevelType w:val="hybridMultilevel"/>
    <w:tmpl w:val="43F45950"/>
    <w:lvl w:ilvl="0" w:tplc="55FC1216">
      <w:start w:val="1"/>
      <w:numFmt w:val="upperLetter"/>
      <w:pStyle w:val="Heading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DB1AA3"/>
    <w:multiLevelType w:val="hybridMultilevel"/>
    <w:tmpl w:val="B1A0FAA6"/>
    <w:lvl w:ilvl="0" w:tplc="04090001">
      <w:start w:val="1"/>
      <w:numFmt w:val="bullet"/>
      <w:lvlText w:val=""/>
      <w:lvlJc w:val="left"/>
      <w:pPr>
        <w:tabs>
          <w:tab w:val="num" w:pos="720"/>
        </w:tabs>
        <w:ind w:left="720" w:hanging="360"/>
      </w:pPr>
      <w:rPr>
        <w:rFonts w:ascii="Symbol" w:hAnsi="Symbol" w:hint="default"/>
        <w:spacing w:val="0"/>
      </w:rPr>
    </w:lvl>
    <w:lvl w:ilvl="1" w:tplc="9CFAD454">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64539A"/>
    <w:multiLevelType w:val="hybridMultilevel"/>
    <w:tmpl w:val="22708236"/>
    <w:lvl w:ilvl="0" w:tplc="BF803C9A">
      <w:start w:val="1"/>
      <w:numFmt w:val="bullet"/>
      <w:lvlText w:val=""/>
      <w:lvlJc w:val="left"/>
      <w:pPr>
        <w:tabs>
          <w:tab w:val="num" w:pos="1440"/>
        </w:tabs>
        <w:ind w:left="1440" w:hanging="72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8C58E0"/>
    <w:multiLevelType w:val="hybridMultilevel"/>
    <w:tmpl w:val="981CD4C6"/>
    <w:lvl w:ilvl="0" w:tplc="F834A552">
      <w:start w:val="1"/>
      <w:numFmt w:val="bullet"/>
      <w:lvlText w:val=""/>
      <w:lvlJc w:val="left"/>
      <w:pPr>
        <w:tabs>
          <w:tab w:val="num" w:pos="2160"/>
        </w:tabs>
        <w:ind w:left="2160" w:hanging="720"/>
      </w:pPr>
      <w:rPr>
        <w:rFonts w:ascii="Symbol" w:hAnsi="Symbol" w:hint="default"/>
        <w:sz w:val="20"/>
      </w:rPr>
    </w:lvl>
    <w:lvl w:ilvl="1" w:tplc="04090003" w:tentative="1">
      <w:start w:val="1"/>
      <w:numFmt w:val="bullet"/>
      <w:lvlText w:val="o"/>
      <w:lvlJc w:val="left"/>
      <w:pPr>
        <w:tabs>
          <w:tab w:val="num" w:pos="2448"/>
        </w:tabs>
        <w:ind w:left="2448" w:hanging="360"/>
      </w:pPr>
      <w:rPr>
        <w:rFonts w:ascii="Courier New" w:hAnsi="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A7246"/>
    <w:rsid w:val="000010F3"/>
    <w:rsid w:val="00002A60"/>
    <w:rsid w:val="0005070E"/>
    <w:rsid w:val="00052D03"/>
    <w:rsid w:val="000567BC"/>
    <w:rsid w:val="000E7679"/>
    <w:rsid w:val="001324C7"/>
    <w:rsid w:val="00132F4B"/>
    <w:rsid w:val="00155AF1"/>
    <w:rsid w:val="00170F6C"/>
    <w:rsid w:val="00194944"/>
    <w:rsid w:val="001C2FC6"/>
    <w:rsid w:val="001C2FFB"/>
    <w:rsid w:val="002107B8"/>
    <w:rsid w:val="00213457"/>
    <w:rsid w:val="00213510"/>
    <w:rsid w:val="00252D17"/>
    <w:rsid w:val="00254E68"/>
    <w:rsid w:val="00276031"/>
    <w:rsid w:val="00290322"/>
    <w:rsid w:val="0029263D"/>
    <w:rsid w:val="002A7A91"/>
    <w:rsid w:val="002C2F8A"/>
    <w:rsid w:val="00324DD5"/>
    <w:rsid w:val="00325CCE"/>
    <w:rsid w:val="003358A3"/>
    <w:rsid w:val="00391F00"/>
    <w:rsid w:val="00393F0E"/>
    <w:rsid w:val="00397909"/>
    <w:rsid w:val="003A2B34"/>
    <w:rsid w:val="003C51D6"/>
    <w:rsid w:val="003D7808"/>
    <w:rsid w:val="004419BC"/>
    <w:rsid w:val="00455D52"/>
    <w:rsid w:val="004565C6"/>
    <w:rsid w:val="00472305"/>
    <w:rsid w:val="00490B3C"/>
    <w:rsid w:val="00495D8B"/>
    <w:rsid w:val="004A7246"/>
    <w:rsid w:val="004B0115"/>
    <w:rsid w:val="004B092C"/>
    <w:rsid w:val="004B68E4"/>
    <w:rsid w:val="004C6205"/>
    <w:rsid w:val="005516AD"/>
    <w:rsid w:val="00571614"/>
    <w:rsid w:val="005A55AA"/>
    <w:rsid w:val="005B14C5"/>
    <w:rsid w:val="005B1F93"/>
    <w:rsid w:val="005F2FD3"/>
    <w:rsid w:val="00627636"/>
    <w:rsid w:val="006377FC"/>
    <w:rsid w:val="00675449"/>
    <w:rsid w:val="00694754"/>
    <w:rsid w:val="006B164F"/>
    <w:rsid w:val="006B2671"/>
    <w:rsid w:val="006C50AA"/>
    <w:rsid w:val="0074186E"/>
    <w:rsid w:val="007A4582"/>
    <w:rsid w:val="007A6B6F"/>
    <w:rsid w:val="007B0D8E"/>
    <w:rsid w:val="007B41B2"/>
    <w:rsid w:val="007F41B1"/>
    <w:rsid w:val="007F774C"/>
    <w:rsid w:val="00824430"/>
    <w:rsid w:val="0084410C"/>
    <w:rsid w:val="008B5C06"/>
    <w:rsid w:val="008D7114"/>
    <w:rsid w:val="008F18BC"/>
    <w:rsid w:val="00900A7C"/>
    <w:rsid w:val="00923362"/>
    <w:rsid w:val="009337AD"/>
    <w:rsid w:val="00944467"/>
    <w:rsid w:val="00952FE7"/>
    <w:rsid w:val="00992000"/>
    <w:rsid w:val="009A3C23"/>
    <w:rsid w:val="009B060E"/>
    <w:rsid w:val="009C1DD1"/>
    <w:rsid w:val="00A03982"/>
    <w:rsid w:val="00A04A20"/>
    <w:rsid w:val="00A44EE4"/>
    <w:rsid w:val="00A47601"/>
    <w:rsid w:val="00A95AEE"/>
    <w:rsid w:val="00AC1D1C"/>
    <w:rsid w:val="00B277A9"/>
    <w:rsid w:val="00B44AF6"/>
    <w:rsid w:val="00B57643"/>
    <w:rsid w:val="00B602DF"/>
    <w:rsid w:val="00B70732"/>
    <w:rsid w:val="00B75517"/>
    <w:rsid w:val="00B75A85"/>
    <w:rsid w:val="00B95024"/>
    <w:rsid w:val="00BA2A4C"/>
    <w:rsid w:val="00BC7514"/>
    <w:rsid w:val="00C200F6"/>
    <w:rsid w:val="00C246D3"/>
    <w:rsid w:val="00C25B94"/>
    <w:rsid w:val="00C31878"/>
    <w:rsid w:val="00C60638"/>
    <w:rsid w:val="00C64389"/>
    <w:rsid w:val="00C97D34"/>
    <w:rsid w:val="00CE3907"/>
    <w:rsid w:val="00CF74D7"/>
    <w:rsid w:val="00D07DE2"/>
    <w:rsid w:val="00D5387A"/>
    <w:rsid w:val="00D712F1"/>
    <w:rsid w:val="00D827DE"/>
    <w:rsid w:val="00D951A0"/>
    <w:rsid w:val="00DD0C2E"/>
    <w:rsid w:val="00E276AC"/>
    <w:rsid w:val="00E51384"/>
    <w:rsid w:val="00E52EFF"/>
    <w:rsid w:val="00E61C89"/>
    <w:rsid w:val="00E8082F"/>
    <w:rsid w:val="00EB61AA"/>
    <w:rsid w:val="00EB7DF7"/>
    <w:rsid w:val="00EF0507"/>
    <w:rsid w:val="00F559A3"/>
    <w:rsid w:val="00F8467A"/>
    <w:rsid w:val="00F94F9D"/>
    <w:rsid w:val="00FA007F"/>
    <w:rsid w:val="00FA19DE"/>
    <w:rsid w:val="00FA3607"/>
    <w:rsid w:val="00FE0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A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607"/>
    <w:pPr>
      <w:autoSpaceDE w:val="0"/>
      <w:autoSpaceDN w:val="0"/>
      <w:adjustRightInd w:val="0"/>
      <w:spacing w:line="480" w:lineRule="auto"/>
    </w:pPr>
    <w:rPr>
      <w:rFonts w:ascii="CG Times" w:hAnsi="CG Times" w:cs="Courier New"/>
      <w:sz w:val="24"/>
      <w:szCs w:val="24"/>
    </w:rPr>
  </w:style>
  <w:style w:type="paragraph" w:styleId="Heading1">
    <w:name w:val="heading 1"/>
    <w:basedOn w:val="Normal"/>
    <w:next w:val="Normal"/>
    <w:qFormat/>
    <w:rsid w:val="00FA3607"/>
    <w:pPr>
      <w:keepNext/>
      <w:numPr>
        <w:numId w:val="2"/>
      </w:numPr>
      <w:spacing w:before="240" w:after="60"/>
      <w:outlineLvl w:val="0"/>
    </w:pPr>
    <w:rPr>
      <w:rFonts w:ascii="CG Times Bold" w:hAnsi="CG Times Bold" w:cs="Arial"/>
      <w:b/>
      <w:bCs/>
      <w:caps/>
      <w:kern w:val="32"/>
      <w:szCs w:val="32"/>
    </w:rPr>
  </w:style>
  <w:style w:type="paragraph" w:styleId="Heading2">
    <w:name w:val="heading 2"/>
    <w:basedOn w:val="Normal"/>
    <w:next w:val="Normal"/>
    <w:qFormat/>
    <w:rsid w:val="00FA3607"/>
    <w:pPr>
      <w:keepNext/>
      <w:ind w:firstLine="720"/>
      <w:outlineLvl w:val="1"/>
    </w:pPr>
    <w:rPr>
      <w:rFonts w:ascii="CG Times Bold" w:hAnsi="CG Times Bold" w:cs="Arial"/>
      <w:b/>
      <w:bCs/>
      <w:iCs/>
      <w:szCs w:val="28"/>
    </w:rPr>
  </w:style>
  <w:style w:type="paragraph" w:styleId="Heading3">
    <w:name w:val="heading 3"/>
    <w:basedOn w:val="Normal"/>
    <w:next w:val="Normal"/>
    <w:qFormat/>
    <w:rsid w:val="00FA360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A3607"/>
    <w:rPr>
      <w:rFonts w:cs="Times New Roman"/>
      <w:sz w:val="20"/>
    </w:rPr>
  </w:style>
  <w:style w:type="character" w:styleId="EndnoteReference">
    <w:name w:val="endnote reference"/>
    <w:basedOn w:val="DefaultParagraphFont"/>
    <w:semiHidden/>
    <w:rsid w:val="00FA3607"/>
    <w:rPr>
      <w:rFonts w:ascii="Courier New" w:hAnsi="Courier New" w:cs="Courier New"/>
      <w:sz w:val="24"/>
      <w:szCs w:val="24"/>
      <w:vertAlign w:val="superscript"/>
      <w:lang w:val="en-US"/>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rsid w:val="00FA3607"/>
    <w:pPr>
      <w:tabs>
        <w:tab w:val="left" w:pos="-720"/>
      </w:tabs>
      <w:suppressAutoHyphens/>
      <w:spacing w:after="120" w:line="240" w:lineRule="auto"/>
      <w:ind w:left="720" w:hanging="720"/>
    </w:pPr>
    <w:rPr>
      <w:rFonts w:cs="Times New Roman"/>
      <w:sz w:val="22"/>
      <w:szCs w:val="20"/>
    </w:rPr>
  </w:style>
  <w:style w:type="character" w:styleId="FootnoteReference">
    <w:name w:val="footnote reference"/>
    <w:aliases w:val="fr,Style 19,Style 16"/>
    <w:basedOn w:val="DefaultParagraphFont"/>
    <w:rsid w:val="00FA3607"/>
    <w:rPr>
      <w:rFonts w:ascii="CG Times" w:hAnsi="CG Times" w:cs="Courier New"/>
      <w:sz w:val="24"/>
      <w:szCs w:val="24"/>
      <w:vertAlign w:val="superscript"/>
      <w:lang w:val="en-US"/>
    </w:rPr>
  </w:style>
  <w:style w:type="character" w:customStyle="1" w:styleId="Heading">
    <w:name w:val="Heading"/>
    <w:basedOn w:val="DefaultParagraphFont"/>
    <w:rsid w:val="00FA3607"/>
  </w:style>
  <w:style w:type="character" w:customStyle="1" w:styleId="RightPar">
    <w:name w:val="Right Par"/>
    <w:basedOn w:val="DefaultParagraphFont"/>
    <w:rsid w:val="00FA3607"/>
  </w:style>
  <w:style w:type="character" w:customStyle="1" w:styleId="Bibliogrphy">
    <w:name w:val="Bibliogrphy"/>
    <w:basedOn w:val="DefaultParagraphFont"/>
    <w:rsid w:val="00FA3607"/>
  </w:style>
  <w:style w:type="character" w:customStyle="1" w:styleId="Subheading">
    <w:name w:val="Subheading"/>
    <w:basedOn w:val="DefaultParagraphFont"/>
    <w:rsid w:val="00FA3607"/>
  </w:style>
  <w:style w:type="character" w:customStyle="1" w:styleId="1">
    <w:name w:val="1"/>
    <w:basedOn w:val="DefaultParagraphFont"/>
    <w:rsid w:val="00FA3607"/>
    <w:rPr>
      <w:rFonts w:ascii="Courier New" w:hAnsi="Courier New" w:cs="Courier New"/>
      <w:sz w:val="24"/>
      <w:szCs w:val="24"/>
      <w:lang w:val="en-US"/>
    </w:rPr>
  </w:style>
  <w:style w:type="character" w:customStyle="1" w:styleId="Document8">
    <w:name w:val="Document 8"/>
    <w:basedOn w:val="DefaultParagraphFont"/>
    <w:rsid w:val="00FA3607"/>
  </w:style>
  <w:style w:type="character" w:customStyle="1" w:styleId="Document4">
    <w:name w:val="Document 4"/>
    <w:basedOn w:val="DefaultParagraphFont"/>
    <w:rsid w:val="00FA3607"/>
    <w:rPr>
      <w:b/>
      <w:bCs/>
      <w:i/>
      <w:iCs/>
      <w:sz w:val="24"/>
      <w:szCs w:val="24"/>
    </w:rPr>
  </w:style>
  <w:style w:type="character" w:customStyle="1" w:styleId="Document6">
    <w:name w:val="Document 6"/>
    <w:basedOn w:val="DefaultParagraphFont"/>
    <w:rsid w:val="00FA3607"/>
  </w:style>
  <w:style w:type="character" w:customStyle="1" w:styleId="Document5">
    <w:name w:val="Document 5"/>
    <w:basedOn w:val="DefaultParagraphFont"/>
    <w:rsid w:val="00FA3607"/>
  </w:style>
  <w:style w:type="character" w:customStyle="1" w:styleId="Document2">
    <w:name w:val="Document 2"/>
    <w:basedOn w:val="DefaultParagraphFont"/>
    <w:rsid w:val="00FA3607"/>
    <w:rPr>
      <w:rFonts w:ascii="Courier New" w:hAnsi="Courier New" w:cs="Courier New"/>
      <w:sz w:val="24"/>
      <w:szCs w:val="24"/>
      <w:lang w:val="en-US"/>
    </w:rPr>
  </w:style>
  <w:style w:type="character" w:customStyle="1" w:styleId="Document7">
    <w:name w:val="Document 7"/>
    <w:basedOn w:val="DefaultParagraphFont"/>
    <w:rsid w:val="00FA3607"/>
  </w:style>
  <w:style w:type="character" w:customStyle="1" w:styleId="RightPar1">
    <w:name w:val="Right Par 1"/>
    <w:basedOn w:val="DefaultParagraphFont"/>
    <w:rsid w:val="00FA3607"/>
  </w:style>
  <w:style w:type="character" w:customStyle="1" w:styleId="RightPar2">
    <w:name w:val="Right Par 2"/>
    <w:basedOn w:val="DefaultParagraphFont"/>
    <w:rsid w:val="00FA3607"/>
  </w:style>
  <w:style w:type="character" w:customStyle="1" w:styleId="Document3">
    <w:name w:val="Document 3"/>
    <w:basedOn w:val="DefaultParagraphFont"/>
    <w:rsid w:val="00FA3607"/>
    <w:rPr>
      <w:rFonts w:ascii="Courier New" w:hAnsi="Courier New" w:cs="Courier New"/>
      <w:sz w:val="24"/>
      <w:szCs w:val="24"/>
      <w:lang w:val="en-US"/>
    </w:rPr>
  </w:style>
  <w:style w:type="character" w:customStyle="1" w:styleId="RightPar3">
    <w:name w:val="Right Par 3"/>
    <w:basedOn w:val="DefaultParagraphFont"/>
    <w:rsid w:val="00FA3607"/>
  </w:style>
  <w:style w:type="character" w:customStyle="1" w:styleId="RightPar4">
    <w:name w:val="Right Par 4"/>
    <w:basedOn w:val="DefaultParagraphFont"/>
    <w:rsid w:val="00FA3607"/>
  </w:style>
  <w:style w:type="character" w:customStyle="1" w:styleId="RightPar5">
    <w:name w:val="Right Par 5"/>
    <w:basedOn w:val="DefaultParagraphFont"/>
    <w:rsid w:val="00FA3607"/>
  </w:style>
  <w:style w:type="character" w:customStyle="1" w:styleId="RightPar6">
    <w:name w:val="Right Par 6"/>
    <w:basedOn w:val="DefaultParagraphFont"/>
    <w:rsid w:val="00FA3607"/>
  </w:style>
  <w:style w:type="character" w:customStyle="1" w:styleId="RightPar7">
    <w:name w:val="Right Par 7"/>
    <w:basedOn w:val="DefaultParagraphFont"/>
    <w:rsid w:val="00FA3607"/>
  </w:style>
  <w:style w:type="character" w:customStyle="1" w:styleId="RightPar8">
    <w:name w:val="Right Par 8"/>
    <w:basedOn w:val="DefaultParagraphFont"/>
    <w:rsid w:val="00FA3607"/>
  </w:style>
  <w:style w:type="paragraph" w:customStyle="1" w:styleId="Document1">
    <w:name w:val="Document 1"/>
    <w:rsid w:val="00FA3607"/>
    <w:pPr>
      <w:keepNext/>
      <w:keepLines/>
      <w:widowControl w:val="0"/>
      <w:tabs>
        <w:tab w:val="left" w:pos="-720"/>
      </w:tabs>
      <w:suppressAutoHyphens/>
      <w:autoSpaceDE w:val="0"/>
      <w:autoSpaceDN w:val="0"/>
      <w:adjustRightInd w:val="0"/>
      <w:spacing w:line="240" w:lineRule="atLeast"/>
    </w:pPr>
    <w:rPr>
      <w:rFonts w:ascii="Courier New" w:hAnsi="Courier New" w:cs="Courier New"/>
      <w:sz w:val="24"/>
      <w:szCs w:val="24"/>
    </w:rPr>
  </w:style>
  <w:style w:type="character" w:customStyle="1" w:styleId="DocInit">
    <w:name w:val="Doc Init"/>
    <w:basedOn w:val="DefaultParagraphFont"/>
    <w:rsid w:val="00FA3607"/>
  </w:style>
  <w:style w:type="character" w:customStyle="1" w:styleId="TechInit">
    <w:name w:val="Tech Init"/>
    <w:basedOn w:val="DefaultParagraphFont"/>
    <w:rsid w:val="00FA3607"/>
    <w:rPr>
      <w:rFonts w:ascii="Courier New" w:hAnsi="Courier New" w:cs="Courier New"/>
      <w:sz w:val="24"/>
      <w:szCs w:val="24"/>
      <w:lang w:val="en-US"/>
    </w:rPr>
  </w:style>
  <w:style w:type="character" w:customStyle="1" w:styleId="Technical5">
    <w:name w:val="Technical 5"/>
    <w:basedOn w:val="DefaultParagraphFont"/>
    <w:rsid w:val="00FA3607"/>
  </w:style>
  <w:style w:type="character" w:customStyle="1" w:styleId="Technical6">
    <w:name w:val="Technical 6"/>
    <w:basedOn w:val="DefaultParagraphFont"/>
    <w:rsid w:val="00FA3607"/>
  </w:style>
  <w:style w:type="character" w:customStyle="1" w:styleId="Technical2">
    <w:name w:val="Technical 2"/>
    <w:basedOn w:val="DefaultParagraphFont"/>
    <w:rsid w:val="00FA3607"/>
    <w:rPr>
      <w:rFonts w:ascii="Courier New" w:hAnsi="Courier New" w:cs="Courier New"/>
      <w:sz w:val="24"/>
      <w:szCs w:val="24"/>
      <w:lang w:val="en-US"/>
    </w:rPr>
  </w:style>
  <w:style w:type="character" w:customStyle="1" w:styleId="Technical3">
    <w:name w:val="Technical 3"/>
    <w:basedOn w:val="DefaultParagraphFont"/>
    <w:rsid w:val="00FA3607"/>
    <w:rPr>
      <w:rFonts w:ascii="Courier New" w:hAnsi="Courier New" w:cs="Courier New"/>
      <w:sz w:val="24"/>
      <w:szCs w:val="24"/>
      <w:lang w:val="en-US"/>
    </w:rPr>
  </w:style>
  <w:style w:type="character" w:customStyle="1" w:styleId="Technical4">
    <w:name w:val="Technical 4"/>
    <w:basedOn w:val="DefaultParagraphFont"/>
    <w:rsid w:val="00FA3607"/>
  </w:style>
  <w:style w:type="character" w:customStyle="1" w:styleId="Technical1">
    <w:name w:val="Technical 1"/>
    <w:basedOn w:val="DefaultParagraphFont"/>
    <w:rsid w:val="00FA3607"/>
    <w:rPr>
      <w:rFonts w:ascii="Courier New" w:hAnsi="Courier New" w:cs="Courier New"/>
      <w:sz w:val="24"/>
      <w:szCs w:val="24"/>
      <w:lang w:val="en-US"/>
    </w:rPr>
  </w:style>
  <w:style w:type="character" w:customStyle="1" w:styleId="Technical7">
    <w:name w:val="Technical 7"/>
    <w:basedOn w:val="DefaultParagraphFont"/>
    <w:rsid w:val="00FA3607"/>
  </w:style>
  <w:style w:type="character" w:customStyle="1" w:styleId="Technical8">
    <w:name w:val="Technical 8"/>
    <w:basedOn w:val="DefaultParagraphFont"/>
    <w:rsid w:val="00FA3607"/>
  </w:style>
  <w:style w:type="paragraph" w:customStyle="1" w:styleId="text">
    <w:name w:val="text"/>
    <w:rsid w:val="00FA3607"/>
    <w:pPr>
      <w:widowControl w:val="0"/>
      <w:tabs>
        <w:tab w:val="left" w:pos="-720"/>
      </w:tabs>
      <w:suppressAutoHyphens/>
      <w:autoSpaceDE w:val="0"/>
      <w:autoSpaceDN w:val="0"/>
      <w:adjustRightInd w:val="0"/>
      <w:spacing w:line="240" w:lineRule="atLeast"/>
      <w:jc w:val="both"/>
    </w:pPr>
    <w:rPr>
      <w:rFonts w:ascii="Bauhaus 93" w:hAnsi="Bauhaus 93"/>
      <w:spacing w:val="-3"/>
      <w:sz w:val="24"/>
      <w:szCs w:val="24"/>
    </w:rPr>
  </w:style>
  <w:style w:type="paragraph" w:customStyle="1" w:styleId="footnotes">
    <w:name w:val="footnotes"/>
    <w:aliases w:val="No Spacing1,footnote"/>
    <w:uiPriority w:val="1"/>
    <w:qFormat/>
    <w:rsid w:val="00FA3607"/>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rsid w:val="00FA3607"/>
  </w:style>
  <w:style w:type="character" w:customStyle="1" w:styleId="EquationCaption">
    <w:name w:val="_Equation Caption"/>
    <w:basedOn w:val="DefaultParagraphFont"/>
    <w:rsid w:val="00FA3607"/>
  </w:style>
  <w:style w:type="paragraph" w:styleId="Header">
    <w:name w:val="header"/>
    <w:basedOn w:val="Normal"/>
    <w:rsid w:val="00FA3607"/>
    <w:pPr>
      <w:tabs>
        <w:tab w:val="left" w:pos="0"/>
        <w:tab w:val="center" w:pos="4320"/>
        <w:tab w:val="right" w:pos="8640"/>
        <w:tab w:val="left" w:pos="9360"/>
      </w:tabs>
      <w:suppressAutoHyphens/>
      <w:spacing w:line="240" w:lineRule="atLeast"/>
    </w:pPr>
  </w:style>
  <w:style w:type="paragraph" w:styleId="Footer">
    <w:name w:val="footer"/>
    <w:basedOn w:val="Normal"/>
    <w:rsid w:val="00FA3607"/>
    <w:pPr>
      <w:tabs>
        <w:tab w:val="left" w:pos="0"/>
        <w:tab w:val="center" w:pos="4320"/>
        <w:tab w:val="right" w:pos="8640"/>
        <w:tab w:val="left" w:pos="9360"/>
      </w:tabs>
      <w:suppressAutoHyphens/>
      <w:spacing w:line="240" w:lineRule="atLeast"/>
    </w:pPr>
  </w:style>
  <w:style w:type="character" w:styleId="PageNumber">
    <w:name w:val="page number"/>
    <w:basedOn w:val="DefaultParagraphFont"/>
    <w:rsid w:val="00FA3607"/>
  </w:style>
  <w:style w:type="paragraph" w:customStyle="1" w:styleId="item">
    <w:name w:val="item"/>
    <w:rsid w:val="00FA360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character" w:customStyle="1" w:styleId="Unnamed1">
    <w:name w:val="Unnamed 1"/>
    <w:basedOn w:val="DefaultParagraphFont"/>
    <w:rsid w:val="00FA3607"/>
    <w:rPr>
      <w:rFonts w:ascii="Courier New" w:hAnsi="Courier New" w:cs="Courier New"/>
      <w:sz w:val="24"/>
      <w:szCs w:val="24"/>
      <w:lang w:val="en-US"/>
    </w:rPr>
  </w:style>
  <w:style w:type="character" w:customStyle="1" w:styleId="14B">
    <w:name w:val="14B"/>
    <w:basedOn w:val="DefaultParagraphFont"/>
    <w:rsid w:val="00FA3607"/>
    <w:rPr>
      <w:rFonts w:ascii="Footlight MT Light" w:hAnsi="Footlight MT Light"/>
      <w:b/>
      <w:bCs/>
      <w:sz w:val="28"/>
      <w:szCs w:val="28"/>
      <w:lang w:val="en-US"/>
    </w:rPr>
  </w:style>
  <w:style w:type="character" w:customStyle="1" w:styleId="12B">
    <w:name w:val="12B"/>
    <w:basedOn w:val="DefaultParagraphFont"/>
    <w:rsid w:val="00FA3607"/>
    <w:rPr>
      <w:rFonts w:ascii="Footlight MT Light" w:hAnsi="Footlight MT Light"/>
      <w:b/>
      <w:bCs/>
      <w:sz w:val="24"/>
      <w:szCs w:val="24"/>
      <w:lang w:val="en-US"/>
    </w:rPr>
  </w:style>
  <w:style w:type="character" w:customStyle="1" w:styleId="18b">
    <w:name w:val="18b"/>
    <w:basedOn w:val="DefaultParagraphFont"/>
    <w:rsid w:val="00FA3607"/>
    <w:rPr>
      <w:rFonts w:ascii="Footlight MT Light" w:hAnsi="Footlight MT Light"/>
      <w:b/>
      <w:bCs/>
      <w:sz w:val="36"/>
      <w:szCs w:val="36"/>
      <w:lang w:val="en-US"/>
    </w:rPr>
  </w:style>
  <w:style w:type="paragraph" w:styleId="TOC1">
    <w:name w:val="toc 1"/>
    <w:basedOn w:val="Normal"/>
    <w:next w:val="Normal"/>
    <w:autoRedefine/>
    <w:semiHidden/>
    <w:rsid w:val="00FA3607"/>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FA3607"/>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FA3607"/>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FA3607"/>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FA3607"/>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FA3607"/>
    <w:pPr>
      <w:tabs>
        <w:tab w:val="right" w:pos="9360"/>
      </w:tabs>
      <w:suppressAutoHyphens/>
      <w:spacing w:line="240" w:lineRule="atLeast"/>
      <w:ind w:left="720" w:hanging="720"/>
    </w:pPr>
  </w:style>
  <w:style w:type="paragraph" w:styleId="TOC7">
    <w:name w:val="toc 7"/>
    <w:basedOn w:val="Normal"/>
    <w:next w:val="Normal"/>
    <w:autoRedefine/>
    <w:semiHidden/>
    <w:rsid w:val="00FA3607"/>
    <w:pPr>
      <w:suppressAutoHyphens/>
      <w:spacing w:line="240" w:lineRule="atLeast"/>
      <w:ind w:left="720" w:hanging="720"/>
    </w:pPr>
  </w:style>
  <w:style w:type="paragraph" w:styleId="TOC8">
    <w:name w:val="toc 8"/>
    <w:basedOn w:val="Normal"/>
    <w:next w:val="Normal"/>
    <w:autoRedefine/>
    <w:semiHidden/>
    <w:rsid w:val="00FA3607"/>
    <w:pPr>
      <w:tabs>
        <w:tab w:val="right" w:pos="9360"/>
      </w:tabs>
      <w:suppressAutoHyphens/>
      <w:spacing w:line="240" w:lineRule="atLeast"/>
      <w:ind w:left="720" w:hanging="720"/>
    </w:pPr>
  </w:style>
  <w:style w:type="paragraph" w:styleId="TOC9">
    <w:name w:val="toc 9"/>
    <w:basedOn w:val="Normal"/>
    <w:next w:val="Normal"/>
    <w:autoRedefine/>
    <w:semiHidden/>
    <w:rsid w:val="00FA3607"/>
    <w:pPr>
      <w:tabs>
        <w:tab w:val="right" w:leader="dot" w:pos="9360"/>
      </w:tabs>
      <w:suppressAutoHyphens/>
      <w:spacing w:line="240" w:lineRule="atLeast"/>
      <w:ind w:left="720" w:hanging="720"/>
    </w:pPr>
  </w:style>
  <w:style w:type="paragraph" w:styleId="Index1">
    <w:name w:val="index 1"/>
    <w:basedOn w:val="Normal"/>
    <w:next w:val="Normal"/>
    <w:autoRedefine/>
    <w:semiHidden/>
    <w:rsid w:val="00FA3607"/>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FA3607"/>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FA3607"/>
    <w:pPr>
      <w:tabs>
        <w:tab w:val="right" w:pos="9360"/>
      </w:tabs>
      <w:suppressAutoHyphens/>
      <w:spacing w:line="240" w:lineRule="atLeast"/>
    </w:pPr>
  </w:style>
  <w:style w:type="paragraph" w:styleId="Caption">
    <w:name w:val="caption"/>
    <w:basedOn w:val="Normal"/>
    <w:next w:val="Normal"/>
    <w:qFormat/>
    <w:rsid w:val="00FA3607"/>
    <w:rPr>
      <w:rFonts w:cs="Times New Roman"/>
      <w:sz w:val="20"/>
    </w:rPr>
  </w:style>
  <w:style w:type="character" w:customStyle="1" w:styleId="EquationCaption1">
    <w:name w:val="_Equation Caption1"/>
    <w:rsid w:val="00FA3607"/>
  </w:style>
  <w:style w:type="paragraph" w:styleId="ListBullet2">
    <w:name w:val="List Bullet 2"/>
    <w:basedOn w:val="Normal"/>
    <w:autoRedefine/>
    <w:rsid w:val="00FA3607"/>
    <w:pPr>
      <w:numPr>
        <w:numId w:val="4"/>
      </w:numPr>
    </w:pPr>
  </w:style>
  <w:style w:type="paragraph" w:styleId="BodyText">
    <w:name w:val="Body Text"/>
    <w:basedOn w:val="Normal"/>
    <w:rsid w:val="00FA3607"/>
    <w:pPr>
      <w:spacing w:after="120"/>
    </w:pPr>
  </w:style>
  <w:style w:type="paragraph" w:styleId="BodyTextIndent">
    <w:name w:val="Body Text Indent"/>
    <w:basedOn w:val="Normal"/>
    <w:rsid w:val="00FA3607"/>
    <w:pPr>
      <w:spacing w:after="120"/>
      <w:ind w:left="360"/>
    </w:pPr>
  </w:style>
  <w:style w:type="paragraph" w:customStyle="1" w:styleId="Style4">
    <w:name w:val="Style4"/>
    <w:basedOn w:val="FootnoteText"/>
    <w:rsid w:val="00FA3607"/>
    <w:pPr>
      <w:widowControl w:val="0"/>
      <w:spacing w:before="120" w:after="0"/>
    </w:pPr>
    <w:rPr>
      <w:rFonts w:cs="Courier New"/>
      <w:sz w:val="20"/>
    </w:rPr>
  </w:style>
  <w:style w:type="paragraph" w:styleId="Title">
    <w:name w:val="Title"/>
    <w:basedOn w:val="Normal"/>
    <w:qFormat/>
    <w:rsid w:val="00FA3607"/>
    <w:pPr>
      <w:spacing w:line="240" w:lineRule="auto"/>
      <w:jc w:val="center"/>
    </w:pPr>
    <w:rPr>
      <w:rFonts w:ascii="Times New Roman" w:hAnsi="Times New Roman" w:cs="Times New Roman"/>
      <w:b/>
      <w:bCs/>
    </w:rPr>
  </w:style>
  <w:style w:type="paragraph" w:styleId="BalloonText">
    <w:name w:val="Balloon Text"/>
    <w:basedOn w:val="Normal"/>
    <w:semiHidden/>
    <w:rsid w:val="00FA19DE"/>
    <w:rPr>
      <w:rFonts w:ascii="Tahoma" w:hAnsi="Tahoma" w:cs="Tahoma"/>
      <w:sz w:val="16"/>
      <w:szCs w:val="16"/>
    </w:rPr>
  </w:style>
  <w:style w:type="character" w:customStyle="1" w:styleId="FootnoteTextChar">
    <w:name w:val="Footnote Text Char"/>
    <w:aliases w:val="fn Char,ft Char,Footnote Text Char Char Char Char Char Char Char Char Char Char Char Char Char Char Char Char Char Char,Footnote Text Char1 Char"/>
    <w:basedOn w:val="DefaultParagraphFont"/>
    <w:link w:val="FootnoteText"/>
    <w:uiPriority w:val="99"/>
    <w:rsid w:val="00397909"/>
    <w:rPr>
      <w:rFonts w:ascii="CG Times" w:hAnsi="CG Times"/>
      <w:sz w:val="22"/>
    </w:rPr>
  </w:style>
  <w:style w:type="character" w:styleId="Hyperlink">
    <w:name w:val="Hyperlink"/>
    <w:basedOn w:val="DefaultParagraphFont"/>
    <w:uiPriority w:val="99"/>
    <w:rsid w:val="007F774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pacing w:line="480" w:lineRule="auto"/>
    </w:pPr>
    <w:rPr>
      <w:rFonts w:ascii="CG Times" w:hAnsi="CG Times" w:cs="Courier New"/>
      <w:sz w:val="24"/>
      <w:szCs w:val="24"/>
    </w:rPr>
  </w:style>
  <w:style w:type="paragraph" w:styleId="Heading1">
    <w:name w:val="heading 1"/>
    <w:basedOn w:val="Normal"/>
    <w:next w:val="Normal"/>
    <w:qFormat/>
    <w:pPr>
      <w:keepNext/>
      <w:numPr>
        <w:numId w:val="2"/>
      </w:numPr>
      <w:spacing w:before="240" w:after="60"/>
      <w:outlineLvl w:val="0"/>
    </w:pPr>
    <w:rPr>
      <w:rFonts w:ascii="CG Times Bold" w:hAnsi="CG Times Bold" w:cs="Arial"/>
      <w:b/>
      <w:bCs/>
      <w:caps/>
      <w:kern w:val="32"/>
      <w:szCs w:val="32"/>
    </w:rPr>
  </w:style>
  <w:style w:type="paragraph" w:styleId="Heading2">
    <w:name w:val="heading 2"/>
    <w:basedOn w:val="Normal"/>
    <w:next w:val="Normal"/>
    <w:qFormat/>
    <w:pPr>
      <w:keepNext/>
      <w:ind w:firstLine="720"/>
      <w:outlineLvl w:val="1"/>
    </w:pPr>
    <w:rPr>
      <w:rFonts w:ascii="CG Times Bold" w:hAnsi="CG Times Bold" w:cs="Arial"/>
      <w:b/>
      <w:bCs/>
      <w:iCs/>
      <w:szCs w:val="28"/>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0"/>
    </w:rPr>
  </w:style>
  <w:style w:type="character" w:styleId="EndnoteReference">
    <w:name w:val="endnote reference"/>
    <w:basedOn w:val="DefaultParagraphFont"/>
    <w:semiHidden/>
    <w:rPr>
      <w:rFonts w:ascii="Courier New" w:hAnsi="Courier New" w:cs="Courier New"/>
      <w:sz w:val="24"/>
      <w:szCs w:val="24"/>
      <w:vertAlign w:val="superscript"/>
      <w:lang w:val="en-US"/>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Footnote Text Char1"/>
    <w:basedOn w:val="Normal"/>
    <w:link w:val="FootnoteTextChar"/>
    <w:qFormat/>
    <w:pPr>
      <w:tabs>
        <w:tab w:val="left" w:pos="-720"/>
      </w:tabs>
      <w:suppressAutoHyphens/>
      <w:spacing w:after="120" w:line="240" w:lineRule="auto"/>
      <w:ind w:left="720" w:hanging="720"/>
    </w:pPr>
    <w:rPr>
      <w:rFonts w:cs="Times New Roman"/>
      <w:sz w:val="22"/>
      <w:szCs w:val="20"/>
    </w:rPr>
  </w:style>
  <w:style w:type="character" w:styleId="FootnoteReference">
    <w:name w:val="footnote reference"/>
    <w:aliases w:val="fr,Style 19,Style 16"/>
    <w:basedOn w:val="DefaultParagraphFont"/>
    <w:rPr>
      <w:rFonts w:ascii="CG Times" w:hAnsi="CG Times" w:cs="Courier New"/>
      <w:sz w:val="24"/>
      <w:szCs w:val="24"/>
      <w:vertAlign w:val="superscript"/>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style>
  <w:style w:type="character" w:customStyle="1" w:styleId="1">
    <w:name w:val="1"/>
    <w:basedOn w:val="DefaultParagraphFont"/>
    <w:rPr>
      <w:rFonts w:ascii="Courier New" w:hAnsi="Courier New" w:cs="Courier New"/>
      <w:sz w:val="24"/>
      <w:szCs w:val="24"/>
      <w:lang w:val="en-US"/>
    </w:rPr>
  </w:style>
  <w:style w:type="character" w:customStyle="1" w:styleId="Document8">
    <w:name w:val="Document 8"/>
    <w:basedOn w:val="DefaultParagraphFont"/>
  </w:style>
  <w:style w:type="character" w:customStyle="1" w:styleId="Document4">
    <w:name w:val="Document 4"/>
    <w:basedOn w:val="DefaultParagraphFont"/>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New" w:hAnsi="Courier New" w:cs="Courier New"/>
      <w:sz w:val="24"/>
      <w:szCs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ourier New" w:hAnsi="Courier New" w:cs="Courier New"/>
      <w:sz w:val="24"/>
      <w:szCs w:val="24"/>
    </w:rPr>
  </w:style>
  <w:style w:type="character" w:customStyle="1" w:styleId="DocInit">
    <w:name w:val="Doc Init"/>
    <w:basedOn w:val="DefaultParagraphFont"/>
  </w:style>
  <w:style w:type="character" w:customStyle="1" w:styleId="TechInit">
    <w:name w:val="Tech Init"/>
    <w:basedOn w:val="DefaultParagraphFon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New" w:hAnsi="Courier New" w:cs="Courier New"/>
      <w:sz w:val="24"/>
      <w:szCs w:val="24"/>
      <w:lang w:val="en-US"/>
    </w:rPr>
  </w:style>
  <w:style w:type="character" w:customStyle="1" w:styleId="Technical3">
    <w:name w:val="Technical 3"/>
    <w:basedOn w:val="DefaultParagraphFont"/>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text">
    <w:name w:val="text"/>
    <w:pPr>
      <w:widowControl w:val="0"/>
      <w:tabs>
        <w:tab w:val="left" w:pos="-720"/>
      </w:tabs>
      <w:suppressAutoHyphens/>
      <w:autoSpaceDE w:val="0"/>
      <w:autoSpaceDN w:val="0"/>
      <w:adjustRightInd w:val="0"/>
      <w:spacing w:line="240" w:lineRule="atLeast"/>
      <w:jc w:val="both"/>
    </w:pPr>
    <w:rPr>
      <w:rFonts w:ascii="Bauhaus 93" w:hAnsi="Bauhaus 93"/>
      <w:spacing w:val="-3"/>
      <w:sz w:val="24"/>
      <w:szCs w:val="24"/>
    </w:rPr>
  </w:style>
  <w:style w:type="paragraph" w:customStyle="1" w:styleId="footnotes">
    <w:name w:val="footnotes"/>
    <w:aliases w:val="No Spacing1,footnote"/>
    <w:uiPriority w:val="1"/>
    <w:qFormat/>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Header">
    <w:name w:val="header"/>
    <w:basedOn w:val="Normal"/>
    <w:pPr>
      <w:tabs>
        <w:tab w:val="left" w:pos="0"/>
        <w:tab w:val="center" w:pos="4320"/>
        <w:tab w:val="right" w:pos="8640"/>
        <w:tab w:val="left" w:pos="9360"/>
      </w:tabs>
      <w:suppressAutoHyphens/>
      <w:spacing w:line="240" w:lineRule="atLeast"/>
    </w:pPr>
  </w:style>
  <w:style w:type="paragraph" w:styleId="Footer">
    <w:name w:val="footer"/>
    <w:basedOn w:val="Normal"/>
    <w:pPr>
      <w:tabs>
        <w:tab w:val="left" w:pos="0"/>
        <w:tab w:val="center" w:pos="4320"/>
        <w:tab w:val="right" w:pos="8640"/>
        <w:tab w:val="left" w:pos="9360"/>
      </w:tabs>
      <w:suppressAutoHyphens/>
      <w:spacing w:line="240" w:lineRule="atLeast"/>
    </w:pPr>
  </w:style>
  <w:style w:type="character" w:styleId="PageNumber">
    <w:name w:val="page number"/>
    <w:basedOn w:val="DefaultParagraphFont"/>
  </w:style>
  <w:style w:type="paragraph" w:customStyle="1" w:styleId="item">
    <w:name w:val="item"/>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New" w:hAnsi="Courier New" w:cs="Courier New"/>
      <w:spacing w:val="-3"/>
      <w:sz w:val="24"/>
      <w:szCs w:val="24"/>
    </w:rPr>
  </w:style>
  <w:style w:type="character" w:customStyle="1" w:styleId="Unnamed1">
    <w:name w:val="Unnamed 1"/>
    <w:basedOn w:val="DefaultParagraphFont"/>
    <w:rPr>
      <w:rFonts w:ascii="Courier New" w:hAnsi="Courier New" w:cs="Courier New"/>
      <w:sz w:val="24"/>
      <w:szCs w:val="24"/>
      <w:lang w:val="en-US"/>
    </w:rPr>
  </w:style>
  <w:style w:type="character" w:customStyle="1" w:styleId="14B">
    <w:name w:val="14B"/>
    <w:basedOn w:val="DefaultParagraphFont"/>
    <w:rPr>
      <w:rFonts w:ascii="Footlight MT Light" w:hAnsi="Footlight MT Light"/>
      <w:b/>
      <w:bCs/>
      <w:sz w:val="28"/>
      <w:szCs w:val="28"/>
      <w:lang w:val="en-US"/>
    </w:rPr>
  </w:style>
  <w:style w:type="character" w:customStyle="1" w:styleId="12B">
    <w:name w:val="12B"/>
    <w:basedOn w:val="DefaultParagraphFont"/>
    <w:rPr>
      <w:rFonts w:ascii="Footlight MT Light" w:hAnsi="Footlight MT Light"/>
      <w:b/>
      <w:bCs/>
      <w:sz w:val="24"/>
      <w:szCs w:val="24"/>
      <w:lang w:val="en-US"/>
    </w:rPr>
  </w:style>
  <w:style w:type="character" w:customStyle="1" w:styleId="18b">
    <w:name w:val="18b"/>
    <w:basedOn w:val="DefaultParagraphFont"/>
    <w:rPr>
      <w:rFonts w:ascii="Footlight MT Light" w:hAnsi="Footlight MT Light"/>
      <w:b/>
      <w:bCs/>
      <w:sz w:val="36"/>
      <w:szCs w:val="36"/>
      <w:lang w:val="en-US"/>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1">
    <w:name w:val="_Equation Caption1"/>
  </w:style>
  <w:style w:type="paragraph" w:styleId="ListBullet2">
    <w:name w:val="List Bullet 2"/>
    <w:basedOn w:val="Normal"/>
    <w:autoRedefine/>
    <w:pPr>
      <w:numPr>
        <w:numId w:val="4"/>
      </w:numPr>
    </w:p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customStyle="1" w:styleId="Style4">
    <w:name w:val="Style4"/>
    <w:basedOn w:val="FootnoteText"/>
    <w:pPr>
      <w:widowControl w:val="0"/>
      <w:spacing w:before="120" w:after="0"/>
    </w:pPr>
    <w:rPr>
      <w:rFonts w:cs="Courier New"/>
      <w:sz w:val="20"/>
    </w:rPr>
  </w:style>
  <w:style w:type="paragraph" w:styleId="Title">
    <w:name w:val="Title"/>
    <w:basedOn w:val="Normal"/>
    <w:qFormat/>
    <w:pPr>
      <w:spacing w:line="240" w:lineRule="auto"/>
      <w:jc w:val="center"/>
    </w:pPr>
    <w:rPr>
      <w:rFonts w:ascii="Times New Roman" w:hAnsi="Times New Roman" w:cs="Times New Roman"/>
      <w:b/>
      <w:bCs/>
    </w:rPr>
  </w:style>
  <w:style w:type="paragraph" w:styleId="BalloonText">
    <w:name w:val="Balloon Text"/>
    <w:basedOn w:val="Normal"/>
    <w:semiHidden/>
    <w:rsid w:val="00FA19DE"/>
    <w:rPr>
      <w:rFonts w:ascii="Tahoma" w:hAnsi="Tahoma" w:cs="Tahoma"/>
      <w:sz w:val="16"/>
      <w:szCs w:val="16"/>
    </w:rPr>
  </w:style>
  <w:style w:type="character" w:customStyle="1" w:styleId="FootnoteTextChar">
    <w:name w:val="Footnote Text Char"/>
    <w:aliases w:val="fn Char,ft Char,Footnote Text Char Char Char Char Char Char Char Char Char Char Char Char Char Char Char Char Char Char,Footnote Text Char1 Char"/>
    <w:basedOn w:val="DefaultParagraphFont"/>
    <w:link w:val="FootnoteText"/>
    <w:rsid w:val="00397909"/>
    <w:rPr>
      <w:rFonts w:ascii="CG Times" w:hAnsi="CG Times"/>
      <w:sz w:val="22"/>
    </w:rPr>
  </w:style>
  <w:style w:type="character" w:styleId="Hyperlink">
    <w:name w:val="Hyperlink"/>
    <w:basedOn w:val="DefaultParagraphFont"/>
    <w:uiPriority w:val="99"/>
    <w:rsid w:val="007F774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43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tc.gov/opa/2010/05/redflags.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CharactersWithSpaces>
  <SharedDoc>false</SharedDoc>
  <HLinks>
    <vt:vector size="6" baseType="variant">
      <vt:variant>
        <vt:i4>1966108</vt:i4>
      </vt:variant>
      <vt:variant>
        <vt:i4>0</vt:i4>
      </vt:variant>
      <vt:variant>
        <vt:i4>0</vt:i4>
      </vt:variant>
      <vt:variant>
        <vt:i4>5</vt:i4>
      </vt:variant>
      <vt:variant>
        <vt:lpwstr>http://www.ftc.gov/opa/2010/05/redflags.shtm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2013-06-26T15:38:00Z</dcterms:created>
  <dcterms:modified xsi:type="dcterms:W3CDTF">2013-06-26T15:38:00Z</dcterms:modified>
</cp:coreProperties>
</file>