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8D" w:rsidRDefault="00EF7C8D" w:rsidP="008878B3">
      <w:pPr>
        <w:rPr>
          <w:rFonts w:ascii="Times New Roman" w:hAnsi="Times New Roman"/>
          <w:sz w:val="24"/>
          <w:szCs w:val="24"/>
        </w:rPr>
      </w:pPr>
      <w:r w:rsidRPr="008878B3">
        <w:rPr>
          <w:rFonts w:ascii="Times New Roman" w:hAnsi="Times New Roman"/>
          <w:b/>
          <w:sz w:val="24"/>
          <w:szCs w:val="24"/>
        </w:rPr>
        <w:t>Evaluation of the Program for Enhanced Review Transparency and Communication for New Molecular Entity New Drug Applications and Original Biologics License Applications in Prescription Drug User Fee Acts</w:t>
      </w:r>
    </w:p>
    <w:p w:rsidR="00EF7C8D" w:rsidRDefault="00EF7C8D" w:rsidP="00843F3C">
      <w:pPr>
        <w:spacing w:after="0"/>
        <w:jc w:val="center"/>
        <w:rPr>
          <w:rFonts w:ascii="Times New Roman" w:hAnsi="Times New Roman"/>
          <w:sz w:val="24"/>
          <w:szCs w:val="24"/>
        </w:rPr>
      </w:pPr>
      <w:r>
        <w:rPr>
          <w:rFonts w:ascii="Times New Roman" w:hAnsi="Times New Roman"/>
          <w:sz w:val="24"/>
          <w:szCs w:val="24"/>
        </w:rPr>
        <w:t>0910-NEW</w:t>
      </w:r>
    </w:p>
    <w:p w:rsidR="00EF7C8D" w:rsidRDefault="00EF7C8D" w:rsidP="00843F3C">
      <w:pPr>
        <w:spacing w:after="0"/>
        <w:jc w:val="center"/>
        <w:rPr>
          <w:rFonts w:ascii="Times New Roman" w:hAnsi="Times New Roman"/>
          <w:sz w:val="24"/>
          <w:szCs w:val="24"/>
        </w:rPr>
      </w:pPr>
      <w:r>
        <w:rPr>
          <w:rFonts w:ascii="Times New Roman" w:hAnsi="Times New Roman"/>
          <w:sz w:val="24"/>
          <w:szCs w:val="24"/>
        </w:rPr>
        <w:t>SUPPORTING STATEMENT</w:t>
      </w:r>
    </w:p>
    <w:p w:rsidR="00EF7C8D" w:rsidRDefault="00EF7C8D" w:rsidP="00843F3C">
      <w:pPr>
        <w:spacing w:after="0"/>
        <w:jc w:val="center"/>
        <w:rPr>
          <w:rFonts w:ascii="Times New Roman" w:hAnsi="Times New Roman"/>
          <w:sz w:val="24"/>
          <w:szCs w:val="24"/>
        </w:rPr>
      </w:pPr>
    </w:p>
    <w:p w:rsidR="00EF7C8D" w:rsidRDefault="0051559E" w:rsidP="008878B3">
      <w:pPr>
        <w:spacing w:after="0"/>
        <w:rPr>
          <w:rFonts w:ascii="Times New Roman" w:hAnsi="Times New Roman"/>
          <w:sz w:val="24"/>
          <w:szCs w:val="24"/>
        </w:rPr>
      </w:pPr>
      <w:r>
        <w:rPr>
          <w:rFonts w:ascii="Times New Roman" w:hAnsi="Times New Roman"/>
          <w:b/>
          <w:sz w:val="24"/>
          <w:szCs w:val="24"/>
        </w:rPr>
        <w:t xml:space="preserve">Terms of Clearance:   </w:t>
      </w:r>
      <w:r w:rsidRPr="008878B3">
        <w:rPr>
          <w:rFonts w:ascii="Times New Roman" w:hAnsi="Times New Roman"/>
          <w:sz w:val="24"/>
          <w:szCs w:val="24"/>
        </w:rPr>
        <w:t>None.</w:t>
      </w:r>
    </w:p>
    <w:p w:rsidR="00EF7C8D" w:rsidRDefault="00EF7C8D" w:rsidP="00843F3C">
      <w:pPr>
        <w:spacing w:after="0"/>
        <w:jc w:val="center"/>
        <w:rPr>
          <w:rFonts w:ascii="Times New Roman" w:hAnsi="Times New Roman"/>
          <w:sz w:val="24"/>
          <w:szCs w:val="24"/>
        </w:rPr>
      </w:pPr>
    </w:p>
    <w:p w:rsidR="00EF7C8D" w:rsidRPr="00843F3C" w:rsidRDefault="00EF7C8D" w:rsidP="00843F3C">
      <w:pPr>
        <w:pStyle w:val="ListParagraph"/>
        <w:numPr>
          <w:ilvl w:val="0"/>
          <w:numId w:val="42"/>
        </w:numPr>
        <w:spacing w:after="0"/>
        <w:rPr>
          <w:rFonts w:ascii="Times New Roman" w:hAnsi="Times New Roman"/>
          <w:b/>
          <w:sz w:val="24"/>
          <w:szCs w:val="24"/>
        </w:rPr>
      </w:pPr>
      <w:r w:rsidRPr="00EF7C8D">
        <w:rPr>
          <w:rFonts w:ascii="Times New Roman" w:hAnsi="Times New Roman"/>
          <w:b/>
          <w:sz w:val="24"/>
          <w:szCs w:val="24"/>
        </w:rPr>
        <w:t>Justification</w:t>
      </w:r>
    </w:p>
    <w:p w:rsidR="00E1215C" w:rsidRDefault="006418B2" w:rsidP="008878B3">
      <w:pPr>
        <w:pStyle w:val="OMBPackageHeading2"/>
        <w:ind w:left="540"/>
        <w:rPr>
          <w:rFonts w:ascii="Times New Roman" w:hAnsi="Times New Roman"/>
          <w:b w:val="0"/>
          <w:color w:val="auto"/>
          <w:sz w:val="24"/>
          <w:u w:val="single"/>
        </w:rPr>
      </w:pPr>
      <w:bookmarkStart w:id="0" w:name="_Toc322005780"/>
      <w:r w:rsidRPr="008878B3">
        <w:rPr>
          <w:rFonts w:ascii="Times New Roman" w:hAnsi="Times New Roman"/>
          <w:b w:val="0"/>
          <w:color w:val="auto"/>
          <w:sz w:val="24"/>
          <w:u w:val="single"/>
        </w:rPr>
        <w:t xml:space="preserve">Circumstances </w:t>
      </w:r>
      <w:r w:rsidR="00EF7C8D" w:rsidRPr="008878B3">
        <w:rPr>
          <w:rFonts w:ascii="Times New Roman" w:hAnsi="Times New Roman"/>
          <w:b w:val="0"/>
          <w:color w:val="auto"/>
          <w:sz w:val="24"/>
          <w:u w:val="single"/>
        </w:rPr>
        <w:t xml:space="preserve">Making the Collection of Information </w:t>
      </w:r>
      <w:r w:rsidRPr="008878B3">
        <w:rPr>
          <w:rFonts w:ascii="Times New Roman" w:hAnsi="Times New Roman"/>
          <w:b w:val="0"/>
          <w:color w:val="auto"/>
          <w:sz w:val="24"/>
          <w:u w:val="single"/>
        </w:rPr>
        <w:t>Necess</w:t>
      </w:r>
      <w:r w:rsidR="00EF7C8D" w:rsidRPr="008878B3">
        <w:rPr>
          <w:rFonts w:ascii="Times New Roman" w:hAnsi="Times New Roman"/>
          <w:b w:val="0"/>
          <w:color w:val="auto"/>
          <w:sz w:val="24"/>
          <w:u w:val="single"/>
        </w:rPr>
        <w:t>ary</w:t>
      </w:r>
      <w:bookmarkEnd w:id="0"/>
    </w:p>
    <w:p w:rsidR="00E1215C" w:rsidRDefault="00E1215C" w:rsidP="008878B3">
      <w:pPr>
        <w:pStyle w:val="OMBPackageHeading2"/>
        <w:numPr>
          <w:ilvl w:val="0"/>
          <w:numId w:val="0"/>
        </w:numPr>
        <w:ind w:left="540"/>
        <w:rPr>
          <w:rFonts w:ascii="Times New Roman" w:hAnsi="Times New Roman"/>
          <w:b w:val="0"/>
          <w:color w:val="auto"/>
          <w:sz w:val="24"/>
          <w:u w:val="single"/>
        </w:rPr>
      </w:pPr>
    </w:p>
    <w:p w:rsidR="006418B2" w:rsidRPr="008878B3" w:rsidRDefault="00E1215C" w:rsidP="008878B3">
      <w:pPr>
        <w:pStyle w:val="OMBPackageHeading2"/>
        <w:numPr>
          <w:ilvl w:val="0"/>
          <w:numId w:val="0"/>
        </w:numPr>
        <w:ind w:left="540"/>
        <w:rPr>
          <w:rFonts w:ascii="Times New Roman" w:hAnsi="Times New Roman"/>
          <w:b w:val="0"/>
          <w:color w:val="auto"/>
          <w:sz w:val="24"/>
        </w:rPr>
      </w:pPr>
      <w:r w:rsidRPr="008878B3">
        <w:rPr>
          <w:rFonts w:ascii="Times New Roman" w:hAnsi="Times New Roman"/>
          <w:b w:val="0"/>
          <w:color w:val="auto"/>
          <w:sz w:val="24"/>
        </w:rPr>
        <w:t>P</w:t>
      </w:r>
      <w:r w:rsidR="005A5E64" w:rsidRPr="008878B3">
        <w:rPr>
          <w:rFonts w:ascii="Times New Roman" w:hAnsi="Times New Roman"/>
          <w:b w:val="0"/>
          <w:color w:val="auto"/>
          <w:sz w:val="24"/>
        </w:rPr>
        <w:t>ursuant to</w:t>
      </w:r>
      <w:r w:rsidR="00424D1B" w:rsidRPr="008878B3">
        <w:rPr>
          <w:rFonts w:ascii="Times New Roman" w:hAnsi="Times New Roman"/>
          <w:b w:val="0"/>
          <w:color w:val="auto"/>
          <w:sz w:val="24"/>
        </w:rPr>
        <w:t xml:space="preserve"> the requirements of the Paperwork Reduction Act (44 USC 35) and Public Law, No. 112-144, 126 Stat. 993 (also known as the Food and Drug Administration Safety and Innovation Act, or FDASIA)</w:t>
      </w:r>
      <w:r w:rsidR="005A5E64" w:rsidRPr="008878B3">
        <w:rPr>
          <w:rFonts w:ascii="Times New Roman" w:hAnsi="Times New Roman"/>
          <w:b w:val="0"/>
          <w:color w:val="auto"/>
          <w:sz w:val="24"/>
        </w:rPr>
        <w:t xml:space="preserve">, </w:t>
      </w:r>
      <w:r w:rsidR="00424D1B" w:rsidRPr="008878B3">
        <w:rPr>
          <w:rFonts w:ascii="Times New Roman" w:hAnsi="Times New Roman"/>
          <w:b w:val="0"/>
          <w:color w:val="auto"/>
          <w:sz w:val="24"/>
        </w:rPr>
        <w:t>the Food and Drug Administration</w:t>
      </w:r>
      <w:r w:rsidR="005A5E64" w:rsidRPr="008878B3">
        <w:rPr>
          <w:rFonts w:ascii="Times New Roman" w:hAnsi="Times New Roman"/>
          <w:b w:val="0"/>
          <w:color w:val="auto"/>
          <w:sz w:val="24"/>
        </w:rPr>
        <w:t xml:space="preserve"> </w:t>
      </w:r>
      <w:r w:rsidR="00763D8E">
        <w:rPr>
          <w:rFonts w:ascii="Times New Roman" w:hAnsi="Times New Roman"/>
          <w:b w:val="0"/>
          <w:color w:val="auto"/>
          <w:sz w:val="24"/>
        </w:rPr>
        <w:t xml:space="preserve">(FDA) </w:t>
      </w:r>
      <w:r w:rsidR="005A5E64" w:rsidRPr="008878B3">
        <w:rPr>
          <w:rFonts w:ascii="Times New Roman" w:hAnsi="Times New Roman"/>
          <w:b w:val="0"/>
          <w:color w:val="auto"/>
          <w:sz w:val="24"/>
        </w:rPr>
        <w:t xml:space="preserve">is requesting </w:t>
      </w:r>
      <w:r w:rsidR="00424D1B" w:rsidRPr="008878B3">
        <w:rPr>
          <w:rFonts w:ascii="Times New Roman" w:hAnsi="Times New Roman"/>
          <w:b w:val="0"/>
          <w:color w:val="auto"/>
          <w:sz w:val="24"/>
        </w:rPr>
        <w:t>Office of Management and Budget (OMB)</w:t>
      </w:r>
      <w:r w:rsidR="005A5E64" w:rsidRPr="008878B3">
        <w:rPr>
          <w:rFonts w:ascii="Times New Roman" w:hAnsi="Times New Roman"/>
          <w:b w:val="0"/>
          <w:color w:val="auto"/>
          <w:sz w:val="24"/>
        </w:rPr>
        <w:t xml:space="preserve"> approval of the information request </w:t>
      </w:r>
      <w:r w:rsidR="00763D8E">
        <w:rPr>
          <w:rFonts w:ascii="Times New Roman" w:hAnsi="Times New Roman"/>
          <w:b w:val="0"/>
          <w:color w:val="auto"/>
          <w:sz w:val="24"/>
        </w:rPr>
        <w:t>that FDA committed to</w:t>
      </w:r>
      <w:r w:rsidR="00424D1B" w:rsidRPr="008878B3">
        <w:rPr>
          <w:rFonts w:ascii="Times New Roman" w:hAnsi="Times New Roman"/>
          <w:b w:val="0"/>
          <w:color w:val="auto"/>
          <w:sz w:val="24"/>
        </w:rPr>
        <w:t xml:space="preserve"> in </w:t>
      </w:r>
      <w:r w:rsidR="00763D8E">
        <w:rPr>
          <w:rFonts w:ascii="Times New Roman" w:hAnsi="Times New Roman"/>
          <w:b w:val="0"/>
          <w:color w:val="auto"/>
          <w:sz w:val="24"/>
        </w:rPr>
        <w:t xml:space="preserve">Section II.B of </w:t>
      </w:r>
      <w:r w:rsidR="00424D1B" w:rsidRPr="008878B3">
        <w:rPr>
          <w:rFonts w:ascii="Times New Roman" w:hAnsi="Times New Roman"/>
          <w:b w:val="0"/>
          <w:color w:val="auto"/>
          <w:sz w:val="24"/>
        </w:rPr>
        <w:t xml:space="preserve">the </w:t>
      </w:r>
      <w:r w:rsidR="00763D8E" w:rsidRPr="008878B3">
        <w:rPr>
          <w:rFonts w:ascii="Times New Roman" w:hAnsi="Times New Roman"/>
          <w:b w:val="0"/>
          <w:color w:val="auto"/>
          <w:sz w:val="24"/>
        </w:rPr>
        <w:t>Prescription Drug User Fee Act</w:t>
      </w:r>
      <w:r w:rsidR="00763D8E" w:rsidRPr="008878B3">
        <w:rPr>
          <w:rFonts w:ascii="Times New Roman" w:hAnsi="Times New Roman"/>
          <w:color w:val="auto"/>
          <w:sz w:val="24"/>
        </w:rPr>
        <w:t xml:space="preserve"> </w:t>
      </w:r>
      <w:r w:rsidR="00763D8E">
        <w:rPr>
          <w:rFonts w:ascii="Times New Roman" w:hAnsi="Times New Roman"/>
          <w:color w:val="auto"/>
          <w:sz w:val="24"/>
        </w:rPr>
        <w:t>(</w:t>
      </w:r>
      <w:r w:rsidR="00424D1B" w:rsidRPr="008878B3">
        <w:rPr>
          <w:rFonts w:ascii="Times New Roman" w:hAnsi="Times New Roman"/>
          <w:b w:val="0"/>
          <w:color w:val="auto"/>
          <w:sz w:val="24"/>
        </w:rPr>
        <w:t>PDUFA</w:t>
      </w:r>
      <w:r w:rsidR="00763D8E">
        <w:rPr>
          <w:rFonts w:ascii="Times New Roman" w:hAnsi="Times New Roman"/>
          <w:b w:val="0"/>
          <w:color w:val="auto"/>
          <w:sz w:val="24"/>
        </w:rPr>
        <w:t>)</w:t>
      </w:r>
      <w:r w:rsidR="00424D1B" w:rsidRPr="008878B3">
        <w:rPr>
          <w:rFonts w:ascii="Times New Roman" w:hAnsi="Times New Roman"/>
          <w:b w:val="0"/>
          <w:color w:val="auto"/>
          <w:sz w:val="24"/>
        </w:rPr>
        <w:t xml:space="preserve"> Reauthorization Performance Goals and Procedures Fiscal Years 2013 Through 2017 letter (“Commitment Letter”).</w:t>
      </w:r>
      <w:r w:rsidR="008A145E" w:rsidRPr="006660C0">
        <w:rPr>
          <w:rFonts w:ascii="Times New Roman" w:hAnsi="Times New Roman"/>
          <w:b w:val="0"/>
          <w:color w:val="auto"/>
          <w:sz w:val="24"/>
        </w:rPr>
        <w:t xml:space="preserve"> </w:t>
      </w:r>
      <w:r w:rsidR="006660C0" w:rsidRPr="006660C0">
        <w:rPr>
          <w:rFonts w:ascii="Times New Roman" w:hAnsi="Times New Roman"/>
          <w:b w:val="0"/>
          <w:color w:val="auto"/>
          <w:sz w:val="24"/>
        </w:rPr>
        <w:t xml:space="preserve">In accordance with </w:t>
      </w:r>
      <w:r w:rsidR="00501CF5">
        <w:rPr>
          <w:rFonts w:ascii="Times New Roman" w:hAnsi="Times New Roman"/>
          <w:b w:val="0"/>
          <w:color w:val="auto"/>
          <w:sz w:val="24"/>
        </w:rPr>
        <w:t xml:space="preserve">earlier sections of </w:t>
      </w:r>
      <w:r w:rsidR="006660C0" w:rsidRPr="006660C0">
        <w:rPr>
          <w:rFonts w:ascii="Times New Roman" w:hAnsi="Times New Roman"/>
          <w:b w:val="0"/>
          <w:color w:val="auto"/>
          <w:sz w:val="24"/>
        </w:rPr>
        <w:t xml:space="preserve">the Commitment Letter, FDA </w:t>
      </w:r>
      <w:r w:rsidR="006660C0" w:rsidRPr="008878B3">
        <w:rPr>
          <w:rFonts w:ascii="Times New Roman" w:hAnsi="Times New Roman"/>
          <w:b w:val="0"/>
          <w:color w:val="auto"/>
          <w:sz w:val="24"/>
        </w:rPr>
        <w:t xml:space="preserve">established </w:t>
      </w:r>
      <w:r w:rsidR="006660C0">
        <w:rPr>
          <w:rFonts w:ascii="Times New Roman" w:hAnsi="Times New Roman"/>
          <w:b w:val="0"/>
          <w:color w:val="auto"/>
          <w:sz w:val="24"/>
        </w:rPr>
        <w:t>a new review model</w:t>
      </w:r>
      <w:r w:rsidR="006660C0" w:rsidRPr="008878B3">
        <w:rPr>
          <w:rFonts w:ascii="Times New Roman" w:hAnsi="Times New Roman"/>
          <w:b w:val="0"/>
          <w:color w:val="auto"/>
          <w:sz w:val="24"/>
        </w:rPr>
        <w:t xml:space="preserve"> for </w:t>
      </w:r>
      <w:r w:rsidR="006660C0">
        <w:rPr>
          <w:rFonts w:ascii="Times New Roman" w:hAnsi="Times New Roman"/>
          <w:b w:val="0"/>
          <w:color w:val="auto"/>
          <w:sz w:val="24"/>
        </w:rPr>
        <w:t>e</w:t>
      </w:r>
      <w:r w:rsidR="006660C0" w:rsidRPr="008878B3">
        <w:rPr>
          <w:rFonts w:ascii="Times New Roman" w:hAnsi="Times New Roman"/>
          <w:b w:val="0"/>
          <w:color w:val="auto"/>
          <w:sz w:val="24"/>
        </w:rPr>
        <w:t xml:space="preserve">nhanced </w:t>
      </w:r>
      <w:r w:rsidR="006660C0">
        <w:rPr>
          <w:rFonts w:ascii="Times New Roman" w:hAnsi="Times New Roman"/>
          <w:b w:val="0"/>
          <w:color w:val="auto"/>
          <w:sz w:val="24"/>
        </w:rPr>
        <w:t>r</w:t>
      </w:r>
      <w:r w:rsidR="006660C0" w:rsidRPr="008878B3">
        <w:rPr>
          <w:rFonts w:ascii="Times New Roman" w:hAnsi="Times New Roman"/>
          <w:b w:val="0"/>
          <w:color w:val="auto"/>
          <w:sz w:val="24"/>
        </w:rPr>
        <w:t xml:space="preserve">eview </w:t>
      </w:r>
      <w:r w:rsidR="006660C0">
        <w:rPr>
          <w:rFonts w:ascii="Times New Roman" w:hAnsi="Times New Roman"/>
          <w:b w:val="0"/>
          <w:color w:val="auto"/>
          <w:sz w:val="24"/>
        </w:rPr>
        <w:t>t</w:t>
      </w:r>
      <w:r w:rsidR="006660C0" w:rsidRPr="008878B3">
        <w:rPr>
          <w:rFonts w:ascii="Times New Roman" w:hAnsi="Times New Roman"/>
          <w:b w:val="0"/>
          <w:color w:val="auto"/>
          <w:sz w:val="24"/>
        </w:rPr>
        <w:t xml:space="preserve">ransparency and </w:t>
      </w:r>
      <w:r w:rsidR="006660C0">
        <w:rPr>
          <w:rFonts w:ascii="Times New Roman" w:hAnsi="Times New Roman"/>
          <w:b w:val="0"/>
          <w:color w:val="auto"/>
          <w:sz w:val="24"/>
        </w:rPr>
        <w:t>c</w:t>
      </w:r>
      <w:r w:rsidR="006660C0" w:rsidRPr="008878B3">
        <w:rPr>
          <w:rFonts w:ascii="Times New Roman" w:hAnsi="Times New Roman"/>
          <w:b w:val="0"/>
          <w:color w:val="auto"/>
          <w:sz w:val="24"/>
        </w:rPr>
        <w:t xml:space="preserve">ommunication </w:t>
      </w:r>
      <w:r w:rsidR="006660C0" w:rsidRPr="006660C0">
        <w:rPr>
          <w:rFonts w:ascii="Times New Roman" w:hAnsi="Times New Roman"/>
          <w:b w:val="0"/>
          <w:color w:val="auto"/>
          <w:sz w:val="24"/>
        </w:rPr>
        <w:t xml:space="preserve">for </w:t>
      </w:r>
      <w:r w:rsidR="006660C0" w:rsidRPr="008878B3">
        <w:rPr>
          <w:rFonts w:ascii="Times New Roman" w:hAnsi="Times New Roman"/>
          <w:b w:val="0"/>
          <w:color w:val="auto"/>
          <w:sz w:val="24"/>
        </w:rPr>
        <w:t>new molecular entity (NME) new drug applications (NDAs) and original biologics license applications (BLAs)</w:t>
      </w:r>
      <w:r w:rsidR="006660C0" w:rsidRPr="006660C0">
        <w:rPr>
          <w:rFonts w:ascii="Times New Roman" w:hAnsi="Times New Roman"/>
          <w:b w:val="0"/>
          <w:color w:val="auto"/>
          <w:sz w:val="24"/>
        </w:rPr>
        <w:t xml:space="preserve"> </w:t>
      </w:r>
      <w:r w:rsidR="006660C0" w:rsidRPr="008878B3">
        <w:rPr>
          <w:rFonts w:ascii="Times New Roman" w:hAnsi="Times New Roman"/>
          <w:b w:val="0"/>
          <w:color w:val="auto"/>
          <w:sz w:val="24"/>
        </w:rPr>
        <w:t>for fiscal years (FYs) 2013 to 201</w:t>
      </w:r>
      <w:r w:rsidR="006660C0">
        <w:rPr>
          <w:rFonts w:ascii="Times New Roman" w:hAnsi="Times New Roman"/>
          <w:b w:val="0"/>
          <w:color w:val="auto"/>
          <w:sz w:val="24"/>
        </w:rPr>
        <w:t>7; this new review model is called “the Program</w:t>
      </w:r>
      <w:r w:rsidR="00501CF5">
        <w:rPr>
          <w:rFonts w:ascii="Times New Roman" w:hAnsi="Times New Roman"/>
          <w:b w:val="0"/>
          <w:color w:val="auto"/>
          <w:sz w:val="24"/>
        </w:rPr>
        <w:t>.</w:t>
      </w:r>
      <w:r w:rsidR="006660C0">
        <w:rPr>
          <w:rFonts w:ascii="Times New Roman" w:hAnsi="Times New Roman"/>
          <w:b w:val="0"/>
          <w:color w:val="auto"/>
          <w:sz w:val="24"/>
        </w:rPr>
        <w:t xml:space="preserve">” </w:t>
      </w:r>
      <w:r w:rsidR="00501CF5">
        <w:rPr>
          <w:rFonts w:ascii="Times New Roman" w:hAnsi="Times New Roman"/>
          <w:b w:val="0"/>
          <w:color w:val="auto"/>
          <w:sz w:val="24"/>
        </w:rPr>
        <w:t>Section II.B of the Commitment Letter</w:t>
      </w:r>
      <w:r w:rsidR="008A145E">
        <w:rPr>
          <w:rFonts w:ascii="Times New Roman" w:hAnsi="Times New Roman"/>
          <w:b w:val="0"/>
          <w:color w:val="auto"/>
          <w:sz w:val="24"/>
        </w:rPr>
        <w:t xml:space="preserve"> states that the Program </w:t>
      </w:r>
      <w:r w:rsidR="00501CF5">
        <w:rPr>
          <w:rFonts w:ascii="Times New Roman" w:hAnsi="Times New Roman"/>
          <w:b w:val="0"/>
          <w:color w:val="auto"/>
          <w:sz w:val="24"/>
        </w:rPr>
        <w:t>will be assessed</w:t>
      </w:r>
      <w:r w:rsidR="008A145E">
        <w:rPr>
          <w:rFonts w:ascii="Times New Roman" w:hAnsi="Times New Roman"/>
          <w:b w:val="0"/>
          <w:color w:val="auto"/>
          <w:sz w:val="24"/>
        </w:rPr>
        <w:t xml:space="preserve"> by an independent contractor </w:t>
      </w:r>
      <w:r w:rsidR="00501CF5">
        <w:rPr>
          <w:rFonts w:ascii="Times New Roman" w:hAnsi="Times New Roman"/>
          <w:b w:val="0"/>
          <w:color w:val="auto"/>
          <w:sz w:val="24"/>
        </w:rPr>
        <w:t xml:space="preserve">and that the assessment </w:t>
      </w:r>
      <w:r w:rsidR="008A145E">
        <w:rPr>
          <w:rFonts w:ascii="Times New Roman" w:hAnsi="Times New Roman"/>
          <w:b w:val="0"/>
          <w:color w:val="auto"/>
          <w:sz w:val="24"/>
        </w:rPr>
        <w:t>will “include interviews of the sponsor”</w:t>
      </w:r>
      <w:r w:rsidR="00501CF5">
        <w:rPr>
          <w:rFonts w:ascii="Times New Roman" w:hAnsi="Times New Roman"/>
          <w:b w:val="0"/>
          <w:color w:val="auto"/>
          <w:sz w:val="24"/>
        </w:rPr>
        <w:t>.</w:t>
      </w:r>
    </w:p>
    <w:p w:rsidR="005E7F71" w:rsidRPr="00D325EB" w:rsidRDefault="00ED25CE" w:rsidP="008878B3">
      <w:pPr>
        <w:ind w:left="533"/>
        <w:rPr>
          <w:rFonts w:ascii="Times New Roman" w:hAnsi="Times New Roman"/>
          <w:sz w:val="24"/>
        </w:rPr>
      </w:pPr>
      <w:r>
        <w:rPr>
          <w:rFonts w:ascii="Times New Roman" w:hAnsi="Times New Roman"/>
          <w:sz w:val="24"/>
          <w:szCs w:val="24"/>
        </w:rPr>
        <w:t>Since 1992</w:t>
      </w:r>
      <w:r w:rsidR="00A113B6" w:rsidRPr="00D325EB">
        <w:rPr>
          <w:rFonts w:ascii="Times New Roman" w:hAnsi="Times New Roman"/>
          <w:sz w:val="24"/>
          <w:szCs w:val="24"/>
        </w:rPr>
        <w:t xml:space="preserve">, </w:t>
      </w:r>
      <w:r w:rsidR="00843F3C">
        <w:rPr>
          <w:rFonts w:ascii="Times New Roman" w:hAnsi="Times New Roman"/>
          <w:sz w:val="24"/>
          <w:szCs w:val="24"/>
        </w:rPr>
        <w:t xml:space="preserve">FDA </w:t>
      </w:r>
      <w:r w:rsidR="00A113B6" w:rsidRPr="00D325EB">
        <w:rPr>
          <w:rFonts w:ascii="Times New Roman" w:hAnsi="Times New Roman"/>
          <w:sz w:val="24"/>
          <w:szCs w:val="24"/>
        </w:rPr>
        <w:t xml:space="preserve">has reviewed and acted on </w:t>
      </w:r>
      <w:r w:rsidR="00843F3C">
        <w:rPr>
          <w:rFonts w:ascii="Times New Roman" w:hAnsi="Times New Roman"/>
          <w:sz w:val="24"/>
          <w:szCs w:val="24"/>
        </w:rPr>
        <w:t>NME NDAs</w:t>
      </w:r>
      <w:r w:rsidR="00A113B6">
        <w:rPr>
          <w:rFonts w:ascii="Times New Roman" w:hAnsi="Times New Roman"/>
          <w:sz w:val="24"/>
          <w:szCs w:val="24"/>
        </w:rPr>
        <w:t xml:space="preserve"> and original </w:t>
      </w:r>
      <w:r w:rsidR="00843F3C">
        <w:rPr>
          <w:rFonts w:ascii="Times New Roman" w:hAnsi="Times New Roman"/>
          <w:sz w:val="24"/>
          <w:szCs w:val="24"/>
        </w:rPr>
        <w:t>BLAs</w:t>
      </w:r>
      <w:r w:rsidR="00A113B6" w:rsidRPr="00D325EB">
        <w:rPr>
          <w:rFonts w:ascii="Times New Roman" w:hAnsi="Times New Roman"/>
          <w:sz w:val="24"/>
          <w:szCs w:val="24"/>
        </w:rPr>
        <w:t xml:space="preserve"> in accordance with timeliness and other requirements established in </w:t>
      </w:r>
      <w:r w:rsidR="00843F3C">
        <w:rPr>
          <w:rFonts w:ascii="Times New Roman" w:hAnsi="Times New Roman"/>
          <w:sz w:val="24"/>
          <w:szCs w:val="24"/>
        </w:rPr>
        <w:t>PDUFA</w:t>
      </w:r>
      <w:r w:rsidR="00A113B6" w:rsidRPr="00D325EB">
        <w:rPr>
          <w:rFonts w:ascii="Times New Roman" w:hAnsi="Times New Roman"/>
          <w:sz w:val="24"/>
          <w:szCs w:val="24"/>
        </w:rPr>
        <w:t xml:space="preserve">. Each 5-year reauthorization of PDUFA has incorporated </w:t>
      </w:r>
      <w:r w:rsidR="000A3CC0">
        <w:rPr>
          <w:rFonts w:ascii="Times New Roman" w:hAnsi="Times New Roman"/>
          <w:sz w:val="24"/>
          <w:szCs w:val="24"/>
        </w:rPr>
        <w:t>additional</w:t>
      </w:r>
      <w:r w:rsidR="000A3CC0" w:rsidRPr="00D325EB">
        <w:rPr>
          <w:rFonts w:ascii="Times New Roman" w:hAnsi="Times New Roman"/>
          <w:sz w:val="24"/>
          <w:szCs w:val="24"/>
        </w:rPr>
        <w:t xml:space="preserve"> </w:t>
      </w:r>
      <w:r w:rsidR="00A113B6" w:rsidRPr="00D325EB">
        <w:rPr>
          <w:rFonts w:ascii="Times New Roman" w:hAnsi="Times New Roman"/>
          <w:sz w:val="24"/>
          <w:szCs w:val="24"/>
        </w:rPr>
        <w:t xml:space="preserve">provisions </w:t>
      </w:r>
      <w:r w:rsidR="0066476F">
        <w:rPr>
          <w:rFonts w:ascii="Times New Roman" w:hAnsi="Times New Roman"/>
          <w:sz w:val="24"/>
          <w:szCs w:val="24"/>
        </w:rPr>
        <w:t xml:space="preserve">to </w:t>
      </w:r>
      <w:r w:rsidR="000A3CC0">
        <w:rPr>
          <w:rFonts w:ascii="Times New Roman" w:hAnsi="Times New Roman"/>
          <w:sz w:val="24"/>
          <w:szCs w:val="24"/>
        </w:rPr>
        <w:t>enhance and improve the process for the review of human drugs</w:t>
      </w:r>
      <w:r>
        <w:rPr>
          <w:rFonts w:ascii="Times New Roman" w:hAnsi="Times New Roman"/>
          <w:sz w:val="24"/>
          <w:szCs w:val="24"/>
        </w:rPr>
        <w:t xml:space="preserve"> and biological products</w:t>
      </w:r>
      <w:r w:rsidR="000A3CC0">
        <w:rPr>
          <w:rFonts w:ascii="Times New Roman" w:hAnsi="Times New Roman"/>
          <w:sz w:val="24"/>
          <w:szCs w:val="24"/>
        </w:rPr>
        <w:t>.</w:t>
      </w:r>
      <w:r w:rsidR="00A113B6">
        <w:t xml:space="preserve"> </w:t>
      </w:r>
      <w:r w:rsidR="005E7F71" w:rsidRPr="00D325EB">
        <w:rPr>
          <w:rFonts w:ascii="Times New Roman" w:hAnsi="Times New Roman"/>
          <w:sz w:val="24"/>
          <w:szCs w:val="24"/>
        </w:rPr>
        <w:t xml:space="preserve">As part of its commitments in PDUFA V, FDA established </w:t>
      </w:r>
      <w:r w:rsidR="000A3CC0">
        <w:rPr>
          <w:rFonts w:ascii="Times New Roman" w:hAnsi="Times New Roman"/>
          <w:sz w:val="24"/>
          <w:szCs w:val="24"/>
        </w:rPr>
        <w:t>the</w:t>
      </w:r>
      <w:r w:rsidR="005E7F71" w:rsidRPr="00D325EB">
        <w:rPr>
          <w:rFonts w:ascii="Times New Roman" w:hAnsi="Times New Roman"/>
          <w:sz w:val="24"/>
          <w:szCs w:val="24"/>
        </w:rPr>
        <w:t xml:space="preserve"> </w:t>
      </w:r>
      <w:r w:rsidR="00E1215C">
        <w:rPr>
          <w:rFonts w:ascii="Times New Roman" w:hAnsi="Times New Roman"/>
          <w:sz w:val="24"/>
          <w:szCs w:val="24"/>
        </w:rPr>
        <w:t>Program</w:t>
      </w:r>
      <w:r w:rsidR="00B8581E">
        <w:rPr>
          <w:rFonts w:ascii="Times New Roman" w:hAnsi="Times New Roman"/>
          <w:sz w:val="24"/>
          <w:szCs w:val="24"/>
        </w:rPr>
        <w:t xml:space="preserve">, </w:t>
      </w:r>
      <w:r w:rsidR="000A3CC0">
        <w:rPr>
          <w:rFonts w:ascii="Times New Roman" w:hAnsi="Times New Roman"/>
          <w:sz w:val="24"/>
          <w:szCs w:val="24"/>
        </w:rPr>
        <w:t>a new review model</w:t>
      </w:r>
      <w:r w:rsidR="005E7F71" w:rsidRPr="00D325EB">
        <w:rPr>
          <w:rFonts w:ascii="Times New Roman" w:hAnsi="Times New Roman"/>
          <w:sz w:val="24"/>
          <w:szCs w:val="24"/>
        </w:rPr>
        <w:t xml:space="preserve"> to promote greater transparency and increased communication between the FDA review team and the applicant on the most innovative products reviewed by the agency</w:t>
      </w:r>
      <w:r w:rsidR="00501CF5">
        <w:rPr>
          <w:rFonts w:ascii="Times New Roman" w:hAnsi="Times New Roman"/>
          <w:sz w:val="24"/>
          <w:szCs w:val="24"/>
        </w:rPr>
        <w:t>. The Program</w:t>
      </w:r>
      <w:r w:rsidR="005E7F71" w:rsidRPr="00D325EB">
        <w:rPr>
          <w:rFonts w:ascii="Times New Roman" w:hAnsi="Times New Roman"/>
          <w:sz w:val="24"/>
          <w:szCs w:val="24"/>
        </w:rPr>
        <w:t xml:space="preserve"> applies to all NME NDAs and original BLAs that are received from October 1, 2012 through September 30, 2017.</w:t>
      </w:r>
    </w:p>
    <w:p w:rsidR="000A3CC0" w:rsidRPr="00ED25CE" w:rsidRDefault="005E7F71" w:rsidP="008878B3">
      <w:pPr>
        <w:ind w:left="533"/>
        <w:rPr>
          <w:rFonts w:ascii="Times New Roman" w:hAnsi="Times New Roman"/>
        </w:rPr>
      </w:pPr>
      <w:r w:rsidRPr="00D325EB">
        <w:rPr>
          <w:rFonts w:ascii="Times New Roman" w:hAnsi="Times New Roman"/>
          <w:sz w:val="24"/>
          <w:szCs w:val="24"/>
        </w:rPr>
        <w:t xml:space="preserve">The goals of the Program are to increase the efficiency and effectiveness of the first review cycle and decrease the number of review cycles necessary for approval so that patients have timely access to safe, effective, and high quality new drugs and biologics. A key aspect of the Program is an interim and final assessment that will evaluate how well the parameters of the Program have achieved the intended goals. The PDUFA V Commitment Letter specifies that the </w:t>
      </w:r>
      <w:r w:rsidR="00862D85">
        <w:rPr>
          <w:rFonts w:ascii="Times New Roman" w:hAnsi="Times New Roman"/>
          <w:sz w:val="24"/>
          <w:szCs w:val="24"/>
        </w:rPr>
        <w:t xml:space="preserve">interim and final </w:t>
      </w:r>
      <w:r w:rsidRPr="00D325EB">
        <w:rPr>
          <w:rFonts w:ascii="Times New Roman" w:hAnsi="Times New Roman"/>
          <w:sz w:val="24"/>
          <w:szCs w:val="24"/>
        </w:rPr>
        <w:t xml:space="preserve">assessments </w:t>
      </w:r>
      <w:r w:rsidR="00ED25CE">
        <w:rPr>
          <w:rFonts w:ascii="Times New Roman" w:hAnsi="Times New Roman"/>
          <w:sz w:val="24"/>
          <w:szCs w:val="24"/>
        </w:rPr>
        <w:t xml:space="preserve">must </w:t>
      </w:r>
      <w:r w:rsidRPr="00D325EB">
        <w:rPr>
          <w:rFonts w:ascii="Times New Roman" w:hAnsi="Times New Roman"/>
          <w:sz w:val="24"/>
          <w:szCs w:val="24"/>
        </w:rPr>
        <w:t xml:space="preserve">be conducted by an independent contractor and that they </w:t>
      </w:r>
      <w:r w:rsidR="00ED25CE">
        <w:rPr>
          <w:rFonts w:ascii="Times New Roman" w:hAnsi="Times New Roman"/>
          <w:sz w:val="24"/>
          <w:szCs w:val="24"/>
        </w:rPr>
        <w:t xml:space="preserve">must </w:t>
      </w:r>
      <w:r w:rsidRPr="00D325EB">
        <w:rPr>
          <w:rFonts w:ascii="Times New Roman" w:hAnsi="Times New Roman"/>
          <w:sz w:val="24"/>
          <w:szCs w:val="24"/>
        </w:rPr>
        <w:t xml:space="preserve">include interviews of pharmaceutical manufacturers who </w:t>
      </w:r>
      <w:r w:rsidRPr="00D325EB">
        <w:rPr>
          <w:rFonts w:ascii="Times New Roman" w:hAnsi="Times New Roman"/>
          <w:sz w:val="24"/>
          <w:szCs w:val="24"/>
        </w:rPr>
        <w:lastRenderedPageBreak/>
        <w:t xml:space="preserve">submit NME NDAs and original BLAs to the Program in PDUFA V. The </w:t>
      </w:r>
      <w:r w:rsidR="00325014" w:rsidRPr="00D325EB">
        <w:rPr>
          <w:rFonts w:ascii="Times New Roman" w:hAnsi="Times New Roman"/>
          <w:sz w:val="24"/>
          <w:szCs w:val="24"/>
        </w:rPr>
        <w:t xml:space="preserve">independent </w:t>
      </w:r>
      <w:r w:rsidRPr="00D325EB">
        <w:rPr>
          <w:rFonts w:ascii="Times New Roman" w:hAnsi="Times New Roman"/>
          <w:sz w:val="24"/>
          <w:szCs w:val="24"/>
        </w:rPr>
        <w:t xml:space="preserve">contractor for the </w:t>
      </w:r>
      <w:r w:rsidR="00325014" w:rsidRPr="00D325EB">
        <w:rPr>
          <w:rFonts w:ascii="Times New Roman" w:hAnsi="Times New Roman"/>
          <w:sz w:val="24"/>
          <w:szCs w:val="24"/>
        </w:rPr>
        <w:t xml:space="preserve">Program </w:t>
      </w:r>
      <w:r w:rsidRPr="00D325EB">
        <w:rPr>
          <w:rFonts w:ascii="Times New Roman" w:hAnsi="Times New Roman"/>
          <w:sz w:val="24"/>
          <w:szCs w:val="24"/>
        </w:rPr>
        <w:t xml:space="preserve">assessments is </w:t>
      </w:r>
      <w:r w:rsidR="00B8581E">
        <w:rPr>
          <w:rFonts w:ascii="Times New Roman" w:hAnsi="Times New Roman"/>
          <w:sz w:val="24"/>
          <w:szCs w:val="24"/>
        </w:rPr>
        <w:t>Eastern Research group, Inc. (ERG)</w:t>
      </w:r>
      <w:r w:rsidRPr="00D325EB">
        <w:rPr>
          <w:rFonts w:ascii="Times New Roman" w:hAnsi="Times New Roman"/>
          <w:sz w:val="24"/>
          <w:szCs w:val="24"/>
        </w:rPr>
        <w:t xml:space="preserve">, and the statement of work for the assessments is available at </w:t>
      </w:r>
      <w:hyperlink r:id="rId9" w:history="1">
        <w:r w:rsidR="000A3CC0" w:rsidRPr="00ED25CE">
          <w:rPr>
            <w:rStyle w:val="Hyperlink"/>
            <w:rFonts w:ascii="Times New Roman" w:hAnsi="Times New Roman"/>
          </w:rPr>
          <w:t>http://www.fda.gov/downloads/ForIndustry/UserFees/PrescriptionDrugUserFee/UCM304793.pdf</w:t>
        </w:r>
      </w:hyperlink>
      <w:r w:rsidR="000A3CC0" w:rsidRPr="00ED25CE">
        <w:rPr>
          <w:rFonts w:ascii="Times New Roman" w:hAnsi="Times New Roman"/>
        </w:rPr>
        <w:t>.</w:t>
      </w:r>
    </w:p>
    <w:p w:rsidR="009F04DE" w:rsidRDefault="005544CE" w:rsidP="008878B3">
      <w:pPr>
        <w:ind w:left="533"/>
        <w:rPr>
          <w:rFonts w:ascii="Times New Roman" w:hAnsi="Times New Roman"/>
          <w:sz w:val="24"/>
          <w:szCs w:val="24"/>
        </w:rPr>
      </w:pPr>
      <w:r>
        <w:rPr>
          <w:rFonts w:ascii="Times New Roman" w:hAnsi="Times New Roman"/>
          <w:sz w:val="24"/>
          <w:szCs w:val="24"/>
        </w:rPr>
        <w:t>I</w:t>
      </w:r>
      <w:r w:rsidR="005E7F71" w:rsidRPr="00D325EB">
        <w:rPr>
          <w:rFonts w:ascii="Times New Roman" w:hAnsi="Times New Roman"/>
          <w:sz w:val="24"/>
          <w:szCs w:val="24"/>
        </w:rPr>
        <w:t>n accordance with the PDUFA V Commitment Letter, FDA proposes to have ERG conduct independent interviews of applicants after FDA issues a first-cycle action for applications reviewed under the Program. The purpose of these interviews is to collect feedback from applicants on the success of the Program in increasing review transparency and communication during the review process</w:t>
      </w:r>
      <w:r w:rsidR="0066476F">
        <w:rPr>
          <w:rFonts w:ascii="Times New Roman" w:hAnsi="Times New Roman"/>
          <w:sz w:val="24"/>
          <w:szCs w:val="24"/>
        </w:rPr>
        <w:t>, including any best practices</w:t>
      </w:r>
      <w:r w:rsidR="00ED25CE">
        <w:rPr>
          <w:rFonts w:ascii="Times New Roman" w:hAnsi="Times New Roman"/>
          <w:sz w:val="24"/>
          <w:szCs w:val="24"/>
        </w:rPr>
        <w:t xml:space="preserve"> </w:t>
      </w:r>
      <w:r w:rsidR="0066476F">
        <w:rPr>
          <w:rFonts w:ascii="Times New Roman" w:hAnsi="Times New Roman"/>
          <w:sz w:val="24"/>
          <w:szCs w:val="24"/>
        </w:rPr>
        <w:t>or challenges</w:t>
      </w:r>
      <w:r w:rsidR="00ED25CE">
        <w:rPr>
          <w:rFonts w:ascii="Times New Roman" w:hAnsi="Times New Roman"/>
          <w:sz w:val="24"/>
          <w:szCs w:val="24"/>
        </w:rPr>
        <w:t xml:space="preserve"> experienced in the Program</w:t>
      </w:r>
      <w:r w:rsidR="005E7F71">
        <w:rPr>
          <w:rFonts w:ascii="Times New Roman" w:hAnsi="Times New Roman"/>
          <w:sz w:val="24"/>
          <w:szCs w:val="24"/>
        </w:rPr>
        <w:t>.</w:t>
      </w:r>
      <w:r w:rsidR="009F04DE">
        <w:rPr>
          <w:rFonts w:ascii="Times New Roman" w:hAnsi="Times New Roman"/>
          <w:sz w:val="24"/>
          <w:szCs w:val="24"/>
        </w:rPr>
        <w:t xml:space="preserve"> </w:t>
      </w:r>
      <w:r w:rsidR="006C7857">
        <w:rPr>
          <w:rFonts w:ascii="Times New Roman" w:hAnsi="Times New Roman"/>
          <w:sz w:val="24"/>
          <w:szCs w:val="24"/>
        </w:rPr>
        <w:t>ERG will not ask applicants for any confidential business information, nor will ERG ask applicants to evaluate the performance of FDA staff.</w:t>
      </w:r>
      <w:r w:rsidR="000F1921">
        <w:rPr>
          <w:rFonts w:ascii="Times New Roman" w:hAnsi="Times New Roman"/>
          <w:sz w:val="24"/>
          <w:szCs w:val="24"/>
        </w:rPr>
        <w:t xml:space="preserve"> </w:t>
      </w:r>
      <w:r w:rsidR="006C7857">
        <w:rPr>
          <w:rFonts w:ascii="Times New Roman" w:hAnsi="Times New Roman"/>
          <w:sz w:val="24"/>
          <w:szCs w:val="24"/>
        </w:rPr>
        <w:t>Instead, interviews will focus on applicant experiences with the new review process under the Program.</w:t>
      </w:r>
      <w:r w:rsidR="000F1921">
        <w:rPr>
          <w:rFonts w:ascii="Times New Roman" w:hAnsi="Times New Roman"/>
          <w:sz w:val="24"/>
          <w:szCs w:val="24"/>
        </w:rPr>
        <w:t xml:space="preserve"> </w:t>
      </w:r>
      <w:r w:rsidR="006C7857">
        <w:rPr>
          <w:rFonts w:ascii="Times New Roman" w:hAnsi="Times New Roman"/>
          <w:sz w:val="24"/>
          <w:szCs w:val="24"/>
        </w:rPr>
        <w:t>Some applicants might perceive their individual feedback about the new review process to be sensitive given that they might interact with FDA about other NDAs/BLAs in the future.</w:t>
      </w:r>
      <w:r w:rsidR="000F1921">
        <w:rPr>
          <w:rFonts w:ascii="Times New Roman" w:hAnsi="Times New Roman"/>
          <w:sz w:val="24"/>
          <w:szCs w:val="24"/>
        </w:rPr>
        <w:t xml:space="preserve"> </w:t>
      </w:r>
      <w:r w:rsidR="006C7857">
        <w:rPr>
          <w:rFonts w:ascii="Times New Roman" w:hAnsi="Times New Roman"/>
          <w:sz w:val="24"/>
          <w:szCs w:val="24"/>
        </w:rPr>
        <w:t xml:space="preserve">To address these potential concerns, ERG will </w:t>
      </w:r>
      <w:r w:rsidR="00795CE6">
        <w:rPr>
          <w:rFonts w:ascii="Times New Roman" w:hAnsi="Times New Roman"/>
          <w:sz w:val="24"/>
          <w:szCs w:val="24"/>
        </w:rPr>
        <w:t xml:space="preserve">not share any identifying information with FDA </w:t>
      </w:r>
      <w:r w:rsidR="006C7857">
        <w:rPr>
          <w:rFonts w:ascii="Times New Roman" w:hAnsi="Times New Roman"/>
          <w:sz w:val="24"/>
          <w:szCs w:val="24"/>
        </w:rPr>
        <w:t xml:space="preserve">and will include </w:t>
      </w:r>
      <w:r w:rsidR="00795CE6">
        <w:rPr>
          <w:rFonts w:ascii="Times New Roman" w:hAnsi="Times New Roman"/>
          <w:sz w:val="24"/>
          <w:szCs w:val="24"/>
        </w:rPr>
        <w:t xml:space="preserve">only </w:t>
      </w:r>
      <w:r w:rsidR="006C7857">
        <w:rPr>
          <w:rFonts w:ascii="Times New Roman" w:hAnsi="Times New Roman"/>
          <w:sz w:val="24"/>
          <w:szCs w:val="24"/>
        </w:rPr>
        <w:t>anonymized, aggregated interview results in the interim and final assessment reports and presentations at public meetings held regarding each assessment.</w:t>
      </w:r>
      <w:r w:rsidR="009F04DE">
        <w:rPr>
          <w:rFonts w:ascii="Times New Roman" w:hAnsi="Times New Roman"/>
          <w:sz w:val="24"/>
          <w:szCs w:val="24"/>
        </w:rPr>
        <w:t xml:space="preserve"> </w:t>
      </w:r>
      <w:r w:rsidR="009F04DE" w:rsidRPr="00D325EB">
        <w:rPr>
          <w:rFonts w:ascii="Times New Roman" w:hAnsi="Times New Roman"/>
          <w:sz w:val="24"/>
          <w:szCs w:val="24"/>
        </w:rPr>
        <w:t>FDA will publish ERG’s assessments (with interview results and findings) for public comment.</w:t>
      </w:r>
    </w:p>
    <w:p w:rsidR="004853B3" w:rsidRDefault="009F04DE" w:rsidP="008878B3">
      <w:pPr>
        <w:spacing w:after="0"/>
        <w:ind w:left="533"/>
        <w:rPr>
          <w:rFonts w:ascii="Times New Roman" w:eastAsia="Times New Roman" w:hAnsi="Times New Roman"/>
          <w:color w:val="E36C0A" w:themeColor="accent6" w:themeShade="BF"/>
          <w:sz w:val="24"/>
          <w:szCs w:val="24"/>
        </w:rPr>
      </w:pPr>
      <w:r>
        <w:rPr>
          <w:rFonts w:ascii="Times New Roman" w:eastAsia="Times New Roman" w:hAnsi="Times New Roman"/>
          <w:sz w:val="24"/>
          <w:szCs w:val="24"/>
        </w:rPr>
        <w:t xml:space="preserve">The independent assessments, </w:t>
      </w:r>
      <w:r w:rsidR="001D2F53">
        <w:rPr>
          <w:rFonts w:ascii="Times New Roman" w:eastAsia="Times New Roman" w:hAnsi="Times New Roman"/>
          <w:sz w:val="24"/>
          <w:szCs w:val="24"/>
        </w:rPr>
        <w:t xml:space="preserve">including information from applicant </w:t>
      </w:r>
      <w:r>
        <w:rPr>
          <w:rFonts w:ascii="Times New Roman" w:eastAsia="Times New Roman" w:hAnsi="Times New Roman"/>
          <w:sz w:val="24"/>
          <w:szCs w:val="24"/>
        </w:rPr>
        <w:t xml:space="preserve">interviews, will be of great interest to </w:t>
      </w:r>
      <w:r w:rsidR="002831D3">
        <w:rPr>
          <w:rFonts w:ascii="Times New Roman" w:eastAsia="Times New Roman" w:hAnsi="Times New Roman"/>
          <w:sz w:val="24"/>
          <w:szCs w:val="24"/>
        </w:rPr>
        <w:t xml:space="preserve">FDA’s </w:t>
      </w:r>
      <w:r>
        <w:rPr>
          <w:rFonts w:ascii="Times New Roman" w:eastAsia="Times New Roman" w:hAnsi="Times New Roman"/>
          <w:sz w:val="24"/>
          <w:szCs w:val="24"/>
        </w:rPr>
        <w:t>stakeholders</w:t>
      </w:r>
      <w:r w:rsidR="002831D3">
        <w:rPr>
          <w:rFonts w:ascii="Times New Roman" w:eastAsia="Times New Roman" w:hAnsi="Times New Roman"/>
          <w:sz w:val="24"/>
          <w:szCs w:val="24"/>
        </w:rPr>
        <w:t xml:space="preserve">, including the regulated industry, patient and consumer groups, healthcare professionals, </w:t>
      </w:r>
      <w:r w:rsidR="00795CE6">
        <w:rPr>
          <w:rFonts w:ascii="Times New Roman" w:eastAsia="Times New Roman" w:hAnsi="Times New Roman"/>
          <w:sz w:val="24"/>
          <w:szCs w:val="24"/>
        </w:rPr>
        <w:t>and</w:t>
      </w:r>
      <w:r w:rsidR="002831D3">
        <w:rPr>
          <w:rFonts w:ascii="Times New Roman" w:eastAsia="Times New Roman" w:hAnsi="Times New Roman"/>
          <w:sz w:val="24"/>
          <w:szCs w:val="24"/>
        </w:rPr>
        <w:t xml:space="preserve"> Congress</w:t>
      </w:r>
      <w:r>
        <w:rPr>
          <w:rFonts w:ascii="Times New Roman" w:eastAsia="Times New Roman" w:hAnsi="Times New Roman"/>
          <w:sz w:val="24"/>
          <w:szCs w:val="24"/>
        </w:rPr>
        <w:t xml:space="preserve">. </w:t>
      </w:r>
      <w:r w:rsidR="001D2F53">
        <w:rPr>
          <w:rFonts w:ascii="Times New Roman" w:eastAsia="Times New Roman" w:hAnsi="Times New Roman"/>
          <w:sz w:val="24"/>
          <w:szCs w:val="24"/>
        </w:rPr>
        <w:t>E</w:t>
      </w:r>
      <w:r w:rsidR="005544CE">
        <w:rPr>
          <w:rFonts w:ascii="Times New Roman" w:eastAsia="Times New Roman" w:hAnsi="Times New Roman"/>
          <w:sz w:val="24"/>
          <w:szCs w:val="24"/>
        </w:rPr>
        <w:t xml:space="preserve">qually importantly, </w:t>
      </w:r>
      <w:r w:rsidR="006C7857">
        <w:rPr>
          <w:rFonts w:ascii="Times New Roman" w:eastAsia="Times New Roman" w:hAnsi="Times New Roman"/>
          <w:sz w:val="24"/>
          <w:szCs w:val="24"/>
        </w:rPr>
        <w:t xml:space="preserve">these assessments will be </w:t>
      </w:r>
      <w:r w:rsidR="00CC082F">
        <w:rPr>
          <w:rFonts w:ascii="Times New Roman" w:eastAsia="Times New Roman" w:hAnsi="Times New Roman"/>
          <w:sz w:val="24"/>
          <w:szCs w:val="24"/>
        </w:rPr>
        <w:t>critical</w:t>
      </w:r>
      <w:r w:rsidR="006C7857">
        <w:rPr>
          <w:rFonts w:ascii="Times New Roman" w:eastAsia="Times New Roman" w:hAnsi="Times New Roman"/>
          <w:sz w:val="24"/>
          <w:szCs w:val="24"/>
        </w:rPr>
        <w:t xml:space="preserve"> in</w:t>
      </w:r>
      <w:r>
        <w:rPr>
          <w:rFonts w:ascii="Times New Roman" w:eastAsia="Times New Roman" w:hAnsi="Times New Roman"/>
          <w:sz w:val="24"/>
          <w:szCs w:val="24"/>
        </w:rPr>
        <w:t xml:space="preserve"> determin</w:t>
      </w:r>
      <w:r w:rsidR="006C7857">
        <w:rPr>
          <w:rFonts w:ascii="Times New Roman" w:eastAsia="Times New Roman" w:hAnsi="Times New Roman"/>
          <w:sz w:val="24"/>
          <w:szCs w:val="24"/>
        </w:rPr>
        <w:t>ing</w:t>
      </w:r>
      <w:r>
        <w:rPr>
          <w:rFonts w:ascii="Times New Roman" w:eastAsia="Times New Roman" w:hAnsi="Times New Roman"/>
          <w:sz w:val="24"/>
          <w:szCs w:val="24"/>
        </w:rPr>
        <w:t xml:space="preserve"> whether and how to refine Program implementation to </w:t>
      </w:r>
      <w:r w:rsidR="006C7857">
        <w:rPr>
          <w:rFonts w:ascii="Times New Roman" w:eastAsia="Times New Roman" w:hAnsi="Times New Roman"/>
          <w:sz w:val="24"/>
          <w:szCs w:val="24"/>
        </w:rPr>
        <w:t xml:space="preserve">improve the likelihood of success </w:t>
      </w:r>
      <w:r>
        <w:rPr>
          <w:rFonts w:ascii="Times New Roman" w:eastAsia="Times New Roman" w:hAnsi="Times New Roman"/>
          <w:sz w:val="24"/>
          <w:szCs w:val="24"/>
        </w:rPr>
        <w:t xml:space="preserve">of </w:t>
      </w:r>
      <w:r w:rsidR="006C7857">
        <w:rPr>
          <w:rFonts w:ascii="Times New Roman" w:eastAsia="Times New Roman" w:hAnsi="Times New Roman"/>
          <w:sz w:val="24"/>
          <w:szCs w:val="24"/>
        </w:rPr>
        <w:t xml:space="preserve">the </w:t>
      </w:r>
      <w:r>
        <w:rPr>
          <w:rFonts w:ascii="Times New Roman" w:eastAsia="Times New Roman" w:hAnsi="Times New Roman"/>
          <w:sz w:val="24"/>
          <w:szCs w:val="24"/>
        </w:rPr>
        <w:t>Program</w:t>
      </w:r>
      <w:r w:rsidR="0039140F">
        <w:rPr>
          <w:rFonts w:ascii="Times New Roman" w:eastAsia="Times New Roman" w:hAnsi="Times New Roman"/>
          <w:sz w:val="24"/>
          <w:szCs w:val="24"/>
        </w:rPr>
        <w:t>.</w:t>
      </w:r>
    </w:p>
    <w:p w:rsidR="00225BF8" w:rsidRPr="008878B3" w:rsidRDefault="0051559E" w:rsidP="002F28CD">
      <w:pPr>
        <w:pStyle w:val="OMBPackageHeading2"/>
        <w:rPr>
          <w:rFonts w:ascii="Times New Roman" w:hAnsi="Times New Roman"/>
          <w:b w:val="0"/>
          <w:color w:val="auto"/>
          <w:sz w:val="24"/>
        </w:rPr>
      </w:pPr>
      <w:bookmarkStart w:id="1" w:name="_Toc322005781"/>
      <w:r w:rsidRPr="00763D8E">
        <w:rPr>
          <w:rFonts w:ascii="Times New Roman" w:hAnsi="Times New Roman"/>
          <w:b w:val="0"/>
          <w:color w:val="auto"/>
          <w:sz w:val="24"/>
          <w:u w:val="single"/>
        </w:rPr>
        <w:t>Purpose and Use of the Information Collection</w:t>
      </w:r>
      <w:bookmarkEnd w:id="1"/>
    </w:p>
    <w:p w:rsidR="000B20D1" w:rsidRDefault="000B20D1" w:rsidP="008878B3">
      <w:pPr>
        <w:spacing w:after="0"/>
        <w:ind w:left="547"/>
        <w:rPr>
          <w:rFonts w:ascii="Times New Roman" w:hAnsi="Times New Roman"/>
          <w:sz w:val="24"/>
          <w:szCs w:val="24"/>
        </w:rPr>
      </w:pPr>
      <w:r>
        <w:rPr>
          <w:rFonts w:ascii="Times New Roman" w:hAnsi="Times New Roman"/>
          <w:sz w:val="24"/>
          <w:szCs w:val="24"/>
        </w:rPr>
        <w:t>The contractor for the independent assessment has prepared a draft protocol and script for scheduling and conducting interviews with applicants after their NDA/BLA receives a first review cycle action from FDA. The protocol ensures that ERG is aware of all applicants who are candidates for interviews and schedules and conducts post-action interviews in a timely, consistent manner using good interview practices. The script includes rating</w:t>
      </w:r>
      <w:r w:rsidR="008D69EB">
        <w:rPr>
          <w:rFonts w:ascii="Times New Roman" w:hAnsi="Times New Roman"/>
          <w:sz w:val="24"/>
          <w:szCs w:val="24"/>
        </w:rPr>
        <w:t>-</w:t>
      </w:r>
      <w:r>
        <w:rPr>
          <w:rFonts w:ascii="Times New Roman" w:hAnsi="Times New Roman"/>
          <w:sz w:val="24"/>
          <w:szCs w:val="24"/>
        </w:rPr>
        <w:t>scale questions</w:t>
      </w:r>
      <w:r w:rsidR="00460833">
        <w:rPr>
          <w:rFonts w:ascii="Times New Roman" w:hAnsi="Times New Roman"/>
          <w:sz w:val="24"/>
          <w:szCs w:val="24"/>
        </w:rPr>
        <w:t xml:space="preserve"> and</w:t>
      </w:r>
      <w:r w:rsidR="00795CE6">
        <w:rPr>
          <w:rFonts w:ascii="Times New Roman" w:hAnsi="Times New Roman"/>
          <w:sz w:val="24"/>
          <w:szCs w:val="24"/>
        </w:rPr>
        <w:t xml:space="preserve"> </w:t>
      </w:r>
      <w:r>
        <w:rPr>
          <w:rFonts w:ascii="Times New Roman" w:hAnsi="Times New Roman"/>
          <w:sz w:val="24"/>
          <w:szCs w:val="24"/>
        </w:rPr>
        <w:t>open-ended quest</w:t>
      </w:r>
      <w:r w:rsidR="008D69EB">
        <w:rPr>
          <w:rFonts w:ascii="Times New Roman" w:hAnsi="Times New Roman"/>
          <w:sz w:val="24"/>
          <w:szCs w:val="24"/>
        </w:rPr>
        <w:t>ions</w:t>
      </w:r>
      <w:r w:rsidR="00795CE6">
        <w:rPr>
          <w:rFonts w:ascii="Times New Roman" w:hAnsi="Times New Roman"/>
          <w:sz w:val="24"/>
          <w:szCs w:val="24"/>
        </w:rPr>
        <w:t xml:space="preserve"> </w:t>
      </w:r>
      <w:r>
        <w:rPr>
          <w:rFonts w:ascii="Times New Roman" w:hAnsi="Times New Roman"/>
          <w:sz w:val="24"/>
          <w:szCs w:val="24"/>
        </w:rPr>
        <w:t xml:space="preserve">aimed at obtaining a </w:t>
      </w:r>
      <w:r w:rsidR="008D69EB">
        <w:rPr>
          <w:rFonts w:ascii="Times New Roman" w:hAnsi="Times New Roman"/>
          <w:sz w:val="24"/>
          <w:szCs w:val="24"/>
        </w:rPr>
        <w:t>thorough</w:t>
      </w:r>
      <w:r>
        <w:rPr>
          <w:rFonts w:ascii="Times New Roman" w:hAnsi="Times New Roman"/>
          <w:sz w:val="24"/>
          <w:szCs w:val="24"/>
        </w:rPr>
        <w:t xml:space="preserve"> understanding of applicants</w:t>
      </w:r>
      <w:r w:rsidR="008D69EB">
        <w:rPr>
          <w:rFonts w:ascii="Times New Roman" w:hAnsi="Times New Roman"/>
          <w:sz w:val="24"/>
          <w:szCs w:val="24"/>
        </w:rPr>
        <w:t>’</w:t>
      </w:r>
      <w:r>
        <w:rPr>
          <w:rFonts w:ascii="Times New Roman" w:hAnsi="Times New Roman"/>
          <w:sz w:val="24"/>
          <w:szCs w:val="24"/>
        </w:rPr>
        <w:t xml:space="preserve"> experiences</w:t>
      </w:r>
      <w:r w:rsidR="00BC253C">
        <w:rPr>
          <w:rFonts w:ascii="Times New Roman" w:hAnsi="Times New Roman"/>
          <w:sz w:val="24"/>
          <w:szCs w:val="24"/>
        </w:rPr>
        <w:t xml:space="preserve"> and</w:t>
      </w:r>
      <w:r>
        <w:rPr>
          <w:rFonts w:ascii="Times New Roman" w:hAnsi="Times New Roman"/>
          <w:sz w:val="24"/>
          <w:szCs w:val="24"/>
        </w:rPr>
        <w:t xml:space="preserve"> insights</w:t>
      </w:r>
      <w:r w:rsidR="008D69EB">
        <w:rPr>
          <w:rFonts w:ascii="Times New Roman" w:hAnsi="Times New Roman"/>
          <w:sz w:val="24"/>
          <w:szCs w:val="24"/>
        </w:rPr>
        <w:t xml:space="preserve"> about the review process for their application under the Program.</w:t>
      </w:r>
    </w:p>
    <w:p w:rsidR="00BC50A2" w:rsidRDefault="00BC50A2" w:rsidP="00494728">
      <w:pPr>
        <w:spacing w:after="0"/>
        <w:rPr>
          <w:rFonts w:ascii="Times New Roman" w:hAnsi="Times New Roman"/>
          <w:sz w:val="24"/>
          <w:szCs w:val="24"/>
        </w:rPr>
      </w:pPr>
    </w:p>
    <w:p w:rsidR="00A2208F" w:rsidRDefault="00A2208F" w:rsidP="008878B3">
      <w:pPr>
        <w:spacing w:after="0"/>
        <w:ind w:left="547"/>
        <w:rPr>
          <w:rFonts w:ascii="Times New Roman" w:hAnsi="Times New Roman"/>
          <w:sz w:val="24"/>
          <w:szCs w:val="24"/>
        </w:rPr>
      </w:pPr>
      <w:r>
        <w:rPr>
          <w:rFonts w:ascii="Times New Roman" w:hAnsi="Times New Roman"/>
          <w:sz w:val="24"/>
          <w:szCs w:val="24"/>
        </w:rPr>
        <w:t xml:space="preserve">The contractor will analyze </w:t>
      </w:r>
      <w:r w:rsidR="00927F6D">
        <w:rPr>
          <w:rFonts w:ascii="Times New Roman" w:hAnsi="Times New Roman"/>
          <w:sz w:val="24"/>
          <w:szCs w:val="24"/>
        </w:rPr>
        <w:t xml:space="preserve">rating-scale question responses to determine the extent to which applicants as a group believe that Program practices contribute to review process transparency, efficiency, and predictability. ERG will analyze open-ended </w:t>
      </w:r>
      <w:r>
        <w:rPr>
          <w:rFonts w:ascii="Times New Roman" w:hAnsi="Times New Roman"/>
          <w:sz w:val="24"/>
          <w:szCs w:val="24"/>
        </w:rPr>
        <w:t>responses</w:t>
      </w:r>
      <w:r w:rsidR="00380B62">
        <w:rPr>
          <w:rFonts w:ascii="Times New Roman" w:hAnsi="Times New Roman"/>
          <w:sz w:val="24"/>
          <w:szCs w:val="24"/>
        </w:rPr>
        <w:t xml:space="preserve"> to identify practices that </w:t>
      </w:r>
      <w:r w:rsidR="00927F6D">
        <w:rPr>
          <w:rFonts w:ascii="Times New Roman" w:hAnsi="Times New Roman"/>
          <w:sz w:val="24"/>
          <w:szCs w:val="24"/>
        </w:rPr>
        <w:t xml:space="preserve">applicants perceive as </w:t>
      </w:r>
      <w:r w:rsidR="00380B62">
        <w:rPr>
          <w:rFonts w:ascii="Times New Roman" w:hAnsi="Times New Roman"/>
          <w:sz w:val="24"/>
          <w:szCs w:val="24"/>
        </w:rPr>
        <w:t>enhanc</w:t>
      </w:r>
      <w:r w:rsidR="00927F6D">
        <w:rPr>
          <w:rFonts w:ascii="Times New Roman" w:hAnsi="Times New Roman"/>
          <w:sz w:val="24"/>
          <w:szCs w:val="24"/>
        </w:rPr>
        <w:t>ing</w:t>
      </w:r>
      <w:r w:rsidR="00380B62">
        <w:rPr>
          <w:rFonts w:ascii="Times New Roman" w:hAnsi="Times New Roman"/>
          <w:sz w:val="24"/>
          <w:szCs w:val="24"/>
        </w:rPr>
        <w:t xml:space="preserve"> review process transparency, </w:t>
      </w:r>
      <w:r w:rsidR="00532245">
        <w:rPr>
          <w:rFonts w:ascii="Times New Roman" w:hAnsi="Times New Roman"/>
          <w:sz w:val="24"/>
          <w:szCs w:val="24"/>
        </w:rPr>
        <w:lastRenderedPageBreak/>
        <w:t xml:space="preserve">practices that </w:t>
      </w:r>
      <w:r w:rsidR="00927F6D">
        <w:rPr>
          <w:rFonts w:ascii="Times New Roman" w:hAnsi="Times New Roman"/>
          <w:sz w:val="24"/>
          <w:szCs w:val="24"/>
        </w:rPr>
        <w:t>applicants perceive as increasing</w:t>
      </w:r>
      <w:r w:rsidR="00532245">
        <w:rPr>
          <w:rFonts w:ascii="Times New Roman" w:hAnsi="Times New Roman"/>
          <w:sz w:val="24"/>
          <w:szCs w:val="24"/>
        </w:rPr>
        <w:t xml:space="preserve"> the </w:t>
      </w:r>
      <w:r w:rsidR="00BC253C">
        <w:rPr>
          <w:rFonts w:ascii="Times New Roman" w:hAnsi="Times New Roman"/>
          <w:sz w:val="24"/>
          <w:szCs w:val="24"/>
        </w:rPr>
        <w:t xml:space="preserve">efficiency of the review process, </w:t>
      </w:r>
      <w:r w:rsidR="00927F6D">
        <w:rPr>
          <w:rFonts w:ascii="Times New Roman" w:hAnsi="Times New Roman"/>
          <w:sz w:val="24"/>
          <w:szCs w:val="24"/>
        </w:rPr>
        <w:t xml:space="preserve">and </w:t>
      </w:r>
      <w:r w:rsidR="001B3F0C">
        <w:rPr>
          <w:rFonts w:ascii="Times New Roman" w:hAnsi="Times New Roman"/>
          <w:sz w:val="24"/>
          <w:szCs w:val="24"/>
        </w:rPr>
        <w:t>aspects of Program implementation</w:t>
      </w:r>
      <w:r w:rsidR="00380B62">
        <w:rPr>
          <w:rFonts w:ascii="Times New Roman" w:hAnsi="Times New Roman"/>
          <w:sz w:val="24"/>
          <w:szCs w:val="24"/>
        </w:rPr>
        <w:t xml:space="preserve"> that might</w:t>
      </w:r>
      <w:r w:rsidR="00927F6D">
        <w:rPr>
          <w:rFonts w:ascii="Times New Roman" w:hAnsi="Times New Roman"/>
          <w:sz w:val="24"/>
          <w:szCs w:val="24"/>
        </w:rPr>
        <w:t xml:space="preserve"> benefit from improvement. </w:t>
      </w:r>
      <w:r w:rsidR="00992801">
        <w:rPr>
          <w:rFonts w:ascii="Times New Roman" w:hAnsi="Times New Roman"/>
          <w:sz w:val="24"/>
          <w:szCs w:val="24"/>
        </w:rPr>
        <w:t xml:space="preserve">In addition, ERG will </w:t>
      </w:r>
      <w:r w:rsidR="00437A6B">
        <w:rPr>
          <w:rFonts w:ascii="Times New Roman" w:hAnsi="Times New Roman"/>
          <w:sz w:val="24"/>
          <w:szCs w:val="24"/>
        </w:rPr>
        <w:t xml:space="preserve">consider how interview responses might explain or provide context for results from other parts of the independent assessment, such as metrics pertaining to pre-submission meetings, mid-cycle communications, late-cycle meetings, and other Program </w:t>
      </w:r>
      <w:r w:rsidR="00985694">
        <w:rPr>
          <w:rFonts w:ascii="Times New Roman" w:hAnsi="Times New Roman"/>
          <w:sz w:val="24"/>
          <w:szCs w:val="24"/>
        </w:rPr>
        <w:t>elements</w:t>
      </w:r>
      <w:r w:rsidR="00437A6B">
        <w:rPr>
          <w:rFonts w:ascii="Times New Roman" w:hAnsi="Times New Roman"/>
          <w:sz w:val="24"/>
          <w:szCs w:val="24"/>
        </w:rPr>
        <w:t>.</w:t>
      </w:r>
      <w:r w:rsidR="000D2902">
        <w:rPr>
          <w:rFonts w:ascii="Times New Roman" w:hAnsi="Times New Roman"/>
          <w:sz w:val="24"/>
          <w:szCs w:val="24"/>
        </w:rPr>
        <w:t xml:space="preserve"> In this way, ERG will use interview responses to complement and supplement</w:t>
      </w:r>
      <w:r w:rsidR="007B6404">
        <w:rPr>
          <w:rFonts w:ascii="Times New Roman" w:hAnsi="Times New Roman"/>
          <w:sz w:val="24"/>
          <w:szCs w:val="24"/>
        </w:rPr>
        <w:t xml:space="preserve"> data on Program </w:t>
      </w:r>
      <w:r w:rsidR="00985694">
        <w:rPr>
          <w:rFonts w:ascii="Times New Roman" w:hAnsi="Times New Roman"/>
          <w:sz w:val="24"/>
          <w:szCs w:val="24"/>
        </w:rPr>
        <w:t>parameters</w:t>
      </w:r>
      <w:r w:rsidR="007B6404">
        <w:rPr>
          <w:rFonts w:ascii="Times New Roman" w:hAnsi="Times New Roman"/>
          <w:sz w:val="24"/>
          <w:szCs w:val="24"/>
        </w:rPr>
        <w:t xml:space="preserve"> obtained through other means. ERG will synthesize and interpret the results to develop a set of findings and recommendations for the Program to be included in interim and final assessment reports and presentations.</w:t>
      </w:r>
    </w:p>
    <w:p w:rsidR="00A2208F" w:rsidRDefault="00A2208F" w:rsidP="00494728">
      <w:pPr>
        <w:spacing w:after="0"/>
        <w:rPr>
          <w:rFonts w:ascii="Times New Roman" w:hAnsi="Times New Roman"/>
          <w:sz w:val="24"/>
          <w:szCs w:val="24"/>
        </w:rPr>
      </w:pPr>
    </w:p>
    <w:p w:rsidR="00902A83" w:rsidRDefault="00902A83" w:rsidP="008878B3">
      <w:pPr>
        <w:spacing w:after="0"/>
        <w:ind w:left="540"/>
        <w:rPr>
          <w:rFonts w:ascii="Times New Roman" w:hAnsi="Times New Roman"/>
          <w:sz w:val="24"/>
          <w:szCs w:val="24"/>
        </w:rPr>
      </w:pPr>
      <w:r>
        <w:rPr>
          <w:rFonts w:ascii="Times New Roman" w:hAnsi="Times New Roman"/>
          <w:sz w:val="24"/>
          <w:szCs w:val="24"/>
        </w:rPr>
        <w:t xml:space="preserve">In turn, </w:t>
      </w:r>
      <w:r w:rsidR="007A440E">
        <w:rPr>
          <w:rFonts w:ascii="Times New Roman" w:hAnsi="Times New Roman"/>
          <w:sz w:val="24"/>
          <w:szCs w:val="24"/>
        </w:rPr>
        <w:t xml:space="preserve">FDA </w:t>
      </w:r>
      <w:r>
        <w:rPr>
          <w:rFonts w:ascii="Times New Roman" w:hAnsi="Times New Roman"/>
          <w:sz w:val="24"/>
          <w:szCs w:val="24"/>
        </w:rPr>
        <w:t>will use the independent assessment results, findings, and recommendations to:</w:t>
      </w:r>
    </w:p>
    <w:p w:rsidR="00902A83" w:rsidRDefault="00902A83" w:rsidP="00494728">
      <w:pPr>
        <w:spacing w:after="0"/>
        <w:rPr>
          <w:rFonts w:ascii="Times New Roman" w:hAnsi="Times New Roman"/>
          <w:sz w:val="24"/>
          <w:szCs w:val="24"/>
        </w:rPr>
      </w:pPr>
    </w:p>
    <w:p w:rsidR="00CC082F" w:rsidRDefault="00CC082F" w:rsidP="001672C4">
      <w:pPr>
        <w:pStyle w:val="ListParagraph"/>
        <w:numPr>
          <w:ilvl w:val="0"/>
          <w:numId w:val="40"/>
        </w:numPr>
        <w:spacing w:after="120"/>
        <w:ind w:left="900"/>
        <w:contextualSpacing w:val="0"/>
        <w:rPr>
          <w:rFonts w:ascii="Times New Roman" w:hAnsi="Times New Roman"/>
          <w:sz w:val="24"/>
          <w:szCs w:val="24"/>
        </w:rPr>
      </w:pPr>
      <w:r w:rsidRPr="00D325EB">
        <w:rPr>
          <w:rFonts w:ascii="Times New Roman" w:hAnsi="Times New Roman"/>
          <w:sz w:val="24"/>
          <w:szCs w:val="24"/>
        </w:rPr>
        <w:t>Determine the success of the Program in achieving established goals.</w:t>
      </w:r>
    </w:p>
    <w:p w:rsidR="00CC082F" w:rsidRPr="00D325EB" w:rsidRDefault="00CC082F" w:rsidP="001672C4">
      <w:pPr>
        <w:pStyle w:val="ListParagraph"/>
        <w:numPr>
          <w:ilvl w:val="0"/>
          <w:numId w:val="40"/>
        </w:numPr>
        <w:spacing w:after="120"/>
        <w:ind w:left="900"/>
        <w:contextualSpacing w:val="0"/>
        <w:rPr>
          <w:rFonts w:ascii="Times New Roman" w:hAnsi="Times New Roman"/>
          <w:sz w:val="24"/>
          <w:szCs w:val="24"/>
        </w:rPr>
      </w:pPr>
      <w:r>
        <w:rPr>
          <w:rFonts w:ascii="Times New Roman" w:hAnsi="Times New Roman"/>
          <w:sz w:val="24"/>
          <w:szCs w:val="24"/>
        </w:rPr>
        <w:t>D</w:t>
      </w:r>
      <w:r w:rsidRPr="00D325EB">
        <w:rPr>
          <w:rFonts w:ascii="Times New Roman" w:hAnsi="Times New Roman"/>
          <w:sz w:val="24"/>
          <w:szCs w:val="24"/>
        </w:rPr>
        <w:t>etermine whether and how to refine implementation of the Program during the remainder of PDUFA V.</w:t>
      </w:r>
    </w:p>
    <w:p w:rsidR="00AA1734" w:rsidRDefault="00902A83" w:rsidP="001672C4">
      <w:pPr>
        <w:pStyle w:val="ListParagraph"/>
        <w:numPr>
          <w:ilvl w:val="0"/>
          <w:numId w:val="40"/>
        </w:numPr>
        <w:spacing w:after="120"/>
        <w:ind w:left="900"/>
        <w:contextualSpacing w:val="0"/>
        <w:rPr>
          <w:rFonts w:ascii="Times New Roman" w:hAnsi="Times New Roman"/>
          <w:sz w:val="24"/>
          <w:szCs w:val="24"/>
        </w:rPr>
      </w:pPr>
      <w:r w:rsidRPr="00D325EB">
        <w:rPr>
          <w:rFonts w:ascii="Times New Roman" w:hAnsi="Times New Roman"/>
          <w:sz w:val="24"/>
          <w:szCs w:val="24"/>
        </w:rPr>
        <w:t xml:space="preserve">Demonstrate compliance with </w:t>
      </w:r>
      <w:r w:rsidR="00CC082F">
        <w:rPr>
          <w:rFonts w:ascii="Times New Roman" w:hAnsi="Times New Roman"/>
          <w:sz w:val="24"/>
          <w:szCs w:val="24"/>
        </w:rPr>
        <w:t>the</w:t>
      </w:r>
      <w:r w:rsidR="00CC082F" w:rsidRPr="00D325EB">
        <w:rPr>
          <w:rFonts w:ascii="Times New Roman" w:hAnsi="Times New Roman"/>
          <w:sz w:val="24"/>
          <w:szCs w:val="24"/>
        </w:rPr>
        <w:t xml:space="preserve"> </w:t>
      </w:r>
      <w:r w:rsidR="00BC253C">
        <w:rPr>
          <w:rFonts w:ascii="Times New Roman" w:hAnsi="Times New Roman"/>
          <w:sz w:val="24"/>
          <w:szCs w:val="24"/>
        </w:rPr>
        <w:t>commitment</w:t>
      </w:r>
      <w:r w:rsidRPr="00D325EB">
        <w:rPr>
          <w:rFonts w:ascii="Times New Roman" w:hAnsi="Times New Roman"/>
          <w:sz w:val="24"/>
          <w:szCs w:val="24"/>
        </w:rPr>
        <w:t xml:space="preserve"> to </w:t>
      </w:r>
      <w:r w:rsidR="00CC082F">
        <w:rPr>
          <w:rFonts w:ascii="Times New Roman" w:hAnsi="Times New Roman"/>
          <w:sz w:val="24"/>
          <w:szCs w:val="24"/>
        </w:rPr>
        <w:t>conduct</w:t>
      </w:r>
      <w:r w:rsidR="00CC082F" w:rsidRPr="00D325EB">
        <w:rPr>
          <w:rFonts w:ascii="Times New Roman" w:hAnsi="Times New Roman"/>
          <w:sz w:val="24"/>
          <w:szCs w:val="24"/>
        </w:rPr>
        <w:t xml:space="preserve"> </w:t>
      </w:r>
      <w:r w:rsidRPr="00D325EB">
        <w:rPr>
          <w:rFonts w:ascii="Times New Roman" w:hAnsi="Times New Roman"/>
          <w:sz w:val="24"/>
          <w:szCs w:val="24"/>
        </w:rPr>
        <w:t>the independent assessments</w:t>
      </w:r>
      <w:r w:rsidR="00CC082F">
        <w:rPr>
          <w:rFonts w:ascii="Times New Roman" w:hAnsi="Times New Roman"/>
          <w:sz w:val="24"/>
          <w:szCs w:val="24"/>
        </w:rPr>
        <w:t xml:space="preserve"> and publish them for public comment</w:t>
      </w:r>
      <w:r w:rsidRPr="00D325EB">
        <w:rPr>
          <w:rFonts w:ascii="Times New Roman" w:hAnsi="Times New Roman"/>
          <w:sz w:val="24"/>
          <w:szCs w:val="24"/>
        </w:rPr>
        <w:t>.</w:t>
      </w:r>
    </w:p>
    <w:p w:rsidR="0012584F" w:rsidRPr="00AA1734" w:rsidRDefault="003A3DC1" w:rsidP="001672C4">
      <w:pPr>
        <w:pStyle w:val="ListParagraph"/>
        <w:numPr>
          <w:ilvl w:val="0"/>
          <w:numId w:val="40"/>
        </w:numPr>
        <w:spacing w:after="120"/>
        <w:ind w:left="900"/>
        <w:contextualSpacing w:val="0"/>
        <w:rPr>
          <w:rFonts w:ascii="Times New Roman" w:hAnsi="Times New Roman"/>
          <w:sz w:val="24"/>
          <w:szCs w:val="24"/>
        </w:rPr>
      </w:pPr>
      <w:r>
        <w:rPr>
          <w:rFonts w:ascii="Times New Roman" w:hAnsi="Times New Roman"/>
          <w:sz w:val="24"/>
          <w:szCs w:val="24"/>
        </w:rPr>
        <w:t>Share information about the Program with the regulated community, the public health community, Congress, and the general public.</w:t>
      </w:r>
    </w:p>
    <w:p w:rsidR="00787CCE" w:rsidRPr="008878B3" w:rsidRDefault="006418B2" w:rsidP="00AE0207">
      <w:pPr>
        <w:pStyle w:val="OMBPackageHeading2"/>
        <w:rPr>
          <w:rFonts w:ascii="Times New Roman" w:hAnsi="Times New Roman"/>
          <w:b w:val="0"/>
          <w:color w:val="auto"/>
          <w:sz w:val="24"/>
          <w:u w:val="single"/>
        </w:rPr>
      </w:pPr>
      <w:bookmarkStart w:id="2" w:name="_Toc322005782"/>
      <w:r w:rsidRPr="00763D8E">
        <w:rPr>
          <w:rFonts w:ascii="Times New Roman" w:hAnsi="Times New Roman"/>
          <w:b w:val="0"/>
          <w:color w:val="auto"/>
          <w:sz w:val="24"/>
          <w:u w:val="single"/>
        </w:rPr>
        <w:t xml:space="preserve">Uses of Improved Technology </w:t>
      </w:r>
      <w:r w:rsidR="0051559E" w:rsidRPr="00763D8E">
        <w:rPr>
          <w:rFonts w:ascii="Times New Roman" w:hAnsi="Times New Roman"/>
          <w:b w:val="0"/>
          <w:color w:val="auto"/>
          <w:sz w:val="24"/>
          <w:u w:val="single"/>
        </w:rPr>
        <w:t>and</w:t>
      </w:r>
      <w:r w:rsidRPr="00763D8E">
        <w:rPr>
          <w:rFonts w:ascii="Times New Roman" w:hAnsi="Times New Roman"/>
          <w:b w:val="0"/>
          <w:color w:val="auto"/>
          <w:sz w:val="24"/>
          <w:u w:val="single"/>
        </w:rPr>
        <w:t xml:space="preserve"> Burden</w:t>
      </w:r>
      <w:bookmarkEnd w:id="2"/>
      <w:r w:rsidR="0051559E" w:rsidRPr="00763D8E">
        <w:rPr>
          <w:rFonts w:ascii="Times New Roman" w:hAnsi="Times New Roman"/>
          <w:b w:val="0"/>
          <w:color w:val="auto"/>
          <w:sz w:val="24"/>
          <w:u w:val="single"/>
        </w:rPr>
        <w:t xml:space="preserve"> Reduction</w:t>
      </w:r>
    </w:p>
    <w:p w:rsidR="00787CCE" w:rsidRDefault="00085D05" w:rsidP="008878B3">
      <w:pPr>
        <w:spacing w:after="0"/>
        <w:ind w:left="547"/>
        <w:rPr>
          <w:rFonts w:ascii="Times New Roman" w:hAnsi="Times New Roman"/>
          <w:sz w:val="24"/>
          <w:szCs w:val="24"/>
        </w:rPr>
      </w:pPr>
      <w:r>
        <w:rPr>
          <w:rFonts w:ascii="Times New Roman" w:hAnsi="Times New Roman"/>
          <w:sz w:val="24"/>
          <w:szCs w:val="24"/>
        </w:rPr>
        <w:t xml:space="preserve">ERG will not </w:t>
      </w:r>
      <w:r w:rsidR="00796250">
        <w:rPr>
          <w:rFonts w:ascii="Times New Roman" w:hAnsi="Times New Roman"/>
          <w:sz w:val="24"/>
          <w:szCs w:val="24"/>
        </w:rPr>
        <w:t>employ</w:t>
      </w:r>
      <w:r>
        <w:rPr>
          <w:rFonts w:ascii="Times New Roman" w:hAnsi="Times New Roman"/>
          <w:sz w:val="24"/>
          <w:szCs w:val="24"/>
        </w:rPr>
        <w:t xml:space="preserve"> any </w:t>
      </w:r>
      <w:r w:rsidR="00376B3B">
        <w:rPr>
          <w:rFonts w:ascii="Times New Roman" w:hAnsi="Times New Roman"/>
          <w:sz w:val="24"/>
          <w:szCs w:val="24"/>
        </w:rPr>
        <w:t>web</w:t>
      </w:r>
      <w:r>
        <w:rPr>
          <w:rFonts w:ascii="Times New Roman" w:hAnsi="Times New Roman"/>
          <w:sz w:val="24"/>
          <w:szCs w:val="24"/>
        </w:rPr>
        <w:t>-</w:t>
      </w:r>
      <w:r w:rsidR="00376B3B">
        <w:rPr>
          <w:rFonts w:ascii="Times New Roman" w:hAnsi="Times New Roman"/>
          <w:sz w:val="24"/>
          <w:szCs w:val="24"/>
        </w:rPr>
        <w:t xml:space="preserve">based </w:t>
      </w:r>
      <w:r>
        <w:rPr>
          <w:rFonts w:ascii="Times New Roman" w:hAnsi="Times New Roman"/>
          <w:sz w:val="24"/>
          <w:szCs w:val="24"/>
        </w:rPr>
        <w:t xml:space="preserve">resources in soliciting sponsor and FDA feedback. </w:t>
      </w:r>
      <w:r w:rsidR="00376B3B">
        <w:rPr>
          <w:rFonts w:ascii="Times New Roman" w:hAnsi="Times New Roman"/>
          <w:sz w:val="24"/>
          <w:szCs w:val="24"/>
        </w:rPr>
        <w:t xml:space="preserve">While online surveys </w:t>
      </w:r>
      <w:r w:rsidR="00796250">
        <w:rPr>
          <w:rFonts w:ascii="Times New Roman" w:hAnsi="Times New Roman"/>
          <w:sz w:val="24"/>
          <w:szCs w:val="24"/>
        </w:rPr>
        <w:t>can be distributed quickly and easily</w:t>
      </w:r>
      <w:r w:rsidR="00376B3B">
        <w:rPr>
          <w:rFonts w:ascii="Times New Roman" w:hAnsi="Times New Roman"/>
          <w:sz w:val="24"/>
          <w:szCs w:val="24"/>
        </w:rPr>
        <w:t xml:space="preserve"> to a </w:t>
      </w:r>
      <w:r w:rsidR="00A10BDF">
        <w:rPr>
          <w:rFonts w:ascii="Times New Roman" w:hAnsi="Times New Roman"/>
          <w:sz w:val="24"/>
          <w:szCs w:val="24"/>
        </w:rPr>
        <w:t>large</w:t>
      </w:r>
      <w:r w:rsidR="00C27AA4">
        <w:rPr>
          <w:rFonts w:ascii="Times New Roman" w:hAnsi="Times New Roman"/>
          <w:sz w:val="24"/>
          <w:szCs w:val="24"/>
        </w:rPr>
        <w:t xml:space="preserve"> </w:t>
      </w:r>
      <w:r w:rsidR="00376B3B">
        <w:rPr>
          <w:rFonts w:ascii="Times New Roman" w:hAnsi="Times New Roman"/>
          <w:sz w:val="24"/>
          <w:szCs w:val="24"/>
        </w:rPr>
        <w:t xml:space="preserve">volume of respondents, </w:t>
      </w:r>
      <w:r w:rsidR="00796250">
        <w:rPr>
          <w:rFonts w:ascii="Times New Roman" w:hAnsi="Times New Roman"/>
          <w:sz w:val="24"/>
          <w:szCs w:val="24"/>
        </w:rPr>
        <w:t>they</w:t>
      </w:r>
      <w:r>
        <w:rPr>
          <w:rFonts w:ascii="Times New Roman" w:hAnsi="Times New Roman"/>
          <w:sz w:val="24"/>
          <w:szCs w:val="24"/>
        </w:rPr>
        <w:t xml:space="preserve"> are </w:t>
      </w:r>
      <w:r w:rsidR="00C27AA4">
        <w:rPr>
          <w:rFonts w:ascii="Times New Roman" w:hAnsi="Times New Roman"/>
          <w:sz w:val="24"/>
          <w:szCs w:val="24"/>
        </w:rPr>
        <w:t>not the best vehicle for</w:t>
      </w:r>
      <w:r>
        <w:rPr>
          <w:rFonts w:ascii="Times New Roman" w:hAnsi="Times New Roman"/>
          <w:sz w:val="24"/>
          <w:szCs w:val="24"/>
        </w:rPr>
        <w:t xml:space="preserve"> discuss</w:t>
      </w:r>
      <w:r w:rsidR="00C27AA4">
        <w:rPr>
          <w:rFonts w:ascii="Times New Roman" w:hAnsi="Times New Roman"/>
          <w:sz w:val="24"/>
          <w:szCs w:val="24"/>
        </w:rPr>
        <w:t>ing</w:t>
      </w:r>
      <w:r>
        <w:rPr>
          <w:rFonts w:ascii="Times New Roman" w:hAnsi="Times New Roman"/>
          <w:sz w:val="24"/>
          <w:szCs w:val="24"/>
        </w:rPr>
        <w:t xml:space="preserve"> </w:t>
      </w:r>
      <w:r w:rsidR="00C27AA4">
        <w:rPr>
          <w:rFonts w:ascii="Times New Roman" w:hAnsi="Times New Roman"/>
          <w:sz w:val="24"/>
          <w:szCs w:val="24"/>
        </w:rPr>
        <w:t xml:space="preserve">the </w:t>
      </w:r>
      <w:r w:rsidR="00EB5ED7">
        <w:rPr>
          <w:rFonts w:ascii="Times New Roman" w:hAnsi="Times New Roman"/>
          <w:sz w:val="24"/>
          <w:szCs w:val="24"/>
        </w:rPr>
        <w:t>nuances of</w:t>
      </w:r>
      <w:r w:rsidR="00C27AA4">
        <w:rPr>
          <w:rFonts w:ascii="Times New Roman" w:hAnsi="Times New Roman"/>
          <w:sz w:val="24"/>
          <w:szCs w:val="24"/>
        </w:rPr>
        <w:t xml:space="preserve"> respondent</w:t>
      </w:r>
      <w:r w:rsidR="006F5B3C">
        <w:rPr>
          <w:rFonts w:ascii="Times New Roman" w:hAnsi="Times New Roman"/>
          <w:sz w:val="24"/>
          <w:szCs w:val="24"/>
        </w:rPr>
        <w:t>’s individual</w:t>
      </w:r>
      <w:r w:rsidR="00C27AA4">
        <w:rPr>
          <w:rFonts w:ascii="Times New Roman" w:hAnsi="Times New Roman"/>
          <w:sz w:val="24"/>
          <w:szCs w:val="24"/>
        </w:rPr>
        <w:t xml:space="preserve"> experiences, insights, and reasoning</w:t>
      </w:r>
      <w:r w:rsidR="00376B3B">
        <w:rPr>
          <w:rFonts w:ascii="Times New Roman" w:hAnsi="Times New Roman"/>
          <w:sz w:val="24"/>
          <w:szCs w:val="24"/>
        </w:rPr>
        <w:t xml:space="preserve">. </w:t>
      </w:r>
      <w:r w:rsidR="00EB5ED7">
        <w:rPr>
          <w:rFonts w:ascii="Times New Roman" w:hAnsi="Times New Roman"/>
          <w:sz w:val="24"/>
          <w:szCs w:val="24"/>
        </w:rPr>
        <w:t>Even s</w:t>
      </w:r>
      <w:r w:rsidR="00376B3B">
        <w:rPr>
          <w:rFonts w:ascii="Times New Roman" w:hAnsi="Times New Roman"/>
          <w:sz w:val="24"/>
          <w:szCs w:val="24"/>
        </w:rPr>
        <w:t xml:space="preserve">urveys </w:t>
      </w:r>
      <w:r w:rsidR="005E0339">
        <w:rPr>
          <w:rFonts w:ascii="Times New Roman" w:hAnsi="Times New Roman"/>
          <w:sz w:val="24"/>
          <w:szCs w:val="24"/>
        </w:rPr>
        <w:t>with</w:t>
      </w:r>
      <w:r w:rsidR="00376B3B">
        <w:rPr>
          <w:rFonts w:ascii="Times New Roman" w:hAnsi="Times New Roman"/>
          <w:sz w:val="24"/>
          <w:szCs w:val="24"/>
        </w:rPr>
        <w:t xml:space="preserve"> open-</w:t>
      </w:r>
      <w:r w:rsidR="00376B3B" w:rsidRPr="00EB5ED7">
        <w:rPr>
          <w:rFonts w:ascii="Times New Roman" w:hAnsi="Times New Roman"/>
          <w:sz w:val="24"/>
          <w:szCs w:val="24"/>
        </w:rPr>
        <w:t xml:space="preserve">ended </w:t>
      </w:r>
      <w:r w:rsidR="00EB5ED7" w:rsidRPr="00EB5ED7">
        <w:rPr>
          <w:rFonts w:ascii="Times New Roman" w:hAnsi="Times New Roman"/>
          <w:sz w:val="24"/>
          <w:szCs w:val="24"/>
        </w:rPr>
        <w:t xml:space="preserve">questions do not permit immediate </w:t>
      </w:r>
      <w:r w:rsidR="008750C1" w:rsidRPr="00EB5ED7">
        <w:rPr>
          <w:rFonts w:ascii="Times New Roman" w:hAnsi="Times New Roman"/>
          <w:sz w:val="24"/>
          <w:szCs w:val="24"/>
        </w:rPr>
        <w:t>follow-up</w:t>
      </w:r>
      <w:r w:rsidR="00EB5ED7" w:rsidRPr="00EB5ED7">
        <w:rPr>
          <w:rFonts w:ascii="Times New Roman" w:hAnsi="Times New Roman"/>
          <w:sz w:val="24"/>
          <w:szCs w:val="24"/>
        </w:rPr>
        <w:t xml:space="preserve"> exchanges to clarify or </w:t>
      </w:r>
      <w:r w:rsidR="00A10BDF">
        <w:rPr>
          <w:rFonts w:ascii="Times New Roman" w:hAnsi="Times New Roman"/>
          <w:sz w:val="24"/>
          <w:szCs w:val="24"/>
        </w:rPr>
        <w:t>elucidate</w:t>
      </w:r>
      <w:r w:rsidR="00EB5ED7" w:rsidRPr="00EB5ED7">
        <w:rPr>
          <w:rFonts w:ascii="Times New Roman" w:hAnsi="Times New Roman"/>
          <w:sz w:val="24"/>
          <w:szCs w:val="24"/>
        </w:rPr>
        <w:t xml:space="preserve"> responses</w:t>
      </w:r>
      <w:r w:rsidR="00A10BDF">
        <w:rPr>
          <w:rFonts w:ascii="Times New Roman" w:hAnsi="Times New Roman"/>
          <w:sz w:val="24"/>
          <w:szCs w:val="24"/>
        </w:rPr>
        <w:t xml:space="preserve">; any </w:t>
      </w:r>
      <w:r w:rsidR="008750C1">
        <w:rPr>
          <w:rFonts w:ascii="Times New Roman" w:hAnsi="Times New Roman"/>
          <w:sz w:val="24"/>
          <w:szCs w:val="24"/>
        </w:rPr>
        <w:t>follow-up</w:t>
      </w:r>
      <w:r w:rsidR="00A10BDF">
        <w:rPr>
          <w:rFonts w:ascii="Times New Roman" w:hAnsi="Times New Roman"/>
          <w:sz w:val="24"/>
          <w:szCs w:val="24"/>
        </w:rPr>
        <w:t xml:space="preserve"> requires additional contact with respondents, increasing burden</w:t>
      </w:r>
      <w:r w:rsidR="00376B3B" w:rsidRPr="00EB5ED7">
        <w:rPr>
          <w:rFonts w:ascii="Times New Roman" w:hAnsi="Times New Roman"/>
          <w:sz w:val="24"/>
          <w:szCs w:val="24"/>
        </w:rPr>
        <w:t>.</w:t>
      </w:r>
      <w:r w:rsidRPr="00EB5ED7">
        <w:rPr>
          <w:rFonts w:ascii="Times New Roman" w:hAnsi="Times New Roman"/>
          <w:sz w:val="24"/>
          <w:szCs w:val="24"/>
        </w:rPr>
        <w:t xml:space="preserve"> </w:t>
      </w:r>
      <w:r w:rsidR="00A10BDF">
        <w:rPr>
          <w:rFonts w:ascii="Times New Roman" w:hAnsi="Times New Roman"/>
          <w:sz w:val="24"/>
          <w:szCs w:val="24"/>
        </w:rPr>
        <w:t>Interviews</w:t>
      </w:r>
      <w:r w:rsidR="00EB5ED7" w:rsidRPr="00D325EB">
        <w:rPr>
          <w:rFonts w:ascii="Times New Roman" w:hAnsi="Times New Roman"/>
          <w:sz w:val="24"/>
          <w:szCs w:val="24"/>
        </w:rPr>
        <w:t xml:space="preserve"> provide </w:t>
      </w:r>
      <w:r w:rsidR="00A10BDF">
        <w:rPr>
          <w:rFonts w:ascii="Times New Roman" w:hAnsi="Times New Roman"/>
          <w:sz w:val="24"/>
          <w:szCs w:val="24"/>
        </w:rPr>
        <w:t xml:space="preserve">the </w:t>
      </w:r>
      <w:r w:rsidR="00EB5ED7" w:rsidRPr="00D325EB">
        <w:rPr>
          <w:rFonts w:ascii="Times New Roman" w:hAnsi="Times New Roman"/>
          <w:sz w:val="24"/>
          <w:szCs w:val="24"/>
        </w:rPr>
        <w:t xml:space="preserve">more detailed and nuanced feedback </w:t>
      </w:r>
      <w:r w:rsidR="00A10BDF">
        <w:rPr>
          <w:rFonts w:ascii="Times New Roman" w:hAnsi="Times New Roman"/>
          <w:sz w:val="24"/>
          <w:szCs w:val="24"/>
        </w:rPr>
        <w:t>needed for this independent assessment in a way that</w:t>
      </w:r>
      <w:r w:rsidR="00AE0207">
        <w:rPr>
          <w:rFonts w:ascii="Times New Roman" w:hAnsi="Times New Roman"/>
          <w:sz w:val="24"/>
          <w:szCs w:val="24"/>
        </w:rPr>
        <w:t xml:space="preserve"> m</w:t>
      </w:r>
      <w:r w:rsidR="00376B3B">
        <w:rPr>
          <w:rFonts w:ascii="Times New Roman" w:hAnsi="Times New Roman"/>
          <w:sz w:val="24"/>
          <w:szCs w:val="24"/>
        </w:rPr>
        <w:t>inimiz</w:t>
      </w:r>
      <w:r w:rsidR="00A10BDF">
        <w:rPr>
          <w:rFonts w:ascii="Times New Roman" w:hAnsi="Times New Roman"/>
          <w:sz w:val="24"/>
          <w:szCs w:val="24"/>
        </w:rPr>
        <w:t>es</w:t>
      </w:r>
      <w:r w:rsidR="00376B3B">
        <w:rPr>
          <w:rFonts w:ascii="Times New Roman" w:hAnsi="Times New Roman"/>
          <w:sz w:val="24"/>
          <w:szCs w:val="24"/>
        </w:rPr>
        <w:t xml:space="preserve"> burden.</w:t>
      </w:r>
    </w:p>
    <w:p w:rsidR="008A145E" w:rsidRDefault="008A145E" w:rsidP="008878B3">
      <w:pPr>
        <w:spacing w:after="0"/>
        <w:ind w:left="547"/>
        <w:rPr>
          <w:rFonts w:ascii="Times New Roman" w:hAnsi="Times New Roman"/>
          <w:sz w:val="24"/>
          <w:szCs w:val="24"/>
        </w:rPr>
      </w:pPr>
    </w:p>
    <w:p w:rsidR="008A145E" w:rsidRPr="00085D05" w:rsidRDefault="008A145E" w:rsidP="008878B3">
      <w:pPr>
        <w:spacing w:after="0"/>
        <w:ind w:left="547"/>
        <w:rPr>
          <w:rFonts w:ascii="Times New Roman" w:hAnsi="Times New Roman"/>
          <w:sz w:val="24"/>
          <w:szCs w:val="24"/>
        </w:rPr>
      </w:pPr>
      <w:r>
        <w:rPr>
          <w:rFonts w:ascii="Times New Roman" w:hAnsi="Times New Roman"/>
          <w:sz w:val="24"/>
          <w:szCs w:val="24"/>
        </w:rPr>
        <w:t xml:space="preserve">ERG will also minimize the burden </w:t>
      </w:r>
      <w:r w:rsidR="00C70193">
        <w:rPr>
          <w:rFonts w:ascii="Times New Roman" w:hAnsi="Times New Roman"/>
          <w:sz w:val="24"/>
          <w:szCs w:val="24"/>
        </w:rPr>
        <w:t>by</w:t>
      </w:r>
      <w:r>
        <w:rPr>
          <w:rFonts w:ascii="Times New Roman" w:hAnsi="Times New Roman"/>
          <w:sz w:val="24"/>
          <w:szCs w:val="24"/>
        </w:rPr>
        <w:t xml:space="preserve"> offering to conduct interviews by telephone or vide</w:t>
      </w:r>
      <w:r w:rsidR="00C70193">
        <w:rPr>
          <w:rFonts w:ascii="Times New Roman" w:hAnsi="Times New Roman"/>
          <w:sz w:val="24"/>
          <w:szCs w:val="24"/>
        </w:rPr>
        <w:t>o</w:t>
      </w:r>
      <w:r>
        <w:rPr>
          <w:rFonts w:ascii="Times New Roman" w:hAnsi="Times New Roman"/>
          <w:sz w:val="24"/>
          <w:szCs w:val="24"/>
        </w:rPr>
        <w:t>conference if meeting in person is burdensome. Finally, the interview instrument has been designed to elicit the desired feedback in as short an interview time as possible.</w:t>
      </w:r>
    </w:p>
    <w:p w:rsidR="006418B2" w:rsidRPr="008878B3" w:rsidRDefault="006418B2" w:rsidP="002300AB">
      <w:pPr>
        <w:pStyle w:val="OMBPackageHeading2"/>
        <w:rPr>
          <w:rFonts w:ascii="Times New Roman" w:hAnsi="Times New Roman"/>
          <w:b w:val="0"/>
          <w:color w:val="auto"/>
          <w:sz w:val="24"/>
          <w:u w:val="single"/>
        </w:rPr>
      </w:pPr>
      <w:bookmarkStart w:id="3" w:name="_Toc322005783"/>
      <w:r w:rsidRPr="00763D8E">
        <w:rPr>
          <w:rFonts w:ascii="Times New Roman" w:hAnsi="Times New Roman"/>
          <w:b w:val="0"/>
          <w:color w:val="auto"/>
          <w:sz w:val="24"/>
          <w:u w:val="single"/>
        </w:rPr>
        <w:t>Efforts to Identify Duplication</w:t>
      </w:r>
      <w:bookmarkEnd w:id="3"/>
      <w:r w:rsidR="0051559E" w:rsidRPr="00763D8E">
        <w:rPr>
          <w:rFonts w:ascii="Times New Roman" w:hAnsi="Times New Roman"/>
          <w:b w:val="0"/>
          <w:color w:val="auto"/>
          <w:sz w:val="24"/>
          <w:u w:val="single"/>
        </w:rPr>
        <w:t xml:space="preserve"> and Use of Similar Information</w:t>
      </w:r>
    </w:p>
    <w:p w:rsidR="006418B2" w:rsidRPr="009D166E" w:rsidRDefault="00CB690D" w:rsidP="008878B3">
      <w:pPr>
        <w:spacing w:after="0"/>
        <w:ind w:left="547"/>
        <w:rPr>
          <w:rFonts w:ascii="Times New Roman" w:hAnsi="Times New Roman"/>
          <w:color w:val="000000"/>
          <w:sz w:val="24"/>
          <w:szCs w:val="24"/>
        </w:rPr>
      </w:pPr>
      <w:r>
        <w:rPr>
          <w:rFonts w:ascii="Times New Roman" w:hAnsi="Times New Roman"/>
          <w:color w:val="000000"/>
          <w:sz w:val="24"/>
          <w:szCs w:val="24"/>
        </w:rPr>
        <w:t xml:space="preserve">No other </w:t>
      </w:r>
      <w:r w:rsidR="0051559E">
        <w:rPr>
          <w:rFonts w:ascii="Times New Roman" w:hAnsi="Times New Roman"/>
          <w:color w:val="000000"/>
          <w:sz w:val="24"/>
          <w:szCs w:val="24"/>
        </w:rPr>
        <w:t>A</w:t>
      </w:r>
      <w:r>
        <w:rPr>
          <w:rFonts w:ascii="Times New Roman" w:hAnsi="Times New Roman"/>
          <w:color w:val="000000"/>
          <w:sz w:val="24"/>
          <w:szCs w:val="24"/>
        </w:rPr>
        <w:t xml:space="preserve">gency or program is interviewing sponsors of NME NDAs/original BLAs </w:t>
      </w:r>
      <w:r w:rsidR="008750C1">
        <w:rPr>
          <w:rFonts w:ascii="Times New Roman" w:hAnsi="Times New Roman"/>
          <w:color w:val="000000"/>
          <w:sz w:val="24"/>
          <w:szCs w:val="24"/>
        </w:rPr>
        <w:t xml:space="preserve">as part of the required assessments of </w:t>
      </w:r>
      <w:r w:rsidR="006F5B3C">
        <w:rPr>
          <w:rFonts w:ascii="Times New Roman" w:hAnsi="Times New Roman"/>
          <w:color w:val="000000"/>
          <w:sz w:val="24"/>
          <w:szCs w:val="24"/>
        </w:rPr>
        <w:t xml:space="preserve">the </w:t>
      </w:r>
      <w:r>
        <w:rPr>
          <w:rFonts w:ascii="Times New Roman" w:hAnsi="Times New Roman"/>
          <w:color w:val="000000"/>
          <w:sz w:val="24"/>
          <w:szCs w:val="24"/>
        </w:rPr>
        <w:t xml:space="preserve">Program </w:t>
      </w:r>
      <w:r w:rsidR="008750C1">
        <w:rPr>
          <w:rFonts w:ascii="Times New Roman" w:hAnsi="Times New Roman"/>
          <w:color w:val="000000"/>
          <w:sz w:val="24"/>
          <w:szCs w:val="24"/>
        </w:rPr>
        <w:t>in PDUFA V</w:t>
      </w:r>
      <w:r>
        <w:rPr>
          <w:rFonts w:ascii="Times New Roman" w:hAnsi="Times New Roman"/>
          <w:color w:val="000000"/>
          <w:sz w:val="24"/>
          <w:szCs w:val="24"/>
        </w:rPr>
        <w:t xml:space="preserve">. </w:t>
      </w:r>
      <w:r w:rsidR="006C71EA">
        <w:rPr>
          <w:rFonts w:ascii="Times New Roman" w:hAnsi="Times New Roman"/>
          <w:color w:val="000000"/>
          <w:sz w:val="24"/>
          <w:szCs w:val="24"/>
        </w:rPr>
        <w:t xml:space="preserve">Members of FDA’s Center </w:t>
      </w:r>
      <w:r w:rsidR="006C71EA">
        <w:rPr>
          <w:rFonts w:ascii="Times New Roman" w:hAnsi="Times New Roman"/>
          <w:color w:val="000000"/>
          <w:sz w:val="24"/>
          <w:szCs w:val="24"/>
        </w:rPr>
        <w:lastRenderedPageBreak/>
        <w:t>for Drug Evaluation and Research, Center for Biologics Evaluation and Research</w:t>
      </w:r>
      <w:r>
        <w:rPr>
          <w:rFonts w:ascii="Times New Roman" w:hAnsi="Times New Roman"/>
          <w:color w:val="000000"/>
          <w:sz w:val="24"/>
          <w:szCs w:val="24"/>
        </w:rPr>
        <w:t xml:space="preserve">, and Program Advisory Group have met to discuss/identify any similar efforts. This effort is expected by </w:t>
      </w:r>
      <w:r w:rsidR="006F5B3C">
        <w:rPr>
          <w:rFonts w:ascii="Times New Roman" w:hAnsi="Times New Roman"/>
          <w:color w:val="000000"/>
          <w:sz w:val="24"/>
          <w:szCs w:val="24"/>
        </w:rPr>
        <w:t xml:space="preserve">the </w:t>
      </w:r>
      <w:r>
        <w:rPr>
          <w:rFonts w:ascii="Times New Roman" w:hAnsi="Times New Roman"/>
          <w:color w:val="000000"/>
          <w:sz w:val="24"/>
          <w:szCs w:val="24"/>
        </w:rPr>
        <w:t xml:space="preserve">regulated </w:t>
      </w:r>
      <w:r w:rsidR="00565DFE">
        <w:rPr>
          <w:rFonts w:ascii="Times New Roman" w:hAnsi="Times New Roman"/>
          <w:color w:val="000000"/>
          <w:sz w:val="24"/>
          <w:szCs w:val="24"/>
        </w:rPr>
        <w:t xml:space="preserve">industry </w:t>
      </w:r>
      <w:r>
        <w:rPr>
          <w:rFonts w:ascii="Times New Roman" w:hAnsi="Times New Roman"/>
          <w:color w:val="000000"/>
          <w:sz w:val="24"/>
          <w:szCs w:val="24"/>
        </w:rPr>
        <w:t>based on</w:t>
      </w:r>
      <w:r w:rsidR="008750C1">
        <w:rPr>
          <w:rFonts w:ascii="Times New Roman" w:hAnsi="Times New Roman"/>
          <w:color w:val="000000"/>
          <w:sz w:val="24"/>
          <w:szCs w:val="24"/>
        </w:rPr>
        <w:t xml:space="preserve"> the requirements specified in the</w:t>
      </w:r>
      <w:r>
        <w:rPr>
          <w:rFonts w:ascii="Times New Roman" w:hAnsi="Times New Roman"/>
          <w:color w:val="000000"/>
          <w:sz w:val="24"/>
          <w:szCs w:val="24"/>
        </w:rPr>
        <w:t xml:space="preserve"> PDUFA V</w:t>
      </w:r>
      <w:r w:rsidR="008750C1">
        <w:rPr>
          <w:rFonts w:ascii="Times New Roman" w:hAnsi="Times New Roman"/>
          <w:color w:val="000000"/>
          <w:sz w:val="24"/>
          <w:szCs w:val="24"/>
        </w:rPr>
        <w:t xml:space="preserve"> </w:t>
      </w:r>
      <w:r>
        <w:rPr>
          <w:rFonts w:ascii="Times New Roman" w:hAnsi="Times New Roman"/>
          <w:color w:val="000000"/>
          <w:sz w:val="24"/>
          <w:szCs w:val="24"/>
        </w:rPr>
        <w:t>Commitment Letter.</w:t>
      </w:r>
    </w:p>
    <w:p w:rsidR="006418B2" w:rsidRPr="008878B3" w:rsidRDefault="0051559E" w:rsidP="002300AB">
      <w:pPr>
        <w:pStyle w:val="OMBPackageHeading2"/>
        <w:rPr>
          <w:rFonts w:ascii="Times New Roman" w:hAnsi="Times New Roman"/>
          <w:b w:val="0"/>
          <w:color w:val="auto"/>
          <w:sz w:val="24"/>
          <w:u w:val="single"/>
        </w:rPr>
      </w:pPr>
      <w:bookmarkStart w:id="4" w:name="_Toc322005784"/>
      <w:r w:rsidRPr="00763D8E">
        <w:rPr>
          <w:rFonts w:ascii="Times New Roman" w:hAnsi="Times New Roman"/>
          <w:b w:val="0"/>
          <w:color w:val="auto"/>
          <w:sz w:val="24"/>
          <w:u w:val="single"/>
        </w:rPr>
        <w:t xml:space="preserve">Impact </w:t>
      </w:r>
      <w:r w:rsidR="006418B2" w:rsidRPr="00763D8E">
        <w:rPr>
          <w:rFonts w:ascii="Times New Roman" w:hAnsi="Times New Roman"/>
          <w:b w:val="0"/>
          <w:color w:val="auto"/>
          <w:sz w:val="24"/>
          <w:u w:val="single"/>
        </w:rPr>
        <w:t xml:space="preserve">on Small Businesses or </w:t>
      </w:r>
      <w:r w:rsidR="0005188F" w:rsidRPr="00763D8E">
        <w:rPr>
          <w:rFonts w:ascii="Times New Roman" w:hAnsi="Times New Roman"/>
          <w:b w:val="0"/>
          <w:color w:val="auto"/>
          <w:sz w:val="24"/>
          <w:u w:val="single"/>
        </w:rPr>
        <w:t xml:space="preserve">Other Small </w:t>
      </w:r>
      <w:r w:rsidR="006418B2" w:rsidRPr="00763D8E">
        <w:rPr>
          <w:rFonts w:ascii="Times New Roman" w:hAnsi="Times New Roman"/>
          <w:b w:val="0"/>
          <w:color w:val="auto"/>
          <w:sz w:val="24"/>
          <w:u w:val="single"/>
        </w:rPr>
        <w:t>Entities</w:t>
      </w:r>
      <w:bookmarkEnd w:id="4"/>
    </w:p>
    <w:p w:rsidR="006418B2" w:rsidRPr="009D166E" w:rsidRDefault="00A75136" w:rsidP="008878B3">
      <w:pPr>
        <w:spacing w:after="0"/>
        <w:ind w:left="547"/>
        <w:rPr>
          <w:rFonts w:ascii="Times New Roman" w:hAnsi="Times New Roman"/>
          <w:sz w:val="24"/>
          <w:szCs w:val="24"/>
        </w:rPr>
      </w:pPr>
      <w:r>
        <w:rPr>
          <w:rFonts w:ascii="Times New Roman" w:hAnsi="Times New Roman"/>
          <w:sz w:val="24"/>
          <w:szCs w:val="24"/>
        </w:rPr>
        <w:t>The c</w:t>
      </w:r>
      <w:r w:rsidR="00191D6E">
        <w:rPr>
          <w:rFonts w:ascii="Times New Roman" w:hAnsi="Times New Roman"/>
          <w:sz w:val="24"/>
          <w:szCs w:val="24"/>
        </w:rPr>
        <w:t xml:space="preserve">ontractor </w:t>
      </w:r>
      <w:r>
        <w:rPr>
          <w:rFonts w:ascii="Times New Roman" w:hAnsi="Times New Roman"/>
          <w:sz w:val="24"/>
          <w:szCs w:val="24"/>
        </w:rPr>
        <w:t xml:space="preserve">for the independent assessment </w:t>
      </w:r>
      <w:r w:rsidR="00191D6E">
        <w:rPr>
          <w:rFonts w:ascii="Times New Roman" w:hAnsi="Times New Roman"/>
          <w:sz w:val="24"/>
          <w:szCs w:val="24"/>
        </w:rPr>
        <w:t xml:space="preserve">will not ask </w:t>
      </w:r>
      <w:r w:rsidR="006418B2">
        <w:rPr>
          <w:rFonts w:ascii="Times New Roman" w:hAnsi="Times New Roman"/>
          <w:sz w:val="24"/>
          <w:szCs w:val="24"/>
        </w:rPr>
        <w:t xml:space="preserve">small businesses or entities </w:t>
      </w:r>
      <w:r w:rsidR="00CB690D">
        <w:rPr>
          <w:rFonts w:ascii="Times New Roman" w:hAnsi="Times New Roman"/>
          <w:sz w:val="24"/>
          <w:szCs w:val="24"/>
        </w:rPr>
        <w:t xml:space="preserve">to travel, pay for telephone charges, </w:t>
      </w:r>
      <w:r>
        <w:rPr>
          <w:rFonts w:ascii="Times New Roman" w:hAnsi="Times New Roman"/>
          <w:sz w:val="24"/>
          <w:szCs w:val="24"/>
        </w:rPr>
        <w:t>or incur other unusual expenses</w:t>
      </w:r>
      <w:r w:rsidR="00CB690D">
        <w:rPr>
          <w:rFonts w:ascii="Times New Roman" w:hAnsi="Times New Roman"/>
          <w:sz w:val="24"/>
          <w:szCs w:val="24"/>
        </w:rPr>
        <w:t xml:space="preserve">. </w:t>
      </w:r>
      <w:r>
        <w:rPr>
          <w:rFonts w:ascii="Times New Roman" w:hAnsi="Times New Roman"/>
          <w:sz w:val="24"/>
          <w:szCs w:val="24"/>
        </w:rPr>
        <w:t xml:space="preserve">To avoid such expenses and minimize burden, </w:t>
      </w:r>
      <w:r w:rsidR="00191D6E">
        <w:rPr>
          <w:rFonts w:ascii="Times New Roman" w:hAnsi="Times New Roman"/>
          <w:sz w:val="24"/>
          <w:szCs w:val="24"/>
        </w:rPr>
        <w:t>ERG</w:t>
      </w:r>
      <w:r w:rsidR="00CB690D">
        <w:rPr>
          <w:rFonts w:ascii="Times New Roman" w:hAnsi="Times New Roman"/>
          <w:sz w:val="24"/>
          <w:szCs w:val="24"/>
        </w:rPr>
        <w:t xml:space="preserve"> will conduct interviews by telephone </w:t>
      </w:r>
      <w:r>
        <w:rPr>
          <w:rFonts w:ascii="Times New Roman" w:hAnsi="Times New Roman"/>
          <w:sz w:val="24"/>
          <w:szCs w:val="24"/>
        </w:rPr>
        <w:t>if</w:t>
      </w:r>
      <w:r w:rsidR="00CB690D">
        <w:rPr>
          <w:rFonts w:ascii="Times New Roman" w:hAnsi="Times New Roman"/>
          <w:sz w:val="24"/>
          <w:szCs w:val="24"/>
        </w:rPr>
        <w:t xml:space="preserve"> </w:t>
      </w:r>
      <w:r>
        <w:rPr>
          <w:rFonts w:ascii="Times New Roman" w:hAnsi="Times New Roman"/>
          <w:sz w:val="24"/>
          <w:szCs w:val="24"/>
        </w:rPr>
        <w:t xml:space="preserve">the applicant will not be </w:t>
      </w:r>
      <w:r w:rsidR="00CB690D">
        <w:rPr>
          <w:rFonts w:ascii="Times New Roman" w:hAnsi="Times New Roman"/>
          <w:sz w:val="24"/>
          <w:szCs w:val="24"/>
        </w:rPr>
        <w:t xml:space="preserve">in or near Silver Spring, MD </w:t>
      </w:r>
      <w:r>
        <w:rPr>
          <w:rFonts w:ascii="Times New Roman" w:hAnsi="Times New Roman"/>
          <w:sz w:val="24"/>
          <w:szCs w:val="24"/>
        </w:rPr>
        <w:t>during the desired interview timeframe</w:t>
      </w:r>
      <w:r w:rsidR="006418B2">
        <w:rPr>
          <w:rFonts w:ascii="Times New Roman" w:hAnsi="Times New Roman"/>
          <w:sz w:val="24"/>
          <w:szCs w:val="24"/>
        </w:rPr>
        <w:t>.</w:t>
      </w:r>
    </w:p>
    <w:p w:rsidR="006418B2" w:rsidRPr="008878B3" w:rsidRDefault="006418B2" w:rsidP="002300AB">
      <w:pPr>
        <w:pStyle w:val="OMBPackageHeading2"/>
        <w:rPr>
          <w:rFonts w:ascii="Times New Roman" w:hAnsi="Times New Roman"/>
          <w:b w:val="0"/>
          <w:color w:val="auto"/>
          <w:sz w:val="24"/>
          <w:u w:val="single"/>
        </w:rPr>
      </w:pPr>
      <w:bookmarkStart w:id="5" w:name="_Toc322005785"/>
      <w:r w:rsidRPr="00763D8E">
        <w:rPr>
          <w:rFonts w:ascii="Times New Roman" w:hAnsi="Times New Roman"/>
          <w:b w:val="0"/>
          <w:color w:val="auto"/>
          <w:sz w:val="24"/>
          <w:u w:val="single"/>
        </w:rPr>
        <w:t xml:space="preserve">Consequences of Collecting the </w:t>
      </w:r>
      <w:r w:rsidR="0005188F" w:rsidRPr="00763D8E">
        <w:rPr>
          <w:rFonts w:ascii="Times New Roman" w:hAnsi="Times New Roman"/>
          <w:b w:val="0"/>
          <w:color w:val="auto"/>
          <w:sz w:val="24"/>
          <w:u w:val="single"/>
        </w:rPr>
        <w:t>Information Less Frequently</w:t>
      </w:r>
      <w:bookmarkEnd w:id="5"/>
    </w:p>
    <w:p w:rsidR="00EF3027" w:rsidRDefault="00B74B7D" w:rsidP="008878B3">
      <w:pPr>
        <w:spacing w:after="0"/>
        <w:ind w:left="547"/>
        <w:rPr>
          <w:rFonts w:ascii="Times New Roman" w:hAnsi="Times New Roman"/>
          <w:color w:val="000000"/>
          <w:sz w:val="24"/>
          <w:szCs w:val="24"/>
        </w:rPr>
      </w:pPr>
      <w:r>
        <w:rPr>
          <w:rFonts w:ascii="Times New Roman" w:hAnsi="Times New Roman"/>
          <w:color w:val="000000"/>
          <w:sz w:val="24"/>
          <w:szCs w:val="24"/>
        </w:rPr>
        <w:t>The</w:t>
      </w:r>
      <w:r w:rsidR="00CC082F">
        <w:rPr>
          <w:rFonts w:ascii="Times New Roman" w:hAnsi="Times New Roman"/>
          <w:color w:val="000000"/>
          <w:sz w:val="24"/>
          <w:szCs w:val="24"/>
        </w:rPr>
        <w:t>re</w:t>
      </w:r>
      <w:r>
        <w:rPr>
          <w:rFonts w:ascii="Times New Roman" w:hAnsi="Times New Roman"/>
          <w:color w:val="000000"/>
          <w:sz w:val="24"/>
          <w:szCs w:val="24"/>
        </w:rPr>
        <w:t xml:space="preserve"> </w:t>
      </w:r>
      <w:r w:rsidR="00565DFE">
        <w:rPr>
          <w:rFonts w:ascii="Times New Roman" w:hAnsi="Times New Roman"/>
          <w:color w:val="000000"/>
          <w:sz w:val="24"/>
          <w:szCs w:val="24"/>
        </w:rPr>
        <w:t xml:space="preserve">would be several </w:t>
      </w:r>
      <w:r>
        <w:rPr>
          <w:rFonts w:ascii="Times New Roman" w:hAnsi="Times New Roman"/>
          <w:color w:val="000000"/>
          <w:sz w:val="24"/>
          <w:szCs w:val="24"/>
        </w:rPr>
        <w:t xml:space="preserve">consequences of not collecting the data </w:t>
      </w:r>
      <w:r w:rsidR="00565DFE">
        <w:rPr>
          <w:rFonts w:ascii="Times New Roman" w:hAnsi="Times New Roman"/>
          <w:color w:val="000000"/>
          <w:sz w:val="24"/>
          <w:szCs w:val="24"/>
        </w:rPr>
        <w:t>as proposed.</w:t>
      </w:r>
      <w:r w:rsidR="000F1921">
        <w:rPr>
          <w:rFonts w:ascii="Times New Roman" w:hAnsi="Times New Roman"/>
          <w:color w:val="000000"/>
          <w:sz w:val="24"/>
          <w:szCs w:val="24"/>
        </w:rPr>
        <w:t xml:space="preserve"> </w:t>
      </w:r>
      <w:r w:rsidR="00565DFE">
        <w:rPr>
          <w:rFonts w:ascii="Times New Roman" w:hAnsi="Times New Roman"/>
          <w:color w:val="000000"/>
          <w:sz w:val="24"/>
          <w:szCs w:val="24"/>
        </w:rPr>
        <w:t>First, the requirements of the PDUFA V agreement between FDA and the regulated industry would not be met</w:t>
      </w:r>
      <w:r w:rsidR="00921EE6">
        <w:rPr>
          <w:rFonts w:ascii="Times New Roman" w:hAnsi="Times New Roman"/>
          <w:color w:val="000000"/>
          <w:sz w:val="24"/>
          <w:szCs w:val="24"/>
        </w:rPr>
        <w:t>.</w:t>
      </w:r>
      <w:r w:rsidR="00565DFE">
        <w:rPr>
          <w:rFonts w:ascii="Times New Roman" w:hAnsi="Times New Roman"/>
          <w:color w:val="000000"/>
          <w:sz w:val="24"/>
          <w:szCs w:val="24"/>
        </w:rPr>
        <w:t xml:space="preserve"> Second</w:t>
      </w:r>
      <w:r>
        <w:rPr>
          <w:rFonts w:ascii="Times New Roman" w:hAnsi="Times New Roman"/>
          <w:color w:val="000000"/>
          <w:sz w:val="24"/>
          <w:szCs w:val="24"/>
        </w:rPr>
        <w:t xml:space="preserve">, FDA would lack applicant perspectives on </w:t>
      </w:r>
      <w:r w:rsidR="00CC082F">
        <w:rPr>
          <w:rFonts w:ascii="Times New Roman" w:hAnsi="Times New Roman"/>
          <w:color w:val="000000"/>
          <w:sz w:val="24"/>
          <w:szCs w:val="24"/>
        </w:rPr>
        <w:t xml:space="preserve">best </w:t>
      </w:r>
      <w:r>
        <w:rPr>
          <w:rFonts w:ascii="Times New Roman" w:hAnsi="Times New Roman"/>
          <w:color w:val="000000"/>
          <w:sz w:val="24"/>
          <w:szCs w:val="24"/>
        </w:rPr>
        <w:t>practices and potential improvements</w:t>
      </w:r>
      <w:r w:rsidR="009F0514">
        <w:rPr>
          <w:rFonts w:ascii="Times New Roman" w:hAnsi="Times New Roman"/>
          <w:color w:val="000000"/>
          <w:sz w:val="24"/>
          <w:szCs w:val="24"/>
        </w:rPr>
        <w:t xml:space="preserve"> for the Program</w:t>
      </w:r>
      <w:r w:rsidR="00565DFE">
        <w:rPr>
          <w:rFonts w:ascii="Times New Roman" w:hAnsi="Times New Roman"/>
          <w:color w:val="000000"/>
          <w:sz w:val="24"/>
          <w:szCs w:val="24"/>
        </w:rPr>
        <w:t xml:space="preserve"> to </w:t>
      </w:r>
      <w:r w:rsidR="00CC082F">
        <w:rPr>
          <w:rFonts w:ascii="Times New Roman" w:hAnsi="Times New Roman"/>
          <w:color w:val="000000"/>
          <w:sz w:val="24"/>
          <w:szCs w:val="24"/>
        </w:rPr>
        <w:t xml:space="preserve">help </w:t>
      </w:r>
      <w:r w:rsidR="00565DFE">
        <w:rPr>
          <w:rFonts w:ascii="Times New Roman" w:hAnsi="Times New Roman"/>
          <w:color w:val="000000"/>
          <w:sz w:val="24"/>
          <w:szCs w:val="24"/>
        </w:rPr>
        <w:t xml:space="preserve">ensure </w:t>
      </w:r>
      <w:r w:rsidR="00CC082F">
        <w:rPr>
          <w:rFonts w:ascii="Times New Roman" w:hAnsi="Times New Roman"/>
          <w:color w:val="000000"/>
          <w:sz w:val="24"/>
          <w:szCs w:val="24"/>
        </w:rPr>
        <w:t xml:space="preserve">the </w:t>
      </w:r>
      <w:r w:rsidR="00565DFE">
        <w:rPr>
          <w:rFonts w:ascii="Times New Roman" w:hAnsi="Times New Roman"/>
          <w:color w:val="000000"/>
          <w:sz w:val="24"/>
          <w:szCs w:val="24"/>
        </w:rPr>
        <w:t>success of the Program during PDUFA V.</w:t>
      </w:r>
      <w:r w:rsidR="000F1921">
        <w:rPr>
          <w:rFonts w:ascii="Times New Roman" w:hAnsi="Times New Roman"/>
          <w:color w:val="000000"/>
          <w:sz w:val="24"/>
          <w:szCs w:val="24"/>
        </w:rPr>
        <w:t xml:space="preserve"> </w:t>
      </w:r>
      <w:r w:rsidR="00565DFE">
        <w:rPr>
          <w:rFonts w:ascii="Times New Roman" w:hAnsi="Times New Roman"/>
          <w:color w:val="000000"/>
          <w:sz w:val="24"/>
          <w:szCs w:val="24"/>
        </w:rPr>
        <w:t xml:space="preserve">Third, the regulated industry, FDA’s </w:t>
      </w:r>
      <w:r w:rsidR="00921EE6">
        <w:rPr>
          <w:rFonts w:ascii="Times New Roman" w:hAnsi="Times New Roman"/>
          <w:color w:val="000000"/>
          <w:sz w:val="24"/>
          <w:szCs w:val="24"/>
        </w:rPr>
        <w:t xml:space="preserve">other </w:t>
      </w:r>
      <w:r w:rsidR="00565DFE">
        <w:rPr>
          <w:rFonts w:ascii="Times New Roman" w:hAnsi="Times New Roman"/>
          <w:color w:val="000000"/>
          <w:sz w:val="24"/>
          <w:szCs w:val="24"/>
        </w:rPr>
        <w:t>stakeholders, and the public would lack a key piece of information about the effectiveness of the Program in achieving its stated goals.</w:t>
      </w:r>
      <w:r w:rsidR="000F1921">
        <w:rPr>
          <w:rFonts w:ascii="Times New Roman" w:hAnsi="Times New Roman"/>
          <w:color w:val="000000"/>
          <w:sz w:val="24"/>
          <w:szCs w:val="24"/>
        </w:rPr>
        <w:t xml:space="preserve"> </w:t>
      </w:r>
      <w:r w:rsidR="00565DFE">
        <w:rPr>
          <w:rFonts w:ascii="Times New Roman" w:hAnsi="Times New Roman"/>
          <w:color w:val="000000"/>
          <w:sz w:val="24"/>
          <w:szCs w:val="24"/>
        </w:rPr>
        <w:t>Finally</w:t>
      </w:r>
      <w:r w:rsidR="009F0514">
        <w:rPr>
          <w:rFonts w:ascii="Times New Roman" w:hAnsi="Times New Roman"/>
          <w:color w:val="000000"/>
          <w:sz w:val="24"/>
          <w:szCs w:val="24"/>
        </w:rPr>
        <w:t xml:space="preserve">, applicants would not have </w:t>
      </w:r>
      <w:r w:rsidR="00565DFE">
        <w:rPr>
          <w:rFonts w:ascii="Times New Roman" w:hAnsi="Times New Roman"/>
          <w:color w:val="000000"/>
          <w:sz w:val="24"/>
          <w:szCs w:val="24"/>
        </w:rPr>
        <w:t xml:space="preserve">the </w:t>
      </w:r>
      <w:r w:rsidR="009F0514">
        <w:rPr>
          <w:rFonts w:ascii="Times New Roman" w:hAnsi="Times New Roman"/>
          <w:color w:val="000000"/>
          <w:sz w:val="24"/>
          <w:szCs w:val="24"/>
        </w:rPr>
        <w:t xml:space="preserve">opportunities </w:t>
      </w:r>
      <w:r w:rsidR="00565DFE">
        <w:rPr>
          <w:rFonts w:ascii="Times New Roman" w:hAnsi="Times New Roman"/>
          <w:color w:val="000000"/>
          <w:sz w:val="24"/>
          <w:szCs w:val="24"/>
        </w:rPr>
        <w:t xml:space="preserve">they expect </w:t>
      </w:r>
      <w:r w:rsidR="009F0514">
        <w:rPr>
          <w:rFonts w:ascii="Times New Roman" w:hAnsi="Times New Roman"/>
          <w:color w:val="000000"/>
          <w:sz w:val="24"/>
          <w:szCs w:val="24"/>
        </w:rPr>
        <w:t>to share their opinions about the review process under the Program.</w:t>
      </w:r>
    </w:p>
    <w:p w:rsidR="006418B2" w:rsidRPr="008878B3" w:rsidRDefault="006418B2" w:rsidP="002300AB">
      <w:pPr>
        <w:pStyle w:val="OMBPackageHeading2"/>
        <w:rPr>
          <w:rFonts w:ascii="Times New Roman" w:hAnsi="Times New Roman"/>
          <w:b w:val="0"/>
          <w:color w:val="auto"/>
          <w:sz w:val="24"/>
          <w:u w:val="single"/>
        </w:rPr>
      </w:pPr>
      <w:bookmarkStart w:id="6" w:name="_Toc322005786"/>
      <w:r w:rsidRPr="00763D8E">
        <w:rPr>
          <w:rFonts w:ascii="Times New Roman" w:hAnsi="Times New Roman"/>
          <w:b w:val="0"/>
          <w:color w:val="auto"/>
          <w:sz w:val="24"/>
          <w:u w:val="single"/>
        </w:rPr>
        <w:t>Special Circumstances</w:t>
      </w:r>
      <w:bookmarkEnd w:id="6"/>
      <w:r w:rsidR="0005188F" w:rsidRPr="00763D8E">
        <w:rPr>
          <w:rFonts w:ascii="Times New Roman" w:hAnsi="Times New Roman"/>
          <w:b w:val="0"/>
          <w:color w:val="auto"/>
          <w:sz w:val="24"/>
          <w:u w:val="single"/>
        </w:rPr>
        <w:t xml:space="preserve"> Relating to the Guidelines of 5 CFR 1320.5</w:t>
      </w:r>
    </w:p>
    <w:p w:rsidR="006418B2" w:rsidRPr="009D166E" w:rsidRDefault="0005188F" w:rsidP="008878B3">
      <w:pPr>
        <w:spacing w:after="0"/>
        <w:ind w:firstLine="547"/>
        <w:rPr>
          <w:rFonts w:ascii="Times New Roman" w:hAnsi="Times New Roman"/>
          <w:color w:val="000000"/>
          <w:sz w:val="24"/>
          <w:szCs w:val="24"/>
        </w:rPr>
      </w:pPr>
      <w:r w:rsidRPr="0075534C">
        <w:rPr>
          <w:rFonts w:ascii="Times New Roman" w:hAnsi="Times New Roman"/>
          <w:color w:val="000000"/>
          <w:sz w:val="24"/>
          <w:szCs w:val="24"/>
        </w:rPr>
        <w:t>There are no special circumstances for the collection of information.</w:t>
      </w:r>
    </w:p>
    <w:p w:rsidR="0005188F" w:rsidRPr="008878B3" w:rsidRDefault="0005188F" w:rsidP="008878B3">
      <w:pPr>
        <w:pStyle w:val="OMBPackageHeading2"/>
        <w:rPr>
          <w:rFonts w:ascii="Times New Roman" w:hAnsi="Times New Roman"/>
          <w:b w:val="0"/>
          <w:color w:val="000000"/>
          <w:sz w:val="24"/>
        </w:rPr>
      </w:pPr>
      <w:bookmarkStart w:id="7" w:name="_Toc322005787"/>
      <w:r w:rsidRPr="008878B3">
        <w:rPr>
          <w:rFonts w:ascii="Times New Roman" w:hAnsi="Times New Roman"/>
          <w:b w:val="0"/>
          <w:color w:val="auto"/>
          <w:sz w:val="24"/>
          <w:u w:val="single"/>
        </w:rPr>
        <w:t xml:space="preserve">Comments in Response to the </w:t>
      </w:r>
      <w:r w:rsidR="006418B2" w:rsidRPr="008878B3">
        <w:rPr>
          <w:rFonts w:ascii="Times New Roman" w:hAnsi="Times New Roman"/>
          <w:b w:val="0"/>
          <w:color w:val="auto"/>
          <w:sz w:val="24"/>
          <w:u w:val="single"/>
        </w:rPr>
        <w:t xml:space="preserve">Federal Register Notice and </w:t>
      </w:r>
      <w:r w:rsidRPr="008878B3">
        <w:rPr>
          <w:rFonts w:ascii="Times New Roman" w:hAnsi="Times New Roman"/>
          <w:b w:val="0"/>
          <w:color w:val="auto"/>
          <w:sz w:val="24"/>
          <w:u w:val="single"/>
        </w:rPr>
        <w:t>Efforts to Consult Out</w:t>
      </w:r>
      <w:r w:rsidR="006F2946">
        <w:rPr>
          <w:rFonts w:ascii="Times New Roman" w:hAnsi="Times New Roman"/>
          <w:b w:val="0"/>
          <w:color w:val="auto"/>
          <w:sz w:val="24"/>
          <w:u w:val="single"/>
        </w:rPr>
        <w:t>si</w:t>
      </w:r>
      <w:r w:rsidRPr="008878B3">
        <w:rPr>
          <w:rFonts w:ascii="Times New Roman" w:hAnsi="Times New Roman"/>
          <w:b w:val="0"/>
          <w:color w:val="auto"/>
          <w:sz w:val="24"/>
          <w:u w:val="single"/>
        </w:rPr>
        <w:t>de the Agency</w:t>
      </w:r>
      <w:bookmarkEnd w:id="7"/>
    </w:p>
    <w:p w:rsidR="0005188F" w:rsidRPr="00843F3C" w:rsidRDefault="0005188F" w:rsidP="008878B3">
      <w:pPr>
        <w:spacing w:after="0" w:line="240" w:lineRule="auto"/>
        <w:ind w:left="547"/>
        <w:rPr>
          <w:rFonts w:ascii="Times New Roman" w:hAnsi="Times New Roman"/>
          <w:color w:val="000000"/>
          <w:sz w:val="24"/>
          <w:szCs w:val="24"/>
        </w:rPr>
      </w:pPr>
      <w:r>
        <w:rPr>
          <w:rFonts w:ascii="Times New Roman" w:hAnsi="Times New Roman"/>
          <w:color w:val="000000"/>
          <w:sz w:val="24"/>
          <w:szCs w:val="24"/>
        </w:rPr>
        <w:t>In accordance with 5 CFR 1320.8(d), FDA published a 60 day notice for public comment in the FEDERAL REGISTER of 2/19/13 (Vol. 78 FR 11652).  No comments were received.</w:t>
      </w:r>
    </w:p>
    <w:p w:rsidR="006418B2" w:rsidRDefault="006418B2" w:rsidP="00AF7907">
      <w:pPr>
        <w:keepNext/>
        <w:spacing w:after="0" w:line="240" w:lineRule="auto"/>
        <w:rPr>
          <w:rFonts w:ascii="Times New Roman" w:hAnsi="Times New Roman"/>
          <w:color w:val="000000"/>
          <w:sz w:val="24"/>
          <w:szCs w:val="24"/>
        </w:rPr>
      </w:pPr>
    </w:p>
    <w:p w:rsidR="008F6901" w:rsidRDefault="00EE7CF3" w:rsidP="008878B3">
      <w:pPr>
        <w:keepNext/>
        <w:spacing w:after="0" w:line="240" w:lineRule="auto"/>
        <w:ind w:left="547"/>
        <w:rPr>
          <w:rFonts w:ascii="Times New Roman" w:hAnsi="Times New Roman"/>
          <w:color w:val="000000"/>
          <w:sz w:val="24"/>
          <w:szCs w:val="24"/>
        </w:rPr>
      </w:pPr>
      <w:r>
        <w:rPr>
          <w:rFonts w:ascii="Times New Roman" w:hAnsi="Times New Roman"/>
          <w:color w:val="000000"/>
          <w:sz w:val="24"/>
          <w:szCs w:val="24"/>
        </w:rPr>
        <w:t xml:space="preserve">To design and prepare for this information collection, FDA consulted with the contractor, </w:t>
      </w:r>
      <w:r w:rsidR="008F6901">
        <w:rPr>
          <w:rFonts w:ascii="Times New Roman" w:hAnsi="Times New Roman"/>
          <w:color w:val="000000"/>
          <w:sz w:val="24"/>
          <w:szCs w:val="24"/>
        </w:rPr>
        <w:t>ERG</w:t>
      </w:r>
      <w:r>
        <w:rPr>
          <w:rFonts w:ascii="Times New Roman" w:hAnsi="Times New Roman"/>
          <w:color w:val="000000"/>
          <w:sz w:val="24"/>
          <w:szCs w:val="24"/>
        </w:rPr>
        <w:t>, which has program evaluation and interview experts on staff. Similarly, ERG</w:t>
      </w:r>
      <w:r w:rsidR="008F6901">
        <w:rPr>
          <w:rFonts w:ascii="Times New Roman" w:hAnsi="Times New Roman"/>
          <w:color w:val="000000"/>
          <w:sz w:val="24"/>
          <w:szCs w:val="24"/>
        </w:rPr>
        <w:t xml:space="preserve"> consulted corporate experts outside </w:t>
      </w:r>
      <w:r>
        <w:rPr>
          <w:rFonts w:ascii="Times New Roman" w:hAnsi="Times New Roman"/>
          <w:color w:val="000000"/>
          <w:sz w:val="24"/>
          <w:szCs w:val="24"/>
        </w:rPr>
        <w:t xml:space="preserve">its independent assessment </w:t>
      </w:r>
      <w:r w:rsidR="008F6901">
        <w:rPr>
          <w:rFonts w:ascii="Times New Roman" w:hAnsi="Times New Roman"/>
          <w:color w:val="000000"/>
          <w:sz w:val="24"/>
          <w:szCs w:val="24"/>
        </w:rPr>
        <w:t>project team</w:t>
      </w:r>
      <w:r>
        <w:rPr>
          <w:rFonts w:ascii="Times New Roman" w:hAnsi="Times New Roman"/>
          <w:color w:val="000000"/>
          <w:sz w:val="24"/>
          <w:szCs w:val="24"/>
        </w:rPr>
        <w:t xml:space="preserve"> to obtain input and feedback on this information collection.</w:t>
      </w:r>
    </w:p>
    <w:p w:rsidR="006418B2" w:rsidRPr="008878B3" w:rsidRDefault="0005188F" w:rsidP="002300AB">
      <w:pPr>
        <w:pStyle w:val="OMBPackageHeading2"/>
        <w:rPr>
          <w:rFonts w:ascii="Times New Roman" w:hAnsi="Times New Roman"/>
          <w:b w:val="0"/>
          <w:color w:val="auto"/>
          <w:sz w:val="24"/>
          <w:u w:val="single"/>
        </w:rPr>
      </w:pPr>
      <w:bookmarkStart w:id="8" w:name="_Toc322005788"/>
      <w:r w:rsidRPr="00763D8E">
        <w:rPr>
          <w:rFonts w:ascii="Times New Roman" w:hAnsi="Times New Roman"/>
          <w:b w:val="0"/>
          <w:color w:val="auto"/>
          <w:sz w:val="24"/>
          <w:u w:val="single"/>
        </w:rPr>
        <w:t>Explanation of Any Payment or Gift to Respondents</w:t>
      </w:r>
      <w:bookmarkEnd w:id="8"/>
    </w:p>
    <w:p w:rsidR="006418B2" w:rsidRPr="009D166E" w:rsidRDefault="006418B2" w:rsidP="008878B3">
      <w:pPr>
        <w:spacing w:after="0"/>
        <w:ind w:left="547"/>
        <w:rPr>
          <w:rFonts w:ascii="Times New Roman" w:hAnsi="Times New Roman"/>
          <w:color w:val="000000"/>
          <w:sz w:val="24"/>
          <w:szCs w:val="24"/>
        </w:rPr>
      </w:pPr>
      <w:r w:rsidRPr="009D166E">
        <w:rPr>
          <w:rFonts w:ascii="Times New Roman" w:hAnsi="Times New Roman"/>
          <w:color w:val="000000"/>
          <w:sz w:val="24"/>
          <w:szCs w:val="24"/>
        </w:rPr>
        <w:t xml:space="preserve">Respondents will not </w:t>
      </w:r>
      <w:r w:rsidRPr="00830E11">
        <w:rPr>
          <w:rFonts w:ascii="Times New Roman" w:hAnsi="Times New Roman"/>
          <w:sz w:val="24"/>
          <w:szCs w:val="24"/>
        </w:rPr>
        <w:t>receive</w:t>
      </w:r>
      <w:r w:rsidRPr="009D166E">
        <w:rPr>
          <w:rFonts w:ascii="Times New Roman" w:hAnsi="Times New Roman"/>
          <w:color w:val="000000"/>
          <w:sz w:val="24"/>
          <w:szCs w:val="24"/>
        </w:rPr>
        <w:t xml:space="preserve"> any payments or gifts for participating in this information collection.</w:t>
      </w:r>
    </w:p>
    <w:p w:rsidR="006418B2" w:rsidRPr="008878B3" w:rsidRDefault="0005188F" w:rsidP="002300AB">
      <w:pPr>
        <w:pStyle w:val="OMBPackageHeading2"/>
        <w:rPr>
          <w:rFonts w:ascii="Times New Roman" w:hAnsi="Times New Roman"/>
          <w:b w:val="0"/>
          <w:color w:val="auto"/>
          <w:sz w:val="24"/>
          <w:u w:val="single"/>
        </w:rPr>
      </w:pPr>
      <w:bookmarkStart w:id="9" w:name="_Toc322005789"/>
      <w:r w:rsidRPr="00763D8E">
        <w:rPr>
          <w:rFonts w:ascii="Times New Roman" w:hAnsi="Times New Roman"/>
          <w:b w:val="0"/>
          <w:color w:val="auto"/>
          <w:sz w:val="24"/>
          <w:u w:val="single"/>
        </w:rPr>
        <w:lastRenderedPageBreak/>
        <w:t xml:space="preserve">Assurance of </w:t>
      </w:r>
      <w:r w:rsidR="006418B2" w:rsidRPr="00763D8E">
        <w:rPr>
          <w:rFonts w:ascii="Times New Roman" w:hAnsi="Times New Roman"/>
          <w:b w:val="0"/>
          <w:color w:val="auto"/>
          <w:sz w:val="24"/>
          <w:u w:val="single"/>
        </w:rPr>
        <w:t>Confidentiality</w:t>
      </w:r>
      <w:bookmarkEnd w:id="9"/>
      <w:r w:rsidRPr="00763D8E">
        <w:rPr>
          <w:rFonts w:ascii="Times New Roman" w:hAnsi="Times New Roman"/>
          <w:b w:val="0"/>
          <w:color w:val="auto"/>
          <w:sz w:val="24"/>
          <w:u w:val="single"/>
        </w:rPr>
        <w:t xml:space="preserve"> Provided to Respondents</w:t>
      </w:r>
    </w:p>
    <w:p w:rsidR="006418B2" w:rsidRDefault="006418B2" w:rsidP="008878B3">
      <w:pPr>
        <w:spacing w:after="0"/>
        <w:ind w:left="547"/>
        <w:rPr>
          <w:rFonts w:ascii="Times New Roman" w:hAnsi="Times New Roman"/>
          <w:color w:val="000000"/>
          <w:sz w:val="24"/>
          <w:szCs w:val="24"/>
        </w:rPr>
      </w:pPr>
      <w:r>
        <w:rPr>
          <w:rFonts w:ascii="Times New Roman" w:hAnsi="Times New Roman"/>
          <w:color w:val="000000"/>
          <w:sz w:val="24"/>
          <w:szCs w:val="24"/>
        </w:rPr>
        <w:t>While there is no express assurance of confidentiality that cannot be supported by law, the design of the data collection will a</w:t>
      </w:r>
      <w:r w:rsidR="00A734BB">
        <w:rPr>
          <w:rFonts w:ascii="Times New Roman" w:hAnsi="Times New Roman"/>
          <w:color w:val="000000"/>
          <w:sz w:val="24"/>
          <w:szCs w:val="24"/>
        </w:rPr>
        <w:t>llow responses to be anonymous.</w:t>
      </w:r>
      <w:r>
        <w:rPr>
          <w:rFonts w:ascii="Times New Roman" w:hAnsi="Times New Roman"/>
          <w:color w:val="000000"/>
          <w:sz w:val="24"/>
          <w:szCs w:val="24"/>
        </w:rPr>
        <w:t xml:space="preserve"> </w:t>
      </w:r>
      <w:r w:rsidR="00A734BB">
        <w:rPr>
          <w:rFonts w:ascii="Times New Roman" w:hAnsi="Times New Roman"/>
          <w:color w:val="000000"/>
          <w:sz w:val="24"/>
          <w:szCs w:val="24"/>
        </w:rPr>
        <w:t>Interviewees</w:t>
      </w:r>
      <w:r>
        <w:rPr>
          <w:rFonts w:ascii="Times New Roman" w:hAnsi="Times New Roman"/>
          <w:color w:val="000000"/>
          <w:sz w:val="24"/>
          <w:szCs w:val="24"/>
        </w:rPr>
        <w:t xml:space="preserve"> will be assured of the privacy, to the extent available under law, of their responses through language placed prominently on all </w:t>
      </w:r>
      <w:r w:rsidR="00A734BB">
        <w:rPr>
          <w:rFonts w:ascii="Times New Roman" w:hAnsi="Times New Roman"/>
          <w:color w:val="000000"/>
          <w:sz w:val="24"/>
          <w:szCs w:val="24"/>
        </w:rPr>
        <w:t>interview</w:t>
      </w:r>
      <w:r>
        <w:rPr>
          <w:rFonts w:ascii="Times New Roman" w:hAnsi="Times New Roman"/>
          <w:color w:val="000000"/>
          <w:sz w:val="24"/>
          <w:szCs w:val="24"/>
        </w:rPr>
        <w:t xml:space="preserve"> materials as well as introductory comments made by </w:t>
      </w:r>
      <w:r w:rsidR="009A7A73">
        <w:rPr>
          <w:rFonts w:ascii="Times New Roman" w:hAnsi="Times New Roman"/>
          <w:color w:val="000000"/>
          <w:sz w:val="24"/>
          <w:szCs w:val="24"/>
        </w:rPr>
        <w:t xml:space="preserve">the </w:t>
      </w:r>
      <w:r>
        <w:rPr>
          <w:rFonts w:ascii="Times New Roman" w:hAnsi="Times New Roman"/>
          <w:color w:val="000000"/>
          <w:sz w:val="24"/>
          <w:szCs w:val="24"/>
        </w:rPr>
        <w:t xml:space="preserve">interviewer. </w:t>
      </w:r>
      <w:r w:rsidR="00A734BB">
        <w:rPr>
          <w:rFonts w:ascii="Times New Roman" w:hAnsi="Times New Roman"/>
          <w:color w:val="000000"/>
          <w:sz w:val="24"/>
          <w:szCs w:val="24"/>
        </w:rPr>
        <w:t>Interviewers</w:t>
      </w:r>
      <w:r>
        <w:rPr>
          <w:rFonts w:ascii="Times New Roman" w:hAnsi="Times New Roman"/>
          <w:color w:val="000000"/>
          <w:sz w:val="24"/>
          <w:szCs w:val="24"/>
        </w:rPr>
        <w:t xml:space="preserve"> will be trained on the privacy of responses and will be prepared to describe the policy in detail, provide examples, and respond to any related questions from participants. For example, the interviewer will explain that </w:t>
      </w:r>
      <w:r w:rsidR="003B5908">
        <w:rPr>
          <w:rFonts w:ascii="Times New Roman" w:hAnsi="Times New Roman"/>
          <w:color w:val="000000"/>
          <w:sz w:val="24"/>
          <w:szCs w:val="24"/>
        </w:rPr>
        <w:t xml:space="preserve">each </w:t>
      </w:r>
      <w:r>
        <w:rPr>
          <w:rFonts w:ascii="Times New Roman" w:hAnsi="Times New Roman"/>
          <w:color w:val="000000"/>
          <w:sz w:val="24"/>
          <w:szCs w:val="24"/>
        </w:rPr>
        <w:t xml:space="preserve">individual’s answers will be combined with those of others and presented in summary form only, and that </w:t>
      </w:r>
      <w:r w:rsidR="00A734BB">
        <w:rPr>
          <w:rFonts w:ascii="Times New Roman" w:hAnsi="Times New Roman"/>
          <w:color w:val="000000"/>
          <w:sz w:val="24"/>
          <w:szCs w:val="24"/>
        </w:rPr>
        <w:t>FDA</w:t>
      </w:r>
      <w:r>
        <w:rPr>
          <w:rFonts w:ascii="Times New Roman" w:hAnsi="Times New Roman"/>
          <w:color w:val="000000"/>
          <w:sz w:val="24"/>
          <w:szCs w:val="24"/>
        </w:rPr>
        <w:t xml:space="preserve"> will not have acces</w:t>
      </w:r>
      <w:r w:rsidR="00A734BB">
        <w:rPr>
          <w:rFonts w:ascii="Times New Roman" w:hAnsi="Times New Roman"/>
          <w:color w:val="000000"/>
          <w:sz w:val="24"/>
          <w:szCs w:val="24"/>
        </w:rPr>
        <w:t>s to the names of participants.</w:t>
      </w:r>
    </w:p>
    <w:p w:rsidR="006418B2" w:rsidRDefault="006418B2" w:rsidP="00494728">
      <w:pPr>
        <w:spacing w:after="0"/>
        <w:rPr>
          <w:rFonts w:ascii="Times New Roman" w:hAnsi="Times New Roman"/>
          <w:color w:val="000000"/>
          <w:sz w:val="24"/>
          <w:szCs w:val="24"/>
        </w:rPr>
      </w:pPr>
    </w:p>
    <w:p w:rsidR="006418B2" w:rsidRDefault="006418B2" w:rsidP="008878B3">
      <w:pPr>
        <w:spacing w:after="0"/>
        <w:ind w:left="547"/>
        <w:rPr>
          <w:rFonts w:ascii="Times New Roman" w:hAnsi="Times New Roman"/>
          <w:color w:val="000000"/>
          <w:sz w:val="24"/>
          <w:szCs w:val="24"/>
        </w:rPr>
      </w:pPr>
      <w:r>
        <w:rPr>
          <w:rFonts w:ascii="Times New Roman" w:hAnsi="Times New Roman"/>
          <w:color w:val="000000"/>
          <w:sz w:val="24"/>
          <w:szCs w:val="24"/>
        </w:rPr>
        <w:t xml:space="preserve">All responses that could identify specific </w:t>
      </w:r>
      <w:r w:rsidR="002115FF">
        <w:rPr>
          <w:rFonts w:ascii="Times New Roman" w:hAnsi="Times New Roman"/>
          <w:color w:val="000000"/>
          <w:sz w:val="24"/>
          <w:szCs w:val="24"/>
        </w:rPr>
        <w:t>sponsors</w:t>
      </w:r>
      <w:r>
        <w:rPr>
          <w:rFonts w:ascii="Times New Roman" w:hAnsi="Times New Roman"/>
          <w:color w:val="000000"/>
          <w:sz w:val="24"/>
          <w:szCs w:val="24"/>
        </w:rPr>
        <w:t xml:space="preserve"> will be kept only by the contractor, ERG, for use in analysis. Any data received by </w:t>
      </w:r>
      <w:r w:rsidR="00A734BB">
        <w:rPr>
          <w:rFonts w:ascii="Times New Roman" w:hAnsi="Times New Roman"/>
          <w:color w:val="000000"/>
          <w:sz w:val="24"/>
          <w:szCs w:val="24"/>
        </w:rPr>
        <w:t>FDA</w:t>
      </w:r>
      <w:r>
        <w:rPr>
          <w:rFonts w:ascii="Times New Roman" w:hAnsi="Times New Roman"/>
          <w:color w:val="000000"/>
          <w:sz w:val="24"/>
          <w:szCs w:val="24"/>
        </w:rPr>
        <w:t xml:space="preserve"> will not contain personal identifiers, thus precluding individual identification. Public use data files produced at the end of the study will follow the current OMB checklist on confidentiality to ensure that they can be distributed to the general public for analysis without restrictions and without identification of </w:t>
      </w:r>
      <w:r w:rsidR="00A734BB">
        <w:rPr>
          <w:rFonts w:ascii="Times New Roman" w:hAnsi="Times New Roman"/>
          <w:color w:val="000000"/>
          <w:sz w:val="24"/>
          <w:szCs w:val="24"/>
        </w:rPr>
        <w:t>interviewees</w:t>
      </w:r>
      <w:r>
        <w:rPr>
          <w:rFonts w:ascii="Times New Roman" w:hAnsi="Times New Roman"/>
          <w:color w:val="000000"/>
          <w:sz w:val="24"/>
          <w:szCs w:val="24"/>
        </w:rPr>
        <w:t>.</w:t>
      </w:r>
    </w:p>
    <w:p w:rsidR="006418B2" w:rsidRPr="008878B3" w:rsidRDefault="0005188F" w:rsidP="002300AB">
      <w:pPr>
        <w:pStyle w:val="OMBPackageHeading2"/>
        <w:rPr>
          <w:rFonts w:ascii="Times New Roman" w:hAnsi="Times New Roman"/>
          <w:b w:val="0"/>
          <w:color w:val="auto"/>
          <w:sz w:val="24"/>
          <w:u w:val="single"/>
        </w:rPr>
      </w:pPr>
      <w:bookmarkStart w:id="10" w:name="_Toc322005790"/>
      <w:r w:rsidRPr="00763D8E">
        <w:rPr>
          <w:rFonts w:ascii="Times New Roman" w:hAnsi="Times New Roman"/>
          <w:b w:val="0"/>
          <w:color w:val="auto"/>
          <w:sz w:val="24"/>
          <w:u w:val="single"/>
        </w:rPr>
        <w:t xml:space="preserve">Justification for Sensitive </w:t>
      </w:r>
      <w:r w:rsidR="006418B2" w:rsidRPr="00763D8E">
        <w:rPr>
          <w:rFonts w:ascii="Times New Roman" w:hAnsi="Times New Roman"/>
          <w:b w:val="0"/>
          <w:color w:val="auto"/>
          <w:sz w:val="24"/>
          <w:u w:val="single"/>
        </w:rPr>
        <w:t>Questions</w:t>
      </w:r>
      <w:bookmarkEnd w:id="10"/>
    </w:p>
    <w:p w:rsidR="006418B2" w:rsidRDefault="00191D6E" w:rsidP="008878B3">
      <w:pPr>
        <w:spacing w:after="0"/>
        <w:ind w:left="547"/>
        <w:rPr>
          <w:rFonts w:ascii="Times New Roman" w:hAnsi="Times New Roman"/>
          <w:color w:val="000000"/>
          <w:sz w:val="24"/>
          <w:szCs w:val="24"/>
        </w:rPr>
      </w:pPr>
      <w:r>
        <w:rPr>
          <w:rFonts w:ascii="Times New Roman" w:hAnsi="Times New Roman"/>
          <w:color w:val="000000"/>
          <w:sz w:val="24"/>
          <w:szCs w:val="24"/>
        </w:rPr>
        <w:t>The interview script contains</w:t>
      </w:r>
      <w:r w:rsidR="006418B2">
        <w:rPr>
          <w:rFonts w:ascii="Times New Roman" w:hAnsi="Times New Roman"/>
          <w:color w:val="000000"/>
          <w:sz w:val="24"/>
          <w:szCs w:val="24"/>
        </w:rPr>
        <w:t xml:space="preserve"> no questions of a sensitive nature</w:t>
      </w:r>
      <w:r w:rsidR="006418B2" w:rsidRPr="009D166E">
        <w:rPr>
          <w:rFonts w:ascii="Times New Roman" w:hAnsi="Times New Roman"/>
          <w:color w:val="000000"/>
          <w:sz w:val="24"/>
          <w:szCs w:val="24"/>
        </w:rPr>
        <w:t xml:space="preserve">. </w:t>
      </w:r>
      <w:r w:rsidR="0002186D">
        <w:rPr>
          <w:rFonts w:ascii="Times New Roman" w:hAnsi="Times New Roman"/>
          <w:color w:val="000000"/>
          <w:sz w:val="24"/>
          <w:szCs w:val="24"/>
        </w:rPr>
        <w:t>Some</w:t>
      </w:r>
      <w:r w:rsidR="006418B2" w:rsidRPr="009D166E">
        <w:rPr>
          <w:rFonts w:ascii="Times New Roman" w:hAnsi="Times New Roman"/>
          <w:color w:val="000000"/>
          <w:sz w:val="24"/>
          <w:szCs w:val="24"/>
        </w:rPr>
        <w:t xml:space="preserve"> </w:t>
      </w:r>
      <w:r w:rsidR="008F6901">
        <w:rPr>
          <w:rFonts w:ascii="Times New Roman" w:hAnsi="Times New Roman"/>
          <w:color w:val="000000"/>
          <w:sz w:val="24"/>
          <w:szCs w:val="24"/>
        </w:rPr>
        <w:t>interview</w:t>
      </w:r>
      <w:r w:rsidR="006418B2">
        <w:rPr>
          <w:rFonts w:ascii="Times New Roman" w:hAnsi="Times New Roman"/>
          <w:color w:val="000000"/>
          <w:sz w:val="24"/>
          <w:szCs w:val="24"/>
        </w:rPr>
        <w:t xml:space="preserve"> </w:t>
      </w:r>
      <w:r w:rsidR="008F6901">
        <w:rPr>
          <w:rFonts w:ascii="Times New Roman" w:hAnsi="Times New Roman"/>
          <w:color w:val="000000"/>
          <w:sz w:val="24"/>
          <w:szCs w:val="24"/>
        </w:rPr>
        <w:t>questions</w:t>
      </w:r>
      <w:r w:rsidR="006418B2">
        <w:rPr>
          <w:rFonts w:ascii="Times New Roman" w:hAnsi="Times New Roman"/>
          <w:color w:val="000000"/>
          <w:sz w:val="24"/>
          <w:szCs w:val="24"/>
        </w:rPr>
        <w:t xml:space="preserve"> ask </w:t>
      </w:r>
      <w:r w:rsidR="0002186D">
        <w:rPr>
          <w:rFonts w:ascii="Times New Roman" w:hAnsi="Times New Roman"/>
          <w:color w:val="000000"/>
          <w:sz w:val="24"/>
          <w:szCs w:val="24"/>
        </w:rPr>
        <w:t xml:space="preserve">applicants </w:t>
      </w:r>
      <w:r w:rsidR="006418B2">
        <w:rPr>
          <w:rFonts w:ascii="Times New Roman" w:hAnsi="Times New Roman"/>
          <w:color w:val="000000"/>
          <w:sz w:val="24"/>
          <w:szCs w:val="24"/>
        </w:rPr>
        <w:t>for</w:t>
      </w:r>
      <w:r w:rsidR="006418B2" w:rsidRPr="009D166E">
        <w:rPr>
          <w:rFonts w:ascii="Times New Roman" w:hAnsi="Times New Roman"/>
          <w:color w:val="000000"/>
          <w:sz w:val="24"/>
          <w:szCs w:val="24"/>
        </w:rPr>
        <w:t xml:space="preserve"> frank assessments of </w:t>
      </w:r>
      <w:r>
        <w:rPr>
          <w:rFonts w:ascii="Times New Roman" w:hAnsi="Times New Roman"/>
          <w:color w:val="000000"/>
          <w:sz w:val="24"/>
          <w:szCs w:val="24"/>
        </w:rPr>
        <w:t>the review process</w:t>
      </w:r>
      <w:r w:rsidR="0002186D">
        <w:rPr>
          <w:rFonts w:ascii="Times New Roman" w:hAnsi="Times New Roman"/>
          <w:color w:val="000000"/>
          <w:sz w:val="24"/>
          <w:szCs w:val="24"/>
        </w:rPr>
        <w:t xml:space="preserve"> under the Program</w:t>
      </w:r>
      <w:r w:rsidR="006418B2">
        <w:rPr>
          <w:rFonts w:ascii="Times New Roman" w:hAnsi="Times New Roman"/>
          <w:color w:val="000000"/>
          <w:sz w:val="24"/>
          <w:szCs w:val="24"/>
        </w:rPr>
        <w:t xml:space="preserve">, which might be perceived as sensitive to some </w:t>
      </w:r>
      <w:r w:rsidR="0002186D">
        <w:rPr>
          <w:rFonts w:ascii="Times New Roman" w:hAnsi="Times New Roman"/>
          <w:color w:val="000000"/>
          <w:sz w:val="24"/>
          <w:szCs w:val="24"/>
        </w:rPr>
        <w:t>applicants</w:t>
      </w:r>
      <w:r w:rsidR="006418B2">
        <w:rPr>
          <w:rFonts w:ascii="Times New Roman" w:hAnsi="Times New Roman"/>
          <w:color w:val="000000"/>
          <w:sz w:val="24"/>
          <w:szCs w:val="24"/>
        </w:rPr>
        <w:t>.</w:t>
      </w:r>
      <w:r w:rsidR="006418B2" w:rsidRPr="009D166E">
        <w:rPr>
          <w:rFonts w:ascii="Times New Roman" w:hAnsi="Times New Roman"/>
          <w:color w:val="000000"/>
          <w:sz w:val="24"/>
          <w:szCs w:val="24"/>
        </w:rPr>
        <w:t xml:space="preserve"> </w:t>
      </w:r>
      <w:r w:rsidR="006418B2" w:rsidRPr="00AA76D2">
        <w:rPr>
          <w:rFonts w:ascii="Times New Roman" w:hAnsi="Times New Roman"/>
          <w:color w:val="000000"/>
          <w:sz w:val="24"/>
          <w:szCs w:val="24"/>
        </w:rPr>
        <w:t>This information is crucial to</w:t>
      </w:r>
      <w:r w:rsidR="00AA76D2">
        <w:rPr>
          <w:rFonts w:ascii="Times New Roman" w:hAnsi="Times New Roman"/>
          <w:color w:val="000000"/>
          <w:sz w:val="24"/>
          <w:szCs w:val="24"/>
        </w:rPr>
        <w:t xml:space="preserve"> understanding the extent to which the Program achieves its goals of improving communication and transparency in application reviews, what practices contribute to transparent review, and what practices can be refined to improve review transparency and communication.</w:t>
      </w:r>
      <w:r w:rsidR="006418B2" w:rsidRPr="009D166E">
        <w:rPr>
          <w:rFonts w:ascii="Times New Roman" w:hAnsi="Times New Roman"/>
          <w:color w:val="000000"/>
          <w:sz w:val="24"/>
          <w:szCs w:val="24"/>
        </w:rPr>
        <w:t xml:space="preserve"> </w:t>
      </w:r>
      <w:r w:rsidR="00262B41">
        <w:rPr>
          <w:rFonts w:ascii="Times New Roman" w:hAnsi="Times New Roman"/>
          <w:color w:val="000000"/>
          <w:sz w:val="24"/>
          <w:szCs w:val="24"/>
        </w:rPr>
        <w:t>The contractor will keep private</w:t>
      </w:r>
      <w:r w:rsidR="006418B2" w:rsidRPr="009D166E">
        <w:rPr>
          <w:rFonts w:ascii="Times New Roman" w:hAnsi="Times New Roman"/>
          <w:color w:val="000000"/>
          <w:sz w:val="24"/>
          <w:szCs w:val="24"/>
        </w:rPr>
        <w:t xml:space="preserve"> the identity of </w:t>
      </w:r>
      <w:r w:rsidR="006418B2" w:rsidRPr="00830E11">
        <w:rPr>
          <w:rFonts w:ascii="Times New Roman" w:hAnsi="Times New Roman"/>
          <w:sz w:val="24"/>
          <w:szCs w:val="24"/>
        </w:rPr>
        <w:t>individual</w:t>
      </w:r>
      <w:r w:rsidR="006418B2" w:rsidRPr="009D166E">
        <w:rPr>
          <w:rFonts w:ascii="Times New Roman" w:hAnsi="Times New Roman"/>
          <w:color w:val="000000"/>
          <w:sz w:val="24"/>
          <w:szCs w:val="24"/>
        </w:rPr>
        <w:t xml:space="preserve"> </w:t>
      </w:r>
      <w:r w:rsidR="004253D1">
        <w:rPr>
          <w:rFonts w:ascii="Times New Roman" w:hAnsi="Times New Roman"/>
          <w:color w:val="000000"/>
          <w:sz w:val="24"/>
          <w:szCs w:val="24"/>
        </w:rPr>
        <w:t>applicants</w:t>
      </w:r>
      <w:r w:rsidR="006418B2" w:rsidRPr="009D166E">
        <w:rPr>
          <w:rFonts w:ascii="Times New Roman" w:hAnsi="Times New Roman"/>
          <w:color w:val="000000"/>
          <w:sz w:val="24"/>
          <w:szCs w:val="24"/>
        </w:rPr>
        <w:t xml:space="preserve">, as well as each </w:t>
      </w:r>
      <w:r w:rsidR="004253D1">
        <w:rPr>
          <w:rFonts w:ascii="Times New Roman" w:hAnsi="Times New Roman"/>
          <w:color w:val="000000"/>
          <w:sz w:val="24"/>
          <w:szCs w:val="24"/>
        </w:rPr>
        <w:t>applicant’s</w:t>
      </w:r>
      <w:r w:rsidR="004253D1" w:rsidRPr="009D166E">
        <w:rPr>
          <w:rFonts w:ascii="Times New Roman" w:hAnsi="Times New Roman"/>
          <w:color w:val="000000"/>
          <w:sz w:val="24"/>
          <w:szCs w:val="24"/>
        </w:rPr>
        <w:t xml:space="preserve"> </w:t>
      </w:r>
      <w:r w:rsidR="006418B2" w:rsidRPr="009D166E">
        <w:rPr>
          <w:rFonts w:ascii="Times New Roman" w:hAnsi="Times New Roman"/>
          <w:color w:val="000000"/>
          <w:sz w:val="24"/>
          <w:szCs w:val="24"/>
        </w:rPr>
        <w:t xml:space="preserve">responses to </w:t>
      </w:r>
      <w:r w:rsidR="008F6901">
        <w:rPr>
          <w:rFonts w:ascii="Times New Roman" w:hAnsi="Times New Roman"/>
          <w:color w:val="000000"/>
          <w:sz w:val="24"/>
          <w:szCs w:val="24"/>
        </w:rPr>
        <w:t>interview questions</w:t>
      </w:r>
      <w:r w:rsidR="00262B41">
        <w:rPr>
          <w:rFonts w:ascii="Times New Roman" w:hAnsi="Times New Roman"/>
          <w:color w:val="000000"/>
          <w:sz w:val="24"/>
          <w:szCs w:val="24"/>
        </w:rPr>
        <w:t xml:space="preserve">; </w:t>
      </w:r>
      <w:r w:rsidR="006418B2">
        <w:rPr>
          <w:rFonts w:ascii="Times New Roman" w:hAnsi="Times New Roman"/>
          <w:color w:val="000000"/>
          <w:sz w:val="24"/>
          <w:szCs w:val="24"/>
        </w:rPr>
        <w:t xml:space="preserve">all </w:t>
      </w:r>
      <w:r w:rsidR="008F6901">
        <w:rPr>
          <w:rFonts w:ascii="Times New Roman" w:hAnsi="Times New Roman"/>
          <w:color w:val="000000"/>
          <w:sz w:val="24"/>
          <w:szCs w:val="24"/>
        </w:rPr>
        <w:t>interview</w:t>
      </w:r>
      <w:r w:rsidR="006418B2">
        <w:rPr>
          <w:rFonts w:ascii="Times New Roman" w:hAnsi="Times New Roman"/>
          <w:color w:val="000000"/>
          <w:sz w:val="24"/>
          <w:szCs w:val="24"/>
        </w:rPr>
        <w:t xml:space="preserve"> materials will emphasize this</w:t>
      </w:r>
      <w:r w:rsidR="006418B2" w:rsidRPr="009D166E">
        <w:rPr>
          <w:rFonts w:ascii="Times New Roman" w:hAnsi="Times New Roman"/>
          <w:color w:val="000000"/>
          <w:sz w:val="24"/>
          <w:szCs w:val="24"/>
        </w:rPr>
        <w:t xml:space="preserve">. No individual </w:t>
      </w:r>
      <w:r w:rsidR="004253D1">
        <w:rPr>
          <w:rFonts w:ascii="Times New Roman" w:hAnsi="Times New Roman"/>
          <w:color w:val="000000"/>
          <w:sz w:val="24"/>
          <w:szCs w:val="24"/>
        </w:rPr>
        <w:t xml:space="preserve">applicant </w:t>
      </w:r>
      <w:r w:rsidR="006418B2" w:rsidRPr="009D166E">
        <w:rPr>
          <w:rFonts w:ascii="Times New Roman" w:hAnsi="Times New Roman"/>
          <w:color w:val="000000"/>
          <w:sz w:val="24"/>
          <w:szCs w:val="24"/>
        </w:rPr>
        <w:t>will be identified as a</w:t>
      </w:r>
      <w:r w:rsidR="00262B41">
        <w:rPr>
          <w:rFonts w:ascii="Times New Roman" w:hAnsi="Times New Roman"/>
          <w:color w:val="000000"/>
          <w:sz w:val="24"/>
          <w:szCs w:val="24"/>
        </w:rPr>
        <w:t xml:space="preserve">n interviewee </w:t>
      </w:r>
      <w:r w:rsidR="006418B2" w:rsidRPr="009D166E">
        <w:rPr>
          <w:rFonts w:ascii="Times New Roman" w:hAnsi="Times New Roman"/>
          <w:color w:val="000000"/>
          <w:sz w:val="24"/>
          <w:szCs w:val="24"/>
        </w:rPr>
        <w:t xml:space="preserve">to </w:t>
      </w:r>
      <w:r w:rsidR="008F6901">
        <w:rPr>
          <w:rFonts w:ascii="Times New Roman" w:hAnsi="Times New Roman"/>
          <w:color w:val="000000"/>
          <w:sz w:val="24"/>
          <w:szCs w:val="24"/>
        </w:rPr>
        <w:t>FDA</w:t>
      </w:r>
      <w:r w:rsidR="006418B2">
        <w:rPr>
          <w:rFonts w:ascii="Times New Roman" w:hAnsi="Times New Roman"/>
          <w:color w:val="000000"/>
          <w:sz w:val="24"/>
          <w:szCs w:val="24"/>
        </w:rPr>
        <w:t>.</w:t>
      </w:r>
    </w:p>
    <w:p w:rsidR="006418B2" w:rsidRPr="008878B3" w:rsidRDefault="00890B05" w:rsidP="003B5908">
      <w:pPr>
        <w:pStyle w:val="OMBPackageHeading2"/>
        <w:contextualSpacing w:val="0"/>
        <w:rPr>
          <w:rFonts w:ascii="Times New Roman" w:hAnsi="Times New Roman"/>
          <w:b w:val="0"/>
          <w:color w:val="auto"/>
          <w:sz w:val="24"/>
          <w:u w:val="single"/>
        </w:rPr>
      </w:pPr>
      <w:bookmarkStart w:id="11" w:name="_Toc322005791"/>
      <w:r w:rsidRPr="00763D8E">
        <w:rPr>
          <w:rFonts w:ascii="Times New Roman" w:hAnsi="Times New Roman"/>
          <w:b w:val="0"/>
          <w:color w:val="auto"/>
          <w:sz w:val="24"/>
          <w:u w:val="single"/>
        </w:rPr>
        <w:t xml:space="preserve">Estimates of Annualized </w:t>
      </w:r>
      <w:r w:rsidR="006418B2" w:rsidRPr="00763D8E">
        <w:rPr>
          <w:rFonts w:ascii="Times New Roman" w:hAnsi="Times New Roman"/>
          <w:b w:val="0"/>
          <w:color w:val="auto"/>
          <w:sz w:val="24"/>
          <w:u w:val="single"/>
        </w:rPr>
        <w:t xml:space="preserve">Burden </w:t>
      </w:r>
      <w:r w:rsidRPr="00763D8E">
        <w:rPr>
          <w:rFonts w:ascii="Times New Roman" w:hAnsi="Times New Roman"/>
          <w:b w:val="0"/>
          <w:color w:val="auto"/>
          <w:sz w:val="24"/>
          <w:u w:val="single"/>
        </w:rPr>
        <w:t>Hours and Costs</w:t>
      </w:r>
      <w:bookmarkEnd w:id="11"/>
    </w:p>
    <w:p w:rsidR="006418B2" w:rsidRPr="008A0763" w:rsidRDefault="002115FF" w:rsidP="008878B3">
      <w:pPr>
        <w:spacing w:after="0"/>
        <w:ind w:left="547"/>
        <w:rPr>
          <w:rFonts w:ascii="Times New Roman" w:hAnsi="Times New Roman"/>
          <w:color w:val="000000"/>
          <w:sz w:val="24"/>
          <w:szCs w:val="24"/>
        </w:rPr>
      </w:pPr>
      <w:r>
        <w:rPr>
          <w:rFonts w:ascii="Times New Roman" w:hAnsi="Times New Roman"/>
          <w:color w:val="000000"/>
          <w:sz w:val="24"/>
          <w:szCs w:val="24"/>
        </w:rPr>
        <w:t>FDA estimates t</w:t>
      </w:r>
      <w:r w:rsidR="006418B2" w:rsidRPr="008A0763">
        <w:rPr>
          <w:rFonts w:ascii="Times New Roman" w:hAnsi="Times New Roman"/>
          <w:color w:val="000000"/>
          <w:sz w:val="24"/>
          <w:szCs w:val="24"/>
        </w:rPr>
        <w:t xml:space="preserve">he total </w:t>
      </w:r>
      <w:r w:rsidR="00313371">
        <w:rPr>
          <w:rFonts w:ascii="Times New Roman" w:hAnsi="Times New Roman"/>
          <w:color w:val="000000"/>
          <w:sz w:val="24"/>
          <w:szCs w:val="24"/>
        </w:rPr>
        <w:t xml:space="preserve">annual </w:t>
      </w:r>
      <w:r w:rsidR="006418B2" w:rsidRPr="008A0763">
        <w:rPr>
          <w:rFonts w:ascii="Times New Roman" w:hAnsi="Times New Roman"/>
          <w:color w:val="000000"/>
          <w:sz w:val="24"/>
          <w:szCs w:val="24"/>
        </w:rPr>
        <w:t xml:space="preserve">burden of this information collection </w:t>
      </w:r>
      <w:r>
        <w:rPr>
          <w:rFonts w:ascii="Times New Roman" w:hAnsi="Times New Roman"/>
          <w:color w:val="000000"/>
          <w:sz w:val="24"/>
          <w:szCs w:val="24"/>
        </w:rPr>
        <w:t>to be</w:t>
      </w:r>
      <w:r w:rsidR="006418B2" w:rsidRPr="008A0763">
        <w:rPr>
          <w:rFonts w:ascii="Times New Roman" w:hAnsi="Times New Roman"/>
          <w:color w:val="000000"/>
          <w:sz w:val="24"/>
          <w:szCs w:val="24"/>
        </w:rPr>
        <w:t xml:space="preserve"> </w:t>
      </w:r>
      <w:r w:rsidR="00313371">
        <w:rPr>
          <w:rFonts w:ascii="Times New Roman" w:hAnsi="Times New Roman"/>
          <w:color w:val="000000"/>
          <w:sz w:val="24"/>
          <w:szCs w:val="24"/>
        </w:rPr>
        <w:t>210</w:t>
      </w:r>
      <w:r w:rsidR="00313371" w:rsidRPr="008A0763">
        <w:rPr>
          <w:rFonts w:ascii="Times New Roman" w:hAnsi="Times New Roman"/>
          <w:color w:val="000000"/>
          <w:sz w:val="24"/>
          <w:szCs w:val="24"/>
        </w:rPr>
        <w:t xml:space="preserve"> </w:t>
      </w:r>
      <w:r w:rsidR="006418B2" w:rsidRPr="008A0763">
        <w:rPr>
          <w:rFonts w:ascii="Times New Roman" w:hAnsi="Times New Roman"/>
          <w:color w:val="000000"/>
          <w:sz w:val="24"/>
          <w:szCs w:val="24"/>
        </w:rPr>
        <w:t xml:space="preserve">hours, as outlined in </w:t>
      </w:r>
      <w:r w:rsidR="0075534C">
        <w:rPr>
          <w:rFonts w:ascii="Times New Roman" w:hAnsi="Times New Roman"/>
          <w:color w:val="000000"/>
          <w:sz w:val="24"/>
          <w:szCs w:val="24"/>
        </w:rPr>
        <w:t>Table 1</w:t>
      </w:r>
      <w:r w:rsidR="006418B2" w:rsidRPr="008A0763">
        <w:rPr>
          <w:rFonts w:ascii="Times New Roman" w:hAnsi="Times New Roman"/>
          <w:color w:val="000000"/>
          <w:sz w:val="24"/>
          <w:szCs w:val="24"/>
        </w:rPr>
        <w:t>.</w:t>
      </w:r>
    </w:p>
    <w:p w:rsidR="0075534C" w:rsidRDefault="0075534C">
      <w:pPr>
        <w:spacing w:after="0" w:line="240" w:lineRule="auto"/>
        <w:rPr>
          <w:rFonts w:ascii="Times New Roman" w:hAnsi="Times New Roman"/>
          <w:sz w:val="24"/>
          <w:szCs w:val="24"/>
        </w:rPr>
      </w:pPr>
      <w:r>
        <w:rPr>
          <w:rFonts w:ascii="Times New Roman" w:hAnsi="Times New Roman"/>
          <w:sz w:val="24"/>
          <w:szCs w:val="24"/>
        </w:rPr>
        <w:br w:type="page"/>
      </w:r>
    </w:p>
    <w:p w:rsidR="006418B2" w:rsidRPr="008A0763" w:rsidRDefault="006418B2" w:rsidP="00A832DE">
      <w:pPr>
        <w:pStyle w:val="Caption"/>
        <w:rPr>
          <w:szCs w:val="24"/>
        </w:rPr>
      </w:pPr>
      <w:bookmarkStart w:id="12" w:name="_Toc320893936"/>
      <w:r w:rsidRPr="008A0763">
        <w:lastRenderedPageBreak/>
        <w:t xml:space="preserve">Table </w:t>
      </w:r>
      <w:r w:rsidR="00A734BB">
        <w:t>1</w:t>
      </w:r>
      <w:r w:rsidRPr="008A0763">
        <w:t>.</w:t>
      </w:r>
      <w:r w:rsidR="000F1921">
        <w:t xml:space="preserve"> </w:t>
      </w:r>
      <w:r w:rsidRPr="008A0763">
        <w:t>Estimat</w:t>
      </w:r>
      <w:r w:rsidR="00890B05">
        <w:t>ed</w:t>
      </w:r>
      <w:r w:rsidRPr="008A0763">
        <w:t xml:space="preserve"> </w:t>
      </w:r>
      <w:r w:rsidR="00890B05">
        <w:t>A</w:t>
      </w:r>
      <w:r w:rsidR="00313371">
        <w:t xml:space="preserve">nnual </w:t>
      </w:r>
      <w:r w:rsidR="00890B05">
        <w:t>Reporting B</w:t>
      </w:r>
      <w:r w:rsidRPr="008A0763">
        <w:t>urden</w:t>
      </w:r>
      <w:bookmarkEnd w:id="12"/>
    </w:p>
    <w:tbl>
      <w:tblPr>
        <w:tblW w:w="0" w:type="auto"/>
        <w:tblBorders>
          <w:top w:val="single" w:sz="12" w:space="0" w:color="365F91"/>
          <w:bottom w:val="single" w:sz="12" w:space="0" w:color="365F91"/>
          <w:insideH w:val="single" w:sz="2" w:space="0" w:color="auto"/>
        </w:tblBorders>
        <w:tblLook w:val="00A0" w:firstRow="1" w:lastRow="0" w:firstColumn="1" w:lastColumn="0" w:noHBand="0" w:noVBand="0"/>
      </w:tblPr>
      <w:tblGrid>
        <w:gridCol w:w="1368"/>
        <w:gridCol w:w="2029"/>
        <w:gridCol w:w="311"/>
        <w:gridCol w:w="1416"/>
        <w:gridCol w:w="1440"/>
        <w:gridCol w:w="1464"/>
        <w:gridCol w:w="1398"/>
      </w:tblGrid>
      <w:tr w:rsidR="00E863CB" w:rsidRPr="008A0763" w:rsidTr="00E863CB">
        <w:trPr>
          <w:cantSplit/>
          <w:tblHeader/>
        </w:trPr>
        <w:tc>
          <w:tcPr>
            <w:tcW w:w="1368" w:type="dxa"/>
            <w:tcBorders>
              <w:top w:val="single" w:sz="12" w:space="0" w:color="365F91"/>
            </w:tcBorders>
            <w:vAlign w:val="center"/>
          </w:tcPr>
          <w:p w:rsidR="00E863CB" w:rsidRPr="008A0763" w:rsidRDefault="00E863CB" w:rsidP="00E863CB">
            <w:pPr>
              <w:spacing w:after="0" w:line="240" w:lineRule="auto"/>
              <w:jc w:val="center"/>
              <w:rPr>
                <w:rFonts w:cs="Calibri"/>
                <w:b/>
              </w:rPr>
            </w:pPr>
          </w:p>
        </w:tc>
        <w:tc>
          <w:tcPr>
            <w:tcW w:w="2029" w:type="dxa"/>
            <w:tcBorders>
              <w:top w:val="single" w:sz="12" w:space="0" w:color="365F91"/>
              <w:right w:val="single" w:sz="4" w:space="0" w:color="auto"/>
            </w:tcBorders>
            <w:vAlign w:val="center"/>
          </w:tcPr>
          <w:p w:rsidR="00E863CB" w:rsidRPr="008A0763" w:rsidRDefault="00A904EB" w:rsidP="00A734BB">
            <w:pPr>
              <w:spacing w:after="0" w:line="240" w:lineRule="auto"/>
              <w:jc w:val="center"/>
              <w:rPr>
                <w:rFonts w:cs="Calibri"/>
                <w:b/>
              </w:rPr>
            </w:pPr>
            <w:r>
              <w:rPr>
                <w:rFonts w:cs="Calibri"/>
                <w:b/>
              </w:rPr>
              <w:t>Portion of Study</w:t>
            </w:r>
            <w:r w:rsidR="00E863CB">
              <w:rPr>
                <w:rFonts w:cs="Calibri"/>
                <w:b/>
              </w:rPr>
              <w:t xml:space="preserve">     </w:t>
            </w:r>
          </w:p>
        </w:tc>
        <w:tc>
          <w:tcPr>
            <w:tcW w:w="311" w:type="dxa"/>
            <w:tcBorders>
              <w:top w:val="single" w:sz="12" w:space="0" w:color="365F91"/>
              <w:left w:val="single" w:sz="4" w:space="0" w:color="auto"/>
            </w:tcBorders>
            <w:vAlign w:val="center"/>
          </w:tcPr>
          <w:p w:rsidR="00E863CB" w:rsidRPr="008A0763" w:rsidRDefault="00E863CB" w:rsidP="00E863CB">
            <w:pPr>
              <w:spacing w:after="0" w:line="240" w:lineRule="auto"/>
              <w:jc w:val="center"/>
              <w:rPr>
                <w:rFonts w:cs="Calibri"/>
                <w:b/>
              </w:rPr>
            </w:pPr>
          </w:p>
        </w:tc>
        <w:tc>
          <w:tcPr>
            <w:tcW w:w="1416" w:type="dxa"/>
            <w:tcBorders>
              <w:top w:val="single" w:sz="12" w:space="0" w:color="365F91"/>
              <w:right w:val="single" w:sz="4" w:space="0" w:color="auto"/>
            </w:tcBorders>
            <w:vAlign w:val="center"/>
          </w:tcPr>
          <w:p w:rsidR="00E863CB" w:rsidRPr="008A0763" w:rsidRDefault="00E863CB" w:rsidP="00A734BB">
            <w:pPr>
              <w:spacing w:after="0" w:line="240" w:lineRule="auto"/>
              <w:jc w:val="center"/>
              <w:rPr>
                <w:rFonts w:cs="Calibri"/>
                <w:b/>
              </w:rPr>
            </w:pPr>
            <w:r w:rsidRPr="008A0763">
              <w:rPr>
                <w:rFonts w:cs="Calibri"/>
                <w:b/>
              </w:rPr>
              <w:t>No. of Respondents</w:t>
            </w:r>
          </w:p>
        </w:tc>
        <w:tc>
          <w:tcPr>
            <w:tcW w:w="1440" w:type="dxa"/>
            <w:tcBorders>
              <w:top w:val="single" w:sz="12" w:space="0" w:color="365F91"/>
              <w:left w:val="single" w:sz="4" w:space="0" w:color="auto"/>
              <w:right w:val="single" w:sz="4" w:space="0" w:color="auto"/>
            </w:tcBorders>
            <w:vAlign w:val="center"/>
          </w:tcPr>
          <w:p w:rsidR="00E863CB" w:rsidRPr="008A0763" w:rsidRDefault="00E863CB" w:rsidP="00A734BB">
            <w:pPr>
              <w:spacing w:after="0" w:line="240" w:lineRule="auto"/>
              <w:jc w:val="center"/>
              <w:rPr>
                <w:rFonts w:cs="Calibri"/>
                <w:b/>
              </w:rPr>
            </w:pPr>
            <w:r w:rsidRPr="008A0763">
              <w:rPr>
                <w:rFonts w:cs="Calibri"/>
                <w:b/>
              </w:rPr>
              <w:t xml:space="preserve">No. </w:t>
            </w:r>
            <w:r>
              <w:rPr>
                <w:rFonts w:cs="Calibri"/>
                <w:b/>
              </w:rPr>
              <w:t xml:space="preserve">of </w:t>
            </w:r>
            <w:r w:rsidRPr="008A0763">
              <w:rPr>
                <w:rFonts w:cs="Calibri"/>
                <w:b/>
              </w:rPr>
              <w:t>Responses per Respondent</w:t>
            </w:r>
          </w:p>
        </w:tc>
        <w:tc>
          <w:tcPr>
            <w:tcW w:w="1464" w:type="dxa"/>
            <w:tcBorders>
              <w:top w:val="single" w:sz="12" w:space="0" w:color="365F91"/>
              <w:left w:val="single" w:sz="4" w:space="0" w:color="auto"/>
              <w:right w:val="single" w:sz="4" w:space="0" w:color="auto"/>
            </w:tcBorders>
            <w:vAlign w:val="center"/>
          </w:tcPr>
          <w:p w:rsidR="00E863CB" w:rsidRPr="008A0763" w:rsidRDefault="00E863CB" w:rsidP="003C422F">
            <w:pPr>
              <w:spacing w:after="0" w:line="240" w:lineRule="auto"/>
              <w:jc w:val="center"/>
              <w:rPr>
                <w:rFonts w:cs="Calibri"/>
                <w:b/>
              </w:rPr>
            </w:pPr>
            <w:r w:rsidRPr="008A0763">
              <w:rPr>
                <w:rFonts w:cs="Calibri"/>
                <w:b/>
              </w:rPr>
              <w:t xml:space="preserve">Average Burden per Response </w:t>
            </w:r>
            <w:bookmarkStart w:id="13" w:name="_GoBack"/>
            <w:bookmarkEnd w:id="13"/>
          </w:p>
        </w:tc>
        <w:tc>
          <w:tcPr>
            <w:tcW w:w="1398" w:type="dxa"/>
            <w:tcBorders>
              <w:top w:val="single" w:sz="12" w:space="0" w:color="365F91"/>
              <w:left w:val="single" w:sz="4" w:space="0" w:color="auto"/>
            </w:tcBorders>
            <w:vAlign w:val="center"/>
          </w:tcPr>
          <w:p w:rsidR="00E863CB" w:rsidRPr="008A0763" w:rsidRDefault="00E863CB" w:rsidP="00890B05">
            <w:pPr>
              <w:spacing w:after="0" w:line="240" w:lineRule="auto"/>
              <w:jc w:val="center"/>
              <w:rPr>
                <w:rFonts w:cs="Calibri"/>
                <w:b/>
              </w:rPr>
            </w:pPr>
            <w:r w:rsidRPr="008A0763">
              <w:rPr>
                <w:rFonts w:cs="Calibri"/>
                <w:b/>
              </w:rPr>
              <w:t>Total Hours</w:t>
            </w:r>
          </w:p>
        </w:tc>
      </w:tr>
      <w:tr w:rsidR="00E863CB" w:rsidRPr="008A0763" w:rsidTr="00E863CB">
        <w:trPr>
          <w:cantSplit/>
        </w:trPr>
        <w:tc>
          <w:tcPr>
            <w:tcW w:w="1368" w:type="dxa"/>
            <w:vAlign w:val="center"/>
          </w:tcPr>
          <w:p w:rsidR="00E863CB" w:rsidRPr="008A0763" w:rsidRDefault="00E863CB" w:rsidP="00A734BB">
            <w:pPr>
              <w:spacing w:after="0" w:line="240" w:lineRule="auto"/>
              <w:jc w:val="center"/>
              <w:rPr>
                <w:rFonts w:cs="Calibri"/>
              </w:rPr>
            </w:pPr>
          </w:p>
        </w:tc>
        <w:tc>
          <w:tcPr>
            <w:tcW w:w="2029" w:type="dxa"/>
            <w:tcBorders>
              <w:right w:val="single" w:sz="4" w:space="0" w:color="auto"/>
            </w:tcBorders>
            <w:vAlign w:val="center"/>
          </w:tcPr>
          <w:p w:rsidR="00E863CB" w:rsidRPr="008A0763" w:rsidRDefault="00E863CB" w:rsidP="00A734BB">
            <w:pPr>
              <w:spacing w:after="0" w:line="240" w:lineRule="auto"/>
              <w:jc w:val="center"/>
              <w:rPr>
                <w:rFonts w:cs="Calibri"/>
              </w:rPr>
            </w:pPr>
            <w:r>
              <w:rPr>
                <w:rFonts w:cs="Calibri"/>
              </w:rPr>
              <w:t>Pre-test</w:t>
            </w:r>
          </w:p>
        </w:tc>
        <w:tc>
          <w:tcPr>
            <w:tcW w:w="311" w:type="dxa"/>
            <w:tcBorders>
              <w:left w:val="single" w:sz="4" w:space="0" w:color="auto"/>
            </w:tcBorders>
            <w:vAlign w:val="center"/>
          </w:tcPr>
          <w:p w:rsidR="00E863CB" w:rsidRPr="008A0763" w:rsidRDefault="00E863CB" w:rsidP="00E863CB">
            <w:pPr>
              <w:spacing w:after="0" w:line="240" w:lineRule="auto"/>
              <w:jc w:val="center"/>
              <w:rPr>
                <w:rFonts w:cs="Calibri"/>
              </w:rPr>
            </w:pPr>
          </w:p>
        </w:tc>
        <w:tc>
          <w:tcPr>
            <w:tcW w:w="1416" w:type="dxa"/>
            <w:tcBorders>
              <w:right w:val="single" w:sz="4" w:space="0" w:color="auto"/>
            </w:tcBorders>
            <w:vAlign w:val="center"/>
          </w:tcPr>
          <w:p w:rsidR="00E863CB" w:rsidRPr="008A0763" w:rsidRDefault="00E863CB" w:rsidP="00A734BB">
            <w:pPr>
              <w:spacing w:after="0" w:line="240" w:lineRule="auto"/>
              <w:jc w:val="center"/>
              <w:rPr>
                <w:rFonts w:cs="Calibri"/>
              </w:rPr>
            </w:pPr>
            <w:r>
              <w:rPr>
                <w:rFonts w:cs="Calibri"/>
              </w:rPr>
              <w:t>5</w:t>
            </w:r>
          </w:p>
        </w:tc>
        <w:tc>
          <w:tcPr>
            <w:tcW w:w="1440" w:type="dxa"/>
            <w:tcBorders>
              <w:left w:val="single" w:sz="4" w:space="0" w:color="auto"/>
              <w:right w:val="single" w:sz="4" w:space="0" w:color="auto"/>
            </w:tcBorders>
            <w:vAlign w:val="center"/>
          </w:tcPr>
          <w:p w:rsidR="00E863CB" w:rsidRPr="008A0763" w:rsidRDefault="00E863CB" w:rsidP="00A734BB">
            <w:pPr>
              <w:spacing w:after="0" w:line="240" w:lineRule="auto"/>
              <w:jc w:val="center"/>
              <w:rPr>
                <w:rFonts w:cs="Calibri"/>
              </w:rPr>
            </w:pPr>
            <w:r w:rsidRPr="008A0763">
              <w:rPr>
                <w:rFonts w:cs="Calibri"/>
              </w:rPr>
              <w:t>1</w:t>
            </w:r>
          </w:p>
        </w:tc>
        <w:tc>
          <w:tcPr>
            <w:tcW w:w="1464" w:type="dxa"/>
            <w:tcBorders>
              <w:left w:val="single" w:sz="4" w:space="0" w:color="auto"/>
              <w:right w:val="single" w:sz="4" w:space="0" w:color="auto"/>
            </w:tcBorders>
            <w:vAlign w:val="center"/>
          </w:tcPr>
          <w:p w:rsidR="00E863CB" w:rsidRPr="008A0763" w:rsidRDefault="00E863CB" w:rsidP="00A734BB">
            <w:pPr>
              <w:spacing w:after="0" w:line="240" w:lineRule="auto"/>
              <w:jc w:val="center"/>
              <w:rPr>
                <w:rFonts w:cs="Calibri"/>
              </w:rPr>
            </w:pPr>
            <w:r>
              <w:rPr>
                <w:rFonts w:cs="Calibri"/>
              </w:rPr>
              <w:t>1.5</w:t>
            </w:r>
          </w:p>
        </w:tc>
        <w:tc>
          <w:tcPr>
            <w:tcW w:w="1398" w:type="dxa"/>
            <w:tcBorders>
              <w:left w:val="single" w:sz="4" w:space="0" w:color="auto"/>
            </w:tcBorders>
            <w:vAlign w:val="center"/>
          </w:tcPr>
          <w:p w:rsidR="00E863CB" w:rsidRPr="008A0763" w:rsidRDefault="00E863CB" w:rsidP="00A734BB">
            <w:pPr>
              <w:spacing w:after="0" w:line="240" w:lineRule="auto"/>
              <w:jc w:val="center"/>
              <w:rPr>
                <w:rFonts w:cs="Calibri"/>
              </w:rPr>
            </w:pPr>
            <w:r>
              <w:rPr>
                <w:rFonts w:cs="Calibri"/>
              </w:rPr>
              <w:t>7.5</w:t>
            </w:r>
          </w:p>
        </w:tc>
      </w:tr>
      <w:tr w:rsidR="00E863CB" w:rsidRPr="008A0763" w:rsidTr="00E863CB">
        <w:trPr>
          <w:cantSplit/>
        </w:trPr>
        <w:tc>
          <w:tcPr>
            <w:tcW w:w="1368" w:type="dxa"/>
            <w:vAlign w:val="center"/>
          </w:tcPr>
          <w:p w:rsidR="00E863CB" w:rsidRPr="008A0763" w:rsidRDefault="00E863CB" w:rsidP="00A734BB">
            <w:pPr>
              <w:spacing w:after="0" w:line="240" w:lineRule="auto"/>
              <w:jc w:val="center"/>
              <w:rPr>
                <w:rFonts w:cs="Calibri"/>
              </w:rPr>
            </w:pPr>
          </w:p>
        </w:tc>
        <w:tc>
          <w:tcPr>
            <w:tcW w:w="2029" w:type="dxa"/>
            <w:tcBorders>
              <w:right w:val="single" w:sz="4" w:space="0" w:color="auto"/>
            </w:tcBorders>
            <w:vAlign w:val="center"/>
          </w:tcPr>
          <w:p w:rsidR="00E863CB" w:rsidRPr="008A0763" w:rsidRDefault="00E863CB" w:rsidP="00890B05">
            <w:pPr>
              <w:spacing w:after="0" w:line="240" w:lineRule="auto"/>
              <w:jc w:val="center"/>
              <w:rPr>
                <w:rFonts w:cs="Calibri"/>
              </w:rPr>
            </w:pPr>
            <w:r>
              <w:rPr>
                <w:rFonts w:cs="Calibri"/>
              </w:rPr>
              <w:t xml:space="preserve"> Interviews</w:t>
            </w:r>
          </w:p>
        </w:tc>
        <w:tc>
          <w:tcPr>
            <w:tcW w:w="311" w:type="dxa"/>
            <w:tcBorders>
              <w:left w:val="single" w:sz="4" w:space="0" w:color="auto"/>
            </w:tcBorders>
            <w:vAlign w:val="center"/>
          </w:tcPr>
          <w:p w:rsidR="00E863CB" w:rsidRPr="008A0763" w:rsidRDefault="00E863CB" w:rsidP="00E863CB">
            <w:pPr>
              <w:spacing w:after="0" w:line="240" w:lineRule="auto"/>
              <w:jc w:val="center"/>
              <w:rPr>
                <w:rFonts w:cs="Calibri"/>
              </w:rPr>
            </w:pPr>
          </w:p>
        </w:tc>
        <w:tc>
          <w:tcPr>
            <w:tcW w:w="1416" w:type="dxa"/>
            <w:tcBorders>
              <w:right w:val="single" w:sz="4" w:space="0" w:color="auto"/>
            </w:tcBorders>
            <w:vAlign w:val="center"/>
          </w:tcPr>
          <w:p w:rsidR="00E863CB" w:rsidRPr="008A0763" w:rsidRDefault="00E863CB" w:rsidP="00A734BB">
            <w:pPr>
              <w:spacing w:after="0" w:line="240" w:lineRule="auto"/>
              <w:jc w:val="center"/>
              <w:rPr>
                <w:rFonts w:cs="Calibri"/>
              </w:rPr>
            </w:pPr>
            <w:r>
              <w:rPr>
                <w:rFonts w:cs="Calibri"/>
              </w:rPr>
              <w:t>135</w:t>
            </w:r>
          </w:p>
        </w:tc>
        <w:tc>
          <w:tcPr>
            <w:tcW w:w="1440" w:type="dxa"/>
            <w:tcBorders>
              <w:left w:val="single" w:sz="4" w:space="0" w:color="auto"/>
              <w:right w:val="single" w:sz="4" w:space="0" w:color="auto"/>
            </w:tcBorders>
            <w:vAlign w:val="center"/>
          </w:tcPr>
          <w:p w:rsidR="00E863CB" w:rsidRPr="008A0763" w:rsidRDefault="00E863CB" w:rsidP="00A734BB">
            <w:pPr>
              <w:spacing w:after="0" w:line="240" w:lineRule="auto"/>
              <w:jc w:val="center"/>
              <w:rPr>
                <w:rFonts w:cs="Calibri"/>
              </w:rPr>
            </w:pPr>
            <w:r w:rsidRPr="008A0763">
              <w:rPr>
                <w:rFonts w:cs="Calibri"/>
              </w:rPr>
              <w:t>1</w:t>
            </w:r>
          </w:p>
        </w:tc>
        <w:tc>
          <w:tcPr>
            <w:tcW w:w="1464" w:type="dxa"/>
            <w:tcBorders>
              <w:left w:val="single" w:sz="4" w:space="0" w:color="auto"/>
              <w:right w:val="single" w:sz="4" w:space="0" w:color="auto"/>
            </w:tcBorders>
            <w:vAlign w:val="center"/>
          </w:tcPr>
          <w:p w:rsidR="00E863CB" w:rsidRPr="008A0763" w:rsidRDefault="00E863CB" w:rsidP="00A734BB">
            <w:pPr>
              <w:spacing w:after="0" w:line="240" w:lineRule="auto"/>
              <w:jc w:val="center"/>
              <w:rPr>
                <w:rFonts w:cs="Calibri"/>
              </w:rPr>
            </w:pPr>
            <w:r>
              <w:rPr>
                <w:rFonts w:cs="Calibri"/>
              </w:rPr>
              <w:t>1.5</w:t>
            </w:r>
          </w:p>
        </w:tc>
        <w:tc>
          <w:tcPr>
            <w:tcW w:w="1398" w:type="dxa"/>
            <w:tcBorders>
              <w:left w:val="single" w:sz="4" w:space="0" w:color="auto"/>
            </w:tcBorders>
            <w:vAlign w:val="center"/>
          </w:tcPr>
          <w:p w:rsidR="00E863CB" w:rsidRPr="008A0763" w:rsidRDefault="00E863CB" w:rsidP="00A734BB">
            <w:pPr>
              <w:spacing w:after="0" w:line="240" w:lineRule="auto"/>
              <w:jc w:val="center"/>
              <w:rPr>
                <w:rFonts w:cs="Calibri"/>
              </w:rPr>
            </w:pPr>
            <w:r>
              <w:rPr>
                <w:rFonts w:cs="Calibri"/>
              </w:rPr>
              <w:t>202.5</w:t>
            </w:r>
          </w:p>
        </w:tc>
      </w:tr>
      <w:tr w:rsidR="00E863CB" w:rsidRPr="00A832DE" w:rsidTr="00E863CB">
        <w:trPr>
          <w:cantSplit/>
        </w:trPr>
        <w:tc>
          <w:tcPr>
            <w:tcW w:w="1368" w:type="dxa"/>
            <w:tcBorders>
              <w:bottom w:val="single" w:sz="12" w:space="0" w:color="365F91"/>
            </w:tcBorders>
            <w:vAlign w:val="center"/>
          </w:tcPr>
          <w:p w:rsidR="00E863CB" w:rsidRPr="008A0763" w:rsidRDefault="00E863CB" w:rsidP="00E863CB">
            <w:pPr>
              <w:spacing w:after="0" w:line="240" w:lineRule="auto"/>
              <w:jc w:val="center"/>
              <w:rPr>
                <w:rFonts w:cs="Calibri"/>
                <w:b/>
              </w:rPr>
            </w:pPr>
          </w:p>
        </w:tc>
        <w:tc>
          <w:tcPr>
            <w:tcW w:w="2029" w:type="dxa"/>
            <w:tcBorders>
              <w:bottom w:val="single" w:sz="12" w:space="0" w:color="365F91"/>
              <w:right w:val="single" w:sz="4" w:space="0" w:color="auto"/>
            </w:tcBorders>
            <w:vAlign w:val="center"/>
          </w:tcPr>
          <w:p w:rsidR="00E863CB" w:rsidRPr="00E863CB" w:rsidRDefault="00E863CB" w:rsidP="00A734BB">
            <w:pPr>
              <w:spacing w:after="0" w:line="240" w:lineRule="auto"/>
              <w:jc w:val="center"/>
              <w:rPr>
                <w:rFonts w:cs="Calibri"/>
              </w:rPr>
            </w:pPr>
            <w:r w:rsidRPr="00E863CB">
              <w:rPr>
                <w:rFonts w:cs="Calibri"/>
              </w:rPr>
              <w:t>Total</w:t>
            </w:r>
          </w:p>
        </w:tc>
        <w:tc>
          <w:tcPr>
            <w:tcW w:w="311" w:type="dxa"/>
            <w:tcBorders>
              <w:left w:val="single" w:sz="4" w:space="0" w:color="auto"/>
              <w:bottom w:val="single" w:sz="12" w:space="0" w:color="365F91"/>
            </w:tcBorders>
            <w:vAlign w:val="center"/>
          </w:tcPr>
          <w:p w:rsidR="00E863CB" w:rsidRPr="00E863CB" w:rsidRDefault="00E863CB" w:rsidP="00E863CB">
            <w:pPr>
              <w:spacing w:after="0" w:line="240" w:lineRule="auto"/>
              <w:jc w:val="center"/>
              <w:rPr>
                <w:rFonts w:cs="Calibri"/>
              </w:rPr>
            </w:pPr>
          </w:p>
        </w:tc>
        <w:tc>
          <w:tcPr>
            <w:tcW w:w="1416" w:type="dxa"/>
            <w:tcBorders>
              <w:bottom w:val="single" w:sz="12" w:space="0" w:color="365F91"/>
              <w:right w:val="single" w:sz="4" w:space="0" w:color="auto"/>
            </w:tcBorders>
            <w:vAlign w:val="center"/>
          </w:tcPr>
          <w:p w:rsidR="00E863CB" w:rsidRPr="008A0763" w:rsidRDefault="00E863CB" w:rsidP="00A734BB">
            <w:pPr>
              <w:spacing w:after="0" w:line="240" w:lineRule="auto"/>
              <w:jc w:val="center"/>
              <w:rPr>
                <w:rFonts w:cs="Calibri"/>
                <w:b/>
              </w:rPr>
            </w:pPr>
          </w:p>
        </w:tc>
        <w:tc>
          <w:tcPr>
            <w:tcW w:w="1440" w:type="dxa"/>
            <w:tcBorders>
              <w:left w:val="single" w:sz="4" w:space="0" w:color="auto"/>
              <w:bottom w:val="single" w:sz="12" w:space="0" w:color="365F91"/>
              <w:right w:val="single" w:sz="4" w:space="0" w:color="auto"/>
            </w:tcBorders>
            <w:vAlign w:val="center"/>
          </w:tcPr>
          <w:p w:rsidR="00E863CB" w:rsidRPr="008A0763" w:rsidRDefault="00E863CB" w:rsidP="00A734BB">
            <w:pPr>
              <w:spacing w:after="0" w:line="240" w:lineRule="auto"/>
              <w:jc w:val="center"/>
              <w:rPr>
                <w:rFonts w:cs="Calibri"/>
                <w:b/>
              </w:rPr>
            </w:pPr>
          </w:p>
        </w:tc>
        <w:tc>
          <w:tcPr>
            <w:tcW w:w="1464" w:type="dxa"/>
            <w:tcBorders>
              <w:left w:val="single" w:sz="4" w:space="0" w:color="auto"/>
              <w:bottom w:val="single" w:sz="12" w:space="0" w:color="365F91"/>
              <w:right w:val="single" w:sz="4" w:space="0" w:color="auto"/>
            </w:tcBorders>
            <w:vAlign w:val="center"/>
          </w:tcPr>
          <w:p w:rsidR="00E863CB" w:rsidRPr="008A0763" w:rsidRDefault="00E863CB" w:rsidP="00A734BB">
            <w:pPr>
              <w:spacing w:after="0" w:line="240" w:lineRule="auto"/>
              <w:jc w:val="center"/>
              <w:rPr>
                <w:rFonts w:cs="Calibri"/>
                <w:b/>
              </w:rPr>
            </w:pPr>
          </w:p>
        </w:tc>
        <w:tc>
          <w:tcPr>
            <w:tcW w:w="1398" w:type="dxa"/>
            <w:tcBorders>
              <w:left w:val="single" w:sz="4" w:space="0" w:color="auto"/>
              <w:bottom w:val="single" w:sz="12" w:space="0" w:color="365F91"/>
            </w:tcBorders>
            <w:vAlign w:val="center"/>
          </w:tcPr>
          <w:p w:rsidR="00E863CB" w:rsidRPr="00E863CB" w:rsidRDefault="00E863CB" w:rsidP="00A734BB">
            <w:pPr>
              <w:spacing w:after="0" w:line="240" w:lineRule="auto"/>
              <w:jc w:val="center"/>
              <w:rPr>
                <w:rFonts w:cs="Calibri"/>
              </w:rPr>
            </w:pPr>
            <w:r w:rsidRPr="00E863CB">
              <w:rPr>
                <w:rFonts w:cs="Calibri"/>
              </w:rPr>
              <w:t>210.0</w:t>
            </w:r>
          </w:p>
        </w:tc>
      </w:tr>
    </w:tbl>
    <w:p w:rsidR="006418B2" w:rsidRDefault="006418B2" w:rsidP="006851D1">
      <w:pPr>
        <w:spacing w:after="0" w:line="360" w:lineRule="auto"/>
        <w:rPr>
          <w:rFonts w:cs="Calibri"/>
          <w:sz w:val="24"/>
        </w:rPr>
      </w:pPr>
    </w:p>
    <w:p w:rsidR="009777E6" w:rsidRPr="00843F3C" w:rsidRDefault="009777E6" w:rsidP="006851D1">
      <w:pPr>
        <w:spacing w:after="0" w:line="360" w:lineRule="auto"/>
        <w:rPr>
          <w:rFonts w:ascii="Times New Roman" w:hAnsi="Times New Roman"/>
          <w:sz w:val="24"/>
        </w:rPr>
      </w:pPr>
      <w:r>
        <w:rPr>
          <w:rFonts w:ascii="Times New Roman" w:hAnsi="Times New Roman"/>
          <w:sz w:val="24"/>
        </w:rPr>
        <w:t>12b.</w:t>
      </w:r>
      <w:r>
        <w:rPr>
          <w:rFonts w:ascii="Times New Roman" w:hAnsi="Times New Roman"/>
          <w:sz w:val="24"/>
        </w:rPr>
        <w:tab/>
      </w:r>
      <w:r w:rsidRPr="00843F3C">
        <w:rPr>
          <w:rFonts w:ascii="Times New Roman" w:hAnsi="Times New Roman"/>
          <w:sz w:val="24"/>
          <w:u w:val="single"/>
        </w:rPr>
        <w:t xml:space="preserve">Annualized </w:t>
      </w:r>
      <w:r>
        <w:rPr>
          <w:rFonts w:ascii="Times New Roman" w:hAnsi="Times New Roman"/>
          <w:sz w:val="24"/>
          <w:u w:val="single"/>
        </w:rPr>
        <w:t xml:space="preserve">Cost </w:t>
      </w:r>
      <w:r w:rsidRPr="00843F3C">
        <w:rPr>
          <w:rFonts w:ascii="Times New Roman" w:hAnsi="Times New Roman"/>
          <w:sz w:val="24"/>
          <w:u w:val="single"/>
        </w:rPr>
        <w:t>Burden Estimate</w:t>
      </w:r>
    </w:p>
    <w:p w:rsidR="006418B2" w:rsidRDefault="002115FF" w:rsidP="008878B3">
      <w:pPr>
        <w:spacing w:after="0"/>
        <w:ind w:left="720"/>
        <w:rPr>
          <w:rFonts w:ascii="Times New Roman" w:hAnsi="Times New Roman"/>
          <w:color w:val="000000"/>
          <w:sz w:val="24"/>
          <w:szCs w:val="24"/>
        </w:rPr>
      </w:pPr>
      <w:r w:rsidRPr="008D43C8">
        <w:rPr>
          <w:rFonts w:ascii="Times New Roman" w:hAnsi="Times New Roman"/>
          <w:color w:val="000000"/>
          <w:sz w:val="24"/>
          <w:szCs w:val="24"/>
        </w:rPr>
        <w:t>FDA estimated the</w:t>
      </w:r>
      <w:r w:rsidR="006418B2" w:rsidRPr="008D43C8">
        <w:rPr>
          <w:rFonts w:ascii="Times New Roman" w:hAnsi="Times New Roman"/>
          <w:color w:val="000000"/>
          <w:sz w:val="24"/>
          <w:szCs w:val="24"/>
        </w:rPr>
        <w:t xml:space="preserve"> annualized cost to respondents to be the burden hours estimate multiplied by the median hourly wage estimate (Source: Occupational Employment Statistics, Bureau of Labor Statistics). </w:t>
      </w:r>
      <w:r w:rsidRPr="008D43C8">
        <w:rPr>
          <w:rFonts w:ascii="Times New Roman" w:hAnsi="Times New Roman"/>
          <w:color w:val="000000"/>
          <w:sz w:val="24"/>
          <w:szCs w:val="24"/>
        </w:rPr>
        <w:t>FDA</w:t>
      </w:r>
      <w:r w:rsidR="006418B2" w:rsidRPr="008D43C8">
        <w:rPr>
          <w:rFonts w:ascii="Times New Roman" w:hAnsi="Times New Roman"/>
          <w:color w:val="000000"/>
          <w:sz w:val="24"/>
          <w:szCs w:val="24"/>
        </w:rPr>
        <w:t xml:space="preserve"> used the median wage estimate ($</w:t>
      </w:r>
      <w:r w:rsidR="008D43C8" w:rsidRPr="008D43C8">
        <w:rPr>
          <w:rFonts w:ascii="Times New Roman" w:hAnsi="Times New Roman"/>
          <w:color w:val="000000"/>
          <w:sz w:val="24"/>
          <w:szCs w:val="24"/>
        </w:rPr>
        <w:t>90.00</w:t>
      </w:r>
      <w:r w:rsidR="006418B2" w:rsidRPr="008D43C8">
        <w:rPr>
          <w:rFonts w:ascii="Times New Roman" w:hAnsi="Times New Roman"/>
          <w:color w:val="000000"/>
          <w:sz w:val="24"/>
          <w:szCs w:val="24"/>
        </w:rPr>
        <w:t xml:space="preserve">) for </w:t>
      </w:r>
      <w:r w:rsidR="008D43C8" w:rsidRPr="008D43C8">
        <w:rPr>
          <w:rFonts w:ascii="Times New Roman" w:hAnsi="Times New Roman"/>
          <w:color w:val="000000"/>
          <w:sz w:val="24"/>
          <w:szCs w:val="24"/>
        </w:rPr>
        <w:t>Physicians and Surgeons, All Others,</w:t>
      </w:r>
      <w:r w:rsidR="00281032" w:rsidRPr="008D43C8">
        <w:rPr>
          <w:rFonts w:ascii="Times New Roman" w:hAnsi="Times New Roman"/>
          <w:color w:val="000000"/>
          <w:sz w:val="24"/>
          <w:szCs w:val="24"/>
        </w:rPr>
        <w:t xml:space="preserve"> Standard Occupational Code (SOC) </w:t>
      </w:r>
      <w:r w:rsidR="008D43C8" w:rsidRPr="008D43C8">
        <w:rPr>
          <w:rFonts w:ascii="Times New Roman" w:hAnsi="Times New Roman"/>
          <w:color w:val="000000"/>
          <w:sz w:val="24"/>
          <w:szCs w:val="24"/>
        </w:rPr>
        <w:t>29-1069</w:t>
      </w:r>
      <w:r w:rsidR="00281032" w:rsidRPr="008D43C8">
        <w:rPr>
          <w:rFonts w:ascii="Times New Roman" w:hAnsi="Times New Roman"/>
          <w:color w:val="000000"/>
          <w:sz w:val="24"/>
          <w:szCs w:val="24"/>
        </w:rPr>
        <w:t>,</w:t>
      </w:r>
      <w:r w:rsidR="006418B2" w:rsidRPr="008D43C8">
        <w:rPr>
          <w:rFonts w:ascii="Times New Roman" w:hAnsi="Times New Roman"/>
          <w:color w:val="000000"/>
          <w:sz w:val="24"/>
          <w:szCs w:val="24"/>
        </w:rPr>
        <w:t xml:space="preserve"> because this wage falls in the middle of the range of wages for </w:t>
      </w:r>
      <w:r w:rsidR="00DE436F" w:rsidRPr="008D43C8">
        <w:rPr>
          <w:rFonts w:ascii="Times New Roman" w:hAnsi="Times New Roman"/>
          <w:color w:val="000000"/>
          <w:sz w:val="24"/>
          <w:szCs w:val="24"/>
        </w:rPr>
        <w:t xml:space="preserve">NDA/BLA </w:t>
      </w:r>
      <w:r w:rsidR="00A734BB" w:rsidRPr="008D43C8">
        <w:rPr>
          <w:rFonts w:ascii="Times New Roman" w:hAnsi="Times New Roman"/>
          <w:color w:val="000000"/>
          <w:sz w:val="24"/>
          <w:szCs w:val="24"/>
        </w:rPr>
        <w:t xml:space="preserve">managers in the pharmaceutical </w:t>
      </w:r>
      <w:r w:rsidR="00AD16DB" w:rsidRPr="008D43C8">
        <w:rPr>
          <w:rFonts w:ascii="Times New Roman" w:hAnsi="Times New Roman"/>
          <w:color w:val="000000"/>
          <w:sz w:val="24"/>
          <w:szCs w:val="24"/>
        </w:rPr>
        <w:t>industry</w:t>
      </w:r>
      <w:r w:rsidR="006418B2" w:rsidRPr="008D43C8">
        <w:rPr>
          <w:rFonts w:ascii="Times New Roman" w:hAnsi="Times New Roman"/>
          <w:color w:val="000000"/>
          <w:sz w:val="24"/>
          <w:szCs w:val="24"/>
        </w:rPr>
        <w:t xml:space="preserve">. </w:t>
      </w:r>
      <w:r w:rsidRPr="008D43C8">
        <w:rPr>
          <w:rFonts w:ascii="Times New Roman" w:hAnsi="Times New Roman"/>
          <w:color w:val="000000"/>
          <w:sz w:val="24"/>
          <w:szCs w:val="24"/>
        </w:rPr>
        <w:t>FDA</w:t>
      </w:r>
      <w:r w:rsidR="006418B2" w:rsidRPr="008D43C8">
        <w:rPr>
          <w:rFonts w:ascii="Times New Roman" w:hAnsi="Times New Roman"/>
          <w:color w:val="000000"/>
          <w:sz w:val="24"/>
          <w:szCs w:val="24"/>
        </w:rPr>
        <w:t xml:space="preserve"> multiplied this median wage by 1.4 to capture benefits, resulting in a loaded hourly median wage rate of $</w:t>
      </w:r>
      <w:r w:rsidR="008D43C8" w:rsidRPr="008D43C8">
        <w:rPr>
          <w:rFonts w:ascii="Times New Roman" w:hAnsi="Times New Roman"/>
          <w:color w:val="000000"/>
          <w:sz w:val="24"/>
          <w:szCs w:val="24"/>
        </w:rPr>
        <w:t>126.00</w:t>
      </w:r>
      <w:r w:rsidR="006418B2" w:rsidRPr="008D43C8">
        <w:rPr>
          <w:rFonts w:ascii="Times New Roman" w:hAnsi="Times New Roman"/>
          <w:color w:val="000000"/>
          <w:sz w:val="24"/>
          <w:szCs w:val="24"/>
        </w:rPr>
        <w:t>.</w:t>
      </w:r>
    </w:p>
    <w:p w:rsidR="00BE0A6E" w:rsidRDefault="00BE0A6E" w:rsidP="008878B3">
      <w:pPr>
        <w:spacing w:after="0"/>
        <w:ind w:left="720"/>
        <w:rPr>
          <w:rFonts w:ascii="Times New Roman" w:hAnsi="Times New Roman"/>
          <w:color w:val="000000"/>
          <w:sz w:val="24"/>
          <w:szCs w:val="24"/>
        </w:rPr>
      </w:pPr>
    </w:p>
    <w:p w:rsidR="006418B2" w:rsidRPr="007349FB" w:rsidRDefault="006418B2" w:rsidP="00A832DE">
      <w:pPr>
        <w:pStyle w:val="Caption"/>
        <w:rPr>
          <w:rFonts w:cs="Calibri"/>
          <w:sz w:val="24"/>
        </w:rPr>
      </w:pPr>
      <w:bookmarkStart w:id="14" w:name="_Toc320893937"/>
      <w:r>
        <w:t xml:space="preserve">Table </w:t>
      </w:r>
      <w:r w:rsidR="00D939D5">
        <w:t>2</w:t>
      </w:r>
      <w:r>
        <w:t>. Annualized cost to respondents.</w:t>
      </w:r>
      <w:bookmarkEnd w:id="14"/>
    </w:p>
    <w:tbl>
      <w:tblPr>
        <w:tblW w:w="9833" w:type="dxa"/>
        <w:tblBorders>
          <w:top w:val="single" w:sz="12" w:space="0" w:color="365F91"/>
          <w:bottom w:val="single" w:sz="12" w:space="0" w:color="365F91"/>
          <w:insideH w:val="single" w:sz="4" w:space="0" w:color="auto"/>
        </w:tblBorders>
        <w:tblLook w:val="00A0" w:firstRow="1" w:lastRow="0" w:firstColumn="1" w:lastColumn="0" w:noHBand="0" w:noVBand="0"/>
      </w:tblPr>
      <w:tblGrid>
        <w:gridCol w:w="2394"/>
        <w:gridCol w:w="236"/>
        <w:gridCol w:w="2319"/>
        <w:gridCol w:w="2254"/>
        <w:gridCol w:w="236"/>
        <w:gridCol w:w="2394"/>
      </w:tblGrid>
      <w:tr w:rsidR="000C1C07" w:rsidRPr="00A832DE" w:rsidTr="000C1C07">
        <w:tc>
          <w:tcPr>
            <w:tcW w:w="2394" w:type="dxa"/>
            <w:tcBorders>
              <w:top w:val="single" w:sz="12" w:space="0" w:color="365F91"/>
            </w:tcBorders>
            <w:vAlign w:val="center"/>
          </w:tcPr>
          <w:p w:rsidR="000C1C07" w:rsidRPr="00A832DE" w:rsidRDefault="000C1C07" w:rsidP="001D4D67">
            <w:pPr>
              <w:spacing w:after="0" w:line="240" w:lineRule="auto"/>
              <w:rPr>
                <w:rFonts w:cs="Calibri"/>
                <w:b/>
              </w:rPr>
            </w:pPr>
            <w:r w:rsidRPr="00A832DE">
              <w:rPr>
                <w:rFonts w:cs="Calibri"/>
                <w:b/>
              </w:rPr>
              <w:t>Type of Respondent</w:t>
            </w:r>
            <w:r>
              <w:rPr>
                <w:rFonts w:cs="Calibri"/>
                <w:b/>
              </w:rPr>
              <w:t xml:space="preserve">         </w:t>
            </w:r>
          </w:p>
        </w:tc>
        <w:tc>
          <w:tcPr>
            <w:tcW w:w="236" w:type="dxa"/>
            <w:tcBorders>
              <w:top w:val="single" w:sz="12" w:space="0" w:color="365F91"/>
              <w:right w:val="single" w:sz="4" w:space="0" w:color="auto"/>
            </w:tcBorders>
            <w:vAlign w:val="center"/>
          </w:tcPr>
          <w:p w:rsidR="000C1C07" w:rsidRPr="00A832DE" w:rsidRDefault="000C1C07" w:rsidP="003B46B6">
            <w:pPr>
              <w:spacing w:after="0" w:line="240" w:lineRule="auto"/>
              <w:jc w:val="center"/>
              <w:rPr>
                <w:rFonts w:cs="Calibri"/>
                <w:b/>
              </w:rPr>
            </w:pPr>
          </w:p>
        </w:tc>
        <w:tc>
          <w:tcPr>
            <w:tcW w:w="2319" w:type="dxa"/>
            <w:tcBorders>
              <w:top w:val="single" w:sz="12" w:space="0" w:color="365F91"/>
              <w:left w:val="single" w:sz="4" w:space="0" w:color="auto"/>
              <w:bottom w:val="single" w:sz="4" w:space="0" w:color="auto"/>
              <w:right w:val="single" w:sz="4" w:space="0" w:color="auto"/>
            </w:tcBorders>
            <w:vAlign w:val="center"/>
          </w:tcPr>
          <w:p w:rsidR="000C1C07" w:rsidRPr="00A832DE" w:rsidRDefault="000C1C07" w:rsidP="001D4D67">
            <w:pPr>
              <w:spacing w:after="0" w:line="240" w:lineRule="auto"/>
              <w:jc w:val="center"/>
              <w:rPr>
                <w:rFonts w:cs="Calibri"/>
                <w:b/>
              </w:rPr>
            </w:pPr>
            <w:r w:rsidRPr="00A832DE">
              <w:rPr>
                <w:rFonts w:cs="Calibri"/>
                <w:b/>
              </w:rPr>
              <w:t>Total Burden Hours</w:t>
            </w:r>
          </w:p>
        </w:tc>
        <w:tc>
          <w:tcPr>
            <w:tcW w:w="2254" w:type="dxa"/>
            <w:tcBorders>
              <w:top w:val="single" w:sz="12" w:space="0" w:color="365F91"/>
              <w:left w:val="single" w:sz="4" w:space="0" w:color="auto"/>
            </w:tcBorders>
            <w:vAlign w:val="center"/>
          </w:tcPr>
          <w:p w:rsidR="000C1C07" w:rsidRPr="00A832DE" w:rsidRDefault="000C1C07" w:rsidP="00D939D5">
            <w:pPr>
              <w:spacing w:after="0" w:line="240" w:lineRule="auto"/>
              <w:jc w:val="center"/>
              <w:rPr>
                <w:rFonts w:cs="Calibri"/>
                <w:b/>
              </w:rPr>
            </w:pPr>
            <w:r w:rsidRPr="00A832DE">
              <w:rPr>
                <w:rFonts w:cs="Calibri"/>
                <w:b/>
              </w:rPr>
              <w:t>Hourly Wage Rate</w:t>
            </w:r>
          </w:p>
        </w:tc>
        <w:tc>
          <w:tcPr>
            <w:tcW w:w="236" w:type="dxa"/>
            <w:tcBorders>
              <w:top w:val="single" w:sz="12" w:space="0" w:color="365F91"/>
              <w:left w:val="single" w:sz="4" w:space="0" w:color="auto"/>
            </w:tcBorders>
            <w:vAlign w:val="center"/>
          </w:tcPr>
          <w:p w:rsidR="000C1C07" w:rsidRPr="00A832DE" w:rsidRDefault="000C1C07" w:rsidP="000C1C07">
            <w:pPr>
              <w:spacing w:after="0" w:line="240" w:lineRule="auto"/>
              <w:jc w:val="center"/>
              <w:rPr>
                <w:rFonts w:cs="Calibri"/>
                <w:b/>
              </w:rPr>
            </w:pPr>
          </w:p>
        </w:tc>
        <w:tc>
          <w:tcPr>
            <w:tcW w:w="2394" w:type="dxa"/>
            <w:tcBorders>
              <w:top w:val="single" w:sz="12" w:space="0" w:color="365F91"/>
            </w:tcBorders>
            <w:vAlign w:val="center"/>
          </w:tcPr>
          <w:p w:rsidR="000C1C07" w:rsidRPr="00A832DE" w:rsidRDefault="000C1C07" w:rsidP="001D4D67">
            <w:pPr>
              <w:spacing w:after="0" w:line="240" w:lineRule="auto"/>
              <w:jc w:val="center"/>
              <w:rPr>
                <w:rFonts w:cs="Calibri"/>
                <w:b/>
              </w:rPr>
            </w:pPr>
            <w:r w:rsidRPr="00A832DE">
              <w:rPr>
                <w:rFonts w:cs="Calibri"/>
                <w:b/>
              </w:rPr>
              <w:t>Total Respondent Costs</w:t>
            </w:r>
          </w:p>
        </w:tc>
      </w:tr>
      <w:tr w:rsidR="000C1C07" w:rsidRPr="00A832DE" w:rsidTr="000C1C07">
        <w:tc>
          <w:tcPr>
            <w:tcW w:w="2394" w:type="dxa"/>
            <w:tcBorders>
              <w:bottom w:val="single" w:sz="12" w:space="0" w:color="365F91"/>
            </w:tcBorders>
            <w:vAlign w:val="center"/>
          </w:tcPr>
          <w:p w:rsidR="000C1C07" w:rsidRPr="008D43C8" w:rsidRDefault="000C1C07" w:rsidP="001D4D67">
            <w:pPr>
              <w:spacing w:after="0" w:line="240" w:lineRule="auto"/>
              <w:rPr>
                <w:rFonts w:cs="Calibri"/>
              </w:rPr>
            </w:pPr>
            <w:r w:rsidRPr="008D43C8">
              <w:rPr>
                <w:rFonts w:cs="Calibri"/>
              </w:rPr>
              <w:t>NME NDA / Original BLA Sponsors</w:t>
            </w:r>
          </w:p>
        </w:tc>
        <w:tc>
          <w:tcPr>
            <w:tcW w:w="236" w:type="dxa"/>
            <w:tcBorders>
              <w:bottom w:val="single" w:sz="12" w:space="0" w:color="365F91"/>
              <w:right w:val="single" w:sz="4" w:space="0" w:color="auto"/>
            </w:tcBorders>
            <w:vAlign w:val="center"/>
          </w:tcPr>
          <w:p w:rsidR="000C1C07" w:rsidRPr="008D43C8" w:rsidRDefault="000C1C07" w:rsidP="003B46B6">
            <w:pPr>
              <w:spacing w:after="0" w:line="240" w:lineRule="auto"/>
              <w:jc w:val="center"/>
              <w:rPr>
                <w:rFonts w:cs="Calibri"/>
              </w:rPr>
            </w:pPr>
          </w:p>
        </w:tc>
        <w:tc>
          <w:tcPr>
            <w:tcW w:w="2319" w:type="dxa"/>
            <w:tcBorders>
              <w:top w:val="single" w:sz="4" w:space="0" w:color="auto"/>
              <w:left w:val="single" w:sz="4" w:space="0" w:color="auto"/>
              <w:bottom w:val="single" w:sz="12" w:space="0" w:color="365F91"/>
              <w:right w:val="single" w:sz="4" w:space="0" w:color="auto"/>
            </w:tcBorders>
            <w:vAlign w:val="center"/>
          </w:tcPr>
          <w:p w:rsidR="000C1C07" w:rsidRPr="008D43C8" w:rsidRDefault="000C1C07" w:rsidP="001D4D67">
            <w:pPr>
              <w:spacing w:after="0" w:line="240" w:lineRule="auto"/>
              <w:jc w:val="center"/>
              <w:rPr>
                <w:rFonts w:cs="Calibri"/>
              </w:rPr>
            </w:pPr>
            <w:r w:rsidRPr="008D43C8">
              <w:rPr>
                <w:rFonts w:cs="Calibri"/>
              </w:rPr>
              <w:t>210.0</w:t>
            </w:r>
          </w:p>
        </w:tc>
        <w:tc>
          <w:tcPr>
            <w:tcW w:w="2254" w:type="dxa"/>
            <w:tcBorders>
              <w:left w:val="single" w:sz="4" w:space="0" w:color="auto"/>
              <w:bottom w:val="single" w:sz="12" w:space="0" w:color="365F91"/>
            </w:tcBorders>
            <w:vAlign w:val="center"/>
          </w:tcPr>
          <w:p w:rsidR="000C1C07" w:rsidRPr="008D43C8" w:rsidRDefault="000C1C07" w:rsidP="008D43C8">
            <w:pPr>
              <w:spacing w:after="0" w:line="240" w:lineRule="auto"/>
              <w:jc w:val="center"/>
              <w:rPr>
                <w:rFonts w:cs="Calibri"/>
              </w:rPr>
            </w:pPr>
            <w:r w:rsidRPr="008D43C8">
              <w:rPr>
                <w:rFonts w:cs="Calibri"/>
              </w:rPr>
              <w:t>$126.00</w:t>
            </w:r>
          </w:p>
        </w:tc>
        <w:tc>
          <w:tcPr>
            <w:tcW w:w="236" w:type="dxa"/>
            <w:tcBorders>
              <w:left w:val="single" w:sz="4" w:space="0" w:color="auto"/>
              <w:bottom w:val="single" w:sz="12" w:space="0" w:color="365F91"/>
            </w:tcBorders>
            <w:vAlign w:val="center"/>
          </w:tcPr>
          <w:p w:rsidR="000C1C07" w:rsidRPr="008D43C8" w:rsidRDefault="000C1C07" w:rsidP="000C1C07">
            <w:pPr>
              <w:spacing w:after="0" w:line="240" w:lineRule="auto"/>
              <w:jc w:val="center"/>
              <w:rPr>
                <w:rFonts w:cs="Calibri"/>
              </w:rPr>
            </w:pPr>
          </w:p>
        </w:tc>
        <w:tc>
          <w:tcPr>
            <w:tcW w:w="2394" w:type="dxa"/>
            <w:tcBorders>
              <w:bottom w:val="single" w:sz="12" w:space="0" w:color="365F91"/>
            </w:tcBorders>
            <w:vAlign w:val="center"/>
          </w:tcPr>
          <w:p w:rsidR="000C1C07" w:rsidRPr="008D43C8" w:rsidRDefault="000C1C07" w:rsidP="008D43C8">
            <w:pPr>
              <w:spacing w:after="0" w:line="240" w:lineRule="auto"/>
              <w:jc w:val="center"/>
              <w:rPr>
                <w:rFonts w:cs="Calibri"/>
              </w:rPr>
            </w:pPr>
            <w:r w:rsidRPr="008D43C8">
              <w:rPr>
                <w:rFonts w:cs="Calibri"/>
              </w:rPr>
              <w:t>$</w:t>
            </w:r>
            <w:r>
              <w:rPr>
                <w:rFonts w:cs="Calibri"/>
              </w:rPr>
              <w:t>26</w:t>
            </w:r>
            <w:r w:rsidRPr="008D43C8">
              <w:rPr>
                <w:rFonts w:cs="Calibri"/>
              </w:rPr>
              <w:t>,460.00</w:t>
            </w:r>
          </w:p>
        </w:tc>
      </w:tr>
    </w:tbl>
    <w:p w:rsidR="006418B2" w:rsidRPr="008878B3" w:rsidRDefault="006418B2" w:rsidP="008878B3">
      <w:pPr>
        <w:pStyle w:val="OMBPackageHeading2"/>
        <w:tabs>
          <w:tab w:val="clear" w:pos="900"/>
          <w:tab w:val="left" w:pos="540"/>
        </w:tabs>
        <w:ind w:left="540" w:hanging="540"/>
        <w:rPr>
          <w:rFonts w:ascii="Times New Roman" w:hAnsi="Times New Roman"/>
          <w:b w:val="0"/>
          <w:color w:val="auto"/>
          <w:sz w:val="24"/>
          <w:u w:val="single"/>
        </w:rPr>
      </w:pPr>
      <w:bookmarkStart w:id="15" w:name="_Toc322005792"/>
      <w:r w:rsidRPr="008878B3">
        <w:rPr>
          <w:rFonts w:ascii="Times New Roman" w:hAnsi="Times New Roman"/>
          <w:b w:val="0"/>
          <w:color w:val="auto"/>
          <w:sz w:val="24"/>
          <w:u w:val="single"/>
        </w:rPr>
        <w:t>Estimate</w:t>
      </w:r>
      <w:r w:rsidR="009777E6" w:rsidRPr="008878B3">
        <w:rPr>
          <w:rFonts w:ascii="Times New Roman" w:hAnsi="Times New Roman"/>
          <w:b w:val="0"/>
          <w:color w:val="auto"/>
          <w:sz w:val="24"/>
          <w:u w:val="single"/>
        </w:rPr>
        <w:t>s</w:t>
      </w:r>
      <w:r w:rsidRPr="008878B3">
        <w:rPr>
          <w:rFonts w:ascii="Times New Roman" w:hAnsi="Times New Roman"/>
          <w:b w:val="0"/>
          <w:color w:val="auto"/>
          <w:sz w:val="24"/>
          <w:u w:val="single"/>
        </w:rPr>
        <w:t xml:space="preserve"> Total Annual Cost Burden to Respondents and Record Keepers</w:t>
      </w:r>
      <w:bookmarkEnd w:id="15"/>
    </w:p>
    <w:p w:rsidR="006418B2" w:rsidRPr="00494728" w:rsidRDefault="009777E6" w:rsidP="008878B3">
      <w:pPr>
        <w:spacing w:after="0"/>
        <w:ind w:left="547"/>
        <w:rPr>
          <w:rFonts w:ascii="Times New Roman" w:hAnsi="Times New Roman"/>
          <w:color w:val="000000"/>
          <w:sz w:val="24"/>
          <w:szCs w:val="24"/>
        </w:rPr>
      </w:pPr>
      <w:r>
        <w:rPr>
          <w:rFonts w:ascii="Times New Roman" w:hAnsi="Times New Roman"/>
          <w:color w:val="000000"/>
          <w:sz w:val="24"/>
          <w:szCs w:val="24"/>
        </w:rPr>
        <w:t xml:space="preserve">There are no </w:t>
      </w:r>
      <w:r w:rsidR="006418B2">
        <w:rPr>
          <w:rFonts w:ascii="Times New Roman" w:hAnsi="Times New Roman"/>
          <w:color w:val="000000"/>
          <w:sz w:val="24"/>
          <w:szCs w:val="24"/>
        </w:rPr>
        <w:t>capital, start</w:t>
      </w:r>
      <w:r>
        <w:rPr>
          <w:rFonts w:ascii="Times New Roman" w:hAnsi="Times New Roman"/>
          <w:color w:val="000000"/>
          <w:sz w:val="24"/>
          <w:szCs w:val="24"/>
        </w:rPr>
        <w:t>-</w:t>
      </w:r>
      <w:r w:rsidR="006418B2">
        <w:rPr>
          <w:rFonts w:ascii="Times New Roman" w:hAnsi="Times New Roman"/>
          <w:color w:val="000000"/>
          <w:sz w:val="24"/>
          <w:szCs w:val="24"/>
        </w:rPr>
        <w:t xml:space="preserve">up, </w:t>
      </w:r>
      <w:r>
        <w:rPr>
          <w:rFonts w:ascii="Times New Roman" w:hAnsi="Times New Roman"/>
          <w:color w:val="000000"/>
          <w:sz w:val="24"/>
          <w:szCs w:val="24"/>
        </w:rPr>
        <w:t xml:space="preserve">operating or </w:t>
      </w:r>
      <w:r w:rsidR="006418B2">
        <w:rPr>
          <w:rFonts w:ascii="Times New Roman" w:hAnsi="Times New Roman"/>
          <w:color w:val="000000"/>
          <w:sz w:val="24"/>
          <w:szCs w:val="24"/>
        </w:rPr>
        <w:t>maintenance</w:t>
      </w:r>
      <w:r w:rsidR="006418B2" w:rsidRPr="009D166E">
        <w:rPr>
          <w:rFonts w:ascii="Times New Roman" w:hAnsi="Times New Roman"/>
          <w:color w:val="000000"/>
          <w:sz w:val="24"/>
          <w:szCs w:val="24"/>
        </w:rPr>
        <w:t xml:space="preserve"> costs </w:t>
      </w:r>
      <w:r>
        <w:rPr>
          <w:rFonts w:ascii="Times New Roman" w:hAnsi="Times New Roman"/>
          <w:color w:val="000000"/>
          <w:sz w:val="24"/>
          <w:szCs w:val="24"/>
        </w:rPr>
        <w:t>associated with this information collection</w:t>
      </w:r>
      <w:r w:rsidR="006418B2" w:rsidRPr="009D166E">
        <w:rPr>
          <w:rFonts w:ascii="Times New Roman" w:hAnsi="Times New Roman"/>
          <w:color w:val="000000"/>
          <w:sz w:val="24"/>
          <w:szCs w:val="24"/>
        </w:rPr>
        <w:t>.</w:t>
      </w:r>
    </w:p>
    <w:p w:rsidR="006418B2" w:rsidRPr="008878B3" w:rsidRDefault="006418B2" w:rsidP="002300AB">
      <w:pPr>
        <w:pStyle w:val="OMBPackageHeading2"/>
        <w:rPr>
          <w:rFonts w:ascii="Times New Roman" w:hAnsi="Times New Roman"/>
          <w:b w:val="0"/>
          <w:color w:val="auto"/>
          <w:sz w:val="24"/>
          <w:u w:val="single"/>
        </w:rPr>
      </w:pPr>
      <w:bookmarkStart w:id="16" w:name="_Toc322005793"/>
      <w:r w:rsidRPr="00763D8E">
        <w:rPr>
          <w:rFonts w:ascii="Times New Roman" w:hAnsi="Times New Roman"/>
          <w:b w:val="0"/>
          <w:color w:val="auto"/>
          <w:sz w:val="24"/>
          <w:u w:val="single"/>
        </w:rPr>
        <w:t>Annualized Cost to the Federal Government</w:t>
      </w:r>
      <w:bookmarkEnd w:id="16"/>
    </w:p>
    <w:p w:rsidR="006418B2" w:rsidRPr="00494728" w:rsidRDefault="006418B2" w:rsidP="008878B3">
      <w:pPr>
        <w:spacing w:after="0"/>
        <w:ind w:left="547"/>
        <w:rPr>
          <w:rFonts w:ascii="Times New Roman" w:hAnsi="Times New Roman"/>
          <w:color w:val="000000"/>
          <w:sz w:val="24"/>
          <w:szCs w:val="24"/>
        </w:rPr>
      </w:pPr>
      <w:r w:rsidRPr="009D166E">
        <w:rPr>
          <w:rFonts w:ascii="Times New Roman" w:hAnsi="Times New Roman"/>
          <w:color w:val="000000"/>
          <w:sz w:val="24"/>
          <w:szCs w:val="24"/>
        </w:rPr>
        <w:t xml:space="preserve">This </w:t>
      </w:r>
      <w:r w:rsidR="00D939D5">
        <w:rPr>
          <w:rFonts w:ascii="Times New Roman" w:hAnsi="Times New Roman"/>
          <w:color w:val="000000"/>
          <w:sz w:val="24"/>
          <w:szCs w:val="24"/>
        </w:rPr>
        <w:t>5</w:t>
      </w:r>
      <w:r w:rsidRPr="009D166E">
        <w:rPr>
          <w:rFonts w:ascii="Times New Roman" w:hAnsi="Times New Roman"/>
          <w:color w:val="000000"/>
          <w:sz w:val="24"/>
          <w:szCs w:val="24"/>
        </w:rPr>
        <w:t xml:space="preserve">-year </w:t>
      </w:r>
      <w:r w:rsidR="00473E0D">
        <w:rPr>
          <w:rFonts w:ascii="Times New Roman" w:hAnsi="Times New Roman"/>
          <w:color w:val="000000"/>
          <w:sz w:val="24"/>
          <w:szCs w:val="24"/>
        </w:rPr>
        <w:t>independent assessment of the Program</w:t>
      </w:r>
      <w:r w:rsidRPr="009D166E">
        <w:rPr>
          <w:rFonts w:ascii="Times New Roman" w:hAnsi="Times New Roman"/>
          <w:color w:val="000000"/>
          <w:sz w:val="24"/>
          <w:szCs w:val="24"/>
        </w:rPr>
        <w:t xml:space="preserve"> </w:t>
      </w:r>
      <w:r w:rsidR="00B5296E">
        <w:rPr>
          <w:rFonts w:ascii="Times New Roman" w:hAnsi="Times New Roman"/>
          <w:color w:val="000000"/>
          <w:sz w:val="24"/>
          <w:szCs w:val="24"/>
        </w:rPr>
        <w:t xml:space="preserve">encompasses several evaluation methodologies, including interviews with sponsors of NME NDAs and original BLAs under the Program. The interview effort </w:t>
      </w:r>
      <w:r w:rsidR="00B5296E">
        <w:rPr>
          <w:rFonts w:ascii="Times New Roman" w:hAnsi="Times New Roman"/>
          <w:sz w:val="24"/>
          <w:szCs w:val="24"/>
        </w:rPr>
        <w:t>involves</w:t>
      </w:r>
      <w:r w:rsidR="004D792C">
        <w:rPr>
          <w:rFonts w:ascii="Times New Roman" w:hAnsi="Times New Roman"/>
          <w:color w:val="000000"/>
          <w:sz w:val="24"/>
          <w:szCs w:val="24"/>
        </w:rPr>
        <w:t xml:space="preserve"> </w:t>
      </w:r>
      <w:r w:rsidR="00D939D5">
        <w:rPr>
          <w:rFonts w:ascii="Times New Roman" w:hAnsi="Times New Roman"/>
          <w:color w:val="000000"/>
          <w:sz w:val="24"/>
          <w:szCs w:val="24"/>
        </w:rPr>
        <w:t>development of an interview protocol and script</w:t>
      </w:r>
      <w:r w:rsidRPr="009D166E">
        <w:rPr>
          <w:rFonts w:ascii="Times New Roman" w:hAnsi="Times New Roman"/>
          <w:color w:val="000000"/>
          <w:sz w:val="24"/>
          <w:szCs w:val="24"/>
        </w:rPr>
        <w:t xml:space="preserve">, implementation of </w:t>
      </w:r>
      <w:r w:rsidR="00D939D5">
        <w:rPr>
          <w:rFonts w:ascii="Times New Roman" w:hAnsi="Times New Roman"/>
          <w:color w:val="000000"/>
          <w:sz w:val="24"/>
          <w:szCs w:val="24"/>
        </w:rPr>
        <w:t>the interviews</w:t>
      </w:r>
      <w:r w:rsidRPr="009D166E">
        <w:rPr>
          <w:rFonts w:ascii="Times New Roman" w:hAnsi="Times New Roman"/>
          <w:color w:val="000000"/>
          <w:sz w:val="24"/>
          <w:szCs w:val="24"/>
        </w:rPr>
        <w:t xml:space="preserve">, and analysis of results to develop </w:t>
      </w:r>
      <w:r w:rsidR="00D939D5">
        <w:rPr>
          <w:rFonts w:ascii="Times New Roman" w:hAnsi="Times New Roman"/>
          <w:color w:val="000000"/>
          <w:sz w:val="24"/>
          <w:szCs w:val="24"/>
        </w:rPr>
        <w:t>findings and recommendations about FDA’s Program</w:t>
      </w:r>
      <w:r w:rsidRPr="009D166E">
        <w:rPr>
          <w:rFonts w:ascii="Times New Roman" w:hAnsi="Times New Roman"/>
          <w:color w:val="000000"/>
          <w:sz w:val="24"/>
          <w:szCs w:val="24"/>
        </w:rPr>
        <w:t xml:space="preserve">. The annualized cost to the Federal </w:t>
      </w:r>
      <w:r>
        <w:rPr>
          <w:rFonts w:ascii="Times New Roman" w:hAnsi="Times New Roman"/>
          <w:color w:val="000000"/>
          <w:sz w:val="24"/>
          <w:szCs w:val="24"/>
        </w:rPr>
        <w:t>g</w:t>
      </w:r>
      <w:r w:rsidRPr="009D166E">
        <w:rPr>
          <w:rFonts w:ascii="Times New Roman" w:hAnsi="Times New Roman"/>
          <w:color w:val="000000"/>
          <w:sz w:val="24"/>
          <w:szCs w:val="24"/>
        </w:rPr>
        <w:t xml:space="preserve">overnment is estimated to be </w:t>
      </w:r>
      <w:r w:rsidR="00D32E2A">
        <w:rPr>
          <w:rFonts w:ascii="Times New Roman" w:hAnsi="Times New Roman"/>
          <w:color w:val="000000"/>
          <w:sz w:val="24"/>
          <w:szCs w:val="24"/>
        </w:rPr>
        <w:t>$50,000</w:t>
      </w:r>
      <w:r>
        <w:rPr>
          <w:rFonts w:ascii="Times New Roman" w:hAnsi="Times New Roman"/>
          <w:color w:val="000000"/>
          <w:sz w:val="24"/>
          <w:szCs w:val="24"/>
        </w:rPr>
        <w:t xml:space="preserve">, which is the total contractor cost of conducting the </w:t>
      </w:r>
      <w:r w:rsidR="00D939D5">
        <w:rPr>
          <w:rFonts w:ascii="Times New Roman" w:hAnsi="Times New Roman"/>
          <w:color w:val="000000"/>
          <w:sz w:val="24"/>
          <w:szCs w:val="24"/>
        </w:rPr>
        <w:t xml:space="preserve">interview </w:t>
      </w:r>
      <w:r w:rsidR="00473E0D">
        <w:rPr>
          <w:rFonts w:ascii="Times New Roman" w:hAnsi="Times New Roman"/>
          <w:color w:val="000000"/>
          <w:sz w:val="24"/>
          <w:szCs w:val="24"/>
        </w:rPr>
        <w:t xml:space="preserve">portion of the independent assessment </w:t>
      </w:r>
      <w:r>
        <w:rPr>
          <w:rFonts w:ascii="Times New Roman" w:hAnsi="Times New Roman"/>
          <w:color w:val="000000"/>
          <w:sz w:val="24"/>
          <w:szCs w:val="24"/>
        </w:rPr>
        <w:t>project</w:t>
      </w:r>
      <w:r w:rsidRPr="009D166E">
        <w:rPr>
          <w:rFonts w:ascii="Times New Roman" w:hAnsi="Times New Roman"/>
          <w:color w:val="000000"/>
          <w:sz w:val="24"/>
          <w:szCs w:val="24"/>
        </w:rPr>
        <w:t>.</w:t>
      </w:r>
      <w:r>
        <w:rPr>
          <w:rFonts w:ascii="Times New Roman" w:hAnsi="Times New Roman"/>
          <w:color w:val="000000"/>
          <w:sz w:val="24"/>
          <w:szCs w:val="24"/>
        </w:rPr>
        <w:t xml:space="preserve"> </w:t>
      </w:r>
      <w:r w:rsidR="00A52638">
        <w:rPr>
          <w:rFonts w:ascii="Times New Roman" w:hAnsi="Times New Roman"/>
          <w:color w:val="000000"/>
          <w:sz w:val="24"/>
          <w:szCs w:val="24"/>
        </w:rPr>
        <w:t xml:space="preserve">Of the </w:t>
      </w:r>
      <w:r w:rsidR="00A52638" w:rsidRPr="00D32E2A">
        <w:rPr>
          <w:rFonts w:ascii="Times New Roman" w:hAnsi="Times New Roman"/>
          <w:color w:val="000000"/>
          <w:sz w:val="24"/>
          <w:szCs w:val="24"/>
        </w:rPr>
        <w:t>$</w:t>
      </w:r>
      <w:r w:rsidR="00D32E2A">
        <w:rPr>
          <w:rFonts w:ascii="Times New Roman" w:hAnsi="Times New Roman"/>
          <w:color w:val="000000"/>
          <w:sz w:val="24"/>
          <w:szCs w:val="24"/>
        </w:rPr>
        <w:t>265,000</w:t>
      </w:r>
      <w:r w:rsidR="00A52638">
        <w:rPr>
          <w:rFonts w:ascii="Times New Roman" w:hAnsi="Times New Roman"/>
          <w:color w:val="000000"/>
          <w:sz w:val="24"/>
          <w:szCs w:val="24"/>
        </w:rPr>
        <w:t xml:space="preserve"> </w:t>
      </w:r>
      <w:r w:rsidR="00C8731D">
        <w:rPr>
          <w:rFonts w:ascii="Times New Roman" w:hAnsi="Times New Roman"/>
          <w:color w:val="000000"/>
          <w:sz w:val="24"/>
          <w:szCs w:val="24"/>
        </w:rPr>
        <w:t xml:space="preserve">allotted </w:t>
      </w:r>
      <w:r w:rsidR="00A52638">
        <w:rPr>
          <w:rFonts w:ascii="Times New Roman" w:hAnsi="Times New Roman"/>
          <w:color w:val="000000"/>
          <w:sz w:val="24"/>
          <w:szCs w:val="24"/>
        </w:rPr>
        <w:t xml:space="preserve">over </w:t>
      </w:r>
      <w:r w:rsidR="00D939D5">
        <w:rPr>
          <w:rFonts w:ascii="Times New Roman" w:hAnsi="Times New Roman"/>
          <w:color w:val="000000"/>
          <w:sz w:val="24"/>
          <w:szCs w:val="24"/>
        </w:rPr>
        <w:t>five</w:t>
      </w:r>
      <w:r w:rsidR="00A52638">
        <w:rPr>
          <w:rFonts w:ascii="Times New Roman" w:hAnsi="Times New Roman"/>
          <w:color w:val="000000"/>
          <w:sz w:val="24"/>
          <w:szCs w:val="24"/>
        </w:rPr>
        <w:t xml:space="preserve"> years</w:t>
      </w:r>
      <w:r w:rsidR="00C8731D">
        <w:rPr>
          <w:rFonts w:ascii="Times New Roman" w:hAnsi="Times New Roman"/>
          <w:color w:val="000000"/>
          <w:sz w:val="24"/>
          <w:szCs w:val="24"/>
        </w:rPr>
        <w:t xml:space="preserve"> to this interview process</w:t>
      </w:r>
      <w:r w:rsidR="00A52638">
        <w:rPr>
          <w:rFonts w:ascii="Times New Roman" w:hAnsi="Times New Roman"/>
          <w:color w:val="000000"/>
          <w:sz w:val="24"/>
          <w:szCs w:val="24"/>
        </w:rPr>
        <w:t xml:space="preserve">, approximately </w:t>
      </w:r>
      <w:r w:rsidR="00A52638" w:rsidRPr="00D32E2A">
        <w:rPr>
          <w:rFonts w:ascii="Times New Roman" w:hAnsi="Times New Roman"/>
          <w:color w:val="000000"/>
          <w:sz w:val="24"/>
          <w:szCs w:val="24"/>
        </w:rPr>
        <w:t>$</w:t>
      </w:r>
      <w:r w:rsidR="00D32E2A">
        <w:rPr>
          <w:rFonts w:ascii="Times New Roman" w:hAnsi="Times New Roman"/>
          <w:color w:val="000000"/>
          <w:sz w:val="24"/>
          <w:szCs w:val="24"/>
        </w:rPr>
        <w:t>15,000</w:t>
      </w:r>
      <w:r w:rsidR="00A52638">
        <w:rPr>
          <w:rFonts w:ascii="Times New Roman" w:hAnsi="Times New Roman"/>
          <w:color w:val="000000"/>
          <w:sz w:val="24"/>
          <w:szCs w:val="24"/>
        </w:rPr>
        <w:t xml:space="preserve"> was budgeted for </w:t>
      </w:r>
      <w:r w:rsidR="00D939D5">
        <w:rPr>
          <w:rFonts w:ascii="Times New Roman" w:hAnsi="Times New Roman"/>
          <w:color w:val="000000"/>
          <w:sz w:val="24"/>
          <w:szCs w:val="24"/>
        </w:rPr>
        <w:t>interview</w:t>
      </w:r>
      <w:r w:rsidR="00A52638">
        <w:rPr>
          <w:rFonts w:ascii="Times New Roman" w:hAnsi="Times New Roman"/>
          <w:color w:val="000000"/>
          <w:sz w:val="24"/>
          <w:szCs w:val="24"/>
        </w:rPr>
        <w:t xml:space="preserve"> development costs (e.g., instrument development, implementation design, etc.) and </w:t>
      </w:r>
      <w:r w:rsidR="00D32E2A">
        <w:rPr>
          <w:rFonts w:ascii="Times New Roman" w:hAnsi="Times New Roman"/>
          <w:color w:val="000000"/>
          <w:sz w:val="24"/>
          <w:szCs w:val="24"/>
        </w:rPr>
        <w:t>$250,000</w:t>
      </w:r>
      <w:r w:rsidR="00A52638">
        <w:rPr>
          <w:rFonts w:ascii="Times New Roman" w:hAnsi="Times New Roman"/>
          <w:color w:val="000000"/>
          <w:sz w:val="24"/>
          <w:szCs w:val="24"/>
        </w:rPr>
        <w:t xml:space="preserve"> was budgeted for </w:t>
      </w:r>
      <w:r w:rsidR="00D939D5">
        <w:rPr>
          <w:rFonts w:ascii="Times New Roman" w:hAnsi="Times New Roman"/>
          <w:color w:val="000000"/>
          <w:sz w:val="24"/>
          <w:szCs w:val="24"/>
        </w:rPr>
        <w:t>interview</w:t>
      </w:r>
      <w:r w:rsidR="00A52638">
        <w:rPr>
          <w:rFonts w:ascii="Times New Roman" w:hAnsi="Times New Roman"/>
          <w:color w:val="000000"/>
          <w:sz w:val="24"/>
          <w:szCs w:val="24"/>
        </w:rPr>
        <w:t xml:space="preserve"> implementation</w:t>
      </w:r>
      <w:r w:rsidR="00CC0044">
        <w:rPr>
          <w:rFonts w:ascii="Times New Roman" w:hAnsi="Times New Roman"/>
          <w:color w:val="000000"/>
          <w:sz w:val="24"/>
          <w:szCs w:val="24"/>
        </w:rPr>
        <w:t xml:space="preserve"> and analysis</w:t>
      </w:r>
      <w:r w:rsidR="00A52638">
        <w:rPr>
          <w:rFonts w:ascii="Times New Roman" w:hAnsi="Times New Roman"/>
          <w:color w:val="000000"/>
          <w:sz w:val="24"/>
          <w:szCs w:val="24"/>
        </w:rPr>
        <w:t xml:space="preserve">. </w:t>
      </w:r>
      <w:r>
        <w:rPr>
          <w:rFonts w:ascii="Times New Roman" w:hAnsi="Times New Roman"/>
          <w:color w:val="000000"/>
          <w:sz w:val="24"/>
          <w:szCs w:val="24"/>
        </w:rPr>
        <w:t>There are no other costs to the Federal government for implementation.</w:t>
      </w:r>
    </w:p>
    <w:p w:rsidR="006418B2" w:rsidRPr="008878B3" w:rsidRDefault="009777E6" w:rsidP="002300AB">
      <w:pPr>
        <w:pStyle w:val="OMBPackageHeading2"/>
        <w:rPr>
          <w:rFonts w:ascii="Times New Roman" w:hAnsi="Times New Roman"/>
          <w:b w:val="0"/>
          <w:color w:val="auto"/>
          <w:sz w:val="24"/>
          <w:u w:val="single"/>
        </w:rPr>
      </w:pPr>
      <w:bookmarkStart w:id="17" w:name="_Toc322005794"/>
      <w:r w:rsidRPr="00763D8E">
        <w:rPr>
          <w:rFonts w:ascii="Times New Roman" w:hAnsi="Times New Roman"/>
          <w:b w:val="0"/>
          <w:color w:val="auto"/>
          <w:sz w:val="24"/>
          <w:u w:val="single"/>
        </w:rPr>
        <w:lastRenderedPageBreak/>
        <w:t xml:space="preserve">Explanation for Program </w:t>
      </w:r>
      <w:r w:rsidR="006418B2" w:rsidRPr="00763D8E">
        <w:rPr>
          <w:rFonts w:ascii="Times New Roman" w:hAnsi="Times New Roman"/>
          <w:b w:val="0"/>
          <w:color w:val="auto"/>
          <w:sz w:val="24"/>
          <w:u w:val="single"/>
        </w:rPr>
        <w:t xml:space="preserve">Changes </w:t>
      </w:r>
      <w:r w:rsidRPr="00763D8E">
        <w:rPr>
          <w:rFonts w:ascii="Times New Roman" w:hAnsi="Times New Roman"/>
          <w:b w:val="0"/>
          <w:color w:val="auto"/>
          <w:sz w:val="24"/>
          <w:u w:val="single"/>
        </w:rPr>
        <w:t>or Adjustments</w:t>
      </w:r>
      <w:bookmarkEnd w:id="17"/>
    </w:p>
    <w:p w:rsidR="006418B2" w:rsidRPr="009D166E" w:rsidRDefault="001E6D72" w:rsidP="008878B3">
      <w:pPr>
        <w:spacing w:after="0" w:line="240" w:lineRule="auto"/>
        <w:ind w:firstLine="547"/>
        <w:rPr>
          <w:rFonts w:ascii="Times New Roman" w:hAnsi="Times New Roman"/>
          <w:color w:val="000000"/>
          <w:sz w:val="24"/>
          <w:szCs w:val="24"/>
        </w:rPr>
      </w:pPr>
      <w:r>
        <w:rPr>
          <w:rFonts w:ascii="Times New Roman" w:hAnsi="Times New Roman"/>
          <w:color w:val="000000"/>
          <w:sz w:val="24"/>
          <w:szCs w:val="24"/>
        </w:rPr>
        <w:t>This is a new data collection.</w:t>
      </w:r>
    </w:p>
    <w:p w:rsidR="006418B2" w:rsidRPr="008878B3" w:rsidRDefault="006418B2" w:rsidP="002300AB">
      <w:pPr>
        <w:pStyle w:val="OMBPackageHeading2"/>
        <w:rPr>
          <w:rFonts w:ascii="Times New Roman" w:hAnsi="Times New Roman"/>
          <w:b w:val="0"/>
          <w:color w:val="auto"/>
          <w:sz w:val="24"/>
          <w:u w:val="single"/>
        </w:rPr>
      </w:pPr>
      <w:bookmarkStart w:id="18" w:name="_Toc322005795"/>
      <w:r w:rsidRPr="00763D8E">
        <w:rPr>
          <w:rFonts w:ascii="Times New Roman" w:hAnsi="Times New Roman"/>
          <w:b w:val="0"/>
          <w:color w:val="auto"/>
          <w:sz w:val="24"/>
          <w:u w:val="single"/>
        </w:rPr>
        <w:t xml:space="preserve">Plans </w:t>
      </w:r>
      <w:r w:rsidR="009777E6" w:rsidRPr="00763D8E">
        <w:rPr>
          <w:rFonts w:ascii="Times New Roman" w:hAnsi="Times New Roman"/>
          <w:b w:val="0"/>
          <w:color w:val="auto"/>
          <w:sz w:val="24"/>
          <w:u w:val="single"/>
        </w:rPr>
        <w:t xml:space="preserve">for Tabulation </w:t>
      </w:r>
      <w:r w:rsidRPr="00763D8E">
        <w:rPr>
          <w:rFonts w:ascii="Times New Roman" w:hAnsi="Times New Roman"/>
          <w:b w:val="0"/>
          <w:color w:val="auto"/>
          <w:sz w:val="24"/>
          <w:u w:val="single"/>
        </w:rPr>
        <w:t xml:space="preserve">and </w:t>
      </w:r>
      <w:r w:rsidR="009777E6" w:rsidRPr="00763D8E">
        <w:rPr>
          <w:rFonts w:ascii="Times New Roman" w:hAnsi="Times New Roman"/>
          <w:b w:val="0"/>
          <w:color w:val="auto"/>
          <w:sz w:val="24"/>
          <w:u w:val="single"/>
        </w:rPr>
        <w:t xml:space="preserve">Publication and </w:t>
      </w:r>
      <w:r w:rsidRPr="00763D8E">
        <w:rPr>
          <w:rFonts w:ascii="Times New Roman" w:hAnsi="Times New Roman"/>
          <w:b w:val="0"/>
          <w:color w:val="auto"/>
          <w:sz w:val="24"/>
          <w:u w:val="single"/>
        </w:rPr>
        <w:t>Project</w:t>
      </w:r>
      <w:r w:rsidR="009777E6" w:rsidRPr="00763D8E">
        <w:rPr>
          <w:rFonts w:ascii="Times New Roman" w:hAnsi="Times New Roman"/>
          <w:b w:val="0"/>
          <w:color w:val="auto"/>
          <w:sz w:val="24"/>
          <w:u w:val="single"/>
        </w:rPr>
        <w:t xml:space="preserve"> Time</w:t>
      </w:r>
      <w:r w:rsidRPr="00763D8E">
        <w:rPr>
          <w:rFonts w:ascii="Times New Roman" w:hAnsi="Times New Roman"/>
          <w:b w:val="0"/>
          <w:color w:val="auto"/>
          <w:sz w:val="24"/>
          <w:u w:val="single"/>
        </w:rPr>
        <w:t xml:space="preserve"> Schedule</w:t>
      </w:r>
      <w:bookmarkEnd w:id="18"/>
    </w:p>
    <w:p w:rsidR="00564679" w:rsidRDefault="002115FF" w:rsidP="008878B3">
      <w:pPr>
        <w:spacing w:after="0"/>
        <w:ind w:left="547"/>
        <w:rPr>
          <w:rFonts w:ascii="Times New Roman" w:hAnsi="Times New Roman"/>
          <w:color w:val="000000"/>
          <w:sz w:val="24"/>
          <w:szCs w:val="24"/>
        </w:rPr>
      </w:pPr>
      <w:r>
        <w:rPr>
          <w:rFonts w:ascii="Times New Roman" w:hAnsi="Times New Roman"/>
          <w:color w:val="000000"/>
          <w:sz w:val="24"/>
          <w:szCs w:val="24"/>
        </w:rPr>
        <w:t xml:space="preserve">The contractor conducting the </w:t>
      </w:r>
      <w:r w:rsidR="00D939D5">
        <w:rPr>
          <w:rFonts w:ascii="Times New Roman" w:hAnsi="Times New Roman"/>
          <w:color w:val="000000"/>
          <w:sz w:val="24"/>
          <w:szCs w:val="24"/>
        </w:rPr>
        <w:t>independent assessment</w:t>
      </w:r>
      <w:r>
        <w:rPr>
          <w:rFonts w:ascii="Times New Roman" w:hAnsi="Times New Roman"/>
          <w:color w:val="000000"/>
          <w:sz w:val="24"/>
          <w:szCs w:val="24"/>
        </w:rPr>
        <w:t xml:space="preserve"> will present results</w:t>
      </w:r>
      <w:r w:rsidR="00D939D5">
        <w:rPr>
          <w:rFonts w:ascii="Times New Roman" w:hAnsi="Times New Roman"/>
          <w:color w:val="000000"/>
          <w:sz w:val="24"/>
          <w:szCs w:val="24"/>
        </w:rPr>
        <w:t>, including interview</w:t>
      </w:r>
      <w:r>
        <w:rPr>
          <w:rFonts w:ascii="Times New Roman" w:hAnsi="Times New Roman"/>
          <w:color w:val="000000"/>
          <w:sz w:val="24"/>
          <w:szCs w:val="24"/>
        </w:rPr>
        <w:t xml:space="preserve"> result</w:t>
      </w:r>
      <w:r w:rsidR="00D939D5">
        <w:rPr>
          <w:rFonts w:ascii="Times New Roman" w:hAnsi="Times New Roman"/>
          <w:color w:val="000000"/>
          <w:sz w:val="24"/>
          <w:szCs w:val="24"/>
        </w:rPr>
        <w:t>s,</w:t>
      </w:r>
      <w:r w:rsidR="006418B2">
        <w:rPr>
          <w:rFonts w:ascii="Times New Roman" w:hAnsi="Times New Roman"/>
          <w:color w:val="000000"/>
          <w:sz w:val="24"/>
          <w:szCs w:val="24"/>
        </w:rPr>
        <w:t xml:space="preserve"> in </w:t>
      </w:r>
      <w:r w:rsidR="00D939D5">
        <w:rPr>
          <w:rFonts w:ascii="Times New Roman" w:hAnsi="Times New Roman"/>
          <w:color w:val="000000"/>
          <w:sz w:val="24"/>
          <w:szCs w:val="24"/>
        </w:rPr>
        <w:t>two</w:t>
      </w:r>
      <w:r w:rsidR="006418B2">
        <w:rPr>
          <w:rFonts w:ascii="Times New Roman" w:hAnsi="Times New Roman"/>
          <w:color w:val="000000"/>
          <w:sz w:val="24"/>
          <w:szCs w:val="24"/>
        </w:rPr>
        <w:t xml:space="preserve"> report</w:t>
      </w:r>
      <w:r w:rsidR="00564679">
        <w:rPr>
          <w:rFonts w:ascii="Times New Roman" w:hAnsi="Times New Roman"/>
          <w:color w:val="000000"/>
          <w:sz w:val="24"/>
          <w:szCs w:val="24"/>
        </w:rPr>
        <w:t>s:</w:t>
      </w:r>
    </w:p>
    <w:p w:rsidR="00564679" w:rsidRDefault="00564679" w:rsidP="00494728">
      <w:pPr>
        <w:spacing w:after="0"/>
        <w:rPr>
          <w:rFonts w:ascii="Times New Roman" w:hAnsi="Times New Roman"/>
          <w:color w:val="000000"/>
          <w:sz w:val="24"/>
          <w:szCs w:val="24"/>
        </w:rPr>
      </w:pPr>
    </w:p>
    <w:p w:rsidR="00564679" w:rsidRPr="00564679" w:rsidRDefault="00564679" w:rsidP="00816B2F">
      <w:pPr>
        <w:pStyle w:val="ListParagraph"/>
        <w:numPr>
          <w:ilvl w:val="0"/>
          <w:numId w:val="41"/>
        </w:numPr>
        <w:spacing w:after="0"/>
        <w:ind w:left="900"/>
        <w:rPr>
          <w:rFonts w:ascii="Times New Roman" w:hAnsi="Times New Roman"/>
          <w:color w:val="000000"/>
          <w:sz w:val="24"/>
          <w:szCs w:val="24"/>
        </w:rPr>
      </w:pPr>
      <w:r w:rsidRPr="00564679">
        <w:rPr>
          <w:rFonts w:ascii="Times New Roman" w:hAnsi="Times New Roman"/>
          <w:color w:val="000000"/>
          <w:sz w:val="24"/>
          <w:szCs w:val="24"/>
        </w:rPr>
        <w:t>Assessment of the Program for Enhanced Review Transparency and Communication for NME NDAs and Original BLAs in PDUFA V: Interim Report</w:t>
      </w:r>
    </w:p>
    <w:p w:rsidR="00564679" w:rsidRDefault="00564679" w:rsidP="00816B2F">
      <w:pPr>
        <w:spacing w:after="0"/>
        <w:ind w:left="900"/>
        <w:rPr>
          <w:rFonts w:ascii="Times New Roman" w:hAnsi="Times New Roman"/>
          <w:color w:val="000000"/>
          <w:sz w:val="24"/>
          <w:szCs w:val="24"/>
        </w:rPr>
      </w:pPr>
    </w:p>
    <w:p w:rsidR="00564679" w:rsidRPr="00564679" w:rsidRDefault="00564679" w:rsidP="00816B2F">
      <w:pPr>
        <w:pStyle w:val="ListParagraph"/>
        <w:numPr>
          <w:ilvl w:val="0"/>
          <w:numId w:val="41"/>
        </w:numPr>
        <w:spacing w:after="0"/>
        <w:ind w:left="900"/>
        <w:rPr>
          <w:rFonts w:ascii="Times New Roman" w:hAnsi="Times New Roman"/>
          <w:color w:val="000000"/>
          <w:sz w:val="24"/>
          <w:szCs w:val="24"/>
        </w:rPr>
      </w:pPr>
      <w:r w:rsidRPr="00564679">
        <w:rPr>
          <w:rFonts w:ascii="Times New Roman" w:hAnsi="Times New Roman"/>
          <w:color w:val="000000"/>
          <w:sz w:val="24"/>
          <w:szCs w:val="24"/>
        </w:rPr>
        <w:t xml:space="preserve">Assessment of the Program for Enhanced Review Transparency and Communication for NME NDAs and Original BLAs in PDUFA V: </w:t>
      </w:r>
      <w:r>
        <w:rPr>
          <w:rFonts w:ascii="Times New Roman" w:hAnsi="Times New Roman"/>
          <w:color w:val="000000"/>
          <w:sz w:val="24"/>
          <w:szCs w:val="24"/>
        </w:rPr>
        <w:t>Final</w:t>
      </w:r>
      <w:r w:rsidRPr="00564679">
        <w:rPr>
          <w:rFonts w:ascii="Times New Roman" w:hAnsi="Times New Roman"/>
          <w:color w:val="000000"/>
          <w:sz w:val="24"/>
          <w:szCs w:val="24"/>
        </w:rPr>
        <w:t xml:space="preserve"> Report</w:t>
      </w:r>
    </w:p>
    <w:p w:rsidR="00564679" w:rsidRDefault="00564679" w:rsidP="00494728">
      <w:pPr>
        <w:spacing w:after="0"/>
        <w:rPr>
          <w:rFonts w:ascii="Times New Roman" w:hAnsi="Times New Roman"/>
          <w:color w:val="000000"/>
          <w:sz w:val="24"/>
          <w:szCs w:val="24"/>
        </w:rPr>
      </w:pPr>
    </w:p>
    <w:p w:rsidR="006418B2" w:rsidRDefault="00D939D5" w:rsidP="008878B3">
      <w:pPr>
        <w:spacing w:after="0"/>
        <w:ind w:left="540"/>
        <w:rPr>
          <w:rFonts w:ascii="Times New Roman" w:hAnsi="Times New Roman"/>
          <w:color w:val="000000"/>
          <w:sz w:val="24"/>
          <w:szCs w:val="24"/>
        </w:rPr>
      </w:pPr>
      <w:r>
        <w:rPr>
          <w:rFonts w:ascii="Times New Roman" w:hAnsi="Times New Roman"/>
          <w:color w:val="000000"/>
          <w:sz w:val="24"/>
          <w:szCs w:val="24"/>
        </w:rPr>
        <w:t>FDA will publish these reports, or links to the reports, in the Federal Register</w:t>
      </w:r>
      <w:r w:rsidR="006418B2" w:rsidRPr="009D166E">
        <w:rPr>
          <w:rFonts w:ascii="Times New Roman" w:hAnsi="Times New Roman"/>
          <w:color w:val="000000"/>
          <w:sz w:val="24"/>
          <w:szCs w:val="24"/>
        </w:rPr>
        <w:t>.</w:t>
      </w:r>
    </w:p>
    <w:p w:rsidR="006418B2" w:rsidRDefault="006418B2" w:rsidP="00494728">
      <w:pPr>
        <w:spacing w:after="0"/>
        <w:rPr>
          <w:rFonts w:ascii="Times New Roman" w:hAnsi="Times New Roman"/>
          <w:color w:val="000000"/>
          <w:sz w:val="24"/>
          <w:szCs w:val="24"/>
        </w:rPr>
      </w:pPr>
    </w:p>
    <w:p w:rsidR="006418B2" w:rsidRDefault="006418B2" w:rsidP="00D8608A">
      <w:pPr>
        <w:pStyle w:val="Caption"/>
        <w:rPr>
          <w:rFonts w:ascii="Times New Roman" w:hAnsi="Times New Roman"/>
          <w:color w:val="000000"/>
          <w:sz w:val="24"/>
          <w:szCs w:val="24"/>
        </w:rPr>
      </w:pPr>
      <w:bookmarkStart w:id="19" w:name="_Toc320893938"/>
      <w:r w:rsidRPr="00D325EB">
        <w:t xml:space="preserve">Table </w:t>
      </w:r>
      <w:r w:rsidR="00D939D5" w:rsidRPr="00D325EB">
        <w:t>3</w:t>
      </w:r>
      <w:r w:rsidRPr="00D325EB">
        <w:t xml:space="preserve">. Schedule for </w:t>
      </w:r>
      <w:r w:rsidR="009D4DDB" w:rsidRPr="00D325EB">
        <w:t>p</w:t>
      </w:r>
      <w:r w:rsidRPr="00D325EB">
        <w:t>roject tasks.</w:t>
      </w:r>
      <w:bookmarkEnd w:id="19"/>
    </w:p>
    <w:tbl>
      <w:tblPr>
        <w:tblW w:w="0" w:type="auto"/>
        <w:tblBorders>
          <w:top w:val="single" w:sz="12" w:space="0" w:color="365F91"/>
          <w:bottom w:val="single" w:sz="12" w:space="0" w:color="365F91"/>
          <w:insideH w:val="single" w:sz="4" w:space="0" w:color="auto"/>
        </w:tblBorders>
        <w:tblLook w:val="00A0" w:firstRow="1" w:lastRow="0" w:firstColumn="1" w:lastColumn="0" w:noHBand="0" w:noVBand="0"/>
      </w:tblPr>
      <w:tblGrid>
        <w:gridCol w:w="4788"/>
        <w:gridCol w:w="4788"/>
      </w:tblGrid>
      <w:tr w:rsidR="006418B2" w:rsidRPr="00E47831" w:rsidTr="00ED0E75">
        <w:tc>
          <w:tcPr>
            <w:tcW w:w="4788" w:type="dxa"/>
            <w:tcBorders>
              <w:top w:val="single" w:sz="12" w:space="0" w:color="365F91"/>
            </w:tcBorders>
            <w:vAlign w:val="center"/>
          </w:tcPr>
          <w:p w:rsidR="006418B2" w:rsidRPr="00ED0E75" w:rsidRDefault="006418B2" w:rsidP="00D8608A">
            <w:pPr>
              <w:spacing w:after="0"/>
              <w:rPr>
                <w:b/>
                <w:color w:val="000000"/>
                <w:szCs w:val="24"/>
              </w:rPr>
            </w:pPr>
            <w:r w:rsidRPr="00ED0E75">
              <w:rPr>
                <w:b/>
                <w:color w:val="000000"/>
                <w:szCs w:val="24"/>
              </w:rPr>
              <w:t>Tasks</w:t>
            </w:r>
          </w:p>
        </w:tc>
        <w:tc>
          <w:tcPr>
            <w:tcW w:w="4788" w:type="dxa"/>
            <w:tcBorders>
              <w:top w:val="single" w:sz="12" w:space="0" w:color="365F91"/>
            </w:tcBorders>
            <w:vAlign w:val="center"/>
          </w:tcPr>
          <w:p w:rsidR="006418B2" w:rsidRPr="00ED0E75" w:rsidRDefault="006418B2" w:rsidP="00D8608A">
            <w:pPr>
              <w:spacing w:after="0"/>
              <w:rPr>
                <w:b/>
                <w:color w:val="000000"/>
                <w:szCs w:val="24"/>
              </w:rPr>
            </w:pPr>
            <w:r w:rsidRPr="00ED0E75">
              <w:rPr>
                <w:b/>
                <w:color w:val="000000"/>
                <w:szCs w:val="24"/>
              </w:rPr>
              <w:t>Schedule</w:t>
            </w:r>
          </w:p>
        </w:tc>
      </w:tr>
      <w:tr w:rsidR="006418B2" w:rsidRPr="00D8608A" w:rsidTr="00ED0E75">
        <w:tc>
          <w:tcPr>
            <w:tcW w:w="4788" w:type="dxa"/>
            <w:vAlign w:val="center"/>
          </w:tcPr>
          <w:p w:rsidR="006418B2" w:rsidRPr="00ED0E75" w:rsidRDefault="00DE436F" w:rsidP="00D8608A">
            <w:pPr>
              <w:spacing w:after="0"/>
              <w:rPr>
                <w:color w:val="000000"/>
                <w:sz w:val="20"/>
                <w:szCs w:val="24"/>
              </w:rPr>
            </w:pPr>
            <w:r>
              <w:rPr>
                <w:color w:val="000000"/>
                <w:sz w:val="20"/>
                <w:szCs w:val="24"/>
              </w:rPr>
              <w:t>Draft post-action interview protocol and script</w:t>
            </w:r>
          </w:p>
        </w:tc>
        <w:tc>
          <w:tcPr>
            <w:tcW w:w="4788" w:type="dxa"/>
            <w:vAlign w:val="center"/>
          </w:tcPr>
          <w:p w:rsidR="006418B2" w:rsidRPr="00ED0E75" w:rsidRDefault="00DE436F">
            <w:pPr>
              <w:spacing w:after="0"/>
              <w:rPr>
                <w:color w:val="000000"/>
                <w:sz w:val="20"/>
                <w:szCs w:val="24"/>
              </w:rPr>
            </w:pPr>
            <w:r>
              <w:rPr>
                <w:color w:val="000000"/>
                <w:sz w:val="20"/>
                <w:szCs w:val="24"/>
              </w:rPr>
              <w:t>January 25, 2013</w:t>
            </w:r>
          </w:p>
        </w:tc>
      </w:tr>
      <w:tr w:rsidR="006418B2" w:rsidRPr="00D8608A" w:rsidTr="00ED0E75">
        <w:tc>
          <w:tcPr>
            <w:tcW w:w="4788" w:type="dxa"/>
            <w:vAlign w:val="center"/>
          </w:tcPr>
          <w:p w:rsidR="006418B2" w:rsidRPr="00ED0E75" w:rsidRDefault="00DE436F" w:rsidP="00D8608A">
            <w:pPr>
              <w:spacing w:after="0"/>
              <w:rPr>
                <w:color w:val="000000"/>
                <w:sz w:val="20"/>
                <w:szCs w:val="24"/>
              </w:rPr>
            </w:pPr>
            <w:r>
              <w:rPr>
                <w:color w:val="000000"/>
                <w:sz w:val="20"/>
                <w:szCs w:val="24"/>
              </w:rPr>
              <w:t>Finalize post-action interview protocol and script</w:t>
            </w:r>
          </w:p>
        </w:tc>
        <w:tc>
          <w:tcPr>
            <w:tcW w:w="4788" w:type="dxa"/>
            <w:vAlign w:val="center"/>
          </w:tcPr>
          <w:p w:rsidR="006418B2" w:rsidRPr="00ED0E75" w:rsidRDefault="008F6424" w:rsidP="00D8608A">
            <w:pPr>
              <w:spacing w:after="0"/>
              <w:rPr>
                <w:color w:val="000000"/>
                <w:sz w:val="20"/>
                <w:szCs w:val="24"/>
              </w:rPr>
            </w:pPr>
            <w:r>
              <w:rPr>
                <w:color w:val="000000"/>
                <w:sz w:val="20"/>
                <w:szCs w:val="24"/>
              </w:rPr>
              <w:t>May 8, 2013</w:t>
            </w:r>
          </w:p>
        </w:tc>
      </w:tr>
      <w:tr w:rsidR="006418B2" w:rsidRPr="00D8608A" w:rsidTr="00ED0E75">
        <w:tc>
          <w:tcPr>
            <w:tcW w:w="4788" w:type="dxa"/>
            <w:vAlign w:val="center"/>
          </w:tcPr>
          <w:p w:rsidR="006418B2" w:rsidRPr="00ED0E75" w:rsidRDefault="00DE436F" w:rsidP="00D8608A">
            <w:pPr>
              <w:spacing w:after="0"/>
              <w:rPr>
                <w:color w:val="000000"/>
                <w:sz w:val="20"/>
                <w:szCs w:val="24"/>
              </w:rPr>
            </w:pPr>
            <w:r>
              <w:rPr>
                <w:color w:val="000000"/>
                <w:sz w:val="20"/>
                <w:szCs w:val="24"/>
              </w:rPr>
              <w:t>Conduct post-action interviews</w:t>
            </w:r>
          </w:p>
        </w:tc>
        <w:tc>
          <w:tcPr>
            <w:tcW w:w="4788" w:type="dxa"/>
            <w:vAlign w:val="center"/>
          </w:tcPr>
          <w:p w:rsidR="006418B2" w:rsidRPr="00ED0E75" w:rsidRDefault="00DE436F" w:rsidP="00D8608A">
            <w:pPr>
              <w:spacing w:after="0"/>
              <w:rPr>
                <w:color w:val="000000"/>
                <w:sz w:val="20"/>
                <w:szCs w:val="24"/>
              </w:rPr>
            </w:pPr>
            <w:r>
              <w:rPr>
                <w:color w:val="000000"/>
                <w:sz w:val="20"/>
                <w:szCs w:val="24"/>
              </w:rPr>
              <w:t>Approximately 2 weeks after applications receive a first review cycle action from FDA (throughout PDUFA V)</w:t>
            </w:r>
          </w:p>
        </w:tc>
      </w:tr>
      <w:tr w:rsidR="006418B2" w:rsidRPr="00D8608A" w:rsidTr="00ED0E75">
        <w:tc>
          <w:tcPr>
            <w:tcW w:w="4788" w:type="dxa"/>
            <w:vAlign w:val="center"/>
          </w:tcPr>
          <w:p w:rsidR="006418B2" w:rsidRPr="00ED0E75" w:rsidRDefault="00DE436F" w:rsidP="00D8608A">
            <w:pPr>
              <w:spacing w:after="0"/>
              <w:rPr>
                <w:color w:val="000000"/>
                <w:sz w:val="20"/>
                <w:szCs w:val="24"/>
              </w:rPr>
            </w:pPr>
            <w:r>
              <w:rPr>
                <w:color w:val="000000"/>
                <w:sz w:val="20"/>
                <w:szCs w:val="24"/>
              </w:rPr>
              <w:t>Analyze interview information</w:t>
            </w:r>
          </w:p>
        </w:tc>
        <w:tc>
          <w:tcPr>
            <w:tcW w:w="4788" w:type="dxa"/>
            <w:vAlign w:val="center"/>
          </w:tcPr>
          <w:p w:rsidR="006418B2" w:rsidRPr="00ED0E75" w:rsidRDefault="00DE436F" w:rsidP="00D8608A">
            <w:pPr>
              <w:spacing w:after="0"/>
              <w:rPr>
                <w:color w:val="000000"/>
                <w:sz w:val="20"/>
                <w:szCs w:val="24"/>
              </w:rPr>
            </w:pPr>
            <w:r>
              <w:rPr>
                <w:color w:val="000000"/>
                <w:sz w:val="20"/>
                <w:szCs w:val="24"/>
              </w:rPr>
              <w:t>Quarterly throughout PDUFA V</w:t>
            </w:r>
          </w:p>
        </w:tc>
      </w:tr>
      <w:tr w:rsidR="009E7F4E" w:rsidRPr="00D8608A" w:rsidTr="00ED0E75">
        <w:tc>
          <w:tcPr>
            <w:tcW w:w="4788" w:type="dxa"/>
            <w:vAlign w:val="center"/>
          </w:tcPr>
          <w:p w:rsidR="009E7F4E" w:rsidRDefault="009E7F4E" w:rsidP="009E7F4E">
            <w:pPr>
              <w:spacing w:after="0"/>
              <w:rPr>
                <w:color w:val="000000"/>
                <w:sz w:val="20"/>
                <w:szCs w:val="24"/>
              </w:rPr>
            </w:pPr>
            <w:r>
              <w:rPr>
                <w:color w:val="000000"/>
                <w:sz w:val="20"/>
                <w:szCs w:val="24"/>
              </w:rPr>
              <w:t>Prepare interim assessment report</w:t>
            </w:r>
          </w:p>
        </w:tc>
        <w:tc>
          <w:tcPr>
            <w:tcW w:w="4788" w:type="dxa"/>
            <w:vAlign w:val="center"/>
          </w:tcPr>
          <w:p w:rsidR="009E7F4E" w:rsidRPr="00D325EB" w:rsidRDefault="009E7F4E">
            <w:pPr>
              <w:spacing w:after="0"/>
              <w:rPr>
                <w:color w:val="000000"/>
                <w:sz w:val="20"/>
                <w:szCs w:val="24"/>
                <w:highlight w:val="yellow"/>
              </w:rPr>
            </w:pPr>
            <w:r>
              <w:rPr>
                <w:color w:val="000000"/>
                <w:sz w:val="20"/>
                <w:szCs w:val="24"/>
              </w:rPr>
              <w:t>February 15, 2015</w:t>
            </w:r>
          </w:p>
        </w:tc>
      </w:tr>
      <w:tr w:rsidR="006418B2" w:rsidRPr="00D8608A" w:rsidTr="00ED0E75">
        <w:tc>
          <w:tcPr>
            <w:tcW w:w="4788" w:type="dxa"/>
            <w:tcBorders>
              <w:bottom w:val="single" w:sz="12" w:space="0" w:color="365F91"/>
            </w:tcBorders>
            <w:vAlign w:val="center"/>
          </w:tcPr>
          <w:p w:rsidR="006418B2" w:rsidRPr="00ED0E75" w:rsidRDefault="00DE436F" w:rsidP="00D8608A">
            <w:pPr>
              <w:spacing w:after="0"/>
              <w:rPr>
                <w:color w:val="000000"/>
                <w:sz w:val="20"/>
                <w:szCs w:val="24"/>
              </w:rPr>
            </w:pPr>
            <w:r>
              <w:rPr>
                <w:color w:val="000000"/>
                <w:sz w:val="20"/>
                <w:szCs w:val="24"/>
              </w:rPr>
              <w:t>Prepare final assessment report</w:t>
            </w:r>
          </w:p>
        </w:tc>
        <w:tc>
          <w:tcPr>
            <w:tcW w:w="4788" w:type="dxa"/>
            <w:tcBorders>
              <w:bottom w:val="single" w:sz="12" w:space="0" w:color="365F91"/>
            </w:tcBorders>
            <w:vAlign w:val="center"/>
          </w:tcPr>
          <w:p w:rsidR="006418B2" w:rsidRPr="00ED0E75" w:rsidRDefault="009E7F4E" w:rsidP="00D8608A">
            <w:pPr>
              <w:spacing w:after="0"/>
              <w:rPr>
                <w:color w:val="000000"/>
                <w:sz w:val="20"/>
                <w:szCs w:val="24"/>
              </w:rPr>
            </w:pPr>
            <w:r>
              <w:rPr>
                <w:color w:val="000000"/>
                <w:sz w:val="20"/>
                <w:szCs w:val="24"/>
              </w:rPr>
              <w:t>November 15, 2016</w:t>
            </w:r>
          </w:p>
        </w:tc>
      </w:tr>
    </w:tbl>
    <w:p w:rsidR="006418B2" w:rsidRPr="00494728" w:rsidRDefault="006418B2" w:rsidP="00494728">
      <w:pPr>
        <w:spacing w:after="0"/>
        <w:rPr>
          <w:rFonts w:ascii="Times New Roman" w:hAnsi="Times New Roman"/>
          <w:color w:val="000000"/>
          <w:sz w:val="24"/>
          <w:szCs w:val="24"/>
        </w:rPr>
      </w:pPr>
    </w:p>
    <w:p w:rsidR="006418B2" w:rsidRPr="008878B3" w:rsidRDefault="006418B2" w:rsidP="002300AB">
      <w:pPr>
        <w:pStyle w:val="OMBPackageHeading2"/>
        <w:rPr>
          <w:rFonts w:ascii="Times New Roman" w:hAnsi="Times New Roman"/>
          <w:b w:val="0"/>
          <w:color w:val="auto"/>
          <w:sz w:val="24"/>
          <w:u w:val="single"/>
        </w:rPr>
      </w:pPr>
      <w:bookmarkStart w:id="20" w:name="_Toc322005796"/>
      <w:r w:rsidRPr="00763D8E">
        <w:rPr>
          <w:rFonts w:ascii="Times New Roman" w:hAnsi="Times New Roman"/>
          <w:b w:val="0"/>
          <w:color w:val="auto"/>
          <w:sz w:val="24"/>
          <w:u w:val="single"/>
        </w:rPr>
        <w:t>Reason</w:t>
      </w:r>
      <w:r w:rsidR="009777E6" w:rsidRPr="00763D8E">
        <w:rPr>
          <w:rFonts w:ascii="Times New Roman" w:hAnsi="Times New Roman"/>
          <w:b w:val="0"/>
          <w:color w:val="auto"/>
          <w:sz w:val="24"/>
          <w:u w:val="single"/>
        </w:rPr>
        <w:t>(</w:t>
      </w:r>
      <w:r w:rsidRPr="00763D8E">
        <w:rPr>
          <w:rFonts w:ascii="Times New Roman" w:hAnsi="Times New Roman"/>
          <w:b w:val="0"/>
          <w:color w:val="auto"/>
          <w:sz w:val="24"/>
          <w:u w:val="single"/>
        </w:rPr>
        <w:t>s</w:t>
      </w:r>
      <w:r w:rsidR="009777E6" w:rsidRPr="00763D8E">
        <w:rPr>
          <w:rFonts w:ascii="Times New Roman" w:hAnsi="Times New Roman"/>
          <w:b w:val="0"/>
          <w:color w:val="auto"/>
          <w:sz w:val="24"/>
          <w:u w:val="single"/>
        </w:rPr>
        <w:t>)</w:t>
      </w:r>
      <w:r w:rsidRPr="00763D8E">
        <w:rPr>
          <w:rFonts w:ascii="Times New Roman" w:hAnsi="Times New Roman"/>
          <w:b w:val="0"/>
          <w:color w:val="auto"/>
          <w:sz w:val="24"/>
          <w:u w:val="single"/>
        </w:rPr>
        <w:t xml:space="preserve"> Display</w:t>
      </w:r>
      <w:r w:rsidR="009777E6" w:rsidRPr="00763D8E">
        <w:rPr>
          <w:rFonts w:ascii="Times New Roman" w:hAnsi="Times New Roman"/>
          <w:b w:val="0"/>
          <w:color w:val="auto"/>
          <w:sz w:val="24"/>
          <w:u w:val="single"/>
        </w:rPr>
        <w:t xml:space="preserve"> of OMB</w:t>
      </w:r>
      <w:r w:rsidRPr="00763D8E">
        <w:rPr>
          <w:rFonts w:ascii="Times New Roman" w:hAnsi="Times New Roman"/>
          <w:b w:val="0"/>
          <w:color w:val="auto"/>
          <w:sz w:val="24"/>
          <w:u w:val="single"/>
        </w:rPr>
        <w:t xml:space="preserve"> Expiration Date </w:t>
      </w:r>
      <w:r w:rsidR="009777E6" w:rsidRPr="00763D8E">
        <w:rPr>
          <w:rFonts w:ascii="Times New Roman" w:hAnsi="Times New Roman"/>
          <w:b w:val="0"/>
          <w:color w:val="auto"/>
          <w:sz w:val="24"/>
          <w:u w:val="single"/>
        </w:rPr>
        <w:t>is Inappropriate</w:t>
      </w:r>
      <w:bookmarkEnd w:id="20"/>
    </w:p>
    <w:p w:rsidR="006418B2" w:rsidRPr="009D166E" w:rsidRDefault="006418B2" w:rsidP="008878B3">
      <w:pPr>
        <w:spacing w:after="0"/>
        <w:ind w:firstLine="547"/>
        <w:rPr>
          <w:rFonts w:ascii="Times New Roman" w:hAnsi="Times New Roman"/>
          <w:color w:val="000000"/>
          <w:sz w:val="24"/>
          <w:szCs w:val="24"/>
        </w:rPr>
      </w:pPr>
      <w:r w:rsidRPr="009D166E">
        <w:rPr>
          <w:rFonts w:ascii="Times New Roman" w:hAnsi="Times New Roman"/>
          <w:color w:val="000000"/>
          <w:sz w:val="24"/>
          <w:szCs w:val="24"/>
        </w:rPr>
        <w:t xml:space="preserve">Not applicable. The </w:t>
      </w:r>
      <w:r w:rsidRPr="00830E11">
        <w:rPr>
          <w:rFonts w:ascii="Times New Roman" w:hAnsi="Times New Roman"/>
          <w:sz w:val="24"/>
          <w:szCs w:val="24"/>
        </w:rPr>
        <w:t>collection</w:t>
      </w:r>
      <w:r w:rsidRPr="009D166E">
        <w:rPr>
          <w:rFonts w:ascii="Times New Roman" w:hAnsi="Times New Roman"/>
          <w:color w:val="000000"/>
          <w:sz w:val="24"/>
          <w:szCs w:val="24"/>
        </w:rPr>
        <w:t xml:space="preserve"> instrument will display the expiration date.</w:t>
      </w:r>
    </w:p>
    <w:p w:rsidR="006418B2" w:rsidRPr="008878B3" w:rsidRDefault="006418B2" w:rsidP="002300AB">
      <w:pPr>
        <w:pStyle w:val="OMBPackageHeading2"/>
        <w:rPr>
          <w:color w:val="auto"/>
        </w:rPr>
      </w:pPr>
      <w:bookmarkStart w:id="21" w:name="_Toc322005797"/>
      <w:r w:rsidRPr="00763D8E">
        <w:rPr>
          <w:rFonts w:ascii="Times New Roman" w:hAnsi="Times New Roman"/>
          <w:b w:val="0"/>
          <w:color w:val="auto"/>
          <w:sz w:val="24"/>
          <w:u w:val="single"/>
        </w:rPr>
        <w:t>Exceptions to Certification</w:t>
      </w:r>
      <w:r w:rsidR="009777E6" w:rsidRPr="00763D8E">
        <w:rPr>
          <w:rFonts w:ascii="Times New Roman" w:hAnsi="Times New Roman"/>
          <w:b w:val="0"/>
          <w:color w:val="auto"/>
          <w:sz w:val="24"/>
          <w:u w:val="single"/>
        </w:rPr>
        <w:t xml:space="preserve"> for Paperwork Reduction Act Submissions</w:t>
      </w:r>
      <w:bookmarkEnd w:id="21"/>
    </w:p>
    <w:p w:rsidR="006418B2" w:rsidRDefault="009777E6" w:rsidP="008878B3">
      <w:pPr>
        <w:spacing w:after="0"/>
        <w:ind w:firstLine="547"/>
        <w:rPr>
          <w:rFonts w:ascii="Times New Roman" w:hAnsi="Times New Roman"/>
          <w:sz w:val="24"/>
          <w:szCs w:val="24"/>
        </w:rPr>
      </w:pPr>
      <w:r>
        <w:rPr>
          <w:rFonts w:ascii="Times New Roman" w:hAnsi="Times New Roman"/>
          <w:sz w:val="24"/>
          <w:szCs w:val="24"/>
        </w:rPr>
        <w:t>There are n</w:t>
      </w:r>
      <w:r w:rsidR="006418B2" w:rsidRPr="009D166E">
        <w:rPr>
          <w:rFonts w:ascii="Times New Roman" w:hAnsi="Times New Roman"/>
          <w:sz w:val="24"/>
          <w:szCs w:val="24"/>
        </w:rPr>
        <w:t xml:space="preserve">o exceptions </w:t>
      </w:r>
      <w:r>
        <w:rPr>
          <w:rFonts w:ascii="Times New Roman" w:hAnsi="Times New Roman"/>
          <w:sz w:val="24"/>
          <w:szCs w:val="24"/>
        </w:rPr>
        <w:t>to the certification.</w:t>
      </w:r>
    </w:p>
    <w:p w:rsidR="00CF78FF" w:rsidRDefault="00CF78FF" w:rsidP="00C557FE">
      <w:pPr>
        <w:spacing w:after="0"/>
        <w:rPr>
          <w:rFonts w:ascii="Times New Roman" w:hAnsi="Times New Roman"/>
          <w:sz w:val="24"/>
          <w:szCs w:val="24"/>
        </w:rPr>
      </w:pPr>
    </w:p>
    <w:p w:rsidR="00CF78FF" w:rsidRPr="00CE7775" w:rsidRDefault="00CF78FF" w:rsidP="008878B3">
      <w:pPr>
        <w:spacing w:after="0" w:line="240" w:lineRule="auto"/>
        <w:rPr>
          <w:rFonts w:ascii="Times New Roman" w:hAnsi="Times New Roman"/>
          <w:sz w:val="24"/>
          <w:szCs w:val="24"/>
        </w:rPr>
      </w:pPr>
    </w:p>
    <w:sectPr w:rsidR="00CF78FF" w:rsidRPr="00CE7775" w:rsidSect="006418B2">
      <w:footerReference w:type="default" r:id="rId10"/>
      <w:type w:val="continuous"/>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5AE" w:rsidRDefault="00A605AE" w:rsidP="00C6376A">
      <w:pPr>
        <w:spacing w:after="0" w:line="240" w:lineRule="auto"/>
      </w:pPr>
      <w:r>
        <w:separator/>
      </w:r>
    </w:p>
  </w:endnote>
  <w:endnote w:type="continuationSeparator" w:id="0">
    <w:p w:rsidR="00A605AE" w:rsidRDefault="00A605AE" w:rsidP="00C6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0C0" w:rsidRDefault="006660C0">
    <w:pPr>
      <w:pStyle w:val="Footer"/>
      <w:jc w:val="center"/>
    </w:pPr>
    <w:r>
      <w:fldChar w:fldCharType="begin"/>
    </w:r>
    <w:r>
      <w:instrText xml:space="preserve"> PAGE   \* MERGEFORMAT </w:instrText>
    </w:r>
    <w:r>
      <w:fldChar w:fldCharType="separate"/>
    </w:r>
    <w:r w:rsidR="003C422F">
      <w:rPr>
        <w:noProof/>
      </w:rPr>
      <w:t>6</w:t>
    </w:r>
    <w:r>
      <w:rPr>
        <w:noProof/>
      </w:rPr>
      <w:fldChar w:fldCharType="end"/>
    </w:r>
  </w:p>
  <w:p w:rsidR="006660C0" w:rsidRDefault="00666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5AE" w:rsidRDefault="00A605AE" w:rsidP="00C6376A">
      <w:pPr>
        <w:spacing w:after="0" w:line="240" w:lineRule="auto"/>
      </w:pPr>
      <w:r>
        <w:separator/>
      </w:r>
    </w:p>
  </w:footnote>
  <w:footnote w:type="continuationSeparator" w:id="0">
    <w:p w:rsidR="00A605AE" w:rsidRDefault="00A605AE" w:rsidP="00C6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95"/>
    <w:multiLevelType w:val="hybridMultilevel"/>
    <w:tmpl w:val="72A4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C58F8"/>
    <w:multiLevelType w:val="hybridMultilevel"/>
    <w:tmpl w:val="FFD07F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430FAA"/>
    <w:multiLevelType w:val="hybridMultilevel"/>
    <w:tmpl w:val="1F1CC64E"/>
    <w:lvl w:ilvl="0" w:tplc="AE94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22AE8"/>
    <w:multiLevelType w:val="hybridMultilevel"/>
    <w:tmpl w:val="7BBA2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66F34"/>
    <w:multiLevelType w:val="hybridMultilevel"/>
    <w:tmpl w:val="2FE255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BA37F8"/>
    <w:multiLevelType w:val="hybridMultilevel"/>
    <w:tmpl w:val="59F810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060EDB"/>
    <w:multiLevelType w:val="hybridMultilevel"/>
    <w:tmpl w:val="16C8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000DC"/>
    <w:multiLevelType w:val="hybridMultilevel"/>
    <w:tmpl w:val="4920CE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3587B7D"/>
    <w:multiLevelType w:val="hybridMultilevel"/>
    <w:tmpl w:val="C4466EBE"/>
    <w:lvl w:ilvl="0" w:tplc="C9541E24">
      <w:start w:val="1"/>
      <w:numFmt w:val="decimal"/>
      <w:pStyle w:val="OMBPackageHeading2"/>
      <w:lvlText w:val="%1."/>
      <w:lvlJc w:val="left"/>
      <w:pPr>
        <w:ind w:left="3427" w:hanging="360"/>
      </w:pPr>
      <w:rPr>
        <w:rFonts w:ascii="Times New Roman" w:hAnsi="Times New Roman" w:cs="Times New Roman" w:hint="default"/>
        <w:b w:val="0"/>
        <w:sz w:val="24"/>
        <w:szCs w:val="24"/>
      </w:rPr>
    </w:lvl>
    <w:lvl w:ilvl="1" w:tplc="04090019" w:tentative="1">
      <w:start w:val="1"/>
      <w:numFmt w:val="lowerLetter"/>
      <w:lvlText w:val="%2."/>
      <w:lvlJc w:val="left"/>
      <w:pPr>
        <w:ind w:left="4147" w:hanging="360"/>
      </w:pPr>
      <w:rPr>
        <w:rFonts w:cs="Times New Roman"/>
      </w:rPr>
    </w:lvl>
    <w:lvl w:ilvl="2" w:tplc="0409001B" w:tentative="1">
      <w:start w:val="1"/>
      <w:numFmt w:val="lowerRoman"/>
      <w:lvlText w:val="%3."/>
      <w:lvlJc w:val="right"/>
      <w:pPr>
        <w:ind w:left="4867" w:hanging="180"/>
      </w:pPr>
      <w:rPr>
        <w:rFonts w:cs="Times New Roman"/>
      </w:rPr>
    </w:lvl>
    <w:lvl w:ilvl="3" w:tplc="0409000F" w:tentative="1">
      <w:start w:val="1"/>
      <w:numFmt w:val="decimal"/>
      <w:lvlText w:val="%4."/>
      <w:lvlJc w:val="left"/>
      <w:pPr>
        <w:ind w:left="5587" w:hanging="360"/>
      </w:pPr>
      <w:rPr>
        <w:rFonts w:cs="Times New Roman"/>
      </w:rPr>
    </w:lvl>
    <w:lvl w:ilvl="4" w:tplc="04090019" w:tentative="1">
      <w:start w:val="1"/>
      <w:numFmt w:val="lowerLetter"/>
      <w:lvlText w:val="%5."/>
      <w:lvlJc w:val="left"/>
      <w:pPr>
        <w:ind w:left="6307" w:hanging="360"/>
      </w:pPr>
      <w:rPr>
        <w:rFonts w:cs="Times New Roman"/>
      </w:rPr>
    </w:lvl>
    <w:lvl w:ilvl="5" w:tplc="0409001B" w:tentative="1">
      <w:start w:val="1"/>
      <w:numFmt w:val="lowerRoman"/>
      <w:lvlText w:val="%6."/>
      <w:lvlJc w:val="right"/>
      <w:pPr>
        <w:ind w:left="7027" w:hanging="180"/>
      </w:pPr>
      <w:rPr>
        <w:rFonts w:cs="Times New Roman"/>
      </w:rPr>
    </w:lvl>
    <w:lvl w:ilvl="6" w:tplc="0409000F" w:tentative="1">
      <w:start w:val="1"/>
      <w:numFmt w:val="decimal"/>
      <w:lvlText w:val="%7."/>
      <w:lvlJc w:val="left"/>
      <w:pPr>
        <w:ind w:left="7747" w:hanging="360"/>
      </w:pPr>
      <w:rPr>
        <w:rFonts w:cs="Times New Roman"/>
      </w:rPr>
    </w:lvl>
    <w:lvl w:ilvl="7" w:tplc="04090019" w:tentative="1">
      <w:start w:val="1"/>
      <w:numFmt w:val="lowerLetter"/>
      <w:lvlText w:val="%8."/>
      <w:lvlJc w:val="left"/>
      <w:pPr>
        <w:ind w:left="8467" w:hanging="360"/>
      </w:pPr>
      <w:rPr>
        <w:rFonts w:cs="Times New Roman"/>
      </w:rPr>
    </w:lvl>
    <w:lvl w:ilvl="8" w:tplc="0409001B" w:tentative="1">
      <w:start w:val="1"/>
      <w:numFmt w:val="lowerRoman"/>
      <w:lvlText w:val="%9."/>
      <w:lvlJc w:val="right"/>
      <w:pPr>
        <w:ind w:left="9187" w:hanging="180"/>
      </w:pPr>
      <w:rPr>
        <w:rFonts w:cs="Times New Roman"/>
      </w:rPr>
    </w:lvl>
  </w:abstractNum>
  <w:abstractNum w:abstractNumId="9">
    <w:nsid w:val="47BA6CA5"/>
    <w:multiLevelType w:val="hybridMultilevel"/>
    <w:tmpl w:val="D8F02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C43E77"/>
    <w:multiLevelType w:val="hybridMultilevel"/>
    <w:tmpl w:val="2CEA9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F7C1D2B"/>
    <w:multiLevelType w:val="hybridMultilevel"/>
    <w:tmpl w:val="4FEA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08402F"/>
    <w:multiLevelType w:val="hybridMultilevel"/>
    <w:tmpl w:val="1FC2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897C02"/>
    <w:multiLevelType w:val="hybridMultilevel"/>
    <w:tmpl w:val="5C5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F1291A"/>
    <w:multiLevelType w:val="hybridMultilevel"/>
    <w:tmpl w:val="1D48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F03735"/>
    <w:multiLevelType w:val="hybridMultilevel"/>
    <w:tmpl w:val="751C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167A1"/>
    <w:multiLevelType w:val="hybridMultilevel"/>
    <w:tmpl w:val="CAE8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B32AF9"/>
    <w:multiLevelType w:val="hybridMultilevel"/>
    <w:tmpl w:val="7E2CD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8022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nsid w:val="7E751195"/>
    <w:multiLevelType w:val="hybridMultilevel"/>
    <w:tmpl w:val="D57698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E1359D"/>
    <w:multiLevelType w:val="hybridMultilevel"/>
    <w:tmpl w:val="1F1CC64E"/>
    <w:lvl w:ilvl="0" w:tplc="AE94E7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8"/>
  </w:num>
  <w:num w:numId="5">
    <w:abstractNumId w:val="10"/>
  </w:num>
  <w:num w:numId="6">
    <w:abstractNumId w:val="9"/>
  </w:num>
  <w:num w:numId="7">
    <w:abstractNumId w:val="1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3"/>
  </w:num>
  <w:num w:numId="30">
    <w:abstractNumId w:val="4"/>
  </w:num>
  <w:num w:numId="31">
    <w:abstractNumId w:val="15"/>
  </w:num>
  <w:num w:numId="32">
    <w:abstractNumId w:val="14"/>
  </w:num>
  <w:num w:numId="33">
    <w:abstractNumId w:val="0"/>
  </w:num>
  <w:num w:numId="34">
    <w:abstractNumId w:val="17"/>
  </w:num>
  <w:num w:numId="35">
    <w:abstractNumId w:val="3"/>
  </w:num>
  <w:num w:numId="36">
    <w:abstractNumId w:val="12"/>
  </w:num>
  <w:num w:numId="37">
    <w:abstractNumId w:val="16"/>
  </w:num>
  <w:num w:numId="38">
    <w:abstractNumId w:val="2"/>
  </w:num>
  <w:num w:numId="39">
    <w:abstractNumId w:val="20"/>
  </w:num>
  <w:num w:numId="40">
    <w:abstractNumId w:val="6"/>
  </w:num>
  <w:num w:numId="41">
    <w:abstractNumId w:val="1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FE"/>
    <w:rsid w:val="000031F1"/>
    <w:rsid w:val="0002186D"/>
    <w:rsid w:val="00030ED5"/>
    <w:rsid w:val="0003201A"/>
    <w:rsid w:val="00034FFA"/>
    <w:rsid w:val="000367A9"/>
    <w:rsid w:val="00042E8A"/>
    <w:rsid w:val="000431BC"/>
    <w:rsid w:val="0005188F"/>
    <w:rsid w:val="00054866"/>
    <w:rsid w:val="00055197"/>
    <w:rsid w:val="0005638D"/>
    <w:rsid w:val="000618B0"/>
    <w:rsid w:val="00061DFA"/>
    <w:rsid w:val="00062269"/>
    <w:rsid w:val="00072CDB"/>
    <w:rsid w:val="00073521"/>
    <w:rsid w:val="000735E8"/>
    <w:rsid w:val="0007663C"/>
    <w:rsid w:val="00085D05"/>
    <w:rsid w:val="000908C8"/>
    <w:rsid w:val="00092E89"/>
    <w:rsid w:val="0009728D"/>
    <w:rsid w:val="000A3B33"/>
    <w:rsid w:val="000A3CC0"/>
    <w:rsid w:val="000A7D36"/>
    <w:rsid w:val="000B20D1"/>
    <w:rsid w:val="000B2413"/>
    <w:rsid w:val="000C0132"/>
    <w:rsid w:val="000C1C07"/>
    <w:rsid w:val="000C4BDE"/>
    <w:rsid w:val="000D2902"/>
    <w:rsid w:val="000D34EF"/>
    <w:rsid w:val="000D4409"/>
    <w:rsid w:val="000D5FB4"/>
    <w:rsid w:val="000D69DE"/>
    <w:rsid w:val="000E0E4F"/>
    <w:rsid w:val="000E1771"/>
    <w:rsid w:val="000E2CDE"/>
    <w:rsid w:val="000F1921"/>
    <w:rsid w:val="000F52B7"/>
    <w:rsid w:val="001026B7"/>
    <w:rsid w:val="00114897"/>
    <w:rsid w:val="00116E87"/>
    <w:rsid w:val="00124120"/>
    <w:rsid w:val="00124C3E"/>
    <w:rsid w:val="00125104"/>
    <w:rsid w:val="0012584F"/>
    <w:rsid w:val="001279EA"/>
    <w:rsid w:val="00134D59"/>
    <w:rsid w:val="00136593"/>
    <w:rsid w:val="00141457"/>
    <w:rsid w:val="0014205A"/>
    <w:rsid w:val="001523EF"/>
    <w:rsid w:val="00153BD0"/>
    <w:rsid w:val="00157473"/>
    <w:rsid w:val="001672C4"/>
    <w:rsid w:val="001756BB"/>
    <w:rsid w:val="00183A6D"/>
    <w:rsid w:val="001842AC"/>
    <w:rsid w:val="001861E0"/>
    <w:rsid w:val="00190450"/>
    <w:rsid w:val="0019075A"/>
    <w:rsid w:val="001907A6"/>
    <w:rsid w:val="00191C39"/>
    <w:rsid w:val="00191D6E"/>
    <w:rsid w:val="0019289A"/>
    <w:rsid w:val="001946E2"/>
    <w:rsid w:val="001A04BA"/>
    <w:rsid w:val="001A1DD3"/>
    <w:rsid w:val="001A6065"/>
    <w:rsid w:val="001B2D09"/>
    <w:rsid w:val="001B3747"/>
    <w:rsid w:val="001B3861"/>
    <w:rsid w:val="001B3F0C"/>
    <w:rsid w:val="001C1545"/>
    <w:rsid w:val="001C2A8D"/>
    <w:rsid w:val="001C38A9"/>
    <w:rsid w:val="001D2F53"/>
    <w:rsid w:val="001D4052"/>
    <w:rsid w:val="001D4D67"/>
    <w:rsid w:val="001D5930"/>
    <w:rsid w:val="001E34EE"/>
    <w:rsid w:val="001E3C98"/>
    <w:rsid w:val="001E6D72"/>
    <w:rsid w:val="001F1B8B"/>
    <w:rsid w:val="001F2CC1"/>
    <w:rsid w:val="001F6789"/>
    <w:rsid w:val="001F7320"/>
    <w:rsid w:val="002115FF"/>
    <w:rsid w:val="00214128"/>
    <w:rsid w:val="00225BF8"/>
    <w:rsid w:val="002300AB"/>
    <w:rsid w:val="00231AB3"/>
    <w:rsid w:val="00236F1D"/>
    <w:rsid w:val="002377D7"/>
    <w:rsid w:val="0023785B"/>
    <w:rsid w:val="002459B0"/>
    <w:rsid w:val="00247D0A"/>
    <w:rsid w:val="00252822"/>
    <w:rsid w:val="00255428"/>
    <w:rsid w:val="00262B41"/>
    <w:rsid w:val="002712A3"/>
    <w:rsid w:val="002748A7"/>
    <w:rsid w:val="00277F33"/>
    <w:rsid w:val="00281032"/>
    <w:rsid w:val="002831D3"/>
    <w:rsid w:val="00286824"/>
    <w:rsid w:val="002930F7"/>
    <w:rsid w:val="002946B8"/>
    <w:rsid w:val="002A776E"/>
    <w:rsid w:val="002A7BAF"/>
    <w:rsid w:val="002B25BE"/>
    <w:rsid w:val="002B28F9"/>
    <w:rsid w:val="002B53B8"/>
    <w:rsid w:val="002C119B"/>
    <w:rsid w:val="002C37E9"/>
    <w:rsid w:val="002D09C8"/>
    <w:rsid w:val="002E49F9"/>
    <w:rsid w:val="002E65B2"/>
    <w:rsid w:val="002F0991"/>
    <w:rsid w:val="002F28CD"/>
    <w:rsid w:val="002F5137"/>
    <w:rsid w:val="00300420"/>
    <w:rsid w:val="003041F5"/>
    <w:rsid w:val="0031164C"/>
    <w:rsid w:val="00311841"/>
    <w:rsid w:val="00313371"/>
    <w:rsid w:val="00322B35"/>
    <w:rsid w:val="00322BC7"/>
    <w:rsid w:val="00325014"/>
    <w:rsid w:val="00330381"/>
    <w:rsid w:val="00330CBA"/>
    <w:rsid w:val="00331D9E"/>
    <w:rsid w:val="00332711"/>
    <w:rsid w:val="00335F14"/>
    <w:rsid w:val="00336085"/>
    <w:rsid w:val="00337796"/>
    <w:rsid w:val="00337CDD"/>
    <w:rsid w:val="00340AEB"/>
    <w:rsid w:val="00340E2F"/>
    <w:rsid w:val="00344447"/>
    <w:rsid w:val="00345F30"/>
    <w:rsid w:val="0035590C"/>
    <w:rsid w:val="00356CE1"/>
    <w:rsid w:val="00365A9B"/>
    <w:rsid w:val="00374652"/>
    <w:rsid w:val="00376B3B"/>
    <w:rsid w:val="00377680"/>
    <w:rsid w:val="00377ED5"/>
    <w:rsid w:val="00380B62"/>
    <w:rsid w:val="00386EA4"/>
    <w:rsid w:val="0039140F"/>
    <w:rsid w:val="003920BD"/>
    <w:rsid w:val="003A3DC1"/>
    <w:rsid w:val="003A671A"/>
    <w:rsid w:val="003A6B92"/>
    <w:rsid w:val="003A6E19"/>
    <w:rsid w:val="003B46B6"/>
    <w:rsid w:val="003B4988"/>
    <w:rsid w:val="003B5908"/>
    <w:rsid w:val="003B7D13"/>
    <w:rsid w:val="003C422F"/>
    <w:rsid w:val="003C518F"/>
    <w:rsid w:val="003C63E4"/>
    <w:rsid w:val="003E1417"/>
    <w:rsid w:val="003E1486"/>
    <w:rsid w:val="003E3E0F"/>
    <w:rsid w:val="003E5964"/>
    <w:rsid w:val="003F2F95"/>
    <w:rsid w:val="00404DB8"/>
    <w:rsid w:val="00405334"/>
    <w:rsid w:val="00417EBC"/>
    <w:rsid w:val="00420129"/>
    <w:rsid w:val="004215B7"/>
    <w:rsid w:val="00421A8A"/>
    <w:rsid w:val="00424D1B"/>
    <w:rsid w:val="004253D1"/>
    <w:rsid w:val="00425721"/>
    <w:rsid w:val="00431B39"/>
    <w:rsid w:val="0043429E"/>
    <w:rsid w:val="004357C8"/>
    <w:rsid w:val="00437A6B"/>
    <w:rsid w:val="0044292A"/>
    <w:rsid w:val="00442F0F"/>
    <w:rsid w:val="004454A9"/>
    <w:rsid w:val="00446D70"/>
    <w:rsid w:val="00451EEB"/>
    <w:rsid w:val="00456D3C"/>
    <w:rsid w:val="00460833"/>
    <w:rsid w:val="004618BF"/>
    <w:rsid w:val="00465C65"/>
    <w:rsid w:val="00473E0D"/>
    <w:rsid w:val="004756EC"/>
    <w:rsid w:val="004758A8"/>
    <w:rsid w:val="00484C17"/>
    <w:rsid w:val="004853B3"/>
    <w:rsid w:val="00494728"/>
    <w:rsid w:val="0049490B"/>
    <w:rsid w:val="0049530D"/>
    <w:rsid w:val="004A14A5"/>
    <w:rsid w:val="004A3019"/>
    <w:rsid w:val="004B10AE"/>
    <w:rsid w:val="004B5A10"/>
    <w:rsid w:val="004B5B4A"/>
    <w:rsid w:val="004C78AB"/>
    <w:rsid w:val="004D1E6C"/>
    <w:rsid w:val="004D260B"/>
    <w:rsid w:val="004D6038"/>
    <w:rsid w:val="004D792C"/>
    <w:rsid w:val="004E4642"/>
    <w:rsid w:val="004F45A1"/>
    <w:rsid w:val="00501CF5"/>
    <w:rsid w:val="00506E41"/>
    <w:rsid w:val="00506FB2"/>
    <w:rsid w:val="00510355"/>
    <w:rsid w:val="0051559E"/>
    <w:rsid w:val="00525566"/>
    <w:rsid w:val="005300A9"/>
    <w:rsid w:val="00532245"/>
    <w:rsid w:val="00536A71"/>
    <w:rsid w:val="00540638"/>
    <w:rsid w:val="00545EBF"/>
    <w:rsid w:val="00550729"/>
    <w:rsid w:val="00551266"/>
    <w:rsid w:val="00552799"/>
    <w:rsid w:val="005544CE"/>
    <w:rsid w:val="0055782A"/>
    <w:rsid w:val="005605F3"/>
    <w:rsid w:val="00562965"/>
    <w:rsid w:val="00564679"/>
    <w:rsid w:val="00565DFE"/>
    <w:rsid w:val="00573C25"/>
    <w:rsid w:val="0058199C"/>
    <w:rsid w:val="00581EBE"/>
    <w:rsid w:val="00587B3C"/>
    <w:rsid w:val="00597C40"/>
    <w:rsid w:val="005A0F8A"/>
    <w:rsid w:val="005A33FA"/>
    <w:rsid w:val="005A4981"/>
    <w:rsid w:val="005A5E64"/>
    <w:rsid w:val="005A6C8B"/>
    <w:rsid w:val="005C075B"/>
    <w:rsid w:val="005C1EBE"/>
    <w:rsid w:val="005D49EB"/>
    <w:rsid w:val="005D5EC4"/>
    <w:rsid w:val="005E0339"/>
    <w:rsid w:val="005E22BF"/>
    <w:rsid w:val="005E4CA9"/>
    <w:rsid w:val="005E75B7"/>
    <w:rsid w:val="005E7F71"/>
    <w:rsid w:val="005F248F"/>
    <w:rsid w:val="005F562D"/>
    <w:rsid w:val="005F5F88"/>
    <w:rsid w:val="006215CF"/>
    <w:rsid w:val="00625BB9"/>
    <w:rsid w:val="00626687"/>
    <w:rsid w:val="00627777"/>
    <w:rsid w:val="0063227A"/>
    <w:rsid w:val="00635586"/>
    <w:rsid w:val="006365BC"/>
    <w:rsid w:val="006418B2"/>
    <w:rsid w:val="00641A39"/>
    <w:rsid w:val="0064274B"/>
    <w:rsid w:val="0064469E"/>
    <w:rsid w:val="006516B3"/>
    <w:rsid w:val="00651CE3"/>
    <w:rsid w:val="00657753"/>
    <w:rsid w:val="00657DF5"/>
    <w:rsid w:val="006610B9"/>
    <w:rsid w:val="006615D4"/>
    <w:rsid w:val="006616B4"/>
    <w:rsid w:val="00661EC0"/>
    <w:rsid w:val="0066476F"/>
    <w:rsid w:val="0066482E"/>
    <w:rsid w:val="006651B5"/>
    <w:rsid w:val="006657B9"/>
    <w:rsid w:val="00665FF3"/>
    <w:rsid w:val="006660C0"/>
    <w:rsid w:val="00666131"/>
    <w:rsid w:val="00672B5D"/>
    <w:rsid w:val="0067354E"/>
    <w:rsid w:val="006851D1"/>
    <w:rsid w:val="00690929"/>
    <w:rsid w:val="00690C05"/>
    <w:rsid w:val="00690E91"/>
    <w:rsid w:val="00695360"/>
    <w:rsid w:val="00695B7E"/>
    <w:rsid w:val="006A1ED1"/>
    <w:rsid w:val="006B01DC"/>
    <w:rsid w:val="006B5281"/>
    <w:rsid w:val="006C1F64"/>
    <w:rsid w:val="006C71EA"/>
    <w:rsid w:val="006C7857"/>
    <w:rsid w:val="006D1B4E"/>
    <w:rsid w:val="006E0932"/>
    <w:rsid w:val="006E2573"/>
    <w:rsid w:val="006E2E81"/>
    <w:rsid w:val="006E3126"/>
    <w:rsid w:val="006E3C3C"/>
    <w:rsid w:val="006E7236"/>
    <w:rsid w:val="006F167D"/>
    <w:rsid w:val="006F2946"/>
    <w:rsid w:val="006F3877"/>
    <w:rsid w:val="006F5B3C"/>
    <w:rsid w:val="00707B6B"/>
    <w:rsid w:val="00707C70"/>
    <w:rsid w:val="00711F28"/>
    <w:rsid w:val="00712656"/>
    <w:rsid w:val="00713DEF"/>
    <w:rsid w:val="0071475E"/>
    <w:rsid w:val="007176B0"/>
    <w:rsid w:val="007205CE"/>
    <w:rsid w:val="007264F2"/>
    <w:rsid w:val="00730397"/>
    <w:rsid w:val="00730F7E"/>
    <w:rsid w:val="007349FB"/>
    <w:rsid w:val="00734F63"/>
    <w:rsid w:val="00734FF5"/>
    <w:rsid w:val="007357F8"/>
    <w:rsid w:val="00742D5F"/>
    <w:rsid w:val="0075534C"/>
    <w:rsid w:val="00760F1A"/>
    <w:rsid w:val="00761F9D"/>
    <w:rsid w:val="00763D8E"/>
    <w:rsid w:val="00764449"/>
    <w:rsid w:val="007650A7"/>
    <w:rsid w:val="00770BFE"/>
    <w:rsid w:val="007753EF"/>
    <w:rsid w:val="0077621B"/>
    <w:rsid w:val="007804D3"/>
    <w:rsid w:val="00783602"/>
    <w:rsid w:val="00783B47"/>
    <w:rsid w:val="00785247"/>
    <w:rsid w:val="00785502"/>
    <w:rsid w:val="00785C2D"/>
    <w:rsid w:val="0078774B"/>
    <w:rsid w:val="00787CCE"/>
    <w:rsid w:val="00794635"/>
    <w:rsid w:val="00795CE6"/>
    <w:rsid w:val="00796250"/>
    <w:rsid w:val="007967A1"/>
    <w:rsid w:val="007A1586"/>
    <w:rsid w:val="007A440E"/>
    <w:rsid w:val="007A5C60"/>
    <w:rsid w:val="007B0246"/>
    <w:rsid w:val="007B09FA"/>
    <w:rsid w:val="007B6404"/>
    <w:rsid w:val="007C3BC1"/>
    <w:rsid w:val="007C4680"/>
    <w:rsid w:val="007C4984"/>
    <w:rsid w:val="007C6263"/>
    <w:rsid w:val="007D29DD"/>
    <w:rsid w:val="007D5979"/>
    <w:rsid w:val="007D6CA7"/>
    <w:rsid w:val="007D6DA3"/>
    <w:rsid w:val="007D7C40"/>
    <w:rsid w:val="007D7C51"/>
    <w:rsid w:val="007E0826"/>
    <w:rsid w:val="007E6851"/>
    <w:rsid w:val="007F3E18"/>
    <w:rsid w:val="007F6F2D"/>
    <w:rsid w:val="008103D4"/>
    <w:rsid w:val="00812F8B"/>
    <w:rsid w:val="00816B2F"/>
    <w:rsid w:val="0081725F"/>
    <w:rsid w:val="008229A2"/>
    <w:rsid w:val="008268E0"/>
    <w:rsid w:val="00830C97"/>
    <w:rsid w:val="00830E11"/>
    <w:rsid w:val="0083108C"/>
    <w:rsid w:val="00831606"/>
    <w:rsid w:val="008337D8"/>
    <w:rsid w:val="00834710"/>
    <w:rsid w:val="00834A5C"/>
    <w:rsid w:val="00843D57"/>
    <w:rsid w:val="00843F3C"/>
    <w:rsid w:val="008449DD"/>
    <w:rsid w:val="00854671"/>
    <w:rsid w:val="0085676A"/>
    <w:rsid w:val="00862D85"/>
    <w:rsid w:val="00867471"/>
    <w:rsid w:val="00867BFD"/>
    <w:rsid w:val="008730DB"/>
    <w:rsid w:val="008750C1"/>
    <w:rsid w:val="008771C5"/>
    <w:rsid w:val="00881CB0"/>
    <w:rsid w:val="0088406C"/>
    <w:rsid w:val="008857F8"/>
    <w:rsid w:val="00885B0A"/>
    <w:rsid w:val="008878B3"/>
    <w:rsid w:val="00890B05"/>
    <w:rsid w:val="00893960"/>
    <w:rsid w:val="00897448"/>
    <w:rsid w:val="00897AC4"/>
    <w:rsid w:val="008A05BA"/>
    <w:rsid w:val="008A0763"/>
    <w:rsid w:val="008A145E"/>
    <w:rsid w:val="008A59F1"/>
    <w:rsid w:val="008A6CFE"/>
    <w:rsid w:val="008B010D"/>
    <w:rsid w:val="008B29D0"/>
    <w:rsid w:val="008B52E5"/>
    <w:rsid w:val="008B5A68"/>
    <w:rsid w:val="008C1DD1"/>
    <w:rsid w:val="008C3825"/>
    <w:rsid w:val="008C42DE"/>
    <w:rsid w:val="008D1A37"/>
    <w:rsid w:val="008D3372"/>
    <w:rsid w:val="008D3853"/>
    <w:rsid w:val="008D43C8"/>
    <w:rsid w:val="008D69EB"/>
    <w:rsid w:val="008E19A3"/>
    <w:rsid w:val="008E1F6B"/>
    <w:rsid w:val="008F19F5"/>
    <w:rsid w:val="008F2247"/>
    <w:rsid w:val="008F47DE"/>
    <w:rsid w:val="008F5DF1"/>
    <w:rsid w:val="008F6424"/>
    <w:rsid w:val="008F6901"/>
    <w:rsid w:val="008F788A"/>
    <w:rsid w:val="00902A83"/>
    <w:rsid w:val="00906FAF"/>
    <w:rsid w:val="00907375"/>
    <w:rsid w:val="00910780"/>
    <w:rsid w:val="00912960"/>
    <w:rsid w:val="00914208"/>
    <w:rsid w:val="00917EF1"/>
    <w:rsid w:val="00921B85"/>
    <w:rsid w:val="00921EE6"/>
    <w:rsid w:val="00922C65"/>
    <w:rsid w:val="00927954"/>
    <w:rsid w:val="00927F6D"/>
    <w:rsid w:val="009320AC"/>
    <w:rsid w:val="00933B36"/>
    <w:rsid w:val="009436FE"/>
    <w:rsid w:val="009447F8"/>
    <w:rsid w:val="00946DB6"/>
    <w:rsid w:val="00957C44"/>
    <w:rsid w:val="009623E7"/>
    <w:rsid w:val="00967737"/>
    <w:rsid w:val="009777E6"/>
    <w:rsid w:val="00982C8E"/>
    <w:rsid w:val="00985694"/>
    <w:rsid w:val="0098754D"/>
    <w:rsid w:val="00992801"/>
    <w:rsid w:val="00995B6C"/>
    <w:rsid w:val="00997BE5"/>
    <w:rsid w:val="009A2ED5"/>
    <w:rsid w:val="009A7A73"/>
    <w:rsid w:val="009B2E97"/>
    <w:rsid w:val="009D0B73"/>
    <w:rsid w:val="009D166E"/>
    <w:rsid w:val="009D4DDB"/>
    <w:rsid w:val="009D793A"/>
    <w:rsid w:val="009E1DC6"/>
    <w:rsid w:val="009E312A"/>
    <w:rsid w:val="009E7F4E"/>
    <w:rsid w:val="009F04DE"/>
    <w:rsid w:val="009F0514"/>
    <w:rsid w:val="009F3A78"/>
    <w:rsid w:val="009F6440"/>
    <w:rsid w:val="009F6B36"/>
    <w:rsid w:val="00A015F8"/>
    <w:rsid w:val="00A020E7"/>
    <w:rsid w:val="00A0299D"/>
    <w:rsid w:val="00A050A4"/>
    <w:rsid w:val="00A10BDF"/>
    <w:rsid w:val="00A113B6"/>
    <w:rsid w:val="00A170B8"/>
    <w:rsid w:val="00A2208F"/>
    <w:rsid w:val="00A2294E"/>
    <w:rsid w:val="00A23247"/>
    <w:rsid w:val="00A33696"/>
    <w:rsid w:val="00A34DEC"/>
    <w:rsid w:val="00A353DB"/>
    <w:rsid w:val="00A35A4E"/>
    <w:rsid w:val="00A36037"/>
    <w:rsid w:val="00A45AC5"/>
    <w:rsid w:val="00A52638"/>
    <w:rsid w:val="00A53A12"/>
    <w:rsid w:val="00A5756A"/>
    <w:rsid w:val="00A605AE"/>
    <w:rsid w:val="00A6503A"/>
    <w:rsid w:val="00A70F7D"/>
    <w:rsid w:val="00A71344"/>
    <w:rsid w:val="00A71462"/>
    <w:rsid w:val="00A734BB"/>
    <w:rsid w:val="00A73A64"/>
    <w:rsid w:val="00A75136"/>
    <w:rsid w:val="00A754BE"/>
    <w:rsid w:val="00A80F91"/>
    <w:rsid w:val="00A832DE"/>
    <w:rsid w:val="00A904EB"/>
    <w:rsid w:val="00A9173B"/>
    <w:rsid w:val="00A92219"/>
    <w:rsid w:val="00A95460"/>
    <w:rsid w:val="00A96D43"/>
    <w:rsid w:val="00AA1734"/>
    <w:rsid w:val="00AA680C"/>
    <w:rsid w:val="00AA76D2"/>
    <w:rsid w:val="00AB391E"/>
    <w:rsid w:val="00AC123C"/>
    <w:rsid w:val="00AC242E"/>
    <w:rsid w:val="00AC3D13"/>
    <w:rsid w:val="00AD16DB"/>
    <w:rsid w:val="00AD760D"/>
    <w:rsid w:val="00AE0207"/>
    <w:rsid w:val="00AE6D2A"/>
    <w:rsid w:val="00AF027F"/>
    <w:rsid w:val="00AF14A4"/>
    <w:rsid w:val="00AF4CC4"/>
    <w:rsid w:val="00AF76FE"/>
    <w:rsid w:val="00AF7907"/>
    <w:rsid w:val="00B05C6F"/>
    <w:rsid w:val="00B10983"/>
    <w:rsid w:val="00B1206E"/>
    <w:rsid w:val="00B128C9"/>
    <w:rsid w:val="00B131E1"/>
    <w:rsid w:val="00B134C1"/>
    <w:rsid w:val="00B17E08"/>
    <w:rsid w:val="00B220BA"/>
    <w:rsid w:val="00B22895"/>
    <w:rsid w:val="00B25631"/>
    <w:rsid w:val="00B30D2E"/>
    <w:rsid w:val="00B30D3C"/>
    <w:rsid w:val="00B3415A"/>
    <w:rsid w:val="00B41B4A"/>
    <w:rsid w:val="00B41F8B"/>
    <w:rsid w:val="00B511DE"/>
    <w:rsid w:val="00B5296E"/>
    <w:rsid w:val="00B53E7B"/>
    <w:rsid w:val="00B56AA7"/>
    <w:rsid w:val="00B57888"/>
    <w:rsid w:val="00B63F03"/>
    <w:rsid w:val="00B66402"/>
    <w:rsid w:val="00B74B7D"/>
    <w:rsid w:val="00B85247"/>
    <w:rsid w:val="00B8581E"/>
    <w:rsid w:val="00B865B6"/>
    <w:rsid w:val="00B91D82"/>
    <w:rsid w:val="00B9277B"/>
    <w:rsid w:val="00B938FA"/>
    <w:rsid w:val="00BA0EA0"/>
    <w:rsid w:val="00BA135F"/>
    <w:rsid w:val="00BA20DB"/>
    <w:rsid w:val="00BA53C6"/>
    <w:rsid w:val="00BB6A16"/>
    <w:rsid w:val="00BC0522"/>
    <w:rsid w:val="00BC253C"/>
    <w:rsid w:val="00BC4493"/>
    <w:rsid w:val="00BC50A2"/>
    <w:rsid w:val="00BD0076"/>
    <w:rsid w:val="00BD079B"/>
    <w:rsid w:val="00BD1864"/>
    <w:rsid w:val="00BD57B1"/>
    <w:rsid w:val="00BD58BA"/>
    <w:rsid w:val="00BE0A6E"/>
    <w:rsid w:val="00BF051A"/>
    <w:rsid w:val="00BF735C"/>
    <w:rsid w:val="00C00D62"/>
    <w:rsid w:val="00C03AEC"/>
    <w:rsid w:val="00C07C91"/>
    <w:rsid w:val="00C10196"/>
    <w:rsid w:val="00C116EA"/>
    <w:rsid w:val="00C12EA0"/>
    <w:rsid w:val="00C16115"/>
    <w:rsid w:val="00C16D12"/>
    <w:rsid w:val="00C205AB"/>
    <w:rsid w:val="00C20A75"/>
    <w:rsid w:val="00C25C58"/>
    <w:rsid w:val="00C27AA4"/>
    <w:rsid w:val="00C329A1"/>
    <w:rsid w:val="00C337C4"/>
    <w:rsid w:val="00C350AF"/>
    <w:rsid w:val="00C37EB2"/>
    <w:rsid w:val="00C47E5A"/>
    <w:rsid w:val="00C47F5E"/>
    <w:rsid w:val="00C52C7C"/>
    <w:rsid w:val="00C544A0"/>
    <w:rsid w:val="00C557FE"/>
    <w:rsid w:val="00C603E6"/>
    <w:rsid w:val="00C62C03"/>
    <w:rsid w:val="00C6376A"/>
    <w:rsid w:val="00C64A3E"/>
    <w:rsid w:val="00C66E37"/>
    <w:rsid w:val="00C70193"/>
    <w:rsid w:val="00C751F3"/>
    <w:rsid w:val="00C77050"/>
    <w:rsid w:val="00C850FF"/>
    <w:rsid w:val="00C85F05"/>
    <w:rsid w:val="00C8731D"/>
    <w:rsid w:val="00CB39DB"/>
    <w:rsid w:val="00CB5CA8"/>
    <w:rsid w:val="00CB690D"/>
    <w:rsid w:val="00CB781F"/>
    <w:rsid w:val="00CC0044"/>
    <w:rsid w:val="00CC082F"/>
    <w:rsid w:val="00CC4C02"/>
    <w:rsid w:val="00CD1983"/>
    <w:rsid w:val="00CD38DE"/>
    <w:rsid w:val="00CE17F4"/>
    <w:rsid w:val="00CE7362"/>
    <w:rsid w:val="00CE7775"/>
    <w:rsid w:val="00CF0BA9"/>
    <w:rsid w:val="00CF583D"/>
    <w:rsid w:val="00CF78FF"/>
    <w:rsid w:val="00D03031"/>
    <w:rsid w:val="00D03881"/>
    <w:rsid w:val="00D048A5"/>
    <w:rsid w:val="00D07284"/>
    <w:rsid w:val="00D22B14"/>
    <w:rsid w:val="00D27DBF"/>
    <w:rsid w:val="00D319F4"/>
    <w:rsid w:val="00D325EB"/>
    <w:rsid w:val="00D32E2A"/>
    <w:rsid w:val="00D33D83"/>
    <w:rsid w:val="00D358BB"/>
    <w:rsid w:val="00D41733"/>
    <w:rsid w:val="00D425DC"/>
    <w:rsid w:val="00D446A5"/>
    <w:rsid w:val="00D449E5"/>
    <w:rsid w:val="00D47E6A"/>
    <w:rsid w:val="00D52FCC"/>
    <w:rsid w:val="00D543F3"/>
    <w:rsid w:val="00D56251"/>
    <w:rsid w:val="00D5799E"/>
    <w:rsid w:val="00D57C8A"/>
    <w:rsid w:val="00D647A1"/>
    <w:rsid w:val="00D64CD6"/>
    <w:rsid w:val="00D8012C"/>
    <w:rsid w:val="00D802CB"/>
    <w:rsid w:val="00D85CDF"/>
    <w:rsid w:val="00D8608A"/>
    <w:rsid w:val="00D87EE3"/>
    <w:rsid w:val="00D87F17"/>
    <w:rsid w:val="00D939D5"/>
    <w:rsid w:val="00D960BD"/>
    <w:rsid w:val="00D97221"/>
    <w:rsid w:val="00D97346"/>
    <w:rsid w:val="00DA151B"/>
    <w:rsid w:val="00DA4DA4"/>
    <w:rsid w:val="00DA5D46"/>
    <w:rsid w:val="00DA7AE1"/>
    <w:rsid w:val="00DB293B"/>
    <w:rsid w:val="00DB4897"/>
    <w:rsid w:val="00DB7D51"/>
    <w:rsid w:val="00DC04D2"/>
    <w:rsid w:val="00DC13C0"/>
    <w:rsid w:val="00DC34BC"/>
    <w:rsid w:val="00DC3EAD"/>
    <w:rsid w:val="00DC51BA"/>
    <w:rsid w:val="00DC6688"/>
    <w:rsid w:val="00DD4763"/>
    <w:rsid w:val="00DE013D"/>
    <w:rsid w:val="00DE1198"/>
    <w:rsid w:val="00DE436F"/>
    <w:rsid w:val="00DF44F6"/>
    <w:rsid w:val="00E010E1"/>
    <w:rsid w:val="00E03369"/>
    <w:rsid w:val="00E1215C"/>
    <w:rsid w:val="00E31A62"/>
    <w:rsid w:val="00E32945"/>
    <w:rsid w:val="00E33363"/>
    <w:rsid w:val="00E3540F"/>
    <w:rsid w:val="00E47831"/>
    <w:rsid w:val="00E664F1"/>
    <w:rsid w:val="00E72875"/>
    <w:rsid w:val="00E72DB7"/>
    <w:rsid w:val="00E76CEC"/>
    <w:rsid w:val="00E779DA"/>
    <w:rsid w:val="00E80297"/>
    <w:rsid w:val="00E82ADC"/>
    <w:rsid w:val="00E863CB"/>
    <w:rsid w:val="00E914BE"/>
    <w:rsid w:val="00E9309F"/>
    <w:rsid w:val="00E94E49"/>
    <w:rsid w:val="00E95A16"/>
    <w:rsid w:val="00E95D1A"/>
    <w:rsid w:val="00E9705D"/>
    <w:rsid w:val="00EA0F9B"/>
    <w:rsid w:val="00EA2FF6"/>
    <w:rsid w:val="00EA647C"/>
    <w:rsid w:val="00EB58CF"/>
    <w:rsid w:val="00EB5ED7"/>
    <w:rsid w:val="00EB65A2"/>
    <w:rsid w:val="00EB6609"/>
    <w:rsid w:val="00EB7351"/>
    <w:rsid w:val="00EC41E2"/>
    <w:rsid w:val="00EC6A54"/>
    <w:rsid w:val="00ED0CAA"/>
    <w:rsid w:val="00ED0E75"/>
    <w:rsid w:val="00ED25CE"/>
    <w:rsid w:val="00EE1E30"/>
    <w:rsid w:val="00EE490E"/>
    <w:rsid w:val="00EE7CF3"/>
    <w:rsid w:val="00EF11EC"/>
    <w:rsid w:val="00EF3027"/>
    <w:rsid w:val="00EF4214"/>
    <w:rsid w:val="00EF6858"/>
    <w:rsid w:val="00EF7C8D"/>
    <w:rsid w:val="00F0449D"/>
    <w:rsid w:val="00F06BA2"/>
    <w:rsid w:val="00F12A99"/>
    <w:rsid w:val="00F17089"/>
    <w:rsid w:val="00F17330"/>
    <w:rsid w:val="00F233F9"/>
    <w:rsid w:val="00F263F6"/>
    <w:rsid w:val="00F34285"/>
    <w:rsid w:val="00F349C3"/>
    <w:rsid w:val="00F36440"/>
    <w:rsid w:val="00F42DC4"/>
    <w:rsid w:val="00F43A87"/>
    <w:rsid w:val="00F47016"/>
    <w:rsid w:val="00F47CBE"/>
    <w:rsid w:val="00F52996"/>
    <w:rsid w:val="00F662C3"/>
    <w:rsid w:val="00F70897"/>
    <w:rsid w:val="00F71976"/>
    <w:rsid w:val="00F7300D"/>
    <w:rsid w:val="00F81947"/>
    <w:rsid w:val="00F82B4D"/>
    <w:rsid w:val="00F83C7A"/>
    <w:rsid w:val="00F86CEC"/>
    <w:rsid w:val="00F96DE1"/>
    <w:rsid w:val="00FA0DDD"/>
    <w:rsid w:val="00FB2839"/>
    <w:rsid w:val="00FB35A6"/>
    <w:rsid w:val="00FC1385"/>
    <w:rsid w:val="00FC1E33"/>
    <w:rsid w:val="00FC3140"/>
    <w:rsid w:val="00FC73D6"/>
    <w:rsid w:val="00FD2657"/>
    <w:rsid w:val="00FD350A"/>
    <w:rsid w:val="00FD4112"/>
    <w:rsid w:val="00FE03D8"/>
    <w:rsid w:val="00FE668C"/>
    <w:rsid w:val="00FE6A7A"/>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semiHidden="0" w:uiPriority="0" w:unhideWhenUsed="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3D57"/>
    <w:pPr>
      <w:spacing w:after="200" w:line="276" w:lineRule="auto"/>
    </w:pPr>
    <w:rPr>
      <w:sz w:val="22"/>
      <w:szCs w:val="22"/>
    </w:rPr>
  </w:style>
  <w:style w:type="paragraph" w:styleId="Heading1">
    <w:name w:val="heading 1"/>
    <w:basedOn w:val="Normal"/>
    <w:next w:val="Normal"/>
    <w:link w:val="Heading1Char"/>
    <w:uiPriority w:val="99"/>
    <w:qFormat/>
    <w:locked/>
    <w:rsid w:val="000367A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85467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67A9"/>
    <w:rPr>
      <w:rFonts w:ascii="Cambria" w:hAnsi="Cambria"/>
      <w:b/>
      <w:kern w:val="32"/>
      <w:sz w:val="32"/>
    </w:rPr>
  </w:style>
  <w:style w:type="character" w:customStyle="1" w:styleId="Heading2Char">
    <w:name w:val="Heading 2 Char"/>
    <w:link w:val="Heading2"/>
    <w:uiPriority w:val="99"/>
    <w:semiHidden/>
    <w:locked/>
    <w:rsid w:val="00854671"/>
    <w:rPr>
      <w:rFonts w:ascii="Cambria" w:hAnsi="Cambria"/>
      <w:b/>
      <w:i/>
      <w:sz w:val="28"/>
    </w:rPr>
  </w:style>
  <w:style w:type="paragraph" w:styleId="ListParagraph">
    <w:name w:val="List Paragraph"/>
    <w:basedOn w:val="Normal"/>
    <w:link w:val="ListParagraphChar"/>
    <w:uiPriority w:val="99"/>
    <w:qFormat/>
    <w:rsid w:val="00F233F9"/>
    <w:pPr>
      <w:ind w:left="720"/>
      <w:contextualSpacing/>
    </w:pPr>
  </w:style>
  <w:style w:type="character" w:styleId="CommentReference">
    <w:name w:val="annotation reference"/>
    <w:uiPriority w:val="99"/>
    <w:rsid w:val="00ED0CAA"/>
    <w:rPr>
      <w:rFonts w:cs="Times New Roman"/>
      <w:sz w:val="16"/>
    </w:rPr>
  </w:style>
  <w:style w:type="paragraph" w:styleId="CommentText">
    <w:name w:val="annotation text"/>
    <w:basedOn w:val="Normal"/>
    <w:link w:val="CommentTextChar"/>
    <w:uiPriority w:val="99"/>
    <w:rsid w:val="00ED0CAA"/>
    <w:pPr>
      <w:spacing w:line="240" w:lineRule="auto"/>
    </w:pPr>
    <w:rPr>
      <w:sz w:val="20"/>
      <w:szCs w:val="20"/>
    </w:rPr>
  </w:style>
  <w:style w:type="character" w:customStyle="1" w:styleId="CommentTextChar">
    <w:name w:val="Comment Text Char"/>
    <w:link w:val="CommentText"/>
    <w:uiPriority w:val="99"/>
    <w:locked/>
    <w:rsid w:val="00ED0CAA"/>
    <w:rPr>
      <w:sz w:val="20"/>
    </w:rPr>
  </w:style>
  <w:style w:type="paragraph" w:styleId="CommentSubject">
    <w:name w:val="annotation subject"/>
    <w:basedOn w:val="CommentText"/>
    <w:next w:val="CommentText"/>
    <w:link w:val="CommentSubjectChar"/>
    <w:uiPriority w:val="99"/>
    <w:semiHidden/>
    <w:rsid w:val="00ED0CAA"/>
    <w:rPr>
      <w:b/>
      <w:bCs/>
    </w:rPr>
  </w:style>
  <w:style w:type="character" w:customStyle="1" w:styleId="CommentSubjectChar">
    <w:name w:val="Comment Subject Char"/>
    <w:link w:val="CommentSubject"/>
    <w:uiPriority w:val="99"/>
    <w:semiHidden/>
    <w:locked/>
    <w:rsid w:val="00ED0CAA"/>
    <w:rPr>
      <w:b/>
      <w:sz w:val="20"/>
    </w:rPr>
  </w:style>
  <w:style w:type="paragraph" w:styleId="BalloonText">
    <w:name w:val="Balloon Text"/>
    <w:basedOn w:val="Normal"/>
    <w:link w:val="BalloonTextChar"/>
    <w:uiPriority w:val="99"/>
    <w:semiHidden/>
    <w:rsid w:val="00ED0CA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D0CAA"/>
    <w:rPr>
      <w:rFonts w:ascii="Tahoma" w:hAnsi="Tahoma"/>
      <w:sz w:val="16"/>
    </w:rPr>
  </w:style>
  <w:style w:type="table" w:customStyle="1" w:styleId="TableGrid9">
    <w:name w:val="Table Grid9"/>
    <w:uiPriority w:val="99"/>
    <w:rsid w:val="00A35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35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6376A"/>
    <w:rPr>
      <w:rFonts w:cs="Times New Roman"/>
      <w:color w:val="0000FF"/>
      <w:u w:val="single"/>
    </w:rPr>
  </w:style>
  <w:style w:type="paragraph" w:styleId="FootnoteText">
    <w:name w:val="footnote text"/>
    <w:basedOn w:val="Normal"/>
    <w:link w:val="FootnoteTextChar"/>
    <w:uiPriority w:val="99"/>
    <w:rsid w:val="00C6376A"/>
    <w:pPr>
      <w:spacing w:after="0" w:line="240" w:lineRule="auto"/>
    </w:pPr>
    <w:rPr>
      <w:rFonts w:ascii="Times New Roman" w:hAnsi="Times New Roman"/>
      <w:sz w:val="20"/>
      <w:szCs w:val="20"/>
    </w:rPr>
  </w:style>
  <w:style w:type="character" w:customStyle="1" w:styleId="FootnoteTextChar">
    <w:name w:val="Footnote Text Char"/>
    <w:link w:val="FootnoteText"/>
    <w:uiPriority w:val="99"/>
    <w:locked/>
    <w:rsid w:val="00C6376A"/>
    <w:rPr>
      <w:rFonts w:ascii="Times New Roman" w:hAnsi="Times New Roman"/>
      <w:sz w:val="20"/>
    </w:rPr>
  </w:style>
  <w:style w:type="character" w:styleId="FootnoteReference">
    <w:name w:val="footnote reference"/>
    <w:uiPriority w:val="99"/>
    <w:rsid w:val="00C6376A"/>
    <w:rPr>
      <w:rFonts w:cs="Times New Roman"/>
      <w:vertAlign w:val="superscript"/>
    </w:rPr>
  </w:style>
  <w:style w:type="paragraph" w:customStyle="1" w:styleId="Default">
    <w:name w:val="Default"/>
    <w:uiPriority w:val="99"/>
    <w:rsid w:val="00A353DB"/>
    <w:pPr>
      <w:autoSpaceDE w:val="0"/>
      <w:autoSpaceDN w:val="0"/>
      <w:adjustRightInd w:val="0"/>
    </w:pPr>
    <w:rPr>
      <w:rFonts w:ascii="Lucida Sans" w:hAnsi="Lucida Sans" w:cs="Lucida Sans"/>
      <w:color w:val="000000"/>
      <w:sz w:val="24"/>
      <w:szCs w:val="24"/>
    </w:rPr>
  </w:style>
  <w:style w:type="paragraph" w:styleId="Header">
    <w:name w:val="header"/>
    <w:basedOn w:val="Normal"/>
    <w:link w:val="HeaderChar"/>
    <w:uiPriority w:val="99"/>
    <w:semiHidden/>
    <w:rsid w:val="00A53A12"/>
    <w:pPr>
      <w:tabs>
        <w:tab w:val="center" w:pos="4680"/>
        <w:tab w:val="right" w:pos="9360"/>
      </w:tabs>
    </w:pPr>
  </w:style>
  <w:style w:type="character" w:customStyle="1" w:styleId="HeaderChar">
    <w:name w:val="Header Char"/>
    <w:link w:val="Header"/>
    <w:uiPriority w:val="99"/>
    <w:semiHidden/>
    <w:locked/>
    <w:rsid w:val="00A53A12"/>
    <w:rPr>
      <w:rFonts w:cs="Times New Roman"/>
    </w:rPr>
  </w:style>
  <w:style w:type="paragraph" w:styleId="Footer">
    <w:name w:val="footer"/>
    <w:basedOn w:val="Normal"/>
    <w:link w:val="FooterChar"/>
    <w:uiPriority w:val="99"/>
    <w:rsid w:val="00A53A12"/>
    <w:pPr>
      <w:tabs>
        <w:tab w:val="center" w:pos="4680"/>
        <w:tab w:val="right" w:pos="9360"/>
      </w:tabs>
    </w:pPr>
  </w:style>
  <w:style w:type="character" w:customStyle="1" w:styleId="FooterChar">
    <w:name w:val="Footer Char"/>
    <w:link w:val="Footer"/>
    <w:uiPriority w:val="99"/>
    <w:locked/>
    <w:rsid w:val="00A53A12"/>
    <w:rPr>
      <w:rFonts w:cs="Times New Roman"/>
    </w:rPr>
  </w:style>
  <w:style w:type="paragraph" w:customStyle="1" w:styleId="OMBPackageHeading1">
    <w:name w:val="OMB Package Heading 1"/>
    <w:basedOn w:val="Heading1"/>
    <w:link w:val="OMBPackageHeading1Char"/>
    <w:uiPriority w:val="99"/>
    <w:rsid w:val="000367A9"/>
    <w:pPr>
      <w:jc w:val="center"/>
    </w:pPr>
    <w:rPr>
      <w:caps/>
      <w:color w:val="0070C0"/>
    </w:rPr>
  </w:style>
  <w:style w:type="paragraph" w:customStyle="1" w:styleId="OMBPackageHeading2">
    <w:name w:val="OMB Package Heading 2"/>
    <w:basedOn w:val="ListParagraph"/>
    <w:link w:val="OMBPackageHeading2Char"/>
    <w:uiPriority w:val="99"/>
    <w:rsid w:val="00FF6CCF"/>
    <w:pPr>
      <w:keepNext/>
      <w:numPr>
        <w:numId w:val="4"/>
      </w:numPr>
      <w:tabs>
        <w:tab w:val="left" w:pos="900"/>
      </w:tabs>
      <w:spacing w:before="360" w:after="240" w:line="240" w:lineRule="auto"/>
      <w:ind w:left="547" w:hanging="547"/>
    </w:pPr>
    <w:rPr>
      <w:b/>
      <w:color w:val="365F91"/>
      <w:sz w:val="28"/>
      <w:szCs w:val="24"/>
    </w:rPr>
  </w:style>
  <w:style w:type="character" w:customStyle="1" w:styleId="OMBPackageHeading1Char">
    <w:name w:val="OMB Package Heading 1 Char"/>
    <w:link w:val="OMBPackageHeading1"/>
    <w:uiPriority w:val="99"/>
    <w:locked/>
    <w:rsid w:val="000367A9"/>
    <w:rPr>
      <w:rFonts w:ascii="Cambria" w:hAnsi="Cambria"/>
      <w:b/>
      <w:caps/>
      <w:color w:val="0070C0"/>
      <w:kern w:val="32"/>
      <w:sz w:val="32"/>
    </w:rPr>
  </w:style>
  <w:style w:type="character" w:customStyle="1" w:styleId="ListParagraphChar">
    <w:name w:val="List Paragraph Char"/>
    <w:link w:val="ListParagraph"/>
    <w:uiPriority w:val="99"/>
    <w:locked/>
    <w:rsid w:val="00F83C7A"/>
    <w:rPr>
      <w:sz w:val="22"/>
    </w:rPr>
  </w:style>
  <w:style w:type="character" w:customStyle="1" w:styleId="OMBPackageHeading2Char">
    <w:name w:val="OMB Package Heading 2 Char"/>
    <w:link w:val="OMBPackageHeading2"/>
    <w:uiPriority w:val="99"/>
    <w:locked/>
    <w:rsid w:val="00FF6CCF"/>
    <w:rPr>
      <w:b/>
      <w:color w:val="365F91"/>
      <w:sz w:val="24"/>
    </w:rPr>
  </w:style>
  <w:style w:type="paragraph" w:styleId="TOCHeading">
    <w:name w:val="TOC Heading"/>
    <w:basedOn w:val="Heading1"/>
    <w:next w:val="Normal"/>
    <w:uiPriority w:val="99"/>
    <w:qFormat/>
    <w:rsid w:val="00854671"/>
    <w:pPr>
      <w:keepLines/>
      <w:spacing w:before="480" w:after="0"/>
      <w:outlineLvl w:val="9"/>
    </w:pPr>
    <w:rPr>
      <w:color w:val="365F91"/>
      <w:kern w:val="0"/>
      <w:sz w:val="28"/>
      <w:szCs w:val="28"/>
    </w:rPr>
  </w:style>
  <w:style w:type="paragraph" w:styleId="TOC1">
    <w:name w:val="toc 1"/>
    <w:basedOn w:val="Normal"/>
    <w:next w:val="Normal"/>
    <w:autoRedefine/>
    <w:uiPriority w:val="99"/>
    <w:locked/>
    <w:rsid w:val="00854671"/>
  </w:style>
  <w:style w:type="paragraph" w:styleId="TOC2">
    <w:name w:val="toc 2"/>
    <w:basedOn w:val="Normal"/>
    <w:next w:val="Normal"/>
    <w:autoRedefine/>
    <w:uiPriority w:val="99"/>
    <w:locked/>
    <w:rsid w:val="00854671"/>
    <w:pPr>
      <w:ind w:left="220"/>
    </w:pPr>
  </w:style>
  <w:style w:type="paragraph" w:styleId="Caption">
    <w:name w:val="caption"/>
    <w:basedOn w:val="Normal"/>
    <w:next w:val="Normal"/>
    <w:uiPriority w:val="99"/>
    <w:qFormat/>
    <w:locked/>
    <w:rsid w:val="003A6E19"/>
    <w:pPr>
      <w:keepNext/>
      <w:spacing w:after="0"/>
    </w:pPr>
    <w:rPr>
      <w:b/>
      <w:bCs/>
      <w:szCs w:val="20"/>
    </w:rPr>
  </w:style>
  <w:style w:type="paragraph" w:styleId="TableofFigures">
    <w:name w:val="table of figures"/>
    <w:basedOn w:val="Normal"/>
    <w:next w:val="Normal"/>
    <w:uiPriority w:val="99"/>
    <w:rsid w:val="002300AB"/>
  </w:style>
  <w:style w:type="paragraph" w:styleId="Revision">
    <w:name w:val="Revision"/>
    <w:hidden/>
    <w:uiPriority w:val="99"/>
    <w:semiHidden/>
    <w:rsid w:val="00AC123C"/>
    <w:rPr>
      <w:sz w:val="22"/>
      <w:szCs w:val="22"/>
    </w:rPr>
  </w:style>
  <w:style w:type="character" w:styleId="FollowedHyperlink">
    <w:name w:val="FollowedHyperlink"/>
    <w:uiPriority w:val="99"/>
    <w:rsid w:val="00967737"/>
    <w:rPr>
      <w:rFonts w:cs="Times New Roman"/>
      <w:color w:val="800080"/>
      <w:u w:val="single"/>
    </w:rPr>
  </w:style>
  <w:style w:type="paragraph" w:styleId="NormalWeb">
    <w:name w:val="Normal (Web)"/>
    <w:basedOn w:val="Normal"/>
    <w:uiPriority w:val="99"/>
    <w:semiHidden/>
    <w:unhideWhenUsed/>
    <w:rsid w:val="00124C3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semiHidden="0" w:uiPriority="0" w:unhideWhenUsed="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3D57"/>
    <w:pPr>
      <w:spacing w:after="200" w:line="276" w:lineRule="auto"/>
    </w:pPr>
    <w:rPr>
      <w:sz w:val="22"/>
      <w:szCs w:val="22"/>
    </w:rPr>
  </w:style>
  <w:style w:type="paragraph" w:styleId="Heading1">
    <w:name w:val="heading 1"/>
    <w:basedOn w:val="Normal"/>
    <w:next w:val="Normal"/>
    <w:link w:val="Heading1Char"/>
    <w:uiPriority w:val="99"/>
    <w:qFormat/>
    <w:locked/>
    <w:rsid w:val="000367A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85467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67A9"/>
    <w:rPr>
      <w:rFonts w:ascii="Cambria" w:hAnsi="Cambria"/>
      <w:b/>
      <w:kern w:val="32"/>
      <w:sz w:val="32"/>
    </w:rPr>
  </w:style>
  <w:style w:type="character" w:customStyle="1" w:styleId="Heading2Char">
    <w:name w:val="Heading 2 Char"/>
    <w:link w:val="Heading2"/>
    <w:uiPriority w:val="99"/>
    <w:semiHidden/>
    <w:locked/>
    <w:rsid w:val="00854671"/>
    <w:rPr>
      <w:rFonts w:ascii="Cambria" w:hAnsi="Cambria"/>
      <w:b/>
      <w:i/>
      <w:sz w:val="28"/>
    </w:rPr>
  </w:style>
  <w:style w:type="paragraph" w:styleId="ListParagraph">
    <w:name w:val="List Paragraph"/>
    <w:basedOn w:val="Normal"/>
    <w:link w:val="ListParagraphChar"/>
    <w:uiPriority w:val="99"/>
    <w:qFormat/>
    <w:rsid w:val="00F233F9"/>
    <w:pPr>
      <w:ind w:left="720"/>
      <w:contextualSpacing/>
    </w:pPr>
  </w:style>
  <w:style w:type="character" w:styleId="CommentReference">
    <w:name w:val="annotation reference"/>
    <w:uiPriority w:val="99"/>
    <w:rsid w:val="00ED0CAA"/>
    <w:rPr>
      <w:rFonts w:cs="Times New Roman"/>
      <w:sz w:val="16"/>
    </w:rPr>
  </w:style>
  <w:style w:type="paragraph" w:styleId="CommentText">
    <w:name w:val="annotation text"/>
    <w:basedOn w:val="Normal"/>
    <w:link w:val="CommentTextChar"/>
    <w:uiPriority w:val="99"/>
    <w:rsid w:val="00ED0CAA"/>
    <w:pPr>
      <w:spacing w:line="240" w:lineRule="auto"/>
    </w:pPr>
    <w:rPr>
      <w:sz w:val="20"/>
      <w:szCs w:val="20"/>
    </w:rPr>
  </w:style>
  <w:style w:type="character" w:customStyle="1" w:styleId="CommentTextChar">
    <w:name w:val="Comment Text Char"/>
    <w:link w:val="CommentText"/>
    <w:uiPriority w:val="99"/>
    <w:locked/>
    <w:rsid w:val="00ED0CAA"/>
    <w:rPr>
      <w:sz w:val="20"/>
    </w:rPr>
  </w:style>
  <w:style w:type="paragraph" w:styleId="CommentSubject">
    <w:name w:val="annotation subject"/>
    <w:basedOn w:val="CommentText"/>
    <w:next w:val="CommentText"/>
    <w:link w:val="CommentSubjectChar"/>
    <w:uiPriority w:val="99"/>
    <w:semiHidden/>
    <w:rsid w:val="00ED0CAA"/>
    <w:rPr>
      <w:b/>
      <w:bCs/>
    </w:rPr>
  </w:style>
  <w:style w:type="character" w:customStyle="1" w:styleId="CommentSubjectChar">
    <w:name w:val="Comment Subject Char"/>
    <w:link w:val="CommentSubject"/>
    <w:uiPriority w:val="99"/>
    <w:semiHidden/>
    <w:locked/>
    <w:rsid w:val="00ED0CAA"/>
    <w:rPr>
      <w:b/>
      <w:sz w:val="20"/>
    </w:rPr>
  </w:style>
  <w:style w:type="paragraph" w:styleId="BalloonText">
    <w:name w:val="Balloon Text"/>
    <w:basedOn w:val="Normal"/>
    <w:link w:val="BalloonTextChar"/>
    <w:uiPriority w:val="99"/>
    <w:semiHidden/>
    <w:rsid w:val="00ED0CA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D0CAA"/>
    <w:rPr>
      <w:rFonts w:ascii="Tahoma" w:hAnsi="Tahoma"/>
      <w:sz w:val="16"/>
    </w:rPr>
  </w:style>
  <w:style w:type="table" w:customStyle="1" w:styleId="TableGrid9">
    <w:name w:val="Table Grid9"/>
    <w:uiPriority w:val="99"/>
    <w:rsid w:val="00A35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35A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6376A"/>
    <w:rPr>
      <w:rFonts w:cs="Times New Roman"/>
      <w:color w:val="0000FF"/>
      <w:u w:val="single"/>
    </w:rPr>
  </w:style>
  <w:style w:type="paragraph" w:styleId="FootnoteText">
    <w:name w:val="footnote text"/>
    <w:basedOn w:val="Normal"/>
    <w:link w:val="FootnoteTextChar"/>
    <w:uiPriority w:val="99"/>
    <w:rsid w:val="00C6376A"/>
    <w:pPr>
      <w:spacing w:after="0" w:line="240" w:lineRule="auto"/>
    </w:pPr>
    <w:rPr>
      <w:rFonts w:ascii="Times New Roman" w:hAnsi="Times New Roman"/>
      <w:sz w:val="20"/>
      <w:szCs w:val="20"/>
    </w:rPr>
  </w:style>
  <w:style w:type="character" w:customStyle="1" w:styleId="FootnoteTextChar">
    <w:name w:val="Footnote Text Char"/>
    <w:link w:val="FootnoteText"/>
    <w:uiPriority w:val="99"/>
    <w:locked/>
    <w:rsid w:val="00C6376A"/>
    <w:rPr>
      <w:rFonts w:ascii="Times New Roman" w:hAnsi="Times New Roman"/>
      <w:sz w:val="20"/>
    </w:rPr>
  </w:style>
  <w:style w:type="character" w:styleId="FootnoteReference">
    <w:name w:val="footnote reference"/>
    <w:uiPriority w:val="99"/>
    <w:rsid w:val="00C6376A"/>
    <w:rPr>
      <w:rFonts w:cs="Times New Roman"/>
      <w:vertAlign w:val="superscript"/>
    </w:rPr>
  </w:style>
  <w:style w:type="paragraph" w:customStyle="1" w:styleId="Default">
    <w:name w:val="Default"/>
    <w:uiPriority w:val="99"/>
    <w:rsid w:val="00A353DB"/>
    <w:pPr>
      <w:autoSpaceDE w:val="0"/>
      <w:autoSpaceDN w:val="0"/>
      <w:adjustRightInd w:val="0"/>
    </w:pPr>
    <w:rPr>
      <w:rFonts w:ascii="Lucida Sans" w:hAnsi="Lucida Sans" w:cs="Lucida Sans"/>
      <w:color w:val="000000"/>
      <w:sz w:val="24"/>
      <w:szCs w:val="24"/>
    </w:rPr>
  </w:style>
  <w:style w:type="paragraph" w:styleId="Header">
    <w:name w:val="header"/>
    <w:basedOn w:val="Normal"/>
    <w:link w:val="HeaderChar"/>
    <w:uiPriority w:val="99"/>
    <w:semiHidden/>
    <w:rsid w:val="00A53A12"/>
    <w:pPr>
      <w:tabs>
        <w:tab w:val="center" w:pos="4680"/>
        <w:tab w:val="right" w:pos="9360"/>
      </w:tabs>
    </w:pPr>
  </w:style>
  <w:style w:type="character" w:customStyle="1" w:styleId="HeaderChar">
    <w:name w:val="Header Char"/>
    <w:link w:val="Header"/>
    <w:uiPriority w:val="99"/>
    <w:semiHidden/>
    <w:locked/>
    <w:rsid w:val="00A53A12"/>
    <w:rPr>
      <w:rFonts w:cs="Times New Roman"/>
    </w:rPr>
  </w:style>
  <w:style w:type="paragraph" w:styleId="Footer">
    <w:name w:val="footer"/>
    <w:basedOn w:val="Normal"/>
    <w:link w:val="FooterChar"/>
    <w:uiPriority w:val="99"/>
    <w:rsid w:val="00A53A12"/>
    <w:pPr>
      <w:tabs>
        <w:tab w:val="center" w:pos="4680"/>
        <w:tab w:val="right" w:pos="9360"/>
      </w:tabs>
    </w:pPr>
  </w:style>
  <w:style w:type="character" w:customStyle="1" w:styleId="FooterChar">
    <w:name w:val="Footer Char"/>
    <w:link w:val="Footer"/>
    <w:uiPriority w:val="99"/>
    <w:locked/>
    <w:rsid w:val="00A53A12"/>
    <w:rPr>
      <w:rFonts w:cs="Times New Roman"/>
    </w:rPr>
  </w:style>
  <w:style w:type="paragraph" w:customStyle="1" w:styleId="OMBPackageHeading1">
    <w:name w:val="OMB Package Heading 1"/>
    <w:basedOn w:val="Heading1"/>
    <w:link w:val="OMBPackageHeading1Char"/>
    <w:uiPriority w:val="99"/>
    <w:rsid w:val="000367A9"/>
    <w:pPr>
      <w:jc w:val="center"/>
    </w:pPr>
    <w:rPr>
      <w:caps/>
      <w:color w:val="0070C0"/>
    </w:rPr>
  </w:style>
  <w:style w:type="paragraph" w:customStyle="1" w:styleId="OMBPackageHeading2">
    <w:name w:val="OMB Package Heading 2"/>
    <w:basedOn w:val="ListParagraph"/>
    <w:link w:val="OMBPackageHeading2Char"/>
    <w:uiPriority w:val="99"/>
    <w:rsid w:val="00FF6CCF"/>
    <w:pPr>
      <w:keepNext/>
      <w:numPr>
        <w:numId w:val="4"/>
      </w:numPr>
      <w:tabs>
        <w:tab w:val="left" w:pos="900"/>
      </w:tabs>
      <w:spacing w:before="360" w:after="240" w:line="240" w:lineRule="auto"/>
      <w:ind w:left="547" w:hanging="547"/>
    </w:pPr>
    <w:rPr>
      <w:b/>
      <w:color w:val="365F91"/>
      <w:sz w:val="28"/>
      <w:szCs w:val="24"/>
    </w:rPr>
  </w:style>
  <w:style w:type="character" w:customStyle="1" w:styleId="OMBPackageHeading1Char">
    <w:name w:val="OMB Package Heading 1 Char"/>
    <w:link w:val="OMBPackageHeading1"/>
    <w:uiPriority w:val="99"/>
    <w:locked/>
    <w:rsid w:val="000367A9"/>
    <w:rPr>
      <w:rFonts w:ascii="Cambria" w:hAnsi="Cambria"/>
      <w:b/>
      <w:caps/>
      <w:color w:val="0070C0"/>
      <w:kern w:val="32"/>
      <w:sz w:val="32"/>
    </w:rPr>
  </w:style>
  <w:style w:type="character" w:customStyle="1" w:styleId="ListParagraphChar">
    <w:name w:val="List Paragraph Char"/>
    <w:link w:val="ListParagraph"/>
    <w:uiPriority w:val="99"/>
    <w:locked/>
    <w:rsid w:val="00F83C7A"/>
    <w:rPr>
      <w:sz w:val="22"/>
    </w:rPr>
  </w:style>
  <w:style w:type="character" w:customStyle="1" w:styleId="OMBPackageHeading2Char">
    <w:name w:val="OMB Package Heading 2 Char"/>
    <w:link w:val="OMBPackageHeading2"/>
    <w:uiPriority w:val="99"/>
    <w:locked/>
    <w:rsid w:val="00FF6CCF"/>
    <w:rPr>
      <w:b/>
      <w:color w:val="365F91"/>
      <w:sz w:val="24"/>
    </w:rPr>
  </w:style>
  <w:style w:type="paragraph" w:styleId="TOCHeading">
    <w:name w:val="TOC Heading"/>
    <w:basedOn w:val="Heading1"/>
    <w:next w:val="Normal"/>
    <w:uiPriority w:val="99"/>
    <w:qFormat/>
    <w:rsid w:val="00854671"/>
    <w:pPr>
      <w:keepLines/>
      <w:spacing w:before="480" w:after="0"/>
      <w:outlineLvl w:val="9"/>
    </w:pPr>
    <w:rPr>
      <w:color w:val="365F91"/>
      <w:kern w:val="0"/>
      <w:sz w:val="28"/>
      <w:szCs w:val="28"/>
    </w:rPr>
  </w:style>
  <w:style w:type="paragraph" w:styleId="TOC1">
    <w:name w:val="toc 1"/>
    <w:basedOn w:val="Normal"/>
    <w:next w:val="Normal"/>
    <w:autoRedefine/>
    <w:uiPriority w:val="99"/>
    <w:locked/>
    <w:rsid w:val="00854671"/>
  </w:style>
  <w:style w:type="paragraph" w:styleId="TOC2">
    <w:name w:val="toc 2"/>
    <w:basedOn w:val="Normal"/>
    <w:next w:val="Normal"/>
    <w:autoRedefine/>
    <w:uiPriority w:val="99"/>
    <w:locked/>
    <w:rsid w:val="00854671"/>
    <w:pPr>
      <w:ind w:left="220"/>
    </w:pPr>
  </w:style>
  <w:style w:type="paragraph" w:styleId="Caption">
    <w:name w:val="caption"/>
    <w:basedOn w:val="Normal"/>
    <w:next w:val="Normal"/>
    <w:uiPriority w:val="99"/>
    <w:qFormat/>
    <w:locked/>
    <w:rsid w:val="003A6E19"/>
    <w:pPr>
      <w:keepNext/>
      <w:spacing w:after="0"/>
    </w:pPr>
    <w:rPr>
      <w:b/>
      <w:bCs/>
      <w:szCs w:val="20"/>
    </w:rPr>
  </w:style>
  <w:style w:type="paragraph" w:styleId="TableofFigures">
    <w:name w:val="table of figures"/>
    <w:basedOn w:val="Normal"/>
    <w:next w:val="Normal"/>
    <w:uiPriority w:val="99"/>
    <w:rsid w:val="002300AB"/>
  </w:style>
  <w:style w:type="paragraph" w:styleId="Revision">
    <w:name w:val="Revision"/>
    <w:hidden/>
    <w:uiPriority w:val="99"/>
    <w:semiHidden/>
    <w:rsid w:val="00AC123C"/>
    <w:rPr>
      <w:sz w:val="22"/>
      <w:szCs w:val="22"/>
    </w:rPr>
  </w:style>
  <w:style w:type="character" w:styleId="FollowedHyperlink">
    <w:name w:val="FollowedHyperlink"/>
    <w:uiPriority w:val="99"/>
    <w:rsid w:val="00967737"/>
    <w:rPr>
      <w:rFonts w:cs="Times New Roman"/>
      <w:color w:val="800080"/>
      <w:u w:val="single"/>
    </w:rPr>
  </w:style>
  <w:style w:type="paragraph" w:styleId="NormalWeb">
    <w:name w:val="Normal (Web)"/>
    <w:basedOn w:val="Normal"/>
    <w:uiPriority w:val="99"/>
    <w:semiHidden/>
    <w:unhideWhenUsed/>
    <w:rsid w:val="00124C3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291">
      <w:bodyDiv w:val="1"/>
      <w:marLeft w:val="0"/>
      <w:marRight w:val="0"/>
      <w:marTop w:val="0"/>
      <w:marBottom w:val="0"/>
      <w:divBdr>
        <w:top w:val="none" w:sz="0" w:space="0" w:color="auto"/>
        <w:left w:val="none" w:sz="0" w:space="0" w:color="auto"/>
        <w:bottom w:val="none" w:sz="0" w:space="0" w:color="auto"/>
        <w:right w:val="none" w:sz="0" w:space="0" w:color="auto"/>
      </w:divBdr>
    </w:div>
    <w:div w:id="1890337629">
      <w:marLeft w:val="0"/>
      <w:marRight w:val="0"/>
      <w:marTop w:val="0"/>
      <w:marBottom w:val="0"/>
      <w:divBdr>
        <w:top w:val="none" w:sz="0" w:space="0" w:color="auto"/>
        <w:left w:val="none" w:sz="0" w:space="0" w:color="auto"/>
        <w:bottom w:val="none" w:sz="0" w:space="0" w:color="auto"/>
        <w:right w:val="none" w:sz="0" w:space="0" w:color="auto"/>
      </w:divBdr>
    </w:div>
    <w:div w:id="1890337630">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60"/>
      <w:marRight w:val="60"/>
      <w:marTop w:val="60"/>
      <w:marBottom w:val="15"/>
      <w:divBdr>
        <w:top w:val="none" w:sz="0" w:space="0" w:color="auto"/>
        <w:left w:val="none" w:sz="0" w:space="0" w:color="auto"/>
        <w:bottom w:val="none" w:sz="0" w:space="0" w:color="auto"/>
        <w:right w:val="none" w:sz="0" w:space="0" w:color="auto"/>
      </w:divBdr>
      <w:divsChild>
        <w:div w:id="1937908631">
          <w:marLeft w:val="0"/>
          <w:marRight w:val="0"/>
          <w:marTop w:val="0"/>
          <w:marBottom w:val="0"/>
          <w:divBdr>
            <w:top w:val="none" w:sz="0" w:space="0" w:color="auto"/>
            <w:left w:val="none" w:sz="0" w:space="0" w:color="auto"/>
            <w:bottom w:val="none" w:sz="0" w:space="0" w:color="auto"/>
            <w:right w:val="none" w:sz="0" w:space="0" w:color="auto"/>
          </w:divBdr>
        </w:div>
        <w:div w:id="2076657225">
          <w:marLeft w:val="0"/>
          <w:marRight w:val="0"/>
          <w:marTop w:val="0"/>
          <w:marBottom w:val="0"/>
          <w:divBdr>
            <w:top w:val="none" w:sz="0" w:space="0" w:color="auto"/>
            <w:left w:val="none" w:sz="0" w:space="0" w:color="auto"/>
            <w:bottom w:val="none" w:sz="0" w:space="0" w:color="auto"/>
            <w:right w:val="none" w:sz="0" w:space="0" w:color="auto"/>
          </w:divBdr>
        </w:div>
        <w:div w:id="2033453730">
          <w:marLeft w:val="0"/>
          <w:marRight w:val="0"/>
          <w:marTop w:val="0"/>
          <w:marBottom w:val="0"/>
          <w:divBdr>
            <w:top w:val="none" w:sz="0" w:space="0" w:color="auto"/>
            <w:left w:val="none" w:sz="0" w:space="0" w:color="auto"/>
            <w:bottom w:val="none" w:sz="0" w:space="0" w:color="auto"/>
            <w:right w:val="none" w:sz="0" w:space="0" w:color="auto"/>
          </w:divBdr>
        </w:div>
        <w:div w:id="17050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da.gov/downloads/ForIndustry/UserFees/PrescriptionDrugUserFee/UCM3047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76E73-5084-422F-8C9E-A60B1D28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2380</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Eastern Research Group, Inc.</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ALord</dc:creator>
  <cp:lastModifiedBy>Mizrachi, Ila</cp:lastModifiedBy>
  <cp:revision>7</cp:revision>
  <cp:lastPrinted>2013-02-19T16:52:00Z</cp:lastPrinted>
  <dcterms:created xsi:type="dcterms:W3CDTF">2013-04-30T14:16:00Z</dcterms:created>
  <dcterms:modified xsi:type="dcterms:W3CDTF">2013-05-03T18:49:00Z</dcterms:modified>
</cp:coreProperties>
</file>