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7C" w:rsidRDefault="00E0607C" w:rsidP="00E0607C">
      <w:pPr>
        <w:pStyle w:val="Heading1"/>
        <w:tabs>
          <w:tab w:val="right" w:pos="10080"/>
        </w:tabs>
        <w:jc w:val="center"/>
        <w:rPr>
          <w:b/>
          <w:bCs/>
          <w:szCs w:val="24"/>
        </w:rPr>
      </w:pPr>
      <w:r>
        <w:rPr>
          <w:b/>
          <w:bCs/>
          <w:szCs w:val="24"/>
        </w:rPr>
        <w:t>National Quitline Data Warehouse (NQDW)</w:t>
      </w:r>
    </w:p>
    <w:p w:rsidR="00E0607C" w:rsidRDefault="00E0607C" w:rsidP="00E0607C">
      <w:pPr>
        <w:pStyle w:val="Heading1"/>
        <w:tabs>
          <w:tab w:val="right" w:pos="10080"/>
        </w:tabs>
        <w:jc w:val="center"/>
      </w:pPr>
      <w:r>
        <w:t>(OMB no. 0920-0856, approved 10/1/2012, exp. date 10/31/2015)</w:t>
      </w:r>
    </w:p>
    <w:p w:rsidR="00E0607C" w:rsidRDefault="00E0607C" w:rsidP="00E0607C">
      <w:pPr>
        <w:rPr>
          <w:lang w:eastAsia="en-US"/>
        </w:rPr>
      </w:pPr>
    </w:p>
    <w:p w:rsidR="00E0607C" w:rsidRDefault="00E0607C" w:rsidP="00E0607C">
      <w:pPr>
        <w:pStyle w:val="Heading1"/>
        <w:tabs>
          <w:tab w:val="right" w:pos="10080"/>
        </w:tabs>
        <w:jc w:val="center"/>
        <w:rPr>
          <w:b/>
          <w:bCs/>
          <w:szCs w:val="24"/>
        </w:rPr>
      </w:pPr>
      <w:r>
        <w:rPr>
          <w:b/>
          <w:bCs/>
          <w:szCs w:val="24"/>
        </w:rPr>
        <w:t>Justification for Non-Substantive Change</w:t>
      </w:r>
    </w:p>
    <w:p w:rsidR="00E0607C" w:rsidRDefault="00273AC1" w:rsidP="00E0607C">
      <w:pPr>
        <w:jc w:val="center"/>
        <w:rPr>
          <w:lang w:eastAsia="en-US"/>
        </w:rPr>
      </w:pPr>
      <w:r>
        <w:rPr>
          <w:lang w:eastAsia="en-US"/>
        </w:rPr>
        <w:t>May 2</w:t>
      </w:r>
      <w:r w:rsidR="00D43CB0">
        <w:rPr>
          <w:lang w:eastAsia="en-US"/>
        </w:rPr>
        <w:t>0</w:t>
      </w:r>
      <w:r w:rsidR="00E0607C">
        <w:rPr>
          <w:lang w:eastAsia="en-US"/>
        </w:rPr>
        <w:t>, 2013</w:t>
      </w:r>
    </w:p>
    <w:p w:rsidR="00E0607C" w:rsidRDefault="00E0607C"/>
    <w:p w:rsidR="00E0607C" w:rsidRDefault="00E0607C" w:rsidP="00E0607C">
      <w:pPr>
        <w:pStyle w:val="Heading1"/>
        <w:tabs>
          <w:tab w:val="right" w:pos="10080"/>
        </w:tabs>
        <w:rPr>
          <w:b/>
          <w:szCs w:val="24"/>
        </w:rPr>
      </w:pPr>
      <w:r>
        <w:rPr>
          <w:b/>
          <w:szCs w:val="24"/>
        </w:rPr>
        <w:t>Summary</w:t>
      </w:r>
    </w:p>
    <w:p w:rsidR="00E0607C" w:rsidRDefault="00E0607C" w:rsidP="00E0607C">
      <w:pPr>
        <w:rPr>
          <w:lang w:eastAsia="en-US"/>
        </w:rPr>
      </w:pPr>
    </w:p>
    <w:p w:rsidR="00E0607C" w:rsidRDefault="00E0607C" w:rsidP="00E0607C">
      <w:pPr>
        <w:pStyle w:val="Heading1"/>
        <w:tabs>
          <w:tab w:val="right" w:pos="10080"/>
        </w:tabs>
        <w:rPr>
          <w:szCs w:val="24"/>
        </w:rPr>
      </w:pPr>
      <w:r>
        <w:rPr>
          <w:szCs w:val="24"/>
        </w:rPr>
        <w:t>Information collection for the National Quitline Data Warehouse (NQDW) consists of:</w:t>
      </w:r>
    </w:p>
    <w:p w:rsidR="00E0607C" w:rsidRDefault="00E0607C" w:rsidP="00E0607C">
      <w:pPr>
        <w:pStyle w:val="Heading1"/>
        <w:tabs>
          <w:tab w:val="left" w:pos="720"/>
          <w:tab w:val="right" w:pos="10080"/>
        </w:tabs>
        <w:ind w:left="720" w:hanging="360"/>
        <w:rPr>
          <w:szCs w:val="24"/>
        </w:rPr>
      </w:pPr>
      <w:r>
        <w:rPr>
          <w:szCs w:val="24"/>
        </w:rPr>
        <w:t xml:space="preserve">(1) </w:t>
      </w:r>
      <w:proofErr w:type="gramStart"/>
      <w:r>
        <w:rPr>
          <w:szCs w:val="24"/>
        </w:rPr>
        <w:t>an</w:t>
      </w:r>
      <w:proofErr w:type="gramEnd"/>
      <w:r>
        <w:rPr>
          <w:szCs w:val="24"/>
        </w:rPr>
        <w:t xml:space="preserve"> intake survey for all Quitline callers,</w:t>
      </w:r>
    </w:p>
    <w:p w:rsidR="00E0607C" w:rsidRDefault="00E0607C" w:rsidP="00E0607C">
      <w:pPr>
        <w:pStyle w:val="Heading1"/>
        <w:tabs>
          <w:tab w:val="left" w:pos="720"/>
          <w:tab w:val="right" w:pos="10080"/>
        </w:tabs>
        <w:ind w:left="720" w:hanging="360"/>
        <w:rPr>
          <w:szCs w:val="24"/>
        </w:rPr>
      </w:pPr>
      <w:r>
        <w:rPr>
          <w:szCs w:val="24"/>
        </w:rPr>
        <w:t xml:space="preserve">(2) </w:t>
      </w:r>
      <w:proofErr w:type="gramStart"/>
      <w:r>
        <w:rPr>
          <w:szCs w:val="24"/>
        </w:rPr>
        <w:t>a</w:t>
      </w:r>
      <w:proofErr w:type="gramEnd"/>
      <w:r>
        <w:rPr>
          <w:szCs w:val="24"/>
        </w:rPr>
        <w:t xml:space="preserve"> follow-up survey administered to a sample of Quitline callers seven months after the intake survey, and </w:t>
      </w:r>
    </w:p>
    <w:p w:rsidR="00E0607C" w:rsidRDefault="00E0607C" w:rsidP="00E0607C">
      <w:pPr>
        <w:pStyle w:val="Heading1"/>
        <w:tabs>
          <w:tab w:val="left" w:pos="720"/>
          <w:tab w:val="right" w:pos="10080"/>
        </w:tabs>
        <w:ind w:left="720" w:hanging="360"/>
        <w:rPr>
          <w:szCs w:val="24"/>
        </w:rPr>
      </w:pPr>
      <w:r>
        <w:rPr>
          <w:szCs w:val="24"/>
        </w:rPr>
        <w:t xml:space="preserve">(3) </w:t>
      </w:r>
      <w:proofErr w:type="gramStart"/>
      <w:r>
        <w:rPr>
          <w:szCs w:val="24"/>
        </w:rPr>
        <w:t>a</w:t>
      </w:r>
      <w:proofErr w:type="gramEnd"/>
      <w:r>
        <w:rPr>
          <w:szCs w:val="24"/>
        </w:rPr>
        <w:t xml:space="preserve"> </w:t>
      </w:r>
      <w:r w:rsidR="00D43CB0">
        <w:rPr>
          <w:szCs w:val="24"/>
        </w:rPr>
        <w:t xml:space="preserve">NQDW </w:t>
      </w:r>
      <w:r>
        <w:rPr>
          <w:szCs w:val="24"/>
        </w:rPr>
        <w:t xml:space="preserve">Quitline </w:t>
      </w:r>
      <w:r w:rsidR="00D43CB0">
        <w:rPr>
          <w:szCs w:val="24"/>
        </w:rPr>
        <w:t>S</w:t>
      </w:r>
      <w:r>
        <w:rPr>
          <w:szCs w:val="24"/>
        </w:rPr>
        <w:t xml:space="preserve">ervices </w:t>
      </w:r>
      <w:r w:rsidR="00D43CB0">
        <w:rPr>
          <w:szCs w:val="24"/>
        </w:rPr>
        <w:t>Survey</w:t>
      </w:r>
      <w:r>
        <w:rPr>
          <w:szCs w:val="24"/>
        </w:rPr>
        <w:t xml:space="preserve"> that is completed by the state tobacco control manager four times per year</w:t>
      </w:r>
      <w:r w:rsidR="003C3CD4">
        <w:rPr>
          <w:szCs w:val="24"/>
        </w:rPr>
        <w:t xml:space="preserve">.  This survey summarizes </w:t>
      </w:r>
      <w:r w:rsidR="00D43CB0">
        <w:rPr>
          <w:szCs w:val="24"/>
        </w:rPr>
        <w:t>services offered in the state/territory</w:t>
      </w:r>
      <w:r>
        <w:rPr>
          <w:szCs w:val="24"/>
        </w:rPr>
        <w:t>.</w:t>
      </w:r>
    </w:p>
    <w:p w:rsidR="00E0607C" w:rsidRDefault="00E0607C" w:rsidP="00E0607C">
      <w:pPr>
        <w:pStyle w:val="Heading1"/>
        <w:tabs>
          <w:tab w:val="right" w:pos="10080"/>
        </w:tabs>
        <w:rPr>
          <w:szCs w:val="24"/>
        </w:rPr>
      </w:pPr>
    </w:p>
    <w:p w:rsidR="00BD0C6A" w:rsidRDefault="00E0607C" w:rsidP="00BD0C6A">
      <w:pPr>
        <w:pStyle w:val="Heading1"/>
        <w:tabs>
          <w:tab w:val="right" w:pos="10080"/>
        </w:tabs>
      </w:pPr>
      <w:r>
        <w:rPr>
          <w:szCs w:val="24"/>
        </w:rPr>
        <w:t>We request the following:</w:t>
      </w:r>
      <w:r w:rsidR="00BD0C6A">
        <w:rPr>
          <w:szCs w:val="24"/>
        </w:rPr>
        <w:t xml:space="preserve">  </w:t>
      </w:r>
      <w:r>
        <w:t xml:space="preserve">OMB approval of </w:t>
      </w:r>
      <w:r w:rsidR="000165C7">
        <w:t>a re-designed</w:t>
      </w:r>
      <w:r w:rsidR="009478AE">
        <w:t xml:space="preserve">, </w:t>
      </w:r>
      <w:r w:rsidR="00BD0C6A">
        <w:t xml:space="preserve">NQDW </w:t>
      </w:r>
      <w:r>
        <w:t xml:space="preserve">Quitline Services Survey. </w:t>
      </w:r>
    </w:p>
    <w:p w:rsidR="00BD0C6A" w:rsidRPr="00BD0C6A" w:rsidRDefault="00BD0C6A" w:rsidP="00BD0C6A">
      <w:pPr>
        <w:rPr>
          <w:lang w:eastAsia="en-US"/>
        </w:rPr>
      </w:pPr>
    </w:p>
    <w:p w:rsidR="00D43CB0" w:rsidRPr="00BD0C6A" w:rsidRDefault="00BD0C6A" w:rsidP="00BD0C6A">
      <w:pPr>
        <w:pStyle w:val="Heading1"/>
        <w:tabs>
          <w:tab w:val="right" w:pos="10080"/>
        </w:tabs>
        <w:rPr>
          <w:szCs w:val="24"/>
        </w:rPr>
      </w:pPr>
      <w:r>
        <w:t>T</w:t>
      </w:r>
      <w:r w:rsidR="00273AC1">
        <w:t>he re-designed survey does not change the content of the previous service</w:t>
      </w:r>
      <w:r>
        <w:t>s survey.  It merely presents the content</w:t>
      </w:r>
      <w:r w:rsidR="00273AC1">
        <w:t xml:space="preserve"> in a more succinct way for more appropriate data collection.  </w:t>
      </w:r>
      <w:r w:rsidR="00D43CB0">
        <w:t>We will</w:t>
      </w:r>
    </w:p>
    <w:p w:rsidR="00BD0C6A" w:rsidRDefault="00D43CB0" w:rsidP="00BD0C6A">
      <w:pPr>
        <w:pStyle w:val="ListParagraph"/>
        <w:numPr>
          <w:ilvl w:val="0"/>
          <w:numId w:val="4"/>
        </w:numPr>
        <w:rPr>
          <w:lang w:eastAsia="en-US"/>
        </w:rPr>
      </w:pPr>
      <w:r>
        <w:rPr>
          <w:lang w:eastAsia="en-US"/>
        </w:rPr>
        <w:t>Discontinue use of the current NQDW Quitline Services Survey (previously approved Attachment G1; uploaded to Reginfo.gov in two .PDF files).</w:t>
      </w:r>
    </w:p>
    <w:p w:rsidR="00E0607C" w:rsidRDefault="00D43CB0" w:rsidP="00BD0C6A">
      <w:pPr>
        <w:pStyle w:val="ListParagraph"/>
        <w:numPr>
          <w:ilvl w:val="0"/>
          <w:numId w:val="4"/>
        </w:numPr>
        <w:rPr>
          <w:lang w:eastAsia="en-US"/>
        </w:rPr>
      </w:pPr>
      <w:r>
        <w:rPr>
          <w:lang w:eastAsia="en-US"/>
        </w:rPr>
        <w:t xml:space="preserve">Begin using the redesigned NQDW Quitline Services Survey (new Attachment G2). </w:t>
      </w:r>
    </w:p>
    <w:p w:rsidR="00E0607C" w:rsidRDefault="00E0607C" w:rsidP="00E0607C">
      <w:pPr>
        <w:rPr>
          <w:lang w:eastAsia="en-US"/>
        </w:rPr>
      </w:pPr>
    </w:p>
    <w:p w:rsidR="00E0607C" w:rsidRDefault="00E0607C" w:rsidP="00E0607C">
      <w:pPr>
        <w:rPr>
          <w:lang w:eastAsia="en-US"/>
        </w:rPr>
      </w:pPr>
      <w:r>
        <w:rPr>
          <w:lang w:eastAsia="en-US"/>
        </w:rPr>
        <w:t xml:space="preserve">The Quitline Services Questionnaire is completed on a quarterly schedule.  Q1 applies to the period from January 1 – March 31; Q2 applies to the period from April 1 – June 30; Q3 applies to the period from July 1 – September 30; and Q4 applies to the period from October 1 – December 31. The proposed change applies to </w:t>
      </w:r>
      <w:r w:rsidR="003313B7">
        <w:rPr>
          <w:lang w:eastAsia="en-US"/>
        </w:rPr>
        <w:t xml:space="preserve">all quarterly surveys moving forward. </w:t>
      </w:r>
      <w:r>
        <w:rPr>
          <w:lang w:eastAsia="en-US"/>
        </w:rPr>
        <w:t xml:space="preserve"> Quitline Services Questionnaires are submitted to CDC </w:t>
      </w:r>
      <w:r w:rsidRPr="00E0607C">
        <w:rPr>
          <w:lang w:eastAsia="en-US"/>
        </w:rPr>
        <w:t>1-30 days after the end date of the quarterly reporting period.  In orde</w:t>
      </w:r>
      <w:r>
        <w:rPr>
          <w:lang w:eastAsia="en-US"/>
        </w:rPr>
        <w:t>r to obtain complete data for Q2</w:t>
      </w:r>
      <w:r w:rsidRPr="00E0607C">
        <w:rPr>
          <w:lang w:eastAsia="en-US"/>
        </w:rPr>
        <w:t>,</w:t>
      </w:r>
      <w:r>
        <w:rPr>
          <w:lang w:eastAsia="en-US"/>
        </w:rPr>
        <w:t xml:space="preserve"> </w:t>
      </w:r>
      <w:r>
        <w:rPr>
          <w:b/>
          <w:u w:val="single"/>
          <w:lang w:eastAsia="en-US"/>
        </w:rPr>
        <w:t>CDC requests OMB approval by June 1, 2013</w:t>
      </w:r>
      <w:r>
        <w:rPr>
          <w:lang w:eastAsia="en-US"/>
        </w:rPr>
        <w:t xml:space="preserve">.  </w:t>
      </w:r>
    </w:p>
    <w:p w:rsidR="00E0607C" w:rsidRDefault="00E0607C" w:rsidP="00E0607C">
      <w:pPr>
        <w:rPr>
          <w:lang w:eastAsia="en-US"/>
        </w:rPr>
      </w:pPr>
    </w:p>
    <w:p w:rsidR="00E0607C" w:rsidRPr="00371DEC" w:rsidRDefault="00E0607C" w:rsidP="00E0607C">
      <w:pPr>
        <w:rPr>
          <w:b/>
          <w:lang w:eastAsia="en-US"/>
        </w:rPr>
      </w:pPr>
      <w:r w:rsidRPr="00371DEC">
        <w:rPr>
          <w:b/>
          <w:lang w:eastAsia="en-US"/>
        </w:rPr>
        <w:t>Justification for Change</w:t>
      </w:r>
    </w:p>
    <w:p w:rsidR="00E0607C" w:rsidRDefault="00E0607C" w:rsidP="00E0607C">
      <w:pPr>
        <w:rPr>
          <w:lang w:eastAsia="en-US"/>
        </w:rPr>
      </w:pPr>
    </w:p>
    <w:p w:rsidR="00371DEC" w:rsidRDefault="00E0607C" w:rsidP="00E0607C">
      <w:pPr>
        <w:rPr>
          <w:lang w:eastAsia="en-US"/>
        </w:rPr>
      </w:pPr>
      <w:r>
        <w:rPr>
          <w:lang w:eastAsia="en-US"/>
        </w:rPr>
        <w:t xml:space="preserve">In the spring of 2102, OSH convened an internal workgroup to </w:t>
      </w:r>
      <w:r w:rsidR="00371DEC">
        <w:rPr>
          <w:lang w:eastAsia="en-US"/>
        </w:rPr>
        <w:t xml:space="preserve">assess whether changes to our NQDW Quitline Services Online Survey </w:t>
      </w:r>
      <w:r w:rsidR="00374BE5">
        <w:rPr>
          <w:lang w:eastAsia="en-US"/>
        </w:rPr>
        <w:t>were needed</w:t>
      </w:r>
      <w:r w:rsidR="00371DEC">
        <w:rPr>
          <w:lang w:eastAsia="en-US"/>
        </w:rPr>
        <w:t xml:space="preserve">.  Based on our assessment as well as </w:t>
      </w:r>
      <w:r w:rsidR="002F0046">
        <w:rPr>
          <w:lang w:eastAsia="en-US"/>
        </w:rPr>
        <w:t>anecdotal</w:t>
      </w:r>
      <w:r w:rsidR="00371DEC">
        <w:rPr>
          <w:lang w:eastAsia="en-US"/>
        </w:rPr>
        <w:t xml:space="preserve"> comments from several state tobacco control managers (who actually complete the survey), we have devised a new, more succinct survey.  We mentioned the following in Supporting Statement </w:t>
      </w:r>
      <w:proofErr w:type="gramStart"/>
      <w:r w:rsidR="00371DEC">
        <w:rPr>
          <w:lang w:eastAsia="en-US"/>
        </w:rPr>
        <w:t>A</w:t>
      </w:r>
      <w:proofErr w:type="gramEnd"/>
      <w:r w:rsidR="00371DEC">
        <w:rPr>
          <w:lang w:eastAsia="en-US"/>
        </w:rPr>
        <w:t xml:space="preserve"> (page 15):</w:t>
      </w:r>
    </w:p>
    <w:p w:rsidR="00371DEC" w:rsidRPr="00371DEC" w:rsidRDefault="00371DEC" w:rsidP="00371DEC">
      <w:pPr>
        <w:pStyle w:val="CommentText1"/>
        <w:ind w:left="1440"/>
        <w:rPr>
          <w:rFonts w:ascii="Times New Roman" w:hAnsi="Times New Roman"/>
          <w:b/>
          <w:i/>
          <w:sz w:val="24"/>
          <w:szCs w:val="24"/>
        </w:rPr>
      </w:pPr>
      <w:r w:rsidRPr="00371DEC">
        <w:rPr>
          <w:rFonts w:ascii="Times New Roman" w:hAnsi="Times New Roman"/>
          <w:b/>
          <w:i/>
          <w:sz w:val="24"/>
          <w:szCs w:val="24"/>
        </w:rPr>
        <w:t>CDC is currently pursuing ways to condense the survey even further – e.g., by changing the format to table-style questions that ask about the provision of NRT/medications in a single question instead of in a series of questions. Future versions of the NQDW Quitline Services Online Survey will collect similar information in an even more efficient manner as we use an ongoing quality improvement process to enhance our data collection.</w:t>
      </w:r>
    </w:p>
    <w:p w:rsidR="00371DEC" w:rsidRDefault="00371DEC" w:rsidP="00371DEC">
      <w:pPr>
        <w:ind w:left="720" w:firstLine="720"/>
        <w:rPr>
          <w:lang w:eastAsia="en-US"/>
        </w:rPr>
      </w:pPr>
    </w:p>
    <w:p w:rsidR="00371DEC" w:rsidRDefault="00371DEC" w:rsidP="00371DEC">
      <w:pPr>
        <w:ind w:left="720" w:firstLine="720"/>
        <w:rPr>
          <w:lang w:eastAsia="en-US"/>
        </w:rPr>
      </w:pPr>
    </w:p>
    <w:p w:rsidR="00AA570E" w:rsidRDefault="00371DEC" w:rsidP="00371DEC">
      <w:pPr>
        <w:rPr>
          <w:lang w:eastAsia="en-US"/>
        </w:rPr>
      </w:pPr>
      <w:r>
        <w:rPr>
          <w:lang w:eastAsia="en-US"/>
        </w:rPr>
        <w:t xml:space="preserve">In addition to the changes mentioned above, </w:t>
      </w:r>
      <w:r w:rsidR="00AA570E">
        <w:rPr>
          <w:lang w:eastAsia="en-US"/>
        </w:rPr>
        <w:t xml:space="preserve">other pertinent changes to the </w:t>
      </w:r>
      <w:r w:rsidR="000165C7">
        <w:rPr>
          <w:lang w:eastAsia="en-US"/>
        </w:rPr>
        <w:t xml:space="preserve">re-designed </w:t>
      </w:r>
      <w:r w:rsidR="00AA570E">
        <w:rPr>
          <w:lang w:eastAsia="en-US"/>
        </w:rPr>
        <w:t>form are as follows:</w:t>
      </w:r>
    </w:p>
    <w:p w:rsidR="00AA570E" w:rsidRDefault="00AA570E" w:rsidP="00AA570E">
      <w:pPr>
        <w:pStyle w:val="ListParagraph"/>
        <w:numPr>
          <w:ilvl w:val="0"/>
          <w:numId w:val="2"/>
        </w:numPr>
        <w:rPr>
          <w:lang w:eastAsia="en-US"/>
        </w:rPr>
      </w:pPr>
      <w:r>
        <w:rPr>
          <w:lang w:eastAsia="en-US"/>
        </w:rPr>
        <w:t xml:space="preserve">There are now 15 questions to be completed, compared to 52 </w:t>
      </w:r>
      <w:r w:rsidR="005768E4">
        <w:rPr>
          <w:lang w:eastAsia="en-US"/>
        </w:rPr>
        <w:t xml:space="preserve">questions </w:t>
      </w:r>
      <w:r>
        <w:rPr>
          <w:lang w:eastAsia="en-US"/>
        </w:rPr>
        <w:t>in the previous survey.</w:t>
      </w:r>
    </w:p>
    <w:p w:rsidR="00AA570E" w:rsidRDefault="000D647D" w:rsidP="00AA570E">
      <w:pPr>
        <w:pStyle w:val="ListParagraph"/>
        <w:numPr>
          <w:ilvl w:val="0"/>
          <w:numId w:val="2"/>
        </w:numPr>
        <w:rPr>
          <w:lang w:eastAsia="en-US"/>
        </w:rPr>
      </w:pPr>
      <w:r>
        <w:rPr>
          <w:lang w:eastAsia="en-US"/>
        </w:rPr>
        <w:lastRenderedPageBreak/>
        <w:t>Drop-down boxes and checkboxes</w:t>
      </w:r>
      <w:r w:rsidR="00AA570E">
        <w:rPr>
          <w:lang w:eastAsia="en-US"/>
        </w:rPr>
        <w:t xml:space="preserve"> have been added throughout the survey to </w:t>
      </w:r>
      <w:r w:rsidR="009478AE">
        <w:rPr>
          <w:lang w:eastAsia="en-US"/>
        </w:rPr>
        <w:t xml:space="preserve">help </w:t>
      </w:r>
      <w:r w:rsidR="00AA570E">
        <w:rPr>
          <w:lang w:eastAsia="en-US"/>
        </w:rPr>
        <w:t xml:space="preserve">reduce data entry errors. </w:t>
      </w:r>
    </w:p>
    <w:p w:rsidR="00371DEC" w:rsidRDefault="008560E7" w:rsidP="00AA570E">
      <w:pPr>
        <w:pStyle w:val="ListParagraph"/>
        <w:numPr>
          <w:ilvl w:val="0"/>
          <w:numId w:val="2"/>
        </w:numPr>
        <w:rPr>
          <w:lang w:eastAsia="en-US"/>
        </w:rPr>
      </w:pPr>
      <w:r>
        <w:rPr>
          <w:lang w:eastAsia="en-US"/>
        </w:rPr>
        <w:t>The redesigned instrument is e</w:t>
      </w:r>
      <w:r w:rsidR="009478AE">
        <w:rPr>
          <w:lang w:eastAsia="en-US"/>
        </w:rPr>
        <w:t>xpected to be m</w:t>
      </w:r>
      <w:r w:rsidR="00AA570E">
        <w:rPr>
          <w:lang w:eastAsia="en-US"/>
        </w:rPr>
        <w:t>ore user-friendly than the previous version.</w:t>
      </w:r>
    </w:p>
    <w:p w:rsidR="00AA570E" w:rsidRDefault="00AA570E" w:rsidP="00AA570E">
      <w:pPr>
        <w:pStyle w:val="ListParagraph"/>
        <w:numPr>
          <w:ilvl w:val="0"/>
          <w:numId w:val="2"/>
        </w:numPr>
        <w:rPr>
          <w:lang w:eastAsia="en-US"/>
        </w:rPr>
      </w:pPr>
      <w:r>
        <w:rPr>
          <w:lang w:eastAsia="en-US"/>
        </w:rPr>
        <w:t>Information from some questions</w:t>
      </w:r>
      <w:r w:rsidR="000D647D">
        <w:rPr>
          <w:lang w:eastAsia="en-US"/>
        </w:rPr>
        <w:t xml:space="preserve"> (</w:t>
      </w:r>
      <w:r>
        <w:rPr>
          <w:lang w:eastAsia="en-US"/>
        </w:rPr>
        <w:t xml:space="preserve">questions 8-15) </w:t>
      </w:r>
      <w:r w:rsidR="00374BE5">
        <w:rPr>
          <w:lang w:eastAsia="en-US"/>
        </w:rPr>
        <w:t>is</w:t>
      </w:r>
      <w:r>
        <w:rPr>
          <w:lang w:eastAsia="en-US"/>
        </w:rPr>
        <w:t xml:space="preserve"> pre-populated with answers from the previous quarter</w:t>
      </w:r>
      <w:r w:rsidR="008560E7">
        <w:rPr>
          <w:lang w:eastAsia="en-US"/>
        </w:rPr>
        <w:t>; respondents only need to enter changes</w:t>
      </w:r>
      <w:r>
        <w:rPr>
          <w:lang w:eastAsia="en-US"/>
        </w:rPr>
        <w:t>.</w:t>
      </w:r>
    </w:p>
    <w:p w:rsidR="00AA570E" w:rsidRDefault="00AA570E" w:rsidP="00AA570E">
      <w:pPr>
        <w:pStyle w:val="ListParagraph"/>
        <w:numPr>
          <w:ilvl w:val="0"/>
          <w:numId w:val="2"/>
        </w:numPr>
        <w:rPr>
          <w:lang w:eastAsia="en-US"/>
        </w:rPr>
      </w:pPr>
      <w:r>
        <w:rPr>
          <w:lang w:eastAsia="en-US"/>
        </w:rPr>
        <w:t>The questions related to the quitline that vary by quarter are the first 7 questions in the survey. These are the only questions that may need to be completed each quarter.</w:t>
      </w:r>
    </w:p>
    <w:p w:rsidR="00AA570E" w:rsidRDefault="00AA570E" w:rsidP="00AA570E">
      <w:pPr>
        <w:pStyle w:val="ListParagraph"/>
        <w:numPr>
          <w:ilvl w:val="0"/>
          <w:numId w:val="2"/>
        </w:numPr>
        <w:rPr>
          <w:lang w:eastAsia="en-US"/>
        </w:rPr>
      </w:pPr>
      <w:r>
        <w:rPr>
          <w:lang w:eastAsia="en-US"/>
        </w:rPr>
        <w:t xml:space="preserve">The remaining 8 questions are related to the services provided by the quitline (these questions do not typically change each quarter).  We are simply asking states to confirm if this information is still correct.  </w:t>
      </w:r>
    </w:p>
    <w:p w:rsidR="00E0607C" w:rsidRDefault="00E0607C" w:rsidP="00371DEC">
      <w:pPr>
        <w:ind w:left="720" w:firstLine="720"/>
        <w:rPr>
          <w:lang w:eastAsia="en-US"/>
        </w:rPr>
      </w:pPr>
    </w:p>
    <w:p w:rsidR="00C81420" w:rsidRDefault="00C81420" w:rsidP="00C81420">
      <w:pPr>
        <w:pStyle w:val="BodyText21"/>
        <w:rPr>
          <w:rFonts w:ascii="Times New Roman" w:hAnsi="Times New Roman"/>
          <w:b/>
        </w:rPr>
      </w:pPr>
      <w:r>
        <w:rPr>
          <w:rFonts w:ascii="Times New Roman" w:hAnsi="Times New Roman"/>
          <w:b/>
        </w:rPr>
        <w:t>Effect of Proposed Change on Burden Estimate</w:t>
      </w:r>
    </w:p>
    <w:p w:rsidR="00C81420" w:rsidRDefault="00C81420" w:rsidP="00C81420">
      <w:pPr>
        <w:pStyle w:val="BodyText21"/>
        <w:rPr>
          <w:rFonts w:ascii="Times New Roman" w:hAnsi="Times New Roman"/>
          <w:b/>
        </w:rPr>
      </w:pPr>
    </w:p>
    <w:p w:rsidR="00C81420" w:rsidRDefault="00D64B38" w:rsidP="00C81420">
      <w:pPr>
        <w:pStyle w:val="BodyText21"/>
      </w:pPr>
      <w:proofErr w:type="gramStart"/>
      <w:r>
        <w:rPr>
          <w:rFonts w:ascii="Times New Roman" w:hAnsi="Times New Roman"/>
        </w:rPr>
        <w:t>None.</w:t>
      </w:r>
      <w:proofErr w:type="gramEnd"/>
      <w:r>
        <w:rPr>
          <w:rFonts w:ascii="Times New Roman" w:hAnsi="Times New Roman"/>
        </w:rPr>
        <w:t xml:space="preserve">  T</w:t>
      </w:r>
      <w:r w:rsidR="00C81420">
        <w:t>he</w:t>
      </w:r>
      <w:r w:rsidR="008560E7">
        <w:t xml:space="preserve"> previously approved instrument had 52 questions.  The redesigned survey has 15 questions</w:t>
      </w:r>
      <w:r>
        <w:t>.  W</w:t>
      </w:r>
      <w:r w:rsidR="00C81420">
        <w:t>e</w:t>
      </w:r>
      <w:r>
        <w:t xml:space="preserve"> expect that </w:t>
      </w:r>
      <w:r w:rsidR="008560E7">
        <w:t>respondent</w:t>
      </w:r>
      <w:r w:rsidR="00812F36">
        <w:t xml:space="preserve"> burden may</w:t>
      </w:r>
      <w:bookmarkStart w:id="0" w:name="_GoBack"/>
      <w:bookmarkEnd w:id="0"/>
      <w:r>
        <w:t xml:space="preserve"> be reduced.  </w:t>
      </w:r>
      <w:r w:rsidR="009478AE">
        <w:t xml:space="preserve">We plan to monitor respondent burden after the revised form has been implemented and adjust the burden estimates as necessary.  </w:t>
      </w:r>
    </w:p>
    <w:p w:rsidR="00D64B38" w:rsidRDefault="00D64B38" w:rsidP="00C81420">
      <w:pPr>
        <w:pStyle w:val="BodyText21"/>
        <w:rPr>
          <w:rFonts w:ascii="Times New Roman" w:hAnsi="Times New Roman"/>
          <w:b/>
        </w:rPr>
      </w:pPr>
    </w:p>
    <w:p w:rsidR="00C81420" w:rsidRDefault="00C81420"/>
    <w:p w:rsidR="00C81420" w:rsidRDefault="00C81420"/>
    <w:sectPr w:rsidR="00C81420" w:rsidSect="003B0602">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9C" w:rsidRDefault="002D4B9C" w:rsidP="002D4B9C">
      <w:r>
        <w:separator/>
      </w:r>
    </w:p>
  </w:endnote>
  <w:endnote w:type="continuationSeparator" w:id="0">
    <w:p w:rsidR="002D4B9C" w:rsidRDefault="002D4B9C" w:rsidP="002D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61188"/>
      <w:docPartObj>
        <w:docPartGallery w:val="Page Numbers (Bottom of Page)"/>
        <w:docPartUnique/>
      </w:docPartObj>
    </w:sdtPr>
    <w:sdtEndPr>
      <w:rPr>
        <w:noProof/>
      </w:rPr>
    </w:sdtEndPr>
    <w:sdtContent>
      <w:p w:rsidR="002D4B9C" w:rsidRDefault="002D4B9C">
        <w:pPr>
          <w:pStyle w:val="Footer"/>
          <w:jc w:val="center"/>
        </w:pPr>
        <w:r>
          <w:fldChar w:fldCharType="begin"/>
        </w:r>
        <w:r>
          <w:instrText xml:space="preserve"> PAGE   \* MERGEFORMAT </w:instrText>
        </w:r>
        <w:r>
          <w:fldChar w:fldCharType="separate"/>
        </w:r>
        <w:r w:rsidR="00812F36">
          <w:rPr>
            <w:noProof/>
          </w:rPr>
          <w:t>2</w:t>
        </w:r>
        <w:r>
          <w:rPr>
            <w:noProof/>
          </w:rPr>
          <w:fldChar w:fldCharType="end"/>
        </w:r>
      </w:p>
    </w:sdtContent>
  </w:sdt>
  <w:p w:rsidR="002D4B9C" w:rsidRDefault="002D4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9C" w:rsidRDefault="002D4B9C" w:rsidP="002D4B9C">
      <w:r>
        <w:separator/>
      </w:r>
    </w:p>
  </w:footnote>
  <w:footnote w:type="continuationSeparator" w:id="0">
    <w:p w:rsidR="002D4B9C" w:rsidRDefault="002D4B9C" w:rsidP="002D4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3193"/>
    <w:multiLevelType w:val="hybridMultilevel"/>
    <w:tmpl w:val="242A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5703B"/>
    <w:multiLevelType w:val="hybridMultilevel"/>
    <w:tmpl w:val="89A02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052168"/>
    <w:multiLevelType w:val="hybridMultilevel"/>
    <w:tmpl w:val="6970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B50A2"/>
    <w:multiLevelType w:val="hybridMultilevel"/>
    <w:tmpl w:val="33D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07C"/>
    <w:rsid w:val="000165C7"/>
    <w:rsid w:val="000D647D"/>
    <w:rsid w:val="00125C6F"/>
    <w:rsid w:val="001D0BD0"/>
    <w:rsid w:val="00273AC1"/>
    <w:rsid w:val="002A394C"/>
    <w:rsid w:val="002D4B9C"/>
    <w:rsid w:val="002F0046"/>
    <w:rsid w:val="003313B7"/>
    <w:rsid w:val="00371DEC"/>
    <w:rsid w:val="00374BE5"/>
    <w:rsid w:val="003B0602"/>
    <w:rsid w:val="003C3CD4"/>
    <w:rsid w:val="003D18E7"/>
    <w:rsid w:val="003D5253"/>
    <w:rsid w:val="00495777"/>
    <w:rsid w:val="005768E4"/>
    <w:rsid w:val="00812F36"/>
    <w:rsid w:val="008560E7"/>
    <w:rsid w:val="009478AE"/>
    <w:rsid w:val="00AA570E"/>
    <w:rsid w:val="00BD0C6A"/>
    <w:rsid w:val="00C77331"/>
    <w:rsid w:val="00C81420"/>
    <w:rsid w:val="00CC0652"/>
    <w:rsid w:val="00CE4B44"/>
    <w:rsid w:val="00D43CB0"/>
    <w:rsid w:val="00D64B38"/>
    <w:rsid w:val="00E0607C"/>
    <w:rsid w:val="00E27026"/>
    <w:rsid w:val="00EA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6093">
      <w:bodyDiv w:val="1"/>
      <w:marLeft w:val="0"/>
      <w:marRight w:val="0"/>
      <w:marTop w:val="0"/>
      <w:marBottom w:val="0"/>
      <w:divBdr>
        <w:top w:val="none" w:sz="0" w:space="0" w:color="auto"/>
        <w:left w:val="none" w:sz="0" w:space="0" w:color="auto"/>
        <w:bottom w:val="none" w:sz="0" w:space="0" w:color="auto"/>
        <w:right w:val="none" w:sz="0" w:space="0" w:color="auto"/>
      </w:divBdr>
    </w:div>
    <w:div w:id="432894333">
      <w:bodyDiv w:val="1"/>
      <w:marLeft w:val="0"/>
      <w:marRight w:val="0"/>
      <w:marTop w:val="0"/>
      <w:marBottom w:val="0"/>
      <w:divBdr>
        <w:top w:val="none" w:sz="0" w:space="0" w:color="auto"/>
        <w:left w:val="none" w:sz="0" w:space="0" w:color="auto"/>
        <w:bottom w:val="none" w:sz="0" w:space="0" w:color="auto"/>
        <w:right w:val="none" w:sz="0" w:space="0" w:color="auto"/>
      </w:divBdr>
    </w:div>
    <w:div w:id="1183664852">
      <w:bodyDiv w:val="1"/>
      <w:marLeft w:val="0"/>
      <w:marRight w:val="0"/>
      <w:marTop w:val="0"/>
      <w:marBottom w:val="0"/>
      <w:divBdr>
        <w:top w:val="none" w:sz="0" w:space="0" w:color="auto"/>
        <w:left w:val="none" w:sz="0" w:space="0" w:color="auto"/>
        <w:bottom w:val="none" w:sz="0" w:space="0" w:color="auto"/>
        <w:right w:val="none" w:sz="0" w:space="0" w:color="auto"/>
      </w:divBdr>
    </w:div>
    <w:div w:id="19963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125E-772C-44D5-8663-CC949BA1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2013-05-20T23:08:00Z</dcterms:created>
  <dcterms:modified xsi:type="dcterms:W3CDTF">2013-05-20T23:10:00Z</dcterms:modified>
</cp:coreProperties>
</file>