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C4A" w:rsidRPr="00827FFE" w:rsidRDefault="00154C4A" w:rsidP="00154C4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Attachment 6</w:t>
      </w:r>
      <w:r w:rsidRPr="00827FFE">
        <w:rPr>
          <w:rFonts w:ascii="Calibri" w:hAnsi="Calibri" w:cs="Calibri"/>
        </w:rPr>
        <w:t>.</w:t>
      </w:r>
      <w:r>
        <w:rPr>
          <w:rFonts w:ascii="Calibri" w:hAnsi="Calibri" w:cs="Calibri"/>
        </w:rPr>
        <w:t>3</w:t>
      </w:r>
      <w:r w:rsidRPr="00827FFE">
        <w:rPr>
          <w:rFonts w:ascii="Calibri" w:hAnsi="Calibri" w:cs="Calibri"/>
        </w:rPr>
        <w:t xml:space="preserve"> </w:t>
      </w:r>
    </w:p>
    <w:p w:rsidR="00154C4A" w:rsidRPr="00827FFE" w:rsidRDefault="00154C4A" w:rsidP="00154C4A">
      <w:pPr>
        <w:jc w:val="center"/>
        <w:rPr>
          <w:rFonts w:ascii="Calibri" w:hAnsi="Calibri" w:cs="Calibri"/>
        </w:rPr>
      </w:pPr>
      <w:r w:rsidRPr="00827FFE">
        <w:rPr>
          <w:rFonts w:ascii="Calibri" w:hAnsi="Calibri" w:cs="Calibri"/>
        </w:rPr>
        <w:t>Anniston Community Health Survey: Follow up Study and Dioxin Analyses</w:t>
      </w:r>
    </w:p>
    <w:p w:rsidR="00154C4A" w:rsidRPr="00827FFE" w:rsidRDefault="00154C4A" w:rsidP="00154C4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Clinical Test</w:t>
      </w:r>
      <w:r w:rsidRPr="00827FFE">
        <w:rPr>
          <w:rFonts w:ascii="Calibri" w:hAnsi="Calibri" w:cs="Calibri"/>
          <w:b/>
        </w:rPr>
        <w:t xml:space="preserve"> Results Report</w:t>
      </w:r>
    </w:p>
    <w:p w:rsidR="00154C4A" w:rsidRDefault="00154C4A" w:rsidP="00154C4A">
      <w:pPr>
        <w:jc w:val="center"/>
        <w:rPr>
          <w:rFonts w:ascii="Calibri" w:hAnsi="Calibri" w:cs="Calibri"/>
          <w:b/>
        </w:rPr>
      </w:pPr>
    </w:p>
    <w:p w:rsidR="00154C4A" w:rsidRDefault="00154C4A" w:rsidP="00154C4A">
      <w:pPr>
        <w:rPr>
          <w:rFonts w:ascii="Calibri" w:hAnsi="Calibri" w:cs="Calibri"/>
        </w:rPr>
      </w:pPr>
    </w:p>
    <w:p w:rsidR="00154C4A" w:rsidRPr="00B70F42" w:rsidRDefault="00154C4A" w:rsidP="00154C4A">
      <w:pPr>
        <w:rPr>
          <w:rFonts w:ascii="Calibri" w:hAnsi="Calibri" w:cs="Calibri"/>
        </w:rPr>
      </w:pPr>
      <w:r w:rsidRPr="00B70F42">
        <w:rPr>
          <w:rFonts w:ascii="Calibri" w:hAnsi="Calibri" w:cs="Calibri"/>
        </w:rPr>
        <w:t>Dear Participant,</w:t>
      </w:r>
    </w:p>
    <w:p w:rsidR="00154C4A" w:rsidRPr="007A349F" w:rsidRDefault="00154C4A" w:rsidP="00154C4A">
      <w:pPr>
        <w:rPr>
          <w:rFonts w:ascii="Calibri" w:hAnsi="Calibri" w:cs="Calibri"/>
        </w:rPr>
      </w:pPr>
    </w:p>
    <w:p w:rsidR="00154C4A" w:rsidRPr="00B70F42" w:rsidRDefault="00154C4A" w:rsidP="00E403C8">
      <w:pPr>
        <w:jc w:val="both"/>
        <w:rPr>
          <w:rFonts w:ascii="Calibri" w:hAnsi="Calibri" w:cs="Calibri"/>
        </w:rPr>
      </w:pPr>
      <w:r w:rsidRPr="007A349F">
        <w:rPr>
          <w:rFonts w:ascii="Calibri" w:hAnsi="Calibri" w:cs="Calibri"/>
        </w:rPr>
        <w:t>The f</w:t>
      </w:r>
      <w:r w:rsidRPr="00276176">
        <w:rPr>
          <w:rFonts w:ascii="Calibri" w:hAnsi="Calibri" w:cs="Calibri"/>
        </w:rPr>
        <w:t xml:space="preserve">ollowing </w:t>
      </w:r>
      <w:r w:rsidRPr="007A349F">
        <w:rPr>
          <w:rFonts w:ascii="Calibri" w:hAnsi="Calibri" w:cs="Calibri"/>
        </w:rPr>
        <w:t>table</w:t>
      </w:r>
      <w:r>
        <w:rPr>
          <w:rFonts w:ascii="Calibri" w:hAnsi="Calibri" w:cs="Calibri"/>
        </w:rPr>
        <w:t>s</w:t>
      </w:r>
      <w:r w:rsidRPr="007A349F">
        <w:rPr>
          <w:rFonts w:ascii="Calibri" w:hAnsi="Calibri" w:cs="Calibri"/>
        </w:rPr>
        <w:t xml:space="preserve"> show the results of clinical tests that we </w:t>
      </w:r>
      <w:r w:rsidR="00E403C8">
        <w:rPr>
          <w:rFonts w:ascii="Calibri" w:hAnsi="Calibri" w:cs="Calibri"/>
        </w:rPr>
        <w:t>performed in your</w:t>
      </w:r>
      <w:r w:rsidRPr="00B70F42">
        <w:rPr>
          <w:rFonts w:ascii="Calibri" w:hAnsi="Calibri" w:cs="Calibri"/>
        </w:rPr>
        <w:t xml:space="preserve"> blood or serum</w:t>
      </w:r>
      <w:r w:rsidRPr="00276176">
        <w:rPr>
          <w:rFonts w:ascii="Calibri" w:hAnsi="Calibri" w:cs="Calibri"/>
        </w:rPr>
        <w:t xml:space="preserve"> on </w:t>
      </w:r>
      <w:r w:rsidRPr="00D94536">
        <w:rPr>
          <w:rFonts w:ascii="Calibri" w:hAnsi="Calibri" w:cs="Calibri"/>
          <w:i/>
        </w:rPr>
        <w:t>mm/dd/yyyy.</w:t>
      </w:r>
      <w:r w:rsidRPr="007A349F">
        <w:rPr>
          <w:rFonts w:ascii="Calibri" w:hAnsi="Calibri" w:cs="Calibri"/>
        </w:rPr>
        <w:t xml:space="preserve">  The results that are out of normal range are marked red</w:t>
      </w:r>
      <w:r w:rsidRPr="00B70F42">
        <w:rPr>
          <w:rFonts w:ascii="Calibri" w:hAnsi="Calibri" w:cs="Calibri"/>
        </w:rPr>
        <w:t xml:space="preserve">.  </w:t>
      </w:r>
    </w:p>
    <w:p w:rsidR="00154C4A" w:rsidRPr="007A349F" w:rsidRDefault="00154C4A" w:rsidP="00E403C8">
      <w:pPr>
        <w:jc w:val="both"/>
        <w:rPr>
          <w:rFonts w:ascii="Calibri" w:hAnsi="Calibri" w:cs="Calibri"/>
        </w:rPr>
      </w:pPr>
    </w:p>
    <w:p w:rsidR="00154C4A" w:rsidRPr="007A349F" w:rsidRDefault="00154C4A" w:rsidP="00E403C8">
      <w:pPr>
        <w:jc w:val="both"/>
        <w:rPr>
          <w:rFonts w:ascii="Calibri" w:hAnsi="Calibri" w:cs="Calibri"/>
        </w:rPr>
      </w:pPr>
      <w:r w:rsidRPr="007A349F">
        <w:rPr>
          <w:rFonts w:ascii="Calibri" w:hAnsi="Calibri" w:cs="Calibri"/>
        </w:rPr>
        <w:t>These clinical tests are mostly those that y</w:t>
      </w:r>
      <w:r w:rsidR="00E403C8">
        <w:rPr>
          <w:rFonts w:ascii="Calibri" w:hAnsi="Calibri" w:cs="Calibri"/>
        </w:rPr>
        <w:t>our doctor would perform in an office.</w:t>
      </w:r>
      <w:r w:rsidRPr="007A349F">
        <w:rPr>
          <w:rFonts w:ascii="Calibri" w:hAnsi="Calibri" w:cs="Calibri"/>
        </w:rPr>
        <w:t xml:space="preserve"> We would advise you to go over the results with your doctor.  If he or she has any questions about some of the more specialized tests we did, he/she can contact us at numbers provided below. </w:t>
      </w:r>
    </w:p>
    <w:p w:rsidR="00154C4A" w:rsidRPr="007A349F" w:rsidRDefault="00154C4A" w:rsidP="00E403C8">
      <w:pPr>
        <w:jc w:val="both"/>
        <w:rPr>
          <w:rFonts w:ascii="Calibri" w:hAnsi="Calibri" w:cs="Calibri"/>
        </w:rPr>
      </w:pPr>
    </w:p>
    <w:p w:rsidR="00154C4A" w:rsidRPr="0060075E" w:rsidRDefault="00E403C8" w:rsidP="00E403C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Because</w:t>
      </w:r>
      <w:r w:rsidR="00154C4A" w:rsidRPr="0060075E">
        <w:rPr>
          <w:rFonts w:ascii="Calibri" w:hAnsi="Calibri" w:cs="Calibri"/>
        </w:rPr>
        <w:t xml:space="preserve"> we a</w:t>
      </w:r>
      <w:r>
        <w:rPr>
          <w:rFonts w:ascii="Calibri" w:hAnsi="Calibri" w:cs="Calibri"/>
        </w:rPr>
        <w:t xml:space="preserve">re providing these results ______ months </w:t>
      </w:r>
      <w:r w:rsidR="00154C4A" w:rsidRPr="0060075E">
        <w:rPr>
          <w:rFonts w:ascii="Calibri" w:hAnsi="Calibri" w:cs="Calibri"/>
        </w:rPr>
        <w:t>after</w:t>
      </w:r>
      <w:r>
        <w:rPr>
          <w:rFonts w:ascii="Calibri" w:hAnsi="Calibri" w:cs="Calibri"/>
        </w:rPr>
        <w:t xml:space="preserve"> your blood was collected, the results</w:t>
      </w:r>
      <w:r w:rsidR="00154C4A" w:rsidRPr="0060075E">
        <w:rPr>
          <w:rFonts w:ascii="Calibri" w:hAnsi="Calibri" w:cs="Calibri"/>
        </w:rPr>
        <w:t xml:space="preserve"> may be of limited value to you or your physician, especially if you are already under treatment or being followed for a particular chronic con</w:t>
      </w:r>
      <w:r>
        <w:rPr>
          <w:rFonts w:ascii="Calibri" w:hAnsi="Calibri" w:cs="Calibri"/>
        </w:rPr>
        <w:t>dition that the results indicate</w:t>
      </w:r>
      <w:r w:rsidR="00154C4A" w:rsidRPr="0060075E">
        <w:rPr>
          <w:rFonts w:ascii="Calibri" w:hAnsi="Calibri" w:cs="Calibri"/>
        </w:rPr>
        <w:t xml:space="preserve">. </w:t>
      </w:r>
    </w:p>
    <w:p w:rsidR="00154C4A" w:rsidRPr="007A349F" w:rsidRDefault="00154C4A" w:rsidP="00E403C8">
      <w:pPr>
        <w:jc w:val="both"/>
        <w:rPr>
          <w:rFonts w:ascii="Calibri" w:hAnsi="Calibri" w:cs="Calibri"/>
        </w:rPr>
      </w:pPr>
    </w:p>
    <w:p w:rsidR="00154C4A" w:rsidRPr="007A349F" w:rsidRDefault="00154C4A" w:rsidP="00E403C8">
      <w:pPr>
        <w:jc w:val="both"/>
        <w:rPr>
          <w:rFonts w:asciiTheme="minorHAnsi" w:hAnsiTheme="minorHAnsi" w:cstheme="minorHAnsi"/>
        </w:rPr>
      </w:pPr>
      <w:r w:rsidRPr="00B70F42">
        <w:rPr>
          <w:rFonts w:asciiTheme="minorHAnsi" w:hAnsiTheme="minorHAnsi" w:cstheme="minorHAnsi"/>
        </w:rPr>
        <w:t>Some individuals will not have the measure</w:t>
      </w:r>
      <w:r w:rsidRPr="00276176">
        <w:rPr>
          <w:rFonts w:asciiTheme="minorHAnsi" w:hAnsiTheme="minorHAnsi" w:cstheme="minorHAnsi"/>
        </w:rPr>
        <w:t>m</w:t>
      </w:r>
      <w:r w:rsidRPr="007A349F">
        <w:rPr>
          <w:rFonts w:asciiTheme="minorHAnsi" w:hAnsiTheme="minorHAnsi" w:cstheme="minorHAnsi"/>
        </w:rPr>
        <w:t>ents for all test</w:t>
      </w:r>
      <w:r>
        <w:rPr>
          <w:rFonts w:asciiTheme="minorHAnsi" w:hAnsiTheme="minorHAnsi" w:cstheme="minorHAnsi"/>
        </w:rPr>
        <w:t>s</w:t>
      </w:r>
      <w:r w:rsidRPr="007A349F">
        <w:rPr>
          <w:rFonts w:asciiTheme="minorHAnsi" w:hAnsiTheme="minorHAnsi" w:cstheme="minorHAnsi"/>
        </w:rPr>
        <w:t>. You may not have a measurement for some test because your level is lowe</w:t>
      </w:r>
      <w:r w:rsidR="00E403C8">
        <w:rPr>
          <w:rFonts w:asciiTheme="minorHAnsi" w:hAnsiTheme="minorHAnsi" w:cstheme="minorHAnsi"/>
        </w:rPr>
        <w:t xml:space="preserve">r than the limit of detection. </w:t>
      </w:r>
      <w:r w:rsidRPr="007A349F">
        <w:rPr>
          <w:rFonts w:asciiTheme="minorHAnsi" w:hAnsiTheme="minorHAnsi" w:cstheme="minorHAnsi"/>
        </w:rPr>
        <w:t xml:space="preserve">You may also not have a measurement </w:t>
      </w:r>
      <w:r w:rsidR="00E403C8">
        <w:rPr>
          <w:rFonts w:asciiTheme="minorHAnsi" w:hAnsiTheme="minorHAnsi" w:cstheme="minorHAnsi"/>
        </w:rPr>
        <w:t>because your blood sample failed</w:t>
      </w:r>
      <w:r w:rsidRPr="007A349F">
        <w:rPr>
          <w:rFonts w:asciiTheme="minorHAnsi" w:hAnsiTheme="minorHAnsi" w:cstheme="minorHAnsi"/>
        </w:rPr>
        <w:t xml:space="preserve"> one of the laboratory quality control procedures. If the reason for missing measurement is known</w:t>
      </w:r>
      <w:r w:rsidR="00E403C8">
        <w:rPr>
          <w:rFonts w:asciiTheme="minorHAnsi" w:hAnsiTheme="minorHAnsi" w:cstheme="minorHAnsi"/>
        </w:rPr>
        <w:t>, that reason</w:t>
      </w:r>
      <w:r w:rsidRPr="007A349F">
        <w:rPr>
          <w:rFonts w:asciiTheme="minorHAnsi" w:hAnsiTheme="minorHAnsi" w:cstheme="minorHAnsi"/>
        </w:rPr>
        <w:t xml:space="preserve"> will be included with your results.</w:t>
      </w:r>
    </w:p>
    <w:p w:rsidR="00154C4A" w:rsidRPr="007A349F" w:rsidRDefault="00154C4A" w:rsidP="00E403C8">
      <w:pPr>
        <w:jc w:val="both"/>
        <w:rPr>
          <w:rFonts w:ascii="Calibri" w:hAnsi="Calibri" w:cs="Calibri"/>
        </w:rPr>
      </w:pPr>
    </w:p>
    <w:p w:rsidR="00154C4A" w:rsidRPr="00B70F42" w:rsidRDefault="00154C4A" w:rsidP="00E403C8">
      <w:pPr>
        <w:jc w:val="both"/>
        <w:rPr>
          <w:rFonts w:ascii="Calibri" w:hAnsi="Calibri" w:cs="Calibri"/>
          <w:i/>
        </w:rPr>
      </w:pPr>
      <w:r w:rsidRPr="007A349F">
        <w:rPr>
          <w:rFonts w:ascii="Calibri" w:hAnsi="Calibri" w:cs="Calibri"/>
        </w:rPr>
        <w:t>You or your physician may contact us with questions abo</w:t>
      </w:r>
      <w:r w:rsidR="00E403C8">
        <w:rPr>
          <w:rFonts w:ascii="Calibri" w:hAnsi="Calibri" w:cs="Calibri"/>
        </w:rPr>
        <w:t>ut your clinical test results by calling</w:t>
      </w:r>
      <w:r w:rsidRPr="007A349F">
        <w:rPr>
          <w:rFonts w:ascii="Calibri" w:hAnsi="Calibri" w:cs="Calibri"/>
        </w:rPr>
        <w:t xml:space="preserve"> ATSDR </w:t>
      </w:r>
      <w:r>
        <w:rPr>
          <w:rFonts w:ascii="Calibri" w:hAnsi="Calibri" w:cs="Calibri"/>
        </w:rPr>
        <w:t>at 770-488-____.</w:t>
      </w:r>
    </w:p>
    <w:p w:rsidR="00154C4A" w:rsidRPr="007A349F" w:rsidRDefault="00154C4A" w:rsidP="00E403C8">
      <w:pPr>
        <w:jc w:val="both"/>
        <w:rPr>
          <w:rFonts w:ascii="Calibri" w:hAnsi="Calibri" w:cs="Calibri"/>
        </w:rPr>
      </w:pPr>
    </w:p>
    <w:p w:rsidR="00154C4A" w:rsidRPr="00276176" w:rsidRDefault="00154C4A" w:rsidP="00E403C8">
      <w:pPr>
        <w:jc w:val="both"/>
        <w:rPr>
          <w:rFonts w:ascii="Calibri" w:hAnsi="Calibri" w:cs="Calibri"/>
        </w:rPr>
      </w:pPr>
      <w:r w:rsidRPr="00B70F42">
        <w:rPr>
          <w:rFonts w:ascii="Calibri" w:hAnsi="Calibri" w:cs="Calibri"/>
        </w:rPr>
        <w:t>Thank you for your understanding and</w:t>
      </w:r>
      <w:r w:rsidR="00E403C8">
        <w:rPr>
          <w:rFonts w:ascii="Calibri" w:hAnsi="Calibri" w:cs="Calibri"/>
        </w:rPr>
        <w:t xml:space="preserve"> your</w:t>
      </w:r>
      <w:r w:rsidRPr="00B70F42">
        <w:rPr>
          <w:rFonts w:ascii="Calibri" w:hAnsi="Calibri" w:cs="Calibri"/>
        </w:rPr>
        <w:t xml:space="preserve"> participation in th</w:t>
      </w:r>
      <w:r w:rsidRPr="00276176">
        <w:rPr>
          <w:rFonts w:ascii="Calibri" w:hAnsi="Calibri" w:cs="Calibri"/>
        </w:rPr>
        <w:t>e study.</w:t>
      </w:r>
    </w:p>
    <w:p w:rsidR="00154C4A" w:rsidRPr="007A349F" w:rsidRDefault="00154C4A" w:rsidP="00154C4A">
      <w:pPr>
        <w:rPr>
          <w:rFonts w:ascii="Calibri" w:hAnsi="Calibri" w:cs="Calibri"/>
        </w:rPr>
      </w:pPr>
    </w:p>
    <w:p w:rsidR="00154C4A" w:rsidRPr="007A349F" w:rsidRDefault="00154C4A" w:rsidP="00154C4A">
      <w:pPr>
        <w:rPr>
          <w:rFonts w:ascii="Calibri" w:hAnsi="Calibri" w:cs="Calibri"/>
        </w:rPr>
      </w:pPr>
      <w:r w:rsidRPr="007A349F">
        <w:rPr>
          <w:rFonts w:ascii="Calibri" w:hAnsi="Calibri" w:cs="Calibri"/>
        </w:rPr>
        <w:t>Sincerely,</w:t>
      </w:r>
    </w:p>
    <w:p w:rsidR="00154C4A" w:rsidRPr="007A349F" w:rsidRDefault="00154C4A" w:rsidP="00154C4A">
      <w:pPr>
        <w:rPr>
          <w:rFonts w:ascii="Calibri" w:hAnsi="Calibri" w:cs="Calibri"/>
        </w:rPr>
      </w:pPr>
    </w:p>
    <w:p w:rsidR="00154C4A" w:rsidRPr="007A349F" w:rsidRDefault="00154C4A" w:rsidP="00154C4A">
      <w:pPr>
        <w:rPr>
          <w:rFonts w:ascii="Calibri" w:hAnsi="Calibri" w:cs="Calibri"/>
        </w:rPr>
      </w:pPr>
    </w:p>
    <w:p w:rsidR="00154C4A" w:rsidRPr="007A349F" w:rsidRDefault="00154C4A" w:rsidP="00154C4A">
      <w:pPr>
        <w:rPr>
          <w:rFonts w:ascii="Calibri" w:hAnsi="Calibri" w:cs="Calibri"/>
        </w:rPr>
      </w:pPr>
      <w:r w:rsidRPr="007A349F">
        <w:rPr>
          <w:rFonts w:ascii="Calibri" w:hAnsi="Calibri" w:cs="Calibri"/>
        </w:rPr>
        <w:t>Study investigators</w:t>
      </w:r>
      <w:r>
        <w:rPr>
          <w:rFonts w:ascii="Calibri" w:hAnsi="Calibri" w:cs="Calibri"/>
        </w:rPr>
        <w:t>.</w:t>
      </w:r>
    </w:p>
    <w:p w:rsidR="00154C4A" w:rsidRPr="007A349F" w:rsidRDefault="00154C4A" w:rsidP="00154C4A">
      <w:pPr>
        <w:rPr>
          <w:rFonts w:ascii="Calibri" w:hAnsi="Calibri" w:cs="Calibri"/>
        </w:rPr>
      </w:pPr>
    </w:p>
    <w:p w:rsidR="00154C4A" w:rsidRPr="00B70F42" w:rsidRDefault="00154C4A" w:rsidP="00154C4A">
      <w:pPr>
        <w:rPr>
          <w:rFonts w:ascii="Calibri" w:hAnsi="Calibri" w:cs="Calibri"/>
          <w:i/>
        </w:rPr>
      </w:pPr>
    </w:p>
    <w:p w:rsidR="00154C4A" w:rsidRPr="000E0509" w:rsidRDefault="00154C4A" w:rsidP="00154C4A">
      <w:pPr>
        <w:rPr>
          <w:rFonts w:ascii="Calibri" w:hAnsi="Calibri" w:cs="Calibri"/>
          <w:i/>
        </w:rPr>
      </w:pPr>
    </w:p>
    <w:p w:rsidR="00154C4A" w:rsidRDefault="00154C4A" w:rsidP="00154C4A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:rsidR="00154C4A" w:rsidRDefault="00154C4A" w:rsidP="00154C4A">
      <w:pPr>
        <w:pStyle w:val="Heading2"/>
        <w:spacing w:before="0" w:line="240" w:lineRule="auto"/>
        <w:rPr>
          <w:rFonts w:asciiTheme="minorHAnsi" w:hAnsiTheme="minorHAnsi" w:cstheme="minorHAnsi"/>
          <w:sz w:val="24"/>
        </w:rPr>
        <w:sectPr w:rsidR="00154C4A" w:rsidSect="003003F9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Toc319425605"/>
    </w:p>
    <w:p w:rsidR="00154C4A" w:rsidRPr="002C56AC" w:rsidRDefault="00154C4A" w:rsidP="00154C4A">
      <w:pPr>
        <w:pStyle w:val="Heading2"/>
        <w:spacing w:before="0" w:line="240" w:lineRule="auto"/>
        <w:rPr>
          <w:rFonts w:asciiTheme="minorHAnsi" w:hAnsiTheme="minorHAnsi" w:cstheme="minorHAnsi"/>
          <w:i w:val="0"/>
          <w:sz w:val="22"/>
        </w:rPr>
      </w:pPr>
      <w:r w:rsidRPr="002C56AC">
        <w:rPr>
          <w:rFonts w:asciiTheme="minorHAnsi" w:hAnsiTheme="minorHAnsi" w:cstheme="minorHAnsi"/>
          <w:i w:val="0"/>
          <w:sz w:val="22"/>
        </w:rPr>
        <w:lastRenderedPageBreak/>
        <w:t xml:space="preserve">Table 1. </w:t>
      </w:r>
      <w:r w:rsidRPr="002C56AC">
        <w:rPr>
          <w:rFonts w:asciiTheme="minorHAnsi" w:hAnsiTheme="minorHAnsi" w:cstheme="minorHAnsi"/>
          <w:b w:val="0"/>
          <w:i w:val="0"/>
          <w:sz w:val="22"/>
        </w:rPr>
        <w:t>Results of your cli</w:t>
      </w:r>
      <w:r w:rsidR="005B14C3">
        <w:rPr>
          <w:rFonts w:asciiTheme="minorHAnsi" w:hAnsiTheme="minorHAnsi" w:cstheme="minorHAnsi"/>
          <w:b w:val="0"/>
          <w:i w:val="0"/>
          <w:sz w:val="22"/>
        </w:rPr>
        <w:t>nical tests for thyroid hormones,</w:t>
      </w:r>
      <w:r w:rsidRPr="002C56AC">
        <w:rPr>
          <w:rFonts w:asciiTheme="minorHAnsi" w:hAnsiTheme="minorHAnsi" w:cstheme="minorHAnsi"/>
          <w:b w:val="0"/>
          <w:i w:val="0"/>
          <w:sz w:val="22"/>
        </w:rPr>
        <w:t xml:space="preserve"> glycemic pa</w:t>
      </w:r>
      <w:r w:rsidR="005B14C3">
        <w:rPr>
          <w:rFonts w:asciiTheme="minorHAnsi" w:hAnsiTheme="minorHAnsi" w:cstheme="minorHAnsi"/>
          <w:b w:val="0"/>
          <w:i w:val="0"/>
          <w:sz w:val="22"/>
        </w:rPr>
        <w:t>rameters, lipids, and liver function</w:t>
      </w:r>
      <w:r w:rsidRPr="002C56AC">
        <w:rPr>
          <w:rFonts w:asciiTheme="minorHAnsi" w:hAnsiTheme="minorHAnsi" w:cstheme="minorHAnsi"/>
          <w:b w:val="0"/>
          <w:i w:val="0"/>
          <w:sz w:val="22"/>
        </w:rPr>
        <w:t>.</w:t>
      </w:r>
      <w:r w:rsidRPr="002C56AC">
        <w:rPr>
          <w:rFonts w:asciiTheme="minorHAnsi" w:hAnsiTheme="minorHAnsi" w:cstheme="minorHAnsi"/>
          <w:i w:val="0"/>
          <w:sz w:val="22"/>
        </w:rPr>
        <w:t xml:space="preserve"> </w:t>
      </w:r>
    </w:p>
    <w:p w:rsidR="00154C4A" w:rsidRDefault="00154C4A" w:rsidP="00154C4A"/>
    <w:tbl>
      <w:tblPr>
        <w:tblStyle w:val="TableGrid"/>
        <w:tblW w:w="12978" w:type="dxa"/>
        <w:tblLook w:val="04A0" w:firstRow="1" w:lastRow="0" w:firstColumn="1" w:lastColumn="0" w:noHBand="0" w:noVBand="1"/>
      </w:tblPr>
      <w:tblGrid>
        <w:gridCol w:w="4473"/>
        <w:gridCol w:w="1665"/>
        <w:gridCol w:w="3600"/>
        <w:gridCol w:w="3240"/>
      </w:tblGrid>
      <w:tr w:rsidR="00154C4A" w:rsidRPr="00FF1E19" w:rsidTr="005342E5">
        <w:tc>
          <w:tcPr>
            <w:tcW w:w="4473" w:type="dxa"/>
          </w:tcPr>
          <w:p w:rsidR="00154C4A" w:rsidRPr="00FF1E19" w:rsidRDefault="00154C4A" w:rsidP="005342E5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Test name</w:t>
            </w:r>
          </w:p>
        </w:tc>
        <w:tc>
          <w:tcPr>
            <w:tcW w:w="1665" w:type="dxa"/>
          </w:tcPr>
          <w:p w:rsidR="00154C4A" w:rsidRPr="002C56AC" w:rsidRDefault="00154C4A" w:rsidP="005342E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56AC">
              <w:rPr>
                <w:rFonts w:asciiTheme="minorHAnsi" w:hAnsiTheme="minorHAnsi" w:cstheme="minorHAnsi"/>
                <w:b/>
                <w:sz w:val="20"/>
                <w:szCs w:val="20"/>
              </w:rPr>
              <w:t>Your Result</w:t>
            </w:r>
          </w:p>
        </w:tc>
        <w:tc>
          <w:tcPr>
            <w:tcW w:w="3600" w:type="dxa"/>
          </w:tcPr>
          <w:p w:rsidR="00154C4A" w:rsidRPr="002C56AC" w:rsidRDefault="00154C4A" w:rsidP="005342E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56AC">
              <w:rPr>
                <w:rFonts w:asciiTheme="minorHAnsi" w:hAnsiTheme="minorHAnsi" w:cstheme="minorHAnsi"/>
                <w:b/>
                <w:sz w:val="20"/>
                <w:szCs w:val="20"/>
              </w:rPr>
              <w:t>Comparison Values</w:t>
            </w:r>
          </w:p>
        </w:tc>
        <w:tc>
          <w:tcPr>
            <w:tcW w:w="3240" w:type="dxa"/>
          </w:tcPr>
          <w:p w:rsidR="00154C4A" w:rsidRPr="002C56AC" w:rsidRDefault="00154C4A" w:rsidP="005342E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56AC">
              <w:rPr>
                <w:rFonts w:asciiTheme="minorHAnsi" w:hAnsiTheme="minorHAnsi" w:cstheme="minorHAnsi"/>
                <w:b/>
                <w:sz w:val="20"/>
                <w:szCs w:val="20"/>
              </w:rPr>
              <w:t>Comments</w:t>
            </w:r>
          </w:p>
        </w:tc>
      </w:tr>
      <w:tr w:rsidR="00154C4A" w:rsidRPr="00FF1E19" w:rsidTr="005342E5">
        <w:tc>
          <w:tcPr>
            <w:tcW w:w="4473" w:type="dxa"/>
            <w:shd w:val="clear" w:color="auto" w:fill="BFBFBF" w:themeFill="background1" w:themeFillShade="BF"/>
          </w:tcPr>
          <w:p w:rsidR="00154C4A" w:rsidRPr="00FF1E19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1E1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Thyroid Hormones and Antibodies</w:t>
            </w:r>
          </w:p>
        </w:tc>
        <w:tc>
          <w:tcPr>
            <w:tcW w:w="1665" w:type="dxa"/>
            <w:shd w:val="clear" w:color="auto" w:fill="BFBFBF" w:themeFill="background1" w:themeFillShade="BF"/>
          </w:tcPr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BFBFBF" w:themeFill="background1" w:themeFillShade="BF"/>
          </w:tcPr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56AC">
              <w:rPr>
                <w:rFonts w:asciiTheme="minorHAnsi" w:hAnsiTheme="minorHAnsi" w:cstheme="minorHAnsi"/>
                <w:b/>
                <w:sz w:val="20"/>
                <w:szCs w:val="20"/>
              </w:rPr>
              <w:t>Clinical Ranges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C4A" w:rsidRPr="00FF1E19" w:rsidTr="005342E5">
        <w:tc>
          <w:tcPr>
            <w:tcW w:w="4473" w:type="dxa"/>
          </w:tcPr>
          <w:p w:rsidR="00154C4A" w:rsidRPr="00CB7E51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 Triiodothyronine</w:t>
            </w:r>
            <w:r w:rsidRPr="00CB7E51">
              <w:rPr>
                <w:rFonts w:asciiTheme="minorHAnsi" w:hAnsiTheme="minorHAnsi" w:cstheme="minorHAnsi"/>
                <w:sz w:val="20"/>
                <w:szCs w:val="20"/>
              </w:rPr>
              <w:t xml:space="preserve"> (TT3)</w:t>
            </w:r>
          </w:p>
        </w:tc>
        <w:tc>
          <w:tcPr>
            <w:tcW w:w="1665" w:type="dxa"/>
          </w:tcPr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3600" w:type="dxa"/>
          </w:tcPr>
          <w:p w:rsidR="00154C4A" w:rsidRPr="002C56AC" w:rsidRDefault="00A95B9A" w:rsidP="005342E5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</w:t>
            </w:r>
            <w:r w:rsidRPr="00A95B9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54C4A" w:rsidRPr="002C56AC">
              <w:rPr>
                <w:rFonts w:asciiTheme="minorHAnsi" w:hAnsiTheme="minorHAnsi" w:cstheme="minorHAnsi"/>
                <w:sz w:val="20"/>
                <w:szCs w:val="20"/>
              </w:rPr>
              <w:t xml:space="preserve">180 ng/dL </w:t>
            </w:r>
            <w:r w:rsidR="00154C4A" w:rsidRPr="002C56A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240" w:type="dxa"/>
          </w:tcPr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C4A" w:rsidRPr="00FF1E19" w:rsidTr="005342E5">
        <w:tc>
          <w:tcPr>
            <w:tcW w:w="4473" w:type="dxa"/>
          </w:tcPr>
          <w:p w:rsidR="00154C4A" w:rsidRPr="00CB7E51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7E51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tal Thyroxin</w:t>
            </w:r>
            <w:r w:rsidRPr="00CB7E51">
              <w:rPr>
                <w:rFonts w:asciiTheme="minorHAnsi" w:hAnsiTheme="minorHAnsi" w:cstheme="minorHAnsi"/>
                <w:sz w:val="20"/>
                <w:szCs w:val="20"/>
              </w:rPr>
              <w:t xml:space="preserve"> (TT4)</w:t>
            </w:r>
          </w:p>
        </w:tc>
        <w:tc>
          <w:tcPr>
            <w:tcW w:w="1665" w:type="dxa"/>
          </w:tcPr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3600" w:type="dxa"/>
          </w:tcPr>
          <w:p w:rsidR="00154C4A" w:rsidRPr="002C56AC" w:rsidRDefault="00A95B9A" w:rsidP="005342E5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4.5</w:t>
            </w:r>
            <w:r w:rsidRPr="00A95B9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54C4A" w:rsidRPr="002C56AC">
              <w:rPr>
                <w:rFonts w:asciiTheme="minorHAnsi" w:hAnsiTheme="minorHAnsi" w:cstheme="minorHAnsi"/>
                <w:sz w:val="20"/>
                <w:szCs w:val="20"/>
              </w:rPr>
              <w:t xml:space="preserve">12.5 µg/dL </w:t>
            </w:r>
            <w:r w:rsidR="00154C4A" w:rsidRPr="002C56A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240" w:type="dxa"/>
          </w:tcPr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C4A" w:rsidRPr="00FF1E19" w:rsidTr="005342E5">
        <w:tc>
          <w:tcPr>
            <w:tcW w:w="4473" w:type="dxa"/>
          </w:tcPr>
          <w:p w:rsidR="00154C4A" w:rsidRPr="00CB7E51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B7E51">
              <w:rPr>
                <w:rFonts w:asciiTheme="minorHAnsi" w:hAnsiTheme="minorHAnsi" w:cstheme="minorHAnsi"/>
                <w:sz w:val="20"/>
                <w:szCs w:val="20"/>
              </w:rPr>
              <w:t>Thyroid Stimulating Hormone (TSH)</w:t>
            </w:r>
          </w:p>
        </w:tc>
        <w:tc>
          <w:tcPr>
            <w:tcW w:w="1665" w:type="dxa"/>
          </w:tcPr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3600" w:type="dxa"/>
          </w:tcPr>
          <w:p w:rsidR="00154C4A" w:rsidRPr="002C56AC" w:rsidRDefault="00A95B9A" w:rsidP="005342E5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0.30</w:t>
            </w:r>
            <w:r w:rsidRPr="00A95B9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54C4A" w:rsidRPr="002C56AC">
              <w:rPr>
                <w:rFonts w:asciiTheme="minorHAnsi" w:hAnsiTheme="minorHAnsi" w:cstheme="minorHAnsi"/>
                <w:sz w:val="20"/>
                <w:szCs w:val="20"/>
              </w:rPr>
              <w:t xml:space="preserve">3.0 mIU/L </w:t>
            </w:r>
            <w:r w:rsidR="00154C4A" w:rsidRPr="002C56A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240" w:type="dxa"/>
          </w:tcPr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C4A" w:rsidRPr="00FF1E19" w:rsidTr="005342E5">
        <w:tc>
          <w:tcPr>
            <w:tcW w:w="4473" w:type="dxa"/>
          </w:tcPr>
          <w:p w:rsidR="00154C4A" w:rsidRPr="00FF1E19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1E19">
              <w:rPr>
                <w:rFonts w:asciiTheme="minorHAnsi" w:hAnsiTheme="minorHAnsi" w:cstheme="minorHAnsi"/>
                <w:sz w:val="20"/>
                <w:szCs w:val="20"/>
              </w:rPr>
              <w:t>Free T3 Index</w:t>
            </w:r>
            <w:r w:rsidRPr="00FF1E1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65" w:type="dxa"/>
          </w:tcPr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3600" w:type="dxa"/>
          </w:tcPr>
          <w:p w:rsidR="00154C4A" w:rsidRPr="002C56AC" w:rsidRDefault="00A95B9A" w:rsidP="005342E5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</w:t>
            </w:r>
            <w:r w:rsidRPr="00A95B9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54C4A" w:rsidRPr="002C56AC">
              <w:rPr>
                <w:rFonts w:asciiTheme="minorHAnsi" w:hAnsiTheme="minorHAnsi" w:cstheme="minorHAnsi"/>
                <w:sz w:val="20"/>
                <w:szCs w:val="20"/>
              </w:rPr>
              <w:t xml:space="preserve">180 </w:t>
            </w:r>
            <w:r w:rsidR="00154C4A" w:rsidRPr="002C56A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240" w:type="dxa"/>
          </w:tcPr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C4A" w:rsidRPr="00FF1E19" w:rsidTr="005342E5">
        <w:tc>
          <w:tcPr>
            <w:tcW w:w="4473" w:type="dxa"/>
          </w:tcPr>
          <w:p w:rsidR="00154C4A" w:rsidRPr="00FF1E19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1E19">
              <w:rPr>
                <w:rFonts w:asciiTheme="minorHAnsi" w:hAnsiTheme="minorHAnsi" w:cstheme="minorHAnsi"/>
                <w:sz w:val="20"/>
                <w:szCs w:val="20"/>
              </w:rPr>
              <w:t>Free T4</w:t>
            </w:r>
            <w:r w:rsidRPr="00FF1E1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65" w:type="dxa"/>
          </w:tcPr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3600" w:type="dxa"/>
          </w:tcPr>
          <w:p w:rsidR="00154C4A" w:rsidRPr="002C56AC" w:rsidRDefault="00A95B9A" w:rsidP="005342E5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  <w:r w:rsidRPr="00A95B9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54C4A" w:rsidRPr="002C56AC">
              <w:rPr>
                <w:rFonts w:asciiTheme="minorHAnsi" w:hAnsiTheme="minorHAnsi" w:cstheme="minorHAnsi"/>
                <w:sz w:val="20"/>
                <w:szCs w:val="20"/>
              </w:rPr>
              <w:t xml:space="preserve">2.0 ng/dL </w:t>
            </w:r>
            <w:r w:rsidR="00154C4A" w:rsidRPr="002C56A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240" w:type="dxa"/>
          </w:tcPr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C4A" w:rsidRPr="00FF1E19" w:rsidTr="005342E5">
        <w:tc>
          <w:tcPr>
            <w:tcW w:w="4473" w:type="dxa"/>
          </w:tcPr>
          <w:p w:rsidR="00154C4A" w:rsidRPr="00FF1E19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1E19">
              <w:rPr>
                <w:rFonts w:asciiTheme="minorHAnsi" w:hAnsiTheme="minorHAnsi" w:cstheme="minorHAnsi"/>
                <w:sz w:val="20"/>
                <w:szCs w:val="20"/>
              </w:rPr>
              <w:t>Free T4 Index</w:t>
            </w:r>
            <w:r w:rsidRPr="00FF1E1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65" w:type="dxa"/>
          </w:tcPr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3600" w:type="dxa"/>
          </w:tcPr>
          <w:p w:rsidR="00154C4A" w:rsidRPr="002C56AC" w:rsidRDefault="00A95B9A" w:rsidP="005342E5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4.5</w:t>
            </w:r>
            <w:r w:rsidRPr="00A95B9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54C4A" w:rsidRPr="002C56AC">
              <w:rPr>
                <w:rFonts w:asciiTheme="minorHAnsi" w:hAnsiTheme="minorHAnsi" w:cstheme="minorHAnsi"/>
                <w:sz w:val="20"/>
                <w:szCs w:val="20"/>
              </w:rPr>
              <w:t xml:space="preserve">12.5 </w:t>
            </w:r>
            <w:r w:rsidR="00154C4A" w:rsidRPr="002C56A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240" w:type="dxa"/>
          </w:tcPr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C4A" w:rsidRPr="00FF1E19" w:rsidTr="005342E5">
        <w:tc>
          <w:tcPr>
            <w:tcW w:w="4473" w:type="dxa"/>
          </w:tcPr>
          <w:p w:rsidR="00154C4A" w:rsidRPr="00FF1E19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Thyroxin-Binding Globulin</w:t>
            </w:r>
            <w:r w:rsidRPr="00FF1E1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65" w:type="dxa"/>
          </w:tcPr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3600" w:type="dxa"/>
          </w:tcPr>
          <w:p w:rsidR="00154C4A" w:rsidRPr="002C56AC" w:rsidRDefault="00A95B9A" w:rsidP="005342E5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Pr="00A95B9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54C4A" w:rsidRPr="002C56AC">
              <w:rPr>
                <w:rFonts w:asciiTheme="minorHAnsi" w:hAnsiTheme="minorHAnsi" w:cstheme="minorHAnsi"/>
                <w:sz w:val="20"/>
                <w:szCs w:val="20"/>
              </w:rPr>
              <w:t xml:space="preserve">31 µg/mL </w:t>
            </w:r>
            <w:r w:rsidR="00154C4A" w:rsidRPr="002C56A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240" w:type="dxa"/>
          </w:tcPr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C4A" w:rsidRPr="00FF1E19" w:rsidTr="005342E5">
        <w:tc>
          <w:tcPr>
            <w:tcW w:w="4473" w:type="dxa"/>
          </w:tcPr>
          <w:p w:rsidR="00154C4A" w:rsidRPr="00FF1E19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1E19">
              <w:rPr>
                <w:rFonts w:asciiTheme="minorHAnsi" w:hAnsiTheme="minorHAnsi" w:cstheme="minorHAnsi"/>
                <w:sz w:val="20"/>
                <w:szCs w:val="20"/>
              </w:rPr>
              <w:t>Anti-Thyroglobulin Antibody</w:t>
            </w:r>
            <w:r w:rsidRPr="00FF1E1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65" w:type="dxa"/>
          </w:tcPr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3600" w:type="dxa"/>
          </w:tcPr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2C56AC">
              <w:rPr>
                <w:rFonts w:asciiTheme="minorHAnsi" w:hAnsiTheme="minorHAnsi" w:cstheme="minorHAnsi"/>
                <w:sz w:val="20"/>
                <w:szCs w:val="20"/>
              </w:rPr>
              <w:t xml:space="preserve">&lt;0.4 U/mL </w:t>
            </w:r>
            <w:r w:rsidRPr="002C56A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240" w:type="dxa"/>
          </w:tcPr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C4A" w:rsidRPr="00FF1E19" w:rsidTr="005342E5">
        <w:tc>
          <w:tcPr>
            <w:tcW w:w="4473" w:type="dxa"/>
          </w:tcPr>
          <w:p w:rsidR="00154C4A" w:rsidRPr="00FF1E19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1E19">
              <w:rPr>
                <w:rFonts w:asciiTheme="minorHAnsi" w:hAnsiTheme="minorHAnsi" w:cstheme="minorHAnsi"/>
                <w:sz w:val="20"/>
                <w:szCs w:val="20"/>
              </w:rPr>
              <w:t>Anti-Thyroid Peroxidase Antibody</w:t>
            </w:r>
            <w:r w:rsidRPr="00FF1E1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65" w:type="dxa"/>
          </w:tcPr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3600" w:type="dxa"/>
          </w:tcPr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2C56AC">
              <w:rPr>
                <w:rFonts w:asciiTheme="minorHAnsi" w:hAnsiTheme="minorHAnsi" w:cstheme="minorHAnsi"/>
                <w:sz w:val="20"/>
                <w:szCs w:val="20"/>
              </w:rPr>
              <w:t xml:space="preserve">&lt;1.0 IU/mL </w:t>
            </w:r>
            <w:r w:rsidRPr="002C56A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240" w:type="dxa"/>
          </w:tcPr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C4A" w:rsidRPr="00FF1E19" w:rsidTr="005342E5">
        <w:tc>
          <w:tcPr>
            <w:tcW w:w="4473" w:type="dxa"/>
          </w:tcPr>
          <w:p w:rsidR="00154C4A" w:rsidRPr="00FF1E19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1E19">
              <w:rPr>
                <w:rFonts w:asciiTheme="minorHAnsi" w:hAnsiTheme="minorHAnsi" w:cstheme="minorHAnsi"/>
                <w:sz w:val="20"/>
                <w:szCs w:val="20"/>
              </w:rPr>
              <w:t>Thyroid Hormone Binding Ratio</w:t>
            </w:r>
            <w:r w:rsidRPr="00FF1E1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65" w:type="dxa"/>
          </w:tcPr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3600" w:type="dxa"/>
          </w:tcPr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2C56AC">
              <w:rPr>
                <w:rFonts w:asciiTheme="minorHAnsi" w:hAnsiTheme="minorHAnsi" w:cstheme="minorHAnsi"/>
                <w:sz w:val="20"/>
                <w:szCs w:val="20"/>
              </w:rPr>
              <w:t xml:space="preserve">0.72-1.24 </w:t>
            </w:r>
            <w:r w:rsidRPr="002C56A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240" w:type="dxa"/>
          </w:tcPr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C4A" w:rsidRPr="00FF1E19" w:rsidTr="005342E5">
        <w:tc>
          <w:tcPr>
            <w:tcW w:w="4473" w:type="dxa"/>
          </w:tcPr>
          <w:p w:rsidR="00154C4A" w:rsidRPr="00FF1E19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5" w:type="dxa"/>
          </w:tcPr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3600" w:type="dxa"/>
          </w:tcPr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C4A" w:rsidRPr="00FF1E19" w:rsidTr="005342E5">
        <w:tc>
          <w:tcPr>
            <w:tcW w:w="4473" w:type="dxa"/>
            <w:shd w:val="clear" w:color="auto" w:fill="BFBFBF" w:themeFill="background1" w:themeFillShade="BF"/>
          </w:tcPr>
          <w:p w:rsidR="00154C4A" w:rsidRPr="008E3547" w:rsidRDefault="00154C4A" w:rsidP="005342E5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8E354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Glycemic Parameters</w:t>
            </w:r>
          </w:p>
        </w:tc>
        <w:tc>
          <w:tcPr>
            <w:tcW w:w="1665" w:type="dxa"/>
            <w:shd w:val="clear" w:color="auto" w:fill="BFBFBF" w:themeFill="background1" w:themeFillShade="BF"/>
          </w:tcPr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3600" w:type="dxa"/>
            <w:shd w:val="clear" w:color="auto" w:fill="BFBFBF" w:themeFill="background1" w:themeFillShade="BF"/>
          </w:tcPr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56AC">
              <w:rPr>
                <w:rFonts w:asciiTheme="minorHAnsi" w:hAnsiTheme="minorHAnsi" w:cstheme="minorHAnsi"/>
                <w:b/>
                <w:sz w:val="20"/>
                <w:szCs w:val="20"/>
              </w:rPr>
              <w:t>Clinical Guidelines and Ranges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C4A" w:rsidRPr="00FF1E19" w:rsidTr="005342E5">
        <w:tc>
          <w:tcPr>
            <w:tcW w:w="4473" w:type="dxa"/>
            <w:vAlign w:val="center"/>
          </w:tcPr>
          <w:p w:rsidR="00154C4A" w:rsidRPr="00FF1E19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1E19">
              <w:rPr>
                <w:rFonts w:asciiTheme="minorHAnsi" w:hAnsiTheme="minorHAnsi" w:cstheme="minorHAnsi"/>
                <w:sz w:val="20"/>
                <w:szCs w:val="20"/>
              </w:rPr>
              <w:t>Glucose, fasting, 8-hr</w:t>
            </w:r>
          </w:p>
        </w:tc>
        <w:tc>
          <w:tcPr>
            <w:tcW w:w="1665" w:type="dxa"/>
            <w:vAlign w:val="center"/>
          </w:tcPr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0"/>
                <w:u w:val="single"/>
                <w:vertAlign w:val="superscript"/>
              </w:rPr>
            </w:pPr>
            <w:r w:rsidRPr="002C56A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Diabetes Risk </w:t>
            </w:r>
            <w:r w:rsidRPr="002C56AC">
              <w:rPr>
                <w:rFonts w:asciiTheme="minorHAnsi" w:hAnsiTheme="minorHAnsi" w:cstheme="minorHAnsi"/>
                <w:sz w:val="20"/>
                <w:szCs w:val="20"/>
                <w:u w:val="single"/>
                <w:vertAlign w:val="superscript"/>
              </w:rPr>
              <w:t>2</w:t>
            </w:r>
          </w:p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56AC">
              <w:rPr>
                <w:rFonts w:asciiTheme="minorHAnsi" w:hAnsiTheme="minorHAnsi" w:cstheme="minorHAnsi"/>
                <w:sz w:val="20"/>
                <w:szCs w:val="20"/>
              </w:rPr>
              <w:t>Hypoglycemic: &lt;70 mg/dL</w:t>
            </w:r>
          </w:p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56AC">
              <w:rPr>
                <w:rFonts w:asciiTheme="minorHAnsi" w:hAnsiTheme="minorHAnsi" w:cstheme="minorHAnsi"/>
                <w:sz w:val="20"/>
                <w:szCs w:val="20"/>
              </w:rPr>
              <w:t>Normal: 70-99 mg/dL</w:t>
            </w:r>
          </w:p>
          <w:p w:rsidR="00154C4A" w:rsidRPr="002C56AC" w:rsidRDefault="00A95B9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Increased Risk Diabetes: 100</w:t>
            </w:r>
            <w:r w:rsidRPr="00A95B9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54C4A" w:rsidRPr="002C56AC">
              <w:rPr>
                <w:rFonts w:asciiTheme="minorHAnsi" w:hAnsiTheme="minorHAnsi" w:cstheme="minorHAnsi"/>
                <w:sz w:val="20"/>
                <w:szCs w:val="20"/>
              </w:rPr>
              <w:t>125 mg/dL</w:t>
            </w:r>
          </w:p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56AC">
              <w:rPr>
                <w:rFonts w:asciiTheme="minorHAnsi" w:hAnsiTheme="minorHAnsi" w:cstheme="minorHAnsi"/>
                <w:sz w:val="20"/>
                <w:szCs w:val="20"/>
              </w:rPr>
              <w:t>Diabetes: ≥126 mg/dL (confirmation required)</w:t>
            </w:r>
          </w:p>
        </w:tc>
        <w:tc>
          <w:tcPr>
            <w:tcW w:w="3240" w:type="dxa"/>
            <w:vAlign w:val="center"/>
          </w:tcPr>
          <w:p w:rsidR="00154C4A" w:rsidRPr="002C56AC" w:rsidRDefault="00154C4A" w:rsidP="005342E5">
            <w:pPr>
              <w:pStyle w:val="Heading2"/>
              <w:shd w:val="clear" w:color="auto" w:fill="FFFFFF"/>
              <w:spacing w:before="0" w:after="0"/>
              <w:outlineLvl w:val="1"/>
              <w:rPr>
                <w:rFonts w:asciiTheme="minorHAnsi" w:hAnsiTheme="minorHAnsi" w:cstheme="minorHAnsi"/>
                <w:b w:val="0"/>
                <w:i w:val="0"/>
                <w:color w:val="000000"/>
                <w:sz w:val="20"/>
                <w:szCs w:val="20"/>
                <w:vertAlign w:val="superscript"/>
              </w:rPr>
            </w:pPr>
            <w:r w:rsidRPr="002C56AC">
              <w:rPr>
                <w:rFonts w:asciiTheme="minorHAnsi" w:hAnsiTheme="minorHAnsi" w:cstheme="minorHAnsi"/>
                <w:b w:val="0"/>
                <w:i w:val="0"/>
                <w:color w:val="000000"/>
                <w:sz w:val="20"/>
                <w:szCs w:val="20"/>
              </w:rPr>
              <w:t>Critical Value: &lt;40 mg/dL</w:t>
            </w:r>
            <w:r w:rsidRPr="002C56AC">
              <w:rPr>
                <w:rFonts w:asciiTheme="minorHAnsi" w:hAnsiTheme="minorHAnsi" w:cstheme="minorHAnsi"/>
                <w:b w:val="0"/>
                <w:i w:val="0"/>
                <w:color w:val="000000"/>
                <w:sz w:val="20"/>
                <w:szCs w:val="20"/>
                <w:vertAlign w:val="superscript"/>
              </w:rPr>
              <w:t>3</w:t>
            </w:r>
          </w:p>
          <w:p w:rsidR="00154C4A" w:rsidRPr="002C56AC" w:rsidRDefault="00154C4A" w:rsidP="005342E5">
            <w:pPr>
              <w:pStyle w:val="Heading2"/>
              <w:shd w:val="clear" w:color="auto" w:fill="FFFFFF"/>
              <w:spacing w:before="0" w:after="0" w:line="240" w:lineRule="auto"/>
              <w:outlineLvl w:val="1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2C56AC">
              <w:rPr>
                <w:rFonts w:asciiTheme="minorHAnsi" w:hAnsiTheme="minorHAnsi" w:cstheme="minorHAnsi"/>
                <w:b w:val="0"/>
                <w:i w:val="0"/>
                <w:color w:val="000000"/>
                <w:sz w:val="20"/>
                <w:szCs w:val="20"/>
              </w:rPr>
              <w:t>Critical Value:  &gt;400</w:t>
            </w:r>
            <w:r w:rsidRPr="00FA6CCF">
              <w:rPr>
                <w:rFonts w:asciiTheme="minorHAnsi" w:hAnsiTheme="minorHAnsi" w:cstheme="minorHAnsi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 </w:t>
            </w:r>
            <w:r w:rsidRPr="002C56AC">
              <w:rPr>
                <w:rFonts w:asciiTheme="minorHAnsi" w:hAnsiTheme="minorHAnsi" w:cstheme="minorHAnsi"/>
                <w:b w:val="0"/>
                <w:i w:val="0"/>
                <w:color w:val="000000"/>
                <w:sz w:val="20"/>
                <w:szCs w:val="20"/>
              </w:rPr>
              <w:t>mg/dL</w:t>
            </w:r>
            <w:r w:rsidRPr="002C56AC">
              <w:rPr>
                <w:rFonts w:asciiTheme="minorHAnsi" w:hAnsiTheme="minorHAnsi" w:cstheme="minorHAnsi"/>
                <w:b w:val="0"/>
                <w:i w:val="0"/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154C4A" w:rsidRPr="00FF1E19" w:rsidTr="005342E5">
        <w:tc>
          <w:tcPr>
            <w:tcW w:w="4473" w:type="dxa"/>
            <w:vAlign w:val="center"/>
          </w:tcPr>
          <w:p w:rsidR="00154C4A" w:rsidRPr="00FF1E19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1E19">
              <w:rPr>
                <w:rFonts w:asciiTheme="minorHAnsi" w:hAnsiTheme="minorHAnsi" w:cstheme="minorHAnsi"/>
                <w:sz w:val="20"/>
                <w:szCs w:val="20"/>
              </w:rPr>
              <w:t>Insulin</w:t>
            </w:r>
          </w:p>
        </w:tc>
        <w:tc>
          <w:tcPr>
            <w:tcW w:w="1665" w:type="dxa"/>
            <w:vAlign w:val="center"/>
          </w:tcPr>
          <w:p w:rsidR="00154C4A" w:rsidRPr="00FF1E19" w:rsidRDefault="00154C4A" w:rsidP="005342E5">
            <w:pPr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3600" w:type="dxa"/>
            <w:vAlign w:val="center"/>
          </w:tcPr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2C56AC">
              <w:rPr>
                <w:rFonts w:asciiTheme="minorHAnsi" w:hAnsiTheme="minorHAnsi" w:cstheme="minorHAnsi"/>
                <w:sz w:val="20"/>
                <w:szCs w:val="20"/>
              </w:rPr>
              <w:t xml:space="preserve">&lt;17 µU/ml </w:t>
            </w:r>
            <w:r w:rsidRPr="002C56A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240" w:type="dxa"/>
            <w:vAlign w:val="center"/>
          </w:tcPr>
          <w:p w:rsidR="00154C4A" w:rsidRPr="00AC1DCD" w:rsidRDefault="00154C4A" w:rsidP="005342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C4A" w:rsidRPr="00FF1E19" w:rsidTr="005342E5">
        <w:tc>
          <w:tcPr>
            <w:tcW w:w="4473" w:type="dxa"/>
            <w:vAlign w:val="center"/>
          </w:tcPr>
          <w:p w:rsidR="00154C4A" w:rsidRPr="00FF1E19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1E19">
              <w:rPr>
                <w:rFonts w:asciiTheme="minorHAnsi" w:hAnsiTheme="minorHAnsi" w:cstheme="minorHAnsi"/>
                <w:sz w:val="20"/>
                <w:szCs w:val="20"/>
              </w:rPr>
              <w:t>Glycosylated Hemoglobin</w:t>
            </w:r>
            <w:r w:rsidRPr="00FF1E1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B7E51">
              <w:rPr>
                <w:rFonts w:asciiTheme="minorHAnsi" w:hAnsiTheme="minorHAnsi" w:cstheme="minorHAnsi"/>
                <w:sz w:val="20"/>
                <w:szCs w:val="20"/>
              </w:rPr>
              <w:t>(HbA1c)</w:t>
            </w:r>
          </w:p>
          <w:p w:rsidR="00154C4A" w:rsidRPr="00FF1E19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154C4A" w:rsidRPr="00FF1E19" w:rsidRDefault="00154C4A" w:rsidP="005342E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0"/>
                <w:u w:val="single"/>
                <w:vertAlign w:val="superscript"/>
              </w:rPr>
            </w:pPr>
            <w:r w:rsidRPr="002C56A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Diabetes Risk </w:t>
            </w:r>
            <w:r w:rsidRPr="002C56AC">
              <w:rPr>
                <w:rFonts w:asciiTheme="minorHAnsi" w:hAnsiTheme="minorHAnsi" w:cstheme="minorHAnsi"/>
                <w:sz w:val="20"/>
                <w:szCs w:val="20"/>
                <w:u w:val="single"/>
                <w:vertAlign w:val="superscript"/>
              </w:rPr>
              <w:t>2</w:t>
            </w:r>
          </w:p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56AC">
              <w:rPr>
                <w:rFonts w:asciiTheme="minorHAnsi" w:hAnsiTheme="minorHAnsi" w:cstheme="minorHAnsi"/>
                <w:sz w:val="20"/>
                <w:szCs w:val="20"/>
              </w:rPr>
              <w:t>Normal: &lt;5.7%</w:t>
            </w:r>
          </w:p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56AC">
              <w:rPr>
                <w:rFonts w:asciiTheme="minorHAnsi" w:hAnsiTheme="minorHAnsi" w:cstheme="minorHAnsi"/>
                <w:sz w:val="20"/>
                <w:szCs w:val="20"/>
              </w:rPr>
              <w:t>Increased Risk Diabetes: 5.7-6.4%</w:t>
            </w:r>
          </w:p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56AC">
              <w:rPr>
                <w:rFonts w:asciiTheme="minorHAnsi" w:hAnsiTheme="minorHAnsi" w:cstheme="minorHAnsi"/>
                <w:sz w:val="20"/>
                <w:szCs w:val="20"/>
              </w:rPr>
              <w:t>Diabetes: ≥6.5% (confirmation required)</w:t>
            </w:r>
          </w:p>
        </w:tc>
        <w:tc>
          <w:tcPr>
            <w:tcW w:w="3240" w:type="dxa"/>
            <w:vAlign w:val="center"/>
          </w:tcPr>
          <w:p w:rsidR="00154C4A" w:rsidRPr="002C56AC" w:rsidRDefault="00154C4A" w:rsidP="005342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C4A" w:rsidRPr="00FF1E19" w:rsidTr="005342E5">
        <w:tc>
          <w:tcPr>
            <w:tcW w:w="4473" w:type="dxa"/>
            <w:vAlign w:val="center"/>
          </w:tcPr>
          <w:p w:rsidR="00154C4A" w:rsidRPr="00FF1E19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Thyrosine</w:t>
            </w:r>
            <w:r w:rsidRPr="00FF1E19">
              <w:rPr>
                <w:rFonts w:asciiTheme="minorHAnsi" w:hAnsiTheme="minorHAnsi" w:cstheme="minorHAnsi"/>
                <w:sz w:val="20"/>
                <w:szCs w:val="20"/>
              </w:rPr>
              <w:t xml:space="preserve"> Phosphatase-like Protein Autoantibodies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(IA 2)</w:t>
            </w:r>
          </w:p>
        </w:tc>
        <w:tc>
          <w:tcPr>
            <w:tcW w:w="1665" w:type="dxa"/>
            <w:vAlign w:val="center"/>
          </w:tcPr>
          <w:p w:rsidR="00154C4A" w:rsidRPr="00FF1E19" w:rsidRDefault="00154C4A" w:rsidP="005342E5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3600" w:type="dxa"/>
            <w:vAlign w:val="center"/>
          </w:tcPr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2C56AC">
              <w:rPr>
                <w:rFonts w:asciiTheme="minorHAnsi" w:hAnsiTheme="minorHAnsi" w:cstheme="minorHAnsi"/>
                <w:sz w:val="20"/>
                <w:szCs w:val="20"/>
              </w:rPr>
              <w:t xml:space="preserve">Negative Antibody: DK&lt;5 </w:t>
            </w:r>
            <w:r w:rsidRPr="002C56A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  <w:p w:rsidR="00154C4A" w:rsidRPr="00AC1DCD" w:rsidRDefault="00154C4A" w:rsidP="005342E5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2C56AC">
              <w:rPr>
                <w:rFonts w:asciiTheme="minorHAnsi" w:hAnsiTheme="minorHAnsi" w:cstheme="minorHAnsi"/>
                <w:sz w:val="20"/>
                <w:szCs w:val="20"/>
              </w:rPr>
              <w:t>Positive Antibody: DK≥5</w:t>
            </w:r>
          </w:p>
        </w:tc>
        <w:tc>
          <w:tcPr>
            <w:tcW w:w="3240" w:type="dxa"/>
            <w:vAlign w:val="center"/>
          </w:tcPr>
          <w:p w:rsidR="00154C4A" w:rsidRPr="002C56AC" w:rsidRDefault="00154C4A" w:rsidP="005342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C4A" w:rsidRPr="00FF1E19" w:rsidTr="005342E5">
        <w:tc>
          <w:tcPr>
            <w:tcW w:w="4473" w:type="dxa"/>
            <w:vAlign w:val="center"/>
          </w:tcPr>
          <w:p w:rsidR="00154C4A" w:rsidRPr="00FF1E19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1E19">
              <w:rPr>
                <w:rFonts w:asciiTheme="minorHAnsi" w:hAnsiTheme="minorHAnsi" w:cstheme="minorHAnsi"/>
                <w:sz w:val="20"/>
                <w:szCs w:val="20"/>
              </w:rPr>
              <w:t>Glutamate Decarboxylase -65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(anti-GAD 65)</w:t>
            </w:r>
          </w:p>
        </w:tc>
        <w:tc>
          <w:tcPr>
            <w:tcW w:w="1665" w:type="dxa"/>
            <w:vAlign w:val="center"/>
          </w:tcPr>
          <w:p w:rsidR="00154C4A" w:rsidRPr="00FF1E19" w:rsidRDefault="00154C4A" w:rsidP="005342E5">
            <w:pPr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3600" w:type="dxa"/>
            <w:vAlign w:val="center"/>
          </w:tcPr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2C56AC">
              <w:rPr>
                <w:rFonts w:asciiTheme="minorHAnsi" w:hAnsiTheme="minorHAnsi" w:cstheme="minorHAnsi"/>
                <w:sz w:val="20"/>
                <w:szCs w:val="20"/>
              </w:rPr>
              <w:t xml:space="preserve">Negative Antibody: DK≤33 </w:t>
            </w:r>
            <w:r w:rsidRPr="002C56A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2C56AC">
              <w:rPr>
                <w:rFonts w:asciiTheme="minorHAnsi" w:hAnsiTheme="minorHAnsi" w:cstheme="minorHAnsi"/>
                <w:sz w:val="20"/>
                <w:szCs w:val="20"/>
              </w:rPr>
              <w:t xml:space="preserve">Positive Antibody: DK&gt;33 </w:t>
            </w:r>
          </w:p>
        </w:tc>
        <w:tc>
          <w:tcPr>
            <w:tcW w:w="3240" w:type="dxa"/>
            <w:vAlign w:val="center"/>
          </w:tcPr>
          <w:p w:rsidR="00154C4A" w:rsidRPr="002C56AC" w:rsidRDefault="00154C4A" w:rsidP="005342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C4A" w:rsidRPr="00FF1E19" w:rsidTr="005342E5">
        <w:trPr>
          <w:trHeight w:val="305"/>
        </w:trPr>
        <w:tc>
          <w:tcPr>
            <w:tcW w:w="4473" w:type="dxa"/>
          </w:tcPr>
          <w:p w:rsidR="00154C4A" w:rsidRPr="00FF1E19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5" w:type="dxa"/>
          </w:tcPr>
          <w:p w:rsidR="00154C4A" w:rsidRPr="00FF1E19" w:rsidRDefault="00154C4A" w:rsidP="005342E5">
            <w:pPr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3600" w:type="dxa"/>
          </w:tcPr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C4A" w:rsidRPr="00FF1E19" w:rsidTr="005342E5">
        <w:tc>
          <w:tcPr>
            <w:tcW w:w="4473" w:type="dxa"/>
            <w:shd w:val="clear" w:color="auto" w:fill="BFBFBF" w:themeFill="background1" w:themeFillShade="BF"/>
          </w:tcPr>
          <w:p w:rsidR="00154C4A" w:rsidRPr="008E3547" w:rsidRDefault="00154C4A" w:rsidP="005342E5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8E354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Lipids</w:t>
            </w:r>
          </w:p>
        </w:tc>
        <w:tc>
          <w:tcPr>
            <w:tcW w:w="1665" w:type="dxa"/>
            <w:shd w:val="clear" w:color="auto" w:fill="BFBFBF" w:themeFill="background1" w:themeFillShade="BF"/>
          </w:tcPr>
          <w:p w:rsidR="00154C4A" w:rsidRPr="00FF1E19" w:rsidRDefault="00154C4A" w:rsidP="005342E5">
            <w:pPr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3600" w:type="dxa"/>
            <w:shd w:val="clear" w:color="auto" w:fill="BFBFBF" w:themeFill="background1" w:themeFillShade="BF"/>
          </w:tcPr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56AC">
              <w:rPr>
                <w:rFonts w:asciiTheme="minorHAnsi" w:hAnsiTheme="minorHAnsi" w:cstheme="minorHAnsi"/>
                <w:b/>
                <w:sz w:val="20"/>
                <w:szCs w:val="20"/>
              </w:rPr>
              <w:t>Clinical Guidelines and Ranges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C4A" w:rsidRPr="00FF1E19" w:rsidTr="005342E5">
        <w:tc>
          <w:tcPr>
            <w:tcW w:w="4473" w:type="dxa"/>
            <w:vAlign w:val="center"/>
          </w:tcPr>
          <w:p w:rsidR="00154C4A" w:rsidRPr="00FF1E19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1E19">
              <w:rPr>
                <w:rFonts w:asciiTheme="minorHAnsi" w:hAnsiTheme="minorHAnsi" w:cstheme="minorHAnsi"/>
                <w:sz w:val="20"/>
                <w:szCs w:val="20"/>
              </w:rPr>
              <w:t>Total Cholesterol</w:t>
            </w:r>
          </w:p>
          <w:p w:rsidR="00154C4A" w:rsidRPr="00FF1E19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154C4A" w:rsidRPr="00FF1E19" w:rsidRDefault="00154C4A" w:rsidP="005342E5">
            <w:pPr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154C4A" w:rsidRPr="002C56AC" w:rsidRDefault="00154C4A" w:rsidP="005342E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  <w:vertAlign w:val="superscript"/>
              </w:rPr>
            </w:pPr>
            <w:r w:rsidRPr="002C56AC"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  <w:t xml:space="preserve">Coronary Heart Disease Risk (CHD) </w:t>
            </w:r>
            <w:r w:rsidRPr="002C56AC"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  <w:vertAlign w:val="superscript"/>
              </w:rPr>
              <w:t>4</w:t>
            </w:r>
          </w:p>
          <w:p w:rsidR="00154C4A" w:rsidRPr="002C56AC" w:rsidRDefault="00154C4A" w:rsidP="005342E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2C56A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Desirable: &lt;200 mg/dL </w:t>
            </w:r>
          </w:p>
          <w:p w:rsidR="00154C4A" w:rsidRPr="002C56AC" w:rsidRDefault="00A95B9A" w:rsidP="005342E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Borderline High: 200</w:t>
            </w:r>
            <w:r w:rsidRPr="00A95B9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54C4A" w:rsidRPr="002C56AC">
              <w:rPr>
                <w:rFonts w:asciiTheme="minorHAnsi" w:eastAsiaTheme="minorHAnsi" w:hAnsiTheme="minorHAnsi" w:cstheme="minorHAnsi"/>
                <w:sz w:val="20"/>
                <w:szCs w:val="20"/>
              </w:rPr>
              <w:t>239 mg/dL</w:t>
            </w:r>
          </w:p>
          <w:p w:rsidR="00154C4A" w:rsidRPr="002C56AC" w:rsidRDefault="00154C4A" w:rsidP="005342E5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2C56A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High: </w:t>
            </w:r>
            <w:r w:rsidRPr="002C56AC">
              <w:rPr>
                <w:rFonts w:asciiTheme="minorHAnsi" w:eastAsia="SymbolMT" w:hAnsiTheme="minorHAnsi" w:cstheme="minorHAnsi"/>
                <w:sz w:val="20"/>
                <w:szCs w:val="20"/>
              </w:rPr>
              <w:t>≥</w:t>
            </w:r>
            <w:r w:rsidRPr="002C56AC">
              <w:rPr>
                <w:rFonts w:asciiTheme="minorHAnsi" w:eastAsiaTheme="minorHAnsi" w:hAnsiTheme="minorHAnsi" w:cstheme="minorHAnsi"/>
                <w:sz w:val="20"/>
                <w:szCs w:val="20"/>
              </w:rPr>
              <w:t>240 mg/dL</w:t>
            </w:r>
          </w:p>
        </w:tc>
        <w:tc>
          <w:tcPr>
            <w:tcW w:w="3240" w:type="dxa"/>
            <w:vAlign w:val="center"/>
          </w:tcPr>
          <w:p w:rsidR="00154C4A" w:rsidRPr="00AC1DCD" w:rsidRDefault="00154C4A" w:rsidP="005342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C4A" w:rsidRPr="00FF1E19" w:rsidTr="005342E5">
        <w:tc>
          <w:tcPr>
            <w:tcW w:w="4473" w:type="dxa"/>
            <w:vAlign w:val="center"/>
          </w:tcPr>
          <w:p w:rsidR="00154C4A" w:rsidRPr="00FF1E19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1E19">
              <w:rPr>
                <w:rFonts w:asciiTheme="minorHAnsi" w:hAnsiTheme="minorHAnsi" w:cstheme="minorHAnsi"/>
                <w:sz w:val="20"/>
                <w:szCs w:val="20"/>
              </w:rPr>
              <w:t>Triglycerides</w:t>
            </w:r>
          </w:p>
        </w:tc>
        <w:tc>
          <w:tcPr>
            <w:tcW w:w="1665" w:type="dxa"/>
            <w:vAlign w:val="center"/>
          </w:tcPr>
          <w:p w:rsidR="00154C4A" w:rsidRPr="00FF1E19" w:rsidRDefault="00154C4A" w:rsidP="005342E5">
            <w:pPr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154C4A" w:rsidRPr="002C56AC" w:rsidRDefault="00154C4A" w:rsidP="005342E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  <w:vertAlign w:val="superscript"/>
              </w:rPr>
            </w:pPr>
            <w:r w:rsidRPr="002C56AC"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  <w:t xml:space="preserve">CHD Risk </w:t>
            </w:r>
            <w:r w:rsidRPr="002C56AC"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  <w:vertAlign w:val="superscript"/>
              </w:rPr>
              <w:t>4</w:t>
            </w:r>
          </w:p>
          <w:p w:rsidR="00154C4A" w:rsidRPr="002C56AC" w:rsidRDefault="00154C4A" w:rsidP="005342E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2C56A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Desirable: </w:t>
            </w:r>
            <w:r w:rsidRPr="002C56A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&lt;150 mg/dL</w:t>
            </w:r>
          </w:p>
          <w:p w:rsidR="00154C4A" w:rsidRPr="002C56AC" w:rsidRDefault="00154C4A" w:rsidP="005342E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2C56AC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 xml:space="preserve">Borderline High: </w:t>
            </w:r>
            <w:r w:rsidR="00A95B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150</w:t>
            </w:r>
            <w:r w:rsidR="00A95B9A" w:rsidRPr="00A95B9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2C56A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199 mg/dL</w:t>
            </w:r>
          </w:p>
          <w:p w:rsidR="00154C4A" w:rsidRPr="002C56AC" w:rsidRDefault="00154C4A" w:rsidP="005342E5">
            <w:pP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C56A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High: </w:t>
            </w:r>
            <w:r w:rsidR="00A95B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200</w:t>
            </w:r>
            <w:r w:rsidR="00A95B9A" w:rsidRPr="00A95B9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2C56A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499 mg/dL</w:t>
            </w:r>
          </w:p>
          <w:p w:rsidR="00154C4A" w:rsidRPr="002C56AC" w:rsidRDefault="00154C4A" w:rsidP="005342E5">
            <w:pP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C56A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Very High: ≥500 mg/dL</w:t>
            </w:r>
          </w:p>
        </w:tc>
        <w:tc>
          <w:tcPr>
            <w:tcW w:w="3240" w:type="dxa"/>
            <w:vAlign w:val="center"/>
          </w:tcPr>
          <w:p w:rsidR="00154C4A" w:rsidRPr="00AC1DCD" w:rsidRDefault="00154C4A" w:rsidP="005342E5">
            <w:pPr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2C56A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Critical Value: &gt;1,500 mg/dL</w:t>
            </w:r>
            <w:r w:rsidRPr="002C56A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</w:tr>
      <w:tr w:rsidR="00154C4A" w:rsidRPr="00FF1E19" w:rsidTr="005342E5">
        <w:tc>
          <w:tcPr>
            <w:tcW w:w="4473" w:type="dxa"/>
            <w:vAlign w:val="center"/>
          </w:tcPr>
          <w:p w:rsidR="00154C4A" w:rsidRPr="00FF1E19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1E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Low De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nsity Lipoprotein Cholesterol</w:t>
            </w:r>
          </w:p>
        </w:tc>
        <w:tc>
          <w:tcPr>
            <w:tcW w:w="1665" w:type="dxa"/>
            <w:vAlign w:val="center"/>
          </w:tcPr>
          <w:p w:rsidR="00154C4A" w:rsidRPr="00FF1E19" w:rsidRDefault="00154C4A" w:rsidP="005342E5">
            <w:pPr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154C4A" w:rsidRPr="002C56AC" w:rsidRDefault="00154C4A" w:rsidP="005342E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  <w:vertAlign w:val="superscript"/>
              </w:rPr>
            </w:pPr>
            <w:r w:rsidRPr="002C56AC"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  <w:t xml:space="preserve">CHD Risk </w:t>
            </w:r>
            <w:r w:rsidRPr="002C56AC"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  <w:vertAlign w:val="superscript"/>
              </w:rPr>
              <w:t>4</w:t>
            </w:r>
          </w:p>
          <w:p w:rsidR="00154C4A" w:rsidRPr="002C56AC" w:rsidRDefault="00154C4A" w:rsidP="005342E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C56A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Desirable: </w:t>
            </w:r>
            <w:r w:rsidRPr="002C56A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&lt;100 mg/dL</w:t>
            </w:r>
          </w:p>
          <w:p w:rsidR="00154C4A" w:rsidRPr="002C56AC" w:rsidRDefault="00A95B9A" w:rsidP="005342E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Low Risk: 100</w:t>
            </w:r>
            <w:r w:rsidRPr="00A95B9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54C4A" w:rsidRPr="002C56A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129 mg/dL</w:t>
            </w:r>
          </w:p>
          <w:p w:rsidR="00154C4A" w:rsidRPr="002C56AC" w:rsidRDefault="00154C4A" w:rsidP="005342E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2C56A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Borderline High: </w:t>
            </w:r>
            <w:r w:rsidR="00A95B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130</w:t>
            </w:r>
            <w:r w:rsidR="00A95B9A" w:rsidRPr="00A95B9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2C56A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159mg/dL</w:t>
            </w:r>
          </w:p>
          <w:p w:rsidR="00154C4A" w:rsidRPr="002C56AC" w:rsidRDefault="00154C4A" w:rsidP="005342E5">
            <w:pP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C56A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High: </w:t>
            </w:r>
            <w:r w:rsidR="00A95B9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160</w:t>
            </w:r>
            <w:r w:rsidR="00A95B9A" w:rsidRPr="00A95B9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2C56A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189 mg/dL</w:t>
            </w:r>
          </w:p>
          <w:p w:rsidR="00154C4A" w:rsidRPr="002C56AC" w:rsidRDefault="00154C4A" w:rsidP="005342E5">
            <w:pP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2C56A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Very High: ≥190 mg/dL</w:t>
            </w:r>
          </w:p>
        </w:tc>
        <w:tc>
          <w:tcPr>
            <w:tcW w:w="3240" w:type="dxa"/>
            <w:vAlign w:val="center"/>
          </w:tcPr>
          <w:p w:rsidR="00154C4A" w:rsidRPr="00AC1DCD" w:rsidRDefault="00154C4A" w:rsidP="005342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C4A" w:rsidRPr="00FF1E19" w:rsidTr="005342E5">
        <w:tc>
          <w:tcPr>
            <w:tcW w:w="4473" w:type="dxa"/>
            <w:vAlign w:val="center"/>
          </w:tcPr>
          <w:p w:rsidR="00154C4A" w:rsidRPr="00FF1E19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1E19">
              <w:rPr>
                <w:rFonts w:asciiTheme="minorHAnsi" w:hAnsiTheme="minorHAnsi" w:cstheme="minorHAnsi"/>
                <w:sz w:val="20"/>
                <w:szCs w:val="20"/>
              </w:rPr>
              <w:t>High Density Lipoprotein Cholesterol</w:t>
            </w:r>
          </w:p>
        </w:tc>
        <w:tc>
          <w:tcPr>
            <w:tcW w:w="1665" w:type="dxa"/>
            <w:vAlign w:val="center"/>
          </w:tcPr>
          <w:p w:rsidR="00154C4A" w:rsidRPr="00FF1E19" w:rsidRDefault="00154C4A" w:rsidP="005342E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0"/>
                <w:u w:val="single"/>
                <w:vertAlign w:val="superscript"/>
              </w:rPr>
            </w:pPr>
            <w:r w:rsidRPr="002C56A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CHD Risk </w:t>
            </w:r>
            <w:r w:rsidRPr="002C56AC">
              <w:rPr>
                <w:rFonts w:asciiTheme="minorHAnsi" w:hAnsiTheme="minorHAnsi" w:cstheme="minorHAnsi"/>
                <w:sz w:val="20"/>
                <w:szCs w:val="20"/>
                <w:u w:val="single"/>
                <w:vertAlign w:val="superscript"/>
              </w:rPr>
              <w:t>4</w:t>
            </w:r>
          </w:p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56AC">
              <w:rPr>
                <w:rFonts w:asciiTheme="minorHAnsi" w:hAnsiTheme="minorHAnsi" w:cstheme="minorHAnsi"/>
                <w:sz w:val="20"/>
                <w:szCs w:val="20"/>
              </w:rPr>
              <w:t>Desirable: ≥60 mg/dL</w:t>
            </w:r>
          </w:p>
          <w:p w:rsidR="00154C4A" w:rsidRPr="002C56AC" w:rsidRDefault="00A95B9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Borderline Risk: 40</w:t>
            </w:r>
            <w:r w:rsidRPr="00A95B9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54C4A" w:rsidRPr="002C56AC">
              <w:rPr>
                <w:rFonts w:asciiTheme="minorHAnsi" w:hAnsiTheme="minorHAnsi" w:cstheme="minorHAnsi"/>
                <w:sz w:val="20"/>
                <w:szCs w:val="20"/>
              </w:rPr>
              <w:t>60 mg/dL</w:t>
            </w:r>
          </w:p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56AC">
              <w:rPr>
                <w:rFonts w:asciiTheme="minorHAnsi" w:hAnsiTheme="minorHAnsi" w:cstheme="minorHAnsi"/>
                <w:sz w:val="20"/>
                <w:szCs w:val="20"/>
              </w:rPr>
              <w:t>At Risk: &lt;40 mg/dL</w:t>
            </w:r>
          </w:p>
        </w:tc>
        <w:tc>
          <w:tcPr>
            <w:tcW w:w="3240" w:type="dxa"/>
            <w:vAlign w:val="center"/>
          </w:tcPr>
          <w:p w:rsidR="00154C4A" w:rsidRPr="00AC1DCD" w:rsidRDefault="00154C4A" w:rsidP="005342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C4A" w:rsidRPr="00FF1E19" w:rsidTr="005342E5">
        <w:tc>
          <w:tcPr>
            <w:tcW w:w="4473" w:type="dxa"/>
            <w:vAlign w:val="center"/>
          </w:tcPr>
          <w:p w:rsidR="00154C4A" w:rsidRPr="00FF1E19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1E19">
              <w:rPr>
                <w:rFonts w:asciiTheme="minorHAnsi" w:hAnsiTheme="minorHAnsi" w:cstheme="minorHAnsi"/>
                <w:sz w:val="20"/>
                <w:szCs w:val="20"/>
              </w:rPr>
              <w:t>Phospholipids</w:t>
            </w:r>
          </w:p>
        </w:tc>
        <w:tc>
          <w:tcPr>
            <w:tcW w:w="1665" w:type="dxa"/>
            <w:vAlign w:val="center"/>
          </w:tcPr>
          <w:p w:rsidR="00154C4A" w:rsidRPr="00FF1E19" w:rsidRDefault="00154C4A" w:rsidP="005342E5">
            <w:pPr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3600" w:type="dxa"/>
            <w:vAlign w:val="center"/>
          </w:tcPr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2C56AC">
              <w:rPr>
                <w:rFonts w:asciiTheme="minorHAnsi" w:hAnsiTheme="minorHAnsi" w:cstheme="minorHAnsi"/>
                <w:sz w:val="20"/>
                <w:szCs w:val="20"/>
              </w:rPr>
              <w:t xml:space="preserve">150-250 mg/dL </w:t>
            </w:r>
            <w:r w:rsidRPr="002C56A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240" w:type="dxa"/>
            <w:vAlign w:val="center"/>
          </w:tcPr>
          <w:p w:rsidR="00154C4A" w:rsidRPr="00AC1DCD" w:rsidRDefault="00154C4A" w:rsidP="005342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C4A" w:rsidRPr="00FF1E19" w:rsidTr="005342E5">
        <w:tc>
          <w:tcPr>
            <w:tcW w:w="4473" w:type="dxa"/>
            <w:vAlign w:val="center"/>
          </w:tcPr>
          <w:p w:rsidR="00154C4A" w:rsidRPr="00FF1E19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1E19">
              <w:rPr>
                <w:rFonts w:asciiTheme="minorHAnsi" w:hAnsiTheme="minorHAnsi" w:cstheme="minorHAnsi"/>
                <w:sz w:val="20"/>
                <w:szCs w:val="20"/>
              </w:rPr>
              <w:t>Free Fatty Acids</w:t>
            </w:r>
          </w:p>
        </w:tc>
        <w:tc>
          <w:tcPr>
            <w:tcW w:w="1665" w:type="dxa"/>
            <w:vAlign w:val="center"/>
          </w:tcPr>
          <w:p w:rsidR="00154C4A" w:rsidRPr="00FF1E19" w:rsidRDefault="00154C4A" w:rsidP="005342E5">
            <w:pPr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3600" w:type="dxa"/>
            <w:vAlign w:val="center"/>
          </w:tcPr>
          <w:p w:rsidR="00154C4A" w:rsidRPr="002C56AC" w:rsidRDefault="00A95B9A" w:rsidP="005342E5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0.01</w:t>
            </w:r>
            <w:r w:rsidRPr="00A95B9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54C4A" w:rsidRPr="002C56AC">
              <w:rPr>
                <w:rFonts w:asciiTheme="minorHAnsi" w:hAnsiTheme="minorHAnsi" w:cstheme="minorHAnsi"/>
                <w:sz w:val="20"/>
                <w:szCs w:val="20"/>
              </w:rPr>
              <w:t xml:space="preserve">0.6 mEq/L </w:t>
            </w:r>
            <w:r w:rsidR="00154C4A" w:rsidRPr="002C56A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240" w:type="dxa"/>
            <w:vAlign w:val="center"/>
          </w:tcPr>
          <w:p w:rsidR="00154C4A" w:rsidRPr="00AC1DCD" w:rsidRDefault="00154C4A" w:rsidP="005342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C4A" w:rsidRPr="00FF1E19" w:rsidTr="005342E5">
        <w:tc>
          <w:tcPr>
            <w:tcW w:w="4473" w:type="dxa"/>
            <w:vAlign w:val="center"/>
          </w:tcPr>
          <w:p w:rsidR="00154C4A" w:rsidRPr="00FF1E19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154C4A" w:rsidRPr="00FF1E19" w:rsidRDefault="00154C4A" w:rsidP="005342E5">
            <w:pPr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3600" w:type="dxa"/>
            <w:vAlign w:val="center"/>
          </w:tcPr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154C4A" w:rsidRPr="00AC1DCD" w:rsidRDefault="00154C4A" w:rsidP="005342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C4A" w:rsidRPr="00FF1E19" w:rsidTr="005342E5">
        <w:tc>
          <w:tcPr>
            <w:tcW w:w="4473" w:type="dxa"/>
            <w:shd w:val="clear" w:color="auto" w:fill="BFBFBF" w:themeFill="background1" w:themeFillShade="BF"/>
            <w:vAlign w:val="center"/>
          </w:tcPr>
          <w:p w:rsidR="00154C4A" w:rsidRPr="00FF1E19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1E1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Liver Tests</w:t>
            </w:r>
          </w:p>
        </w:tc>
        <w:tc>
          <w:tcPr>
            <w:tcW w:w="1665" w:type="dxa"/>
            <w:shd w:val="clear" w:color="auto" w:fill="BFBFBF" w:themeFill="background1" w:themeFillShade="BF"/>
            <w:vAlign w:val="center"/>
          </w:tcPr>
          <w:p w:rsidR="00154C4A" w:rsidRPr="00FF1E19" w:rsidRDefault="00154C4A" w:rsidP="005342E5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BFBFBF" w:themeFill="background1" w:themeFillShade="BF"/>
            <w:vAlign w:val="center"/>
          </w:tcPr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56AC">
              <w:rPr>
                <w:rFonts w:asciiTheme="minorHAnsi" w:hAnsiTheme="minorHAnsi" w:cstheme="minorHAnsi"/>
                <w:b/>
                <w:sz w:val="20"/>
                <w:szCs w:val="20"/>
              </w:rPr>
              <w:t>Clinical Ranges</w:t>
            </w:r>
          </w:p>
        </w:tc>
        <w:tc>
          <w:tcPr>
            <w:tcW w:w="3240" w:type="dxa"/>
            <w:shd w:val="clear" w:color="auto" w:fill="BFBFBF" w:themeFill="background1" w:themeFillShade="BF"/>
            <w:vAlign w:val="center"/>
          </w:tcPr>
          <w:p w:rsidR="00154C4A" w:rsidRPr="00AC1DCD" w:rsidRDefault="00154C4A" w:rsidP="005342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C4A" w:rsidRPr="00FF1E19" w:rsidTr="005342E5">
        <w:tc>
          <w:tcPr>
            <w:tcW w:w="4473" w:type="dxa"/>
            <w:vAlign w:val="center"/>
          </w:tcPr>
          <w:p w:rsidR="00154C4A" w:rsidRPr="00956FBE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6FBE">
              <w:rPr>
                <w:rFonts w:asciiTheme="minorHAnsi" w:hAnsiTheme="minorHAnsi" w:cstheme="minorHAnsi"/>
                <w:sz w:val="20"/>
                <w:szCs w:val="20"/>
              </w:rPr>
              <w:t>Alanine Aminotransferase (ALT)</w:t>
            </w:r>
          </w:p>
        </w:tc>
        <w:tc>
          <w:tcPr>
            <w:tcW w:w="1665" w:type="dxa"/>
            <w:vAlign w:val="center"/>
          </w:tcPr>
          <w:p w:rsidR="00154C4A" w:rsidRPr="00FF1E19" w:rsidRDefault="00154C4A" w:rsidP="005342E5">
            <w:pPr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3600" w:type="dxa"/>
            <w:vAlign w:val="center"/>
          </w:tcPr>
          <w:p w:rsidR="00154C4A" w:rsidRPr="002C56AC" w:rsidRDefault="00A95B9A" w:rsidP="005342E5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15</w:t>
            </w:r>
            <w:r w:rsidRPr="00A95B9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54C4A" w:rsidRPr="002C56A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65 U/L </w:t>
            </w:r>
            <w:r w:rsidR="00154C4A" w:rsidRPr="002C56AC">
              <w:rPr>
                <w:rFonts w:asciiTheme="minorHAnsi" w:hAnsiTheme="minorHAnsi" w:cstheme="minorHAnsi"/>
                <w:iCs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240" w:type="dxa"/>
            <w:vAlign w:val="center"/>
          </w:tcPr>
          <w:p w:rsidR="00154C4A" w:rsidRPr="00AC1DCD" w:rsidRDefault="00154C4A" w:rsidP="005342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C4A" w:rsidRPr="00FF1E19" w:rsidTr="005342E5">
        <w:tc>
          <w:tcPr>
            <w:tcW w:w="4473" w:type="dxa"/>
            <w:vAlign w:val="center"/>
          </w:tcPr>
          <w:p w:rsidR="00154C4A" w:rsidRPr="00956FBE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6FBE">
              <w:rPr>
                <w:rFonts w:asciiTheme="minorHAnsi" w:hAnsiTheme="minorHAnsi" w:cstheme="minorHAnsi"/>
                <w:sz w:val="20"/>
                <w:szCs w:val="20"/>
              </w:rPr>
              <w:t>Aspartate Aminotransferase (AST)</w:t>
            </w:r>
          </w:p>
        </w:tc>
        <w:tc>
          <w:tcPr>
            <w:tcW w:w="1665" w:type="dxa"/>
            <w:vAlign w:val="center"/>
          </w:tcPr>
          <w:p w:rsidR="00154C4A" w:rsidRPr="00FF1E19" w:rsidRDefault="00154C4A" w:rsidP="005342E5">
            <w:pPr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3600" w:type="dxa"/>
            <w:vAlign w:val="center"/>
          </w:tcPr>
          <w:p w:rsidR="00154C4A" w:rsidRPr="002C56AC" w:rsidRDefault="00A95B9A" w:rsidP="005342E5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5</w:t>
            </w:r>
            <w:r w:rsidRPr="00A95B9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54C4A" w:rsidRPr="002C56A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40 U/L </w:t>
            </w:r>
            <w:r w:rsidR="00154C4A" w:rsidRPr="002C56AC">
              <w:rPr>
                <w:rFonts w:asciiTheme="minorHAnsi" w:hAnsiTheme="minorHAnsi" w:cstheme="minorHAnsi"/>
                <w:iCs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240" w:type="dxa"/>
            <w:vAlign w:val="center"/>
          </w:tcPr>
          <w:p w:rsidR="00154C4A" w:rsidRPr="00AC1DCD" w:rsidRDefault="00154C4A" w:rsidP="005342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C4A" w:rsidRPr="00FF1E19" w:rsidTr="005342E5">
        <w:tc>
          <w:tcPr>
            <w:tcW w:w="4473" w:type="dxa"/>
            <w:vAlign w:val="center"/>
          </w:tcPr>
          <w:p w:rsidR="00154C4A" w:rsidRPr="00956FBE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6FBE">
              <w:rPr>
                <w:rFonts w:asciiTheme="minorHAnsi" w:hAnsiTheme="minorHAnsi" w:cstheme="minorHAnsi"/>
                <w:sz w:val="20"/>
                <w:szCs w:val="20"/>
              </w:rPr>
              <w:t>γ-Glutamyl Transferase (GGT)</w:t>
            </w:r>
          </w:p>
        </w:tc>
        <w:tc>
          <w:tcPr>
            <w:tcW w:w="1665" w:type="dxa"/>
            <w:vAlign w:val="center"/>
          </w:tcPr>
          <w:p w:rsidR="00154C4A" w:rsidRPr="00FF1E19" w:rsidRDefault="00154C4A" w:rsidP="005342E5">
            <w:pPr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3600" w:type="dxa"/>
            <w:vAlign w:val="center"/>
          </w:tcPr>
          <w:p w:rsidR="00154C4A" w:rsidRPr="002C56AC" w:rsidRDefault="00A95B9A" w:rsidP="005342E5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Female 5</w:t>
            </w:r>
            <w:r w:rsidRPr="00A95B9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55 U/L; Male 5</w:t>
            </w:r>
            <w:r w:rsidRPr="00A95B9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54C4A" w:rsidRPr="002C56A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85 U/L </w:t>
            </w:r>
            <w:r w:rsidR="00154C4A" w:rsidRPr="002C56AC">
              <w:rPr>
                <w:rFonts w:asciiTheme="minorHAnsi" w:hAnsiTheme="minorHAnsi" w:cstheme="minorHAnsi"/>
                <w:iCs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240" w:type="dxa"/>
            <w:vAlign w:val="center"/>
          </w:tcPr>
          <w:p w:rsidR="00154C4A" w:rsidRPr="00AC1DCD" w:rsidRDefault="00154C4A" w:rsidP="005342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C4A" w:rsidRPr="00FF1E19" w:rsidTr="005342E5">
        <w:tc>
          <w:tcPr>
            <w:tcW w:w="4473" w:type="dxa"/>
            <w:vAlign w:val="center"/>
          </w:tcPr>
          <w:p w:rsidR="00154C4A" w:rsidRPr="00956FBE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6FBE">
              <w:rPr>
                <w:rFonts w:asciiTheme="minorHAnsi" w:hAnsiTheme="minorHAnsi" w:cstheme="minorHAnsi"/>
                <w:sz w:val="20"/>
                <w:szCs w:val="20"/>
              </w:rPr>
              <w:t>Alkaline Phosphatase (ALP)</w:t>
            </w:r>
          </w:p>
        </w:tc>
        <w:tc>
          <w:tcPr>
            <w:tcW w:w="1665" w:type="dxa"/>
            <w:vAlign w:val="center"/>
          </w:tcPr>
          <w:p w:rsidR="00154C4A" w:rsidRPr="00FF1E19" w:rsidRDefault="00154C4A" w:rsidP="005342E5">
            <w:pPr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3600" w:type="dxa"/>
            <w:vAlign w:val="center"/>
          </w:tcPr>
          <w:p w:rsidR="00154C4A" w:rsidRPr="002C56AC" w:rsidRDefault="00A95B9A" w:rsidP="005342E5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Female: 50</w:t>
            </w:r>
            <w:r w:rsidRPr="00A95B9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136 U/L; Male: 40</w:t>
            </w:r>
            <w:r w:rsidRPr="00A95B9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54C4A" w:rsidRPr="002C56A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136 U/L </w:t>
            </w:r>
            <w:r w:rsidR="00154C4A" w:rsidRPr="002C56AC">
              <w:rPr>
                <w:rFonts w:asciiTheme="minorHAnsi" w:hAnsiTheme="minorHAnsi" w:cstheme="minorHAnsi"/>
                <w:iCs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240" w:type="dxa"/>
            <w:vAlign w:val="center"/>
          </w:tcPr>
          <w:p w:rsidR="00154C4A" w:rsidRPr="00AC1DCD" w:rsidRDefault="00154C4A" w:rsidP="005342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C4A" w:rsidRPr="00FF1E19" w:rsidTr="005342E5">
        <w:tc>
          <w:tcPr>
            <w:tcW w:w="4473" w:type="dxa"/>
            <w:vAlign w:val="center"/>
          </w:tcPr>
          <w:p w:rsidR="00154C4A" w:rsidRPr="00956FBE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6FBE">
              <w:rPr>
                <w:rFonts w:asciiTheme="minorHAnsi" w:hAnsiTheme="minorHAnsi" w:cstheme="minorHAnsi"/>
                <w:sz w:val="20"/>
                <w:szCs w:val="20"/>
              </w:rPr>
              <w:t>Albumin</w:t>
            </w:r>
          </w:p>
        </w:tc>
        <w:tc>
          <w:tcPr>
            <w:tcW w:w="1665" w:type="dxa"/>
            <w:vAlign w:val="center"/>
          </w:tcPr>
          <w:p w:rsidR="00154C4A" w:rsidRPr="00FF1E19" w:rsidRDefault="00154C4A" w:rsidP="005342E5">
            <w:pPr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3600" w:type="dxa"/>
            <w:vAlign w:val="center"/>
          </w:tcPr>
          <w:p w:rsidR="00154C4A" w:rsidRPr="002C56AC" w:rsidRDefault="00A95B9A" w:rsidP="005342E5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3.4</w:t>
            </w:r>
            <w:r w:rsidRPr="00A95B9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54C4A" w:rsidRPr="002C56A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5.0 g/dL </w:t>
            </w:r>
            <w:r w:rsidR="00154C4A" w:rsidRPr="002C56AC">
              <w:rPr>
                <w:rFonts w:asciiTheme="minorHAnsi" w:hAnsiTheme="minorHAnsi" w:cstheme="minorHAnsi"/>
                <w:iCs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240" w:type="dxa"/>
          </w:tcPr>
          <w:p w:rsidR="00154C4A" w:rsidRPr="00AC1DCD" w:rsidRDefault="00154C4A" w:rsidP="005342E5">
            <w:pPr>
              <w:rPr>
                <w:rFonts w:asciiTheme="minorHAnsi" w:eastAsiaTheme="minorHAnsi" w:hAnsiTheme="minorHAnsi" w:cstheme="minorHAnsi"/>
                <w:sz w:val="20"/>
                <w:szCs w:val="20"/>
                <w:vertAlign w:val="superscript"/>
              </w:rPr>
            </w:pPr>
            <w:r w:rsidRPr="002C56A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Critical Value: &lt;1.5 g/dL </w:t>
            </w:r>
            <w:r w:rsidRPr="002C56AC">
              <w:rPr>
                <w:rFonts w:asciiTheme="minorHAnsi" w:hAnsiTheme="minorHAnsi" w:cstheme="minorHAnsi"/>
                <w:iCs/>
                <w:sz w:val="20"/>
                <w:szCs w:val="20"/>
                <w:vertAlign w:val="superscript"/>
              </w:rPr>
              <w:t>5</w:t>
            </w:r>
          </w:p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2C56A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Critical Value: &gt;7.9 g/dL </w:t>
            </w:r>
            <w:r w:rsidRPr="002C56AC">
              <w:rPr>
                <w:rFonts w:asciiTheme="minorHAnsi" w:hAnsiTheme="minorHAnsi" w:cstheme="minorHAnsi"/>
                <w:iCs/>
                <w:sz w:val="20"/>
                <w:szCs w:val="20"/>
                <w:vertAlign w:val="superscript"/>
              </w:rPr>
              <w:t>5</w:t>
            </w:r>
          </w:p>
        </w:tc>
      </w:tr>
      <w:tr w:rsidR="00154C4A" w:rsidRPr="00FF1E19" w:rsidTr="005342E5">
        <w:tc>
          <w:tcPr>
            <w:tcW w:w="4473" w:type="dxa"/>
            <w:vAlign w:val="center"/>
          </w:tcPr>
          <w:p w:rsidR="00154C4A" w:rsidRPr="00956FBE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6FBE">
              <w:rPr>
                <w:rFonts w:asciiTheme="minorHAnsi" w:hAnsiTheme="minorHAnsi" w:cstheme="minorHAnsi"/>
                <w:sz w:val="20"/>
                <w:szCs w:val="20"/>
              </w:rPr>
              <w:t>Direct Bilirubin</w:t>
            </w:r>
          </w:p>
        </w:tc>
        <w:tc>
          <w:tcPr>
            <w:tcW w:w="1665" w:type="dxa"/>
            <w:vAlign w:val="center"/>
          </w:tcPr>
          <w:p w:rsidR="00154C4A" w:rsidRPr="00FF1E19" w:rsidRDefault="00154C4A" w:rsidP="005342E5">
            <w:pPr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3600" w:type="dxa"/>
            <w:vAlign w:val="center"/>
          </w:tcPr>
          <w:p w:rsidR="00154C4A" w:rsidRPr="002C56AC" w:rsidRDefault="00A95B9A" w:rsidP="005342E5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0.0</w:t>
            </w:r>
            <w:r w:rsidRPr="00A95B9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54C4A" w:rsidRPr="002C56A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0.3 mg/dL </w:t>
            </w:r>
            <w:r w:rsidR="00154C4A" w:rsidRPr="002C56AC">
              <w:rPr>
                <w:rFonts w:asciiTheme="minorHAnsi" w:hAnsiTheme="minorHAnsi" w:cstheme="minorHAnsi"/>
                <w:iCs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240" w:type="dxa"/>
          </w:tcPr>
          <w:p w:rsidR="00154C4A" w:rsidRPr="00AC1DCD" w:rsidRDefault="00154C4A" w:rsidP="005342E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AC1DCD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</w:p>
        </w:tc>
      </w:tr>
      <w:tr w:rsidR="00154C4A" w:rsidRPr="00FF1E19" w:rsidTr="005342E5">
        <w:tc>
          <w:tcPr>
            <w:tcW w:w="4473" w:type="dxa"/>
            <w:vAlign w:val="center"/>
          </w:tcPr>
          <w:p w:rsidR="00154C4A" w:rsidRPr="00A95B9A" w:rsidRDefault="00154C4A" w:rsidP="005342E5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95B9A">
              <w:rPr>
                <w:rStyle w:val="A0"/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Total Bilirubin</w:t>
            </w:r>
          </w:p>
        </w:tc>
        <w:tc>
          <w:tcPr>
            <w:tcW w:w="1665" w:type="dxa"/>
            <w:vAlign w:val="center"/>
          </w:tcPr>
          <w:p w:rsidR="00154C4A" w:rsidRPr="00A95B9A" w:rsidRDefault="00154C4A" w:rsidP="005342E5">
            <w:pPr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3600" w:type="dxa"/>
            <w:vAlign w:val="center"/>
          </w:tcPr>
          <w:p w:rsidR="00154C4A" w:rsidRPr="00A95B9A" w:rsidRDefault="00A95B9A" w:rsidP="005342E5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Style w:val="A1"/>
                <w:rFonts w:asciiTheme="minorHAnsi" w:hAnsiTheme="minorHAnsi" w:cstheme="minorHAnsi"/>
                <w:b w:val="0"/>
                <w:iCs/>
                <w:sz w:val="20"/>
                <w:szCs w:val="20"/>
              </w:rPr>
              <w:t>0.0</w:t>
            </w:r>
            <w:r w:rsidRPr="00A95B9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54C4A" w:rsidRPr="00A95B9A">
              <w:rPr>
                <w:rStyle w:val="A1"/>
                <w:rFonts w:asciiTheme="minorHAnsi" w:hAnsiTheme="minorHAnsi" w:cstheme="minorHAnsi"/>
                <w:b w:val="0"/>
                <w:iCs/>
                <w:sz w:val="20"/>
                <w:szCs w:val="20"/>
              </w:rPr>
              <w:t xml:space="preserve">1.0 mg/dL </w:t>
            </w:r>
            <w:r w:rsidR="00154C4A" w:rsidRPr="00A95B9A">
              <w:rPr>
                <w:rStyle w:val="A1"/>
                <w:rFonts w:asciiTheme="minorHAnsi" w:hAnsiTheme="minorHAnsi" w:cstheme="minorHAnsi"/>
                <w:b w:val="0"/>
                <w:iCs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240" w:type="dxa"/>
          </w:tcPr>
          <w:p w:rsidR="00154C4A" w:rsidRPr="00AC1DCD" w:rsidRDefault="00154C4A" w:rsidP="005342E5">
            <w:pPr>
              <w:rPr>
                <w:rFonts w:asciiTheme="minorHAnsi" w:eastAsiaTheme="minorHAnsi" w:hAnsiTheme="minorHAnsi" w:cstheme="minorHAnsi"/>
                <w:sz w:val="20"/>
                <w:szCs w:val="20"/>
                <w:vertAlign w:val="superscript"/>
              </w:rPr>
            </w:pPr>
            <w:r w:rsidRPr="002C56A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Critical Value: &gt;12.9 mg/dL </w:t>
            </w:r>
            <w:r w:rsidRPr="002C56AC">
              <w:rPr>
                <w:rFonts w:asciiTheme="minorHAnsi" w:hAnsiTheme="minorHAnsi" w:cstheme="minorHAnsi"/>
                <w:iCs/>
                <w:sz w:val="20"/>
                <w:szCs w:val="20"/>
                <w:vertAlign w:val="superscript"/>
              </w:rPr>
              <w:t>5</w:t>
            </w:r>
          </w:p>
        </w:tc>
      </w:tr>
    </w:tbl>
    <w:p w:rsidR="00154C4A" w:rsidRDefault="00154C4A" w:rsidP="00154C4A"/>
    <w:p w:rsidR="00154C4A" w:rsidRDefault="00154C4A" w:rsidP="00154C4A"/>
    <w:p w:rsidR="00154C4A" w:rsidRDefault="00154C4A" w:rsidP="00154C4A"/>
    <w:p w:rsidR="00154C4A" w:rsidRDefault="00154C4A" w:rsidP="00154C4A"/>
    <w:p w:rsidR="00154C4A" w:rsidRDefault="00154C4A" w:rsidP="00154C4A"/>
    <w:p w:rsidR="00154C4A" w:rsidRDefault="00154C4A" w:rsidP="00154C4A"/>
    <w:p w:rsidR="00154C4A" w:rsidRDefault="00154C4A" w:rsidP="00154C4A">
      <w:pPr>
        <w:spacing w:after="200" w:line="276" w:lineRule="auto"/>
      </w:pPr>
      <w:r>
        <w:br w:type="page"/>
      </w:r>
    </w:p>
    <w:p w:rsidR="00154C4A" w:rsidRPr="002C56AC" w:rsidRDefault="00154C4A" w:rsidP="00154C4A">
      <w:pPr>
        <w:pStyle w:val="Heading2"/>
        <w:spacing w:before="0" w:line="240" w:lineRule="auto"/>
        <w:rPr>
          <w:rFonts w:asciiTheme="minorHAnsi" w:hAnsiTheme="minorHAnsi" w:cstheme="minorHAnsi"/>
          <w:i w:val="0"/>
          <w:sz w:val="22"/>
        </w:rPr>
      </w:pPr>
      <w:r w:rsidRPr="002C56AC">
        <w:rPr>
          <w:rFonts w:asciiTheme="minorHAnsi" w:hAnsiTheme="minorHAnsi" w:cstheme="minorHAnsi"/>
          <w:i w:val="0"/>
          <w:sz w:val="22"/>
        </w:rPr>
        <w:lastRenderedPageBreak/>
        <w:t xml:space="preserve">Table 2. </w:t>
      </w:r>
      <w:r w:rsidRPr="002C56AC">
        <w:rPr>
          <w:rFonts w:asciiTheme="minorHAnsi" w:hAnsiTheme="minorHAnsi" w:cstheme="minorHAnsi"/>
          <w:b w:val="0"/>
          <w:i w:val="0"/>
          <w:sz w:val="22"/>
        </w:rPr>
        <w:t>Results of your clinical tests for heavy metals and trace metals.</w:t>
      </w:r>
      <w:r w:rsidRPr="002C56AC">
        <w:rPr>
          <w:rFonts w:asciiTheme="minorHAnsi" w:hAnsiTheme="minorHAnsi" w:cstheme="minorHAnsi"/>
          <w:i w:val="0"/>
          <w:sz w:val="22"/>
        </w:rPr>
        <w:t xml:space="preserve"> </w:t>
      </w:r>
    </w:p>
    <w:p w:rsidR="00154C4A" w:rsidRDefault="00154C4A" w:rsidP="00154C4A"/>
    <w:tbl>
      <w:tblPr>
        <w:tblStyle w:val="TableGrid"/>
        <w:tblW w:w="12978" w:type="dxa"/>
        <w:tblLook w:val="04A0" w:firstRow="1" w:lastRow="0" w:firstColumn="1" w:lastColumn="0" w:noHBand="0" w:noVBand="1"/>
      </w:tblPr>
      <w:tblGrid>
        <w:gridCol w:w="4473"/>
        <w:gridCol w:w="1665"/>
        <w:gridCol w:w="4860"/>
        <w:gridCol w:w="1980"/>
      </w:tblGrid>
      <w:tr w:rsidR="00154C4A" w:rsidRPr="00FF1E19" w:rsidTr="005342E5">
        <w:tc>
          <w:tcPr>
            <w:tcW w:w="4473" w:type="dxa"/>
          </w:tcPr>
          <w:p w:rsidR="00154C4A" w:rsidRPr="00FF1E19" w:rsidRDefault="00154C4A" w:rsidP="005342E5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Test name</w:t>
            </w:r>
          </w:p>
        </w:tc>
        <w:tc>
          <w:tcPr>
            <w:tcW w:w="1665" w:type="dxa"/>
          </w:tcPr>
          <w:p w:rsidR="00154C4A" w:rsidRPr="00CB7E51" w:rsidRDefault="00154C4A" w:rsidP="005342E5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B7E5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Your Result</w:t>
            </w:r>
          </w:p>
        </w:tc>
        <w:tc>
          <w:tcPr>
            <w:tcW w:w="4860" w:type="dxa"/>
          </w:tcPr>
          <w:p w:rsidR="00154C4A" w:rsidRPr="00FF1E19" w:rsidRDefault="00154C4A" w:rsidP="005342E5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Comparison Values</w:t>
            </w:r>
          </w:p>
        </w:tc>
        <w:tc>
          <w:tcPr>
            <w:tcW w:w="1980" w:type="dxa"/>
          </w:tcPr>
          <w:p w:rsidR="00154C4A" w:rsidRPr="00FF1E19" w:rsidRDefault="00154C4A" w:rsidP="005342E5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Comments</w:t>
            </w:r>
          </w:p>
        </w:tc>
      </w:tr>
      <w:tr w:rsidR="00154C4A" w:rsidRPr="00FF1E19" w:rsidTr="005342E5">
        <w:tc>
          <w:tcPr>
            <w:tcW w:w="4473" w:type="dxa"/>
            <w:shd w:val="clear" w:color="auto" w:fill="D9D9D9" w:themeFill="background1" w:themeFillShade="D9"/>
          </w:tcPr>
          <w:p w:rsidR="00154C4A" w:rsidRPr="00FF1E19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Heavy Metals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:rsidR="00154C4A" w:rsidRPr="00FF1E19" w:rsidRDefault="00154C4A" w:rsidP="005342E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D9D9D9" w:themeFill="background1" w:themeFillShade="D9"/>
          </w:tcPr>
          <w:p w:rsidR="00154C4A" w:rsidRPr="002C56AC" w:rsidRDefault="00154C4A" w:rsidP="005342E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C56AC">
              <w:rPr>
                <w:rFonts w:asciiTheme="minorHAnsi" w:hAnsiTheme="minorHAnsi" w:cstheme="minorHAnsi"/>
                <w:b/>
                <w:sz w:val="20"/>
              </w:rPr>
              <w:t>Agency Guidelines, Standards, and</w:t>
            </w:r>
          </w:p>
          <w:p w:rsidR="00154C4A" w:rsidRPr="002C56AC" w:rsidRDefault="00154C4A" w:rsidP="005342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56AC">
              <w:rPr>
                <w:rFonts w:asciiTheme="minorHAnsi" w:hAnsiTheme="minorHAnsi" w:cstheme="minorHAnsi"/>
                <w:b/>
                <w:sz w:val="20"/>
              </w:rPr>
              <w:t>NHANES Reference Ranges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154C4A" w:rsidRPr="00FF1E19" w:rsidRDefault="00154C4A" w:rsidP="005342E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154C4A" w:rsidRPr="00FF1E19" w:rsidTr="005342E5">
        <w:tc>
          <w:tcPr>
            <w:tcW w:w="4473" w:type="dxa"/>
            <w:vAlign w:val="center"/>
          </w:tcPr>
          <w:p w:rsidR="00154C4A" w:rsidRPr="00142871" w:rsidRDefault="00154C4A" w:rsidP="005342E5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142871">
              <w:rPr>
                <w:rFonts w:asciiTheme="minorHAnsi" w:hAnsiTheme="minorHAnsi" w:cstheme="minorHAnsi"/>
                <w:sz w:val="20"/>
              </w:rPr>
              <w:t>Lead</w:t>
            </w:r>
            <w:r>
              <w:rPr>
                <w:rFonts w:asciiTheme="minorHAnsi" w:hAnsiTheme="minorHAnsi" w:cstheme="minorHAnsi"/>
                <w:sz w:val="20"/>
              </w:rPr>
              <w:t xml:space="preserve"> (Pb)</w:t>
            </w:r>
          </w:p>
        </w:tc>
        <w:tc>
          <w:tcPr>
            <w:tcW w:w="1665" w:type="dxa"/>
            <w:vAlign w:val="center"/>
          </w:tcPr>
          <w:p w:rsidR="00154C4A" w:rsidRPr="00142871" w:rsidRDefault="00154C4A" w:rsidP="005342E5">
            <w:pPr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860" w:type="dxa"/>
          </w:tcPr>
          <w:p w:rsidR="00154C4A" w:rsidRPr="002C56AC" w:rsidRDefault="009C5E43" w:rsidP="005342E5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</w:rPr>
              <w:t>1.34</w:t>
            </w:r>
            <w:r w:rsidRPr="00A95B9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54C4A" w:rsidRPr="002C56AC">
              <w:rPr>
                <w:rFonts w:asciiTheme="minorHAnsi" w:hAnsiTheme="minorHAnsi" w:cstheme="minorHAnsi"/>
                <w:sz w:val="20"/>
              </w:rPr>
              <w:t xml:space="preserve">3.90 µg/L </w:t>
            </w:r>
            <w:r w:rsidR="00154C4A" w:rsidRPr="002C56AC">
              <w:rPr>
                <w:rFonts w:asciiTheme="minorHAnsi" w:hAnsiTheme="minorHAnsi" w:cstheme="minorHAnsi"/>
                <w:sz w:val="20"/>
                <w:vertAlign w:val="superscript"/>
              </w:rPr>
              <w:t>6</w:t>
            </w:r>
            <w:r w:rsidR="00154C4A" w:rsidRPr="002C56AC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2"/>
                <w:vertAlign w:val="superscript"/>
              </w:rPr>
            </w:pPr>
            <w:r w:rsidRPr="002C56AC">
              <w:rPr>
                <w:rFonts w:asciiTheme="minorHAnsi" w:hAnsiTheme="minorHAnsi" w:cstheme="minorHAnsi"/>
                <w:sz w:val="20"/>
              </w:rPr>
              <w:t xml:space="preserve">Desirable: &lt;5.0 </w:t>
            </w:r>
            <w:r w:rsidRPr="002C56AC">
              <w:rPr>
                <w:rFonts w:cs="Calibri"/>
                <w:sz w:val="20"/>
              </w:rPr>
              <w:t>µ</w:t>
            </w:r>
            <w:r w:rsidRPr="002C56AC">
              <w:rPr>
                <w:rFonts w:asciiTheme="minorHAnsi" w:hAnsiTheme="minorHAnsi" w:cstheme="minorHAnsi"/>
                <w:sz w:val="20"/>
              </w:rPr>
              <w:t>g/dL</w:t>
            </w:r>
            <w:r w:rsidRPr="002C56AC">
              <w:rPr>
                <w:rFonts w:asciiTheme="minorHAnsi" w:hAnsiTheme="minorHAnsi" w:cstheme="minorHAnsi"/>
                <w:sz w:val="20"/>
                <w:vertAlign w:val="superscript"/>
              </w:rPr>
              <w:t>7</w:t>
            </w:r>
          </w:p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vertAlign w:val="superscript"/>
              </w:rPr>
            </w:pPr>
            <w:r w:rsidRPr="002C56AC">
              <w:rPr>
                <w:rFonts w:asciiTheme="minorHAnsi" w:hAnsiTheme="minorHAnsi" w:cstheme="minorHAnsi"/>
                <w:sz w:val="20"/>
              </w:rPr>
              <w:t>Elevated (Current or Potentially Pr</w:t>
            </w:r>
            <w:r w:rsidR="009C5E43">
              <w:rPr>
                <w:rFonts w:asciiTheme="minorHAnsi" w:hAnsiTheme="minorHAnsi" w:cstheme="minorHAnsi"/>
                <w:sz w:val="20"/>
              </w:rPr>
              <w:t>egnant or Lactating Women): 5.0</w:t>
            </w:r>
            <w:r w:rsidR="009C5E43" w:rsidRPr="00A95B9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2C56AC">
              <w:rPr>
                <w:rFonts w:asciiTheme="minorHAnsi" w:hAnsiTheme="minorHAnsi" w:cstheme="minorHAnsi"/>
                <w:sz w:val="20"/>
              </w:rPr>
              <w:t xml:space="preserve">9.9  </w:t>
            </w:r>
            <w:r w:rsidRPr="002C56AC">
              <w:rPr>
                <w:rFonts w:cs="Calibri"/>
                <w:sz w:val="20"/>
              </w:rPr>
              <w:t>µ</w:t>
            </w:r>
            <w:r w:rsidRPr="002C56AC">
              <w:rPr>
                <w:rFonts w:asciiTheme="minorHAnsi" w:hAnsiTheme="minorHAnsi" w:cstheme="minorHAnsi"/>
                <w:sz w:val="20"/>
              </w:rPr>
              <w:t>g/dL</w:t>
            </w:r>
            <w:r w:rsidRPr="002C56AC">
              <w:rPr>
                <w:rFonts w:asciiTheme="minorHAnsi" w:hAnsiTheme="minorHAnsi" w:cstheme="minorHAnsi"/>
                <w:sz w:val="20"/>
                <w:vertAlign w:val="superscript"/>
              </w:rPr>
              <w:t>7</w:t>
            </w:r>
          </w:p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2C56AC">
              <w:rPr>
                <w:rFonts w:asciiTheme="minorHAnsi" w:hAnsiTheme="minorHAnsi" w:cstheme="minorHAnsi"/>
                <w:sz w:val="20"/>
              </w:rPr>
              <w:t xml:space="preserve">Elevated (All Adults): </w:t>
            </w:r>
            <w:r w:rsidRPr="002C56AC">
              <w:rPr>
                <w:rFonts w:cs="Calibri"/>
                <w:sz w:val="20"/>
              </w:rPr>
              <w:t>≥</w:t>
            </w:r>
            <w:r w:rsidR="009C5E43">
              <w:rPr>
                <w:rFonts w:asciiTheme="minorHAnsi" w:hAnsiTheme="minorHAnsi" w:cstheme="minorHAnsi"/>
                <w:sz w:val="20"/>
              </w:rPr>
              <w:t xml:space="preserve">10.0 </w:t>
            </w:r>
            <w:r w:rsidRPr="002C56AC">
              <w:rPr>
                <w:rFonts w:cs="Calibri"/>
                <w:sz w:val="20"/>
              </w:rPr>
              <w:t>µ</w:t>
            </w:r>
            <w:r w:rsidRPr="002C56AC">
              <w:rPr>
                <w:rFonts w:asciiTheme="minorHAnsi" w:hAnsiTheme="minorHAnsi" w:cstheme="minorHAnsi"/>
                <w:sz w:val="20"/>
              </w:rPr>
              <w:t>g/dL</w:t>
            </w:r>
            <w:r w:rsidRPr="002C56AC">
              <w:rPr>
                <w:rFonts w:asciiTheme="minorHAnsi" w:hAnsiTheme="minorHAnsi" w:cstheme="minorHAnsi"/>
                <w:sz w:val="20"/>
                <w:vertAlign w:val="superscript"/>
              </w:rPr>
              <w:t xml:space="preserve"> 9,10,11</w:t>
            </w:r>
            <w:r w:rsidRPr="002C56AC">
              <w:rPr>
                <w:rFonts w:asciiTheme="minorHAnsi" w:hAnsiTheme="minorHAnsi" w:cstheme="minorHAnsi"/>
                <w:sz w:val="20"/>
                <w:szCs w:val="20"/>
              </w:rPr>
              <w:t xml:space="preserve"> (a.)</w:t>
            </w:r>
          </w:p>
        </w:tc>
        <w:tc>
          <w:tcPr>
            <w:tcW w:w="1980" w:type="dxa"/>
          </w:tcPr>
          <w:p w:rsidR="00154C4A" w:rsidRPr="00FF1E19" w:rsidRDefault="00154C4A" w:rsidP="005342E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154C4A" w:rsidRPr="00FF1E19" w:rsidTr="005342E5">
        <w:tc>
          <w:tcPr>
            <w:tcW w:w="4473" w:type="dxa"/>
            <w:vAlign w:val="center"/>
          </w:tcPr>
          <w:p w:rsidR="00154C4A" w:rsidRPr="00142871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2871">
              <w:rPr>
                <w:rFonts w:asciiTheme="minorHAnsi" w:hAnsiTheme="minorHAnsi" w:cstheme="minorHAnsi"/>
                <w:sz w:val="20"/>
                <w:szCs w:val="20"/>
              </w:rPr>
              <w:t>Mercury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(Hg)</w:t>
            </w:r>
          </w:p>
        </w:tc>
        <w:tc>
          <w:tcPr>
            <w:tcW w:w="1665" w:type="dxa"/>
            <w:vAlign w:val="center"/>
          </w:tcPr>
          <w:p w:rsidR="00154C4A" w:rsidRPr="00142871" w:rsidRDefault="00154C4A" w:rsidP="005342E5">
            <w:pPr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4860" w:type="dxa"/>
          </w:tcPr>
          <w:p w:rsidR="00154C4A" w:rsidRPr="002C56AC" w:rsidRDefault="009C5E43" w:rsidP="005342E5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0.89</w:t>
            </w:r>
            <w:r w:rsidRPr="00A95B9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54C4A" w:rsidRPr="002C56AC">
              <w:rPr>
                <w:rFonts w:asciiTheme="minorHAnsi" w:hAnsiTheme="minorHAnsi" w:cstheme="minorHAnsi"/>
                <w:sz w:val="20"/>
                <w:szCs w:val="20"/>
              </w:rPr>
              <w:t>5.32 µg/L</w:t>
            </w:r>
            <w:r w:rsidR="00154C4A" w:rsidRPr="002C56A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6</w:t>
            </w:r>
          </w:p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2C56AC">
              <w:rPr>
                <w:rFonts w:asciiTheme="minorHAnsi" w:hAnsiTheme="minorHAnsi" w:cstheme="minorHAnsi"/>
                <w:sz w:val="20"/>
                <w:szCs w:val="20"/>
              </w:rPr>
              <w:t>Desirable: &lt;5.8 µg/L</w:t>
            </w:r>
            <w:r w:rsidRPr="002C56A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13</w:t>
            </w:r>
          </w:p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2C56AC">
              <w:rPr>
                <w:rFonts w:asciiTheme="minorHAnsi" w:hAnsiTheme="minorHAnsi" w:cstheme="minorHAnsi"/>
                <w:sz w:val="20"/>
                <w:szCs w:val="20"/>
              </w:rPr>
              <w:t xml:space="preserve">*Elevated (Current or Potentially </w:t>
            </w:r>
            <w:r w:rsidR="009C5E43">
              <w:rPr>
                <w:rFonts w:asciiTheme="minorHAnsi" w:hAnsiTheme="minorHAnsi" w:cstheme="minorHAnsi"/>
                <w:sz w:val="20"/>
                <w:szCs w:val="20"/>
              </w:rPr>
              <w:t>Pregnant, Lactating Women): 5.8</w:t>
            </w:r>
            <w:r w:rsidR="009C5E43" w:rsidRPr="00A95B9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2C56AC">
              <w:rPr>
                <w:rFonts w:asciiTheme="minorHAnsi" w:hAnsiTheme="minorHAnsi" w:cstheme="minorHAnsi"/>
                <w:sz w:val="20"/>
                <w:szCs w:val="20"/>
              </w:rPr>
              <w:t xml:space="preserve">10.0 µg/L </w:t>
            </w:r>
            <w:r w:rsidRPr="002C56A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13</w:t>
            </w:r>
          </w:p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2C56AC">
              <w:rPr>
                <w:rFonts w:asciiTheme="minorHAnsi" w:hAnsiTheme="minorHAnsi" w:cstheme="minorHAnsi"/>
                <w:sz w:val="20"/>
                <w:szCs w:val="20"/>
              </w:rPr>
              <w:t xml:space="preserve">*Elevated (All Adults): &gt;10.0 µg/L </w:t>
            </w:r>
            <w:r w:rsidRPr="002C56A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14,15</w:t>
            </w:r>
            <w:r w:rsidRPr="002C56AC">
              <w:rPr>
                <w:rFonts w:asciiTheme="minorHAnsi" w:hAnsiTheme="minorHAnsi" w:cstheme="minorHAnsi"/>
                <w:sz w:val="20"/>
                <w:szCs w:val="20"/>
              </w:rPr>
              <w:t xml:space="preserve"> (b.)</w:t>
            </w:r>
          </w:p>
        </w:tc>
        <w:tc>
          <w:tcPr>
            <w:tcW w:w="1980" w:type="dxa"/>
          </w:tcPr>
          <w:p w:rsidR="00154C4A" w:rsidRPr="00FF1E19" w:rsidRDefault="00154C4A" w:rsidP="005342E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154C4A" w:rsidRPr="00FF1E19" w:rsidTr="005342E5">
        <w:tc>
          <w:tcPr>
            <w:tcW w:w="4473" w:type="dxa"/>
            <w:vAlign w:val="center"/>
          </w:tcPr>
          <w:p w:rsidR="00154C4A" w:rsidRPr="00142871" w:rsidRDefault="00154C4A" w:rsidP="005342E5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142871">
              <w:rPr>
                <w:rFonts w:asciiTheme="minorHAnsi" w:hAnsiTheme="minorHAnsi" w:cstheme="minorHAnsi"/>
                <w:sz w:val="20"/>
              </w:rPr>
              <w:t>Cadmium</w:t>
            </w:r>
            <w:r>
              <w:rPr>
                <w:rFonts w:asciiTheme="minorHAnsi" w:hAnsiTheme="minorHAnsi" w:cstheme="minorHAnsi"/>
                <w:sz w:val="20"/>
              </w:rPr>
              <w:t xml:space="preserve"> (Cd)</w:t>
            </w:r>
          </w:p>
        </w:tc>
        <w:tc>
          <w:tcPr>
            <w:tcW w:w="1665" w:type="dxa"/>
            <w:vAlign w:val="center"/>
          </w:tcPr>
          <w:p w:rsidR="00154C4A" w:rsidRPr="00142871" w:rsidRDefault="00154C4A" w:rsidP="005342E5">
            <w:pPr>
              <w:rPr>
                <w:rFonts w:asciiTheme="minorHAnsi" w:hAnsiTheme="minorHAnsi" w:cstheme="minorHAnsi"/>
                <w:sz w:val="20"/>
                <w:szCs w:val="22"/>
                <w:vertAlign w:val="superscript"/>
              </w:rPr>
            </w:pPr>
          </w:p>
        </w:tc>
        <w:tc>
          <w:tcPr>
            <w:tcW w:w="4860" w:type="dxa"/>
          </w:tcPr>
          <w:p w:rsidR="00154C4A" w:rsidRPr="002C56AC" w:rsidRDefault="009C5E43" w:rsidP="005342E5">
            <w:pPr>
              <w:rPr>
                <w:rFonts w:asciiTheme="minorHAnsi" w:hAnsiTheme="minorHAnsi" w:cstheme="minorHAnsi"/>
                <w:sz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</w:rPr>
              <w:t>0.33</w:t>
            </w:r>
            <w:r w:rsidRPr="00A95B9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54C4A" w:rsidRPr="002C56AC">
              <w:rPr>
                <w:rFonts w:asciiTheme="minorHAnsi" w:hAnsiTheme="minorHAnsi" w:cstheme="minorHAnsi"/>
                <w:sz w:val="20"/>
              </w:rPr>
              <w:t>1.70 µg/L</w:t>
            </w:r>
            <w:r w:rsidR="00154C4A" w:rsidRPr="002C56AC">
              <w:rPr>
                <w:rFonts w:asciiTheme="minorHAnsi" w:hAnsiTheme="minorHAnsi" w:cstheme="minorHAnsi"/>
                <w:sz w:val="20"/>
                <w:vertAlign w:val="superscript"/>
              </w:rPr>
              <w:t>6</w:t>
            </w:r>
          </w:p>
          <w:p w:rsidR="00154C4A" w:rsidRPr="002C56AC" w:rsidRDefault="009C5E43" w:rsidP="005342E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[Nonsmokers: 0.3</w:t>
            </w:r>
            <w:r w:rsidRPr="00A95B9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54C4A" w:rsidRPr="002C56AC">
              <w:rPr>
                <w:rFonts w:asciiTheme="minorHAnsi" w:hAnsiTheme="minorHAnsi" w:cstheme="minorHAnsi"/>
                <w:sz w:val="20"/>
              </w:rPr>
              <w:t xml:space="preserve">1.2 µg/L </w:t>
            </w:r>
            <w:r w:rsidR="00154C4A" w:rsidRPr="002C56AC">
              <w:rPr>
                <w:rFonts w:asciiTheme="minorHAnsi" w:hAnsiTheme="minorHAnsi" w:cstheme="minorHAnsi"/>
                <w:sz w:val="20"/>
                <w:vertAlign w:val="superscript"/>
              </w:rPr>
              <w:t>1</w:t>
            </w:r>
            <w:r w:rsidR="00154C4A">
              <w:rPr>
                <w:rFonts w:asciiTheme="minorHAnsi" w:hAnsiTheme="minorHAnsi" w:cstheme="minorHAnsi"/>
                <w:sz w:val="20"/>
                <w:vertAlign w:val="superscript"/>
              </w:rPr>
              <w:t>8</w:t>
            </w:r>
            <w:r w:rsidR="00154C4A" w:rsidRPr="002C56AC">
              <w:rPr>
                <w:rFonts w:asciiTheme="minorHAnsi" w:hAnsiTheme="minorHAnsi" w:cstheme="minorHAnsi"/>
                <w:sz w:val="20"/>
              </w:rPr>
              <w:t>]</w:t>
            </w:r>
          </w:p>
          <w:p w:rsidR="00154C4A" w:rsidRPr="002C56AC" w:rsidRDefault="009C5E43" w:rsidP="005342E5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</w:rPr>
              <w:t>[Smokers: 0.6</w:t>
            </w:r>
            <w:r w:rsidRPr="00A95B9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54C4A" w:rsidRPr="002C56AC">
              <w:rPr>
                <w:rFonts w:asciiTheme="minorHAnsi" w:hAnsiTheme="minorHAnsi" w:cstheme="minorHAnsi"/>
                <w:sz w:val="20"/>
              </w:rPr>
              <w:t xml:space="preserve">3.9 µg/L </w:t>
            </w:r>
            <w:r w:rsidR="00154C4A" w:rsidRPr="002C56AC">
              <w:rPr>
                <w:rFonts w:asciiTheme="minorHAnsi" w:hAnsiTheme="minorHAnsi" w:cstheme="minorHAnsi"/>
                <w:sz w:val="20"/>
                <w:vertAlign w:val="superscript"/>
              </w:rPr>
              <w:t>1</w:t>
            </w:r>
            <w:r w:rsidR="00154C4A">
              <w:rPr>
                <w:rFonts w:asciiTheme="minorHAnsi" w:hAnsiTheme="minorHAnsi" w:cstheme="minorHAnsi"/>
                <w:sz w:val="20"/>
                <w:vertAlign w:val="superscript"/>
              </w:rPr>
              <w:t>8</w:t>
            </w:r>
            <w:r w:rsidR="00154C4A" w:rsidRPr="002C56AC">
              <w:rPr>
                <w:rFonts w:asciiTheme="minorHAnsi" w:hAnsiTheme="minorHAnsi" w:cstheme="minorHAnsi"/>
                <w:sz w:val="20"/>
              </w:rPr>
              <w:t>]</w:t>
            </w:r>
          </w:p>
          <w:p w:rsidR="00154C4A" w:rsidRPr="00AC1DCD" w:rsidRDefault="00154C4A" w:rsidP="005342E5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2"/>
                <w:vertAlign w:val="superscript"/>
              </w:rPr>
            </w:pPr>
            <w:r w:rsidRPr="002C56AC">
              <w:rPr>
                <w:rFonts w:asciiTheme="minorHAnsi" w:hAnsiTheme="minorHAnsi" w:cstheme="minorHAnsi"/>
                <w:sz w:val="20"/>
              </w:rPr>
              <w:t xml:space="preserve">Desirable: </w:t>
            </w:r>
            <w:r w:rsidRPr="002C56AC">
              <w:rPr>
                <w:rFonts w:cs="Calibri"/>
                <w:sz w:val="20"/>
              </w:rPr>
              <w:t>≤</w:t>
            </w:r>
            <w:r w:rsidRPr="002C56AC">
              <w:rPr>
                <w:rFonts w:asciiTheme="minorHAnsi" w:hAnsiTheme="minorHAnsi" w:cstheme="minorHAnsi"/>
                <w:sz w:val="20"/>
              </w:rPr>
              <w:t xml:space="preserve">5 </w:t>
            </w:r>
            <w:r w:rsidRPr="002C56AC">
              <w:rPr>
                <w:rFonts w:cs="Calibri"/>
                <w:sz w:val="20"/>
              </w:rPr>
              <w:t>µ</w:t>
            </w:r>
            <w:r w:rsidRPr="002C56AC">
              <w:rPr>
                <w:rFonts w:asciiTheme="minorHAnsi" w:hAnsiTheme="minorHAnsi" w:cstheme="minorHAnsi"/>
                <w:sz w:val="20"/>
              </w:rPr>
              <w:t xml:space="preserve">g/L </w:t>
            </w:r>
            <w:r w:rsidRPr="002C56AC">
              <w:rPr>
                <w:rFonts w:asciiTheme="minorHAnsi" w:hAnsiTheme="minorHAnsi" w:cstheme="minorHAnsi"/>
                <w:sz w:val="20"/>
                <w:vertAlign w:val="superscript"/>
              </w:rPr>
              <w:t>19,20</w:t>
            </w:r>
            <w:r>
              <w:rPr>
                <w:rFonts w:asciiTheme="minorHAnsi" w:hAnsiTheme="minorHAnsi" w:cstheme="minorHAnsi"/>
                <w:sz w:val="20"/>
                <w:vertAlign w:val="superscript"/>
              </w:rPr>
              <w:t>, 21</w:t>
            </w:r>
          </w:p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2C56AC">
              <w:rPr>
                <w:rFonts w:asciiTheme="minorHAnsi" w:hAnsiTheme="minorHAnsi" w:cstheme="minorHAnsi"/>
                <w:sz w:val="20"/>
              </w:rPr>
              <w:t xml:space="preserve">Elevated: </w:t>
            </w:r>
            <w:r w:rsidRPr="002C56AC">
              <w:rPr>
                <w:rFonts w:cs="Calibri"/>
                <w:sz w:val="20"/>
              </w:rPr>
              <w:t>&gt;</w:t>
            </w:r>
            <w:r w:rsidRPr="002C56AC">
              <w:rPr>
                <w:rFonts w:asciiTheme="minorHAnsi" w:hAnsiTheme="minorHAnsi" w:cstheme="minorHAnsi"/>
                <w:sz w:val="20"/>
              </w:rPr>
              <w:t xml:space="preserve">5 </w:t>
            </w:r>
            <w:r w:rsidRPr="002C56AC">
              <w:rPr>
                <w:rFonts w:cs="Calibri"/>
                <w:sz w:val="20"/>
              </w:rPr>
              <w:t>µ</w:t>
            </w:r>
            <w:r w:rsidRPr="002C56AC">
              <w:rPr>
                <w:rFonts w:asciiTheme="minorHAnsi" w:hAnsiTheme="minorHAnsi" w:cstheme="minorHAnsi"/>
                <w:sz w:val="20"/>
              </w:rPr>
              <w:t>g/L</w:t>
            </w:r>
            <w:r w:rsidRPr="002C56AC" w:rsidDel="000C4349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C56AC">
              <w:rPr>
                <w:rFonts w:asciiTheme="minorHAnsi" w:hAnsiTheme="minorHAnsi" w:cstheme="minorHAnsi"/>
                <w:sz w:val="20"/>
                <w:vertAlign w:val="superscript"/>
              </w:rPr>
              <w:t>19,20</w:t>
            </w:r>
            <w:r>
              <w:rPr>
                <w:rFonts w:asciiTheme="minorHAnsi" w:hAnsiTheme="minorHAnsi" w:cstheme="minorHAnsi"/>
                <w:sz w:val="20"/>
                <w:vertAlign w:val="superscript"/>
              </w:rPr>
              <w:t>, 21</w:t>
            </w:r>
            <w:r w:rsidRPr="002C56AC">
              <w:rPr>
                <w:rFonts w:asciiTheme="minorHAnsi" w:hAnsiTheme="minorHAnsi" w:cstheme="minorHAnsi"/>
                <w:sz w:val="20"/>
                <w:szCs w:val="20"/>
              </w:rPr>
              <w:t xml:space="preserve"> (c.)</w:t>
            </w:r>
          </w:p>
        </w:tc>
        <w:tc>
          <w:tcPr>
            <w:tcW w:w="1980" w:type="dxa"/>
          </w:tcPr>
          <w:p w:rsidR="00154C4A" w:rsidRPr="00FF1E19" w:rsidRDefault="00154C4A" w:rsidP="005342E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154C4A" w:rsidRPr="00FF1E19" w:rsidTr="005342E5">
        <w:tc>
          <w:tcPr>
            <w:tcW w:w="4473" w:type="dxa"/>
          </w:tcPr>
          <w:p w:rsidR="00154C4A" w:rsidRPr="00FF1E19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5" w:type="dxa"/>
          </w:tcPr>
          <w:p w:rsidR="00154C4A" w:rsidRPr="00FF1E19" w:rsidRDefault="00154C4A" w:rsidP="005342E5">
            <w:pPr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4860" w:type="dxa"/>
          </w:tcPr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154C4A" w:rsidRPr="00FF1E19" w:rsidRDefault="00154C4A" w:rsidP="005342E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154C4A" w:rsidRPr="00FF1E19" w:rsidTr="005342E5">
        <w:tc>
          <w:tcPr>
            <w:tcW w:w="4473" w:type="dxa"/>
            <w:shd w:val="clear" w:color="auto" w:fill="D9D9D9" w:themeFill="background1" w:themeFillShade="D9"/>
          </w:tcPr>
          <w:p w:rsidR="00154C4A" w:rsidRPr="008E3547" w:rsidRDefault="00154C4A" w:rsidP="005342E5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Trace Metals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:rsidR="00154C4A" w:rsidRPr="00FF1E19" w:rsidRDefault="00154C4A" w:rsidP="005342E5">
            <w:pPr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4860" w:type="dxa"/>
            <w:shd w:val="clear" w:color="auto" w:fill="D9D9D9" w:themeFill="background1" w:themeFillShade="D9"/>
          </w:tcPr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:rsidR="00154C4A" w:rsidRPr="00FF1E19" w:rsidRDefault="00154C4A" w:rsidP="005342E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154C4A" w:rsidRPr="00FF1E19" w:rsidTr="005342E5">
        <w:tc>
          <w:tcPr>
            <w:tcW w:w="4473" w:type="dxa"/>
            <w:vAlign w:val="center"/>
          </w:tcPr>
          <w:p w:rsidR="00154C4A" w:rsidRPr="00142871" w:rsidRDefault="00154C4A" w:rsidP="005342E5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</w:rPr>
              <w:t>Manganese</w:t>
            </w:r>
          </w:p>
        </w:tc>
        <w:tc>
          <w:tcPr>
            <w:tcW w:w="1665" w:type="dxa"/>
            <w:vAlign w:val="center"/>
          </w:tcPr>
          <w:p w:rsidR="00154C4A" w:rsidRPr="00142871" w:rsidRDefault="00154C4A" w:rsidP="005342E5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4860" w:type="dxa"/>
            <w:vAlign w:val="center"/>
          </w:tcPr>
          <w:p w:rsidR="00154C4A" w:rsidRPr="00AC1DCD" w:rsidRDefault="009C5E43" w:rsidP="005342E5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</w:rPr>
              <w:t>4.7</w:t>
            </w:r>
            <w:r w:rsidRPr="00A95B9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54C4A" w:rsidRPr="00AC1DCD">
              <w:rPr>
                <w:rFonts w:asciiTheme="minorHAnsi" w:hAnsiTheme="minorHAnsi" w:cstheme="minorHAnsi"/>
                <w:sz w:val="20"/>
              </w:rPr>
              <w:t xml:space="preserve">18.3 </w:t>
            </w:r>
            <w:r w:rsidR="00154C4A" w:rsidRPr="00AC1DCD">
              <w:rPr>
                <w:rFonts w:cs="Calibri"/>
                <w:sz w:val="20"/>
              </w:rPr>
              <w:t>µ</w:t>
            </w:r>
            <w:r w:rsidR="00154C4A" w:rsidRPr="00AC1DCD">
              <w:rPr>
                <w:rFonts w:asciiTheme="minorHAnsi" w:hAnsiTheme="minorHAnsi" w:cstheme="minorHAnsi"/>
                <w:sz w:val="20"/>
              </w:rPr>
              <w:t>g/L</w:t>
            </w:r>
            <w:r w:rsidR="00154C4A" w:rsidRPr="00AC1DCD">
              <w:rPr>
                <w:rFonts w:asciiTheme="minorHAnsi" w:hAnsiTheme="minorHAnsi" w:cstheme="minorHAnsi"/>
                <w:sz w:val="20"/>
                <w:vertAlign w:val="superscript"/>
              </w:rPr>
              <w:t xml:space="preserve"> 2</w:t>
            </w:r>
            <w:r w:rsidR="00154C4A">
              <w:rPr>
                <w:rFonts w:asciiTheme="minorHAnsi" w:hAnsiTheme="minorHAnsi" w:cstheme="minorHAnsi"/>
                <w:sz w:val="20"/>
                <w:vertAlign w:val="superscript"/>
              </w:rPr>
              <w:t>4</w:t>
            </w:r>
            <w:r w:rsidR="00154C4A" w:rsidRPr="00AC1DCD">
              <w:rPr>
                <w:rFonts w:asciiTheme="minorHAnsi" w:hAnsiTheme="minorHAnsi" w:cstheme="minorHAnsi"/>
                <w:sz w:val="20"/>
              </w:rPr>
              <w:t xml:space="preserve"> (</w:t>
            </w:r>
            <w:r w:rsidR="00154C4A" w:rsidRPr="00AC1DCD">
              <w:rPr>
                <w:rFonts w:asciiTheme="minorHAnsi" w:hAnsiTheme="minorHAnsi" w:cstheme="minorHAnsi"/>
                <w:sz w:val="20"/>
                <w:szCs w:val="20"/>
              </w:rPr>
              <w:t>d.)</w:t>
            </w:r>
          </w:p>
        </w:tc>
        <w:tc>
          <w:tcPr>
            <w:tcW w:w="1980" w:type="dxa"/>
            <w:vAlign w:val="center"/>
          </w:tcPr>
          <w:p w:rsidR="00154C4A" w:rsidRPr="00337F5F" w:rsidRDefault="00154C4A" w:rsidP="005342E5">
            <w:pPr>
              <w:pStyle w:val="Heading2"/>
              <w:shd w:val="clear" w:color="auto" w:fill="FFFFFF"/>
              <w:spacing w:before="0" w:after="0" w:line="240" w:lineRule="auto"/>
              <w:jc w:val="both"/>
              <w:outlineLvl w:val="1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</w:p>
        </w:tc>
      </w:tr>
      <w:tr w:rsidR="00154C4A" w:rsidRPr="00FF1E19" w:rsidTr="005342E5">
        <w:tc>
          <w:tcPr>
            <w:tcW w:w="4473" w:type="dxa"/>
            <w:vAlign w:val="center"/>
          </w:tcPr>
          <w:p w:rsidR="00154C4A" w:rsidRPr="00BF0189" w:rsidRDefault="00154C4A" w:rsidP="005342E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Selenium</w:t>
            </w:r>
          </w:p>
        </w:tc>
        <w:tc>
          <w:tcPr>
            <w:tcW w:w="1665" w:type="dxa"/>
            <w:vAlign w:val="center"/>
          </w:tcPr>
          <w:p w:rsidR="00154C4A" w:rsidRPr="00BF0189" w:rsidRDefault="00154C4A" w:rsidP="005342E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="00154C4A" w:rsidRPr="00AC1DCD" w:rsidRDefault="009C5E43" w:rsidP="005342E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97.3</w:t>
            </w:r>
            <w:r w:rsidRPr="00A95B9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54C4A" w:rsidRPr="00AC1DCD">
              <w:rPr>
                <w:rFonts w:asciiTheme="minorHAnsi" w:hAnsiTheme="minorHAnsi" w:cstheme="minorHAnsi"/>
                <w:sz w:val="20"/>
                <w:szCs w:val="20"/>
              </w:rPr>
              <w:t xml:space="preserve">176.9 μg/L </w:t>
            </w:r>
            <w:r w:rsidR="00154C4A" w:rsidRPr="00AC1DCD">
              <w:rPr>
                <w:rFonts w:asciiTheme="minorHAnsi" w:hAnsiTheme="minorHAnsi" w:cstheme="minorHAnsi"/>
                <w:sz w:val="20"/>
                <w:szCs w:val="18"/>
                <w:vertAlign w:val="superscript"/>
              </w:rPr>
              <w:t>2</w:t>
            </w:r>
            <w:r w:rsidR="00154C4A">
              <w:rPr>
                <w:rFonts w:asciiTheme="minorHAnsi" w:hAnsiTheme="minorHAnsi" w:cstheme="minorHAnsi"/>
                <w:sz w:val="20"/>
                <w:szCs w:val="18"/>
                <w:vertAlign w:val="superscript"/>
              </w:rPr>
              <w:t>5</w:t>
            </w:r>
            <w:r w:rsidR="00154C4A" w:rsidRPr="00AC1DCD" w:rsidDel="0048232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54C4A" w:rsidRPr="00AC1DCD">
              <w:rPr>
                <w:rFonts w:asciiTheme="minorHAnsi" w:hAnsiTheme="minorHAnsi" w:cstheme="minorHAnsi"/>
                <w:sz w:val="20"/>
                <w:szCs w:val="20"/>
              </w:rPr>
              <w:t>(e.)</w:t>
            </w:r>
          </w:p>
        </w:tc>
        <w:tc>
          <w:tcPr>
            <w:tcW w:w="1980" w:type="dxa"/>
            <w:vAlign w:val="center"/>
          </w:tcPr>
          <w:p w:rsidR="00154C4A" w:rsidRPr="00337F5F" w:rsidRDefault="00154C4A" w:rsidP="005342E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C4A" w:rsidRPr="00FF1E19" w:rsidTr="005342E5">
        <w:tc>
          <w:tcPr>
            <w:tcW w:w="4473" w:type="dxa"/>
            <w:vAlign w:val="center"/>
          </w:tcPr>
          <w:p w:rsidR="00154C4A" w:rsidRPr="00FF1E19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154C4A" w:rsidRPr="00FF1E19" w:rsidRDefault="00154C4A" w:rsidP="005342E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="00154C4A" w:rsidRPr="002C56AC" w:rsidRDefault="00154C4A" w:rsidP="005342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154C4A" w:rsidRPr="00FF1E19" w:rsidRDefault="00154C4A" w:rsidP="005342E5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:rsidR="00154C4A" w:rsidRDefault="00154C4A" w:rsidP="00154C4A"/>
    <w:p w:rsidR="00154C4A" w:rsidRDefault="00154C4A" w:rsidP="00154C4A"/>
    <w:p w:rsidR="00154C4A" w:rsidRDefault="00154C4A" w:rsidP="00154C4A"/>
    <w:p w:rsidR="00154C4A" w:rsidRDefault="00154C4A" w:rsidP="00154C4A"/>
    <w:bookmarkEnd w:id="0"/>
    <w:p w:rsidR="00154C4A" w:rsidRDefault="00154C4A" w:rsidP="00154C4A">
      <w:pPr>
        <w:rPr>
          <w:rFonts w:asciiTheme="minorHAnsi" w:hAnsiTheme="minorHAnsi" w:cstheme="minorHAnsi"/>
          <w:sz w:val="20"/>
          <w:szCs w:val="20"/>
        </w:rPr>
      </w:pPr>
    </w:p>
    <w:p w:rsidR="00154C4A" w:rsidRDefault="00154C4A" w:rsidP="00154C4A">
      <w:pPr>
        <w:rPr>
          <w:rFonts w:asciiTheme="minorHAnsi" w:hAnsiTheme="minorHAnsi" w:cstheme="minorHAnsi"/>
          <w:sz w:val="20"/>
          <w:szCs w:val="20"/>
        </w:rPr>
      </w:pPr>
    </w:p>
    <w:p w:rsidR="00154C4A" w:rsidRDefault="00154C4A" w:rsidP="00154C4A">
      <w:pPr>
        <w:rPr>
          <w:rFonts w:asciiTheme="minorHAnsi" w:hAnsiTheme="minorHAnsi" w:cstheme="minorHAnsi"/>
          <w:sz w:val="20"/>
          <w:szCs w:val="20"/>
        </w:rPr>
      </w:pPr>
    </w:p>
    <w:p w:rsidR="00154C4A" w:rsidRDefault="00154C4A" w:rsidP="00154C4A">
      <w:pPr>
        <w:rPr>
          <w:rFonts w:asciiTheme="minorHAnsi" w:hAnsiTheme="minorHAnsi" w:cstheme="minorHAnsi"/>
          <w:sz w:val="20"/>
          <w:szCs w:val="20"/>
        </w:rPr>
      </w:pPr>
    </w:p>
    <w:p w:rsidR="00154C4A" w:rsidRDefault="00154C4A" w:rsidP="00154C4A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154C4A" w:rsidRDefault="00154C4A" w:rsidP="00154C4A">
      <w:pPr>
        <w:rPr>
          <w:rFonts w:asciiTheme="minorHAnsi" w:hAnsiTheme="minorHAnsi" w:cstheme="minorHAnsi"/>
          <w:sz w:val="20"/>
          <w:szCs w:val="20"/>
        </w:rPr>
        <w:sectPr w:rsidR="00154C4A" w:rsidSect="003003F9">
          <w:pgSz w:w="15840" w:h="12240" w:orient="landscape"/>
          <w:pgMar w:top="1080" w:right="1080" w:bottom="1080" w:left="1080" w:header="720" w:footer="720" w:gutter="0"/>
          <w:cols w:space="720"/>
          <w:docGrid w:linePitch="360"/>
        </w:sectPr>
      </w:pPr>
    </w:p>
    <w:p w:rsidR="00154C4A" w:rsidRDefault="00154C4A" w:rsidP="00154C4A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ADDITIONAL COMMENTS, INCLUDIN</w:t>
      </w:r>
      <w:r w:rsidR="009C5E43">
        <w:rPr>
          <w:rFonts w:asciiTheme="minorHAnsi" w:hAnsiTheme="minorHAnsi" w:cstheme="minorHAnsi"/>
          <w:sz w:val="20"/>
          <w:szCs w:val="20"/>
        </w:rPr>
        <w:t xml:space="preserve">G DETAILED REFERENCES WILL </w:t>
      </w:r>
      <w:r>
        <w:rPr>
          <w:rFonts w:asciiTheme="minorHAnsi" w:hAnsiTheme="minorHAnsi" w:cstheme="minorHAnsi"/>
          <w:sz w:val="20"/>
          <w:szCs w:val="20"/>
        </w:rPr>
        <w:t>BE A PART OF THE REPORT TO THE PARTICIPANT</w:t>
      </w:r>
      <w:r w:rsidR="009C5E43">
        <w:rPr>
          <w:rFonts w:asciiTheme="minorHAnsi" w:hAnsiTheme="minorHAnsi" w:cstheme="minorHAnsi"/>
          <w:sz w:val="20"/>
          <w:szCs w:val="20"/>
        </w:rPr>
        <w:t xml:space="preserve"> ONLY</w:t>
      </w:r>
      <w:r>
        <w:rPr>
          <w:rFonts w:asciiTheme="minorHAnsi" w:hAnsiTheme="minorHAnsi" w:cstheme="minorHAnsi"/>
          <w:sz w:val="20"/>
          <w:szCs w:val="20"/>
        </w:rPr>
        <w:t xml:space="preserve"> IF ANY MEASUREMENTS ABOVE CRITICAL/ACTION LEVELS ARE FOUND TO BE PRESENT OR IF MORE DETAIL IS REQUESTED BY THE PARTICIPANT OR HIS/HER PHYSICIAN</w:t>
      </w:r>
    </w:p>
    <w:p w:rsidR="00154C4A" w:rsidRDefault="00154C4A" w:rsidP="00154C4A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154C4A" w:rsidRDefault="00154C4A" w:rsidP="00154C4A">
      <w:pPr>
        <w:rPr>
          <w:rFonts w:asciiTheme="minorHAnsi" w:hAnsiTheme="minorHAnsi" w:cstheme="minorHAnsi"/>
          <w:sz w:val="20"/>
          <w:szCs w:val="20"/>
        </w:rPr>
      </w:pPr>
      <w:r w:rsidRPr="00337F5F">
        <w:rPr>
          <w:rFonts w:asciiTheme="minorHAnsi" w:hAnsiTheme="minorHAnsi" w:cstheme="minorHAnsi"/>
          <w:sz w:val="20"/>
          <w:szCs w:val="20"/>
        </w:rPr>
        <w:t>Additional comments related to elevated levels of heavy metals and trace metals</w:t>
      </w:r>
      <w:r>
        <w:rPr>
          <w:rFonts w:asciiTheme="minorHAnsi" w:hAnsiTheme="minorHAnsi" w:cstheme="minorHAnsi"/>
          <w:sz w:val="20"/>
          <w:szCs w:val="20"/>
        </w:rPr>
        <w:t xml:space="preserve"> for you or your physician</w:t>
      </w:r>
      <w:r w:rsidRPr="00337F5F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154C4A" w:rsidRPr="00337F5F" w:rsidRDefault="00154C4A" w:rsidP="00154C4A">
      <w:pPr>
        <w:rPr>
          <w:rFonts w:asciiTheme="minorHAnsi" w:hAnsiTheme="minorHAnsi" w:cstheme="minorHAnsi"/>
          <w:sz w:val="20"/>
          <w:szCs w:val="20"/>
        </w:rPr>
      </w:pPr>
    </w:p>
    <w:p w:rsidR="00154C4A" w:rsidRPr="00337F5F" w:rsidRDefault="00154C4A" w:rsidP="00154C4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337F5F">
        <w:rPr>
          <w:rFonts w:asciiTheme="minorHAnsi" w:hAnsiTheme="minorHAnsi" w:cstheme="minorHAnsi"/>
          <w:sz w:val="20"/>
          <w:szCs w:val="20"/>
        </w:rPr>
        <w:t>Elevated Lead levels</w:t>
      </w:r>
    </w:p>
    <w:p w:rsidR="00154C4A" w:rsidRPr="00337F5F" w:rsidRDefault="00154C4A" w:rsidP="00154C4A">
      <w:pPr>
        <w:rPr>
          <w:rFonts w:asciiTheme="minorHAnsi" w:hAnsiTheme="minorHAnsi" w:cstheme="minorHAnsi"/>
          <w:sz w:val="20"/>
          <w:szCs w:val="20"/>
          <w:vertAlign w:val="superscript"/>
        </w:rPr>
      </w:pPr>
      <w:r w:rsidRPr="00337F5F">
        <w:rPr>
          <w:rFonts w:asciiTheme="minorHAnsi" w:hAnsiTheme="minorHAnsi" w:cstheme="minorHAnsi"/>
          <w:i/>
          <w:sz w:val="20"/>
          <w:szCs w:val="20"/>
          <w:u w:val="single"/>
        </w:rPr>
        <w:t>Action Level for women who are or might become pregnant or lactating</w:t>
      </w:r>
      <w:r w:rsidRPr="00337F5F">
        <w:rPr>
          <w:rFonts w:asciiTheme="minorHAnsi" w:hAnsiTheme="minorHAnsi" w:cstheme="minorHAnsi"/>
          <w:i/>
          <w:sz w:val="20"/>
          <w:szCs w:val="20"/>
        </w:rPr>
        <w:t xml:space="preserve">: </w:t>
      </w:r>
      <w:r w:rsidR="009C5E43">
        <w:rPr>
          <w:rFonts w:asciiTheme="minorHAnsi" w:hAnsiTheme="minorHAnsi" w:cstheme="minorHAnsi"/>
          <w:sz w:val="20"/>
          <w:szCs w:val="20"/>
        </w:rPr>
        <w:t>5.0</w:t>
      </w:r>
      <w:r w:rsidR="009C5E43" w:rsidRPr="00A95B9A">
        <w:rPr>
          <w:rFonts w:asciiTheme="minorHAnsi" w:hAnsiTheme="minorHAnsi" w:cstheme="minorHAnsi"/>
          <w:sz w:val="20"/>
          <w:szCs w:val="20"/>
        </w:rPr>
        <w:t>–</w:t>
      </w:r>
      <w:r w:rsidRPr="00337F5F">
        <w:rPr>
          <w:rFonts w:asciiTheme="minorHAnsi" w:hAnsiTheme="minorHAnsi" w:cstheme="minorHAnsi"/>
          <w:sz w:val="20"/>
          <w:szCs w:val="20"/>
        </w:rPr>
        <w:t>9.9 µg/dL(CDC advisory level exceeded; discuss health risks; seek medical advice; reduce exposure; breastfeed with infant BLL monitoring)</w:t>
      </w:r>
      <w:r w:rsidRPr="00337F5F">
        <w:rPr>
          <w:rFonts w:asciiTheme="minorHAnsi" w:hAnsiTheme="minorHAnsi" w:cstheme="minorHAnsi"/>
          <w:sz w:val="20"/>
          <w:szCs w:val="20"/>
          <w:vertAlign w:val="superscript"/>
        </w:rPr>
        <w:t>7,8</w:t>
      </w:r>
    </w:p>
    <w:p w:rsidR="00154C4A" w:rsidRPr="00337F5F" w:rsidRDefault="00154C4A" w:rsidP="00154C4A">
      <w:pPr>
        <w:rPr>
          <w:rFonts w:asciiTheme="minorHAnsi" w:hAnsiTheme="minorHAnsi" w:cstheme="minorHAnsi"/>
          <w:sz w:val="20"/>
          <w:szCs w:val="20"/>
          <w:vertAlign w:val="superscript"/>
        </w:rPr>
      </w:pPr>
      <w:r w:rsidRPr="00337F5F">
        <w:rPr>
          <w:rFonts w:asciiTheme="minorHAnsi" w:hAnsiTheme="minorHAnsi" w:cstheme="minorHAnsi"/>
          <w:i/>
          <w:sz w:val="20"/>
          <w:szCs w:val="20"/>
          <w:u w:val="single"/>
        </w:rPr>
        <w:t>Action Level All Adults</w:t>
      </w:r>
      <w:r w:rsidRPr="00337F5F">
        <w:rPr>
          <w:rFonts w:asciiTheme="minorHAnsi" w:hAnsiTheme="minorHAnsi" w:cstheme="minorHAnsi"/>
          <w:i/>
          <w:sz w:val="20"/>
          <w:szCs w:val="20"/>
        </w:rPr>
        <w:t xml:space="preserve">: </w:t>
      </w:r>
      <w:r w:rsidR="009C5E43">
        <w:rPr>
          <w:rFonts w:asciiTheme="minorHAnsi" w:hAnsiTheme="minorHAnsi" w:cstheme="minorHAnsi"/>
          <w:sz w:val="20"/>
          <w:szCs w:val="20"/>
        </w:rPr>
        <w:t>10.0</w:t>
      </w:r>
      <w:r w:rsidR="009C5E43" w:rsidRPr="00A95B9A">
        <w:rPr>
          <w:rFonts w:asciiTheme="minorHAnsi" w:hAnsiTheme="minorHAnsi" w:cstheme="minorHAnsi"/>
          <w:sz w:val="20"/>
          <w:szCs w:val="20"/>
        </w:rPr>
        <w:t>–</w:t>
      </w:r>
      <w:r w:rsidRPr="00337F5F">
        <w:rPr>
          <w:rFonts w:asciiTheme="minorHAnsi" w:hAnsiTheme="minorHAnsi" w:cstheme="minorHAnsi"/>
          <w:sz w:val="20"/>
          <w:szCs w:val="20"/>
        </w:rPr>
        <w:t>39.9 µg/dL (CDC advisory threshold exceeded; seek medical evaluation; removal from exposure for women who are or might become pregnant or lactating; reduce exposure all others; breastfeed with infant BLL monitoring)</w:t>
      </w:r>
      <w:r w:rsidRPr="00337F5F">
        <w:rPr>
          <w:rFonts w:asciiTheme="minorHAnsi" w:hAnsiTheme="minorHAnsi" w:cstheme="minorHAnsi"/>
          <w:sz w:val="20"/>
          <w:szCs w:val="20"/>
          <w:vertAlign w:val="superscript"/>
        </w:rPr>
        <w:t xml:space="preserve"> 7,8,9,10,11</w:t>
      </w:r>
    </w:p>
    <w:p w:rsidR="00154C4A" w:rsidRPr="00337F5F" w:rsidRDefault="00154C4A" w:rsidP="00154C4A">
      <w:pPr>
        <w:rPr>
          <w:rFonts w:asciiTheme="minorHAnsi" w:hAnsiTheme="minorHAnsi" w:cstheme="minorHAnsi"/>
          <w:sz w:val="20"/>
          <w:szCs w:val="20"/>
          <w:vertAlign w:val="superscript"/>
        </w:rPr>
      </w:pPr>
      <w:r w:rsidRPr="00337F5F">
        <w:rPr>
          <w:rFonts w:asciiTheme="minorHAnsi" w:hAnsiTheme="minorHAnsi" w:cstheme="minorHAnsi"/>
          <w:i/>
          <w:sz w:val="20"/>
          <w:szCs w:val="20"/>
          <w:u w:val="single"/>
        </w:rPr>
        <w:t>Action Level All Adults</w:t>
      </w:r>
      <w:r w:rsidRPr="00337F5F">
        <w:rPr>
          <w:rFonts w:asciiTheme="minorHAnsi" w:hAnsiTheme="minorHAnsi" w:cstheme="minorHAnsi"/>
          <w:i/>
          <w:sz w:val="20"/>
          <w:szCs w:val="20"/>
        </w:rPr>
        <w:t xml:space="preserve">: </w:t>
      </w:r>
      <w:r w:rsidRPr="00337F5F">
        <w:rPr>
          <w:rFonts w:asciiTheme="minorHAnsi" w:hAnsiTheme="minorHAnsi" w:cstheme="minorHAnsi"/>
          <w:sz w:val="20"/>
          <w:szCs w:val="20"/>
        </w:rPr>
        <w:t>≥40.0 µg/dL (OSHA threshold exceeded; prompt medical evaluation; reduce exposure; pump breast</w:t>
      </w:r>
      <w:r w:rsidR="009C5E43">
        <w:rPr>
          <w:rFonts w:asciiTheme="minorHAnsi" w:hAnsiTheme="minorHAnsi" w:cstheme="minorHAnsi"/>
          <w:sz w:val="20"/>
          <w:szCs w:val="20"/>
        </w:rPr>
        <w:t xml:space="preserve"> </w:t>
      </w:r>
      <w:r w:rsidRPr="00337F5F">
        <w:rPr>
          <w:rFonts w:asciiTheme="minorHAnsi" w:hAnsiTheme="minorHAnsi" w:cstheme="minorHAnsi"/>
          <w:sz w:val="20"/>
          <w:szCs w:val="20"/>
        </w:rPr>
        <w:t xml:space="preserve">milk and discard until BLL &lt;40 µg/dL) </w:t>
      </w:r>
      <w:r w:rsidRPr="00337F5F">
        <w:rPr>
          <w:rFonts w:asciiTheme="minorHAnsi" w:hAnsiTheme="minorHAnsi" w:cstheme="minorHAnsi"/>
          <w:sz w:val="20"/>
          <w:szCs w:val="20"/>
          <w:vertAlign w:val="superscript"/>
        </w:rPr>
        <w:t>7,8,12</w:t>
      </w:r>
    </w:p>
    <w:p w:rsidR="00154C4A" w:rsidRPr="00337F5F" w:rsidRDefault="00154C4A" w:rsidP="00154C4A">
      <w:pPr>
        <w:rPr>
          <w:rFonts w:asciiTheme="minorHAnsi" w:hAnsiTheme="minorHAnsi" w:cstheme="minorHAnsi"/>
          <w:sz w:val="20"/>
          <w:szCs w:val="20"/>
        </w:rPr>
      </w:pPr>
      <w:r w:rsidRPr="00337F5F">
        <w:rPr>
          <w:rFonts w:asciiTheme="minorHAnsi" w:hAnsiTheme="minorHAnsi" w:cstheme="minorHAnsi"/>
          <w:i/>
          <w:sz w:val="20"/>
          <w:szCs w:val="20"/>
          <w:u w:val="single"/>
        </w:rPr>
        <w:t>Action Level All Adults</w:t>
      </w:r>
      <w:r w:rsidRPr="00337F5F">
        <w:rPr>
          <w:rFonts w:asciiTheme="minorHAnsi" w:hAnsiTheme="minorHAnsi" w:cstheme="minorHAnsi"/>
          <w:i/>
          <w:sz w:val="20"/>
          <w:szCs w:val="20"/>
        </w:rPr>
        <w:t xml:space="preserve">: </w:t>
      </w:r>
      <w:r w:rsidRPr="00337F5F">
        <w:rPr>
          <w:rFonts w:asciiTheme="minorHAnsi" w:hAnsiTheme="minorHAnsi" w:cstheme="minorHAnsi"/>
          <w:sz w:val="20"/>
          <w:szCs w:val="20"/>
        </w:rPr>
        <w:t>≥50.0 µg/dL (OSHA threshold exceeded; prompt medical evaluation; removal from exposure; ; pump breast</w:t>
      </w:r>
      <w:r w:rsidR="009C5E43">
        <w:rPr>
          <w:rFonts w:asciiTheme="minorHAnsi" w:hAnsiTheme="minorHAnsi" w:cstheme="minorHAnsi"/>
          <w:sz w:val="20"/>
          <w:szCs w:val="20"/>
        </w:rPr>
        <w:t xml:space="preserve"> </w:t>
      </w:r>
      <w:r w:rsidRPr="00337F5F">
        <w:rPr>
          <w:rFonts w:asciiTheme="minorHAnsi" w:hAnsiTheme="minorHAnsi" w:cstheme="minorHAnsi"/>
          <w:sz w:val="20"/>
          <w:szCs w:val="20"/>
        </w:rPr>
        <w:t xml:space="preserve">milk and discard until BLL &lt;40 µg/dL) </w:t>
      </w:r>
      <w:r w:rsidRPr="00337F5F">
        <w:rPr>
          <w:rFonts w:asciiTheme="minorHAnsi" w:hAnsiTheme="minorHAnsi" w:cstheme="minorHAnsi"/>
          <w:sz w:val="20"/>
          <w:szCs w:val="20"/>
          <w:vertAlign w:val="superscript"/>
        </w:rPr>
        <w:t>7,8,12</w:t>
      </w:r>
    </w:p>
    <w:p w:rsidR="00154C4A" w:rsidRPr="00337F5F" w:rsidRDefault="00154C4A" w:rsidP="00154C4A">
      <w:pPr>
        <w:rPr>
          <w:rFonts w:asciiTheme="minorHAnsi" w:hAnsiTheme="minorHAnsi" w:cstheme="minorHAnsi"/>
          <w:sz w:val="20"/>
          <w:szCs w:val="20"/>
          <w:vertAlign w:val="superscript"/>
        </w:rPr>
      </w:pPr>
      <w:r w:rsidRPr="00337F5F">
        <w:rPr>
          <w:rFonts w:asciiTheme="minorHAnsi" w:hAnsiTheme="minorHAnsi" w:cstheme="minorHAnsi"/>
          <w:i/>
          <w:sz w:val="20"/>
          <w:szCs w:val="20"/>
          <w:u w:val="single"/>
        </w:rPr>
        <w:t>Action Level All Adults</w:t>
      </w:r>
      <w:r w:rsidRPr="00337F5F">
        <w:rPr>
          <w:rFonts w:asciiTheme="minorHAnsi" w:hAnsiTheme="minorHAnsi" w:cstheme="minorHAnsi"/>
          <w:i/>
          <w:sz w:val="20"/>
          <w:szCs w:val="20"/>
        </w:rPr>
        <w:t xml:space="preserve">: </w:t>
      </w:r>
      <w:r w:rsidRPr="00337F5F">
        <w:rPr>
          <w:rFonts w:asciiTheme="minorHAnsi" w:hAnsiTheme="minorHAnsi" w:cstheme="minorHAnsi"/>
          <w:sz w:val="20"/>
          <w:szCs w:val="20"/>
        </w:rPr>
        <w:t>≥80.0 µg/dL (OSHA threshold exceeded; immediate medical evaluation; removal from exposure; pump breast</w:t>
      </w:r>
      <w:r w:rsidR="009C5E43">
        <w:rPr>
          <w:rFonts w:asciiTheme="minorHAnsi" w:hAnsiTheme="minorHAnsi" w:cstheme="minorHAnsi"/>
          <w:sz w:val="20"/>
          <w:szCs w:val="20"/>
        </w:rPr>
        <w:t xml:space="preserve"> </w:t>
      </w:r>
      <w:r w:rsidRPr="00337F5F">
        <w:rPr>
          <w:rFonts w:asciiTheme="minorHAnsi" w:hAnsiTheme="minorHAnsi" w:cstheme="minorHAnsi"/>
          <w:sz w:val="20"/>
          <w:szCs w:val="20"/>
        </w:rPr>
        <w:t xml:space="preserve">milk and discard until BLL &lt;40 µg/dL) </w:t>
      </w:r>
      <w:r w:rsidRPr="00337F5F">
        <w:rPr>
          <w:rFonts w:asciiTheme="minorHAnsi" w:hAnsiTheme="minorHAnsi" w:cstheme="minorHAnsi"/>
          <w:sz w:val="20"/>
          <w:szCs w:val="20"/>
          <w:vertAlign w:val="superscript"/>
        </w:rPr>
        <w:t>7,8,11,12</w:t>
      </w:r>
    </w:p>
    <w:p w:rsidR="00154C4A" w:rsidRPr="00337F5F" w:rsidRDefault="00154C4A" w:rsidP="00154C4A">
      <w:pPr>
        <w:rPr>
          <w:rFonts w:asciiTheme="minorHAnsi" w:hAnsiTheme="minorHAnsi" w:cstheme="minorHAnsi"/>
          <w:sz w:val="20"/>
          <w:szCs w:val="20"/>
          <w:vertAlign w:val="superscript"/>
        </w:rPr>
      </w:pPr>
    </w:p>
    <w:p w:rsidR="00154C4A" w:rsidRPr="00337F5F" w:rsidRDefault="00154C4A" w:rsidP="00154C4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337F5F">
        <w:rPr>
          <w:rFonts w:asciiTheme="minorHAnsi" w:hAnsiTheme="minorHAnsi" w:cstheme="minorHAnsi"/>
          <w:sz w:val="20"/>
          <w:szCs w:val="20"/>
        </w:rPr>
        <w:t>Elevated Mercury levels</w:t>
      </w:r>
    </w:p>
    <w:p w:rsidR="00154C4A" w:rsidRPr="00337F5F" w:rsidRDefault="00154C4A" w:rsidP="00154C4A">
      <w:pPr>
        <w:rPr>
          <w:rFonts w:asciiTheme="minorHAnsi" w:hAnsiTheme="minorHAnsi" w:cstheme="minorHAnsi"/>
          <w:sz w:val="20"/>
          <w:szCs w:val="20"/>
          <w:vertAlign w:val="superscript"/>
        </w:rPr>
      </w:pPr>
      <w:r w:rsidRPr="00337F5F">
        <w:rPr>
          <w:rFonts w:asciiTheme="minorHAnsi" w:hAnsiTheme="minorHAnsi" w:cstheme="minorHAnsi"/>
          <w:i/>
          <w:sz w:val="20"/>
          <w:szCs w:val="20"/>
          <w:u w:val="single"/>
        </w:rPr>
        <w:t>Action Level for women who are or might become pregnant or lactating</w:t>
      </w:r>
      <w:r w:rsidRPr="00337F5F">
        <w:rPr>
          <w:rFonts w:asciiTheme="minorHAnsi" w:hAnsiTheme="minorHAnsi" w:cstheme="minorHAnsi"/>
          <w:i/>
          <w:sz w:val="20"/>
          <w:szCs w:val="20"/>
        </w:rPr>
        <w:t xml:space="preserve">: </w:t>
      </w:r>
      <w:r w:rsidR="009C5E43">
        <w:rPr>
          <w:rFonts w:asciiTheme="minorHAnsi" w:hAnsiTheme="minorHAnsi" w:cstheme="minorHAnsi"/>
          <w:sz w:val="20"/>
          <w:szCs w:val="20"/>
        </w:rPr>
        <w:t>5.8</w:t>
      </w:r>
      <w:r w:rsidR="009C5E43" w:rsidRPr="00A95B9A">
        <w:rPr>
          <w:rFonts w:asciiTheme="minorHAnsi" w:hAnsiTheme="minorHAnsi" w:cstheme="minorHAnsi"/>
          <w:sz w:val="20"/>
          <w:szCs w:val="20"/>
        </w:rPr>
        <w:t>–</w:t>
      </w:r>
      <w:r w:rsidRPr="00337F5F">
        <w:rPr>
          <w:rFonts w:asciiTheme="minorHAnsi" w:hAnsiTheme="minorHAnsi" w:cstheme="minorHAnsi"/>
          <w:sz w:val="20"/>
          <w:szCs w:val="20"/>
        </w:rPr>
        <w:t>10.0 µg/dL</w:t>
      </w:r>
      <w:r w:rsidRPr="00337F5F">
        <w:rPr>
          <w:rFonts w:asciiTheme="minorHAnsi" w:hAnsiTheme="minorHAnsi" w:cstheme="minorHAnsi"/>
          <w:sz w:val="20"/>
          <w:szCs w:val="20"/>
          <w:vertAlign w:val="superscript"/>
        </w:rPr>
        <w:t>13</w:t>
      </w:r>
    </w:p>
    <w:p w:rsidR="00154C4A" w:rsidRPr="00337F5F" w:rsidRDefault="00154C4A" w:rsidP="00154C4A">
      <w:pPr>
        <w:rPr>
          <w:rFonts w:asciiTheme="minorHAnsi" w:hAnsiTheme="minorHAnsi" w:cstheme="minorHAnsi"/>
          <w:sz w:val="20"/>
          <w:szCs w:val="20"/>
          <w:vertAlign w:val="superscript"/>
        </w:rPr>
      </w:pPr>
      <w:r w:rsidRPr="00337F5F">
        <w:rPr>
          <w:rFonts w:asciiTheme="minorHAnsi" w:hAnsiTheme="minorHAnsi" w:cstheme="minorHAnsi"/>
          <w:i/>
          <w:sz w:val="20"/>
          <w:szCs w:val="20"/>
          <w:u w:val="single"/>
        </w:rPr>
        <w:t>Action Level All Adults</w:t>
      </w:r>
      <w:r w:rsidRPr="00337F5F">
        <w:rPr>
          <w:rFonts w:asciiTheme="minorHAnsi" w:hAnsiTheme="minorHAnsi" w:cstheme="minorHAnsi"/>
          <w:i/>
          <w:sz w:val="20"/>
          <w:szCs w:val="20"/>
        </w:rPr>
        <w:t>:</w:t>
      </w:r>
      <w:r w:rsidRPr="00337F5F">
        <w:rPr>
          <w:rFonts w:asciiTheme="minorHAnsi" w:hAnsiTheme="minorHAnsi" w:cstheme="minorHAnsi"/>
          <w:sz w:val="20"/>
          <w:szCs w:val="20"/>
        </w:rPr>
        <w:t xml:space="preserve"> &gt;10.0 µg/L</w:t>
      </w:r>
      <w:r w:rsidRPr="00337F5F">
        <w:rPr>
          <w:rFonts w:asciiTheme="minorHAnsi" w:hAnsiTheme="minorHAnsi" w:cstheme="minorHAnsi"/>
          <w:sz w:val="20"/>
          <w:szCs w:val="20"/>
          <w:vertAlign w:val="superscript"/>
        </w:rPr>
        <w:t>14,15,16,</w:t>
      </w:r>
      <w:r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Pr="00337F5F">
        <w:rPr>
          <w:rFonts w:asciiTheme="minorHAnsi" w:hAnsiTheme="minorHAnsi" w:cstheme="minorHAnsi"/>
          <w:sz w:val="20"/>
          <w:szCs w:val="20"/>
          <w:vertAlign w:val="superscript"/>
        </w:rPr>
        <w:t>17</w:t>
      </w:r>
    </w:p>
    <w:p w:rsidR="00154C4A" w:rsidRDefault="00154C4A" w:rsidP="00154C4A">
      <w:pPr>
        <w:rPr>
          <w:rFonts w:asciiTheme="minorHAnsi" w:hAnsiTheme="minorHAnsi" w:cstheme="minorHAnsi"/>
          <w:sz w:val="20"/>
          <w:szCs w:val="20"/>
          <w:vertAlign w:val="superscript"/>
        </w:rPr>
      </w:pPr>
      <w:r w:rsidRPr="00337F5F">
        <w:rPr>
          <w:rFonts w:asciiTheme="minorHAnsi" w:hAnsiTheme="minorHAnsi" w:cstheme="minorHAnsi"/>
          <w:i/>
          <w:sz w:val="20"/>
          <w:szCs w:val="20"/>
          <w:u w:val="single"/>
        </w:rPr>
        <w:t>Action Level All Adults</w:t>
      </w:r>
      <w:r w:rsidRPr="00337F5F">
        <w:rPr>
          <w:rFonts w:asciiTheme="minorHAnsi" w:hAnsiTheme="minorHAnsi" w:cstheme="minorHAnsi"/>
          <w:sz w:val="20"/>
          <w:szCs w:val="20"/>
        </w:rPr>
        <w:t>: ≥50 µg/L (immediate medical evaluation)</w:t>
      </w:r>
      <w:r w:rsidRPr="00337F5F">
        <w:rPr>
          <w:rFonts w:asciiTheme="minorHAnsi" w:hAnsiTheme="minorHAnsi" w:cstheme="minorHAnsi"/>
          <w:sz w:val="20"/>
          <w:szCs w:val="20"/>
          <w:vertAlign w:val="superscript"/>
        </w:rPr>
        <w:t>18</w:t>
      </w:r>
    </w:p>
    <w:p w:rsidR="00154C4A" w:rsidRPr="00337F5F" w:rsidRDefault="00154C4A" w:rsidP="00154C4A">
      <w:pPr>
        <w:rPr>
          <w:rFonts w:asciiTheme="minorHAnsi" w:hAnsiTheme="minorHAnsi" w:cstheme="minorHAnsi"/>
          <w:sz w:val="20"/>
          <w:szCs w:val="20"/>
        </w:rPr>
      </w:pPr>
    </w:p>
    <w:p w:rsidR="00154C4A" w:rsidRPr="00337F5F" w:rsidRDefault="00154C4A" w:rsidP="00154C4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337F5F">
        <w:rPr>
          <w:rFonts w:asciiTheme="minorHAnsi" w:hAnsiTheme="minorHAnsi" w:cstheme="minorHAnsi"/>
          <w:sz w:val="20"/>
          <w:szCs w:val="20"/>
        </w:rPr>
        <w:t>Elevated Cadmium levels</w:t>
      </w:r>
    </w:p>
    <w:p w:rsidR="00154C4A" w:rsidRPr="00337F5F" w:rsidRDefault="00154C4A" w:rsidP="00154C4A">
      <w:pPr>
        <w:rPr>
          <w:rFonts w:asciiTheme="minorHAnsi" w:hAnsiTheme="minorHAnsi" w:cstheme="minorHAnsi"/>
          <w:sz w:val="20"/>
          <w:vertAlign w:val="superscript"/>
        </w:rPr>
      </w:pPr>
      <w:r w:rsidRPr="00337F5F">
        <w:rPr>
          <w:rFonts w:asciiTheme="minorHAnsi" w:hAnsiTheme="minorHAnsi" w:cstheme="minorHAnsi"/>
          <w:i/>
          <w:sz w:val="20"/>
          <w:u w:val="single"/>
        </w:rPr>
        <w:t>Action Level All Adults</w:t>
      </w:r>
      <w:r w:rsidRPr="00337F5F">
        <w:rPr>
          <w:rFonts w:asciiTheme="minorHAnsi" w:hAnsiTheme="minorHAnsi" w:cstheme="minorHAnsi"/>
          <w:sz w:val="20"/>
        </w:rPr>
        <w:t xml:space="preserve">: &gt;5 µg/L (OSHA threshold exceeded; medical monitoring among workers; discretionary medical removal) </w:t>
      </w:r>
      <w:r w:rsidRPr="00337F5F">
        <w:rPr>
          <w:rFonts w:asciiTheme="minorHAnsi" w:hAnsiTheme="minorHAnsi" w:cstheme="minorHAnsi"/>
          <w:sz w:val="20"/>
          <w:vertAlign w:val="superscript"/>
        </w:rPr>
        <w:t>19,20</w:t>
      </w:r>
      <w:r>
        <w:rPr>
          <w:rFonts w:asciiTheme="minorHAnsi" w:hAnsiTheme="minorHAnsi" w:cstheme="minorHAnsi"/>
          <w:sz w:val="20"/>
          <w:vertAlign w:val="superscript"/>
        </w:rPr>
        <w:t>, 21</w:t>
      </w:r>
    </w:p>
    <w:p w:rsidR="00154C4A" w:rsidRPr="00337F5F" w:rsidRDefault="00154C4A" w:rsidP="00154C4A">
      <w:pPr>
        <w:rPr>
          <w:rFonts w:asciiTheme="minorHAnsi" w:hAnsiTheme="minorHAnsi" w:cstheme="minorHAnsi"/>
          <w:sz w:val="20"/>
          <w:vertAlign w:val="superscript"/>
        </w:rPr>
      </w:pPr>
      <w:r w:rsidRPr="00337F5F">
        <w:rPr>
          <w:rFonts w:asciiTheme="minorHAnsi" w:hAnsiTheme="minorHAnsi" w:cstheme="minorHAnsi"/>
          <w:i/>
          <w:sz w:val="20"/>
          <w:u w:val="single"/>
        </w:rPr>
        <w:t>Action Level All Adults</w:t>
      </w:r>
      <w:r w:rsidRPr="00337F5F">
        <w:rPr>
          <w:rFonts w:asciiTheme="minorHAnsi" w:hAnsiTheme="minorHAnsi" w:cstheme="minorHAnsi"/>
          <w:sz w:val="20"/>
        </w:rPr>
        <w:t xml:space="preserve">: &gt;15 µg/L: (OSHA threshold exceeded; medical removal from exposure) </w:t>
      </w:r>
      <w:r w:rsidRPr="00337F5F">
        <w:rPr>
          <w:rFonts w:asciiTheme="minorHAnsi" w:hAnsiTheme="minorHAnsi" w:cstheme="minorHAnsi"/>
          <w:sz w:val="20"/>
          <w:vertAlign w:val="superscript"/>
        </w:rPr>
        <w:t>19,</w:t>
      </w:r>
      <w:r>
        <w:rPr>
          <w:rFonts w:asciiTheme="minorHAnsi" w:hAnsiTheme="minorHAnsi" w:cstheme="minorHAnsi"/>
          <w:sz w:val="20"/>
          <w:vertAlign w:val="superscript"/>
        </w:rPr>
        <w:t xml:space="preserve"> </w:t>
      </w:r>
      <w:r w:rsidRPr="00337F5F">
        <w:rPr>
          <w:rFonts w:asciiTheme="minorHAnsi" w:hAnsiTheme="minorHAnsi" w:cstheme="minorHAnsi"/>
          <w:sz w:val="20"/>
          <w:vertAlign w:val="superscript"/>
        </w:rPr>
        <w:t>20</w:t>
      </w:r>
      <w:r>
        <w:rPr>
          <w:rFonts w:asciiTheme="minorHAnsi" w:hAnsiTheme="minorHAnsi" w:cstheme="minorHAnsi"/>
          <w:sz w:val="20"/>
          <w:vertAlign w:val="superscript"/>
        </w:rPr>
        <w:t>, 21</w:t>
      </w:r>
    </w:p>
    <w:p w:rsidR="00154C4A" w:rsidRPr="00337F5F" w:rsidRDefault="00154C4A" w:rsidP="00154C4A">
      <w:pPr>
        <w:rPr>
          <w:rFonts w:asciiTheme="minorHAnsi" w:hAnsiTheme="minorHAnsi" w:cstheme="minorHAnsi"/>
          <w:sz w:val="20"/>
          <w:szCs w:val="20"/>
        </w:rPr>
      </w:pPr>
      <w:r w:rsidRPr="00337F5F">
        <w:rPr>
          <w:rFonts w:asciiTheme="minorHAnsi" w:hAnsiTheme="minorHAnsi" w:cstheme="minorHAnsi"/>
          <w:i/>
          <w:sz w:val="20"/>
          <w:u w:val="single"/>
        </w:rPr>
        <w:t>Toxic Range</w:t>
      </w:r>
      <w:r w:rsidRPr="00337F5F">
        <w:rPr>
          <w:rFonts w:asciiTheme="minorHAnsi" w:hAnsiTheme="minorHAnsi" w:cstheme="minorHAnsi"/>
          <w:i/>
          <w:sz w:val="20"/>
        </w:rPr>
        <w:t>:</w:t>
      </w:r>
      <w:r w:rsidR="009C5E43">
        <w:rPr>
          <w:rFonts w:asciiTheme="minorHAnsi" w:hAnsiTheme="minorHAnsi" w:cstheme="minorHAnsi"/>
          <w:sz w:val="20"/>
        </w:rPr>
        <w:t xml:space="preserve"> 100</w:t>
      </w:r>
      <w:r w:rsidR="009C5E43" w:rsidRPr="00A95B9A">
        <w:rPr>
          <w:rFonts w:asciiTheme="minorHAnsi" w:hAnsiTheme="minorHAnsi" w:cstheme="minorHAnsi"/>
          <w:sz w:val="20"/>
          <w:szCs w:val="20"/>
        </w:rPr>
        <w:t>–</w:t>
      </w:r>
      <w:r w:rsidRPr="00337F5F">
        <w:rPr>
          <w:rFonts w:asciiTheme="minorHAnsi" w:hAnsiTheme="minorHAnsi" w:cstheme="minorHAnsi"/>
          <w:sz w:val="20"/>
        </w:rPr>
        <w:t>3,000 µg/L</w:t>
      </w:r>
      <w:r>
        <w:rPr>
          <w:rFonts w:asciiTheme="minorHAnsi" w:hAnsiTheme="minorHAnsi" w:cstheme="minorHAnsi"/>
          <w:sz w:val="20"/>
          <w:vertAlign w:val="superscript"/>
        </w:rPr>
        <w:t xml:space="preserve"> 22</w:t>
      </w:r>
    </w:p>
    <w:p w:rsidR="00154C4A" w:rsidRPr="00337F5F" w:rsidRDefault="00154C4A" w:rsidP="00154C4A">
      <w:pPr>
        <w:rPr>
          <w:rFonts w:asciiTheme="minorHAnsi" w:hAnsiTheme="minorHAnsi" w:cstheme="minorHAnsi"/>
          <w:sz w:val="20"/>
          <w:szCs w:val="20"/>
        </w:rPr>
      </w:pPr>
    </w:p>
    <w:p w:rsidR="00154C4A" w:rsidRPr="00337F5F" w:rsidRDefault="00154C4A" w:rsidP="00154C4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Elevated Manganese</w:t>
      </w:r>
      <w:r w:rsidRPr="00337F5F">
        <w:rPr>
          <w:rFonts w:asciiTheme="minorHAnsi" w:hAnsiTheme="minorHAnsi" w:cstheme="minorHAnsi"/>
          <w:sz w:val="20"/>
          <w:szCs w:val="20"/>
        </w:rPr>
        <w:t xml:space="preserve"> levels</w:t>
      </w:r>
      <w:r w:rsidRPr="006841E4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>
        <w:rPr>
          <w:rFonts w:asciiTheme="minorHAnsi" w:hAnsiTheme="minorHAnsi" w:cstheme="minorHAnsi"/>
          <w:sz w:val="20"/>
          <w:szCs w:val="20"/>
          <w:vertAlign w:val="superscript"/>
        </w:rPr>
        <w:t>3</w:t>
      </w:r>
    </w:p>
    <w:p w:rsidR="00154C4A" w:rsidRPr="00337F5F" w:rsidRDefault="00154C4A" w:rsidP="00154C4A">
      <w:pPr>
        <w:rPr>
          <w:rFonts w:asciiTheme="minorHAnsi" w:hAnsiTheme="minorHAnsi" w:cstheme="minorHAnsi"/>
          <w:sz w:val="20"/>
          <w:szCs w:val="20"/>
        </w:rPr>
      </w:pPr>
      <w:r w:rsidRPr="00337F5F">
        <w:rPr>
          <w:rFonts w:asciiTheme="minorHAnsi" w:hAnsiTheme="minorHAnsi" w:cstheme="minorHAnsi"/>
          <w:sz w:val="20"/>
          <w:szCs w:val="20"/>
        </w:rPr>
        <w:t xml:space="preserve">Critical Value: &gt;37 µg/L </w:t>
      </w:r>
      <w:r w:rsidRPr="006841E4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>
        <w:rPr>
          <w:rFonts w:asciiTheme="minorHAnsi" w:hAnsiTheme="minorHAnsi" w:cstheme="minorHAnsi"/>
          <w:sz w:val="20"/>
          <w:szCs w:val="20"/>
          <w:vertAlign w:val="superscript"/>
        </w:rPr>
        <w:t>4</w:t>
      </w:r>
    </w:p>
    <w:p w:rsidR="00154C4A" w:rsidRPr="00337F5F" w:rsidRDefault="00154C4A" w:rsidP="00154C4A">
      <w:pPr>
        <w:rPr>
          <w:rFonts w:asciiTheme="minorHAnsi" w:hAnsiTheme="minorHAnsi" w:cstheme="minorHAnsi"/>
          <w:sz w:val="20"/>
          <w:szCs w:val="20"/>
        </w:rPr>
      </w:pPr>
    </w:p>
    <w:p w:rsidR="00154C4A" w:rsidRPr="00337F5F" w:rsidRDefault="00154C4A" w:rsidP="00154C4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Elevated Selenium</w:t>
      </w:r>
      <w:r w:rsidRPr="00337F5F">
        <w:rPr>
          <w:rFonts w:asciiTheme="minorHAnsi" w:hAnsiTheme="minorHAnsi" w:cstheme="minorHAnsi"/>
          <w:sz w:val="20"/>
          <w:szCs w:val="20"/>
        </w:rPr>
        <w:t xml:space="preserve"> levels</w:t>
      </w:r>
      <w:r w:rsidRPr="006841E4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>
        <w:rPr>
          <w:rFonts w:asciiTheme="minorHAnsi" w:hAnsiTheme="minorHAnsi" w:cstheme="minorHAnsi"/>
          <w:sz w:val="20"/>
          <w:szCs w:val="20"/>
          <w:vertAlign w:val="superscript"/>
        </w:rPr>
        <w:t>3</w:t>
      </w:r>
    </w:p>
    <w:p w:rsidR="00154C4A" w:rsidRPr="00337F5F" w:rsidRDefault="00154C4A" w:rsidP="00154C4A">
      <w:pPr>
        <w:rPr>
          <w:rFonts w:asciiTheme="minorHAnsi" w:hAnsiTheme="minorHAnsi" w:cstheme="minorHAnsi"/>
          <w:sz w:val="20"/>
          <w:szCs w:val="20"/>
        </w:rPr>
      </w:pPr>
      <w:r w:rsidRPr="00337F5F">
        <w:rPr>
          <w:rFonts w:asciiTheme="minorHAnsi" w:hAnsiTheme="minorHAnsi" w:cstheme="minorHAnsi"/>
          <w:sz w:val="20"/>
          <w:szCs w:val="20"/>
        </w:rPr>
        <w:t xml:space="preserve">Critical Value: &lt;50 μg/L </w:t>
      </w:r>
      <w:r w:rsidRPr="006841E4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>
        <w:rPr>
          <w:rFonts w:asciiTheme="minorHAnsi" w:hAnsiTheme="minorHAnsi" w:cstheme="minorHAnsi"/>
          <w:sz w:val="20"/>
          <w:szCs w:val="20"/>
          <w:vertAlign w:val="superscript"/>
        </w:rPr>
        <w:t>5</w:t>
      </w:r>
    </w:p>
    <w:p w:rsidR="00154C4A" w:rsidRPr="00337F5F" w:rsidRDefault="00154C4A" w:rsidP="00154C4A">
      <w:pPr>
        <w:rPr>
          <w:rFonts w:asciiTheme="minorHAnsi" w:hAnsiTheme="minorHAnsi" w:cstheme="minorHAnsi"/>
          <w:sz w:val="20"/>
          <w:szCs w:val="20"/>
        </w:rPr>
      </w:pPr>
      <w:r w:rsidRPr="00337F5F">
        <w:rPr>
          <w:rFonts w:asciiTheme="minorHAnsi" w:hAnsiTheme="minorHAnsi" w:cstheme="minorHAnsi"/>
          <w:sz w:val="20"/>
          <w:szCs w:val="20"/>
        </w:rPr>
        <w:t xml:space="preserve">Critical Value: &gt;300 μg/L </w:t>
      </w:r>
      <w:r w:rsidRPr="006841E4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>
        <w:rPr>
          <w:rFonts w:asciiTheme="minorHAnsi" w:hAnsiTheme="minorHAnsi" w:cstheme="minorHAnsi"/>
          <w:sz w:val="20"/>
          <w:szCs w:val="20"/>
          <w:vertAlign w:val="superscript"/>
        </w:rPr>
        <w:t>5</w:t>
      </w:r>
    </w:p>
    <w:p w:rsidR="00154C4A" w:rsidRPr="00337F5F" w:rsidRDefault="00154C4A" w:rsidP="00154C4A">
      <w:pPr>
        <w:rPr>
          <w:rFonts w:asciiTheme="minorHAnsi" w:hAnsiTheme="minorHAnsi" w:cstheme="minorHAnsi"/>
          <w:sz w:val="20"/>
          <w:szCs w:val="20"/>
        </w:rPr>
      </w:pPr>
    </w:p>
    <w:p w:rsidR="00154C4A" w:rsidRDefault="00154C4A" w:rsidP="00154C4A"/>
    <w:p w:rsidR="00154C4A" w:rsidRDefault="00154C4A" w:rsidP="00154C4A"/>
    <w:p w:rsidR="00154C4A" w:rsidRDefault="00154C4A" w:rsidP="00154C4A">
      <w:pPr>
        <w:spacing w:after="200" w:line="276" w:lineRule="auto"/>
      </w:pPr>
      <w:r>
        <w:br w:type="page"/>
      </w:r>
    </w:p>
    <w:p w:rsidR="00154C4A" w:rsidRPr="0084478E" w:rsidRDefault="00154C4A" w:rsidP="00154C4A">
      <w:pPr>
        <w:rPr>
          <w:rFonts w:asciiTheme="minorHAnsi" w:hAnsiTheme="minorHAnsi" w:cstheme="minorHAnsi"/>
          <w:b/>
          <w:sz w:val="20"/>
          <w:szCs w:val="20"/>
        </w:rPr>
      </w:pPr>
      <w:r w:rsidRPr="0084478E">
        <w:rPr>
          <w:rFonts w:asciiTheme="minorHAnsi" w:hAnsiTheme="minorHAnsi" w:cstheme="minorHAnsi"/>
          <w:b/>
          <w:sz w:val="20"/>
          <w:szCs w:val="20"/>
        </w:rPr>
        <w:lastRenderedPageBreak/>
        <w:t>References:</w:t>
      </w:r>
    </w:p>
    <w:p w:rsidR="00154C4A" w:rsidRPr="006841E4" w:rsidRDefault="00154C4A" w:rsidP="00154C4A">
      <w:pPr>
        <w:rPr>
          <w:rFonts w:asciiTheme="minorHAnsi" w:hAnsiTheme="minorHAnsi" w:cstheme="minorHAnsi"/>
          <w:sz w:val="20"/>
          <w:szCs w:val="20"/>
        </w:rPr>
      </w:pPr>
    </w:p>
    <w:p w:rsidR="00154C4A" w:rsidRPr="00956FBE" w:rsidRDefault="00154C4A" w:rsidP="00154C4A">
      <w:pPr>
        <w:rPr>
          <w:rFonts w:asciiTheme="minorHAnsi" w:hAnsiTheme="minorHAnsi" w:cstheme="minorHAnsi"/>
          <w:sz w:val="20"/>
          <w:szCs w:val="20"/>
        </w:rPr>
      </w:pPr>
      <w:r w:rsidRPr="00956FBE">
        <w:rPr>
          <w:rFonts w:asciiTheme="minorHAnsi" w:hAnsiTheme="minorHAnsi" w:cstheme="minorHAnsi"/>
          <w:sz w:val="20"/>
          <w:szCs w:val="20"/>
          <w:vertAlign w:val="superscript"/>
        </w:rPr>
        <w:t xml:space="preserve">1 </w:t>
      </w:r>
      <w:r w:rsidRPr="00956FBE">
        <w:rPr>
          <w:rFonts w:asciiTheme="minorHAnsi" w:hAnsiTheme="minorHAnsi" w:cstheme="minorHAnsi"/>
          <w:sz w:val="20"/>
          <w:szCs w:val="20"/>
        </w:rPr>
        <w:t>University of Southern California Clinical Laboratories Endocrine Services.</w:t>
      </w:r>
    </w:p>
    <w:p w:rsidR="00154C4A" w:rsidRPr="00956FBE" w:rsidRDefault="00154C4A" w:rsidP="00154C4A">
      <w:pPr>
        <w:rPr>
          <w:rFonts w:asciiTheme="minorHAnsi" w:hAnsiTheme="minorHAnsi" w:cstheme="minorHAnsi"/>
          <w:sz w:val="20"/>
          <w:szCs w:val="20"/>
        </w:rPr>
      </w:pPr>
      <w:r w:rsidRPr="00956FBE">
        <w:rPr>
          <w:rFonts w:asciiTheme="minorHAnsi" w:hAnsiTheme="minorHAnsi" w:cstheme="minorHAnsi"/>
          <w:sz w:val="20"/>
          <w:szCs w:val="20"/>
          <w:vertAlign w:val="superscript"/>
        </w:rPr>
        <w:t xml:space="preserve">2 </w:t>
      </w:r>
      <w:r w:rsidRPr="00956FBE">
        <w:rPr>
          <w:rFonts w:asciiTheme="minorHAnsi" w:hAnsiTheme="minorHAnsi" w:cstheme="minorHAnsi"/>
          <w:sz w:val="20"/>
          <w:szCs w:val="20"/>
        </w:rPr>
        <w:t xml:space="preserve">American Diabetes Association . Standards of Medical Care in Diabetes - 2011. </w:t>
      </w:r>
      <w:r w:rsidRPr="00956FBE">
        <w:rPr>
          <w:rFonts w:asciiTheme="minorHAnsi" w:eastAsiaTheme="minorHAnsi" w:hAnsiTheme="minorHAnsi" w:cstheme="minorHAnsi"/>
          <w:sz w:val="20"/>
          <w:szCs w:val="20"/>
        </w:rPr>
        <w:t>Diabetes Care. January 2011;34(Supplement 1):S11-S61 (subject to periodic update).</w:t>
      </w:r>
    </w:p>
    <w:p w:rsidR="00154C4A" w:rsidRPr="00956FBE" w:rsidRDefault="00154C4A" w:rsidP="00154C4A">
      <w:pPr>
        <w:rPr>
          <w:rFonts w:asciiTheme="minorHAnsi" w:hAnsiTheme="minorHAnsi" w:cstheme="minorHAnsi"/>
          <w:sz w:val="20"/>
          <w:szCs w:val="20"/>
        </w:rPr>
      </w:pPr>
      <w:r w:rsidRPr="00956FBE">
        <w:rPr>
          <w:rFonts w:asciiTheme="minorHAnsi" w:hAnsiTheme="minorHAnsi" w:cstheme="minorHAnsi"/>
          <w:sz w:val="20"/>
          <w:szCs w:val="20"/>
          <w:vertAlign w:val="superscript"/>
        </w:rPr>
        <w:t xml:space="preserve">3 </w:t>
      </w:r>
      <w:r w:rsidRPr="00956FBE">
        <w:rPr>
          <w:rFonts w:asciiTheme="minorHAnsi" w:hAnsiTheme="minorHAnsi" w:cstheme="minorHAnsi"/>
          <w:bCs/>
          <w:color w:val="000000"/>
          <w:sz w:val="20"/>
          <w:szCs w:val="20"/>
        </w:rPr>
        <w:t>Northwest Lipid Metabolism And Diabetes Research Laboratories</w:t>
      </w:r>
      <w:r w:rsidRPr="00956FBE">
        <w:rPr>
          <w:rFonts w:asciiTheme="minorHAnsi" w:hAnsiTheme="minorHAnsi" w:cstheme="minorHAnsi"/>
          <w:sz w:val="20"/>
          <w:szCs w:val="20"/>
        </w:rPr>
        <w:t>.</w:t>
      </w:r>
    </w:p>
    <w:p w:rsidR="00154C4A" w:rsidRPr="00956FBE" w:rsidRDefault="00154C4A" w:rsidP="00154C4A">
      <w:pPr>
        <w:rPr>
          <w:rFonts w:asciiTheme="minorHAnsi" w:eastAsiaTheme="minorHAnsi" w:hAnsiTheme="minorHAnsi" w:cstheme="minorHAnsi"/>
          <w:sz w:val="20"/>
          <w:szCs w:val="20"/>
        </w:rPr>
      </w:pPr>
      <w:r w:rsidRPr="00956FBE">
        <w:rPr>
          <w:rFonts w:asciiTheme="minorHAnsi" w:eastAsiaTheme="minorHAnsi" w:hAnsiTheme="minorHAnsi" w:cstheme="minorHAnsi"/>
          <w:sz w:val="20"/>
          <w:szCs w:val="20"/>
          <w:vertAlign w:val="superscript"/>
        </w:rPr>
        <w:t xml:space="preserve">4 </w:t>
      </w:r>
      <w:r w:rsidRPr="00956FBE">
        <w:rPr>
          <w:rFonts w:asciiTheme="minorHAnsi" w:eastAsiaTheme="minorHAnsi" w:hAnsiTheme="minorHAnsi" w:cstheme="minorHAnsi"/>
          <w:sz w:val="20"/>
          <w:szCs w:val="20"/>
        </w:rPr>
        <w:t xml:space="preserve">NHLBI. 2004. </w:t>
      </w:r>
      <w:hyperlink r:id="rId9" w:history="1">
        <w:r w:rsidRPr="00956FBE">
          <w:rPr>
            <w:rStyle w:val="Hyperlink"/>
            <w:rFonts w:asciiTheme="minorHAnsi" w:hAnsiTheme="minorHAnsi" w:cstheme="minorHAnsi"/>
            <w:bCs/>
            <w:sz w:val="20"/>
            <w:szCs w:val="20"/>
            <w:lang w:val="en"/>
          </w:rPr>
          <w:t>Third Report of the Expert Panel on Detection, Evaluation, and Treatment of High Blood Cholesterol in Adults (Adult Treatment Panel III)</w:t>
        </w:r>
      </w:hyperlink>
      <w:r w:rsidRPr="00956FBE">
        <w:rPr>
          <w:rStyle w:val="cdc-decorated"/>
          <w:rFonts w:asciiTheme="minorHAnsi" w:hAnsiTheme="minorHAnsi" w:cstheme="minorHAnsi"/>
          <w:sz w:val="20"/>
          <w:szCs w:val="20"/>
          <w:lang w:val="en"/>
        </w:rPr>
        <w:t xml:space="preserve"> (</w:t>
      </w:r>
      <w:hyperlink r:id="rId10" w:history="1">
        <w:r w:rsidRPr="00956FBE">
          <w:rPr>
            <w:rStyle w:val="Hyperlink"/>
            <w:rFonts w:asciiTheme="minorHAnsi" w:hAnsiTheme="minorHAnsi" w:cstheme="minorHAnsi"/>
            <w:sz w:val="20"/>
            <w:szCs w:val="20"/>
            <w:lang w:val="en"/>
          </w:rPr>
          <w:t>http://www.nhlbi.nih.gov/guidelines/cholesterol/index.htm</w:t>
        </w:r>
      </w:hyperlink>
      <w:r w:rsidRPr="00956FBE">
        <w:rPr>
          <w:rStyle w:val="cdc-decorated"/>
          <w:rFonts w:asciiTheme="minorHAnsi" w:hAnsiTheme="minorHAnsi" w:cstheme="minorHAnsi"/>
          <w:sz w:val="20"/>
          <w:szCs w:val="20"/>
          <w:lang w:val="en"/>
        </w:rPr>
        <w:t xml:space="preserve"> - subject to periodic update).</w:t>
      </w:r>
    </w:p>
    <w:p w:rsidR="00154C4A" w:rsidRPr="00956FBE" w:rsidRDefault="00154C4A" w:rsidP="00154C4A">
      <w:pPr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956FBE">
        <w:rPr>
          <w:rFonts w:asciiTheme="minorHAnsi" w:eastAsiaTheme="minorHAnsi" w:hAnsiTheme="minorHAnsi" w:cstheme="minorHAnsi"/>
          <w:sz w:val="20"/>
          <w:szCs w:val="20"/>
          <w:vertAlign w:val="superscript"/>
        </w:rPr>
        <w:t xml:space="preserve">5 </w:t>
      </w:r>
      <w:r w:rsidRPr="00956FBE">
        <w:rPr>
          <w:rFonts w:asciiTheme="minorHAnsi" w:hAnsiTheme="minorHAnsi" w:cstheme="minorHAnsi"/>
          <w:bCs/>
          <w:color w:val="000000"/>
          <w:sz w:val="20"/>
          <w:szCs w:val="20"/>
        </w:rPr>
        <w:t>Jacksonville Medical Center Clinical Biochemistry Laboratory (updated 25 July 2012)</w:t>
      </w:r>
    </w:p>
    <w:p w:rsidR="00154C4A" w:rsidRPr="00956FBE" w:rsidRDefault="00154C4A" w:rsidP="00154C4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iCs/>
          <w:sz w:val="20"/>
          <w:szCs w:val="20"/>
        </w:rPr>
      </w:pPr>
      <w:r w:rsidRPr="00956FBE">
        <w:rPr>
          <w:rFonts w:asciiTheme="minorHAnsi" w:hAnsiTheme="minorHAnsi" w:cstheme="minorHAnsi"/>
          <w:sz w:val="20"/>
          <w:szCs w:val="20"/>
          <w:vertAlign w:val="superscript"/>
        </w:rPr>
        <w:t xml:space="preserve">6 </w:t>
      </w:r>
      <w:r w:rsidRPr="00956FBE">
        <w:rPr>
          <w:rFonts w:asciiTheme="minorHAnsi" w:hAnsiTheme="minorHAnsi" w:cstheme="minorHAnsi"/>
          <w:sz w:val="20"/>
          <w:szCs w:val="20"/>
        </w:rPr>
        <w:t>CDC. 2012. 2007-2008 NHANES 50</w:t>
      </w:r>
      <w:r w:rsidRPr="00956FBE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956FBE">
        <w:rPr>
          <w:rFonts w:asciiTheme="minorHAnsi" w:hAnsiTheme="minorHAnsi" w:cstheme="minorHAnsi"/>
          <w:sz w:val="20"/>
          <w:szCs w:val="20"/>
        </w:rPr>
        <w:t xml:space="preserve"> to 95</w:t>
      </w:r>
      <w:r w:rsidRPr="00956FBE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956FBE">
        <w:rPr>
          <w:rFonts w:asciiTheme="minorHAnsi" w:hAnsiTheme="minorHAnsi" w:cstheme="minorHAnsi"/>
          <w:sz w:val="20"/>
          <w:szCs w:val="20"/>
        </w:rPr>
        <w:t xml:space="preserve"> percentiles from the </w:t>
      </w:r>
      <w:r w:rsidRPr="00956FBE">
        <w:rPr>
          <w:rFonts w:asciiTheme="minorHAnsi" w:eastAsiaTheme="minorHAnsi" w:hAnsiTheme="minorHAnsi" w:cstheme="minorHAnsi"/>
          <w:bCs/>
          <w:iCs/>
          <w:sz w:val="20"/>
          <w:szCs w:val="20"/>
        </w:rPr>
        <w:t xml:space="preserve">Fourth National Report on Human Exposure to Environmental Chemicals, Updated Tables, February 2012 </w:t>
      </w:r>
      <w:r w:rsidRPr="00956FBE">
        <w:rPr>
          <w:rFonts w:asciiTheme="minorHAnsi" w:hAnsiTheme="minorHAnsi" w:cstheme="minorHAnsi"/>
          <w:sz w:val="20"/>
          <w:szCs w:val="20"/>
        </w:rPr>
        <w:t>(</w:t>
      </w:r>
      <w:hyperlink r:id="rId11" w:history="1">
        <w:r w:rsidRPr="00956FBE">
          <w:rPr>
            <w:rStyle w:val="Hyperlink"/>
            <w:rFonts w:asciiTheme="minorHAnsi" w:hAnsiTheme="minorHAnsi" w:cstheme="minorHAnsi"/>
            <w:sz w:val="20"/>
            <w:szCs w:val="20"/>
          </w:rPr>
          <w:t>http://www.cdc.gov/exposurereport/pdf/FourthReport_UpdatedTables_Feb2012.pdf</w:t>
        </w:r>
      </w:hyperlink>
      <w:r w:rsidRPr="00956FBE">
        <w:rPr>
          <w:rFonts w:asciiTheme="minorHAnsi" w:hAnsiTheme="minorHAnsi" w:cstheme="minorHAnsi"/>
          <w:sz w:val="20"/>
          <w:szCs w:val="20"/>
        </w:rPr>
        <w:t xml:space="preserve"> ).</w:t>
      </w:r>
    </w:p>
    <w:p w:rsidR="00154C4A" w:rsidRPr="00956FBE" w:rsidRDefault="00154C4A" w:rsidP="00154C4A">
      <w:pPr>
        <w:rPr>
          <w:rFonts w:asciiTheme="minorHAnsi" w:hAnsiTheme="minorHAnsi" w:cstheme="minorHAnsi"/>
          <w:sz w:val="20"/>
          <w:szCs w:val="20"/>
        </w:rPr>
      </w:pPr>
      <w:r w:rsidRPr="00956FBE">
        <w:rPr>
          <w:rFonts w:asciiTheme="minorHAnsi" w:hAnsiTheme="minorHAnsi" w:cstheme="minorHAnsi"/>
          <w:sz w:val="20"/>
          <w:szCs w:val="20"/>
          <w:vertAlign w:val="superscript"/>
        </w:rPr>
        <w:t xml:space="preserve">7 </w:t>
      </w:r>
      <w:r w:rsidRPr="00956FBE">
        <w:rPr>
          <w:rFonts w:asciiTheme="minorHAnsi" w:hAnsiTheme="minorHAnsi" w:cstheme="minorHAnsi"/>
          <w:bCs/>
          <w:sz w:val="20"/>
          <w:szCs w:val="20"/>
        </w:rPr>
        <w:t>CDC. 2010. Guidelines for the Identification and Management of Lead Exposure in Pregnant and Lactating Women (</w:t>
      </w:r>
      <w:hyperlink r:id="rId12" w:history="1">
        <w:r w:rsidRPr="00956FBE">
          <w:rPr>
            <w:rStyle w:val="Hyperlink"/>
            <w:rFonts w:asciiTheme="minorHAnsi" w:hAnsiTheme="minorHAnsi" w:cstheme="minorHAnsi"/>
            <w:sz w:val="20"/>
            <w:szCs w:val="20"/>
          </w:rPr>
          <w:t>http://www.cdc.gov/nceh/lead/publications/LeadandPregnancy2010.pdf</w:t>
        </w:r>
      </w:hyperlink>
      <w:r w:rsidRPr="00956FBE">
        <w:rPr>
          <w:rFonts w:asciiTheme="minorHAnsi" w:hAnsiTheme="minorHAnsi" w:cstheme="minorHAnsi"/>
          <w:sz w:val="20"/>
          <w:szCs w:val="20"/>
        </w:rPr>
        <w:t>).</w:t>
      </w:r>
    </w:p>
    <w:p w:rsidR="00154C4A" w:rsidRPr="00956FBE" w:rsidRDefault="00154C4A" w:rsidP="00154C4A">
      <w:pPr>
        <w:rPr>
          <w:rFonts w:asciiTheme="minorHAnsi" w:hAnsiTheme="minorHAnsi" w:cstheme="minorHAnsi"/>
          <w:sz w:val="20"/>
          <w:szCs w:val="20"/>
        </w:rPr>
      </w:pPr>
      <w:r w:rsidRPr="00956FBE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 xml:space="preserve">8 </w:t>
      </w:r>
      <w:r w:rsidRPr="00956FBE">
        <w:rPr>
          <w:rFonts w:asciiTheme="minorHAnsi" w:hAnsiTheme="minorHAnsi" w:cstheme="minorHAnsi"/>
          <w:color w:val="000000"/>
          <w:sz w:val="20"/>
          <w:szCs w:val="20"/>
        </w:rPr>
        <w:t xml:space="preserve">Kosnett MJ, Wedeen RP, Rothenberg SJ, Hipkins KL, Materna BL, Schwartz BS, Hu H, Woolf A. Recommendations for medical management of adult lead exposure. Environ </w:t>
      </w:r>
      <w:r w:rsidRPr="00956FBE">
        <w:rPr>
          <w:rFonts w:asciiTheme="minorHAnsi" w:hAnsiTheme="minorHAnsi" w:cstheme="minorHAnsi"/>
          <w:sz w:val="20"/>
          <w:szCs w:val="20"/>
        </w:rPr>
        <w:t>Health Perspect. 2007;115(3):173-181.</w:t>
      </w:r>
    </w:p>
    <w:p w:rsidR="00154C4A" w:rsidRPr="00956FBE" w:rsidRDefault="00154C4A" w:rsidP="00154C4A">
      <w:pPr>
        <w:rPr>
          <w:rFonts w:asciiTheme="minorHAnsi" w:hAnsiTheme="minorHAnsi" w:cstheme="minorHAnsi"/>
          <w:sz w:val="20"/>
          <w:szCs w:val="20"/>
        </w:rPr>
      </w:pPr>
      <w:r w:rsidRPr="00956FBE">
        <w:rPr>
          <w:rFonts w:asciiTheme="minorHAnsi" w:hAnsiTheme="minorHAnsi" w:cstheme="minorHAnsi"/>
          <w:sz w:val="20"/>
          <w:szCs w:val="20"/>
          <w:vertAlign w:val="superscript"/>
        </w:rPr>
        <w:t>9</w:t>
      </w:r>
      <w:r w:rsidRPr="00956FBE">
        <w:rPr>
          <w:rFonts w:asciiTheme="minorHAnsi" w:hAnsiTheme="minorHAnsi" w:cstheme="minorHAnsi"/>
          <w:sz w:val="20"/>
          <w:szCs w:val="20"/>
        </w:rPr>
        <w:t xml:space="preserve"> CDC. 2012. Nationally Notifiable Non-Infectious Conditions Case Definition (</w:t>
      </w:r>
      <w:hyperlink r:id="rId13" w:history="1">
        <w:r w:rsidRPr="00956FBE">
          <w:rPr>
            <w:rStyle w:val="Hyperlink"/>
            <w:rFonts w:asciiTheme="minorHAnsi" w:hAnsiTheme="minorHAnsi" w:cstheme="minorHAnsi"/>
            <w:sz w:val="20"/>
            <w:szCs w:val="20"/>
          </w:rPr>
          <w:t>http://wwwn.cdc.gov/nndss/document/2012_Case%20Definitions.pdf</w:t>
        </w:r>
      </w:hyperlink>
      <w:r w:rsidRPr="00956FBE">
        <w:rPr>
          <w:rFonts w:asciiTheme="minorHAnsi" w:hAnsiTheme="minorHAnsi" w:cstheme="minorHAnsi"/>
          <w:sz w:val="20"/>
          <w:szCs w:val="20"/>
        </w:rPr>
        <w:t>).</w:t>
      </w:r>
    </w:p>
    <w:p w:rsidR="00154C4A" w:rsidRPr="00956FBE" w:rsidRDefault="00154C4A" w:rsidP="00154C4A">
      <w:pPr>
        <w:rPr>
          <w:rFonts w:asciiTheme="minorHAnsi" w:eastAsiaTheme="minorHAnsi" w:hAnsiTheme="minorHAnsi" w:cstheme="minorHAnsi"/>
          <w:sz w:val="20"/>
          <w:szCs w:val="20"/>
        </w:rPr>
      </w:pPr>
      <w:r w:rsidRPr="00956FBE">
        <w:rPr>
          <w:rFonts w:asciiTheme="minorHAnsi" w:hAnsiTheme="minorHAnsi" w:cstheme="minorHAnsi"/>
          <w:sz w:val="20"/>
          <w:szCs w:val="20"/>
          <w:vertAlign w:val="superscript"/>
        </w:rPr>
        <w:t xml:space="preserve">10 </w:t>
      </w:r>
      <w:r w:rsidRPr="00956FBE">
        <w:rPr>
          <w:rFonts w:asciiTheme="minorHAnsi" w:hAnsiTheme="minorHAnsi" w:cstheme="minorHAnsi"/>
          <w:sz w:val="20"/>
          <w:szCs w:val="20"/>
        </w:rPr>
        <w:t xml:space="preserve">CDC. 2011. NIOSH </w:t>
      </w:r>
      <w:r w:rsidRPr="00956FBE">
        <w:rPr>
          <w:rFonts w:asciiTheme="minorHAnsi" w:eastAsiaTheme="minorHAnsi" w:hAnsiTheme="minorHAnsi" w:cstheme="minorHAnsi"/>
          <w:sz w:val="20"/>
          <w:szCs w:val="20"/>
        </w:rPr>
        <w:t>Adult Blood-Lead Epidemiology and Surveillance Program (ABLES) 2009 Case Definition Update (</w:t>
      </w:r>
      <w:hyperlink r:id="rId14" w:history="1">
        <w:r w:rsidRPr="00956FBE">
          <w:rPr>
            <w:rStyle w:val="Hyperlink"/>
            <w:rFonts w:asciiTheme="minorHAnsi" w:eastAsiaTheme="minorHAnsi" w:hAnsiTheme="minorHAnsi" w:cstheme="minorHAnsi"/>
            <w:sz w:val="20"/>
            <w:szCs w:val="20"/>
          </w:rPr>
          <w:t>http://intranet.cdc.gov/osels/phspo/bc/bc_registry_profiles/profile_adult_bloodlead_epidemiology_and_surveillance_program_ables.pdf</w:t>
        </w:r>
      </w:hyperlink>
      <w:r w:rsidRPr="00956FBE">
        <w:rPr>
          <w:rFonts w:asciiTheme="minorHAnsi" w:eastAsiaTheme="minorHAnsi" w:hAnsiTheme="minorHAnsi" w:cstheme="minorHAnsi"/>
          <w:sz w:val="20"/>
          <w:szCs w:val="20"/>
        </w:rPr>
        <w:t>).</w:t>
      </w:r>
    </w:p>
    <w:p w:rsidR="00154C4A" w:rsidRPr="00956FBE" w:rsidRDefault="00154C4A" w:rsidP="00154C4A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956FBE">
        <w:rPr>
          <w:rFonts w:asciiTheme="minorHAnsi" w:eastAsiaTheme="minorHAnsi" w:hAnsiTheme="minorHAnsi" w:cstheme="minorHAnsi"/>
          <w:sz w:val="20"/>
          <w:szCs w:val="20"/>
          <w:vertAlign w:val="superscript"/>
        </w:rPr>
        <w:t xml:space="preserve">11 </w:t>
      </w:r>
      <w:r w:rsidRPr="00956FBE">
        <w:rPr>
          <w:rFonts w:asciiTheme="minorHAnsi" w:eastAsiaTheme="minorHAnsi" w:hAnsiTheme="minorHAnsi" w:cstheme="minorHAnsi"/>
          <w:sz w:val="20"/>
          <w:szCs w:val="20"/>
        </w:rPr>
        <w:t xml:space="preserve">Henretig FM. Lead. Chapter 91 in </w:t>
      </w:r>
      <w:r w:rsidRPr="00956FBE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Goldfrank's Toxicologic Emergencies, 8th Edition. </w:t>
      </w:r>
      <w:r w:rsidRPr="00956FBE">
        <w:rPr>
          <w:rFonts w:asciiTheme="minorHAnsi" w:hAnsiTheme="minorHAnsi" w:cstheme="minorHAnsi"/>
          <w:color w:val="000000"/>
          <w:sz w:val="20"/>
          <w:szCs w:val="20"/>
        </w:rPr>
        <w:t>Flomenbaum N, Goldfrank L, Hoffman R, Howland MA, Lewin N, Nelson L, eds. McGraw-Hill Professional: New York, NY.</w:t>
      </w:r>
    </w:p>
    <w:p w:rsidR="00154C4A" w:rsidRPr="00956FBE" w:rsidRDefault="00154C4A" w:rsidP="00154C4A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956FBE">
        <w:rPr>
          <w:rFonts w:asciiTheme="minorHAnsi" w:hAnsiTheme="minorHAnsi" w:cstheme="minorHAnsi"/>
          <w:sz w:val="20"/>
          <w:szCs w:val="20"/>
          <w:vertAlign w:val="superscript"/>
        </w:rPr>
        <w:t xml:space="preserve">12 </w:t>
      </w:r>
      <w:r w:rsidRPr="00956FBE">
        <w:rPr>
          <w:rFonts w:asciiTheme="minorHAnsi" w:hAnsiTheme="minorHAnsi" w:cstheme="minorHAnsi"/>
          <w:sz w:val="20"/>
          <w:szCs w:val="20"/>
        </w:rPr>
        <w:t xml:space="preserve">OSHA General Industry and Construction Lead Standard Medical Surveillance Guidelines (29 CFR 1910.1025App C and </w:t>
      </w:r>
      <w:r w:rsidRPr="00956FBE">
        <w:rPr>
          <w:rFonts w:asciiTheme="minorHAnsi" w:hAnsiTheme="minorHAnsi" w:cstheme="minorHAnsi"/>
          <w:color w:val="000000"/>
          <w:sz w:val="20"/>
          <w:szCs w:val="20"/>
        </w:rPr>
        <w:t>29 CFR 1926.62 App C, respectively).</w:t>
      </w:r>
    </w:p>
    <w:p w:rsidR="00154C4A" w:rsidRPr="00956FBE" w:rsidRDefault="00154C4A" w:rsidP="00154C4A">
      <w:pPr>
        <w:rPr>
          <w:rFonts w:asciiTheme="minorHAnsi" w:eastAsiaTheme="minorHAnsi" w:hAnsiTheme="minorHAnsi" w:cstheme="minorHAnsi"/>
          <w:sz w:val="20"/>
          <w:szCs w:val="20"/>
        </w:rPr>
      </w:pPr>
      <w:r w:rsidRPr="00956FBE">
        <w:rPr>
          <w:rFonts w:asciiTheme="minorHAnsi" w:hAnsiTheme="minorHAnsi" w:cstheme="minorHAnsi"/>
          <w:sz w:val="20"/>
          <w:szCs w:val="20"/>
          <w:vertAlign w:val="superscript"/>
        </w:rPr>
        <w:t>13</w:t>
      </w:r>
      <w:r w:rsidRPr="00956FBE">
        <w:rPr>
          <w:rFonts w:asciiTheme="minorHAnsi" w:hAnsiTheme="minorHAnsi" w:cstheme="minorHAnsi"/>
          <w:sz w:val="20"/>
          <w:szCs w:val="20"/>
        </w:rPr>
        <w:t xml:space="preserve"> US EPA. 2001. </w:t>
      </w:r>
      <w:r w:rsidRPr="00956FBE">
        <w:rPr>
          <w:rFonts w:asciiTheme="minorHAnsi" w:hAnsiTheme="minorHAnsi" w:cstheme="minorHAnsi"/>
          <w:sz w:val="20"/>
          <w:szCs w:val="20"/>
          <w:lang w:val="en"/>
        </w:rPr>
        <w:t xml:space="preserve"> </w:t>
      </w:r>
      <w:r w:rsidRPr="00956FBE">
        <w:rPr>
          <w:rFonts w:asciiTheme="minorHAnsi" w:hAnsiTheme="minorHAnsi" w:cstheme="minorHAnsi"/>
          <w:bCs/>
          <w:sz w:val="20"/>
          <w:szCs w:val="20"/>
          <w:lang w:val="en"/>
        </w:rPr>
        <w:t>Integrated Risk Information System</w:t>
      </w:r>
      <w:r w:rsidRPr="00956FBE">
        <w:rPr>
          <w:rFonts w:asciiTheme="minorHAnsi" w:hAnsiTheme="minorHAnsi" w:cstheme="minorHAnsi"/>
          <w:sz w:val="20"/>
          <w:szCs w:val="20"/>
          <w:lang w:val="en"/>
        </w:rPr>
        <w:t xml:space="preserve">: </w:t>
      </w:r>
      <w:r w:rsidRPr="00956FBE">
        <w:rPr>
          <w:rFonts w:asciiTheme="minorHAnsi" w:hAnsiTheme="minorHAnsi" w:cstheme="minorHAnsi"/>
          <w:bCs/>
          <w:kern w:val="36"/>
          <w:sz w:val="20"/>
          <w:szCs w:val="20"/>
          <w:lang w:val="en"/>
        </w:rPr>
        <w:t>Methylmercury (MeHg) (CASRN 22967-92-6) (</w:t>
      </w:r>
      <w:hyperlink r:id="rId15" w:history="1">
        <w:r w:rsidRPr="00956FBE">
          <w:rPr>
            <w:rStyle w:val="Hyperlink"/>
            <w:rFonts w:asciiTheme="minorHAnsi" w:hAnsiTheme="minorHAnsi" w:cstheme="minorHAnsi"/>
            <w:sz w:val="20"/>
            <w:szCs w:val="20"/>
          </w:rPr>
          <w:t>http://www.epa.gov/iris/subst/0073.htm</w:t>
        </w:r>
      </w:hyperlink>
      <w:r w:rsidRPr="00956FBE">
        <w:rPr>
          <w:rFonts w:asciiTheme="minorHAnsi" w:hAnsiTheme="minorHAnsi" w:cstheme="minorHAnsi"/>
          <w:bCs/>
          <w:kern w:val="36"/>
          <w:sz w:val="20"/>
          <w:szCs w:val="20"/>
          <w:lang w:val="en"/>
        </w:rPr>
        <w:t xml:space="preserve"> ). Recommended maternal blood methylmercury =</w:t>
      </w:r>
      <w:r w:rsidRPr="00956FBE">
        <w:rPr>
          <w:rFonts w:asciiTheme="minorHAnsi" w:hAnsiTheme="minorHAnsi" w:cstheme="minorHAnsi"/>
          <w:sz w:val="20"/>
          <w:szCs w:val="20"/>
        </w:rPr>
        <w:t xml:space="preserve">5.8 µg/L, below which exposures are considered to be without adverse effects. This estimate is based on recommendations in 2000 by the National Research Council. </w:t>
      </w:r>
      <w:r w:rsidRPr="00956FBE">
        <w:rPr>
          <w:rFonts w:asciiTheme="minorHAnsi" w:eastAsiaTheme="minorHAnsi" w:hAnsiTheme="minorHAnsi" w:cstheme="minorHAnsi"/>
          <w:sz w:val="20"/>
          <w:szCs w:val="20"/>
        </w:rPr>
        <w:t xml:space="preserve">See </w:t>
      </w:r>
      <w:r w:rsidRPr="00956FBE">
        <w:rPr>
          <w:rFonts w:asciiTheme="minorHAnsi" w:eastAsiaTheme="minorHAnsi" w:hAnsiTheme="minorHAnsi" w:cstheme="minorHAnsi"/>
          <w:i/>
          <w:sz w:val="20"/>
          <w:szCs w:val="20"/>
        </w:rPr>
        <w:t>Toxicological Effects of Methylmercury</w:t>
      </w:r>
      <w:r w:rsidRPr="00956FBE">
        <w:rPr>
          <w:rFonts w:asciiTheme="minorHAnsi" w:eastAsiaTheme="minorHAnsi" w:hAnsiTheme="minorHAnsi" w:cstheme="minorHAnsi"/>
          <w:sz w:val="20"/>
          <w:szCs w:val="20"/>
        </w:rPr>
        <w:t xml:space="preserve"> at </w:t>
      </w:r>
      <w:hyperlink r:id="rId16" w:history="1">
        <w:r w:rsidRPr="00956FBE">
          <w:rPr>
            <w:rStyle w:val="Hyperlink"/>
            <w:rFonts w:asciiTheme="minorHAnsi" w:eastAsiaTheme="minorHAnsi" w:hAnsiTheme="minorHAnsi" w:cstheme="minorHAnsi"/>
            <w:sz w:val="20"/>
            <w:szCs w:val="20"/>
          </w:rPr>
          <w:t>http://books.nap.edu/catalog.php?record_id=9899</w:t>
        </w:r>
      </w:hyperlink>
      <w:r w:rsidRPr="00956FBE">
        <w:rPr>
          <w:rFonts w:asciiTheme="minorHAnsi" w:eastAsiaTheme="minorHAnsi" w:hAnsiTheme="minorHAnsi" w:cstheme="minorHAnsi"/>
          <w:sz w:val="20"/>
          <w:szCs w:val="20"/>
        </w:rPr>
        <w:t>. Assume: total blood mercury ≈ methylmercury in blood.</w:t>
      </w:r>
    </w:p>
    <w:p w:rsidR="00154C4A" w:rsidRPr="00956FBE" w:rsidRDefault="00154C4A" w:rsidP="00154C4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956FBE">
        <w:rPr>
          <w:rFonts w:asciiTheme="minorHAnsi" w:eastAsiaTheme="minorHAnsi" w:hAnsiTheme="minorHAnsi" w:cstheme="minorHAnsi"/>
          <w:sz w:val="20"/>
          <w:szCs w:val="20"/>
          <w:vertAlign w:val="superscript"/>
        </w:rPr>
        <w:t xml:space="preserve">14 </w:t>
      </w:r>
      <w:r w:rsidRPr="00956FBE">
        <w:rPr>
          <w:rFonts w:asciiTheme="minorHAnsi" w:eastAsiaTheme="minorHAnsi" w:hAnsiTheme="minorHAnsi" w:cstheme="minorHAnsi"/>
          <w:sz w:val="20"/>
          <w:szCs w:val="20"/>
        </w:rPr>
        <w:t>CDC. 2006. Emergency Preparedness and Response: Case Definitions for Chemical Poisoning – Mercury (Elemental, Inorganic, Organic) (</w:t>
      </w:r>
      <w:hyperlink r:id="rId17" w:history="1">
        <w:r w:rsidRPr="00956FBE">
          <w:rPr>
            <w:rStyle w:val="Hyperlink"/>
            <w:rFonts w:asciiTheme="minorHAnsi" w:eastAsiaTheme="minorHAnsi" w:hAnsiTheme="minorHAnsi" w:cstheme="minorHAnsi"/>
            <w:sz w:val="20"/>
            <w:szCs w:val="20"/>
          </w:rPr>
          <w:t>http://emergency.cdc.gov/agent/mercury/</w:t>
        </w:r>
      </w:hyperlink>
      <w:r w:rsidRPr="00956FBE">
        <w:rPr>
          <w:rFonts w:asciiTheme="minorHAnsi" w:eastAsiaTheme="minorHAnsi" w:hAnsiTheme="minorHAnsi" w:cstheme="minorHAnsi"/>
          <w:sz w:val="20"/>
          <w:szCs w:val="20"/>
        </w:rPr>
        <w:t xml:space="preserve"> ).</w:t>
      </w:r>
    </w:p>
    <w:p w:rsidR="00154C4A" w:rsidRPr="00956FBE" w:rsidRDefault="00154C4A" w:rsidP="00154C4A">
      <w:pPr>
        <w:rPr>
          <w:rFonts w:asciiTheme="minorHAnsi" w:hAnsiTheme="minorHAnsi" w:cstheme="minorHAnsi"/>
          <w:color w:val="000000"/>
          <w:sz w:val="20"/>
          <w:szCs w:val="20"/>
          <w:lang w:val="en"/>
        </w:rPr>
      </w:pPr>
      <w:r w:rsidRPr="00956FBE">
        <w:rPr>
          <w:rFonts w:asciiTheme="minorHAnsi" w:hAnsiTheme="minorHAnsi" w:cstheme="minorHAnsi"/>
          <w:color w:val="000000"/>
          <w:sz w:val="20"/>
          <w:szCs w:val="20"/>
          <w:vertAlign w:val="superscript"/>
          <w:lang w:val="en"/>
        </w:rPr>
        <w:t xml:space="preserve">15 </w:t>
      </w:r>
      <w:r w:rsidRPr="00956FBE">
        <w:rPr>
          <w:rFonts w:asciiTheme="minorHAnsi" w:hAnsiTheme="minorHAnsi" w:cstheme="minorHAnsi"/>
          <w:color w:val="000000"/>
          <w:sz w:val="20"/>
          <w:szCs w:val="20"/>
          <w:lang w:val="en"/>
        </w:rPr>
        <w:t xml:space="preserve">Sue YJ. Mercury. Chapter 92 </w:t>
      </w:r>
      <w:r w:rsidRPr="00956FBE">
        <w:rPr>
          <w:rFonts w:asciiTheme="minorHAnsi" w:eastAsiaTheme="minorHAnsi" w:hAnsiTheme="minorHAnsi" w:cstheme="minorHAnsi"/>
          <w:sz w:val="20"/>
          <w:szCs w:val="20"/>
        </w:rPr>
        <w:t xml:space="preserve">in </w:t>
      </w:r>
      <w:r w:rsidRPr="00956FBE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Goldfrank's Toxicologic Emergencies, 8th Edition. </w:t>
      </w:r>
      <w:r w:rsidRPr="00956FBE">
        <w:rPr>
          <w:rFonts w:asciiTheme="minorHAnsi" w:hAnsiTheme="minorHAnsi" w:cstheme="minorHAnsi"/>
          <w:color w:val="000000"/>
          <w:sz w:val="20"/>
          <w:szCs w:val="20"/>
        </w:rPr>
        <w:t>Flomenbaum N, Goldfrank L, Hoffman R, Howland MA, Lewin N, Nelson L, eds. McGraw-Hill Professional: New York, NY.</w:t>
      </w:r>
    </w:p>
    <w:p w:rsidR="00154C4A" w:rsidRPr="00956FBE" w:rsidRDefault="00154C4A" w:rsidP="00154C4A">
      <w:pPr>
        <w:rPr>
          <w:rFonts w:asciiTheme="minorHAnsi" w:hAnsiTheme="minorHAnsi" w:cstheme="minorHAnsi"/>
          <w:color w:val="000000"/>
          <w:sz w:val="20"/>
          <w:szCs w:val="20"/>
          <w:lang w:val="en"/>
        </w:rPr>
      </w:pPr>
      <w:r w:rsidRPr="00956FBE">
        <w:rPr>
          <w:rFonts w:asciiTheme="minorHAnsi" w:hAnsiTheme="minorHAnsi" w:cstheme="minorHAnsi"/>
          <w:color w:val="000000"/>
          <w:sz w:val="20"/>
          <w:szCs w:val="20"/>
          <w:vertAlign w:val="superscript"/>
          <w:lang w:val="en"/>
        </w:rPr>
        <w:t xml:space="preserve">16 </w:t>
      </w:r>
      <w:r w:rsidRPr="00956FBE">
        <w:rPr>
          <w:rFonts w:asciiTheme="minorHAnsi" w:hAnsiTheme="minorHAnsi" w:cstheme="minorHAnsi"/>
          <w:color w:val="000000"/>
          <w:sz w:val="20"/>
          <w:szCs w:val="20"/>
          <w:lang w:val="en"/>
        </w:rPr>
        <w:t>ACGIH. 2007 TLVs and BEIs. Based on the Documentation of the Threshold Limit Values for Chemical Substances and Physical Agents and Biological Exposure Indices. Cincinnati (OH): Signature Publications. ACGIH recommends that the blood levels due to inorganic mercury exposure in workers not exceed 15 µg/L. Information about the biological exposure indices is provided here for comparison, not to imply a safety level for general population exposure.</w:t>
      </w:r>
    </w:p>
    <w:p w:rsidR="00154C4A" w:rsidRPr="00956FBE" w:rsidRDefault="00154C4A" w:rsidP="00154C4A">
      <w:pPr>
        <w:pStyle w:val="HTMLPreformatted"/>
        <w:rPr>
          <w:rFonts w:asciiTheme="minorHAnsi" w:hAnsiTheme="minorHAnsi" w:cstheme="minorHAnsi"/>
        </w:rPr>
      </w:pPr>
      <w:r w:rsidRPr="00956FBE">
        <w:rPr>
          <w:rFonts w:asciiTheme="minorHAnsi" w:hAnsiTheme="minorHAnsi" w:cstheme="minorHAnsi"/>
          <w:color w:val="000000"/>
          <w:vertAlign w:val="superscript"/>
          <w:lang w:val="en"/>
        </w:rPr>
        <w:t>17</w:t>
      </w:r>
      <w:r w:rsidRPr="00956FBE">
        <w:rPr>
          <w:rFonts w:asciiTheme="minorHAnsi" w:hAnsiTheme="minorHAnsi" w:cstheme="minorHAnsi"/>
        </w:rPr>
        <w:t xml:space="preserve"> </w:t>
      </w:r>
      <w:r w:rsidR="009C5E43">
        <w:rPr>
          <w:rFonts w:asciiTheme="minorHAnsi" w:hAnsiTheme="minorHAnsi" w:cstheme="minorHAnsi"/>
        </w:rPr>
        <w:t xml:space="preserve">HSDB. </w:t>
      </w:r>
      <w:bookmarkStart w:id="1" w:name="_GoBack"/>
      <w:bookmarkEnd w:id="1"/>
      <w:r w:rsidR="009C5E43">
        <w:rPr>
          <w:rFonts w:asciiTheme="minorHAnsi" w:hAnsiTheme="minorHAnsi" w:cstheme="minorHAnsi"/>
        </w:rPr>
        <w:t>2012. Blood levels of 10</w:t>
      </w:r>
      <w:r w:rsidR="009C5E43" w:rsidRPr="00A95B9A">
        <w:rPr>
          <w:rFonts w:asciiTheme="minorHAnsi" w:hAnsiTheme="minorHAnsi" w:cstheme="minorHAnsi"/>
        </w:rPr>
        <w:t>–</w:t>
      </w:r>
      <w:r w:rsidRPr="00956FBE">
        <w:rPr>
          <w:rFonts w:asciiTheme="minorHAnsi" w:hAnsiTheme="minorHAnsi" w:cstheme="minorHAnsi"/>
        </w:rPr>
        <w:t>15 µg/L are common in patients eating several fish meals per week (Accessed 26 July 2012).</w:t>
      </w:r>
    </w:p>
    <w:p w:rsidR="00154C4A" w:rsidRPr="00956FBE" w:rsidRDefault="00154C4A" w:rsidP="00154C4A">
      <w:pPr>
        <w:rPr>
          <w:rFonts w:asciiTheme="minorHAnsi" w:eastAsiaTheme="minorHAnsi" w:hAnsiTheme="minorHAnsi" w:cstheme="minorHAnsi"/>
          <w:sz w:val="20"/>
          <w:szCs w:val="20"/>
        </w:rPr>
      </w:pPr>
      <w:r w:rsidRPr="00956FBE">
        <w:rPr>
          <w:rFonts w:asciiTheme="minorHAnsi" w:eastAsiaTheme="minorHAnsi" w:hAnsiTheme="minorHAnsi" w:cstheme="minorHAnsi"/>
          <w:sz w:val="20"/>
          <w:szCs w:val="20"/>
          <w:vertAlign w:val="superscript"/>
        </w:rPr>
        <w:t>18</w:t>
      </w:r>
      <w:r w:rsidRPr="00956FBE">
        <w:rPr>
          <w:rFonts w:asciiTheme="minorHAnsi" w:eastAsiaTheme="minorHAnsi" w:hAnsiTheme="minorHAnsi" w:cstheme="minorHAnsi"/>
          <w:sz w:val="20"/>
          <w:szCs w:val="20"/>
        </w:rPr>
        <w:t xml:space="preserve"> ATSDR. 2011. Medical Management Guidelines for Mercury (Hg): CAS 7439-97-6; UN 2024 (liquid compounds) (</w:t>
      </w:r>
      <w:hyperlink r:id="rId18" w:history="1">
        <w:r w:rsidRPr="00956FBE">
          <w:rPr>
            <w:rStyle w:val="Hyperlink"/>
            <w:rFonts w:asciiTheme="minorHAnsi" w:eastAsiaTheme="minorHAnsi" w:hAnsiTheme="minorHAnsi" w:cstheme="minorHAnsi"/>
            <w:sz w:val="20"/>
            <w:szCs w:val="20"/>
          </w:rPr>
          <w:t>http://www.atsdr.cdc.gov/MHMI/mmg46.pdf</w:t>
        </w:r>
      </w:hyperlink>
      <w:r w:rsidRPr="00956FBE">
        <w:rPr>
          <w:rFonts w:asciiTheme="minorHAnsi" w:eastAsiaTheme="minorHAnsi" w:hAnsiTheme="minorHAnsi" w:cstheme="minorHAnsi"/>
          <w:sz w:val="20"/>
          <w:szCs w:val="20"/>
        </w:rPr>
        <w:t xml:space="preserve"> ).</w:t>
      </w:r>
    </w:p>
    <w:p w:rsidR="00154C4A" w:rsidRPr="00956FBE" w:rsidRDefault="00154C4A" w:rsidP="00154C4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iCs/>
          <w:sz w:val="20"/>
          <w:szCs w:val="20"/>
        </w:rPr>
      </w:pPr>
      <w:r w:rsidRPr="00956FBE">
        <w:rPr>
          <w:rFonts w:asciiTheme="minorHAnsi" w:eastAsiaTheme="minorHAnsi" w:hAnsiTheme="minorHAnsi" w:cstheme="minorHAnsi"/>
          <w:bCs/>
          <w:iCs/>
          <w:sz w:val="20"/>
          <w:szCs w:val="20"/>
          <w:vertAlign w:val="superscript"/>
        </w:rPr>
        <w:t>1</w:t>
      </w:r>
      <w:r>
        <w:rPr>
          <w:rFonts w:asciiTheme="minorHAnsi" w:eastAsiaTheme="minorHAnsi" w:hAnsiTheme="minorHAnsi" w:cstheme="minorHAnsi"/>
          <w:bCs/>
          <w:iCs/>
          <w:sz w:val="20"/>
          <w:szCs w:val="20"/>
          <w:vertAlign w:val="superscript"/>
        </w:rPr>
        <w:t>9</w:t>
      </w:r>
      <w:r w:rsidRPr="00956FBE">
        <w:rPr>
          <w:rFonts w:asciiTheme="minorHAnsi" w:eastAsiaTheme="minorHAnsi" w:hAnsiTheme="minorHAnsi" w:cstheme="minorHAnsi"/>
          <w:bCs/>
          <w:iCs/>
          <w:sz w:val="20"/>
          <w:szCs w:val="20"/>
        </w:rPr>
        <w:t xml:space="preserve"> Tietz NW (ed). 1995. Clinical Guide to Laboratory Tests. 3</w:t>
      </w:r>
      <w:r w:rsidRPr="00956FBE">
        <w:rPr>
          <w:rFonts w:asciiTheme="minorHAnsi" w:eastAsiaTheme="minorHAnsi" w:hAnsiTheme="minorHAnsi" w:cstheme="minorHAnsi"/>
          <w:bCs/>
          <w:iCs/>
          <w:sz w:val="20"/>
          <w:szCs w:val="20"/>
          <w:vertAlign w:val="superscript"/>
        </w:rPr>
        <w:t>rd</w:t>
      </w:r>
      <w:r w:rsidRPr="00956FBE">
        <w:rPr>
          <w:rFonts w:asciiTheme="minorHAnsi" w:eastAsiaTheme="minorHAnsi" w:hAnsiTheme="minorHAnsi" w:cstheme="minorHAnsi"/>
          <w:bCs/>
          <w:iCs/>
          <w:sz w:val="20"/>
          <w:szCs w:val="20"/>
        </w:rPr>
        <w:t xml:space="preserve"> Ed. WB Saunders Co.: Philadelphia, PA.</w:t>
      </w:r>
    </w:p>
    <w:p w:rsidR="00154C4A" w:rsidRPr="00956FBE" w:rsidRDefault="00154C4A" w:rsidP="00154C4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  <w:vertAlign w:val="superscript"/>
        </w:rPr>
        <w:t>20</w:t>
      </w:r>
      <w:r w:rsidRPr="00956FBE">
        <w:rPr>
          <w:rFonts w:asciiTheme="minorHAnsi" w:eastAsiaTheme="minorHAnsi" w:hAnsiTheme="minorHAnsi" w:cstheme="minorHAnsi"/>
          <w:sz w:val="20"/>
          <w:szCs w:val="20"/>
        </w:rPr>
        <w:t xml:space="preserve"> OSHA. 1993.</w:t>
      </w:r>
      <w:r w:rsidRPr="00956FBE">
        <w:rPr>
          <w:rFonts w:asciiTheme="minorHAnsi" w:hAnsiTheme="minorHAnsi" w:cstheme="minorHAnsi"/>
          <w:color w:val="000000"/>
          <w:sz w:val="20"/>
          <w:szCs w:val="20"/>
        </w:rPr>
        <w:t xml:space="preserve"> Substance Safety Data Sheet for Cadmium – Medical Surveillance Program (</w:t>
      </w:r>
      <w:hyperlink r:id="rId19" w:history="1">
        <w:r w:rsidRPr="00956FBE">
          <w:rPr>
            <w:rStyle w:val="Hyperlink"/>
            <w:rFonts w:asciiTheme="minorHAnsi" w:hAnsiTheme="minorHAnsi" w:cstheme="minorHAnsi"/>
            <w:sz w:val="20"/>
            <w:szCs w:val="20"/>
          </w:rPr>
          <w:t>http://www.osha.gov/pls/oshaweb/owadisp.show_document?p_table=STANDARDS&amp;p_id=10036</w:t>
        </w:r>
      </w:hyperlink>
      <w:r w:rsidRPr="00956FBE">
        <w:rPr>
          <w:rFonts w:asciiTheme="minorHAnsi" w:hAnsiTheme="minorHAnsi" w:cstheme="minorHAnsi"/>
          <w:color w:val="000000"/>
          <w:sz w:val="20"/>
          <w:szCs w:val="20"/>
        </w:rPr>
        <w:t>).</w:t>
      </w:r>
    </w:p>
    <w:p w:rsidR="00154C4A" w:rsidRPr="00956FBE" w:rsidRDefault="00154C4A" w:rsidP="00154C4A">
      <w:pPr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  <w:vertAlign w:val="superscript"/>
        </w:rPr>
        <w:t>21</w:t>
      </w:r>
      <w:r w:rsidRPr="00956FBE">
        <w:rPr>
          <w:rFonts w:asciiTheme="minorHAnsi" w:eastAsiaTheme="minorHAnsi" w:hAnsiTheme="minorHAnsi" w:cstheme="minorHAnsi"/>
          <w:sz w:val="20"/>
          <w:szCs w:val="20"/>
        </w:rPr>
        <w:t xml:space="preserve"> ATSDR. 2011. Case Studies in Environmental Medicine – Cadmium. Elevated blood cadmium levels confirm recent acute exposure, but do not correlate with body burden or clinical outcome, and should not be used to determine the need for treatment.</w:t>
      </w:r>
    </w:p>
    <w:p w:rsidR="00154C4A" w:rsidRPr="00956FBE" w:rsidRDefault="00154C4A" w:rsidP="00154C4A">
      <w:pPr>
        <w:rPr>
          <w:rFonts w:asciiTheme="minorHAnsi" w:eastAsiaTheme="minorHAnsi" w:hAnsiTheme="minorHAnsi" w:cstheme="minorHAnsi"/>
          <w:sz w:val="20"/>
          <w:szCs w:val="20"/>
        </w:rPr>
      </w:pPr>
      <w:r w:rsidRPr="00956FBE">
        <w:rPr>
          <w:rFonts w:asciiTheme="minorHAnsi" w:eastAsiaTheme="minorHAnsi" w:hAnsiTheme="minorHAnsi" w:cstheme="minorHAnsi"/>
          <w:sz w:val="20"/>
          <w:szCs w:val="20"/>
          <w:vertAlign w:val="superscript"/>
        </w:rPr>
        <w:t>2</w:t>
      </w:r>
      <w:r>
        <w:rPr>
          <w:rFonts w:asciiTheme="minorHAnsi" w:eastAsiaTheme="minorHAnsi" w:hAnsiTheme="minorHAnsi" w:cstheme="minorHAnsi"/>
          <w:sz w:val="20"/>
          <w:szCs w:val="20"/>
          <w:vertAlign w:val="superscript"/>
        </w:rPr>
        <w:t>2</w:t>
      </w:r>
      <w:r w:rsidRPr="00956FBE">
        <w:rPr>
          <w:rFonts w:asciiTheme="minorHAnsi" w:eastAsiaTheme="minorHAnsi" w:hAnsiTheme="minorHAnsi" w:cstheme="minorHAnsi"/>
          <w:sz w:val="20"/>
          <w:szCs w:val="20"/>
        </w:rPr>
        <w:t xml:space="preserve"> Traub SJ, Hoffman RS. Cadmium. Chapter 87 in </w:t>
      </w:r>
      <w:r w:rsidRPr="00956FBE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Goldfrank's Toxicologic Emergencies, 8th Edition. </w:t>
      </w:r>
      <w:r w:rsidRPr="00956FBE">
        <w:rPr>
          <w:rFonts w:asciiTheme="minorHAnsi" w:hAnsiTheme="minorHAnsi" w:cstheme="minorHAnsi"/>
          <w:color w:val="000000"/>
          <w:sz w:val="20"/>
          <w:szCs w:val="20"/>
        </w:rPr>
        <w:t>Flomenbaum N, Goldfrank L, Hoffman R, Howland MA, Lewin N, Nelson L, eds. McGraw-Hill Professional: New York, NY.</w:t>
      </w:r>
    </w:p>
    <w:p w:rsidR="00154C4A" w:rsidRPr="00956FBE" w:rsidRDefault="00154C4A" w:rsidP="00154C4A">
      <w:pPr>
        <w:rPr>
          <w:rFonts w:asciiTheme="minorHAnsi" w:hAnsiTheme="minorHAnsi" w:cstheme="minorHAnsi"/>
          <w:sz w:val="20"/>
          <w:szCs w:val="20"/>
        </w:rPr>
      </w:pPr>
      <w:r w:rsidRPr="00956FBE">
        <w:rPr>
          <w:rFonts w:asciiTheme="minorHAnsi" w:eastAsiaTheme="minorHAnsi" w:hAnsiTheme="minorHAnsi" w:cstheme="minorHAnsi"/>
          <w:sz w:val="20"/>
          <w:szCs w:val="20"/>
          <w:vertAlign w:val="superscript"/>
        </w:rPr>
        <w:lastRenderedPageBreak/>
        <w:t>2</w:t>
      </w:r>
      <w:r>
        <w:rPr>
          <w:rFonts w:asciiTheme="minorHAnsi" w:eastAsiaTheme="minorHAnsi" w:hAnsiTheme="minorHAnsi" w:cstheme="minorHAnsi"/>
          <w:sz w:val="20"/>
          <w:szCs w:val="20"/>
          <w:vertAlign w:val="superscript"/>
        </w:rPr>
        <w:t>3</w:t>
      </w:r>
      <w:r w:rsidRPr="00956FBE">
        <w:rPr>
          <w:rFonts w:asciiTheme="minorHAnsi" w:hAnsiTheme="minorHAnsi" w:cstheme="minorHAnsi"/>
          <w:sz w:val="20"/>
          <w:szCs w:val="20"/>
        </w:rPr>
        <w:t>No NHANES reference ranges are available for blood manganese.</w:t>
      </w:r>
    </w:p>
    <w:p w:rsidR="00154C4A" w:rsidRPr="00956FBE" w:rsidRDefault="00154C4A" w:rsidP="00154C4A">
      <w:pPr>
        <w:rPr>
          <w:rFonts w:asciiTheme="minorHAnsi" w:hAnsiTheme="minorHAnsi" w:cstheme="minorHAnsi"/>
          <w:sz w:val="20"/>
          <w:szCs w:val="20"/>
        </w:rPr>
      </w:pPr>
      <w:r w:rsidRPr="00956FBE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>
        <w:rPr>
          <w:rFonts w:asciiTheme="minorHAnsi" w:hAnsiTheme="minorHAnsi" w:cstheme="minorHAnsi"/>
          <w:sz w:val="20"/>
          <w:szCs w:val="20"/>
          <w:vertAlign w:val="superscript"/>
        </w:rPr>
        <w:t>4</w:t>
      </w:r>
      <w:r w:rsidRPr="00956FBE">
        <w:rPr>
          <w:rFonts w:asciiTheme="minorHAnsi" w:hAnsiTheme="minorHAnsi" w:cstheme="minorHAnsi"/>
          <w:sz w:val="20"/>
          <w:szCs w:val="20"/>
        </w:rPr>
        <w:t xml:space="preserve"> Mayo Clinic Medical Laboratories. Test ID: MNB for Manganese, Blood (</w:t>
      </w:r>
      <w:hyperlink r:id="rId20" w:history="1">
        <w:r w:rsidRPr="00956FBE">
          <w:rPr>
            <w:rStyle w:val="Hyperlink"/>
            <w:rFonts w:asciiTheme="minorHAnsi" w:hAnsiTheme="minorHAnsi" w:cstheme="minorHAnsi"/>
            <w:sz w:val="20"/>
            <w:szCs w:val="20"/>
          </w:rPr>
          <w:t>http://www.mayomedicallaboratories.com/test-catalog/Overview/89120</w:t>
        </w:r>
      </w:hyperlink>
      <w:r w:rsidRPr="00956FBE">
        <w:rPr>
          <w:rFonts w:asciiTheme="minorHAnsi" w:hAnsiTheme="minorHAnsi" w:cstheme="minorHAnsi"/>
          <w:sz w:val="20"/>
          <w:szCs w:val="20"/>
        </w:rPr>
        <w:t>; accessed 24 July 2012). Value greater than twice the upper limit of normal correlates with disease.</w:t>
      </w:r>
    </w:p>
    <w:p w:rsidR="00154C4A" w:rsidRPr="00956FBE" w:rsidRDefault="00154C4A" w:rsidP="00154C4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56FBE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>
        <w:rPr>
          <w:rFonts w:asciiTheme="minorHAnsi" w:hAnsiTheme="minorHAnsi" w:cstheme="minorHAnsi"/>
          <w:sz w:val="20"/>
          <w:szCs w:val="20"/>
          <w:vertAlign w:val="superscript"/>
        </w:rPr>
        <w:t>5</w:t>
      </w:r>
      <w:r w:rsidRPr="00956FBE">
        <w:rPr>
          <w:rFonts w:asciiTheme="minorHAnsi" w:hAnsiTheme="minorHAnsi" w:cstheme="minorHAnsi"/>
          <w:sz w:val="20"/>
          <w:szCs w:val="20"/>
        </w:rPr>
        <w:t xml:space="preserve"> Laclaustra M, Navas-Acien A, Stranges S, Ordovas JM, Guallar E. Serum selenium conc</w:t>
      </w:r>
      <w:r>
        <w:rPr>
          <w:rFonts w:asciiTheme="minorHAnsi" w:hAnsiTheme="minorHAnsi" w:cstheme="minorHAnsi"/>
          <w:sz w:val="20"/>
          <w:szCs w:val="20"/>
        </w:rPr>
        <w:t>entrations and diabetes in</w:t>
      </w:r>
      <w:r w:rsidRPr="00956FBE">
        <w:rPr>
          <w:rFonts w:asciiTheme="minorHAnsi" w:hAnsiTheme="minorHAnsi" w:cstheme="minorHAnsi"/>
          <w:sz w:val="20"/>
          <w:szCs w:val="20"/>
        </w:rPr>
        <w:t>U.S. adults: National Health and Nutrition Examination Survey (NHANES) 2003-2004. Environmental Health Perspect. 2009;117(9):1409-1413. Restricted to adults 40+ years of age.</w:t>
      </w:r>
    </w:p>
    <w:p w:rsidR="00154C4A" w:rsidRPr="00956FBE" w:rsidRDefault="00154C4A" w:rsidP="00154C4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vertAlign w:val="superscript"/>
        </w:rPr>
        <w:t>26</w:t>
      </w:r>
      <w:r w:rsidRPr="00956FBE">
        <w:rPr>
          <w:rFonts w:asciiTheme="minorHAnsi" w:hAnsiTheme="minorHAnsi" w:cstheme="minorHAnsi"/>
          <w:sz w:val="20"/>
          <w:szCs w:val="20"/>
          <w:vertAlign w:val="superscript"/>
        </w:rPr>
        <w:t xml:space="preserve">  </w:t>
      </w:r>
      <w:r w:rsidRPr="00956FBE">
        <w:rPr>
          <w:rFonts w:asciiTheme="minorHAnsi" w:hAnsiTheme="minorHAnsi" w:cstheme="minorHAnsi"/>
          <w:sz w:val="20"/>
          <w:szCs w:val="20"/>
        </w:rPr>
        <w:t xml:space="preserve">CDC. 2004. </w:t>
      </w:r>
      <w:r w:rsidRPr="00956FBE">
        <w:rPr>
          <w:rFonts w:asciiTheme="minorHAnsi" w:hAnsiTheme="minorHAnsi" w:cstheme="minorHAnsi"/>
          <w:bCs/>
          <w:sz w:val="20"/>
          <w:szCs w:val="20"/>
        </w:rPr>
        <w:t>Laboratory Procedure Manual  (Selenium, Serum by Inductively Coupled Plasma-Dynamic Reaction (</w:t>
      </w:r>
      <w:hyperlink r:id="rId21" w:history="1">
        <w:r w:rsidRPr="00956FBE">
          <w:rPr>
            <w:rStyle w:val="Hyperlink"/>
            <w:rFonts w:asciiTheme="minorHAnsi" w:hAnsiTheme="minorHAnsi" w:cstheme="minorHAnsi"/>
            <w:sz w:val="20"/>
            <w:szCs w:val="20"/>
          </w:rPr>
          <w:t>http://www.cdc.gov/nchs/data/nhanes/nhanes_03_04/l39_c_met_selenium.pdf</w:t>
        </w:r>
      </w:hyperlink>
      <w:r w:rsidRPr="00956FBE">
        <w:rPr>
          <w:rFonts w:asciiTheme="minorHAnsi" w:hAnsiTheme="minorHAnsi" w:cstheme="minorHAnsi"/>
          <w:sz w:val="20"/>
          <w:szCs w:val="20"/>
        </w:rPr>
        <w:t>) performed by NYS DOH Wadsworth Center Trace Elements Laboratory.</w:t>
      </w:r>
    </w:p>
    <w:p w:rsidR="00154C4A" w:rsidRDefault="00154C4A" w:rsidP="00154C4A">
      <w:pPr>
        <w:rPr>
          <w:sz w:val="23"/>
          <w:szCs w:val="23"/>
        </w:rPr>
      </w:pPr>
    </w:p>
    <w:p w:rsidR="00154C4A" w:rsidRDefault="00154C4A" w:rsidP="00154C4A">
      <w:pPr>
        <w:rPr>
          <w:rFonts w:asciiTheme="minorHAnsi" w:hAnsiTheme="minorHAnsi" w:cstheme="minorHAnsi"/>
          <w:b/>
          <w:sz w:val="20"/>
          <w:szCs w:val="20"/>
        </w:rPr>
      </w:pPr>
    </w:p>
    <w:p w:rsidR="000F36A2" w:rsidRDefault="000F36A2"/>
    <w:sectPr w:rsidR="000F36A2" w:rsidSect="00154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A7D" w:rsidRDefault="00317A7D" w:rsidP="00317A7D">
      <w:r>
        <w:separator/>
      </w:r>
    </w:p>
  </w:endnote>
  <w:endnote w:type="continuationSeparator" w:id="0">
    <w:p w:rsidR="00317A7D" w:rsidRDefault="00317A7D" w:rsidP="0031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en Pro Cond">
    <w:altName w:val="Helen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458345"/>
      <w:docPartObj>
        <w:docPartGallery w:val="Page Numbers (Bottom of Page)"/>
        <w:docPartUnique/>
      </w:docPartObj>
    </w:sdtPr>
    <w:sdtEndPr>
      <w:rPr>
        <w:rFonts w:ascii="Cambria" w:hAnsi="Cambria"/>
        <w:noProof/>
        <w:sz w:val="20"/>
      </w:rPr>
    </w:sdtEndPr>
    <w:sdtContent>
      <w:p w:rsidR="00317A7D" w:rsidRPr="00317A7D" w:rsidRDefault="00317A7D">
        <w:pPr>
          <w:pStyle w:val="Footer"/>
          <w:jc w:val="right"/>
          <w:rPr>
            <w:rFonts w:ascii="Cambria" w:hAnsi="Cambria"/>
            <w:sz w:val="20"/>
          </w:rPr>
        </w:pPr>
        <w:r w:rsidRPr="00317A7D">
          <w:rPr>
            <w:rFonts w:ascii="Cambria" w:hAnsi="Cambria"/>
            <w:sz w:val="20"/>
          </w:rPr>
          <w:fldChar w:fldCharType="begin"/>
        </w:r>
        <w:r w:rsidRPr="00317A7D">
          <w:rPr>
            <w:rFonts w:ascii="Cambria" w:hAnsi="Cambria"/>
            <w:sz w:val="20"/>
          </w:rPr>
          <w:instrText xml:space="preserve"> PAGE   \* MERGEFORMAT </w:instrText>
        </w:r>
        <w:r w:rsidRPr="00317A7D">
          <w:rPr>
            <w:rFonts w:ascii="Cambria" w:hAnsi="Cambria"/>
            <w:sz w:val="20"/>
          </w:rPr>
          <w:fldChar w:fldCharType="separate"/>
        </w:r>
        <w:r w:rsidR="00531076">
          <w:rPr>
            <w:rFonts w:ascii="Cambria" w:hAnsi="Cambria"/>
            <w:noProof/>
            <w:sz w:val="20"/>
          </w:rPr>
          <w:t>6</w:t>
        </w:r>
        <w:r w:rsidRPr="00317A7D">
          <w:rPr>
            <w:rFonts w:ascii="Cambria" w:hAnsi="Cambria"/>
            <w:noProof/>
            <w:sz w:val="20"/>
          </w:rPr>
          <w:fldChar w:fldCharType="end"/>
        </w:r>
      </w:p>
    </w:sdtContent>
  </w:sdt>
  <w:p w:rsidR="00317A7D" w:rsidRDefault="00317A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A7D" w:rsidRDefault="00317A7D" w:rsidP="00317A7D">
      <w:r>
        <w:separator/>
      </w:r>
    </w:p>
  </w:footnote>
  <w:footnote w:type="continuationSeparator" w:id="0">
    <w:p w:rsidR="00317A7D" w:rsidRDefault="00317A7D" w:rsidP="00317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E4D79"/>
    <w:multiLevelType w:val="hybridMultilevel"/>
    <w:tmpl w:val="5574A7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C4A"/>
    <w:rsid w:val="000F36A2"/>
    <w:rsid w:val="00154C4A"/>
    <w:rsid w:val="00317A7D"/>
    <w:rsid w:val="00531076"/>
    <w:rsid w:val="005B14C3"/>
    <w:rsid w:val="0088037C"/>
    <w:rsid w:val="009C5E43"/>
    <w:rsid w:val="00A95B9A"/>
    <w:rsid w:val="00B0527C"/>
    <w:rsid w:val="00D07765"/>
    <w:rsid w:val="00E4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4C4A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54C4A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154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4C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rsid w:val="00154C4A"/>
    <w:rPr>
      <w:color w:val="0000FF" w:themeColor="hyperlink"/>
      <w:u w:val="single"/>
    </w:rPr>
  </w:style>
  <w:style w:type="paragraph" w:customStyle="1" w:styleId="Default">
    <w:name w:val="Default"/>
    <w:rsid w:val="00154C4A"/>
    <w:pPr>
      <w:autoSpaceDE w:val="0"/>
      <w:autoSpaceDN w:val="0"/>
      <w:adjustRightInd w:val="0"/>
      <w:spacing w:after="0" w:line="240" w:lineRule="auto"/>
    </w:pPr>
    <w:rPr>
      <w:rFonts w:ascii="Helen Pro Cond" w:hAnsi="Helen Pro Cond" w:cs="Helen Pro Cond"/>
      <w:color w:val="000000"/>
      <w:sz w:val="24"/>
      <w:szCs w:val="24"/>
    </w:rPr>
  </w:style>
  <w:style w:type="character" w:customStyle="1" w:styleId="A0">
    <w:name w:val="A0"/>
    <w:uiPriority w:val="99"/>
    <w:rsid w:val="00154C4A"/>
    <w:rPr>
      <w:rFonts w:cs="Helen Pro Cond"/>
      <w:b/>
      <w:bCs/>
      <w:color w:val="000000"/>
      <w:sz w:val="15"/>
      <w:szCs w:val="15"/>
      <w:u w:val="single"/>
    </w:rPr>
  </w:style>
  <w:style w:type="character" w:customStyle="1" w:styleId="A1">
    <w:name w:val="A1"/>
    <w:uiPriority w:val="99"/>
    <w:rsid w:val="00154C4A"/>
    <w:rPr>
      <w:rFonts w:cs="Helen Pro Cond"/>
      <w:b/>
      <w:bCs/>
      <w:color w:val="000000"/>
      <w:sz w:val="15"/>
      <w:szCs w:val="15"/>
    </w:rPr>
  </w:style>
  <w:style w:type="character" w:customStyle="1" w:styleId="cdc-decorated">
    <w:name w:val="cdc-decorated"/>
    <w:basedOn w:val="DefaultParagraphFont"/>
    <w:rsid w:val="00154C4A"/>
  </w:style>
  <w:style w:type="paragraph" w:styleId="HTMLPreformatted">
    <w:name w:val="HTML Preformatted"/>
    <w:basedOn w:val="Normal"/>
    <w:link w:val="HTMLPreformattedChar"/>
    <w:uiPriority w:val="99"/>
    <w:unhideWhenUsed/>
    <w:rsid w:val="00154C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4C4A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17A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A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7A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A7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4C4A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54C4A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154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4C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rsid w:val="00154C4A"/>
    <w:rPr>
      <w:color w:val="0000FF" w:themeColor="hyperlink"/>
      <w:u w:val="single"/>
    </w:rPr>
  </w:style>
  <w:style w:type="paragraph" w:customStyle="1" w:styleId="Default">
    <w:name w:val="Default"/>
    <w:rsid w:val="00154C4A"/>
    <w:pPr>
      <w:autoSpaceDE w:val="0"/>
      <w:autoSpaceDN w:val="0"/>
      <w:adjustRightInd w:val="0"/>
      <w:spacing w:after="0" w:line="240" w:lineRule="auto"/>
    </w:pPr>
    <w:rPr>
      <w:rFonts w:ascii="Helen Pro Cond" w:hAnsi="Helen Pro Cond" w:cs="Helen Pro Cond"/>
      <w:color w:val="000000"/>
      <w:sz w:val="24"/>
      <w:szCs w:val="24"/>
    </w:rPr>
  </w:style>
  <w:style w:type="character" w:customStyle="1" w:styleId="A0">
    <w:name w:val="A0"/>
    <w:uiPriority w:val="99"/>
    <w:rsid w:val="00154C4A"/>
    <w:rPr>
      <w:rFonts w:cs="Helen Pro Cond"/>
      <w:b/>
      <w:bCs/>
      <w:color w:val="000000"/>
      <w:sz w:val="15"/>
      <w:szCs w:val="15"/>
      <w:u w:val="single"/>
    </w:rPr>
  </w:style>
  <w:style w:type="character" w:customStyle="1" w:styleId="A1">
    <w:name w:val="A1"/>
    <w:uiPriority w:val="99"/>
    <w:rsid w:val="00154C4A"/>
    <w:rPr>
      <w:rFonts w:cs="Helen Pro Cond"/>
      <w:b/>
      <w:bCs/>
      <w:color w:val="000000"/>
      <w:sz w:val="15"/>
      <w:szCs w:val="15"/>
    </w:rPr>
  </w:style>
  <w:style w:type="character" w:customStyle="1" w:styleId="cdc-decorated">
    <w:name w:val="cdc-decorated"/>
    <w:basedOn w:val="DefaultParagraphFont"/>
    <w:rsid w:val="00154C4A"/>
  </w:style>
  <w:style w:type="paragraph" w:styleId="HTMLPreformatted">
    <w:name w:val="HTML Preformatted"/>
    <w:basedOn w:val="Normal"/>
    <w:link w:val="HTMLPreformattedChar"/>
    <w:uiPriority w:val="99"/>
    <w:unhideWhenUsed/>
    <w:rsid w:val="00154C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4C4A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17A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A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7A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A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n.cdc.gov/nndss/document/2012_Case%20Definitions.pdf" TargetMode="External"/><Relationship Id="rId18" Type="http://schemas.openxmlformats.org/officeDocument/2006/relationships/hyperlink" Target="http://www.atsdr.cdc.gov/MHMI/mmg46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dc.gov/nchs/data/nhanes/nhanes_03_04/l39_c_met_selenium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dc.gov/nceh/lead/publications/LeadandPregnancy2010.pdf" TargetMode="External"/><Relationship Id="rId17" Type="http://schemas.openxmlformats.org/officeDocument/2006/relationships/hyperlink" Target="http://emergency.cdc.gov/agent/mercury/" TargetMode="External"/><Relationship Id="rId2" Type="http://schemas.openxmlformats.org/officeDocument/2006/relationships/styles" Target="styles.xml"/><Relationship Id="rId16" Type="http://schemas.openxmlformats.org/officeDocument/2006/relationships/hyperlink" Target="http://books.nap.edu/catalog.php?record_id=9899" TargetMode="External"/><Relationship Id="rId20" Type="http://schemas.openxmlformats.org/officeDocument/2006/relationships/hyperlink" Target="http://www.mayomedicallaboratories.com/test-catalog/Overview/8912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dc.gov/exposurereport/pdf/FourthReport_UpdatedTables_Feb201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pa.gov/iris/subst/0073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nhlbi.nih.gov/guidelines/cholesterol/index.htm" TargetMode="External"/><Relationship Id="rId19" Type="http://schemas.openxmlformats.org/officeDocument/2006/relationships/hyperlink" Target="http://www.osha.gov/pls/oshaweb/owadisp.show_document?p_table=STANDARDS&amp;p_id=1003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hlbi.nih.gov/guidelines/cholesterol/index.htm" TargetMode="External"/><Relationship Id="rId14" Type="http://schemas.openxmlformats.org/officeDocument/2006/relationships/hyperlink" Target="http://intranet.cdc.gov/osels/phspo/bc/bc_registry_profiles/profile_adult_bloodlead_epidemiology_and_surveillance_program_ables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1937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CDC User</cp:lastModifiedBy>
  <cp:revision>2</cp:revision>
  <cp:lastPrinted>2012-12-17T17:02:00Z</cp:lastPrinted>
  <dcterms:created xsi:type="dcterms:W3CDTF">2012-12-17T19:34:00Z</dcterms:created>
  <dcterms:modified xsi:type="dcterms:W3CDTF">2012-12-17T19:34:00Z</dcterms:modified>
</cp:coreProperties>
</file>