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160" w:rsidRDefault="00F56160" w:rsidP="00F56160">
      <w:pPr>
        <w:pStyle w:val="Title"/>
        <w:rPr>
          <w:rFonts w:asciiTheme="minorHAnsi" w:hAnsiTheme="minorHAnsi" w:cstheme="minorHAnsi"/>
        </w:rPr>
      </w:pPr>
    </w:p>
    <w:p w:rsidR="00F56160" w:rsidRDefault="00F56160" w:rsidP="00F56160">
      <w:pPr>
        <w:pStyle w:val="Title"/>
        <w:rPr>
          <w:rFonts w:asciiTheme="minorHAnsi" w:hAnsiTheme="minorHAnsi" w:cstheme="minorHAnsi"/>
        </w:rPr>
      </w:pPr>
    </w:p>
    <w:p w:rsidR="00F56160" w:rsidRPr="00F46D82" w:rsidRDefault="00F56160" w:rsidP="00F56160">
      <w:pPr>
        <w:pStyle w:val="Title"/>
        <w:rPr>
          <w:rFonts w:asciiTheme="minorHAnsi" w:hAnsiTheme="minorHAnsi" w:cstheme="minorHAnsi"/>
        </w:rPr>
      </w:pPr>
      <w:r w:rsidRPr="00F46D82">
        <w:rPr>
          <w:rFonts w:asciiTheme="minorHAnsi" w:hAnsiTheme="minorHAnsi" w:cstheme="minorHAnsi"/>
        </w:rPr>
        <w:t>Supporting Statement</w:t>
      </w:r>
    </w:p>
    <w:p w:rsidR="00F56160" w:rsidRPr="00F46D82" w:rsidRDefault="00F56160" w:rsidP="00F56160">
      <w:pPr>
        <w:pStyle w:val="Title"/>
        <w:rPr>
          <w:rFonts w:asciiTheme="minorHAnsi" w:hAnsiTheme="minorHAnsi" w:cstheme="minorHAnsi"/>
        </w:rPr>
      </w:pPr>
      <w:r w:rsidRPr="00F46D82">
        <w:rPr>
          <w:rFonts w:asciiTheme="minorHAnsi" w:hAnsiTheme="minorHAnsi" w:cstheme="minorHAnsi"/>
        </w:rPr>
        <w:t>For OMB Review and Approval of</w:t>
      </w:r>
    </w:p>
    <w:p w:rsidR="00F56160" w:rsidRPr="00F46D82" w:rsidRDefault="00F56160" w:rsidP="00F56160">
      <w:pPr>
        <w:pStyle w:val="Title"/>
        <w:rPr>
          <w:rFonts w:asciiTheme="minorHAnsi" w:hAnsiTheme="minorHAnsi" w:cstheme="minorHAnsi"/>
        </w:rPr>
      </w:pPr>
    </w:p>
    <w:p w:rsidR="00F56160" w:rsidRPr="00F46D82" w:rsidRDefault="00F56160" w:rsidP="00F56160">
      <w:pPr>
        <w:pStyle w:val="Title"/>
        <w:rPr>
          <w:rFonts w:asciiTheme="minorHAnsi" w:hAnsiTheme="minorHAnsi" w:cstheme="minorHAnsi"/>
          <w:color w:val="000000"/>
          <w:sz w:val="28"/>
          <w:szCs w:val="28"/>
        </w:rPr>
      </w:pPr>
      <w:r w:rsidRPr="00F46D82">
        <w:rPr>
          <w:rFonts w:asciiTheme="minorHAnsi" w:hAnsiTheme="minorHAnsi" w:cstheme="minorHAnsi"/>
          <w:color w:val="000000"/>
          <w:sz w:val="28"/>
          <w:szCs w:val="28"/>
        </w:rPr>
        <w:t>Agency for Toxic Substances and Disease Registry (ATSDR)</w:t>
      </w:r>
    </w:p>
    <w:p w:rsidR="00F56160" w:rsidRPr="00F46D82" w:rsidRDefault="00F56160" w:rsidP="00F56160">
      <w:pPr>
        <w:pStyle w:val="Title"/>
        <w:rPr>
          <w:rFonts w:asciiTheme="minorHAnsi" w:hAnsiTheme="minorHAnsi" w:cstheme="minorHAnsi"/>
          <w:color w:val="000000"/>
          <w:sz w:val="28"/>
          <w:szCs w:val="28"/>
        </w:rPr>
      </w:pPr>
      <w:r w:rsidRPr="00F46D82">
        <w:rPr>
          <w:rFonts w:asciiTheme="minorHAnsi" w:hAnsiTheme="minorHAnsi" w:cstheme="minorHAnsi"/>
          <w:color w:val="000000"/>
          <w:sz w:val="28"/>
          <w:szCs w:val="28"/>
        </w:rPr>
        <w:t xml:space="preserve">Anniston </w:t>
      </w:r>
      <w:r w:rsidR="00A540ED">
        <w:rPr>
          <w:rFonts w:asciiTheme="minorHAnsi" w:hAnsiTheme="minorHAnsi" w:cstheme="minorHAnsi"/>
          <w:color w:val="000000"/>
          <w:sz w:val="28"/>
          <w:szCs w:val="28"/>
        </w:rPr>
        <w:t>Community Health Survey: Follow-</w:t>
      </w:r>
      <w:r w:rsidRPr="00F46D82">
        <w:rPr>
          <w:rFonts w:asciiTheme="minorHAnsi" w:hAnsiTheme="minorHAnsi" w:cstheme="minorHAnsi"/>
          <w:color w:val="000000"/>
          <w:sz w:val="28"/>
          <w:szCs w:val="28"/>
        </w:rPr>
        <w:t xml:space="preserve">up and Dioxin Analyses </w:t>
      </w:r>
    </w:p>
    <w:p w:rsidR="00F56160" w:rsidRPr="00F46D82" w:rsidRDefault="00F56160" w:rsidP="00F56160">
      <w:pPr>
        <w:pStyle w:val="Title"/>
        <w:rPr>
          <w:rFonts w:asciiTheme="minorHAnsi" w:hAnsiTheme="minorHAnsi" w:cstheme="minorHAnsi"/>
          <w:color w:val="000000"/>
          <w:sz w:val="28"/>
          <w:szCs w:val="28"/>
        </w:rPr>
      </w:pPr>
      <w:r w:rsidRPr="00F46D82">
        <w:rPr>
          <w:rFonts w:asciiTheme="minorHAnsi" w:hAnsiTheme="minorHAnsi" w:cstheme="minorHAnsi"/>
          <w:color w:val="000000"/>
          <w:sz w:val="28"/>
          <w:szCs w:val="28"/>
        </w:rPr>
        <w:t>(ACHS-II)</w:t>
      </w:r>
    </w:p>
    <w:p w:rsidR="00F56160" w:rsidRPr="00F46D82" w:rsidRDefault="00F56160" w:rsidP="00F56160">
      <w:pPr>
        <w:rPr>
          <w:rFonts w:asciiTheme="minorHAnsi" w:hAnsiTheme="minorHAnsi" w:cstheme="minorHAnsi"/>
        </w:rPr>
      </w:pPr>
    </w:p>
    <w:p w:rsidR="00F56160" w:rsidRPr="00F46D82" w:rsidRDefault="00F56160" w:rsidP="00F56160">
      <w:pPr>
        <w:spacing w:after="0" w:line="240" w:lineRule="auto"/>
        <w:jc w:val="center"/>
        <w:rPr>
          <w:rFonts w:asciiTheme="minorHAnsi" w:hAnsiTheme="minorHAnsi" w:cstheme="minorHAnsi"/>
          <w:b/>
          <w:bCs/>
          <w:color w:val="000000"/>
          <w:sz w:val="24"/>
          <w:szCs w:val="24"/>
        </w:rPr>
      </w:pPr>
    </w:p>
    <w:p w:rsidR="00F56160" w:rsidRPr="00F46D82" w:rsidRDefault="004A0C1E" w:rsidP="00F56160">
      <w:pPr>
        <w:rPr>
          <w:rFonts w:asciiTheme="minorHAnsi" w:hAnsiTheme="minorHAnsi" w:cstheme="minorHAnsi"/>
          <w:sz w:val="28"/>
          <w:szCs w:val="28"/>
        </w:rPr>
      </w:pPr>
      <w:r>
        <w:rPr>
          <w:rFonts w:asciiTheme="minorHAnsi" w:hAnsiTheme="minorHAnsi" w:cstheme="minorHAnsi"/>
          <w:sz w:val="28"/>
          <w:szCs w:val="28"/>
        </w:rPr>
        <w:t>Part</w:t>
      </w:r>
      <w:r w:rsidR="00F56160">
        <w:rPr>
          <w:rFonts w:asciiTheme="minorHAnsi" w:hAnsiTheme="minorHAnsi" w:cstheme="minorHAnsi"/>
          <w:sz w:val="28"/>
          <w:szCs w:val="28"/>
        </w:rPr>
        <w:t xml:space="preserve"> B</w:t>
      </w:r>
      <w:r w:rsidR="00F56160" w:rsidRPr="00F46D82">
        <w:rPr>
          <w:rFonts w:asciiTheme="minorHAnsi" w:hAnsiTheme="minorHAnsi" w:cstheme="minorHAnsi"/>
          <w:sz w:val="28"/>
          <w:szCs w:val="28"/>
        </w:rPr>
        <w:t xml:space="preserve">. </w:t>
      </w:r>
      <w:r w:rsidR="00F56160" w:rsidRPr="003C4F3A">
        <w:rPr>
          <w:rFonts w:cs="Calibri"/>
          <w:sz w:val="28"/>
          <w:szCs w:val="28"/>
        </w:rPr>
        <w:t>Collections of Information Employing Statistical Methods</w:t>
      </w:r>
    </w:p>
    <w:p w:rsidR="00F56160" w:rsidRPr="00F46D82" w:rsidRDefault="00F56160" w:rsidP="00F56160">
      <w:pPr>
        <w:rPr>
          <w:rFonts w:asciiTheme="minorHAnsi" w:hAnsiTheme="minorHAnsi" w:cstheme="minorHAnsi"/>
        </w:rPr>
      </w:pPr>
    </w:p>
    <w:p w:rsidR="00F56160" w:rsidRPr="00F46D82" w:rsidRDefault="00F56160" w:rsidP="00F56160">
      <w:pPr>
        <w:rPr>
          <w:rFonts w:asciiTheme="minorHAnsi" w:hAnsiTheme="minorHAnsi" w:cstheme="minorHAnsi"/>
        </w:rPr>
      </w:pPr>
    </w:p>
    <w:p w:rsidR="00F56160" w:rsidRPr="00F46D82" w:rsidRDefault="00F56160" w:rsidP="00F56160">
      <w:pPr>
        <w:pStyle w:val="NoSpacing"/>
        <w:rPr>
          <w:rFonts w:asciiTheme="minorHAnsi" w:hAnsiTheme="minorHAnsi" w:cstheme="minorHAnsi"/>
          <w:sz w:val="24"/>
          <w:szCs w:val="24"/>
        </w:rPr>
      </w:pPr>
      <w:r>
        <w:rPr>
          <w:rFonts w:asciiTheme="minorHAnsi" w:hAnsiTheme="minorHAnsi" w:cstheme="minorHAnsi"/>
          <w:sz w:val="24"/>
          <w:szCs w:val="24"/>
        </w:rPr>
        <w:t xml:space="preserve">Date: </w:t>
      </w:r>
      <w:r w:rsidR="00A540ED">
        <w:rPr>
          <w:rFonts w:asciiTheme="minorHAnsi" w:hAnsiTheme="minorHAnsi" w:cstheme="minorHAnsi"/>
          <w:sz w:val="24"/>
          <w:szCs w:val="24"/>
        </w:rPr>
        <w:t>September</w:t>
      </w:r>
      <w:r w:rsidR="005C5A8E">
        <w:rPr>
          <w:rFonts w:asciiTheme="minorHAnsi" w:hAnsiTheme="minorHAnsi" w:cstheme="minorHAnsi"/>
          <w:sz w:val="24"/>
          <w:szCs w:val="24"/>
        </w:rPr>
        <w:t>, 2013</w:t>
      </w:r>
    </w:p>
    <w:p w:rsidR="00F56160" w:rsidRPr="00F46D82" w:rsidRDefault="00F56160" w:rsidP="00F56160">
      <w:pPr>
        <w:pStyle w:val="NoSpacing"/>
        <w:rPr>
          <w:rFonts w:asciiTheme="minorHAnsi" w:hAnsiTheme="minorHAnsi" w:cstheme="minorHAnsi"/>
          <w:sz w:val="24"/>
          <w:szCs w:val="24"/>
        </w:rPr>
      </w:pPr>
    </w:p>
    <w:p w:rsidR="00F56160" w:rsidRPr="00F46D82" w:rsidRDefault="00F56160" w:rsidP="00F56160">
      <w:pPr>
        <w:pStyle w:val="NoSpacing"/>
        <w:rPr>
          <w:rFonts w:asciiTheme="minorHAnsi" w:hAnsiTheme="minorHAnsi" w:cstheme="minorHAnsi"/>
          <w:sz w:val="24"/>
          <w:szCs w:val="24"/>
        </w:rPr>
      </w:pPr>
    </w:p>
    <w:p w:rsidR="00F56160" w:rsidRPr="00F46D82" w:rsidRDefault="00F56160" w:rsidP="00F56160">
      <w:pPr>
        <w:pStyle w:val="NoSpacing"/>
        <w:rPr>
          <w:rFonts w:asciiTheme="minorHAnsi" w:hAnsiTheme="minorHAnsi" w:cstheme="minorHAnsi"/>
          <w:sz w:val="24"/>
          <w:szCs w:val="24"/>
        </w:rPr>
      </w:pPr>
    </w:p>
    <w:p w:rsidR="00F56160" w:rsidRPr="00F46D82" w:rsidRDefault="00F56160" w:rsidP="00F56160">
      <w:pPr>
        <w:pStyle w:val="NoSpacing"/>
        <w:rPr>
          <w:rFonts w:asciiTheme="minorHAnsi" w:hAnsiTheme="minorHAnsi" w:cstheme="minorHAnsi"/>
          <w:sz w:val="24"/>
          <w:szCs w:val="24"/>
        </w:rPr>
      </w:pPr>
    </w:p>
    <w:p w:rsidR="00F56160" w:rsidRPr="00F46D82" w:rsidRDefault="00F56160" w:rsidP="00F56160">
      <w:pPr>
        <w:pStyle w:val="NoSpacing"/>
        <w:rPr>
          <w:rFonts w:asciiTheme="minorHAnsi" w:hAnsiTheme="minorHAnsi" w:cstheme="minorHAnsi"/>
          <w:sz w:val="24"/>
          <w:szCs w:val="24"/>
        </w:rPr>
      </w:pPr>
      <w:r w:rsidRPr="00F46D82">
        <w:rPr>
          <w:rFonts w:asciiTheme="minorHAnsi" w:hAnsiTheme="minorHAnsi" w:cstheme="minorHAnsi"/>
          <w:sz w:val="24"/>
          <w:szCs w:val="24"/>
        </w:rPr>
        <w:t>ATSDR Division of Toxicology and Human Health Sciences</w:t>
      </w:r>
    </w:p>
    <w:p w:rsidR="00F56160" w:rsidRPr="00F46D82" w:rsidRDefault="00F56160" w:rsidP="00F56160">
      <w:pPr>
        <w:pStyle w:val="NoSpacing"/>
        <w:rPr>
          <w:rFonts w:asciiTheme="minorHAnsi" w:hAnsiTheme="minorHAnsi" w:cstheme="minorHAnsi"/>
          <w:i/>
          <w:sz w:val="24"/>
          <w:szCs w:val="24"/>
        </w:rPr>
      </w:pPr>
    </w:p>
    <w:p w:rsidR="00F56160" w:rsidRPr="00661560" w:rsidRDefault="00F56160" w:rsidP="00F56160">
      <w:pPr>
        <w:pStyle w:val="NoSpacing"/>
        <w:rPr>
          <w:rFonts w:asciiTheme="minorHAnsi" w:hAnsiTheme="minorHAnsi" w:cstheme="minorHAnsi"/>
          <w:sz w:val="24"/>
          <w:szCs w:val="24"/>
        </w:rPr>
      </w:pPr>
      <w:r w:rsidRPr="00661560">
        <w:rPr>
          <w:rFonts w:asciiTheme="minorHAnsi" w:hAnsiTheme="minorHAnsi" w:cstheme="minorHAnsi"/>
          <w:sz w:val="24"/>
          <w:szCs w:val="24"/>
        </w:rPr>
        <w:t>Marian Pavuk, PhD, MD</w:t>
      </w:r>
    </w:p>
    <w:p w:rsidR="00F56160" w:rsidRPr="00661560" w:rsidRDefault="00F56160" w:rsidP="00F56160">
      <w:pPr>
        <w:pStyle w:val="NoSpacing"/>
        <w:rPr>
          <w:rFonts w:asciiTheme="minorHAnsi" w:hAnsiTheme="minorHAnsi" w:cstheme="minorHAnsi"/>
          <w:sz w:val="24"/>
          <w:szCs w:val="24"/>
        </w:rPr>
      </w:pPr>
      <w:r w:rsidRPr="00661560">
        <w:rPr>
          <w:rFonts w:asciiTheme="minorHAnsi" w:hAnsiTheme="minorHAnsi" w:cstheme="minorHAnsi"/>
          <w:sz w:val="24"/>
          <w:szCs w:val="24"/>
        </w:rPr>
        <w:t>Principal Investigator</w:t>
      </w:r>
    </w:p>
    <w:p w:rsidR="00F56160" w:rsidRPr="00661560" w:rsidRDefault="00F56160" w:rsidP="00F56160">
      <w:pPr>
        <w:pStyle w:val="NoSpacing"/>
        <w:rPr>
          <w:rFonts w:asciiTheme="minorHAnsi" w:hAnsiTheme="minorHAnsi" w:cstheme="minorHAnsi"/>
          <w:sz w:val="24"/>
          <w:szCs w:val="24"/>
        </w:rPr>
      </w:pPr>
      <w:r w:rsidRPr="00661560">
        <w:rPr>
          <w:rFonts w:asciiTheme="minorHAnsi" w:hAnsiTheme="minorHAnsi" w:cstheme="minorHAnsi"/>
          <w:sz w:val="24"/>
          <w:szCs w:val="24"/>
        </w:rPr>
        <w:t>Phone: 770-488-3671</w:t>
      </w:r>
    </w:p>
    <w:p w:rsidR="00F56160" w:rsidRPr="00661560" w:rsidRDefault="00F56160" w:rsidP="00F56160">
      <w:pPr>
        <w:pStyle w:val="NoSpacing"/>
        <w:rPr>
          <w:rFonts w:asciiTheme="minorHAnsi" w:hAnsiTheme="minorHAnsi" w:cstheme="minorHAnsi"/>
          <w:sz w:val="24"/>
          <w:szCs w:val="24"/>
        </w:rPr>
      </w:pPr>
      <w:r w:rsidRPr="00661560">
        <w:rPr>
          <w:rFonts w:asciiTheme="minorHAnsi" w:hAnsiTheme="minorHAnsi" w:cstheme="minorHAnsi"/>
          <w:sz w:val="24"/>
          <w:szCs w:val="24"/>
        </w:rPr>
        <w:t>Fax Number: 770-488-1537</w:t>
      </w:r>
    </w:p>
    <w:p w:rsidR="00F56160" w:rsidRPr="00661560" w:rsidRDefault="00F56160" w:rsidP="00F56160">
      <w:pPr>
        <w:pStyle w:val="NoSpacing"/>
        <w:rPr>
          <w:rFonts w:asciiTheme="minorHAnsi" w:hAnsiTheme="minorHAnsi" w:cstheme="minorHAnsi"/>
          <w:sz w:val="24"/>
          <w:szCs w:val="24"/>
        </w:rPr>
      </w:pPr>
      <w:r w:rsidRPr="00661560">
        <w:rPr>
          <w:rFonts w:asciiTheme="minorHAnsi" w:hAnsiTheme="minorHAnsi" w:cstheme="minorHAnsi"/>
          <w:sz w:val="24"/>
          <w:szCs w:val="24"/>
        </w:rPr>
        <w:t>Email: MPavuk@cdc.gov</w:t>
      </w:r>
    </w:p>
    <w:p w:rsidR="00596096" w:rsidRPr="003C4F3A" w:rsidRDefault="00596096" w:rsidP="00C67B33">
      <w:pPr>
        <w:rPr>
          <w:rFonts w:cs="Calibri"/>
          <w:bCs/>
          <w:sz w:val="24"/>
          <w:szCs w:val="24"/>
        </w:rPr>
      </w:pPr>
    </w:p>
    <w:p w:rsidR="00FC0D8D" w:rsidRPr="003C4F3A" w:rsidRDefault="00FC0D8D" w:rsidP="006B6180">
      <w:pPr>
        <w:contextualSpacing/>
        <w:rPr>
          <w:rFonts w:cs="Calibri"/>
          <w:b/>
          <w:color w:val="365F91"/>
          <w:sz w:val="28"/>
          <w:szCs w:val="28"/>
        </w:rPr>
      </w:pPr>
    </w:p>
    <w:p w:rsidR="00FC0D8D" w:rsidRPr="003C4F3A" w:rsidRDefault="00FC0D8D" w:rsidP="006B6180">
      <w:pPr>
        <w:contextualSpacing/>
        <w:rPr>
          <w:rFonts w:cs="Calibri"/>
          <w:b/>
          <w:color w:val="365F91"/>
          <w:sz w:val="28"/>
          <w:szCs w:val="28"/>
        </w:rPr>
      </w:pPr>
    </w:p>
    <w:p w:rsidR="00F56160" w:rsidRDefault="00F56160">
      <w:pPr>
        <w:spacing w:after="0" w:line="240" w:lineRule="auto"/>
        <w:rPr>
          <w:rFonts w:cs="Calibri"/>
          <w:b/>
          <w:color w:val="365F91"/>
          <w:sz w:val="28"/>
          <w:szCs w:val="28"/>
        </w:rPr>
      </w:pPr>
      <w:r>
        <w:rPr>
          <w:rFonts w:cs="Calibri"/>
          <w:b/>
          <w:color w:val="365F91"/>
          <w:sz w:val="28"/>
          <w:szCs w:val="28"/>
        </w:rPr>
        <w:br w:type="page"/>
      </w:r>
    </w:p>
    <w:p w:rsidR="00A61772" w:rsidRPr="003C4F3A" w:rsidRDefault="00350E57" w:rsidP="006B6180">
      <w:pPr>
        <w:contextualSpacing/>
        <w:rPr>
          <w:rFonts w:cs="Calibri"/>
          <w:sz w:val="24"/>
          <w:szCs w:val="24"/>
        </w:rPr>
      </w:pPr>
      <w:r w:rsidRPr="003C4F3A">
        <w:rPr>
          <w:rFonts w:cs="Calibri"/>
          <w:b/>
          <w:color w:val="365F91"/>
          <w:sz w:val="28"/>
          <w:szCs w:val="28"/>
        </w:rPr>
        <w:lastRenderedPageBreak/>
        <w:t>TABLE OF CONTENTS</w:t>
      </w:r>
    </w:p>
    <w:p w:rsidR="00A61772" w:rsidRPr="003C4F3A" w:rsidRDefault="00A61772" w:rsidP="00716526">
      <w:pPr>
        <w:spacing w:after="0"/>
        <w:rPr>
          <w:rFonts w:cs="Calibri"/>
        </w:rPr>
      </w:pPr>
    </w:p>
    <w:p w:rsidR="0077415D" w:rsidRDefault="008E3E78">
      <w:pPr>
        <w:pStyle w:val="TOC1"/>
        <w:tabs>
          <w:tab w:val="right" w:leader="dot" w:pos="9350"/>
        </w:tabs>
        <w:rPr>
          <w:rFonts w:asciiTheme="minorHAnsi" w:eastAsiaTheme="minorEastAsia" w:hAnsiTheme="minorHAnsi" w:cstheme="minorBidi"/>
          <w:noProof/>
        </w:rPr>
      </w:pPr>
      <w:r w:rsidRPr="003C4F3A">
        <w:rPr>
          <w:rFonts w:cs="Calibri"/>
          <w:sz w:val="24"/>
          <w:szCs w:val="24"/>
        </w:rPr>
        <w:fldChar w:fldCharType="begin"/>
      </w:r>
      <w:r w:rsidR="00A61772" w:rsidRPr="003C4F3A">
        <w:rPr>
          <w:rFonts w:cs="Calibri"/>
          <w:sz w:val="24"/>
          <w:szCs w:val="24"/>
        </w:rPr>
        <w:instrText xml:space="preserve"> TOC \o "1-3" \h \z \u </w:instrText>
      </w:r>
      <w:r w:rsidRPr="003C4F3A">
        <w:rPr>
          <w:rFonts w:cs="Calibri"/>
          <w:sz w:val="24"/>
          <w:szCs w:val="24"/>
        </w:rPr>
        <w:fldChar w:fldCharType="separate"/>
      </w:r>
      <w:hyperlink w:anchor="_Toc349489329" w:history="1">
        <w:r w:rsidR="0077415D" w:rsidRPr="00966DFF">
          <w:rPr>
            <w:rStyle w:val="Hyperlink"/>
            <w:rFonts w:cs="Calibri"/>
            <w:noProof/>
          </w:rPr>
          <w:t>PART B. Collections of Information Employing Statistical Methods</w:t>
        </w:r>
        <w:r w:rsidR="0077415D">
          <w:rPr>
            <w:noProof/>
            <w:webHidden/>
          </w:rPr>
          <w:tab/>
        </w:r>
        <w:r w:rsidR="0077415D">
          <w:rPr>
            <w:noProof/>
            <w:webHidden/>
          </w:rPr>
          <w:fldChar w:fldCharType="begin"/>
        </w:r>
        <w:r w:rsidR="0077415D">
          <w:rPr>
            <w:noProof/>
            <w:webHidden/>
          </w:rPr>
          <w:instrText xml:space="preserve"> PAGEREF _Toc349489329 \h </w:instrText>
        </w:r>
        <w:r w:rsidR="0077415D">
          <w:rPr>
            <w:noProof/>
            <w:webHidden/>
          </w:rPr>
        </w:r>
        <w:r w:rsidR="0077415D">
          <w:rPr>
            <w:noProof/>
            <w:webHidden/>
          </w:rPr>
          <w:fldChar w:fldCharType="separate"/>
        </w:r>
        <w:r w:rsidR="008C46D3">
          <w:rPr>
            <w:noProof/>
            <w:webHidden/>
          </w:rPr>
          <w:t>3</w:t>
        </w:r>
        <w:r w:rsidR="0077415D">
          <w:rPr>
            <w:noProof/>
            <w:webHidden/>
          </w:rPr>
          <w:fldChar w:fldCharType="end"/>
        </w:r>
      </w:hyperlink>
    </w:p>
    <w:p w:rsidR="0077415D" w:rsidRDefault="00A71F04">
      <w:pPr>
        <w:pStyle w:val="TOC2"/>
        <w:tabs>
          <w:tab w:val="right" w:leader="dot" w:pos="9350"/>
        </w:tabs>
        <w:rPr>
          <w:rFonts w:asciiTheme="minorHAnsi" w:eastAsiaTheme="minorEastAsia" w:hAnsiTheme="minorHAnsi" w:cstheme="minorBidi"/>
          <w:noProof/>
        </w:rPr>
      </w:pPr>
      <w:hyperlink w:anchor="_Toc349489330" w:history="1">
        <w:r w:rsidR="0077415D" w:rsidRPr="00966DFF">
          <w:rPr>
            <w:rStyle w:val="Hyperlink"/>
            <w:noProof/>
          </w:rPr>
          <w:t>Background</w:t>
        </w:r>
        <w:r w:rsidR="0077415D">
          <w:rPr>
            <w:noProof/>
            <w:webHidden/>
          </w:rPr>
          <w:tab/>
        </w:r>
        <w:r w:rsidR="0077415D">
          <w:rPr>
            <w:noProof/>
            <w:webHidden/>
          </w:rPr>
          <w:fldChar w:fldCharType="begin"/>
        </w:r>
        <w:r w:rsidR="0077415D">
          <w:rPr>
            <w:noProof/>
            <w:webHidden/>
          </w:rPr>
          <w:instrText xml:space="preserve"> PAGEREF _Toc349489330 \h </w:instrText>
        </w:r>
        <w:r w:rsidR="0077415D">
          <w:rPr>
            <w:noProof/>
            <w:webHidden/>
          </w:rPr>
        </w:r>
        <w:r w:rsidR="0077415D">
          <w:rPr>
            <w:noProof/>
            <w:webHidden/>
          </w:rPr>
          <w:fldChar w:fldCharType="separate"/>
        </w:r>
        <w:r w:rsidR="008C46D3">
          <w:rPr>
            <w:noProof/>
            <w:webHidden/>
          </w:rPr>
          <w:t>3</w:t>
        </w:r>
        <w:r w:rsidR="0077415D">
          <w:rPr>
            <w:noProof/>
            <w:webHidden/>
          </w:rPr>
          <w:fldChar w:fldCharType="end"/>
        </w:r>
      </w:hyperlink>
    </w:p>
    <w:p w:rsidR="0077415D" w:rsidRDefault="00A71F04">
      <w:pPr>
        <w:pStyle w:val="TOC2"/>
        <w:tabs>
          <w:tab w:val="right" w:leader="dot" w:pos="9350"/>
        </w:tabs>
        <w:rPr>
          <w:rFonts w:asciiTheme="minorHAnsi" w:eastAsiaTheme="minorEastAsia" w:hAnsiTheme="minorHAnsi" w:cstheme="minorBidi"/>
          <w:noProof/>
        </w:rPr>
      </w:pPr>
      <w:hyperlink w:anchor="_Toc349489331" w:history="1">
        <w:r w:rsidR="0077415D" w:rsidRPr="00966DFF">
          <w:rPr>
            <w:rStyle w:val="Hyperlink"/>
            <w:rFonts w:cs="Calibri"/>
            <w:noProof/>
          </w:rPr>
          <w:t>B.1. Respondent Universe and Sampling Methods</w:t>
        </w:r>
        <w:r w:rsidR="0077415D">
          <w:rPr>
            <w:noProof/>
            <w:webHidden/>
          </w:rPr>
          <w:tab/>
        </w:r>
        <w:r w:rsidR="0077415D">
          <w:rPr>
            <w:noProof/>
            <w:webHidden/>
          </w:rPr>
          <w:fldChar w:fldCharType="begin"/>
        </w:r>
        <w:r w:rsidR="0077415D">
          <w:rPr>
            <w:noProof/>
            <w:webHidden/>
          </w:rPr>
          <w:instrText xml:space="preserve"> PAGEREF _Toc349489331 \h </w:instrText>
        </w:r>
        <w:r w:rsidR="0077415D">
          <w:rPr>
            <w:noProof/>
            <w:webHidden/>
          </w:rPr>
        </w:r>
        <w:r w:rsidR="0077415D">
          <w:rPr>
            <w:noProof/>
            <w:webHidden/>
          </w:rPr>
          <w:fldChar w:fldCharType="separate"/>
        </w:r>
        <w:r w:rsidR="008C46D3">
          <w:rPr>
            <w:noProof/>
            <w:webHidden/>
          </w:rPr>
          <w:t>3</w:t>
        </w:r>
        <w:r w:rsidR="0077415D">
          <w:rPr>
            <w:noProof/>
            <w:webHidden/>
          </w:rPr>
          <w:fldChar w:fldCharType="end"/>
        </w:r>
      </w:hyperlink>
    </w:p>
    <w:p w:rsidR="0077415D" w:rsidRDefault="00A71F04">
      <w:pPr>
        <w:pStyle w:val="TOC2"/>
        <w:tabs>
          <w:tab w:val="right" w:leader="dot" w:pos="9350"/>
        </w:tabs>
        <w:rPr>
          <w:rFonts w:asciiTheme="minorHAnsi" w:eastAsiaTheme="minorEastAsia" w:hAnsiTheme="minorHAnsi" w:cstheme="minorBidi"/>
          <w:noProof/>
        </w:rPr>
      </w:pPr>
      <w:hyperlink w:anchor="_Toc349489332" w:history="1">
        <w:r w:rsidR="0077415D" w:rsidRPr="00966DFF">
          <w:rPr>
            <w:rStyle w:val="Hyperlink"/>
            <w:rFonts w:cs="Calibri"/>
            <w:noProof/>
          </w:rPr>
          <w:t>B.2. Procedures for the Collection of Information</w:t>
        </w:r>
        <w:r w:rsidR="0077415D">
          <w:rPr>
            <w:noProof/>
            <w:webHidden/>
          </w:rPr>
          <w:tab/>
        </w:r>
        <w:r w:rsidR="0077415D">
          <w:rPr>
            <w:noProof/>
            <w:webHidden/>
          </w:rPr>
          <w:fldChar w:fldCharType="begin"/>
        </w:r>
        <w:r w:rsidR="0077415D">
          <w:rPr>
            <w:noProof/>
            <w:webHidden/>
          </w:rPr>
          <w:instrText xml:space="preserve"> PAGEREF _Toc349489332 \h </w:instrText>
        </w:r>
        <w:r w:rsidR="0077415D">
          <w:rPr>
            <w:noProof/>
            <w:webHidden/>
          </w:rPr>
        </w:r>
        <w:r w:rsidR="0077415D">
          <w:rPr>
            <w:noProof/>
            <w:webHidden/>
          </w:rPr>
          <w:fldChar w:fldCharType="separate"/>
        </w:r>
        <w:r w:rsidR="008C46D3">
          <w:rPr>
            <w:noProof/>
            <w:webHidden/>
          </w:rPr>
          <w:t>9</w:t>
        </w:r>
        <w:r w:rsidR="0077415D">
          <w:rPr>
            <w:noProof/>
            <w:webHidden/>
          </w:rPr>
          <w:fldChar w:fldCharType="end"/>
        </w:r>
      </w:hyperlink>
    </w:p>
    <w:p w:rsidR="0077415D" w:rsidRDefault="00A71F04">
      <w:pPr>
        <w:pStyle w:val="TOC2"/>
        <w:tabs>
          <w:tab w:val="right" w:leader="dot" w:pos="9350"/>
        </w:tabs>
        <w:rPr>
          <w:rFonts w:asciiTheme="minorHAnsi" w:eastAsiaTheme="minorEastAsia" w:hAnsiTheme="minorHAnsi" w:cstheme="minorBidi"/>
          <w:noProof/>
        </w:rPr>
      </w:pPr>
      <w:hyperlink w:anchor="_Toc349489333" w:history="1">
        <w:r w:rsidR="0077415D" w:rsidRPr="00966DFF">
          <w:rPr>
            <w:rStyle w:val="Hyperlink"/>
            <w:noProof/>
          </w:rPr>
          <w:t>B.3. Methods to Maximize Response Rates and Deal with Non-response</w:t>
        </w:r>
        <w:r w:rsidR="0077415D">
          <w:rPr>
            <w:noProof/>
            <w:webHidden/>
          </w:rPr>
          <w:tab/>
        </w:r>
        <w:r w:rsidR="0077415D">
          <w:rPr>
            <w:noProof/>
            <w:webHidden/>
          </w:rPr>
          <w:fldChar w:fldCharType="begin"/>
        </w:r>
        <w:r w:rsidR="0077415D">
          <w:rPr>
            <w:noProof/>
            <w:webHidden/>
          </w:rPr>
          <w:instrText xml:space="preserve"> PAGEREF _Toc349489333 \h </w:instrText>
        </w:r>
        <w:r w:rsidR="0077415D">
          <w:rPr>
            <w:noProof/>
            <w:webHidden/>
          </w:rPr>
        </w:r>
        <w:r w:rsidR="0077415D">
          <w:rPr>
            <w:noProof/>
            <w:webHidden/>
          </w:rPr>
          <w:fldChar w:fldCharType="separate"/>
        </w:r>
        <w:r w:rsidR="008C46D3">
          <w:rPr>
            <w:noProof/>
            <w:webHidden/>
          </w:rPr>
          <w:t>12</w:t>
        </w:r>
        <w:r w:rsidR="0077415D">
          <w:rPr>
            <w:noProof/>
            <w:webHidden/>
          </w:rPr>
          <w:fldChar w:fldCharType="end"/>
        </w:r>
      </w:hyperlink>
    </w:p>
    <w:p w:rsidR="0077415D" w:rsidRDefault="00A71F04">
      <w:pPr>
        <w:pStyle w:val="TOC2"/>
        <w:tabs>
          <w:tab w:val="right" w:leader="dot" w:pos="9350"/>
        </w:tabs>
        <w:rPr>
          <w:rFonts w:asciiTheme="minorHAnsi" w:eastAsiaTheme="minorEastAsia" w:hAnsiTheme="minorHAnsi" w:cstheme="minorBidi"/>
          <w:noProof/>
        </w:rPr>
      </w:pPr>
      <w:hyperlink w:anchor="_Toc349489334" w:history="1">
        <w:r w:rsidR="0077415D" w:rsidRPr="00966DFF">
          <w:rPr>
            <w:rStyle w:val="Hyperlink"/>
            <w:rFonts w:cs="Calibri"/>
            <w:noProof/>
          </w:rPr>
          <w:t>B.4. Tests of Procedures or Methods to be Undertaken</w:t>
        </w:r>
        <w:r w:rsidR="0077415D">
          <w:rPr>
            <w:noProof/>
            <w:webHidden/>
          </w:rPr>
          <w:tab/>
        </w:r>
        <w:r w:rsidR="0077415D">
          <w:rPr>
            <w:noProof/>
            <w:webHidden/>
          </w:rPr>
          <w:fldChar w:fldCharType="begin"/>
        </w:r>
        <w:r w:rsidR="0077415D">
          <w:rPr>
            <w:noProof/>
            <w:webHidden/>
          </w:rPr>
          <w:instrText xml:space="preserve"> PAGEREF _Toc349489334 \h </w:instrText>
        </w:r>
        <w:r w:rsidR="0077415D">
          <w:rPr>
            <w:noProof/>
            <w:webHidden/>
          </w:rPr>
        </w:r>
        <w:r w:rsidR="0077415D">
          <w:rPr>
            <w:noProof/>
            <w:webHidden/>
          </w:rPr>
          <w:fldChar w:fldCharType="separate"/>
        </w:r>
        <w:r w:rsidR="008C46D3">
          <w:rPr>
            <w:noProof/>
            <w:webHidden/>
          </w:rPr>
          <w:t>16</w:t>
        </w:r>
        <w:r w:rsidR="0077415D">
          <w:rPr>
            <w:noProof/>
            <w:webHidden/>
          </w:rPr>
          <w:fldChar w:fldCharType="end"/>
        </w:r>
      </w:hyperlink>
    </w:p>
    <w:p w:rsidR="0077415D" w:rsidRDefault="00A71F04">
      <w:pPr>
        <w:pStyle w:val="TOC2"/>
        <w:tabs>
          <w:tab w:val="right" w:leader="dot" w:pos="9350"/>
        </w:tabs>
        <w:rPr>
          <w:rFonts w:asciiTheme="minorHAnsi" w:eastAsiaTheme="minorEastAsia" w:hAnsiTheme="minorHAnsi" w:cstheme="minorBidi"/>
          <w:noProof/>
        </w:rPr>
      </w:pPr>
      <w:hyperlink w:anchor="_Toc349489335" w:history="1">
        <w:r w:rsidR="0077415D" w:rsidRPr="00966DFF">
          <w:rPr>
            <w:rStyle w:val="Hyperlink"/>
            <w:rFonts w:cs="Calibri"/>
            <w:noProof/>
          </w:rPr>
          <w:t>B.5. Individuals Consulted on Statistical Aspects and Individuals Collecting and/or Analyzing Data</w:t>
        </w:r>
        <w:r w:rsidR="0077415D">
          <w:rPr>
            <w:noProof/>
            <w:webHidden/>
          </w:rPr>
          <w:tab/>
        </w:r>
        <w:r w:rsidR="0077415D">
          <w:rPr>
            <w:noProof/>
            <w:webHidden/>
          </w:rPr>
          <w:fldChar w:fldCharType="begin"/>
        </w:r>
        <w:r w:rsidR="0077415D">
          <w:rPr>
            <w:noProof/>
            <w:webHidden/>
          </w:rPr>
          <w:instrText xml:space="preserve"> PAGEREF _Toc349489335 \h </w:instrText>
        </w:r>
        <w:r w:rsidR="0077415D">
          <w:rPr>
            <w:noProof/>
            <w:webHidden/>
          </w:rPr>
        </w:r>
        <w:r w:rsidR="0077415D">
          <w:rPr>
            <w:noProof/>
            <w:webHidden/>
          </w:rPr>
          <w:fldChar w:fldCharType="separate"/>
        </w:r>
        <w:r w:rsidR="008C46D3">
          <w:rPr>
            <w:noProof/>
            <w:webHidden/>
          </w:rPr>
          <w:t>17</w:t>
        </w:r>
        <w:r w:rsidR="0077415D">
          <w:rPr>
            <w:noProof/>
            <w:webHidden/>
          </w:rPr>
          <w:fldChar w:fldCharType="end"/>
        </w:r>
      </w:hyperlink>
    </w:p>
    <w:p w:rsidR="00662126" w:rsidRPr="003C4F3A" w:rsidRDefault="008E3E78" w:rsidP="005A3DBE">
      <w:pPr>
        <w:pStyle w:val="TOC1"/>
        <w:tabs>
          <w:tab w:val="right" w:leader="dot" w:pos="9350"/>
        </w:tabs>
        <w:rPr>
          <w:rFonts w:cs="Calibri"/>
          <w:sz w:val="24"/>
          <w:szCs w:val="24"/>
        </w:rPr>
      </w:pPr>
      <w:r w:rsidRPr="003C4F3A">
        <w:rPr>
          <w:rFonts w:cs="Calibri"/>
          <w:sz w:val="24"/>
          <w:szCs w:val="24"/>
        </w:rPr>
        <w:fldChar w:fldCharType="end"/>
      </w:r>
    </w:p>
    <w:p w:rsidR="003B01A7" w:rsidRPr="003C4F3A" w:rsidRDefault="003B01A7" w:rsidP="00006C20">
      <w:pPr>
        <w:pStyle w:val="Heading1"/>
        <w:rPr>
          <w:rFonts w:ascii="Calibri" w:hAnsi="Calibri" w:cs="Calibri"/>
        </w:rPr>
      </w:pPr>
    </w:p>
    <w:p w:rsidR="00020EFF" w:rsidRPr="003C4F3A" w:rsidRDefault="003B01A7" w:rsidP="00006C20">
      <w:pPr>
        <w:pStyle w:val="Heading1"/>
        <w:rPr>
          <w:rFonts w:ascii="Calibri" w:hAnsi="Calibri" w:cs="Calibri"/>
          <w:sz w:val="24"/>
          <w:szCs w:val="24"/>
        </w:rPr>
      </w:pPr>
      <w:r w:rsidRPr="003C4F3A">
        <w:rPr>
          <w:rFonts w:ascii="Calibri" w:hAnsi="Calibri" w:cs="Calibri"/>
        </w:rPr>
        <w:br w:type="page"/>
      </w:r>
      <w:bookmarkStart w:id="0" w:name="_Toc349489329"/>
      <w:r w:rsidR="00BE0690">
        <w:rPr>
          <w:rFonts w:ascii="Calibri" w:hAnsi="Calibri" w:cs="Calibri"/>
        </w:rPr>
        <w:lastRenderedPageBreak/>
        <w:t>PART</w:t>
      </w:r>
      <w:r w:rsidR="00B04842">
        <w:rPr>
          <w:rFonts w:ascii="Calibri" w:hAnsi="Calibri" w:cs="Calibri"/>
        </w:rPr>
        <w:t xml:space="preserve"> </w:t>
      </w:r>
      <w:r w:rsidR="00716526" w:rsidRPr="003C4F3A">
        <w:rPr>
          <w:rFonts w:ascii="Calibri" w:hAnsi="Calibri" w:cs="Calibri"/>
        </w:rPr>
        <w:t xml:space="preserve">B. </w:t>
      </w:r>
      <w:r w:rsidR="00B04842">
        <w:rPr>
          <w:rFonts w:ascii="Calibri" w:hAnsi="Calibri" w:cs="Calibri"/>
        </w:rPr>
        <w:t>Collections o</w:t>
      </w:r>
      <w:r w:rsidR="00B04842" w:rsidRPr="003C4F3A">
        <w:rPr>
          <w:rFonts w:ascii="Calibri" w:hAnsi="Calibri" w:cs="Calibri"/>
        </w:rPr>
        <w:t>f Information Employing Statistical Methods</w:t>
      </w:r>
      <w:bookmarkEnd w:id="0"/>
      <w:r w:rsidR="00B04842" w:rsidRPr="003C4F3A">
        <w:rPr>
          <w:rFonts w:ascii="Calibri" w:hAnsi="Calibri" w:cs="Calibri"/>
        </w:rPr>
        <w:t xml:space="preserve"> </w:t>
      </w:r>
    </w:p>
    <w:p w:rsidR="00364B85" w:rsidRPr="003C4F3A" w:rsidRDefault="00364B85" w:rsidP="00873AA5">
      <w:pPr>
        <w:spacing w:line="234" w:lineRule="auto"/>
        <w:rPr>
          <w:rFonts w:cs="Calibri"/>
          <w:b/>
          <w:bCs/>
          <w:smallCaps/>
          <w:sz w:val="23"/>
          <w:szCs w:val="23"/>
        </w:rPr>
      </w:pPr>
    </w:p>
    <w:p w:rsidR="008F7A8A" w:rsidRPr="00D22794" w:rsidRDefault="00D00CE9" w:rsidP="00B04842">
      <w:pPr>
        <w:pStyle w:val="Heading2"/>
        <w:rPr>
          <w:rFonts w:asciiTheme="minorHAnsi" w:hAnsiTheme="minorHAnsi"/>
        </w:rPr>
      </w:pPr>
      <w:bookmarkStart w:id="1" w:name="_Toc349489330"/>
      <w:r>
        <w:rPr>
          <w:rFonts w:asciiTheme="minorHAnsi" w:hAnsiTheme="minorHAnsi"/>
        </w:rPr>
        <w:t>Background</w:t>
      </w:r>
      <w:bookmarkEnd w:id="1"/>
    </w:p>
    <w:p w:rsidR="00B04842" w:rsidRDefault="00B04842" w:rsidP="003F2C74">
      <w:pPr>
        <w:autoSpaceDE w:val="0"/>
        <w:autoSpaceDN w:val="0"/>
        <w:adjustRightInd w:val="0"/>
        <w:spacing w:after="0" w:line="360" w:lineRule="auto"/>
        <w:jc w:val="both"/>
        <w:rPr>
          <w:rFonts w:cs="Calibri"/>
          <w:sz w:val="24"/>
          <w:szCs w:val="24"/>
        </w:rPr>
      </w:pPr>
    </w:p>
    <w:p w:rsidR="004D30AB" w:rsidRDefault="003F2C74" w:rsidP="004C3AD5">
      <w:pPr>
        <w:autoSpaceDE w:val="0"/>
        <w:autoSpaceDN w:val="0"/>
        <w:adjustRightInd w:val="0"/>
        <w:spacing w:after="0" w:line="240" w:lineRule="auto"/>
        <w:jc w:val="both"/>
        <w:rPr>
          <w:rFonts w:asciiTheme="minorHAnsi" w:hAnsiTheme="minorHAnsi" w:cstheme="minorHAnsi"/>
          <w:sz w:val="24"/>
          <w:szCs w:val="24"/>
        </w:rPr>
      </w:pPr>
      <w:r w:rsidRPr="003C4F3A">
        <w:rPr>
          <w:rFonts w:cs="Calibri"/>
          <w:sz w:val="24"/>
          <w:szCs w:val="24"/>
        </w:rPr>
        <w:t>From 2003 to 2005, the Agency for Toxic Substances and Disease Registry (ATSDR) funded the Anniston Consortium for Environmental Health Research (ACEHR), a university and community partnership charged to plan and prepare for the 2005-2007 Anniston Community Health Survey (ACHS).</w:t>
      </w:r>
      <w:r w:rsidR="00F9239C">
        <w:rPr>
          <w:rFonts w:cs="Calibri"/>
          <w:sz w:val="24"/>
          <w:szCs w:val="24"/>
        </w:rPr>
        <w:t xml:space="preserve"> </w:t>
      </w:r>
      <w:r w:rsidR="00F9239C">
        <w:rPr>
          <w:rFonts w:cs="Calibri"/>
          <w:color w:val="000000"/>
          <w:sz w:val="24"/>
          <w:szCs w:val="24"/>
        </w:rPr>
        <w:t>T</w:t>
      </w:r>
      <w:r w:rsidR="00F9239C" w:rsidRPr="00133E9F">
        <w:rPr>
          <w:rFonts w:cs="Calibri"/>
          <w:color w:val="000000"/>
          <w:sz w:val="24"/>
          <w:szCs w:val="24"/>
        </w:rPr>
        <w:t xml:space="preserve">he </w:t>
      </w:r>
      <w:r w:rsidR="00F9239C">
        <w:rPr>
          <w:rFonts w:cs="Calibri"/>
          <w:color w:val="000000"/>
          <w:sz w:val="24"/>
          <w:szCs w:val="24"/>
        </w:rPr>
        <w:t>ACHS</w:t>
      </w:r>
      <w:r w:rsidR="00F9239C" w:rsidRPr="00133E9F">
        <w:rPr>
          <w:rFonts w:cs="Calibri"/>
          <w:color w:val="000000"/>
          <w:sz w:val="24"/>
          <w:szCs w:val="24"/>
        </w:rPr>
        <w:t xml:space="preserve"> employed a two-stage sampling procedure in which 3,320 households were randomly selected from a commercial list of all residential sites within the city limits</w:t>
      </w:r>
      <w:r w:rsidR="00F9239C">
        <w:rPr>
          <w:rFonts w:cs="Calibri"/>
          <w:color w:val="000000"/>
          <w:sz w:val="24"/>
          <w:szCs w:val="24"/>
        </w:rPr>
        <w:t xml:space="preserve">. </w:t>
      </w:r>
      <w:r w:rsidR="00F9239C" w:rsidRPr="00133E9F">
        <w:rPr>
          <w:rFonts w:cs="Calibri"/>
          <w:color w:val="000000"/>
          <w:sz w:val="24"/>
          <w:szCs w:val="24"/>
        </w:rPr>
        <w:t>Addresses in west Anniston, the location of the former PCB manufacturing facility, were oversampled. All sampled addresses were visited by study staff: 489 were found to be vacant or nonresidential, and residents of 890 could not be contacted after multiple attempts. Contact was made with a member of each of the remaining 1,823 targeted households, and 713 declined to participate. Among the remaining 1,110 consenting households, an adult &gt; 18 years of age was randomly selected for survey completio</w:t>
      </w:r>
      <w:r w:rsidR="00E2439F">
        <w:rPr>
          <w:rFonts w:cs="Calibri"/>
          <w:color w:val="000000"/>
          <w:sz w:val="24"/>
          <w:szCs w:val="24"/>
        </w:rPr>
        <w:t>n; 774 of those volunteered to provide a blood sample and 766 had PCB levels measured</w:t>
      </w:r>
      <w:r w:rsidR="00E2439F" w:rsidRPr="00133E9F" w:rsidDel="00027F3F">
        <w:rPr>
          <w:rFonts w:cs="Calibri"/>
          <w:color w:val="000000"/>
          <w:sz w:val="24"/>
          <w:szCs w:val="24"/>
        </w:rPr>
        <w:t xml:space="preserve"> </w:t>
      </w:r>
      <w:r w:rsidR="00F9239C">
        <w:rPr>
          <w:rFonts w:cs="Calibri"/>
          <w:color w:val="000000"/>
          <w:sz w:val="24"/>
          <w:szCs w:val="24"/>
        </w:rPr>
        <w:t>(Silverstone et al., 2012)</w:t>
      </w:r>
      <w:r w:rsidR="00F9239C" w:rsidRPr="00133E9F">
        <w:rPr>
          <w:rFonts w:cs="Calibri"/>
          <w:color w:val="000000"/>
          <w:sz w:val="24"/>
          <w:szCs w:val="24"/>
        </w:rPr>
        <w:t>.</w:t>
      </w:r>
      <w:r w:rsidR="00002A5C">
        <w:rPr>
          <w:rFonts w:cs="Calibri"/>
          <w:color w:val="000000"/>
          <w:sz w:val="24"/>
          <w:szCs w:val="24"/>
        </w:rPr>
        <w:t xml:space="preserve"> </w:t>
      </w:r>
      <w:r w:rsidR="00E2439F">
        <w:rPr>
          <w:rFonts w:cs="Calibri"/>
          <w:color w:val="000000"/>
          <w:sz w:val="24"/>
          <w:szCs w:val="24"/>
        </w:rPr>
        <w:t xml:space="preserve"> U</w:t>
      </w:r>
      <w:r w:rsidR="00002A5C">
        <w:rPr>
          <w:rFonts w:cs="Calibri"/>
          <w:color w:val="000000"/>
          <w:sz w:val="24"/>
          <w:szCs w:val="24"/>
        </w:rPr>
        <w:t>sing the American Association for Public Opinion Research (AAPOR) methodology</w:t>
      </w:r>
      <w:r w:rsidR="00027F3F">
        <w:rPr>
          <w:rFonts w:cs="Calibri"/>
          <w:color w:val="000000"/>
          <w:sz w:val="24"/>
          <w:szCs w:val="24"/>
        </w:rPr>
        <w:t>,</w:t>
      </w:r>
      <w:r w:rsidR="00002A5C">
        <w:rPr>
          <w:rFonts w:cs="Calibri"/>
          <w:color w:val="000000"/>
          <w:sz w:val="24"/>
          <w:szCs w:val="24"/>
        </w:rPr>
        <w:t xml:space="preserve"> the </w:t>
      </w:r>
      <w:r w:rsidR="00027F3F">
        <w:rPr>
          <w:rFonts w:cs="Calibri"/>
          <w:color w:val="000000"/>
          <w:sz w:val="24"/>
          <w:szCs w:val="24"/>
        </w:rPr>
        <w:t xml:space="preserve">survey’s </w:t>
      </w:r>
      <w:r w:rsidR="00DB03A0">
        <w:rPr>
          <w:rFonts w:cs="Calibri"/>
          <w:color w:val="000000"/>
          <w:sz w:val="24"/>
          <w:szCs w:val="24"/>
        </w:rPr>
        <w:t>r</w:t>
      </w:r>
      <w:r w:rsidR="00002A5C">
        <w:rPr>
          <w:rFonts w:cs="Calibri"/>
          <w:color w:val="000000"/>
          <w:sz w:val="24"/>
          <w:szCs w:val="24"/>
        </w:rPr>
        <w:t xml:space="preserve">esponse </w:t>
      </w:r>
      <w:r w:rsidR="00DB03A0">
        <w:rPr>
          <w:rFonts w:cs="Calibri"/>
          <w:color w:val="000000"/>
          <w:sz w:val="24"/>
          <w:szCs w:val="24"/>
        </w:rPr>
        <w:t>rate would be 39</w:t>
      </w:r>
      <w:r w:rsidR="00002A5C">
        <w:rPr>
          <w:rFonts w:cs="Calibri"/>
          <w:color w:val="000000"/>
          <w:sz w:val="24"/>
          <w:szCs w:val="24"/>
        </w:rPr>
        <w:t>% (</w:t>
      </w:r>
      <w:r w:rsidR="00E2439F">
        <w:rPr>
          <w:rFonts w:cs="Calibri"/>
          <w:color w:val="000000"/>
          <w:sz w:val="24"/>
          <w:szCs w:val="24"/>
        </w:rPr>
        <w:t>1,110</w:t>
      </w:r>
      <w:proofErr w:type="gramStart"/>
      <w:r w:rsidR="00DB03A0">
        <w:rPr>
          <w:rFonts w:cs="Calibri"/>
          <w:color w:val="000000"/>
          <w:sz w:val="24"/>
          <w:szCs w:val="24"/>
        </w:rPr>
        <w:t>/</w:t>
      </w:r>
      <w:r w:rsidR="001A55C4">
        <w:rPr>
          <w:rFonts w:cs="Calibri"/>
          <w:color w:val="000000"/>
          <w:sz w:val="24"/>
          <w:szCs w:val="24"/>
        </w:rPr>
        <w:t>(</w:t>
      </w:r>
      <w:proofErr w:type="gramEnd"/>
      <w:r w:rsidR="00DB03A0">
        <w:rPr>
          <w:rFonts w:cs="Calibri"/>
          <w:color w:val="000000"/>
          <w:sz w:val="24"/>
          <w:szCs w:val="24"/>
        </w:rPr>
        <w:t>3,320-489</w:t>
      </w:r>
      <w:r w:rsidR="001A55C4">
        <w:rPr>
          <w:rFonts w:cs="Calibri"/>
          <w:color w:val="000000"/>
          <w:sz w:val="24"/>
          <w:szCs w:val="24"/>
        </w:rPr>
        <w:t>)</w:t>
      </w:r>
      <w:r w:rsidR="00002A5C">
        <w:rPr>
          <w:rFonts w:cs="Calibri"/>
          <w:color w:val="000000"/>
          <w:sz w:val="24"/>
          <w:szCs w:val="24"/>
        </w:rPr>
        <w:t xml:space="preserve">; </w:t>
      </w:r>
      <w:hyperlink r:id="rId9" w:history="1">
        <w:r w:rsidR="00E2439F" w:rsidRPr="004D0477">
          <w:rPr>
            <w:rStyle w:val="Hyperlink"/>
            <w:rFonts w:cs="Calibri"/>
            <w:sz w:val="24"/>
            <w:szCs w:val="24"/>
          </w:rPr>
          <w:t>http://www.aaport.org</w:t>
        </w:r>
      </w:hyperlink>
      <w:r w:rsidR="00002A5C">
        <w:rPr>
          <w:rFonts w:cs="Calibri"/>
          <w:color w:val="000000"/>
          <w:sz w:val="24"/>
          <w:szCs w:val="24"/>
        </w:rPr>
        <w:t>).</w:t>
      </w:r>
      <w:r w:rsidR="00E2439F">
        <w:rPr>
          <w:rFonts w:cs="Calibri"/>
          <w:color w:val="000000"/>
          <w:sz w:val="24"/>
          <w:szCs w:val="24"/>
        </w:rPr>
        <w:t xml:space="preserve"> </w:t>
      </w:r>
      <w:r w:rsidR="004C3AD5">
        <w:rPr>
          <w:rFonts w:cs="Calibri"/>
          <w:sz w:val="24"/>
          <w:szCs w:val="24"/>
        </w:rPr>
        <w:t>T</w:t>
      </w:r>
      <w:r w:rsidR="00F9239C" w:rsidRPr="003C4F3A">
        <w:rPr>
          <w:rFonts w:cs="Calibri"/>
          <w:sz w:val="24"/>
          <w:szCs w:val="24"/>
        </w:rPr>
        <w:t xml:space="preserve">he ACHS </w:t>
      </w:r>
      <w:r w:rsidR="000E439F">
        <w:rPr>
          <w:rFonts w:cs="Calibri"/>
          <w:sz w:val="24"/>
          <w:szCs w:val="24"/>
        </w:rPr>
        <w:t>Cohort</w:t>
      </w:r>
      <w:r w:rsidR="00711C4D">
        <w:rPr>
          <w:rFonts w:cs="Calibri"/>
          <w:sz w:val="24"/>
          <w:szCs w:val="24"/>
        </w:rPr>
        <w:t xml:space="preserve"> member</w:t>
      </w:r>
      <w:r w:rsidR="00F9239C" w:rsidRPr="003C4F3A">
        <w:rPr>
          <w:rFonts w:cs="Calibri"/>
          <w:sz w:val="24"/>
          <w:szCs w:val="24"/>
        </w:rPr>
        <w:t>s had a median age of 56 years (range: 18-93 years); were largely female (70%); and either African American (46%) or white (54%). They were also mostly</w:t>
      </w:r>
      <w:r w:rsidR="00F9239C">
        <w:rPr>
          <w:rFonts w:cs="Calibri"/>
          <w:sz w:val="24"/>
          <w:szCs w:val="24"/>
        </w:rPr>
        <w:t xml:space="preserve"> </w:t>
      </w:r>
      <w:r w:rsidR="00F9239C" w:rsidRPr="00921444">
        <w:rPr>
          <w:rFonts w:asciiTheme="minorHAnsi" w:hAnsiTheme="minorHAnsi" w:cstheme="minorHAnsi"/>
          <w:sz w:val="24"/>
          <w:szCs w:val="24"/>
        </w:rPr>
        <w:t xml:space="preserve">from the West Anniston area (84%) per the sampling plan. At the time of the ACHS, the </w:t>
      </w:r>
      <w:r w:rsidR="000E439F">
        <w:rPr>
          <w:rFonts w:asciiTheme="minorHAnsi" w:hAnsiTheme="minorHAnsi" w:cstheme="minorHAnsi"/>
          <w:sz w:val="24"/>
          <w:szCs w:val="24"/>
        </w:rPr>
        <w:t>Cohort</w:t>
      </w:r>
      <w:r w:rsidR="00F9239C" w:rsidRPr="00921444">
        <w:rPr>
          <w:rFonts w:asciiTheme="minorHAnsi" w:hAnsiTheme="minorHAnsi" w:cstheme="minorHAnsi"/>
          <w:sz w:val="24"/>
          <w:szCs w:val="24"/>
        </w:rPr>
        <w:t xml:space="preserve"> had lived in Anniston for a median of 28 years (range: &lt;1-79 years)</w:t>
      </w:r>
      <w:r w:rsidR="00F9239C">
        <w:rPr>
          <w:rFonts w:asciiTheme="minorHAnsi" w:hAnsiTheme="minorHAnsi" w:cstheme="minorHAnsi"/>
          <w:sz w:val="24"/>
          <w:szCs w:val="24"/>
        </w:rPr>
        <w:t xml:space="preserve"> (Silverstone et al., 2012)</w:t>
      </w:r>
      <w:r w:rsidR="00F9239C" w:rsidRPr="00921444">
        <w:rPr>
          <w:rFonts w:asciiTheme="minorHAnsi" w:hAnsiTheme="minorHAnsi" w:cstheme="minorHAnsi"/>
          <w:sz w:val="24"/>
          <w:szCs w:val="24"/>
        </w:rPr>
        <w:t>.</w:t>
      </w:r>
    </w:p>
    <w:p w:rsidR="004D30AB" w:rsidRDefault="004D30AB" w:rsidP="004C3AD5">
      <w:pPr>
        <w:autoSpaceDE w:val="0"/>
        <w:autoSpaceDN w:val="0"/>
        <w:adjustRightInd w:val="0"/>
        <w:spacing w:after="0" w:line="240" w:lineRule="auto"/>
        <w:jc w:val="both"/>
        <w:rPr>
          <w:rFonts w:asciiTheme="minorHAnsi" w:hAnsiTheme="minorHAnsi" w:cstheme="minorHAnsi"/>
          <w:sz w:val="24"/>
          <w:szCs w:val="24"/>
        </w:rPr>
      </w:pPr>
    </w:p>
    <w:p w:rsidR="00B465F4" w:rsidRPr="003C4F3A" w:rsidRDefault="00465A95" w:rsidP="00B465F4">
      <w:pPr>
        <w:pStyle w:val="Heading2"/>
        <w:rPr>
          <w:rFonts w:ascii="Calibri" w:hAnsi="Calibri" w:cs="Calibri"/>
          <w:sz w:val="24"/>
          <w:szCs w:val="24"/>
        </w:rPr>
      </w:pPr>
      <w:r>
        <w:rPr>
          <w:rFonts w:ascii="Calibri" w:hAnsi="Calibri" w:cs="Calibri"/>
          <w:sz w:val="24"/>
          <w:szCs w:val="24"/>
        </w:rPr>
        <w:t xml:space="preserve"> </w:t>
      </w:r>
      <w:bookmarkStart w:id="2" w:name="_Toc349489331"/>
      <w:r w:rsidR="00B465F4" w:rsidRPr="003C4F3A">
        <w:rPr>
          <w:rFonts w:ascii="Calibri" w:hAnsi="Calibri" w:cs="Calibri"/>
          <w:sz w:val="24"/>
          <w:szCs w:val="24"/>
        </w:rPr>
        <w:t>B.1. Respondent Universe and Sampling Methods</w:t>
      </w:r>
      <w:bookmarkEnd w:id="2"/>
      <w:r w:rsidR="00B465F4" w:rsidRPr="003C4F3A">
        <w:rPr>
          <w:rFonts w:ascii="Calibri" w:hAnsi="Calibri" w:cs="Calibri"/>
          <w:sz w:val="24"/>
          <w:szCs w:val="24"/>
        </w:rPr>
        <w:t xml:space="preserve"> </w:t>
      </w:r>
    </w:p>
    <w:p w:rsidR="00B465F4" w:rsidRPr="003C4F3A" w:rsidRDefault="00B465F4" w:rsidP="00B465F4">
      <w:pPr>
        <w:autoSpaceDE w:val="0"/>
        <w:autoSpaceDN w:val="0"/>
        <w:adjustRightInd w:val="0"/>
        <w:spacing w:after="0"/>
        <w:rPr>
          <w:rFonts w:cs="Calibri"/>
          <w:sz w:val="24"/>
          <w:szCs w:val="24"/>
        </w:rPr>
      </w:pPr>
    </w:p>
    <w:p w:rsidR="00D620A3" w:rsidRPr="004C3AD5" w:rsidRDefault="00AE7AE8" w:rsidP="00921444">
      <w:pPr>
        <w:autoSpaceDE w:val="0"/>
        <w:autoSpaceDN w:val="0"/>
        <w:adjustRightInd w:val="0"/>
        <w:spacing w:after="0" w:line="240" w:lineRule="auto"/>
        <w:jc w:val="both"/>
        <w:rPr>
          <w:rFonts w:asciiTheme="minorHAnsi" w:hAnsiTheme="minorHAnsi" w:cs="Calibri"/>
          <w:sz w:val="24"/>
          <w:szCs w:val="24"/>
        </w:rPr>
      </w:pPr>
      <w:r w:rsidRPr="003C4F3A">
        <w:rPr>
          <w:rFonts w:cs="Calibri"/>
          <w:sz w:val="24"/>
          <w:szCs w:val="24"/>
        </w:rPr>
        <w:t>Currently, the ATSDR, National Institute</w:t>
      </w:r>
      <w:r>
        <w:rPr>
          <w:rFonts w:cs="Calibri"/>
          <w:sz w:val="24"/>
          <w:szCs w:val="24"/>
        </w:rPr>
        <w:t>s of Health</w:t>
      </w:r>
      <w:r w:rsidRPr="003C4F3A">
        <w:rPr>
          <w:rFonts w:cs="Calibri"/>
          <w:sz w:val="24"/>
          <w:szCs w:val="24"/>
        </w:rPr>
        <w:t xml:space="preserve"> (NI</w:t>
      </w:r>
      <w:r>
        <w:rPr>
          <w:rFonts w:cs="Calibri"/>
          <w:sz w:val="24"/>
          <w:szCs w:val="24"/>
        </w:rPr>
        <w:t>H</w:t>
      </w:r>
      <w:r w:rsidRPr="003C4F3A">
        <w:rPr>
          <w:rFonts w:cs="Calibri"/>
          <w:sz w:val="24"/>
          <w:szCs w:val="24"/>
        </w:rPr>
        <w:t xml:space="preserve">), and </w:t>
      </w:r>
      <w:r>
        <w:rPr>
          <w:rFonts w:cs="Calibri"/>
          <w:sz w:val="24"/>
          <w:szCs w:val="24"/>
        </w:rPr>
        <w:t>university</w:t>
      </w:r>
      <w:r w:rsidRPr="003C4F3A">
        <w:rPr>
          <w:rFonts w:cs="Calibri"/>
          <w:sz w:val="24"/>
          <w:szCs w:val="24"/>
        </w:rPr>
        <w:t xml:space="preserve"> investigators will conduct a follow-up to the 2005-</w:t>
      </w:r>
      <w:r w:rsidRPr="004C3AD5">
        <w:rPr>
          <w:rFonts w:asciiTheme="minorHAnsi" w:hAnsiTheme="minorHAnsi" w:cs="Calibri"/>
          <w:sz w:val="24"/>
          <w:szCs w:val="24"/>
        </w:rPr>
        <w:t>2007 ACHS, called the ACHS</w:t>
      </w:r>
      <w:r w:rsidR="00296078">
        <w:rPr>
          <w:rFonts w:asciiTheme="minorHAnsi" w:hAnsiTheme="minorHAnsi" w:cs="Calibri"/>
          <w:sz w:val="24"/>
          <w:szCs w:val="24"/>
        </w:rPr>
        <w:t>-</w:t>
      </w:r>
      <w:r w:rsidRPr="004C3AD5">
        <w:rPr>
          <w:rFonts w:asciiTheme="minorHAnsi" w:hAnsiTheme="minorHAnsi" w:cs="Calibri"/>
          <w:sz w:val="24"/>
          <w:szCs w:val="24"/>
        </w:rPr>
        <w:t>II</w:t>
      </w:r>
      <w:r w:rsidR="00B465F4" w:rsidRPr="004C3AD5">
        <w:rPr>
          <w:rFonts w:asciiTheme="minorHAnsi" w:hAnsiTheme="minorHAnsi" w:cs="Calibri"/>
          <w:sz w:val="24"/>
          <w:szCs w:val="24"/>
        </w:rPr>
        <w:t xml:space="preserve">. </w:t>
      </w:r>
    </w:p>
    <w:p w:rsidR="00D620A3" w:rsidRPr="004C3AD5" w:rsidRDefault="00D620A3" w:rsidP="00921444">
      <w:pPr>
        <w:autoSpaceDE w:val="0"/>
        <w:autoSpaceDN w:val="0"/>
        <w:adjustRightInd w:val="0"/>
        <w:spacing w:after="0" w:line="240" w:lineRule="auto"/>
        <w:jc w:val="both"/>
        <w:rPr>
          <w:rFonts w:asciiTheme="minorHAnsi" w:hAnsiTheme="minorHAnsi" w:cs="Calibri"/>
          <w:sz w:val="24"/>
          <w:szCs w:val="24"/>
        </w:rPr>
      </w:pPr>
    </w:p>
    <w:p w:rsidR="00150FDF" w:rsidRPr="004C3AD5" w:rsidRDefault="00D620A3" w:rsidP="004C3AD5">
      <w:pPr>
        <w:pStyle w:val="NormalWeb"/>
        <w:numPr>
          <w:ilvl w:val="0"/>
          <w:numId w:val="18"/>
        </w:numPr>
        <w:spacing w:before="0" w:beforeAutospacing="0" w:after="0" w:afterAutospacing="0"/>
        <w:jc w:val="both"/>
        <w:rPr>
          <w:rFonts w:asciiTheme="minorHAnsi" w:hAnsiTheme="minorHAnsi" w:cstheme="minorHAnsi"/>
          <w:i/>
        </w:rPr>
      </w:pPr>
      <w:r w:rsidRPr="00465D11">
        <w:rPr>
          <w:rFonts w:asciiTheme="minorHAnsi" w:hAnsiTheme="minorHAnsi" w:cstheme="minorHAnsi"/>
          <w:i/>
        </w:rPr>
        <w:t xml:space="preserve">Study </w:t>
      </w:r>
      <w:r w:rsidRPr="00150FDF">
        <w:rPr>
          <w:rFonts w:asciiTheme="minorHAnsi" w:hAnsiTheme="minorHAnsi" w:cstheme="minorHAnsi"/>
          <w:i/>
        </w:rPr>
        <w:t>Population</w:t>
      </w:r>
      <w:r w:rsidR="00051294" w:rsidRPr="00150FDF">
        <w:rPr>
          <w:rFonts w:asciiTheme="minorHAnsi" w:hAnsiTheme="minorHAnsi" w:cstheme="minorHAnsi"/>
          <w:i/>
        </w:rPr>
        <w:t xml:space="preserve"> for Recruitment</w:t>
      </w:r>
      <w:r w:rsidRPr="00150FDF">
        <w:rPr>
          <w:rFonts w:asciiTheme="minorHAnsi" w:hAnsiTheme="minorHAnsi" w:cstheme="minorHAnsi"/>
          <w:i/>
        </w:rPr>
        <w:t xml:space="preserve">: </w:t>
      </w:r>
      <w:r w:rsidRPr="00150FDF">
        <w:rPr>
          <w:rFonts w:asciiTheme="minorHAnsi" w:hAnsiTheme="minorHAnsi" w:cstheme="minorHAnsi"/>
        </w:rPr>
        <w:t xml:space="preserve">All of the surviving original ACHS </w:t>
      </w:r>
      <w:r w:rsidR="000E439F">
        <w:rPr>
          <w:rFonts w:asciiTheme="minorHAnsi" w:hAnsiTheme="minorHAnsi" w:cstheme="minorHAnsi"/>
        </w:rPr>
        <w:t>Cohort</w:t>
      </w:r>
      <w:r w:rsidR="00711C4D">
        <w:rPr>
          <w:rFonts w:asciiTheme="minorHAnsi" w:hAnsiTheme="minorHAnsi" w:cstheme="minorHAnsi"/>
        </w:rPr>
        <w:t xml:space="preserve"> member</w:t>
      </w:r>
      <w:r w:rsidRPr="00150FDF">
        <w:rPr>
          <w:rFonts w:asciiTheme="minorHAnsi" w:hAnsiTheme="minorHAnsi" w:cstheme="minorHAnsi"/>
        </w:rPr>
        <w:t xml:space="preserve">s with </w:t>
      </w:r>
      <w:r w:rsidR="00DA2A59" w:rsidRPr="00150FDF">
        <w:rPr>
          <w:rFonts w:asciiTheme="minorHAnsi" w:hAnsiTheme="minorHAnsi" w:cstheme="minorHAnsi"/>
        </w:rPr>
        <w:t xml:space="preserve">valid </w:t>
      </w:r>
      <w:r w:rsidRPr="00150FDF">
        <w:rPr>
          <w:rFonts w:asciiTheme="minorHAnsi" w:hAnsiTheme="minorHAnsi" w:cstheme="minorHAnsi"/>
        </w:rPr>
        <w:t>PCB measurements wi</w:t>
      </w:r>
      <w:r w:rsidR="00465A95">
        <w:rPr>
          <w:rFonts w:asciiTheme="minorHAnsi" w:hAnsiTheme="minorHAnsi" w:cstheme="minorHAnsi"/>
        </w:rPr>
        <w:t>ll be asked to participate</w:t>
      </w:r>
      <w:r w:rsidRPr="00150FDF">
        <w:rPr>
          <w:rFonts w:asciiTheme="minorHAnsi" w:hAnsiTheme="minorHAnsi" w:cstheme="minorHAnsi"/>
        </w:rPr>
        <w:t xml:space="preserve"> in the ACHS-II </w:t>
      </w:r>
      <w:r w:rsidR="00DA2A59" w:rsidRPr="00150FDF">
        <w:rPr>
          <w:rFonts w:asciiTheme="minorHAnsi" w:hAnsiTheme="minorHAnsi" w:cstheme="minorHAnsi"/>
        </w:rPr>
        <w:t xml:space="preserve">in order </w:t>
      </w:r>
      <w:r w:rsidRPr="00150FDF">
        <w:rPr>
          <w:rFonts w:asciiTheme="minorHAnsi" w:hAnsiTheme="minorHAnsi" w:cstheme="minorHAnsi"/>
        </w:rPr>
        <w:t xml:space="preserve">to enroll a sample of 500 </w:t>
      </w:r>
      <w:r w:rsidR="00711C4D">
        <w:rPr>
          <w:rFonts w:asciiTheme="minorHAnsi" w:hAnsiTheme="minorHAnsi" w:cstheme="minorHAnsi"/>
        </w:rPr>
        <w:t>respondent</w:t>
      </w:r>
      <w:r w:rsidRPr="00150FDF">
        <w:rPr>
          <w:rFonts w:asciiTheme="minorHAnsi" w:hAnsiTheme="minorHAnsi" w:cstheme="minorHAnsi"/>
        </w:rPr>
        <w:t>s.</w:t>
      </w:r>
    </w:p>
    <w:p w:rsidR="00150FDF" w:rsidRPr="004C3AD5" w:rsidRDefault="00150FDF" w:rsidP="004C3AD5">
      <w:pPr>
        <w:pStyle w:val="NormalWeb"/>
        <w:spacing w:before="0" w:beforeAutospacing="0" w:after="0" w:afterAutospacing="0"/>
        <w:ind w:left="720"/>
        <w:jc w:val="both"/>
        <w:rPr>
          <w:rFonts w:asciiTheme="minorHAnsi" w:hAnsiTheme="minorHAnsi" w:cstheme="minorHAnsi"/>
          <w:i/>
        </w:rPr>
      </w:pPr>
    </w:p>
    <w:p w:rsidR="00150FDF" w:rsidRPr="004C3AD5" w:rsidRDefault="00286C98" w:rsidP="00150FDF">
      <w:pPr>
        <w:pStyle w:val="NormalWeb"/>
        <w:numPr>
          <w:ilvl w:val="0"/>
          <w:numId w:val="18"/>
        </w:numPr>
        <w:spacing w:before="0" w:beforeAutospacing="0" w:after="0" w:afterAutospacing="0"/>
        <w:jc w:val="both"/>
        <w:rPr>
          <w:rFonts w:asciiTheme="minorHAnsi" w:hAnsiTheme="minorHAnsi" w:cstheme="minorHAnsi"/>
          <w:i/>
        </w:rPr>
      </w:pPr>
      <w:r>
        <w:rPr>
          <w:rFonts w:asciiTheme="minorHAnsi" w:hAnsiTheme="minorHAnsi" w:cs="Calibri"/>
        </w:rPr>
        <w:t>R</w:t>
      </w:r>
      <w:r w:rsidR="00150FDF" w:rsidRPr="004C3AD5">
        <w:rPr>
          <w:rFonts w:asciiTheme="minorHAnsi" w:hAnsiTheme="minorHAnsi" w:cs="Calibri"/>
        </w:rPr>
        <w:t xml:space="preserve">ecruitment will be conducted by University of Alabama at Birmingham (UAB) and Calhoun County Health Department (CCHD) study staff. Study offices for appointments will be located in Anniston for a period of </w:t>
      </w:r>
      <w:r w:rsidR="00465A95">
        <w:rPr>
          <w:rFonts w:asciiTheme="minorHAnsi" w:hAnsiTheme="minorHAnsi" w:cs="Calibri"/>
        </w:rPr>
        <w:t xml:space="preserve">approximately </w:t>
      </w:r>
      <w:r w:rsidR="00150FDF" w:rsidRPr="004C3AD5">
        <w:rPr>
          <w:rFonts w:asciiTheme="minorHAnsi" w:hAnsiTheme="minorHAnsi" w:cs="Calibri"/>
        </w:rPr>
        <w:t xml:space="preserve">8 to 12 weeks. Designated secured space will be available for recruitment activities, reception, obtaining informed consent, enrollment, obtaining biological samples, and conducting interviews.  </w:t>
      </w:r>
    </w:p>
    <w:p w:rsidR="00AE3C41" w:rsidRPr="00150FDF" w:rsidRDefault="00AE3C41" w:rsidP="004C3AD5">
      <w:pPr>
        <w:pStyle w:val="NormalWeb"/>
        <w:spacing w:before="0" w:beforeAutospacing="0" w:after="0" w:afterAutospacing="0"/>
        <w:ind w:left="720"/>
        <w:jc w:val="both"/>
        <w:rPr>
          <w:rFonts w:asciiTheme="minorHAnsi" w:hAnsiTheme="minorHAnsi" w:cstheme="minorHAnsi"/>
          <w:i/>
        </w:rPr>
      </w:pPr>
    </w:p>
    <w:p w:rsidR="00D620A3" w:rsidRPr="004C3AD5" w:rsidRDefault="00D620A3" w:rsidP="00D620A3">
      <w:pPr>
        <w:pStyle w:val="NormalWeb"/>
        <w:numPr>
          <w:ilvl w:val="1"/>
          <w:numId w:val="18"/>
        </w:numPr>
        <w:spacing w:before="0" w:beforeAutospacing="0" w:after="0" w:afterAutospacing="0"/>
        <w:jc w:val="both"/>
        <w:rPr>
          <w:rFonts w:asciiTheme="minorHAnsi" w:hAnsiTheme="minorHAnsi" w:cstheme="minorHAnsi"/>
          <w:i/>
        </w:rPr>
      </w:pPr>
      <w:r w:rsidRPr="00150FDF">
        <w:rPr>
          <w:rFonts w:asciiTheme="minorHAnsi" w:hAnsiTheme="minorHAnsi" w:cstheme="minorHAnsi"/>
          <w:bCs/>
        </w:rPr>
        <w:lastRenderedPageBreak/>
        <w:t>The UAB investigator has retained information in identifiable form (IIF) and the last known contact information from</w:t>
      </w:r>
      <w:r w:rsidRPr="00C55D6E">
        <w:rPr>
          <w:rFonts w:asciiTheme="minorHAnsi" w:hAnsiTheme="minorHAnsi" w:cstheme="minorHAnsi"/>
          <w:bCs/>
        </w:rPr>
        <w:t xml:space="preserve"> the 766 members of the original ACHS </w:t>
      </w:r>
      <w:r w:rsidR="000E439F">
        <w:rPr>
          <w:rFonts w:asciiTheme="minorHAnsi" w:hAnsiTheme="minorHAnsi" w:cstheme="minorHAnsi"/>
          <w:bCs/>
        </w:rPr>
        <w:t>Cohort</w:t>
      </w:r>
      <w:r w:rsidRPr="00C55D6E">
        <w:rPr>
          <w:rFonts w:asciiTheme="minorHAnsi" w:hAnsiTheme="minorHAnsi" w:cstheme="minorHAnsi"/>
          <w:bCs/>
        </w:rPr>
        <w:t xml:space="preserve"> with PCB measurements</w:t>
      </w:r>
      <w:r w:rsidR="00750DB2">
        <w:rPr>
          <w:rFonts w:asciiTheme="minorHAnsi" w:hAnsiTheme="minorHAnsi" w:cstheme="minorHAnsi"/>
          <w:bCs/>
        </w:rPr>
        <w:t xml:space="preserve"> (</w:t>
      </w:r>
      <w:r w:rsidR="002B78B7">
        <w:rPr>
          <w:rFonts w:asciiTheme="minorHAnsi" w:hAnsiTheme="minorHAnsi" w:cstheme="minorHAnsi"/>
          <w:bCs/>
        </w:rPr>
        <w:t xml:space="preserve">IIF </w:t>
      </w:r>
      <w:r w:rsidR="00750DB2">
        <w:rPr>
          <w:rFonts w:asciiTheme="minorHAnsi" w:hAnsiTheme="minorHAnsi" w:cstheme="minorHAnsi"/>
          <w:bCs/>
        </w:rPr>
        <w:t xml:space="preserve">more fully described in </w:t>
      </w:r>
      <w:r w:rsidR="006A369A">
        <w:rPr>
          <w:rFonts w:asciiTheme="minorHAnsi" w:hAnsiTheme="minorHAnsi" w:cstheme="minorHAnsi"/>
          <w:bCs/>
        </w:rPr>
        <w:t>Section A.1).</w:t>
      </w:r>
      <w:r w:rsidR="00FA160A">
        <w:rPr>
          <w:rFonts w:asciiTheme="minorHAnsi" w:hAnsiTheme="minorHAnsi" w:cstheme="minorHAnsi"/>
          <w:bCs/>
        </w:rPr>
        <w:t xml:space="preserve"> Uses of </w:t>
      </w:r>
      <w:r w:rsidR="00E42D53">
        <w:rPr>
          <w:rFonts w:asciiTheme="minorHAnsi" w:hAnsiTheme="minorHAnsi" w:cstheme="minorHAnsi"/>
          <w:bCs/>
        </w:rPr>
        <w:t xml:space="preserve">the </w:t>
      </w:r>
      <w:r w:rsidR="00FA160A">
        <w:rPr>
          <w:rFonts w:asciiTheme="minorHAnsi" w:hAnsiTheme="minorHAnsi" w:cstheme="minorHAnsi"/>
          <w:bCs/>
        </w:rPr>
        <w:t>A</w:t>
      </w:r>
      <w:r w:rsidR="00BC4750">
        <w:rPr>
          <w:rFonts w:asciiTheme="minorHAnsi" w:hAnsiTheme="minorHAnsi" w:cstheme="minorHAnsi"/>
          <w:bCs/>
        </w:rPr>
        <w:t xml:space="preserve">CHS and </w:t>
      </w:r>
      <w:r w:rsidR="00E42D53">
        <w:rPr>
          <w:rFonts w:asciiTheme="minorHAnsi" w:hAnsiTheme="minorHAnsi" w:cstheme="minorHAnsi"/>
          <w:bCs/>
        </w:rPr>
        <w:t xml:space="preserve">the </w:t>
      </w:r>
      <w:r w:rsidR="00BC4750">
        <w:rPr>
          <w:rFonts w:asciiTheme="minorHAnsi" w:hAnsiTheme="minorHAnsi" w:cstheme="minorHAnsi"/>
          <w:bCs/>
        </w:rPr>
        <w:t>updated IIF are graphically presented</w:t>
      </w:r>
      <w:r w:rsidR="00465A95">
        <w:rPr>
          <w:rFonts w:asciiTheme="minorHAnsi" w:hAnsiTheme="minorHAnsi" w:cstheme="minorHAnsi"/>
          <w:bCs/>
        </w:rPr>
        <w:t xml:space="preserve"> in Attachment 3 (Overview of Data Collection System, </w:t>
      </w:r>
      <w:r w:rsidR="00465A95">
        <w:rPr>
          <w:rFonts w:asciiTheme="minorHAnsi" w:hAnsiTheme="minorHAnsi"/>
          <w:bCs/>
        </w:rPr>
        <w:t>Information Flow Chart</w:t>
      </w:r>
      <w:r w:rsidR="00FA160A">
        <w:rPr>
          <w:rFonts w:asciiTheme="minorHAnsi" w:hAnsiTheme="minorHAnsi" w:cstheme="minorHAnsi"/>
          <w:bCs/>
        </w:rPr>
        <w:t>).</w:t>
      </w:r>
    </w:p>
    <w:p w:rsidR="00AE3C41" w:rsidRPr="00B20854" w:rsidRDefault="00AE3C41" w:rsidP="004C3AD5">
      <w:pPr>
        <w:pStyle w:val="NormalWeb"/>
        <w:spacing w:before="0" w:beforeAutospacing="0" w:after="0" w:afterAutospacing="0"/>
        <w:ind w:left="1440"/>
        <w:jc w:val="both"/>
        <w:rPr>
          <w:rFonts w:asciiTheme="minorHAnsi" w:hAnsiTheme="minorHAnsi" w:cstheme="minorHAnsi"/>
          <w:i/>
        </w:rPr>
      </w:pPr>
    </w:p>
    <w:p w:rsidR="00465D11" w:rsidRDefault="00D620A3" w:rsidP="004C3AD5">
      <w:pPr>
        <w:pStyle w:val="NormalWeb"/>
        <w:numPr>
          <w:ilvl w:val="1"/>
          <w:numId w:val="18"/>
        </w:numPr>
        <w:spacing w:before="0" w:beforeAutospacing="0" w:after="0" w:afterAutospacing="0"/>
        <w:jc w:val="both"/>
        <w:rPr>
          <w:rFonts w:asciiTheme="minorHAnsi" w:hAnsiTheme="minorHAnsi"/>
          <w:bCs/>
        </w:rPr>
      </w:pPr>
      <w:r w:rsidRPr="009201E6">
        <w:rPr>
          <w:rFonts w:asciiTheme="minorHAnsi" w:hAnsiTheme="minorHAnsi"/>
          <w:bCs/>
        </w:rPr>
        <w:t>For planning purposes, a preliminary search of the Social Security Death Index (SSDI), of internet address databases, and of population data from the</w:t>
      </w:r>
      <w:r w:rsidRPr="006D111B">
        <w:rPr>
          <w:rFonts w:asciiTheme="minorHAnsi" w:hAnsiTheme="minorHAnsi"/>
          <w:bCs/>
        </w:rPr>
        <w:t xml:space="preserve"> U.S. Census </w:t>
      </w:r>
      <w:r w:rsidRPr="003E2735">
        <w:rPr>
          <w:rFonts w:asciiTheme="minorHAnsi" w:hAnsiTheme="minorHAnsi"/>
        </w:rPr>
        <w:t>(USCB, 2011) was performed</w:t>
      </w:r>
      <w:r w:rsidRPr="00101482">
        <w:rPr>
          <w:rFonts w:asciiTheme="minorHAnsi" w:hAnsiTheme="minorHAnsi"/>
          <w:bCs/>
        </w:rPr>
        <w:t xml:space="preserve"> to estimate the number of the ACHS Cohort members likely to be deceased or to have moved from the study area (shown in Attachment 3 – </w:t>
      </w:r>
      <w:r w:rsidR="00465A95">
        <w:rPr>
          <w:rFonts w:asciiTheme="minorHAnsi" w:hAnsiTheme="minorHAnsi" w:cstheme="minorHAnsi"/>
          <w:bCs/>
        </w:rPr>
        <w:t>Overview of Data Collection System,</w:t>
      </w:r>
      <w:r w:rsidR="00465A95">
        <w:rPr>
          <w:rFonts w:asciiTheme="minorHAnsi" w:hAnsiTheme="minorHAnsi"/>
          <w:bCs/>
        </w:rPr>
        <w:t xml:space="preserve"> </w:t>
      </w:r>
      <w:r w:rsidR="00B66FF6">
        <w:rPr>
          <w:rFonts w:asciiTheme="minorHAnsi" w:hAnsiTheme="minorHAnsi"/>
          <w:bCs/>
        </w:rPr>
        <w:t>Information Flow Chart)</w:t>
      </w:r>
      <w:r w:rsidRPr="003C6A09">
        <w:rPr>
          <w:rFonts w:asciiTheme="minorHAnsi" w:hAnsiTheme="minorHAnsi"/>
          <w:bCs/>
        </w:rPr>
        <w:t>.</w:t>
      </w:r>
    </w:p>
    <w:p w:rsidR="00AE3C41" w:rsidRDefault="00AE3C41" w:rsidP="004C3AD5">
      <w:pPr>
        <w:pStyle w:val="NormalWeb"/>
        <w:spacing w:before="0" w:beforeAutospacing="0" w:after="0" w:afterAutospacing="0"/>
        <w:jc w:val="both"/>
        <w:rPr>
          <w:rFonts w:asciiTheme="minorHAnsi" w:hAnsiTheme="minorHAnsi"/>
          <w:bCs/>
        </w:rPr>
      </w:pPr>
    </w:p>
    <w:p w:rsidR="00262961" w:rsidRPr="00AE3C41" w:rsidRDefault="00C55D6E" w:rsidP="004C3AD5">
      <w:pPr>
        <w:pStyle w:val="NormalWeb"/>
        <w:numPr>
          <w:ilvl w:val="2"/>
          <w:numId w:val="18"/>
        </w:numPr>
        <w:spacing w:before="0" w:beforeAutospacing="0" w:after="0" w:afterAutospacing="0"/>
        <w:jc w:val="both"/>
        <w:rPr>
          <w:rFonts w:asciiTheme="minorHAnsi" w:hAnsiTheme="minorHAnsi"/>
          <w:bCs/>
        </w:rPr>
      </w:pPr>
      <w:r>
        <w:rPr>
          <w:rFonts w:asciiTheme="minorHAnsi" w:hAnsiTheme="minorHAnsi" w:cs="Calibri"/>
        </w:rPr>
        <w:t>As the ACHS</w:t>
      </w:r>
      <w:r w:rsidRPr="007E28DA">
        <w:rPr>
          <w:rFonts w:asciiTheme="minorHAnsi" w:hAnsiTheme="minorHAnsi" w:cs="Calibri"/>
        </w:rPr>
        <w:t xml:space="preserve"> incl</w:t>
      </w:r>
      <w:r w:rsidR="006E2DA9">
        <w:rPr>
          <w:rFonts w:asciiTheme="minorHAnsi" w:hAnsiTheme="minorHAnsi" w:cs="Calibri"/>
        </w:rPr>
        <w:t>uded subjects up to 93 years of age</w:t>
      </w:r>
      <w:r w:rsidRPr="007E28DA">
        <w:rPr>
          <w:rFonts w:asciiTheme="minorHAnsi" w:hAnsiTheme="minorHAnsi" w:cs="Calibri"/>
        </w:rPr>
        <w:t>, it is expected that some have died since 2005-2007. All-cause mortality for Calhoun County is estimated to be 1.2 percent, a rate that has remained stable between 2005-</w:t>
      </w:r>
      <w:r w:rsidRPr="008B645E">
        <w:rPr>
          <w:rFonts w:asciiTheme="minorHAnsi" w:hAnsiTheme="minorHAnsi" w:cs="Calibri"/>
        </w:rPr>
        <w:t xml:space="preserve">2007 (ADPH/ARHA, 2009) and 2009 </w:t>
      </w:r>
      <w:r w:rsidRPr="006D111B">
        <w:rPr>
          <w:rFonts w:asciiTheme="minorHAnsi" w:hAnsiTheme="minorHAnsi" w:cs="Calibri"/>
        </w:rPr>
        <w:t xml:space="preserve">(Auburn University, 2011). </w:t>
      </w:r>
      <w:r w:rsidR="00465D11" w:rsidRPr="006D111B">
        <w:rPr>
          <w:rFonts w:asciiTheme="minorHAnsi" w:hAnsiTheme="minorHAnsi"/>
        </w:rPr>
        <w:t xml:space="preserve">As of January 20, 2012, 66 of the ACHS </w:t>
      </w:r>
      <w:r w:rsidR="000E439F">
        <w:rPr>
          <w:rFonts w:asciiTheme="minorHAnsi" w:hAnsiTheme="minorHAnsi"/>
        </w:rPr>
        <w:t>Cohort</w:t>
      </w:r>
      <w:r w:rsidR="00465D11" w:rsidRPr="006D111B">
        <w:rPr>
          <w:rFonts w:asciiTheme="minorHAnsi" w:hAnsiTheme="minorHAnsi"/>
        </w:rPr>
        <w:t xml:space="preserve"> are classified as likely to be deceased, based on matches on </w:t>
      </w:r>
      <w:r w:rsidR="00465D11" w:rsidRPr="003E2735">
        <w:rPr>
          <w:rFonts w:asciiTheme="minorHAnsi" w:hAnsiTheme="minorHAnsi"/>
          <w:i/>
        </w:rPr>
        <w:t>name,</w:t>
      </w:r>
      <w:r w:rsidR="00465D11" w:rsidRPr="003E2735">
        <w:rPr>
          <w:rFonts w:asciiTheme="minorHAnsi" w:hAnsiTheme="minorHAnsi"/>
        </w:rPr>
        <w:t xml:space="preserve"> and </w:t>
      </w:r>
      <w:r w:rsidR="00465D11" w:rsidRPr="00F7557D">
        <w:rPr>
          <w:rFonts w:asciiTheme="minorHAnsi" w:hAnsiTheme="minorHAnsi"/>
          <w:i/>
        </w:rPr>
        <w:t>date of birth</w:t>
      </w:r>
      <w:r w:rsidR="00465D11" w:rsidRPr="00F7557D">
        <w:rPr>
          <w:rFonts w:asciiTheme="minorHAnsi" w:hAnsiTheme="minorHAnsi"/>
        </w:rPr>
        <w:t xml:space="preserve"> between the ACHS </w:t>
      </w:r>
      <w:r w:rsidR="000E439F">
        <w:rPr>
          <w:rFonts w:asciiTheme="minorHAnsi" w:hAnsiTheme="minorHAnsi"/>
        </w:rPr>
        <w:t>Cohort</w:t>
      </w:r>
      <w:r w:rsidR="00465D11" w:rsidRPr="00F7557D">
        <w:rPr>
          <w:rFonts w:asciiTheme="minorHAnsi" w:hAnsiTheme="minorHAnsi"/>
        </w:rPr>
        <w:t xml:space="preserve"> and the SS</w:t>
      </w:r>
      <w:r w:rsidR="00B20854" w:rsidRPr="003C6A09">
        <w:rPr>
          <w:rFonts w:asciiTheme="minorHAnsi" w:hAnsiTheme="minorHAnsi"/>
        </w:rPr>
        <w:t>DI.</w:t>
      </w:r>
    </w:p>
    <w:p w:rsidR="00AE3C41" w:rsidRPr="00C70545" w:rsidRDefault="00AE3C41" w:rsidP="004C3AD5">
      <w:pPr>
        <w:pStyle w:val="NormalWeb"/>
        <w:spacing w:before="0" w:beforeAutospacing="0" w:after="0" w:afterAutospacing="0"/>
        <w:ind w:left="2160"/>
        <w:jc w:val="both"/>
        <w:rPr>
          <w:rFonts w:asciiTheme="minorHAnsi" w:hAnsiTheme="minorHAnsi"/>
          <w:bCs/>
        </w:rPr>
      </w:pPr>
    </w:p>
    <w:p w:rsidR="00465D11" w:rsidRPr="00AE3C41" w:rsidRDefault="008B645E" w:rsidP="004C3AD5">
      <w:pPr>
        <w:pStyle w:val="NormalWeb"/>
        <w:numPr>
          <w:ilvl w:val="2"/>
          <w:numId w:val="18"/>
        </w:numPr>
        <w:spacing w:before="0" w:beforeAutospacing="0" w:after="0" w:afterAutospacing="0"/>
        <w:jc w:val="both"/>
        <w:rPr>
          <w:rFonts w:asciiTheme="minorHAnsi" w:hAnsiTheme="minorHAnsi"/>
          <w:bCs/>
        </w:rPr>
      </w:pPr>
      <w:r w:rsidRPr="004C3AD5">
        <w:rPr>
          <w:rFonts w:asciiTheme="minorHAnsi" w:hAnsiTheme="minorHAnsi"/>
        </w:rPr>
        <w:t xml:space="preserve">For the remaining individuals assumed to be living, the list of 700 </w:t>
      </w:r>
      <w:r w:rsidRPr="004C3AD5">
        <w:rPr>
          <w:rFonts w:asciiTheme="minorHAnsi" w:hAnsiTheme="minorHAnsi"/>
          <w:i/>
        </w:rPr>
        <w:t>names</w:t>
      </w:r>
      <w:r w:rsidRPr="004C3AD5">
        <w:rPr>
          <w:rFonts w:asciiTheme="minorHAnsi" w:hAnsiTheme="minorHAnsi"/>
        </w:rPr>
        <w:t xml:space="preserve"> were run through two Internet-based reference databases (411.com and ReferenceUSA.com) in an attempt to confirm current matches on their name, approximate age, original street address and original telephone number. When these reference databases indicated the individuals had moved since the ACHS, updated address, updated </w:t>
      </w:r>
      <w:proofErr w:type="spellStart"/>
      <w:r w:rsidRPr="004C3AD5">
        <w:rPr>
          <w:rFonts w:asciiTheme="minorHAnsi" w:hAnsiTheme="minorHAnsi"/>
        </w:rPr>
        <w:t>zipcode</w:t>
      </w:r>
      <w:proofErr w:type="spellEnd"/>
      <w:r w:rsidRPr="004C3AD5">
        <w:rPr>
          <w:rFonts w:asciiTheme="minorHAnsi" w:hAnsiTheme="minorHAnsi"/>
        </w:rPr>
        <w:t xml:space="preserve">, and updated telephone number were obtained. As of January 20, 2012, UAB obtained current contact information on 488 </w:t>
      </w:r>
      <w:r w:rsidR="000E439F">
        <w:rPr>
          <w:rFonts w:asciiTheme="minorHAnsi" w:hAnsiTheme="minorHAnsi"/>
        </w:rPr>
        <w:t>Cohort</w:t>
      </w:r>
      <w:r w:rsidRPr="004C3AD5">
        <w:rPr>
          <w:rFonts w:asciiTheme="minorHAnsi" w:hAnsiTheme="minorHAnsi"/>
        </w:rPr>
        <w:t xml:space="preserve"> members, and the whereabouts of 212 </w:t>
      </w:r>
      <w:r w:rsidR="000E439F">
        <w:rPr>
          <w:rFonts w:asciiTheme="minorHAnsi" w:hAnsiTheme="minorHAnsi"/>
        </w:rPr>
        <w:t>Cohort</w:t>
      </w:r>
      <w:r w:rsidRPr="004C3AD5">
        <w:rPr>
          <w:rFonts w:asciiTheme="minorHAnsi" w:hAnsiTheme="minorHAnsi"/>
        </w:rPr>
        <w:t xml:space="preserve"> members are unknown.</w:t>
      </w:r>
      <w:r w:rsidR="006D111B">
        <w:rPr>
          <w:rFonts w:asciiTheme="minorHAnsi" w:hAnsiTheme="minorHAnsi"/>
        </w:rPr>
        <w:t xml:space="preserve"> As </w:t>
      </w:r>
      <w:r w:rsidR="006D111B">
        <w:rPr>
          <w:rFonts w:asciiTheme="minorHAnsi" w:hAnsiTheme="minorHAnsi" w:cs="Calibri"/>
        </w:rPr>
        <w:t>t</w:t>
      </w:r>
      <w:r w:rsidR="00465D11" w:rsidRPr="004C3AD5">
        <w:rPr>
          <w:rFonts w:asciiTheme="minorHAnsi" w:hAnsiTheme="minorHAnsi" w:cs="Calibri"/>
        </w:rPr>
        <w:t xml:space="preserve">he population in the City of Anniston has declined by 4.8 percent between the 2000 and the 2010 Censuses (USCB, 2011). </w:t>
      </w:r>
      <w:r w:rsidR="00C55D6E" w:rsidRPr="006D111B">
        <w:rPr>
          <w:rFonts w:asciiTheme="minorHAnsi" w:hAnsiTheme="minorHAnsi" w:cs="Calibri"/>
        </w:rPr>
        <w:t xml:space="preserve">It is estimated that </w:t>
      </w:r>
      <w:r w:rsidR="00440287" w:rsidRPr="006D111B">
        <w:rPr>
          <w:rFonts w:asciiTheme="minorHAnsi" w:hAnsiTheme="minorHAnsi" w:cs="Calibri"/>
        </w:rPr>
        <w:t xml:space="preserve">approximately </w:t>
      </w:r>
      <w:r w:rsidR="00C55D6E" w:rsidRPr="006D111B">
        <w:rPr>
          <w:rFonts w:asciiTheme="minorHAnsi" w:hAnsiTheme="minorHAnsi" w:cs="Calibri"/>
        </w:rPr>
        <w:t>35 ACHS Cohort members are no longer living in the study area.</w:t>
      </w:r>
    </w:p>
    <w:p w:rsidR="00AE3C41" w:rsidRPr="003C6A09" w:rsidRDefault="00AE3C41" w:rsidP="004C3AD5">
      <w:pPr>
        <w:pStyle w:val="NormalWeb"/>
        <w:spacing w:before="0" w:beforeAutospacing="0" w:after="0" w:afterAutospacing="0"/>
        <w:jc w:val="both"/>
        <w:rPr>
          <w:rFonts w:asciiTheme="minorHAnsi" w:hAnsiTheme="minorHAnsi"/>
        </w:rPr>
      </w:pPr>
    </w:p>
    <w:p w:rsidR="00375CC3" w:rsidRPr="004C3AD5" w:rsidRDefault="008B645E" w:rsidP="004D4CAF">
      <w:pPr>
        <w:pStyle w:val="NormalWeb"/>
        <w:numPr>
          <w:ilvl w:val="1"/>
          <w:numId w:val="18"/>
        </w:numPr>
        <w:spacing w:before="0" w:beforeAutospacing="0" w:after="0" w:afterAutospacing="0"/>
        <w:jc w:val="both"/>
        <w:rPr>
          <w:rFonts w:asciiTheme="minorHAnsi" w:hAnsiTheme="minorHAnsi"/>
        </w:rPr>
      </w:pPr>
      <w:r w:rsidRPr="004C3AD5">
        <w:rPr>
          <w:rFonts w:asciiTheme="minorHAnsi" w:hAnsiTheme="minorHAnsi"/>
        </w:rPr>
        <w:t>Because Social Security Number</w:t>
      </w:r>
      <w:r w:rsidR="00BB07E4">
        <w:rPr>
          <w:rFonts w:asciiTheme="minorHAnsi" w:hAnsiTheme="minorHAnsi"/>
        </w:rPr>
        <w:t>s</w:t>
      </w:r>
      <w:r w:rsidRPr="004C3AD5">
        <w:rPr>
          <w:rFonts w:asciiTheme="minorHAnsi" w:hAnsiTheme="minorHAnsi"/>
        </w:rPr>
        <w:t xml:space="preserve"> (SSN</w:t>
      </w:r>
      <w:r w:rsidR="00BB07E4">
        <w:rPr>
          <w:rFonts w:asciiTheme="minorHAnsi" w:hAnsiTheme="minorHAnsi"/>
        </w:rPr>
        <w:t>s</w:t>
      </w:r>
      <w:r w:rsidR="00BB07E4" w:rsidRPr="00BB07E4">
        <w:rPr>
          <w:rFonts w:asciiTheme="minorHAnsi" w:hAnsiTheme="minorHAnsi"/>
        </w:rPr>
        <w:t>) w</w:t>
      </w:r>
      <w:r w:rsidR="00BB07E4">
        <w:rPr>
          <w:rFonts w:asciiTheme="minorHAnsi" w:hAnsiTheme="minorHAnsi"/>
        </w:rPr>
        <w:t>ere</w:t>
      </w:r>
      <w:r w:rsidRPr="004C3AD5">
        <w:rPr>
          <w:rFonts w:asciiTheme="minorHAnsi" w:hAnsiTheme="minorHAnsi"/>
        </w:rPr>
        <w:t xml:space="preserve"> not collected and the matches with the SSDI and internet based databases are not c</w:t>
      </w:r>
      <w:r w:rsidR="00DA2A59" w:rsidRPr="00DA2A59">
        <w:rPr>
          <w:rFonts w:asciiTheme="minorHAnsi" w:hAnsiTheme="minorHAnsi"/>
        </w:rPr>
        <w:t>onfirmatory,</w:t>
      </w:r>
      <w:r w:rsidR="001E7ED3">
        <w:rPr>
          <w:rFonts w:asciiTheme="minorHAnsi" w:hAnsiTheme="minorHAnsi"/>
        </w:rPr>
        <w:t xml:space="preserve"> a </w:t>
      </w:r>
      <w:r w:rsidRPr="004C3AD5">
        <w:rPr>
          <w:rFonts w:asciiTheme="minorHAnsi" w:hAnsiTheme="minorHAnsi"/>
        </w:rPr>
        <w:t>study information and recruitment package</w:t>
      </w:r>
      <w:r w:rsidR="001E7ED3">
        <w:rPr>
          <w:rFonts w:asciiTheme="minorHAnsi" w:hAnsiTheme="minorHAnsi"/>
        </w:rPr>
        <w:t xml:space="preserve"> (Attachments 3.1 &amp;3.2)</w:t>
      </w:r>
      <w:r w:rsidRPr="004C3AD5">
        <w:rPr>
          <w:rFonts w:asciiTheme="minorHAnsi" w:hAnsiTheme="minorHAnsi"/>
        </w:rPr>
        <w:t xml:space="preserve"> </w:t>
      </w:r>
      <w:r w:rsidR="00DA2A59">
        <w:rPr>
          <w:rFonts w:asciiTheme="minorHAnsi" w:hAnsiTheme="minorHAnsi"/>
        </w:rPr>
        <w:t xml:space="preserve">will be mailed </w:t>
      </w:r>
      <w:r w:rsidR="003457EC">
        <w:rPr>
          <w:rFonts w:asciiTheme="minorHAnsi" w:hAnsiTheme="minorHAnsi"/>
        </w:rPr>
        <w:t xml:space="preserve">to </w:t>
      </w:r>
      <w:r w:rsidR="003457EC" w:rsidRPr="003457EC">
        <w:rPr>
          <w:rFonts w:asciiTheme="minorHAnsi" w:hAnsiTheme="minorHAnsi"/>
        </w:rPr>
        <w:t xml:space="preserve">eligible </w:t>
      </w:r>
      <w:r w:rsidRPr="004C3AD5">
        <w:rPr>
          <w:rFonts w:asciiTheme="minorHAnsi" w:hAnsiTheme="minorHAnsi"/>
        </w:rPr>
        <w:t xml:space="preserve">ACHS </w:t>
      </w:r>
      <w:r w:rsidR="000E439F">
        <w:rPr>
          <w:rFonts w:asciiTheme="minorHAnsi" w:hAnsiTheme="minorHAnsi"/>
        </w:rPr>
        <w:t>Cohort</w:t>
      </w:r>
      <w:r w:rsidR="00711C4D">
        <w:rPr>
          <w:rFonts w:asciiTheme="minorHAnsi" w:hAnsiTheme="minorHAnsi"/>
        </w:rPr>
        <w:t xml:space="preserve"> member</w:t>
      </w:r>
      <w:r w:rsidRPr="004C3AD5">
        <w:rPr>
          <w:rFonts w:asciiTheme="minorHAnsi" w:hAnsiTheme="minorHAnsi"/>
        </w:rPr>
        <w:t>s</w:t>
      </w:r>
      <w:r w:rsidR="001E7ED3">
        <w:rPr>
          <w:rFonts w:asciiTheme="minorHAnsi" w:hAnsiTheme="minorHAnsi"/>
        </w:rPr>
        <w:t>. T</w:t>
      </w:r>
      <w:r w:rsidRPr="004C3AD5">
        <w:rPr>
          <w:rFonts w:asciiTheme="minorHAnsi" w:hAnsiTheme="minorHAnsi"/>
        </w:rPr>
        <w:t xml:space="preserve">he confirmation of change of address or undeliverable notice </w:t>
      </w:r>
      <w:r w:rsidR="001E7ED3" w:rsidRPr="004D4CAF">
        <w:rPr>
          <w:rFonts w:asciiTheme="minorHAnsi" w:hAnsiTheme="minorHAnsi"/>
        </w:rPr>
        <w:t xml:space="preserve">will be received </w:t>
      </w:r>
      <w:r w:rsidRPr="004C3AD5">
        <w:rPr>
          <w:rFonts w:asciiTheme="minorHAnsi" w:hAnsiTheme="minorHAnsi"/>
        </w:rPr>
        <w:t>from the Unite</w:t>
      </w:r>
      <w:r w:rsidR="00AD760E" w:rsidRPr="004C3AD5">
        <w:rPr>
          <w:rFonts w:asciiTheme="minorHAnsi" w:hAnsiTheme="minorHAnsi"/>
        </w:rPr>
        <w:t>d States Postal Service (USPS).</w:t>
      </w:r>
    </w:p>
    <w:p w:rsidR="00375CC3" w:rsidRPr="004C3AD5" w:rsidRDefault="00375CC3" w:rsidP="00375CC3">
      <w:pPr>
        <w:autoSpaceDE w:val="0"/>
        <w:autoSpaceDN w:val="0"/>
        <w:adjustRightInd w:val="0"/>
        <w:spacing w:after="0" w:line="240" w:lineRule="auto"/>
        <w:jc w:val="both"/>
        <w:rPr>
          <w:rFonts w:asciiTheme="minorHAnsi" w:hAnsiTheme="minorHAnsi" w:cs="Calibri"/>
          <w:sz w:val="24"/>
          <w:szCs w:val="24"/>
        </w:rPr>
      </w:pPr>
    </w:p>
    <w:p w:rsidR="00375CC3" w:rsidRPr="004C3AD5" w:rsidRDefault="00375CC3" w:rsidP="004C3AD5">
      <w:pPr>
        <w:pStyle w:val="NormalWeb"/>
        <w:numPr>
          <w:ilvl w:val="1"/>
          <w:numId w:val="18"/>
        </w:numPr>
        <w:spacing w:before="0" w:beforeAutospacing="0" w:after="0" w:afterAutospacing="0"/>
        <w:jc w:val="both"/>
        <w:rPr>
          <w:rFonts w:asciiTheme="minorHAnsi" w:hAnsiTheme="minorHAnsi"/>
        </w:rPr>
      </w:pPr>
      <w:r w:rsidRPr="004C3AD5">
        <w:rPr>
          <w:rFonts w:asciiTheme="minorHAnsi" w:hAnsiTheme="minorHAnsi" w:cs="Calibri"/>
        </w:rPr>
        <w:t xml:space="preserve">Recruitment progress will be monitored and the number of </w:t>
      </w:r>
      <w:proofErr w:type="spellStart"/>
      <w:r w:rsidRPr="004C3AD5">
        <w:rPr>
          <w:rFonts w:asciiTheme="minorHAnsi" w:hAnsiTheme="minorHAnsi" w:cs="Calibri"/>
        </w:rPr>
        <w:t>mailouts</w:t>
      </w:r>
      <w:proofErr w:type="spellEnd"/>
      <w:r w:rsidRPr="004C3AD5">
        <w:rPr>
          <w:rFonts w:asciiTheme="minorHAnsi" w:hAnsiTheme="minorHAnsi" w:cs="Calibri"/>
        </w:rPr>
        <w:t xml:space="preserve"> will be </w:t>
      </w:r>
      <w:r w:rsidR="00465A95">
        <w:rPr>
          <w:rFonts w:asciiTheme="minorHAnsi" w:hAnsiTheme="minorHAnsi" w:cs="Calibri"/>
        </w:rPr>
        <w:t xml:space="preserve">adjusted to achieve the </w:t>
      </w:r>
      <w:r w:rsidR="00AF18AD">
        <w:rPr>
          <w:rFonts w:asciiTheme="minorHAnsi" w:hAnsiTheme="minorHAnsi" w:cs="Calibri"/>
        </w:rPr>
        <w:t>enrollment</w:t>
      </w:r>
      <w:r w:rsidRPr="004C3AD5">
        <w:rPr>
          <w:rFonts w:asciiTheme="minorHAnsi" w:hAnsiTheme="minorHAnsi" w:cs="Calibri"/>
        </w:rPr>
        <w:t xml:space="preserve"> goals. UAB study staff will work with the West Anniston Foundation to further update </w:t>
      </w:r>
      <w:r w:rsidR="00C14F4B">
        <w:rPr>
          <w:rFonts w:asciiTheme="minorHAnsi" w:hAnsiTheme="minorHAnsi" w:cs="Calibri"/>
        </w:rPr>
        <w:t xml:space="preserve">addresses, zip codes, and </w:t>
      </w:r>
      <w:r w:rsidR="00C14F4B">
        <w:rPr>
          <w:rFonts w:asciiTheme="minorHAnsi" w:hAnsiTheme="minorHAnsi" w:cs="Calibri"/>
        </w:rPr>
        <w:lastRenderedPageBreak/>
        <w:t xml:space="preserve">telephone numbers in </w:t>
      </w:r>
      <w:r w:rsidRPr="004C3AD5">
        <w:rPr>
          <w:rFonts w:asciiTheme="minorHAnsi" w:hAnsiTheme="minorHAnsi" w:cs="Calibri"/>
        </w:rPr>
        <w:t xml:space="preserve">the </w:t>
      </w:r>
      <w:r w:rsidR="00C14F4B">
        <w:rPr>
          <w:rFonts w:asciiTheme="minorHAnsi" w:hAnsiTheme="minorHAnsi" w:cs="Calibri"/>
        </w:rPr>
        <w:t>ACHS Cohort Contact</w:t>
      </w:r>
      <w:r w:rsidRPr="004C3AD5">
        <w:rPr>
          <w:rFonts w:asciiTheme="minorHAnsi" w:hAnsiTheme="minorHAnsi" w:cs="Calibri"/>
        </w:rPr>
        <w:t xml:space="preserve"> </w:t>
      </w:r>
      <w:r w:rsidR="00C14F4B">
        <w:rPr>
          <w:rFonts w:asciiTheme="minorHAnsi" w:hAnsiTheme="minorHAnsi" w:cs="Calibri"/>
        </w:rPr>
        <w:t>L</w:t>
      </w:r>
      <w:r w:rsidRPr="004C3AD5">
        <w:rPr>
          <w:rFonts w:asciiTheme="minorHAnsi" w:hAnsiTheme="minorHAnsi" w:cs="Calibri"/>
        </w:rPr>
        <w:t xml:space="preserve">ist. The Foundation is a </w:t>
      </w:r>
      <w:r w:rsidR="00C14F4B">
        <w:rPr>
          <w:rFonts w:asciiTheme="minorHAnsi" w:hAnsiTheme="minorHAnsi" w:cs="Calibri"/>
        </w:rPr>
        <w:t xml:space="preserve">socially connected </w:t>
      </w:r>
      <w:r w:rsidRPr="004C3AD5">
        <w:rPr>
          <w:rFonts w:asciiTheme="minorHAnsi" w:hAnsiTheme="minorHAnsi" w:cs="Calibri"/>
        </w:rPr>
        <w:t>non-profit 501(c</w:t>
      </w:r>
      <w:proofErr w:type="gramStart"/>
      <w:r w:rsidRPr="004C3AD5">
        <w:rPr>
          <w:rFonts w:asciiTheme="minorHAnsi" w:hAnsiTheme="minorHAnsi" w:cs="Calibri"/>
        </w:rPr>
        <w:t>)(</w:t>
      </w:r>
      <w:proofErr w:type="gramEnd"/>
      <w:r w:rsidRPr="004C3AD5">
        <w:rPr>
          <w:rFonts w:asciiTheme="minorHAnsi" w:hAnsiTheme="minorHAnsi" w:cs="Calibri"/>
        </w:rPr>
        <w:t>3) public charity corporation with strong ties to the residents and former residents of West Anniston.</w:t>
      </w:r>
      <w:r w:rsidRPr="004C3AD5">
        <w:rPr>
          <w:rFonts w:asciiTheme="minorHAnsi" w:hAnsiTheme="minorHAnsi" w:cs="Calibri"/>
          <w:iCs/>
        </w:rPr>
        <w:t xml:space="preserve"> </w:t>
      </w:r>
      <w:r w:rsidRPr="004C3AD5">
        <w:rPr>
          <w:rFonts w:asciiTheme="minorHAnsi" w:hAnsiTheme="minorHAnsi" w:cs="Calibri"/>
        </w:rPr>
        <w:t>Efforts to maximize response rates are discussed below. Final response rates will be obtained at the end of the enrollment period.</w:t>
      </w:r>
    </w:p>
    <w:p w:rsidR="008B645E" w:rsidRPr="00C55D6E" w:rsidRDefault="008B645E" w:rsidP="00DE59EE">
      <w:pPr>
        <w:spacing w:after="0" w:line="240" w:lineRule="auto"/>
        <w:jc w:val="both"/>
        <w:rPr>
          <w:rFonts w:asciiTheme="minorHAnsi" w:hAnsiTheme="minorHAnsi" w:cstheme="minorHAnsi"/>
          <w:bCs/>
          <w:sz w:val="24"/>
          <w:szCs w:val="24"/>
        </w:rPr>
      </w:pPr>
    </w:p>
    <w:p w:rsidR="00AE3C41" w:rsidRPr="00DE59EE" w:rsidRDefault="00D620A3" w:rsidP="00D620A3">
      <w:pPr>
        <w:numPr>
          <w:ilvl w:val="0"/>
          <w:numId w:val="18"/>
        </w:numPr>
        <w:spacing w:after="0" w:line="240" w:lineRule="auto"/>
        <w:jc w:val="both"/>
        <w:rPr>
          <w:rFonts w:asciiTheme="minorHAnsi" w:hAnsiTheme="minorHAnsi" w:cstheme="minorHAnsi"/>
          <w:i/>
          <w:sz w:val="24"/>
          <w:szCs w:val="24"/>
        </w:rPr>
      </w:pPr>
      <w:r w:rsidRPr="00B20854">
        <w:rPr>
          <w:rFonts w:asciiTheme="minorHAnsi" w:hAnsiTheme="minorHAnsi" w:cstheme="minorHAnsi"/>
          <w:bCs/>
          <w:i/>
          <w:sz w:val="24"/>
          <w:szCs w:val="24"/>
        </w:rPr>
        <w:t xml:space="preserve">Eligibility: </w:t>
      </w:r>
      <w:r w:rsidRPr="00B20854">
        <w:rPr>
          <w:rFonts w:asciiTheme="minorHAnsi" w:hAnsiTheme="minorHAnsi" w:cstheme="minorHAnsi"/>
          <w:bCs/>
          <w:sz w:val="24"/>
          <w:szCs w:val="24"/>
        </w:rPr>
        <w:t xml:space="preserve">For the ACHS-II, eligibility is restricted to the fixed </w:t>
      </w:r>
      <w:r w:rsidR="000E439F">
        <w:rPr>
          <w:rFonts w:asciiTheme="minorHAnsi" w:hAnsiTheme="minorHAnsi" w:cstheme="minorHAnsi"/>
          <w:bCs/>
          <w:sz w:val="24"/>
          <w:szCs w:val="24"/>
        </w:rPr>
        <w:t>ACHS C</w:t>
      </w:r>
      <w:r w:rsidRPr="00B20854">
        <w:rPr>
          <w:rFonts w:asciiTheme="minorHAnsi" w:hAnsiTheme="minorHAnsi" w:cstheme="minorHAnsi"/>
          <w:bCs/>
          <w:sz w:val="24"/>
          <w:szCs w:val="24"/>
        </w:rPr>
        <w:t xml:space="preserve">ohort of </w:t>
      </w:r>
      <w:r w:rsidR="00AF18AD">
        <w:rPr>
          <w:rFonts w:asciiTheme="minorHAnsi" w:hAnsiTheme="minorHAnsi" w:cstheme="minorHAnsi"/>
          <w:bCs/>
          <w:sz w:val="24"/>
          <w:szCs w:val="24"/>
        </w:rPr>
        <w:t xml:space="preserve">766 </w:t>
      </w:r>
      <w:r w:rsidR="00711C4D">
        <w:rPr>
          <w:rFonts w:asciiTheme="minorHAnsi" w:hAnsiTheme="minorHAnsi" w:cstheme="minorHAnsi"/>
          <w:bCs/>
          <w:sz w:val="24"/>
          <w:szCs w:val="24"/>
        </w:rPr>
        <w:t>member</w:t>
      </w:r>
      <w:r w:rsidR="00AF18AD">
        <w:rPr>
          <w:rFonts w:asciiTheme="minorHAnsi" w:hAnsiTheme="minorHAnsi" w:cstheme="minorHAnsi"/>
          <w:bCs/>
          <w:sz w:val="24"/>
          <w:szCs w:val="24"/>
        </w:rPr>
        <w:t>s with</w:t>
      </w:r>
      <w:r w:rsidRPr="00B20854">
        <w:rPr>
          <w:rFonts w:asciiTheme="minorHAnsi" w:hAnsiTheme="minorHAnsi" w:cstheme="minorHAnsi"/>
          <w:bCs/>
          <w:sz w:val="24"/>
          <w:szCs w:val="24"/>
        </w:rPr>
        <w:t xml:space="preserve"> serum PCB analytic measures.</w:t>
      </w:r>
    </w:p>
    <w:p w:rsidR="00D620A3" w:rsidRPr="00465D11" w:rsidRDefault="00D620A3" w:rsidP="00DE59EE">
      <w:pPr>
        <w:spacing w:after="0" w:line="240" w:lineRule="auto"/>
        <w:ind w:left="720"/>
        <w:jc w:val="both"/>
        <w:rPr>
          <w:rFonts w:asciiTheme="minorHAnsi" w:hAnsiTheme="minorHAnsi" w:cstheme="minorHAnsi"/>
          <w:i/>
          <w:sz w:val="24"/>
          <w:szCs w:val="24"/>
        </w:rPr>
      </w:pPr>
    </w:p>
    <w:p w:rsidR="00D620A3" w:rsidRPr="00DE59EE" w:rsidRDefault="00D620A3" w:rsidP="00D620A3">
      <w:pPr>
        <w:numPr>
          <w:ilvl w:val="1"/>
          <w:numId w:val="18"/>
        </w:numPr>
        <w:spacing w:after="0" w:line="240" w:lineRule="auto"/>
        <w:jc w:val="both"/>
        <w:rPr>
          <w:rFonts w:asciiTheme="minorHAnsi" w:hAnsiTheme="minorHAnsi" w:cstheme="minorHAnsi"/>
          <w:bCs/>
          <w:sz w:val="24"/>
          <w:szCs w:val="24"/>
        </w:rPr>
      </w:pPr>
      <w:r w:rsidRPr="00465D11">
        <w:rPr>
          <w:rFonts w:asciiTheme="minorHAnsi" w:hAnsiTheme="minorHAnsi" w:cstheme="minorHAnsi"/>
          <w:sz w:val="24"/>
          <w:szCs w:val="24"/>
        </w:rPr>
        <w:t>Pregnant women will be excluded from the</w:t>
      </w:r>
      <w:r w:rsidRPr="00262961">
        <w:rPr>
          <w:rFonts w:asciiTheme="minorHAnsi" w:hAnsiTheme="minorHAnsi" w:cstheme="minorHAnsi"/>
          <w:sz w:val="24"/>
          <w:szCs w:val="24"/>
        </w:rPr>
        <w:t xml:space="preserve"> study </w:t>
      </w:r>
      <w:r w:rsidRPr="00262961">
        <w:rPr>
          <w:rFonts w:asciiTheme="minorHAnsi" w:hAnsiTheme="minorHAnsi" w:cstheme="minorHAnsi"/>
          <w:i/>
          <w:sz w:val="24"/>
          <w:szCs w:val="24"/>
        </w:rPr>
        <w:t>(as greater than minimal risk)</w:t>
      </w:r>
      <w:r w:rsidR="003D2172">
        <w:rPr>
          <w:rFonts w:asciiTheme="minorHAnsi" w:hAnsiTheme="minorHAnsi" w:cstheme="minorHAnsi"/>
          <w:i/>
          <w:sz w:val="24"/>
          <w:szCs w:val="24"/>
        </w:rPr>
        <w:t>.</w:t>
      </w:r>
    </w:p>
    <w:p w:rsidR="00AE3C41" w:rsidRPr="00DE59EE" w:rsidRDefault="00AE3C41" w:rsidP="00DE59EE">
      <w:pPr>
        <w:spacing w:after="0" w:line="240" w:lineRule="auto"/>
        <w:ind w:left="1440"/>
        <w:jc w:val="both"/>
        <w:rPr>
          <w:rFonts w:asciiTheme="minorHAnsi" w:hAnsiTheme="minorHAnsi" w:cstheme="minorHAnsi"/>
          <w:bCs/>
          <w:sz w:val="24"/>
          <w:szCs w:val="24"/>
        </w:rPr>
      </w:pPr>
    </w:p>
    <w:p w:rsidR="00AE3C41" w:rsidRPr="00DE59EE" w:rsidRDefault="003D2172" w:rsidP="002A3EAF">
      <w:pPr>
        <w:numPr>
          <w:ilvl w:val="1"/>
          <w:numId w:val="18"/>
        </w:numPr>
        <w:spacing w:after="0" w:line="240" w:lineRule="auto"/>
        <w:jc w:val="both"/>
        <w:rPr>
          <w:rFonts w:asciiTheme="minorHAnsi" w:hAnsiTheme="minorHAnsi" w:cstheme="minorHAnsi"/>
          <w:bCs/>
          <w:sz w:val="24"/>
          <w:szCs w:val="24"/>
        </w:rPr>
      </w:pPr>
      <w:r>
        <w:rPr>
          <w:rFonts w:asciiTheme="minorHAnsi" w:hAnsiTheme="minorHAnsi" w:cstheme="minorHAnsi"/>
          <w:sz w:val="24"/>
          <w:szCs w:val="24"/>
        </w:rPr>
        <w:t xml:space="preserve">Persons </w:t>
      </w:r>
      <w:r w:rsidR="00384AB4">
        <w:rPr>
          <w:rFonts w:asciiTheme="minorHAnsi" w:hAnsiTheme="minorHAnsi" w:cstheme="minorHAnsi"/>
          <w:sz w:val="24"/>
          <w:szCs w:val="24"/>
        </w:rPr>
        <w:t xml:space="preserve">currently </w:t>
      </w:r>
      <w:r>
        <w:rPr>
          <w:rFonts w:asciiTheme="minorHAnsi" w:hAnsiTheme="minorHAnsi" w:cstheme="minorHAnsi"/>
          <w:sz w:val="24"/>
          <w:szCs w:val="24"/>
        </w:rPr>
        <w:t xml:space="preserve">serving a </w:t>
      </w:r>
      <w:r w:rsidR="000F43DC">
        <w:rPr>
          <w:rFonts w:asciiTheme="minorHAnsi" w:hAnsiTheme="minorHAnsi" w:cstheme="minorHAnsi"/>
          <w:sz w:val="24"/>
          <w:szCs w:val="24"/>
        </w:rPr>
        <w:t xml:space="preserve">criminal </w:t>
      </w:r>
      <w:r>
        <w:rPr>
          <w:rFonts w:asciiTheme="minorHAnsi" w:hAnsiTheme="minorHAnsi" w:cstheme="minorHAnsi"/>
          <w:sz w:val="24"/>
          <w:szCs w:val="24"/>
        </w:rPr>
        <w:t>sentence or under house arrest will be excluded</w:t>
      </w:r>
      <w:r w:rsidR="00BE0690">
        <w:rPr>
          <w:rFonts w:asciiTheme="minorHAnsi" w:hAnsiTheme="minorHAnsi" w:cstheme="minorHAnsi"/>
          <w:sz w:val="24"/>
          <w:szCs w:val="24"/>
        </w:rPr>
        <w:t xml:space="preserve"> </w:t>
      </w:r>
      <w:r w:rsidR="00BE0690">
        <w:rPr>
          <w:rFonts w:asciiTheme="minorHAnsi" w:hAnsiTheme="minorHAnsi" w:cstheme="minorHAnsi"/>
          <w:i/>
          <w:sz w:val="24"/>
          <w:szCs w:val="24"/>
        </w:rPr>
        <w:t>(protected class under 45 CFR 46)</w:t>
      </w:r>
      <w:r w:rsidRPr="003D2172">
        <w:rPr>
          <w:rFonts w:asciiTheme="minorHAnsi" w:hAnsiTheme="minorHAnsi" w:cstheme="minorHAnsi"/>
          <w:bCs/>
          <w:sz w:val="24"/>
          <w:szCs w:val="24"/>
        </w:rPr>
        <w:t>.</w:t>
      </w:r>
    </w:p>
    <w:p w:rsidR="00AE3C41" w:rsidRPr="00262961" w:rsidRDefault="00AE3C41" w:rsidP="00DE59EE">
      <w:pPr>
        <w:spacing w:after="0" w:line="240" w:lineRule="auto"/>
        <w:ind w:left="1440"/>
        <w:jc w:val="both"/>
        <w:rPr>
          <w:rFonts w:asciiTheme="minorHAnsi" w:hAnsiTheme="minorHAnsi" w:cstheme="minorHAnsi"/>
          <w:bCs/>
          <w:sz w:val="24"/>
          <w:szCs w:val="24"/>
        </w:rPr>
      </w:pPr>
    </w:p>
    <w:p w:rsidR="00D620A3" w:rsidRPr="00DE59EE" w:rsidRDefault="00D620A3" w:rsidP="003846FB">
      <w:pPr>
        <w:numPr>
          <w:ilvl w:val="1"/>
          <w:numId w:val="18"/>
        </w:numPr>
        <w:spacing w:after="0" w:line="240" w:lineRule="auto"/>
        <w:jc w:val="both"/>
        <w:rPr>
          <w:rFonts w:asciiTheme="minorHAnsi" w:hAnsiTheme="minorHAnsi" w:cstheme="minorHAnsi"/>
          <w:i/>
          <w:sz w:val="24"/>
          <w:szCs w:val="24"/>
        </w:rPr>
      </w:pPr>
      <w:r w:rsidRPr="00C55D6E">
        <w:rPr>
          <w:rFonts w:asciiTheme="minorHAnsi" w:hAnsiTheme="minorHAnsi" w:cstheme="minorHAnsi"/>
          <w:bCs/>
          <w:sz w:val="24"/>
          <w:szCs w:val="24"/>
        </w:rPr>
        <w:t xml:space="preserve">Eligible </w:t>
      </w:r>
      <w:r w:rsidR="000E439F">
        <w:rPr>
          <w:rFonts w:asciiTheme="minorHAnsi" w:hAnsiTheme="minorHAnsi" w:cstheme="minorHAnsi"/>
          <w:bCs/>
          <w:sz w:val="24"/>
          <w:szCs w:val="24"/>
        </w:rPr>
        <w:t>Cohort</w:t>
      </w:r>
      <w:r w:rsidR="00711C4D">
        <w:rPr>
          <w:rFonts w:asciiTheme="minorHAnsi" w:hAnsiTheme="minorHAnsi" w:cstheme="minorHAnsi"/>
          <w:bCs/>
          <w:sz w:val="24"/>
          <w:szCs w:val="24"/>
        </w:rPr>
        <w:t xml:space="preserve"> member</w:t>
      </w:r>
      <w:r w:rsidR="00AF5886" w:rsidRPr="00C55D6E">
        <w:rPr>
          <w:rFonts w:asciiTheme="minorHAnsi" w:hAnsiTheme="minorHAnsi" w:cstheme="minorHAnsi"/>
          <w:bCs/>
          <w:sz w:val="24"/>
          <w:szCs w:val="24"/>
        </w:rPr>
        <w:t>s,</w:t>
      </w:r>
      <w:r w:rsidRPr="00C55D6E">
        <w:rPr>
          <w:rFonts w:asciiTheme="minorHAnsi" w:hAnsiTheme="minorHAnsi" w:cstheme="minorHAnsi"/>
          <w:bCs/>
          <w:sz w:val="24"/>
          <w:szCs w:val="24"/>
        </w:rPr>
        <w:t xml:space="preserve"> who are not willing or able to provide a blood specimen, are allowed and encouraged to p</w:t>
      </w:r>
      <w:r w:rsidRPr="00B20854">
        <w:rPr>
          <w:rFonts w:asciiTheme="minorHAnsi" w:hAnsiTheme="minorHAnsi" w:cstheme="minorHAnsi"/>
          <w:bCs/>
          <w:sz w:val="24"/>
          <w:szCs w:val="24"/>
        </w:rPr>
        <w:t>articipat</w:t>
      </w:r>
      <w:r w:rsidR="000D49EA">
        <w:rPr>
          <w:rFonts w:asciiTheme="minorHAnsi" w:hAnsiTheme="minorHAnsi" w:cstheme="minorHAnsi"/>
          <w:bCs/>
          <w:sz w:val="24"/>
          <w:szCs w:val="24"/>
        </w:rPr>
        <w:t>e in the questionnaire and clinical assessments</w:t>
      </w:r>
      <w:r w:rsidR="003846FB" w:rsidRPr="003846FB">
        <w:rPr>
          <w:rFonts w:asciiTheme="minorHAnsi" w:hAnsiTheme="minorHAnsi" w:cstheme="minorHAnsi"/>
          <w:bCs/>
          <w:sz w:val="24"/>
          <w:szCs w:val="24"/>
        </w:rPr>
        <w:t xml:space="preserve">. </w:t>
      </w:r>
      <w:r w:rsidR="003846FB">
        <w:rPr>
          <w:rFonts w:asciiTheme="minorHAnsi" w:hAnsiTheme="minorHAnsi" w:cstheme="minorHAnsi"/>
          <w:bCs/>
          <w:sz w:val="24"/>
          <w:szCs w:val="24"/>
        </w:rPr>
        <w:t>C</w:t>
      </w:r>
      <w:r w:rsidRPr="00DE59EE">
        <w:rPr>
          <w:rFonts w:asciiTheme="minorHAnsi" w:hAnsiTheme="minorHAnsi" w:cstheme="minorHAnsi"/>
          <w:bCs/>
          <w:sz w:val="24"/>
          <w:szCs w:val="24"/>
        </w:rPr>
        <w:t>ollecting a partial blood sample is also allowed if the</w:t>
      </w:r>
      <w:r w:rsidR="000D49EA">
        <w:rPr>
          <w:rFonts w:asciiTheme="minorHAnsi" w:hAnsiTheme="minorHAnsi" w:cstheme="minorHAnsi"/>
          <w:bCs/>
          <w:sz w:val="24"/>
          <w:szCs w:val="24"/>
        </w:rPr>
        <w:t xml:space="preserve"> subject cannot provide 125-ml.</w:t>
      </w:r>
    </w:p>
    <w:p w:rsidR="00AE3C41" w:rsidRPr="006D111B" w:rsidRDefault="00AE3C41" w:rsidP="00DE59EE">
      <w:pPr>
        <w:spacing w:after="0" w:line="240" w:lineRule="auto"/>
        <w:ind w:left="1440"/>
        <w:jc w:val="both"/>
        <w:rPr>
          <w:rFonts w:asciiTheme="minorHAnsi" w:hAnsiTheme="minorHAnsi" w:cstheme="minorHAnsi"/>
          <w:i/>
          <w:sz w:val="24"/>
          <w:szCs w:val="24"/>
        </w:rPr>
      </w:pPr>
    </w:p>
    <w:p w:rsidR="00D620A3" w:rsidRPr="00DE59EE" w:rsidRDefault="00F7557D" w:rsidP="00DE59EE">
      <w:pPr>
        <w:numPr>
          <w:ilvl w:val="1"/>
          <w:numId w:val="18"/>
        </w:numPr>
        <w:spacing w:after="0" w:line="240" w:lineRule="auto"/>
        <w:jc w:val="both"/>
        <w:rPr>
          <w:rFonts w:asciiTheme="minorHAnsi" w:hAnsiTheme="minorHAnsi" w:cstheme="minorHAnsi"/>
          <w:i/>
          <w:sz w:val="24"/>
          <w:szCs w:val="24"/>
        </w:rPr>
      </w:pPr>
      <w:r>
        <w:rPr>
          <w:rFonts w:asciiTheme="minorHAnsi" w:hAnsiTheme="minorHAnsi" w:cstheme="minorHAnsi"/>
          <w:bCs/>
          <w:sz w:val="24"/>
          <w:szCs w:val="24"/>
        </w:rPr>
        <w:t xml:space="preserve">Eligible </w:t>
      </w:r>
      <w:r w:rsidR="000E439F">
        <w:rPr>
          <w:rFonts w:asciiTheme="minorHAnsi" w:hAnsiTheme="minorHAnsi" w:cstheme="minorHAnsi"/>
          <w:bCs/>
          <w:sz w:val="24"/>
          <w:szCs w:val="24"/>
        </w:rPr>
        <w:t>Cohort</w:t>
      </w:r>
      <w:r w:rsidR="00711C4D">
        <w:rPr>
          <w:rFonts w:asciiTheme="minorHAnsi" w:hAnsiTheme="minorHAnsi" w:cstheme="minorHAnsi"/>
          <w:bCs/>
          <w:sz w:val="24"/>
          <w:szCs w:val="24"/>
        </w:rPr>
        <w:t xml:space="preserve"> member</w:t>
      </w:r>
      <w:r w:rsidR="00D620A3" w:rsidRPr="00AD760E">
        <w:rPr>
          <w:rFonts w:asciiTheme="minorHAnsi" w:hAnsiTheme="minorHAnsi" w:cstheme="minorHAnsi"/>
          <w:bCs/>
          <w:sz w:val="24"/>
          <w:szCs w:val="24"/>
        </w:rPr>
        <w:t>s who request or require a home interview and blood draw must reside within a one-hour drive from the study offices</w:t>
      </w:r>
      <w:r w:rsidR="003846FB">
        <w:rPr>
          <w:rFonts w:asciiTheme="minorHAnsi" w:hAnsiTheme="minorHAnsi" w:cstheme="minorHAnsi"/>
          <w:bCs/>
          <w:sz w:val="24"/>
          <w:szCs w:val="24"/>
        </w:rPr>
        <w:t>. E</w:t>
      </w:r>
      <w:r w:rsidR="00FC7F8A" w:rsidRPr="00FC7F8A">
        <w:rPr>
          <w:rFonts w:asciiTheme="minorHAnsi" w:hAnsiTheme="minorHAnsi" w:cstheme="minorHAnsi"/>
          <w:bCs/>
          <w:sz w:val="24"/>
          <w:szCs w:val="24"/>
        </w:rPr>
        <w:t>xceptions may be granted to th</w:t>
      </w:r>
      <w:r w:rsidR="00FC7F8A">
        <w:rPr>
          <w:rFonts w:asciiTheme="minorHAnsi" w:hAnsiTheme="minorHAnsi" w:cstheme="minorHAnsi"/>
          <w:bCs/>
          <w:sz w:val="24"/>
          <w:szCs w:val="24"/>
        </w:rPr>
        <w:t>is</w:t>
      </w:r>
      <w:r w:rsidR="00EE1C3A" w:rsidRPr="00EE1C3A">
        <w:rPr>
          <w:rFonts w:asciiTheme="minorHAnsi" w:hAnsiTheme="minorHAnsi" w:cstheme="minorHAnsi"/>
          <w:bCs/>
          <w:sz w:val="24"/>
          <w:szCs w:val="24"/>
        </w:rPr>
        <w:t xml:space="preserve"> requirement on case</w:t>
      </w:r>
      <w:r w:rsidR="00EE1C3A">
        <w:rPr>
          <w:rFonts w:asciiTheme="minorHAnsi" w:hAnsiTheme="minorHAnsi" w:cstheme="minorHAnsi"/>
          <w:bCs/>
          <w:sz w:val="24"/>
          <w:szCs w:val="24"/>
        </w:rPr>
        <w:t>-</w:t>
      </w:r>
      <w:r w:rsidR="00D620A3" w:rsidRPr="00DE59EE">
        <w:rPr>
          <w:rFonts w:asciiTheme="minorHAnsi" w:hAnsiTheme="minorHAnsi" w:cstheme="minorHAnsi"/>
          <w:bCs/>
          <w:sz w:val="24"/>
          <w:szCs w:val="24"/>
        </w:rPr>
        <w:t>b</w:t>
      </w:r>
      <w:r w:rsidR="00EE1C3A">
        <w:rPr>
          <w:rFonts w:asciiTheme="minorHAnsi" w:hAnsiTheme="minorHAnsi" w:cstheme="minorHAnsi"/>
          <w:bCs/>
          <w:sz w:val="24"/>
          <w:szCs w:val="24"/>
        </w:rPr>
        <w:t>y-</w:t>
      </w:r>
      <w:r w:rsidR="003E2735" w:rsidRPr="00F7557D">
        <w:rPr>
          <w:rFonts w:asciiTheme="minorHAnsi" w:hAnsiTheme="minorHAnsi" w:cstheme="minorHAnsi"/>
          <w:bCs/>
          <w:sz w:val="24"/>
          <w:szCs w:val="24"/>
        </w:rPr>
        <w:t>case basis if resources allow</w:t>
      </w:r>
      <w:r w:rsidR="00D620A3" w:rsidRPr="00DE59EE">
        <w:rPr>
          <w:rFonts w:asciiTheme="minorHAnsi" w:hAnsiTheme="minorHAnsi" w:cstheme="minorHAnsi"/>
          <w:bCs/>
          <w:sz w:val="24"/>
          <w:szCs w:val="24"/>
        </w:rPr>
        <w:t>.</w:t>
      </w:r>
    </w:p>
    <w:p w:rsidR="003F2C74" w:rsidRPr="003C4F3A" w:rsidRDefault="003F2C74" w:rsidP="00921444">
      <w:pPr>
        <w:pStyle w:val="GLparagraph"/>
        <w:spacing w:line="240" w:lineRule="auto"/>
        <w:ind w:firstLine="0"/>
        <w:jc w:val="both"/>
      </w:pPr>
    </w:p>
    <w:p w:rsidR="00870FD8" w:rsidRPr="00501912" w:rsidRDefault="00870FD8" w:rsidP="004B6B53">
      <w:pPr>
        <w:autoSpaceDE w:val="0"/>
        <w:autoSpaceDN w:val="0"/>
        <w:spacing w:after="0" w:line="240" w:lineRule="auto"/>
        <w:jc w:val="both"/>
        <w:rPr>
          <w:rFonts w:asciiTheme="minorHAnsi" w:hAnsiTheme="minorHAnsi" w:cstheme="minorHAnsi"/>
          <w:bCs/>
          <w:iCs/>
          <w:sz w:val="24"/>
          <w:szCs w:val="24"/>
        </w:rPr>
      </w:pPr>
      <w:r w:rsidRPr="0005158A">
        <w:rPr>
          <w:rFonts w:asciiTheme="minorHAnsi" w:hAnsiTheme="minorHAnsi" w:cstheme="minorHAnsi"/>
          <w:b/>
          <w:bCs/>
          <w:i/>
          <w:iCs/>
          <w:sz w:val="24"/>
          <w:szCs w:val="24"/>
        </w:rPr>
        <w:t>Sample size estimation</w:t>
      </w:r>
      <w:r w:rsidRPr="00501912">
        <w:rPr>
          <w:rFonts w:asciiTheme="minorHAnsi" w:hAnsiTheme="minorHAnsi" w:cstheme="minorHAnsi"/>
          <w:bCs/>
          <w:iCs/>
          <w:sz w:val="24"/>
          <w:szCs w:val="24"/>
        </w:rPr>
        <w:t>:</w:t>
      </w:r>
      <w:r w:rsidRPr="00501912">
        <w:rPr>
          <w:rFonts w:asciiTheme="minorHAnsi" w:hAnsiTheme="minorHAnsi" w:cstheme="minorHAnsi"/>
          <w:bCs/>
          <w:i/>
          <w:iCs/>
          <w:sz w:val="24"/>
          <w:szCs w:val="24"/>
        </w:rPr>
        <w:t xml:space="preserve"> </w:t>
      </w:r>
      <w:r w:rsidRPr="00501912">
        <w:rPr>
          <w:rFonts w:asciiTheme="minorHAnsi" w:hAnsiTheme="minorHAnsi" w:cstheme="minorHAnsi"/>
          <w:bCs/>
          <w:iCs/>
          <w:sz w:val="24"/>
          <w:szCs w:val="24"/>
        </w:rPr>
        <w:t xml:space="preserve">The proposed sample size (n=500) was based on </w:t>
      </w:r>
      <w:r>
        <w:rPr>
          <w:rFonts w:asciiTheme="minorHAnsi" w:hAnsiTheme="minorHAnsi" w:cstheme="minorHAnsi"/>
          <w:bCs/>
          <w:iCs/>
          <w:sz w:val="24"/>
          <w:szCs w:val="24"/>
        </w:rPr>
        <w:t xml:space="preserve">the </w:t>
      </w:r>
      <w:r w:rsidR="005E26FA">
        <w:rPr>
          <w:rFonts w:asciiTheme="minorHAnsi" w:hAnsiTheme="minorHAnsi" w:cstheme="minorHAnsi"/>
          <w:bCs/>
          <w:iCs/>
          <w:sz w:val="24"/>
          <w:szCs w:val="24"/>
        </w:rPr>
        <w:t>ability to answer three</w:t>
      </w:r>
      <w:r w:rsidR="00565C88">
        <w:rPr>
          <w:rFonts w:asciiTheme="minorHAnsi" w:hAnsiTheme="minorHAnsi" w:cstheme="minorHAnsi"/>
          <w:bCs/>
          <w:iCs/>
          <w:sz w:val="24"/>
          <w:szCs w:val="24"/>
        </w:rPr>
        <w:t xml:space="preserve"> research questions</w:t>
      </w:r>
      <w:r w:rsidR="003D31DF">
        <w:rPr>
          <w:rFonts w:asciiTheme="minorHAnsi" w:hAnsiTheme="minorHAnsi" w:cstheme="minorHAnsi"/>
          <w:bCs/>
          <w:iCs/>
          <w:sz w:val="24"/>
          <w:szCs w:val="24"/>
        </w:rPr>
        <w:t>: 1)</w:t>
      </w:r>
      <w:r w:rsidR="00290B57">
        <w:rPr>
          <w:rFonts w:asciiTheme="minorHAnsi" w:hAnsiTheme="minorHAnsi" w:cstheme="minorHAnsi"/>
          <w:bCs/>
          <w:iCs/>
          <w:sz w:val="24"/>
          <w:szCs w:val="24"/>
        </w:rPr>
        <w:t xml:space="preserve"> </w:t>
      </w:r>
      <w:r w:rsidR="00565C88">
        <w:rPr>
          <w:rFonts w:asciiTheme="minorHAnsi" w:hAnsiTheme="minorHAnsi" w:cstheme="minorHAnsi"/>
          <w:bCs/>
          <w:iCs/>
          <w:sz w:val="24"/>
          <w:szCs w:val="24"/>
        </w:rPr>
        <w:t>to detect differences in mean PCB congener levels between b</w:t>
      </w:r>
      <w:r w:rsidR="003A5CD7">
        <w:rPr>
          <w:rFonts w:asciiTheme="minorHAnsi" w:hAnsiTheme="minorHAnsi" w:cstheme="minorHAnsi"/>
          <w:bCs/>
          <w:iCs/>
          <w:sz w:val="24"/>
          <w:szCs w:val="24"/>
        </w:rPr>
        <w:t>aseline and the ACHS</w:t>
      </w:r>
      <w:r w:rsidR="00296078">
        <w:rPr>
          <w:rFonts w:asciiTheme="minorHAnsi" w:hAnsiTheme="minorHAnsi" w:cstheme="minorHAnsi"/>
          <w:bCs/>
          <w:iCs/>
          <w:sz w:val="24"/>
          <w:szCs w:val="24"/>
        </w:rPr>
        <w:t>-</w:t>
      </w:r>
      <w:r w:rsidR="003A5CD7">
        <w:rPr>
          <w:rFonts w:asciiTheme="minorHAnsi" w:hAnsiTheme="minorHAnsi" w:cstheme="minorHAnsi"/>
          <w:bCs/>
          <w:iCs/>
          <w:sz w:val="24"/>
          <w:szCs w:val="24"/>
        </w:rPr>
        <w:t>II;</w:t>
      </w:r>
      <w:r w:rsidR="003D31DF">
        <w:rPr>
          <w:rFonts w:asciiTheme="minorHAnsi" w:hAnsiTheme="minorHAnsi" w:cstheme="minorHAnsi"/>
          <w:bCs/>
          <w:iCs/>
          <w:sz w:val="24"/>
          <w:szCs w:val="24"/>
        </w:rPr>
        <w:t xml:space="preserve"> </w:t>
      </w:r>
      <w:r w:rsidR="00D40FA0">
        <w:rPr>
          <w:rFonts w:asciiTheme="minorHAnsi" w:hAnsiTheme="minorHAnsi" w:cstheme="minorHAnsi"/>
          <w:bCs/>
          <w:iCs/>
          <w:sz w:val="24"/>
          <w:szCs w:val="24"/>
        </w:rPr>
        <w:t>2) to detect differences in prevalent cases of health outcomes between PCB exposure groups in the ACHS</w:t>
      </w:r>
      <w:r w:rsidR="00296078">
        <w:rPr>
          <w:rFonts w:asciiTheme="minorHAnsi" w:hAnsiTheme="minorHAnsi" w:cstheme="minorHAnsi"/>
          <w:bCs/>
          <w:iCs/>
          <w:sz w:val="24"/>
          <w:szCs w:val="24"/>
        </w:rPr>
        <w:t>-</w:t>
      </w:r>
      <w:r w:rsidR="00D40FA0">
        <w:rPr>
          <w:rFonts w:asciiTheme="minorHAnsi" w:hAnsiTheme="minorHAnsi" w:cstheme="minorHAnsi"/>
          <w:bCs/>
          <w:iCs/>
          <w:sz w:val="24"/>
          <w:szCs w:val="24"/>
        </w:rPr>
        <w:t>II (cross-sectional) and 3</w:t>
      </w:r>
      <w:r w:rsidR="003D31DF">
        <w:rPr>
          <w:rFonts w:asciiTheme="minorHAnsi" w:hAnsiTheme="minorHAnsi" w:cstheme="minorHAnsi"/>
          <w:bCs/>
          <w:iCs/>
          <w:sz w:val="24"/>
          <w:szCs w:val="24"/>
        </w:rPr>
        <w:t>)</w:t>
      </w:r>
      <w:r w:rsidR="00565C88">
        <w:rPr>
          <w:rFonts w:asciiTheme="minorHAnsi" w:hAnsiTheme="minorHAnsi" w:cstheme="minorHAnsi"/>
          <w:bCs/>
          <w:iCs/>
          <w:sz w:val="24"/>
          <w:szCs w:val="24"/>
        </w:rPr>
        <w:t xml:space="preserve"> </w:t>
      </w:r>
      <w:r w:rsidR="00290B57">
        <w:rPr>
          <w:rFonts w:asciiTheme="minorHAnsi" w:hAnsiTheme="minorHAnsi" w:cstheme="minorHAnsi"/>
          <w:bCs/>
          <w:iCs/>
          <w:sz w:val="24"/>
          <w:szCs w:val="24"/>
        </w:rPr>
        <w:t>t</w:t>
      </w:r>
      <w:r w:rsidR="00565C88">
        <w:rPr>
          <w:rFonts w:asciiTheme="minorHAnsi" w:hAnsiTheme="minorHAnsi" w:cstheme="minorHAnsi"/>
          <w:bCs/>
          <w:iCs/>
          <w:sz w:val="24"/>
          <w:szCs w:val="24"/>
        </w:rPr>
        <w:t xml:space="preserve">o detect </w:t>
      </w:r>
      <w:r w:rsidR="007E4212">
        <w:rPr>
          <w:rFonts w:asciiTheme="minorHAnsi" w:hAnsiTheme="minorHAnsi" w:cstheme="minorHAnsi"/>
          <w:bCs/>
          <w:iCs/>
          <w:sz w:val="24"/>
          <w:szCs w:val="24"/>
        </w:rPr>
        <w:t>differences in</w:t>
      </w:r>
      <w:r w:rsidR="00524865">
        <w:rPr>
          <w:rFonts w:asciiTheme="minorHAnsi" w:hAnsiTheme="minorHAnsi" w:cstheme="minorHAnsi"/>
          <w:bCs/>
          <w:iCs/>
          <w:sz w:val="24"/>
          <w:szCs w:val="24"/>
        </w:rPr>
        <w:t xml:space="preserve"> incident</w:t>
      </w:r>
      <w:r w:rsidR="006D0C47">
        <w:rPr>
          <w:rFonts w:asciiTheme="minorHAnsi" w:hAnsiTheme="minorHAnsi" w:cstheme="minorHAnsi"/>
          <w:bCs/>
          <w:iCs/>
          <w:sz w:val="24"/>
          <w:szCs w:val="24"/>
        </w:rPr>
        <w:t xml:space="preserve"> </w:t>
      </w:r>
      <w:r w:rsidR="00524865">
        <w:rPr>
          <w:rFonts w:asciiTheme="minorHAnsi" w:hAnsiTheme="minorHAnsi" w:cstheme="minorHAnsi"/>
          <w:bCs/>
          <w:iCs/>
          <w:sz w:val="24"/>
          <w:szCs w:val="24"/>
        </w:rPr>
        <w:t>case</w:t>
      </w:r>
      <w:r w:rsidR="007E4212">
        <w:rPr>
          <w:rFonts w:asciiTheme="minorHAnsi" w:hAnsiTheme="minorHAnsi" w:cstheme="minorHAnsi"/>
          <w:bCs/>
          <w:iCs/>
          <w:sz w:val="24"/>
          <w:szCs w:val="24"/>
        </w:rPr>
        <w:t>s of health outcomes between PCB exposure groups</w:t>
      </w:r>
      <w:r w:rsidR="00867197">
        <w:rPr>
          <w:rFonts w:asciiTheme="minorHAnsi" w:hAnsiTheme="minorHAnsi" w:cstheme="minorHAnsi"/>
          <w:bCs/>
          <w:iCs/>
          <w:sz w:val="24"/>
          <w:szCs w:val="24"/>
        </w:rPr>
        <w:t xml:space="preserve"> </w:t>
      </w:r>
      <w:r w:rsidR="003A5CD7">
        <w:rPr>
          <w:rFonts w:asciiTheme="minorHAnsi" w:hAnsiTheme="minorHAnsi" w:cstheme="minorHAnsi"/>
          <w:bCs/>
          <w:iCs/>
          <w:sz w:val="24"/>
          <w:szCs w:val="24"/>
        </w:rPr>
        <w:t>since</w:t>
      </w:r>
      <w:r w:rsidR="00524865">
        <w:rPr>
          <w:rFonts w:asciiTheme="minorHAnsi" w:hAnsiTheme="minorHAnsi" w:cstheme="minorHAnsi"/>
          <w:bCs/>
          <w:iCs/>
          <w:sz w:val="24"/>
          <w:szCs w:val="24"/>
        </w:rPr>
        <w:t xml:space="preserve"> baseline</w:t>
      </w:r>
      <w:r w:rsidR="00A31B59">
        <w:rPr>
          <w:rFonts w:asciiTheme="minorHAnsi" w:hAnsiTheme="minorHAnsi" w:cstheme="minorHAnsi"/>
          <w:bCs/>
          <w:iCs/>
          <w:sz w:val="24"/>
          <w:szCs w:val="24"/>
        </w:rPr>
        <w:t xml:space="preserve"> (prospective)</w:t>
      </w:r>
      <w:r w:rsidR="00D40FA0">
        <w:rPr>
          <w:rFonts w:asciiTheme="minorHAnsi" w:hAnsiTheme="minorHAnsi" w:cstheme="minorHAnsi"/>
          <w:bCs/>
          <w:iCs/>
          <w:sz w:val="24"/>
          <w:szCs w:val="24"/>
        </w:rPr>
        <w:t>. S</w:t>
      </w:r>
      <w:r w:rsidRPr="00501912">
        <w:rPr>
          <w:rFonts w:asciiTheme="minorHAnsi" w:hAnsiTheme="minorHAnsi" w:cstheme="minorHAnsi"/>
          <w:bCs/>
          <w:iCs/>
          <w:sz w:val="24"/>
          <w:szCs w:val="24"/>
        </w:rPr>
        <w:t>ample size of 500 was also proposed to maximize the resources available for the study.</w:t>
      </w:r>
      <w:r w:rsidR="004B09AA">
        <w:rPr>
          <w:rFonts w:asciiTheme="minorHAnsi" w:hAnsiTheme="minorHAnsi" w:cstheme="minorHAnsi"/>
          <w:bCs/>
          <w:iCs/>
          <w:sz w:val="24"/>
          <w:szCs w:val="24"/>
        </w:rPr>
        <w:t xml:space="preserve"> </w:t>
      </w:r>
      <w:r w:rsidR="004B09AA" w:rsidRPr="00501912">
        <w:rPr>
          <w:rFonts w:asciiTheme="minorHAnsi" w:hAnsiTheme="minorHAnsi" w:cstheme="minorHAnsi"/>
          <w:bCs/>
          <w:iCs/>
          <w:sz w:val="24"/>
          <w:szCs w:val="24"/>
        </w:rPr>
        <w:t>As detailed below, a smaller sample size would be sufficient for most exposure assessment analyses and analyses of prevalent health outcomes</w:t>
      </w:r>
      <w:r w:rsidR="00696005">
        <w:rPr>
          <w:rFonts w:asciiTheme="minorHAnsi" w:hAnsiTheme="minorHAnsi" w:cstheme="minorHAnsi"/>
          <w:bCs/>
          <w:iCs/>
          <w:sz w:val="24"/>
          <w:szCs w:val="24"/>
        </w:rPr>
        <w:t xml:space="preserve"> (the main goals of the study).</w:t>
      </w:r>
    </w:p>
    <w:p w:rsidR="00870FD8" w:rsidRDefault="00870FD8" w:rsidP="00870FD8">
      <w:pPr>
        <w:autoSpaceDE w:val="0"/>
        <w:autoSpaceDN w:val="0"/>
        <w:adjustRightInd w:val="0"/>
        <w:spacing w:after="0" w:line="240" w:lineRule="auto"/>
        <w:jc w:val="both"/>
        <w:rPr>
          <w:rFonts w:asciiTheme="minorHAnsi" w:hAnsiTheme="minorHAnsi" w:cstheme="minorHAnsi"/>
          <w:b/>
          <w:bCs/>
          <w:iCs/>
          <w:sz w:val="24"/>
          <w:szCs w:val="24"/>
        </w:rPr>
      </w:pPr>
    </w:p>
    <w:p w:rsidR="00870FD8" w:rsidRPr="00D9363A" w:rsidRDefault="00870FD8" w:rsidP="00870FD8">
      <w:pPr>
        <w:autoSpaceDE w:val="0"/>
        <w:autoSpaceDN w:val="0"/>
        <w:adjustRightInd w:val="0"/>
        <w:spacing w:after="0" w:line="240" w:lineRule="auto"/>
        <w:jc w:val="both"/>
        <w:rPr>
          <w:rFonts w:asciiTheme="minorHAnsi" w:hAnsiTheme="minorHAnsi" w:cstheme="minorHAnsi"/>
          <w:sz w:val="24"/>
          <w:szCs w:val="24"/>
        </w:rPr>
      </w:pPr>
      <w:r w:rsidRPr="00501912">
        <w:rPr>
          <w:rFonts w:asciiTheme="minorHAnsi" w:hAnsiTheme="minorHAnsi" w:cstheme="minorHAnsi"/>
          <w:bCs/>
          <w:iCs/>
          <w:sz w:val="24"/>
          <w:szCs w:val="24"/>
        </w:rPr>
        <w:t xml:space="preserve">For </w:t>
      </w:r>
      <w:r w:rsidR="00ED74B3">
        <w:rPr>
          <w:rFonts w:asciiTheme="minorHAnsi" w:hAnsiTheme="minorHAnsi" w:cstheme="minorHAnsi"/>
          <w:bCs/>
          <w:iCs/>
          <w:sz w:val="24"/>
          <w:szCs w:val="24"/>
        </w:rPr>
        <w:t xml:space="preserve">detecting </w:t>
      </w:r>
      <w:r w:rsidR="001A521D">
        <w:rPr>
          <w:rFonts w:asciiTheme="minorHAnsi" w:hAnsiTheme="minorHAnsi" w:cstheme="minorHAnsi"/>
          <w:bCs/>
          <w:iCs/>
          <w:sz w:val="24"/>
          <w:szCs w:val="24"/>
        </w:rPr>
        <w:t xml:space="preserve">differences in </w:t>
      </w:r>
      <w:r w:rsidR="00470B1A">
        <w:rPr>
          <w:rFonts w:asciiTheme="minorHAnsi" w:hAnsiTheme="minorHAnsi" w:cstheme="minorHAnsi"/>
          <w:bCs/>
          <w:iCs/>
          <w:sz w:val="24"/>
          <w:szCs w:val="24"/>
        </w:rPr>
        <w:t>mean PCB congener levels</w:t>
      </w:r>
      <w:r w:rsidRPr="00501912">
        <w:rPr>
          <w:rFonts w:asciiTheme="minorHAnsi" w:hAnsiTheme="minorHAnsi" w:cstheme="minorHAnsi"/>
          <w:bCs/>
          <w:iCs/>
          <w:sz w:val="24"/>
          <w:szCs w:val="24"/>
        </w:rPr>
        <w:t>,</w:t>
      </w:r>
      <w:r w:rsidRPr="00501912">
        <w:rPr>
          <w:rFonts w:asciiTheme="minorHAnsi" w:hAnsiTheme="minorHAnsi" w:cstheme="minorHAnsi"/>
          <w:sz w:val="24"/>
          <w:szCs w:val="24"/>
        </w:rPr>
        <w:t xml:space="preserve"> </w:t>
      </w:r>
      <w:r w:rsidRPr="00D9363A">
        <w:rPr>
          <w:rFonts w:asciiTheme="minorHAnsi" w:hAnsiTheme="minorHAnsi" w:cstheme="minorHAnsi"/>
          <w:sz w:val="24"/>
          <w:szCs w:val="24"/>
        </w:rPr>
        <w:t>we assumed a simple exponential decay model to describe the expected mechanism for human metabolism and excretion of PCBs</w:t>
      </w:r>
      <w:r w:rsidRPr="003572C9">
        <w:rPr>
          <w:rFonts w:asciiTheme="minorHAnsi" w:hAnsiTheme="minorHAnsi" w:cstheme="minorHAnsi"/>
          <w:sz w:val="24"/>
          <w:szCs w:val="24"/>
        </w:rPr>
        <w:t xml:space="preserve"> </w:t>
      </w:r>
      <w:r>
        <w:rPr>
          <w:rFonts w:asciiTheme="minorHAnsi" w:hAnsiTheme="minorHAnsi" w:cstheme="minorHAnsi"/>
          <w:sz w:val="24"/>
          <w:szCs w:val="24"/>
        </w:rPr>
        <w:t>b</w:t>
      </w:r>
      <w:r w:rsidRPr="00D9363A">
        <w:rPr>
          <w:rFonts w:asciiTheme="minorHAnsi" w:hAnsiTheme="minorHAnsi" w:cstheme="minorHAnsi"/>
          <w:sz w:val="24"/>
          <w:szCs w:val="24"/>
        </w:rPr>
        <w:t xml:space="preserve">ased on the work of </w:t>
      </w:r>
      <w:proofErr w:type="spellStart"/>
      <w:r w:rsidRPr="00D9363A">
        <w:rPr>
          <w:rFonts w:asciiTheme="minorHAnsi" w:hAnsiTheme="minorHAnsi" w:cstheme="minorHAnsi"/>
          <w:sz w:val="24"/>
          <w:szCs w:val="24"/>
        </w:rPr>
        <w:t>Seegal</w:t>
      </w:r>
      <w:proofErr w:type="spellEnd"/>
      <w:r w:rsidRPr="00D9363A">
        <w:rPr>
          <w:rFonts w:asciiTheme="minorHAnsi" w:hAnsiTheme="minorHAnsi" w:cstheme="minorHAnsi"/>
          <w:sz w:val="24"/>
          <w:szCs w:val="24"/>
        </w:rPr>
        <w:t xml:space="preserve"> et al. (2011</w:t>
      </w:r>
      <w:r>
        <w:rPr>
          <w:rFonts w:asciiTheme="minorHAnsi" w:hAnsiTheme="minorHAnsi" w:cstheme="minorHAnsi"/>
          <w:sz w:val="24"/>
          <w:szCs w:val="24"/>
        </w:rPr>
        <w:t>)</w:t>
      </w:r>
      <w:r w:rsidR="00FB168F">
        <w:rPr>
          <w:rFonts w:asciiTheme="minorHAnsi" w:hAnsiTheme="minorHAnsi" w:cstheme="minorHAnsi"/>
          <w:sz w:val="24"/>
          <w:szCs w:val="24"/>
        </w:rPr>
        <w:t>.</w:t>
      </w:r>
      <w:r w:rsidR="00B7127A">
        <w:rPr>
          <w:rFonts w:asciiTheme="minorHAnsi" w:hAnsiTheme="minorHAnsi" w:cstheme="minorHAnsi"/>
          <w:sz w:val="24"/>
          <w:szCs w:val="24"/>
        </w:rPr>
        <w:t xml:space="preserve"> </w:t>
      </w:r>
      <w:r w:rsidRPr="00D9363A">
        <w:rPr>
          <w:rFonts w:asciiTheme="minorHAnsi" w:hAnsiTheme="minorHAnsi" w:cstheme="minorHAnsi"/>
          <w:sz w:val="24"/>
          <w:szCs w:val="24"/>
        </w:rPr>
        <w:t xml:space="preserve">In this model and with simplifying assumptions, </w:t>
      </w:r>
      <w:proofErr w:type="gramStart"/>
      <w:r w:rsidRPr="00D9363A">
        <w:rPr>
          <w:rFonts w:asciiTheme="minorHAnsi" w:hAnsiTheme="minorHAnsi" w:cstheme="minorHAnsi"/>
          <w:i/>
          <w:sz w:val="24"/>
          <w:szCs w:val="24"/>
        </w:rPr>
        <w:t>C</w:t>
      </w:r>
      <w:r w:rsidRPr="00D9363A">
        <w:rPr>
          <w:rFonts w:asciiTheme="minorHAnsi" w:hAnsiTheme="minorHAnsi" w:cstheme="minorHAnsi"/>
          <w:i/>
          <w:sz w:val="24"/>
          <w:szCs w:val="24"/>
          <w:vertAlign w:val="subscript"/>
        </w:rPr>
        <w:t>(</w:t>
      </w:r>
      <w:proofErr w:type="gramEnd"/>
      <w:r w:rsidRPr="00D9363A">
        <w:rPr>
          <w:rFonts w:asciiTheme="minorHAnsi" w:hAnsiTheme="minorHAnsi" w:cstheme="minorHAnsi"/>
          <w:i/>
          <w:sz w:val="24"/>
          <w:szCs w:val="24"/>
          <w:vertAlign w:val="subscript"/>
        </w:rPr>
        <w:t>t)</w:t>
      </w:r>
      <w:r w:rsidRPr="00D9363A">
        <w:rPr>
          <w:rFonts w:asciiTheme="minorHAnsi" w:hAnsiTheme="minorHAnsi" w:cstheme="minorHAnsi"/>
          <w:sz w:val="24"/>
          <w:szCs w:val="24"/>
        </w:rPr>
        <w:t xml:space="preserve"> represents the predicted mean ACHS</w:t>
      </w:r>
      <w:r w:rsidR="00296078">
        <w:rPr>
          <w:rFonts w:asciiTheme="minorHAnsi" w:hAnsiTheme="minorHAnsi" w:cstheme="minorHAnsi"/>
          <w:sz w:val="24"/>
          <w:szCs w:val="24"/>
        </w:rPr>
        <w:t>-</w:t>
      </w:r>
      <w:r w:rsidRPr="00D9363A">
        <w:rPr>
          <w:rFonts w:asciiTheme="minorHAnsi" w:hAnsiTheme="minorHAnsi" w:cstheme="minorHAnsi"/>
          <w:sz w:val="24"/>
          <w:szCs w:val="24"/>
        </w:rPr>
        <w:t xml:space="preserve">II serum concentration, </w:t>
      </w:r>
      <w:r w:rsidRPr="00D9363A">
        <w:rPr>
          <w:rFonts w:asciiTheme="minorHAnsi" w:hAnsiTheme="minorHAnsi" w:cstheme="minorHAnsi"/>
          <w:i/>
          <w:sz w:val="24"/>
          <w:szCs w:val="24"/>
        </w:rPr>
        <w:t>C</w:t>
      </w:r>
      <w:r w:rsidRPr="00D9363A">
        <w:rPr>
          <w:rFonts w:asciiTheme="minorHAnsi" w:hAnsiTheme="minorHAnsi" w:cstheme="minorHAnsi"/>
          <w:i/>
          <w:sz w:val="24"/>
          <w:szCs w:val="24"/>
          <w:vertAlign w:val="subscript"/>
        </w:rPr>
        <w:t>(0)</w:t>
      </w:r>
      <w:r w:rsidRPr="00D9363A">
        <w:rPr>
          <w:rFonts w:asciiTheme="minorHAnsi" w:hAnsiTheme="minorHAnsi" w:cstheme="minorHAnsi"/>
          <w:sz w:val="24"/>
          <w:szCs w:val="24"/>
        </w:rPr>
        <w:t xml:space="preserve"> represents the mean ACHS I serum PCB concentration, </w:t>
      </w:r>
      <w:r w:rsidRPr="00D9363A">
        <w:rPr>
          <w:rFonts w:asciiTheme="minorHAnsi" w:hAnsiTheme="minorHAnsi" w:cstheme="minorHAnsi"/>
          <w:i/>
          <w:sz w:val="24"/>
          <w:szCs w:val="24"/>
        </w:rPr>
        <w:t xml:space="preserve">K </w:t>
      </w:r>
      <w:r w:rsidRPr="00D9363A">
        <w:rPr>
          <w:rFonts w:asciiTheme="minorHAnsi" w:hAnsiTheme="minorHAnsi" w:cstheme="minorHAnsi"/>
          <w:sz w:val="24"/>
          <w:szCs w:val="24"/>
        </w:rPr>
        <w:t xml:space="preserve">represents the decay constant, and </w:t>
      </w:r>
      <w:r w:rsidRPr="00D9363A">
        <w:rPr>
          <w:rFonts w:asciiTheme="minorHAnsi" w:hAnsiTheme="minorHAnsi" w:cstheme="minorHAnsi"/>
          <w:i/>
          <w:sz w:val="24"/>
          <w:szCs w:val="24"/>
        </w:rPr>
        <w:t>t</w:t>
      </w:r>
      <w:r w:rsidRPr="00D9363A">
        <w:rPr>
          <w:rFonts w:asciiTheme="minorHAnsi" w:hAnsiTheme="minorHAnsi" w:cstheme="minorHAnsi"/>
          <w:sz w:val="24"/>
          <w:szCs w:val="24"/>
        </w:rPr>
        <w:t xml:space="preserve"> is the time interval between studies. Given K = </w:t>
      </w:r>
      <w:proofErr w:type="spellStart"/>
      <w:proofErr w:type="gramStart"/>
      <w:r w:rsidRPr="00D9363A">
        <w:rPr>
          <w:rFonts w:asciiTheme="minorHAnsi" w:hAnsiTheme="minorHAnsi" w:cstheme="minorHAnsi"/>
          <w:sz w:val="24"/>
          <w:szCs w:val="24"/>
        </w:rPr>
        <w:t>ln</w:t>
      </w:r>
      <w:proofErr w:type="spellEnd"/>
      <w:r w:rsidRPr="00D9363A">
        <w:rPr>
          <w:rFonts w:asciiTheme="minorHAnsi" w:hAnsiTheme="minorHAnsi" w:cstheme="minorHAnsi"/>
          <w:sz w:val="24"/>
          <w:szCs w:val="24"/>
        </w:rPr>
        <w:t>(</w:t>
      </w:r>
      <w:proofErr w:type="gramEnd"/>
      <w:r w:rsidRPr="00D9363A">
        <w:rPr>
          <w:rFonts w:asciiTheme="minorHAnsi" w:hAnsiTheme="minorHAnsi" w:cstheme="minorHAnsi"/>
          <w:sz w:val="24"/>
          <w:szCs w:val="24"/>
        </w:rPr>
        <w:t>2)/</w:t>
      </w:r>
      <w:r w:rsidRPr="00D9363A">
        <w:rPr>
          <w:rFonts w:asciiTheme="minorHAnsi" w:hAnsiTheme="minorHAnsi" w:cstheme="minorHAnsi"/>
          <w:i/>
          <w:sz w:val="24"/>
          <w:szCs w:val="24"/>
        </w:rPr>
        <w:t>hl</w:t>
      </w:r>
      <w:r w:rsidRPr="00D9363A">
        <w:rPr>
          <w:rFonts w:asciiTheme="minorHAnsi" w:hAnsiTheme="minorHAnsi" w:cstheme="minorHAnsi"/>
          <w:sz w:val="24"/>
          <w:szCs w:val="24"/>
        </w:rPr>
        <w:t xml:space="preserve">, it follows that </w:t>
      </w:r>
      <w:r w:rsidRPr="00D9363A">
        <w:rPr>
          <w:rFonts w:asciiTheme="minorHAnsi" w:hAnsiTheme="minorHAnsi" w:cstheme="minorHAnsi"/>
          <w:i/>
          <w:sz w:val="24"/>
          <w:szCs w:val="24"/>
        </w:rPr>
        <w:t>C</w:t>
      </w:r>
      <w:r w:rsidRPr="00D9363A">
        <w:rPr>
          <w:rFonts w:asciiTheme="minorHAnsi" w:hAnsiTheme="minorHAnsi" w:cstheme="minorHAnsi"/>
          <w:i/>
          <w:sz w:val="24"/>
          <w:szCs w:val="24"/>
          <w:vertAlign w:val="subscript"/>
        </w:rPr>
        <w:t>(t)</w:t>
      </w:r>
      <w:r w:rsidRPr="00D9363A">
        <w:rPr>
          <w:rFonts w:asciiTheme="minorHAnsi" w:hAnsiTheme="minorHAnsi" w:cstheme="minorHAnsi"/>
          <w:sz w:val="24"/>
          <w:szCs w:val="24"/>
        </w:rPr>
        <w:t xml:space="preserve"> can be estimated.</w:t>
      </w:r>
    </w:p>
    <w:p w:rsidR="00870FD8" w:rsidRPr="00D9363A" w:rsidRDefault="00870FD8" w:rsidP="00870FD8">
      <w:pPr>
        <w:autoSpaceDE w:val="0"/>
        <w:autoSpaceDN w:val="0"/>
        <w:adjustRightInd w:val="0"/>
        <w:spacing w:after="0" w:line="240" w:lineRule="auto"/>
        <w:jc w:val="both"/>
        <w:rPr>
          <w:rFonts w:asciiTheme="minorHAnsi" w:hAnsiTheme="minorHAnsi" w:cstheme="minorHAnsi"/>
          <w:sz w:val="24"/>
          <w:szCs w:val="24"/>
        </w:rPr>
      </w:pPr>
    </w:p>
    <w:p w:rsidR="00312918" w:rsidRDefault="00870FD8" w:rsidP="00870FD8">
      <w:pPr>
        <w:autoSpaceDE w:val="0"/>
        <w:autoSpaceDN w:val="0"/>
        <w:adjustRightInd w:val="0"/>
        <w:spacing w:after="0" w:line="240" w:lineRule="auto"/>
        <w:jc w:val="both"/>
        <w:rPr>
          <w:rFonts w:asciiTheme="minorHAnsi" w:hAnsiTheme="minorHAnsi" w:cstheme="minorHAnsi"/>
          <w:sz w:val="24"/>
          <w:szCs w:val="24"/>
        </w:rPr>
      </w:pPr>
      <w:r w:rsidRPr="00D9363A">
        <w:rPr>
          <w:rFonts w:asciiTheme="minorHAnsi" w:hAnsiTheme="minorHAnsi" w:cstheme="minorHAnsi"/>
          <w:sz w:val="24"/>
          <w:szCs w:val="24"/>
        </w:rPr>
        <w:t xml:space="preserve">We selected representative congeners with low </w:t>
      </w:r>
      <w:r w:rsidRPr="00092FD4">
        <w:rPr>
          <w:rFonts w:asciiTheme="minorHAnsi" w:hAnsiTheme="minorHAnsi" w:cstheme="minorHAnsi"/>
          <w:sz w:val="24"/>
          <w:szCs w:val="24"/>
        </w:rPr>
        <w:t>(PCB 118, four chlorines), moderate (PCB 153, six chlorines), and high (PCB 206, nine chlorines) chlorination. PCB 118 is also mono-</w:t>
      </w:r>
      <w:proofErr w:type="spellStart"/>
      <w:r w:rsidRPr="004B6B53">
        <w:rPr>
          <w:rFonts w:asciiTheme="minorHAnsi" w:hAnsiTheme="minorHAnsi" w:cstheme="minorHAnsi"/>
          <w:i/>
          <w:sz w:val="24"/>
          <w:szCs w:val="24"/>
        </w:rPr>
        <w:t>ortho</w:t>
      </w:r>
      <w:proofErr w:type="spellEnd"/>
      <w:r w:rsidRPr="00092FD4">
        <w:rPr>
          <w:rFonts w:asciiTheme="minorHAnsi" w:hAnsiTheme="minorHAnsi" w:cstheme="minorHAnsi"/>
          <w:sz w:val="24"/>
          <w:szCs w:val="24"/>
        </w:rPr>
        <w:t xml:space="preserve"> substituted</w:t>
      </w:r>
      <w:r>
        <w:rPr>
          <w:rFonts w:asciiTheme="minorHAnsi" w:hAnsiTheme="minorHAnsi" w:cstheme="minorHAnsi"/>
          <w:sz w:val="24"/>
          <w:szCs w:val="24"/>
        </w:rPr>
        <w:t xml:space="preserve"> and dioxin</w:t>
      </w:r>
      <w:r w:rsidR="00D75914">
        <w:rPr>
          <w:rFonts w:asciiTheme="minorHAnsi" w:hAnsiTheme="minorHAnsi" w:cstheme="minorHAnsi"/>
          <w:sz w:val="24"/>
          <w:szCs w:val="24"/>
        </w:rPr>
        <w:t>-</w:t>
      </w:r>
      <w:r>
        <w:rPr>
          <w:rFonts w:asciiTheme="minorHAnsi" w:hAnsiTheme="minorHAnsi" w:cstheme="minorHAnsi"/>
          <w:sz w:val="24"/>
          <w:szCs w:val="24"/>
        </w:rPr>
        <w:t>like, PCB 153 di-</w:t>
      </w:r>
      <w:proofErr w:type="spellStart"/>
      <w:r w:rsidRPr="004B6B53">
        <w:rPr>
          <w:rFonts w:asciiTheme="minorHAnsi" w:hAnsiTheme="minorHAnsi" w:cstheme="minorHAnsi"/>
          <w:i/>
          <w:sz w:val="24"/>
          <w:szCs w:val="24"/>
        </w:rPr>
        <w:t>ortho</w:t>
      </w:r>
      <w:proofErr w:type="spellEnd"/>
      <w:r w:rsidRPr="00092FD4">
        <w:rPr>
          <w:rFonts w:asciiTheme="minorHAnsi" w:hAnsiTheme="minorHAnsi" w:cstheme="minorHAnsi"/>
          <w:sz w:val="24"/>
          <w:szCs w:val="24"/>
        </w:rPr>
        <w:t xml:space="preserve"> su</w:t>
      </w:r>
      <w:r>
        <w:rPr>
          <w:rFonts w:asciiTheme="minorHAnsi" w:hAnsiTheme="minorHAnsi" w:cstheme="minorHAnsi"/>
          <w:sz w:val="24"/>
          <w:szCs w:val="24"/>
        </w:rPr>
        <w:t>bstituted and non-dioxin</w:t>
      </w:r>
      <w:r w:rsidR="00D75914">
        <w:rPr>
          <w:rFonts w:asciiTheme="minorHAnsi" w:hAnsiTheme="minorHAnsi" w:cstheme="minorHAnsi"/>
          <w:sz w:val="24"/>
          <w:szCs w:val="24"/>
        </w:rPr>
        <w:t>-</w:t>
      </w:r>
      <w:r>
        <w:rPr>
          <w:rFonts w:asciiTheme="minorHAnsi" w:hAnsiTheme="minorHAnsi" w:cstheme="minorHAnsi"/>
          <w:sz w:val="24"/>
          <w:szCs w:val="24"/>
        </w:rPr>
        <w:t xml:space="preserve">like. </w:t>
      </w:r>
      <w:r w:rsidRPr="00092FD4">
        <w:rPr>
          <w:rFonts w:asciiTheme="minorHAnsi" w:hAnsiTheme="minorHAnsi" w:cstheme="minorHAnsi"/>
          <w:sz w:val="24"/>
          <w:szCs w:val="24"/>
        </w:rPr>
        <w:t xml:space="preserve">PCB 206 is </w:t>
      </w:r>
      <w:r w:rsidR="004B6B53">
        <w:rPr>
          <w:rFonts w:asciiTheme="minorHAnsi" w:hAnsiTheme="minorHAnsi" w:cstheme="minorHAnsi"/>
          <w:sz w:val="24"/>
          <w:szCs w:val="24"/>
        </w:rPr>
        <w:t xml:space="preserve">a </w:t>
      </w:r>
      <w:r w:rsidRPr="00092FD4">
        <w:rPr>
          <w:rFonts w:asciiTheme="minorHAnsi" w:hAnsiTheme="minorHAnsi" w:cstheme="minorHAnsi"/>
          <w:sz w:val="24"/>
          <w:szCs w:val="24"/>
        </w:rPr>
        <w:t>tetra-</w:t>
      </w:r>
      <w:proofErr w:type="spellStart"/>
      <w:r w:rsidRPr="00D40FA0">
        <w:rPr>
          <w:rFonts w:asciiTheme="minorHAnsi" w:hAnsiTheme="minorHAnsi" w:cstheme="minorHAnsi"/>
          <w:i/>
          <w:sz w:val="24"/>
          <w:szCs w:val="24"/>
        </w:rPr>
        <w:lastRenderedPageBreak/>
        <w:t>ortho</w:t>
      </w:r>
      <w:proofErr w:type="spellEnd"/>
      <w:r w:rsidRPr="00092FD4">
        <w:rPr>
          <w:rFonts w:asciiTheme="minorHAnsi" w:hAnsiTheme="minorHAnsi" w:cstheme="minorHAnsi"/>
          <w:sz w:val="24"/>
          <w:szCs w:val="24"/>
        </w:rPr>
        <w:t xml:space="preserve"> substituted congener. </w:t>
      </w:r>
      <w:r>
        <w:rPr>
          <w:rFonts w:asciiTheme="minorHAnsi" w:hAnsiTheme="minorHAnsi" w:cstheme="minorHAnsi"/>
          <w:sz w:val="24"/>
          <w:szCs w:val="24"/>
        </w:rPr>
        <w:t>The</w:t>
      </w:r>
      <w:r w:rsidRPr="00092FD4">
        <w:rPr>
          <w:rFonts w:asciiTheme="minorHAnsi" w:hAnsiTheme="minorHAnsi" w:cstheme="minorHAnsi"/>
          <w:sz w:val="24"/>
          <w:szCs w:val="24"/>
        </w:rPr>
        <w:t xml:space="preserve"> three</w:t>
      </w:r>
      <w:r>
        <w:rPr>
          <w:rFonts w:asciiTheme="minorHAnsi" w:hAnsiTheme="minorHAnsi" w:cstheme="minorHAnsi"/>
          <w:sz w:val="24"/>
          <w:szCs w:val="24"/>
        </w:rPr>
        <w:t xml:space="preserve"> congeners</w:t>
      </w:r>
      <w:r w:rsidRPr="00092FD4">
        <w:rPr>
          <w:rFonts w:asciiTheme="minorHAnsi" w:hAnsiTheme="minorHAnsi" w:cstheme="minorHAnsi"/>
          <w:sz w:val="24"/>
          <w:szCs w:val="24"/>
        </w:rPr>
        <w:t xml:space="preserve"> </w:t>
      </w:r>
      <w:r w:rsidR="00EB348F">
        <w:rPr>
          <w:rFonts w:asciiTheme="minorHAnsi" w:hAnsiTheme="minorHAnsi" w:cstheme="minorHAnsi"/>
          <w:sz w:val="24"/>
          <w:szCs w:val="24"/>
        </w:rPr>
        <w:t>represent</w:t>
      </w:r>
      <w:r w:rsidRPr="00092FD4">
        <w:rPr>
          <w:rFonts w:asciiTheme="minorHAnsi" w:hAnsiTheme="minorHAnsi" w:cstheme="minorHAnsi"/>
          <w:sz w:val="24"/>
          <w:szCs w:val="24"/>
        </w:rPr>
        <w:t xml:space="preserve"> a spectrum of PCBs with different chlorination patterns, toxicities, and shorter to longer half-lives (Hansen, 1998).</w:t>
      </w:r>
      <w:r>
        <w:rPr>
          <w:rFonts w:asciiTheme="minorHAnsi" w:hAnsiTheme="minorHAnsi" w:cstheme="minorHAnsi"/>
          <w:sz w:val="24"/>
          <w:szCs w:val="24"/>
        </w:rPr>
        <w:t xml:space="preserve"> </w:t>
      </w:r>
    </w:p>
    <w:p w:rsidR="00312918" w:rsidRDefault="00312918" w:rsidP="00870FD8">
      <w:pPr>
        <w:autoSpaceDE w:val="0"/>
        <w:autoSpaceDN w:val="0"/>
        <w:adjustRightInd w:val="0"/>
        <w:spacing w:after="0" w:line="240" w:lineRule="auto"/>
        <w:jc w:val="both"/>
        <w:rPr>
          <w:rFonts w:asciiTheme="minorHAnsi" w:hAnsiTheme="minorHAnsi" w:cstheme="minorHAnsi"/>
          <w:sz w:val="24"/>
          <w:szCs w:val="24"/>
        </w:rPr>
      </w:pPr>
    </w:p>
    <w:p w:rsidR="00870FD8" w:rsidRDefault="00870FD8" w:rsidP="00870FD8">
      <w:pPr>
        <w:autoSpaceDE w:val="0"/>
        <w:autoSpaceDN w:val="0"/>
        <w:adjustRightInd w:val="0"/>
        <w:spacing w:after="0" w:line="240" w:lineRule="auto"/>
        <w:jc w:val="both"/>
        <w:rPr>
          <w:rFonts w:asciiTheme="minorHAnsi" w:hAnsiTheme="minorHAnsi" w:cstheme="minorHAnsi"/>
          <w:sz w:val="24"/>
          <w:szCs w:val="24"/>
        </w:rPr>
      </w:pPr>
      <w:r w:rsidRPr="00D9363A">
        <w:rPr>
          <w:rFonts w:asciiTheme="minorHAnsi" w:hAnsiTheme="minorHAnsi" w:cstheme="minorHAnsi"/>
          <w:sz w:val="24"/>
          <w:szCs w:val="24"/>
        </w:rPr>
        <w:t xml:space="preserve">Based on the work of </w:t>
      </w:r>
      <w:proofErr w:type="spellStart"/>
      <w:r w:rsidRPr="00D9363A">
        <w:rPr>
          <w:rFonts w:asciiTheme="minorHAnsi" w:hAnsiTheme="minorHAnsi" w:cstheme="minorHAnsi"/>
          <w:sz w:val="24"/>
          <w:szCs w:val="24"/>
        </w:rPr>
        <w:t>Knobeloch</w:t>
      </w:r>
      <w:proofErr w:type="spellEnd"/>
      <w:r w:rsidRPr="00D9363A">
        <w:rPr>
          <w:rFonts w:asciiTheme="minorHAnsi" w:hAnsiTheme="minorHAnsi" w:cstheme="minorHAnsi"/>
          <w:sz w:val="24"/>
          <w:szCs w:val="24"/>
        </w:rPr>
        <w:t xml:space="preserve"> et al. (2009), for all three congeners, we assumed: 1) that the metabolism and elimination of each PCB congener follows an exponential decay model; 2) that additional individual exposure to PCB congener since baseline is minimal; and 3) that the change in mean PCB congener concentration is </w:t>
      </w:r>
      <w:proofErr w:type="spellStart"/>
      <w:r w:rsidRPr="00D9363A">
        <w:rPr>
          <w:rFonts w:asciiTheme="minorHAnsi" w:hAnsiTheme="minorHAnsi" w:cstheme="minorHAnsi"/>
          <w:sz w:val="24"/>
          <w:szCs w:val="24"/>
        </w:rPr>
        <w:t>lognormally</w:t>
      </w:r>
      <w:proofErr w:type="spellEnd"/>
      <w:r w:rsidRPr="00D9363A">
        <w:rPr>
          <w:rFonts w:asciiTheme="minorHAnsi" w:hAnsiTheme="minorHAnsi" w:cstheme="minorHAnsi"/>
          <w:sz w:val="24"/>
          <w:szCs w:val="24"/>
        </w:rPr>
        <w:t xml:space="preserve"> distributed. We also assumed a half-life of 14 years under the null hypothesis. We assumed </w:t>
      </w:r>
      <w:r w:rsidRPr="00D9363A">
        <w:rPr>
          <w:rFonts w:asciiTheme="minorHAnsi" w:hAnsiTheme="minorHAnsi" w:cstheme="minorHAnsi"/>
          <w:i/>
          <w:sz w:val="24"/>
          <w:szCs w:val="24"/>
        </w:rPr>
        <w:t xml:space="preserve">t, </w:t>
      </w:r>
      <w:r w:rsidRPr="00D9363A">
        <w:rPr>
          <w:rFonts w:asciiTheme="minorHAnsi" w:hAnsiTheme="minorHAnsi" w:cstheme="minorHAnsi"/>
          <w:sz w:val="24"/>
          <w:szCs w:val="24"/>
        </w:rPr>
        <w:t xml:space="preserve">the time since baseline to be 7 years and an alternative hypothesis of a half-life of 20 years. Sample size and power estimations were performed using one-sided one-sample t-tests, 80 percent power, and α = 0.05. Assumptions and proofs are further described in </w:t>
      </w:r>
      <w:r w:rsidR="00823E7E" w:rsidRPr="009B6F4E">
        <w:rPr>
          <w:rFonts w:asciiTheme="minorHAnsi" w:hAnsiTheme="minorHAnsi" w:cstheme="minorHAnsi"/>
          <w:sz w:val="24"/>
          <w:szCs w:val="24"/>
        </w:rPr>
        <w:t>Attachment 7</w:t>
      </w:r>
      <w:r w:rsidRPr="009B6F4E">
        <w:rPr>
          <w:rFonts w:asciiTheme="minorHAnsi" w:hAnsiTheme="minorHAnsi" w:cstheme="minorHAnsi"/>
          <w:sz w:val="24"/>
          <w:szCs w:val="24"/>
        </w:rPr>
        <w:t>.</w:t>
      </w:r>
    </w:p>
    <w:p w:rsidR="00870FD8" w:rsidRPr="00D9363A" w:rsidRDefault="00870FD8" w:rsidP="00870FD8">
      <w:pPr>
        <w:autoSpaceDE w:val="0"/>
        <w:autoSpaceDN w:val="0"/>
        <w:adjustRightInd w:val="0"/>
        <w:spacing w:after="0" w:line="240" w:lineRule="auto"/>
        <w:jc w:val="both"/>
        <w:rPr>
          <w:rFonts w:asciiTheme="minorHAnsi" w:hAnsiTheme="minorHAnsi" w:cstheme="minorHAnsi"/>
          <w:sz w:val="24"/>
          <w:szCs w:val="24"/>
        </w:rPr>
      </w:pPr>
    </w:p>
    <w:p w:rsidR="00870FD8" w:rsidRDefault="00870FD8" w:rsidP="00870FD8">
      <w:pPr>
        <w:autoSpaceDE w:val="0"/>
        <w:autoSpaceDN w:val="0"/>
        <w:adjustRightInd w:val="0"/>
        <w:spacing w:after="0" w:line="240" w:lineRule="auto"/>
        <w:jc w:val="both"/>
        <w:rPr>
          <w:rFonts w:asciiTheme="minorHAnsi" w:hAnsiTheme="minorHAnsi" w:cstheme="minorHAnsi"/>
          <w:sz w:val="24"/>
          <w:szCs w:val="24"/>
        </w:rPr>
      </w:pPr>
      <w:proofErr w:type="gramStart"/>
      <w:r>
        <w:rPr>
          <w:rFonts w:asciiTheme="minorHAnsi" w:hAnsiTheme="minorHAnsi" w:cstheme="minorHAnsi"/>
          <w:b/>
          <w:sz w:val="24"/>
          <w:szCs w:val="24"/>
        </w:rPr>
        <w:t>Table 1</w:t>
      </w:r>
      <w:r>
        <w:rPr>
          <w:rFonts w:asciiTheme="minorHAnsi" w:hAnsiTheme="minorHAnsi" w:cstheme="minorHAnsi"/>
          <w:sz w:val="24"/>
          <w:szCs w:val="24"/>
        </w:rPr>
        <w:t>.</w:t>
      </w:r>
      <w:proofErr w:type="gramEnd"/>
      <w:r>
        <w:rPr>
          <w:rFonts w:asciiTheme="minorHAnsi" w:hAnsiTheme="minorHAnsi" w:cstheme="minorHAnsi"/>
          <w:sz w:val="24"/>
          <w:szCs w:val="24"/>
        </w:rPr>
        <w:t xml:space="preserve"> Mean </w:t>
      </w:r>
      <w:r w:rsidR="009B6F4E">
        <w:rPr>
          <w:rFonts w:asciiTheme="minorHAnsi" w:hAnsiTheme="minorHAnsi" w:cstheme="minorHAnsi"/>
          <w:sz w:val="24"/>
          <w:szCs w:val="24"/>
        </w:rPr>
        <w:t xml:space="preserve">ACHS </w:t>
      </w:r>
      <w:r>
        <w:rPr>
          <w:rFonts w:asciiTheme="minorHAnsi" w:hAnsiTheme="minorHAnsi" w:cstheme="minorHAnsi"/>
          <w:sz w:val="24"/>
          <w:szCs w:val="24"/>
        </w:rPr>
        <w:t>PCB congener concentrations and associated sample size</w:t>
      </w:r>
      <w:r w:rsidR="009B6F4E">
        <w:rPr>
          <w:rFonts w:asciiTheme="minorHAnsi" w:hAnsiTheme="minorHAnsi" w:cstheme="minorHAnsi"/>
          <w:sz w:val="24"/>
          <w:szCs w:val="24"/>
        </w:rPr>
        <w:t xml:space="preserve"> required </w:t>
      </w:r>
      <w:r w:rsidR="00964654">
        <w:rPr>
          <w:rFonts w:asciiTheme="minorHAnsi" w:hAnsiTheme="minorHAnsi" w:cstheme="minorHAnsi"/>
          <w:sz w:val="24"/>
          <w:szCs w:val="24"/>
        </w:rPr>
        <w:t>seven years later</w:t>
      </w:r>
      <w:r w:rsidR="00135558">
        <w:rPr>
          <w:rFonts w:asciiTheme="minorHAnsi" w:hAnsiTheme="minorHAnsi" w:cstheme="minorHAnsi"/>
          <w:sz w:val="24"/>
          <w:szCs w:val="24"/>
        </w:rPr>
        <w:t xml:space="preserve"> for the ACHS</w:t>
      </w:r>
      <w:r w:rsidR="00296078">
        <w:rPr>
          <w:rFonts w:asciiTheme="minorHAnsi" w:hAnsiTheme="minorHAnsi" w:cstheme="minorHAnsi"/>
          <w:sz w:val="24"/>
          <w:szCs w:val="24"/>
        </w:rPr>
        <w:t>-</w:t>
      </w:r>
      <w:r w:rsidR="00135558">
        <w:rPr>
          <w:rFonts w:asciiTheme="minorHAnsi" w:hAnsiTheme="minorHAnsi" w:cstheme="minorHAnsi"/>
          <w:sz w:val="24"/>
          <w:szCs w:val="24"/>
        </w:rPr>
        <w:t>II</w:t>
      </w:r>
      <w:r>
        <w:rPr>
          <w:rFonts w:asciiTheme="minorHAnsi" w:hAnsiTheme="minorHAnsi" w:cstheme="minorHAnsi"/>
          <w:sz w:val="24"/>
          <w:szCs w:val="24"/>
        </w:rPr>
        <w:t>.</w:t>
      </w:r>
    </w:p>
    <w:p w:rsidR="00120D75" w:rsidRDefault="00120D75" w:rsidP="00870FD8">
      <w:pPr>
        <w:autoSpaceDE w:val="0"/>
        <w:autoSpaceDN w:val="0"/>
        <w:adjustRightInd w:val="0"/>
        <w:spacing w:after="0" w:line="240" w:lineRule="auto"/>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2344"/>
        <w:gridCol w:w="2345"/>
        <w:gridCol w:w="2344"/>
        <w:gridCol w:w="2345"/>
      </w:tblGrid>
      <w:tr w:rsidR="00870FD8" w:rsidRPr="00246038" w:rsidTr="00506271">
        <w:tc>
          <w:tcPr>
            <w:tcW w:w="2344" w:type="dxa"/>
            <w:vAlign w:val="center"/>
          </w:tcPr>
          <w:p w:rsidR="00870FD8" w:rsidRPr="00246038" w:rsidRDefault="00870FD8" w:rsidP="00506271">
            <w:pPr>
              <w:autoSpaceDE w:val="0"/>
              <w:autoSpaceDN w:val="0"/>
              <w:adjustRightInd w:val="0"/>
              <w:spacing w:after="0" w:line="240" w:lineRule="auto"/>
              <w:jc w:val="center"/>
              <w:rPr>
                <w:rFonts w:asciiTheme="minorHAnsi" w:hAnsiTheme="minorHAnsi" w:cstheme="minorHAnsi"/>
                <w:sz w:val="24"/>
                <w:szCs w:val="24"/>
              </w:rPr>
            </w:pPr>
            <w:r w:rsidRPr="00246038">
              <w:rPr>
                <w:rFonts w:asciiTheme="minorHAnsi" w:hAnsiTheme="minorHAnsi" w:cstheme="minorHAnsi"/>
                <w:sz w:val="24"/>
                <w:szCs w:val="24"/>
              </w:rPr>
              <w:t>PCB Congener</w:t>
            </w:r>
          </w:p>
        </w:tc>
        <w:tc>
          <w:tcPr>
            <w:tcW w:w="2345" w:type="dxa"/>
            <w:vAlign w:val="center"/>
          </w:tcPr>
          <w:p w:rsidR="00870FD8" w:rsidRPr="00246038" w:rsidRDefault="00870FD8" w:rsidP="00506271">
            <w:pPr>
              <w:autoSpaceDE w:val="0"/>
              <w:autoSpaceDN w:val="0"/>
              <w:adjustRightInd w:val="0"/>
              <w:spacing w:after="0" w:line="240" w:lineRule="auto"/>
              <w:jc w:val="center"/>
              <w:rPr>
                <w:rFonts w:asciiTheme="minorHAnsi" w:hAnsiTheme="minorHAnsi" w:cstheme="minorHAnsi"/>
                <w:sz w:val="24"/>
                <w:szCs w:val="24"/>
              </w:rPr>
            </w:pPr>
            <w:r w:rsidRPr="00246038">
              <w:rPr>
                <w:rFonts w:asciiTheme="minorHAnsi" w:hAnsiTheme="minorHAnsi" w:cstheme="minorHAnsi"/>
                <w:sz w:val="24"/>
                <w:szCs w:val="24"/>
              </w:rPr>
              <w:t>Mean ACHS PCB Concentration</w:t>
            </w:r>
          </w:p>
          <w:p w:rsidR="00870FD8" w:rsidRPr="00246038" w:rsidRDefault="00870FD8" w:rsidP="00506271">
            <w:pPr>
              <w:autoSpaceDE w:val="0"/>
              <w:autoSpaceDN w:val="0"/>
              <w:adjustRightInd w:val="0"/>
              <w:spacing w:after="0" w:line="240" w:lineRule="auto"/>
              <w:jc w:val="center"/>
              <w:rPr>
                <w:rFonts w:asciiTheme="minorHAnsi" w:hAnsiTheme="minorHAnsi" w:cstheme="minorHAnsi"/>
                <w:sz w:val="24"/>
                <w:szCs w:val="24"/>
              </w:rPr>
            </w:pPr>
            <w:r w:rsidRPr="00246038">
              <w:rPr>
                <w:rFonts w:asciiTheme="minorHAnsi" w:hAnsiTheme="minorHAnsi" w:cstheme="minorHAnsi"/>
                <w:i/>
                <w:sz w:val="24"/>
                <w:szCs w:val="24"/>
              </w:rPr>
              <w:t>C</w:t>
            </w:r>
            <w:r w:rsidRPr="00246038">
              <w:rPr>
                <w:rFonts w:asciiTheme="minorHAnsi" w:hAnsiTheme="minorHAnsi" w:cstheme="minorHAnsi"/>
                <w:i/>
                <w:sz w:val="24"/>
                <w:szCs w:val="24"/>
                <w:vertAlign w:val="subscript"/>
              </w:rPr>
              <w:t>(0)</w:t>
            </w:r>
            <w:r w:rsidRPr="00246038">
              <w:rPr>
                <w:rFonts w:asciiTheme="minorHAnsi" w:hAnsiTheme="minorHAnsi" w:cstheme="minorHAnsi"/>
                <w:sz w:val="24"/>
                <w:szCs w:val="24"/>
              </w:rPr>
              <w:t xml:space="preserve">, in </w:t>
            </w:r>
            <w:proofErr w:type="spellStart"/>
            <w:r w:rsidRPr="00246038">
              <w:rPr>
                <w:rFonts w:asciiTheme="minorHAnsi" w:hAnsiTheme="minorHAnsi" w:cstheme="minorHAnsi"/>
                <w:sz w:val="24"/>
                <w:szCs w:val="24"/>
              </w:rPr>
              <w:t>ng</w:t>
            </w:r>
            <w:proofErr w:type="spellEnd"/>
            <w:r w:rsidRPr="00246038">
              <w:rPr>
                <w:rFonts w:asciiTheme="minorHAnsi" w:hAnsiTheme="minorHAnsi" w:cstheme="minorHAnsi"/>
                <w:sz w:val="24"/>
                <w:szCs w:val="24"/>
              </w:rPr>
              <w:t>/g lipid</w:t>
            </w:r>
          </w:p>
        </w:tc>
        <w:tc>
          <w:tcPr>
            <w:tcW w:w="2344" w:type="dxa"/>
            <w:vAlign w:val="center"/>
          </w:tcPr>
          <w:p w:rsidR="00870FD8" w:rsidRPr="00246038" w:rsidDel="006F47A4" w:rsidRDefault="00870FD8" w:rsidP="00506271">
            <w:pPr>
              <w:autoSpaceDE w:val="0"/>
              <w:autoSpaceDN w:val="0"/>
              <w:adjustRightInd w:val="0"/>
              <w:spacing w:after="0" w:line="240" w:lineRule="auto"/>
              <w:jc w:val="center"/>
              <w:rPr>
                <w:rFonts w:asciiTheme="minorHAnsi" w:hAnsiTheme="minorHAnsi" w:cstheme="minorHAnsi"/>
                <w:sz w:val="24"/>
                <w:szCs w:val="24"/>
              </w:rPr>
            </w:pPr>
            <w:r w:rsidRPr="00246038">
              <w:rPr>
                <w:rFonts w:asciiTheme="minorHAnsi" w:hAnsiTheme="minorHAnsi" w:cstheme="minorHAnsi"/>
                <w:sz w:val="24"/>
                <w:szCs w:val="24"/>
              </w:rPr>
              <w:t>Standard Deviation of ACHS PCB Concentration</w:t>
            </w:r>
          </w:p>
        </w:tc>
        <w:tc>
          <w:tcPr>
            <w:tcW w:w="2345" w:type="dxa"/>
            <w:vAlign w:val="center"/>
          </w:tcPr>
          <w:p w:rsidR="00870FD8" w:rsidRPr="00246038" w:rsidRDefault="00870FD8" w:rsidP="00506271">
            <w:pPr>
              <w:autoSpaceDE w:val="0"/>
              <w:autoSpaceDN w:val="0"/>
              <w:adjustRightInd w:val="0"/>
              <w:spacing w:after="0" w:line="240" w:lineRule="auto"/>
              <w:jc w:val="center"/>
              <w:rPr>
                <w:rFonts w:asciiTheme="minorHAnsi" w:hAnsiTheme="minorHAnsi" w:cstheme="minorHAnsi"/>
                <w:sz w:val="24"/>
                <w:szCs w:val="24"/>
              </w:rPr>
            </w:pPr>
            <w:r w:rsidRPr="00246038">
              <w:rPr>
                <w:rFonts w:asciiTheme="minorHAnsi" w:hAnsiTheme="minorHAnsi" w:cstheme="minorHAnsi"/>
                <w:sz w:val="24"/>
                <w:szCs w:val="24"/>
              </w:rPr>
              <w:t>Sample Size at 80% Power and α=0.05</w:t>
            </w:r>
          </w:p>
        </w:tc>
      </w:tr>
      <w:tr w:rsidR="00870FD8" w:rsidRPr="00246038" w:rsidTr="00506271">
        <w:tc>
          <w:tcPr>
            <w:tcW w:w="2344" w:type="dxa"/>
          </w:tcPr>
          <w:p w:rsidR="00870FD8" w:rsidRPr="00246038" w:rsidRDefault="00870FD8" w:rsidP="00870FD8">
            <w:pPr>
              <w:autoSpaceDE w:val="0"/>
              <w:autoSpaceDN w:val="0"/>
              <w:adjustRightInd w:val="0"/>
              <w:spacing w:after="0" w:line="240" w:lineRule="auto"/>
              <w:jc w:val="both"/>
              <w:rPr>
                <w:rFonts w:asciiTheme="minorHAnsi" w:hAnsiTheme="minorHAnsi" w:cstheme="minorHAnsi"/>
                <w:sz w:val="24"/>
                <w:szCs w:val="24"/>
              </w:rPr>
            </w:pPr>
            <w:r w:rsidRPr="00246038">
              <w:rPr>
                <w:rFonts w:asciiTheme="minorHAnsi" w:hAnsiTheme="minorHAnsi" w:cstheme="minorHAnsi"/>
                <w:sz w:val="24"/>
                <w:szCs w:val="24"/>
              </w:rPr>
              <w:t>118</w:t>
            </w:r>
          </w:p>
        </w:tc>
        <w:tc>
          <w:tcPr>
            <w:tcW w:w="2345" w:type="dxa"/>
            <w:vAlign w:val="center"/>
          </w:tcPr>
          <w:p w:rsidR="00870FD8" w:rsidRPr="00246038" w:rsidRDefault="00870FD8" w:rsidP="00506271">
            <w:pPr>
              <w:autoSpaceDE w:val="0"/>
              <w:autoSpaceDN w:val="0"/>
              <w:adjustRightInd w:val="0"/>
              <w:spacing w:after="0" w:line="240" w:lineRule="auto"/>
              <w:jc w:val="right"/>
              <w:rPr>
                <w:rFonts w:asciiTheme="minorHAnsi" w:hAnsiTheme="minorHAnsi" w:cstheme="minorHAnsi"/>
                <w:sz w:val="24"/>
                <w:szCs w:val="24"/>
              </w:rPr>
            </w:pPr>
            <w:r w:rsidRPr="00246038">
              <w:rPr>
                <w:rFonts w:asciiTheme="minorHAnsi" w:hAnsiTheme="minorHAnsi" w:cstheme="minorHAnsi"/>
                <w:sz w:val="24"/>
                <w:szCs w:val="24"/>
              </w:rPr>
              <w:t>70</w:t>
            </w:r>
          </w:p>
        </w:tc>
        <w:tc>
          <w:tcPr>
            <w:tcW w:w="2344" w:type="dxa"/>
            <w:vAlign w:val="center"/>
          </w:tcPr>
          <w:p w:rsidR="00870FD8" w:rsidRPr="00246038" w:rsidRDefault="00870FD8" w:rsidP="00506271">
            <w:pPr>
              <w:autoSpaceDE w:val="0"/>
              <w:autoSpaceDN w:val="0"/>
              <w:adjustRightInd w:val="0"/>
              <w:spacing w:after="0" w:line="240" w:lineRule="auto"/>
              <w:jc w:val="right"/>
              <w:rPr>
                <w:rFonts w:asciiTheme="minorHAnsi" w:hAnsiTheme="minorHAnsi" w:cstheme="minorHAnsi"/>
                <w:sz w:val="24"/>
                <w:szCs w:val="24"/>
              </w:rPr>
            </w:pPr>
            <w:r w:rsidRPr="00246038">
              <w:rPr>
                <w:rFonts w:asciiTheme="minorHAnsi" w:hAnsiTheme="minorHAnsi" w:cstheme="minorHAnsi"/>
                <w:sz w:val="24"/>
                <w:szCs w:val="24"/>
              </w:rPr>
              <w:t>177</w:t>
            </w:r>
          </w:p>
        </w:tc>
        <w:tc>
          <w:tcPr>
            <w:tcW w:w="2345" w:type="dxa"/>
            <w:vAlign w:val="center"/>
          </w:tcPr>
          <w:p w:rsidR="00870FD8" w:rsidRPr="00246038" w:rsidRDefault="00870FD8" w:rsidP="00506271">
            <w:pPr>
              <w:autoSpaceDE w:val="0"/>
              <w:autoSpaceDN w:val="0"/>
              <w:adjustRightInd w:val="0"/>
              <w:spacing w:after="0" w:line="240" w:lineRule="auto"/>
              <w:jc w:val="right"/>
              <w:rPr>
                <w:rFonts w:asciiTheme="minorHAnsi" w:hAnsiTheme="minorHAnsi" w:cstheme="minorHAnsi"/>
                <w:sz w:val="24"/>
                <w:szCs w:val="24"/>
              </w:rPr>
            </w:pPr>
            <w:r w:rsidRPr="00246038">
              <w:rPr>
                <w:rFonts w:asciiTheme="minorHAnsi" w:hAnsiTheme="minorHAnsi" w:cstheme="minorHAnsi"/>
                <w:sz w:val="24"/>
                <w:szCs w:val="24"/>
              </w:rPr>
              <w:t>420</w:t>
            </w:r>
          </w:p>
        </w:tc>
      </w:tr>
      <w:tr w:rsidR="00870FD8" w:rsidRPr="00246038" w:rsidTr="00506271">
        <w:tc>
          <w:tcPr>
            <w:tcW w:w="2344" w:type="dxa"/>
          </w:tcPr>
          <w:p w:rsidR="00870FD8" w:rsidRPr="00246038" w:rsidRDefault="00870FD8" w:rsidP="00870FD8">
            <w:pPr>
              <w:autoSpaceDE w:val="0"/>
              <w:autoSpaceDN w:val="0"/>
              <w:adjustRightInd w:val="0"/>
              <w:spacing w:after="0" w:line="240" w:lineRule="auto"/>
              <w:jc w:val="both"/>
              <w:rPr>
                <w:rFonts w:asciiTheme="minorHAnsi" w:hAnsiTheme="minorHAnsi" w:cstheme="minorHAnsi"/>
                <w:sz w:val="24"/>
                <w:szCs w:val="24"/>
              </w:rPr>
            </w:pPr>
            <w:r w:rsidRPr="00246038">
              <w:rPr>
                <w:rFonts w:asciiTheme="minorHAnsi" w:hAnsiTheme="minorHAnsi" w:cstheme="minorHAnsi"/>
                <w:sz w:val="24"/>
                <w:szCs w:val="24"/>
              </w:rPr>
              <w:t>153</w:t>
            </w:r>
          </w:p>
        </w:tc>
        <w:tc>
          <w:tcPr>
            <w:tcW w:w="2345" w:type="dxa"/>
            <w:vAlign w:val="center"/>
          </w:tcPr>
          <w:p w:rsidR="00870FD8" w:rsidRPr="00246038" w:rsidRDefault="00870FD8" w:rsidP="00506271">
            <w:pPr>
              <w:autoSpaceDE w:val="0"/>
              <w:autoSpaceDN w:val="0"/>
              <w:adjustRightInd w:val="0"/>
              <w:spacing w:after="0" w:line="240" w:lineRule="auto"/>
              <w:jc w:val="right"/>
              <w:rPr>
                <w:rFonts w:asciiTheme="minorHAnsi" w:hAnsiTheme="minorHAnsi" w:cstheme="minorHAnsi"/>
                <w:sz w:val="24"/>
                <w:szCs w:val="24"/>
              </w:rPr>
            </w:pPr>
            <w:r w:rsidRPr="00246038">
              <w:rPr>
                <w:rFonts w:asciiTheme="minorHAnsi" w:hAnsiTheme="minorHAnsi" w:cstheme="minorHAnsi"/>
                <w:sz w:val="24"/>
                <w:szCs w:val="24"/>
              </w:rPr>
              <w:t>218</w:t>
            </w:r>
          </w:p>
        </w:tc>
        <w:tc>
          <w:tcPr>
            <w:tcW w:w="2344" w:type="dxa"/>
            <w:vAlign w:val="center"/>
          </w:tcPr>
          <w:p w:rsidR="00870FD8" w:rsidRPr="00246038" w:rsidRDefault="00870FD8" w:rsidP="00506271">
            <w:pPr>
              <w:autoSpaceDE w:val="0"/>
              <w:autoSpaceDN w:val="0"/>
              <w:adjustRightInd w:val="0"/>
              <w:spacing w:after="0" w:line="240" w:lineRule="auto"/>
              <w:jc w:val="right"/>
              <w:rPr>
                <w:rFonts w:asciiTheme="minorHAnsi" w:hAnsiTheme="minorHAnsi" w:cstheme="minorHAnsi"/>
                <w:sz w:val="24"/>
                <w:szCs w:val="24"/>
              </w:rPr>
            </w:pPr>
            <w:r w:rsidRPr="00246038">
              <w:rPr>
                <w:rFonts w:asciiTheme="minorHAnsi" w:hAnsiTheme="minorHAnsi" w:cstheme="minorHAnsi"/>
                <w:sz w:val="24"/>
                <w:szCs w:val="24"/>
              </w:rPr>
              <w:t>409</w:t>
            </w:r>
          </w:p>
        </w:tc>
        <w:tc>
          <w:tcPr>
            <w:tcW w:w="2345" w:type="dxa"/>
            <w:vAlign w:val="center"/>
          </w:tcPr>
          <w:p w:rsidR="00870FD8" w:rsidRPr="00246038" w:rsidRDefault="00870FD8" w:rsidP="00506271">
            <w:pPr>
              <w:autoSpaceDE w:val="0"/>
              <w:autoSpaceDN w:val="0"/>
              <w:adjustRightInd w:val="0"/>
              <w:spacing w:after="0" w:line="240" w:lineRule="auto"/>
              <w:jc w:val="right"/>
              <w:rPr>
                <w:rFonts w:asciiTheme="minorHAnsi" w:hAnsiTheme="minorHAnsi" w:cstheme="minorHAnsi"/>
                <w:sz w:val="24"/>
                <w:szCs w:val="24"/>
              </w:rPr>
            </w:pPr>
            <w:r w:rsidRPr="00246038">
              <w:rPr>
                <w:rFonts w:asciiTheme="minorHAnsi" w:hAnsiTheme="minorHAnsi" w:cstheme="minorHAnsi"/>
                <w:sz w:val="24"/>
                <w:szCs w:val="24"/>
              </w:rPr>
              <w:t>232</w:t>
            </w:r>
          </w:p>
        </w:tc>
      </w:tr>
      <w:tr w:rsidR="00870FD8" w:rsidRPr="00246038" w:rsidTr="00506271">
        <w:tc>
          <w:tcPr>
            <w:tcW w:w="2344" w:type="dxa"/>
          </w:tcPr>
          <w:p w:rsidR="00870FD8" w:rsidRPr="00246038" w:rsidRDefault="00870FD8" w:rsidP="00870FD8">
            <w:pPr>
              <w:autoSpaceDE w:val="0"/>
              <w:autoSpaceDN w:val="0"/>
              <w:adjustRightInd w:val="0"/>
              <w:spacing w:after="0" w:line="240" w:lineRule="auto"/>
              <w:jc w:val="both"/>
              <w:rPr>
                <w:rFonts w:asciiTheme="minorHAnsi" w:hAnsiTheme="minorHAnsi" w:cstheme="minorHAnsi"/>
                <w:sz w:val="24"/>
                <w:szCs w:val="24"/>
              </w:rPr>
            </w:pPr>
            <w:r w:rsidRPr="00246038">
              <w:rPr>
                <w:rFonts w:asciiTheme="minorHAnsi" w:hAnsiTheme="minorHAnsi" w:cstheme="minorHAnsi"/>
                <w:sz w:val="24"/>
                <w:szCs w:val="24"/>
              </w:rPr>
              <w:t>206</w:t>
            </w:r>
          </w:p>
        </w:tc>
        <w:tc>
          <w:tcPr>
            <w:tcW w:w="2345" w:type="dxa"/>
            <w:vAlign w:val="center"/>
          </w:tcPr>
          <w:p w:rsidR="00870FD8" w:rsidRPr="00246038" w:rsidRDefault="00870FD8" w:rsidP="00506271">
            <w:pPr>
              <w:autoSpaceDE w:val="0"/>
              <w:autoSpaceDN w:val="0"/>
              <w:adjustRightInd w:val="0"/>
              <w:spacing w:after="0" w:line="240" w:lineRule="auto"/>
              <w:jc w:val="right"/>
              <w:rPr>
                <w:rFonts w:asciiTheme="minorHAnsi" w:hAnsiTheme="minorHAnsi" w:cstheme="minorHAnsi"/>
                <w:sz w:val="24"/>
                <w:szCs w:val="24"/>
              </w:rPr>
            </w:pPr>
            <w:r w:rsidRPr="00246038">
              <w:rPr>
                <w:rFonts w:asciiTheme="minorHAnsi" w:hAnsiTheme="minorHAnsi" w:cstheme="minorHAnsi"/>
                <w:sz w:val="24"/>
                <w:szCs w:val="24"/>
              </w:rPr>
              <w:t>40</w:t>
            </w:r>
          </w:p>
        </w:tc>
        <w:tc>
          <w:tcPr>
            <w:tcW w:w="2344" w:type="dxa"/>
            <w:vAlign w:val="center"/>
          </w:tcPr>
          <w:p w:rsidR="00870FD8" w:rsidRPr="00246038" w:rsidRDefault="00870FD8" w:rsidP="00506271">
            <w:pPr>
              <w:tabs>
                <w:tab w:val="left" w:pos="391"/>
                <w:tab w:val="left" w:pos="500"/>
                <w:tab w:val="left" w:pos="718"/>
              </w:tabs>
              <w:autoSpaceDE w:val="0"/>
              <w:autoSpaceDN w:val="0"/>
              <w:adjustRightInd w:val="0"/>
              <w:spacing w:after="0" w:line="240" w:lineRule="auto"/>
              <w:jc w:val="right"/>
              <w:rPr>
                <w:rFonts w:asciiTheme="minorHAnsi" w:hAnsiTheme="minorHAnsi" w:cstheme="minorHAnsi"/>
                <w:sz w:val="24"/>
                <w:szCs w:val="24"/>
              </w:rPr>
            </w:pPr>
            <w:r w:rsidRPr="00246038">
              <w:rPr>
                <w:rFonts w:asciiTheme="minorHAnsi" w:hAnsiTheme="minorHAnsi" w:cstheme="minorHAnsi"/>
                <w:sz w:val="24"/>
                <w:szCs w:val="24"/>
              </w:rPr>
              <w:t>98</w:t>
            </w:r>
          </w:p>
        </w:tc>
        <w:tc>
          <w:tcPr>
            <w:tcW w:w="2345" w:type="dxa"/>
            <w:vAlign w:val="center"/>
          </w:tcPr>
          <w:p w:rsidR="00870FD8" w:rsidRPr="00246038" w:rsidRDefault="00870FD8" w:rsidP="00506271">
            <w:pPr>
              <w:autoSpaceDE w:val="0"/>
              <w:autoSpaceDN w:val="0"/>
              <w:adjustRightInd w:val="0"/>
              <w:spacing w:after="0" w:line="240" w:lineRule="auto"/>
              <w:jc w:val="right"/>
              <w:rPr>
                <w:rFonts w:asciiTheme="minorHAnsi" w:hAnsiTheme="minorHAnsi" w:cstheme="minorHAnsi"/>
                <w:sz w:val="24"/>
                <w:szCs w:val="24"/>
              </w:rPr>
            </w:pPr>
            <w:r w:rsidRPr="00246038">
              <w:rPr>
                <w:rFonts w:asciiTheme="minorHAnsi" w:hAnsiTheme="minorHAnsi" w:cstheme="minorHAnsi"/>
                <w:sz w:val="24"/>
                <w:szCs w:val="24"/>
              </w:rPr>
              <w:t>395</w:t>
            </w:r>
          </w:p>
        </w:tc>
      </w:tr>
    </w:tbl>
    <w:p w:rsidR="00870FD8" w:rsidRPr="00D9363A" w:rsidRDefault="00870FD8" w:rsidP="00870FD8">
      <w:pPr>
        <w:autoSpaceDE w:val="0"/>
        <w:autoSpaceDN w:val="0"/>
        <w:adjustRightInd w:val="0"/>
        <w:spacing w:after="0" w:line="240" w:lineRule="auto"/>
        <w:jc w:val="both"/>
        <w:rPr>
          <w:rFonts w:asciiTheme="minorHAnsi" w:hAnsiTheme="minorHAnsi" w:cstheme="minorHAnsi"/>
          <w:sz w:val="24"/>
          <w:szCs w:val="24"/>
        </w:rPr>
      </w:pPr>
    </w:p>
    <w:p w:rsidR="003D31DF" w:rsidRDefault="00870FD8" w:rsidP="00506271">
      <w:pPr>
        <w:autoSpaceDE w:val="0"/>
        <w:autoSpaceDN w:val="0"/>
        <w:adjustRightInd w:val="0"/>
        <w:spacing w:after="0" w:line="240" w:lineRule="auto"/>
        <w:jc w:val="both"/>
        <w:rPr>
          <w:rFonts w:asciiTheme="minorHAnsi" w:hAnsiTheme="minorHAnsi" w:cstheme="minorHAnsi"/>
          <w:bCs/>
          <w:iCs/>
          <w:sz w:val="24"/>
          <w:szCs w:val="24"/>
        </w:rPr>
      </w:pPr>
      <w:r w:rsidRPr="00D9363A">
        <w:rPr>
          <w:rFonts w:asciiTheme="minorHAnsi" w:hAnsiTheme="minorHAnsi" w:cstheme="minorHAnsi"/>
          <w:bCs/>
          <w:iCs/>
          <w:sz w:val="24"/>
          <w:szCs w:val="24"/>
        </w:rPr>
        <w:t>Therefore, under these assumptions, we have sufficient power to detect a difference in mean PCB concentrations for low, moderate, and highly chlorinated PCB congeners</w:t>
      </w:r>
      <w:r w:rsidR="00493C6B">
        <w:rPr>
          <w:rFonts w:asciiTheme="minorHAnsi" w:hAnsiTheme="minorHAnsi" w:cstheme="minorHAnsi"/>
          <w:bCs/>
          <w:iCs/>
          <w:sz w:val="24"/>
          <w:szCs w:val="24"/>
        </w:rPr>
        <w:t xml:space="preserve"> between two time point</w:t>
      </w:r>
      <w:r w:rsidR="002F348A">
        <w:rPr>
          <w:rFonts w:asciiTheme="minorHAnsi" w:hAnsiTheme="minorHAnsi" w:cstheme="minorHAnsi"/>
          <w:bCs/>
          <w:iCs/>
          <w:sz w:val="24"/>
          <w:szCs w:val="24"/>
        </w:rPr>
        <w:t>s</w:t>
      </w:r>
      <w:r w:rsidRPr="00D9363A">
        <w:rPr>
          <w:rFonts w:asciiTheme="minorHAnsi" w:hAnsiTheme="minorHAnsi" w:cstheme="minorHAnsi"/>
          <w:bCs/>
          <w:iCs/>
          <w:sz w:val="24"/>
          <w:szCs w:val="24"/>
        </w:rPr>
        <w:t>.</w:t>
      </w:r>
      <w:r>
        <w:rPr>
          <w:rFonts w:asciiTheme="minorHAnsi" w:hAnsiTheme="minorHAnsi" w:cstheme="minorHAnsi"/>
          <w:bCs/>
          <w:iCs/>
          <w:sz w:val="24"/>
          <w:szCs w:val="24"/>
        </w:rPr>
        <w:t xml:space="preserve"> Exposure assessment analyses that compare PCB </w:t>
      </w:r>
      <w:proofErr w:type="gramStart"/>
      <w:r>
        <w:rPr>
          <w:rFonts w:asciiTheme="minorHAnsi" w:hAnsiTheme="minorHAnsi" w:cstheme="minorHAnsi"/>
          <w:bCs/>
          <w:iCs/>
          <w:sz w:val="24"/>
          <w:szCs w:val="24"/>
        </w:rPr>
        <w:t>congeners</w:t>
      </w:r>
      <w:proofErr w:type="gramEnd"/>
      <w:r>
        <w:rPr>
          <w:rFonts w:asciiTheme="minorHAnsi" w:hAnsiTheme="minorHAnsi" w:cstheme="minorHAnsi"/>
          <w:bCs/>
          <w:iCs/>
          <w:sz w:val="24"/>
          <w:szCs w:val="24"/>
        </w:rPr>
        <w:t xml:space="preserve"> measurements between the two study time points thus can be meaningfully performed with sample sizes of 400 or even 200 </w:t>
      </w:r>
      <w:r w:rsidR="00711C4D">
        <w:rPr>
          <w:rFonts w:asciiTheme="minorHAnsi" w:hAnsiTheme="minorHAnsi" w:cstheme="minorHAnsi"/>
          <w:bCs/>
          <w:iCs/>
          <w:sz w:val="24"/>
          <w:szCs w:val="24"/>
        </w:rPr>
        <w:t>respondent</w:t>
      </w:r>
      <w:r>
        <w:rPr>
          <w:rFonts w:asciiTheme="minorHAnsi" w:hAnsiTheme="minorHAnsi" w:cstheme="minorHAnsi"/>
          <w:bCs/>
          <w:iCs/>
          <w:sz w:val="24"/>
          <w:szCs w:val="24"/>
        </w:rPr>
        <w:t xml:space="preserve">s (i.e. PCB 153). If only 100 </w:t>
      </w:r>
      <w:r w:rsidR="00711C4D">
        <w:rPr>
          <w:rFonts w:asciiTheme="minorHAnsi" w:hAnsiTheme="minorHAnsi" w:cstheme="minorHAnsi"/>
          <w:bCs/>
          <w:iCs/>
          <w:sz w:val="24"/>
          <w:szCs w:val="24"/>
        </w:rPr>
        <w:t>respondent</w:t>
      </w:r>
      <w:r>
        <w:rPr>
          <w:rFonts w:asciiTheme="minorHAnsi" w:hAnsiTheme="minorHAnsi" w:cstheme="minorHAnsi"/>
          <w:bCs/>
          <w:iCs/>
          <w:sz w:val="24"/>
          <w:szCs w:val="24"/>
        </w:rPr>
        <w:t>s were enrolled the power to detect statistically significant difference would be substantially reduced.</w:t>
      </w:r>
      <w:r w:rsidR="00171360">
        <w:rPr>
          <w:rFonts w:asciiTheme="minorHAnsi" w:hAnsiTheme="minorHAnsi" w:cstheme="minorHAnsi"/>
          <w:bCs/>
          <w:iCs/>
          <w:sz w:val="24"/>
          <w:szCs w:val="24"/>
        </w:rPr>
        <w:t xml:space="preserve"> </w:t>
      </w:r>
      <w:r w:rsidR="00171360">
        <w:rPr>
          <w:rFonts w:asciiTheme="minorHAnsi" w:hAnsiTheme="minorHAnsi" w:cstheme="minorHAnsi"/>
          <w:sz w:val="24"/>
          <w:szCs w:val="24"/>
        </w:rPr>
        <w:t>Although not taken into account in the above decay model assumptions, we recognize that factors such as the body composition and weight (or weight change) may substantially alter elimination rates for PCBs (</w:t>
      </w:r>
      <w:proofErr w:type="spellStart"/>
      <w:r w:rsidR="00171360">
        <w:rPr>
          <w:rFonts w:asciiTheme="minorHAnsi" w:hAnsiTheme="minorHAnsi" w:cstheme="minorHAnsi"/>
          <w:sz w:val="24"/>
          <w:szCs w:val="24"/>
        </w:rPr>
        <w:t>Chevrier</w:t>
      </w:r>
      <w:proofErr w:type="spellEnd"/>
      <w:r w:rsidR="00171360">
        <w:rPr>
          <w:rFonts w:asciiTheme="minorHAnsi" w:hAnsiTheme="minorHAnsi" w:cstheme="minorHAnsi"/>
          <w:sz w:val="24"/>
          <w:szCs w:val="24"/>
        </w:rPr>
        <w:t xml:space="preserve"> et al., 2000; Ritter et al., 2011). </w:t>
      </w:r>
    </w:p>
    <w:p w:rsidR="004B09AA" w:rsidRDefault="004B09AA" w:rsidP="00870FD8">
      <w:pPr>
        <w:autoSpaceDE w:val="0"/>
        <w:autoSpaceDN w:val="0"/>
        <w:spacing w:after="0" w:line="240" w:lineRule="auto"/>
        <w:jc w:val="both"/>
        <w:rPr>
          <w:rFonts w:asciiTheme="minorHAnsi" w:hAnsiTheme="minorHAnsi" w:cstheme="minorHAnsi"/>
          <w:bCs/>
          <w:iCs/>
          <w:sz w:val="24"/>
          <w:szCs w:val="24"/>
        </w:rPr>
      </w:pPr>
    </w:p>
    <w:p w:rsidR="00870FD8" w:rsidRPr="00092FD4" w:rsidRDefault="00870FD8" w:rsidP="00870FD8">
      <w:pPr>
        <w:autoSpaceDE w:val="0"/>
        <w:autoSpaceDN w:val="0"/>
        <w:spacing w:after="0" w:line="240" w:lineRule="auto"/>
        <w:jc w:val="both"/>
        <w:rPr>
          <w:sz w:val="24"/>
          <w:szCs w:val="24"/>
        </w:rPr>
      </w:pPr>
      <w:r w:rsidRPr="00092FD4">
        <w:rPr>
          <w:sz w:val="24"/>
          <w:szCs w:val="24"/>
        </w:rPr>
        <w:t xml:space="preserve">For </w:t>
      </w:r>
      <w:r w:rsidR="00ED74B3">
        <w:rPr>
          <w:sz w:val="24"/>
          <w:szCs w:val="24"/>
        </w:rPr>
        <w:t xml:space="preserve">detecting </w:t>
      </w:r>
      <w:r w:rsidR="0048278D">
        <w:rPr>
          <w:sz w:val="24"/>
          <w:szCs w:val="24"/>
        </w:rPr>
        <w:t xml:space="preserve">differences in </w:t>
      </w:r>
      <w:r w:rsidRPr="00092FD4">
        <w:rPr>
          <w:sz w:val="24"/>
          <w:szCs w:val="24"/>
        </w:rPr>
        <w:t>health outcomes</w:t>
      </w:r>
      <w:r w:rsidR="0048278D">
        <w:rPr>
          <w:sz w:val="24"/>
          <w:szCs w:val="24"/>
        </w:rPr>
        <w:t xml:space="preserve"> by PCB exposure</w:t>
      </w:r>
      <w:r w:rsidRPr="00092FD4">
        <w:rPr>
          <w:sz w:val="24"/>
          <w:szCs w:val="24"/>
        </w:rPr>
        <w:t>, it has been demonstrated that the original study</w:t>
      </w:r>
      <w:r w:rsidR="009718B4">
        <w:rPr>
          <w:sz w:val="24"/>
          <w:szCs w:val="24"/>
        </w:rPr>
        <w:t xml:space="preserve">, the ACHS, </w:t>
      </w:r>
      <w:r w:rsidRPr="00092FD4">
        <w:rPr>
          <w:sz w:val="24"/>
          <w:szCs w:val="24"/>
        </w:rPr>
        <w:t>had enough power to detect associations</w:t>
      </w:r>
      <w:r w:rsidR="00F168F5">
        <w:rPr>
          <w:sz w:val="24"/>
          <w:szCs w:val="24"/>
        </w:rPr>
        <w:t xml:space="preserve"> between PCB levels and</w:t>
      </w:r>
      <w:r w:rsidRPr="00092FD4">
        <w:rPr>
          <w:sz w:val="24"/>
          <w:szCs w:val="24"/>
        </w:rPr>
        <w:t xml:space="preserve"> </w:t>
      </w:r>
      <w:r w:rsidR="00D40FA0">
        <w:rPr>
          <w:sz w:val="24"/>
          <w:szCs w:val="24"/>
        </w:rPr>
        <w:t xml:space="preserve">prevalence of </w:t>
      </w:r>
      <w:r w:rsidR="005E4676">
        <w:rPr>
          <w:sz w:val="24"/>
          <w:szCs w:val="24"/>
        </w:rPr>
        <w:t xml:space="preserve">hypertension, </w:t>
      </w:r>
      <w:r w:rsidRPr="00092FD4">
        <w:rPr>
          <w:sz w:val="24"/>
          <w:szCs w:val="24"/>
        </w:rPr>
        <w:t>high blood pressure</w:t>
      </w:r>
      <w:r w:rsidR="005E4676">
        <w:rPr>
          <w:sz w:val="24"/>
          <w:szCs w:val="24"/>
        </w:rPr>
        <w:t>,</w:t>
      </w:r>
      <w:r w:rsidRPr="00092FD4">
        <w:rPr>
          <w:sz w:val="24"/>
          <w:szCs w:val="24"/>
        </w:rPr>
        <w:t xml:space="preserve"> and </w:t>
      </w:r>
      <w:r w:rsidR="005E4676">
        <w:rPr>
          <w:sz w:val="24"/>
          <w:szCs w:val="24"/>
        </w:rPr>
        <w:t>diabetes (Goncharov et al., 2010, 2011</w:t>
      </w:r>
      <w:r w:rsidRPr="00092FD4">
        <w:rPr>
          <w:sz w:val="24"/>
          <w:szCs w:val="24"/>
        </w:rPr>
        <w:t>; Silverstone et al., 2012). Adding an</w:t>
      </w:r>
      <w:r w:rsidR="00A540ED">
        <w:rPr>
          <w:sz w:val="24"/>
          <w:szCs w:val="24"/>
        </w:rPr>
        <w:t xml:space="preserve"> average of six years of follow-</w:t>
      </w:r>
      <w:r w:rsidRPr="00092FD4">
        <w:rPr>
          <w:sz w:val="24"/>
          <w:szCs w:val="24"/>
        </w:rPr>
        <w:t xml:space="preserve">up should further increase </w:t>
      </w:r>
      <w:r w:rsidR="007D25E0">
        <w:rPr>
          <w:sz w:val="24"/>
          <w:szCs w:val="24"/>
        </w:rPr>
        <w:t xml:space="preserve">the </w:t>
      </w:r>
      <w:r w:rsidRPr="00092FD4">
        <w:rPr>
          <w:sz w:val="24"/>
          <w:szCs w:val="24"/>
        </w:rPr>
        <w:t>number of prevalent cases of diabetes, heart disease, and other chronic diseases that tend to increase with age. Of critical interest for the</w:t>
      </w:r>
      <w:r w:rsidR="00D40FA0">
        <w:rPr>
          <w:sz w:val="24"/>
          <w:szCs w:val="24"/>
        </w:rPr>
        <w:t xml:space="preserve"> prospective component of the</w:t>
      </w:r>
      <w:r w:rsidR="00A540ED">
        <w:rPr>
          <w:sz w:val="24"/>
          <w:szCs w:val="24"/>
        </w:rPr>
        <w:t xml:space="preserve"> follow-</w:t>
      </w:r>
      <w:r w:rsidRPr="00092FD4">
        <w:rPr>
          <w:sz w:val="24"/>
          <w:szCs w:val="24"/>
        </w:rPr>
        <w:t xml:space="preserve">up study is the ability </w:t>
      </w:r>
      <w:r w:rsidR="0085462D">
        <w:rPr>
          <w:sz w:val="24"/>
          <w:szCs w:val="24"/>
        </w:rPr>
        <w:t>to</w:t>
      </w:r>
      <w:r w:rsidRPr="00092FD4">
        <w:rPr>
          <w:sz w:val="24"/>
          <w:szCs w:val="24"/>
        </w:rPr>
        <w:t xml:space="preserve"> examin</w:t>
      </w:r>
      <w:r w:rsidR="0085462D">
        <w:rPr>
          <w:sz w:val="24"/>
          <w:szCs w:val="24"/>
        </w:rPr>
        <w:t>e</w:t>
      </w:r>
      <w:r w:rsidRPr="00092FD4">
        <w:rPr>
          <w:sz w:val="24"/>
          <w:szCs w:val="24"/>
        </w:rPr>
        <w:t xml:space="preserve"> incident cases of disease since </w:t>
      </w:r>
      <w:r w:rsidR="0085462D">
        <w:rPr>
          <w:sz w:val="24"/>
          <w:szCs w:val="24"/>
        </w:rPr>
        <w:t>baseline</w:t>
      </w:r>
      <w:r w:rsidRPr="00092FD4">
        <w:rPr>
          <w:sz w:val="24"/>
          <w:szCs w:val="24"/>
        </w:rPr>
        <w:t xml:space="preserve">. As an example, we present the estimation of incident cases </w:t>
      </w:r>
      <w:r w:rsidR="00F95C01">
        <w:rPr>
          <w:sz w:val="24"/>
          <w:szCs w:val="24"/>
        </w:rPr>
        <w:t>of</w:t>
      </w:r>
      <w:r w:rsidRPr="00092FD4">
        <w:rPr>
          <w:sz w:val="24"/>
          <w:szCs w:val="24"/>
        </w:rPr>
        <w:t xml:space="preserve"> diabetes and </w:t>
      </w:r>
      <w:r w:rsidR="00F95C01">
        <w:rPr>
          <w:sz w:val="24"/>
          <w:szCs w:val="24"/>
        </w:rPr>
        <w:t xml:space="preserve">the </w:t>
      </w:r>
      <w:r w:rsidRPr="00092FD4">
        <w:rPr>
          <w:sz w:val="24"/>
          <w:szCs w:val="24"/>
        </w:rPr>
        <w:t>power calculation estimate to detect differences in exposure variables (</w:t>
      </w:r>
      <w:r>
        <w:rPr>
          <w:sz w:val="24"/>
          <w:szCs w:val="24"/>
        </w:rPr>
        <w:t>i.e.</w:t>
      </w:r>
      <w:r w:rsidRPr="00092FD4">
        <w:rPr>
          <w:sz w:val="24"/>
          <w:szCs w:val="24"/>
        </w:rPr>
        <w:t xml:space="preserve"> PCBs) between diabetics and non-diabetics.</w:t>
      </w:r>
    </w:p>
    <w:p w:rsidR="00870FD8" w:rsidRPr="00092FD4" w:rsidRDefault="00870FD8" w:rsidP="00870FD8">
      <w:pPr>
        <w:autoSpaceDE w:val="0"/>
        <w:autoSpaceDN w:val="0"/>
        <w:spacing w:after="0" w:line="240" w:lineRule="auto"/>
        <w:rPr>
          <w:i/>
          <w:iCs/>
          <w:sz w:val="24"/>
          <w:szCs w:val="24"/>
        </w:rPr>
      </w:pPr>
    </w:p>
    <w:p w:rsidR="00870FD8" w:rsidRPr="00501912" w:rsidRDefault="00870FD8" w:rsidP="00870FD8">
      <w:pPr>
        <w:autoSpaceDE w:val="0"/>
        <w:autoSpaceDN w:val="0"/>
        <w:spacing w:after="0" w:line="240" w:lineRule="auto"/>
        <w:jc w:val="both"/>
        <w:rPr>
          <w:i/>
          <w:iCs/>
          <w:sz w:val="24"/>
          <w:szCs w:val="24"/>
        </w:rPr>
      </w:pPr>
      <w:r w:rsidRPr="00092FD4">
        <w:rPr>
          <w:sz w:val="24"/>
          <w:szCs w:val="24"/>
        </w:rPr>
        <w:lastRenderedPageBreak/>
        <w:t>There were 205</w:t>
      </w:r>
      <w:r w:rsidR="00477A6B">
        <w:rPr>
          <w:sz w:val="24"/>
          <w:szCs w:val="24"/>
        </w:rPr>
        <w:t xml:space="preserve"> </w:t>
      </w:r>
      <w:r w:rsidRPr="00092FD4">
        <w:rPr>
          <w:sz w:val="24"/>
          <w:szCs w:val="24"/>
        </w:rPr>
        <w:t xml:space="preserve">prevalent cases of diabetes (Silverstone et al., 2012) identified in the first Anniston study </w:t>
      </w:r>
      <w:r w:rsidR="00477A6B">
        <w:rPr>
          <w:sz w:val="24"/>
          <w:szCs w:val="24"/>
        </w:rPr>
        <w:t>(27% of 766)</w:t>
      </w:r>
      <w:r>
        <w:rPr>
          <w:sz w:val="24"/>
          <w:szCs w:val="24"/>
        </w:rPr>
        <w:t xml:space="preserve">. </w:t>
      </w:r>
      <w:r w:rsidRPr="00092FD4">
        <w:rPr>
          <w:sz w:val="24"/>
          <w:szCs w:val="24"/>
        </w:rPr>
        <w:t xml:space="preserve">Since then, we estimate that about 66 </w:t>
      </w:r>
      <w:r w:rsidR="000E439F">
        <w:rPr>
          <w:sz w:val="24"/>
          <w:szCs w:val="24"/>
        </w:rPr>
        <w:t>Cohort</w:t>
      </w:r>
      <w:r w:rsidR="00711C4D">
        <w:rPr>
          <w:sz w:val="24"/>
          <w:szCs w:val="24"/>
        </w:rPr>
        <w:t xml:space="preserve"> member</w:t>
      </w:r>
      <w:r w:rsidRPr="00092FD4">
        <w:rPr>
          <w:sz w:val="24"/>
          <w:szCs w:val="24"/>
        </w:rPr>
        <w:t xml:space="preserve">s are deceased. </w:t>
      </w:r>
      <w:r w:rsidR="00756FE1">
        <w:rPr>
          <w:sz w:val="24"/>
          <w:szCs w:val="24"/>
        </w:rPr>
        <w:t>W</w:t>
      </w:r>
      <w:r w:rsidR="00756FE1" w:rsidRPr="00092FD4">
        <w:rPr>
          <w:sz w:val="24"/>
          <w:szCs w:val="24"/>
        </w:rPr>
        <w:t xml:space="preserve">e </w:t>
      </w:r>
      <w:r w:rsidR="00756FE1">
        <w:rPr>
          <w:sz w:val="24"/>
          <w:szCs w:val="24"/>
        </w:rPr>
        <w:t>make the simplifying assumption of</w:t>
      </w:r>
      <w:r w:rsidR="00756FE1" w:rsidRPr="00092FD4">
        <w:rPr>
          <w:sz w:val="24"/>
          <w:szCs w:val="24"/>
        </w:rPr>
        <w:t xml:space="preserve"> similar </w:t>
      </w:r>
      <w:r w:rsidR="00756FE1" w:rsidRPr="00B05822">
        <w:rPr>
          <w:sz w:val="24"/>
          <w:szCs w:val="24"/>
        </w:rPr>
        <w:t>death rate</w:t>
      </w:r>
      <w:r w:rsidR="00C826AE">
        <w:rPr>
          <w:sz w:val="24"/>
          <w:szCs w:val="24"/>
        </w:rPr>
        <w:t>s</w:t>
      </w:r>
      <w:r w:rsidR="00756FE1" w:rsidRPr="00B05822">
        <w:rPr>
          <w:sz w:val="24"/>
          <w:szCs w:val="24"/>
        </w:rPr>
        <w:t xml:space="preserve"> </w:t>
      </w:r>
      <w:r w:rsidR="00756FE1">
        <w:rPr>
          <w:sz w:val="24"/>
          <w:szCs w:val="24"/>
        </w:rPr>
        <w:t>between</w:t>
      </w:r>
      <w:r w:rsidR="00756FE1" w:rsidRPr="00B05822">
        <w:rPr>
          <w:sz w:val="24"/>
          <w:szCs w:val="24"/>
        </w:rPr>
        <w:t xml:space="preserve"> diabetics and non-diabetics.</w:t>
      </w:r>
      <w:r w:rsidR="00756FE1">
        <w:rPr>
          <w:sz w:val="24"/>
          <w:szCs w:val="24"/>
        </w:rPr>
        <w:t xml:space="preserve"> </w:t>
      </w:r>
      <w:r w:rsidRPr="00092FD4">
        <w:rPr>
          <w:sz w:val="24"/>
          <w:szCs w:val="24"/>
        </w:rPr>
        <w:t>As 27</w:t>
      </w:r>
      <w:r w:rsidR="00EC4DFE">
        <w:rPr>
          <w:sz w:val="24"/>
          <w:szCs w:val="24"/>
        </w:rPr>
        <w:t xml:space="preserve"> percent</w:t>
      </w:r>
      <w:r w:rsidRPr="00092FD4">
        <w:rPr>
          <w:sz w:val="24"/>
          <w:szCs w:val="24"/>
        </w:rPr>
        <w:t xml:space="preserve"> already </w:t>
      </w:r>
      <w:r w:rsidR="00506271">
        <w:rPr>
          <w:sz w:val="24"/>
          <w:szCs w:val="24"/>
        </w:rPr>
        <w:t xml:space="preserve">had </w:t>
      </w:r>
      <w:r w:rsidRPr="00092FD4">
        <w:rPr>
          <w:sz w:val="24"/>
          <w:szCs w:val="24"/>
        </w:rPr>
        <w:t>diabet</w:t>
      </w:r>
      <w:r w:rsidR="00506271">
        <w:rPr>
          <w:sz w:val="24"/>
          <w:szCs w:val="24"/>
        </w:rPr>
        <w:t>es</w:t>
      </w:r>
      <w:r w:rsidR="00EC4DFE">
        <w:rPr>
          <w:sz w:val="24"/>
          <w:szCs w:val="24"/>
        </w:rPr>
        <w:t xml:space="preserve"> </w:t>
      </w:r>
      <w:r w:rsidR="004922E0">
        <w:rPr>
          <w:sz w:val="24"/>
          <w:szCs w:val="24"/>
        </w:rPr>
        <w:t>at baseline</w:t>
      </w:r>
      <w:r w:rsidRPr="00092FD4">
        <w:rPr>
          <w:sz w:val="24"/>
          <w:szCs w:val="24"/>
        </w:rPr>
        <w:t xml:space="preserve">, </w:t>
      </w:r>
      <w:r>
        <w:rPr>
          <w:sz w:val="24"/>
          <w:szCs w:val="24"/>
        </w:rPr>
        <w:t xml:space="preserve">approximately </w:t>
      </w:r>
      <w:r w:rsidR="00756FE1">
        <w:rPr>
          <w:sz w:val="24"/>
          <w:szCs w:val="24"/>
        </w:rPr>
        <w:t xml:space="preserve">511 </w:t>
      </w:r>
      <w:r w:rsidR="000F26FB">
        <w:rPr>
          <w:sz w:val="24"/>
          <w:szCs w:val="24"/>
        </w:rPr>
        <w:t xml:space="preserve">surviving </w:t>
      </w:r>
      <w:r w:rsidR="000E439F">
        <w:rPr>
          <w:sz w:val="24"/>
          <w:szCs w:val="24"/>
        </w:rPr>
        <w:t>Cohort</w:t>
      </w:r>
      <w:r w:rsidR="000F26FB">
        <w:rPr>
          <w:sz w:val="24"/>
          <w:szCs w:val="24"/>
        </w:rPr>
        <w:t xml:space="preserve"> members</w:t>
      </w:r>
      <w:r w:rsidRPr="00092FD4">
        <w:rPr>
          <w:sz w:val="24"/>
          <w:szCs w:val="24"/>
        </w:rPr>
        <w:t xml:space="preserve"> </w:t>
      </w:r>
      <w:r w:rsidR="00756FE1">
        <w:rPr>
          <w:sz w:val="24"/>
          <w:szCs w:val="24"/>
        </w:rPr>
        <w:t>w</w:t>
      </w:r>
      <w:r w:rsidR="00C826AE">
        <w:rPr>
          <w:sz w:val="24"/>
          <w:szCs w:val="24"/>
        </w:rPr>
        <w:t>ould</w:t>
      </w:r>
      <w:r w:rsidR="004922E0">
        <w:rPr>
          <w:sz w:val="24"/>
          <w:szCs w:val="24"/>
        </w:rPr>
        <w:t xml:space="preserve"> </w:t>
      </w:r>
      <w:r w:rsidR="0008737D">
        <w:rPr>
          <w:sz w:val="24"/>
          <w:szCs w:val="24"/>
        </w:rPr>
        <w:t xml:space="preserve">still </w:t>
      </w:r>
      <w:r w:rsidR="00756FE1">
        <w:rPr>
          <w:sz w:val="24"/>
          <w:szCs w:val="24"/>
        </w:rPr>
        <w:t xml:space="preserve">be </w:t>
      </w:r>
      <w:r w:rsidR="004922E0">
        <w:rPr>
          <w:sz w:val="24"/>
          <w:szCs w:val="24"/>
        </w:rPr>
        <w:t>at risk</w:t>
      </w:r>
      <w:r w:rsidRPr="00092FD4">
        <w:rPr>
          <w:sz w:val="24"/>
          <w:szCs w:val="24"/>
        </w:rPr>
        <w:t xml:space="preserve"> of </w:t>
      </w:r>
      <w:r w:rsidR="0008737D">
        <w:rPr>
          <w:sz w:val="24"/>
          <w:szCs w:val="24"/>
        </w:rPr>
        <w:t xml:space="preserve">developing </w:t>
      </w:r>
      <w:r w:rsidRPr="00092FD4">
        <w:rPr>
          <w:sz w:val="24"/>
          <w:szCs w:val="24"/>
        </w:rPr>
        <w:t xml:space="preserve">diabetes </w:t>
      </w:r>
      <w:r w:rsidR="0008737D">
        <w:rPr>
          <w:sz w:val="24"/>
          <w:szCs w:val="24"/>
        </w:rPr>
        <w:t>after baseline.</w:t>
      </w:r>
      <w:r w:rsidR="00756FE1">
        <w:rPr>
          <w:sz w:val="24"/>
          <w:szCs w:val="24"/>
        </w:rPr>
        <w:t xml:space="preserve"> </w:t>
      </w:r>
      <w:r w:rsidR="0020451B" w:rsidRPr="00092FD4">
        <w:rPr>
          <w:sz w:val="24"/>
          <w:szCs w:val="24"/>
        </w:rPr>
        <w:t xml:space="preserve">We plan to enroll 500 </w:t>
      </w:r>
      <w:r w:rsidR="00711C4D">
        <w:rPr>
          <w:sz w:val="24"/>
          <w:szCs w:val="24"/>
        </w:rPr>
        <w:t>respondent</w:t>
      </w:r>
      <w:r w:rsidR="0020451B" w:rsidRPr="00092FD4">
        <w:rPr>
          <w:sz w:val="24"/>
          <w:szCs w:val="24"/>
        </w:rPr>
        <w:t xml:space="preserve">s of the surviving 700 </w:t>
      </w:r>
      <w:r w:rsidR="000E439F">
        <w:rPr>
          <w:sz w:val="24"/>
          <w:szCs w:val="24"/>
        </w:rPr>
        <w:t>Cohort</w:t>
      </w:r>
      <w:r w:rsidR="00711C4D">
        <w:rPr>
          <w:sz w:val="24"/>
          <w:szCs w:val="24"/>
        </w:rPr>
        <w:t xml:space="preserve"> member</w:t>
      </w:r>
      <w:r w:rsidR="0020451B" w:rsidRPr="00092FD4">
        <w:rPr>
          <w:sz w:val="24"/>
          <w:szCs w:val="24"/>
        </w:rPr>
        <w:t>s</w:t>
      </w:r>
      <w:r w:rsidR="00C826AE">
        <w:rPr>
          <w:sz w:val="24"/>
          <w:szCs w:val="24"/>
        </w:rPr>
        <w:t xml:space="preserve"> (71.4%</w:t>
      </w:r>
      <w:r w:rsidR="00A540ED">
        <w:rPr>
          <w:sz w:val="24"/>
          <w:szCs w:val="24"/>
        </w:rPr>
        <w:t>) in the follow-</w:t>
      </w:r>
      <w:r w:rsidR="0020451B" w:rsidRPr="00092FD4">
        <w:rPr>
          <w:sz w:val="24"/>
          <w:szCs w:val="24"/>
        </w:rPr>
        <w:t>up study.</w:t>
      </w:r>
      <w:r w:rsidR="008E395A">
        <w:rPr>
          <w:sz w:val="24"/>
          <w:szCs w:val="24"/>
        </w:rPr>
        <w:t xml:space="preserve"> Therefore, we assume that </w:t>
      </w:r>
      <w:r w:rsidR="009F7184">
        <w:rPr>
          <w:sz w:val="24"/>
          <w:szCs w:val="24"/>
        </w:rPr>
        <w:t xml:space="preserve">proportionately </w:t>
      </w:r>
      <w:r w:rsidR="008E395A">
        <w:rPr>
          <w:sz w:val="24"/>
          <w:szCs w:val="24"/>
        </w:rPr>
        <w:t>365 of 500 ACHS</w:t>
      </w:r>
      <w:r w:rsidR="00296078">
        <w:rPr>
          <w:sz w:val="24"/>
          <w:szCs w:val="24"/>
        </w:rPr>
        <w:t>-</w:t>
      </w:r>
      <w:r w:rsidR="008E395A">
        <w:rPr>
          <w:sz w:val="24"/>
          <w:szCs w:val="24"/>
        </w:rPr>
        <w:t xml:space="preserve">II </w:t>
      </w:r>
      <w:r w:rsidR="00711C4D">
        <w:rPr>
          <w:sz w:val="24"/>
          <w:szCs w:val="24"/>
        </w:rPr>
        <w:t>respondent</w:t>
      </w:r>
      <w:r w:rsidR="008E395A">
        <w:rPr>
          <w:sz w:val="24"/>
          <w:szCs w:val="24"/>
        </w:rPr>
        <w:t>s</w:t>
      </w:r>
      <w:r w:rsidR="003C6A09">
        <w:rPr>
          <w:sz w:val="24"/>
          <w:szCs w:val="24"/>
        </w:rPr>
        <w:t xml:space="preserve"> </w:t>
      </w:r>
      <w:r w:rsidR="00E96E5D">
        <w:rPr>
          <w:sz w:val="24"/>
          <w:szCs w:val="24"/>
        </w:rPr>
        <w:t>would require</w:t>
      </w:r>
      <w:r w:rsidR="009F7184">
        <w:rPr>
          <w:sz w:val="24"/>
          <w:szCs w:val="24"/>
        </w:rPr>
        <w:t xml:space="preserve"> assess</w:t>
      </w:r>
      <w:r w:rsidR="00506271">
        <w:rPr>
          <w:sz w:val="24"/>
          <w:szCs w:val="24"/>
        </w:rPr>
        <w:t>ment</w:t>
      </w:r>
      <w:r w:rsidR="009F7184">
        <w:rPr>
          <w:sz w:val="24"/>
          <w:szCs w:val="24"/>
        </w:rPr>
        <w:t xml:space="preserve"> for incident diabetes since baseline.</w:t>
      </w:r>
    </w:p>
    <w:p w:rsidR="00870FD8" w:rsidRPr="00501912" w:rsidRDefault="00870FD8" w:rsidP="00870FD8">
      <w:pPr>
        <w:autoSpaceDE w:val="0"/>
        <w:autoSpaceDN w:val="0"/>
        <w:spacing w:after="0" w:line="240" w:lineRule="auto"/>
        <w:jc w:val="both"/>
        <w:rPr>
          <w:i/>
          <w:iCs/>
          <w:sz w:val="24"/>
          <w:szCs w:val="24"/>
        </w:rPr>
      </w:pPr>
    </w:p>
    <w:p w:rsidR="00870FD8" w:rsidRPr="00501912" w:rsidRDefault="00870FD8" w:rsidP="00870FD8">
      <w:pPr>
        <w:autoSpaceDE w:val="0"/>
        <w:autoSpaceDN w:val="0"/>
        <w:spacing w:after="0" w:line="240" w:lineRule="auto"/>
        <w:jc w:val="both"/>
        <w:rPr>
          <w:sz w:val="24"/>
          <w:szCs w:val="24"/>
        </w:rPr>
      </w:pPr>
      <w:r w:rsidRPr="00501912">
        <w:rPr>
          <w:sz w:val="24"/>
          <w:szCs w:val="24"/>
        </w:rPr>
        <w:t>The national age adjusted incidence rates for diabetes for</w:t>
      </w:r>
      <w:r>
        <w:rPr>
          <w:sz w:val="24"/>
          <w:szCs w:val="24"/>
        </w:rPr>
        <w:t xml:space="preserve"> </w:t>
      </w:r>
      <w:r w:rsidRPr="00501912">
        <w:rPr>
          <w:sz w:val="24"/>
          <w:szCs w:val="24"/>
        </w:rPr>
        <w:t>18</w:t>
      </w:r>
      <w:r w:rsidR="00506271">
        <w:rPr>
          <w:sz w:val="24"/>
          <w:szCs w:val="24"/>
        </w:rPr>
        <w:t>- to 79-year-</w:t>
      </w:r>
      <w:r w:rsidRPr="00501912">
        <w:rPr>
          <w:sz w:val="24"/>
          <w:szCs w:val="24"/>
        </w:rPr>
        <w:t>old</w:t>
      </w:r>
      <w:r w:rsidR="006D7468">
        <w:rPr>
          <w:sz w:val="24"/>
          <w:szCs w:val="24"/>
        </w:rPr>
        <w:t>s</w:t>
      </w:r>
      <w:r w:rsidRPr="00501912">
        <w:rPr>
          <w:sz w:val="24"/>
          <w:szCs w:val="24"/>
        </w:rPr>
        <w:t xml:space="preserve"> ranged between 9.8/1,000 and 13.0/1,000 per year for Black (average 11.1/1,000) and between 7.0/1,000 and 8.0 /1,000 per year for White (average 7.8/1,000) population for 2005-2010 period (CDC, 2012). Assuming our sample is half White and half African American we could use combined average rate of 9.5 /1,000 per year for those without diabetes (State of Alabama age adjusted incidence rate for the same period was slightly higher and ranged between 9.8 and 11.3/1,000; CDC, 2012). However, of those without diabetes in the original study (n=561), 169 subjects were found to have impaired fasting glucose and classified as pre-diabetics. These persons would likely have a higher rate of developing diabetes, estimated at 50/1,000 to 100/1,000 a year (</w:t>
      </w:r>
      <w:proofErr w:type="spellStart"/>
      <w:r w:rsidRPr="00501912">
        <w:rPr>
          <w:sz w:val="24"/>
          <w:szCs w:val="24"/>
        </w:rPr>
        <w:t>Inzucchi</w:t>
      </w:r>
      <w:proofErr w:type="spellEnd"/>
      <w:r w:rsidRPr="00501912">
        <w:rPr>
          <w:sz w:val="24"/>
          <w:szCs w:val="24"/>
        </w:rPr>
        <w:t xml:space="preserve"> and Sherwin, 2008). Proportionately, out of 365 persons without diabetes, 110 would likely be pre-diabetic and would have estimated to develop about 33 incident diabetes cases (using a conservative estimate of 50/1,000 a year). Combined with an estimated 16 cases of incident diabetes for </w:t>
      </w:r>
      <w:proofErr w:type="spellStart"/>
      <w:r w:rsidRPr="00501912">
        <w:rPr>
          <w:sz w:val="24"/>
          <w:szCs w:val="24"/>
        </w:rPr>
        <w:t>normoglycemic</w:t>
      </w:r>
      <w:proofErr w:type="spellEnd"/>
      <w:r w:rsidRPr="00501912">
        <w:rPr>
          <w:sz w:val="24"/>
          <w:szCs w:val="24"/>
        </w:rPr>
        <w:t xml:space="preserve"> individuals (255 out of 365, average rate of 9.5/1,000 as derived above) we would estimate to detect a total of 49 incident diabetes cases in the period of 2006-2013 in this sample of Anniston population consisting of </w:t>
      </w:r>
      <w:proofErr w:type="spellStart"/>
      <w:r w:rsidRPr="00501912">
        <w:rPr>
          <w:sz w:val="24"/>
          <w:szCs w:val="24"/>
        </w:rPr>
        <w:t>normoglycemic</w:t>
      </w:r>
      <w:proofErr w:type="spellEnd"/>
      <w:r w:rsidRPr="00501912">
        <w:rPr>
          <w:sz w:val="24"/>
          <w:szCs w:val="24"/>
        </w:rPr>
        <w:t xml:space="preserve"> and pre-diabetic individuals</w:t>
      </w:r>
      <w:r w:rsidR="008B3A57">
        <w:rPr>
          <w:sz w:val="24"/>
          <w:szCs w:val="24"/>
        </w:rPr>
        <w:t xml:space="preserve"> (</w:t>
      </w:r>
      <w:r w:rsidR="004604FE">
        <w:rPr>
          <w:sz w:val="24"/>
          <w:szCs w:val="24"/>
        </w:rPr>
        <w:t>Attachment 7</w:t>
      </w:r>
      <w:r w:rsidR="000947AA">
        <w:rPr>
          <w:sz w:val="24"/>
          <w:szCs w:val="24"/>
        </w:rPr>
        <w:t>)</w:t>
      </w:r>
      <w:r w:rsidRPr="00501912">
        <w:rPr>
          <w:sz w:val="24"/>
          <w:szCs w:val="24"/>
        </w:rPr>
        <w:t>.</w:t>
      </w:r>
    </w:p>
    <w:p w:rsidR="00870FD8" w:rsidRPr="00501912" w:rsidRDefault="00870FD8" w:rsidP="00870FD8">
      <w:pPr>
        <w:autoSpaceDE w:val="0"/>
        <w:autoSpaceDN w:val="0"/>
        <w:spacing w:after="0" w:line="240" w:lineRule="auto"/>
        <w:jc w:val="both"/>
        <w:rPr>
          <w:i/>
          <w:iCs/>
          <w:sz w:val="24"/>
          <w:szCs w:val="24"/>
        </w:rPr>
      </w:pPr>
    </w:p>
    <w:p w:rsidR="00870FD8" w:rsidRPr="00501912" w:rsidRDefault="00870FD8" w:rsidP="00870FD8">
      <w:pPr>
        <w:autoSpaceDE w:val="0"/>
        <w:autoSpaceDN w:val="0"/>
        <w:spacing w:after="0" w:line="240" w:lineRule="auto"/>
        <w:jc w:val="both"/>
        <w:rPr>
          <w:sz w:val="24"/>
          <w:szCs w:val="24"/>
        </w:rPr>
      </w:pPr>
      <w:r w:rsidRPr="00501912">
        <w:rPr>
          <w:sz w:val="24"/>
          <w:szCs w:val="24"/>
        </w:rPr>
        <w:t xml:space="preserve">In respect to being able to detect the difference in PCBs levels, we reported that levels in </w:t>
      </w:r>
      <w:proofErr w:type="spellStart"/>
      <w:r w:rsidRPr="00501912">
        <w:rPr>
          <w:sz w:val="24"/>
          <w:szCs w:val="24"/>
        </w:rPr>
        <w:t>normoglycemic</w:t>
      </w:r>
      <w:proofErr w:type="spellEnd"/>
      <w:r w:rsidRPr="00501912">
        <w:rPr>
          <w:sz w:val="24"/>
          <w:szCs w:val="24"/>
        </w:rPr>
        <w:t xml:space="preserve"> individuals were 6.31 </w:t>
      </w:r>
      <w:proofErr w:type="spellStart"/>
      <w:r w:rsidRPr="00501912">
        <w:rPr>
          <w:sz w:val="24"/>
          <w:szCs w:val="24"/>
        </w:rPr>
        <w:t>ng</w:t>
      </w:r>
      <w:proofErr w:type="spellEnd"/>
      <w:r w:rsidRPr="00501912">
        <w:rPr>
          <w:sz w:val="24"/>
          <w:szCs w:val="24"/>
        </w:rPr>
        <w:t xml:space="preserve">/g wet </w:t>
      </w:r>
      <w:proofErr w:type="gramStart"/>
      <w:r w:rsidRPr="00501912">
        <w:rPr>
          <w:sz w:val="24"/>
          <w:szCs w:val="24"/>
        </w:rPr>
        <w:t>weight</w:t>
      </w:r>
      <w:proofErr w:type="gramEnd"/>
      <w:r w:rsidRPr="00501912">
        <w:rPr>
          <w:sz w:val="24"/>
          <w:szCs w:val="24"/>
        </w:rPr>
        <w:t xml:space="preserve"> and 7.71 </w:t>
      </w:r>
      <w:proofErr w:type="spellStart"/>
      <w:r w:rsidRPr="00501912">
        <w:rPr>
          <w:sz w:val="24"/>
          <w:szCs w:val="24"/>
        </w:rPr>
        <w:t>ng</w:t>
      </w:r>
      <w:proofErr w:type="spellEnd"/>
      <w:r w:rsidRPr="00501912">
        <w:rPr>
          <w:sz w:val="24"/>
          <w:szCs w:val="24"/>
        </w:rPr>
        <w:t>/g wet weight for diabetics (geometric means; sum of 35 PCB congeners</w:t>
      </w:r>
      <w:r>
        <w:rPr>
          <w:sz w:val="24"/>
          <w:szCs w:val="24"/>
        </w:rPr>
        <w:t>, Silverstone et al., 2012</w:t>
      </w:r>
      <w:r w:rsidRPr="00B05822">
        <w:rPr>
          <w:sz w:val="24"/>
          <w:szCs w:val="24"/>
        </w:rPr>
        <w:t>).</w:t>
      </w:r>
      <w:r w:rsidRPr="00501912">
        <w:rPr>
          <w:sz w:val="24"/>
          <w:szCs w:val="24"/>
        </w:rPr>
        <w:t xml:space="preserve"> For pre-diabetics, the PCB levels were similar to </w:t>
      </w:r>
      <w:proofErr w:type="spellStart"/>
      <w:r w:rsidRPr="00501912">
        <w:rPr>
          <w:sz w:val="24"/>
          <w:szCs w:val="24"/>
        </w:rPr>
        <w:t>normoglycemic</w:t>
      </w:r>
      <w:proofErr w:type="spellEnd"/>
      <w:r w:rsidRPr="00501912">
        <w:rPr>
          <w:sz w:val="24"/>
          <w:szCs w:val="24"/>
        </w:rPr>
        <w:t xml:space="preserve"> individuals (6.16 </w:t>
      </w:r>
      <w:proofErr w:type="spellStart"/>
      <w:r w:rsidRPr="00501912">
        <w:rPr>
          <w:sz w:val="24"/>
          <w:szCs w:val="24"/>
        </w:rPr>
        <w:t>ng</w:t>
      </w:r>
      <w:proofErr w:type="spellEnd"/>
      <w:r w:rsidRPr="00501912">
        <w:rPr>
          <w:sz w:val="24"/>
          <w:szCs w:val="24"/>
        </w:rPr>
        <w:t>/g wet weight). For this estimate, we used log-transformed mean levels of the sum of PCBs and standard deviations in the two sample t-test power analyses (</w:t>
      </w:r>
      <w:proofErr w:type="spellStart"/>
      <w:r w:rsidRPr="00501912">
        <w:rPr>
          <w:sz w:val="24"/>
          <w:szCs w:val="24"/>
        </w:rPr>
        <w:t>Machin</w:t>
      </w:r>
      <w:proofErr w:type="spellEnd"/>
      <w:r w:rsidRPr="00501912">
        <w:rPr>
          <w:sz w:val="24"/>
          <w:szCs w:val="24"/>
        </w:rPr>
        <w:t xml:space="preserve"> et al., 1997); common mean total PCB level was used for all non-diabetics. Applying the above assumptions, we would have 87% power to detect statistically significant difference at alpha=0.05 level of confidence in PCB levels between 49 new cases of diabetes and 316 non-diabetics</w:t>
      </w:r>
      <w:r>
        <w:rPr>
          <w:sz w:val="24"/>
          <w:szCs w:val="24"/>
        </w:rPr>
        <w:t xml:space="preserve"> (</w:t>
      </w:r>
      <w:r w:rsidR="00B21DBA">
        <w:rPr>
          <w:sz w:val="24"/>
          <w:szCs w:val="24"/>
        </w:rPr>
        <w:t>Attachment 7</w:t>
      </w:r>
      <w:r>
        <w:rPr>
          <w:sz w:val="24"/>
          <w:szCs w:val="24"/>
        </w:rPr>
        <w:t>)</w:t>
      </w:r>
      <w:r w:rsidRPr="00501912">
        <w:rPr>
          <w:sz w:val="24"/>
          <w:szCs w:val="24"/>
        </w:rPr>
        <w:t xml:space="preserve">. </w:t>
      </w:r>
    </w:p>
    <w:p w:rsidR="00870FD8" w:rsidRPr="00501912" w:rsidRDefault="00870FD8" w:rsidP="00870FD8">
      <w:pPr>
        <w:autoSpaceDE w:val="0"/>
        <w:autoSpaceDN w:val="0"/>
        <w:spacing w:after="0" w:line="240" w:lineRule="auto"/>
        <w:jc w:val="both"/>
        <w:rPr>
          <w:sz w:val="24"/>
          <w:szCs w:val="24"/>
        </w:rPr>
      </w:pPr>
    </w:p>
    <w:p w:rsidR="00870FD8" w:rsidRPr="00501912" w:rsidRDefault="00870FD8" w:rsidP="00870FD8">
      <w:pPr>
        <w:autoSpaceDE w:val="0"/>
        <w:autoSpaceDN w:val="0"/>
        <w:spacing w:after="0" w:line="240" w:lineRule="auto"/>
        <w:jc w:val="both"/>
        <w:rPr>
          <w:sz w:val="24"/>
          <w:szCs w:val="24"/>
        </w:rPr>
      </w:pPr>
      <w:r w:rsidRPr="00501912">
        <w:rPr>
          <w:sz w:val="24"/>
          <w:szCs w:val="24"/>
        </w:rPr>
        <w:t xml:space="preserve">Using the same assumptions, the power to detect significant differences between incident cases of diabetes and non-diabetics by enrolling 400 </w:t>
      </w:r>
      <w:r w:rsidR="00711C4D">
        <w:rPr>
          <w:sz w:val="24"/>
          <w:szCs w:val="24"/>
        </w:rPr>
        <w:t>respondent</w:t>
      </w:r>
      <w:r w:rsidRPr="00501912">
        <w:rPr>
          <w:sz w:val="24"/>
          <w:szCs w:val="24"/>
        </w:rPr>
        <w:t xml:space="preserve">s would be 79% (39 diabetics, 253 non-diabetics), 68% when enrolling 300 </w:t>
      </w:r>
      <w:r w:rsidR="00711C4D">
        <w:rPr>
          <w:sz w:val="24"/>
          <w:szCs w:val="24"/>
        </w:rPr>
        <w:t>respondent</w:t>
      </w:r>
      <w:r w:rsidRPr="00501912">
        <w:rPr>
          <w:sz w:val="24"/>
          <w:szCs w:val="24"/>
        </w:rPr>
        <w:t>s (29 diabetics, 190 non-diabetics), and 54% when enrolling 200 (20 diabetics, 126 non-d</w:t>
      </w:r>
      <w:r w:rsidR="000947AA">
        <w:rPr>
          <w:sz w:val="24"/>
          <w:szCs w:val="24"/>
        </w:rPr>
        <w:t xml:space="preserve">iabetics) </w:t>
      </w:r>
      <w:r w:rsidR="00711C4D">
        <w:rPr>
          <w:sz w:val="24"/>
          <w:szCs w:val="24"/>
        </w:rPr>
        <w:t>respondent</w:t>
      </w:r>
      <w:r w:rsidR="000947AA">
        <w:rPr>
          <w:sz w:val="24"/>
          <w:szCs w:val="24"/>
        </w:rPr>
        <w:t>s</w:t>
      </w:r>
      <w:r w:rsidR="00C455F1">
        <w:rPr>
          <w:sz w:val="24"/>
          <w:szCs w:val="24"/>
        </w:rPr>
        <w:t xml:space="preserve"> (Table 2)</w:t>
      </w:r>
      <w:r w:rsidR="000947AA">
        <w:rPr>
          <w:sz w:val="24"/>
          <w:szCs w:val="24"/>
        </w:rPr>
        <w:t xml:space="preserve">. </w:t>
      </w:r>
      <w:r w:rsidRPr="00501912">
        <w:rPr>
          <w:sz w:val="24"/>
          <w:szCs w:val="24"/>
        </w:rPr>
        <w:t>It i</w:t>
      </w:r>
      <w:r w:rsidR="00A540ED">
        <w:rPr>
          <w:sz w:val="24"/>
          <w:szCs w:val="24"/>
        </w:rPr>
        <w:t>s challenging to conduct follow-</w:t>
      </w:r>
      <w:r w:rsidRPr="00501912">
        <w:rPr>
          <w:sz w:val="24"/>
          <w:szCs w:val="24"/>
        </w:rPr>
        <w:t>up studies of environmental exposures, recent publications on diabetes and PCBs only included 36 diabetes cases each (</w:t>
      </w:r>
      <w:proofErr w:type="spellStart"/>
      <w:r w:rsidRPr="00501912">
        <w:rPr>
          <w:sz w:val="24"/>
          <w:szCs w:val="24"/>
        </w:rPr>
        <w:t>Turyk</w:t>
      </w:r>
      <w:proofErr w:type="spellEnd"/>
      <w:r w:rsidRPr="00501912">
        <w:rPr>
          <w:sz w:val="24"/>
          <w:szCs w:val="24"/>
        </w:rPr>
        <w:t xml:space="preserve"> et al., 2009, Lee et al. 2012). Repeated PCB measurements were only obtained in </w:t>
      </w:r>
      <w:proofErr w:type="spellStart"/>
      <w:r w:rsidRPr="00501912">
        <w:rPr>
          <w:sz w:val="24"/>
          <w:szCs w:val="24"/>
        </w:rPr>
        <w:t>Turyk</w:t>
      </w:r>
      <w:proofErr w:type="spellEnd"/>
      <w:r w:rsidRPr="00501912">
        <w:rPr>
          <w:sz w:val="24"/>
          <w:szCs w:val="24"/>
        </w:rPr>
        <w:t xml:space="preserve"> et al. study.</w:t>
      </w:r>
    </w:p>
    <w:p w:rsidR="00870FD8" w:rsidRDefault="00870FD8" w:rsidP="00870FD8">
      <w:pPr>
        <w:autoSpaceDE w:val="0"/>
        <w:autoSpaceDN w:val="0"/>
        <w:spacing w:after="0" w:line="240" w:lineRule="auto"/>
        <w:jc w:val="both"/>
        <w:rPr>
          <w:sz w:val="24"/>
          <w:szCs w:val="24"/>
        </w:rPr>
      </w:pPr>
    </w:p>
    <w:p w:rsidR="000947AA" w:rsidRDefault="000947AA" w:rsidP="000947AA">
      <w:pPr>
        <w:autoSpaceDE w:val="0"/>
        <w:autoSpaceDN w:val="0"/>
        <w:adjustRightInd w:val="0"/>
        <w:spacing w:after="0" w:line="240" w:lineRule="auto"/>
        <w:jc w:val="both"/>
        <w:rPr>
          <w:rFonts w:asciiTheme="minorHAnsi" w:hAnsiTheme="minorHAnsi" w:cstheme="minorHAnsi"/>
          <w:sz w:val="24"/>
          <w:szCs w:val="24"/>
        </w:rPr>
      </w:pPr>
      <w:proofErr w:type="gramStart"/>
      <w:r>
        <w:rPr>
          <w:rFonts w:asciiTheme="minorHAnsi" w:hAnsiTheme="minorHAnsi" w:cstheme="minorHAnsi"/>
          <w:b/>
          <w:sz w:val="24"/>
          <w:szCs w:val="24"/>
        </w:rPr>
        <w:t>Table 2</w:t>
      </w:r>
      <w:r>
        <w:rPr>
          <w:rFonts w:asciiTheme="minorHAnsi" w:hAnsiTheme="minorHAnsi" w:cstheme="minorHAnsi"/>
          <w:sz w:val="24"/>
          <w:szCs w:val="24"/>
        </w:rPr>
        <w:t>.</w:t>
      </w:r>
      <w:proofErr w:type="gramEnd"/>
      <w:r>
        <w:rPr>
          <w:rFonts w:asciiTheme="minorHAnsi" w:hAnsiTheme="minorHAnsi" w:cstheme="minorHAnsi"/>
          <w:sz w:val="24"/>
          <w:szCs w:val="24"/>
        </w:rPr>
        <w:t xml:space="preserve"> </w:t>
      </w:r>
      <w:proofErr w:type="gramStart"/>
      <w:r>
        <w:rPr>
          <w:rFonts w:asciiTheme="minorHAnsi" w:hAnsiTheme="minorHAnsi" w:cstheme="minorHAnsi"/>
          <w:sz w:val="24"/>
          <w:szCs w:val="24"/>
        </w:rPr>
        <w:t>Power to detect differences in PCB congener levels in incident and prevalent cases of diabetes.</w:t>
      </w:r>
      <w:proofErr w:type="gramEnd"/>
    </w:p>
    <w:p w:rsidR="00120D75" w:rsidRDefault="00120D75" w:rsidP="000947AA">
      <w:pPr>
        <w:autoSpaceDE w:val="0"/>
        <w:autoSpaceDN w:val="0"/>
        <w:adjustRightInd w:val="0"/>
        <w:spacing w:after="0" w:line="240" w:lineRule="auto"/>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728"/>
        <w:gridCol w:w="2861"/>
        <w:gridCol w:w="991"/>
        <w:gridCol w:w="2898"/>
        <w:gridCol w:w="990"/>
      </w:tblGrid>
      <w:tr w:rsidR="000947AA" w:rsidRPr="00246038" w:rsidTr="00506271">
        <w:tc>
          <w:tcPr>
            <w:tcW w:w="1728" w:type="dxa"/>
            <w:vAlign w:val="center"/>
          </w:tcPr>
          <w:p w:rsidR="000947AA" w:rsidRPr="00246038" w:rsidRDefault="000947AA" w:rsidP="00506271">
            <w:pPr>
              <w:autoSpaceDE w:val="0"/>
              <w:autoSpaceDN w:val="0"/>
              <w:adjustRightInd w:val="0"/>
              <w:spacing w:after="0" w:line="240" w:lineRule="auto"/>
              <w:jc w:val="center"/>
              <w:rPr>
                <w:rFonts w:asciiTheme="minorHAnsi" w:hAnsiTheme="minorHAnsi" w:cstheme="minorHAnsi"/>
                <w:sz w:val="24"/>
                <w:szCs w:val="24"/>
              </w:rPr>
            </w:pPr>
            <w:r>
              <w:rPr>
                <w:rFonts w:asciiTheme="minorHAnsi" w:hAnsiTheme="minorHAnsi" w:cstheme="minorHAnsi"/>
                <w:sz w:val="24"/>
                <w:szCs w:val="24"/>
              </w:rPr>
              <w:t>No. Enrolled</w:t>
            </w:r>
          </w:p>
        </w:tc>
        <w:tc>
          <w:tcPr>
            <w:tcW w:w="2861" w:type="dxa"/>
            <w:vAlign w:val="center"/>
          </w:tcPr>
          <w:p w:rsidR="000947AA" w:rsidRPr="00246038" w:rsidRDefault="000947AA" w:rsidP="00506271">
            <w:pPr>
              <w:autoSpaceDE w:val="0"/>
              <w:autoSpaceDN w:val="0"/>
              <w:adjustRightInd w:val="0"/>
              <w:spacing w:after="0" w:line="240" w:lineRule="auto"/>
              <w:jc w:val="center"/>
              <w:rPr>
                <w:rFonts w:asciiTheme="minorHAnsi" w:hAnsiTheme="minorHAnsi" w:cstheme="minorHAnsi"/>
                <w:sz w:val="24"/>
                <w:szCs w:val="24"/>
              </w:rPr>
            </w:pPr>
            <w:r>
              <w:rPr>
                <w:rFonts w:asciiTheme="minorHAnsi" w:hAnsiTheme="minorHAnsi" w:cstheme="minorHAnsi"/>
                <w:sz w:val="24"/>
                <w:szCs w:val="24"/>
              </w:rPr>
              <w:t>Incident Diabetes</w:t>
            </w:r>
          </w:p>
        </w:tc>
        <w:tc>
          <w:tcPr>
            <w:tcW w:w="991" w:type="dxa"/>
            <w:vAlign w:val="center"/>
          </w:tcPr>
          <w:p w:rsidR="000947AA" w:rsidRPr="00246038" w:rsidDel="006F47A4" w:rsidRDefault="000947AA" w:rsidP="00506271">
            <w:pPr>
              <w:autoSpaceDE w:val="0"/>
              <w:autoSpaceDN w:val="0"/>
              <w:adjustRightInd w:val="0"/>
              <w:spacing w:after="0" w:line="240" w:lineRule="auto"/>
              <w:jc w:val="center"/>
              <w:rPr>
                <w:rFonts w:asciiTheme="minorHAnsi" w:hAnsiTheme="minorHAnsi" w:cstheme="minorHAnsi"/>
                <w:sz w:val="24"/>
                <w:szCs w:val="24"/>
              </w:rPr>
            </w:pPr>
          </w:p>
        </w:tc>
        <w:tc>
          <w:tcPr>
            <w:tcW w:w="2898" w:type="dxa"/>
            <w:vAlign w:val="center"/>
          </w:tcPr>
          <w:p w:rsidR="000947AA" w:rsidRPr="00246038" w:rsidRDefault="000947AA" w:rsidP="00506271">
            <w:pPr>
              <w:autoSpaceDE w:val="0"/>
              <w:autoSpaceDN w:val="0"/>
              <w:adjustRightInd w:val="0"/>
              <w:spacing w:after="0" w:line="240" w:lineRule="auto"/>
              <w:jc w:val="center"/>
              <w:rPr>
                <w:rFonts w:asciiTheme="minorHAnsi" w:hAnsiTheme="minorHAnsi" w:cstheme="minorHAnsi"/>
                <w:sz w:val="24"/>
                <w:szCs w:val="24"/>
              </w:rPr>
            </w:pPr>
            <w:r>
              <w:rPr>
                <w:rFonts w:asciiTheme="minorHAnsi" w:hAnsiTheme="minorHAnsi" w:cstheme="minorHAnsi"/>
                <w:sz w:val="24"/>
                <w:szCs w:val="24"/>
              </w:rPr>
              <w:t>Prevalent Diabetes</w:t>
            </w:r>
            <w:r w:rsidR="00314110">
              <w:rPr>
                <w:rFonts w:asciiTheme="minorHAnsi" w:hAnsiTheme="minorHAnsi" w:cstheme="minorHAnsi"/>
                <w:sz w:val="24"/>
                <w:szCs w:val="24"/>
              </w:rPr>
              <w:t>*</w:t>
            </w:r>
          </w:p>
        </w:tc>
        <w:tc>
          <w:tcPr>
            <w:tcW w:w="990" w:type="dxa"/>
          </w:tcPr>
          <w:p w:rsidR="000947AA" w:rsidRDefault="000947AA" w:rsidP="000947AA">
            <w:pPr>
              <w:autoSpaceDE w:val="0"/>
              <w:autoSpaceDN w:val="0"/>
              <w:adjustRightInd w:val="0"/>
              <w:spacing w:after="0" w:line="240" w:lineRule="auto"/>
              <w:jc w:val="both"/>
              <w:rPr>
                <w:rFonts w:asciiTheme="minorHAnsi" w:hAnsiTheme="minorHAnsi" w:cstheme="minorHAnsi"/>
                <w:sz w:val="24"/>
                <w:szCs w:val="24"/>
              </w:rPr>
            </w:pPr>
          </w:p>
        </w:tc>
      </w:tr>
      <w:tr w:rsidR="000947AA" w:rsidRPr="00246038" w:rsidTr="00506271">
        <w:tc>
          <w:tcPr>
            <w:tcW w:w="1728" w:type="dxa"/>
          </w:tcPr>
          <w:p w:rsidR="000947AA" w:rsidRPr="00246038" w:rsidRDefault="000947AA" w:rsidP="00506271">
            <w:pPr>
              <w:autoSpaceDE w:val="0"/>
              <w:autoSpaceDN w:val="0"/>
              <w:adjustRightInd w:val="0"/>
              <w:spacing w:after="0" w:line="240" w:lineRule="auto"/>
              <w:jc w:val="center"/>
              <w:rPr>
                <w:rFonts w:asciiTheme="minorHAnsi" w:hAnsiTheme="minorHAnsi" w:cstheme="minorHAnsi"/>
                <w:sz w:val="24"/>
                <w:szCs w:val="24"/>
              </w:rPr>
            </w:pPr>
          </w:p>
        </w:tc>
        <w:tc>
          <w:tcPr>
            <w:tcW w:w="2861" w:type="dxa"/>
          </w:tcPr>
          <w:p w:rsidR="000947AA" w:rsidRDefault="000947AA" w:rsidP="00506271">
            <w:pPr>
              <w:autoSpaceDE w:val="0"/>
              <w:autoSpaceDN w:val="0"/>
              <w:adjustRightInd w:val="0"/>
              <w:spacing w:after="0" w:line="240" w:lineRule="auto"/>
              <w:jc w:val="center"/>
              <w:rPr>
                <w:rFonts w:asciiTheme="minorHAnsi" w:hAnsiTheme="minorHAnsi" w:cstheme="minorHAnsi"/>
                <w:sz w:val="24"/>
                <w:szCs w:val="24"/>
              </w:rPr>
            </w:pPr>
            <w:r>
              <w:rPr>
                <w:rFonts w:asciiTheme="minorHAnsi" w:hAnsiTheme="minorHAnsi" w:cstheme="minorHAnsi"/>
                <w:sz w:val="24"/>
                <w:szCs w:val="24"/>
              </w:rPr>
              <w:t xml:space="preserve">No. </w:t>
            </w:r>
            <w:r w:rsidR="0094164C">
              <w:rPr>
                <w:rFonts w:asciiTheme="minorHAnsi" w:hAnsiTheme="minorHAnsi" w:cstheme="minorHAnsi"/>
                <w:sz w:val="24"/>
                <w:szCs w:val="24"/>
              </w:rPr>
              <w:t xml:space="preserve">with </w:t>
            </w:r>
            <w:r>
              <w:rPr>
                <w:rFonts w:asciiTheme="minorHAnsi" w:hAnsiTheme="minorHAnsi" w:cstheme="minorHAnsi"/>
                <w:sz w:val="24"/>
                <w:szCs w:val="24"/>
              </w:rPr>
              <w:t>D</w:t>
            </w:r>
            <w:r w:rsidR="0094164C">
              <w:rPr>
                <w:rFonts w:asciiTheme="minorHAnsi" w:hAnsiTheme="minorHAnsi" w:cstheme="minorHAnsi"/>
                <w:sz w:val="24"/>
                <w:szCs w:val="24"/>
              </w:rPr>
              <w:t xml:space="preserve">iabetes </w:t>
            </w:r>
            <w:r>
              <w:rPr>
                <w:rFonts w:asciiTheme="minorHAnsi" w:hAnsiTheme="minorHAnsi" w:cstheme="minorHAnsi"/>
                <w:sz w:val="24"/>
                <w:szCs w:val="24"/>
              </w:rPr>
              <w:t>M</w:t>
            </w:r>
            <w:r w:rsidR="0094164C">
              <w:rPr>
                <w:rFonts w:asciiTheme="minorHAnsi" w:hAnsiTheme="minorHAnsi" w:cstheme="minorHAnsi"/>
                <w:sz w:val="24"/>
                <w:szCs w:val="24"/>
              </w:rPr>
              <w:t>ellitus</w:t>
            </w:r>
          </w:p>
          <w:p w:rsidR="000947AA" w:rsidRPr="00246038" w:rsidRDefault="00C455F1" w:rsidP="00506271">
            <w:pPr>
              <w:autoSpaceDE w:val="0"/>
              <w:autoSpaceDN w:val="0"/>
              <w:adjustRightInd w:val="0"/>
              <w:spacing w:after="0" w:line="240" w:lineRule="auto"/>
              <w:jc w:val="center"/>
              <w:rPr>
                <w:rFonts w:asciiTheme="minorHAnsi" w:hAnsiTheme="minorHAnsi" w:cstheme="minorHAnsi"/>
                <w:sz w:val="24"/>
                <w:szCs w:val="24"/>
              </w:rPr>
            </w:pPr>
            <w:r>
              <w:rPr>
                <w:rFonts w:asciiTheme="minorHAnsi" w:hAnsiTheme="minorHAnsi" w:cstheme="minorHAnsi"/>
                <w:sz w:val="24"/>
                <w:szCs w:val="24"/>
              </w:rPr>
              <w:t>/No. Non-diabetic</w:t>
            </w:r>
          </w:p>
        </w:tc>
        <w:tc>
          <w:tcPr>
            <w:tcW w:w="991" w:type="dxa"/>
          </w:tcPr>
          <w:p w:rsidR="000947AA" w:rsidRPr="00246038" w:rsidRDefault="000947AA" w:rsidP="00506271">
            <w:pPr>
              <w:autoSpaceDE w:val="0"/>
              <w:autoSpaceDN w:val="0"/>
              <w:adjustRightInd w:val="0"/>
              <w:spacing w:after="0" w:line="240" w:lineRule="auto"/>
              <w:jc w:val="center"/>
              <w:rPr>
                <w:rFonts w:asciiTheme="minorHAnsi" w:hAnsiTheme="minorHAnsi" w:cstheme="minorHAnsi"/>
                <w:sz w:val="24"/>
                <w:szCs w:val="24"/>
              </w:rPr>
            </w:pPr>
            <w:r>
              <w:rPr>
                <w:rFonts w:asciiTheme="minorHAnsi" w:hAnsiTheme="minorHAnsi" w:cstheme="minorHAnsi"/>
                <w:sz w:val="24"/>
                <w:szCs w:val="24"/>
              </w:rPr>
              <w:t>Power</w:t>
            </w:r>
          </w:p>
        </w:tc>
        <w:tc>
          <w:tcPr>
            <w:tcW w:w="2898" w:type="dxa"/>
          </w:tcPr>
          <w:p w:rsidR="000947AA" w:rsidRDefault="000947AA" w:rsidP="00506271">
            <w:pPr>
              <w:autoSpaceDE w:val="0"/>
              <w:autoSpaceDN w:val="0"/>
              <w:adjustRightInd w:val="0"/>
              <w:spacing w:after="0" w:line="240" w:lineRule="auto"/>
              <w:jc w:val="center"/>
              <w:rPr>
                <w:rFonts w:asciiTheme="minorHAnsi" w:hAnsiTheme="minorHAnsi" w:cstheme="minorHAnsi"/>
                <w:sz w:val="24"/>
                <w:szCs w:val="24"/>
              </w:rPr>
            </w:pPr>
            <w:r>
              <w:rPr>
                <w:rFonts w:asciiTheme="minorHAnsi" w:hAnsiTheme="minorHAnsi" w:cstheme="minorHAnsi"/>
                <w:sz w:val="24"/>
                <w:szCs w:val="24"/>
              </w:rPr>
              <w:t xml:space="preserve">No. </w:t>
            </w:r>
            <w:r w:rsidR="0094164C">
              <w:rPr>
                <w:rFonts w:asciiTheme="minorHAnsi" w:hAnsiTheme="minorHAnsi" w:cstheme="minorHAnsi"/>
                <w:sz w:val="24"/>
                <w:szCs w:val="24"/>
              </w:rPr>
              <w:t xml:space="preserve">with </w:t>
            </w:r>
            <w:r>
              <w:rPr>
                <w:rFonts w:asciiTheme="minorHAnsi" w:hAnsiTheme="minorHAnsi" w:cstheme="minorHAnsi"/>
                <w:sz w:val="24"/>
                <w:szCs w:val="24"/>
              </w:rPr>
              <w:t>D</w:t>
            </w:r>
            <w:r w:rsidR="0094164C">
              <w:rPr>
                <w:rFonts w:asciiTheme="minorHAnsi" w:hAnsiTheme="minorHAnsi" w:cstheme="minorHAnsi"/>
                <w:sz w:val="24"/>
                <w:szCs w:val="24"/>
              </w:rPr>
              <w:t xml:space="preserve">iabetes </w:t>
            </w:r>
            <w:r>
              <w:rPr>
                <w:rFonts w:asciiTheme="minorHAnsi" w:hAnsiTheme="minorHAnsi" w:cstheme="minorHAnsi"/>
                <w:sz w:val="24"/>
                <w:szCs w:val="24"/>
              </w:rPr>
              <w:t>M</w:t>
            </w:r>
            <w:r w:rsidR="0094164C">
              <w:rPr>
                <w:rFonts w:asciiTheme="minorHAnsi" w:hAnsiTheme="minorHAnsi" w:cstheme="minorHAnsi"/>
                <w:sz w:val="24"/>
                <w:szCs w:val="24"/>
              </w:rPr>
              <w:t>ellitus</w:t>
            </w:r>
          </w:p>
          <w:p w:rsidR="000947AA" w:rsidRPr="00246038" w:rsidRDefault="000947AA" w:rsidP="00506271">
            <w:pPr>
              <w:autoSpaceDE w:val="0"/>
              <w:autoSpaceDN w:val="0"/>
              <w:adjustRightInd w:val="0"/>
              <w:spacing w:after="0" w:line="240" w:lineRule="auto"/>
              <w:jc w:val="center"/>
              <w:rPr>
                <w:rFonts w:asciiTheme="minorHAnsi" w:hAnsiTheme="minorHAnsi" w:cstheme="minorHAnsi"/>
                <w:sz w:val="24"/>
                <w:szCs w:val="24"/>
              </w:rPr>
            </w:pPr>
            <w:r>
              <w:rPr>
                <w:rFonts w:asciiTheme="minorHAnsi" w:hAnsiTheme="minorHAnsi" w:cstheme="minorHAnsi"/>
                <w:sz w:val="24"/>
                <w:szCs w:val="24"/>
              </w:rPr>
              <w:t xml:space="preserve">/No. </w:t>
            </w:r>
            <w:r w:rsidR="00C455F1">
              <w:rPr>
                <w:rFonts w:asciiTheme="minorHAnsi" w:hAnsiTheme="minorHAnsi" w:cstheme="minorHAnsi"/>
                <w:sz w:val="24"/>
                <w:szCs w:val="24"/>
              </w:rPr>
              <w:t>Non-diabetic</w:t>
            </w:r>
          </w:p>
        </w:tc>
        <w:tc>
          <w:tcPr>
            <w:tcW w:w="990" w:type="dxa"/>
          </w:tcPr>
          <w:p w:rsidR="000947AA" w:rsidRPr="00246038" w:rsidRDefault="000947AA" w:rsidP="000947AA">
            <w:pPr>
              <w:autoSpaceDE w:val="0"/>
              <w:autoSpaceDN w:val="0"/>
              <w:adjustRightInd w:val="0"/>
              <w:spacing w:after="0" w:line="240" w:lineRule="auto"/>
              <w:jc w:val="center"/>
              <w:rPr>
                <w:rFonts w:asciiTheme="minorHAnsi" w:hAnsiTheme="minorHAnsi" w:cstheme="minorHAnsi"/>
                <w:sz w:val="24"/>
                <w:szCs w:val="24"/>
              </w:rPr>
            </w:pPr>
            <w:r>
              <w:rPr>
                <w:rFonts w:asciiTheme="minorHAnsi" w:hAnsiTheme="minorHAnsi" w:cstheme="minorHAnsi"/>
                <w:sz w:val="24"/>
                <w:szCs w:val="24"/>
              </w:rPr>
              <w:t>Power</w:t>
            </w:r>
          </w:p>
        </w:tc>
      </w:tr>
      <w:tr w:rsidR="000947AA" w:rsidRPr="00246038" w:rsidTr="00506271">
        <w:tc>
          <w:tcPr>
            <w:tcW w:w="1728"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200</w:t>
            </w:r>
          </w:p>
        </w:tc>
        <w:tc>
          <w:tcPr>
            <w:tcW w:w="2861"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20/126</w:t>
            </w:r>
          </w:p>
        </w:tc>
        <w:tc>
          <w:tcPr>
            <w:tcW w:w="991"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54%</w:t>
            </w:r>
          </w:p>
        </w:tc>
        <w:tc>
          <w:tcPr>
            <w:tcW w:w="2898"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40/160</w:t>
            </w:r>
          </w:p>
        </w:tc>
        <w:tc>
          <w:tcPr>
            <w:tcW w:w="990" w:type="dxa"/>
          </w:tcPr>
          <w:p w:rsidR="000947AA" w:rsidRPr="00C455F1" w:rsidRDefault="00C455F1" w:rsidP="00506271">
            <w:pPr>
              <w:autoSpaceDE w:val="0"/>
              <w:autoSpaceDN w:val="0"/>
              <w:adjustRightInd w:val="0"/>
              <w:spacing w:after="0" w:line="240" w:lineRule="auto"/>
              <w:jc w:val="right"/>
              <w:rPr>
                <w:rFonts w:asciiTheme="minorHAnsi" w:hAnsiTheme="minorHAnsi" w:cstheme="minorHAnsi"/>
                <w:sz w:val="24"/>
                <w:szCs w:val="24"/>
              </w:rPr>
            </w:pPr>
            <w:r w:rsidRPr="00C455F1">
              <w:rPr>
                <w:rFonts w:asciiTheme="minorHAnsi" w:hAnsiTheme="minorHAnsi" w:cstheme="minorHAnsi"/>
                <w:sz w:val="24"/>
                <w:szCs w:val="24"/>
              </w:rPr>
              <w:t>77</w:t>
            </w:r>
            <w:r w:rsidR="000947AA" w:rsidRPr="00C455F1">
              <w:rPr>
                <w:rFonts w:asciiTheme="minorHAnsi" w:hAnsiTheme="minorHAnsi" w:cstheme="minorHAnsi"/>
                <w:sz w:val="24"/>
                <w:szCs w:val="24"/>
              </w:rPr>
              <w:t>%</w:t>
            </w:r>
          </w:p>
        </w:tc>
      </w:tr>
      <w:tr w:rsidR="000947AA" w:rsidRPr="00246038" w:rsidTr="00506271">
        <w:tc>
          <w:tcPr>
            <w:tcW w:w="1728"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300</w:t>
            </w:r>
          </w:p>
        </w:tc>
        <w:tc>
          <w:tcPr>
            <w:tcW w:w="2861"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29/190</w:t>
            </w:r>
          </w:p>
        </w:tc>
        <w:tc>
          <w:tcPr>
            <w:tcW w:w="991" w:type="dxa"/>
          </w:tcPr>
          <w:p w:rsidR="000947AA" w:rsidRPr="00246038" w:rsidRDefault="000947AA" w:rsidP="00506271">
            <w:pPr>
              <w:tabs>
                <w:tab w:val="left" w:pos="391"/>
                <w:tab w:val="left" w:pos="500"/>
                <w:tab w:val="left" w:pos="718"/>
              </w:tabs>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68%</w:t>
            </w:r>
          </w:p>
        </w:tc>
        <w:tc>
          <w:tcPr>
            <w:tcW w:w="2898"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60/240</w:t>
            </w:r>
          </w:p>
        </w:tc>
        <w:tc>
          <w:tcPr>
            <w:tcW w:w="990"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90%</w:t>
            </w:r>
          </w:p>
        </w:tc>
      </w:tr>
      <w:tr w:rsidR="000947AA" w:rsidRPr="00246038" w:rsidTr="00506271">
        <w:tc>
          <w:tcPr>
            <w:tcW w:w="1728"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400</w:t>
            </w:r>
          </w:p>
        </w:tc>
        <w:tc>
          <w:tcPr>
            <w:tcW w:w="2861"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39/253</w:t>
            </w:r>
          </w:p>
        </w:tc>
        <w:tc>
          <w:tcPr>
            <w:tcW w:w="991" w:type="dxa"/>
          </w:tcPr>
          <w:p w:rsidR="000947AA" w:rsidRPr="00246038" w:rsidRDefault="000947AA" w:rsidP="00506271">
            <w:pPr>
              <w:tabs>
                <w:tab w:val="left" w:pos="391"/>
                <w:tab w:val="left" w:pos="500"/>
                <w:tab w:val="left" w:pos="718"/>
              </w:tabs>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79%</w:t>
            </w:r>
          </w:p>
        </w:tc>
        <w:tc>
          <w:tcPr>
            <w:tcW w:w="2898"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80/320</w:t>
            </w:r>
          </w:p>
        </w:tc>
        <w:tc>
          <w:tcPr>
            <w:tcW w:w="990"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96%</w:t>
            </w:r>
          </w:p>
        </w:tc>
      </w:tr>
      <w:tr w:rsidR="000947AA" w:rsidRPr="00246038" w:rsidTr="00506271">
        <w:tc>
          <w:tcPr>
            <w:tcW w:w="1728"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500</w:t>
            </w:r>
          </w:p>
        </w:tc>
        <w:tc>
          <w:tcPr>
            <w:tcW w:w="2861" w:type="dxa"/>
          </w:tcPr>
          <w:p w:rsidR="000947AA" w:rsidRPr="00246038" w:rsidRDefault="000947AA"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49/316</w:t>
            </w:r>
          </w:p>
        </w:tc>
        <w:tc>
          <w:tcPr>
            <w:tcW w:w="991" w:type="dxa"/>
          </w:tcPr>
          <w:p w:rsidR="000947AA" w:rsidRPr="00246038" w:rsidRDefault="000947AA" w:rsidP="00506271">
            <w:pPr>
              <w:tabs>
                <w:tab w:val="left" w:pos="391"/>
                <w:tab w:val="left" w:pos="500"/>
                <w:tab w:val="left" w:pos="718"/>
              </w:tabs>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87%</w:t>
            </w:r>
          </w:p>
        </w:tc>
        <w:tc>
          <w:tcPr>
            <w:tcW w:w="2898" w:type="dxa"/>
          </w:tcPr>
          <w:p w:rsidR="000947AA" w:rsidRPr="00246038" w:rsidRDefault="00C455F1" w:rsidP="00506271">
            <w:pPr>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sz w:val="24"/>
                <w:szCs w:val="24"/>
              </w:rPr>
              <w:t>100/4</w:t>
            </w:r>
            <w:r w:rsidR="000947AA">
              <w:rPr>
                <w:rFonts w:asciiTheme="minorHAnsi" w:hAnsiTheme="minorHAnsi" w:cstheme="minorHAnsi"/>
                <w:sz w:val="24"/>
                <w:szCs w:val="24"/>
              </w:rPr>
              <w:t>00</w:t>
            </w:r>
          </w:p>
        </w:tc>
        <w:tc>
          <w:tcPr>
            <w:tcW w:w="990" w:type="dxa"/>
          </w:tcPr>
          <w:p w:rsidR="000947AA" w:rsidRPr="008B3A57" w:rsidRDefault="005636E8" w:rsidP="00506271">
            <w:pPr>
              <w:autoSpaceDE w:val="0"/>
              <w:autoSpaceDN w:val="0"/>
              <w:adjustRightInd w:val="0"/>
              <w:spacing w:after="0" w:line="240" w:lineRule="auto"/>
              <w:jc w:val="right"/>
              <w:rPr>
                <w:rFonts w:asciiTheme="minorHAnsi" w:hAnsiTheme="minorHAnsi" w:cstheme="minorHAnsi"/>
                <w:sz w:val="24"/>
                <w:szCs w:val="24"/>
              </w:rPr>
            </w:pPr>
            <w:r w:rsidRPr="008B3A57">
              <w:rPr>
                <w:rFonts w:asciiTheme="minorHAnsi" w:hAnsiTheme="minorHAnsi" w:cstheme="minorHAnsi"/>
                <w:sz w:val="24"/>
                <w:szCs w:val="24"/>
              </w:rPr>
              <w:t>98</w:t>
            </w:r>
            <w:r w:rsidR="000947AA" w:rsidRPr="008B3A57">
              <w:rPr>
                <w:rFonts w:asciiTheme="minorHAnsi" w:hAnsiTheme="minorHAnsi" w:cstheme="minorHAnsi"/>
                <w:sz w:val="24"/>
                <w:szCs w:val="24"/>
              </w:rPr>
              <w:t>%</w:t>
            </w:r>
          </w:p>
        </w:tc>
      </w:tr>
    </w:tbl>
    <w:p w:rsidR="005636E8" w:rsidRPr="000947AA" w:rsidRDefault="000947AA" w:rsidP="00870FD8">
      <w:pPr>
        <w:autoSpaceDE w:val="0"/>
        <w:autoSpaceDN w:val="0"/>
        <w:spacing w:after="0" w:line="240" w:lineRule="auto"/>
        <w:jc w:val="both"/>
        <w:rPr>
          <w:sz w:val="20"/>
          <w:szCs w:val="24"/>
        </w:rPr>
      </w:pPr>
      <w:r w:rsidRPr="000947AA">
        <w:rPr>
          <w:sz w:val="20"/>
          <w:szCs w:val="24"/>
        </w:rPr>
        <w:t>*Estimated prevalence of diabetes – 20%.</w:t>
      </w:r>
    </w:p>
    <w:p w:rsidR="000947AA" w:rsidRPr="00501912" w:rsidRDefault="000947AA" w:rsidP="00870FD8">
      <w:pPr>
        <w:autoSpaceDE w:val="0"/>
        <w:autoSpaceDN w:val="0"/>
        <w:spacing w:after="0" w:line="240" w:lineRule="auto"/>
        <w:jc w:val="both"/>
        <w:rPr>
          <w:sz w:val="24"/>
          <w:szCs w:val="24"/>
        </w:rPr>
      </w:pPr>
    </w:p>
    <w:p w:rsidR="00870FD8" w:rsidRPr="00501912" w:rsidRDefault="00870FD8" w:rsidP="00870FD8">
      <w:pPr>
        <w:autoSpaceDE w:val="0"/>
        <w:autoSpaceDN w:val="0"/>
        <w:spacing w:after="0" w:line="240" w:lineRule="auto"/>
        <w:jc w:val="both"/>
        <w:rPr>
          <w:sz w:val="24"/>
          <w:szCs w:val="24"/>
        </w:rPr>
      </w:pPr>
      <w:r w:rsidRPr="00501912">
        <w:rPr>
          <w:sz w:val="24"/>
          <w:szCs w:val="24"/>
        </w:rPr>
        <w:t>For prevalent diabetes, the achieved power would be higher due to a higher number of included prevalent diabetes cases even with the relatively smaller sample size. For modeling purposes and to provide conservative estimates, we assumed that the prevalence of diabetes would decrease from 27% in 2005-</w:t>
      </w:r>
      <w:r w:rsidR="003457EC">
        <w:rPr>
          <w:sz w:val="24"/>
          <w:szCs w:val="24"/>
        </w:rPr>
        <w:t>200</w:t>
      </w:r>
      <w:r w:rsidRPr="00501912">
        <w:rPr>
          <w:sz w:val="24"/>
          <w:szCs w:val="24"/>
        </w:rPr>
        <w:t xml:space="preserve">7 Anniston </w:t>
      </w:r>
      <w:proofErr w:type="gramStart"/>
      <w:r w:rsidRPr="00501912">
        <w:rPr>
          <w:sz w:val="24"/>
          <w:szCs w:val="24"/>
        </w:rPr>
        <w:t>sample</w:t>
      </w:r>
      <w:proofErr w:type="gramEnd"/>
      <w:r w:rsidRPr="00501912">
        <w:rPr>
          <w:sz w:val="24"/>
          <w:szCs w:val="24"/>
        </w:rPr>
        <w:t xml:space="preserve"> to 20% or 10% in the planned follow</w:t>
      </w:r>
      <w:r w:rsidR="00A540ED">
        <w:rPr>
          <w:sz w:val="24"/>
          <w:szCs w:val="24"/>
        </w:rPr>
        <w:t>-</w:t>
      </w:r>
      <w:r w:rsidRPr="00501912">
        <w:rPr>
          <w:sz w:val="24"/>
          <w:szCs w:val="24"/>
        </w:rPr>
        <w:t xml:space="preserve">up study sample (decreasing the power to detect associations). Other assumptions were the same as in estimating power based on differences in PCB levels in the incidence power calculations.  The power to detect differences when enrolling 400 </w:t>
      </w:r>
      <w:r w:rsidR="00711C4D">
        <w:rPr>
          <w:sz w:val="24"/>
          <w:szCs w:val="24"/>
        </w:rPr>
        <w:t>respondent</w:t>
      </w:r>
      <w:r w:rsidRPr="00501912">
        <w:rPr>
          <w:sz w:val="24"/>
          <w:szCs w:val="24"/>
        </w:rPr>
        <w:t xml:space="preserve">s with the diabetes prevalence of 20% and 10% (80 and 40 diabetes cases, respectively) would be 96% and 81%, respectively. When enrolling 300 </w:t>
      </w:r>
      <w:r w:rsidR="00711C4D">
        <w:rPr>
          <w:sz w:val="24"/>
          <w:szCs w:val="24"/>
        </w:rPr>
        <w:t>respondent</w:t>
      </w:r>
      <w:r w:rsidRPr="00501912">
        <w:rPr>
          <w:sz w:val="24"/>
          <w:szCs w:val="24"/>
        </w:rPr>
        <w:t xml:space="preserve">s, the power would be 90% and 71%, respectively. Only 51% power would be achieved if 100 </w:t>
      </w:r>
      <w:r w:rsidR="00711C4D">
        <w:rPr>
          <w:sz w:val="24"/>
          <w:szCs w:val="24"/>
        </w:rPr>
        <w:t>respondent</w:t>
      </w:r>
      <w:r w:rsidRPr="00501912">
        <w:rPr>
          <w:sz w:val="24"/>
          <w:szCs w:val="24"/>
        </w:rPr>
        <w:t>s enrolled in the study with the diabetes prevalence of 20%</w:t>
      </w:r>
      <w:r w:rsidR="00C455F1">
        <w:rPr>
          <w:sz w:val="24"/>
          <w:szCs w:val="24"/>
        </w:rPr>
        <w:t xml:space="preserve"> (data using 10% diabetes prevalence not shown in Table 2)</w:t>
      </w:r>
      <w:r w:rsidRPr="00501912">
        <w:rPr>
          <w:sz w:val="24"/>
          <w:szCs w:val="24"/>
        </w:rPr>
        <w:t xml:space="preserve">. </w:t>
      </w:r>
    </w:p>
    <w:p w:rsidR="00870FD8" w:rsidRPr="00501912" w:rsidRDefault="00870FD8" w:rsidP="00870FD8">
      <w:pPr>
        <w:autoSpaceDE w:val="0"/>
        <w:autoSpaceDN w:val="0"/>
        <w:spacing w:after="0" w:line="240" w:lineRule="auto"/>
        <w:jc w:val="both"/>
        <w:rPr>
          <w:sz w:val="24"/>
          <w:szCs w:val="24"/>
        </w:rPr>
      </w:pPr>
    </w:p>
    <w:p w:rsidR="006936AC" w:rsidRDefault="00870FD8" w:rsidP="00870FD8">
      <w:pPr>
        <w:autoSpaceDE w:val="0"/>
        <w:autoSpaceDN w:val="0"/>
        <w:spacing w:after="0" w:line="240" w:lineRule="auto"/>
        <w:jc w:val="both"/>
        <w:rPr>
          <w:sz w:val="24"/>
          <w:szCs w:val="24"/>
        </w:rPr>
      </w:pPr>
      <w:r w:rsidRPr="00501912">
        <w:rPr>
          <w:sz w:val="24"/>
          <w:szCs w:val="24"/>
        </w:rPr>
        <w:t xml:space="preserve">The provided numbers are only estimates based on the available data; the actual number of incident diabetes cases and PCB levels may be different. </w:t>
      </w:r>
      <w:r w:rsidR="005636E8">
        <w:rPr>
          <w:sz w:val="24"/>
          <w:szCs w:val="24"/>
        </w:rPr>
        <w:t xml:space="preserve">Where available, we used conservative estimates to </w:t>
      </w:r>
      <w:r w:rsidR="00506271">
        <w:rPr>
          <w:sz w:val="24"/>
          <w:szCs w:val="24"/>
        </w:rPr>
        <w:t xml:space="preserve">avoid overestimating </w:t>
      </w:r>
      <w:r w:rsidR="005636E8">
        <w:rPr>
          <w:sz w:val="24"/>
          <w:szCs w:val="24"/>
        </w:rPr>
        <w:t xml:space="preserve">diabetes cases. </w:t>
      </w:r>
      <w:r w:rsidRPr="00501912">
        <w:rPr>
          <w:sz w:val="24"/>
          <w:szCs w:val="24"/>
        </w:rPr>
        <w:t xml:space="preserve">With </w:t>
      </w:r>
      <w:r w:rsidR="00217CBA">
        <w:rPr>
          <w:sz w:val="24"/>
          <w:szCs w:val="24"/>
        </w:rPr>
        <w:t xml:space="preserve">the </w:t>
      </w:r>
      <w:r w:rsidRPr="00501912">
        <w:rPr>
          <w:sz w:val="24"/>
          <w:szCs w:val="24"/>
        </w:rPr>
        <w:t xml:space="preserve">relatively high prevalence of chronic disease in </w:t>
      </w:r>
      <w:r w:rsidR="00217CBA">
        <w:rPr>
          <w:sz w:val="24"/>
          <w:szCs w:val="24"/>
        </w:rPr>
        <w:t xml:space="preserve">the </w:t>
      </w:r>
      <w:r w:rsidRPr="00501912">
        <w:rPr>
          <w:sz w:val="24"/>
          <w:szCs w:val="24"/>
        </w:rPr>
        <w:t xml:space="preserve">Anniston sample, a sample size smaller than 500 would still provide data that could detect statistically significant associations between diabetes or heart disease and PCBs at sufficient power. </w:t>
      </w:r>
    </w:p>
    <w:p w:rsidR="006936AC" w:rsidRDefault="006936AC" w:rsidP="00870FD8">
      <w:pPr>
        <w:autoSpaceDE w:val="0"/>
        <w:autoSpaceDN w:val="0"/>
        <w:spacing w:after="0" w:line="240" w:lineRule="auto"/>
        <w:jc w:val="both"/>
        <w:rPr>
          <w:sz w:val="24"/>
          <w:szCs w:val="24"/>
        </w:rPr>
      </w:pPr>
    </w:p>
    <w:p w:rsidR="00870FD8" w:rsidRPr="00501912" w:rsidRDefault="006936AC" w:rsidP="00870FD8">
      <w:pPr>
        <w:autoSpaceDE w:val="0"/>
        <w:autoSpaceDN w:val="0"/>
        <w:spacing w:after="0" w:line="240" w:lineRule="auto"/>
        <w:jc w:val="both"/>
        <w:rPr>
          <w:sz w:val="24"/>
          <w:szCs w:val="24"/>
        </w:rPr>
      </w:pPr>
      <w:r>
        <w:rPr>
          <w:sz w:val="24"/>
          <w:szCs w:val="24"/>
        </w:rPr>
        <w:t>The s</w:t>
      </w:r>
      <w:r w:rsidR="00870FD8" w:rsidRPr="00501912">
        <w:rPr>
          <w:sz w:val="24"/>
          <w:szCs w:val="24"/>
        </w:rPr>
        <w:t xml:space="preserve">tudy investigators acknowledge </w:t>
      </w:r>
      <w:r w:rsidR="00870FD8" w:rsidRPr="00501912">
        <w:rPr>
          <w:rFonts w:asciiTheme="minorHAnsi" w:hAnsiTheme="minorHAnsi" w:cstheme="minorHAnsi"/>
          <w:bCs/>
          <w:iCs/>
          <w:sz w:val="24"/>
          <w:szCs w:val="24"/>
        </w:rPr>
        <w:t xml:space="preserve">that the sample size of 500 represents a high estimate of how many </w:t>
      </w:r>
      <w:r w:rsidR="00711C4D">
        <w:rPr>
          <w:rFonts w:asciiTheme="minorHAnsi" w:hAnsiTheme="minorHAnsi" w:cstheme="minorHAnsi"/>
          <w:bCs/>
          <w:iCs/>
          <w:sz w:val="24"/>
          <w:szCs w:val="24"/>
        </w:rPr>
        <w:t>respondent</w:t>
      </w:r>
      <w:r w:rsidR="00870FD8" w:rsidRPr="00501912">
        <w:rPr>
          <w:rFonts w:asciiTheme="minorHAnsi" w:hAnsiTheme="minorHAnsi" w:cstheme="minorHAnsi"/>
          <w:bCs/>
          <w:iCs/>
          <w:sz w:val="24"/>
          <w:szCs w:val="24"/>
        </w:rPr>
        <w:t xml:space="preserve">s may actually be recruited from the pool of about 700 surviving </w:t>
      </w:r>
      <w:r w:rsidR="00B92F59">
        <w:rPr>
          <w:rFonts w:asciiTheme="minorHAnsi" w:hAnsiTheme="minorHAnsi" w:cstheme="minorHAnsi"/>
          <w:bCs/>
          <w:iCs/>
          <w:sz w:val="24"/>
          <w:szCs w:val="24"/>
        </w:rPr>
        <w:t>c</w:t>
      </w:r>
      <w:r w:rsidR="00953DD6">
        <w:rPr>
          <w:rFonts w:asciiTheme="minorHAnsi" w:hAnsiTheme="minorHAnsi" w:cstheme="minorHAnsi"/>
          <w:bCs/>
          <w:iCs/>
          <w:sz w:val="24"/>
          <w:szCs w:val="24"/>
        </w:rPr>
        <w:t>ohort members</w:t>
      </w:r>
      <w:r w:rsidR="00870FD8" w:rsidRPr="00501912">
        <w:rPr>
          <w:rFonts w:asciiTheme="minorHAnsi" w:hAnsiTheme="minorHAnsi" w:cstheme="minorHAnsi"/>
          <w:bCs/>
          <w:iCs/>
          <w:sz w:val="24"/>
          <w:szCs w:val="24"/>
        </w:rPr>
        <w:t xml:space="preserve"> (response rate of 71%). It is possible that </w:t>
      </w:r>
      <w:r w:rsidR="00E01FFC">
        <w:rPr>
          <w:rFonts w:asciiTheme="minorHAnsi" w:hAnsiTheme="minorHAnsi" w:cstheme="minorHAnsi"/>
          <w:bCs/>
          <w:iCs/>
          <w:sz w:val="24"/>
          <w:szCs w:val="24"/>
        </w:rPr>
        <w:t xml:space="preserve">a </w:t>
      </w:r>
      <w:r w:rsidR="00870FD8" w:rsidRPr="00501912">
        <w:rPr>
          <w:rFonts w:asciiTheme="minorHAnsi" w:hAnsiTheme="minorHAnsi" w:cstheme="minorHAnsi"/>
          <w:bCs/>
          <w:iCs/>
          <w:sz w:val="24"/>
          <w:szCs w:val="24"/>
        </w:rPr>
        <w:t xml:space="preserve">further </w:t>
      </w:r>
      <w:r w:rsidR="009D2715">
        <w:rPr>
          <w:rFonts w:asciiTheme="minorHAnsi" w:hAnsiTheme="minorHAnsi" w:cstheme="minorHAnsi"/>
          <w:bCs/>
          <w:iCs/>
          <w:sz w:val="24"/>
          <w:szCs w:val="24"/>
        </w:rPr>
        <w:t>35</w:t>
      </w:r>
      <w:r w:rsidR="00870FD8" w:rsidRPr="00501912">
        <w:rPr>
          <w:rFonts w:asciiTheme="minorHAnsi" w:hAnsiTheme="minorHAnsi" w:cstheme="minorHAnsi"/>
          <w:bCs/>
          <w:iCs/>
          <w:sz w:val="24"/>
          <w:szCs w:val="24"/>
        </w:rPr>
        <w:t xml:space="preserve"> </w:t>
      </w:r>
      <w:r w:rsidR="008810CE">
        <w:rPr>
          <w:rFonts w:asciiTheme="minorHAnsi" w:hAnsiTheme="minorHAnsi" w:cstheme="minorHAnsi"/>
          <w:bCs/>
          <w:iCs/>
          <w:sz w:val="24"/>
          <w:szCs w:val="24"/>
        </w:rPr>
        <w:t xml:space="preserve">may </w:t>
      </w:r>
      <w:r w:rsidR="00870FD8" w:rsidRPr="00501912">
        <w:rPr>
          <w:rFonts w:asciiTheme="minorHAnsi" w:hAnsiTheme="minorHAnsi" w:cstheme="minorHAnsi"/>
          <w:bCs/>
          <w:iCs/>
          <w:sz w:val="24"/>
          <w:szCs w:val="24"/>
        </w:rPr>
        <w:t>have moved out of Anniston</w:t>
      </w:r>
      <w:r w:rsidR="00953DD6">
        <w:rPr>
          <w:rFonts w:asciiTheme="minorHAnsi" w:hAnsiTheme="minorHAnsi" w:cstheme="minorHAnsi"/>
          <w:bCs/>
          <w:iCs/>
          <w:sz w:val="24"/>
          <w:szCs w:val="24"/>
        </w:rPr>
        <w:t>. I</w:t>
      </w:r>
      <w:r>
        <w:rPr>
          <w:rFonts w:asciiTheme="minorHAnsi" w:hAnsiTheme="minorHAnsi" w:cstheme="minorHAnsi"/>
          <w:bCs/>
          <w:iCs/>
          <w:sz w:val="24"/>
          <w:szCs w:val="24"/>
        </w:rPr>
        <w:t xml:space="preserve">n order to recruit a sample of 500 </w:t>
      </w:r>
      <w:r w:rsidR="00711C4D">
        <w:rPr>
          <w:rFonts w:asciiTheme="minorHAnsi" w:hAnsiTheme="minorHAnsi" w:cstheme="minorHAnsi"/>
          <w:bCs/>
          <w:iCs/>
          <w:sz w:val="24"/>
          <w:szCs w:val="24"/>
        </w:rPr>
        <w:t>respondent</w:t>
      </w:r>
      <w:r>
        <w:rPr>
          <w:rFonts w:asciiTheme="minorHAnsi" w:hAnsiTheme="minorHAnsi" w:cstheme="minorHAnsi"/>
          <w:bCs/>
          <w:iCs/>
          <w:sz w:val="24"/>
          <w:szCs w:val="24"/>
        </w:rPr>
        <w:t xml:space="preserve">s, </w:t>
      </w:r>
      <w:r w:rsidR="00EE7A13">
        <w:rPr>
          <w:rFonts w:asciiTheme="minorHAnsi" w:hAnsiTheme="minorHAnsi" w:cstheme="minorHAnsi"/>
          <w:bCs/>
          <w:iCs/>
          <w:sz w:val="24"/>
          <w:szCs w:val="24"/>
        </w:rPr>
        <w:t>we assume up to</w:t>
      </w:r>
      <w:r>
        <w:rPr>
          <w:rFonts w:asciiTheme="minorHAnsi" w:hAnsiTheme="minorHAnsi" w:cstheme="minorHAnsi"/>
          <w:bCs/>
          <w:iCs/>
          <w:sz w:val="24"/>
          <w:szCs w:val="24"/>
        </w:rPr>
        <w:t xml:space="preserve"> </w:t>
      </w:r>
      <w:r w:rsidR="009D2715">
        <w:rPr>
          <w:rFonts w:asciiTheme="minorHAnsi" w:hAnsiTheme="minorHAnsi" w:cstheme="minorHAnsi"/>
          <w:bCs/>
          <w:iCs/>
          <w:sz w:val="24"/>
          <w:szCs w:val="24"/>
        </w:rPr>
        <w:t>16</w:t>
      </w:r>
      <w:r w:rsidR="000E439F">
        <w:rPr>
          <w:rFonts w:asciiTheme="minorHAnsi" w:hAnsiTheme="minorHAnsi" w:cstheme="minorHAnsi"/>
          <w:bCs/>
          <w:iCs/>
          <w:sz w:val="24"/>
          <w:szCs w:val="24"/>
        </w:rPr>
        <w:t>0</w:t>
      </w:r>
      <w:r w:rsidR="00953DD6">
        <w:rPr>
          <w:rFonts w:asciiTheme="minorHAnsi" w:hAnsiTheme="minorHAnsi" w:cstheme="minorHAnsi"/>
          <w:bCs/>
          <w:iCs/>
          <w:sz w:val="24"/>
          <w:szCs w:val="24"/>
        </w:rPr>
        <w:t xml:space="preserve"> of the </w:t>
      </w:r>
      <w:r w:rsidR="000E439F">
        <w:rPr>
          <w:rFonts w:asciiTheme="minorHAnsi" w:hAnsiTheme="minorHAnsi" w:cstheme="minorHAnsi"/>
          <w:bCs/>
          <w:iCs/>
          <w:sz w:val="24"/>
          <w:szCs w:val="24"/>
        </w:rPr>
        <w:t>Cohort</w:t>
      </w:r>
      <w:r w:rsidR="00870FD8">
        <w:rPr>
          <w:rFonts w:asciiTheme="minorHAnsi" w:hAnsiTheme="minorHAnsi" w:cstheme="minorHAnsi"/>
          <w:bCs/>
          <w:iCs/>
          <w:sz w:val="24"/>
          <w:szCs w:val="24"/>
        </w:rPr>
        <w:t xml:space="preserve"> </w:t>
      </w:r>
      <w:r>
        <w:rPr>
          <w:rFonts w:asciiTheme="minorHAnsi" w:hAnsiTheme="minorHAnsi" w:cstheme="minorHAnsi"/>
          <w:bCs/>
          <w:iCs/>
          <w:sz w:val="24"/>
          <w:szCs w:val="24"/>
        </w:rPr>
        <w:t>may be lost to follow-up</w:t>
      </w:r>
      <w:r w:rsidR="00870FD8" w:rsidRPr="00501912">
        <w:rPr>
          <w:rFonts w:asciiTheme="minorHAnsi" w:hAnsiTheme="minorHAnsi" w:cstheme="minorHAnsi"/>
          <w:bCs/>
          <w:iCs/>
          <w:sz w:val="24"/>
          <w:szCs w:val="24"/>
        </w:rPr>
        <w:t xml:space="preserve"> or </w:t>
      </w:r>
      <w:r w:rsidR="009D2715">
        <w:rPr>
          <w:rFonts w:asciiTheme="minorHAnsi" w:hAnsiTheme="minorHAnsi" w:cstheme="minorHAnsi"/>
          <w:bCs/>
          <w:iCs/>
          <w:sz w:val="24"/>
          <w:szCs w:val="24"/>
        </w:rPr>
        <w:t xml:space="preserve">may </w:t>
      </w:r>
      <w:r w:rsidR="00870FD8" w:rsidRPr="00501912">
        <w:rPr>
          <w:rFonts w:asciiTheme="minorHAnsi" w:hAnsiTheme="minorHAnsi" w:cstheme="minorHAnsi"/>
          <w:bCs/>
          <w:iCs/>
          <w:sz w:val="24"/>
          <w:szCs w:val="24"/>
        </w:rPr>
        <w:t>refuse to participate</w:t>
      </w:r>
      <w:r w:rsidR="000E439F">
        <w:rPr>
          <w:rFonts w:asciiTheme="minorHAnsi" w:hAnsiTheme="minorHAnsi" w:cstheme="minorHAnsi"/>
          <w:bCs/>
          <w:iCs/>
          <w:sz w:val="24"/>
          <w:szCs w:val="24"/>
        </w:rPr>
        <w:t>, and approximately 5 will be currently ineligible (e.g., pregnant or serving criminal sentences)</w:t>
      </w:r>
      <w:r w:rsidR="00813095">
        <w:rPr>
          <w:rFonts w:asciiTheme="minorHAnsi" w:hAnsiTheme="minorHAnsi" w:cstheme="minorHAnsi"/>
          <w:bCs/>
          <w:iCs/>
          <w:sz w:val="24"/>
          <w:szCs w:val="24"/>
        </w:rPr>
        <w:t xml:space="preserve"> (Attachment 3)</w:t>
      </w:r>
      <w:r w:rsidR="00870FD8" w:rsidRPr="00501912">
        <w:rPr>
          <w:rFonts w:asciiTheme="minorHAnsi" w:hAnsiTheme="minorHAnsi" w:cstheme="minorHAnsi"/>
          <w:bCs/>
          <w:iCs/>
          <w:sz w:val="24"/>
          <w:szCs w:val="24"/>
        </w:rPr>
        <w:t xml:space="preserve">. To recruit 500 </w:t>
      </w:r>
      <w:r w:rsidR="00711C4D">
        <w:rPr>
          <w:rFonts w:asciiTheme="minorHAnsi" w:hAnsiTheme="minorHAnsi" w:cstheme="minorHAnsi"/>
          <w:bCs/>
          <w:iCs/>
          <w:sz w:val="24"/>
          <w:szCs w:val="24"/>
        </w:rPr>
        <w:t>respondent</w:t>
      </w:r>
      <w:r w:rsidR="00870FD8" w:rsidRPr="00501912">
        <w:rPr>
          <w:rFonts w:asciiTheme="minorHAnsi" w:hAnsiTheme="minorHAnsi" w:cstheme="minorHAnsi"/>
          <w:bCs/>
          <w:iCs/>
          <w:sz w:val="24"/>
          <w:szCs w:val="24"/>
        </w:rPr>
        <w:t xml:space="preserve">s out of 600, an 83% response rate would be required. The methods to maximize the recruiting potential are described in the following section. As detailed above, study results would be useful and meaningful </w:t>
      </w:r>
      <w:r w:rsidR="00E01FFC">
        <w:rPr>
          <w:rFonts w:asciiTheme="minorHAnsi" w:hAnsiTheme="minorHAnsi" w:cstheme="minorHAnsi"/>
          <w:bCs/>
          <w:iCs/>
          <w:sz w:val="24"/>
          <w:szCs w:val="24"/>
        </w:rPr>
        <w:t>if less than 500</w:t>
      </w:r>
      <w:r w:rsidR="00870FD8" w:rsidRPr="00501912">
        <w:rPr>
          <w:rFonts w:asciiTheme="minorHAnsi" w:hAnsiTheme="minorHAnsi" w:cstheme="minorHAnsi"/>
          <w:bCs/>
          <w:iCs/>
          <w:sz w:val="24"/>
          <w:szCs w:val="24"/>
        </w:rPr>
        <w:t xml:space="preserve"> </w:t>
      </w:r>
      <w:r w:rsidR="00711C4D">
        <w:rPr>
          <w:rFonts w:asciiTheme="minorHAnsi" w:hAnsiTheme="minorHAnsi" w:cstheme="minorHAnsi"/>
          <w:bCs/>
          <w:iCs/>
          <w:sz w:val="24"/>
          <w:szCs w:val="24"/>
        </w:rPr>
        <w:t>respondent</w:t>
      </w:r>
      <w:r w:rsidR="00870FD8" w:rsidRPr="00501912">
        <w:rPr>
          <w:rFonts w:asciiTheme="minorHAnsi" w:hAnsiTheme="minorHAnsi" w:cstheme="minorHAnsi"/>
          <w:bCs/>
          <w:iCs/>
          <w:sz w:val="24"/>
          <w:szCs w:val="24"/>
        </w:rPr>
        <w:t xml:space="preserve">s </w:t>
      </w:r>
      <w:r w:rsidR="006A4697">
        <w:rPr>
          <w:rFonts w:asciiTheme="minorHAnsi" w:hAnsiTheme="minorHAnsi" w:cstheme="minorHAnsi"/>
          <w:bCs/>
          <w:iCs/>
          <w:sz w:val="24"/>
          <w:szCs w:val="24"/>
        </w:rPr>
        <w:t>we</w:t>
      </w:r>
      <w:r w:rsidR="00E01FFC">
        <w:rPr>
          <w:rFonts w:asciiTheme="minorHAnsi" w:hAnsiTheme="minorHAnsi" w:cstheme="minorHAnsi"/>
          <w:bCs/>
          <w:iCs/>
          <w:sz w:val="24"/>
          <w:szCs w:val="24"/>
        </w:rPr>
        <w:t xml:space="preserve">re </w:t>
      </w:r>
      <w:r w:rsidR="00870FD8" w:rsidRPr="00501912">
        <w:rPr>
          <w:rFonts w:asciiTheme="minorHAnsi" w:hAnsiTheme="minorHAnsi" w:cstheme="minorHAnsi"/>
          <w:bCs/>
          <w:iCs/>
          <w:sz w:val="24"/>
          <w:szCs w:val="24"/>
        </w:rPr>
        <w:t xml:space="preserve">recruited. </w:t>
      </w:r>
      <w:r w:rsidR="00870FD8" w:rsidRPr="00B05822" w:rsidDel="00C75F46">
        <w:rPr>
          <w:sz w:val="24"/>
          <w:szCs w:val="24"/>
        </w:rPr>
        <w:t>Further details on assumptions</w:t>
      </w:r>
      <w:r w:rsidR="00734244">
        <w:rPr>
          <w:sz w:val="24"/>
          <w:szCs w:val="24"/>
        </w:rPr>
        <w:t>, mathematical proofs,</w:t>
      </w:r>
      <w:r w:rsidR="00870FD8" w:rsidRPr="00B05822" w:rsidDel="00C75F46">
        <w:rPr>
          <w:sz w:val="24"/>
          <w:szCs w:val="24"/>
        </w:rPr>
        <w:t xml:space="preserve"> and calculations are </w:t>
      </w:r>
      <w:r w:rsidR="00870FD8">
        <w:rPr>
          <w:sz w:val="24"/>
          <w:szCs w:val="24"/>
        </w:rPr>
        <w:t xml:space="preserve">provided in </w:t>
      </w:r>
      <w:r w:rsidR="00B21DBA">
        <w:rPr>
          <w:sz w:val="24"/>
          <w:szCs w:val="24"/>
        </w:rPr>
        <w:t>Attachment 7</w:t>
      </w:r>
      <w:r w:rsidR="00870FD8" w:rsidRPr="00B05822" w:rsidDel="00C75F46">
        <w:rPr>
          <w:sz w:val="24"/>
          <w:szCs w:val="24"/>
        </w:rPr>
        <w:t>.</w:t>
      </w:r>
    </w:p>
    <w:p w:rsidR="00563822" w:rsidRPr="003C4F3A" w:rsidRDefault="00563822" w:rsidP="00921444">
      <w:pPr>
        <w:pStyle w:val="Style2"/>
        <w:spacing w:line="240" w:lineRule="auto"/>
        <w:ind w:firstLine="0"/>
        <w:rPr>
          <w:i/>
        </w:rPr>
      </w:pPr>
    </w:p>
    <w:p w:rsidR="00020EFF" w:rsidRPr="003C4F3A" w:rsidRDefault="00834765" w:rsidP="00921444">
      <w:pPr>
        <w:pStyle w:val="Heading2"/>
        <w:spacing w:line="240" w:lineRule="auto"/>
        <w:rPr>
          <w:rFonts w:ascii="Calibri" w:hAnsi="Calibri" w:cs="Calibri"/>
          <w:sz w:val="24"/>
          <w:szCs w:val="24"/>
        </w:rPr>
      </w:pPr>
      <w:bookmarkStart w:id="3" w:name="_Toc349489332"/>
      <w:r w:rsidRPr="003C4F3A">
        <w:rPr>
          <w:rFonts w:ascii="Calibri" w:hAnsi="Calibri" w:cs="Calibri"/>
          <w:sz w:val="24"/>
          <w:szCs w:val="24"/>
        </w:rPr>
        <w:lastRenderedPageBreak/>
        <w:t>B.</w:t>
      </w:r>
      <w:r w:rsidR="00020EFF" w:rsidRPr="003C4F3A">
        <w:rPr>
          <w:rFonts w:ascii="Calibri" w:hAnsi="Calibri" w:cs="Calibri"/>
          <w:sz w:val="24"/>
          <w:szCs w:val="24"/>
        </w:rPr>
        <w:t>2. Procedures for the Collection of Information</w:t>
      </w:r>
      <w:bookmarkEnd w:id="3"/>
      <w:r w:rsidR="00020EFF" w:rsidRPr="003C4F3A">
        <w:rPr>
          <w:rFonts w:ascii="Calibri" w:hAnsi="Calibri" w:cs="Calibri"/>
          <w:sz w:val="24"/>
          <w:szCs w:val="24"/>
        </w:rPr>
        <w:t xml:space="preserve"> </w:t>
      </w:r>
    </w:p>
    <w:p w:rsidR="00261648" w:rsidRPr="003C4F3A" w:rsidRDefault="00261648" w:rsidP="00921444">
      <w:pPr>
        <w:autoSpaceDE w:val="0"/>
        <w:autoSpaceDN w:val="0"/>
        <w:adjustRightInd w:val="0"/>
        <w:spacing w:after="0" w:line="240" w:lineRule="auto"/>
        <w:rPr>
          <w:rFonts w:cs="Calibri"/>
          <w:b/>
          <w:color w:val="000000"/>
          <w:sz w:val="24"/>
          <w:szCs w:val="24"/>
        </w:rPr>
      </w:pPr>
    </w:p>
    <w:p w:rsidR="00704515" w:rsidRPr="00424AD8" w:rsidRDefault="00704515" w:rsidP="00B16A07">
      <w:pPr>
        <w:spacing w:after="0" w:line="240" w:lineRule="auto"/>
        <w:jc w:val="both"/>
        <w:rPr>
          <w:rFonts w:cs="Calibri"/>
          <w:b/>
          <w:sz w:val="24"/>
          <w:szCs w:val="24"/>
        </w:rPr>
      </w:pPr>
      <w:r w:rsidRPr="00424AD8">
        <w:rPr>
          <w:rFonts w:cs="Calibri"/>
          <w:b/>
          <w:sz w:val="24"/>
          <w:szCs w:val="24"/>
        </w:rPr>
        <w:t>Data Collection</w:t>
      </w:r>
    </w:p>
    <w:p w:rsidR="00704515" w:rsidRPr="003C4F3A" w:rsidRDefault="00424AD8" w:rsidP="00B16A07">
      <w:pPr>
        <w:spacing w:after="0" w:line="240" w:lineRule="auto"/>
        <w:jc w:val="both"/>
        <w:rPr>
          <w:rFonts w:cs="Calibri"/>
          <w:b/>
          <w:i/>
          <w:sz w:val="24"/>
          <w:szCs w:val="24"/>
        </w:rPr>
      </w:pPr>
      <w:r w:rsidRPr="00506271">
        <w:rPr>
          <w:rFonts w:asciiTheme="minorHAnsi" w:hAnsiTheme="minorHAnsi" w:cs="Calibri"/>
          <w:sz w:val="24"/>
          <w:szCs w:val="24"/>
        </w:rPr>
        <w:t>A</w:t>
      </w:r>
      <w:r>
        <w:rPr>
          <w:rFonts w:asciiTheme="minorHAnsi" w:hAnsiTheme="minorHAnsi" w:cs="Calibri"/>
          <w:sz w:val="24"/>
          <w:szCs w:val="24"/>
        </w:rPr>
        <w:t xml:space="preserve"> graphical </w:t>
      </w:r>
      <w:r w:rsidRPr="0077415D">
        <w:rPr>
          <w:rFonts w:asciiTheme="minorHAnsi" w:hAnsiTheme="minorHAnsi" w:cs="Calibri"/>
          <w:sz w:val="24"/>
          <w:szCs w:val="24"/>
        </w:rPr>
        <w:t>overview</w:t>
      </w:r>
      <w:r w:rsidRPr="00506271">
        <w:rPr>
          <w:rFonts w:asciiTheme="minorHAnsi" w:hAnsiTheme="minorHAnsi" w:cs="Calibri"/>
          <w:sz w:val="24"/>
          <w:szCs w:val="24"/>
        </w:rPr>
        <w:t xml:space="preserve"> of the information collection process is included in Attachment 3. </w:t>
      </w:r>
      <w:r w:rsidR="00704515" w:rsidRPr="00424AD8">
        <w:rPr>
          <w:rFonts w:cs="Calibri"/>
          <w:sz w:val="24"/>
          <w:szCs w:val="24"/>
        </w:rPr>
        <w:t>The CCHD study office will be the designated center for obtaining biological samples and conducting interviews. Alternatively, a satellite office will be set up at the West Anniston Foundation facility</w:t>
      </w:r>
      <w:r w:rsidR="00704515" w:rsidRPr="003C4F3A">
        <w:rPr>
          <w:rFonts w:cs="Calibri"/>
          <w:sz w:val="24"/>
          <w:szCs w:val="24"/>
        </w:rPr>
        <w:t>. For interviews by home visit, the data collection will follow procedures for data and biological sample collection consistent with the office visits. In these cases, a team consisting of an interviewer and a public health nurse will be sent to the household.</w:t>
      </w:r>
    </w:p>
    <w:p w:rsidR="00704515" w:rsidRPr="003C4F3A" w:rsidRDefault="00704515" w:rsidP="00921444">
      <w:pPr>
        <w:spacing w:after="0" w:line="240" w:lineRule="auto"/>
        <w:jc w:val="both"/>
        <w:rPr>
          <w:rFonts w:cs="Calibri"/>
          <w:b/>
          <w:i/>
          <w:sz w:val="24"/>
          <w:szCs w:val="24"/>
        </w:rPr>
      </w:pPr>
    </w:p>
    <w:p w:rsidR="00704515" w:rsidRDefault="00704515" w:rsidP="00921444">
      <w:pPr>
        <w:spacing w:after="0" w:line="240" w:lineRule="auto"/>
        <w:jc w:val="both"/>
        <w:rPr>
          <w:rFonts w:cs="Calibri"/>
          <w:sz w:val="24"/>
          <w:szCs w:val="24"/>
        </w:rPr>
      </w:pPr>
      <w:r w:rsidRPr="003C4F3A">
        <w:rPr>
          <w:rFonts w:cs="Calibri"/>
          <w:b/>
          <w:i/>
          <w:sz w:val="24"/>
          <w:szCs w:val="24"/>
        </w:rPr>
        <w:t xml:space="preserve">Data collection steps: </w:t>
      </w:r>
      <w:r w:rsidRPr="003C4F3A">
        <w:rPr>
          <w:rFonts w:cs="Calibri"/>
          <w:sz w:val="24"/>
          <w:szCs w:val="24"/>
        </w:rPr>
        <w:t xml:space="preserve">Study staff will be trained on the goals and purposes of informed consent, interview, and blood specimen collection methods, and on proper documentation of data collection procedures. Staff will receive NIH training on Human Subjects Protection and sign a confidentiality agreement prior to contact with interested recruits and enrolled </w:t>
      </w:r>
      <w:r w:rsidR="00711C4D">
        <w:rPr>
          <w:rFonts w:cs="Calibri"/>
          <w:sz w:val="24"/>
          <w:szCs w:val="24"/>
        </w:rPr>
        <w:t>respondent</w:t>
      </w:r>
      <w:r w:rsidRPr="003C4F3A">
        <w:rPr>
          <w:rFonts w:cs="Calibri"/>
          <w:sz w:val="24"/>
          <w:szCs w:val="24"/>
        </w:rPr>
        <w:t>s</w:t>
      </w:r>
      <w:r w:rsidR="00645B79">
        <w:rPr>
          <w:rFonts w:cs="Calibri"/>
          <w:sz w:val="24"/>
          <w:szCs w:val="24"/>
        </w:rPr>
        <w:t xml:space="preserve">. </w:t>
      </w:r>
      <w:r w:rsidRPr="003C4F3A">
        <w:rPr>
          <w:rFonts w:cs="Calibri"/>
          <w:sz w:val="24"/>
          <w:szCs w:val="24"/>
        </w:rPr>
        <w:t xml:space="preserve">Trained staff from the CCHD will attend dedicated telephone lines to respond to questions and to address concerns from interested recruits, enrolled </w:t>
      </w:r>
      <w:r w:rsidR="00711C4D">
        <w:rPr>
          <w:rFonts w:cs="Calibri"/>
          <w:sz w:val="24"/>
          <w:szCs w:val="24"/>
        </w:rPr>
        <w:t>respondent</w:t>
      </w:r>
      <w:r w:rsidRPr="003C4F3A">
        <w:rPr>
          <w:rFonts w:cs="Calibri"/>
          <w:sz w:val="24"/>
          <w:szCs w:val="24"/>
        </w:rPr>
        <w:t>s, and the public.</w:t>
      </w:r>
      <w:r w:rsidRPr="003C4F3A">
        <w:rPr>
          <w:rFonts w:cs="Calibri"/>
          <w:b/>
          <w:sz w:val="24"/>
          <w:szCs w:val="24"/>
        </w:rPr>
        <w:t xml:space="preserve"> </w:t>
      </w:r>
      <w:r w:rsidRPr="003C4F3A">
        <w:rPr>
          <w:rFonts w:cs="Calibri"/>
          <w:sz w:val="24"/>
          <w:szCs w:val="24"/>
        </w:rPr>
        <w:t>Interested recruits will be asked to attend their appointment in at least an eight-hour fasting state; therefore, most recruits are expected to schedule appointments in the early morning. The steps of the data collection will include:</w:t>
      </w:r>
    </w:p>
    <w:p w:rsidR="0023233D" w:rsidRPr="003C4F3A" w:rsidRDefault="0023233D" w:rsidP="00921444">
      <w:pPr>
        <w:spacing w:after="0" w:line="240" w:lineRule="auto"/>
        <w:jc w:val="both"/>
        <w:rPr>
          <w:rFonts w:cs="Calibri"/>
          <w:sz w:val="24"/>
          <w:szCs w:val="24"/>
        </w:rPr>
      </w:pPr>
    </w:p>
    <w:p w:rsidR="00704515" w:rsidRPr="003C4F3A" w:rsidRDefault="00704515" w:rsidP="00921444">
      <w:pPr>
        <w:pStyle w:val="ListParagraph"/>
        <w:numPr>
          <w:ilvl w:val="0"/>
          <w:numId w:val="19"/>
        </w:numPr>
        <w:spacing w:after="0" w:line="240" w:lineRule="auto"/>
        <w:jc w:val="both"/>
        <w:rPr>
          <w:rFonts w:cs="Calibri"/>
          <w:sz w:val="24"/>
          <w:szCs w:val="24"/>
        </w:rPr>
      </w:pPr>
      <w:r w:rsidRPr="003C4F3A">
        <w:rPr>
          <w:rFonts w:cs="Calibri"/>
          <w:sz w:val="24"/>
          <w:szCs w:val="24"/>
        </w:rPr>
        <w:t>Check-in procedures;</w:t>
      </w:r>
    </w:p>
    <w:p w:rsidR="00704515" w:rsidRPr="003C4F3A" w:rsidRDefault="00704515" w:rsidP="00921444">
      <w:pPr>
        <w:pStyle w:val="ListParagraph"/>
        <w:numPr>
          <w:ilvl w:val="0"/>
          <w:numId w:val="19"/>
        </w:numPr>
        <w:spacing w:after="0" w:line="240" w:lineRule="auto"/>
        <w:jc w:val="both"/>
        <w:rPr>
          <w:rFonts w:cs="Calibri"/>
          <w:sz w:val="24"/>
          <w:szCs w:val="24"/>
        </w:rPr>
      </w:pPr>
      <w:r w:rsidRPr="003C4F3A">
        <w:rPr>
          <w:rFonts w:cs="Calibri"/>
          <w:sz w:val="24"/>
          <w:szCs w:val="24"/>
        </w:rPr>
        <w:t>Data collection station assignments;</w:t>
      </w:r>
    </w:p>
    <w:p w:rsidR="00704515" w:rsidRPr="003C4F3A" w:rsidRDefault="00704515" w:rsidP="00921444">
      <w:pPr>
        <w:pStyle w:val="ListParagraph"/>
        <w:numPr>
          <w:ilvl w:val="0"/>
          <w:numId w:val="19"/>
        </w:numPr>
        <w:spacing w:after="0" w:line="240" w:lineRule="auto"/>
        <w:jc w:val="both"/>
        <w:rPr>
          <w:rFonts w:cs="Calibri"/>
          <w:sz w:val="24"/>
          <w:szCs w:val="24"/>
        </w:rPr>
      </w:pPr>
      <w:r w:rsidRPr="003C4F3A">
        <w:rPr>
          <w:rFonts w:cs="Calibri"/>
          <w:sz w:val="24"/>
          <w:szCs w:val="24"/>
        </w:rPr>
        <w:t>Exit procedures; and</w:t>
      </w:r>
    </w:p>
    <w:p w:rsidR="00704515" w:rsidRPr="003C4F3A" w:rsidRDefault="00704515" w:rsidP="00921444">
      <w:pPr>
        <w:pStyle w:val="ListParagraph"/>
        <w:numPr>
          <w:ilvl w:val="0"/>
          <w:numId w:val="19"/>
        </w:numPr>
        <w:spacing w:after="0" w:line="240" w:lineRule="auto"/>
        <w:jc w:val="both"/>
        <w:rPr>
          <w:rFonts w:cs="Calibri"/>
          <w:sz w:val="24"/>
          <w:szCs w:val="24"/>
        </w:rPr>
      </w:pPr>
      <w:r w:rsidRPr="003C4F3A">
        <w:rPr>
          <w:rFonts w:cs="Calibri"/>
          <w:sz w:val="24"/>
          <w:szCs w:val="24"/>
        </w:rPr>
        <w:t xml:space="preserve">Provision of a gift card as a token of appreciation for participation.  </w:t>
      </w:r>
    </w:p>
    <w:p w:rsidR="00704515" w:rsidRPr="003C4F3A" w:rsidRDefault="00704515" w:rsidP="00921444">
      <w:pPr>
        <w:spacing w:after="0" w:line="240" w:lineRule="auto"/>
        <w:jc w:val="both"/>
        <w:rPr>
          <w:rFonts w:cs="Calibri"/>
          <w:sz w:val="24"/>
          <w:szCs w:val="24"/>
        </w:rPr>
      </w:pPr>
    </w:p>
    <w:p w:rsidR="00704515" w:rsidRPr="003C4F3A" w:rsidRDefault="00704515" w:rsidP="00921444">
      <w:pPr>
        <w:spacing w:after="0" w:line="240" w:lineRule="auto"/>
        <w:jc w:val="both"/>
        <w:rPr>
          <w:rFonts w:cs="Calibri"/>
          <w:sz w:val="24"/>
          <w:szCs w:val="24"/>
        </w:rPr>
      </w:pPr>
      <w:r w:rsidRPr="003C4F3A">
        <w:rPr>
          <w:rFonts w:cs="Calibri"/>
          <w:sz w:val="24"/>
          <w:szCs w:val="24"/>
        </w:rPr>
        <w:t>Completion of each data collection step will be documented by the administering staff on the hardcopy Appointmen</w:t>
      </w:r>
      <w:r w:rsidR="009021CE">
        <w:rPr>
          <w:rFonts w:cs="Calibri"/>
          <w:sz w:val="24"/>
          <w:szCs w:val="24"/>
        </w:rPr>
        <w:t>t Tracking Form (</w:t>
      </w:r>
      <w:r w:rsidR="00727B65" w:rsidRPr="003C4F3A">
        <w:rPr>
          <w:rFonts w:cs="Calibri"/>
          <w:sz w:val="24"/>
          <w:szCs w:val="24"/>
        </w:rPr>
        <w:t>Attachment 3.7</w:t>
      </w:r>
      <w:r w:rsidR="009021CE">
        <w:rPr>
          <w:rFonts w:cs="Calibri"/>
          <w:sz w:val="24"/>
          <w:szCs w:val="24"/>
        </w:rPr>
        <w:t>)</w:t>
      </w:r>
      <w:r w:rsidRPr="003C4F3A">
        <w:rPr>
          <w:rFonts w:cs="Calibri"/>
          <w:sz w:val="24"/>
          <w:szCs w:val="24"/>
        </w:rPr>
        <w:t>, which will be hand carried by the recruit-</w:t>
      </w:r>
      <w:r w:rsidR="00711C4D">
        <w:rPr>
          <w:rFonts w:cs="Calibri"/>
          <w:sz w:val="24"/>
          <w:szCs w:val="24"/>
        </w:rPr>
        <w:t>respondent</w:t>
      </w:r>
      <w:r w:rsidRPr="003C4F3A">
        <w:rPr>
          <w:rFonts w:cs="Calibri"/>
          <w:sz w:val="24"/>
          <w:szCs w:val="24"/>
        </w:rPr>
        <w:t xml:space="preserve"> from station to station as assigned. Trained study staff at each station will document the completion of each step from check-in to the provision of gift cards. As part of the exit procedures, the </w:t>
      </w:r>
      <w:r w:rsidR="00711C4D">
        <w:rPr>
          <w:rFonts w:cs="Calibri"/>
          <w:sz w:val="24"/>
          <w:szCs w:val="24"/>
        </w:rPr>
        <w:t>respondent</w:t>
      </w:r>
      <w:r w:rsidRPr="003C4F3A">
        <w:rPr>
          <w:rFonts w:cs="Calibri"/>
          <w:sz w:val="24"/>
          <w:szCs w:val="24"/>
        </w:rPr>
        <w:t xml:space="preserve"> will sign this form to document receiving the gift card. This hardcopy form will be stored with the </w:t>
      </w:r>
      <w:r w:rsidR="00711C4D">
        <w:rPr>
          <w:rFonts w:cs="Calibri"/>
          <w:sz w:val="24"/>
          <w:szCs w:val="24"/>
        </w:rPr>
        <w:t>respondent</w:t>
      </w:r>
      <w:r w:rsidRPr="003C4F3A">
        <w:rPr>
          <w:rFonts w:cs="Calibri"/>
          <w:sz w:val="24"/>
          <w:szCs w:val="24"/>
        </w:rPr>
        <w:t>’s signed</w:t>
      </w:r>
      <w:r w:rsidR="009021CE">
        <w:rPr>
          <w:rFonts w:cs="Calibri"/>
          <w:sz w:val="24"/>
          <w:szCs w:val="24"/>
        </w:rPr>
        <w:t xml:space="preserve"> Informed Consent Form (</w:t>
      </w:r>
      <w:r w:rsidR="00727B65" w:rsidRPr="003C4F3A">
        <w:rPr>
          <w:rFonts w:cs="Calibri"/>
          <w:sz w:val="24"/>
          <w:szCs w:val="24"/>
        </w:rPr>
        <w:t>Attachment 3.8</w:t>
      </w:r>
      <w:r w:rsidR="009021CE">
        <w:rPr>
          <w:rFonts w:cs="Calibri"/>
          <w:sz w:val="24"/>
          <w:szCs w:val="24"/>
        </w:rPr>
        <w:t>)</w:t>
      </w:r>
      <w:r w:rsidRPr="003C4F3A">
        <w:rPr>
          <w:rFonts w:cs="Calibri"/>
          <w:sz w:val="24"/>
          <w:szCs w:val="24"/>
        </w:rPr>
        <w:t xml:space="preserve"> in locked files and in secure rooms.</w:t>
      </w:r>
    </w:p>
    <w:p w:rsidR="00704515" w:rsidRPr="003C4F3A" w:rsidRDefault="00704515" w:rsidP="00921444">
      <w:pPr>
        <w:spacing w:after="0" w:line="240" w:lineRule="auto"/>
        <w:jc w:val="both"/>
        <w:rPr>
          <w:rFonts w:cs="Calibri"/>
          <w:b/>
          <w:i/>
          <w:sz w:val="24"/>
          <w:szCs w:val="24"/>
        </w:rPr>
      </w:pPr>
    </w:p>
    <w:p w:rsidR="00704515" w:rsidRDefault="00704515" w:rsidP="00921444">
      <w:pPr>
        <w:spacing w:after="0" w:line="240" w:lineRule="auto"/>
        <w:jc w:val="both"/>
        <w:rPr>
          <w:rFonts w:cs="Calibri"/>
          <w:sz w:val="24"/>
          <w:szCs w:val="24"/>
        </w:rPr>
      </w:pPr>
      <w:r w:rsidRPr="003C4F3A">
        <w:rPr>
          <w:rFonts w:cs="Calibri"/>
          <w:b/>
          <w:i/>
          <w:sz w:val="24"/>
          <w:szCs w:val="24"/>
        </w:rPr>
        <w:t>Check-in procedures:</w:t>
      </w:r>
      <w:r w:rsidRPr="003C4F3A">
        <w:rPr>
          <w:rFonts w:cs="Calibri"/>
          <w:b/>
          <w:sz w:val="24"/>
          <w:szCs w:val="24"/>
        </w:rPr>
        <w:t xml:space="preserve"> </w:t>
      </w:r>
      <w:r w:rsidRPr="003C4F3A">
        <w:rPr>
          <w:rFonts w:cs="Calibri"/>
          <w:sz w:val="24"/>
          <w:szCs w:val="24"/>
        </w:rPr>
        <w:t>Study coordinators or assigned staff will check-in each arriving recruit to:</w:t>
      </w:r>
    </w:p>
    <w:p w:rsidR="0023233D" w:rsidRPr="003C4F3A" w:rsidRDefault="0023233D" w:rsidP="00921444">
      <w:pPr>
        <w:spacing w:after="0" w:line="240" w:lineRule="auto"/>
        <w:jc w:val="both"/>
        <w:rPr>
          <w:rFonts w:cs="Calibri"/>
          <w:sz w:val="24"/>
          <w:szCs w:val="24"/>
        </w:rPr>
      </w:pPr>
    </w:p>
    <w:p w:rsidR="00704515" w:rsidRPr="003C4F3A" w:rsidRDefault="00704515" w:rsidP="00921444">
      <w:pPr>
        <w:pStyle w:val="ListParagraph"/>
        <w:numPr>
          <w:ilvl w:val="0"/>
          <w:numId w:val="21"/>
        </w:numPr>
        <w:spacing w:after="0" w:line="240" w:lineRule="auto"/>
        <w:jc w:val="both"/>
        <w:rPr>
          <w:rFonts w:cs="Calibri"/>
          <w:sz w:val="24"/>
          <w:szCs w:val="24"/>
        </w:rPr>
      </w:pPr>
      <w:r w:rsidRPr="003C4F3A">
        <w:rPr>
          <w:rFonts w:cs="Calibri"/>
          <w:sz w:val="24"/>
          <w:szCs w:val="24"/>
        </w:rPr>
        <w:t>Obtain informed consent and enrollment;</w:t>
      </w:r>
    </w:p>
    <w:p w:rsidR="00704515" w:rsidRPr="003C4F3A" w:rsidRDefault="00704515" w:rsidP="00921444">
      <w:pPr>
        <w:pStyle w:val="ListParagraph"/>
        <w:numPr>
          <w:ilvl w:val="0"/>
          <w:numId w:val="21"/>
        </w:numPr>
        <w:spacing w:after="0" w:line="240" w:lineRule="auto"/>
        <w:jc w:val="both"/>
        <w:rPr>
          <w:rFonts w:cs="Calibri"/>
          <w:sz w:val="24"/>
          <w:szCs w:val="24"/>
        </w:rPr>
      </w:pPr>
      <w:r w:rsidRPr="003C4F3A">
        <w:rPr>
          <w:rFonts w:cs="Calibri"/>
          <w:sz w:val="24"/>
          <w:szCs w:val="24"/>
        </w:rPr>
        <w:t>Update contact information;</w:t>
      </w:r>
    </w:p>
    <w:p w:rsidR="00704515" w:rsidRPr="003C4F3A" w:rsidRDefault="00704515" w:rsidP="00921444">
      <w:pPr>
        <w:pStyle w:val="ListParagraph"/>
        <w:numPr>
          <w:ilvl w:val="0"/>
          <w:numId w:val="21"/>
        </w:numPr>
        <w:spacing w:after="0" w:line="240" w:lineRule="auto"/>
        <w:jc w:val="both"/>
        <w:rPr>
          <w:rFonts w:cs="Calibri"/>
          <w:sz w:val="24"/>
          <w:szCs w:val="24"/>
        </w:rPr>
      </w:pPr>
      <w:r w:rsidRPr="003C4F3A">
        <w:rPr>
          <w:rFonts w:cs="Calibri"/>
          <w:sz w:val="24"/>
          <w:szCs w:val="24"/>
        </w:rPr>
        <w:t>Assess current medications; and</w:t>
      </w:r>
    </w:p>
    <w:p w:rsidR="00704515" w:rsidRPr="003C4F3A" w:rsidRDefault="00704515" w:rsidP="00921444">
      <w:pPr>
        <w:pStyle w:val="ListParagraph"/>
        <w:numPr>
          <w:ilvl w:val="0"/>
          <w:numId w:val="21"/>
        </w:numPr>
        <w:spacing w:after="0" w:line="240" w:lineRule="auto"/>
        <w:jc w:val="both"/>
        <w:rPr>
          <w:rFonts w:cs="Calibri"/>
          <w:sz w:val="24"/>
          <w:szCs w:val="24"/>
        </w:rPr>
      </w:pPr>
      <w:r w:rsidRPr="003C4F3A">
        <w:rPr>
          <w:rFonts w:cs="Calibri"/>
          <w:sz w:val="24"/>
          <w:szCs w:val="24"/>
        </w:rPr>
        <w:t xml:space="preserve">Make station assignments to maximize workflow. </w:t>
      </w:r>
    </w:p>
    <w:p w:rsidR="00704515" w:rsidRPr="003C4F3A" w:rsidRDefault="00704515" w:rsidP="00921444">
      <w:pPr>
        <w:spacing w:after="0" w:line="240" w:lineRule="auto"/>
        <w:jc w:val="both"/>
        <w:rPr>
          <w:rFonts w:cs="Calibri"/>
          <w:b/>
          <w:i/>
          <w:sz w:val="24"/>
          <w:szCs w:val="24"/>
        </w:rPr>
      </w:pPr>
    </w:p>
    <w:p w:rsidR="00704515" w:rsidRPr="003C4F3A" w:rsidRDefault="00704515" w:rsidP="00921444">
      <w:pPr>
        <w:spacing w:after="0" w:line="240" w:lineRule="auto"/>
        <w:jc w:val="both"/>
        <w:rPr>
          <w:rFonts w:cs="Calibri"/>
          <w:bCs/>
          <w:sz w:val="24"/>
          <w:szCs w:val="24"/>
        </w:rPr>
      </w:pPr>
      <w:r w:rsidRPr="003C4F3A">
        <w:rPr>
          <w:rFonts w:cs="Calibri"/>
          <w:b/>
          <w:i/>
          <w:sz w:val="24"/>
          <w:szCs w:val="24"/>
        </w:rPr>
        <w:t>Informed consent and enrollment:</w:t>
      </w:r>
      <w:r w:rsidRPr="003C4F3A">
        <w:rPr>
          <w:rFonts w:cs="Calibri"/>
          <w:sz w:val="24"/>
          <w:szCs w:val="24"/>
        </w:rPr>
        <w:t xml:space="preserve"> </w:t>
      </w:r>
      <w:r w:rsidRPr="003C4F3A">
        <w:rPr>
          <w:rFonts w:cs="Calibri"/>
          <w:bCs/>
          <w:sz w:val="24"/>
          <w:szCs w:val="24"/>
        </w:rPr>
        <w:t>Before any data collection can begin</w:t>
      </w:r>
      <w:r w:rsidRPr="003C4F3A">
        <w:rPr>
          <w:rFonts w:cs="Calibri"/>
          <w:sz w:val="24"/>
          <w:szCs w:val="24"/>
        </w:rPr>
        <w:t>, trained study staff will review the hardcopy Infor</w:t>
      </w:r>
      <w:r w:rsidR="009021CE">
        <w:rPr>
          <w:rFonts w:cs="Calibri"/>
          <w:sz w:val="24"/>
          <w:szCs w:val="24"/>
        </w:rPr>
        <w:t>med Consent Form (</w:t>
      </w:r>
      <w:r w:rsidR="00727B65" w:rsidRPr="003C4F3A">
        <w:rPr>
          <w:rFonts w:cs="Calibri"/>
          <w:sz w:val="24"/>
          <w:szCs w:val="24"/>
        </w:rPr>
        <w:t>Attachment 3.8</w:t>
      </w:r>
      <w:r w:rsidR="009021CE">
        <w:rPr>
          <w:rFonts w:cs="Calibri"/>
          <w:sz w:val="24"/>
          <w:szCs w:val="24"/>
        </w:rPr>
        <w:t>)</w:t>
      </w:r>
      <w:r w:rsidRPr="003C4F3A">
        <w:rPr>
          <w:rFonts w:cs="Calibri"/>
          <w:sz w:val="24"/>
          <w:szCs w:val="24"/>
        </w:rPr>
        <w:t xml:space="preserve"> with the interested recruit to explain the purpose of the study and to obtain written informed consent for both the survey </w:t>
      </w:r>
      <w:r w:rsidRPr="003C4F3A">
        <w:rPr>
          <w:rFonts w:cs="Calibri"/>
          <w:sz w:val="24"/>
          <w:szCs w:val="24"/>
        </w:rPr>
        <w:lastRenderedPageBreak/>
        <w:t>and the collection of blood specimens. The informed consent includes a description of</w:t>
      </w:r>
      <w:r w:rsidRPr="003C4F3A">
        <w:rPr>
          <w:rFonts w:cs="Calibri"/>
          <w:bCs/>
          <w:sz w:val="24"/>
          <w:szCs w:val="24"/>
        </w:rPr>
        <w:t xml:space="preserve"> study procedures and risks </w:t>
      </w:r>
      <w:r w:rsidR="00431B57">
        <w:rPr>
          <w:rFonts w:cs="Calibri"/>
          <w:bCs/>
          <w:sz w:val="24"/>
          <w:szCs w:val="24"/>
        </w:rPr>
        <w:t xml:space="preserve">and benefits of participation. </w:t>
      </w:r>
      <w:r w:rsidRPr="003C4F3A">
        <w:rPr>
          <w:rFonts w:cs="Calibri"/>
          <w:sz w:val="24"/>
          <w:szCs w:val="24"/>
        </w:rPr>
        <w:t xml:space="preserve">A study factsheet will inform </w:t>
      </w:r>
      <w:r w:rsidR="00711C4D">
        <w:rPr>
          <w:rFonts w:cs="Calibri"/>
          <w:sz w:val="24"/>
          <w:szCs w:val="24"/>
        </w:rPr>
        <w:t>respondent</w:t>
      </w:r>
      <w:r w:rsidRPr="003C4F3A">
        <w:rPr>
          <w:rFonts w:cs="Calibri"/>
          <w:sz w:val="24"/>
          <w:szCs w:val="24"/>
        </w:rPr>
        <w:t>s of the chemical tests and clinical o</w:t>
      </w:r>
      <w:r w:rsidR="009021CE">
        <w:rPr>
          <w:rFonts w:cs="Calibri"/>
          <w:sz w:val="24"/>
          <w:szCs w:val="24"/>
        </w:rPr>
        <w:t>utcomes to be measured (</w:t>
      </w:r>
      <w:r w:rsidR="00727B65" w:rsidRPr="003C4F3A">
        <w:rPr>
          <w:rFonts w:cs="Calibri"/>
          <w:sz w:val="24"/>
          <w:szCs w:val="24"/>
        </w:rPr>
        <w:t>Attachment 3.2</w:t>
      </w:r>
      <w:r w:rsidR="009021CE">
        <w:rPr>
          <w:rFonts w:cs="Calibri"/>
          <w:sz w:val="24"/>
          <w:szCs w:val="24"/>
        </w:rPr>
        <w:t xml:space="preserve"> – Study Factsheet)</w:t>
      </w:r>
      <w:r w:rsidRPr="003C4F3A">
        <w:rPr>
          <w:rFonts w:cs="Calibri"/>
          <w:sz w:val="24"/>
          <w:szCs w:val="24"/>
        </w:rPr>
        <w:t>.</w:t>
      </w:r>
      <w:r w:rsidRPr="003C4F3A">
        <w:rPr>
          <w:rFonts w:cs="Calibri"/>
          <w:bCs/>
          <w:sz w:val="24"/>
          <w:szCs w:val="24"/>
        </w:rPr>
        <w:t xml:space="preserve"> Emphasis will be placed on the voluntary nature of participation. </w:t>
      </w:r>
      <w:r w:rsidRPr="003C4F3A">
        <w:rPr>
          <w:rFonts w:cs="Calibri"/>
          <w:sz w:val="24"/>
          <w:szCs w:val="24"/>
        </w:rPr>
        <w:t xml:space="preserve">The </w:t>
      </w:r>
      <w:r w:rsidRPr="003C4F3A">
        <w:rPr>
          <w:rFonts w:cs="Calibri"/>
          <w:bCs/>
          <w:sz w:val="24"/>
          <w:szCs w:val="24"/>
        </w:rPr>
        <w:t>interviewer will answer any questions the interested recruit has prior to obtaining signatures.</w:t>
      </w:r>
    </w:p>
    <w:p w:rsidR="00704515" w:rsidRPr="003C4F3A" w:rsidRDefault="00704515" w:rsidP="00921444">
      <w:pPr>
        <w:tabs>
          <w:tab w:val="left" w:pos="270"/>
        </w:tabs>
        <w:autoSpaceDE w:val="0"/>
        <w:autoSpaceDN w:val="0"/>
        <w:adjustRightInd w:val="0"/>
        <w:spacing w:after="0" w:line="240" w:lineRule="auto"/>
        <w:jc w:val="both"/>
        <w:rPr>
          <w:rFonts w:cs="Calibri"/>
          <w:bCs/>
          <w:sz w:val="24"/>
          <w:szCs w:val="24"/>
        </w:rPr>
      </w:pPr>
    </w:p>
    <w:p w:rsidR="00704515" w:rsidRPr="003C4F3A" w:rsidRDefault="00704515" w:rsidP="00921444">
      <w:pPr>
        <w:tabs>
          <w:tab w:val="left" w:pos="270"/>
        </w:tabs>
        <w:autoSpaceDE w:val="0"/>
        <w:autoSpaceDN w:val="0"/>
        <w:adjustRightInd w:val="0"/>
        <w:spacing w:after="0" w:line="240" w:lineRule="auto"/>
        <w:jc w:val="both"/>
        <w:rPr>
          <w:rFonts w:cs="Calibri"/>
          <w:bCs/>
          <w:sz w:val="24"/>
          <w:szCs w:val="24"/>
        </w:rPr>
      </w:pPr>
      <w:r w:rsidRPr="003C4F3A">
        <w:rPr>
          <w:rFonts w:cs="Calibri"/>
          <w:bCs/>
          <w:sz w:val="24"/>
          <w:szCs w:val="24"/>
        </w:rPr>
        <w:t>The risks of participation in this study are minimal (defined in 45 CFR 46.110). This study plans for a one-time 125-ml volume of fasting blood to be collected</w:t>
      </w:r>
      <w:r w:rsidRPr="003C4F3A">
        <w:rPr>
          <w:rFonts w:cs="Calibri"/>
          <w:sz w:val="24"/>
          <w:szCs w:val="24"/>
        </w:rPr>
        <w:t xml:space="preserve">. This volume is less than 25 percent of the amount of blood that the Red Cross collects during a routine donation (about 450 ml -– average adult male has 5.7 liters, average adult female has 4.3 liters of blood). </w:t>
      </w:r>
      <w:r w:rsidRPr="003C4F3A">
        <w:rPr>
          <w:rFonts w:cs="Calibri"/>
          <w:color w:val="000000"/>
          <w:sz w:val="24"/>
          <w:szCs w:val="24"/>
        </w:rPr>
        <w:t>The body manufactures blood continuously and replaces this volume of blood within 24 hours (CDC, 2005).</w:t>
      </w:r>
      <w:r w:rsidRPr="003C4F3A">
        <w:rPr>
          <w:rFonts w:cs="Calibri"/>
          <w:sz w:val="24"/>
          <w:szCs w:val="24"/>
        </w:rPr>
        <w:t xml:space="preserve"> </w:t>
      </w:r>
      <w:r w:rsidR="009249BB">
        <w:rPr>
          <w:rFonts w:cs="Calibri"/>
          <w:sz w:val="24"/>
          <w:szCs w:val="24"/>
        </w:rPr>
        <w:t>To assure minimal risks</w:t>
      </w:r>
      <w:r w:rsidR="00431B57">
        <w:rPr>
          <w:rFonts w:cs="Calibri"/>
          <w:sz w:val="24"/>
          <w:szCs w:val="24"/>
        </w:rPr>
        <w:t xml:space="preserve">, pregnant women </w:t>
      </w:r>
      <w:r w:rsidR="004B0345">
        <w:rPr>
          <w:rFonts w:cs="Calibri"/>
          <w:sz w:val="24"/>
          <w:szCs w:val="24"/>
        </w:rPr>
        <w:t xml:space="preserve">and persons who are sentenced or under house arrest </w:t>
      </w:r>
      <w:r w:rsidR="00431B57">
        <w:rPr>
          <w:rFonts w:cs="Calibri"/>
          <w:sz w:val="24"/>
          <w:szCs w:val="24"/>
        </w:rPr>
        <w:t>will be excluded from the study</w:t>
      </w:r>
      <w:r w:rsidR="007458BD" w:rsidRPr="003C4F3A">
        <w:rPr>
          <w:rFonts w:cs="Calibri"/>
          <w:sz w:val="24"/>
          <w:szCs w:val="24"/>
        </w:rPr>
        <w:t xml:space="preserve">. </w:t>
      </w:r>
      <w:r w:rsidRPr="003C4F3A">
        <w:rPr>
          <w:rFonts w:cs="Calibri"/>
          <w:bCs/>
          <w:sz w:val="24"/>
          <w:szCs w:val="24"/>
        </w:rPr>
        <w:t xml:space="preserve">The risk of discomfort, infection or hematoma will be minimized by using trained nurses or phlebotomists. </w:t>
      </w:r>
      <w:r w:rsidR="009249BB">
        <w:rPr>
          <w:rFonts w:cs="Calibri"/>
          <w:bCs/>
          <w:sz w:val="24"/>
          <w:szCs w:val="24"/>
        </w:rPr>
        <w:t xml:space="preserve">Diabetics who are prescribed medications or insulin for control of their blood sugars will be given special instructions for their blood draw. They will </w:t>
      </w:r>
      <w:r w:rsidR="00070E1D">
        <w:rPr>
          <w:rFonts w:cs="Calibri"/>
          <w:bCs/>
          <w:sz w:val="24"/>
          <w:szCs w:val="24"/>
        </w:rPr>
        <w:t xml:space="preserve">be </w:t>
      </w:r>
      <w:r w:rsidR="009249BB">
        <w:rPr>
          <w:rFonts w:cs="Calibri"/>
          <w:bCs/>
          <w:sz w:val="24"/>
          <w:szCs w:val="24"/>
        </w:rPr>
        <w:t>advised to continue their meal and medication plan as presc</w:t>
      </w:r>
      <w:r w:rsidR="0065106A">
        <w:rPr>
          <w:rFonts w:cs="Calibri"/>
          <w:bCs/>
          <w:sz w:val="24"/>
          <w:szCs w:val="24"/>
        </w:rPr>
        <w:t>ribed. As fasting blood draws are preferred, t</w:t>
      </w:r>
      <w:r w:rsidR="009249BB">
        <w:rPr>
          <w:rFonts w:cs="Calibri"/>
          <w:bCs/>
          <w:sz w:val="24"/>
          <w:szCs w:val="24"/>
        </w:rPr>
        <w:t>rained study staff will offered appointments as early as possible</w:t>
      </w:r>
      <w:r w:rsidR="0065106A">
        <w:rPr>
          <w:rFonts w:cs="Calibri"/>
          <w:bCs/>
          <w:sz w:val="24"/>
          <w:szCs w:val="24"/>
        </w:rPr>
        <w:t xml:space="preserve">. </w:t>
      </w:r>
      <w:r w:rsidR="00E2666D">
        <w:rPr>
          <w:rFonts w:cs="Calibri"/>
          <w:bCs/>
          <w:sz w:val="24"/>
          <w:szCs w:val="24"/>
        </w:rPr>
        <w:t xml:space="preserve">If the diabetic </w:t>
      </w:r>
      <w:r w:rsidR="00711C4D">
        <w:rPr>
          <w:rFonts w:cs="Calibri"/>
          <w:bCs/>
          <w:sz w:val="24"/>
          <w:szCs w:val="24"/>
        </w:rPr>
        <w:t>respondent</w:t>
      </w:r>
      <w:r w:rsidR="00E2666D">
        <w:rPr>
          <w:rFonts w:cs="Calibri"/>
          <w:bCs/>
          <w:sz w:val="24"/>
          <w:szCs w:val="24"/>
        </w:rPr>
        <w:t xml:space="preserve"> is unable to fast prior to the blood draw, they will be requested to select meals that are fat-free or low-fat, if possible. </w:t>
      </w:r>
      <w:r w:rsidRPr="003C4F3A">
        <w:rPr>
          <w:rFonts w:cs="Calibri"/>
          <w:bCs/>
          <w:sz w:val="24"/>
          <w:szCs w:val="24"/>
        </w:rPr>
        <w:t xml:space="preserve">After the blood draw, the </w:t>
      </w:r>
      <w:r w:rsidR="00711C4D">
        <w:rPr>
          <w:rFonts w:cs="Calibri"/>
          <w:bCs/>
          <w:sz w:val="24"/>
          <w:szCs w:val="24"/>
        </w:rPr>
        <w:t>respondent</w:t>
      </w:r>
      <w:r w:rsidRPr="003C4F3A">
        <w:rPr>
          <w:rFonts w:cs="Calibri"/>
          <w:bCs/>
          <w:sz w:val="24"/>
          <w:szCs w:val="24"/>
        </w:rPr>
        <w:t xml:space="preserve"> will be offered a small snack, thereby allowing monitoring of acute events due to phlebotomy. </w:t>
      </w:r>
    </w:p>
    <w:p w:rsidR="00704515" w:rsidRPr="003C4F3A" w:rsidRDefault="00704515" w:rsidP="00921444">
      <w:pPr>
        <w:tabs>
          <w:tab w:val="left" w:pos="270"/>
        </w:tabs>
        <w:autoSpaceDE w:val="0"/>
        <w:autoSpaceDN w:val="0"/>
        <w:adjustRightInd w:val="0"/>
        <w:spacing w:after="0" w:line="240" w:lineRule="auto"/>
        <w:jc w:val="both"/>
        <w:rPr>
          <w:rFonts w:cs="Calibri"/>
          <w:bCs/>
          <w:sz w:val="24"/>
          <w:szCs w:val="24"/>
        </w:rPr>
      </w:pPr>
    </w:p>
    <w:p w:rsidR="00704515" w:rsidRPr="003C4F3A" w:rsidRDefault="00704515" w:rsidP="00921444">
      <w:pPr>
        <w:spacing w:after="0" w:line="240" w:lineRule="auto"/>
        <w:jc w:val="both"/>
        <w:rPr>
          <w:rFonts w:cs="Calibri"/>
          <w:bCs/>
          <w:sz w:val="24"/>
          <w:szCs w:val="24"/>
        </w:rPr>
      </w:pPr>
      <w:r w:rsidRPr="003C4F3A">
        <w:rPr>
          <w:rFonts w:cs="Calibri"/>
          <w:bCs/>
          <w:sz w:val="24"/>
          <w:szCs w:val="24"/>
        </w:rPr>
        <w:t>The main benefit from participating in this study will be to help the Anniston community and scientific researchers to better understand how chemical exposures might be related to human health. T</w:t>
      </w:r>
      <w:r w:rsidRPr="003C4F3A">
        <w:rPr>
          <w:rFonts w:cs="Calibri"/>
          <w:sz w:val="24"/>
          <w:szCs w:val="24"/>
        </w:rPr>
        <w:t xml:space="preserve">he schedule and budgeting for analytical testing will take place at multiple laboratories over multiple years; therefore, there will be limited personal benefit from receiving test results such as lead, cadmium, mercury, fasting glucose, lipid profiles, thyroid hormones, and immune titers because of the length of time for analysis to be completed. </w:t>
      </w:r>
    </w:p>
    <w:p w:rsidR="00704515" w:rsidRPr="003C4F3A" w:rsidRDefault="00704515" w:rsidP="00921444">
      <w:pPr>
        <w:spacing w:after="0" w:line="240" w:lineRule="auto"/>
        <w:jc w:val="both"/>
        <w:rPr>
          <w:rFonts w:cs="Calibri"/>
          <w:b/>
          <w:bCs/>
          <w:i/>
          <w:sz w:val="24"/>
          <w:szCs w:val="24"/>
        </w:rPr>
      </w:pPr>
    </w:p>
    <w:p w:rsidR="00704515" w:rsidRPr="003C4F3A" w:rsidRDefault="00704515" w:rsidP="00921444">
      <w:pPr>
        <w:spacing w:after="0" w:line="240" w:lineRule="auto"/>
        <w:jc w:val="both"/>
        <w:rPr>
          <w:rFonts w:cs="Calibri"/>
          <w:b/>
          <w:i/>
          <w:sz w:val="24"/>
          <w:szCs w:val="24"/>
        </w:rPr>
      </w:pPr>
      <w:r w:rsidRPr="003C4F3A">
        <w:rPr>
          <w:rFonts w:cs="Calibri"/>
          <w:b/>
          <w:bCs/>
          <w:i/>
          <w:sz w:val="24"/>
          <w:szCs w:val="24"/>
        </w:rPr>
        <w:t xml:space="preserve">Contact information update: </w:t>
      </w:r>
      <w:r w:rsidRPr="003C4F3A">
        <w:rPr>
          <w:rFonts w:cs="Calibri"/>
          <w:bCs/>
          <w:sz w:val="24"/>
          <w:szCs w:val="24"/>
        </w:rPr>
        <w:t>After written informed consent is obtained, the recruit will become an enrolled ACHS</w:t>
      </w:r>
      <w:r w:rsidR="00296078">
        <w:rPr>
          <w:rFonts w:cs="Calibri"/>
          <w:bCs/>
          <w:sz w:val="24"/>
          <w:szCs w:val="24"/>
        </w:rPr>
        <w:t>-</w:t>
      </w:r>
      <w:r w:rsidRPr="003C4F3A">
        <w:rPr>
          <w:rFonts w:cs="Calibri"/>
          <w:bCs/>
          <w:sz w:val="24"/>
          <w:szCs w:val="24"/>
        </w:rPr>
        <w:t xml:space="preserve">II </w:t>
      </w:r>
      <w:r w:rsidR="00711C4D">
        <w:rPr>
          <w:rFonts w:cs="Calibri"/>
          <w:bCs/>
          <w:sz w:val="24"/>
          <w:szCs w:val="24"/>
        </w:rPr>
        <w:t>respondent</w:t>
      </w:r>
      <w:r w:rsidRPr="003C4F3A">
        <w:rPr>
          <w:rFonts w:cs="Calibri"/>
          <w:bCs/>
          <w:sz w:val="24"/>
          <w:szCs w:val="24"/>
        </w:rPr>
        <w:t xml:space="preserve">. Each enrolled </w:t>
      </w:r>
      <w:r w:rsidR="00711C4D">
        <w:rPr>
          <w:rFonts w:cs="Calibri"/>
          <w:bCs/>
          <w:sz w:val="24"/>
          <w:szCs w:val="24"/>
        </w:rPr>
        <w:t>respondent</w:t>
      </w:r>
      <w:r w:rsidRPr="003C4F3A">
        <w:rPr>
          <w:rFonts w:cs="Calibri"/>
          <w:bCs/>
          <w:sz w:val="24"/>
          <w:szCs w:val="24"/>
        </w:rPr>
        <w:t xml:space="preserve"> will be asked to verify and update his or her current contact information f</w:t>
      </w:r>
      <w:r w:rsidR="00DD5110">
        <w:rPr>
          <w:rFonts w:cs="Calibri"/>
          <w:bCs/>
          <w:sz w:val="24"/>
          <w:szCs w:val="24"/>
        </w:rPr>
        <w:t>or results reporting in a CAPI (</w:t>
      </w:r>
      <w:r w:rsidRPr="003C4F3A">
        <w:rPr>
          <w:rFonts w:cs="Calibri"/>
          <w:bCs/>
          <w:sz w:val="24"/>
          <w:szCs w:val="24"/>
        </w:rPr>
        <w:t>A</w:t>
      </w:r>
      <w:r w:rsidR="00727B65" w:rsidRPr="003C4F3A">
        <w:rPr>
          <w:rFonts w:cs="Calibri"/>
          <w:bCs/>
          <w:sz w:val="24"/>
          <w:szCs w:val="24"/>
        </w:rPr>
        <w:t>ttachment</w:t>
      </w:r>
      <w:r w:rsidRPr="003C4F3A">
        <w:rPr>
          <w:rFonts w:cs="Calibri"/>
          <w:bCs/>
          <w:sz w:val="24"/>
          <w:szCs w:val="24"/>
        </w:rPr>
        <w:t xml:space="preserve"> </w:t>
      </w:r>
      <w:r w:rsidR="00727B65" w:rsidRPr="003C4F3A">
        <w:rPr>
          <w:rFonts w:cs="Calibri"/>
          <w:bCs/>
          <w:sz w:val="24"/>
          <w:szCs w:val="24"/>
        </w:rPr>
        <w:t>3.9</w:t>
      </w:r>
      <w:r w:rsidRPr="003C4F3A">
        <w:rPr>
          <w:rFonts w:cs="Calibri"/>
          <w:bCs/>
          <w:sz w:val="24"/>
          <w:szCs w:val="24"/>
        </w:rPr>
        <w:t xml:space="preserve"> – Update Contact I</w:t>
      </w:r>
      <w:r w:rsidR="00DD5110">
        <w:rPr>
          <w:rFonts w:cs="Calibri"/>
          <w:bCs/>
          <w:sz w:val="24"/>
          <w:szCs w:val="24"/>
        </w:rPr>
        <w:t>nformation Form)</w:t>
      </w:r>
      <w:r w:rsidRPr="003C4F3A">
        <w:rPr>
          <w:rFonts w:cs="Calibri"/>
          <w:bCs/>
          <w:sz w:val="24"/>
          <w:szCs w:val="24"/>
        </w:rPr>
        <w:t>.</w:t>
      </w:r>
    </w:p>
    <w:p w:rsidR="00704515" w:rsidRPr="003C4F3A" w:rsidRDefault="00704515" w:rsidP="00921444">
      <w:pPr>
        <w:autoSpaceDE w:val="0"/>
        <w:autoSpaceDN w:val="0"/>
        <w:adjustRightInd w:val="0"/>
        <w:spacing w:after="0" w:line="240" w:lineRule="auto"/>
        <w:jc w:val="both"/>
        <w:rPr>
          <w:rFonts w:cs="Calibri"/>
          <w:b/>
          <w:bCs/>
          <w:i/>
          <w:sz w:val="24"/>
          <w:szCs w:val="24"/>
        </w:rPr>
      </w:pPr>
    </w:p>
    <w:p w:rsidR="002C17BB" w:rsidRPr="003C4F3A" w:rsidRDefault="00704515" w:rsidP="00BD40B9">
      <w:pPr>
        <w:autoSpaceDE w:val="0"/>
        <w:autoSpaceDN w:val="0"/>
        <w:adjustRightInd w:val="0"/>
        <w:spacing w:after="0" w:line="240" w:lineRule="auto"/>
        <w:jc w:val="both"/>
        <w:rPr>
          <w:rFonts w:cs="Calibri"/>
          <w:bCs/>
          <w:sz w:val="24"/>
          <w:szCs w:val="24"/>
        </w:rPr>
      </w:pPr>
      <w:r w:rsidRPr="003C4F3A">
        <w:rPr>
          <w:rFonts w:cs="Calibri"/>
          <w:b/>
          <w:bCs/>
          <w:i/>
          <w:sz w:val="24"/>
          <w:szCs w:val="24"/>
        </w:rPr>
        <w:t xml:space="preserve">Current medication list: </w:t>
      </w:r>
      <w:r w:rsidRPr="003C4F3A">
        <w:rPr>
          <w:rFonts w:cs="Calibri"/>
          <w:bCs/>
          <w:sz w:val="24"/>
          <w:szCs w:val="24"/>
        </w:rPr>
        <w:t xml:space="preserve">Each </w:t>
      </w:r>
      <w:r w:rsidR="00711C4D">
        <w:rPr>
          <w:rFonts w:cs="Calibri"/>
          <w:bCs/>
          <w:sz w:val="24"/>
          <w:szCs w:val="24"/>
        </w:rPr>
        <w:t>respondent</w:t>
      </w:r>
      <w:r w:rsidRPr="003C4F3A">
        <w:rPr>
          <w:rFonts w:cs="Calibri"/>
          <w:bCs/>
          <w:sz w:val="24"/>
          <w:szCs w:val="24"/>
        </w:rPr>
        <w:t xml:space="preserve"> will be asked to bring in all of his or her current prescription medications in the zipped plastic bag previously mailed in the Appointment Packet. Trained study staff will review the containers </w:t>
      </w:r>
      <w:r w:rsidR="00BD40B9">
        <w:rPr>
          <w:rFonts w:cs="Calibri"/>
          <w:bCs/>
          <w:sz w:val="24"/>
          <w:szCs w:val="24"/>
        </w:rPr>
        <w:t>and</w:t>
      </w:r>
      <w:r w:rsidR="00BD40B9">
        <w:rPr>
          <w:rFonts w:asciiTheme="minorHAnsi" w:eastAsia="Times New Roman" w:hAnsiTheme="minorHAnsi" w:cstheme="minorHAnsi"/>
          <w:sz w:val="24"/>
          <w:szCs w:val="24"/>
        </w:rPr>
        <w:t xml:space="preserve"> record prescription medications, over-the-counter medications, supplements, vitamins, and herbal remedies </w:t>
      </w:r>
      <w:r w:rsidRPr="003C4F3A">
        <w:rPr>
          <w:rFonts w:cs="Calibri"/>
          <w:bCs/>
          <w:sz w:val="24"/>
          <w:szCs w:val="24"/>
        </w:rPr>
        <w:t xml:space="preserve">on </w:t>
      </w:r>
      <w:r w:rsidR="00DD5110">
        <w:rPr>
          <w:rFonts w:cs="Calibri"/>
          <w:bCs/>
          <w:sz w:val="24"/>
          <w:szCs w:val="24"/>
        </w:rPr>
        <w:t>the Medications List in a CAPI (</w:t>
      </w:r>
      <w:r w:rsidR="00727B65" w:rsidRPr="003C4F3A">
        <w:rPr>
          <w:rFonts w:cs="Calibri"/>
          <w:sz w:val="24"/>
          <w:szCs w:val="24"/>
        </w:rPr>
        <w:t>Attachment 3.10</w:t>
      </w:r>
      <w:r w:rsidR="00DD5110">
        <w:rPr>
          <w:rFonts w:cs="Calibri"/>
          <w:bCs/>
          <w:sz w:val="24"/>
          <w:szCs w:val="24"/>
        </w:rPr>
        <w:t>)</w:t>
      </w:r>
      <w:r w:rsidRPr="003C4F3A">
        <w:rPr>
          <w:rFonts w:cs="Calibri"/>
          <w:bCs/>
          <w:sz w:val="24"/>
          <w:szCs w:val="24"/>
        </w:rPr>
        <w:t xml:space="preserve">. This will help to validate </w:t>
      </w:r>
      <w:r w:rsidR="00711C4D">
        <w:rPr>
          <w:rFonts w:cs="Calibri"/>
          <w:bCs/>
          <w:sz w:val="24"/>
          <w:szCs w:val="24"/>
        </w:rPr>
        <w:t>respondent</w:t>
      </w:r>
      <w:r w:rsidRPr="003C4F3A">
        <w:rPr>
          <w:rFonts w:cs="Calibri"/>
          <w:bCs/>
          <w:sz w:val="24"/>
          <w:szCs w:val="24"/>
        </w:rPr>
        <w:t>s’ responses about their health condition(s).</w:t>
      </w:r>
      <w:r w:rsidR="00BD40B9">
        <w:rPr>
          <w:rFonts w:cs="Calibri"/>
          <w:bCs/>
          <w:sz w:val="24"/>
          <w:szCs w:val="24"/>
        </w:rPr>
        <w:t xml:space="preserve"> </w:t>
      </w:r>
      <w:r w:rsidR="00711C4D">
        <w:rPr>
          <w:rFonts w:asciiTheme="minorHAnsi" w:eastAsia="Times New Roman" w:hAnsiTheme="minorHAnsi" w:cstheme="minorHAnsi"/>
          <w:sz w:val="24"/>
          <w:szCs w:val="24"/>
        </w:rPr>
        <w:t>Respondent</w:t>
      </w:r>
      <w:r w:rsidR="002C17BB" w:rsidRPr="005256F7">
        <w:rPr>
          <w:rFonts w:asciiTheme="minorHAnsi" w:eastAsia="Times New Roman" w:hAnsiTheme="minorHAnsi" w:cstheme="minorHAnsi"/>
          <w:sz w:val="24"/>
          <w:szCs w:val="24"/>
        </w:rPr>
        <w:t>s will be reminded</w:t>
      </w:r>
      <w:r w:rsidR="002C17BB">
        <w:rPr>
          <w:rFonts w:asciiTheme="minorHAnsi" w:eastAsia="Times New Roman" w:hAnsiTheme="minorHAnsi" w:cstheme="minorHAnsi"/>
          <w:sz w:val="24"/>
          <w:szCs w:val="24"/>
        </w:rPr>
        <w:t xml:space="preserve"> to gather all their usual medications for the past two weeks for the appointment (Attachment 3.6). </w:t>
      </w:r>
    </w:p>
    <w:p w:rsidR="00704515" w:rsidRPr="003C4F3A" w:rsidRDefault="00704515" w:rsidP="00921444">
      <w:pPr>
        <w:autoSpaceDE w:val="0"/>
        <w:autoSpaceDN w:val="0"/>
        <w:adjustRightInd w:val="0"/>
        <w:spacing w:after="0" w:line="240" w:lineRule="auto"/>
        <w:jc w:val="both"/>
        <w:rPr>
          <w:rFonts w:cs="Calibri"/>
          <w:b/>
          <w:bCs/>
          <w:i/>
          <w:sz w:val="24"/>
          <w:szCs w:val="24"/>
        </w:rPr>
      </w:pPr>
    </w:p>
    <w:p w:rsidR="00704515" w:rsidRDefault="00704515" w:rsidP="00921444">
      <w:pPr>
        <w:autoSpaceDE w:val="0"/>
        <w:autoSpaceDN w:val="0"/>
        <w:adjustRightInd w:val="0"/>
        <w:spacing w:after="0" w:line="240" w:lineRule="auto"/>
        <w:jc w:val="both"/>
        <w:rPr>
          <w:rFonts w:cs="Calibri"/>
          <w:bCs/>
          <w:sz w:val="24"/>
          <w:szCs w:val="24"/>
        </w:rPr>
      </w:pPr>
      <w:r w:rsidRPr="003C4F3A">
        <w:rPr>
          <w:rFonts w:cs="Calibri"/>
          <w:b/>
          <w:bCs/>
          <w:i/>
          <w:sz w:val="24"/>
          <w:szCs w:val="24"/>
        </w:rPr>
        <w:lastRenderedPageBreak/>
        <w:t>Station assignments:</w:t>
      </w:r>
      <w:r w:rsidRPr="003C4F3A">
        <w:rPr>
          <w:rFonts w:cs="Calibri"/>
          <w:bCs/>
          <w:sz w:val="24"/>
          <w:szCs w:val="24"/>
        </w:rPr>
        <w:t xml:space="preserve"> Study staff will instruct the </w:t>
      </w:r>
      <w:r w:rsidR="00711C4D">
        <w:rPr>
          <w:rFonts w:cs="Calibri"/>
          <w:bCs/>
          <w:sz w:val="24"/>
          <w:szCs w:val="24"/>
        </w:rPr>
        <w:t>respondent</w:t>
      </w:r>
      <w:r w:rsidRPr="003C4F3A">
        <w:rPr>
          <w:rFonts w:cs="Calibri"/>
          <w:bCs/>
          <w:sz w:val="24"/>
          <w:szCs w:val="24"/>
        </w:rPr>
        <w:t xml:space="preserve"> to carry a hardcopy form from station to station to document d</w:t>
      </w:r>
      <w:r w:rsidR="00DD5110">
        <w:rPr>
          <w:rFonts w:cs="Calibri"/>
          <w:bCs/>
          <w:sz w:val="24"/>
          <w:szCs w:val="24"/>
        </w:rPr>
        <w:t>ata collection progress (</w:t>
      </w:r>
      <w:r w:rsidR="007976FE" w:rsidRPr="003C4F3A">
        <w:rPr>
          <w:rFonts w:cs="Calibri"/>
          <w:sz w:val="24"/>
          <w:szCs w:val="24"/>
        </w:rPr>
        <w:t>Attachment 3.14</w:t>
      </w:r>
      <w:r w:rsidR="00DD5110">
        <w:rPr>
          <w:rFonts w:cs="Calibri"/>
          <w:bCs/>
          <w:sz w:val="24"/>
          <w:szCs w:val="24"/>
        </w:rPr>
        <w:t xml:space="preserve"> - Appointment Tracking Form)</w:t>
      </w:r>
      <w:r w:rsidRPr="003C4F3A">
        <w:rPr>
          <w:rFonts w:cs="Calibri"/>
          <w:bCs/>
          <w:sz w:val="24"/>
          <w:szCs w:val="24"/>
        </w:rPr>
        <w:t>. Assigned study staff will record responses, measurements, and disposition codes at each station until the interview and blood draw are completed. Station assignments include:</w:t>
      </w:r>
    </w:p>
    <w:p w:rsidR="0006108E" w:rsidRPr="003C4F3A" w:rsidRDefault="0006108E" w:rsidP="00921444">
      <w:pPr>
        <w:autoSpaceDE w:val="0"/>
        <w:autoSpaceDN w:val="0"/>
        <w:adjustRightInd w:val="0"/>
        <w:spacing w:after="0" w:line="240" w:lineRule="auto"/>
        <w:jc w:val="both"/>
        <w:rPr>
          <w:rFonts w:cs="Calibri"/>
          <w:bCs/>
          <w:sz w:val="24"/>
          <w:szCs w:val="24"/>
        </w:rPr>
      </w:pPr>
    </w:p>
    <w:p w:rsidR="00704515" w:rsidRPr="003C4F3A" w:rsidRDefault="00704515" w:rsidP="00921444">
      <w:pPr>
        <w:pStyle w:val="ListParagraph"/>
        <w:numPr>
          <w:ilvl w:val="0"/>
          <w:numId w:val="22"/>
        </w:numPr>
        <w:spacing w:after="0" w:line="240" w:lineRule="auto"/>
        <w:jc w:val="both"/>
        <w:rPr>
          <w:rFonts w:cs="Calibri"/>
          <w:sz w:val="24"/>
          <w:szCs w:val="24"/>
        </w:rPr>
      </w:pPr>
      <w:r w:rsidRPr="003C4F3A">
        <w:rPr>
          <w:rFonts w:cs="Calibri"/>
          <w:sz w:val="24"/>
          <w:szCs w:val="24"/>
        </w:rPr>
        <w:t>Body and clinical measurements</w:t>
      </w:r>
    </w:p>
    <w:p w:rsidR="00704515" w:rsidRPr="003C4F3A" w:rsidRDefault="00704515" w:rsidP="00921444">
      <w:pPr>
        <w:pStyle w:val="ListParagraph"/>
        <w:numPr>
          <w:ilvl w:val="0"/>
          <w:numId w:val="22"/>
        </w:numPr>
        <w:spacing w:after="0" w:line="240" w:lineRule="auto"/>
        <w:jc w:val="both"/>
        <w:rPr>
          <w:rFonts w:cs="Calibri"/>
          <w:sz w:val="24"/>
          <w:szCs w:val="24"/>
        </w:rPr>
      </w:pPr>
      <w:r w:rsidRPr="003C4F3A">
        <w:rPr>
          <w:rFonts w:cs="Calibri"/>
          <w:sz w:val="24"/>
          <w:szCs w:val="24"/>
        </w:rPr>
        <w:t>Fasting blood specimen collection</w:t>
      </w:r>
    </w:p>
    <w:p w:rsidR="00704515" w:rsidRPr="003C4F3A" w:rsidRDefault="00704515" w:rsidP="00921444">
      <w:pPr>
        <w:pStyle w:val="ListParagraph"/>
        <w:numPr>
          <w:ilvl w:val="0"/>
          <w:numId w:val="22"/>
        </w:numPr>
        <w:spacing w:after="0" w:line="240" w:lineRule="auto"/>
        <w:jc w:val="both"/>
        <w:rPr>
          <w:rFonts w:cs="Calibri"/>
          <w:sz w:val="24"/>
          <w:szCs w:val="24"/>
        </w:rPr>
      </w:pPr>
      <w:r w:rsidRPr="003C4F3A">
        <w:rPr>
          <w:rFonts w:cs="Calibri"/>
          <w:sz w:val="24"/>
          <w:szCs w:val="24"/>
        </w:rPr>
        <w:t>Questionnaire</w:t>
      </w:r>
    </w:p>
    <w:p w:rsidR="00704515" w:rsidRPr="003C4F3A" w:rsidRDefault="00704515" w:rsidP="00921444">
      <w:pPr>
        <w:spacing w:after="0" w:line="240" w:lineRule="auto"/>
        <w:jc w:val="both"/>
        <w:rPr>
          <w:rFonts w:cs="Calibri"/>
          <w:sz w:val="24"/>
          <w:szCs w:val="24"/>
        </w:rPr>
      </w:pPr>
    </w:p>
    <w:p w:rsidR="00704515" w:rsidRPr="003C4F3A" w:rsidRDefault="00704515" w:rsidP="00921444">
      <w:pPr>
        <w:spacing w:after="0" w:line="240" w:lineRule="auto"/>
        <w:jc w:val="both"/>
        <w:rPr>
          <w:rFonts w:cs="Calibri"/>
          <w:sz w:val="24"/>
          <w:szCs w:val="24"/>
        </w:rPr>
      </w:pPr>
      <w:r w:rsidRPr="003C4F3A">
        <w:rPr>
          <w:rFonts w:cs="Calibri"/>
          <w:sz w:val="24"/>
          <w:szCs w:val="24"/>
        </w:rPr>
        <w:t xml:space="preserve">The order of station assignments may be altered to minimize waiting time or to accommodate the fatigue or preference of the </w:t>
      </w:r>
      <w:r w:rsidR="00711C4D">
        <w:rPr>
          <w:rFonts w:cs="Calibri"/>
          <w:sz w:val="24"/>
          <w:szCs w:val="24"/>
        </w:rPr>
        <w:t>respondent</w:t>
      </w:r>
      <w:r w:rsidRPr="003C4F3A">
        <w:rPr>
          <w:rFonts w:cs="Calibri"/>
          <w:sz w:val="24"/>
          <w:szCs w:val="24"/>
        </w:rPr>
        <w:t>; however, if performed immediately together, resting blood pressure must be measured prior to venipuncture.</w:t>
      </w:r>
    </w:p>
    <w:p w:rsidR="00704515" w:rsidRPr="003C4F3A" w:rsidRDefault="00704515" w:rsidP="00921444">
      <w:pPr>
        <w:autoSpaceDE w:val="0"/>
        <w:autoSpaceDN w:val="0"/>
        <w:adjustRightInd w:val="0"/>
        <w:spacing w:after="0" w:line="240" w:lineRule="auto"/>
        <w:jc w:val="both"/>
        <w:rPr>
          <w:rFonts w:cs="Calibri"/>
          <w:b/>
          <w:i/>
          <w:sz w:val="24"/>
          <w:szCs w:val="24"/>
        </w:rPr>
      </w:pPr>
    </w:p>
    <w:p w:rsidR="00704515" w:rsidRPr="003C4F3A" w:rsidRDefault="00704515" w:rsidP="00921444">
      <w:pPr>
        <w:autoSpaceDE w:val="0"/>
        <w:autoSpaceDN w:val="0"/>
        <w:adjustRightInd w:val="0"/>
        <w:spacing w:after="0" w:line="240" w:lineRule="auto"/>
        <w:jc w:val="both"/>
        <w:rPr>
          <w:rFonts w:cs="Calibri"/>
          <w:sz w:val="24"/>
          <w:szCs w:val="24"/>
        </w:rPr>
      </w:pPr>
      <w:r w:rsidRPr="003C4F3A">
        <w:rPr>
          <w:rFonts w:cs="Calibri"/>
          <w:b/>
          <w:i/>
          <w:sz w:val="24"/>
          <w:szCs w:val="24"/>
        </w:rPr>
        <w:t xml:space="preserve">Body and clinical measurements: </w:t>
      </w:r>
      <w:r w:rsidRPr="003C4F3A">
        <w:rPr>
          <w:rFonts w:cs="Calibri"/>
          <w:sz w:val="24"/>
          <w:szCs w:val="24"/>
        </w:rPr>
        <w:t>Trained study staff will perform the body and clinical measurements</w:t>
      </w:r>
      <w:r w:rsidR="00402CD5">
        <w:rPr>
          <w:rFonts w:cs="Calibri"/>
          <w:sz w:val="24"/>
          <w:szCs w:val="24"/>
        </w:rPr>
        <w:t>.</w:t>
      </w:r>
      <w:r w:rsidRPr="003C4F3A">
        <w:rPr>
          <w:rFonts w:cs="Calibri"/>
          <w:sz w:val="24"/>
          <w:szCs w:val="24"/>
        </w:rPr>
        <w:t xml:space="preserve"> </w:t>
      </w:r>
      <w:r w:rsidR="00D734E6">
        <w:rPr>
          <w:rFonts w:asciiTheme="minorHAnsi" w:eastAsia="Times New Roman" w:hAnsiTheme="minorHAnsi" w:cstheme="minorHAnsi"/>
          <w:sz w:val="24"/>
          <w:szCs w:val="24"/>
        </w:rPr>
        <w:t>These include the</w:t>
      </w:r>
      <w:r w:rsidR="00CD11CA">
        <w:rPr>
          <w:rFonts w:asciiTheme="minorHAnsi" w:eastAsia="Times New Roman" w:hAnsiTheme="minorHAnsi" w:cstheme="minorHAnsi"/>
          <w:sz w:val="24"/>
          <w:szCs w:val="24"/>
        </w:rPr>
        <w:t xml:space="preserve"> </w:t>
      </w:r>
      <w:r w:rsidR="00711C4D">
        <w:rPr>
          <w:rFonts w:asciiTheme="minorHAnsi" w:eastAsia="Times New Roman" w:hAnsiTheme="minorHAnsi" w:cstheme="minorHAnsi"/>
          <w:sz w:val="24"/>
          <w:szCs w:val="24"/>
        </w:rPr>
        <w:t>respondent</w:t>
      </w:r>
      <w:r w:rsidR="00CD11CA">
        <w:rPr>
          <w:rFonts w:asciiTheme="minorHAnsi" w:eastAsia="Times New Roman" w:hAnsiTheme="minorHAnsi" w:cstheme="minorHAnsi"/>
          <w:sz w:val="24"/>
          <w:szCs w:val="24"/>
        </w:rPr>
        <w:t xml:space="preserve">’s height, weight, BMI (calculated), waist circumference (girth), hip circumference, and blood pressure (Attachment 3.11). </w:t>
      </w:r>
      <w:r w:rsidRPr="003C4F3A">
        <w:rPr>
          <w:rFonts w:cs="Calibri"/>
          <w:sz w:val="24"/>
          <w:szCs w:val="24"/>
        </w:rPr>
        <w:t xml:space="preserve">The measured </w:t>
      </w:r>
      <w:r w:rsidR="00F82B5F">
        <w:rPr>
          <w:rFonts w:cs="Calibri"/>
          <w:sz w:val="24"/>
          <w:szCs w:val="24"/>
        </w:rPr>
        <w:t>blood pressure</w:t>
      </w:r>
      <w:r w:rsidRPr="003C4F3A">
        <w:rPr>
          <w:rFonts w:cs="Calibri"/>
          <w:sz w:val="24"/>
          <w:szCs w:val="24"/>
        </w:rPr>
        <w:t xml:space="preserve"> level is subject to biological and obse</w:t>
      </w:r>
      <w:r w:rsidR="00431B57">
        <w:rPr>
          <w:rFonts w:cs="Calibri"/>
          <w:sz w:val="24"/>
          <w:szCs w:val="24"/>
        </w:rPr>
        <w:t xml:space="preserve">rver variability. </w:t>
      </w:r>
      <w:r w:rsidRPr="003C4F3A">
        <w:rPr>
          <w:rFonts w:cs="Calibri"/>
          <w:sz w:val="24"/>
          <w:szCs w:val="24"/>
        </w:rPr>
        <w:t>The purpose of a specific measurement protocol, or training and certifications of technicians and of ongoing quality control is to minimize variability due to known exogenous factors and to reduce imprecision and biases in measurement.</w:t>
      </w:r>
    </w:p>
    <w:p w:rsidR="00704515" w:rsidRPr="003C4F3A" w:rsidRDefault="00704515" w:rsidP="00921444">
      <w:pPr>
        <w:autoSpaceDE w:val="0"/>
        <w:autoSpaceDN w:val="0"/>
        <w:adjustRightInd w:val="0"/>
        <w:spacing w:after="0" w:line="240" w:lineRule="auto"/>
        <w:jc w:val="both"/>
        <w:rPr>
          <w:rFonts w:cs="Calibri"/>
          <w:sz w:val="24"/>
          <w:szCs w:val="24"/>
        </w:rPr>
      </w:pPr>
    </w:p>
    <w:p w:rsidR="002C17BB" w:rsidRPr="0072377A" w:rsidRDefault="00704515" w:rsidP="00921444">
      <w:pPr>
        <w:spacing w:after="0" w:line="240" w:lineRule="auto"/>
        <w:jc w:val="both"/>
        <w:rPr>
          <w:rFonts w:cs="Calibri"/>
          <w:sz w:val="24"/>
          <w:szCs w:val="24"/>
        </w:rPr>
      </w:pPr>
      <w:r w:rsidRPr="003C4F3A">
        <w:rPr>
          <w:rFonts w:cs="Calibri"/>
          <w:sz w:val="24"/>
          <w:szCs w:val="24"/>
        </w:rPr>
        <w:t xml:space="preserve">Resting blood pressure, height, weight, and waist circumference may be measured in any order, but </w:t>
      </w:r>
      <w:r w:rsidR="00B10FE1">
        <w:rPr>
          <w:rFonts w:cs="Calibri"/>
          <w:sz w:val="24"/>
          <w:szCs w:val="24"/>
        </w:rPr>
        <w:t>blood pressure</w:t>
      </w:r>
      <w:r w:rsidRPr="003C4F3A">
        <w:rPr>
          <w:rFonts w:cs="Calibri"/>
          <w:sz w:val="24"/>
          <w:szCs w:val="24"/>
        </w:rPr>
        <w:t xml:space="preserve"> should be obtained after the subject has been in the seated posit</w:t>
      </w:r>
      <w:r w:rsidR="00431B57">
        <w:rPr>
          <w:rFonts w:cs="Calibri"/>
          <w:sz w:val="24"/>
          <w:szCs w:val="24"/>
        </w:rPr>
        <w:t xml:space="preserve">ion for at least five minutes. </w:t>
      </w:r>
      <w:r w:rsidR="00B10FE1">
        <w:rPr>
          <w:rFonts w:cs="Calibri"/>
          <w:sz w:val="24"/>
          <w:szCs w:val="24"/>
        </w:rPr>
        <w:t>Blood pressure</w:t>
      </w:r>
      <w:r w:rsidRPr="003C4F3A">
        <w:rPr>
          <w:rFonts w:cs="Calibri"/>
          <w:sz w:val="24"/>
          <w:szCs w:val="24"/>
        </w:rPr>
        <w:t xml:space="preserve"> will be measured before venipuncture if the activities are scheduled consecutively. Trained study staff will record the measurements in the Body an</w:t>
      </w:r>
      <w:r w:rsidR="009021CE">
        <w:rPr>
          <w:rFonts w:cs="Calibri"/>
          <w:sz w:val="24"/>
          <w:szCs w:val="24"/>
        </w:rPr>
        <w:t>d Blood Pressure Measures Form (</w:t>
      </w:r>
      <w:r w:rsidR="007976FE" w:rsidRPr="003C4F3A">
        <w:rPr>
          <w:rFonts w:cs="Calibri"/>
          <w:sz w:val="24"/>
          <w:szCs w:val="24"/>
        </w:rPr>
        <w:t>Attachment 3.11</w:t>
      </w:r>
      <w:r w:rsidR="009021CE">
        <w:rPr>
          <w:rFonts w:cs="Calibri"/>
          <w:sz w:val="24"/>
          <w:szCs w:val="24"/>
        </w:rPr>
        <w:t>)</w:t>
      </w:r>
      <w:r w:rsidRPr="003C4F3A">
        <w:rPr>
          <w:rFonts w:cs="Calibri"/>
          <w:sz w:val="24"/>
          <w:szCs w:val="24"/>
        </w:rPr>
        <w:t xml:space="preserve"> in a CAPI.</w:t>
      </w:r>
      <w:r w:rsidR="00CD11CA">
        <w:rPr>
          <w:rFonts w:cs="Calibri"/>
          <w:sz w:val="24"/>
          <w:szCs w:val="24"/>
        </w:rPr>
        <w:t xml:space="preserve"> </w:t>
      </w:r>
      <w:r w:rsidR="002C17BB">
        <w:rPr>
          <w:rFonts w:asciiTheme="minorHAnsi" w:eastAsia="Times New Roman" w:hAnsiTheme="minorHAnsi" w:cstheme="minorHAnsi"/>
          <w:sz w:val="24"/>
          <w:szCs w:val="24"/>
        </w:rPr>
        <w:t xml:space="preserve">Referral decisions for abnormal blood pressure will be </w:t>
      </w:r>
      <w:r w:rsidR="002C17BB" w:rsidRPr="0072377A">
        <w:rPr>
          <w:rFonts w:asciiTheme="minorHAnsi" w:eastAsia="Times New Roman" w:hAnsiTheme="minorHAnsi" w:cstheme="minorHAnsi"/>
          <w:sz w:val="24"/>
          <w:szCs w:val="24"/>
        </w:rPr>
        <w:t>documented on this form.</w:t>
      </w:r>
    </w:p>
    <w:p w:rsidR="00704515" w:rsidRPr="0072377A" w:rsidRDefault="00704515" w:rsidP="00921444">
      <w:pPr>
        <w:pStyle w:val="Default"/>
        <w:jc w:val="both"/>
        <w:rPr>
          <w:rFonts w:ascii="Calibri" w:hAnsi="Calibri" w:cs="Calibri"/>
          <w:b/>
          <w:i/>
        </w:rPr>
      </w:pPr>
    </w:p>
    <w:p w:rsidR="0072576F" w:rsidRDefault="0072377A" w:rsidP="001B5616">
      <w:pPr>
        <w:spacing w:after="0" w:line="240" w:lineRule="auto"/>
        <w:jc w:val="both"/>
        <w:rPr>
          <w:rFonts w:asciiTheme="minorHAnsi" w:eastAsia="Times New Roman" w:hAnsiTheme="minorHAnsi" w:cstheme="minorHAnsi"/>
        </w:rPr>
      </w:pPr>
      <w:r>
        <w:rPr>
          <w:rFonts w:cs="Calibri"/>
          <w:b/>
          <w:i/>
          <w:sz w:val="24"/>
          <w:szCs w:val="24"/>
        </w:rPr>
        <w:t>B</w:t>
      </w:r>
      <w:r w:rsidR="00704515" w:rsidRPr="001B5616">
        <w:rPr>
          <w:rFonts w:cs="Calibri"/>
          <w:b/>
          <w:i/>
          <w:sz w:val="24"/>
          <w:szCs w:val="24"/>
        </w:rPr>
        <w:t>lood specimen collection:</w:t>
      </w:r>
      <w:r w:rsidR="00704515" w:rsidRPr="001B5616">
        <w:rPr>
          <w:rFonts w:cs="Calibri"/>
          <w:sz w:val="24"/>
          <w:szCs w:val="24"/>
        </w:rPr>
        <w:t xml:space="preserve"> </w:t>
      </w:r>
      <w:r w:rsidR="003C590E" w:rsidRPr="001B5616">
        <w:rPr>
          <w:rFonts w:asciiTheme="minorHAnsi" w:eastAsia="Times New Roman" w:hAnsiTheme="minorHAnsi" w:cstheme="minorHAnsi"/>
          <w:sz w:val="24"/>
          <w:szCs w:val="24"/>
        </w:rPr>
        <w:t xml:space="preserve">As a safety precaution, trained staff will quickly re-screen each </w:t>
      </w:r>
      <w:r w:rsidR="00711C4D">
        <w:rPr>
          <w:rFonts w:asciiTheme="minorHAnsi" w:eastAsia="Times New Roman" w:hAnsiTheme="minorHAnsi" w:cstheme="minorHAnsi"/>
          <w:sz w:val="24"/>
          <w:szCs w:val="24"/>
        </w:rPr>
        <w:t>respondent</w:t>
      </w:r>
      <w:r w:rsidR="003C590E" w:rsidRPr="001B5616">
        <w:rPr>
          <w:rFonts w:asciiTheme="minorHAnsi" w:eastAsia="Times New Roman" w:hAnsiTheme="minorHAnsi" w:cstheme="minorHAnsi"/>
          <w:sz w:val="24"/>
          <w:szCs w:val="24"/>
        </w:rPr>
        <w:t xml:space="preserve"> </w:t>
      </w:r>
      <w:r w:rsidR="001B54EA" w:rsidRPr="001B5616">
        <w:rPr>
          <w:rFonts w:asciiTheme="minorHAnsi" w:eastAsia="Times New Roman" w:hAnsiTheme="minorHAnsi" w:cstheme="minorHAnsi"/>
          <w:sz w:val="24"/>
          <w:szCs w:val="24"/>
        </w:rPr>
        <w:t xml:space="preserve">in a CAPI </w:t>
      </w:r>
      <w:r w:rsidR="003C590E" w:rsidRPr="001B5616">
        <w:rPr>
          <w:rFonts w:asciiTheme="minorHAnsi" w:eastAsia="Times New Roman" w:hAnsiTheme="minorHAnsi" w:cstheme="minorHAnsi"/>
          <w:sz w:val="24"/>
          <w:szCs w:val="24"/>
        </w:rPr>
        <w:t>for conditions that would</w:t>
      </w:r>
      <w:r w:rsidR="003C590E">
        <w:rPr>
          <w:rFonts w:asciiTheme="minorHAnsi" w:eastAsia="Times New Roman" w:hAnsiTheme="minorHAnsi" w:cstheme="minorHAnsi"/>
          <w:sz w:val="24"/>
          <w:szCs w:val="24"/>
        </w:rPr>
        <w:t xml:space="preserve"> prevent a </w:t>
      </w:r>
      <w:r w:rsidR="00711C4D">
        <w:rPr>
          <w:rFonts w:asciiTheme="minorHAnsi" w:eastAsia="Times New Roman" w:hAnsiTheme="minorHAnsi" w:cstheme="minorHAnsi"/>
          <w:sz w:val="24"/>
          <w:szCs w:val="24"/>
        </w:rPr>
        <w:t>respondent</w:t>
      </w:r>
      <w:r w:rsidR="003C590E">
        <w:rPr>
          <w:rFonts w:asciiTheme="minorHAnsi" w:eastAsia="Times New Roman" w:hAnsiTheme="minorHAnsi" w:cstheme="minorHAnsi"/>
          <w:sz w:val="24"/>
          <w:szCs w:val="24"/>
        </w:rPr>
        <w:t xml:space="preserve"> from safely giving blood: hemophilia, chemotherapy in the past four weeks, and skin or arm lesions/dis</w:t>
      </w:r>
      <w:r w:rsidR="001B54EA">
        <w:rPr>
          <w:rFonts w:asciiTheme="minorHAnsi" w:eastAsia="Times New Roman" w:hAnsiTheme="minorHAnsi" w:cstheme="minorHAnsi"/>
          <w:sz w:val="24"/>
          <w:szCs w:val="24"/>
        </w:rPr>
        <w:t>orders at the blood draw site (</w:t>
      </w:r>
      <w:r w:rsidR="003C590E">
        <w:rPr>
          <w:rFonts w:asciiTheme="minorHAnsi" w:eastAsia="Times New Roman" w:hAnsiTheme="minorHAnsi" w:cstheme="minorHAnsi"/>
          <w:sz w:val="24"/>
          <w:szCs w:val="24"/>
        </w:rPr>
        <w:t xml:space="preserve">Attachment 3.12). </w:t>
      </w:r>
      <w:r w:rsidR="00711C4D">
        <w:rPr>
          <w:rFonts w:asciiTheme="minorHAnsi" w:eastAsia="Times New Roman" w:hAnsiTheme="minorHAnsi" w:cstheme="minorHAnsi"/>
          <w:sz w:val="24"/>
          <w:szCs w:val="24"/>
        </w:rPr>
        <w:t>Respondent</w:t>
      </w:r>
      <w:r w:rsidR="003C590E">
        <w:rPr>
          <w:rFonts w:asciiTheme="minorHAnsi" w:eastAsia="Times New Roman" w:hAnsiTheme="minorHAnsi" w:cstheme="minorHAnsi"/>
          <w:sz w:val="24"/>
          <w:szCs w:val="24"/>
        </w:rPr>
        <w:t xml:space="preserve">s with those conditions will be allowed to take part in questionnaire and body measurements of the study. </w:t>
      </w:r>
    </w:p>
    <w:p w:rsidR="0072576F" w:rsidRDefault="0072576F" w:rsidP="001B5616">
      <w:pPr>
        <w:spacing w:after="0" w:line="240" w:lineRule="auto"/>
        <w:jc w:val="both"/>
        <w:rPr>
          <w:rFonts w:asciiTheme="minorHAnsi" w:eastAsia="Times New Roman" w:hAnsiTheme="minorHAnsi" w:cstheme="minorHAnsi"/>
        </w:rPr>
      </w:pPr>
    </w:p>
    <w:p w:rsidR="000E369D" w:rsidRDefault="003C590E" w:rsidP="001B5616">
      <w:pPr>
        <w:spacing w:after="0" w:line="240" w:lineRule="auto"/>
        <w:jc w:val="both"/>
        <w:rPr>
          <w:rFonts w:asciiTheme="minorHAnsi" w:eastAsia="Times New Roman" w:hAnsiTheme="minorHAnsi" w:cstheme="minorHAnsi"/>
        </w:rPr>
      </w:pPr>
      <w:r>
        <w:rPr>
          <w:rFonts w:asciiTheme="minorHAnsi" w:eastAsia="Times New Roman" w:hAnsiTheme="minorHAnsi" w:cstheme="minorHAnsi"/>
          <w:sz w:val="24"/>
          <w:szCs w:val="24"/>
        </w:rPr>
        <w:t>Before the blood draw, the staff will also re-asses</w:t>
      </w:r>
      <w:r w:rsidR="00D7578E">
        <w:rPr>
          <w:rFonts w:asciiTheme="minorHAnsi" w:eastAsia="Times New Roman" w:hAnsiTheme="minorHAnsi" w:cstheme="minorHAnsi"/>
          <w:sz w:val="24"/>
          <w:szCs w:val="24"/>
        </w:rPr>
        <w:t xml:space="preserve">s and record the </w:t>
      </w:r>
      <w:r>
        <w:rPr>
          <w:rFonts w:asciiTheme="minorHAnsi" w:eastAsia="Times New Roman" w:hAnsiTheme="minorHAnsi" w:cstheme="minorHAnsi"/>
          <w:sz w:val="24"/>
          <w:szCs w:val="24"/>
        </w:rPr>
        <w:t>current pregnancy</w:t>
      </w:r>
      <w:r w:rsidR="00D7578E">
        <w:rPr>
          <w:rFonts w:asciiTheme="minorHAnsi" w:eastAsia="Times New Roman" w:hAnsiTheme="minorHAnsi" w:cstheme="minorHAnsi"/>
          <w:sz w:val="24"/>
          <w:szCs w:val="24"/>
        </w:rPr>
        <w:t xml:space="preserve"> status for</w:t>
      </w:r>
      <w:r w:rsidR="00A53316">
        <w:rPr>
          <w:rFonts w:asciiTheme="minorHAnsi" w:eastAsia="Times New Roman" w:hAnsiTheme="minorHAnsi" w:cstheme="minorHAnsi"/>
          <w:sz w:val="24"/>
          <w:szCs w:val="24"/>
        </w:rPr>
        <w:t xml:space="preserve"> women</w:t>
      </w:r>
      <w:r w:rsidR="00D7578E">
        <w:rPr>
          <w:rFonts w:asciiTheme="minorHAnsi" w:eastAsia="Times New Roman" w:hAnsiTheme="minorHAnsi" w:cstheme="minorHAnsi"/>
          <w:sz w:val="24"/>
          <w:szCs w:val="24"/>
        </w:rPr>
        <w:t xml:space="preserve"> less than 60 years of age</w:t>
      </w:r>
      <w:r>
        <w:rPr>
          <w:rFonts w:asciiTheme="minorHAnsi" w:eastAsia="Times New Roman" w:hAnsiTheme="minorHAnsi" w:cstheme="minorHAnsi"/>
          <w:sz w:val="24"/>
          <w:szCs w:val="24"/>
        </w:rPr>
        <w:t>. Upon discovery, pregnant women will be excluded from the study.</w:t>
      </w:r>
      <w:r w:rsidR="000E369D">
        <w:rPr>
          <w:rFonts w:cs="Calibri"/>
        </w:rPr>
        <w:t xml:space="preserve"> </w:t>
      </w:r>
      <w:r w:rsidR="000E369D">
        <w:rPr>
          <w:rFonts w:asciiTheme="minorHAnsi" w:eastAsia="Times New Roman" w:hAnsiTheme="minorHAnsi" w:cstheme="minorHAnsi"/>
          <w:sz w:val="24"/>
          <w:szCs w:val="24"/>
        </w:rPr>
        <w:t xml:space="preserve">The use of diabetes medication or insulin, and fasting status will also be noted. </w:t>
      </w:r>
      <w:r w:rsidR="000E369D" w:rsidRPr="00B50DE3">
        <w:rPr>
          <w:rFonts w:cs="Calibri"/>
          <w:sz w:val="24"/>
          <w:szCs w:val="24"/>
        </w:rPr>
        <w:t xml:space="preserve">Fasting diabetic </w:t>
      </w:r>
      <w:r w:rsidR="00711C4D">
        <w:rPr>
          <w:rFonts w:cs="Calibri"/>
          <w:sz w:val="24"/>
          <w:szCs w:val="24"/>
        </w:rPr>
        <w:t>respondent</w:t>
      </w:r>
      <w:r w:rsidR="000E369D" w:rsidRPr="00B50DE3">
        <w:rPr>
          <w:rFonts w:cs="Calibri"/>
          <w:sz w:val="24"/>
          <w:szCs w:val="24"/>
        </w:rPr>
        <w:t xml:space="preserve">s who use insulin will be given priority appointments for their blood draw. </w:t>
      </w:r>
      <w:r w:rsidR="000E369D" w:rsidRPr="000E369D">
        <w:rPr>
          <w:rFonts w:asciiTheme="minorHAnsi" w:eastAsia="Times New Roman" w:hAnsiTheme="minorHAnsi" w:cstheme="minorHAnsi"/>
          <w:sz w:val="24"/>
          <w:szCs w:val="24"/>
        </w:rPr>
        <w:t xml:space="preserve">If the </w:t>
      </w:r>
      <w:r w:rsidR="00711C4D">
        <w:rPr>
          <w:rFonts w:asciiTheme="minorHAnsi" w:eastAsia="Times New Roman" w:hAnsiTheme="minorHAnsi" w:cstheme="minorHAnsi"/>
          <w:sz w:val="24"/>
          <w:szCs w:val="24"/>
        </w:rPr>
        <w:t>respondent</w:t>
      </w:r>
      <w:r w:rsidR="000E369D" w:rsidRPr="000E369D">
        <w:rPr>
          <w:rFonts w:asciiTheme="minorHAnsi" w:eastAsia="Times New Roman" w:hAnsiTheme="minorHAnsi" w:cstheme="minorHAnsi"/>
          <w:sz w:val="24"/>
          <w:szCs w:val="24"/>
        </w:rPr>
        <w:t xml:space="preserve"> is not fasting, the time of the last meal and items consumed will be noted. </w:t>
      </w:r>
    </w:p>
    <w:p w:rsidR="000E369D" w:rsidRDefault="000E369D" w:rsidP="001B5616">
      <w:pPr>
        <w:spacing w:after="0" w:line="240" w:lineRule="auto"/>
        <w:jc w:val="both"/>
        <w:rPr>
          <w:rFonts w:asciiTheme="minorHAnsi" w:eastAsia="Times New Roman" w:hAnsiTheme="minorHAnsi" w:cstheme="minorHAnsi"/>
        </w:rPr>
      </w:pPr>
    </w:p>
    <w:p w:rsidR="00704515" w:rsidRPr="001B5616" w:rsidRDefault="00704515" w:rsidP="001B5616">
      <w:pPr>
        <w:spacing w:after="0" w:line="240" w:lineRule="auto"/>
        <w:jc w:val="both"/>
        <w:rPr>
          <w:rFonts w:asciiTheme="minorHAnsi" w:eastAsia="Times New Roman" w:hAnsiTheme="minorHAnsi" w:cstheme="minorHAnsi"/>
        </w:rPr>
      </w:pPr>
      <w:r w:rsidRPr="001B5616">
        <w:rPr>
          <w:rFonts w:cs="Calibri"/>
          <w:sz w:val="24"/>
          <w:szCs w:val="24"/>
        </w:rPr>
        <w:t xml:space="preserve">Next, trained nurses or phlebotomists will draw 125-ml (10 tablespoons) of blood using standard venipuncture techniques. Trained study staff will record the phlebotomy result on the </w:t>
      </w:r>
      <w:r w:rsidRPr="001B5616">
        <w:rPr>
          <w:rFonts w:cs="Calibri"/>
          <w:sz w:val="24"/>
          <w:szCs w:val="24"/>
        </w:rPr>
        <w:lastRenderedPageBreak/>
        <w:t>Blood Draw Form</w:t>
      </w:r>
      <w:r w:rsidR="0019117C">
        <w:rPr>
          <w:rFonts w:cs="Calibri"/>
          <w:sz w:val="24"/>
          <w:szCs w:val="24"/>
        </w:rPr>
        <w:t xml:space="preserve"> (</w:t>
      </w:r>
      <w:r w:rsidR="0019117C" w:rsidRPr="00B50DE3">
        <w:rPr>
          <w:rFonts w:cs="Calibri"/>
          <w:sz w:val="24"/>
          <w:szCs w:val="24"/>
        </w:rPr>
        <w:t>Attachment 3.12</w:t>
      </w:r>
      <w:r w:rsidR="0019117C">
        <w:rPr>
          <w:rFonts w:cs="Calibri"/>
          <w:sz w:val="24"/>
          <w:szCs w:val="24"/>
        </w:rPr>
        <w:t>)</w:t>
      </w:r>
      <w:r w:rsidR="00D44979">
        <w:rPr>
          <w:rFonts w:cs="Calibri"/>
          <w:sz w:val="24"/>
          <w:szCs w:val="24"/>
        </w:rPr>
        <w:t xml:space="preserve">. </w:t>
      </w:r>
      <w:r w:rsidR="0019117C">
        <w:rPr>
          <w:rFonts w:cs="Calibri"/>
          <w:sz w:val="24"/>
          <w:szCs w:val="24"/>
        </w:rPr>
        <w:t xml:space="preserve">If </w:t>
      </w:r>
      <w:r w:rsidRPr="001B5616">
        <w:rPr>
          <w:rFonts w:cs="Calibri"/>
          <w:sz w:val="24"/>
          <w:szCs w:val="24"/>
        </w:rPr>
        <w:t>a person is unable to provide 125</w:t>
      </w:r>
      <w:r w:rsidR="00B10FE1" w:rsidRPr="001B5616">
        <w:rPr>
          <w:rFonts w:cs="Calibri"/>
          <w:sz w:val="24"/>
          <w:szCs w:val="24"/>
        </w:rPr>
        <w:t>-</w:t>
      </w:r>
      <w:r w:rsidRPr="001B5616">
        <w:rPr>
          <w:rFonts w:cs="Calibri"/>
          <w:sz w:val="24"/>
          <w:szCs w:val="24"/>
        </w:rPr>
        <w:t xml:space="preserve">ml of blood, a smaller amount is allowed </w:t>
      </w:r>
      <w:r w:rsidR="007458BD" w:rsidRPr="001B5616">
        <w:rPr>
          <w:rFonts w:cs="Calibri"/>
          <w:sz w:val="24"/>
          <w:szCs w:val="24"/>
        </w:rPr>
        <w:t>(50</w:t>
      </w:r>
      <w:r w:rsidR="003B46DF" w:rsidRPr="001B5616">
        <w:rPr>
          <w:rFonts w:cs="Calibri"/>
          <w:sz w:val="24"/>
          <w:szCs w:val="24"/>
        </w:rPr>
        <w:t>-</w:t>
      </w:r>
      <w:r w:rsidR="007458BD" w:rsidRPr="001B5616">
        <w:rPr>
          <w:rFonts w:cs="Calibri"/>
          <w:sz w:val="24"/>
          <w:szCs w:val="24"/>
        </w:rPr>
        <w:t xml:space="preserve">ml would be desirable) </w:t>
      </w:r>
      <w:r w:rsidRPr="001B5616">
        <w:rPr>
          <w:rFonts w:cs="Calibri"/>
          <w:sz w:val="24"/>
          <w:szCs w:val="24"/>
        </w:rPr>
        <w:t>and</w:t>
      </w:r>
      <w:r w:rsidR="007458BD" w:rsidRPr="001B5616">
        <w:rPr>
          <w:rFonts w:cs="Calibri"/>
          <w:sz w:val="24"/>
          <w:szCs w:val="24"/>
        </w:rPr>
        <w:t xml:space="preserve"> will</w:t>
      </w:r>
      <w:r w:rsidRPr="001B5616">
        <w:rPr>
          <w:rFonts w:cs="Calibri"/>
          <w:sz w:val="24"/>
          <w:szCs w:val="24"/>
        </w:rPr>
        <w:t xml:space="preserve"> be documented </w:t>
      </w:r>
      <w:r w:rsidR="001B5616" w:rsidRPr="001B5616">
        <w:rPr>
          <w:rFonts w:cs="Calibri"/>
          <w:sz w:val="24"/>
          <w:szCs w:val="24"/>
        </w:rPr>
        <w:t>for</w:t>
      </w:r>
      <w:r w:rsidR="007458BD" w:rsidRPr="001B5616">
        <w:rPr>
          <w:rFonts w:cs="Calibri"/>
          <w:sz w:val="24"/>
          <w:szCs w:val="24"/>
        </w:rPr>
        <w:t xml:space="preserve"> </w:t>
      </w:r>
      <w:r w:rsidR="00431B57" w:rsidRPr="001B5616">
        <w:rPr>
          <w:rFonts w:cs="Calibri"/>
          <w:sz w:val="24"/>
          <w:szCs w:val="24"/>
        </w:rPr>
        <w:t>those who weigh less than 110 lbs</w:t>
      </w:r>
      <w:r w:rsidR="003B46DF" w:rsidRPr="001B5616">
        <w:rPr>
          <w:rFonts w:cs="Calibri"/>
          <w:sz w:val="24"/>
          <w:szCs w:val="24"/>
        </w:rPr>
        <w:t>.</w:t>
      </w:r>
      <w:r w:rsidR="007458BD" w:rsidRPr="001B5616">
        <w:rPr>
          <w:rFonts w:cs="Calibri"/>
          <w:sz w:val="24"/>
          <w:szCs w:val="24"/>
        </w:rPr>
        <w:t>, only 50</w:t>
      </w:r>
      <w:r w:rsidR="003B46DF" w:rsidRPr="001B5616">
        <w:rPr>
          <w:rFonts w:cs="Calibri"/>
          <w:sz w:val="24"/>
          <w:szCs w:val="24"/>
        </w:rPr>
        <w:t>-</w:t>
      </w:r>
      <w:r w:rsidR="007458BD" w:rsidRPr="001B5616">
        <w:rPr>
          <w:rFonts w:cs="Calibri"/>
          <w:sz w:val="24"/>
          <w:szCs w:val="24"/>
        </w:rPr>
        <w:t xml:space="preserve">ml of blood will be collected. </w:t>
      </w:r>
      <w:r w:rsidRPr="001B5616">
        <w:rPr>
          <w:rFonts w:cs="Calibri"/>
          <w:sz w:val="24"/>
          <w:szCs w:val="24"/>
        </w:rPr>
        <w:t xml:space="preserve">Common adverse events from blood draws include bruising, bleeding, and fainting. No serious adverse events are anticipated in drawing this volume of blood. </w:t>
      </w:r>
      <w:r w:rsidR="000E369D" w:rsidRPr="00B50DE3">
        <w:rPr>
          <w:rFonts w:cs="Calibri"/>
          <w:sz w:val="24"/>
          <w:szCs w:val="24"/>
        </w:rPr>
        <w:t>Light snacks will be provided following blood collection.</w:t>
      </w:r>
    </w:p>
    <w:p w:rsidR="00704515" w:rsidRPr="003C4F3A" w:rsidRDefault="00704515" w:rsidP="00921444">
      <w:pPr>
        <w:pStyle w:val="Default"/>
        <w:jc w:val="both"/>
        <w:rPr>
          <w:rFonts w:ascii="Calibri" w:hAnsi="Calibri" w:cs="Calibri"/>
          <w:b/>
          <w:i/>
        </w:rPr>
      </w:pPr>
    </w:p>
    <w:p w:rsidR="003B46DF" w:rsidRDefault="00704515" w:rsidP="00921444">
      <w:pPr>
        <w:spacing w:after="0" w:line="240" w:lineRule="auto"/>
        <w:jc w:val="both"/>
        <w:rPr>
          <w:rFonts w:cs="Calibri"/>
          <w:sz w:val="24"/>
          <w:szCs w:val="24"/>
        </w:rPr>
      </w:pPr>
      <w:r w:rsidRPr="003C4F3A">
        <w:rPr>
          <w:rFonts w:cs="Calibri"/>
          <w:b/>
          <w:i/>
          <w:sz w:val="24"/>
          <w:szCs w:val="24"/>
        </w:rPr>
        <w:t xml:space="preserve">Questionnaire: </w:t>
      </w:r>
      <w:r w:rsidRPr="003C4F3A">
        <w:rPr>
          <w:rFonts w:cs="Calibri"/>
          <w:sz w:val="24"/>
          <w:szCs w:val="24"/>
        </w:rPr>
        <w:t>Trained study staff will administer the que</w:t>
      </w:r>
      <w:r w:rsidR="00DD5110">
        <w:rPr>
          <w:rFonts w:cs="Calibri"/>
          <w:sz w:val="24"/>
          <w:szCs w:val="24"/>
        </w:rPr>
        <w:t>stionnaire as a CAPI (Attachment</w:t>
      </w:r>
      <w:r w:rsidR="00402CD5">
        <w:rPr>
          <w:rFonts w:cs="Calibri"/>
          <w:sz w:val="24"/>
          <w:szCs w:val="24"/>
        </w:rPr>
        <w:t>s</w:t>
      </w:r>
      <w:r w:rsidR="0054406E" w:rsidRPr="003C4F3A">
        <w:rPr>
          <w:rFonts w:cs="Calibri"/>
          <w:sz w:val="24"/>
          <w:szCs w:val="24"/>
        </w:rPr>
        <w:t xml:space="preserve"> </w:t>
      </w:r>
      <w:r w:rsidRPr="003C4F3A">
        <w:rPr>
          <w:rFonts w:cs="Calibri"/>
          <w:sz w:val="24"/>
          <w:szCs w:val="24"/>
        </w:rPr>
        <w:t>3.1</w:t>
      </w:r>
      <w:r w:rsidR="0054406E" w:rsidRPr="003C4F3A">
        <w:rPr>
          <w:rFonts w:cs="Calibri"/>
          <w:sz w:val="24"/>
          <w:szCs w:val="24"/>
        </w:rPr>
        <w:t>3</w:t>
      </w:r>
      <w:r w:rsidR="00402CD5">
        <w:rPr>
          <w:rFonts w:cs="Calibri"/>
          <w:sz w:val="24"/>
          <w:szCs w:val="24"/>
        </w:rPr>
        <w:t>b &amp; 3.13c</w:t>
      </w:r>
      <w:r w:rsidRPr="003C4F3A">
        <w:rPr>
          <w:rFonts w:cs="Calibri"/>
          <w:sz w:val="24"/>
          <w:szCs w:val="24"/>
        </w:rPr>
        <w:t xml:space="preserve">. </w:t>
      </w:r>
    </w:p>
    <w:p w:rsidR="003B46DF" w:rsidRDefault="003B46DF" w:rsidP="00921444">
      <w:pPr>
        <w:spacing w:after="0" w:line="240" w:lineRule="auto"/>
        <w:jc w:val="both"/>
        <w:rPr>
          <w:rFonts w:cs="Calibri"/>
          <w:sz w:val="24"/>
          <w:szCs w:val="24"/>
        </w:rPr>
      </w:pPr>
    </w:p>
    <w:p w:rsidR="00A67B87" w:rsidRPr="00663170" w:rsidRDefault="00A67B87" w:rsidP="00A67B87">
      <w:pPr>
        <w:spacing w:after="0" w:line="240" w:lineRule="auto"/>
        <w:jc w:val="both"/>
        <w:rPr>
          <w:rFonts w:asciiTheme="minorHAnsi" w:hAnsiTheme="minorHAnsi" w:cstheme="minorHAnsi"/>
          <w:sz w:val="24"/>
          <w:szCs w:val="24"/>
        </w:rPr>
      </w:pPr>
      <w:r w:rsidRPr="002D467B">
        <w:rPr>
          <w:rFonts w:asciiTheme="minorHAnsi" w:hAnsiTheme="minorHAnsi" w:cstheme="minorHAnsi"/>
          <w:sz w:val="24"/>
          <w:szCs w:val="24"/>
        </w:rPr>
        <w:t xml:space="preserve">The ACHS-II questionnaire </w:t>
      </w:r>
      <w:r>
        <w:rPr>
          <w:rFonts w:asciiTheme="minorHAnsi" w:hAnsiTheme="minorHAnsi" w:cstheme="minorHAnsi"/>
          <w:sz w:val="24"/>
          <w:szCs w:val="24"/>
        </w:rPr>
        <w:t xml:space="preserve">is divided into 11 main sections (Attachment 3.13b): 1) </w:t>
      </w:r>
      <w:r w:rsidRPr="00587734">
        <w:rPr>
          <w:rFonts w:asciiTheme="minorHAnsi" w:hAnsiTheme="minorHAnsi" w:cstheme="minorHAnsi"/>
          <w:sz w:val="24"/>
          <w:szCs w:val="24"/>
        </w:rPr>
        <w:t>residential history</w:t>
      </w:r>
      <w:r>
        <w:rPr>
          <w:rFonts w:asciiTheme="minorHAnsi" w:hAnsiTheme="minorHAnsi" w:cstheme="minorHAnsi"/>
          <w:sz w:val="24"/>
          <w:szCs w:val="24"/>
        </w:rPr>
        <w:t xml:space="preserve">; 2) (demographic) </w:t>
      </w:r>
      <w:r w:rsidRPr="00587734">
        <w:rPr>
          <w:rFonts w:asciiTheme="minorHAnsi" w:hAnsiTheme="minorHAnsi" w:cstheme="minorHAnsi"/>
          <w:sz w:val="24"/>
          <w:szCs w:val="24"/>
        </w:rPr>
        <w:t>background</w:t>
      </w:r>
      <w:r>
        <w:rPr>
          <w:rFonts w:asciiTheme="minorHAnsi" w:hAnsiTheme="minorHAnsi" w:cstheme="minorHAnsi"/>
          <w:sz w:val="24"/>
          <w:szCs w:val="24"/>
        </w:rPr>
        <w:t xml:space="preserve">; 3) </w:t>
      </w:r>
      <w:r w:rsidRPr="00587734">
        <w:rPr>
          <w:rFonts w:asciiTheme="minorHAnsi" w:hAnsiTheme="minorHAnsi" w:cstheme="minorHAnsi"/>
          <w:sz w:val="24"/>
          <w:szCs w:val="24"/>
        </w:rPr>
        <w:t>general health and chronic health conditions</w:t>
      </w:r>
      <w:r>
        <w:rPr>
          <w:rFonts w:asciiTheme="minorHAnsi" w:hAnsiTheme="minorHAnsi" w:cstheme="minorHAnsi"/>
          <w:sz w:val="24"/>
          <w:szCs w:val="24"/>
        </w:rPr>
        <w:t xml:space="preserve">; 4) </w:t>
      </w:r>
      <w:r w:rsidRPr="00587734">
        <w:rPr>
          <w:rFonts w:asciiTheme="minorHAnsi" w:hAnsiTheme="minorHAnsi" w:cstheme="minorHAnsi"/>
          <w:sz w:val="24"/>
          <w:szCs w:val="24"/>
        </w:rPr>
        <w:t>physical activity</w:t>
      </w:r>
      <w:r>
        <w:rPr>
          <w:rFonts w:asciiTheme="minorHAnsi" w:hAnsiTheme="minorHAnsi" w:cstheme="minorHAnsi"/>
          <w:sz w:val="24"/>
          <w:szCs w:val="24"/>
        </w:rPr>
        <w:t xml:space="preserve">; 5) </w:t>
      </w:r>
      <w:r w:rsidRPr="00587734">
        <w:rPr>
          <w:rFonts w:asciiTheme="minorHAnsi" w:hAnsiTheme="minorHAnsi" w:cstheme="minorHAnsi"/>
          <w:sz w:val="24"/>
          <w:szCs w:val="24"/>
        </w:rPr>
        <w:t>health behavior</w:t>
      </w:r>
      <w:r>
        <w:rPr>
          <w:rFonts w:asciiTheme="minorHAnsi" w:hAnsiTheme="minorHAnsi" w:cstheme="minorHAnsi"/>
          <w:sz w:val="24"/>
          <w:szCs w:val="24"/>
        </w:rPr>
        <w:t xml:space="preserve">s; 6) </w:t>
      </w:r>
      <w:r w:rsidRPr="00587734">
        <w:rPr>
          <w:rFonts w:asciiTheme="minorHAnsi" w:hAnsiTheme="minorHAnsi" w:cstheme="minorHAnsi"/>
          <w:sz w:val="24"/>
          <w:szCs w:val="24"/>
        </w:rPr>
        <w:t>diet</w:t>
      </w:r>
      <w:r>
        <w:rPr>
          <w:rFonts w:asciiTheme="minorHAnsi" w:hAnsiTheme="minorHAnsi" w:cstheme="minorHAnsi"/>
          <w:sz w:val="24"/>
          <w:szCs w:val="24"/>
        </w:rPr>
        <w:t xml:space="preserve">; 7) </w:t>
      </w:r>
      <w:r w:rsidRPr="00587734">
        <w:rPr>
          <w:rFonts w:asciiTheme="minorHAnsi" w:hAnsiTheme="minorHAnsi" w:cstheme="minorHAnsi"/>
          <w:sz w:val="24"/>
          <w:szCs w:val="24"/>
        </w:rPr>
        <w:t>health care access</w:t>
      </w:r>
      <w:r>
        <w:rPr>
          <w:rFonts w:asciiTheme="minorHAnsi" w:hAnsiTheme="minorHAnsi" w:cstheme="minorHAnsi"/>
          <w:sz w:val="24"/>
          <w:szCs w:val="24"/>
        </w:rPr>
        <w:t xml:space="preserve">; 8) </w:t>
      </w:r>
      <w:r w:rsidRPr="00587734">
        <w:rPr>
          <w:rFonts w:asciiTheme="minorHAnsi" w:hAnsiTheme="minorHAnsi" w:cstheme="minorHAnsi"/>
          <w:sz w:val="24"/>
          <w:szCs w:val="24"/>
        </w:rPr>
        <w:t>women’s health history</w:t>
      </w:r>
      <w:r>
        <w:rPr>
          <w:rFonts w:asciiTheme="minorHAnsi" w:hAnsiTheme="minorHAnsi" w:cstheme="minorHAnsi"/>
          <w:sz w:val="24"/>
          <w:szCs w:val="24"/>
        </w:rPr>
        <w:t xml:space="preserve">; 9) </w:t>
      </w:r>
      <w:r w:rsidRPr="00587734">
        <w:rPr>
          <w:rFonts w:asciiTheme="minorHAnsi" w:hAnsiTheme="minorHAnsi" w:cstheme="minorHAnsi"/>
          <w:sz w:val="24"/>
          <w:szCs w:val="24"/>
        </w:rPr>
        <w:t>men’s health history</w:t>
      </w:r>
      <w:r>
        <w:rPr>
          <w:rFonts w:asciiTheme="minorHAnsi" w:hAnsiTheme="minorHAnsi" w:cstheme="minorHAnsi"/>
          <w:sz w:val="24"/>
          <w:szCs w:val="24"/>
        </w:rPr>
        <w:t xml:space="preserve">; 10) </w:t>
      </w:r>
      <w:r w:rsidRPr="00587734">
        <w:rPr>
          <w:rFonts w:asciiTheme="minorHAnsi" w:hAnsiTheme="minorHAnsi" w:cstheme="minorHAnsi"/>
          <w:sz w:val="24"/>
          <w:szCs w:val="24"/>
        </w:rPr>
        <w:t>children’s health history</w:t>
      </w:r>
      <w:r>
        <w:rPr>
          <w:rFonts w:asciiTheme="minorHAnsi" w:hAnsiTheme="minorHAnsi" w:cstheme="minorHAnsi"/>
          <w:sz w:val="24"/>
          <w:szCs w:val="24"/>
        </w:rPr>
        <w:t xml:space="preserve">; and 11) </w:t>
      </w:r>
      <w:r w:rsidRPr="00587734">
        <w:rPr>
          <w:rFonts w:asciiTheme="minorHAnsi" w:hAnsiTheme="minorHAnsi" w:cstheme="minorHAnsi"/>
          <w:sz w:val="24"/>
          <w:szCs w:val="24"/>
        </w:rPr>
        <w:t>work history</w:t>
      </w:r>
      <w:r>
        <w:rPr>
          <w:rFonts w:asciiTheme="minorHAnsi" w:hAnsiTheme="minorHAnsi" w:cstheme="minorHAnsi"/>
          <w:sz w:val="24"/>
          <w:szCs w:val="24"/>
        </w:rPr>
        <w:t xml:space="preserve">. Depending on skip patterns in the CAPI, not all </w:t>
      </w:r>
      <w:r w:rsidR="00711C4D">
        <w:rPr>
          <w:rFonts w:asciiTheme="minorHAnsi" w:hAnsiTheme="minorHAnsi" w:cstheme="minorHAnsi"/>
          <w:sz w:val="24"/>
          <w:szCs w:val="24"/>
        </w:rPr>
        <w:t>respondent</w:t>
      </w:r>
      <w:r>
        <w:rPr>
          <w:rFonts w:asciiTheme="minorHAnsi" w:hAnsiTheme="minorHAnsi" w:cstheme="minorHAnsi"/>
          <w:sz w:val="24"/>
          <w:szCs w:val="24"/>
        </w:rPr>
        <w:t xml:space="preserve">s will be asked the four supplemental forms for: 1) children’s health; 2) female health; 3) male health; and 4) local foods. To increase recall and comprehension and to reduce time burden, the Interviewer’s Booklet will be used as a visual aid for the </w:t>
      </w:r>
      <w:r w:rsidR="00711C4D">
        <w:rPr>
          <w:rFonts w:asciiTheme="minorHAnsi" w:hAnsiTheme="minorHAnsi" w:cstheme="minorHAnsi"/>
          <w:sz w:val="24"/>
          <w:szCs w:val="24"/>
        </w:rPr>
        <w:t>respondent</w:t>
      </w:r>
      <w:r>
        <w:rPr>
          <w:rFonts w:asciiTheme="minorHAnsi" w:hAnsiTheme="minorHAnsi" w:cstheme="minorHAnsi"/>
          <w:sz w:val="24"/>
          <w:szCs w:val="24"/>
        </w:rPr>
        <w:t xml:space="preserve"> (Attachment 3.13c).</w:t>
      </w:r>
    </w:p>
    <w:p w:rsidR="00A67B87" w:rsidRDefault="00A67B87" w:rsidP="001F48C6">
      <w:pPr>
        <w:spacing w:after="0" w:line="240" w:lineRule="auto"/>
        <w:jc w:val="both"/>
        <w:rPr>
          <w:rFonts w:asciiTheme="minorHAnsi" w:hAnsiTheme="minorHAnsi" w:cs="Calibri"/>
          <w:sz w:val="24"/>
          <w:szCs w:val="24"/>
        </w:rPr>
      </w:pPr>
    </w:p>
    <w:p w:rsidR="001F48C6" w:rsidRPr="00B50DE3" w:rsidRDefault="00704515" w:rsidP="001F48C6">
      <w:pPr>
        <w:spacing w:after="0" w:line="240" w:lineRule="auto"/>
        <w:jc w:val="both"/>
        <w:rPr>
          <w:rFonts w:asciiTheme="minorHAnsi" w:hAnsiTheme="minorHAnsi" w:cs="Calibri"/>
          <w:sz w:val="24"/>
          <w:szCs w:val="24"/>
          <w:u w:val="single"/>
        </w:rPr>
      </w:pPr>
      <w:r w:rsidRPr="00DD5110">
        <w:rPr>
          <w:rFonts w:asciiTheme="minorHAnsi" w:hAnsiTheme="minorHAnsi" w:cs="Calibri"/>
          <w:sz w:val="24"/>
          <w:szCs w:val="24"/>
        </w:rPr>
        <w:t xml:space="preserve">Using the baseline ACHS questionnaire as a template, the current questionnaire has retained the content of many ACHS modules for </w:t>
      </w:r>
      <w:r w:rsidRPr="001B5616">
        <w:rPr>
          <w:rFonts w:asciiTheme="minorHAnsi" w:hAnsiTheme="minorHAnsi" w:cs="Calibri"/>
          <w:sz w:val="24"/>
          <w:szCs w:val="24"/>
        </w:rPr>
        <w:t>consistency, with revisions for clarity and brevity where applicable to accommodate the follow-up design.</w:t>
      </w:r>
      <w:r w:rsidR="005256F7">
        <w:rPr>
          <w:rFonts w:asciiTheme="minorHAnsi" w:hAnsiTheme="minorHAnsi" w:cs="Calibri"/>
          <w:sz w:val="24"/>
          <w:szCs w:val="24"/>
        </w:rPr>
        <w:t xml:space="preserve"> Q</w:t>
      </w:r>
      <w:r w:rsidRPr="001B5616">
        <w:rPr>
          <w:rFonts w:asciiTheme="minorHAnsi" w:hAnsiTheme="minorHAnsi" w:cs="Calibri"/>
          <w:sz w:val="24"/>
          <w:szCs w:val="24"/>
        </w:rPr>
        <w:t xml:space="preserve">uestions </w:t>
      </w:r>
      <w:r w:rsidR="00C82B3D" w:rsidRPr="001B5616">
        <w:rPr>
          <w:rFonts w:asciiTheme="minorHAnsi" w:hAnsiTheme="minorHAnsi" w:cs="Calibri"/>
          <w:sz w:val="24"/>
          <w:szCs w:val="24"/>
        </w:rPr>
        <w:t>we</w:t>
      </w:r>
      <w:r w:rsidRPr="001B5616">
        <w:rPr>
          <w:rFonts w:asciiTheme="minorHAnsi" w:hAnsiTheme="minorHAnsi" w:cs="Calibri"/>
          <w:sz w:val="24"/>
          <w:szCs w:val="24"/>
        </w:rPr>
        <w:t>re rephrased to collect supplemental information since the 2005-2007 data was collected. ACHS questions are retained (original - O), modified (M), or developed (new – N) for the ACHS</w:t>
      </w:r>
      <w:r w:rsidR="00296078">
        <w:rPr>
          <w:rFonts w:asciiTheme="minorHAnsi" w:hAnsiTheme="minorHAnsi" w:cs="Calibri"/>
          <w:sz w:val="24"/>
          <w:szCs w:val="24"/>
        </w:rPr>
        <w:t>-</w:t>
      </w:r>
      <w:r w:rsidRPr="001B5616">
        <w:rPr>
          <w:rFonts w:asciiTheme="minorHAnsi" w:hAnsiTheme="minorHAnsi" w:cs="Calibri"/>
          <w:sz w:val="24"/>
          <w:szCs w:val="24"/>
        </w:rPr>
        <w:t>II Questionnaire</w:t>
      </w:r>
      <w:r w:rsidR="001F48C6">
        <w:rPr>
          <w:rFonts w:asciiTheme="minorHAnsi" w:hAnsiTheme="minorHAnsi" w:cs="Calibri"/>
          <w:sz w:val="24"/>
          <w:szCs w:val="24"/>
        </w:rPr>
        <w:t xml:space="preserve">. </w:t>
      </w:r>
      <w:r w:rsidR="005256F7" w:rsidRPr="001B5616">
        <w:rPr>
          <w:rFonts w:asciiTheme="minorHAnsi" w:hAnsiTheme="minorHAnsi" w:cs="Calibri"/>
          <w:sz w:val="24"/>
          <w:szCs w:val="24"/>
        </w:rPr>
        <w:t xml:space="preserve">To minimize the </w:t>
      </w:r>
      <w:r w:rsidR="00711C4D">
        <w:rPr>
          <w:rFonts w:asciiTheme="minorHAnsi" w:hAnsiTheme="minorHAnsi" w:cs="Calibri"/>
          <w:sz w:val="24"/>
          <w:szCs w:val="24"/>
        </w:rPr>
        <w:t>respondent</w:t>
      </w:r>
      <w:r w:rsidR="005256F7" w:rsidRPr="001B5616">
        <w:rPr>
          <w:rFonts w:asciiTheme="minorHAnsi" w:hAnsiTheme="minorHAnsi" w:cs="Calibri"/>
          <w:sz w:val="24"/>
          <w:szCs w:val="24"/>
        </w:rPr>
        <w:t>’s time in the study, some of the baseline information that will not change over time or that were not informative, will not be recollected for the ACHS</w:t>
      </w:r>
      <w:r w:rsidR="00296078">
        <w:rPr>
          <w:rFonts w:asciiTheme="minorHAnsi" w:hAnsiTheme="minorHAnsi" w:cs="Calibri"/>
          <w:sz w:val="24"/>
          <w:szCs w:val="24"/>
        </w:rPr>
        <w:t>-</w:t>
      </w:r>
      <w:r w:rsidR="005256F7" w:rsidRPr="001B5616">
        <w:rPr>
          <w:rFonts w:asciiTheme="minorHAnsi" w:hAnsiTheme="minorHAnsi" w:cs="Calibri"/>
          <w:sz w:val="24"/>
          <w:szCs w:val="24"/>
        </w:rPr>
        <w:t xml:space="preserve">II. </w:t>
      </w:r>
      <w:r w:rsidR="001F48C6">
        <w:rPr>
          <w:rFonts w:asciiTheme="minorHAnsi" w:hAnsiTheme="minorHAnsi" w:cs="Calibri"/>
          <w:sz w:val="24"/>
          <w:szCs w:val="24"/>
        </w:rPr>
        <w:t>These similarities and changes between the ACHS and the ACHS</w:t>
      </w:r>
      <w:r w:rsidR="00296078">
        <w:rPr>
          <w:rFonts w:asciiTheme="minorHAnsi" w:hAnsiTheme="minorHAnsi" w:cs="Calibri"/>
          <w:sz w:val="24"/>
          <w:szCs w:val="24"/>
        </w:rPr>
        <w:t>-</w:t>
      </w:r>
      <w:r w:rsidR="001F48C6">
        <w:rPr>
          <w:rFonts w:asciiTheme="minorHAnsi" w:hAnsiTheme="minorHAnsi" w:cs="Calibri"/>
          <w:sz w:val="24"/>
          <w:szCs w:val="24"/>
        </w:rPr>
        <w:t>II questionnaires are indexed</w:t>
      </w:r>
      <w:r w:rsidR="001F48C6" w:rsidRPr="00B50DE3">
        <w:rPr>
          <w:rFonts w:asciiTheme="minorHAnsi" w:hAnsiTheme="minorHAnsi" w:cs="Calibri"/>
          <w:sz w:val="24"/>
          <w:szCs w:val="24"/>
        </w:rPr>
        <w:t xml:space="preserve"> in Attachment 3.13a. </w:t>
      </w:r>
    </w:p>
    <w:p w:rsidR="00704515" w:rsidRPr="001B5616" w:rsidRDefault="00704515" w:rsidP="005256F7">
      <w:pPr>
        <w:autoSpaceDE w:val="0"/>
        <w:autoSpaceDN w:val="0"/>
        <w:adjustRightInd w:val="0"/>
        <w:spacing w:after="0" w:line="240" w:lineRule="auto"/>
        <w:jc w:val="both"/>
        <w:rPr>
          <w:rFonts w:asciiTheme="minorHAnsi" w:hAnsiTheme="minorHAnsi" w:cs="Calibri"/>
          <w:sz w:val="24"/>
          <w:szCs w:val="24"/>
        </w:rPr>
      </w:pPr>
    </w:p>
    <w:p w:rsidR="00656659" w:rsidRDefault="005256F7" w:rsidP="00DD5110">
      <w:pPr>
        <w:pStyle w:val="NormalWeb"/>
        <w:spacing w:before="0" w:beforeAutospacing="0" w:after="0" w:afterAutospacing="0"/>
        <w:jc w:val="both"/>
      </w:pPr>
      <w:r w:rsidRPr="001B5616">
        <w:rPr>
          <w:rFonts w:asciiTheme="minorHAnsi" w:hAnsiTheme="minorHAnsi" w:cs="Calibri"/>
        </w:rPr>
        <w:t>The ACHS questionnaire was previously tested for reliability and validity. For the ACHS</w:t>
      </w:r>
      <w:r w:rsidR="00296078">
        <w:rPr>
          <w:rFonts w:asciiTheme="minorHAnsi" w:hAnsiTheme="minorHAnsi" w:cs="Calibri"/>
        </w:rPr>
        <w:t>-</w:t>
      </w:r>
      <w:r w:rsidRPr="001B5616">
        <w:rPr>
          <w:rFonts w:asciiTheme="minorHAnsi" w:hAnsiTheme="minorHAnsi" w:cs="Calibri"/>
        </w:rPr>
        <w:t>II, the modified questionnaire was pilot tested among study staff for comprehension, flow, and ease of administration.</w:t>
      </w:r>
    </w:p>
    <w:p w:rsidR="008B5658" w:rsidRPr="003C4F3A" w:rsidRDefault="008B5658" w:rsidP="00DD5110">
      <w:pPr>
        <w:spacing w:after="0" w:line="240" w:lineRule="auto"/>
        <w:jc w:val="both"/>
      </w:pPr>
    </w:p>
    <w:p w:rsidR="00020EFF" w:rsidRPr="00DD5110" w:rsidRDefault="00834765" w:rsidP="00DD5110">
      <w:pPr>
        <w:pStyle w:val="Heading2"/>
        <w:rPr>
          <w:rFonts w:asciiTheme="minorHAnsi" w:hAnsiTheme="minorHAnsi"/>
        </w:rPr>
      </w:pPr>
      <w:bookmarkStart w:id="4" w:name="_Toc349489333"/>
      <w:r w:rsidRPr="00DD5110">
        <w:rPr>
          <w:rFonts w:asciiTheme="minorHAnsi" w:hAnsiTheme="minorHAnsi"/>
        </w:rPr>
        <w:t>B.</w:t>
      </w:r>
      <w:r w:rsidR="00020EFF" w:rsidRPr="00DD5110">
        <w:rPr>
          <w:rFonts w:asciiTheme="minorHAnsi" w:hAnsiTheme="minorHAnsi"/>
        </w:rPr>
        <w:t>3. Methods to Maximize R</w:t>
      </w:r>
      <w:r w:rsidR="00006C20" w:rsidRPr="00DD5110">
        <w:rPr>
          <w:rFonts w:asciiTheme="minorHAnsi" w:hAnsiTheme="minorHAnsi"/>
        </w:rPr>
        <w:t>esponse Rates and Deal with No</w:t>
      </w:r>
      <w:r w:rsidR="00A3585A" w:rsidRPr="00DD5110">
        <w:rPr>
          <w:rFonts w:asciiTheme="minorHAnsi" w:hAnsiTheme="minorHAnsi"/>
        </w:rPr>
        <w:t>n-r</w:t>
      </w:r>
      <w:r w:rsidR="00020EFF" w:rsidRPr="00DD5110">
        <w:rPr>
          <w:rFonts w:asciiTheme="minorHAnsi" w:hAnsiTheme="minorHAnsi"/>
        </w:rPr>
        <w:t>esponse</w:t>
      </w:r>
      <w:bookmarkEnd w:id="4"/>
      <w:r w:rsidR="00020EFF" w:rsidRPr="00DD5110">
        <w:rPr>
          <w:rFonts w:asciiTheme="minorHAnsi" w:hAnsiTheme="minorHAnsi"/>
        </w:rPr>
        <w:t xml:space="preserve"> </w:t>
      </w:r>
    </w:p>
    <w:p w:rsidR="004B2123" w:rsidRPr="003C4F3A" w:rsidRDefault="004B2123" w:rsidP="00A40E58">
      <w:pPr>
        <w:autoSpaceDE w:val="0"/>
        <w:autoSpaceDN w:val="0"/>
        <w:adjustRightInd w:val="0"/>
        <w:spacing w:after="0" w:line="240" w:lineRule="auto"/>
        <w:rPr>
          <w:rFonts w:cs="Calibri"/>
          <w:b/>
          <w:color w:val="000000"/>
          <w:sz w:val="24"/>
          <w:szCs w:val="24"/>
        </w:rPr>
      </w:pPr>
    </w:p>
    <w:p w:rsidR="00231C54" w:rsidRPr="003C4F3A" w:rsidRDefault="00231C54" w:rsidP="00921444">
      <w:pPr>
        <w:autoSpaceDE w:val="0"/>
        <w:autoSpaceDN w:val="0"/>
        <w:adjustRightInd w:val="0"/>
        <w:spacing w:after="0" w:line="240" w:lineRule="auto"/>
        <w:jc w:val="both"/>
        <w:rPr>
          <w:rFonts w:cs="Calibri"/>
          <w:sz w:val="24"/>
          <w:szCs w:val="24"/>
        </w:rPr>
      </w:pPr>
      <w:r w:rsidRPr="003C4F3A">
        <w:rPr>
          <w:rFonts w:cs="Calibri"/>
          <w:b/>
          <w:i/>
          <w:sz w:val="24"/>
          <w:szCs w:val="24"/>
        </w:rPr>
        <w:t xml:space="preserve">Study Roll Out: </w:t>
      </w:r>
      <w:r w:rsidRPr="003C4F3A">
        <w:rPr>
          <w:rFonts w:cs="Calibri"/>
          <w:sz w:val="24"/>
          <w:szCs w:val="24"/>
        </w:rPr>
        <w:t>To increase community</w:t>
      </w:r>
      <w:r w:rsidR="007168AF">
        <w:rPr>
          <w:rFonts w:cs="Calibri"/>
          <w:sz w:val="24"/>
          <w:szCs w:val="24"/>
        </w:rPr>
        <w:t xml:space="preserve"> and former participants’</w:t>
      </w:r>
      <w:r w:rsidRPr="003C4F3A">
        <w:rPr>
          <w:rFonts w:cs="Calibri"/>
          <w:sz w:val="24"/>
          <w:szCs w:val="24"/>
        </w:rPr>
        <w:t xml:space="preserve"> awareness and to maximize response rates, announcements in advance of the start of the study will be released through local news media, meetings with community representatives, and/or public meetings and forums. The same outlets may be used for public messages for ongoing community outreach and study information dissemination</w:t>
      </w:r>
      <w:r w:rsidR="007168AF">
        <w:rPr>
          <w:rFonts w:cs="Calibri"/>
          <w:sz w:val="24"/>
          <w:szCs w:val="24"/>
        </w:rPr>
        <w:t xml:space="preserve"> (Attachment 8)</w:t>
      </w:r>
      <w:r w:rsidRPr="003C4F3A">
        <w:rPr>
          <w:rFonts w:cs="Calibri"/>
          <w:sz w:val="24"/>
          <w:szCs w:val="24"/>
        </w:rPr>
        <w:t>.</w:t>
      </w:r>
    </w:p>
    <w:p w:rsidR="00231C54" w:rsidRPr="003C4F3A" w:rsidRDefault="00231C54" w:rsidP="00921444">
      <w:pPr>
        <w:autoSpaceDE w:val="0"/>
        <w:autoSpaceDN w:val="0"/>
        <w:adjustRightInd w:val="0"/>
        <w:spacing w:after="0" w:line="240" w:lineRule="auto"/>
        <w:jc w:val="both"/>
        <w:rPr>
          <w:rFonts w:cs="Calibri"/>
          <w:b/>
          <w:i/>
          <w:sz w:val="24"/>
          <w:szCs w:val="24"/>
        </w:rPr>
      </w:pPr>
    </w:p>
    <w:p w:rsidR="00231C54" w:rsidRPr="003C4F3A" w:rsidRDefault="00231C54" w:rsidP="00921444">
      <w:pPr>
        <w:autoSpaceDE w:val="0"/>
        <w:autoSpaceDN w:val="0"/>
        <w:adjustRightInd w:val="0"/>
        <w:spacing w:after="0" w:line="240" w:lineRule="auto"/>
        <w:jc w:val="both"/>
        <w:rPr>
          <w:rFonts w:cs="Calibri"/>
          <w:sz w:val="24"/>
          <w:szCs w:val="24"/>
        </w:rPr>
      </w:pPr>
      <w:proofErr w:type="spellStart"/>
      <w:r w:rsidRPr="003C4F3A">
        <w:rPr>
          <w:rFonts w:cs="Calibri"/>
          <w:b/>
          <w:i/>
          <w:sz w:val="24"/>
          <w:szCs w:val="24"/>
        </w:rPr>
        <w:t>Mailout</w:t>
      </w:r>
      <w:proofErr w:type="spellEnd"/>
      <w:r w:rsidRPr="003C4F3A">
        <w:rPr>
          <w:rFonts w:cs="Calibri"/>
          <w:b/>
          <w:i/>
          <w:sz w:val="24"/>
          <w:szCs w:val="24"/>
        </w:rPr>
        <w:t xml:space="preserve"> 1 - Recruitment Information Packet</w:t>
      </w:r>
      <w:r w:rsidRPr="003C4F3A">
        <w:rPr>
          <w:rFonts w:cs="Calibri"/>
          <w:b/>
          <w:sz w:val="24"/>
          <w:szCs w:val="24"/>
        </w:rPr>
        <w:t xml:space="preserve">: </w:t>
      </w:r>
      <w:r w:rsidRPr="003C4F3A">
        <w:rPr>
          <w:rFonts w:cs="Calibri"/>
          <w:sz w:val="24"/>
          <w:szCs w:val="24"/>
        </w:rPr>
        <w:t xml:space="preserve">Efforts to inform eligible </w:t>
      </w:r>
      <w:r w:rsidR="00711C4D">
        <w:rPr>
          <w:rFonts w:cs="Calibri"/>
          <w:sz w:val="24"/>
          <w:szCs w:val="24"/>
        </w:rPr>
        <w:t>respondent</w:t>
      </w:r>
      <w:r w:rsidRPr="003C4F3A">
        <w:rPr>
          <w:rFonts w:cs="Calibri"/>
          <w:sz w:val="24"/>
          <w:szCs w:val="24"/>
        </w:rPr>
        <w:t xml:space="preserve">s about the upcoming study include an introductory recruitment </w:t>
      </w:r>
      <w:proofErr w:type="spellStart"/>
      <w:r w:rsidRPr="003C4F3A">
        <w:rPr>
          <w:rFonts w:cs="Calibri"/>
          <w:sz w:val="24"/>
          <w:szCs w:val="24"/>
        </w:rPr>
        <w:t>mailout</w:t>
      </w:r>
      <w:proofErr w:type="spellEnd"/>
      <w:r w:rsidRPr="003C4F3A">
        <w:rPr>
          <w:rFonts w:cs="Calibri"/>
          <w:sz w:val="24"/>
          <w:szCs w:val="24"/>
        </w:rPr>
        <w:t xml:space="preserve"> to encourage participation. The Recruitment Information Packet will be sent by certified mail to all former ACHS </w:t>
      </w:r>
      <w:r w:rsidR="000E439F">
        <w:rPr>
          <w:rFonts w:cs="Calibri"/>
          <w:sz w:val="24"/>
          <w:szCs w:val="24"/>
        </w:rPr>
        <w:t>Cohort</w:t>
      </w:r>
      <w:r w:rsidR="00711C4D">
        <w:rPr>
          <w:rFonts w:cs="Calibri"/>
          <w:sz w:val="24"/>
          <w:szCs w:val="24"/>
        </w:rPr>
        <w:t xml:space="preserve"> </w:t>
      </w:r>
      <w:r w:rsidR="00711C4D">
        <w:rPr>
          <w:rFonts w:cs="Calibri"/>
          <w:sz w:val="24"/>
          <w:szCs w:val="24"/>
        </w:rPr>
        <w:lastRenderedPageBreak/>
        <w:t>member</w:t>
      </w:r>
      <w:r w:rsidRPr="003C4F3A">
        <w:rPr>
          <w:rFonts w:cs="Calibri"/>
          <w:sz w:val="24"/>
          <w:szCs w:val="24"/>
        </w:rPr>
        <w:t xml:space="preserve">s with PCB measurements. This packet will contain a cover </w:t>
      </w:r>
      <w:r w:rsidR="0089630F" w:rsidRPr="003C4F3A">
        <w:rPr>
          <w:rFonts w:cs="Calibri"/>
          <w:sz w:val="24"/>
          <w:szCs w:val="24"/>
        </w:rPr>
        <w:t xml:space="preserve">letter of invitation </w:t>
      </w:r>
      <w:r w:rsidR="00F50A01">
        <w:rPr>
          <w:rFonts w:cs="Calibri"/>
          <w:sz w:val="24"/>
          <w:szCs w:val="24"/>
        </w:rPr>
        <w:t>(</w:t>
      </w:r>
      <w:r w:rsidR="0089630F" w:rsidRPr="003C4F3A">
        <w:rPr>
          <w:rFonts w:cs="Calibri"/>
          <w:sz w:val="24"/>
          <w:szCs w:val="24"/>
        </w:rPr>
        <w:t>Attachment 3.1</w:t>
      </w:r>
      <w:r w:rsidR="00F50A01">
        <w:rPr>
          <w:rFonts w:cs="Calibri"/>
          <w:sz w:val="24"/>
          <w:szCs w:val="24"/>
        </w:rPr>
        <w:t>)</w:t>
      </w:r>
      <w:r w:rsidRPr="003C4F3A">
        <w:rPr>
          <w:rFonts w:cs="Calibri"/>
          <w:sz w:val="24"/>
          <w:szCs w:val="24"/>
        </w:rPr>
        <w:t xml:space="preserve">, and a study factsheet </w:t>
      </w:r>
      <w:r w:rsidR="00F50A01">
        <w:rPr>
          <w:rFonts w:cs="Calibri"/>
          <w:sz w:val="24"/>
          <w:szCs w:val="24"/>
        </w:rPr>
        <w:t>(</w:t>
      </w:r>
      <w:r w:rsidR="0089630F" w:rsidRPr="0089630F">
        <w:rPr>
          <w:rFonts w:cs="Calibri"/>
          <w:sz w:val="24"/>
          <w:szCs w:val="24"/>
        </w:rPr>
        <w:t>Attachment</w:t>
      </w:r>
      <w:r w:rsidR="0089630F">
        <w:rPr>
          <w:rFonts w:cs="Calibri"/>
          <w:sz w:val="24"/>
          <w:szCs w:val="24"/>
        </w:rPr>
        <w:t xml:space="preserve"> 3.2</w:t>
      </w:r>
      <w:r w:rsidR="00F50A01">
        <w:rPr>
          <w:rFonts w:cs="Calibri"/>
          <w:sz w:val="24"/>
          <w:szCs w:val="24"/>
        </w:rPr>
        <w:t>)</w:t>
      </w:r>
      <w:r w:rsidRPr="003C4F3A">
        <w:rPr>
          <w:rFonts w:cs="Calibri"/>
          <w:sz w:val="24"/>
          <w:szCs w:val="24"/>
        </w:rPr>
        <w:t xml:space="preserve">. As part of the invitation to participate, these materials will explain the purpose and description of the study and the selection criteria for inclusion in the study. It will also explain the potential risks and benefits, the location of the study, the sponsoring agencies, and the person to contact for further information. The total time in the study and plans for offering a gift card to </w:t>
      </w:r>
      <w:r w:rsidR="00711C4D">
        <w:rPr>
          <w:rFonts w:cs="Calibri"/>
          <w:sz w:val="24"/>
          <w:szCs w:val="24"/>
        </w:rPr>
        <w:t>respondent</w:t>
      </w:r>
      <w:r w:rsidRPr="003C4F3A">
        <w:rPr>
          <w:rFonts w:cs="Calibri"/>
          <w:sz w:val="24"/>
          <w:szCs w:val="24"/>
        </w:rPr>
        <w:t xml:space="preserve">s will also be included. All study staff will sign confidentiality agreement form to be able to handle </w:t>
      </w:r>
      <w:r w:rsidR="00711C4D">
        <w:rPr>
          <w:rFonts w:cs="Calibri"/>
          <w:sz w:val="24"/>
          <w:szCs w:val="24"/>
        </w:rPr>
        <w:t>respondent</w:t>
      </w:r>
      <w:r w:rsidRPr="003C4F3A">
        <w:rPr>
          <w:rFonts w:cs="Calibri"/>
          <w:sz w:val="24"/>
          <w:szCs w:val="24"/>
        </w:rPr>
        <w:t>s’ data collected in the study</w:t>
      </w:r>
      <w:r w:rsidR="00A54037">
        <w:rPr>
          <w:rFonts w:cs="Calibri"/>
          <w:sz w:val="24"/>
          <w:szCs w:val="24"/>
        </w:rPr>
        <w:t>.</w:t>
      </w:r>
    </w:p>
    <w:p w:rsidR="00231C54" w:rsidRPr="003C4F3A" w:rsidRDefault="00231C54" w:rsidP="00DD5110">
      <w:pPr>
        <w:pStyle w:val="pbody"/>
        <w:jc w:val="both"/>
      </w:pPr>
      <w:r w:rsidRPr="003C4F3A">
        <w:rPr>
          <w:rFonts w:ascii="Calibri" w:hAnsi="Calibri" w:cs="Calibri"/>
          <w:sz w:val="24"/>
          <w:szCs w:val="24"/>
        </w:rPr>
        <w:t xml:space="preserve">Recruitment Information Packets will be sent in approximate batches of 100 packets per week to schedule a manageable flow of interviews on any day. This schedule of </w:t>
      </w:r>
      <w:proofErr w:type="spellStart"/>
      <w:r w:rsidRPr="003C4F3A">
        <w:rPr>
          <w:rFonts w:ascii="Calibri" w:hAnsi="Calibri" w:cs="Calibri"/>
          <w:sz w:val="24"/>
          <w:szCs w:val="24"/>
        </w:rPr>
        <w:t>mailouts</w:t>
      </w:r>
      <w:proofErr w:type="spellEnd"/>
      <w:r w:rsidRPr="003C4F3A">
        <w:rPr>
          <w:rFonts w:ascii="Calibri" w:hAnsi="Calibri" w:cs="Calibri"/>
          <w:sz w:val="24"/>
          <w:szCs w:val="24"/>
        </w:rPr>
        <w:t xml:space="preserve"> will be adjusted as needed to complete the data collection as quickly as possible. As part of the recruitment tracking procedures, return services will be requested</w:t>
      </w:r>
      <w:bookmarkStart w:id="5" w:name="1022101"/>
      <w:r w:rsidRPr="003C4F3A">
        <w:rPr>
          <w:rFonts w:ascii="Calibri" w:hAnsi="Calibri" w:cs="Calibri"/>
          <w:sz w:val="24"/>
          <w:szCs w:val="24"/>
        </w:rPr>
        <w:t xml:space="preserve"> </w:t>
      </w:r>
      <w:r w:rsidRPr="003C4F3A">
        <w:rPr>
          <w:rStyle w:val="bbold"/>
          <w:rFonts w:ascii="Calibri" w:hAnsi="Calibri" w:cs="Calibri"/>
          <w:sz w:val="24"/>
          <w:szCs w:val="24"/>
        </w:rPr>
        <w:t>from the USPS.</w:t>
      </w:r>
      <w:bookmarkEnd w:id="5"/>
      <w:r w:rsidRPr="003C4F3A">
        <w:rPr>
          <w:rFonts w:ascii="Calibri" w:hAnsi="Calibri" w:cs="Calibri"/>
          <w:sz w:val="24"/>
          <w:szCs w:val="24"/>
        </w:rPr>
        <w:t xml:space="preserve"> Undeliverable packets will be returned with the new address information affixed and without forwarding service. This will allow study staff to update address information prior to resending another Recruitment Information Packet to updated Anniston addresses. All changes of address will be documented in the U</w:t>
      </w:r>
      <w:r w:rsidR="00DD5110">
        <w:rPr>
          <w:rFonts w:ascii="Calibri" w:hAnsi="Calibri" w:cs="Calibri"/>
          <w:sz w:val="24"/>
          <w:szCs w:val="24"/>
        </w:rPr>
        <w:t>pdate Contact Information Form (</w:t>
      </w:r>
      <w:r w:rsidR="0089630F" w:rsidRPr="0089630F">
        <w:rPr>
          <w:rFonts w:ascii="Calibri" w:hAnsi="Calibri" w:cs="Calibri"/>
          <w:sz w:val="24"/>
          <w:szCs w:val="24"/>
        </w:rPr>
        <w:t>Attachment</w:t>
      </w:r>
      <w:r w:rsidR="0089630F" w:rsidRPr="003C4F3A">
        <w:rPr>
          <w:rFonts w:ascii="Calibri" w:hAnsi="Calibri" w:cs="Calibri"/>
          <w:sz w:val="24"/>
          <w:szCs w:val="24"/>
        </w:rPr>
        <w:t xml:space="preserve"> 3.9</w:t>
      </w:r>
      <w:r w:rsidR="00DD5110">
        <w:rPr>
          <w:rFonts w:ascii="Calibri" w:hAnsi="Calibri" w:cs="Calibri"/>
          <w:sz w:val="24"/>
          <w:szCs w:val="24"/>
        </w:rPr>
        <w:t>)</w:t>
      </w:r>
      <w:r w:rsidRPr="003C4F3A">
        <w:rPr>
          <w:rFonts w:ascii="Calibri" w:hAnsi="Calibri" w:cs="Calibri"/>
          <w:sz w:val="24"/>
          <w:szCs w:val="24"/>
        </w:rPr>
        <w:t>.</w:t>
      </w:r>
    </w:p>
    <w:p w:rsidR="00231C54" w:rsidRPr="003C4F3A" w:rsidRDefault="00231C54" w:rsidP="00DD5110">
      <w:pPr>
        <w:autoSpaceDE w:val="0"/>
        <w:autoSpaceDN w:val="0"/>
        <w:adjustRightInd w:val="0"/>
        <w:spacing w:after="0" w:line="240" w:lineRule="auto"/>
        <w:jc w:val="both"/>
        <w:rPr>
          <w:rFonts w:cs="Calibri"/>
          <w:sz w:val="24"/>
          <w:szCs w:val="24"/>
        </w:rPr>
      </w:pPr>
      <w:r w:rsidRPr="003C4F3A">
        <w:rPr>
          <w:rFonts w:cs="Calibri"/>
          <w:b/>
          <w:i/>
          <w:sz w:val="24"/>
          <w:szCs w:val="24"/>
        </w:rPr>
        <w:t>Recruitment telephone calls</w:t>
      </w:r>
      <w:r w:rsidRPr="003C4F3A">
        <w:rPr>
          <w:rFonts w:cs="Calibri"/>
          <w:b/>
          <w:sz w:val="24"/>
          <w:szCs w:val="24"/>
        </w:rPr>
        <w:t xml:space="preserve">: </w:t>
      </w:r>
      <w:r w:rsidRPr="003C4F3A">
        <w:rPr>
          <w:rFonts w:cs="Calibri"/>
          <w:sz w:val="24"/>
          <w:szCs w:val="24"/>
        </w:rPr>
        <w:t xml:space="preserve">If the selected recruit does not voluntarily respond within two weeks of the recruitment </w:t>
      </w:r>
      <w:proofErr w:type="spellStart"/>
      <w:r w:rsidRPr="003C4F3A">
        <w:rPr>
          <w:rFonts w:cs="Calibri"/>
          <w:sz w:val="24"/>
          <w:szCs w:val="24"/>
        </w:rPr>
        <w:t>mailout</w:t>
      </w:r>
      <w:proofErr w:type="spellEnd"/>
      <w:r w:rsidRPr="003C4F3A">
        <w:rPr>
          <w:rFonts w:cs="Calibri"/>
          <w:sz w:val="24"/>
          <w:szCs w:val="24"/>
        </w:rPr>
        <w:t>, trained study staff will begin telephone recruitment. The selected recruit will be called up to 10 times at different times of the day and on different days of the week. Once successful contact is achieved, study staff will administer the Recruitm</w:t>
      </w:r>
      <w:r w:rsidR="00DD5110">
        <w:rPr>
          <w:rFonts w:cs="Calibri"/>
          <w:sz w:val="24"/>
          <w:szCs w:val="24"/>
        </w:rPr>
        <w:t>ent Telephone Script in a CATI (</w:t>
      </w:r>
      <w:r w:rsidR="0089630F" w:rsidRPr="0089630F">
        <w:rPr>
          <w:rFonts w:cs="Calibri"/>
          <w:sz w:val="24"/>
          <w:szCs w:val="24"/>
        </w:rPr>
        <w:t>Attachment</w:t>
      </w:r>
      <w:r w:rsidR="0089630F" w:rsidRPr="003C4F3A">
        <w:rPr>
          <w:rFonts w:cs="Calibri"/>
          <w:sz w:val="24"/>
          <w:szCs w:val="24"/>
        </w:rPr>
        <w:t xml:space="preserve"> 3.3</w:t>
      </w:r>
      <w:r w:rsidR="00DD5110">
        <w:rPr>
          <w:rFonts w:cs="Calibri"/>
          <w:sz w:val="24"/>
          <w:szCs w:val="24"/>
        </w:rPr>
        <w:t>)</w:t>
      </w:r>
      <w:r w:rsidRPr="003C4F3A">
        <w:rPr>
          <w:rFonts w:cs="Calibri"/>
          <w:sz w:val="24"/>
          <w:szCs w:val="24"/>
        </w:rPr>
        <w:t xml:space="preserve">. </w:t>
      </w:r>
      <w:r w:rsidRPr="003C4F3A">
        <w:rPr>
          <w:rFonts w:cs="Calibri"/>
          <w:bCs/>
          <w:sz w:val="24"/>
          <w:szCs w:val="24"/>
        </w:rPr>
        <w:t>All calling attempts, the level of effort, the disposition codes, and any actions taken</w:t>
      </w:r>
      <w:r w:rsidRPr="003C4F3A">
        <w:rPr>
          <w:rFonts w:cs="Calibri"/>
          <w:sz w:val="24"/>
          <w:szCs w:val="24"/>
        </w:rPr>
        <w:t xml:space="preserve"> will be recorded on the Rec</w:t>
      </w:r>
      <w:r w:rsidR="00DD5110">
        <w:rPr>
          <w:rFonts w:cs="Calibri"/>
          <w:sz w:val="24"/>
          <w:szCs w:val="24"/>
        </w:rPr>
        <w:t>ruitment Tracking Form (</w:t>
      </w:r>
      <w:r w:rsidR="00431B57">
        <w:rPr>
          <w:rFonts w:cs="Calibri"/>
          <w:sz w:val="24"/>
          <w:szCs w:val="24"/>
        </w:rPr>
        <w:t>Attachment 3.7</w:t>
      </w:r>
      <w:r w:rsidR="00DD5110">
        <w:rPr>
          <w:rFonts w:cs="Calibri"/>
          <w:sz w:val="24"/>
          <w:szCs w:val="24"/>
        </w:rPr>
        <w:t>)</w:t>
      </w:r>
      <w:r w:rsidRPr="003C4F3A">
        <w:rPr>
          <w:rFonts w:cs="Calibri"/>
          <w:sz w:val="24"/>
          <w:szCs w:val="24"/>
        </w:rPr>
        <w:t xml:space="preserve"> for each recruit. </w:t>
      </w:r>
    </w:p>
    <w:p w:rsidR="00231C54" w:rsidRPr="003C4F3A" w:rsidRDefault="00231C54" w:rsidP="00921444">
      <w:pPr>
        <w:widowControl w:val="0"/>
        <w:autoSpaceDE w:val="0"/>
        <w:autoSpaceDN w:val="0"/>
        <w:adjustRightInd w:val="0"/>
        <w:spacing w:after="0" w:line="240" w:lineRule="auto"/>
        <w:jc w:val="both"/>
        <w:rPr>
          <w:rFonts w:cs="Calibri"/>
          <w:sz w:val="24"/>
          <w:szCs w:val="24"/>
        </w:rPr>
      </w:pPr>
    </w:p>
    <w:p w:rsidR="00C14D05" w:rsidRPr="003C4F3A" w:rsidRDefault="00C14D05" w:rsidP="00921444">
      <w:pPr>
        <w:widowControl w:val="0"/>
        <w:autoSpaceDE w:val="0"/>
        <w:autoSpaceDN w:val="0"/>
        <w:adjustRightInd w:val="0"/>
        <w:spacing w:after="0" w:line="240" w:lineRule="auto"/>
        <w:jc w:val="both"/>
        <w:rPr>
          <w:rFonts w:cs="Calibri"/>
          <w:bCs/>
          <w:sz w:val="24"/>
          <w:szCs w:val="24"/>
        </w:rPr>
      </w:pPr>
      <w:r w:rsidRPr="00D9363A">
        <w:rPr>
          <w:rFonts w:asciiTheme="minorHAnsi" w:hAnsiTheme="minorHAnsi" w:cstheme="minorHAnsi"/>
          <w:sz w:val="24"/>
          <w:szCs w:val="24"/>
        </w:rPr>
        <w:t xml:space="preserve">Study staff will be trained to maximize conversion of undecided and </w:t>
      </w:r>
      <w:r>
        <w:rPr>
          <w:rFonts w:asciiTheme="minorHAnsi" w:hAnsiTheme="minorHAnsi" w:cstheme="minorHAnsi"/>
          <w:sz w:val="24"/>
          <w:szCs w:val="24"/>
        </w:rPr>
        <w:t>“so</w:t>
      </w:r>
      <w:r w:rsidRPr="00D9363A">
        <w:rPr>
          <w:rFonts w:asciiTheme="minorHAnsi" w:hAnsiTheme="minorHAnsi" w:cstheme="minorHAnsi"/>
          <w:sz w:val="24"/>
          <w:szCs w:val="24"/>
        </w:rPr>
        <w:t>ft-refusals</w:t>
      </w:r>
      <w:r>
        <w:rPr>
          <w:rFonts w:asciiTheme="minorHAnsi" w:hAnsiTheme="minorHAnsi" w:cstheme="minorHAnsi"/>
          <w:sz w:val="24"/>
          <w:szCs w:val="24"/>
        </w:rPr>
        <w:t>”</w:t>
      </w:r>
      <w:r w:rsidRPr="00D9363A">
        <w:rPr>
          <w:rFonts w:asciiTheme="minorHAnsi" w:hAnsiTheme="minorHAnsi" w:cstheme="minorHAnsi"/>
          <w:sz w:val="24"/>
          <w:szCs w:val="24"/>
        </w:rPr>
        <w:t xml:space="preserve">, and to locate those recruits who cannot be contacted. </w:t>
      </w:r>
      <w:r>
        <w:rPr>
          <w:rFonts w:asciiTheme="minorHAnsi" w:hAnsiTheme="minorHAnsi" w:cstheme="minorHAnsi"/>
          <w:sz w:val="24"/>
          <w:szCs w:val="24"/>
        </w:rPr>
        <w:t xml:space="preserve">This may include offering alternative dates or study office, assistance with transportation or home visits to undecided and soft-refusals </w:t>
      </w:r>
      <w:proofErr w:type="gramStart"/>
      <w:r>
        <w:rPr>
          <w:rFonts w:asciiTheme="minorHAnsi" w:hAnsiTheme="minorHAnsi" w:cstheme="minorHAnsi"/>
          <w:sz w:val="24"/>
          <w:szCs w:val="24"/>
        </w:rPr>
        <w:t>who</w:t>
      </w:r>
      <w:proofErr w:type="gramEnd"/>
      <w:r>
        <w:rPr>
          <w:rFonts w:asciiTheme="minorHAnsi" w:hAnsiTheme="minorHAnsi" w:cstheme="minorHAnsi"/>
          <w:sz w:val="24"/>
          <w:szCs w:val="24"/>
        </w:rPr>
        <w:t xml:space="preserve"> cannot or are not willing to visit study office. </w:t>
      </w:r>
      <w:r w:rsidRPr="00D9363A">
        <w:rPr>
          <w:rFonts w:asciiTheme="minorHAnsi" w:hAnsiTheme="minorHAnsi" w:cstheme="minorHAnsi"/>
          <w:bCs/>
          <w:sz w:val="24"/>
          <w:szCs w:val="24"/>
        </w:rPr>
        <w:t>F</w:t>
      </w:r>
      <w:r w:rsidRPr="00D9363A">
        <w:rPr>
          <w:rFonts w:asciiTheme="minorHAnsi" w:hAnsiTheme="minorHAnsi" w:cstheme="minorHAnsi"/>
          <w:sz w:val="24"/>
          <w:szCs w:val="24"/>
        </w:rPr>
        <w:t>or those recruits who do not have phones or current numbers listed, study staff will employ alternative contact recruitment methods</w:t>
      </w:r>
      <w:r w:rsidRPr="00D9363A">
        <w:rPr>
          <w:rFonts w:asciiTheme="minorHAnsi" w:hAnsiTheme="minorHAnsi" w:cstheme="minorHAnsi"/>
          <w:bCs/>
          <w:sz w:val="24"/>
          <w:szCs w:val="24"/>
        </w:rPr>
        <w:t xml:space="preserve">, including consultations with the </w:t>
      </w:r>
      <w:r>
        <w:rPr>
          <w:rFonts w:asciiTheme="minorHAnsi" w:hAnsiTheme="minorHAnsi" w:cstheme="minorHAnsi"/>
          <w:bCs/>
          <w:sz w:val="24"/>
          <w:szCs w:val="24"/>
        </w:rPr>
        <w:t>W</w:t>
      </w:r>
      <w:r w:rsidR="00F6618D">
        <w:rPr>
          <w:rFonts w:asciiTheme="minorHAnsi" w:hAnsiTheme="minorHAnsi" w:cstheme="minorHAnsi"/>
          <w:bCs/>
          <w:sz w:val="24"/>
          <w:szCs w:val="24"/>
        </w:rPr>
        <w:t xml:space="preserve">est </w:t>
      </w:r>
      <w:r>
        <w:rPr>
          <w:rFonts w:asciiTheme="minorHAnsi" w:hAnsiTheme="minorHAnsi" w:cstheme="minorHAnsi"/>
          <w:bCs/>
          <w:sz w:val="24"/>
          <w:szCs w:val="24"/>
        </w:rPr>
        <w:t>A</w:t>
      </w:r>
      <w:r w:rsidR="00F6618D">
        <w:rPr>
          <w:rFonts w:asciiTheme="minorHAnsi" w:hAnsiTheme="minorHAnsi" w:cstheme="minorHAnsi"/>
          <w:bCs/>
          <w:sz w:val="24"/>
          <w:szCs w:val="24"/>
        </w:rPr>
        <w:t xml:space="preserve">nniston </w:t>
      </w:r>
      <w:r>
        <w:rPr>
          <w:rFonts w:asciiTheme="minorHAnsi" w:hAnsiTheme="minorHAnsi" w:cstheme="minorHAnsi"/>
          <w:bCs/>
          <w:sz w:val="24"/>
          <w:szCs w:val="24"/>
        </w:rPr>
        <w:t>F</w:t>
      </w:r>
      <w:r w:rsidR="00F6618D">
        <w:rPr>
          <w:rFonts w:asciiTheme="minorHAnsi" w:hAnsiTheme="minorHAnsi" w:cstheme="minorHAnsi"/>
          <w:bCs/>
          <w:sz w:val="24"/>
          <w:szCs w:val="24"/>
        </w:rPr>
        <w:t>oundation</w:t>
      </w:r>
      <w:r w:rsidRPr="00D9363A">
        <w:rPr>
          <w:rFonts w:asciiTheme="minorHAnsi" w:hAnsiTheme="minorHAnsi" w:cstheme="minorHAnsi"/>
          <w:bCs/>
          <w:sz w:val="24"/>
          <w:szCs w:val="24"/>
        </w:rPr>
        <w:t xml:space="preserve"> to locate the recruit for current addresses and telephone numbers, or to attempt home visits to personally deliver the Recruitment Information Packets. All alternative contact attempts and disposition codes will be recorded on the Recruitment Tracking Form</w:t>
      </w:r>
      <w:r>
        <w:rPr>
          <w:rFonts w:asciiTheme="minorHAnsi" w:hAnsiTheme="minorHAnsi" w:cstheme="minorHAnsi"/>
          <w:bCs/>
          <w:sz w:val="24"/>
          <w:szCs w:val="24"/>
        </w:rPr>
        <w:t xml:space="preserve"> </w:t>
      </w:r>
      <w:r w:rsidR="00DD5110">
        <w:rPr>
          <w:rFonts w:cs="Calibri"/>
          <w:bCs/>
          <w:sz w:val="24"/>
          <w:szCs w:val="24"/>
        </w:rPr>
        <w:t>(</w:t>
      </w:r>
      <w:r w:rsidRPr="0089630F">
        <w:rPr>
          <w:rFonts w:cs="Calibri"/>
          <w:sz w:val="24"/>
          <w:szCs w:val="24"/>
        </w:rPr>
        <w:t>Attachment</w:t>
      </w:r>
      <w:r w:rsidR="00DD5110">
        <w:rPr>
          <w:rFonts w:cs="Calibri"/>
          <w:bCs/>
          <w:sz w:val="24"/>
          <w:szCs w:val="24"/>
        </w:rPr>
        <w:t xml:space="preserve"> 3.7)</w:t>
      </w:r>
      <w:r w:rsidRPr="003C4F3A">
        <w:rPr>
          <w:rFonts w:cs="Calibri"/>
          <w:bCs/>
          <w:sz w:val="24"/>
          <w:szCs w:val="24"/>
        </w:rPr>
        <w:t>.</w:t>
      </w:r>
    </w:p>
    <w:p w:rsidR="00231C54" w:rsidRPr="003C4F3A" w:rsidRDefault="00231C54" w:rsidP="00921444">
      <w:pPr>
        <w:widowControl w:val="0"/>
        <w:autoSpaceDE w:val="0"/>
        <w:autoSpaceDN w:val="0"/>
        <w:adjustRightInd w:val="0"/>
        <w:spacing w:after="0" w:line="240" w:lineRule="auto"/>
        <w:jc w:val="both"/>
        <w:rPr>
          <w:rFonts w:cs="Calibri"/>
          <w:bCs/>
          <w:sz w:val="24"/>
          <w:szCs w:val="24"/>
        </w:rPr>
      </w:pPr>
    </w:p>
    <w:p w:rsidR="00231C54" w:rsidRPr="003C4F3A" w:rsidRDefault="00231C54" w:rsidP="00921444">
      <w:pPr>
        <w:widowControl w:val="0"/>
        <w:autoSpaceDE w:val="0"/>
        <w:autoSpaceDN w:val="0"/>
        <w:adjustRightInd w:val="0"/>
        <w:spacing w:after="0" w:line="240" w:lineRule="auto"/>
        <w:jc w:val="both"/>
        <w:rPr>
          <w:rFonts w:cs="Calibri"/>
          <w:bCs/>
          <w:sz w:val="24"/>
          <w:szCs w:val="24"/>
        </w:rPr>
      </w:pPr>
      <w:r w:rsidRPr="003C4F3A">
        <w:rPr>
          <w:rFonts w:cs="Calibri"/>
          <w:bCs/>
          <w:sz w:val="24"/>
          <w:szCs w:val="24"/>
        </w:rPr>
        <w:t xml:space="preserve">For those selected recruits who are hard refusals, study staff will administer a Survey for Refusals </w:t>
      </w:r>
      <w:r w:rsidR="00642C28">
        <w:rPr>
          <w:rFonts w:cs="Calibri"/>
          <w:bCs/>
          <w:sz w:val="24"/>
          <w:szCs w:val="24"/>
        </w:rPr>
        <w:t>(</w:t>
      </w:r>
      <w:r w:rsidR="0089630F" w:rsidRPr="0089630F">
        <w:rPr>
          <w:rFonts w:cs="Calibri"/>
          <w:sz w:val="24"/>
          <w:szCs w:val="24"/>
        </w:rPr>
        <w:t>Attachment</w:t>
      </w:r>
      <w:r w:rsidR="0089630F" w:rsidRPr="003C4F3A">
        <w:rPr>
          <w:rFonts w:cs="Calibri"/>
          <w:bCs/>
          <w:sz w:val="24"/>
          <w:szCs w:val="24"/>
        </w:rPr>
        <w:t xml:space="preserve"> 3.4</w:t>
      </w:r>
      <w:r w:rsidR="00642C28">
        <w:rPr>
          <w:rFonts w:cs="Calibri"/>
          <w:bCs/>
          <w:sz w:val="24"/>
          <w:szCs w:val="24"/>
        </w:rPr>
        <w:t>)</w:t>
      </w:r>
      <w:r w:rsidRPr="003C4F3A">
        <w:rPr>
          <w:rFonts w:cs="Calibri"/>
          <w:bCs/>
          <w:sz w:val="24"/>
          <w:szCs w:val="24"/>
        </w:rPr>
        <w:t xml:space="preserve"> in a CATI as an aid for non-response analysis.</w:t>
      </w:r>
    </w:p>
    <w:p w:rsidR="00231C54" w:rsidRPr="003C4F3A" w:rsidRDefault="00231C54" w:rsidP="00921444">
      <w:pPr>
        <w:widowControl w:val="0"/>
        <w:autoSpaceDE w:val="0"/>
        <w:autoSpaceDN w:val="0"/>
        <w:adjustRightInd w:val="0"/>
        <w:spacing w:after="0" w:line="240" w:lineRule="auto"/>
        <w:jc w:val="both"/>
        <w:rPr>
          <w:rFonts w:cs="Calibri"/>
          <w:sz w:val="24"/>
          <w:szCs w:val="24"/>
        </w:rPr>
      </w:pPr>
    </w:p>
    <w:p w:rsidR="00231C54" w:rsidRPr="003C4F3A" w:rsidRDefault="00231C54" w:rsidP="00921444">
      <w:pPr>
        <w:spacing w:after="0" w:line="240" w:lineRule="auto"/>
        <w:jc w:val="both"/>
        <w:rPr>
          <w:rFonts w:cs="Calibri"/>
          <w:sz w:val="24"/>
          <w:szCs w:val="24"/>
        </w:rPr>
      </w:pPr>
      <w:proofErr w:type="spellStart"/>
      <w:r w:rsidRPr="003C4F3A">
        <w:rPr>
          <w:rFonts w:cs="Calibri"/>
          <w:b/>
          <w:i/>
          <w:sz w:val="24"/>
          <w:szCs w:val="24"/>
        </w:rPr>
        <w:t>Mailout</w:t>
      </w:r>
      <w:proofErr w:type="spellEnd"/>
      <w:r w:rsidRPr="003C4F3A">
        <w:rPr>
          <w:rFonts w:cs="Calibri"/>
          <w:b/>
          <w:i/>
          <w:sz w:val="24"/>
          <w:szCs w:val="24"/>
        </w:rPr>
        <w:t xml:space="preserve"> 2 - Appointment Packet</w:t>
      </w:r>
      <w:r w:rsidRPr="003C4F3A">
        <w:rPr>
          <w:rFonts w:cs="Calibri"/>
          <w:b/>
          <w:sz w:val="24"/>
          <w:szCs w:val="24"/>
        </w:rPr>
        <w:t>:</w:t>
      </w:r>
      <w:r w:rsidRPr="003C4F3A">
        <w:rPr>
          <w:rFonts w:cs="Calibri"/>
          <w:sz w:val="24"/>
          <w:szCs w:val="24"/>
        </w:rPr>
        <w:t xml:space="preserve"> Selected recruits who are eligible and willing to participate, will be scheduled an appointment at the study offices, or alternatively at a home visit for those who are unable or unwilling to attend an office visit. A toll-free telephone line will also be offered to encourage </w:t>
      </w:r>
      <w:r w:rsidR="00711C4D">
        <w:rPr>
          <w:rFonts w:cs="Calibri"/>
          <w:sz w:val="24"/>
          <w:szCs w:val="24"/>
        </w:rPr>
        <w:t>respondent</w:t>
      </w:r>
      <w:r w:rsidRPr="003C4F3A">
        <w:rPr>
          <w:rFonts w:cs="Calibri"/>
          <w:sz w:val="24"/>
          <w:szCs w:val="24"/>
        </w:rPr>
        <w:t xml:space="preserve">s to schedule appointments at their convenience. Once the </w:t>
      </w:r>
      <w:r w:rsidRPr="003C4F3A">
        <w:rPr>
          <w:rFonts w:cs="Calibri"/>
          <w:sz w:val="24"/>
          <w:szCs w:val="24"/>
        </w:rPr>
        <w:lastRenderedPageBreak/>
        <w:t>appointment is scheduled, study staff will mail an Appointment Packet containin</w:t>
      </w:r>
      <w:r w:rsidR="00543B7E">
        <w:rPr>
          <w:rFonts w:cs="Calibri"/>
          <w:sz w:val="24"/>
          <w:szCs w:val="24"/>
        </w:rPr>
        <w:t>g an Appointment Reminder Card (</w:t>
      </w:r>
      <w:r w:rsidR="0089630F" w:rsidRPr="0089630F">
        <w:rPr>
          <w:rFonts w:cs="Calibri"/>
          <w:sz w:val="24"/>
          <w:szCs w:val="24"/>
        </w:rPr>
        <w:t>Attachment</w:t>
      </w:r>
      <w:r w:rsidR="0089630F" w:rsidRPr="003C4F3A">
        <w:rPr>
          <w:rFonts w:cs="Calibri"/>
          <w:sz w:val="24"/>
          <w:szCs w:val="24"/>
        </w:rPr>
        <w:t xml:space="preserve"> 3.5</w:t>
      </w:r>
      <w:r w:rsidR="00543B7E">
        <w:rPr>
          <w:rFonts w:cs="Calibri"/>
          <w:sz w:val="24"/>
          <w:szCs w:val="24"/>
        </w:rPr>
        <w:t>)</w:t>
      </w:r>
      <w:r w:rsidRPr="003C4F3A">
        <w:rPr>
          <w:rFonts w:cs="Calibri"/>
          <w:sz w:val="24"/>
          <w:szCs w:val="24"/>
        </w:rPr>
        <w:t>, t</w:t>
      </w:r>
      <w:r w:rsidR="00543B7E">
        <w:rPr>
          <w:rFonts w:cs="Calibri"/>
          <w:sz w:val="24"/>
          <w:szCs w:val="24"/>
        </w:rPr>
        <w:t>he Informed Consent Form (</w:t>
      </w:r>
      <w:r w:rsidR="0089630F" w:rsidRPr="0089630F">
        <w:rPr>
          <w:rFonts w:cs="Calibri"/>
          <w:sz w:val="24"/>
          <w:szCs w:val="24"/>
        </w:rPr>
        <w:t>Attachment</w:t>
      </w:r>
      <w:r w:rsidR="0089630F" w:rsidRPr="003C4F3A">
        <w:rPr>
          <w:rFonts w:cs="Calibri"/>
          <w:sz w:val="24"/>
          <w:szCs w:val="24"/>
        </w:rPr>
        <w:t xml:space="preserve"> 3.8</w:t>
      </w:r>
      <w:r w:rsidR="00543B7E">
        <w:rPr>
          <w:rFonts w:cs="Calibri"/>
          <w:sz w:val="24"/>
          <w:szCs w:val="24"/>
        </w:rPr>
        <w:t>)</w:t>
      </w:r>
      <w:r w:rsidRPr="003C4F3A">
        <w:rPr>
          <w:rFonts w:cs="Calibri"/>
          <w:sz w:val="24"/>
          <w:szCs w:val="24"/>
        </w:rPr>
        <w:t xml:space="preserve">, </w:t>
      </w:r>
      <w:proofErr w:type="gramStart"/>
      <w:r w:rsidRPr="003C4F3A">
        <w:rPr>
          <w:rFonts w:cs="Calibri"/>
          <w:sz w:val="24"/>
          <w:szCs w:val="24"/>
        </w:rPr>
        <w:t>a</w:t>
      </w:r>
      <w:proofErr w:type="gramEnd"/>
      <w:r w:rsidRPr="003C4F3A">
        <w:rPr>
          <w:rFonts w:cs="Calibri"/>
          <w:sz w:val="24"/>
          <w:szCs w:val="24"/>
        </w:rPr>
        <w:t xml:space="preserve"> zipped plastic bag to bring in all medications to the appointment. An advance copy of the Informed Consent Form will provide an extra opportunity for the interested recruit to read and more fully understand his or her rights in the study and to ask any questions before the scheduled appointment. </w:t>
      </w:r>
    </w:p>
    <w:p w:rsidR="00231C54" w:rsidRPr="003C4F3A" w:rsidRDefault="00231C54" w:rsidP="00921444">
      <w:pPr>
        <w:widowControl w:val="0"/>
        <w:autoSpaceDE w:val="0"/>
        <w:autoSpaceDN w:val="0"/>
        <w:adjustRightInd w:val="0"/>
        <w:spacing w:after="0" w:line="240" w:lineRule="auto"/>
        <w:jc w:val="both"/>
        <w:rPr>
          <w:rFonts w:cs="Calibri"/>
          <w:b/>
          <w:i/>
          <w:sz w:val="24"/>
          <w:szCs w:val="24"/>
        </w:rPr>
      </w:pPr>
    </w:p>
    <w:p w:rsidR="00231C54" w:rsidRPr="003C4F3A" w:rsidRDefault="00231C54" w:rsidP="00921444">
      <w:pPr>
        <w:widowControl w:val="0"/>
        <w:autoSpaceDE w:val="0"/>
        <w:autoSpaceDN w:val="0"/>
        <w:adjustRightInd w:val="0"/>
        <w:spacing w:after="0" w:line="240" w:lineRule="auto"/>
        <w:jc w:val="both"/>
        <w:rPr>
          <w:rFonts w:cs="Calibri"/>
          <w:sz w:val="24"/>
          <w:szCs w:val="24"/>
        </w:rPr>
      </w:pPr>
      <w:r w:rsidRPr="003C4F3A">
        <w:rPr>
          <w:rFonts w:cs="Calibri"/>
          <w:b/>
          <w:i/>
          <w:sz w:val="24"/>
          <w:szCs w:val="24"/>
        </w:rPr>
        <w:t xml:space="preserve">Reminder telephone </w:t>
      </w:r>
      <w:r w:rsidRPr="003C4F3A">
        <w:rPr>
          <w:rFonts w:cs="Calibri"/>
          <w:b/>
          <w:sz w:val="24"/>
          <w:szCs w:val="24"/>
        </w:rPr>
        <w:t xml:space="preserve">calls: </w:t>
      </w:r>
      <w:r w:rsidRPr="003C4F3A">
        <w:rPr>
          <w:rFonts w:cs="Calibri"/>
          <w:sz w:val="24"/>
          <w:szCs w:val="24"/>
        </w:rPr>
        <w:t>Study staff will give the interested recruit a reminder telephone call one to two days before the s</w:t>
      </w:r>
      <w:r w:rsidR="00543B7E">
        <w:rPr>
          <w:rFonts w:cs="Calibri"/>
          <w:sz w:val="24"/>
          <w:szCs w:val="24"/>
        </w:rPr>
        <w:t>cheduled appointment in a CATI (</w:t>
      </w:r>
      <w:r w:rsidR="0089630F" w:rsidRPr="0089630F">
        <w:rPr>
          <w:rFonts w:cs="Calibri"/>
          <w:sz w:val="24"/>
          <w:szCs w:val="24"/>
        </w:rPr>
        <w:t>Attachment</w:t>
      </w:r>
      <w:r w:rsidR="0089630F" w:rsidRPr="003C4F3A">
        <w:rPr>
          <w:rFonts w:cs="Calibri"/>
          <w:sz w:val="24"/>
          <w:szCs w:val="24"/>
        </w:rPr>
        <w:t xml:space="preserve"> 3.6</w:t>
      </w:r>
      <w:r w:rsidR="00543B7E">
        <w:rPr>
          <w:rFonts w:cs="Calibri"/>
          <w:sz w:val="24"/>
          <w:szCs w:val="24"/>
        </w:rPr>
        <w:t xml:space="preserve"> – Reminder Telephone Script)</w:t>
      </w:r>
      <w:r w:rsidRPr="003C4F3A">
        <w:rPr>
          <w:rFonts w:cs="Calibri"/>
          <w:sz w:val="24"/>
          <w:szCs w:val="24"/>
        </w:rPr>
        <w:t xml:space="preserve">. The study protocol will provide the flexibility to schedule or re-schedule office or home visits. </w:t>
      </w:r>
      <w:r w:rsidR="00711C4D">
        <w:rPr>
          <w:rFonts w:cs="Calibri"/>
          <w:sz w:val="24"/>
          <w:szCs w:val="24"/>
        </w:rPr>
        <w:t>Respondent</w:t>
      </w:r>
      <w:r w:rsidRPr="003C4F3A">
        <w:rPr>
          <w:rFonts w:cs="Calibri"/>
          <w:sz w:val="24"/>
          <w:szCs w:val="24"/>
        </w:rPr>
        <w:t xml:space="preserve">s who are unable or unwilling to come to the study office will be offered an in-home appointment by trained study staff to complete the study. </w:t>
      </w:r>
      <w:r w:rsidR="00711C4D">
        <w:rPr>
          <w:rFonts w:cs="Calibri"/>
          <w:sz w:val="24"/>
          <w:szCs w:val="24"/>
        </w:rPr>
        <w:t>Respondent</w:t>
      </w:r>
      <w:r w:rsidRPr="003C4F3A">
        <w:rPr>
          <w:rFonts w:cs="Calibri"/>
          <w:sz w:val="24"/>
          <w:szCs w:val="24"/>
        </w:rPr>
        <w:t xml:space="preserve">s who request or require a home interview and blood draw must reside within a one-hour drive from the study offices. </w:t>
      </w:r>
      <w:r w:rsidRPr="003C4F3A">
        <w:rPr>
          <w:rFonts w:cs="Calibri"/>
          <w:bCs/>
          <w:sz w:val="24"/>
          <w:szCs w:val="24"/>
        </w:rPr>
        <w:t xml:space="preserve">Missed appointments will be followed up by at least five contact attempts by study staff for rescheduling in order to maximize the number of completed appointments </w:t>
      </w:r>
      <w:r w:rsidR="00297F25">
        <w:rPr>
          <w:rFonts w:cs="Calibri"/>
          <w:bCs/>
          <w:sz w:val="24"/>
          <w:szCs w:val="24"/>
        </w:rPr>
        <w:t>(</w:t>
      </w:r>
      <w:r w:rsidR="0089630F" w:rsidRPr="0089630F">
        <w:rPr>
          <w:rFonts w:cs="Calibri"/>
          <w:sz w:val="24"/>
          <w:szCs w:val="24"/>
        </w:rPr>
        <w:t xml:space="preserve">Attachment </w:t>
      </w:r>
      <w:r w:rsidR="0089630F" w:rsidRPr="003C4F3A">
        <w:rPr>
          <w:rFonts w:cs="Calibri"/>
          <w:bCs/>
          <w:sz w:val="24"/>
          <w:szCs w:val="24"/>
        </w:rPr>
        <w:t>3.7</w:t>
      </w:r>
      <w:r w:rsidRPr="003C4F3A">
        <w:rPr>
          <w:rFonts w:cs="Calibri"/>
          <w:bCs/>
          <w:sz w:val="24"/>
          <w:szCs w:val="24"/>
        </w:rPr>
        <w:t xml:space="preserve"> – Recruitment Tracking Form</w:t>
      </w:r>
      <w:r w:rsidR="00297F25">
        <w:rPr>
          <w:rFonts w:cs="Calibri"/>
          <w:bCs/>
          <w:sz w:val="24"/>
          <w:szCs w:val="24"/>
        </w:rPr>
        <w:t>)</w:t>
      </w:r>
      <w:r w:rsidRPr="003C4F3A">
        <w:rPr>
          <w:rFonts w:cs="Calibri"/>
          <w:bCs/>
          <w:sz w:val="24"/>
          <w:szCs w:val="24"/>
        </w:rPr>
        <w:t>.</w:t>
      </w:r>
    </w:p>
    <w:p w:rsidR="00231C54" w:rsidRPr="003C4F3A" w:rsidRDefault="00231C54" w:rsidP="00921444">
      <w:pPr>
        <w:autoSpaceDE w:val="0"/>
        <w:autoSpaceDN w:val="0"/>
        <w:adjustRightInd w:val="0"/>
        <w:spacing w:after="0" w:line="240" w:lineRule="auto"/>
        <w:jc w:val="both"/>
        <w:rPr>
          <w:rFonts w:cs="Calibri"/>
          <w:b/>
          <w:color w:val="000000"/>
          <w:sz w:val="24"/>
          <w:szCs w:val="24"/>
        </w:rPr>
      </w:pPr>
    </w:p>
    <w:p w:rsidR="00CF4D8B" w:rsidRPr="003C4F3A" w:rsidRDefault="00CF4D8B" w:rsidP="00921444">
      <w:pPr>
        <w:autoSpaceDE w:val="0"/>
        <w:autoSpaceDN w:val="0"/>
        <w:adjustRightInd w:val="0"/>
        <w:spacing w:after="0" w:line="240" w:lineRule="auto"/>
        <w:jc w:val="both"/>
        <w:rPr>
          <w:rFonts w:eastAsia="Times New Roman" w:cs="Calibri"/>
          <w:color w:val="000000"/>
          <w:sz w:val="24"/>
          <w:szCs w:val="24"/>
          <w:lang w:val="en"/>
        </w:rPr>
      </w:pPr>
      <w:r w:rsidRPr="003C4F3A">
        <w:rPr>
          <w:rFonts w:cs="Calibri"/>
          <w:b/>
          <w:bCs/>
          <w:i/>
          <w:iCs/>
          <w:sz w:val="24"/>
          <w:szCs w:val="24"/>
        </w:rPr>
        <w:t>Recruitment conditions specific to the citizens of Anniston:</w:t>
      </w:r>
      <w:r w:rsidRPr="003C4F3A">
        <w:rPr>
          <w:rFonts w:cs="Calibri"/>
          <w:bCs/>
          <w:iCs/>
          <w:sz w:val="24"/>
          <w:szCs w:val="24"/>
        </w:rPr>
        <w:t xml:space="preserve"> </w:t>
      </w:r>
      <w:r w:rsidRPr="003C4F3A">
        <w:rPr>
          <w:rFonts w:cs="Calibri"/>
          <w:sz w:val="24"/>
          <w:szCs w:val="24"/>
        </w:rPr>
        <w:t xml:space="preserve">After decades of controversy, the Anniston community is very aware of the unique nature of its PCB exposure. Four major litigation efforts, three ATSDR health consultations, four U.S EPA consent degrees for soil clean up, and participation in the ACHS have made it clear that Anniston is an environmental justice community. </w:t>
      </w:r>
      <w:r w:rsidRPr="003C4F3A">
        <w:rPr>
          <w:rFonts w:eastAsia="Times New Roman" w:cs="Calibri"/>
          <w:sz w:val="24"/>
          <w:szCs w:val="24"/>
        </w:rPr>
        <w:t>Environmental justice is defined as the “</w:t>
      </w:r>
      <w:r w:rsidRPr="003C4F3A">
        <w:rPr>
          <w:rFonts w:eastAsia="Times New Roman" w:cs="Calibri"/>
          <w:color w:val="000000"/>
          <w:sz w:val="24"/>
          <w:szCs w:val="24"/>
          <w:lang w:val="en"/>
        </w:rPr>
        <w:t xml:space="preserve">fair treatment and meaningful involvement of all people regardless of race, color, national origin, or income with respect to the development, implementation, and enforcement of environmental laws, regulations, and policies (U.S. EPA. See </w:t>
      </w:r>
      <w:hyperlink r:id="rId10" w:history="1">
        <w:r w:rsidRPr="003C4F3A">
          <w:rPr>
            <w:rStyle w:val="Hyperlink"/>
            <w:rFonts w:eastAsia="Times New Roman" w:cs="Calibri"/>
            <w:sz w:val="24"/>
            <w:szCs w:val="24"/>
            <w:lang w:val="en"/>
          </w:rPr>
          <w:t>http://www.epa.gov/environmentaljustice/)</w:t>
        </w:r>
      </w:hyperlink>
      <w:r w:rsidRPr="003C4F3A">
        <w:rPr>
          <w:rFonts w:eastAsia="Times New Roman" w:cs="Calibri"/>
          <w:color w:val="000000"/>
          <w:sz w:val="24"/>
          <w:szCs w:val="24"/>
          <w:lang w:val="en"/>
        </w:rPr>
        <w:t>.</w:t>
      </w:r>
      <w:r w:rsidR="00070E1D">
        <w:rPr>
          <w:rFonts w:eastAsia="Times New Roman" w:cs="Calibri"/>
          <w:color w:val="000000"/>
          <w:sz w:val="24"/>
          <w:szCs w:val="24"/>
          <w:lang w:val="en"/>
        </w:rPr>
        <w:t>)</w:t>
      </w:r>
      <w:r w:rsidRPr="003C4F3A">
        <w:rPr>
          <w:rFonts w:cs="Calibri"/>
          <w:sz w:val="24"/>
          <w:szCs w:val="24"/>
        </w:rPr>
        <w:t xml:space="preserve"> With half of the original study group being African-American and the many decades it took to bring the issue of PCB contamination to light, this community is still deeply affected by feelings of anger, betrayal and distrust towards authorities and government (Dr. Rhoda Johnson, presentation at the community meeting, April 2008). Monsanto never revealed the potential for human exposure to PCBs, the level of environmental contamination in Anniston, or ways to mitigate or prevent human exposure until litigation started. Involvement of government agencies also began in earnest only after the whole issue was widely covered in media.</w:t>
      </w:r>
    </w:p>
    <w:p w:rsidR="00231C54" w:rsidRPr="003C4F3A" w:rsidRDefault="00231C54" w:rsidP="00921444">
      <w:pPr>
        <w:autoSpaceDE w:val="0"/>
        <w:autoSpaceDN w:val="0"/>
        <w:adjustRightInd w:val="0"/>
        <w:spacing w:after="0" w:line="240" w:lineRule="auto"/>
        <w:jc w:val="both"/>
        <w:rPr>
          <w:rFonts w:cs="Calibri"/>
          <w:b/>
          <w:color w:val="000000"/>
          <w:sz w:val="24"/>
          <w:szCs w:val="24"/>
        </w:rPr>
      </w:pPr>
    </w:p>
    <w:p w:rsidR="00231C54" w:rsidRPr="003C4F3A" w:rsidRDefault="00A24D68" w:rsidP="00921444">
      <w:pPr>
        <w:spacing w:after="0" w:line="240" w:lineRule="auto"/>
        <w:jc w:val="both"/>
        <w:rPr>
          <w:rFonts w:cs="Calibri"/>
          <w:sz w:val="24"/>
          <w:szCs w:val="24"/>
        </w:rPr>
      </w:pPr>
      <w:r w:rsidRPr="003C4F3A">
        <w:rPr>
          <w:rFonts w:cs="Calibri"/>
          <w:sz w:val="24"/>
          <w:szCs w:val="24"/>
        </w:rPr>
        <w:t>Historically, the community feels that they were never properly compensated for exposure to toxic substances.</w:t>
      </w:r>
      <w:r>
        <w:rPr>
          <w:rFonts w:cs="Calibri"/>
          <w:sz w:val="24"/>
          <w:szCs w:val="24"/>
        </w:rPr>
        <w:t xml:space="preserve"> </w:t>
      </w:r>
      <w:r w:rsidRPr="003C4F3A">
        <w:rPr>
          <w:rFonts w:cs="Calibri"/>
          <w:sz w:val="24"/>
          <w:szCs w:val="24"/>
        </w:rPr>
        <w:t xml:space="preserve">These </w:t>
      </w:r>
      <w:r>
        <w:rPr>
          <w:rFonts w:cs="Calibri"/>
          <w:sz w:val="24"/>
          <w:szCs w:val="24"/>
        </w:rPr>
        <w:t>C</w:t>
      </w:r>
      <w:r w:rsidRPr="003C4F3A">
        <w:rPr>
          <w:rFonts w:cs="Calibri"/>
          <w:sz w:val="24"/>
          <w:szCs w:val="24"/>
        </w:rPr>
        <w:t xml:space="preserve">ohort members may </w:t>
      </w:r>
      <w:r>
        <w:rPr>
          <w:rFonts w:cs="Calibri"/>
          <w:sz w:val="24"/>
          <w:szCs w:val="24"/>
        </w:rPr>
        <w:t xml:space="preserve">also </w:t>
      </w:r>
      <w:r w:rsidRPr="003C4F3A">
        <w:rPr>
          <w:rFonts w:cs="Calibri"/>
          <w:sz w:val="24"/>
          <w:szCs w:val="24"/>
        </w:rPr>
        <w:t xml:space="preserve">believe that their participation in studies, which </w:t>
      </w:r>
      <w:r>
        <w:rPr>
          <w:rFonts w:cs="Calibri"/>
          <w:sz w:val="24"/>
          <w:szCs w:val="24"/>
        </w:rPr>
        <w:t xml:space="preserve">may provide new scientific information but </w:t>
      </w:r>
      <w:r w:rsidRPr="003C4F3A">
        <w:rPr>
          <w:rFonts w:cs="Calibri"/>
          <w:sz w:val="24"/>
          <w:szCs w:val="24"/>
        </w:rPr>
        <w:t>do</w:t>
      </w:r>
      <w:r>
        <w:rPr>
          <w:rFonts w:cs="Calibri"/>
          <w:sz w:val="24"/>
          <w:szCs w:val="24"/>
        </w:rPr>
        <w:t>es</w:t>
      </w:r>
      <w:r w:rsidRPr="003C4F3A">
        <w:rPr>
          <w:rFonts w:cs="Calibri"/>
          <w:sz w:val="24"/>
          <w:szCs w:val="24"/>
        </w:rPr>
        <w:t xml:space="preserve"> not</w:t>
      </w:r>
      <w:r>
        <w:rPr>
          <w:rFonts w:cs="Calibri"/>
          <w:sz w:val="24"/>
          <w:szCs w:val="24"/>
        </w:rPr>
        <w:t xml:space="preserve"> directly or immediately</w:t>
      </w:r>
      <w:r w:rsidRPr="003C4F3A">
        <w:rPr>
          <w:rFonts w:cs="Calibri"/>
          <w:sz w:val="24"/>
          <w:szCs w:val="24"/>
        </w:rPr>
        <w:t xml:space="preserve"> benefit their </w:t>
      </w:r>
      <w:r>
        <w:rPr>
          <w:rFonts w:cs="Calibri"/>
          <w:sz w:val="24"/>
          <w:szCs w:val="24"/>
        </w:rPr>
        <w:t xml:space="preserve">personal </w:t>
      </w:r>
      <w:r w:rsidRPr="003C4F3A">
        <w:rPr>
          <w:rFonts w:cs="Calibri"/>
          <w:sz w:val="24"/>
          <w:szCs w:val="24"/>
        </w:rPr>
        <w:t>health, may be unwarranted</w:t>
      </w:r>
      <w:r>
        <w:rPr>
          <w:rFonts w:cs="Calibri"/>
          <w:sz w:val="24"/>
          <w:szCs w:val="24"/>
        </w:rPr>
        <w:t>.</w:t>
      </w:r>
      <w:r w:rsidRPr="003C4F3A">
        <w:rPr>
          <w:rFonts w:cs="Calibri"/>
          <w:sz w:val="24"/>
          <w:szCs w:val="24"/>
        </w:rPr>
        <w:t xml:space="preserve"> </w:t>
      </w:r>
      <w:r w:rsidR="0048347F">
        <w:rPr>
          <w:rFonts w:cs="Calibri"/>
          <w:sz w:val="24"/>
          <w:szCs w:val="24"/>
        </w:rPr>
        <w:t>More import</w:t>
      </w:r>
      <w:r w:rsidR="00A540ED">
        <w:rPr>
          <w:rFonts w:cs="Calibri"/>
          <w:sz w:val="24"/>
          <w:szCs w:val="24"/>
        </w:rPr>
        <w:t>antly, the design of the follow-</w:t>
      </w:r>
      <w:r w:rsidR="0048347F">
        <w:rPr>
          <w:rFonts w:cs="Calibri"/>
          <w:sz w:val="24"/>
          <w:szCs w:val="24"/>
        </w:rPr>
        <w:t xml:space="preserve">up study does not allow for replacement participants from the general public; if the former study participants refuse to be involved, we have no way of replacing these individuals. Thus, </w:t>
      </w:r>
      <w:r w:rsidR="007168AF">
        <w:rPr>
          <w:rFonts w:cs="Calibri"/>
          <w:sz w:val="24"/>
          <w:szCs w:val="24"/>
        </w:rPr>
        <w:t xml:space="preserve">to encourage as </w:t>
      </w:r>
      <w:r w:rsidR="0048347F">
        <w:rPr>
          <w:rFonts w:cs="Calibri"/>
          <w:sz w:val="24"/>
          <w:szCs w:val="24"/>
        </w:rPr>
        <w:t xml:space="preserve">many ACHS participants as possible to return for this follow-up study, we propose a </w:t>
      </w:r>
      <w:r w:rsidR="007168AF">
        <w:rPr>
          <w:rFonts w:cs="Calibri"/>
          <w:sz w:val="24"/>
          <w:szCs w:val="24"/>
        </w:rPr>
        <w:t>gif card amount</w:t>
      </w:r>
      <w:r w:rsidR="0048347F">
        <w:rPr>
          <w:rFonts w:cs="Calibri"/>
          <w:sz w:val="24"/>
          <w:szCs w:val="24"/>
        </w:rPr>
        <w:t xml:space="preserve"> higher than in most studies that draw participants from the general population.</w:t>
      </w:r>
    </w:p>
    <w:p w:rsidR="00231C54" w:rsidRPr="003C4F3A" w:rsidRDefault="00231C54" w:rsidP="00921444">
      <w:pPr>
        <w:widowControl w:val="0"/>
        <w:autoSpaceDE w:val="0"/>
        <w:autoSpaceDN w:val="0"/>
        <w:adjustRightInd w:val="0"/>
        <w:spacing w:after="0" w:line="240" w:lineRule="auto"/>
        <w:jc w:val="both"/>
        <w:rPr>
          <w:rFonts w:cs="Calibri"/>
          <w:sz w:val="24"/>
          <w:szCs w:val="24"/>
        </w:rPr>
      </w:pPr>
    </w:p>
    <w:p w:rsidR="00E2439F" w:rsidRDefault="00E33AF6" w:rsidP="00921444">
      <w:pPr>
        <w:widowControl w:val="0"/>
        <w:autoSpaceDE w:val="0"/>
        <w:autoSpaceDN w:val="0"/>
        <w:adjustRightInd w:val="0"/>
        <w:spacing w:after="0" w:line="240" w:lineRule="auto"/>
        <w:jc w:val="both"/>
        <w:rPr>
          <w:rFonts w:cs="Calibri"/>
          <w:bCs/>
          <w:sz w:val="24"/>
          <w:szCs w:val="24"/>
        </w:rPr>
      </w:pPr>
      <w:r>
        <w:rPr>
          <w:rFonts w:cs="Calibri"/>
          <w:sz w:val="24"/>
          <w:szCs w:val="24"/>
        </w:rPr>
        <w:lastRenderedPageBreak/>
        <w:t>A</w:t>
      </w:r>
      <w:r w:rsidR="00231C54" w:rsidRPr="003C4F3A">
        <w:rPr>
          <w:rFonts w:cs="Calibri"/>
          <w:sz w:val="24"/>
          <w:szCs w:val="24"/>
        </w:rPr>
        <w:t xml:space="preserve">s a token of thanks for </w:t>
      </w:r>
      <w:r w:rsidR="00711C4D">
        <w:rPr>
          <w:rFonts w:cs="Calibri"/>
          <w:sz w:val="24"/>
          <w:szCs w:val="24"/>
        </w:rPr>
        <w:t>respondent</w:t>
      </w:r>
      <w:r w:rsidR="00231C54" w:rsidRPr="003C4F3A">
        <w:rPr>
          <w:rFonts w:cs="Calibri"/>
          <w:sz w:val="24"/>
          <w:szCs w:val="24"/>
        </w:rPr>
        <w:t>s’ interest, and for their willingness to provide 125-ml of blood, a $</w:t>
      </w:r>
      <w:r w:rsidR="00AC5A7A">
        <w:rPr>
          <w:rFonts w:cs="Calibri"/>
          <w:sz w:val="24"/>
          <w:szCs w:val="24"/>
        </w:rPr>
        <w:t>150</w:t>
      </w:r>
      <w:r w:rsidR="00231C54" w:rsidRPr="003C4F3A">
        <w:rPr>
          <w:rFonts w:cs="Calibri"/>
          <w:sz w:val="24"/>
          <w:szCs w:val="24"/>
        </w:rPr>
        <w:t xml:space="preserve"> gift card will be offered to each </w:t>
      </w:r>
      <w:r w:rsidR="00711C4D">
        <w:rPr>
          <w:rFonts w:cs="Calibri"/>
          <w:sz w:val="24"/>
          <w:szCs w:val="24"/>
        </w:rPr>
        <w:t>respondent</w:t>
      </w:r>
      <w:r w:rsidR="00231C54" w:rsidRPr="003C4F3A">
        <w:rPr>
          <w:rFonts w:cs="Calibri"/>
          <w:sz w:val="24"/>
          <w:szCs w:val="24"/>
        </w:rPr>
        <w:t xml:space="preserve"> who takes part in both the interview and the blood draw. If the </w:t>
      </w:r>
      <w:r w:rsidR="00711C4D">
        <w:rPr>
          <w:rFonts w:cs="Calibri"/>
          <w:sz w:val="24"/>
          <w:szCs w:val="24"/>
        </w:rPr>
        <w:t>respondent</w:t>
      </w:r>
      <w:r w:rsidR="00231C54" w:rsidRPr="003C4F3A">
        <w:rPr>
          <w:rFonts w:cs="Calibri"/>
          <w:sz w:val="24"/>
          <w:szCs w:val="24"/>
        </w:rPr>
        <w:t xml:space="preserve"> must (such as for a safety precaution against a blood draw) or chooses to take </w:t>
      </w:r>
      <w:r w:rsidR="00C14D05">
        <w:rPr>
          <w:rFonts w:cs="Calibri"/>
          <w:sz w:val="24"/>
          <w:szCs w:val="24"/>
        </w:rPr>
        <w:t>part only in the interview, a $</w:t>
      </w:r>
      <w:r w:rsidR="00AC5A7A">
        <w:rPr>
          <w:rFonts w:cs="Calibri"/>
          <w:sz w:val="24"/>
          <w:szCs w:val="24"/>
        </w:rPr>
        <w:t>75</w:t>
      </w:r>
      <w:r w:rsidR="00231C54" w:rsidRPr="003C4F3A">
        <w:rPr>
          <w:rFonts w:cs="Calibri"/>
          <w:sz w:val="24"/>
          <w:szCs w:val="24"/>
        </w:rPr>
        <w:t xml:space="preserve"> gift card will be offered; likewise, for choosing to take part only in the blood draw, a $</w:t>
      </w:r>
      <w:r w:rsidR="00AC5A7A">
        <w:rPr>
          <w:rFonts w:cs="Calibri"/>
          <w:sz w:val="24"/>
          <w:szCs w:val="24"/>
        </w:rPr>
        <w:t>75</w:t>
      </w:r>
      <w:r w:rsidR="00231C54" w:rsidRPr="003C4F3A">
        <w:rPr>
          <w:rFonts w:cs="Calibri"/>
          <w:sz w:val="24"/>
          <w:szCs w:val="24"/>
        </w:rPr>
        <w:t xml:space="preserve"> gift card will be offered. </w:t>
      </w:r>
      <w:r w:rsidR="00231C54" w:rsidRPr="003C4F3A">
        <w:rPr>
          <w:rFonts w:cs="Calibri"/>
          <w:bCs/>
          <w:sz w:val="24"/>
          <w:szCs w:val="24"/>
        </w:rPr>
        <w:t>Payments will be documented on</w:t>
      </w:r>
      <w:r w:rsidR="00543B7E">
        <w:rPr>
          <w:rFonts w:cs="Calibri"/>
          <w:bCs/>
          <w:sz w:val="24"/>
          <w:szCs w:val="24"/>
        </w:rPr>
        <w:t xml:space="preserve"> the Appointment Tracking Form (</w:t>
      </w:r>
      <w:r w:rsidR="0089630F" w:rsidRPr="0089630F">
        <w:rPr>
          <w:rFonts w:cs="Calibri"/>
          <w:sz w:val="24"/>
          <w:szCs w:val="24"/>
        </w:rPr>
        <w:t>Attachment</w:t>
      </w:r>
      <w:r w:rsidR="0089630F" w:rsidRPr="003C4F3A">
        <w:rPr>
          <w:rFonts w:cs="Calibri"/>
          <w:bCs/>
          <w:sz w:val="24"/>
          <w:szCs w:val="24"/>
        </w:rPr>
        <w:t xml:space="preserve"> 3.14</w:t>
      </w:r>
      <w:r w:rsidR="00543B7E">
        <w:rPr>
          <w:rFonts w:cs="Calibri"/>
          <w:bCs/>
          <w:sz w:val="24"/>
          <w:szCs w:val="24"/>
        </w:rPr>
        <w:t>).</w:t>
      </w:r>
      <w:r w:rsidR="00297F25">
        <w:rPr>
          <w:rFonts w:cs="Calibri"/>
          <w:bCs/>
          <w:sz w:val="24"/>
          <w:szCs w:val="24"/>
        </w:rPr>
        <w:t xml:space="preserve"> A detailed discussion of proposed tokens of appreciation is provided in Section A.9.</w:t>
      </w:r>
    </w:p>
    <w:p w:rsidR="00E2439F" w:rsidRPr="003C4F3A" w:rsidRDefault="00E2439F" w:rsidP="00921444">
      <w:pPr>
        <w:widowControl w:val="0"/>
        <w:autoSpaceDE w:val="0"/>
        <w:autoSpaceDN w:val="0"/>
        <w:adjustRightInd w:val="0"/>
        <w:spacing w:after="0" w:line="240" w:lineRule="auto"/>
        <w:jc w:val="both"/>
        <w:rPr>
          <w:rFonts w:cs="Calibri"/>
          <w:bCs/>
          <w:sz w:val="24"/>
          <w:szCs w:val="24"/>
        </w:rPr>
      </w:pPr>
    </w:p>
    <w:p w:rsidR="00DB03A0" w:rsidRPr="00DB03A0" w:rsidRDefault="00DF4F13" w:rsidP="00DB03A0">
      <w:pPr>
        <w:widowControl w:val="0"/>
        <w:autoSpaceDE w:val="0"/>
        <w:autoSpaceDN w:val="0"/>
        <w:adjustRightInd w:val="0"/>
        <w:spacing w:after="0" w:line="240" w:lineRule="auto"/>
        <w:jc w:val="both"/>
        <w:rPr>
          <w:rFonts w:cs="Calibri"/>
          <w:bCs/>
          <w:sz w:val="24"/>
          <w:szCs w:val="24"/>
        </w:rPr>
      </w:pPr>
      <w:r>
        <w:rPr>
          <w:rFonts w:cs="Calibri"/>
          <w:b/>
          <w:bCs/>
          <w:i/>
          <w:sz w:val="24"/>
          <w:szCs w:val="24"/>
        </w:rPr>
        <w:t xml:space="preserve">Characteristic </w:t>
      </w:r>
      <w:r w:rsidR="00E2439F" w:rsidRPr="008170C3">
        <w:rPr>
          <w:rFonts w:cs="Calibri"/>
          <w:b/>
          <w:bCs/>
          <w:i/>
          <w:sz w:val="24"/>
          <w:szCs w:val="24"/>
        </w:rPr>
        <w:t>of non-response/</w:t>
      </w:r>
      <w:r>
        <w:rPr>
          <w:rFonts w:cs="Calibri"/>
          <w:b/>
          <w:bCs/>
          <w:i/>
          <w:sz w:val="24"/>
          <w:szCs w:val="24"/>
        </w:rPr>
        <w:t xml:space="preserve">non-response </w:t>
      </w:r>
      <w:r w:rsidR="00E2439F" w:rsidRPr="008170C3">
        <w:rPr>
          <w:rFonts w:cs="Calibri"/>
          <w:b/>
          <w:bCs/>
          <w:i/>
          <w:sz w:val="24"/>
          <w:szCs w:val="24"/>
        </w:rPr>
        <w:t>analyses plan:</w:t>
      </w:r>
      <w:r w:rsidR="004E4FF2">
        <w:rPr>
          <w:rFonts w:cs="Calibri"/>
          <w:bCs/>
          <w:sz w:val="24"/>
          <w:szCs w:val="24"/>
        </w:rPr>
        <w:t xml:space="preserve"> </w:t>
      </w:r>
      <w:r w:rsidR="00A918AC">
        <w:rPr>
          <w:rFonts w:cs="Calibri"/>
          <w:bCs/>
          <w:sz w:val="24"/>
          <w:szCs w:val="24"/>
        </w:rPr>
        <w:t>R</w:t>
      </w:r>
      <w:r w:rsidR="00A918AC" w:rsidRPr="00DB03A0">
        <w:rPr>
          <w:rFonts w:cs="Calibri"/>
          <w:bCs/>
          <w:sz w:val="24"/>
          <w:szCs w:val="24"/>
        </w:rPr>
        <w:t>egarding the original ACHS</w:t>
      </w:r>
      <w:r w:rsidR="00A918AC">
        <w:rPr>
          <w:rFonts w:cs="Calibri"/>
          <w:bCs/>
          <w:sz w:val="24"/>
          <w:szCs w:val="24"/>
        </w:rPr>
        <w:t>, w</w:t>
      </w:r>
      <w:r w:rsidR="00E33AF6">
        <w:rPr>
          <w:rFonts w:cs="Calibri"/>
          <w:bCs/>
          <w:sz w:val="24"/>
          <w:szCs w:val="24"/>
        </w:rPr>
        <w:t xml:space="preserve">e conducted </w:t>
      </w:r>
      <w:r w:rsidR="00982245">
        <w:rPr>
          <w:rFonts w:cs="Calibri"/>
          <w:bCs/>
          <w:sz w:val="24"/>
          <w:szCs w:val="24"/>
        </w:rPr>
        <w:t>some</w:t>
      </w:r>
      <w:r w:rsidR="00AD7225">
        <w:rPr>
          <w:rFonts w:cs="Calibri"/>
          <w:bCs/>
          <w:sz w:val="24"/>
          <w:szCs w:val="24"/>
        </w:rPr>
        <w:t xml:space="preserve"> basic</w:t>
      </w:r>
      <w:r w:rsidR="00982245">
        <w:rPr>
          <w:rFonts w:cs="Calibri"/>
          <w:bCs/>
          <w:sz w:val="24"/>
          <w:szCs w:val="24"/>
        </w:rPr>
        <w:t xml:space="preserve"> analyse</w:t>
      </w:r>
      <w:r w:rsidR="00A04629">
        <w:rPr>
          <w:rFonts w:cs="Calibri"/>
          <w:bCs/>
          <w:sz w:val="24"/>
          <w:szCs w:val="24"/>
        </w:rPr>
        <w:t>s of non-response. The table in Attachment 9</w:t>
      </w:r>
      <w:r w:rsidR="00982245">
        <w:rPr>
          <w:rFonts w:cs="Calibri"/>
          <w:bCs/>
          <w:sz w:val="24"/>
          <w:szCs w:val="24"/>
        </w:rPr>
        <w:t xml:space="preserve"> </w:t>
      </w:r>
      <w:r w:rsidR="00DB03A0" w:rsidRPr="00DB03A0">
        <w:rPr>
          <w:rFonts w:cs="Calibri"/>
          <w:bCs/>
          <w:sz w:val="24"/>
          <w:szCs w:val="24"/>
        </w:rPr>
        <w:t>shows characteristi</w:t>
      </w:r>
      <w:r w:rsidR="00A30F9F">
        <w:rPr>
          <w:rFonts w:cs="Calibri"/>
          <w:bCs/>
          <w:sz w:val="24"/>
          <w:szCs w:val="24"/>
        </w:rPr>
        <w:t xml:space="preserve">cs of ACHS non-participants, </w:t>
      </w:r>
      <w:r w:rsidR="00DB03A0" w:rsidRPr="00DB03A0">
        <w:rPr>
          <w:rFonts w:cs="Calibri"/>
          <w:bCs/>
          <w:sz w:val="24"/>
          <w:szCs w:val="24"/>
        </w:rPr>
        <w:t>participants</w:t>
      </w:r>
      <w:r w:rsidR="00A30F9F">
        <w:rPr>
          <w:rFonts w:cs="Calibri"/>
          <w:bCs/>
          <w:sz w:val="24"/>
          <w:szCs w:val="24"/>
        </w:rPr>
        <w:t xml:space="preserve"> who completed only the interview, participants who completed </w:t>
      </w:r>
      <w:r w:rsidR="007401B5">
        <w:rPr>
          <w:rFonts w:cs="Calibri"/>
          <w:bCs/>
          <w:sz w:val="24"/>
          <w:szCs w:val="24"/>
        </w:rPr>
        <w:t xml:space="preserve">the </w:t>
      </w:r>
      <w:r w:rsidR="00A30F9F">
        <w:rPr>
          <w:rFonts w:cs="Calibri"/>
          <w:bCs/>
          <w:sz w:val="24"/>
          <w:szCs w:val="24"/>
        </w:rPr>
        <w:t>interview and had PCBs measure</w:t>
      </w:r>
      <w:r w:rsidR="007401B5">
        <w:rPr>
          <w:rFonts w:cs="Calibri"/>
          <w:bCs/>
          <w:sz w:val="24"/>
          <w:szCs w:val="24"/>
        </w:rPr>
        <w:t>d</w:t>
      </w:r>
      <w:r w:rsidR="00A30F9F">
        <w:rPr>
          <w:rFonts w:cs="Calibri"/>
          <w:bCs/>
          <w:sz w:val="24"/>
          <w:szCs w:val="24"/>
        </w:rPr>
        <w:t>,</w:t>
      </w:r>
      <w:r w:rsidR="00DB03A0" w:rsidRPr="00DB03A0">
        <w:rPr>
          <w:rFonts w:cs="Calibri"/>
          <w:bCs/>
          <w:sz w:val="24"/>
          <w:szCs w:val="24"/>
        </w:rPr>
        <w:t xml:space="preserve"> as well as comparative information about residents of Anniston and of Calhoun County. </w:t>
      </w:r>
    </w:p>
    <w:p w:rsidR="00DB03A0" w:rsidRPr="00DB03A0" w:rsidRDefault="00DB03A0" w:rsidP="00DB03A0">
      <w:pPr>
        <w:widowControl w:val="0"/>
        <w:autoSpaceDE w:val="0"/>
        <w:autoSpaceDN w:val="0"/>
        <w:adjustRightInd w:val="0"/>
        <w:spacing w:after="0" w:line="240" w:lineRule="auto"/>
        <w:jc w:val="both"/>
        <w:rPr>
          <w:rFonts w:cs="Calibri"/>
          <w:bCs/>
          <w:sz w:val="24"/>
          <w:szCs w:val="24"/>
        </w:rPr>
      </w:pPr>
    </w:p>
    <w:p w:rsidR="00F178FE" w:rsidRDefault="00DB03A0" w:rsidP="00DB03A0">
      <w:pPr>
        <w:widowControl w:val="0"/>
        <w:autoSpaceDE w:val="0"/>
        <w:autoSpaceDN w:val="0"/>
        <w:adjustRightInd w:val="0"/>
        <w:spacing w:after="0" w:line="240" w:lineRule="auto"/>
        <w:jc w:val="both"/>
        <w:rPr>
          <w:rFonts w:cs="Calibri"/>
          <w:bCs/>
          <w:i/>
          <w:sz w:val="24"/>
          <w:szCs w:val="24"/>
        </w:rPr>
      </w:pPr>
      <w:r w:rsidRPr="00DB03A0">
        <w:rPr>
          <w:rFonts w:cs="Calibri"/>
          <w:bCs/>
          <w:sz w:val="24"/>
          <w:szCs w:val="24"/>
        </w:rPr>
        <w:t>The non-parti</w:t>
      </w:r>
      <w:r w:rsidR="00982245">
        <w:rPr>
          <w:rFonts w:cs="Calibri"/>
          <w:bCs/>
          <w:sz w:val="24"/>
          <w:szCs w:val="24"/>
        </w:rPr>
        <w:t xml:space="preserve">cipants shown in the table (n=737) </w:t>
      </w:r>
      <w:r w:rsidR="002D5E28">
        <w:rPr>
          <w:rFonts w:cs="Calibri"/>
          <w:bCs/>
          <w:sz w:val="24"/>
          <w:szCs w:val="24"/>
        </w:rPr>
        <w:t>are persons</w:t>
      </w:r>
      <w:r w:rsidR="00A30F9F">
        <w:rPr>
          <w:rFonts w:cs="Calibri"/>
          <w:bCs/>
          <w:sz w:val="24"/>
          <w:szCs w:val="24"/>
        </w:rPr>
        <w:t xml:space="preserve"> from</w:t>
      </w:r>
      <w:r w:rsidRPr="00DB03A0">
        <w:rPr>
          <w:rFonts w:cs="Calibri"/>
          <w:bCs/>
          <w:sz w:val="24"/>
          <w:szCs w:val="24"/>
        </w:rPr>
        <w:t xml:space="preserve"> </w:t>
      </w:r>
      <w:r w:rsidR="00A30F9F">
        <w:rPr>
          <w:rFonts w:cs="Calibri"/>
          <w:bCs/>
          <w:sz w:val="24"/>
          <w:szCs w:val="24"/>
        </w:rPr>
        <w:t xml:space="preserve">713 </w:t>
      </w:r>
      <w:r w:rsidRPr="00DB03A0">
        <w:rPr>
          <w:rFonts w:cs="Calibri"/>
          <w:bCs/>
          <w:sz w:val="24"/>
          <w:szCs w:val="24"/>
        </w:rPr>
        <w:t xml:space="preserve">households that were contacted but declined to participate. They were asked about their age, race, </w:t>
      </w:r>
      <w:proofErr w:type="gramStart"/>
      <w:r w:rsidRPr="00DB03A0">
        <w:rPr>
          <w:rFonts w:cs="Calibri"/>
          <w:bCs/>
          <w:sz w:val="24"/>
          <w:szCs w:val="24"/>
        </w:rPr>
        <w:t>sex</w:t>
      </w:r>
      <w:proofErr w:type="gramEnd"/>
      <w:r w:rsidR="00982245">
        <w:rPr>
          <w:rFonts w:cs="Calibri"/>
          <w:bCs/>
          <w:sz w:val="24"/>
          <w:szCs w:val="24"/>
        </w:rPr>
        <w:t>, residence in west or east Anniston,</w:t>
      </w:r>
      <w:r w:rsidRPr="00DB03A0">
        <w:rPr>
          <w:rFonts w:cs="Calibri"/>
          <w:bCs/>
          <w:sz w:val="24"/>
          <w:szCs w:val="24"/>
        </w:rPr>
        <w:t xml:space="preserve"> and why they did not wish to participate. </w:t>
      </w:r>
      <w:r w:rsidR="00982245">
        <w:rPr>
          <w:rFonts w:cs="Calibri"/>
          <w:bCs/>
          <w:sz w:val="24"/>
          <w:szCs w:val="24"/>
        </w:rPr>
        <w:t>S</w:t>
      </w:r>
      <w:r w:rsidR="00982245" w:rsidRPr="00DB03A0">
        <w:rPr>
          <w:rFonts w:cs="Calibri"/>
          <w:bCs/>
          <w:sz w:val="24"/>
          <w:szCs w:val="24"/>
        </w:rPr>
        <w:t>ampling in the original study was bas</w:t>
      </w:r>
      <w:r w:rsidR="00982245">
        <w:rPr>
          <w:rFonts w:cs="Calibri"/>
          <w:bCs/>
          <w:sz w:val="24"/>
          <w:szCs w:val="24"/>
        </w:rPr>
        <w:t>ed on housing units located in w</w:t>
      </w:r>
      <w:r w:rsidR="00982245" w:rsidRPr="00DB03A0">
        <w:rPr>
          <w:rFonts w:cs="Calibri"/>
          <w:bCs/>
          <w:sz w:val="24"/>
          <w:szCs w:val="24"/>
        </w:rPr>
        <w:t>est Anniston (proximate to soi</w:t>
      </w:r>
      <w:r w:rsidR="00982245">
        <w:rPr>
          <w:rFonts w:cs="Calibri"/>
          <w:bCs/>
          <w:sz w:val="24"/>
          <w:szCs w:val="24"/>
        </w:rPr>
        <w:t>l and water PCBs contamination) and e</w:t>
      </w:r>
      <w:r w:rsidR="00982245" w:rsidRPr="00DB03A0">
        <w:rPr>
          <w:rFonts w:cs="Calibri"/>
          <w:bCs/>
          <w:sz w:val="24"/>
          <w:szCs w:val="24"/>
        </w:rPr>
        <w:t>ast Anniston (</w:t>
      </w:r>
      <w:r w:rsidR="00982245">
        <w:rPr>
          <w:rFonts w:cs="Calibri"/>
          <w:bCs/>
          <w:sz w:val="24"/>
          <w:szCs w:val="24"/>
        </w:rPr>
        <w:t>remote from</w:t>
      </w:r>
      <w:r w:rsidR="00982245" w:rsidRPr="00DB03A0">
        <w:rPr>
          <w:rFonts w:cs="Calibri"/>
          <w:bCs/>
          <w:sz w:val="24"/>
          <w:szCs w:val="24"/>
        </w:rPr>
        <w:t xml:space="preserve"> contamination). </w:t>
      </w:r>
      <w:r w:rsidRPr="00DB03A0">
        <w:rPr>
          <w:rFonts w:cs="Calibri"/>
          <w:bCs/>
          <w:sz w:val="24"/>
          <w:szCs w:val="24"/>
        </w:rPr>
        <w:t xml:space="preserve">As shown in the table, </w:t>
      </w:r>
      <w:r w:rsidR="00760ABF">
        <w:rPr>
          <w:rFonts w:cs="Calibri"/>
          <w:bCs/>
          <w:sz w:val="24"/>
          <w:szCs w:val="24"/>
        </w:rPr>
        <w:t>it is difficult to compare these</w:t>
      </w:r>
      <w:r w:rsidR="00A918AC">
        <w:rPr>
          <w:rFonts w:cs="Calibri"/>
          <w:bCs/>
          <w:sz w:val="24"/>
          <w:szCs w:val="24"/>
        </w:rPr>
        <w:t xml:space="preserve"> </w:t>
      </w:r>
      <w:r w:rsidR="00982245">
        <w:rPr>
          <w:rFonts w:cs="Calibri"/>
          <w:bCs/>
          <w:sz w:val="24"/>
          <w:szCs w:val="24"/>
        </w:rPr>
        <w:t>demo</w:t>
      </w:r>
      <w:r w:rsidR="00A30F9F">
        <w:rPr>
          <w:rFonts w:cs="Calibri"/>
          <w:bCs/>
          <w:sz w:val="24"/>
          <w:szCs w:val="24"/>
        </w:rPr>
        <w:t>graphic characteristics</w:t>
      </w:r>
      <w:r w:rsidR="00A918AC">
        <w:rPr>
          <w:rFonts w:cs="Calibri"/>
          <w:bCs/>
          <w:sz w:val="24"/>
          <w:szCs w:val="24"/>
        </w:rPr>
        <w:t xml:space="preserve"> because of missing data for non-participants</w:t>
      </w:r>
      <w:r w:rsidR="008170C3">
        <w:rPr>
          <w:rFonts w:cs="Calibri"/>
          <w:bCs/>
          <w:sz w:val="24"/>
          <w:szCs w:val="24"/>
        </w:rPr>
        <w:t xml:space="preserve"> (22%-60%)</w:t>
      </w:r>
      <w:r w:rsidR="00425B15">
        <w:rPr>
          <w:rFonts w:cs="Calibri"/>
          <w:bCs/>
          <w:sz w:val="24"/>
          <w:szCs w:val="24"/>
        </w:rPr>
        <w:t>. W</w:t>
      </w:r>
      <w:r w:rsidR="00425B15" w:rsidRPr="008170C3">
        <w:rPr>
          <w:rFonts w:cs="Calibri"/>
          <w:bCs/>
          <w:sz w:val="24"/>
          <w:szCs w:val="24"/>
        </w:rPr>
        <w:t>e did not conduct statistical tests whether these proportions were statistically significant</w:t>
      </w:r>
      <w:r w:rsidR="00425B15" w:rsidRPr="00561A3B">
        <w:rPr>
          <w:rFonts w:cs="Calibri"/>
          <w:bCs/>
          <w:sz w:val="24"/>
          <w:szCs w:val="24"/>
        </w:rPr>
        <w:t>ly different</w:t>
      </w:r>
      <w:r w:rsidR="00425B15">
        <w:rPr>
          <w:rFonts w:cs="Calibri"/>
          <w:bCs/>
          <w:sz w:val="24"/>
          <w:szCs w:val="24"/>
        </w:rPr>
        <w:t xml:space="preserve">. </w:t>
      </w:r>
      <w:r w:rsidR="008170C3">
        <w:rPr>
          <w:rFonts w:cs="Calibri"/>
          <w:bCs/>
          <w:sz w:val="24"/>
          <w:szCs w:val="24"/>
        </w:rPr>
        <w:t>G</w:t>
      </w:r>
      <w:r w:rsidR="00A918AC">
        <w:rPr>
          <w:rFonts w:cs="Calibri"/>
          <w:bCs/>
          <w:sz w:val="24"/>
          <w:szCs w:val="24"/>
        </w:rPr>
        <w:t>enerally</w:t>
      </w:r>
      <w:r w:rsidR="008170C3">
        <w:rPr>
          <w:rFonts w:cs="Calibri"/>
          <w:bCs/>
          <w:sz w:val="24"/>
          <w:szCs w:val="24"/>
        </w:rPr>
        <w:t>,</w:t>
      </w:r>
      <w:r w:rsidR="00A918AC">
        <w:rPr>
          <w:rFonts w:cs="Calibri"/>
          <w:bCs/>
          <w:sz w:val="24"/>
          <w:szCs w:val="24"/>
        </w:rPr>
        <w:t xml:space="preserve"> the</w:t>
      </w:r>
      <w:r w:rsidR="00425B15">
        <w:rPr>
          <w:rFonts w:cs="Calibri"/>
          <w:bCs/>
          <w:sz w:val="24"/>
          <w:szCs w:val="24"/>
        </w:rPr>
        <w:t xml:space="preserve"> proportion of males and Whites was similar between participants and non-participants.</w:t>
      </w:r>
      <w:r w:rsidR="00A918AC" w:rsidRPr="008170C3">
        <w:rPr>
          <w:rFonts w:cs="Calibri"/>
          <w:bCs/>
          <w:i/>
          <w:sz w:val="24"/>
          <w:szCs w:val="24"/>
        </w:rPr>
        <w:t xml:space="preserve"> </w:t>
      </w:r>
      <w:r w:rsidR="008A3F04">
        <w:rPr>
          <w:rFonts w:cs="Calibri"/>
          <w:bCs/>
          <w:sz w:val="24"/>
          <w:szCs w:val="24"/>
        </w:rPr>
        <w:t>Per sampling design</w:t>
      </w:r>
      <w:r w:rsidR="007401B5">
        <w:rPr>
          <w:rFonts w:cs="Calibri"/>
          <w:bCs/>
          <w:sz w:val="24"/>
          <w:szCs w:val="24"/>
        </w:rPr>
        <w:t>, the</w:t>
      </w:r>
      <w:r w:rsidR="008A3F04">
        <w:rPr>
          <w:rFonts w:cs="Calibri"/>
          <w:bCs/>
          <w:sz w:val="24"/>
          <w:szCs w:val="24"/>
        </w:rPr>
        <w:t xml:space="preserve"> majority of contacted individuals were from west Anniston. This proportion was higher in participants (84%) than in non-participants (72%). </w:t>
      </w:r>
      <w:r w:rsidR="007401B5">
        <w:rPr>
          <w:rFonts w:cs="Calibri"/>
          <w:bCs/>
          <w:sz w:val="24"/>
          <w:szCs w:val="24"/>
        </w:rPr>
        <w:t>The m</w:t>
      </w:r>
      <w:r w:rsidR="00F178FE">
        <w:rPr>
          <w:rFonts w:cs="Calibri"/>
          <w:bCs/>
          <w:sz w:val="24"/>
          <w:szCs w:val="24"/>
        </w:rPr>
        <w:t>ost frequent reasons for refusal were “Not interested” (</w:t>
      </w:r>
      <w:r w:rsidR="008A3F04">
        <w:rPr>
          <w:rFonts w:cs="Calibri"/>
          <w:bCs/>
          <w:sz w:val="24"/>
          <w:szCs w:val="24"/>
        </w:rPr>
        <w:t>41</w:t>
      </w:r>
      <w:r w:rsidR="00F178FE">
        <w:rPr>
          <w:rFonts w:cs="Calibri"/>
          <w:bCs/>
          <w:sz w:val="24"/>
          <w:szCs w:val="24"/>
        </w:rPr>
        <w:t>%), “No response given”</w:t>
      </w:r>
      <w:r w:rsidR="008A3F04">
        <w:rPr>
          <w:rFonts w:cs="Calibri"/>
          <w:bCs/>
          <w:sz w:val="24"/>
          <w:szCs w:val="24"/>
        </w:rPr>
        <w:t xml:space="preserve"> (35</w:t>
      </w:r>
      <w:r w:rsidR="00F178FE">
        <w:rPr>
          <w:rFonts w:cs="Calibri"/>
          <w:bCs/>
          <w:sz w:val="24"/>
          <w:szCs w:val="24"/>
        </w:rPr>
        <w:t>%), “Too busy” (12%), and “</w:t>
      </w:r>
      <w:r w:rsidR="008A3F04">
        <w:rPr>
          <w:rFonts w:cs="Calibri"/>
          <w:bCs/>
          <w:sz w:val="24"/>
          <w:szCs w:val="24"/>
        </w:rPr>
        <w:t>Health issues</w:t>
      </w:r>
      <w:r w:rsidR="00F178FE">
        <w:rPr>
          <w:rFonts w:cs="Calibri"/>
          <w:bCs/>
          <w:sz w:val="24"/>
          <w:szCs w:val="24"/>
        </w:rPr>
        <w:t>”</w:t>
      </w:r>
      <w:r w:rsidR="008A3F04">
        <w:rPr>
          <w:rFonts w:cs="Calibri"/>
          <w:bCs/>
          <w:sz w:val="24"/>
          <w:szCs w:val="24"/>
        </w:rPr>
        <w:t xml:space="preserve"> (5.7</w:t>
      </w:r>
      <w:r w:rsidR="00F178FE">
        <w:rPr>
          <w:rFonts w:cs="Calibri"/>
          <w:bCs/>
          <w:sz w:val="24"/>
          <w:szCs w:val="24"/>
        </w:rPr>
        <w:t>%)</w:t>
      </w:r>
      <w:r w:rsidR="00A04629">
        <w:rPr>
          <w:rFonts w:cs="Calibri"/>
          <w:bCs/>
          <w:sz w:val="24"/>
          <w:szCs w:val="24"/>
        </w:rPr>
        <w:t xml:space="preserve"> </w:t>
      </w:r>
      <w:proofErr w:type="gramStart"/>
      <w:r w:rsidR="00A04629">
        <w:rPr>
          <w:rFonts w:cs="Calibri"/>
          <w:bCs/>
          <w:sz w:val="24"/>
          <w:szCs w:val="24"/>
        </w:rPr>
        <w:t>(Attachment 9)</w:t>
      </w:r>
      <w:r w:rsidR="00F178FE">
        <w:rPr>
          <w:rFonts w:cs="Calibri"/>
          <w:bCs/>
          <w:sz w:val="24"/>
          <w:szCs w:val="24"/>
        </w:rPr>
        <w:t>.</w:t>
      </w:r>
      <w:proofErr w:type="gramEnd"/>
    </w:p>
    <w:p w:rsidR="00F178FE" w:rsidRDefault="00F178FE" w:rsidP="00DB03A0">
      <w:pPr>
        <w:widowControl w:val="0"/>
        <w:autoSpaceDE w:val="0"/>
        <w:autoSpaceDN w:val="0"/>
        <w:adjustRightInd w:val="0"/>
        <w:spacing w:after="0" w:line="240" w:lineRule="auto"/>
        <w:jc w:val="both"/>
        <w:rPr>
          <w:rFonts w:cs="Calibri"/>
          <w:bCs/>
          <w:i/>
          <w:sz w:val="24"/>
          <w:szCs w:val="24"/>
        </w:rPr>
      </w:pPr>
    </w:p>
    <w:p w:rsidR="00DB03A0" w:rsidRPr="00DB03A0" w:rsidRDefault="00A918AC" w:rsidP="00DB03A0">
      <w:pPr>
        <w:widowControl w:val="0"/>
        <w:autoSpaceDE w:val="0"/>
        <w:autoSpaceDN w:val="0"/>
        <w:adjustRightInd w:val="0"/>
        <w:spacing w:after="0" w:line="240" w:lineRule="auto"/>
        <w:jc w:val="both"/>
        <w:rPr>
          <w:rFonts w:cs="Calibri"/>
          <w:bCs/>
          <w:sz w:val="24"/>
          <w:szCs w:val="24"/>
        </w:rPr>
      </w:pPr>
      <w:r w:rsidRPr="008170C3">
        <w:rPr>
          <w:rFonts w:cs="Calibri"/>
          <w:bCs/>
          <w:sz w:val="24"/>
          <w:szCs w:val="24"/>
        </w:rPr>
        <w:t>Participants</w:t>
      </w:r>
      <w:r w:rsidR="008170C3" w:rsidRPr="008170C3">
        <w:rPr>
          <w:rFonts w:cs="Calibri"/>
          <w:bCs/>
          <w:sz w:val="24"/>
          <w:szCs w:val="24"/>
        </w:rPr>
        <w:t>’</w:t>
      </w:r>
      <w:r w:rsidRPr="008170C3">
        <w:rPr>
          <w:rFonts w:cs="Calibri"/>
          <w:bCs/>
          <w:sz w:val="24"/>
          <w:szCs w:val="24"/>
        </w:rPr>
        <w:t xml:space="preserve"> race and age distribution</w:t>
      </w:r>
      <w:r w:rsidR="007401B5">
        <w:rPr>
          <w:rFonts w:cs="Calibri"/>
          <w:bCs/>
          <w:sz w:val="24"/>
          <w:szCs w:val="24"/>
        </w:rPr>
        <w:t>s</w:t>
      </w:r>
      <w:r w:rsidRPr="008170C3">
        <w:rPr>
          <w:rFonts w:cs="Calibri"/>
          <w:bCs/>
          <w:sz w:val="24"/>
          <w:szCs w:val="24"/>
        </w:rPr>
        <w:t xml:space="preserve"> </w:t>
      </w:r>
      <w:r w:rsidR="007401B5">
        <w:rPr>
          <w:rFonts w:cs="Calibri"/>
          <w:bCs/>
          <w:sz w:val="24"/>
          <w:szCs w:val="24"/>
        </w:rPr>
        <w:t xml:space="preserve">were </w:t>
      </w:r>
      <w:r w:rsidRPr="008170C3">
        <w:rPr>
          <w:rFonts w:cs="Calibri"/>
          <w:bCs/>
          <w:sz w:val="24"/>
          <w:szCs w:val="24"/>
        </w:rPr>
        <w:t>similar to th</w:t>
      </w:r>
      <w:r w:rsidR="007401B5">
        <w:rPr>
          <w:rFonts w:cs="Calibri"/>
          <w:bCs/>
          <w:sz w:val="24"/>
          <w:szCs w:val="24"/>
        </w:rPr>
        <w:t xml:space="preserve">ose </w:t>
      </w:r>
      <w:r w:rsidRPr="008170C3">
        <w:rPr>
          <w:rFonts w:cs="Calibri"/>
          <w:bCs/>
          <w:sz w:val="24"/>
          <w:szCs w:val="24"/>
        </w:rPr>
        <w:t xml:space="preserve">of </w:t>
      </w:r>
      <w:r w:rsidR="007401B5">
        <w:rPr>
          <w:rFonts w:cs="Calibri"/>
          <w:bCs/>
          <w:sz w:val="24"/>
          <w:szCs w:val="24"/>
        </w:rPr>
        <w:t xml:space="preserve">the </w:t>
      </w:r>
      <w:r w:rsidRPr="008170C3">
        <w:rPr>
          <w:rFonts w:cs="Calibri"/>
          <w:bCs/>
          <w:sz w:val="24"/>
          <w:szCs w:val="24"/>
        </w:rPr>
        <w:t>city of Anniston</w:t>
      </w:r>
      <w:r w:rsidR="005F4443">
        <w:rPr>
          <w:rFonts w:cs="Calibri"/>
          <w:bCs/>
          <w:sz w:val="24"/>
          <w:szCs w:val="24"/>
        </w:rPr>
        <w:t>, with a lower proportion of those younger than 40 years</w:t>
      </w:r>
      <w:r w:rsidR="007401B5">
        <w:rPr>
          <w:rFonts w:cs="Calibri"/>
          <w:bCs/>
          <w:sz w:val="24"/>
          <w:szCs w:val="24"/>
        </w:rPr>
        <w:t xml:space="preserve"> among participants</w:t>
      </w:r>
      <w:r w:rsidR="00F178FE">
        <w:rPr>
          <w:rFonts w:cs="Calibri"/>
          <w:bCs/>
          <w:sz w:val="24"/>
          <w:szCs w:val="24"/>
        </w:rPr>
        <w:t xml:space="preserve">; the </w:t>
      </w:r>
      <w:r w:rsidR="007401B5">
        <w:rPr>
          <w:rFonts w:cs="Calibri"/>
          <w:bCs/>
          <w:sz w:val="24"/>
          <w:szCs w:val="24"/>
        </w:rPr>
        <w:t>proportion of participants</w:t>
      </w:r>
      <w:r w:rsidR="00F178FE">
        <w:rPr>
          <w:rFonts w:cs="Calibri"/>
          <w:bCs/>
          <w:sz w:val="24"/>
          <w:szCs w:val="24"/>
        </w:rPr>
        <w:t xml:space="preserve"> </w:t>
      </w:r>
      <w:r w:rsidR="007401B5">
        <w:rPr>
          <w:rFonts w:cs="Calibri"/>
          <w:bCs/>
          <w:sz w:val="24"/>
          <w:szCs w:val="24"/>
        </w:rPr>
        <w:t xml:space="preserve">who had </w:t>
      </w:r>
      <w:r w:rsidR="00760ABF">
        <w:rPr>
          <w:rFonts w:cs="Calibri"/>
          <w:bCs/>
          <w:sz w:val="24"/>
          <w:szCs w:val="24"/>
        </w:rPr>
        <w:t>completed</w:t>
      </w:r>
      <w:r w:rsidR="00F178FE">
        <w:rPr>
          <w:rFonts w:cs="Calibri"/>
          <w:bCs/>
          <w:sz w:val="24"/>
          <w:szCs w:val="24"/>
        </w:rPr>
        <w:t xml:space="preserve"> high school was </w:t>
      </w:r>
      <w:r w:rsidR="00760ABF">
        <w:rPr>
          <w:rFonts w:cs="Calibri"/>
          <w:bCs/>
          <w:sz w:val="24"/>
          <w:szCs w:val="24"/>
        </w:rPr>
        <w:t>5% to 7% lower</w:t>
      </w:r>
      <w:r w:rsidR="007401B5">
        <w:rPr>
          <w:rFonts w:cs="Calibri"/>
          <w:bCs/>
          <w:sz w:val="24"/>
          <w:szCs w:val="24"/>
        </w:rPr>
        <w:t xml:space="preserve"> than in Anniston overall</w:t>
      </w:r>
      <w:r>
        <w:rPr>
          <w:rFonts w:cs="Calibri"/>
          <w:bCs/>
          <w:sz w:val="24"/>
          <w:szCs w:val="24"/>
        </w:rPr>
        <w:t xml:space="preserve">. </w:t>
      </w:r>
      <w:r w:rsidR="00982245">
        <w:rPr>
          <w:rFonts w:cs="Calibri"/>
          <w:bCs/>
          <w:sz w:val="24"/>
          <w:szCs w:val="24"/>
        </w:rPr>
        <w:t>As mentioned earlier</w:t>
      </w:r>
      <w:r w:rsidR="00AD7225">
        <w:rPr>
          <w:rFonts w:cs="Calibri"/>
          <w:bCs/>
          <w:sz w:val="24"/>
          <w:szCs w:val="24"/>
        </w:rPr>
        <w:t>,</w:t>
      </w:r>
      <w:r w:rsidR="00982245">
        <w:rPr>
          <w:rFonts w:cs="Calibri"/>
          <w:bCs/>
          <w:sz w:val="24"/>
          <w:szCs w:val="24"/>
        </w:rPr>
        <w:t xml:space="preserve"> 70% of the participants were</w:t>
      </w:r>
      <w:r w:rsidR="00A30F9F">
        <w:rPr>
          <w:rFonts w:cs="Calibri"/>
          <w:bCs/>
          <w:sz w:val="24"/>
          <w:szCs w:val="24"/>
        </w:rPr>
        <w:t xml:space="preserve"> female</w:t>
      </w:r>
      <w:r w:rsidR="00F92326">
        <w:rPr>
          <w:rFonts w:cs="Calibri"/>
          <w:bCs/>
          <w:sz w:val="24"/>
          <w:szCs w:val="24"/>
        </w:rPr>
        <w:t xml:space="preserve">. There were small differences in reported demographic characteristics </w:t>
      </w:r>
      <w:r w:rsidR="00760ABF">
        <w:rPr>
          <w:rFonts w:cs="Calibri"/>
          <w:bCs/>
          <w:sz w:val="24"/>
          <w:szCs w:val="24"/>
        </w:rPr>
        <w:t xml:space="preserve">between those participants who </w:t>
      </w:r>
      <w:r w:rsidR="00F92326">
        <w:rPr>
          <w:rFonts w:cs="Calibri"/>
          <w:bCs/>
          <w:sz w:val="24"/>
          <w:szCs w:val="24"/>
        </w:rPr>
        <w:t>completed</w:t>
      </w:r>
      <w:r w:rsidR="007401B5">
        <w:rPr>
          <w:rFonts w:cs="Calibri"/>
          <w:bCs/>
          <w:sz w:val="24"/>
          <w:szCs w:val="24"/>
        </w:rPr>
        <w:t xml:space="preserve"> only the interview</w:t>
      </w:r>
      <w:r w:rsidR="00F92326">
        <w:rPr>
          <w:rFonts w:cs="Calibri"/>
          <w:bCs/>
          <w:sz w:val="24"/>
          <w:szCs w:val="24"/>
        </w:rPr>
        <w:t xml:space="preserve"> </w:t>
      </w:r>
      <w:r w:rsidR="00857DE7">
        <w:rPr>
          <w:rFonts w:cs="Calibri"/>
          <w:bCs/>
          <w:sz w:val="24"/>
          <w:szCs w:val="24"/>
        </w:rPr>
        <w:t>(n=1,11</w:t>
      </w:r>
      <w:r w:rsidR="00F92326">
        <w:rPr>
          <w:rFonts w:cs="Calibri"/>
          <w:bCs/>
          <w:sz w:val="24"/>
          <w:szCs w:val="24"/>
        </w:rPr>
        <w:t xml:space="preserve">0) </w:t>
      </w:r>
      <w:r w:rsidR="00DD1CE8">
        <w:rPr>
          <w:rFonts w:cs="Calibri"/>
          <w:bCs/>
          <w:sz w:val="24"/>
          <w:szCs w:val="24"/>
        </w:rPr>
        <w:t>and those who</w:t>
      </w:r>
      <w:r w:rsidR="00F92326">
        <w:rPr>
          <w:rFonts w:cs="Calibri"/>
          <w:bCs/>
          <w:sz w:val="24"/>
          <w:szCs w:val="24"/>
        </w:rPr>
        <w:t xml:space="preserve"> </w:t>
      </w:r>
      <w:r w:rsidR="00DD1CE8">
        <w:rPr>
          <w:rFonts w:cs="Calibri"/>
          <w:bCs/>
          <w:sz w:val="24"/>
          <w:szCs w:val="24"/>
        </w:rPr>
        <w:t xml:space="preserve">completed </w:t>
      </w:r>
      <w:r w:rsidR="007401B5">
        <w:rPr>
          <w:rFonts w:cs="Calibri"/>
          <w:bCs/>
          <w:sz w:val="24"/>
          <w:szCs w:val="24"/>
        </w:rPr>
        <w:t xml:space="preserve">the </w:t>
      </w:r>
      <w:r w:rsidR="00DD1CE8">
        <w:rPr>
          <w:rFonts w:cs="Calibri"/>
          <w:bCs/>
          <w:sz w:val="24"/>
          <w:szCs w:val="24"/>
        </w:rPr>
        <w:t>interview and had</w:t>
      </w:r>
      <w:r w:rsidR="00F92326">
        <w:rPr>
          <w:rFonts w:cs="Calibri"/>
          <w:bCs/>
          <w:sz w:val="24"/>
          <w:szCs w:val="24"/>
        </w:rPr>
        <w:t xml:space="preserve"> PCB measurement</w:t>
      </w:r>
      <w:r w:rsidR="007401B5">
        <w:rPr>
          <w:rFonts w:cs="Calibri"/>
          <w:bCs/>
          <w:sz w:val="24"/>
          <w:szCs w:val="24"/>
        </w:rPr>
        <w:t>s</w:t>
      </w:r>
      <w:r w:rsidR="00DD1CE8">
        <w:rPr>
          <w:rFonts w:cs="Calibri"/>
          <w:bCs/>
          <w:sz w:val="24"/>
          <w:szCs w:val="24"/>
        </w:rPr>
        <w:t xml:space="preserve"> (n=765)</w:t>
      </w:r>
      <w:r w:rsidR="00A04629">
        <w:rPr>
          <w:rFonts w:cs="Calibri"/>
          <w:bCs/>
          <w:sz w:val="24"/>
          <w:szCs w:val="24"/>
        </w:rPr>
        <w:t xml:space="preserve"> (Attach</w:t>
      </w:r>
      <w:bookmarkStart w:id="6" w:name="_GoBack"/>
      <w:bookmarkEnd w:id="6"/>
      <w:r w:rsidR="00A04629">
        <w:rPr>
          <w:rFonts w:cs="Calibri"/>
          <w:bCs/>
          <w:sz w:val="24"/>
          <w:szCs w:val="24"/>
        </w:rPr>
        <w:t>ment 9)</w:t>
      </w:r>
      <w:r w:rsidR="00F92326">
        <w:rPr>
          <w:rFonts w:cs="Calibri"/>
          <w:bCs/>
          <w:sz w:val="24"/>
          <w:szCs w:val="24"/>
        </w:rPr>
        <w:t>.</w:t>
      </w:r>
    </w:p>
    <w:p w:rsidR="00DF4F13" w:rsidRDefault="00DF4F13" w:rsidP="00DB03A0">
      <w:pPr>
        <w:widowControl w:val="0"/>
        <w:autoSpaceDE w:val="0"/>
        <w:autoSpaceDN w:val="0"/>
        <w:adjustRightInd w:val="0"/>
        <w:spacing w:after="0" w:line="240" w:lineRule="auto"/>
        <w:jc w:val="both"/>
        <w:rPr>
          <w:rFonts w:cs="Calibri"/>
          <w:bCs/>
          <w:sz w:val="24"/>
          <w:szCs w:val="24"/>
        </w:rPr>
      </w:pPr>
    </w:p>
    <w:p w:rsidR="00DB03A0" w:rsidRPr="00DB03A0" w:rsidRDefault="00DB03A0" w:rsidP="00DB03A0">
      <w:pPr>
        <w:widowControl w:val="0"/>
        <w:autoSpaceDE w:val="0"/>
        <w:autoSpaceDN w:val="0"/>
        <w:adjustRightInd w:val="0"/>
        <w:spacing w:after="0" w:line="240" w:lineRule="auto"/>
        <w:jc w:val="both"/>
        <w:rPr>
          <w:rFonts w:cs="Calibri"/>
          <w:bCs/>
          <w:sz w:val="24"/>
          <w:szCs w:val="24"/>
        </w:rPr>
      </w:pPr>
      <w:r w:rsidRPr="00DB03A0">
        <w:rPr>
          <w:rFonts w:cs="Calibri"/>
          <w:bCs/>
          <w:sz w:val="24"/>
          <w:szCs w:val="24"/>
        </w:rPr>
        <w:t xml:space="preserve">Not shown in the table are the 890 could-not-contact households. The only information available on them is their address and the reason for noncontact (e.g. </w:t>
      </w:r>
      <w:r w:rsidR="00DF4F13">
        <w:rPr>
          <w:rFonts w:cs="Calibri"/>
          <w:bCs/>
          <w:sz w:val="24"/>
          <w:szCs w:val="24"/>
        </w:rPr>
        <w:t>n=734 “Not home”</w:t>
      </w:r>
      <w:r w:rsidRPr="00DB03A0">
        <w:rPr>
          <w:rFonts w:cs="Calibri"/>
          <w:bCs/>
          <w:sz w:val="24"/>
          <w:szCs w:val="24"/>
        </w:rPr>
        <w:t xml:space="preserve">, </w:t>
      </w:r>
      <w:r w:rsidR="00DF4F13">
        <w:rPr>
          <w:rFonts w:cs="Calibri"/>
          <w:bCs/>
          <w:sz w:val="24"/>
          <w:szCs w:val="24"/>
        </w:rPr>
        <w:t>n=22 “Dog”</w:t>
      </w:r>
      <w:r w:rsidRPr="00DB03A0">
        <w:rPr>
          <w:rFonts w:cs="Calibri"/>
          <w:bCs/>
          <w:sz w:val="24"/>
          <w:szCs w:val="24"/>
        </w:rPr>
        <w:t>,</w:t>
      </w:r>
      <w:r w:rsidR="00DF4F13">
        <w:rPr>
          <w:rFonts w:cs="Calibri"/>
          <w:bCs/>
          <w:sz w:val="24"/>
          <w:szCs w:val="24"/>
        </w:rPr>
        <w:t xml:space="preserve"> n=86 “Gate locked”</w:t>
      </w:r>
      <w:r w:rsidRPr="00DB03A0">
        <w:rPr>
          <w:rFonts w:cs="Calibri"/>
          <w:bCs/>
          <w:sz w:val="24"/>
          <w:szCs w:val="24"/>
        </w:rPr>
        <w:t>,</w:t>
      </w:r>
      <w:r w:rsidR="00DF4F13">
        <w:rPr>
          <w:rFonts w:cs="Calibri"/>
          <w:bCs/>
          <w:sz w:val="24"/>
          <w:szCs w:val="24"/>
        </w:rPr>
        <w:t xml:space="preserve"> and n=35 “O</w:t>
      </w:r>
      <w:r w:rsidRPr="00DB03A0">
        <w:rPr>
          <w:rFonts w:cs="Calibri"/>
          <w:bCs/>
          <w:sz w:val="24"/>
          <w:szCs w:val="24"/>
        </w:rPr>
        <w:t xml:space="preserve">ther restricted entry”).  </w:t>
      </w:r>
    </w:p>
    <w:p w:rsidR="00DB03A0" w:rsidRPr="00DB03A0" w:rsidRDefault="00DB03A0" w:rsidP="00DB03A0">
      <w:pPr>
        <w:widowControl w:val="0"/>
        <w:autoSpaceDE w:val="0"/>
        <w:autoSpaceDN w:val="0"/>
        <w:adjustRightInd w:val="0"/>
        <w:spacing w:after="0" w:line="240" w:lineRule="auto"/>
        <w:jc w:val="both"/>
        <w:rPr>
          <w:rFonts w:cs="Calibri"/>
          <w:bCs/>
          <w:sz w:val="24"/>
          <w:szCs w:val="24"/>
        </w:rPr>
      </w:pPr>
    </w:p>
    <w:p w:rsidR="004E4FF2" w:rsidRDefault="00DB03A0" w:rsidP="00DB03A0">
      <w:pPr>
        <w:widowControl w:val="0"/>
        <w:autoSpaceDE w:val="0"/>
        <w:autoSpaceDN w:val="0"/>
        <w:adjustRightInd w:val="0"/>
        <w:spacing w:after="0" w:line="240" w:lineRule="auto"/>
        <w:jc w:val="both"/>
        <w:rPr>
          <w:rFonts w:cs="Calibri"/>
          <w:bCs/>
          <w:sz w:val="24"/>
          <w:szCs w:val="24"/>
        </w:rPr>
      </w:pPr>
      <w:r w:rsidRPr="00DB03A0">
        <w:rPr>
          <w:rFonts w:cs="Calibri"/>
          <w:bCs/>
          <w:sz w:val="24"/>
          <w:szCs w:val="24"/>
        </w:rPr>
        <w:t>For the follow</w:t>
      </w:r>
      <w:r w:rsidR="00A540ED">
        <w:rPr>
          <w:rFonts w:cs="Calibri"/>
          <w:bCs/>
          <w:sz w:val="24"/>
          <w:szCs w:val="24"/>
        </w:rPr>
        <w:t>-</w:t>
      </w:r>
      <w:r w:rsidRPr="00DB03A0">
        <w:rPr>
          <w:rFonts w:cs="Calibri"/>
          <w:bCs/>
          <w:sz w:val="24"/>
          <w:szCs w:val="24"/>
        </w:rPr>
        <w:t>up study</w:t>
      </w:r>
      <w:r w:rsidR="00A30F9F">
        <w:rPr>
          <w:rFonts w:cs="Calibri"/>
          <w:bCs/>
          <w:sz w:val="24"/>
          <w:szCs w:val="24"/>
        </w:rPr>
        <w:t xml:space="preserve"> non-response analyses</w:t>
      </w:r>
      <w:r w:rsidRPr="00DB03A0">
        <w:rPr>
          <w:rFonts w:cs="Calibri"/>
          <w:bCs/>
          <w:sz w:val="24"/>
          <w:szCs w:val="24"/>
        </w:rPr>
        <w:t>, we have detailed information on the 766 persons who responded to the first study and gave blood samples</w:t>
      </w:r>
      <w:r w:rsidR="00265D05">
        <w:rPr>
          <w:rFonts w:cs="Calibri"/>
          <w:bCs/>
          <w:sz w:val="24"/>
          <w:szCs w:val="24"/>
        </w:rPr>
        <w:t>,</w:t>
      </w:r>
      <w:r w:rsidR="00A30F9F">
        <w:rPr>
          <w:rFonts w:cs="Calibri"/>
          <w:bCs/>
          <w:sz w:val="24"/>
          <w:szCs w:val="24"/>
        </w:rPr>
        <w:t xml:space="preserve"> as well as for those who only completed </w:t>
      </w:r>
      <w:r w:rsidR="00265D05">
        <w:rPr>
          <w:rFonts w:cs="Calibri"/>
          <w:bCs/>
          <w:sz w:val="24"/>
          <w:szCs w:val="24"/>
        </w:rPr>
        <w:t xml:space="preserve">the first </w:t>
      </w:r>
      <w:r w:rsidR="00A30F9F">
        <w:rPr>
          <w:rFonts w:cs="Calibri"/>
          <w:bCs/>
          <w:sz w:val="24"/>
          <w:szCs w:val="24"/>
        </w:rPr>
        <w:t>study interview</w:t>
      </w:r>
      <w:r w:rsidRPr="00DB03A0">
        <w:rPr>
          <w:rFonts w:cs="Calibri"/>
          <w:bCs/>
          <w:sz w:val="24"/>
          <w:szCs w:val="24"/>
        </w:rPr>
        <w:t>. For persons not know</w:t>
      </w:r>
      <w:r w:rsidR="008170C3">
        <w:rPr>
          <w:rFonts w:cs="Calibri"/>
          <w:bCs/>
          <w:sz w:val="24"/>
          <w:szCs w:val="24"/>
        </w:rPr>
        <w:t>n</w:t>
      </w:r>
      <w:r w:rsidRPr="00DB03A0">
        <w:rPr>
          <w:rFonts w:cs="Calibri"/>
          <w:bCs/>
          <w:sz w:val="24"/>
          <w:szCs w:val="24"/>
        </w:rPr>
        <w:t xml:space="preserve"> to be dead, we plan to conduct an analysis (using </w:t>
      </w:r>
      <w:proofErr w:type="spellStart"/>
      <w:r w:rsidRPr="00DB03A0">
        <w:rPr>
          <w:rFonts w:cs="Calibri"/>
          <w:bCs/>
          <w:sz w:val="24"/>
          <w:szCs w:val="24"/>
        </w:rPr>
        <w:t>logit</w:t>
      </w:r>
      <w:proofErr w:type="spellEnd"/>
      <w:r w:rsidRPr="00DB03A0">
        <w:rPr>
          <w:rFonts w:cs="Calibri"/>
          <w:bCs/>
          <w:sz w:val="24"/>
          <w:szCs w:val="24"/>
        </w:rPr>
        <w:t xml:space="preserve"> models and/or survival analysis) of their participation in the follow</w:t>
      </w:r>
      <w:r w:rsidR="00A540ED">
        <w:rPr>
          <w:rFonts w:cs="Calibri"/>
          <w:bCs/>
          <w:sz w:val="24"/>
          <w:szCs w:val="24"/>
        </w:rPr>
        <w:t>-</w:t>
      </w:r>
      <w:r w:rsidRPr="00DB03A0">
        <w:rPr>
          <w:rFonts w:cs="Calibri"/>
          <w:bCs/>
          <w:sz w:val="24"/>
          <w:szCs w:val="24"/>
        </w:rPr>
        <w:t xml:space="preserve">up study </w:t>
      </w:r>
      <w:r w:rsidRPr="00DB03A0">
        <w:rPr>
          <w:rFonts w:cs="Calibri"/>
          <w:bCs/>
          <w:sz w:val="24"/>
          <w:szCs w:val="24"/>
        </w:rPr>
        <w:lastRenderedPageBreak/>
        <w:t>taking into account demographics, health characteristics at the time of the original study (e.g. general assessment of health, high blood pressure, diabetes, etc.) and their housing unit’s proximity to contamination. For those know</w:t>
      </w:r>
      <w:r w:rsidR="002C3AB0">
        <w:rPr>
          <w:rFonts w:cs="Calibri"/>
          <w:bCs/>
          <w:sz w:val="24"/>
          <w:szCs w:val="24"/>
        </w:rPr>
        <w:t>n</w:t>
      </w:r>
      <w:r w:rsidRPr="00DB03A0">
        <w:rPr>
          <w:rFonts w:cs="Calibri"/>
          <w:bCs/>
          <w:sz w:val="24"/>
          <w:szCs w:val="24"/>
        </w:rPr>
        <w:t xml:space="preserve"> to be dead, we will conduct an analysis of the probability of death in relation </w:t>
      </w:r>
      <w:r w:rsidR="002C3AB0">
        <w:rPr>
          <w:rFonts w:cs="Calibri"/>
          <w:bCs/>
          <w:sz w:val="24"/>
          <w:szCs w:val="24"/>
        </w:rPr>
        <w:t xml:space="preserve">to </w:t>
      </w:r>
      <w:r w:rsidRPr="00DB03A0">
        <w:rPr>
          <w:rFonts w:cs="Calibri"/>
          <w:bCs/>
          <w:sz w:val="24"/>
          <w:szCs w:val="24"/>
        </w:rPr>
        <w:t xml:space="preserve">the same types of variables. </w:t>
      </w:r>
    </w:p>
    <w:p w:rsidR="00E2439F" w:rsidRDefault="00E2439F" w:rsidP="00921444">
      <w:pPr>
        <w:widowControl w:val="0"/>
        <w:autoSpaceDE w:val="0"/>
        <w:autoSpaceDN w:val="0"/>
        <w:adjustRightInd w:val="0"/>
        <w:spacing w:after="0" w:line="240" w:lineRule="auto"/>
        <w:jc w:val="both"/>
        <w:rPr>
          <w:rFonts w:cs="Calibri"/>
          <w:bCs/>
          <w:sz w:val="24"/>
          <w:szCs w:val="24"/>
        </w:rPr>
      </w:pPr>
    </w:p>
    <w:p w:rsidR="00DF4F13" w:rsidRPr="003C4F3A" w:rsidRDefault="00DF4F13" w:rsidP="00921444">
      <w:pPr>
        <w:widowControl w:val="0"/>
        <w:autoSpaceDE w:val="0"/>
        <w:autoSpaceDN w:val="0"/>
        <w:adjustRightInd w:val="0"/>
        <w:spacing w:after="0" w:line="240" w:lineRule="auto"/>
        <w:jc w:val="both"/>
        <w:rPr>
          <w:rFonts w:cs="Calibri"/>
          <w:bCs/>
          <w:sz w:val="24"/>
          <w:szCs w:val="24"/>
        </w:rPr>
      </w:pPr>
    </w:p>
    <w:p w:rsidR="00006C20" w:rsidRPr="003C4F3A" w:rsidRDefault="00834765" w:rsidP="00006C20">
      <w:pPr>
        <w:pStyle w:val="Heading2"/>
        <w:rPr>
          <w:rFonts w:ascii="Calibri" w:hAnsi="Calibri" w:cs="Calibri"/>
          <w:sz w:val="24"/>
          <w:szCs w:val="24"/>
        </w:rPr>
      </w:pPr>
      <w:bookmarkStart w:id="7" w:name="_Toc349489334"/>
      <w:r w:rsidRPr="003C4F3A">
        <w:rPr>
          <w:rFonts w:ascii="Calibri" w:hAnsi="Calibri" w:cs="Calibri"/>
          <w:sz w:val="24"/>
          <w:szCs w:val="24"/>
        </w:rPr>
        <w:t>B.</w:t>
      </w:r>
      <w:r w:rsidR="00020EFF" w:rsidRPr="003C4F3A">
        <w:rPr>
          <w:rFonts w:ascii="Calibri" w:hAnsi="Calibri" w:cs="Calibri"/>
          <w:sz w:val="24"/>
          <w:szCs w:val="24"/>
        </w:rPr>
        <w:t xml:space="preserve">4. Tests of Procedures or Methods to be </w:t>
      </w:r>
      <w:proofErr w:type="gramStart"/>
      <w:r w:rsidR="00020EFF" w:rsidRPr="003C4F3A">
        <w:rPr>
          <w:rFonts w:ascii="Calibri" w:hAnsi="Calibri" w:cs="Calibri"/>
          <w:sz w:val="24"/>
          <w:szCs w:val="24"/>
        </w:rPr>
        <w:t>Undertaken</w:t>
      </w:r>
      <w:bookmarkEnd w:id="7"/>
      <w:proofErr w:type="gramEnd"/>
    </w:p>
    <w:p w:rsidR="00621B85" w:rsidRPr="003C4F3A" w:rsidRDefault="00621B85" w:rsidP="0064210D">
      <w:pPr>
        <w:autoSpaceDE w:val="0"/>
        <w:autoSpaceDN w:val="0"/>
        <w:adjustRightInd w:val="0"/>
        <w:spacing w:after="0" w:line="240" w:lineRule="auto"/>
        <w:rPr>
          <w:rFonts w:cs="Calibri"/>
          <w:color w:val="000000"/>
          <w:sz w:val="24"/>
          <w:szCs w:val="24"/>
        </w:rPr>
      </w:pPr>
    </w:p>
    <w:p w:rsidR="00E06D61" w:rsidRPr="003C4F3A" w:rsidRDefault="00E06D61" w:rsidP="00921444">
      <w:pPr>
        <w:autoSpaceDE w:val="0"/>
        <w:autoSpaceDN w:val="0"/>
        <w:adjustRightInd w:val="0"/>
        <w:spacing w:after="0" w:line="240" w:lineRule="auto"/>
        <w:jc w:val="both"/>
        <w:rPr>
          <w:rFonts w:cs="Calibri"/>
          <w:bCs/>
          <w:iCs/>
          <w:sz w:val="24"/>
          <w:szCs w:val="24"/>
        </w:rPr>
      </w:pPr>
      <w:r w:rsidRPr="003C4F3A">
        <w:rPr>
          <w:rFonts w:cs="Calibri"/>
          <w:bCs/>
          <w:iCs/>
          <w:sz w:val="24"/>
          <w:szCs w:val="24"/>
        </w:rPr>
        <w:t>Statistical analyses will be performed by ATSDR staff in collaboration with the N</w:t>
      </w:r>
      <w:r w:rsidR="00720942">
        <w:rPr>
          <w:rFonts w:cs="Calibri"/>
          <w:bCs/>
          <w:iCs/>
          <w:sz w:val="24"/>
          <w:szCs w:val="24"/>
        </w:rPr>
        <w:t>IH</w:t>
      </w:r>
      <w:r w:rsidRPr="003C4F3A">
        <w:rPr>
          <w:rFonts w:cs="Calibri"/>
          <w:bCs/>
          <w:iCs/>
          <w:sz w:val="24"/>
          <w:szCs w:val="24"/>
        </w:rPr>
        <w:t xml:space="preserve">. Outside investigators may be involved in statistical analyses of study data. Descriptive statistics (including means, medians, and percentiles) will be calculated to identify the presence and distribution of </w:t>
      </w:r>
      <w:proofErr w:type="spellStart"/>
      <w:r w:rsidRPr="003C4F3A">
        <w:rPr>
          <w:rFonts w:cs="Calibri"/>
          <w:bCs/>
          <w:iCs/>
          <w:sz w:val="24"/>
          <w:szCs w:val="24"/>
        </w:rPr>
        <w:t>analytes</w:t>
      </w:r>
      <w:proofErr w:type="spellEnd"/>
      <w:r w:rsidRPr="003C4F3A">
        <w:rPr>
          <w:rFonts w:cs="Calibri"/>
          <w:bCs/>
          <w:iCs/>
          <w:sz w:val="24"/>
          <w:szCs w:val="24"/>
        </w:rPr>
        <w:t xml:space="preserve"> in the target population. </w:t>
      </w:r>
      <w:proofErr w:type="spellStart"/>
      <w:r w:rsidRPr="003C4F3A">
        <w:rPr>
          <w:rFonts w:cs="Calibri"/>
          <w:bCs/>
          <w:iCs/>
          <w:sz w:val="24"/>
          <w:szCs w:val="24"/>
        </w:rPr>
        <w:t>Univariate</w:t>
      </w:r>
      <w:proofErr w:type="spellEnd"/>
      <w:r w:rsidRPr="003C4F3A">
        <w:rPr>
          <w:rFonts w:cs="Calibri"/>
          <w:bCs/>
          <w:iCs/>
          <w:sz w:val="24"/>
          <w:szCs w:val="24"/>
        </w:rPr>
        <w:t xml:space="preserve"> analysis will be performed to determine the influence of exposure variables that might affect serum/blood levels of </w:t>
      </w:r>
      <w:proofErr w:type="spellStart"/>
      <w:r w:rsidRPr="003C4F3A">
        <w:rPr>
          <w:rFonts w:cs="Calibri"/>
          <w:bCs/>
          <w:iCs/>
          <w:sz w:val="24"/>
          <w:szCs w:val="24"/>
        </w:rPr>
        <w:t>analytes</w:t>
      </w:r>
      <w:proofErr w:type="spellEnd"/>
      <w:r w:rsidRPr="003C4F3A">
        <w:rPr>
          <w:rFonts w:cs="Calibri"/>
          <w:bCs/>
          <w:iCs/>
          <w:sz w:val="24"/>
          <w:szCs w:val="24"/>
        </w:rPr>
        <w:t xml:space="preserve"> (e.g., local fish species consume</w:t>
      </w:r>
      <w:r w:rsidR="00DC3926">
        <w:rPr>
          <w:rFonts w:cs="Calibri"/>
          <w:bCs/>
          <w:iCs/>
          <w:sz w:val="24"/>
          <w:szCs w:val="24"/>
        </w:rPr>
        <w:t>d, frequency or amount consumed</w:t>
      </w:r>
      <w:r w:rsidRPr="003C4F3A">
        <w:rPr>
          <w:rFonts w:cs="Calibri"/>
          <w:bCs/>
          <w:iCs/>
          <w:sz w:val="24"/>
          <w:szCs w:val="24"/>
        </w:rPr>
        <w:t xml:space="preserve">, age, gender, and race). If the distributions of residuals in linear regression analyses are not normal, they will be transformed for further analysis. Multivariate regression modeling will be performed for each target </w:t>
      </w:r>
      <w:proofErr w:type="spellStart"/>
      <w:r w:rsidRPr="003C4F3A">
        <w:rPr>
          <w:rFonts w:cs="Calibri"/>
          <w:bCs/>
          <w:iCs/>
          <w:sz w:val="24"/>
          <w:szCs w:val="24"/>
        </w:rPr>
        <w:t>analyte</w:t>
      </w:r>
      <w:proofErr w:type="spellEnd"/>
      <w:r w:rsidRPr="003C4F3A">
        <w:rPr>
          <w:rFonts w:cs="Calibri"/>
          <w:bCs/>
          <w:iCs/>
          <w:sz w:val="24"/>
          <w:szCs w:val="24"/>
        </w:rPr>
        <w:t xml:space="preserve"> to determine factors associated with the increased serum/blood levels.</w:t>
      </w:r>
    </w:p>
    <w:p w:rsidR="00E06D61" w:rsidRPr="003C4F3A" w:rsidRDefault="00E06D61" w:rsidP="00921444">
      <w:pPr>
        <w:autoSpaceDE w:val="0"/>
        <w:autoSpaceDN w:val="0"/>
        <w:adjustRightInd w:val="0"/>
        <w:spacing w:after="0" w:line="240" w:lineRule="auto"/>
        <w:jc w:val="both"/>
        <w:rPr>
          <w:rFonts w:cs="Calibri"/>
          <w:bCs/>
          <w:iCs/>
          <w:sz w:val="24"/>
          <w:szCs w:val="24"/>
        </w:rPr>
      </w:pPr>
    </w:p>
    <w:p w:rsidR="00E06D61" w:rsidRPr="003C4F3A" w:rsidRDefault="00E06D61" w:rsidP="00921444">
      <w:pPr>
        <w:autoSpaceDE w:val="0"/>
        <w:autoSpaceDN w:val="0"/>
        <w:adjustRightInd w:val="0"/>
        <w:spacing w:after="0" w:line="240" w:lineRule="auto"/>
        <w:jc w:val="both"/>
        <w:rPr>
          <w:rFonts w:cs="Calibri"/>
          <w:bCs/>
          <w:iCs/>
          <w:sz w:val="24"/>
          <w:szCs w:val="24"/>
        </w:rPr>
      </w:pPr>
      <w:r w:rsidRPr="003C4F3A">
        <w:rPr>
          <w:rFonts w:cs="Calibri"/>
          <w:bCs/>
          <w:iCs/>
          <w:sz w:val="24"/>
          <w:szCs w:val="24"/>
        </w:rPr>
        <w:t xml:space="preserve">Prevalence estimates will be calculated using standard statistical procedures for each </w:t>
      </w:r>
      <w:proofErr w:type="spellStart"/>
      <w:r w:rsidRPr="003C4F3A">
        <w:rPr>
          <w:rFonts w:cs="Calibri"/>
          <w:bCs/>
          <w:iCs/>
          <w:sz w:val="24"/>
          <w:szCs w:val="24"/>
        </w:rPr>
        <w:t>analyte</w:t>
      </w:r>
      <w:proofErr w:type="spellEnd"/>
      <w:r w:rsidRPr="003C4F3A">
        <w:rPr>
          <w:rFonts w:cs="Calibri"/>
          <w:bCs/>
          <w:iCs/>
          <w:sz w:val="24"/>
          <w:szCs w:val="24"/>
        </w:rPr>
        <w:t xml:space="preserve"> found in the target population. Results of chemical analyses may be compared to data reported in the CDC National Reports on Human Exposure to Environmental Chemicals, which is based on National Health and Nutrition Examination Survey (NHANES) data</w:t>
      </w:r>
      <w:r w:rsidR="00120D75">
        <w:rPr>
          <w:rFonts w:cs="Calibri"/>
          <w:bCs/>
          <w:iCs/>
          <w:sz w:val="24"/>
          <w:szCs w:val="24"/>
        </w:rPr>
        <w:t xml:space="preserve"> (CDC</w:t>
      </w:r>
      <w:r w:rsidR="00070E1D">
        <w:rPr>
          <w:rFonts w:cs="Calibri"/>
          <w:bCs/>
          <w:iCs/>
          <w:sz w:val="24"/>
          <w:szCs w:val="24"/>
        </w:rPr>
        <w:t xml:space="preserve">, </w:t>
      </w:r>
      <w:r w:rsidR="00120D75">
        <w:rPr>
          <w:rFonts w:cs="Calibri"/>
          <w:bCs/>
          <w:iCs/>
          <w:sz w:val="24"/>
          <w:szCs w:val="24"/>
        </w:rPr>
        <w:t>2009;</w:t>
      </w:r>
      <w:r w:rsidR="00DC3926" w:rsidRPr="00DC3926">
        <w:t xml:space="preserve"> </w:t>
      </w:r>
      <w:hyperlink r:id="rId11" w:history="1">
        <w:r w:rsidR="00DC3926" w:rsidRPr="008949F2">
          <w:rPr>
            <w:rStyle w:val="Hyperlink"/>
            <w:rFonts w:cs="Calibri"/>
            <w:bCs/>
            <w:iCs/>
            <w:sz w:val="24"/>
            <w:szCs w:val="24"/>
          </w:rPr>
          <w:t>http://www.cdc.gov/exposurereport/index.html</w:t>
        </w:r>
      </w:hyperlink>
      <w:r w:rsidR="00DC3926">
        <w:rPr>
          <w:rFonts w:cs="Calibri"/>
          <w:bCs/>
          <w:iCs/>
          <w:sz w:val="24"/>
          <w:szCs w:val="24"/>
        </w:rPr>
        <w:t>)</w:t>
      </w:r>
      <w:r w:rsidRPr="003C4F3A">
        <w:rPr>
          <w:rFonts w:cs="Calibri"/>
          <w:bCs/>
          <w:iCs/>
          <w:sz w:val="24"/>
          <w:szCs w:val="24"/>
        </w:rPr>
        <w:t xml:space="preserve">. The analytic measures of lipophilic </w:t>
      </w:r>
      <w:r w:rsidRPr="003C4F3A">
        <w:rPr>
          <w:rFonts w:cs="Calibri"/>
          <w:sz w:val="24"/>
          <w:szCs w:val="24"/>
        </w:rPr>
        <w:t>PCDD, PCDF, and PCBs will be expressed on both a wet weight basis and on a per lipid weight basis to allow these results to be compared to other studies of varying assumptions and analytical and reporting methods (</w:t>
      </w:r>
      <w:proofErr w:type="spellStart"/>
      <w:r w:rsidRPr="003C4F3A">
        <w:rPr>
          <w:rFonts w:cs="Calibri"/>
          <w:sz w:val="24"/>
          <w:szCs w:val="24"/>
        </w:rPr>
        <w:t>Longnecker</w:t>
      </w:r>
      <w:proofErr w:type="spellEnd"/>
      <w:r w:rsidRPr="003C4F3A">
        <w:rPr>
          <w:rFonts w:cs="Calibri"/>
          <w:sz w:val="24"/>
          <w:szCs w:val="24"/>
        </w:rPr>
        <w:t>, 2001).</w:t>
      </w:r>
    </w:p>
    <w:p w:rsidR="00E06D61" w:rsidRPr="003C4F3A" w:rsidRDefault="00E06D61" w:rsidP="00921444">
      <w:pPr>
        <w:autoSpaceDE w:val="0"/>
        <w:autoSpaceDN w:val="0"/>
        <w:adjustRightInd w:val="0"/>
        <w:spacing w:after="0" w:line="240" w:lineRule="auto"/>
        <w:jc w:val="both"/>
        <w:rPr>
          <w:rFonts w:cs="Calibri"/>
          <w:bCs/>
          <w:iCs/>
          <w:sz w:val="24"/>
          <w:szCs w:val="24"/>
        </w:rPr>
      </w:pPr>
    </w:p>
    <w:p w:rsidR="00E06D61" w:rsidRPr="003C4F3A" w:rsidRDefault="00E06D61" w:rsidP="00921444">
      <w:pPr>
        <w:autoSpaceDE w:val="0"/>
        <w:autoSpaceDN w:val="0"/>
        <w:adjustRightInd w:val="0"/>
        <w:spacing w:after="0" w:line="240" w:lineRule="auto"/>
        <w:jc w:val="both"/>
        <w:rPr>
          <w:rFonts w:cs="Calibri"/>
          <w:bCs/>
          <w:iCs/>
          <w:sz w:val="24"/>
          <w:szCs w:val="24"/>
        </w:rPr>
      </w:pPr>
      <w:r w:rsidRPr="003C4F3A">
        <w:rPr>
          <w:rFonts w:cs="Calibri"/>
          <w:bCs/>
          <w:iCs/>
          <w:sz w:val="24"/>
          <w:szCs w:val="24"/>
        </w:rPr>
        <w:t>Logistic regression models for health outcomes of interest will be used</w:t>
      </w:r>
      <w:r w:rsidR="00070E1D">
        <w:rPr>
          <w:rFonts w:cs="Calibri"/>
          <w:bCs/>
          <w:iCs/>
          <w:sz w:val="24"/>
          <w:szCs w:val="24"/>
        </w:rPr>
        <w:t xml:space="preserve"> to</w:t>
      </w:r>
      <w:r w:rsidRPr="003C4F3A">
        <w:rPr>
          <w:rFonts w:cs="Calibri"/>
          <w:bCs/>
          <w:iCs/>
          <w:sz w:val="24"/>
          <w:szCs w:val="24"/>
        </w:rPr>
        <w:t xml:space="preserve"> adjust for potential confounders collected in the study. The </w:t>
      </w:r>
      <w:r w:rsidR="00A540ED">
        <w:rPr>
          <w:rFonts w:cs="Calibri"/>
          <w:bCs/>
          <w:iCs/>
          <w:sz w:val="24"/>
          <w:szCs w:val="24"/>
        </w:rPr>
        <w:t>follow-</w:t>
      </w:r>
      <w:r w:rsidRPr="003C4F3A">
        <w:rPr>
          <w:rFonts w:cs="Calibri"/>
          <w:bCs/>
          <w:iCs/>
          <w:sz w:val="24"/>
          <w:szCs w:val="24"/>
        </w:rPr>
        <w:t xml:space="preserve">up design will be used to calculate and present changes in levels of previously measured PCB congeners and clinical </w:t>
      </w:r>
      <w:proofErr w:type="spellStart"/>
      <w:r w:rsidRPr="003C4F3A">
        <w:rPr>
          <w:rFonts w:cs="Calibri"/>
          <w:bCs/>
          <w:iCs/>
          <w:sz w:val="24"/>
          <w:szCs w:val="24"/>
        </w:rPr>
        <w:t>analytes</w:t>
      </w:r>
      <w:proofErr w:type="spellEnd"/>
      <w:r w:rsidRPr="003C4F3A">
        <w:rPr>
          <w:rFonts w:cs="Calibri"/>
          <w:bCs/>
          <w:iCs/>
          <w:sz w:val="24"/>
          <w:szCs w:val="24"/>
        </w:rPr>
        <w:t>. The incidence of disease since the first examination can be enumerated and difference based on exposure levels described. Repeated measures analyses for continuous variable adjusted for changes in weight or BMI or other pertine</w:t>
      </w:r>
      <w:r w:rsidR="00C14D05">
        <w:rPr>
          <w:rFonts w:cs="Calibri"/>
          <w:bCs/>
          <w:iCs/>
          <w:sz w:val="24"/>
          <w:szCs w:val="24"/>
        </w:rPr>
        <w:t>nt covariates are also planned.</w:t>
      </w:r>
      <w:r w:rsidRPr="003C4F3A">
        <w:rPr>
          <w:rFonts w:cs="Calibri"/>
          <w:bCs/>
          <w:iCs/>
          <w:sz w:val="24"/>
          <w:szCs w:val="24"/>
        </w:rPr>
        <w:t xml:space="preserve"> To further examine the shape of the dose–response curves, a generalized additive model (GAM) (Hastie and </w:t>
      </w:r>
      <w:proofErr w:type="spellStart"/>
      <w:r w:rsidRPr="003C4F3A">
        <w:rPr>
          <w:rFonts w:cs="Calibri"/>
          <w:bCs/>
          <w:iCs/>
          <w:sz w:val="24"/>
          <w:szCs w:val="24"/>
        </w:rPr>
        <w:t>Tibshirani</w:t>
      </w:r>
      <w:proofErr w:type="spellEnd"/>
      <w:r w:rsidR="00070E1D">
        <w:rPr>
          <w:rFonts w:cs="Calibri"/>
          <w:bCs/>
          <w:iCs/>
          <w:sz w:val="24"/>
          <w:szCs w:val="24"/>
        </w:rPr>
        <w:t>,</w:t>
      </w:r>
      <w:r w:rsidRPr="003C4F3A">
        <w:rPr>
          <w:rFonts w:cs="Calibri"/>
          <w:bCs/>
          <w:iCs/>
          <w:sz w:val="24"/>
          <w:szCs w:val="24"/>
        </w:rPr>
        <w:t xml:space="preserve"> 1990) may be fitted using a cubic regression spline for the ΣPCBs or other exposure variables. </w:t>
      </w:r>
    </w:p>
    <w:p w:rsidR="00E06D61" w:rsidRPr="003C4F3A" w:rsidRDefault="00E06D61" w:rsidP="00921444">
      <w:pPr>
        <w:autoSpaceDE w:val="0"/>
        <w:autoSpaceDN w:val="0"/>
        <w:adjustRightInd w:val="0"/>
        <w:spacing w:after="0" w:line="240" w:lineRule="auto"/>
        <w:jc w:val="both"/>
        <w:rPr>
          <w:rFonts w:cs="Calibri"/>
          <w:bCs/>
          <w:iCs/>
          <w:sz w:val="24"/>
          <w:szCs w:val="24"/>
        </w:rPr>
      </w:pPr>
    </w:p>
    <w:p w:rsidR="00E06D61" w:rsidRPr="003C4F3A" w:rsidRDefault="00E06D61" w:rsidP="00921444">
      <w:pPr>
        <w:autoSpaceDE w:val="0"/>
        <w:autoSpaceDN w:val="0"/>
        <w:adjustRightInd w:val="0"/>
        <w:spacing w:after="0" w:line="240" w:lineRule="auto"/>
        <w:jc w:val="both"/>
        <w:rPr>
          <w:rFonts w:cs="Calibri"/>
          <w:bCs/>
          <w:iCs/>
          <w:sz w:val="24"/>
          <w:szCs w:val="24"/>
        </w:rPr>
      </w:pPr>
      <w:r w:rsidRPr="003C4F3A">
        <w:rPr>
          <w:rFonts w:cs="Calibri"/>
          <w:bCs/>
          <w:iCs/>
          <w:sz w:val="24"/>
          <w:szCs w:val="24"/>
        </w:rPr>
        <w:t>PCBs will be included in the analyses as ‘total’ PCBs (the sum of 35 PCB congeners), individual PCB congeners, and subsets of PCBs. Subsets of PCBs based on structure and function will be summed as follows: estrogenic congeners 44, 49, 66, 74, 99, 110, and 128 (</w:t>
      </w:r>
      <w:proofErr w:type="spellStart"/>
      <w:r w:rsidRPr="003C4F3A">
        <w:rPr>
          <w:rFonts w:cs="Calibri"/>
          <w:bCs/>
          <w:iCs/>
          <w:sz w:val="24"/>
          <w:szCs w:val="24"/>
        </w:rPr>
        <w:t>DeCastro</w:t>
      </w:r>
      <w:proofErr w:type="spellEnd"/>
      <w:r w:rsidRPr="003C4F3A">
        <w:rPr>
          <w:rFonts w:cs="Calibri"/>
          <w:bCs/>
          <w:iCs/>
          <w:sz w:val="24"/>
          <w:szCs w:val="24"/>
        </w:rPr>
        <w:t xml:space="preserve"> et al.</w:t>
      </w:r>
      <w:r w:rsidR="00070E1D">
        <w:rPr>
          <w:rFonts w:cs="Calibri"/>
          <w:bCs/>
          <w:iCs/>
          <w:sz w:val="24"/>
          <w:szCs w:val="24"/>
        </w:rPr>
        <w:t>,</w:t>
      </w:r>
      <w:r w:rsidRPr="003C4F3A">
        <w:rPr>
          <w:rFonts w:cs="Calibri"/>
          <w:bCs/>
          <w:iCs/>
          <w:sz w:val="24"/>
          <w:szCs w:val="24"/>
        </w:rPr>
        <w:t xml:space="preserve"> 2006); mono-</w:t>
      </w:r>
      <w:proofErr w:type="spellStart"/>
      <w:r w:rsidRPr="00543B7E">
        <w:rPr>
          <w:rFonts w:cs="Calibri"/>
          <w:bCs/>
          <w:i/>
          <w:iCs/>
          <w:sz w:val="24"/>
          <w:szCs w:val="24"/>
        </w:rPr>
        <w:t>ortho</w:t>
      </w:r>
      <w:proofErr w:type="spellEnd"/>
      <w:r w:rsidRPr="003C4F3A">
        <w:rPr>
          <w:rFonts w:cs="Calibri"/>
          <w:bCs/>
          <w:iCs/>
          <w:sz w:val="24"/>
          <w:szCs w:val="24"/>
        </w:rPr>
        <w:t xml:space="preserve"> congeners 28, 66, 74, 105, 118, 156, 157, 167, and 189; mono-</w:t>
      </w:r>
      <w:proofErr w:type="spellStart"/>
      <w:r w:rsidRPr="00543B7E">
        <w:rPr>
          <w:rFonts w:cs="Calibri"/>
          <w:bCs/>
          <w:i/>
          <w:iCs/>
          <w:sz w:val="24"/>
          <w:szCs w:val="24"/>
        </w:rPr>
        <w:t>ortho</w:t>
      </w:r>
      <w:proofErr w:type="spellEnd"/>
      <w:r w:rsidRPr="003C4F3A">
        <w:rPr>
          <w:rFonts w:cs="Calibri"/>
          <w:bCs/>
          <w:iCs/>
          <w:sz w:val="24"/>
          <w:szCs w:val="24"/>
        </w:rPr>
        <w:t xml:space="preserve"> dioxin toxic equivalents (TEQ) 105, 118, 156, 157, 167, and 189 (Van den Berg et al.</w:t>
      </w:r>
      <w:r w:rsidR="00070E1D">
        <w:rPr>
          <w:rFonts w:cs="Calibri"/>
          <w:bCs/>
          <w:iCs/>
          <w:sz w:val="24"/>
          <w:szCs w:val="24"/>
        </w:rPr>
        <w:t>,</w:t>
      </w:r>
      <w:r w:rsidRPr="003C4F3A">
        <w:rPr>
          <w:rFonts w:cs="Calibri"/>
          <w:bCs/>
          <w:iCs/>
          <w:sz w:val="24"/>
          <w:szCs w:val="24"/>
        </w:rPr>
        <w:t xml:space="preserve"> 2006); di</w:t>
      </w:r>
      <w:r w:rsidRPr="00BB4A02">
        <w:rPr>
          <w:rFonts w:ascii="MS Gothic" w:eastAsia="MS Gothic" w:hAnsi="MS Gothic" w:cs="MS Gothic" w:hint="eastAsia"/>
          <w:bCs/>
          <w:iCs/>
          <w:sz w:val="24"/>
          <w:szCs w:val="24"/>
        </w:rPr>
        <w:t>‑</w:t>
      </w:r>
      <w:r w:rsidRPr="003C4F3A">
        <w:rPr>
          <w:rFonts w:cs="Calibri"/>
          <w:bCs/>
          <w:iCs/>
          <w:sz w:val="24"/>
          <w:szCs w:val="24"/>
        </w:rPr>
        <w:t>, tri</w:t>
      </w:r>
      <w:r w:rsidRPr="00BB4A02">
        <w:rPr>
          <w:rFonts w:ascii="MS Gothic" w:eastAsia="MS Gothic" w:hAnsi="MS Gothic" w:cs="MS Gothic" w:hint="eastAsia"/>
          <w:bCs/>
          <w:iCs/>
          <w:sz w:val="24"/>
          <w:szCs w:val="24"/>
        </w:rPr>
        <w:t>‑</w:t>
      </w:r>
      <w:r w:rsidRPr="003C4F3A">
        <w:rPr>
          <w:rFonts w:cs="Calibri"/>
          <w:bCs/>
          <w:iCs/>
          <w:sz w:val="24"/>
          <w:szCs w:val="24"/>
        </w:rPr>
        <w:t>, and tetra-</w:t>
      </w:r>
      <w:proofErr w:type="spellStart"/>
      <w:r w:rsidRPr="00543B7E">
        <w:rPr>
          <w:rFonts w:cs="Calibri"/>
          <w:bCs/>
          <w:i/>
          <w:iCs/>
          <w:sz w:val="24"/>
          <w:szCs w:val="24"/>
        </w:rPr>
        <w:t>ortho</w:t>
      </w:r>
      <w:proofErr w:type="spellEnd"/>
      <w:r w:rsidRPr="003C4F3A">
        <w:rPr>
          <w:rFonts w:cs="Calibri"/>
          <w:bCs/>
          <w:iCs/>
          <w:sz w:val="24"/>
          <w:szCs w:val="24"/>
        </w:rPr>
        <w:t xml:space="preserve"> congeners (combined) 44, 49, 52, 87, 99, 101, 110, 128, 138+158, 146, 153, </w:t>
      </w:r>
      <w:r w:rsidRPr="003C4F3A">
        <w:rPr>
          <w:rFonts w:cs="Calibri"/>
          <w:bCs/>
          <w:iCs/>
          <w:sz w:val="24"/>
          <w:szCs w:val="24"/>
        </w:rPr>
        <w:lastRenderedPageBreak/>
        <w:t xml:space="preserve">170, 172, 180, 194, 149, 151, 177, 178, 183, 187, 195, 196+203, 199, 206, and 209; and the ryanodine-like congeners 52, 101, 149, 151, 170, 180, 183, and 187 (activate ryanodine receptors at &lt; 1 </w:t>
      </w:r>
      <w:proofErr w:type="spellStart"/>
      <w:r w:rsidRPr="003C4F3A">
        <w:rPr>
          <w:rFonts w:cs="Calibri"/>
          <w:bCs/>
          <w:iCs/>
          <w:sz w:val="24"/>
          <w:szCs w:val="24"/>
        </w:rPr>
        <w:t>μM</w:t>
      </w:r>
      <w:proofErr w:type="spellEnd"/>
      <w:r w:rsidRPr="003C4F3A">
        <w:rPr>
          <w:rFonts w:cs="Calibri"/>
          <w:bCs/>
          <w:iCs/>
          <w:sz w:val="24"/>
          <w:szCs w:val="24"/>
        </w:rPr>
        <w:t>) (</w:t>
      </w:r>
      <w:proofErr w:type="spellStart"/>
      <w:r w:rsidRPr="003C4F3A">
        <w:rPr>
          <w:rFonts w:cs="Calibri"/>
          <w:bCs/>
          <w:iCs/>
          <w:sz w:val="24"/>
          <w:szCs w:val="24"/>
        </w:rPr>
        <w:t>Pessah</w:t>
      </w:r>
      <w:proofErr w:type="spellEnd"/>
      <w:r w:rsidRPr="003C4F3A">
        <w:rPr>
          <w:rFonts w:cs="Calibri"/>
          <w:bCs/>
          <w:iCs/>
          <w:sz w:val="24"/>
          <w:szCs w:val="24"/>
        </w:rPr>
        <w:t xml:space="preserve"> et al. 2006). In addition, we will evaluate the possible association between </w:t>
      </w:r>
      <w:proofErr w:type="spellStart"/>
      <w:r w:rsidRPr="003C4F3A">
        <w:rPr>
          <w:rFonts w:cs="Calibri"/>
          <w:bCs/>
          <w:iCs/>
          <w:sz w:val="24"/>
          <w:szCs w:val="24"/>
        </w:rPr>
        <w:t>dichlorodiphenyldichloroethylene</w:t>
      </w:r>
      <w:proofErr w:type="spellEnd"/>
      <w:r w:rsidRPr="003C4F3A">
        <w:rPr>
          <w:rFonts w:cs="Calibri"/>
          <w:bCs/>
          <w:iCs/>
          <w:sz w:val="24"/>
          <w:szCs w:val="24"/>
        </w:rPr>
        <w:t xml:space="preserve"> (DDE) and other </w:t>
      </w:r>
      <w:proofErr w:type="spellStart"/>
      <w:r w:rsidRPr="003C4F3A">
        <w:rPr>
          <w:rFonts w:cs="Calibri"/>
          <w:bCs/>
          <w:iCs/>
          <w:sz w:val="24"/>
          <w:szCs w:val="24"/>
        </w:rPr>
        <w:t>organochlorine</w:t>
      </w:r>
      <w:proofErr w:type="spellEnd"/>
      <w:r w:rsidRPr="003C4F3A">
        <w:rPr>
          <w:rFonts w:cs="Calibri"/>
          <w:bCs/>
          <w:iCs/>
          <w:sz w:val="24"/>
          <w:szCs w:val="24"/>
        </w:rPr>
        <w:t xml:space="preserve"> pesticides with study outcomes of interest. Sum of </w:t>
      </w:r>
      <w:proofErr w:type="spellStart"/>
      <w:r w:rsidRPr="003C4F3A">
        <w:rPr>
          <w:rFonts w:cs="Calibri"/>
          <w:bCs/>
          <w:iCs/>
          <w:sz w:val="24"/>
          <w:szCs w:val="24"/>
        </w:rPr>
        <w:t>organochlorine</w:t>
      </w:r>
      <w:proofErr w:type="spellEnd"/>
      <w:r w:rsidRPr="003C4F3A">
        <w:rPr>
          <w:rFonts w:cs="Calibri"/>
          <w:bCs/>
          <w:iCs/>
          <w:sz w:val="24"/>
          <w:szCs w:val="24"/>
        </w:rPr>
        <w:t xml:space="preserve"> pesticides have also been used in statistical analyses. Dioxins, </w:t>
      </w:r>
      <w:proofErr w:type="spellStart"/>
      <w:r w:rsidRPr="003C4F3A">
        <w:rPr>
          <w:rFonts w:cs="Calibri"/>
          <w:bCs/>
          <w:iCs/>
          <w:sz w:val="24"/>
          <w:szCs w:val="24"/>
        </w:rPr>
        <w:t>dibenzofurans</w:t>
      </w:r>
      <w:proofErr w:type="spellEnd"/>
      <w:r w:rsidRPr="003C4F3A">
        <w:rPr>
          <w:rFonts w:cs="Calibri"/>
          <w:bCs/>
          <w:iCs/>
          <w:sz w:val="24"/>
          <w:szCs w:val="24"/>
        </w:rPr>
        <w:t>, and coplanar PCBs will be analyzed individually and as sums of their respective TEQs. Total dioxin TEQ (sum of individual PCDD/DF/co-PCBs/mono-</w:t>
      </w:r>
      <w:proofErr w:type="spellStart"/>
      <w:r w:rsidRPr="005C1EF0">
        <w:rPr>
          <w:rFonts w:cs="Calibri"/>
          <w:bCs/>
          <w:i/>
          <w:iCs/>
          <w:sz w:val="24"/>
          <w:szCs w:val="24"/>
        </w:rPr>
        <w:t>ortho</w:t>
      </w:r>
      <w:proofErr w:type="spellEnd"/>
      <w:r w:rsidRPr="003C4F3A">
        <w:rPr>
          <w:rFonts w:cs="Calibri"/>
          <w:bCs/>
          <w:iCs/>
          <w:sz w:val="24"/>
          <w:szCs w:val="24"/>
        </w:rPr>
        <w:t xml:space="preserve"> PCBs) will be calculated and contrasted with health outcomes of interest using 2005 World Health Organization toxic equivalency factors (WHO TEFs, Van den Berg et al., 2006).  </w:t>
      </w:r>
    </w:p>
    <w:p w:rsidR="00E06D61" w:rsidRPr="003C4F3A" w:rsidRDefault="00E06D61" w:rsidP="00921444">
      <w:pPr>
        <w:autoSpaceDE w:val="0"/>
        <w:autoSpaceDN w:val="0"/>
        <w:adjustRightInd w:val="0"/>
        <w:spacing w:after="0" w:line="240" w:lineRule="auto"/>
        <w:jc w:val="both"/>
        <w:rPr>
          <w:rFonts w:cs="Calibri"/>
          <w:bCs/>
          <w:iCs/>
          <w:sz w:val="24"/>
          <w:szCs w:val="24"/>
        </w:rPr>
      </w:pPr>
    </w:p>
    <w:p w:rsidR="00E06D61" w:rsidRPr="003C4F3A" w:rsidRDefault="00E06D61" w:rsidP="00921444">
      <w:pPr>
        <w:autoSpaceDE w:val="0"/>
        <w:autoSpaceDN w:val="0"/>
        <w:adjustRightInd w:val="0"/>
        <w:spacing w:after="0" w:line="240" w:lineRule="auto"/>
        <w:jc w:val="both"/>
        <w:rPr>
          <w:rFonts w:cs="Calibri"/>
          <w:bCs/>
          <w:iCs/>
          <w:sz w:val="24"/>
          <w:szCs w:val="24"/>
        </w:rPr>
      </w:pPr>
      <w:r w:rsidRPr="003C4F3A">
        <w:rPr>
          <w:rFonts w:cs="Calibri"/>
          <w:bCs/>
          <w:iCs/>
          <w:sz w:val="24"/>
          <w:szCs w:val="24"/>
        </w:rPr>
        <w:t xml:space="preserve">Testing </w:t>
      </w:r>
      <w:r w:rsidR="00070E1D">
        <w:rPr>
          <w:rFonts w:cs="Calibri"/>
          <w:bCs/>
          <w:iCs/>
          <w:sz w:val="24"/>
          <w:szCs w:val="24"/>
        </w:rPr>
        <w:t xml:space="preserve">of </w:t>
      </w:r>
      <w:r w:rsidRPr="003C4F3A">
        <w:rPr>
          <w:rFonts w:cs="Calibri"/>
          <w:bCs/>
          <w:iCs/>
          <w:sz w:val="24"/>
          <w:szCs w:val="24"/>
        </w:rPr>
        <w:t xml:space="preserve">secondary hypotheses, sum of PBDE congeners, individual PBDE congeners, individual heavy metals, and pro-inflammatory cytokines will be included in different regression models. Confounding of associations with PCBs and dioxins (from the primary hypotheses) will be tested as well as potential effect modification. Major risk factors for health outcomes of interest collected from questionnaire data and </w:t>
      </w:r>
      <w:r w:rsidR="00711C4D">
        <w:rPr>
          <w:rFonts w:cs="Calibri"/>
          <w:bCs/>
          <w:iCs/>
          <w:sz w:val="24"/>
          <w:szCs w:val="24"/>
        </w:rPr>
        <w:t>respondent</w:t>
      </w:r>
      <w:r w:rsidRPr="003C4F3A">
        <w:rPr>
          <w:rFonts w:cs="Calibri"/>
          <w:bCs/>
          <w:iCs/>
          <w:sz w:val="24"/>
          <w:szCs w:val="24"/>
        </w:rPr>
        <w:t>s’ measurements will also be evaluated.  Interaction terms between exposure variables and age, race, and sex will be constructed and evaluated in the regression models. Cytokines and inflammatory factors could also be evaluated as modifiers of primary health outcomes.</w:t>
      </w:r>
    </w:p>
    <w:p w:rsidR="00E06D61" w:rsidRPr="003C4F3A" w:rsidRDefault="00E06D61" w:rsidP="00921444">
      <w:pPr>
        <w:autoSpaceDE w:val="0"/>
        <w:autoSpaceDN w:val="0"/>
        <w:adjustRightInd w:val="0"/>
        <w:spacing w:after="0" w:line="240" w:lineRule="auto"/>
        <w:jc w:val="both"/>
        <w:rPr>
          <w:rFonts w:cs="Calibri"/>
          <w:bCs/>
          <w:iCs/>
          <w:sz w:val="24"/>
          <w:szCs w:val="24"/>
        </w:rPr>
      </w:pPr>
    </w:p>
    <w:p w:rsidR="00E06D61" w:rsidRPr="003C4F3A" w:rsidRDefault="00E06D61" w:rsidP="00921444">
      <w:pPr>
        <w:autoSpaceDE w:val="0"/>
        <w:autoSpaceDN w:val="0"/>
        <w:adjustRightInd w:val="0"/>
        <w:spacing w:after="0" w:line="240" w:lineRule="auto"/>
        <w:jc w:val="both"/>
        <w:rPr>
          <w:rFonts w:cs="Calibri"/>
          <w:bCs/>
          <w:iCs/>
          <w:sz w:val="24"/>
          <w:szCs w:val="24"/>
        </w:rPr>
      </w:pPr>
      <w:r w:rsidRPr="003C4F3A">
        <w:rPr>
          <w:rFonts w:cs="Calibri"/>
          <w:bCs/>
          <w:iCs/>
          <w:sz w:val="24"/>
          <w:szCs w:val="24"/>
        </w:rPr>
        <w:t>Confounding will be assessed in a series of models that include exposure variable (e.g. PCBs) and one of the established risk factors for outcome variable or potential confounders.  Confounding is defined as a &gt; 10% change in the β</w:t>
      </w:r>
      <w:r w:rsidRPr="00BB4A02">
        <w:rPr>
          <w:rFonts w:ascii="MS Gothic" w:eastAsia="MS Gothic" w:hAnsi="MS Gothic" w:cs="MS Gothic" w:hint="eastAsia"/>
          <w:bCs/>
          <w:iCs/>
          <w:sz w:val="24"/>
          <w:szCs w:val="24"/>
        </w:rPr>
        <w:t>‑</w:t>
      </w:r>
      <w:r w:rsidRPr="003C4F3A">
        <w:rPr>
          <w:rFonts w:cs="Calibri"/>
          <w:bCs/>
          <w:iCs/>
          <w:sz w:val="24"/>
          <w:szCs w:val="24"/>
        </w:rPr>
        <w:t>coefficient and will evaluated by comparing point estimates for the exposure-outcome associations with and without the potential confounder. Effect modification will be investigated using variables indicating the product of the potential effect modifier with the exposure, and by stratification of regression models by the potential effect modifier.</w:t>
      </w:r>
    </w:p>
    <w:p w:rsidR="00496150" w:rsidRPr="003C4F3A" w:rsidRDefault="00496150" w:rsidP="0064210D">
      <w:pPr>
        <w:autoSpaceDE w:val="0"/>
        <w:autoSpaceDN w:val="0"/>
        <w:adjustRightInd w:val="0"/>
        <w:spacing w:after="0" w:line="240" w:lineRule="auto"/>
        <w:rPr>
          <w:rFonts w:cs="Calibri"/>
          <w:color w:val="000000"/>
          <w:sz w:val="24"/>
          <w:szCs w:val="24"/>
        </w:rPr>
      </w:pPr>
    </w:p>
    <w:p w:rsidR="00020EFF" w:rsidRDefault="00834765" w:rsidP="00006C20">
      <w:pPr>
        <w:pStyle w:val="Heading2"/>
        <w:rPr>
          <w:rFonts w:ascii="Calibri" w:hAnsi="Calibri" w:cs="Calibri"/>
          <w:sz w:val="24"/>
          <w:szCs w:val="24"/>
        </w:rPr>
      </w:pPr>
      <w:bookmarkStart w:id="8" w:name="_Toc349489335"/>
      <w:r w:rsidRPr="003C4F3A">
        <w:rPr>
          <w:rFonts w:ascii="Calibri" w:hAnsi="Calibri" w:cs="Calibri"/>
          <w:sz w:val="24"/>
          <w:szCs w:val="24"/>
        </w:rPr>
        <w:t>B.</w:t>
      </w:r>
      <w:r w:rsidR="00020EFF" w:rsidRPr="003C4F3A">
        <w:rPr>
          <w:rFonts w:ascii="Calibri" w:hAnsi="Calibri" w:cs="Calibri"/>
          <w:sz w:val="24"/>
          <w:szCs w:val="24"/>
        </w:rPr>
        <w:t>5. Individuals Consulted on Statistical Aspects and Individuals Collecting and/or Analyzing Data</w:t>
      </w:r>
      <w:bookmarkEnd w:id="8"/>
    </w:p>
    <w:p w:rsidR="000F7424" w:rsidRDefault="000F7424" w:rsidP="00E2666D">
      <w:pPr>
        <w:spacing w:after="0" w:line="240" w:lineRule="auto"/>
      </w:pPr>
    </w:p>
    <w:p w:rsidR="00E2666D" w:rsidRPr="00C56C75" w:rsidRDefault="00E2666D" w:rsidP="00E2666D">
      <w:pPr>
        <w:spacing w:after="0" w:line="240" w:lineRule="auto"/>
        <w:rPr>
          <w:rFonts w:asciiTheme="minorHAnsi" w:hAnsiTheme="minorHAnsi" w:cstheme="minorHAnsi"/>
          <w:sz w:val="24"/>
          <w:szCs w:val="24"/>
        </w:rPr>
      </w:pPr>
      <w:r>
        <w:rPr>
          <w:rFonts w:asciiTheme="minorHAnsi" w:hAnsiTheme="minorHAnsi" w:cstheme="minorHAnsi"/>
          <w:color w:val="000000"/>
          <w:sz w:val="24"/>
          <w:szCs w:val="24"/>
        </w:rPr>
        <w:t>The following table presents the ACHS-II research team.</w:t>
      </w:r>
    </w:p>
    <w:p w:rsidR="00E2666D" w:rsidRDefault="00E2666D" w:rsidP="00E2666D">
      <w:pPr>
        <w:spacing w:after="0" w:line="240" w:lineRule="auto"/>
        <w:rPr>
          <w:rFonts w:asciiTheme="minorHAnsi" w:hAnsiTheme="minorHAnsi" w:cstheme="minorHAnsi"/>
          <w:color w:val="000000"/>
          <w:sz w:val="24"/>
          <w:szCs w:val="24"/>
        </w:rPr>
      </w:pPr>
    </w:p>
    <w:p w:rsidR="004A005B" w:rsidRDefault="008B3A57" w:rsidP="004A005B">
      <w:pPr>
        <w:spacing w:after="0" w:line="240" w:lineRule="auto"/>
        <w:rPr>
          <w:szCs w:val="24"/>
        </w:rPr>
      </w:pPr>
      <w:bookmarkStart w:id="9" w:name="_Toc329944762"/>
      <w:proofErr w:type="gramStart"/>
      <w:r w:rsidRPr="005C1EF0">
        <w:rPr>
          <w:b/>
          <w:szCs w:val="24"/>
        </w:rPr>
        <w:t>Table 3</w:t>
      </w:r>
      <w:r w:rsidR="004A005B" w:rsidRPr="005C1EF0">
        <w:rPr>
          <w:b/>
          <w:szCs w:val="24"/>
        </w:rPr>
        <w:t>.</w:t>
      </w:r>
      <w:proofErr w:type="gramEnd"/>
      <w:r w:rsidR="004A005B" w:rsidRPr="005C1EF0">
        <w:rPr>
          <w:szCs w:val="24"/>
        </w:rPr>
        <w:t xml:space="preserve"> </w:t>
      </w:r>
      <w:bookmarkEnd w:id="9"/>
      <w:r w:rsidR="004A005B" w:rsidRPr="005C1EF0">
        <w:rPr>
          <w:szCs w:val="24"/>
        </w:rPr>
        <w:t>Investigators and Key Study Personnel</w:t>
      </w:r>
    </w:p>
    <w:p w:rsidR="005C1EF0" w:rsidRPr="005C1EF0" w:rsidRDefault="005C1EF0" w:rsidP="004A005B">
      <w:pPr>
        <w:spacing w:after="0" w:line="240" w:lineRule="auto"/>
        <w:rPr>
          <w:szCs w:val="24"/>
        </w:rPr>
      </w:pPr>
    </w:p>
    <w:tbl>
      <w:tblPr>
        <w:tblW w:w="0" w:type="auto"/>
        <w:tblBorders>
          <w:top w:val="single" w:sz="8" w:space="0" w:color="auto"/>
          <w:bottom w:val="single" w:sz="8" w:space="0" w:color="auto"/>
          <w:insideH w:val="single" w:sz="8" w:space="0" w:color="auto"/>
        </w:tblBorders>
        <w:tblLayout w:type="fixed"/>
        <w:tblLook w:val="04A0" w:firstRow="1" w:lastRow="0" w:firstColumn="1" w:lastColumn="0" w:noHBand="0" w:noVBand="1"/>
      </w:tblPr>
      <w:tblGrid>
        <w:gridCol w:w="2147"/>
        <w:gridCol w:w="3163"/>
        <w:gridCol w:w="1458"/>
        <w:gridCol w:w="2808"/>
      </w:tblGrid>
      <w:tr w:rsidR="00985A6E" w:rsidRPr="00985A6E" w:rsidTr="005C1EF0">
        <w:tc>
          <w:tcPr>
            <w:tcW w:w="2147" w:type="dxa"/>
            <w:tcBorders>
              <w:bottom w:val="single" w:sz="8" w:space="0" w:color="auto"/>
            </w:tcBorders>
          </w:tcPr>
          <w:p w:rsidR="00C70FD9" w:rsidRPr="005C1EF0" w:rsidRDefault="00C70FD9" w:rsidP="00C70FD9">
            <w:pPr>
              <w:autoSpaceDE w:val="0"/>
              <w:autoSpaceDN w:val="0"/>
              <w:adjustRightInd w:val="0"/>
              <w:spacing w:after="0" w:line="240" w:lineRule="auto"/>
              <w:rPr>
                <w:rFonts w:asciiTheme="minorHAnsi" w:hAnsiTheme="minorHAnsi" w:cstheme="minorHAnsi"/>
                <w:sz w:val="20"/>
                <w:szCs w:val="20"/>
              </w:rPr>
            </w:pPr>
            <w:r w:rsidRPr="005C1EF0">
              <w:rPr>
                <w:rFonts w:asciiTheme="minorHAnsi" w:hAnsiTheme="minorHAnsi" w:cstheme="minorHAnsi"/>
                <w:sz w:val="20"/>
                <w:szCs w:val="20"/>
              </w:rPr>
              <w:t>Name</w:t>
            </w:r>
          </w:p>
        </w:tc>
        <w:tc>
          <w:tcPr>
            <w:tcW w:w="3163" w:type="dxa"/>
            <w:tcBorders>
              <w:bottom w:val="single" w:sz="8" w:space="0" w:color="auto"/>
            </w:tcBorders>
          </w:tcPr>
          <w:p w:rsidR="00C70FD9" w:rsidRPr="005C1EF0" w:rsidRDefault="0046405A" w:rsidP="00C70FD9">
            <w:pPr>
              <w:autoSpaceDE w:val="0"/>
              <w:autoSpaceDN w:val="0"/>
              <w:adjustRightInd w:val="0"/>
              <w:spacing w:after="0" w:line="240" w:lineRule="auto"/>
              <w:rPr>
                <w:rFonts w:asciiTheme="minorHAnsi" w:hAnsiTheme="minorHAnsi" w:cstheme="minorHAnsi"/>
                <w:sz w:val="20"/>
                <w:szCs w:val="20"/>
              </w:rPr>
            </w:pPr>
            <w:r w:rsidRPr="005C1EF0">
              <w:rPr>
                <w:rFonts w:asciiTheme="minorHAnsi" w:hAnsiTheme="minorHAnsi" w:cstheme="minorHAnsi"/>
                <w:sz w:val="20"/>
                <w:szCs w:val="20"/>
              </w:rPr>
              <w:t xml:space="preserve">Affiliation and </w:t>
            </w:r>
            <w:r w:rsidR="00C70FD9" w:rsidRPr="005C1EF0">
              <w:rPr>
                <w:rFonts w:asciiTheme="minorHAnsi" w:hAnsiTheme="minorHAnsi" w:cstheme="minorHAnsi"/>
                <w:sz w:val="20"/>
                <w:szCs w:val="20"/>
              </w:rPr>
              <w:t>Title</w:t>
            </w:r>
          </w:p>
        </w:tc>
        <w:tc>
          <w:tcPr>
            <w:tcW w:w="1458" w:type="dxa"/>
            <w:tcBorders>
              <w:bottom w:val="single" w:sz="8" w:space="0" w:color="auto"/>
            </w:tcBorders>
          </w:tcPr>
          <w:p w:rsidR="00C70FD9" w:rsidRPr="005C1EF0" w:rsidRDefault="00C70FD9" w:rsidP="00C70FD9">
            <w:pPr>
              <w:autoSpaceDE w:val="0"/>
              <w:autoSpaceDN w:val="0"/>
              <w:adjustRightInd w:val="0"/>
              <w:spacing w:after="0" w:line="240" w:lineRule="auto"/>
              <w:rPr>
                <w:rFonts w:asciiTheme="minorHAnsi" w:hAnsiTheme="minorHAnsi" w:cstheme="minorHAnsi"/>
                <w:sz w:val="20"/>
                <w:szCs w:val="20"/>
              </w:rPr>
            </w:pPr>
            <w:r w:rsidRPr="005C1EF0">
              <w:rPr>
                <w:rFonts w:asciiTheme="minorHAnsi" w:hAnsiTheme="minorHAnsi" w:cstheme="minorHAnsi"/>
                <w:sz w:val="20"/>
                <w:szCs w:val="20"/>
              </w:rPr>
              <w:t>Phone</w:t>
            </w:r>
          </w:p>
        </w:tc>
        <w:tc>
          <w:tcPr>
            <w:tcW w:w="2808" w:type="dxa"/>
            <w:tcBorders>
              <w:bottom w:val="single" w:sz="8" w:space="0" w:color="auto"/>
            </w:tcBorders>
          </w:tcPr>
          <w:p w:rsidR="00C70FD9" w:rsidRPr="005C1EF0" w:rsidRDefault="00C70FD9" w:rsidP="00C70FD9">
            <w:pPr>
              <w:autoSpaceDE w:val="0"/>
              <w:autoSpaceDN w:val="0"/>
              <w:adjustRightInd w:val="0"/>
              <w:spacing w:after="0" w:line="240" w:lineRule="auto"/>
              <w:rPr>
                <w:rFonts w:asciiTheme="minorHAnsi" w:hAnsiTheme="minorHAnsi" w:cstheme="minorHAnsi"/>
                <w:sz w:val="20"/>
                <w:szCs w:val="20"/>
              </w:rPr>
            </w:pPr>
            <w:r w:rsidRPr="005C1EF0">
              <w:rPr>
                <w:rFonts w:asciiTheme="minorHAnsi" w:hAnsiTheme="minorHAnsi" w:cstheme="minorHAnsi"/>
                <w:sz w:val="20"/>
                <w:szCs w:val="20"/>
              </w:rPr>
              <w:t>Email</w:t>
            </w:r>
          </w:p>
        </w:tc>
      </w:tr>
      <w:tr w:rsidR="00C70FD9" w:rsidRPr="00985A6E" w:rsidTr="005C1EF0">
        <w:tc>
          <w:tcPr>
            <w:tcW w:w="9576" w:type="dxa"/>
            <w:gridSpan w:val="4"/>
            <w:shd w:val="clear" w:color="auto" w:fill="D9D9D9" w:themeFill="background1" w:themeFillShade="D9"/>
            <w:vAlign w:val="center"/>
          </w:tcPr>
          <w:p w:rsidR="00C70FD9" w:rsidRPr="005C1EF0" w:rsidRDefault="0046405A" w:rsidP="00C70FD9">
            <w:pPr>
              <w:autoSpaceDE w:val="0"/>
              <w:autoSpaceDN w:val="0"/>
              <w:adjustRightInd w:val="0"/>
              <w:spacing w:after="0" w:line="240" w:lineRule="auto"/>
              <w:rPr>
                <w:rFonts w:asciiTheme="minorHAnsi" w:hAnsiTheme="minorHAnsi" w:cstheme="minorHAnsi"/>
                <w:sz w:val="20"/>
                <w:szCs w:val="20"/>
                <w:lang w:val="en"/>
              </w:rPr>
            </w:pPr>
            <w:r w:rsidRPr="005C1EF0">
              <w:rPr>
                <w:rFonts w:asciiTheme="minorHAnsi" w:hAnsiTheme="minorHAnsi" w:cstheme="minorHAnsi"/>
                <w:sz w:val="20"/>
                <w:szCs w:val="20"/>
                <w:lang w:val="en"/>
              </w:rPr>
              <w:t>PRINCIPAL INVESTIGATORS</w:t>
            </w:r>
          </w:p>
        </w:tc>
      </w:tr>
      <w:tr w:rsidR="006B2EE5" w:rsidRPr="00985A6E" w:rsidTr="005C1EF0">
        <w:tc>
          <w:tcPr>
            <w:tcW w:w="2147" w:type="dxa"/>
            <w:vAlign w:val="center"/>
          </w:tcPr>
          <w:p w:rsidR="00C70FD9" w:rsidRPr="005C1EF0" w:rsidRDefault="0046405A" w:rsidP="00C70FD9">
            <w:pPr>
              <w:autoSpaceDE w:val="0"/>
              <w:autoSpaceDN w:val="0"/>
              <w:adjustRightInd w:val="0"/>
              <w:spacing w:after="0" w:line="240" w:lineRule="auto"/>
              <w:rPr>
                <w:rFonts w:asciiTheme="minorHAnsi" w:hAnsiTheme="minorHAnsi" w:cstheme="minorHAnsi"/>
                <w:sz w:val="20"/>
                <w:szCs w:val="20"/>
              </w:rPr>
            </w:pPr>
            <w:r w:rsidRPr="00985A6E">
              <w:rPr>
                <w:sz w:val="20"/>
                <w:szCs w:val="20"/>
              </w:rPr>
              <w:t>Marian Pavuk, MD, PhD</w:t>
            </w:r>
          </w:p>
        </w:tc>
        <w:tc>
          <w:tcPr>
            <w:tcW w:w="3163" w:type="dxa"/>
            <w:vAlign w:val="center"/>
          </w:tcPr>
          <w:p w:rsidR="00A462EC" w:rsidRPr="00985A6E" w:rsidRDefault="0046405A" w:rsidP="00C70FD9">
            <w:pPr>
              <w:autoSpaceDE w:val="0"/>
              <w:autoSpaceDN w:val="0"/>
              <w:adjustRightInd w:val="0"/>
              <w:spacing w:after="0" w:line="240" w:lineRule="auto"/>
              <w:rPr>
                <w:sz w:val="20"/>
                <w:szCs w:val="20"/>
              </w:rPr>
            </w:pPr>
            <w:r w:rsidRPr="00985A6E">
              <w:rPr>
                <w:sz w:val="20"/>
                <w:szCs w:val="20"/>
              </w:rPr>
              <w:t>ATSDR – Principal Investigator;</w:t>
            </w:r>
            <w:r w:rsidR="00A462EC" w:rsidRPr="00985A6E">
              <w:rPr>
                <w:sz w:val="20"/>
                <w:szCs w:val="20"/>
              </w:rPr>
              <w:t xml:space="preserve"> </w:t>
            </w:r>
          </w:p>
          <w:p w:rsidR="00C70FD9" w:rsidRPr="005C1EF0" w:rsidRDefault="0046405A" w:rsidP="00C70FD9">
            <w:pPr>
              <w:autoSpaceDE w:val="0"/>
              <w:autoSpaceDN w:val="0"/>
              <w:adjustRightInd w:val="0"/>
              <w:spacing w:after="0" w:line="240" w:lineRule="auto"/>
              <w:rPr>
                <w:sz w:val="20"/>
                <w:szCs w:val="20"/>
              </w:rPr>
            </w:pPr>
            <w:r w:rsidRPr="00985A6E">
              <w:rPr>
                <w:sz w:val="20"/>
                <w:szCs w:val="20"/>
              </w:rPr>
              <w:t>Senior Epidemiologist</w:t>
            </w:r>
          </w:p>
        </w:tc>
        <w:tc>
          <w:tcPr>
            <w:tcW w:w="1458" w:type="dxa"/>
            <w:vAlign w:val="center"/>
          </w:tcPr>
          <w:p w:rsidR="00C70FD9" w:rsidRPr="005C1EF0" w:rsidRDefault="00913D1A" w:rsidP="00C70FD9">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770-</w:t>
            </w:r>
            <w:r w:rsidR="00A462EC" w:rsidRPr="005C1EF0">
              <w:rPr>
                <w:rStyle w:val="Emphasis"/>
                <w:rFonts w:asciiTheme="minorHAnsi" w:hAnsiTheme="minorHAnsi" w:cstheme="minorHAnsi"/>
                <w:i w:val="0"/>
                <w:sz w:val="20"/>
                <w:szCs w:val="20"/>
              </w:rPr>
              <w:t>488-3671</w:t>
            </w:r>
          </w:p>
        </w:tc>
        <w:tc>
          <w:tcPr>
            <w:tcW w:w="2808" w:type="dxa"/>
            <w:vAlign w:val="center"/>
          </w:tcPr>
          <w:p w:rsidR="00C70FD9" w:rsidRPr="005C1EF0" w:rsidRDefault="00A462EC" w:rsidP="00C70FD9">
            <w:pPr>
              <w:autoSpaceDE w:val="0"/>
              <w:autoSpaceDN w:val="0"/>
              <w:adjustRightInd w:val="0"/>
              <w:spacing w:after="0" w:line="240" w:lineRule="auto"/>
              <w:rPr>
                <w:rStyle w:val="Emphasis"/>
                <w:rFonts w:asciiTheme="minorHAnsi" w:hAnsiTheme="minorHAnsi" w:cstheme="minorHAnsi"/>
                <w:i w:val="0"/>
                <w:iCs w:val="0"/>
                <w:sz w:val="20"/>
                <w:szCs w:val="20"/>
                <w:u w:val="single"/>
                <w:lang w:val="en"/>
              </w:rPr>
            </w:pPr>
            <w:r w:rsidRPr="005C1EF0">
              <w:rPr>
                <w:rStyle w:val="Emphasis"/>
                <w:rFonts w:asciiTheme="minorHAnsi" w:hAnsiTheme="minorHAnsi" w:cstheme="minorHAnsi"/>
                <w:i w:val="0"/>
                <w:iCs w:val="0"/>
                <w:sz w:val="20"/>
                <w:szCs w:val="20"/>
                <w:u w:val="single"/>
                <w:lang w:val="en"/>
              </w:rPr>
              <w:t>fsh8@cdc.gov</w:t>
            </w:r>
          </w:p>
        </w:tc>
      </w:tr>
      <w:tr w:rsidR="00985A6E" w:rsidRPr="00985A6E" w:rsidTr="005C1EF0">
        <w:tc>
          <w:tcPr>
            <w:tcW w:w="2147" w:type="dxa"/>
            <w:tcBorders>
              <w:bottom w:val="single" w:sz="8" w:space="0" w:color="auto"/>
            </w:tcBorders>
            <w:vAlign w:val="center"/>
          </w:tcPr>
          <w:p w:rsidR="00C70FD9" w:rsidRPr="00985A6E" w:rsidRDefault="0046405A" w:rsidP="00C70FD9">
            <w:pPr>
              <w:pStyle w:val="PlainText"/>
              <w:rPr>
                <w:rFonts w:asciiTheme="minorHAnsi" w:hAnsiTheme="minorHAnsi" w:cstheme="minorHAnsi"/>
                <w:sz w:val="20"/>
                <w:szCs w:val="20"/>
              </w:rPr>
            </w:pPr>
            <w:r w:rsidRPr="00985A6E">
              <w:rPr>
                <w:sz w:val="20"/>
                <w:szCs w:val="20"/>
              </w:rPr>
              <w:t>Stephen Mennemeyer, PhD</w:t>
            </w:r>
          </w:p>
        </w:tc>
        <w:tc>
          <w:tcPr>
            <w:tcW w:w="3163" w:type="dxa"/>
            <w:tcBorders>
              <w:bottom w:val="single" w:sz="8" w:space="0" w:color="auto"/>
            </w:tcBorders>
            <w:vAlign w:val="center"/>
          </w:tcPr>
          <w:p w:rsidR="00A462EC" w:rsidRPr="005C1EF0" w:rsidRDefault="0046405A" w:rsidP="00C70FD9">
            <w:pPr>
              <w:autoSpaceDE w:val="0"/>
              <w:autoSpaceDN w:val="0"/>
              <w:adjustRightInd w:val="0"/>
              <w:spacing w:after="0" w:line="240" w:lineRule="auto"/>
              <w:rPr>
                <w:rFonts w:asciiTheme="minorHAnsi" w:hAnsiTheme="minorHAnsi"/>
                <w:sz w:val="20"/>
                <w:szCs w:val="20"/>
              </w:rPr>
            </w:pPr>
            <w:r w:rsidRPr="005C1EF0">
              <w:rPr>
                <w:rFonts w:asciiTheme="minorHAnsi" w:hAnsiTheme="minorHAnsi"/>
                <w:sz w:val="20"/>
                <w:szCs w:val="20"/>
              </w:rPr>
              <w:t xml:space="preserve">UAB – Co-Principal Investigator; </w:t>
            </w:r>
          </w:p>
          <w:p w:rsidR="00C70FD9" w:rsidRPr="005C1EF0" w:rsidRDefault="0046405A" w:rsidP="00C70FD9">
            <w:pPr>
              <w:autoSpaceDE w:val="0"/>
              <w:autoSpaceDN w:val="0"/>
              <w:adjustRightInd w:val="0"/>
              <w:spacing w:after="0" w:line="240" w:lineRule="auto"/>
              <w:rPr>
                <w:rFonts w:asciiTheme="minorHAnsi" w:hAnsiTheme="minorHAnsi" w:cstheme="minorHAnsi"/>
                <w:sz w:val="20"/>
                <w:szCs w:val="20"/>
              </w:rPr>
            </w:pPr>
            <w:r w:rsidRPr="005C1EF0">
              <w:rPr>
                <w:rFonts w:asciiTheme="minorHAnsi" w:hAnsiTheme="minorHAnsi"/>
                <w:sz w:val="20"/>
                <w:szCs w:val="20"/>
              </w:rPr>
              <w:t>Professor, School of Public Health</w:t>
            </w:r>
          </w:p>
        </w:tc>
        <w:tc>
          <w:tcPr>
            <w:tcW w:w="1458" w:type="dxa"/>
            <w:tcBorders>
              <w:bottom w:val="single" w:sz="8" w:space="0" w:color="auto"/>
            </w:tcBorders>
            <w:vAlign w:val="center"/>
          </w:tcPr>
          <w:p w:rsidR="00C70FD9" w:rsidRPr="005C1EF0" w:rsidRDefault="00913D1A" w:rsidP="00C70FD9">
            <w:pPr>
              <w:autoSpaceDE w:val="0"/>
              <w:autoSpaceDN w:val="0"/>
              <w:adjustRightInd w:val="0"/>
              <w:spacing w:after="0" w:line="240" w:lineRule="auto"/>
              <w:rPr>
                <w:rStyle w:val="Emphasis"/>
                <w:rFonts w:asciiTheme="minorHAnsi" w:hAnsiTheme="minorHAnsi" w:cstheme="minorHAnsi"/>
                <w:i w:val="0"/>
                <w:sz w:val="20"/>
                <w:szCs w:val="20"/>
              </w:rPr>
            </w:pPr>
            <w:r w:rsidRPr="00985A6E">
              <w:rPr>
                <w:rFonts w:asciiTheme="minorHAnsi" w:hAnsiTheme="minorHAnsi"/>
                <w:sz w:val="20"/>
                <w:szCs w:val="20"/>
              </w:rPr>
              <w:t>205-975-</w:t>
            </w:r>
            <w:r w:rsidRPr="005C1EF0">
              <w:rPr>
                <w:rFonts w:asciiTheme="minorHAnsi" w:hAnsiTheme="minorHAnsi"/>
                <w:sz w:val="20"/>
                <w:szCs w:val="20"/>
              </w:rPr>
              <w:t>8965 </w:t>
            </w:r>
          </w:p>
        </w:tc>
        <w:tc>
          <w:tcPr>
            <w:tcW w:w="2808" w:type="dxa"/>
            <w:tcBorders>
              <w:bottom w:val="single" w:sz="8" w:space="0" w:color="auto"/>
            </w:tcBorders>
            <w:vAlign w:val="center"/>
          </w:tcPr>
          <w:p w:rsidR="00C70FD9" w:rsidRPr="005C1EF0" w:rsidRDefault="00B877AA" w:rsidP="00C70FD9">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smenneme@uab.edu</w:t>
            </w:r>
          </w:p>
        </w:tc>
      </w:tr>
      <w:tr w:rsidR="00C70FD9" w:rsidRPr="00985A6E" w:rsidTr="005C1EF0">
        <w:trPr>
          <w:trHeight w:val="63"/>
        </w:trPr>
        <w:tc>
          <w:tcPr>
            <w:tcW w:w="9576" w:type="dxa"/>
            <w:gridSpan w:val="4"/>
            <w:shd w:val="clear" w:color="auto" w:fill="D9D9D9" w:themeFill="background1" w:themeFillShade="D9"/>
            <w:vAlign w:val="center"/>
          </w:tcPr>
          <w:p w:rsidR="00C70FD9" w:rsidRPr="005C1EF0" w:rsidRDefault="0046405A" w:rsidP="00C70FD9">
            <w:pPr>
              <w:autoSpaceDE w:val="0"/>
              <w:autoSpaceDN w:val="0"/>
              <w:adjustRightInd w:val="0"/>
              <w:spacing w:after="0" w:line="240" w:lineRule="auto"/>
              <w:rPr>
                <w:rStyle w:val="Emphasis"/>
                <w:rFonts w:asciiTheme="minorHAnsi" w:hAnsiTheme="minorHAnsi" w:cstheme="minorHAnsi"/>
                <w:i w:val="0"/>
                <w:sz w:val="20"/>
                <w:szCs w:val="20"/>
              </w:rPr>
            </w:pPr>
            <w:r w:rsidRPr="005C1EF0">
              <w:rPr>
                <w:sz w:val="20"/>
                <w:szCs w:val="20"/>
              </w:rPr>
              <w:t>CO-INVESTIGATOR</w:t>
            </w:r>
            <w:r w:rsidR="00950319" w:rsidRPr="005C1EF0">
              <w:rPr>
                <w:sz w:val="20"/>
                <w:szCs w:val="20"/>
              </w:rPr>
              <w:t>S</w:t>
            </w:r>
          </w:p>
        </w:tc>
      </w:tr>
      <w:tr w:rsidR="006B2EE5" w:rsidRPr="00985A6E" w:rsidTr="005C1EF0">
        <w:trPr>
          <w:trHeight w:val="63"/>
        </w:trPr>
        <w:tc>
          <w:tcPr>
            <w:tcW w:w="2147" w:type="dxa"/>
          </w:tcPr>
          <w:p w:rsidR="00950319" w:rsidRPr="005C1EF0" w:rsidRDefault="00950319" w:rsidP="00A462EC">
            <w:pPr>
              <w:autoSpaceDE w:val="0"/>
              <w:autoSpaceDN w:val="0"/>
              <w:adjustRightInd w:val="0"/>
              <w:spacing w:after="0" w:line="240" w:lineRule="auto"/>
              <w:rPr>
                <w:rFonts w:asciiTheme="minorHAnsi" w:hAnsiTheme="minorHAnsi" w:cstheme="minorHAnsi"/>
                <w:sz w:val="20"/>
                <w:szCs w:val="20"/>
              </w:rPr>
            </w:pPr>
            <w:r w:rsidRPr="00985A6E">
              <w:rPr>
                <w:sz w:val="20"/>
                <w:szCs w:val="20"/>
              </w:rPr>
              <w:t>Linda Birnbaum, PhD, DABT, ATS</w:t>
            </w:r>
          </w:p>
        </w:tc>
        <w:tc>
          <w:tcPr>
            <w:tcW w:w="3163" w:type="dxa"/>
            <w:vAlign w:val="center"/>
          </w:tcPr>
          <w:p w:rsidR="00950319" w:rsidRPr="005C1EF0" w:rsidRDefault="00950319" w:rsidP="00813141">
            <w:pPr>
              <w:autoSpaceDE w:val="0"/>
              <w:autoSpaceDN w:val="0"/>
              <w:adjustRightInd w:val="0"/>
              <w:spacing w:after="0" w:line="240" w:lineRule="auto"/>
              <w:rPr>
                <w:sz w:val="20"/>
                <w:szCs w:val="20"/>
              </w:rPr>
            </w:pPr>
            <w:r w:rsidRPr="00985A6E">
              <w:rPr>
                <w:sz w:val="20"/>
                <w:szCs w:val="20"/>
              </w:rPr>
              <w:t>NIH – Director, NIEHS/NTP</w:t>
            </w:r>
          </w:p>
        </w:tc>
        <w:tc>
          <w:tcPr>
            <w:tcW w:w="1458" w:type="dxa"/>
            <w:vAlign w:val="center"/>
          </w:tcPr>
          <w:p w:rsidR="00950319" w:rsidRPr="005C1EF0" w:rsidRDefault="00717545" w:rsidP="00A462EC">
            <w:pPr>
              <w:autoSpaceDE w:val="0"/>
              <w:autoSpaceDN w:val="0"/>
              <w:adjustRightInd w:val="0"/>
              <w:spacing w:after="0" w:line="240" w:lineRule="auto"/>
              <w:rPr>
                <w:rStyle w:val="Emphasis"/>
                <w:rFonts w:asciiTheme="minorHAnsi" w:hAnsiTheme="minorHAnsi" w:cstheme="minorHAnsi"/>
                <w:i w:val="0"/>
                <w:sz w:val="20"/>
                <w:szCs w:val="20"/>
              </w:rPr>
            </w:pPr>
            <w:r w:rsidRPr="00985A6E">
              <w:rPr>
                <w:sz w:val="20"/>
                <w:szCs w:val="20"/>
              </w:rPr>
              <w:t>919-</w:t>
            </w:r>
            <w:r w:rsidRPr="005C1EF0">
              <w:rPr>
                <w:sz w:val="20"/>
                <w:szCs w:val="20"/>
              </w:rPr>
              <w:t>541-3201</w:t>
            </w:r>
          </w:p>
        </w:tc>
        <w:tc>
          <w:tcPr>
            <w:tcW w:w="2808" w:type="dxa"/>
            <w:vAlign w:val="center"/>
          </w:tcPr>
          <w:p w:rsidR="00950319" w:rsidRPr="005C1EF0" w:rsidRDefault="008F50D9" w:rsidP="00A462EC">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birnbaumls@niehs.nih.gov</w:t>
            </w:r>
          </w:p>
        </w:tc>
      </w:tr>
      <w:tr w:rsidR="006B2EE5" w:rsidRPr="00985A6E" w:rsidTr="005C1EF0">
        <w:trPr>
          <w:trHeight w:val="63"/>
        </w:trPr>
        <w:tc>
          <w:tcPr>
            <w:tcW w:w="2147" w:type="dxa"/>
            <w:vAlign w:val="center"/>
          </w:tcPr>
          <w:p w:rsidR="00950319" w:rsidRPr="005C1EF0" w:rsidRDefault="00950319" w:rsidP="00A462EC">
            <w:pPr>
              <w:autoSpaceDE w:val="0"/>
              <w:autoSpaceDN w:val="0"/>
              <w:adjustRightInd w:val="0"/>
              <w:spacing w:after="0" w:line="240" w:lineRule="auto"/>
              <w:rPr>
                <w:rFonts w:asciiTheme="minorHAnsi" w:hAnsiTheme="minorHAnsi" w:cstheme="minorHAnsi"/>
                <w:sz w:val="20"/>
                <w:szCs w:val="20"/>
              </w:rPr>
            </w:pPr>
            <w:r w:rsidRPr="00985A6E">
              <w:rPr>
                <w:sz w:val="20"/>
                <w:szCs w:val="20"/>
              </w:rPr>
              <w:lastRenderedPageBreak/>
              <w:t>Paul Wolff, PhD</w:t>
            </w:r>
          </w:p>
        </w:tc>
        <w:tc>
          <w:tcPr>
            <w:tcW w:w="3163" w:type="dxa"/>
            <w:vAlign w:val="center"/>
          </w:tcPr>
          <w:p w:rsidR="00950319" w:rsidRPr="005C1EF0" w:rsidRDefault="00950319" w:rsidP="00813141">
            <w:pPr>
              <w:autoSpaceDE w:val="0"/>
              <w:autoSpaceDN w:val="0"/>
              <w:adjustRightInd w:val="0"/>
              <w:spacing w:after="0" w:line="240" w:lineRule="auto"/>
              <w:rPr>
                <w:rFonts w:asciiTheme="minorHAnsi" w:hAnsiTheme="minorHAnsi" w:cstheme="minorHAnsi"/>
                <w:sz w:val="20"/>
                <w:szCs w:val="20"/>
              </w:rPr>
            </w:pPr>
            <w:r w:rsidRPr="00985A6E">
              <w:rPr>
                <w:sz w:val="20"/>
                <w:szCs w:val="20"/>
              </w:rPr>
              <w:t>UAB - Research Coordinator</w:t>
            </w:r>
          </w:p>
        </w:tc>
        <w:tc>
          <w:tcPr>
            <w:tcW w:w="1458" w:type="dxa"/>
            <w:vAlign w:val="center"/>
          </w:tcPr>
          <w:p w:rsidR="00950319" w:rsidRPr="005C1EF0" w:rsidRDefault="007320FA" w:rsidP="00A462EC">
            <w:pPr>
              <w:autoSpaceDE w:val="0"/>
              <w:autoSpaceDN w:val="0"/>
              <w:adjustRightInd w:val="0"/>
              <w:spacing w:after="0" w:line="240" w:lineRule="auto"/>
              <w:rPr>
                <w:rStyle w:val="Emphasis"/>
                <w:rFonts w:asciiTheme="minorHAnsi" w:hAnsiTheme="minorHAnsi" w:cstheme="minorHAnsi"/>
                <w:i w:val="0"/>
                <w:sz w:val="20"/>
                <w:szCs w:val="20"/>
              </w:rPr>
            </w:pPr>
            <w:r w:rsidRPr="005C1EF0">
              <w:rPr>
                <w:rFonts w:asciiTheme="minorHAnsi" w:hAnsiTheme="minorHAnsi" w:cs="Arial"/>
                <w:sz w:val="20"/>
                <w:szCs w:val="20"/>
                <w:lang w:val="en"/>
              </w:rPr>
              <w:t>205-975-8050</w:t>
            </w:r>
          </w:p>
        </w:tc>
        <w:tc>
          <w:tcPr>
            <w:tcW w:w="2808" w:type="dxa"/>
            <w:vAlign w:val="center"/>
          </w:tcPr>
          <w:p w:rsidR="00950319" w:rsidRPr="005C1EF0" w:rsidRDefault="00B877AA" w:rsidP="00A462EC">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p</w:t>
            </w:r>
            <w:r w:rsidR="0065289D" w:rsidRPr="005C1EF0">
              <w:rPr>
                <w:rStyle w:val="Emphasis"/>
                <w:rFonts w:asciiTheme="minorHAnsi" w:hAnsiTheme="minorHAnsi" w:cstheme="minorHAnsi"/>
                <w:i w:val="0"/>
                <w:sz w:val="20"/>
                <w:szCs w:val="20"/>
              </w:rPr>
              <w:t>wolff@ms.soph.uab.edu</w:t>
            </w:r>
          </w:p>
        </w:tc>
      </w:tr>
      <w:tr w:rsidR="006B2EE5" w:rsidRPr="00985A6E" w:rsidTr="005C1EF0">
        <w:trPr>
          <w:trHeight w:val="63"/>
        </w:trPr>
        <w:tc>
          <w:tcPr>
            <w:tcW w:w="2147" w:type="dxa"/>
            <w:vAlign w:val="center"/>
          </w:tcPr>
          <w:p w:rsidR="00FA7AFC" w:rsidRPr="005C1EF0" w:rsidRDefault="00FA7AFC" w:rsidP="00A462EC">
            <w:pPr>
              <w:autoSpaceDE w:val="0"/>
              <w:autoSpaceDN w:val="0"/>
              <w:adjustRightInd w:val="0"/>
              <w:spacing w:after="0" w:line="240" w:lineRule="auto"/>
              <w:rPr>
                <w:rFonts w:asciiTheme="minorHAnsi" w:hAnsiTheme="minorHAnsi" w:cstheme="minorHAnsi"/>
                <w:sz w:val="20"/>
                <w:szCs w:val="20"/>
              </w:rPr>
            </w:pPr>
            <w:r w:rsidRPr="00985A6E">
              <w:rPr>
                <w:sz w:val="20"/>
                <w:szCs w:val="20"/>
              </w:rPr>
              <w:t>Paul Jung, MD, MPH, MBA, MA</w:t>
            </w:r>
          </w:p>
        </w:tc>
        <w:tc>
          <w:tcPr>
            <w:tcW w:w="3163" w:type="dxa"/>
            <w:vAlign w:val="center"/>
          </w:tcPr>
          <w:p w:rsidR="00FA7AFC" w:rsidRPr="005C1EF0" w:rsidRDefault="00FA7AFC" w:rsidP="00813141">
            <w:pPr>
              <w:autoSpaceDE w:val="0"/>
              <w:autoSpaceDN w:val="0"/>
              <w:adjustRightInd w:val="0"/>
              <w:spacing w:after="0" w:line="240" w:lineRule="auto"/>
              <w:rPr>
                <w:rFonts w:asciiTheme="minorHAnsi" w:hAnsiTheme="minorHAnsi" w:cstheme="minorHAnsi"/>
                <w:sz w:val="20"/>
                <w:szCs w:val="20"/>
              </w:rPr>
            </w:pPr>
            <w:r w:rsidRPr="00985A6E">
              <w:rPr>
                <w:sz w:val="20"/>
                <w:szCs w:val="20"/>
              </w:rPr>
              <w:t>NIH – Chief of Staff, NIEHS</w:t>
            </w:r>
          </w:p>
        </w:tc>
        <w:tc>
          <w:tcPr>
            <w:tcW w:w="1458" w:type="dxa"/>
            <w:vAlign w:val="center"/>
          </w:tcPr>
          <w:p w:rsidR="00FA7AFC" w:rsidRPr="005C1EF0" w:rsidRDefault="00FA7AFC" w:rsidP="005C1EF0">
            <w:pPr>
              <w:spacing w:after="0" w:line="240" w:lineRule="auto"/>
              <w:rPr>
                <w:rStyle w:val="Emphasis"/>
                <w:rFonts w:asciiTheme="minorHAnsi" w:eastAsia="Times New Roman" w:hAnsiTheme="minorHAnsi"/>
                <w:i w:val="0"/>
                <w:iCs w:val="0"/>
                <w:sz w:val="20"/>
                <w:szCs w:val="20"/>
              </w:rPr>
            </w:pPr>
            <w:r w:rsidRPr="005C1EF0">
              <w:rPr>
                <w:rFonts w:asciiTheme="minorHAnsi" w:eastAsia="Times New Roman" w:hAnsiTheme="minorHAnsi"/>
                <w:sz w:val="20"/>
                <w:szCs w:val="20"/>
              </w:rPr>
              <w:t>919-541-7758</w:t>
            </w:r>
          </w:p>
        </w:tc>
        <w:tc>
          <w:tcPr>
            <w:tcW w:w="2808" w:type="dxa"/>
            <w:vAlign w:val="center"/>
          </w:tcPr>
          <w:p w:rsidR="00FA7AFC" w:rsidRPr="005C1EF0" w:rsidRDefault="00FA7AFC" w:rsidP="00A462EC">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paul.jung@nih.gov</w:t>
            </w:r>
          </w:p>
        </w:tc>
      </w:tr>
      <w:tr w:rsidR="006B2EE5" w:rsidRPr="00985A6E" w:rsidTr="005C1EF0">
        <w:trPr>
          <w:trHeight w:val="63"/>
        </w:trPr>
        <w:tc>
          <w:tcPr>
            <w:tcW w:w="2147" w:type="dxa"/>
            <w:vAlign w:val="center"/>
          </w:tcPr>
          <w:p w:rsidR="00FA7AFC" w:rsidRPr="005C1EF0" w:rsidRDefault="00FA7AFC" w:rsidP="00A462EC">
            <w:pPr>
              <w:autoSpaceDE w:val="0"/>
              <w:autoSpaceDN w:val="0"/>
              <w:adjustRightInd w:val="0"/>
              <w:spacing w:after="0" w:line="240" w:lineRule="auto"/>
              <w:rPr>
                <w:rFonts w:asciiTheme="minorHAnsi" w:hAnsiTheme="minorHAnsi" w:cstheme="minorHAnsi"/>
                <w:sz w:val="20"/>
                <w:szCs w:val="20"/>
              </w:rPr>
            </w:pPr>
            <w:r w:rsidRPr="00985A6E">
              <w:rPr>
                <w:sz w:val="20"/>
                <w:szCs w:val="20"/>
              </w:rPr>
              <w:t>Mike Sanders, PhD, DABT</w:t>
            </w:r>
          </w:p>
        </w:tc>
        <w:tc>
          <w:tcPr>
            <w:tcW w:w="3163" w:type="dxa"/>
            <w:vAlign w:val="center"/>
          </w:tcPr>
          <w:p w:rsidR="00FA7AFC" w:rsidRPr="005C1EF0" w:rsidRDefault="00FA7AFC" w:rsidP="005C1EF0">
            <w:pPr>
              <w:autoSpaceDE w:val="0"/>
              <w:autoSpaceDN w:val="0"/>
              <w:adjustRightInd w:val="0"/>
              <w:spacing w:after="0" w:line="240" w:lineRule="auto"/>
              <w:rPr>
                <w:rFonts w:asciiTheme="minorHAnsi" w:hAnsiTheme="minorHAnsi" w:cstheme="minorHAnsi"/>
                <w:sz w:val="20"/>
                <w:szCs w:val="20"/>
              </w:rPr>
            </w:pPr>
            <w:r w:rsidRPr="00985A6E">
              <w:rPr>
                <w:sz w:val="20"/>
                <w:szCs w:val="20"/>
              </w:rPr>
              <w:t>NIH – Director, NCI Laboratory o</w:t>
            </w:r>
            <w:r w:rsidR="005C1EF0">
              <w:rPr>
                <w:sz w:val="20"/>
                <w:szCs w:val="20"/>
              </w:rPr>
              <w:t xml:space="preserve">f Toxicology and </w:t>
            </w:r>
            <w:proofErr w:type="spellStart"/>
            <w:r w:rsidR="005C1EF0">
              <w:rPr>
                <w:sz w:val="20"/>
                <w:szCs w:val="20"/>
              </w:rPr>
              <w:t>Toxicokinetics</w:t>
            </w:r>
            <w:proofErr w:type="spellEnd"/>
          </w:p>
        </w:tc>
        <w:tc>
          <w:tcPr>
            <w:tcW w:w="1458" w:type="dxa"/>
            <w:vAlign w:val="center"/>
          </w:tcPr>
          <w:p w:rsidR="00FA7AFC" w:rsidRPr="005C1EF0" w:rsidRDefault="00FA7AFC" w:rsidP="00A462EC">
            <w:pPr>
              <w:autoSpaceDE w:val="0"/>
              <w:autoSpaceDN w:val="0"/>
              <w:adjustRightInd w:val="0"/>
              <w:spacing w:after="0" w:line="240" w:lineRule="auto"/>
              <w:rPr>
                <w:rStyle w:val="Emphasis"/>
                <w:rFonts w:asciiTheme="minorHAnsi" w:hAnsiTheme="minorHAnsi" w:cstheme="minorHAnsi"/>
                <w:i w:val="0"/>
                <w:sz w:val="20"/>
                <w:szCs w:val="20"/>
              </w:rPr>
            </w:pPr>
            <w:r w:rsidRPr="005C1EF0">
              <w:rPr>
                <w:sz w:val="20"/>
                <w:szCs w:val="20"/>
              </w:rPr>
              <w:t>919-541-1872</w:t>
            </w:r>
          </w:p>
        </w:tc>
        <w:tc>
          <w:tcPr>
            <w:tcW w:w="2808" w:type="dxa"/>
            <w:vAlign w:val="center"/>
          </w:tcPr>
          <w:p w:rsidR="00FA7AFC" w:rsidRPr="005C1EF0" w:rsidRDefault="00FA7AFC" w:rsidP="00A462EC">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sander10@mail.nih.gov</w:t>
            </w:r>
          </w:p>
        </w:tc>
      </w:tr>
      <w:tr w:rsidR="006B2EE5" w:rsidRPr="00985A6E" w:rsidTr="005C1EF0">
        <w:trPr>
          <w:trHeight w:val="63"/>
        </w:trPr>
        <w:tc>
          <w:tcPr>
            <w:tcW w:w="2147" w:type="dxa"/>
            <w:vAlign w:val="center"/>
          </w:tcPr>
          <w:p w:rsidR="00FA7AFC" w:rsidRPr="005C1EF0" w:rsidRDefault="00FA7AFC" w:rsidP="00A462EC">
            <w:pPr>
              <w:autoSpaceDE w:val="0"/>
              <w:autoSpaceDN w:val="0"/>
              <w:adjustRightInd w:val="0"/>
              <w:spacing w:after="0" w:line="240" w:lineRule="auto"/>
              <w:rPr>
                <w:rFonts w:asciiTheme="minorHAnsi" w:hAnsiTheme="minorHAnsi" w:cstheme="minorHAnsi"/>
                <w:sz w:val="20"/>
                <w:szCs w:val="20"/>
              </w:rPr>
            </w:pPr>
            <w:r w:rsidRPr="00985A6E">
              <w:rPr>
                <w:sz w:val="20"/>
                <w:szCs w:val="20"/>
              </w:rPr>
              <w:t>Stephanie I. Davis, MSPH</w:t>
            </w:r>
          </w:p>
        </w:tc>
        <w:tc>
          <w:tcPr>
            <w:tcW w:w="3163" w:type="dxa"/>
            <w:vAlign w:val="center"/>
          </w:tcPr>
          <w:p w:rsidR="00FA7AFC" w:rsidRPr="005C1EF0" w:rsidRDefault="00FA7AFC" w:rsidP="00813141">
            <w:pPr>
              <w:autoSpaceDE w:val="0"/>
              <w:autoSpaceDN w:val="0"/>
              <w:adjustRightInd w:val="0"/>
              <w:spacing w:after="0" w:line="240" w:lineRule="auto"/>
              <w:rPr>
                <w:rFonts w:asciiTheme="minorHAnsi" w:hAnsiTheme="minorHAnsi" w:cstheme="minorHAnsi"/>
                <w:sz w:val="20"/>
                <w:szCs w:val="20"/>
              </w:rPr>
            </w:pPr>
            <w:r w:rsidRPr="00985A6E">
              <w:rPr>
                <w:sz w:val="20"/>
                <w:szCs w:val="20"/>
              </w:rPr>
              <w:t>ATSDR - Epidemiologist</w:t>
            </w:r>
          </w:p>
        </w:tc>
        <w:tc>
          <w:tcPr>
            <w:tcW w:w="1458" w:type="dxa"/>
            <w:vAlign w:val="center"/>
          </w:tcPr>
          <w:p w:rsidR="00FA7AFC" w:rsidRPr="005C1EF0" w:rsidRDefault="00FA7AFC" w:rsidP="00A462EC">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770-488-3676</w:t>
            </w:r>
          </w:p>
        </w:tc>
        <w:tc>
          <w:tcPr>
            <w:tcW w:w="2808" w:type="dxa"/>
            <w:vAlign w:val="center"/>
          </w:tcPr>
          <w:p w:rsidR="00FA7AFC" w:rsidRPr="005C1EF0" w:rsidRDefault="00FA7AFC" w:rsidP="00A462EC">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sgd8@cdc.gov</w:t>
            </w:r>
          </w:p>
        </w:tc>
      </w:tr>
      <w:tr w:rsidR="00985A6E" w:rsidRPr="00985A6E" w:rsidTr="005C1EF0">
        <w:trPr>
          <w:trHeight w:val="63"/>
        </w:trPr>
        <w:tc>
          <w:tcPr>
            <w:tcW w:w="2147" w:type="dxa"/>
            <w:vAlign w:val="center"/>
          </w:tcPr>
          <w:p w:rsidR="00FA7AFC" w:rsidRPr="005C1EF0" w:rsidRDefault="00FA7AFC" w:rsidP="00A462EC">
            <w:pPr>
              <w:autoSpaceDE w:val="0"/>
              <w:autoSpaceDN w:val="0"/>
              <w:adjustRightInd w:val="0"/>
              <w:spacing w:after="0" w:line="240" w:lineRule="auto"/>
              <w:rPr>
                <w:rFonts w:asciiTheme="minorHAnsi" w:hAnsiTheme="minorHAnsi" w:cstheme="minorHAnsi"/>
                <w:sz w:val="20"/>
                <w:szCs w:val="20"/>
              </w:rPr>
            </w:pPr>
            <w:r w:rsidRPr="00985A6E">
              <w:rPr>
                <w:sz w:val="20"/>
                <w:szCs w:val="20"/>
              </w:rPr>
              <w:t>Michael Lewin, MS</w:t>
            </w:r>
          </w:p>
        </w:tc>
        <w:tc>
          <w:tcPr>
            <w:tcW w:w="3163" w:type="dxa"/>
            <w:vAlign w:val="center"/>
          </w:tcPr>
          <w:p w:rsidR="00FA7AFC" w:rsidRPr="005C1EF0" w:rsidRDefault="00FA7AFC" w:rsidP="00813141">
            <w:pPr>
              <w:autoSpaceDE w:val="0"/>
              <w:autoSpaceDN w:val="0"/>
              <w:adjustRightInd w:val="0"/>
              <w:spacing w:after="0" w:line="240" w:lineRule="auto"/>
              <w:rPr>
                <w:rFonts w:asciiTheme="minorHAnsi" w:hAnsiTheme="minorHAnsi" w:cstheme="minorHAnsi"/>
                <w:sz w:val="20"/>
                <w:szCs w:val="20"/>
              </w:rPr>
            </w:pPr>
            <w:r w:rsidRPr="00985A6E">
              <w:rPr>
                <w:sz w:val="20"/>
                <w:szCs w:val="20"/>
              </w:rPr>
              <w:t>ATSDR - Mathematical Statistician</w:t>
            </w:r>
          </w:p>
        </w:tc>
        <w:tc>
          <w:tcPr>
            <w:tcW w:w="1458" w:type="dxa"/>
            <w:vAlign w:val="center"/>
          </w:tcPr>
          <w:p w:rsidR="00FA7AFC" w:rsidRPr="005C1EF0" w:rsidRDefault="00FA7AFC" w:rsidP="00A462EC">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770-488-3812</w:t>
            </w:r>
          </w:p>
        </w:tc>
        <w:tc>
          <w:tcPr>
            <w:tcW w:w="2808" w:type="dxa"/>
            <w:vAlign w:val="center"/>
          </w:tcPr>
          <w:p w:rsidR="00FA7AFC" w:rsidRPr="005C1EF0" w:rsidRDefault="00FA7AFC" w:rsidP="00A462EC">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mdl0@cdc.gov</w:t>
            </w:r>
          </w:p>
        </w:tc>
      </w:tr>
      <w:tr w:rsidR="00985A6E" w:rsidRPr="00985A6E" w:rsidTr="005C1EF0">
        <w:trPr>
          <w:trHeight w:val="63"/>
        </w:trPr>
        <w:tc>
          <w:tcPr>
            <w:tcW w:w="9576" w:type="dxa"/>
            <w:gridSpan w:val="4"/>
            <w:shd w:val="clear" w:color="auto" w:fill="D9D9D9" w:themeFill="background1" w:themeFillShade="D9"/>
            <w:vAlign w:val="center"/>
          </w:tcPr>
          <w:p w:rsidR="00FA7AFC" w:rsidRPr="005C1EF0" w:rsidRDefault="00FA7AFC" w:rsidP="00C70FD9">
            <w:pPr>
              <w:autoSpaceDE w:val="0"/>
              <w:autoSpaceDN w:val="0"/>
              <w:adjustRightInd w:val="0"/>
              <w:spacing w:after="0" w:line="240" w:lineRule="auto"/>
              <w:rPr>
                <w:rStyle w:val="Emphasis"/>
                <w:rFonts w:asciiTheme="minorHAnsi" w:hAnsiTheme="minorHAnsi" w:cstheme="minorHAnsi"/>
                <w:i w:val="0"/>
                <w:sz w:val="20"/>
                <w:szCs w:val="20"/>
              </w:rPr>
            </w:pPr>
            <w:r w:rsidRPr="00985A6E">
              <w:rPr>
                <w:sz w:val="20"/>
                <w:szCs w:val="20"/>
              </w:rPr>
              <w:t>COLLABORATORS (UNDER CONTRACT)</w:t>
            </w:r>
          </w:p>
        </w:tc>
      </w:tr>
      <w:tr w:rsidR="00A577CA" w:rsidRPr="00985A6E" w:rsidTr="001E3F8E">
        <w:trPr>
          <w:trHeight w:val="63"/>
        </w:trPr>
        <w:tc>
          <w:tcPr>
            <w:tcW w:w="2147" w:type="dxa"/>
            <w:vAlign w:val="center"/>
          </w:tcPr>
          <w:p w:rsidR="00A577CA" w:rsidRPr="00985A6E" w:rsidRDefault="00A577CA" w:rsidP="00FA7AFC">
            <w:pPr>
              <w:autoSpaceDE w:val="0"/>
              <w:autoSpaceDN w:val="0"/>
              <w:adjustRightInd w:val="0"/>
              <w:spacing w:after="0" w:line="240" w:lineRule="auto"/>
              <w:rPr>
                <w:sz w:val="20"/>
                <w:szCs w:val="20"/>
              </w:rPr>
            </w:pPr>
            <w:r w:rsidRPr="00985A6E">
              <w:rPr>
                <w:sz w:val="20"/>
                <w:szCs w:val="20"/>
              </w:rPr>
              <w:t>Lori Bell</w:t>
            </w:r>
            <w:r w:rsidR="006C4B94" w:rsidRPr="00985A6E">
              <w:rPr>
                <w:sz w:val="20"/>
                <w:szCs w:val="20"/>
              </w:rPr>
              <w:t>, RN</w:t>
            </w:r>
          </w:p>
        </w:tc>
        <w:tc>
          <w:tcPr>
            <w:tcW w:w="3163" w:type="dxa"/>
          </w:tcPr>
          <w:p w:rsidR="00A577CA" w:rsidRPr="00985A6E" w:rsidRDefault="00A577CA" w:rsidP="00FA7AFC">
            <w:pPr>
              <w:autoSpaceDE w:val="0"/>
              <w:autoSpaceDN w:val="0"/>
              <w:adjustRightInd w:val="0"/>
              <w:spacing w:after="0" w:line="240" w:lineRule="auto"/>
              <w:rPr>
                <w:sz w:val="20"/>
                <w:szCs w:val="20"/>
              </w:rPr>
            </w:pPr>
            <w:r w:rsidRPr="00985A6E">
              <w:rPr>
                <w:sz w:val="20"/>
                <w:szCs w:val="20"/>
              </w:rPr>
              <w:t>Calho</w:t>
            </w:r>
            <w:r w:rsidR="004A0C1E">
              <w:rPr>
                <w:sz w:val="20"/>
                <w:szCs w:val="20"/>
              </w:rPr>
              <w:t xml:space="preserve">un County Health Department – </w:t>
            </w:r>
            <w:r w:rsidR="00FB3ADA">
              <w:rPr>
                <w:sz w:val="20"/>
                <w:szCs w:val="20"/>
              </w:rPr>
              <w:t>Director</w:t>
            </w:r>
          </w:p>
        </w:tc>
        <w:tc>
          <w:tcPr>
            <w:tcW w:w="1458" w:type="dxa"/>
            <w:vAlign w:val="center"/>
          </w:tcPr>
          <w:p w:rsidR="00A577CA" w:rsidRPr="005C1EF0" w:rsidRDefault="00A577CA" w:rsidP="00FA7AFC">
            <w:pPr>
              <w:autoSpaceDE w:val="0"/>
              <w:autoSpaceDN w:val="0"/>
              <w:adjustRightInd w:val="0"/>
              <w:spacing w:after="0" w:line="240" w:lineRule="auto"/>
              <w:rPr>
                <w:rStyle w:val="Emphasis"/>
                <w:rFonts w:asciiTheme="minorHAnsi" w:hAnsiTheme="minorHAnsi" w:cstheme="minorHAnsi"/>
                <w:i w:val="0"/>
                <w:sz w:val="20"/>
                <w:szCs w:val="20"/>
              </w:rPr>
            </w:pPr>
            <w:r w:rsidRPr="00985A6E">
              <w:rPr>
                <w:rFonts w:asciiTheme="minorHAnsi" w:hAnsiTheme="minorHAnsi" w:cs="Arial"/>
                <w:sz w:val="20"/>
                <w:szCs w:val="20"/>
              </w:rPr>
              <w:t>256-237-1896</w:t>
            </w:r>
          </w:p>
        </w:tc>
        <w:tc>
          <w:tcPr>
            <w:tcW w:w="2808" w:type="dxa"/>
            <w:vAlign w:val="center"/>
          </w:tcPr>
          <w:p w:rsidR="00A577CA" w:rsidRPr="001E3F8E" w:rsidRDefault="001E3F8E" w:rsidP="001E3F8E">
            <w:pPr>
              <w:spacing w:after="0" w:line="240" w:lineRule="auto"/>
              <w:rPr>
                <w:rStyle w:val="Emphasis"/>
                <w:rFonts w:asciiTheme="minorHAnsi" w:hAnsiTheme="minorHAnsi" w:cstheme="minorHAnsi"/>
                <w:i w:val="0"/>
                <w:iCs w:val="0"/>
                <w:sz w:val="20"/>
                <w:szCs w:val="20"/>
              </w:rPr>
            </w:pPr>
            <w:r w:rsidRPr="001E3F8E">
              <w:rPr>
                <w:sz w:val="20"/>
                <w:szCs w:val="20"/>
              </w:rPr>
              <w:t>lori.bell@adph.state.al.us</w:t>
            </w:r>
          </w:p>
        </w:tc>
      </w:tr>
      <w:tr w:rsidR="006B2EE5" w:rsidRPr="00985A6E" w:rsidTr="005C1EF0">
        <w:trPr>
          <w:trHeight w:val="63"/>
        </w:trPr>
        <w:tc>
          <w:tcPr>
            <w:tcW w:w="2147" w:type="dxa"/>
            <w:vAlign w:val="center"/>
          </w:tcPr>
          <w:p w:rsidR="00A577CA" w:rsidRPr="005C1EF0" w:rsidRDefault="00A577CA"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 xml:space="preserve">Andreas </w:t>
            </w:r>
            <w:proofErr w:type="spellStart"/>
            <w:r w:rsidRPr="00985A6E">
              <w:rPr>
                <w:sz w:val="20"/>
                <w:szCs w:val="20"/>
              </w:rPr>
              <w:t>Sjödin</w:t>
            </w:r>
            <w:proofErr w:type="spellEnd"/>
            <w:r w:rsidRPr="00985A6E">
              <w:rPr>
                <w:sz w:val="20"/>
                <w:szCs w:val="20"/>
              </w:rPr>
              <w:t>, PhD</w:t>
            </w:r>
          </w:p>
        </w:tc>
        <w:tc>
          <w:tcPr>
            <w:tcW w:w="3163" w:type="dxa"/>
          </w:tcPr>
          <w:p w:rsidR="00A577CA" w:rsidRPr="005C1EF0" w:rsidRDefault="00A577CA"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CDC NCEH Division of Laboratory Sciences</w:t>
            </w:r>
            <w:r w:rsidR="00C02C18">
              <w:rPr>
                <w:sz w:val="20"/>
                <w:szCs w:val="20"/>
              </w:rPr>
              <w:t xml:space="preserve"> – Laboratory Chief</w:t>
            </w:r>
          </w:p>
        </w:tc>
        <w:tc>
          <w:tcPr>
            <w:tcW w:w="1458" w:type="dxa"/>
            <w:vAlign w:val="center"/>
          </w:tcPr>
          <w:p w:rsidR="00A577CA" w:rsidRPr="005C1EF0" w:rsidRDefault="00A577CA" w:rsidP="00FA7AFC">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770-488-4711</w:t>
            </w:r>
          </w:p>
        </w:tc>
        <w:tc>
          <w:tcPr>
            <w:tcW w:w="2808" w:type="dxa"/>
            <w:vAlign w:val="center"/>
          </w:tcPr>
          <w:p w:rsidR="00A577CA" w:rsidRPr="00985A6E" w:rsidRDefault="00A577CA" w:rsidP="00FA7AFC">
            <w:pPr>
              <w:spacing w:after="0"/>
              <w:rPr>
                <w:rStyle w:val="Emphasis"/>
                <w:rFonts w:asciiTheme="minorHAnsi" w:hAnsiTheme="minorHAnsi" w:cstheme="minorHAnsi"/>
                <w:i w:val="0"/>
                <w:iCs w:val="0"/>
                <w:sz w:val="20"/>
                <w:szCs w:val="20"/>
              </w:rPr>
            </w:pPr>
            <w:r w:rsidRPr="00985A6E">
              <w:rPr>
                <w:rStyle w:val="Emphasis"/>
                <w:rFonts w:asciiTheme="minorHAnsi" w:hAnsiTheme="minorHAnsi" w:cstheme="minorHAnsi"/>
                <w:i w:val="0"/>
                <w:iCs w:val="0"/>
                <w:sz w:val="20"/>
                <w:szCs w:val="20"/>
              </w:rPr>
              <w:t>zrq4@cdc.gov</w:t>
            </w:r>
          </w:p>
        </w:tc>
      </w:tr>
      <w:tr w:rsidR="006B2EE5" w:rsidRPr="00985A6E" w:rsidTr="005C1EF0">
        <w:trPr>
          <w:trHeight w:val="63"/>
        </w:trPr>
        <w:tc>
          <w:tcPr>
            <w:tcW w:w="2147" w:type="dxa"/>
            <w:vAlign w:val="center"/>
          </w:tcPr>
          <w:p w:rsidR="00A577CA" w:rsidRPr="005C1EF0" w:rsidRDefault="00A577CA"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Kathleen Caldwell, PhD</w:t>
            </w:r>
          </w:p>
        </w:tc>
        <w:tc>
          <w:tcPr>
            <w:tcW w:w="3163" w:type="dxa"/>
          </w:tcPr>
          <w:p w:rsidR="00A577CA" w:rsidRPr="005C1EF0" w:rsidRDefault="00A577CA" w:rsidP="00172675">
            <w:pPr>
              <w:autoSpaceDE w:val="0"/>
              <w:autoSpaceDN w:val="0"/>
              <w:adjustRightInd w:val="0"/>
              <w:spacing w:after="0" w:line="240" w:lineRule="auto"/>
              <w:rPr>
                <w:rFonts w:asciiTheme="minorHAnsi" w:hAnsiTheme="minorHAnsi" w:cstheme="minorHAnsi"/>
                <w:sz w:val="20"/>
                <w:szCs w:val="20"/>
              </w:rPr>
            </w:pPr>
            <w:r w:rsidRPr="00985A6E">
              <w:rPr>
                <w:sz w:val="20"/>
                <w:szCs w:val="20"/>
              </w:rPr>
              <w:t>CDC NCEH Division of Laboratory Sciences</w:t>
            </w:r>
            <w:r w:rsidR="002E68E8">
              <w:rPr>
                <w:sz w:val="20"/>
                <w:szCs w:val="20"/>
              </w:rPr>
              <w:t xml:space="preserve"> – </w:t>
            </w:r>
            <w:r w:rsidR="00C02C18">
              <w:rPr>
                <w:sz w:val="20"/>
                <w:szCs w:val="20"/>
              </w:rPr>
              <w:t>Laboratory Chief</w:t>
            </w:r>
          </w:p>
        </w:tc>
        <w:tc>
          <w:tcPr>
            <w:tcW w:w="1458" w:type="dxa"/>
            <w:vAlign w:val="center"/>
          </w:tcPr>
          <w:p w:rsidR="00A577CA" w:rsidRPr="005C1EF0" w:rsidRDefault="00E571E5" w:rsidP="00172675">
            <w:pPr>
              <w:autoSpaceDE w:val="0"/>
              <w:autoSpaceDN w:val="0"/>
              <w:adjustRightInd w:val="0"/>
              <w:spacing w:after="0" w:line="240" w:lineRule="auto"/>
              <w:rPr>
                <w:rStyle w:val="Emphasis"/>
                <w:rFonts w:asciiTheme="minorHAnsi" w:hAnsiTheme="minorHAnsi" w:cstheme="minorHAnsi"/>
                <w:i w:val="0"/>
                <w:sz w:val="20"/>
                <w:szCs w:val="20"/>
              </w:rPr>
            </w:pPr>
            <w:r w:rsidRPr="005C1EF0">
              <w:rPr>
                <w:rStyle w:val="Emphasis"/>
                <w:rFonts w:asciiTheme="minorHAnsi" w:hAnsiTheme="minorHAnsi" w:cstheme="minorHAnsi"/>
                <w:i w:val="0"/>
                <w:sz w:val="20"/>
                <w:szCs w:val="20"/>
              </w:rPr>
              <w:t>770-488-7990</w:t>
            </w:r>
          </w:p>
        </w:tc>
        <w:tc>
          <w:tcPr>
            <w:tcW w:w="2808" w:type="dxa"/>
            <w:vAlign w:val="center"/>
          </w:tcPr>
          <w:p w:rsidR="00A577CA" w:rsidRPr="00985A6E" w:rsidRDefault="00E571E5" w:rsidP="00FA7AFC">
            <w:pPr>
              <w:spacing w:after="0"/>
              <w:rPr>
                <w:rStyle w:val="Emphasis"/>
                <w:rFonts w:asciiTheme="minorHAnsi" w:hAnsiTheme="minorHAnsi" w:cstheme="minorHAnsi"/>
                <w:i w:val="0"/>
                <w:iCs w:val="0"/>
                <w:sz w:val="20"/>
                <w:szCs w:val="20"/>
              </w:rPr>
            </w:pPr>
            <w:r w:rsidRPr="00985A6E">
              <w:rPr>
                <w:rStyle w:val="Emphasis"/>
                <w:rFonts w:asciiTheme="minorHAnsi" w:hAnsiTheme="minorHAnsi" w:cstheme="minorHAnsi"/>
                <w:i w:val="0"/>
                <w:iCs w:val="0"/>
                <w:sz w:val="20"/>
                <w:szCs w:val="20"/>
              </w:rPr>
              <w:t>klc7@cdc.gov</w:t>
            </w:r>
          </w:p>
        </w:tc>
      </w:tr>
      <w:tr w:rsidR="006B2EE5" w:rsidRPr="00985A6E" w:rsidTr="005C1EF0">
        <w:trPr>
          <w:trHeight w:val="63"/>
        </w:trPr>
        <w:tc>
          <w:tcPr>
            <w:tcW w:w="2147" w:type="dxa"/>
            <w:vAlign w:val="center"/>
          </w:tcPr>
          <w:p w:rsidR="00A577CA" w:rsidRPr="005C1EF0" w:rsidRDefault="00A577CA"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Matt Cave, MD</w:t>
            </w:r>
          </w:p>
        </w:tc>
        <w:tc>
          <w:tcPr>
            <w:tcW w:w="3163" w:type="dxa"/>
          </w:tcPr>
          <w:p w:rsidR="00A577CA" w:rsidRPr="005C1EF0" w:rsidRDefault="00A577CA" w:rsidP="00172675">
            <w:pPr>
              <w:autoSpaceDE w:val="0"/>
              <w:autoSpaceDN w:val="0"/>
              <w:adjustRightInd w:val="0"/>
              <w:spacing w:after="0" w:line="240" w:lineRule="auto"/>
              <w:rPr>
                <w:rFonts w:asciiTheme="minorHAnsi" w:hAnsiTheme="minorHAnsi" w:cstheme="minorHAnsi"/>
                <w:sz w:val="20"/>
                <w:szCs w:val="20"/>
              </w:rPr>
            </w:pPr>
            <w:r w:rsidRPr="00985A6E">
              <w:rPr>
                <w:sz w:val="20"/>
                <w:szCs w:val="20"/>
              </w:rPr>
              <w:t>University of Louisville, Louisville, KY</w:t>
            </w:r>
            <w:r w:rsidR="00C02C18">
              <w:rPr>
                <w:sz w:val="20"/>
                <w:szCs w:val="20"/>
              </w:rPr>
              <w:t xml:space="preserve"> – Assistant Professor</w:t>
            </w:r>
          </w:p>
        </w:tc>
        <w:tc>
          <w:tcPr>
            <w:tcW w:w="1458" w:type="dxa"/>
            <w:vAlign w:val="center"/>
          </w:tcPr>
          <w:p w:rsidR="00A577CA" w:rsidRPr="005C1EF0" w:rsidRDefault="00172675" w:rsidP="005C1EF0">
            <w:pPr>
              <w:spacing w:after="0" w:line="240" w:lineRule="auto"/>
              <w:rPr>
                <w:rStyle w:val="Emphasis"/>
                <w:rFonts w:asciiTheme="minorHAnsi" w:hAnsiTheme="minorHAnsi" w:cs="Arial"/>
                <w:i w:val="0"/>
                <w:iCs w:val="0"/>
                <w:sz w:val="20"/>
                <w:szCs w:val="20"/>
              </w:rPr>
            </w:pPr>
            <w:r w:rsidRPr="005C1EF0">
              <w:rPr>
                <w:rFonts w:asciiTheme="minorHAnsi" w:hAnsiTheme="minorHAnsi" w:cs="Arial"/>
                <w:sz w:val="20"/>
                <w:szCs w:val="20"/>
              </w:rPr>
              <w:t>502-852-5252</w:t>
            </w:r>
          </w:p>
        </w:tc>
        <w:tc>
          <w:tcPr>
            <w:tcW w:w="2808" w:type="dxa"/>
            <w:vAlign w:val="center"/>
          </w:tcPr>
          <w:p w:rsidR="00A577CA" w:rsidRPr="00985A6E" w:rsidRDefault="00A71F04" w:rsidP="005C1EF0">
            <w:pPr>
              <w:spacing w:after="0" w:line="240" w:lineRule="auto"/>
              <w:rPr>
                <w:rStyle w:val="Emphasis"/>
                <w:rFonts w:asciiTheme="minorHAnsi" w:hAnsiTheme="minorHAnsi" w:cs="Arial"/>
                <w:i w:val="0"/>
                <w:iCs w:val="0"/>
                <w:sz w:val="20"/>
                <w:szCs w:val="20"/>
              </w:rPr>
            </w:pPr>
            <w:hyperlink r:id="rId12" w:history="1">
              <w:r w:rsidR="00172675" w:rsidRPr="005C1EF0">
                <w:rPr>
                  <w:rStyle w:val="Hyperlink"/>
                  <w:rFonts w:asciiTheme="minorHAnsi" w:hAnsiTheme="minorHAnsi" w:cs="Arial"/>
                  <w:color w:val="auto"/>
                  <w:sz w:val="20"/>
                  <w:szCs w:val="20"/>
                </w:rPr>
                <w:t>matt.cave@louisville.edu</w:t>
              </w:r>
            </w:hyperlink>
          </w:p>
        </w:tc>
      </w:tr>
      <w:tr w:rsidR="006B2EE5" w:rsidRPr="00985A6E" w:rsidTr="005C1EF0">
        <w:trPr>
          <w:trHeight w:val="63"/>
        </w:trPr>
        <w:tc>
          <w:tcPr>
            <w:tcW w:w="2147" w:type="dxa"/>
            <w:vAlign w:val="center"/>
          </w:tcPr>
          <w:p w:rsidR="00A577CA" w:rsidRPr="005C1EF0" w:rsidRDefault="00A577CA"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Santica Marcovina, PhD</w:t>
            </w:r>
          </w:p>
        </w:tc>
        <w:tc>
          <w:tcPr>
            <w:tcW w:w="3163" w:type="dxa"/>
          </w:tcPr>
          <w:p w:rsidR="00A577CA" w:rsidRPr="005C1EF0" w:rsidRDefault="00A577CA" w:rsidP="00172675">
            <w:pPr>
              <w:autoSpaceDE w:val="0"/>
              <w:autoSpaceDN w:val="0"/>
              <w:adjustRightInd w:val="0"/>
              <w:spacing w:after="0" w:line="240" w:lineRule="auto"/>
              <w:rPr>
                <w:rFonts w:asciiTheme="minorHAnsi" w:hAnsiTheme="minorHAnsi" w:cstheme="minorHAnsi"/>
                <w:sz w:val="20"/>
                <w:szCs w:val="20"/>
              </w:rPr>
            </w:pPr>
            <w:r w:rsidRPr="00985A6E">
              <w:rPr>
                <w:sz w:val="20"/>
                <w:szCs w:val="20"/>
              </w:rPr>
              <w:t>Northwest Lipid Metabolism and Diabetes Research Laboratories, Seattle, WA</w:t>
            </w:r>
            <w:r w:rsidR="00C02C18">
              <w:rPr>
                <w:sz w:val="20"/>
                <w:szCs w:val="20"/>
              </w:rPr>
              <w:t xml:space="preserve"> – Laboratory Director</w:t>
            </w:r>
          </w:p>
        </w:tc>
        <w:tc>
          <w:tcPr>
            <w:tcW w:w="1458" w:type="dxa"/>
            <w:vAlign w:val="center"/>
          </w:tcPr>
          <w:p w:rsidR="00A577CA" w:rsidRPr="005C1EF0" w:rsidRDefault="006B2EE5" w:rsidP="00172675">
            <w:pPr>
              <w:autoSpaceDE w:val="0"/>
              <w:autoSpaceDN w:val="0"/>
              <w:adjustRightInd w:val="0"/>
              <w:spacing w:after="0" w:line="240" w:lineRule="auto"/>
              <w:rPr>
                <w:rStyle w:val="Emphasis"/>
                <w:rFonts w:asciiTheme="minorHAnsi" w:hAnsiTheme="minorHAnsi" w:cstheme="minorHAnsi"/>
                <w:i w:val="0"/>
                <w:sz w:val="20"/>
                <w:szCs w:val="20"/>
              </w:rPr>
            </w:pPr>
            <w:r w:rsidRPr="005C1EF0">
              <w:rPr>
                <w:sz w:val="20"/>
                <w:szCs w:val="20"/>
              </w:rPr>
              <w:t>206-</w:t>
            </w:r>
            <w:r w:rsidR="004E1C4F" w:rsidRPr="00985A6E">
              <w:rPr>
                <w:sz w:val="20"/>
                <w:szCs w:val="20"/>
              </w:rPr>
              <w:t>685-</w:t>
            </w:r>
            <w:r w:rsidRPr="005C1EF0">
              <w:rPr>
                <w:sz w:val="20"/>
                <w:szCs w:val="20"/>
              </w:rPr>
              <w:t>3331</w:t>
            </w:r>
          </w:p>
        </w:tc>
        <w:tc>
          <w:tcPr>
            <w:tcW w:w="2808" w:type="dxa"/>
            <w:vAlign w:val="center"/>
          </w:tcPr>
          <w:p w:rsidR="00A577CA" w:rsidRPr="00985A6E" w:rsidRDefault="006B2EE5" w:rsidP="00FA7AFC">
            <w:pPr>
              <w:spacing w:after="0"/>
              <w:rPr>
                <w:rStyle w:val="Emphasis"/>
                <w:rFonts w:asciiTheme="minorHAnsi" w:hAnsiTheme="minorHAnsi" w:cstheme="minorHAnsi"/>
                <w:i w:val="0"/>
                <w:iCs w:val="0"/>
                <w:sz w:val="20"/>
                <w:szCs w:val="20"/>
              </w:rPr>
            </w:pPr>
            <w:r w:rsidRPr="00985A6E">
              <w:rPr>
                <w:rStyle w:val="Emphasis"/>
                <w:rFonts w:asciiTheme="minorHAnsi" w:hAnsiTheme="minorHAnsi" w:cstheme="minorHAnsi"/>
                <w:i w:val="0"/>
                <w:iCs w:val="0"/>
                <w:sz w:val="20"/>
                <w:szCs w:val="20"/>
              </w:rPr>
              <w:t>smm@u.washington.edu</w:t>
            </w:r>
          </w:p>
        </w:tc>
      </w:tr>
      <w:tr w:rsidR="006B2EE5" w:rsidRPr="00985A6E" w:rsidTr="005C1EF0">
        <w:trPr>
          <w:trHeight w:val="63"/>
        </w:trPr>
        <w:tc>
          <w:tcPr>
            <w:tcW w:w="2147" w:type="dxa"/>
            <w:vAlign w:val="center"/>
          </w:tcPr>
          <w:p w:rsidR="003050FE" w:rsidRPr="005C1EF0" w:rsidRDefault="003050FE" w:rsidP="00FA7AFC">
            <w:pPr>
              <w:autoSpaceDE w:val="0"/>
              <w:autoSpaceDN w:val="0"/>
              <w:adjustRightInd w:val="0"/>
              <w:spacing w:after="0" w:line="240" w:lineRule="auto"/>
              <w:rPr>
                <w:rFonts w:asciiTheme="minorHAnsi" w:hAnsiTheme="minorHAnsi" w:cstheme="minorHAnsi"/>
                <w:sz w:val="20"/>
                <w:szCs w:val="20"/>
              </w:rPr>
            </w:pPr>
            <w:proofErr w:type="spellStart"/>
            <w:r w:rsidRPr="00985A6E">
              <w:rPr>
                <w:sz w:val="20"/>
                <w:szCs w:val="20"/>
              </w:rPr>
              <w:t>Arlon</w:t>
            </w:r>
            <w:proofErr w:type="spellEnd"/>
            <w:r w:rsidRPr="00985A6E">
              <w:rPr>
                <w:sz w:val="20"/>
                <w:szCs w:val="20"/>
              </w:rPr>
              <w:t xml:space="preserve"> Sheffield</w:t>
            </w:r>
          </w:p>
        </w:tc>
        <w:tc>
          <w:tcPr>
            <w:tcW w:w="3163" w:type="dxa"/>
          </w:tcPr>
          <w:p w:rsidR="003050FE" w:rsidRPr="005C1EF0" w:rsidRDefault="003050FE"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Jacksonville Medical Center, Jacksonville, AL</w:t>
            </w:r>
            <w:r w:rsidR="003B6350">
              <w:rPr>
                <w:sz w:val="20"/>
                <w:szCs w:val="20"/>
              </w:rPr>
              <w:t xml:space="preserve"> – Laboratory Director</w:t>
            </w:r>
          </w:p>
        </w:tc>
        <w:tc>
          <w:tcPr>
            <w:tcW w:w="1458" w:type="dxa"/>
            <w:vAlign w:val="center"/>
          </w:tcPr>
          <w:p w:rsidR="003050FE" w:rsidRPr="005C1EF0" w:rsidRDefault="005A27A7" w:rsidP="005C1EF0">
            <w:pPr>
              <w:pStyle w:val="wp-caption-text"/>
              <w:rPr>
                <w:rStyle w:val="Emphasis"/>
                <w:rFonts w:asciiTheme="minorHAnsi" w:hAnsiTheme="minorHAnsi"/>
                <w:i w:val="0"/>
                <w:iCs w:val="0"/>
                <w:sz w:val="20"/>
                <w:szCs w:val="20"/>
              </w:rPr>
            </w:pPr>
            <w:r w:rsidRPr="005C1EF0">
              <w:rPr>
                <w:rFonts w:asciiTheme="minorHAnsi" w:hAnsiTheme="minorHAnsi"/>
                <w:sz w:val="20"/>
                <w:szCs w:val="20"/>
              </w:rPr>
              <w:t>256-782-4196</w:t>
            </w:r>
          </w:p>
        </w:tc>
        <w:tc>
          <w:tcPr>
            <w:tcW w:w="2808" w:type="dxa"/>
            <w:vAlign w:val="center"/>
          </w:tcPr>
          <w:p w:rsidR="003050FE" w:rsidRPr="00985A6E" w:rsidRDefault="008C18DA" w:rsidP="00FA7AFC">
            <w:pPr>
              <w:spacing w:after="0"/>
              <w:rPr>
                <w:rStyle w:val="Emphasis"/>
                <w:rFonts w:asciiTheme="minorHAnsi" w:hAnsiTheme="minorHAnsi" w:cstheme="minorHAnsi"/>
                <w:i w:val="0"/>
                <w:iCs w:val="0"/>
                <w:sz w:val="20"/>
                <w:szCs w:val="20"/>
              </w:rPr>
            </w:pPr>
            <w:r w:rsidRPr="00985A6E">
              <w:rPr>
                <w:rStyle w:val="Emphasis"/>
                <w:rFonts w:asciiTheme="minorHAnsi" w:hAnsiTheme="minorHAnsi" w:cstheme="minorHAnsi"/>
                <w:i w:val="0"/>
                <w:iCs w:val="0"/>
                <w:sz w:val="20"/>
                <w:szCs w:val="20"/>
              </w:rPr>
              <w:t>Arlon.Sheffield@JMCHealth.com</w:t>
            </w:r>
          </w:p>
        </w:tc>
      </w:tr>
      <w:tr w:rsidR="006B2EE5" w:rsidRPr="00985A6E" w:rsidTr="005C1EF0">
        <w:trPr>
          <w:trHeight w:val="63"/>
        </w:trPr>
        <w:tc>
          <w:tcPr>
            <w:tcW w:w="2147" w:type="dxa"/>
            <w:vAlign w:val="center"/>
          </w:tcPr>
          <w:p w:rsidR="003050FE" w:rsidRPr="005C1EF0" w:rsidRDefault="003050FE"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Allen Silverstone, PhD</w:t>
            </w:r>
          </w:p>
        </w:tc>
        <w:tc>
          <w:tcPr>
            <w:tcW w:w="3163" w:type="dxa"/>
          </w:tcPr>
          <w:p w:rsidR="003050FE" w:rsidRPr="005C1EF0" w:rsidRDefault="003050FE"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SUNY Upstate Medical Center, Syracuse, NY</w:t>
            </w:r>
            <w:r w:rsidR="002E68E8">
              <w:rPr>
                <w:sz w:val="20"/>
                <w:szCs w:val="20"/>
              </w:rPr>
              <w:t xml:space="preserve"> – </w:t>
            </w:r>
            <w:r w:rsidR="00C02C18">
              <w:rPr>
                <w:sz w:val="20"/>
                <w:szCs w:val="20"/>
              </w:rPr>
              <w:t>Professor</w:t>
            </w:r>
          </w:p>
        </w:tc>
        <w:tc>
          <w:tcPr>
            <w:tcW w:w="1458" w:type="dxa"/>
            <w:vAlign w:val="center"/>
          </w:tcPr>
          <w:p w:rsidR="003050FE" w:rsidRPr="005C1EF0" w:rsidRDefault="00390081" w:rsidP="00FA7AFC">
            <w:pPr>
              <w:autoSpaceDE w:val="0"/>
              <w:autoSpaceDN w:val="0"/>
              <w:adjustRightInd w:val="0"/>
              <w:spacing w:after="0" w:line="240" w:lineRule="auto"/>
              <w:rPr>
                <w:rStyle w:val="Emphasis"/>
                <w:rFonts w:asciiTheme="minorHAnsi" w:hAnsiTheme="minorHAnsi" w:cstheme="minorHAnsi"/>
                <w:i w:val="0"/>
                <w:sz w:val="20"/>
                <w:szCs w:val="20"/>
              </w:rPr>
            </w:pPr>
            <w:r w:rsidRPr="00985A6E">
              <w:rPr>
                <w:rFonts w:eastAsia="Times New Roman"/>
                <w:sz w:val="20"/>
                <w:szCs w:val="20"/>
              </w:rPr>
              <w:t>315-464-5871</w:t>
            </w:r>
          </w:p>
        </w:tc>
        <w:tc>
          <w:tcPr>
            <w:tcW w:w="2808" w:type="dxa"/>
            <w:vAlign w:val="center"/>
          </w:tcPr>
          <w:p w:rsidR="003050FE" w:rsidRPr="00985A6E" w:rsidRDefault="00DC61E1" w:rsidP="00FA7AFC">
            <w:pPr>
              <w:spacing w:after="0"/>
              <w:rPr>
                <w:rStyle w:val="Emphasis"/>
                <w:rFonts w:asciiTheme="minorHAnsi" w:hAnsiTheme="minorHAnsi" w:cstheme="minorHAnsi"/>
                <w:i w:val="0"/>
                <w:iCs w:val="0"/>
                <w:sz w:val="20"/>
                <w:szCs w:val="20"/>
              </w:rPr>
            </w:pPr>
            <w:r w:rsidRPr="00985A6E">
              <w:rPr>
                <w:rStyle w:val="Emphasis"/>
                <w:rFonts w:asciiTheme="minorHAnsi" w:hAnsiTheme="minorHAnsi" w:cstheme="minorHAnsi"/>
                <w:i w:val="0"/>
                <w:iCs w:val="0"/>
                <w:sz w:val="20"/>
                <w:szCs w:val="20"/>
              </w:rPr>
              <w:t>silversa@upstate.edu</w:t>
            </w:r>
          </w:p>
        </w:tc>
      </w:tr>
      <w:tr w:rsidR="006B2EE5" w:rsidRPr="00985A6E" w:rsidTr="005C1EF0">
        <w:trPr>
          <w:trHeight w:val="63"/>
        </w:trPr>
        <w:tc>
          <w:tcPr>
            <w:tcW w:w="2147" w:type="dxa"/>
            <w:vAlign w:val="center"/>
          </w:tcPr>
          <w:p w:rsidR="003050FE" w:rsidRPr="005C1EF0" w:rsidRDefault="003050FE"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Carol Spencer, PhD</w:t>
            </w:r>
          </w:p>
        </w:tc>
        <w:tc>
          <w:tcPr>
            <w:tcW w:w="3163" w:type="dxa"/>
          </w:tcPr>
          <w:p w:rsidR="003050FE" w:rsidRPr="005C1EF0" w:rsidRDefault="003050FE"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University of Southern California, Los Angeles, CA</w:t>
            </w:r>
            <w:r w:rsidR="00C02C18">
              <w:rPr>
                <w:sz w:val="20"/>
                <w:szCs w:val="20"/>
              </w:rPr>
              <w:t xml:space="preserve">  – Laboratory Director</w:t>
            </w:r>
          </w:p>
        </w:tc>
        <w:tc>
          <w:tcPr>
            <w:tcW w:w="1458" w:type="dxa"/>
            <w:vAlign w:val="center"/>
          </w:tcPr>
          <w:p w:rsidR="003050FE" w:rsidRPr="005C1EF0" w:rsidRDefault="00390081" w:rsidP="00FA7AFC">
            <w:pPr>
              <w:autoSpaceDE w:val="0"/>
              <w:autoSpaceDN w:val="0"/>
              <w:adjustRightInd w:val="0"/>
              <w:spacing w:after="0" w:line="240" w:lineRule="auto"/>
              <w:rPr>
                <w:rStyle w:val="Emphasis"/>
                <w:rFonts w:asciiTheme="minorHAnsi" w:hAnsiTheme="minorHAnsi" w:cstheme="minorHAnsi"/>
                <w:i w:val="0"/>
                <w:sz w:val="20"/>
                <w:szCs w:val="20"/>
              </w:rPr>
            </w:pPr>
            <w:r w:rsidRPr="005C1EF0">
              <w:rPr>
                <w:sz w:val="20"/>
                <w:szCs w:val="20"/>
              </w:rPr>
              <w:t>626-993-2809</w:t>
            </w:r>
          </w:p>
        </w:tc>
        <w:tc>
          <w:tcPr>
            <w:tcW w:w="2808" w:type="dxa"/>
            <w:vAlign w:val="center"/>
          </w:tcPr>
          <w:p w:rsidR="003050FE" w:rsidRPr="00985A6E" w:rsidRDefault="00A71F04" w:rsidP="00FA7AFC">
            <w:pPr>
              <w:spacing w:after="0"/>
              <w:rPr>
                <w:rStyle w:val="Emphasis"/>
                <w:rFonts w:asciiTheme="minorHAnsi" w:hAnsiTheme="minorHAnsi" w:cstheme="minorHAnsi"/>
                <w:i w:val="0"/>
                <w:iCs w:val="0"/>
                <w:sz w:val="20"/>
                <w:szCs w:val="20"/>
              </w:rPr>
            </w:pPr>
            <w:hyperlink r:id="rId13" w:history="1">
              <w:r w:rsidR="00DC61E1" w:rsidRPr="005C1EF0">
                <w:rPr>
                  <w:rStyle w:val="Hyperlink"/>
                  <w:color w:val="auto"/>
                  <w:sz w:val="20"/>
                  <w:szCs w:val="20"/>
                </w:rPr>
                <w:t>cspencer@usc.edu</w:t>
              </w:r>
            </w:hyperlink>
          </w:p>
        </w:tc>
      </w:tr>
    </w:tbl>
    <w:tbl>
      <w:tblPr>
        <w:tblStyle w:val="TableGrid"/>
        <w:tblW w:w="0" w:type="auto"/>
        <w:tblLook w:val="04A0" w:firstRow="1" w:lastRow="0" w:firstColumn="1" w:lastColumn="0" w:noHBand="0" w:noVBand="1"/>
      </w:tblPr>
      <w:tblGrid>
        <w:gridCol w:w="9576"/>
      </w:tblGrid>
      <w:tr w:rsidR="00882149" w:rsidRPr="00985A6E" w:rsidTr="00EB5DF2">
        <w:tc>
          <w:tcPr>
            <w:tcW w:w="9576" w:type="dxa"/>
            <w:shd w:val="clear" w:color="auto" w:fill="D9D9D9" w:themeFill="background1" w:themeFillShade="D9"/>
          </w:tcPr>
          <w:p w:rsidR="00882149" w:rsidRPr="00985A6E" w:rsidRDefault="00882149" w:rsidP="00EB5DF2">
            <w:pPr>
              <w:spacing w:after="0" w:line="240" w:lineRule="auto"/>
              <w:rPr>
                <w:sz w:val="20"/>
                <w:szCs w:val="20"/>
              </w:rPr>
            </w:pPr>
            <w:r w:rsidRPr="00985A6E">
              <w:rPr>
                <w:sz w:val="20"/>
                <w:szCs w:val="20"/>
              </w:rPr>
              <w:t>CONSULTANTS</w:t>
            </w:r>
          </w:p>
        </w:tc>
      </w:tr>
    </w:tbl>
    <w:tbl>
      <w:tblPr>
        <w:tblW w:w="0" w:type="auto"/>
        <w:tblBorders>
          <w:top w:val="single" w:sz="8" w:space="0" w:color="auto"/>
          <w:bottom w:val="single" w:sz="8" w:space="0" w:color="auto"/>
          <w:insideH w:val="single" w:sz="8" w:space="0" w:color="auto"/>
        </w:tblBorders>
        <w:tblLook w:val="04A0" w:firstRow="1" w:lastRow="0" w:firstColumn="1" w:lastColumn="0" w:noHBand="0" w:noVBand="1"/>
      </w:tblPr>
      <w:tblGrid>
        <w:gridCol w:w="2178"/>
        <w:gridCol w:w="3060"/>
        <w:gridCol w:w="1440"/>
        <w:gridCol w:w="2898"/>
      </w:tblGrid>
      <w:tr w:rsidR="00985A6E" w:rsidRPr="00985A6E" w:rsidTr="00263E2A">
        <w:trPr>
          <w:trHeight w:val="63"/>
        </w:trPr>
        <w:tc>
          <w:tcPr>
            <w:tcW w:w="2178" w:type="dxa"/>
            <w:vAlign w:val="center"/>
          </w:tcPr>
          <w:p w:rsidR="00546913" w:rsidRPr="005C1EF0" w:rsidRDefault="00546913"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Scott Bartell, PhD</w:t>
            </w:r>
          </w:p>
        </w:tc>
        <w:tc>
          <w:tcPr>
            <w:tcW w:w="3060" w:type="dxa"/>
          </w:tcPr>
          <w:p w:rsidR="00546913" w:rsidRPr="005C1EF0" w:rsidRDefault="00546913" w:rsidP="00FA7AFC">
            <w:pPr>
              <w:autoSpaceDE w:val="0"/>
              <w:autoSpaceDN w:val="0"/>
              <w:adjustRightInd w:val="0"/>
              <w:spacing w:after="0" w:line="240" w:lineRule="auto"/>
              <w:rPr>
                <w:rFonts w:asciiTheme="minorHAnsi" w:hAnsiTheme="minorHAnsi" w:cstheme="minorHAnsi"/>
                <w:sz w:val="20"/>
                <w:szCs w:val="20"/>
              </w:rPr>
            </w:pPr>
            <w:r w:rsidRPr="00985A6E">
              <w:rPr>
                <w:sz w:val="20"/>
                <w:szCs w:val="20"/>
              </w:rPr>
              <w:t>University of California Irvine, Irvine, CA</w:t>
            </w:r>
            <w:r w:rsidR="00DA5073" w:rsidRPr="00985A6E">
              <w:rPr>
                <w:sz w:val="20"/>
                <w:szCs w:val="20"/>
              </w:rPr>
              <w:t xml:space="preserve"> – Assoc</w:t>
            </w:r>
            <w:r w:rsidR="003B6350">
              <w:rPr>
                <w:sz w:val="20"/>
                <w:szCs w:val="20"/>
              </w:rPr>
              <w:t>iate</w:t>
            </w:r>
            <w:r w:rsidR="00DA5073" w:rsidRPr="00985A6E">
              <w:rPr>
                <w:sz w:val="20"/>
                <w:szCs w:val="20"/>
              </w:rPr>
              <w:t xml:space="preserve"> Professor</w:t>
            </w:r>
          </w:p>
        </w:tc>
        <w:tc>
          <w:tcPr>
            <w:tcW w:w="1440" w:type="dxa"/>
            <w:vAlign w:val="center"/>
          </w:tcPr>
          <w:p w:rsidR="00546913" w:rsidRPr="005C1EF0" w:rsidRDefault="00EB5DF2" w:rsidP="00FA7AFC">
            <w:pPr>
              <w:autoSpaceDE w:val="0"/>
              <w:autoSpaceDN w:val="0"/>
              <w:adjustRightInd w:val="0"/>
              <w:spacing w:after="0" w:line="240" w:lineRule="auto"/>
              <w:contextualSpacing/>
              <w:rPr>
                <w:rStyle w:val="Emphasis"/>
                <w:rFonts w:eastAsia="Times New Roman" w:cs="Calibri"/>
                <w:bCs/>
                <w:i w:val="0"/>
                <w:iCs w:val="0"/>
                <w:sz w:val="20"/>
                <w:szCs w:val="20"/>
              </w:rPr>
            </w:pPr>
            <w:r w:rsidRPr="005C1EF0">
              <w:rPr>
                <w:rFonts w:eastAsia="Times New Roman" w:cs="Calibri"/>
                <w:bCs/>
                <w:sz w:val="20"/>
                <w:szCs w:val="20"/>
              </w:rPr>
              <w:t>949-444-3545</w:t>
            </w:r>
          </w:p>
        </w:tc>
        <w:tc>
          <w:tcPr>
            <w:tcW w:w="2898" w:type="dxa"/>
            <w:vAlign w:val="center"/>
          </w:tcPr>
          <w:p w:rsidR="00546913" w:rsidRPr="00985A6E" w:rsidRDefault="00263E2A" w:rsidP="00FA7AFC">
            <w:pPr>
              <w:spacing w:after="0"/>
              <w:rPr>
                <w:rStyle w:val="Emphasis"/>
                <w:rFonts w:asciiTheme="minorHAnsi" w:hAnsiTheme="minorHAnsi" w:cstheme="minorHAnsi"/>
                <w:i w:val="0"/>
                <w:iCs w:val="0"/>
                <w:sz w:val="20"/>
                <w:szCs w:val="20"/>
              </w:rPr>
            </w:pPr>
            <w:r w:rsidRPr="00985A6E">
              <w:rPr>
                <w:rStyle w:val="Emphasis"/>
                <w:rFonts w:asciiTheme="minorHAnsi" w:hAnsiTheme="minorHAnsi" w:cstheme="minorHAnsi"/>
                <w:i w:val="0"/>
                <w:iCs w:val="0"/>
                <w:sz w:val="20"/>
                <w:szCs w:val="20"/>
              </w:rPr>
              <w:t>sbartell@uci.edu</w:t>
            </w:r>
          </w:p>
        </w:tc>
      </w:tr>
      <w:tr w:rsidR="00546913" w:rsidRPr="00F46D82" w:rsidTr="005C1EF0">
        <w:trPr>
          <w:trHeight w:val="63"/>
        </w:trPr>
        <w:tc>
          <w:tcPr>
            <w:tcW w:w="2178" w:type="dxa"/>
            <w:vAlign w:val="center"/>
          </w:tcPr>
          <w:p w:rsidR="00546913" w:rsidRPr="00950319" w:rsidRDefault="00546913" w:rsidP="00C70FD9">
            <w:pPr>
              <w:autoSpaceDE w:val="0"/>
              <w:autoSpaceDN w:val="0"/>
              <w:adjustRightInd w:val="0"/>
              <w:spacing w:after="0" w:line="240" w:lineRule="auto"/>
              <w:rPr>
                <w:rFonts w:asciiTheme="minorHAnsi" w:hAnsiTheme="minorHAnsi" w:cstheme="minorHAnsi"/>
                <w:color w:val="000000"/>
                <w:sz w:val="20"/>
                <w:szCs w:val="20"/>
              </w:rPr>
            </w:pPr>
            <w:r>
              <w:rPr>
                <w:sz w:val="20"/>
                <w:szCs w:val="20"/>
              </w:rPr>
              <w:t>Christie Shelton, PhD</w:t>
            </w:r>
          </w:p>
        </w:tc>
        <w:tc>
          <w:tcPr>
            <w:tcW w:w="3060" w:type="dxa"/>
          </w:tcPr>
          <w:p w:rsidR="00546913" w:rsidRPr="00950319" w:rsidRDefault="00546913" w:rsidP="004A0C1E">
            <w:pPr>
              <w:autoSpaceDE w:val="0"/>
              <w:autoSpaceDN w:val="0"/>
              <w:adjustRightInd w:val="0"/>
              <w:spacing w:after="0" w:line="240" w:lineRule="auto"/>
              <w:rPr>
                <w:rFonts w:asciiTheme="minorHAnsi" w:hAnsiTheme="minorHAnsi" w:cstheme="minorHAnsi"/>
                <w:color w:val="000000"/>
                <w:sz w:val="20"/>
                <w:szCs w:val="20"/>
              </w:rPr>
            </w:pPr>
            <w:r w:rsidRPr="00D25F04">
              <w:rPr>
                <w:sz w:val="20"/>
                <w:szCs w:val="20"/>
              </w:rPr>
              <w:t xml:space="preserve">Jacksonville State University, Jacksonville, AL </w:t>
            </w:r>
            <w:r w:rsidR="003B6350">
              <w:rPr>
                <w:sz w:val="20"/>
                <w:szCs w:val="20"/>
              </w:rPr>
              <w:t xml:space="preserve">– </w:t>
            </w:r>
            <w:r w:rsidR="004A0C1E">
              <w:rPr>
                <w:sz w:val="20"/>
                <w:szCs w:val="20"/>
              </w:rPr>
              <w:t>Associate Dean, College of</w:t>
            </w:r>
            <w:r w:rsidR="003B6350">
              <w:rPr>
                <w:sz w:val="20"/>
                <w:szCs w:val="20"/>
              </w:rPr>
              <w:t xml:space="preserve"> Nursing</w:t>
            </w:r>
          </w:p>
        </w:tc>
        <w:tc>
          <w:tcPr>
            <w:tcW w:w="1440" w:type="dxa"/>
            <w:vAlign w:val="center"/>
          </w:tcPr>
          <w:p w:rsidR="00546913" w:rsidRPr="005C1EF0" w:rsidRDefault="00AD204F" w:rsidP="00C70FD9">
            <w:pPr>
              <w:autoSpaceDE w:val="0"/>
              <w:autoSpaceDN w:val="0"/>
              <w:adjustRightInd w:val="0"/>
              <w:spacing w:after="0" w:line="240" w:lineRule="auto"/>
              <w:contextualSpacing/>
              <w:rPr>
                <w:rStyle w:val="Emphasis"/>
                <w:rFonts w:eastAsia="Times New Roman" w:cs="Calibri"/>
                <w:bCs/>
                <w:i w:val="0"/>
                <w:iCs w:val="0"/>
                <w:sz w:val="20"/>
                <w:szCs w:val="20"/>
              </w:rPr>
            </w:pPr>
            <w:r>
              <w:rPr>
                <w:rFonts w:eastAsia="Times New Roman" w:cs="Calibri"/>
                <w:bCs/>
                <w:sz w:val="20"/>
                <w:szCs w:val="20"/>
              </w:rPr>
              <w:t>256-782-8427</w:t>
            </w:r>
          </w:p>
        </w:tc>
        <w:tc>
          <w:tcPr>
            <w:tcW w:w="2898" w:type="dxa"/>
            <w:vAlign w:val="center"/>
          </w:tcPr>
          <w:p w:rsidR="00546913" w:rsidRPr="00950319" w:rsidRDefault="00AD204F" w:rsidP="00C70FD9">
            <w:pPr>
              <w:spacing w:after="0"/>
              <w:rPr>
                <w:rStyle w:val="Emphasis"/>
                <w:rFonts w:asciiTheme="minorHAnsi" w:hAnsiTheme="minorHAnsi" w:cstheme="minorHAnsi"/>
                <w:i w:val="0"/>
                <w:iCs w:val="0"/>
                <w:sz w:val="20"/>
                <w:szCs w:val="20"/>
              </w:rPr>
            </w:pPr>
            <w:r w:rsidRPr="001E3F8E">
              <w:rPr>
                <w:rFonts w:eastAsia="Times New Roman" w:cs="Calibri"/>
                <w:bCs/>
                <w:sz w:val="20"/>
                <w:szCs w:val="20"/>
              </w:rPr>
              <w:t>cshelton@jsu.edu</w:t>
            </w:r>
          </w:p>
        </w:tc>
      </w:tr>
    </w:tbl>
    <w:p w:rsidR="00C70FD9" w:rsidRDefault="00C70FD9" w:rsidP="004A005B">
      <w:pPr>
        <w:spacing w:after="0" w:line="240" w:lineRule="auto"/>
        <w:rPr>
          <w:sz w:val="24"/>
          <w:szCs w:val="24"/>
        </w:rPr>
      </w:pPr>
    </w:p>
    <w:p w:rsidR="00C83078" w:rsidRDefault="00C83078" w:rsidP="0064210D">
      <w:pPr>
        <w:autoSpaceDE w:val="0"/>
        <w:autoSpaceDN w:val="0"/>
        <w:adjustRightInd w:val="0"/>
        <w:spacing w:after="0" w:line="240" w:lineRule="auto"/>
        <w:rPr>
          <w:rFonts w:cs="Calibri"/>
          <w:b/>
          <w:color w:val="4F81BD"/>
          <w:sz w:val="24"/>
          <w:szCs w:val="24"/>
        </w:rPr>
      </w:pPr>
    </w:p>
    <w:p w:rsidR="00B206C6" w:rsidRPr="003C4F3A" w:rsidRDefault="00AF76DF" w:rsidP="0064210D">
      <w:pPr>
        <w:autoSpaceDE w:val="0"/>
        <w:autoSpaceDN w:val="0"/>
        <w:adjustRightInd w:val="0"/>
        <w:spacing w:after="0" w:line="240" w:lineRule="auto"/>
        <w:rPr>
          <w:rFonts w:cs="Calibri"/>
          <w:b/>
          <w:color w:val="4F81BD"/>
          <w:sz w:val="24"/>
          <w:szCs w:val="24"/>
        </w:rPr>
      </w:pPr>
      <w:r w:rsidRPr="003C4F3A">
        <w:rPr>
          <w:rFonts w:cs="Calibri"/>
          <w:b/>
          <w:color w:val="4F81BD"/>
          <w:sz w:val="24"/>
          <w:szCs w:val="24"/>
        </w:rPr>
        <w:t xml:space="preserve">B.5.1 </w:t>
      </w:r>
      <w:r w:rsidRPr="003C4F3A">
        <w:rPr>
          <w:rFonts w:cs="Calibri"/>
          <w:b/>
          <w:color w:val="4F81BD"/>
          <w:sz w:val="24"/>
          <w:szCs w:val="24"/>
        </w:rPr>
        <w:tab/>
      </w:r>
      <w:r w:rsidR="00271D31">
        <w:rPr>
          <w:rFonts w:cs="Calibri"/>
          <w:b/>
          <w:color w:val="4F81BD"/>
          <w:sz w:val="24"/>
          <w:szCs w:val="24"/>
        </w:rPr>
        <w:t>Study design and data collection</w:t>
      </w:r>
      <w:r w:rsidR="00767737" w:rsidRPr="003C4F3A">
        <w:rPr>
          <w:rFonts w:cs="Calibri"/>
          <w:b/>
          <w:color w:val="4F81BD"/>
          <w:sz w:val="24"/>
          <w:szCs w:val="24"/>
        </w:rPr>
        <w:t xml:space="preserve"> plan</w:t>
      </w:r>
      <w:r w:rsidR="00B206C6" w:rsidRPr="003C4F3A">
        <w:rPr>
          <w:rFonts w:cs="Calibri"/>
          <w:b/>
          <w:color w:val="4F81BD"/>
          <w:sz w:val="24"/>
          <w:szCs w:val="24"/>
        </w:rPr>
        <w:t>:</w:t>
      </w:r>
    </w:p>
    <w:p w:rsidR="00B206C6" w:rsidRPr="003C4F3A" w:rsidRDefault="00B206C6" w:rsidP="0064210D">
      <w:pPr>
        <w:autoSpaceDE w:val="0"/>
        <w:autoSpaceDN w:val="0"/>
        <w:adjustRightInd w:val="0"/>
        <w:spacing w:after="0" w:line="240" w:lineRule="auto"/>
        <w:rPr>
          <w:rFonts w:cs="Calibri"/>
          <w:b/>
          <w:color w:val="000000"/>
          <w:sz w:val="24"/>
          <w:szCs w:val="24"/>
        </w:rPr>
      </w:pPr>
    </w:p>
    <w:p w:rsidR="00767737" w:rsidRDefault="00B206C6" w:rsidP="00E06D61">
      <w:pPr>
        <w:autoSpaceDE w:val="0"/>
        <w:autoSpaceDN w:val="0"/>
        <w:adjustRightInd w:val="0"/>
        <w:spacing w:after="0" w:line="240" w:lineRule="auto"/>
        <w:jc w:val="both"/>
        <w:rPr>
          <w:rFonts w:cs="Calibri"/>
          <w:color w:val="000000"/>
          <w:sz w:val="24"/>
          <w:szCs w:val="24"/>
        </w:rPr>
      </w:pPr>
      <w:r w:rsidRPr="003C4F3A">
        <w:rPr>
          <w:rFonts w:cs="Calibri"/>
          <w:color w:val="000000"/>
          <w:sz w:val="24"/>
          <w:szCs w:val="24"/>
        </w:rPr>
        <w:t>Th</w:t>
      </w:r>
      <w:r w:rsidR="00F70ADC">
        <w:rPr>
          <w:rFonts w:cs="Calibri"/>
          <w:color w:val="000000"/>
          <w:sz w:val="24"/>
          <w:szCs w:val="24"/>
        </w:rPr>
        <w:t>e study design, enrollment and data collection plan</w:t>
      </w:r>
      <w:r w:rsidR="00E2666D">
        <w:rPr>
          <w:rFonts w:cs="Calibri"/>
          <w:color w:val="000000"/>
          <w:sz w:val="24"/>
          <w:szCs w:val="24"/>
        </w:rPr>
        <w:t xml:space="preserve"> was</w:t>
      </w:r>
      <w:r w:rsidR="00767737" w:rsidRPr="003C4F3A">
        <w:rPr>
          <w:rFonts w:cs="Calibri"/>
          <w:color w:val="000000"/>
          <w:sz w:val="24"/>
          <w:szCs w:val="24"/>
        </w:rPr>
        <w:t xml:space="preserve"> developed as a</w:t>
      </w:r>
      <w:r w:rsidR="0000071C" w:rsidRPr="003C4F3A">
        <w:rPr>
          <w:rFonts w:cs="Calibri"/>
          <w:color w:val="000000"/>
          <w:sz w:val="24"/>
          <w:szCs w:val="24"/>
        </w:rPr>
        <w:t xml:space="preserve"> </w:t>
      </w:r>
      <w:r w:rsidR="00767737" w:rsidRPr="003C4F3A">
        <w:rPr>
          <w:rFonts w:cs="Calibri"/>
          <w:color w:val="000000"/>
          <w:sz w:val="24"/>
          <w:szCs w:val="24"/>
        </w:rPr>
        <w:t xml:space="preserve">collaborative process between </w:t>
      </w:r>
      <w:r w:rsidR="005E2F75">
        <w:rPr>
          <w:rFonts w:cs="Calibri"/>
          <w:color w:val="000000"/>
          <w:sz w:val="24"/>
          <w:szCs w:val="24"/>
        </w:rPr>
        <w:t>all</w:t>
      </w:r>
      <w:r w:rsidR="00E2666D">
        <w:rPr>
          <w:rFonts w:cs="Calibri"/>
          <w:color w:val="000000"/>
          <w:sz w:val="24"/>
          <w:szCs w:val="24"/>
        </w:rPr>
        <w:t xml:space="preserve"> investigators</w:t>
      </w:r>
      <w:r w:rsidR="009D55C6">
        <w:rPr>
          <w:rFonts w:cs="Calibri"/>
          <w:color w:val="000000"/>
          <w:sz w:val="24"/>
          <w:szCs w:val="24"/>
        </w:rPr>
        <w:t xml:space="preserve"> and contract collaborators</w:t>
      </w:r>
      <w:r w:rsidR="00E2666D">
        <w:rPr>
          <w:rFonts w:cs="Calibri"/>
          <w:color w:val="000000"/>
          <w:sz w:val="24"/>
          <w:szCs w:val="24"/>
        </w:rPr>
        <w:t xml:space="preserve"> listed in Table </w:t>
      </w:r>
      <w:r w:rsidR="00F42507">
        <w:rPr>
          <w:rFonts w:cs="Calibri"/>
          <w:color w:val="000000"/>
          <w:sz w:val="24"/>
          <w:szCs w:val="24"/>
        </w:rPr>
        <w:t>3</w:t>
      </w:r>
      <w:r w:rsidR="00E2666D">
        <w:rPr>
          <w:rFonts w:cs="Calibri"/>
          <w:color w:val="000000"/>
          <w:sz w:val="24"/>
          <w:szCs w:val="24"/>
        </w:rPr>
        <w:t>.</w:t>
      </w:r>
      <w:r w:rsidR="005E2F75">
        <w:rPr>
          <w:rFonts w:cs="Calibri"/>
          <w:color w:val="000000"/>
          <w:sz w:val="24"/>
          <w:szCs w:val="24"/>
        </w:rPr>
        <w:t xml:space="preserve"> </w:t>
      </w:r>
      <w:r w:rsidR="00D22794">
        <w:rPr>
          <w:rFonts w:cs="Calibri"/>
          <w:color w:val="000000"/>
          <w:sz w:val="24"/>
          <w:szCs w:val="24"/>
        </w:rPr>
        <w:t xml:space="preserve">Specifically, </w:t>
      </w:r>
      <w:r w:rsidR="00F70ADC">
        <w:rPr>
          <w:rFonts w:cs="Calibri"/>
          <w:color w:val="000000"/>
          <w:sz w:val="24"/>
          <w:szCs w:val="24"/>
        </w:rPr>
        <w:t xml:space="preserve">the lead on the design of </w:t>
      </w:r>
      <w:r w:rsidR="00D22794">
        <w:rPr>
          <w:rFonts w:cs="Calibri"/>
          <w:color w:val="000000"/>
          <w:sz w:val="24"/>
          <w:szCs w:val="24"/>
        </w:rPr>
        <w:t xml:space="preserve">data collection </w:t>
      </w:r>
      <w:r w:rsidR="00F70ADC">
        <w:rPr>
          <w:rFonts w:cs="Calibri"/>
          <w:color w:val="000000"/>
          <w:sz w:val="24"/>
          <w:szCs w:val="24"/>
        </w:rPr>
        <w:t xml:space="preserve">plan was </w:t>
      </w:r>
      <w:r w:rsidR="00D22794">
        <w:rPr>
          <w:rFonts w:cs="Calibri"/>
          <w:color w:val="000000"/>
          <w:sz w:val="24"/>
          <w:szCs w:val="24"/>
        </w:rPr>
        <w:t>Marian Pavuk (ATSDR)</w:t>
      </w:r>
      <w:proofErr w:type="gramStart"/>
      <w:r w:rsidR="00D22794">
        <w:rPr>
          <w:rFonts w:cs="Calibri"/>
          <w:color w:val="000000"/>
          <w:sz w:val="24"/>
          <w:szCs w:val="24"/>
        </w:rPr>
        <w:t>,</w:t>
      </w:r>
      <w:proofErr w:type="gramEnd"/>
      <w:r w:rsidR="00F70ADC">
        <w:rPr>
          <w:rFonts w:cs="Calibri"/>
          <w:color w:val="000000"/>
          <w:sz w:val="24"/>
          <w:szCs w:val="24"/>
        </w:rPr>
        <w:t xml:space="preserve"> the lead for</w:t>
      </w:r>
      <w:r w:rsidR="00D22794">
        <w:rPr>
          <w:rFonts w:cs="Calibri"/>
          <w:color w:val="000000"/>
          <w:sz w:val="24"/>
          <w:szCs w:val="24"/>
        </w:rPr>
        <w:t xml:space="preserve"> data</w:t>
      </w:r>
      <w:r w:rsidR="00F70ADC">
        <w:rPr>
          <w:rFonts w:cs="Calibri"/>
          <w:color w:val="000000"/>
          <w:sz w:val="24"/>
          <w:szCs w:val="24"/>
        </w:rPr>
        <w:t xml:space="preserve"> collection</w:t>
      </w:r>
      <w:r w:rsidR="00D22794">
        <w:rPr>
          <w:rFonts w:cs="Calibri"/>
          <w:color w:val="000000"/>
          <w:sz w:val="24"/>
          <w:szCs w:val="24"/>
        </w:rPr>
        <w:t xml:space="preserve"> will be Stephen Mennemeyer (UAB). </w:t>
      </w:r>
      <w:r w:rsidR="005E2F75">
        <w:rPr>
          <w:rFonts w:cs="Calibri"/>
          <w:color w:val="000000"/>
          <w:sz w:val="24"/>
          <w:szCs w:val="24"/>
        </w:rPr>
        <w:t>Additional</w:t>
      </w:r>
      <w:r w:rsidR="00F80C3A">
        <w:rPr>
          <w:rFonts w:cs="Calibri"/>
          <w:color w:val="000000"/>
          <w:sz w:val="24"/>
          <w:szCs w:val="24"/>
        </w:rPr>
        <w:t xml:space="preserve"> advisors</w:t>
      </w:r>
      <w:r w:rsidR="005E2F75">
        <w:rPr>
          <w:rFonts w:cs="Calibri"/>
          <w:color w:val="000000"/>
          <w:sz w:val="24"/>
          <w:szCs w:val="24"/>
        </w:rPr>
        <w:t xml:space="preserve"> are listed below.</w:t>
      </w:r>
    </w:p>
    <w:p w:rsidR="008D142D" w:rsidRPr="00003949" w:rsidRDefault="008D142D" w:rsidP="00532A87">
      <w:pPr>
        <w:autoSpaceDE w:val="0"/>
        <w:autoSpaceDN w:val="0"/>
        <w:adjustRightInd w:val="0"/>
        <w:spacing w:after="0" w:line="240" w:lineRule="auto"/>
        <w:rPr>
          <w:rFonts w:cs="Calibri"/>
          <w:sz w:val="24"/>
          <w:szCs w:val="24"/>
        </w:rPr>
      </w:pPr>
    </w:p>
    <w:tbl>
      <w:tblPr>
        <w:tblW w:w="0" w:type="auto"/>
        <w:tblBorders>
          <w:top w:val="single" w:sz="8" w:space="0" w:color="auto"/>
          <w:bottom w:val="single" w:sz="8" w:space="0" w:color="auto"/>
          <w:insideH w:val="single" w:sz="8" w:space="0" w:color="auto"/>
        </w:tblBorders>
        <w:tblLook w:val="04A0" w:firstRow="1" w:lastRow="0" w:firstColumn="1" w:lastColumn="0" w:noHBand="0" w:noVBand="1"/>
      </w:tblPr>
      <w:tblGrid>
        <w:gridCol w:w="2178"/>
        <w:gridCol w:w="2790"/>
        <w:gridCol w:w="1609"/>
        <w:gridCol w:w="2999"/>
      </w:tblGrid>
      <w:tr w:rsidR="00642C28" w:rsidRPr="00003949" w:rsidTr="00642C28">
        <w:tc>
          <w:tcPr>
            <w:tcW w:w="2178" w:type="dxa"/>
            <w:tcBorders>
              <w:bottom w:val="single" w:sz="8" w:space="0" w:color="auto"/>
            </w:tcBorders>
          </w:tcPr>
          <w:p w:rsidR="00642C28" w:rsidRPr="004A0C1E" w:rsidRDefault="00642C28" w:rsidP="00642C28">
            <w:pPr>
              <w:autoSpaceDE w:val="0"/>
              <w:autoSpaceDN w:val="0"/>
              <w:adjustRightInd w:val="0"/>
              <w:spacing w:after="0" w:line="240" w:lineRule="auto"/>
              <w:rPr>
                <w:rFonts w:asciiTheme="minorHAnsi" w:hAnsiTheme="minorHAnsi" w:cstheme="minorHAnsi"/>
              </w:rPr>
            </w:pPr>
            <w:r w:rsidRPr="004A0C1E">
              <w:rPr>
                <w:rFonts w:asciiTheme="minorHAnsi" w:hAnsiTheme="minorHAnsi" w:cstheme="minorHAnsi"/>
              </w:rPr>
              <w:t>Name</w:t>
            </w:r>
          </w:p>
        </w:tc>
        <w:tc>
          <w:tcPr>
            <w:tcW w:w="2790" w:type="dxa"/>
            <w:tcBorders>
              <w:bottom w:val="single" w:sz="8" w:space="0" w:color="auto"/>
            </w:tcBorders>
          </w:tcPr>
          <w:p w:rsidR="00642C28" w:rsidRPr="004A0C1E" w:rsidRDefault="00642C28" w:rsidP="00642C28">
            <w:pPr>
              <w:autoSpaceDE w:val="0"/>
              <w:autoSpaceDN w:val="0"/>
              <w:adjustRightInd w:val="0"/>
              <w:spacing w:after="0" w:line="240" w:lineRule="auto"/>
              <w:rPr>
                <w:rFonts w:asciiTheme="minorHAnsi" w:hAnsiTheme="minorHAnsi" w:cstheme="minorHAnsi"/>
              </w:rPr>
            </w:pPr>
            <w:r w:rsidRPr="004A0C1E">
              <w:rPr>
                <w:rFonts w:asciiTheme="minorHAnsi" w:hAnsiTheme="minorHAnsi" w:cstheme="minorHAnsi"/>
              </w:rPr>
              <w:t>Title</w:t>
            </w:r>
          </w:p>
        </w:tc>
        <w:tc>
          <w:tcPr>
            <w:tcW w:w="1609" w:type="dxa"/>
            <w:tcBorders>
              <w:bottom w:val="single" w:sz="8" w:space="0" w:color="auto"/>
            </w:tcBorders>
          </w:tcPr>
          <w:p w:rsidR="00642C28" w:rsidRPr="004A0C1E" w:rsidRDefault="00642C28" w:rsidP="00642C28">
            <w:pPr>
              <w:autoSpaceDE w:val="0"/>
              <w:autoSpaceDN w:val="0"/>
              <w:adjustRightInd w:val="0"/>
              <w:spacing w:after="0" w:line="240" w:lineRule="auto"/>
              <w:rPr>
                <w:rFonts w:asciiTheme="minorHAnsi" w:hAnsiTheme="minorHAnsi" w:cstheme="minorHAnsi"/>
              </w:rPr>
            </w:pPr>
            <w:r w:rsidRPr="004A0C1E">
              <w:rPr>
                <w:rFonts w:asciiTheme="minorHAnsi" w:hAnsiTheme="minorHAnsi" w:cstheme="minorHAnsi"/>
              </w:rPr>
              <w:t>Phone</w:t>
            </w:r>
          </w:p>
        </w:tc>
        <w:tc>
          <w:tcPr>
            <w:tcW w:w="2999" w:type="dxa"/>
            <w:tcBorders>
              <w:bottom w:val="single" w:sz="8" w:space="0" w:color="auto"/>
            </w:tcBorders>
          </w:tcPr>
          <w:p w:rsidR="00642C28" w:rsidRPr="004A0C1E" w:rsidRDefault="00642C28" w:rsidP="00642C28">
            <w:pPr>
              <w:autoSpaceDE w:val="0"/>
              <w:autoSpaceDN w:val="0"/>
              <w:adjustRightInd w:val="0"/>
              <w:spacing w:after="0" w:line="240" w:lineRule="auto"/>
              <w:rPr>
                <w:rFonts w:asciiTheme="minorHAnsi" w:hAnsiTheme="minorHAnsi" w:cstheme="minorHAnsi"/>
              </w:rPr>
            </w:pPr>
            <w:r w:rsidRPr="004A0C1E">
              <w:rPr>
                <w:rFonts w:asciiTheme="minorHAnsi" w:hAnsiTheme="minorHAnsi" w:cstheme="minorHAnsi"/>
              </w:rPr>
              <w:t>Email</w:t>
            </w:r>
          </w:p>
        </w:tc>
      </w:tr>
      <w:tr w:rsidR="00642C28" w:rsidRPr="00003949" w:rsidTr="00642C28">
        <w:tc>
          <w:tcPr>
            <w:tcW w:w="9576" w:type="dxa"/>
            <w:gridSpan w:val="4"/>
            <w:shd w:val="clear" w:color="auto" w:fill="D9D9D9" w:themeFill="background1" w:themeFillShade="D9"/>
            <w:vAlign w:val="center"/>
          </w:tcPr>
          <w:p w:rsidR="00642C28" w:rsidRPr="004A0C1E" w:rsidRDefault="00642C28" w:rsidP="00642C28">
            <w:pPr>
              <w:autoSpaceDE w:val="0"/>
              <w:autoSpaceDN w:val="0"/>
              <w:adjustRightInd w:val="0"/>
              <w:spacing w:after="0" w:line="240" w:lineRule="auto"/>
              <w:rPr>
                <w:rFonts w:asciiTheme="minorHAnsi" w:hAnsiTheme="minorHAnsi" w:cstheme="minorHAnsi"/>
                <w:i/>
                <w:sz w:val="20"/>
                <w:szCs w:val="20"/>
                <w:lang w:val="en"/>
              </w:rPr>
            </w:pPr>
            <w:r w:rsidRPr="004A0C1E">
              <w:rPr>
                <w:rFonts w:asciiTheme="minorHAnsi" w:hAnsiTheme="minorHAnsi" w:cstheme="minorHAnsi"/>
                <w:i/>
                <w:sz w:val="20"/>
                <w:szCs w:val="20"/>
                <w:lang w:val="en"/>
              </w:rPr>
              <w:t>COMMUNITY INTERACTION ADVISORS</w:t>
            </w:r>
          </w:p>
        </w:tc>
      </w:tr>
      <w:tr w:rsidR="00642C28" w:rsidRPr="00003949" w:rsidTr="00642C28">
        <w:tc>
          <w:tcPr>
            <w:tcW w:w="2178" w:type="dxa"/>
            <w:vAlign w:val="center"/>
          </w:tcPr>
          <w:p w:rsidR="00642C28" w:rsidRPr="004A0C1E" w:rsidRDefault="00642C28" w:rsidP="00642C28">
            <w:pPr>
              <w:autoSpaceDE w:val="0"/>
              <w:autoSpaceDN w:val="0"/>
              <w:adjustRightInd w:val="0"/>
              <w:spacing w:after="0" w:line="240" w:lineRule="auto"/>
              <w:rPr>
                <w:rFonts w:asciiTheme="minorHAnsi" w:hAnsiTheme="minorHAnsi" w:cstheme="minorHAnsi"/>
                <w:sz w:val="20"/>
                <w:szCs w:val="20"/>
              </w:rPr>
            </w:pPr>
            <w:r w:rsidRPr="004A0C1E">
              <w:rPr>
                <w:rFonts w:asciiTheme="minorHAnsi" w:hAnsiTheme="minorHAnsi" w:cstheme="minorHAnsi"/>
                <w:sz w:val="20"/>
                <w:szCs w:val="20"/>
              </w:rPr>
              <w:t>Shirley Carter</w:t>
            </w:r>
          </w:p>
        </w:tc>
        <w:tc>
          <w:tcPr>
            <w:tcW w:w="2790" w:type="dxa"/>
            <w:vAlign w:val="center"/>
          </w:tcPr>
          <w:p w:rsidR="00642C28" w:rsidRPr="004A0C1E" w:rsidRDefault="00642C28" w:rsidP="00642C28">
            <w:pPr>
              <w:autoSpaceDE w:val="0"/>
              <w:autoSpaceDN w:val="0"/>
              <w:adjustRightInd w:val="0"/>
              <w:spacing w:after="0" w:line="240" w:lineRule="auto"/>
              <w:rPr>
                <w:rFonts w:asciiTheme="minorHAnsi" w:hAnsiTheme="minorHAnsi" w:cstheme="minorHAnsi"/>
                <w:sz w:val="20"/>
                <w:szCs w:val="20"/>
              </w:rPr>
            </w:pPr>
            <w:r w:rsidRPr="004A0C1E">
              <w:rPr>
                <w:rFonts w:asciiTheme="minorHAnsi" w:hAnsiTheme="minorHAnsi" w:cstheme="minorHAnsi"/>
                <w:sz w:val="20"/>
                <w:szCs w:val="20"/>
              </w:rPr>
              <w:t xml:space="preserve">Community Activist </w:t>
            </w:r>
          </w:p>
        </w:tc>
        <w:tc>
          <w:tcPr>
            <w:tcW w:w="1609" w:type="dxa"/>
            <w:vAlign w:val="center"/>
          </w:tcPr>
          <w:p w:rsidR="00642C28" w:rsidRPr="004A0C1E" w:rsidRDefault="00642C28" w:rsidP="00642C28">
            <w:pPr>
              <w:autoSpaceDE w:val="0"/>
              <w:autoSpaceDN w:val="0"/>
              <w:adjustRightInd w:val="0"/>
              <w:spacing w:after="0" w:line="240" w:lineRule="auto"/>
              <w:rPr>
                <w:rStyle w:val="Emphasis"/>
                <w:rFonts w:asciiTheme="minorHAnsi" w:hAnsiTheme="minorHAnsi" w:cstheme="minorHAnsi"/>
                <w:i w:val="0"/>
                <w:sz w:val="20"/>
                <w:szCs w:val="20"/>
              </w:rPr>
            </w:pPr>
            <w:r w:rsidRPr="004A0C1E">
              <w:rPr>
                <w:rFonts w:cs="Calibri"/>
                <w:sz w:val="20"/>
                <w:szCs w:val="20"/>
              </w:rPr>
              <w:t>256-525-2986</w:t>
            </w:r>
          </w:p>
        </w:tc>
        <w:tc>
          <w:tcPr>
            <w:tcW w:w="2999" w:type="dxa"/>
            <w:vAlign w:val="center"/>
          </w:tcPr>
          <w:p w:rsidR="00642C28" w:rsidRPr="004A0C1E" w:rsidRDefault="00A71F04" w:rsidP="00642C28">
            <w:pPr>
              <w:autoSpaceDE w:val="0"/>
              <w:autoSpaceDN w:val="0"/>
              <w:adjustRightInd w:val="0"/>
              <w:spacing w:after="0" w:line="240" w:lineRule="auto"/>
              <w:rPr>
                <w:rStyle w:val="Emphasis"/>
                <w:rFonts w:cs="Calibri"/>
                <w:i w:val="0"/>
                <w:iCs w:val="0"/>
                <w:sz w:val="20"/>
                <w:szCs w:val="20"/>
              </w:rPr>
            </w:pPr>
            <w:hyperlink r:id="rId14" w:history="1">
              <w:r w:rsidR="00642C28" w:rsidRPr="004A0C1E">
                <w:rPr>
                  <w:rStyle w:val="Hyperlink"/>
                  <w:rFonts w:cs="Calibri"/>
                  <w:color w:val="auto"/>
                  <w:sz w:val="20"/>
                  <w:szCs w:val="20"/>
                </w:rPr>
                <w:t>msabccarter@yahoo.com</w:t>
              </w:r>
            </w:hyperlink>
          </w:p>
        </w:tc>
      </w:tr>
      <w:tr w:rsidR="00642C28" w:rsidRPr="00003949" w:rsidTr="00642C28">
        <w:tc>
          <w:tcPr>
            <w:tcW w:w="2178" w:type="dxa"/>
            <w:tcBorders>
              <w:bottom w:val="single" w:sz="8" w:space="0" w:color="auto"/>
            </w:tcBorders>
            <w:vAlign w:val="center"/>
          </w:tcPr>
          <w:p w:rsidR="00642C28" w:rsidRPr="00003949" w:rsidRDefault="00642C28" w:rsidP="00642C28">
            <w:pPr>
              <w:pStyle w:val="PlainText"/>
              <w:rPr>
                <w:rFonts w:asciiTheme="minorHAnsi" w:hAnsiTheme="minorHAnsi" w:cstheme="minorHAnsi"/>
                <w:sz w:val="20"/>
                <w:szCs w:val="20"/>
              </w:rPr>
            </w:pPr>
            <w:r w:rsidRPr="00003949">
              <w:rPr>
                <w:rFonts w:asciiTheme="minorHAnsi" w:hAnsiTheme="minorHAnsi" w:cstheme="minorHAnsi"/>
                <w:sz w:val="20"/>
                <w:szCs w:val="20"/>
              </w:rPr>
              <w:t>Kay Beard</w:t>
            </w:r>
          </w:p>
        </w:tc>
        <w:tc>
          <w:tcPr>
            <w:tcW w:w="2790" w:type="dxa"/>
            <w:tcBorders>
              <w:bottom w:val="single" w:sz="8" w:space="0" w:color="auto"/>
            </w:tcBorders>
            <w:vAlign w:val="center"/>
          </w:tcPr>
          <w:p w:rsidR="00642C28" w:rsidRPr="004A0C1E" w:rsidRDefault="00642C28" w:rsidP="00642C28">
            <w:pPr>
              <w:autoSpaceDE w:val="0"/>
              <w:autoSpaceDN w:val="0"/>
              <w:adjustRightInd w:val="0"/>
              <w:spacing w:after="0" w:line="240" w:lineRule="auto"/>
              <w:rPr>
                <w:rFonts w:asciiTheme="minorHAnsi" w:hAnsiTheme="minorHAnsi" w:cstheme="minorHAnsi"/>
                <w:sz w:val="20"/>
                <w:szCs w:val="20"/>
              </w:rPr>
            </w:pPr>
            <w:r w:rsidRPr="004A0C1E">
              <w:rPr>
                <w:rFonts w:asciiTheme="minorHAnsi" w:hAnsiTheme="minorHAnsi" w:cstheme="minorHAnsi"/>
                <w:sz w:val="20"/>
                <w:szCs w:val="20"/>
              </w:rPr>
              <w:t>West Anniston Foundation</w:t>
            </w:r>
            <w:r w:rsidR="003B6350" w:rsidRPr="004A0C1E">
              <w:rPr>
                <w:rFonts w:asciiTheme="minorHAnsi" w:hAnsiTheme="minorHAnsi" w:cstheme="minorHAnsi"/>
                <w:sz w:val="20"/>
                <w:szCs w:val="20"/>
              </w:rPr>
              <w:t xml:space="preserve"> - </w:t>
            </w:r>
            <w:r w:rsidR="003B6350" w:rsidRPr="004A0C1E">
              <w:rPr>
                <w:rFonts w:asciiTheme="minorHAnsi" w:hAnsiTheme="minorHAnsi" w:cstheme="minorHAnsi"/>
                <w:sz w:val="20"/>
                <w:szCs w:val="20"/>
              </w:rPr>
              <w:lastRenderedPageBreak/>
              <w:t>Executive Director</w:t>
            </w:r>
          </w:p>
        </w:tc>
        <w:tc>
          <w:tcPr>
            <w:tcW w:w="1609" w:type="dxa"/>
            <w:tcBorders>
              <w:bottom w:val="single" w:sz="8" w:space="0" w:color="auto"/>
            </w:tcBorders>
            <w:vAlign w:val="center"/>
          </w:tcPr>
          <w:p w:rsidR="00642C28" w:rsidRPr="004A0C1E" w:rsidRDefault="00642C28" w:rsidP="00642C28">
            <w:pPr>
              <w:autoSpaceDE w:val="0"/>
              <w:autoSpaceDN w:val="0"/>
              <w:adjustRightInd w:val="0"/>
              <w:spacing w:after="0" w:line="240" w:lineRule="auto"/>
              <w:rPr>
                <w:rStyle w:val="Emphasis"/>
                <w:rFonts w:asciiTheme="minorHAnsi" w:hAnsiTheme="minorHAnsi" w:cstheme="minorHAnsi"/>
                <w:i w:val="0"/>
                <w:sz w:val="20"/>
                <w:szCs w:val="20"/>
              </w:rPr>
            </w:pPr>
            <w:r w:rsidRPr="00003949">
              <w:rPr>
                <w:rFonts w:cs="Calibri"/>
                <w:sz w:val="20"/>
                <w:szCs w:val="20"/>
              </w:rPr>
              <w:lastRenderedPageBreak/>
              <w:t>256-238-8476</w:t>
            </w:r>
          </w:p>
        </w:tc>
        <w:tc>
          <w:tcPr>
            <w:tcW w:w="2999" w:type="dxa"/>
            <w:tcBorders>
              <w:bottom w:val="single" w:sz="8" w:space="0" w:color="auto"/>
            </w:tcBorders>
            <w:vAlign w:val="center"/>
          </w:tcPr>
          <w:p w:rsidR="00642C28" w:rsidRPr="004A0C1E" w:rsidRDefault="00A71F04" w:rsidP="00642C28">
            <w:pPr>
              <w:autoSpaceDE w:val="0"/>
              <w:autoSpaceDN w:val="0"/>
              <w:adjustRightInd w:val="0"/>
              <w:spacing w:after="0" w:line="240" w:lineRule="auto"/>
              <w:rPr>
                <w:rStyle w:val="Emphasis"/>
                <w:rFonts w:cs="Calibri"/>
                <w:i w:val="0"/>
                <w:iCs w:val="0"/>
                <w:sz w:val="20"/>
                <w:szCs w:val="20"/>
              </w:rPr>
            </w:pPr>
            <w:hyperlink r:id="rId15" w:history="1">
              <w:r w:rsidR="00642C28" w:rsidRPr="004A0C1E">
                <w:rPr>
                  <w:rStyle w:val="Hyperlink"/>
                  <w:rFonts w:cs="Calibri"/>
                  <w:color w:val="auto"/>
                  <w:sz w:val="20"/>
                  <w:szCs w:val="20"/>
                </w:rPr>
                <w:t>kaybeardal@bellsouth.net</w:t>
              </w:r>
            </w:hyperlink>
          </w:p>
        </w:tc>
      </w:tr>
    </w:tbl>
    <w:p w:rsidR="00F42507" w:rsidRDefault="00F42507" w:rsidP="007F4B66">
      <w:pPr>
        <w:autoSpaceDE w:val="0"/>
        <w:autoSpaceDN w:val="0"/>
        <w:adjustRightInd w:val="0"/>
        <w:spacing w:after="0" w:line="240" w:lineRule="auto"/>
        <w:rPr>
          <w:rFonts w:cs="Calibri"/>
          <w:sz w:val="24"/>
          <w:szCs w:val="24"/>
        </w:rPr>
      </w:pPr>
    </w:p>
    <w:p w:rsidR="00F42507" w:rsidRDefault="00F42507" w:rsidP="00532A87">
      <w:pPr>
        <w:autoSpaceDE w:val="0"/>
        <w:autoSpaceDN w:val="0"/>
        <w:adjustRightInd w:val="0"/>
        <w:spacing w:after="0" w:line="240" w:lineRule="auto"/>
        <w:rPr>
          <w:rFonts w:cs="Calibri"/>
          <w:sz w:val="24"/>
          <w:szCs w:val="24"/>
        </w:rPr>
      </w:pPr>
      <w:r>
        <w:rPr>
          <w:rFonts w:cs="Calibri"/>
          <w:color w:val="000000"/>
          <w:sz w:val="24"/>
          <w:szCs w:val="24"/>
        </w:rPr>
        <w:t>Additional consultations with CDC, university, and medical center laboratories included the subject matter experts listed in Table 3 and as described in Section A.8.</w:t>
      </w:r>
    </w:p>
    <w:p w:rsidR="00642C28" w:rsidRDefault="00642C28" w:rsidP="007F4B66">
      <w:pPr>
        <w:autoSpaceDE w:val="0"/>
        <w:autoSpaceDN w:val="0"/>
        <w:adjustRightInd w:val="0"/>
        <w:spacing w:after="0" w:line="240" w:lineRule="auto"/>
        <w:rPr>
          <w:rFonts w:cs="Calibri"/>
          <w:b/>
          <w:color w:val="4F81BD"/>
          <w:sz w:val="24"/>
          <w:szCs w:val="24"/>
        </w:rPr>
      </w:pPr>
    </w:p>
    <w:p w:rsidR="007F4B66" w:rsidRPr="003C4F3A" w:rsidRDefault="007F4B66" w:rsidP="007F4B66">
      <w:pPr>
        <w:autoSpaceDE w:val="0"/>
        <w:autoSpaceDN w:val="0"/>
        <w:adjustRightInd w:val="0"/>
        <w:spacing w:after="0" w:line="240" w:lineRule="auto"/>
        <w:rPr>
          <w:rFonts w:cs="Calibri"/>
          <w:b/>
          <w:color w:val="4F81BD"/>
          <w:sz w:val="24"/>
          <w:szCs w:val="24"/>
        </w:rPr>
      </w:pPr>
      <w:r w:rsidRPr="003C4F3A">
        <w:rPr>
          <w:rFonts w:cs="Calibri"/>
          <w:b/>
          <w:color w:val="4F81BD"/>
          <w:sz w:val="24"/>
          <w:szCs w:val="24"/>
        </w:rPr>
        <w:t xml:space="preserve">B.5.2 </w:t>
      </w:r>
      <w:r w:rsidRPr="003C4F3A">
        <w:rPr>
          <w:rFonts w:cs="Calibri"/>
          <w:b/>
          <w:color w:val="4F81BD"/>
          <w:sz w:val="24"/>
          <w:szCs w:val="24"/>
        </w:rPr>
        <w:tab/>
        <w:t>Questionnaire design</w:t>
      </w:r>
    </w:p>
    <w:p w:rsidR="00E250E5" w:rsidRDefault="00E250E5" w:rsidP="004A0C1E">
      <w:pPr>
        <w:autoSpaceDE w:val="0"/>
        <w:autoSpaceDN w:val="0"/>
        <w:adjustRightInd w:val="0"/>
        <w:spacing w:after="0" w:line="240" w:lineRule="auto"/>
        <w:contextualSpacing/>
        <w:jc w:val="both"/>
        <w:rPr>
          <w:rFonts w:cs="Calibri"/>
          <w:color w:val="000000"/>
          <w:sz w:val="24"/>
          <w:szCs w:val="24"/>
        </w:rPr>
      </w:pPr>
    </w:p>
    <w:p w:rsidR="0079781A" w:rsidRDefault="00466656" w:rsidP="004A0C1E">
      <w:pPr>
        <w:autoSpaceDE w:val="0"/>
        <w:autoSpaceDN w:val="0"/>
        <w:adjustRightInd w:val="0"/>
        <w:spacing w:after="0" w:line="240" w:lineRule="auto"/>
        <w:contextualSpacing/>
        <w:jc w:val="both"/>
        <w:rPr>
          <w:rFonts w:cs="Calibri"/>
          <w:color w:val="000000"/>
          <w:sz w:val="24"/>
          <w:szCs w:val="24"/>
        </w:rPr>
      </w:pPr>
      <w:r>
        <w:rPr>
          <w:rFonts w:cs="Calibri"/>
          <w:color w:val="000000"/>
          <w:sz w:val="24"/>
          <w:szCs w:val="24"/>
        </w:rPr>
        <w:t>The leads on the questionnaire design were Marian Pavuk (ATSDR)</w:t>
      </w:r>
      <w:r w:rsidR="00003949">
        <w:rPr>
          <w:rFonts w:cs="Calibri"/>
          <w:color w:val="000000"/>
          <w:sz w:val="24"/>
          <w:szCs w:val="24"/>
        </w:rPr>
        <w:t>,</w:t>
      </w:r>
      <w:r>
        <w:rPr>
          <w:rFonts w:cs="Calibri"/>
          <w:color w:val="000000"/>
          <w:sz w:val="24"/>
          <w:szCs w:val="24"/>
        </w:rPr>
        <w:t xml:space="preserve"> Stephen Mennemeyer (UAB)</w:t>
      </w:r>
      <w:r w:rsidR="00003949">
        <w:rPr>
          <w:rFonts w:cs="Calibri"/>
          <w:color w:val="000000"/>
          <w:sz w:val="24"/>
          <w:szCs w:val="24"/>
        </w:rPr>
        <w:t xml:space="preserve">, Linda Birnbaum, Mike Sanders, Paul Jung (NIH), and Stephanie Davis (ATSDR). CATI and CAPI development and testing were performed by SRU staff under the supervision of Paul Wolff and Andy Rucks. </w:t>
      </w:r>
      <w:r w:rsidR="00F42507">
        <w:rPr>
          <w:rFonts w:cs="Calibri"/>
          <w:color w:val="000000"/>
          <w:sz w:val="24"/>
          <w:szCs w:val="24"/>
        </w:rPr>
        <w:t>Additional consultations with Alabama state agencies included the following subject matter experts as described in Section A.8.</w:t>
      </w:r>
    </w:p>
    <w:p w:rsidR="00466656" w:rsidRDefault="00466656" w:rsidP="0089630F">
      <w:pPr>
        <w:autoSpaceDE w:val="0"/>
        <w:autoSpaceDN w:val="0"/>
        <w:adjustRightInd w:val="0"/>
        <w:spacing w:after="0" w:line="240" w:lineRule="auto"/>
        <w:contextualSpacing/>
        <w:rPr>
          <w:rFonts w:eastAsia="Times New Roman" w:cs="Calibri"/>
          <w:bCs/>
          <w:sz w:val="24"/>
          <w:szCs w:val="24"/>
          <w:u w:val="single"/>
        </w:rPr>
      </w:pPr>
    </w:p>
    <w:tbl>
      <w:tblPr>
        <w:tblW w:w="0" w:type="auto"/>
        <w:tblBorders>
          <w:top w:val="single" w:sz="8" w:space="0" w:color="auto"/>
          <w:bottom w:val="single" w:sz="8" w:space="0" w:color="auto"/>
          <w:insideH w:val="single" w:sz="8" w:space="0" w:color="auto"/>
        </w:tblBorders>
        <w:tblLook w:val="04A0" w:firstRow="1" w:lastRow="0" w:firstColumn="1" w:lastColumn="0" w:noHBand="0" w:noVBand="1"/>
      </w:tblPr>
      <w:tblGrid>
        <w:gridCol w:w="2178"/>
        <w:gridCol w:w="2790"/>
        <w:gridCol w:w="1609"/>
        <w:gridCol w:w="2999"/>
      </w:tblGrid>
      <w:tr w:rsidR="0079781A" w:rsidRPr="00F46D82" w:rsidTr="0079781A">
        <w:tc>
          <w:tcPr>
            <w:tcW w:w="2178" w:type="dxa"/>
            <w:tcBorders>
              <w:bottom w:val="single" w:sz="8" w:space="0" w:color="auto"/>
            </w:tcBorders>
          </w:tcPr>
          <w:p w:rsidR="0079781A" w:rsidRPr="00F46D82" w:rsidRDefault="0079781A" w:rsidP="0079781A">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Name</w:t>
            </w:r>
          </w:p>
        </w:tc>
        <w:tc>
          <w:tcPr>
            <w:tcW w:w="2790" w:type="dxa"/>
            <w:tcBorders>
              <w:bottom w:val="single" w:sz="8" w:space="0" w:color="auto"/>
            </w:tcBorders>
          </w:tcPr>
          <w:p w:rsidR="0079781A" w:rsidRPr="00F46D82" w:rsidRDefault="0079781A" w:rsidP="0079781A">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Title</w:t>
            </w:r>
          </w:p>
        </w:tc>
        <w:tc>
          <w:tcPr>
            <w:tcW w:w="1609" w:type="dxa"/>
            <w:tcBorders>
              <w:bottom w:val="single" w:sz="8" w:space="0" w:color="auto"/>
            </w:tcBorders>
          </w:tcPr>
          <w:p w:rsidR="0079781A" w:rsidRPr="00F46D82" w:rsidRDefault="0079781A" w:rsidP="0079781A">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Phone</w:t>
            </w:r>
          </w:p>
        </w:tc>
        <w:tc>
          <w:tcPr>
            <w:tcW w:w="2999" w:type="dxa"/>
            <w:tcBorders>
              <w:bottom w:val="single" w:sz="8" w:space="0" w:color="auto"/>
            </w:tcBorders>
          </w:tcPr>
          <w:p w:rsidR="0079781A" w:rsidRPr="00F46D82" w:rsidRDefault="0079781A" w:rsidP="0079781A">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Email</w:t>
            </w:r>
          </w:p>
        </w:tc>
      </w:tr>
      <w:tr w:rsidR="0079781A" w:rsidRPr="00F46D82" w:rsidTr="0079781A">
        <w:tc>
          <w:tcPr>
            <w:tcW w:w="9576" w:type="dxa"/>
            <w:gridSpan w:val="4"/>
            <w:shd w:val="clear" w:color="auto" w:fill="D9D9D9" w:themeFill="background1" w:themeFillShade="D9"/>
            <w:vAlign w:val="center"/>
          </w:tcPr>
          <w:p w:rsidR="0079781A" w:rsidRPr="000C092E" w:rsidRDefault="0079781A" w:rsidP="0079781A">
            <w:pPr>
              <w:autoSpaceDE w:val="0"/>
              <w:autoSpaceDN w:val="0"/>
              <w:adjustRightInd w:val="0"/>
              <w:spacing w:after="0" w:line="240" w:lineRule="auto"/>
              <w:rPr>
                <w:rFonts w:asciiTheme="minorHAnsi" w:hAnsiTheme="minorHAnsi" w:cstheme="minorHAnsi"/>
                <w:i/>
                <w:color w:val="000000"/>
                <w:sz w:val="20"/>
                <w:szCs w:val="20"/>
                <w:lang w:val="en"/>
              </w:rPr>
            </w:pPr>
            <w:r w:rsidRPr="000C092E">
              <w:rPr>
                <w:rFonts w:asciiTheme="minorHAnsi" w:hAnsiTheme="minorHAnsi" w:cstheme="minorHAnsi"/>
                <w:i/>
                <w:color w:val="000000"/>
                <w:sz w:val="20"/>
                <w:szCs w:val="20"/>
                <w:lang w:val="en"/>
              </w:rPr>
              <w:t>ALABAMA DEPARTMENT OF PUBLIC</w:t>
            </w:r>
            <w:r>
              <w:rPr>
                <w:rFonts w:asciiTheme="minorHAnsi" w:hAnsiTheme="minorHAnsi" w:cstheme="minorHAnsi"/>
                <w:i/>
                <w:color w:val="000000"/>
                <w:sz w:val="20"/>
                <w:szCs w:val="20"/>
                <w:lang w:val="en"/>
              </w:rPr>
              <w:t xml:space="preserve"> HEALTH (ADPH)</w:t>
            </w:r>
          </w:p>
        </w:tc>
      </w:tr>
      <w:tr w:rsidR="0079781A" w:rsidRPr="00F46D82" w:rsidTr="0079781A">
        <w:tc>
          <w:tcPr>
            <w:tcW w:w="2178" w:type="dxa"/>
            <w:vAlign w:val="center"/>
          </w:tcPr>
          <w:p w:rsidR="0079781A" w:rsidRPr="000C092E" w:rsidRDefault="0079781A" w:rsidP="0079781A">
            <w:pPr>
              <w:autoSpaceDE w:val="0"/>
              <w:autoSpaceDN w:val="0"/>
              <w:adjustRightInd w:val="0"/>
              <w:spacing w:after="0" w:line="240" w:lineRule="auto"/>
              <w:rPr>
                <w:rFonts w:asciiTheme="minorHAnsi" w:hAnsiTheme="minorHAnsi" w:cstheme="minorHAnsi"/>
                <w:color w:val="000000"/>
                <w:sz w:val="20"/>
                <w:szCs w:val="20"/>
              </w:rPr>
            </w:pPr>
            <w:proofErr w:type="spellStart"/>
            <w:r w:rsidRPr="000C092E">
              <w:rPr>
                <w:rFonts w:asciiTheme="minorHAnsi" w:hAnsiTheme="minorHAnsi" w:cstheme="minorHAnsi"/>
                <w:color w:val="000000"/>
                <w:sz w:val="20"/>
                <w:szCs w:val="20"/>
              </w:rPr>
              <w:t>Karon</w:t>
            </w:r>
            <w:proofErr w:type="spellEnd"/>
            <w:r w:rsidRPr="000C092E">
              <w:rPr>
                <w:rFonts w:asciiTheme="minorHAnsi" w:hAnsiTheme="minorHAnsi" w:cstheme="minorHAnsi"/>
                <w:color w:val="000000"/>
                <w:sz w:val="20"/>
                <w:szCs w:val="20"/>
              </w:rPr>
              <w:t xml:space="preserve"> C. Lewis, MS, MPH</w:t>
            </w:r>
          </w:p>
        </w:tc>
        <w:tc>
          <w:tcPr>
            <w:tcW w:w="2790" w:type="dxa"/>
            <w:vAlign w:val="center"/>
          </w:tcPr>
          <w:p w:rsidR="0079781A" w:rsidRPr="000C092E" w:rsidRDefault="0079781A" w:rsidP="0079781A">
            <w:pPr>
              <w:autoSpaceDE w:val="0"/>
              <w:autoSpaceDN w:val="0"/>
              <w:adjustRightInd w:val="0"/>
              <w:spacing w:after="0" w:line="240" w:lineRule="auto"/>
              <w:rPr>
                <w:rFonts w:asciiTheme="minorHAnsi" w:hAnsiTheme="minorHAnsi" w:cstheme="minorHAnsi"/>
                <w:color w:val="000000"/>
                <w:sz w:val="20"/>
                <w:szCs w:val="20"/>
              </w:rPr>
            </w:pPr>
            <w:r w:rsidRPr="000C092E">
              <w:rPr>
                <w:rFonts w:asciiTheme="minorHAnsi" w:hAnsiTheme="minorHAnsi" w:cstheme="minorHAnsi"/>
                <w:color w:val="000000"/>
                <w:sz w:val="20"/>
                <w:szCs w:val="20"/>
              </w:rPr>
              <w:t>Adult Blood Lead Epidemiology and Surveillance (ABLES</w:t>
            </w:r>
            <w:r>
              <w:rPr>
                <w:rFonts w:asciiTheme="minorHAnsi" w:hAnsiTheme="minorHAnsi" w:cstheme="minorHAnsi"/>
                <w:color w:val="000000"/>
                <w:sz w:val="20"/>
                <w:szCs w:val="20"/>
              </w:rPr>
              <w:t>-CDC NIOSH</w:t>
            </w:r>
            <w:r w:rsidRPr="000C092E">
              <w:rPr>
                <w:rFonts w:asciiTheme="minorHAnsi" w:hAnsiTheme="minorHAnsi" w:cstheme="minorHAnsi"/>
                <w:color w:val="000000"/>
                <w:sz w:val="20"/>
                <w:szCs w:val="20"/>
              </w:rPr>
              <w:t>)</w:t>
            </w:r>
            <w:r>
              <w:rPr>
                <w:rFonts w:asciiTheme="minorHAnsi" w:hAnsiTheme="minorHAnsi" w:cstheme="minorHAnsi"/>
                <w:color w:val="000000"/>
                <w:sz w:val="20"/>
                <w:szCs w:val="20"/>
              </w:rPr>
              <w:t xml:space="preserve"> </w:t>
            </w:r>
          </w:p>
        </w:tc>
        <w:tc>
          <w:tcPr>
            <w:tcW w:w="1609" w:type="dxa"/>
            <w:vAlign w:val="center"/>
          </w:tcPr>
          <w:p w:rsidR="0079781A" w:rsidRPr="000C092E" w:rsidRDefault="0079781A" w:rsidP="0079781A">
            <w:pPr>
              <w:autoSpaceDE w:val="0"/>
              <w:autoSpaceDN w:val="0"/>
              <w:adjustRightInd w:val="0"/>
              <w:spacing w:after="0" w:line="240" w:lineRule="auto"/>
              <w:rPr>
                <w:rStyle w:val="Emphasis"/>
                <w:rFonts w:asciiTheme="minorHAnsi" w:hAnsiTheme="minorHAnsi" w:cstheme="minorHAnsi"/>
                <w:i w:val="0"/>
                <w:color w:val="000000"/>
                <w:sz w:val="20"/>
                <w:szCs w:val="20"/>
              </w:rPr>
            </w:pPr>
            <w:r w:rsidRPr="000C092E">
              <w:rPr>
                <w:rStyle w:val="Emphasis"/>
                <w:rFonts w:asciiTheme="minorHAnsi" w:hAnsiTheme="minorHAnsi" w:cstheme="minorHAnsi"/>
                <w:color w:val="000000"/>
                <w:sz w:val="20"/>
                <w:szCs w:val="20"/>
              </w:rPr>
              <w:t>(334) 206-2026</w:t>
            </w:r>
          </w:p>
        </w:tc>
        <w:tc>
          <w:tcPr>
            <w:tcW w:w="2999" w:type="dxa"/>
            <w:vAlign w:val="center"/>
          </w:tcPr>
          <w:p w:rsidR="0079781A" w:rsidRPr="000C092E" w:rsidRDefault="00A71F04" w:rsidP="0079781A">
            <w:pPr>
              <w:autoSpaceDE w:val="0"/>
              <w:autoSpaceDN w:val="0"/>
              <w:adjustRightInd w:val="0"/>
              <w:spacing w:after="0" w:line="240" w:lineRule="auto"/>
              <w:rPr>
                <w:rStyle w:val="Emphasis"/>
                <w:rFonts w:asciiTheme="minorHAnsi" w:hAnsiTheme="minorHAnsi" w:cstheme="minorHAnsi"/>
                <w:i w:val="0"/>
                <w:iCs w:val="0"/>
                <w:color w:val="000000"/>
                <w:sz w:val="20"/>
                <w:szCs w:val="20"/>
                <w:u w:val="single"/>
                <w:lang w:val="en"/>
              </w:rPr>
            </w:pPr>
            <w:hyperlink r:id="rId16" w:history="1">
              <w:r w:rsidR="0079781A" w:rsidRPr="004034A7">
                <w:rPr>
                  <w:rStyle w:val="Hyperlink"/>
                  <w:rFonts w:asciiTheme="minorHAnsi" w:hAnsiTheme="minorHAnsi" w:cstheme="minorHAnsi"/>
                  <w:sz w:val="20"/>
                  <w:szCs w:val="20"/>
                  <w:lang w:val="en"/>
                </w:rPr>
                <w:t>karon.lewis@adph.state.al.us</w:t>
              </w:r>
            </w:hyperlink>
            <w:r w:rsidR="0079781A">
              <w:rPr>
                <w:rFonts w:asciiTheme="minorHAnsi" w:hAnsiTheme="minorHAnsi" w:cstheme="minorHAnsi"/>
                <w:color w:val="000000"/>
                <w:sz w:val="20"/>
                <w:szCs w:val="20"/>
                <w:u w:val="single"/>
                <w:lang w:val="en"/>
              </w:rPr>
              <w:t xml:space="preserve"> </w:t>
            </w:r>
          </w:p>
        </w:tc>
      </w:tr>
      <w:tr w:rsidR="0079781A" w:rsidRPr="00F46D82" w:rsidTr="0079781A">
        <w:tc>
          <w:tcPr>
            <w:tcW w:w="2178" w:type="dxa"/>
            <w:tcBorders>
              <w:bottom w:val="single" w:sz="8" w:space="0" w:color="auto"/>
            </w:tcBorders>
            <w:vAlign w:val="center"/>
          </w:tcPr>
          <w:p w:rsidR="0079781A" w:rsidRPr="000C092E" w:rsidRDefault="0079781A" w:rsidP="0079781A">
            <w:pPr>
              <w:pStyle w:val="PlainText"/>
              <w:rPr>
                <w:rFonts w:asciiTheme="minorHAnsi" w:hAnsiTheme="minorHAnsi" w:cstheme="minorHAnsi"/>
                <w:sz w:val="20"/>
                <w:szCs w:val="20"/>
              </w:rPr>
            </w:pPr>
            <w:r w:rsidRPr="000C092E">
              <w:rPr>
                <w:rFonts w:asciiTheme="minorHAnsi" w:hAnsiTheme="minorHAnsi" w:cstheme="minorHAnsi"/>
                <w:sz w:val="20"/>
                <w:szCs w:val="20"/>
              </w:rPr>
              <w:t xml:space="preserve">John A. </w:t>
            </w:r>
            <w:proofErr w:type="spellStart"/>
            <w:r w:rsidRPr="000C092E">
              <w:rPr>
                <w:rFonts w:asciiTheme="minorHAnsi" w:hAnsiTheme="minorHAnsi" w:cstheme="minorHAnsi"/>
                <w:sz w:val="20"/>
                <w:szCs w:val="20"/>
              </w:rPr>
              <w:t>Guarisco</w:t>
            </w:r>
            <w:proofErr w:type="spellEnd"/>
            <w:r w:rsidRPr="000C092E">
              <w:rPr>
                <w:rFonts w:asciiTheme="minorHAnsi" w:hAnsiTheme="minorHAnsi" w:cstheme="minorHAnsi"/>
                <w:sz w:val="20"/>
                <w:szCs w:val="20"/>
              </w:rPr>
              <w:t>, Ph.D.</w:t>
            </w:r>
          </w:p>
        </w:tc>
        <w:tc>
          <w:tcPr>
            <w:tcW w:w="2790" w:type="dxa"/>
            <w:tcBorders>
              <w:bottom w:val="single" w:sz="8" w:space="0" w:color="auto"/>
            </w:tcBorders>
            <w:vAlign w:val="center"/>
          </w:tcPr>
          <w:p w:rsidR="0079781A" w:rsidRPr="000C092E" w:rsidRDefault="0079781A" w:rsidP="0079781A">
            <w:pPr>
              <w:autoSpaceDE w:val="0"/>
              <w:autoSpaceDN w:val="0"/>
              <w:adjustRightInd w:val="0"/>
              <w:spacing w:after="0" w:line="240" w:lineRule="auto"/>
              <w:rPr>
                <w:rFonts w:asciiTheme="minorHAnsi" w:hAnsiTheme="minorHAnsi" w:cstheme="minorHAnsi"/>
                <w:color w:val="000000"/>
                <w:sz w:val="20"/>
                <w:szCs w:val="20"/>
              </w:rPr>
            </w:pPr>
            <w:r w:rsidRPr="000C092E">
              <w:rPr>
                <w:rFonts w:asciiTheme="minorHAnsi" w:hAnsiTheme="minorHAnsi" w:cstheme="minorHAnsi"/>
                <w:color w:val="000000"/>
                <w:sz w:val="20"/>
                <w:szCs w:val="20"/>
              </w:rPr>
              <w:t>Environmental Toxicology</w:t>
            </w:r>
          </w:p>
        </w:tc>
        <w:tc>
          <w:tcPr>
            <w:tcW w:w="1609" w:type="dxa"/>
            <w:tcBorders>
              <w:bottom w:val="single" w:sz="8" w:space="0" w:color="auto"/>
            </w:tcBorders>
            <w:vAlign w:val="center"/>
          </w:tcPr>
          <w:p w:rsidR="0079781A" w:rsidRPr="000C092E" w:rsidRDefault="0079781A" w:rsidP="0079781A">
            <w:pPr>
              <w:autoSpaceDE w:val="0"/>
              <w:autoSpaceDN w:val="0"/>
              <w:adjustRightInd w:val="0"/>
              <w:spacing w:after="0" w:line="240" w:lineRule="auto"/>
              <w:rPr>
                <w:rStyle w:val="Emphasis"/>
                <w:rFonts w:asciiTheme="minorHAnsi" w:hAnsiTheme="minorHAnsi" w:cstheme="minorHAnsi"/>
                <w:i w:val="0"/>
                <w:color w:val="000000"/>
                <w:sz w:val="20"/>
                <w:szCs w:val="20"/>
              </w:rPr>
            </w:pPr>
            <w:r w:rsidRPr="000C092E">
              <w:rPr>
                <w:rStyle w:val="Emphasis"/>
                <w:rFonts w:asciiTheme="minorHAnsi" w:hAnsiTheme="minorHAnsi" w:cstheme="minorHAnsi"/>
                <w:color w:val="000000"/>
                <w:sz w:val="20"/>
                <w:szCs w:val="20"/>
              </w:rPr>
              <w:t>(502) 852-5252</w:t>
            </w:r>
          </w:p>
        </w:tc>
        <w:tc>
          <w:tcPr>
            <w:tcW w:w="2999" w:type="dxa"/>
            <w:tcBorders>
              <w:bottom w:val="single" w:sz="8" w:space="0" w:color="auto"/>
            </w:tcBorders>
            <w:vAlign w:val="center"/>
          </w:tcPr>
          <w:p w:rsidR="0079781A" w:rsidRPr="000C092E" w:rsidRDefault="00A71F04" w:rsidP="0079781A">
            <w:pPr>
              <w:autoSpaceDE w:val="0"/>
              <w:autoSpaceDN w:val="0"/>
              <w:adjustRightInd w:val="0"/>
              <w:spacing w:after="0" w:line="240" w:lineRule="auto"/>
              <w:rPr>
                <w:rStyle w:val="Emphasis"/>
                <w:rFonts w:asciiTheme="minorHAnsi" w:hAnsiTheme="minorHAnsi" w:cstheme="minorHAnsi"/>
                <w:i w:val="0"/>
                <w:color w:val="000000"/>
                <w:sz w:val="20"/>
                <w:szCs w:val="20"/>
              </w:rPr>
            </w:pPr>
            <w:hyperlink r:id="rId17" w:history="1">
              <w:r w:rsidR="0079781A" w:rsidRPr="004034A7">
                <w:rPr>
                  <w:rStyle w:val="Hyperlink"/>
                  <w:rFonts w:asciiTheme="minorHAnsi" w:hAnsiTheme="minorHAnsi" w:cstheme="minorHAnsi"/>
                  <w:sz w:val="20"/>
                  <w:szCs w:val="20"/>
                </w:rPr>
                <w:t>john.guarisco@adph.state.al.us</w:t>
              </w:r>
            </w:hyperlink>
            <w:r w:rsidR="0079781A">
              <w:rPr>
                <w:rStyle w:val="Emphasis"/>
                <w:rFonts w:asciiTheme="minorHAnsi" w:hAnsiTheme="minorHAnsi" w:cstheme="minorHAnsi"/>
                <w:color w:val="000000"/>
                <w:sz w:val="20"/>
                <w:szCs w:val="20"/>
              </w:rPr>
              <w:t xml:space="preserve"> </w:t>
            </w:r>
          </w:p>
        </w:tc>
      </w:tr>
      <w:tr w:rsidR="0079781A" w:rsidRPr="00F46D82" w:rsidTr="0079781A">
        <w:trPr>
          <w:trHeight w:val="63"/>
        </w:trPr>
        <w:tc>
          <w:tcPr>
            <w:tcW w:w="9576" w:type="dxa"/>
            <w:gridSpan w:val="4"/>
            <w:shd w:val="clear" w:color="auto" w:fill="D9D9D9" w:themeFill="background1" w:themeFillShade="D9"/>
            <w:vAlign w:val="center"/>
          </w:tcPr>
          <w:p w:rsidR="0079781A" w:rsidRPr="000C092E" w:rsidRDefault="0079781A" w:rsidP="0079781A">
            <w:pPr>
              <w:autoSpaceDE w:val="0"/>
              <w:autoSpaceDN w:val="0"/>
              <w:adjustRightInd w:val="0"/>
              <w:spacing w:after="0" w:line="240" w:lineRule="auto"/>
              <w:rPr>
                <w:rStyle w:val="Emphasis"/>
                <w:rFonts w:asciiTheme="minorHAnsi" w:hAnsiTheme="minorHAnsi" w:cstheme="minorHAnsi"/>
                <w:i w:val="0"/>
                <w:color w:val="000000"/>
                <w:sz w:val="20"/>
                <w:szCs w:val="20"/>
              </w:rPr>
            </w:pPr>
            <w:r w:rsidRPr="000C092E">
              <w:rPr>
                <w:rFonts w:asciiTheme="minorHAnsi" w:hAnsiTheme="minorHAnsi" w:cstheme="minorHAnsi"/>
                <w:i/>
                <w:color w:val="000000"/>
                <w:sz w:val="20"/>
                <w:szCs w:val="20"/>
              </w:rPr>
              <w:t>ALABAMA DEPARTMENT OF CONSERVATION AND NATURAL RESOURCES</w:t>
            </w:r>
            <w:r>
              <w:rPr>
                <w:rFonts w:asciiTheme="minorHAnsi" w:hAnsiTheme="minorHAnsi" w:cstheme="minorHAnsi"/>
                <w:i/>
                <w:color w:val="000000"/>
                <w:sz w:val="20"/>
                <w:szCs w:val="20"/>
              </w:rPr>
              <w:t xml:space="preserve"> (ADCNR)</w:t>
            </w:r>
          </w:p>
        </w:tc>
      </w:tr>
      <w:tr w:rsidR="0079781A" w:rsidRPr="00F46D82" w:rsidTr="0079781A">
        <w:trPr>
          <w:trHeight w:val="63"/>
        </w:trPr>
        <w:tc>
          <w:tcPr>
            <w:tcW w:w="2178" w:type="dxa"/>
            <w:vAlign w:val="center"/>
          </w:tcPr>
          <w:p w:rsidR="0079781A" w:rsidRPr="000C092E" w:rsidRDefault="0079781A" w:rsidP="0079781A">
            <w:pPr>
              <w:autoSpaceDE w:val="0"/>
              <w:autoSpaceDN w:val="0"/>
              <w:adjustRightInd w:val="0"/>
              <w:spacing w:after="0" w:line="240" w:lineRule="auto"/>
              <w:rPr>
                <w:rFonts w:asciiTheme="minorHAnsi" w:hAnsiTheme="minorHAnsi" w:cstheme="minorHAnsi"/>
                <w:color w:val="000000"/>
                <w:sz w:val="20"/>
                <w:szCs w:val="20"/>
              </w:rPr>
            </w:pPr>
            <w:r w:rsidRPr="000C092E">
              <w:rPr>
                <w:rFonts w:asciiTheme="minorHAnsi" w:hAnsiTheme="minorHAnsi" w:cstheme="minorHAnsi"/>
                <w:color w:val="000000"/>
                <w:sz w:val="20"/>
                <w:szCs w:val="20"/>
              </w:rPr>
              <w:t>William C. Nichols</w:t>
            </w:r>
          </w:p>
        </w:tc>
        <w:tc>
          <w:tcPr>
            <w:tcW w:w="2790" w:type="dxa"/>
            <w:vAlign w:val="center"/>
          </w:tcPr>
          <w:p w:rsidR="0079781A" w:rsidRPr="000C092E" w:rsidRDefault="0079781A" w:rsidP="0079781A">
            <w:pPr>
              <w:autoSpaceDE w:val="0"/>
              <w:autoSpaceDN w:val="0"/>
              <w:adjustRightInd w:val="0"/>
              <w:spacing w:after="0" w:line="240" w:lineRule="auto"/>
              <w:rPr>
                <w:rFonts w:asciiTheme="minorHAnsi" w:hAnsiTheme="minorHAnsi" w:cstheme="minorHAnsi"/>
                <w:color w:val="000000"/>
                <w:sz w:val="20"/>
                <w:szCs w:val="20"/>
              </w:rPr>
            </w:pPr>
            <w:r w:rsidRPr="000C092E">
              <w:rPr>
                <w:rFonts w:asciiTheme="minorHAnsi" w:hAnsiTheme="minorHAnsi" w:cstheme="minorHAnsi"/>
                <w:color w:val="000000"/>
                <w:sz w:val="20"/>
                <w:szCs w:val="20"/>
              </w:rPr>
              <w:t>Division of Wildlife &amp; Freshwater Fisheries</w:t>
            </w:r>
          </w:p>
        </w:tc>
        <w:tc>
          <w:tcPr>
            <w:tcW w:w="1609" w:type="dxa"/>
            <w:vAlign w:val="center"/>
          </w:tcPr>
          <w:p w:rsidR="0079781A" w:rsidRPr="000C092E" w:rsidRDefault="0079781A" w:rsidP="0079781A">
            <w:pPr>
              <w:autoSpaceDE w:val="0"/>
              <w:autoSpaceDN w:val="0"/>
              <w:adjustRightInd w:val="0"/>
              <w:spacing w:after="0" w:line="240" w:lineRule="auto"/>
              <w:rPr>
                <w:rStyle w:val="Emphasis"/>
                <w:rFonts w:asciiTheme="minorHAnsi" w:hAnsiTheme="minorHAnsi" w:cstheme="minorHAnsi"/>
                <w:i w:val="0"/>
                <w:color w:val="000000"/>
                <w:sz w:val="20"/>
                <w:szCs w:val="20"/>
              </w:rPr>
            </w:pPr>
            <w:r w:rsidRPr="000C092E">
              <w:rPr>
                <w:rFonts w:asciiTheme="minorHAnsi" w:hAnsiTheme="minorHAnsi" w:cstheme="minorHAnsi"/>
                <w:color w:val="000000"/>
                <w:sz w:val="20"/>
                <w:szCs w:val="20"/>
              </w:rPr>
              <w:t>(334) 242-3883</w:t>
            </w:r>
          </w:p>
        </w:tc>
        <w:tc>
          <w:tcPr>
            <w:tcW w:w="2999" w:type="dxa"/>
            <w:vAlign w:val="center"/>
          </w:tcPr>
          <w:p w:rsidR="0079781A" w:rsidRPr="000C092E" w:rsidRDefault="00A71F04" w:rsidP="0079781A">
            <w:pPr>
              <w:autoSpaceDE w:val="0"/>
              <w:autoSpaceDN w:val="0"/>
              <w:adjustRightInd w:val="0"/>
              <w:spacing w:after="0" w:line="240" w:lineRule="auto"/>
              <w:rPr>
                <w:rStyle w:val="Emphasis"/>
                <w:rFonts w:asciiTheme="minorHAnsi" w:hAnsiTheme="minorHAnsi" w:cstheme="minorHAnsi"/>
                <w:i w:val="0"/>
                <w:color w:val="000000"/>
                <w:sz w:val="20"/>
                <w:szCs w:val="20"/>
              </w:rPr>
            </w:pPr>
            <w:hyperlink r:id="rId18" w:history="1">
              <w:r w:rsidR="0079781A" w:rsidRPr="000C092E">
                <w:rPr>
                  <w:rStyle w:val="Hyperlink"/>
                  <w:rFonts w:asciiTheme="minorHAnsi" w:hAnsiTheme="minorHAnsi" w:cstheme="minorHAnsi"/>
                  <w:sz w:val="20"/>
                  <w:szCs w:val="20"/>
                </w:rPr>
                <w:t>Nick.Nichols@dcnr.alabama.gov</w:t>
              </w:r>
            </w:hyperlink>
          </w:p>
        </w:tc>
      </w:tr>
      <w:tr w:rsidR="0079781A" w:rsidRPr="00F46D82" w:rsidTr="0079781A">
        <w:trPr>
          <w:trHeight w:val="63"/>
        </w:trPr>
        <w:tc>
          <w:tcPr>
            <w:tcW w:w="2178" w:type="dxa"/>
            <w:tcBorders>
              <w:bottom w:val="single" w:sz="8" w:space="0" w:color="auto"/>
            </w:tcBorders>
            <w:vAlign w:val="center"/>
          </w:tcPr>
          <w:p w:rsidR="0079781A" w:rsidRPr="000C092E" w:rsidRDefault="0079781A" w:rsidP="0079781A">
            <w:pPr>
              <w:autoSpaceDE w:val="0"/>
              <w:autoSpaceDN w:val="0"/>
              <w:adjustRightInd w:val="0"/>
              <w:spacing w:after="0" w:line="240" w:lineRule="auto"/>
              <w:rPr>
                <w:rFonts w:asciiTheme="minorHAnsi" w:hAnsiTheme="minorHAnsi" w:cstheme="minorHAnsi"/>
                <w:color w:val="000000"/>
                <w:sz w:val="20"/>
                <w:szCs w:val="20"/>
              </w:rPr>
            </w:pPr>
            <w:r w:rsidRPr="000C092E">
              <w:rPr>
                <w:rFonts w:asciiTheme="minorHAnsi" w:hAnsiTheme="minorHAnsi" w:cstheme="minorHAnsi"/>
                <w:color w:val="000000"/>
                <w:sz w:val="20"/>
                <w:szCs w:val="20"/>
              </w:rPr>
              <w:t>David Hayden</w:t>
            </w:r>
          </w:p>
        </w:tc>
        <w:tc>
          <w:tcPr>
            <w:tcW w:w="2790" w:type="dxa"/>
            <w:tcBorders>
              <w:bottom w:val="single" w:sz="8" w:space="0" w:color="auto"/>
            </w:tcBorders>
            <w:vAlign w:val="center"/>
          </w:tcPr>
          <w:p w:rsidR="0079781A" w:rsidRPr="000C092E" w:rsidRDefault="0079781A" w:rsidP="0079781A">
            <w:pPr>
              <w:autoSpaceDE w:val="0"/>
              <w:autoSpaceDN w:val="0"/>
              <w:adjustRightInd w:val="0"/>
              <w:spacing w:after="0" w:line="240" w:lineRule="auto"/>
              <w:rPr>
                <w:rFonts w:asciiTheme="minorHAnsi" w:hAnsiTheme="minorHAnsi" w:cstheme="minorHAnsi"/>
                <w:color w:val="000000"/>
                <w:sz w:val="20"/>
                <w:szCs w:val="20"/>
              </w:rPr>
            </w:pPr>
            <w:r w:rsidRPr="000C092E">
              <w:rPr>
                <w:rFonts w:asciiTheme="minorHAnsi" w:hAnsiTheme="minorHAnsi" w:cstheme="minorHAnsi"/>
                <w:color w:val="000000"/>
                <w:sz w:val="20"/>
                <w:szCs w:val="20"/>
              </w:rPr>
              <w:t>Division of Wildlife &amp; Freshwater Fisheries</w:t>
            </w:r>
          </w:p>
        </w:tc>
        <w:tc>
          <w:tcPr>
            <w:tcW w:w="1609" w:type="dxa"/>
            <w:tcBorders>
              <w:bottom w:val="single" w:sz="8" w:space="0" w:color="auto"/>
            </w:tcBorders>
            <w:vAlign w:val="center"/>
          </w:tcPr>
          <w:p w:rsidR="0079781A" w:rsidRPr="005C1EF0" w:rsidRDefault="0079781A" w:rsidP="0079781A">
            <w:pPr>
              <w:autoSpaceDE w:val="0"/>
              <w:autoSpaceDN w:val="0"/>
              <w:adjustRightInd w:val="0"/>
              <w:spacing w:after="0" w:line="240" w:lineRule="auto"/>
              <w:rPr>
                <w:rStyle w:val="Emphasis"/>
                <w:rFonts w:asciiTheme="minorHAnsi" w:hAnsiTheme="minorHAnsi" w:cstheme="minorHAnsi"/>
                <w:b/>
                <w:i w:val="0"/>
                <w:color w:val="000000"/>
                <w:sz w:val="20"/>
                <w:szCs w:val="20"/>
              </w:rPr>
            </w:pPr>
            <w:r w:rsidRPr="005C1EF0">
              <w:rPr>
                <w:rStyle w:val="Strong"/>
                <w:rFonts w:asciiTheme="minorHAnsi" w:hAnsiTheme="minorHAnsi" w:cstheme="minorHAnsi"/>
                <w:b w:val="0"/>
                <w:sz w:val="20"/>
                <w:szCs w:val="20"/>
              </w:rPr>
              <w:t>(334)242-3469</w:t>
            </w:r>
          </w:p>
        </w:tc>
        <w:tc>
          <w:tcPr>
            <w:tcW w:w="2999" w:type="dxa"/>
            <w:tcBorders>
              <w:bottom w:val="single" w:sz="8" w:space="0" w:color="auto"/>
            </w:tcBorders>
            <w:vAlign w:val="center"/>
          </w:tcPr>
          <w:p w:rsidR="0079781A" w:rsidRPr="000C092E" w:rsidRDefault="00A71F04" w:rsidP="0079781A">
            <w:pPr>
              <w:autoSpaceDE w:val="0"/>
              <w:autoSpaceDN w:val="0"/>
              <w:adjustRightInd w:val="0"/>
              <w:spacing w:after="0" w:line="240" w:lineRule="auto"/>
              <w:rPr>
                <w:rStyle w:val="Emphasis"/>
                <w:rFonts w:asciiTheme="minorHAnsi" w:hAnsiTheme="minorHAnsi" w:cstheme="minorHAnsi"/>
                <w:i w:val="0"/>
                <w:color w:val="000000"/>
                <w:sz w:val="20"/>
                <w:szCs w:val="20"/>
              </w:rPr>
            </w:pPr>
            <w:hyperlink r:id="rId19" w:history="1">
              <w:r w:rsidR="0079781A" w:rsidRPr="000C092E">
                <w:rPr>
                  <w:rStyle w:val="Hyperlink"/>
                  <w:rFonts w:asciiTheme="minorHAnsi" w:hAnsiTheme="minorHAnsi" w:cstheme="minorHAnsi"/>
                  <w:sz w:val="20"/>
                  <w:szCs w:val="20"/>
                  <w:lang w:val="en"/>
                </w:rPr>
                <w:t>David.Hayden@dcnr.alabama.gov</w:t>
              </w:r>
            </w:hyperlink>
          </w:p>
        </w:tc>
      </w:tr>
      <w:tr w:rsidR="0079781A" w:rsidRPr="00F46D82" w:rsidTr="0079781A">
        <w:trPr>
          <w:trHeight w:val="63"/>
        </w:trPr>
        <w:tc>
          <w:tcPr>
            <w:tcW w:w="9576" w:type="dxa"/>
            <w:gridSpan w:val="4"/>
            <w:shd w:val="clear" w:color="auto" w:fill="D9D9D9" w:themeFill="background1" w:themeFillShade="D9"/>
            <w:vAlign w:val="center"/>
          </w:tcPr>
          <w:p w:rsidR="0079781A" w:rsidRPr="006A47AD" w:rsidRDefault="0079781A" w:rsidP="0079781A">
            <w:pPr>
              <w:autoSpaceDE w:val="0"/>
              <w:autoSpaceDN w:val="0"/>
              <w:adjustRightInd w:val="0"/>
              <w:spacing w:after="0" w:line="240" w:lineRule="auto"/>
              <w:rPr>
                <w:rStyle w:val="Emphasis"/>
                <w:rFonts w:asciiTheme="minorHAnsi" w:hAnsiTheme="minorHAnsi" w:cstheme="minorHAnsi"/>
                <w:color w:val="000000"/>
                <w:sz w:val="20"/>
                <w:szCs w:val="20"/>
              </w:rPr>
            </w:pPr>
            <w:r>
              <w:rPr>
                <w:rStyle w:val="Emphasis"/>
                <w:rFonts w:asciiTheme="minorHAnsi" w:hAnsiTheme="minorHAnsi" w:cstheme="minorHAnsi"/>
                <w:color w:val="000000"/>
                <w:sz w:val="20"/>
                <w:szCs w:val="20"/>
              </w:rPr>
              <w:t>ALABAMA DEPARTMENT OF ENVIRONMENTAL MANAGEMENT (ADEM)</w:t>
            </w:r>
          </w:p>
        </w:tc>
      </w:tr>
      <w:tr w:rsidR="0079781A" w:rsidRPr="00F46D82" w:rsidTr="0079781A">
        <w:trPr>
          <w:trHeight w:val="63"/>
        </w:trPr>
        <w:tc>
          <w:tcPr>
            <w:tcW w:w="2178" w:type="dxa"/>
            <w:vAlign w:val="center"/>
          </w:tcPr>
          <w:p w:rsidR="0079781A" w:rsidRPr="006A47AD" w:rsidRDefault="0079781A" w:rsidP="0079781A">
            <w:pPr>
              <w:autoSpaceDE w:val="0"/>
              <w:autoSpaceDN w:val="0"/>
              <w:adjustRightInd w:val="0"/>
              <w:spacing w:after="0" w:line="240" w:lineRule="auto"/>
              <w:rPr>
                <w:rFonts w:asciiTheme="minorHAnsi" w:hAnsiTheme="minorHAnsi" w:cstheme="minorHAnsi"/>
                <w:color w:val="000000"/>
                <w:sz w:val="20"/>
                <w:szCs w:val="20"/>
              </w:rPr>
            </w:pPr>
            <w:r w:rsidRPr="006A47AD">
              <w:rPr>
                <w:rFonts w:asciiTheme="minorHAnsi" w:hAnsiTheme="minorHAnsi" w:cstheme="minorHAnsi"/>
                <w:color w:val="000000"/>
                <w:sz w:val="20"/>
                <w:szCs w:val="20"/>
              </w:rPr>
              <w:t>Michael Len</w:t>
            </w:r>
          </w:p>
        </w:tc>
        <w:tc>
          <w:tcPr>
            <w:tcW w:w="2790" w:type="dxa"/>
            <w:vAlign w:val="center"/>
          </w:tcPr>
          <w:p w:rsidR="0079781A" w:rsidRPr="006A47AD" w:rsidRDefault="0079781A" w:rsidP="0079781A">
            <w:pPr>
              <w:autoSpaceDE w:val="0"/>
              <w:autoSpaceDN w:val="0"/>
              <w:adjustRightInd w:val="0"/>
              <w:spacing w:after="0" w:line="240" w:lineRule="auto"/>
              <w:rPr>
                <w:rFonts w:asciiTheme="minorHAnsi" w:hAnsiTheme="minorHAnsi" w:cstheme="minorHAnsi"/>
                <w:color w:val="000000"/>
                <w:sz w:val="20"/>
                <w:szCs w:val="20"/>
              </w:rPr>
            </w:pPr>
            <w:r w:rsidRPr="006A47AD">
              <w:rPr>
                <w:rFonts w:asciiTheme="minorHAnsi" w:hAnsiTheme="minorHAnsi" w:cstheme="minorHAnsi"/>
                <w:color w:val="000000"/>
                <w:sz w:val="20"/>
                <w:szCs w:val="20"/>
              </w:rPr>
              <w:t>Aquatic Assessment Unit</w:t>
            </w:r>
          </w:p>
        </w:tc>
        <w:tc>
          <w:tcPr>
            <w:tcW w:w="1609" w:type="dxa"/>
            <w:vAlign w:val="center"/>
          </w:tcPr>
          <w:p w:rsidR="0079781A" w:rsidRPr="006A47AD" w:rsidRDefault="0079781A" w:rsidP="0079781A">
            <w:pPr>
              <w:autoSpaceDE w:val="0"/>
              <w:autoSpaceDN w:val="0"/>
              <w:adjustRightInd w:val="0"/>
              <w:spacing w:after="0" w:line="240" w:lineRule="auto"/>
              <w:rPr>
                <w:rStyle w:val="Emphasis"/>
                <w:rFonts w:asciiTheme="minorHAnsi" w:hAnsiTheme="minorHAnsi" w:cstheme="minorHAnsi"/>
                <w:i w:val="0"/>
                <w:color w:val="000000"/>
                <w:sz w:val="20"/>
                <w:szCs w:val="20"/>
              </w:rPr>
            </w:pPr>
            <w:r w:rsidRPr="006A47AD">
              <w:rPr>
                <w:rFonts w:asciiTheme="minorHAnsi" w:hAnsiTheme="minorHAnsi" w:cstheme="minorHAnsi"/>
                <w:sz w:val="20"/>
                <w:szCs w:val="20"/>
              </w:rPr>
              <w:t>(334) 260-2787</w:t>
            </w:r>
          </w:p>
        </w:tc>
        <w:tc>
          <w:tcPr>
            <w:tcW w:w="2999" w:type="dxa"/>
            <w:vAlign w:val="center"/>
          </w:tcPr>
          <w:p w:rsidR="0079781A" w:rsidRPr="006A47AD" w:rsidRDefault="00A71F04" w:rsidP="0079781A">
            <w:pPr>
              <w:spacing w:after="0"/>
              <w:rPr>
                <w:rStyle w:val="Emphasis"/>
                <w:rFonts w:asciiTheme="minorHAnsi" w:hAnsiTheme="minorHAnsi" w:cstheme="minorHAnsi"/>
                <w:i w:val="0"/>
                <w:iCs w:val="0"/>
                <w:sz w:val="20"/>
                <w:szCs w:val="20"/>
              </w:rPr>
            </w:pPr>
            <w:hyperlink r:id="rId20" w:history="1">
              <w:r w:rsidR="0079781A" w:rsidRPr="006A47AD">
                <w:rPr>
                  <w:rStyle w:val="Hyperlink"/>
                  <w:rFonts w:asciiTheme="minorHAnsi" w:hAnsiTheme="minorHAnsi" w:cstheme="minorHAnsi"/>
                  <w:sz w:val="20"/>
                  <w:szCs w:val="20"/>
                </w:rPr>
                <w:t>mlen@adem.state.al.us</w:t>
              </w:r>
            </w:hyperlink>
          </w:p>
        </w:tc>
      </w:tr>
    </w:tbl>
    <w:p w:rsidR="0089630F" w:rsidRPr="003C4F3A" w:rsidRDefault="0089630F" w:rsidP="00621905">
      <w:pPr>
        <w:autoSpaceDE w:val="0"/>
        <w:autoSpaceDN w:val="0"/>
        <w:adjustRightInd w:val="0"/>
        <w:spacing w:after="0" w:line="240" w:lineRule="auto"/>
        <w:contextualSpacing/>
        <w:rPr>
          <w:rFonts w:cs="Calibri"/>
          <w:sz w:val="24"/>
          <w:szCs w:val="24"/>
          <w:u w:val="single"/>
          <w:lang w:val="en"/>
        </w:rPr>
      </w:pPr>
    </w:p>
    <w:p w:rsidR="005D723D" w:rsidRPr="003C4F3A" w:rsidRDefault="005D723D" w:rsidP="00EF6D8A">
      <w:pPr>
        <w:autoSpaceDE w:val="0"/>
        <w:autoSpaceDN w:val="0"/>
        <w:adjustRightInd w:val="0"/>
        <w:spacing w:after="0" w:line="240" w:lineRule="auto"/>
        <w:contextualSpacing/>
        <w:rPr>
          <w:rFonts w:eastAsia="Times New Roman" w:cs="Calibri"/>
          <w:bCs/>
          <w:sz w:val="24"/>
          <w:szCs w:val="24"/>
        </w:rPr>
      </w:pPr>
    </w:p>
    <w:p w:rsidR="00E926CA" w:rsidRPr="003C4F3A" w:rsidRDefault="007E7A2C" w:rsidP="0044378C">
      <w:pPr>
        <w:autoSpaceDE w:val="0"/>
        <w:autoSpaceDN w:val="0"/>
        <w:adjustRightInd w:val="0"/>
        <w:spacing w:after="0" w:line="240" w:lineRule="auto"/>
        <w:contextualSpacing/>
        <w:rPr>
          <w:rFonts w:cs="Calibri"/>
          <w:b/>
          <w:color w:val="4F81BD"/>
          <w:sz w:val="24"/>
          <w:szCs w:val="24"/>
        </w:rPr>
      </w:pPr>
      <w:r w:rsidRPr="003C4F3A">
        <w:rPr>
          <w:rFonts w:cs="Calibri"/>
          <w:b/>
          <w:color w:val="4F81BD"/>
          <w:sz w:val="24"/>
          <w:szCs w:val="24"/>
        </w:rPr>
        <w:t xml:space="preserve">B.5.4 </w:t>
      </w:r>
      <w:r w:rsidRPr="003C4F3A">
        <w:rPr>
          <w:rFonts w:cs="Calibri"/>
          <w:b/>
          <w:color w:val="4F81BD"/>
          <w:sz w:val="24"/>
          <w:szCs w:val="24"/>
        </w:rPr>
        <w:tab/>
        <w:t>Data Management</w:t>
      </w:r>
    </w:p>
    <w:p w:rsidR="005E2F75" w:rsidRDefault="005E2F75" w:rsidP="00986D7C">
      <w:pPr>
        <w:autoSpaceDE w:val="0"/>
        <w:autoSpaceDN w:val="0"/>
        <w:adjustRightInd w:val="0"/>
        <w:spacing w:after="0" w:line="240" w:lineRule="auto"/>
        <w:contextualSpacing/>
        <w:rPr>
          <w:rFonts w:cs="Calibri"/>
          <w:b/>
          <w:color w:val="4F81BD"/>
          <w:sz w:val="24"/>
          <w:szCs w:val="24"/>
        </w:rPr>
      </w:pPr>
    </w:p>
    <w:p w:rsidR="005C05D6" w:rsidRPr="003B6350" w:rsidRDefault="009D55C6" w:rsidP="00921444">
      <w:pPr>
        <w:pStyle w:val="PlainText"/>
        <w:jc w:val="both"/>
        <w:rPr>
          <w:rFonts w:asciiTheme="minorHAnsi" w:eastAsia="Times New Roman" w:hAnsiTheme="minorHAnsi" w:cstheme="minorHAnsi"/>
          <w:color w:val="000000"/>
          <w:sz w:val="24"/>
          <w:szCs w:val="24"/>
        </w:rPr>
      </w:pPr>
      <w:r w:rsidRPr="003B6350">
        <w:rPr>
          <w:rFonts w:asciiTheme="minorHAnsi" w:eastAsia="MS Mincho" w:hAnsiTheme="minorHAnsi" w:cstheme="minorHAnsi"/>
          <w:sz w:val="24"/>
          <w:szCs w:val="24"/>
        </w:rPr>
        <w:t xml:space="preserve">UAB offers its established information and research technology services through its Survey Research Unit (SRU – see </w:t>
      </w:r>
      <w:hyperlink r:id="rId21" w:history="1">
        <w:r w:rsidRPr="003B6350">
          <w:rPr>
            <w:rStyle w:val="Hyperlink"/>
            <w:rFonts w:asciiTheme="minorHAnsi" w:eastAsia="MS Mincho" w:hAnsiTheme="minorHAnsi" w:cstheme="minorHAnsi"/>
            <w:sz w:val="24"/>
            <w:szCs w:val="24"/>
          </w:rPr>
          <w:t>http://www.uab.edu/cores/survey-research-unit</w:t>
        </w:r>
      </w:hyperlink>
      <w:r w:rsidRPr="003B6350">
        <w:rPr>
          <w:rFonts w:asciiTheme="minorHAnsi" w:eastAsia="MS Mincho" w:hAnsiTheme="minorHAnsi" w:cstheme="minorHAnsi"/>
          <w:sz w:val="24"/>
          <w:szCs w:val="24"/>
        </w:rPr>
        <w:t>).</w:t>
      </w:r>
      <w:r w:rsidR="005C05D6" w:rsidRPr="004A0C1E">
        <w:rPr>
          <w:rFonts w:asciiTheme="minorHAnsi" w:eastAsia="MS Mincho" w:hAnsiTheme="minorHAnsi" w:cstheme="minorHAnsi"/>
          <w:sz w:val="24"/>
          <w:szCs w:val="24"/>
        </w:rPr>
        <w:t xml:space="preserve"> </w:t>
      </w:r>
      <w:proofErr w:type="gramStart"/>
      <w:r w:rsidR="005C05D6" w:rsidRPr="004A0C1E">
        <w:rPr>
          <w:rFonts w:asciiTheme="minorHAnsi" w:hAnsiTheme="minorHAnsi" w:cs="Arial"/>
          <w:color w:val="000000"/>
          <w:sz w:val="24"/>
          <w:szCs w:val="24"/>
        </w:rPr>
        <w:t>A formally designated UAB Service Center, the SRU works with university investigators as well as state and national groups.</w:t>
      </w:r>
      <w:proofErr w:type="gramEnd"/>
      <w:r w:rsidR="005C05D6" w:rsidRPr="004A0C1E">
        <w:rPr>
          <w:rFonts w:asciiTheme="minorHAnsi" w:hAnsiTheme="minorHAnsi" w:cs="Arial"/>
          <w:color w:val="000000"/>
          <w:sz w:val="24"/>
          <w:szCs w:val="24"/>
        </w:rPr>
        <w:t xml:space="preserve"> Services include technical assistance in survey design and</w:t>
      </w:r>
      <w:proofErr w:type="gramStart"/>
      <w:r w:rsidR="005C05D6" w:rsidRPr="004A0C1E">
        <w:rPr>
          <w:rFonts w:asciiTheme="minorHAnsi" w:hAnsiTheme="minorHAnsi" w:cs="Arial"/>
          <w:color w:val="000000"/>
          <w:sz w:val="24"/>
          <w:szCs w:val="24"/>
        </w:rPr>
        <w:t>  sampling</w:t>
      </w:r>
      <w:proofErr w:type="gramEnd"/>
      <w:r w:rsidR="005C05D6" w:rsidRPr="004A0C1E">
        <w:rPr>
          <w:rFonts w:asciiTheme="minorHAnsi" w:hAnsiTheme="minorHAnsi" w:cs="Arial"/>
          <w:color w:val="000000"/>
          <w:sz w:val="24"/>
          <w:szCs w:val="24"/>
        </w:rPr>
        <w:t xml:space="preserve"> methods, provision of computer assisted telephone survey  interviews, and field survey research. With 40 CATI stations, four</w:t>
      </w:r>
      <w:proofErr w:type="gramStart"/>
      <w:r w:rsidR="005C05D6" w:rsidRPr="004A0C1E">
        <w:rPr>
          <w:rFonts w:asciiTheme="minorHAnsi" w:hAnsiTheme="minorHAnsi" w:cs="Arial"/>
          <w:color w:val="000000"/>
          <w:sz w:val="24"/>
          <w:szCs w:val="24"/>
        </w:rPr>
        <w:t>  supervisor</w:t>
      </w:r>
      <w:proofErr w:type="gramEnd"/>
      <w:r w:rsidR="005C05D6" w:rsidRPr="004A0C1E">
        <w:rPr>
          <w:rFonts w:asciiTheme="minorHAnsi" w:hAnsiTheme="minorHAnsi" w:cs="Arial"/>
          <w:color w:val="000000"/>
          <w:sz w:val="24"/>
          <w:szCs w:val="24"/>
        </w:rPr>
        <w:t xml:space="preserve"> stations and a trained IRB-certified, staff of 80-100, at any given time, the SRU is equipped to conduct large-scale computer  assisted telephone surveys. Supervisor stations have the ability to</w:t>
      </w:r>
      <w:proofErr w:type="gramStart"/>
      <w:r w:rsidR="005C05D6" w:rsidRPr="004A0C1E">
        <w:rPr>
          <w:rFonts w:asciiTheme="minorHAnsi" w:hAnsiTheme="minorHAnsi" w:cs="Arial"/>
          <w:color w:val="000000"/>
          <w:sz w:val="24"/>
          <w:szCs w:val="24"/>
        </w:rPr>
        <w:t>  monitor</w:t>
      </w:r>
      <w:proofErr w:type="gramEnd"/>
      <w:r w:rsidR="005C05D6" w:rsidRPr="004A0C1E">
        <w:rPr>
          <w:rFonts w:asciiTheme="minorHAnsi" w:hAnsiTheme="minorHAnsi" w:cs="Arial"/>
          <w:color w:val="000000"/>
          <w:sz w:val="24"/>
          <w:szCs w:val="24"/>
        </w:rPr>
        <w:t xml:space="preserve"> telephone calls and view the computer entries made by the  interviewers for quality control.  All stations are connected to the main server which houses the survey software (</w:t>
      </w:r>
      <w:proofErr w:type="spellStart"/>
      <w:r w:rsidR="005C05D6" w:rsidRPr="004A0C1E">
        <w:rPr>
          <w:rFonts w:asciiTheme="minorHAnsi" w:hAnsiTheme="minorHAnsi" w:cs="Arial"/>
          <w:color w:val="000000"/>
          <w:sz w:val="24"/>
          <w:szCs w:val="24"/>
        </w:rPr>
        <w:t>Sawtooth</w:t>
      </w:r>
      <w:proofErr w:type="spellEnd"/>
      <w:r w:rsidR="005C05D6" w:rsidRPr="004A0C1E">
        <w:rPr>
          <w:rFonts w:asciiTheme="minorHAnsi" w:hAnsiTheme="minorHAnsi" w:cs="Arial"/>
          <w:color w:val="000000"/>
          <w:sz w:val="24"/>
          <w:szCs w:val="24"/>
        </w:rPr>
        <w:t>/Ci3) and CATI</w:t>
      </w:r>
      <w:proofErr w:type="gramStart"/>
      <w:r w:rsidR="005C05D6" w:rsidRPr="004A0C1E">
        <w:rPr>
          <w:rFonts w:asciiTheme="minorHAnsi" w:hAnsiTheme="minorHAnsi" w:cs="Arial"/>
          <w:color w:val="000000"/>
          <w:sz w:val="24"/>
          <w:szCs w:val="24"/>
        </w:rPr>
        <w:t>  system</w:t>
      </w:r>
      <w:proofErr w:type="gramEnd"/>
      <w:r w:rsidR="005C05D6" w:rsidRPr="004A0C1E">
        <w:rPr>
          <w:rFonts w:asciiTheme="minorHAnsi" w:hAnsiTheme="minorHAnsi" w:cs="Arial"/>
          <w:color w:val="000000"/>
          <w:sz w:val="24"/>
          <w:szCs w:val="24"/>
        </w:rPr>
        <w:t xml:space="preserve">. All stations have back-up power supplies and are password-protected. The SRU also provides services for completing surveys in-person, by mail or fax and offers data entry services. A state-of-the-art system is in-place </w:t>
      </w:r>
      <w:r w:rsidR="004A0C1E">
        <w:rPr>
          <w:rFonts w:asciiTheme="minorHAnsi" w:hAnsiTheme="minorHAnsi" w:cs="Arial"/>
          <w:color w:val="000000"/>
          <w:sz w:val="24"/>
          <w:szCs w:val="24"/>
        </w:rPr>
        <w:t>to conduct web based surveys</w:t>
      </w:r>
      <w:r w:rsidR="005C05D6" w:rsidRPr="004A0C1E">
        <w:rPr>
          <w:rFonts w:asciiTheme="minorHAnsi" w:hAnsiTheme="minorHAnsi" w:cs="Arial"/>
          <w:color w:val="000000"/>
          <w:sz w:val="24"/>
          <w:szCs w:val="24"/>
        </w:rPr>
        <w:t xml:space="preserve"> and to create survey instruments that can be scanned. In </w:t>
      </w:r>
      <w:r w:rsidR="005C05D6" w:rsidRPr="004A0C1E">
        <w:rPr>
          <w:rFonts w:asciiTheme="minorHAnsi" w:hAnsiTheme="minorHAnsi" w:cs="Arial"/>
          <w:color w:val="000000"/>
          <w:sz w:val="24"/>
          <w:szCs w:val="24"/>
        </w:rPr>
        <w:lastRenderedPageBreak/>
        <w:t>addition, salaried positions for doctoral students have been established to assist users with data analysis and manuscript preparation.</w:t>
      </w:r>
    </w:p>
    <w:p w:rsidR="00642C28" w:rsidRDefault="00642C28" w:rsidP="00921444">
      <w:pPr>
        <w:pStyle w:val="PlainText"/>
        <w:jc w:val="both"/>
        <w:rPr>
          <w:rFonts w:asciiTheme="minorHAnsi" w:eastAsia="Times New Roman" w:hAnsiTheme="minorHAnsi" w:cstheme="minorHAnsi"/>
          <w:color w:val="000000"/>
          <w:sz w:val="24"/>
          <w:szCs w:val="24"/>
        </w:rPr>
      </w:pPr>
    </w:p>
    <w:tbl>
      <w:tblPr>
        <w:tblW w:w="0" w:type="auto"/>
        <w:tblBorders>
          <w:top w:val="single" w:sz="8" w:space="0" w:color="auto"/>
          <w:bottom w:val="single" w:sz="8" w:space="0" w:color="auto"/>
          <w:insideH w:val="single" w:sz="8" w:space="0" w:color="auto"/>
        </w:tblBorders>
        <w:tblLook w:val="04A0" w:firstRow="1" w:lastRow="0" w:firstColumn="1" w:lastColumn="0" w:noHBand="0" w:noVBand="1"/>
      </w:tblPr>
      <w:tblGrid>
        <w:gridCol w:w="2178"/>
        <w:gridCol w:w="2790"/>
        <w:gridCol w:w="1609"/>
        <w:gridCol w:w="2999"/>
      </w:tblGrid>
      <w:tr w:rsidR="00642C28" w:rsidRPr="00F46D82" w:rsidTr="00642C28">
        <w:tc>
          <w:tcPr>
            <w:tcW w:w="2178" w:type="dxa"/>
            <w:tcBorders>
              <w:bottom w:val="single" w:sz="8" w:space="0" w:color="auto"/>
            </w:tcBorders>
          </w:tcPr>
          <w:p w:rsidR="00642C28" w:rsidRPr="00F46D82" w:rsidRDefault="00642C28" w:rsidP="00642C28">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Name</w:t>
            </w:r>
          </w:p>
        </w:tc>
        <w:tc>
          <w:tcPr>
            <w:tcW w:w="2790" w:type="dxa"/>
            <w:tcBorders>
              <w:bottom w:val="single" w:sz="8" w:space="0" w:color="auto"/>
            </w:tcBorders>
          </w:tcPr>
          <w:p w:rsidR="00642C28" w:rsidRPr="00F46D82" w:rsidRDefault="00642C28" w:rsidP="00642C28">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Title</w:t>
            </w:r>
          </w:p>
        </w:tc>
        <w:tc>
          <w:tcPr>
            <w:tcW w:w="1609" w:type="dxa"/>
            <w:tcBorders>
              <w:bottom w:val="single" w:sz="8" w:space="0" w:color="auto"/>
            </w:tcBorders>
          </w:tcPr>
          <w:p w:rsidR="00642C28" w:rsidRPr="00F46D82" w:rsidRDefault="00642C28" w:rsidP="00642C28">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Phone</w:t>
            </w:r>
          </w:p>
        </w:tc>
        <w:tc>
          <w:tcPr>
            <w:tcW w:w="2999" w:type="dxa"/>
            <w:tcBorders>
              <w:bottom w:val="single" w:sz="8" w:space="0" w:color="auto"/>
            </w:tcBorders>
          </w:tcPr>
          <w:p w:rsidR="00642C28" w:rsidRPr="00F46D82" w:rsidRDefault="00642C28" w:rsidP="00642C28">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Email</w:t>
            </w:r>
          </w:p>
        </w:tc>
      </w:tr>
      <w:tr w:rsidR="00642C28" w:rsidRPr="00F46D82" w:rsidTr="00642C28">
        <w:tc>
          <w:tcPr>
            <w:tcW w:w="9576" w:type="dxa"/>
            <w:gridSpan w:val="4"/>
            <w:shd w:val="clear" w:color="auto" w:fill="D9D9D9" w:themeFill="background1" w:themeFillShade="D9"/>
            <w:vAlign w:val="center"/>
          </w:tcPr>
          <w:p w:rsidR="00642C28" w:rsidRPr="00642C28" w:rsidRDefault="005C05D6" w:rsidP="00642C28">
            <w:pPr>
              <w:autoSpaceDE w:val="0"/>
              <w:autoSpaceDN w:val="0"/>
              <w:adjustRightInd w:val="0"/>
              <w:spacing w:after="0" w:line="240" w:lineRule="auto"/>
              <w:rPr>
                <w:rFonts w:asciiTheme="minorHAnsi" w:hAnsiTheme="minorHAnsi" w:cstheme="minorHAnsi"/>
                <w:i/>
                <w:color w:val="000000"/>
                <w:sz w:val="20"/>
                <w:szCs w:val="20"/>
                <w:lang w:val="en"/>
              </w:rPr>
            </w:pPr>
            <w:r>
              <w:rPr>
                <w:rFonts w:asciiTheme="minorHAnsi" w:hAnsiTheme="minorHAnsi" w:cstheme="minorHAnsi"/>
                <w:i/>
                <w:color w:val="000000"/>
                <w:sz w:val="20"/>
                <w:szCs w:val="20"/>
                <w:lang w:val="en"/>
              </w:rPr>
              <w:t>DATA MANAGEMENT</w:t>
            </w:r>
          </w:p>
        </w:tc>
      </w:tr>
      <w:tr w:rsidR="00642C28" w:rsidRPr="00F46D82" w:rsidTr="00642C28">
        <w:tc>
          <w:tcPr>
            <w:tcW w:w="2178" w:type="dxa"/>
            <w:vAlign w:val="center"/>
          </w:tcPr>
          <w:p w:rsidR="00642C28" w:rsidRPr="00642C28" w:rsidRDefault="00642C28" w:rsidP="00642C28">
            <w:pPr>
              <w:autoSpaceDE w:val="0"/>
              <w:autoSpaceDN w:val="0"/>
              <w:adjustRightInd w:val="0"/>
              <w:spacing w:after="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Andrew Rucks, PhD</w:t>
            </w:r>
          </w:p>
        </w:tc>
        <w:tc>
          <w:tcPr>
            <w:tcW w:w="2790" w:type="dxa"/>
            <w:vAlign w:val="center"/>
          </w:tcPr>
          <w:p w:rsidR="00642C28" w:rsidRPr="005C05D6" w:rsidRDefault="005C05D6" w:rsidP="00642C28">
            <w:pPr>
              <w:autoSpaceDE w:val="0"/>
              <w:autoSpaceDN w:val="0"/>
              <w:adjustRightInd w:val="0"/>
              <w:spacing w:after="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UAB Survey Research Unit</w:t>
            </w:r>
            <w:r w:rsidR="003B6350">
              <w:rPr>
                <w:rFonts w:asciiTheme="minorHAnsi" w:hAnsiTheme="minorHAnsi" w:cstheme="minorHAnsi"/>
                <w:color w:val="000000"/>
                <w:sz w:val="20"/>
                <w:szCs w:val="20"/>
              </w:rPr>
              <w:t xml:space="preserve"> - Director</w:t>
            </w:r>
          </w:p>
        </w:tc>
        <w:tc>
          <w:tcPr>
            <w:tcW w:w="1609" w:type="dxa"/>
            <w:vAlign w:val="center"/>
          </w:tcPr>
          <w:p w:rsidR="00642C28" w:rsidRPr="00642C28" w:rsidRDefault="00642C28" w:rsidP="00642C28">
            <w:pPr>
              <w:autoSpaceDE w:val="0"/>
              <w:autoSpaceDN w:val="0"/>
              <w:adjustRightInd w:val="0"/>
              <w:spacing w:after="0" w:line="240" w:lineRule="auto"/>
              <w:rPr>
                <w:rStyle w:val="Emphasis"/>
                <w:rFonts w:asciiTheme="minorHAnsi" w:hAnsiTheme="minorHAnsi" w:cstheme="minorHAnsi"/>
                <w:i w:val="0"/>
                <w:color w:val="000000"/>
                <w:sz w:val="20"/>
                <w:szCs w:val="20"/>
              </w:rPr>
            </w:pPr>
            <w:r w:rsidRPr="004A0C1E">
              <w:rPr>
                <w:rFonts w:asciiTheme="minorHAnsi" w:hAnsiTheme="minorHAnsi" w:cs="Arial"/>
                <w:sz w:val="20"/>
                <w:szCs w:val="20"/>
              </w:rPr>
              <w:t>(205) 975-8967</w:t>
            </w:r>
          </w:p>
        </w:tc>
        <w:tc>
          <w:tcPr>
            <w:tcW w:w="2999" w:type="dxa"/>
            <w:vAlign w:val="center"/>
          </w:tcPr>
          <w:p w:rsidR="00642C28" w:rsidRPr="004A0C1E" w:rsidRDefault="00642C28" w:rsidP="00642C28">
            <w:pPr>
              <w:autoSpaceDE w:val="0"/>
              <w:autoSpaceDN w:val="0"/>
              <w:adjustRightInd w:val="0"/>
              <w:spacing w:after="0" w:line="240" w:lineRule="auto"/>
              <w:rPr>
                <w:rStyle w:val="Emphasis"/>
                <w:rFonts w:asciiTheme="minorHAnsi" w:hAnsiTheme="minorHAnsi" w:cs="Calibri"/>
                <w:i w:val="0"/>
                <w:iCs w:val="0"/>
                <w:sz w:val="20"/>
                <w:szCs w:val="20"/>
              </w:rPr>
            </w:pPr>
            <w:r w:rsidRPr="004A0C1E">
              <w:rPr>
                <w:rFonts w:asciiTheme="minorHAnsi" w:hAnsiTheme="minorHAnsi"/>
                <w:sz w:val="20"/>
                <w:szCs w:val="20"/>
              </w:rPr>
              <w:t>ARucks@ms.soph.uab.edu</w:t>
            </w:r>
          </w:p>
        </w:tc>
      </w:tr>
    </w:tbl>
    <w:p w:rsidR="00642C28" w:rsidRPr="00921444" w:rsidRDefault="00642C28" w:rsidP="00921444">
      <w:pPr>
        <w:pStyle w:val="PlainText"/>
        <w:jc w:val="both"/>
        <w:rPr>
          <w:rFonts w:asciiTheme="minorHAnsi" w:eastAsia="MS Mincho" w:hAnsiTheme="minorHAnsi" w:cstheme="minorHAnsi"/>
          <w:sz w:val="24"/>
          <w:szCs w:val="24"/>
        </w:rPr>
      </w:pPr>
    </w:p>
    <w:p w:rsidR="005E2F75" w:rsidRDefault="005E2F75" w:rsidP="00986D7C">
      <w:pPr>
        <w:autoSpaceDE w:val="0"/>
        <w:autoSpaceDN w:val="0"/>
        <w:adjustRightInd w:val="0"/>
        <w:spacing w:after="0" w:line="240" w:lineRule="auto"/>
        <w:contextualSpacing/>
        <w:rPr>
          <w:rFonts w:cs="Calibri"/>
          <w:b/>
          <w:color w:val="4F81BD"/>
          <w:sz w:val="24"/>
          <w:szCs w:val="24"/>
        </w:rPr>
      </w:pPr>
    </w:p>
    <w:p w:rsidR="00D33A00" w:rsidRDefault="00D33A00" w:rsidP="00986D7C">
      <w:pPr>
        <w:autoSpaceDE w:val="0"/>
        <w:autoSpaceDN w:val="0"/>
        <w:adjustRightInd w:val="0"/>
        <w:spacing w:after="0" w:line="240" w:lineRule="auto"/>
        <w:contextualSpacing/>
        <w:rPr>
          <w:rFonts w:cs="Calibri"/>
          <w:b/>
          <w:color w:val="4F81BD"/>
          <w:sz w:val="24"/>
          <w:szCs w:val="24"/>
        </w:rPr>
      </w:pPr>
      <w:r w:rsidRPr="003C4F3A">
        <w:rPr>
          <w:rFonts w:cs="Calibri"/>
          <w:b/>
          <w:color w:val="4F81BD"/>
          <w:sz w:val="24"/>
          <w:szCs w:val="24"/>
        </w:rPr>
        <w:t xml:space="preserve">B.5.5 </w:t>
      </w:r>
      <w:r w:rsidRPr="003C4F3A">
        <w:rPr>
          <w:rFonts w:cs="Calibri"/>
          <w:b/>
          <w:color w:val="4F81BD"/>
          <w:sz w:val="24"/>
          <w:szCs w:val="24"/>
        </w:rPr>
        <w:tab/>
        <w:t>Data Analysis</w:t>
      </w:r>
    </w:p>
    <w:p w:rsidR="003B6350" w:rsidRDefault="003B6350" w:rsidP="00986D7C">
      <w:pPr>
        <w:autoSpaceDE w:val="0"/>
        <w:autoSpaceDN w:val="0"/>
        <w:adjustRightInd w:val="0"/>
        <w:spacing w:after="0" w:line="240" w:lineRule="auto"/>
        <w:contextualSpacing/>
        <w:rPr>
          <w:rFonts w:cs="Calibri"/>
          <w:b/>
          <w:color w:val="4F81BD"/>
          <w:sz w:val="24"/>
          <w:szCs w:val="24"/>
        </w:rPr>
      </w:pPr>
    </w:p>
    <w:p w:rsidR="003B6350" w:rsidRDefault="001F42A5" w:rsidP="00986D7C">
      <w:pPr>
        <w:autoSpaceDE w:val="0"/>
        <w:autoSpaceDN w:val="0"/>
        <w:adjustRightInd w:val="0"/>
        <w:spacing w:after="0" w:line="240" w:lineRule="auto"/>
        <w:contextualSpacing/>
        <w:rPr>
          <w:rFonts w:cs="Calibri"/>
          <w:sz w:val="24"/>
          <w:szCs w:val="24"/>
        </w:rPr>
      </w:pPr>
      <w:r>
        <w:rPr>
          <w:rFonts w:cs="Calibri"/>
          <w:color w:val="000000"/>
          <w:sz w:val="24"/>
          <w:szCs w:val="24"/>
        </w:rPr>
        <w:t>Data analyses will be conducted collaboratively with Marian Pavuk, Michael Lewin (ATSDR), and Linda Birnbaum (NIH) as leads</w:t>
      </w:r>
      <w:r>
        <w:rPr>
          <w:rFonts w:cs="Calibri"/>
          <w:sz w:val="24"/>
          <w:szCs w:val="24"/>
        </w:rPr>
        <w:t xml:space="preserve">. </w:t>
      </w:r>
      <w:r w:rsidR="003B6350" w:rsidRPr="004A0C1E">
        <w:rPr>
          <w:rFonts w:cs="Calibri"/>
          <w:sz w:val="24"/>
          <w:szCs w:val="24"/>
        </w:rPr>
        <w:t xml:space="preserve">Sample size </w:t>
      </w:r>
      <w:r w:rsidR="003B6350">
        <w:rPr>
          <w:rFonts w:cs="Calibri"/>
          <w:sz w:val="24"/>
          <w:szCs w:val="24"/>
        </w:rPr>
        <w:t xml:space="preserve">estimation and power calculations were developed by Michael Lewin; Stephanie Davis, </w:t>
      </w:r>
      <w:r w:rsidR="00632214">
        <w:rPr>
          <w:rFonts w:cs="Calibri"/>
          <w:sz w:val="24"/>
          <w:szCs w:val="24"/>
        </w:rPr>
        <w:t xml:space="preserve">and </w:t>
      </w:r>
      <w:r w:rsidR="003B6350">
        <w:rPr>
          <w:rFonts w:cs="Calibri"/>
          <w:sz w:val="24"/>
          <w:szCs w:val="24"/>
        </w:rPr>
        <w:t>Marian Pavuk</w:t>
      </w:r>
      <w:r>
        <w:rPr>
          <w:rFonts w:cs="Calibri"/>
          <w:sz w:val="24"/>
          <w:szCs w:val="24"/>
        </w:rPr>
        <w:t xml:space="preserve"> (ATSDR)</w:t>
      </w:r>
      <w:r w:rsidR="003B6350">
        <w:rPr>
          <w:rFonts w:cs="Calibri"/>
          <w:sz w:val="24"/>
          <w:szCs w:val="24"/>
        </w:rPr>
        <w:t>.</w:t>
      </w:r>
      <w:r w:rsidR="00632214">
        <w:rPr>
          <w:rFonts w:cs="Calibri"/>
          <w:sz w:val="24"/>
          <w:szCs w:val="24"/>
        </w:rPr>
        <w:t xml:space="preserve"> Additional consultants on data analysis included the following:</w:t>
      </w:r>
    </w:p>
    <w:p w:rsidR="003B6350" w:rsidRPr="004A0C1E" w:rsidRDefault="003B6350" w:rsidP="00986D7C">
      <w:pPr>
        <w:autoSpaceDE w:val="0"/>
        <w:autoSpaceDN w:val="0"/>
        <w:adjustRightInd w:val="0"/>
        <w:spacing w:after="0" w:line="240" w:lineRule="auto"/>
        <w:contextualSpacing/>
        <w:rPr>
          <w:rFonts w:cs="Calibri"/>
          <w:sz w:val="24"/>
          <w:szCs w:val="24"/>
        </w:rPr>
      </w:pPr>
    </w:p>
    <w:tbl>
      <w:tblPr>
        <w:tblW w:w="0" w:type="auto"/>
        <w:tblBorders>
          <w:top w:val="single" w:sz="8" w:space="0" w:color="auto"/>
          <w:bottom w:val="single" w:sz="8" w:space="0" w:color="auto"/>
          <w:insideH w:val="single" w:sz="8" w:space="0" w:color="auto"/>
        </w:tblBorders>
        <w:tblLook w:val="04A0" w:firstRow="1" w:lastRow="0" w:firstColumn="1" w:lastColumn="0" w:noHBand="0" w:noVBand="1"/>
      </w:tblPr>
      <w:tblGrid>
        <w:gridCol w:w="2178"/>
        <w:gridCol w:w="2790"/>
        <w:gridCol w:w="1609"/>
        <w:gridCol w:w="2999"/>
      </w:tblGrid>
      <w:tr w:rsidR="003B6350" w:rsidRPr="00F46D82" w:rsidTr="004A0C1E">
        <w:tc>
          <w:tcPr>
            <w:tcW w:w="2178" w:type="dxa"/>
            <w:tcBorders>
              <w:bottom w:val="single" w:sz="8" w:space="0" w:color="auto"/>
            </w:tcBorders>
          </w:tcPr>
          <w:p w:rsidR="003B6350" w:rsidRPr="00F46D82" w:rsidRDefault="003B6350" w:rsidP="004A0C1E">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Name</w:t>
            </w:r>
          </w:p>
        </w:tc>
        <w:tc>
          <w:tcPr>
            <w:tcW w:w="2790" w:type="dxa"/>
            <w:tcBorders>
              <w:bottom w:val="single" w:sz="8" w:space="0" w:color="auto"/>
            </w:tcBorders>
          </w:tcPr>
          <w:p w:rsidR="003B6350" w:rsidRPr="00F46D82" w:rsidRDefault="003B6350" w:rsidP="004A0C1E">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Title</w:t>
            </w:r>
          </w:p>
        </w:tc>
        <w:tc>
          <w:tcPr>
            <w:tcW w:w="1609" w:type="dxa"/>
            <w:tcBorders>
              <w:bottom w:val="single" w:sz="8" w:space="0" w:color="auto"/>
            </w:tcBorders>
          </w:tcPr>
          <w:p w:rsidR="003B6350" w:rsidRPr="00F46D82" w:rsidRDefault="003B6350" w:rsidP="004A0C1E">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Phone</w:t>
            </w:r>
          </w:p>
        </w:tc>
        <w:tc>
          <w:tcPr>
            <w:tcW w:w="2999" w:type="dxa"/>
            <w:tcBorders>
              <w:bottom w:val="single" w:sz="8" w:space="0" w:color="auto"/>
            </w:tcBorders>
          </w:tcPr>
          <w:p w:rsidR="003B6350" w:rsidRPr="00F46D82" w:rsidRDefault="003B6350" w:rsidP="004A0C1E">
            <w:pPr>
              <w:autoSpaceDE w:val="0"/>
              <w:autoSpaceDN w:val="0"/>
              <w:adjustRightInd w:val="0"/>
              <w:spacing w:after="0" w:line="240" w:lineRule="auto"/>
              <w:rPr>
                <w:rFonts w:asciiTheme="minorHAnsi" w:hAnsiTheme="minorHAnsi" w:cstheme="minorHAnsi"/>
                <w:color w:val="000000"/>
              </w:rPr>
            </w:pPr>
            <w:r w:rsidRPr="00F46D82">
              <w:rPr>
                <w:rFonts w:asciiTheme="minorHAnsi" w:hAnsiTheme="minorHAnsi" w:cstheme="minorHAnsi"/>
                <w:color w:val="000000"/>
              </w:rPr>
              <w:t>Email</w:t>
            </w:r>
          </w:p>
        </w:tc>
      </w:tr>
      <w:tr w:rsidR="003B6350" w:rsidRPr="00F46D82" w:rsidTr="004A0C1E">
        <w:tc>
          <w:tcPr>
            <w:tcW w:w="9576" w:type="dxa"/>
            <w:gridSpan w:val="4"/>
            <w:shd w:val="clear" w:color="auto" w:fill="D9D9D9" w:themeFill="background1" w:themeFillShade="D9"/>
            <w:vAlign w:val="center"/>
          </w:tcPr>
          <w:p w:rsidR="003B6350" w:rsidRPr="00642C28" w:rsidRDefault="003B6350" w:rsidP="004A0C1E">
            <w:pPr>
              <w:autoSpaceDE w:val="0"/>
              <w:autoSpaceDN w:val="0"/>
              <w:adjustRightInd w:val="0"/>
              <w:spacing w:after="0" w:line="240" w:lineRule="auto"/>
              <w:rPr>
                <w:rFonts w:asciiTheme="minorHAnsi" w:hAnsiTheme="minorHAnsi" w:cstheme="minorHAnsi"/>
                <w:i/>
                <w:color w:val="000000"/>
                <w:sz w:val="20"/>
                <w:szCs w:val="20"/>
                <w:lang w:val="en"/>
              </w:rPr>
            </w:pPr>
            <w:r>
              <w:rPr>
                <w:rFonts w:asciiTheme="minorHAnsi" w:hAnsiTheme="minorHAnsi" w:cstheme="minorHAnsi"/>
                <w:i/>
                <w:color w:val="000000"/>
                <w:sz w:val="20"/>
                <w:szCs w:val="20"/>
                <w:lang w:val="en"/>
              </w:rPr>
              <w:t>DATA ANALYSIS</w:t>
            </w:r>
          </w:p>
        </w:tc>
      </w:tr>
      <w:tr w:rsidR="003B6350" w:rsidRPr="00F46D82" w:rsidTr="003B6350">
        <w:tc>
          <w:tcPr>
            <w:tcW w:w="2178" w:type="dxa"/>
            <w:vAlign w:val="center"/>
          </w:tcPr>
          <w:p w:rsidR="003B6350" w:rsidRPr="00642C28" w:rsidRDefault="003B6350" w:rsidP="004A0C1E">
            <w:pPr>
              <w:autoSpaceDE w:val="0"/>
              <w:autoSpaceDN w:val="0"/>
              <w:adjustRightInd w:val="0"/>
              <w:spacing w:after="0" w:line="240" w:lineRule="auto"/>
              <w:rPr>
                <w:rFonts w:asciiTheme="minorHAnsi" w:hAnsiTheme="minorHAnsi" w:cstheme="minorHAnsi"/>
                <w:color w:val="000000"/>
                <w:sz w:val="20"/>
                <w:szCs w:val="20"/>
              </w:rPr>
            </w:pPr>
            <w:r w:rsidRPr="00985A6E">
              <w:rPr>
                <w:sz w:val="20"/>
                <w:szCs w:val="20"/>
              </w:rPr>
              <w:t>Scott Bartell, PhD</w:t>
            </w:r>
          </w:p>
        </w:tc>
        <w:tc>
          <w:tcPr>
            <w:tcW w:w="2790" w:type="dxa"/>
          </w:tcPr>
          <w:p w:rsidR="003B6350" w:rsidRPr="005C05D6" w:rsidRDefault="003B6350" w:rsidP="004A0C1E">
            <w:pPr>
              <w:autoSpaceDE w:val="0"/>
              <w:autoSpaceDN w:val="0"/>
              <w:adjustRightInd w:val="0"/>
              <w:spacing w:after="0" w:line="240" w:lineRule="auto"/>
              <w:rPr>
                <w:rFonts w:asciiTheme="minorHAnsi" w:hAnsiTheme="minorHAnsi" w:cstheme="minorHAnsi"/>
                <w:color w:val="000000"/>
                <w:sz w:val="20"/>
                <w:szCs w:val="20"/>
              </w:rPr>
            </w:pPr>
            <w:r w:rsidRPr="00985A6E">
              <w:rPr>
                <w:sz w:val="20"/>
                <w:szCs w:val="20"/>
              </w:rPr>
              <w:t>University of California Irvine, Irvine, CA – Assoc</w:t>
            </w:r>
            <w:r w:rsidR="004A0C1E">
              <w:rPr>
                <w:sz w:val="20"/>
                <w:szCs w:val="20"/>
              </w:rPr>
              <w:t>iate</w:t>
            </w:r>
            <w:r w:rsidRPr="00985A6E">
              <w:rPr>
                <w:sz w:val="20"/>
                <w:szCs w:val="20"/>
              </w:rPr>
              <w:t xml:space="preserve"> Professor</w:t>
            </w:r>
          </w:p>
        </w:tc>
        <w:tc>
          <w:tcPr>
            <w:tcW w:w="1609" w:type="dxa"/>
            <w:vAlign w:val="center"/>
          </w:tcPr>
          <w:p w:rsidR="003B6350" w:rsidRPr="00642C28" w:rsidRDefault="003B6350" w:rsidP="004A0C1E">
            <w:pPr>
              <w:autoSpaceDE w:val="0"/>
              <w:autoSpaceDN w:val="0"/>
              <w:adjustRightInd w:val="0"/>
              <w:spacing w:after="0" w:line="240" w:lineRule="auto"/>
              <w:rPr>
                <w:rStyle w:val="Emphasis"/>
                <w:rFonts w:asciiTheme="minorHAnsi" w:hAnsiTheme="minorHAnsi" w:cstheme="minorHAnsi"/>
                <w:i w:val="0"/>
                <w:color w:val="000000"/>
                <w:sz w:val="20"/>
                <w:szCs w:val="20"/>
              </w:rPr>
            </w:pPr>
            <w:r w:rsidRPr="005C1EF0">
              <w:rPr>
                <w:rFonts w:eastAsia="Times New Roman" w:cs="Calibri"/>
                <w:bCs/>
                <w:sz w:val="20"/>
                <w:szCs w:val="20"/>
              </w:rPr>
              <w:t>949-444-3545</w:t>
            </w:r>
          </w:p>
        </w:tc>
        <w:tc>
          <w:tcPr>
            <w:tcW w:w="2999" w:type="dxa"/>
            <w:vAlign w:val="center"/>
          </w:tcPr>
          <w:p w:rsidR="003B6350" w:rsidRPr="006B49D3" w:rsidRDefault="003B6350" w:rsidP="004A0C1E">
            <w:pPr>
              <w:autoSpaceDE w:val="0"/>
              <w:autoSpaceDN w:val="0"/>
              <w:adjustRightInd w:val="0"/>
              <w:spacing w:after="0" w:line="240" w:lineRule="auto"/>
              <w:rPr>
                <w:rStyle w:val="Emphasis"/>
                <w:rFonts w:asciiTheme="minorHAnsi" w:hAnsiTheme="minorHAnsi" w:cs="Calibri"/>
                <w:i w:val="0"/>
                <w:iCs w:val="0"/>
                <w:sz w:val="20"/>
                <w:szCs w:val="20"/>
              </w:rPr>
            </w:pPr>
            <w:r w:rsidRPr="00985A6E">
              <w:rPr>
                <w:rStyle w:val="Emphasis"/>
                <w:rFonts w:asciiTheme="minorHAnsi" w:hAnsiTheme="minorHAnsi" w:cstheme="minorHAnsi"/>
                <w:i w:val="0"/>
                <w:iCs w:val="0"/>
                <w:sz w:val="20"/>
                <w:szCs w:val="20"/>
              </w:rPr>
              <w:t>sbartell@uci.edu</w:t>
            </w:r>
          </w:p>
        </w:tc>
      </w:tr>
    </w:tbl>
    <w:p w:rsidR="005D723D" w:rsidRPr="003C4F3A" w:rsidRDefault="005D723D" w:rsidP="005D723D">
      <w:pPr>
        <w:autoSpaceDE w:val="0"/>
        <w:autoSpaceDN w:val="0"/>
        <w:adjustRightInd w:val="0"/>
        <w:spacing w:after="0" w:line="240" w:lineRule="auto"/>
        <w:rPr>
          <w:rFonts w:cs="Calibri"/>
          <w:color w:val="000000"/>
          <w:sz w:val="24"/>
          <w:szCs w:val="24"/>
        </w:rPr>
      </w:pPr>
    </w:p>
    <w:p w:rsidR="003B6350" w:rsidRDefault="003B6350">
      <w:pPr>
        <w:spacing w:after="0" w:line="240" w:lineRule="auto"/>
        <w:rPr>
          <w:rFonts w:eastAsia="Times New Roman" w:cs="Calibri"/>
          <w:b/>
          <w:sz w:val="24"/>
          <w:szCs w:val="24"/>
        </w:rPr>
      </w:pPr>
      <w:r>
        <w:rPr>
          <w:rFonts w:eastAsia="Times New Roman" w:cs="Calibri"/>
          <w:b/>
          <w:sz w:val="24"/>
          <w:szCs w:val="24"/>
        </w:rPr>
        <w:br w:type="page"/>
      </w:r>
    </w:p>
    <w:p w:rsidR="002E59B4" w:rsidRPr="005C1EF0" w:rsidRDefault="002E59B4" w:rsidP="005C1EF0">
      <w:pPr>
        <w:spacing w:after="0" w:line="240" w:lineRule="auto"/>
        <w:rPr>
          <w:rFonts w:eastAsia="Times New Roman" w:cs="Calibri"/>
          <w:b/>
          <w:color w:val="4F81BD" w:themeColor="accent1"/>
          <w:sz w:val="24"/>
          <w:szCs w:val="24"/>
        </w:rPr>
      </w:pPr>
      <w:r w:rsidRPr="005C1EF0">
        <w:rPr>
          <w:rFonts w:eastAsia="Times New Roman" w:cs="Calibri"/>
          <w:b/>
          <w:color w:val="4F81BD" w:themeColor="accent1"/>
          <w:sz w:val="28"/>
          <w:szCs w:val="24"/>
        </w:rPr>
        <w:lastRenderedPageBreak/>
        <w:t>References</w:t>
      </w:r>
    </w:p>
    <w:p w:rsidR="00364B85" w:rsidRPr="003C4F3A" w:rsidRDefault="00364B85" w:rsidP="000F4029">
      <w:pPr>
        <w:autoSpaceDE w:val="0"/>
        <w:autoSpaceDN w:val="0"/>
        <w:adjustRightInd w:val="0"/>
        <w:spacing w:after="0" w:line="240" w:lineRule="auto"/>
        <w:rPr>
          <w:rFonts w:eastAsia="Times New Roman" w:cs="Calibri"/>
          <w:b/>
          <w:i/>
          <w:sz w:val="24"/>
          <w:szCs w:val="24"/>
        </w:rPr>
      </w:pPr>
    </w:p>
    <w:p w:rsidR="000B484A" w:rsidRPr="005C1EF0" w:rsidRDefault="00BE368C" w:rsidP="005C1EF0">
      <w:pPr>
        <w:spacing w:before="120" w:after="0" w:line="240" w:lineRule="auto"/>
        <w:rPr>
          <w:rFonts w:cs="Calibri"/>
          <w:szCs w:val="20"/>
        </w:rPr>
      </w:pPr>
      <w:proofErr w:type="gramStart"/>
      <w:r>
        <w:rPr>
          <w:rFonts w:cs="Calibri"/>
          <w:szCs w:val="20"/>
        </w:rPr>
        <w:t>ADPH/ARHA (</w:t>
      </w:r>
      <w:r w:rsidR="000B484A" w:rsidRPr="005C1EF0">
        <w:rPr>
          <w:rFonts w:cs="Calibri"/>
          <w:szCs w:val="20"/>
        </w:rPr>
        <w:t>Alabama Department of Public Health and Alabama Rural Health Associat</w:t>
      </w:r>
      <w:r>
        <w:rPr>
          <w:rFonts w:cs="Calibri"/>
          <w:szCs w:val="20"/>
        </w:rPr>
        <w:t>ion),</w:t>
      </w:r>
      <w:r w:rsidR="000B484A" w:rsidRPr="005C1EF0">
        <w:rPr>
          <w:rFonts w:cs="Calibri"/>
          <w:szCs w:val="20"/>
        </w:rPr>
        <w:t xml:space="preserve"> </w:t>
      </w:r>
      <w:r>
        <w:rPr>
          <w:rFonts w:cs="Calibri"/>
          <w:szCs w:val="20"/>
        </w:rPr>
        <w:t>2009, Fe</w:t>
      </w:r>
      <w:r w:rsidR="000B484A" w:rsidRPr="005C1EF0">
        <w:rPr>
          <w:rFonts w:cs="Calibri"/>
          <w:szCs w:val="20"/>
        </w:rPr>
        <w:t>bruary.</w:t>
      </w:r>
      <w:proofErr w:type="gramEnd"/>
      <w:r w:rsidR="000B484A" w:rsidRPr="005C1EF0">
        <w:rPr>
          <w:rFonts w:cs="Calibri"/>
          <w:szCs w:val="20"/>
        </w:rPr>
        <w:t xml:space="preserve"> </w:t>
      </w:r>
      <w:proofErr w:type="gramStart"/>
      <w:r w:rsidR="000B484A" w:rsidRPr="005C1EF0">
        <w:rPr>
          <w:rFonts w:cs="Calibri"/>
          <w:szCs w:val="20"/>
        </w:rPr>
        <w:t>Selected Health Status Indicators: Calhoun County.</w:t>
      </w:r>
      <w:proofErr w:type="gramEnd"/>
      <w:r w:rsidR="000B484A" w:rsidRPr="005C1EF0">
        <w:rPr>
          <w:rFonts w:cs="Calibri"/>
          <w:szCs w:val="20"/>
        </w:rPr>
        <w:t xml:space="preserve"> Available: </w:t>
      </w:r>
      <w:hyperlink r:id="rId22" w:history="1">
        <w:r w:rsidR="000B484A" w:rsidRPr="005C1EF0">
          <w:rPr>
            <w:rStyle w:val="Hyperlink"/>
            <w:rFonts w:cs="Calibri"/>
            <w:szCs w:val="20"/>
          </w:rPr>
          <w:t>http://www.arhaonline.org/PDF%20Files/CountyReports/Calhoun%20County%202009.pdf</w:t>
        </w:r>
      </w:hyperlink>
      <w:r w:rsidR="000B484A" w:rsidRPr="005C1EF0">
        <w:rPr>
          <w:rFonts w:cs="Calibri"/>
          <w:szCs w:val="20"/>
        </w:rPr>
        <w:t xml:space="preserve">. </w:t>
      </w:r>
    </w:p>
    <w:p w:rsidR="00306D3C" w:rsidRPr="00306D3C" w:rsidRDefault="00DF1E86" w:rsidP="00306D3C">
      <w:pPr>
        <w:spacing w:before="120" w:after="0" w:line="240" w:lineRule="auto"/>
        <w:rPr>
          <w:rFonts w:asciiTheme="minorHAnsi" w:hAnsiTheme="minorHAnsi" w:cs="Calibri"/>
          <w:iCs/>
        </w:rPr>
      </w:pPr>
      <w:proofErr w:type="gramStart"/>
      <w:r w:rsidRPr="005C1EF0">
        <w:rPr>
          <w:rFonts w:cs="Calibri"/>
          <w:iCs/>
          <w:szCs w:val="20"/>
        </w:rPr>
        <w:t>Auburn University.</w:t>
      </w:r>
      <w:proofErr w:type="gramEnd"/>
      <w:r w:rsidRPr="005C1EF0">
        <w:rPr>
          <w:rFonts w:cs="Calibri"/>
          <w:iCs/>
          <w:szCs w:val="20"/>
        </w:rPr>
        <w:t xml:space="preserve"> 2011. </w:t>
      </w:r>
      <w:r w:rsidR="00BE368C" w:rsidRPr="00BE368C">
        <w:rPr>
          <w:rFonts w:cs="Calibri"/>
          <w:iCs/>
          <w:szCs w:val="20"/>
        </w:rPr>
        <w:t xml:space="preserve">2011 Alabama Population Data Sheet. </w:t>
      </w:r>
      <w:proofErr w:type="gramStart"/>
      <w:r w:rsidR="00BE368C" w:rsidRPr="00BE368C">
        <w:rPr>
          <w:rFonts w:cs="Calibri"/>
          <w:iCs/>
          <w:szCs w:val="20"/>
        </w:rPr>
        <w:t>Center for Demographic Research, Auburn University.</w:t>
      </w:r>
      <w:proofErr w:type="gramEnd"/>
      <w:r w:rsidR="00BE368C">
        <w:rPr>
          <w:rFonts w:cs="Calibri"/>
          <w:iCs/>
          <w:szCs w:val="20"/>
        </w:rPr>
        <w:t xml:space="preserve"> Available: </w:t>
      </w:r>
      <w:hyperlink r:id="rId23" w:history="1">
        <w:r w:rsidRPr="00306D3C">
          <w:rPr>
            <w:rStyle w:val="Hyperlink"/>
            <w:rFonts w:asciiTheme="minorHAnsi" w:hAnsiTheme="minorHAnsi" w:cs="Calibri"/>
            <w:iCs/>
          </w:rPr>
          <w:t>http://www.demographics.aum.edu/uploadedfile/file/2011_alabama_population.pdf</w:t>
        </w:r>
      </w:hyperlink>
    </w:p>
    <w:p w:rsidR="00DA483F" w:rsidRDefault="000852C2" w:rsidP="00885182">
      <w:pPr>
        <w:spacing w:before="120" w:after="0" w:line="240" w:lineRule="auto"/>
        <w:rPr>
          <w:rFonts w:asciiTheme="minorHAnsi" w:hAnsiTheme="minorHAnsi" w:cs="Calibri"/>
        </w:rPr>
      </w:pPr>
      <w:proofErr w:type="gramStart"/>
      <w:r w:rsidRPr="00306D3C">
        <w:rPr>
          <w:rFonts w:asciiTheme="minorHAnsi" w:eastAsia="Times New Roman" w:hAnsiTheme="minorHAnsi"/>
          <w:color w:val="000000"/>
          <w:lang w:val="en"/>
        </w:rPr>
        <w:t>CDC (Centers for Disease Control and Prevention)</w:t>
      </w:r>
      <w:r w:rsidR="00306D3C" w:rsidRPr="00306D3C">
        <w:rPr>
          <w:rFonts w:asciiTheme="minorHAnsi" w:eastAsia="Times New Roman" w:hAnsiTheme="minorHAnsi"/>
          <w:color w:val="000000"/>
          <w:lang w:val="en"/>
        </w:rPr>
        <w:t>, 2005</w:t>
      </w:r>
      <w:r w:rsidRPr="00306D3C">
        <w:rPr>
          <w:rFonts w:asciiTheme="minorHAnsi" w:eastAsia="Times New Roman" w:hAnsiTheme="minorHAnsi"/>
          <w:color w:val="000000"/>
          <w:lang w:val="en"/>
        </w:rPr>
        <w:t>.</w:t>
      </w:r>
      <w:proofErr w:type="gramEnd"/>
      <w:r w:rsidRPr="00306D3C">
        <w:rPr>
          <w:rFonts w:asciiTheme="minorHAnsi" w:eastAsia="Times New Roman" w:hAnsiTheme="minorHAnsi"/>
          <w:color w:val="000000"/>
          <w:lang w:val="en"/>
        </w:rPr>
        <w:t xml:space="preserve"> </w:t>
      </w:r>
      <w:proofErr w:type="gramStart"/>
      <w:r w:rsidRPr="00306D3C">
        <w:rPr>
          <w:rFonts w:asciiTheme="minorHAnsi" w:eastAsia="Times New Roman" w:hAnsiTheme="minorHAnsi"/>
          <w:color w:val="000000"/>
          <w:lang w:val="en"/>
        </w:rPr>
        <w:t>National Center for Health Statistics (NCHS).</w:t>
      </w:r>
      <w:proofErr w:type="gramEnd"/>
      <w:r w:rsidRPr="00306D3C">
        <w:rPr>
          <w:rFonts w:asciiTheme="minorHAnsi" w:eastAsia="Times New Roman" w:hAnsiTheme="minorHAnsi"/>
          <w:color w:val="000000"/>
          <w:lang w:val="en"/>
        </w:rPr>
        <w:t xml:space="preserve"> </w:t>
      </w:r>
      <w:proofErr w:type="gramStart"/>
      <w:r w:rsidRPr="00306D3C">
        <w:rPr>
          <w:rFonts w:asciiTheme="minorHAnsi" w:eastAsia="Times New Roman" w:hAnsiTheme="minorHAnsi"/>
          <w:color w:val="000000"/>
          <w:lang w:val="en"/>
        </w:rPr>
        <w:t>National Health and Nutrition Examination Laboratory Procedures Manual.</w:t>
      </w:r>
      <w:proofErr w:type="gramEnd"/>
      <w:r w:rsidRPr="00306D3C">
        <w:rPr>
          <w:rFonts w:asciiTheme="minorHAnsi" w:eastAsia="Times New Roman" w:hAnsiTheme="minorHAnsi"/>
          <w:color w:val="000000"/>
          <w:lang w:val="en"/>
        </w:rPr>
        <w:t xml:space="preserve"> Hyattsville, MD: U.S. Department of Health and Human Services, Centers for Disease Control and Prevention</w:t>
      </w:r>
      <w:r w:rsidR="00306D3C" w:rsidRPr="00306D3C">
        <w:rPr>
          <w:rFonts w:asciiTheme="minorHAnsi" w:eastAsia="Times New Roman" w:hAnsiTheme="minorHAnsi"/>
          <w:color w:val="000000"/>
          <w:lang w:val="en"/>
        </w:rPr>
        <w:t>.</w:t>
      </w:r>
    </w:p>
    <w:p w:rsidR="00885182" w:rsidRPr="005C1EF0" w:rsidRDefault="00885182" w:rsidP="00885182">
      <w:pPr>
        <w:spacing w:before="120" w:after="0" w:line="240" w:lineRule="auto"/>
        <w:rPr>
          <w:rFonts w:cs="Calibri"/>
          <w:szCs w:val="20"/>
        </w:rPr>
      </w:pPr>
      <w:proofErr w:type="gramStart"/>
      <w:r w:rsidRPr="005C1EF0">
        <w:rPr>
          <w:rFonts w:cs="Calibri"/>
          <w:iCs/>
          <w:szCs w:val="20"/>
        </w:rPr>
        <w:t>Centers for Disea</w:t>
      </w:r>
      <w:r w:rsidR="004A2A36">
        <w:rPr>
          <w:rFonts w:cs="Calibri"/>
          <w:iCs/>
          <w:szCs w:val="20"/>
        </w:rPr>
        <w:t>se Control and Prevention (CDC),</w:t>
      </w:r>
      <w:r w:rsidRPr="005C1EF0">
        <w:rPr>
          <w:rFonts w:cs="Calibri"/>
          <w:iCs/>
          <w:szCs w:val="20"/>
        </w:rPr>
        <w:t xml:space="preserve"> 2009.</w:t>
      </w:r>
      <w:proofErr w:type="gramEnd"/>
      <w:r w:rsidRPr="005C1EF0">
        <w:rPr>
          <w:rFonts w:cs="Calibri"/>
          <w:iCs/>
          <w:szCs w:val="20"/>
        </w:rPr>
        <w:t xml:space="preserve"> </w:t>
      </w:r>
      <w:proofErr w:type="gramStart"/>
      <w:r w:rsidRPr="005C1EF0">
        <w:rPr>
          <w:rFonts w:cs="Calibri"/>
          <w:szCs w:val="20"/>
        </w:rPr>
        <w:t>Fourth National Report on Human Exposure to Environmental Chemicals.</w:t>
      </w:r>
      <w:proofErr w:type="gramEnd"/>
      <w:r w:rsidRPr="005C1EF0">
        <w:rPr>
          <w:rFonts w:cs="Calibri"/>
          <w:szCs w:val="20"/>
        </w:rPr>
        <w:t xml:space="preserve"> </w:t>
      </w:r>
      <w:r w:rsidR="004A2A36">
        <w:rPr>
          <w:rFonts w:asciiTheme="minorHAnsi" w:eastAsia="Times New Roman" w:hAnsiTheme="minorHAnsi"/>
          <w:color w:val="000000"/>
          <w:lang w:val="en"/>
        </w:rPr>
        <w:t>Atlanta, GA</w:t>
      </w:r>
      <w:r w:rsidR="004A2A36" w:rsidRPr="00306D3C">
        <w:rPr>
          <w:rFonts w:asciiTheme="minorHAnsi" w:eastAsia="Times New Roman" w:hAnsiTheme="minorHAnsi"/>
          <w:color w:val="000000"/>
          <w:lang w:val="en"/>
        </w:rPr>
        <w:t xml:space="preserve">: U.S. Department of Health and Human Services, Centers for Disease Control and Prevention. </w:t>
      </w:r>
      <w:r w:rsidRPr="005C1EF0">
        <w:rPr>
          <w:rFonts w:cs="Calibri"/>
          <w:szCs w:val="20"/>
        </w:rPr>
        <w:t xml:space="preserve">Available: </w:t>
      </w:r>
      <w:hyperlink r:id="rId24" w:history="1">
        <w:r w:rsidRPr="005C1EF0">
          <w:rPr>
            <w:rStyle w:val="Hyperlink"/>
            <w:rFonts w:cs="Calibri"/>
            <w:szCs w:val="20"/>
          </w:rPr>
          <w:t>http://www.cdc.gov/exposurereport/index.html</w:t>
        </w:r>
      </w:hyperlink>
      <w:r w:rsidRPr="005C1EF0">
        <w:rPr>
          <w:rFonts w:cs="Calibri"/>
          <w:szCs w:val="20"/>
        </w:rPr>
        <w:t xml:space="preserve">. </w:t>
      </w:r>
    </w:p>
    <w:p w:rsidR="00885182" w:rsidRPr="005C1EF0" w:rsidRDefault="00885182" w:rsidP="00885182">
      <w:pPr>
        <w:spacing w:before="120" w:after="0" w:line="240" w:lineRule="auto"/>
        <w:rPr>
          <w:rFonts w:cs="Calibri"/>
          <w:szCs w:val="20"/>
        </w:rPr>
      </w:pPr>
      <w:proofErr w:type="gramStart"/>
      <w:r w:rsidRPr="005C1EF0">
        <w:rPr>
          <w:rFonts w:cs="Calibri"/>
          <w:iCs/>
          <w:szCs w:val="20"/>
        </w:rPr>
        <w:t>Centers for Disease Control and Prevention (CDC).</w:t>
      </w:r>
      <w:proofErr w:type="gramEnd"/>
      <w:r w:rsidRPr="005C1EF0">
        <w:rPr>
          <w:rFonts w:cs="Calibri"/>
          <w:iCs/>
          <w:szCs w:val="20"/>
        </w:rPr>
        <w:t xml:space="preserve"> 2012. Diabetes Data and Trends. </w:t>
      </w:r>
      <w:r w:rsidR="00365D71">
        <w:rPr>
          <w:rFonts w:asciiTheme="minorHAnsi" w:eastAsia="Times New Roman" w:hAnsiTheme="minorHAnsi"/>
          <w:color w:val="000000"/>
          <w:lang w:val="en"/>
        </w:rPr>
        <w:t>Atlanta, GA</w:t>
      </w:r>
      <w:r w:rsidR="00365D71" w:rsidRPr="00306D3C">
        <w:rPr>
          <w:rFonts w:asciiTheme="minorHAnsi" w:eastAsia="Times New Roman" w:hAnsiTheme="minorHAnsi"/>
          <w:color w:val="000000"/>
          <w:lang w:val="en"/>
        </w:rPr>
        <w:t>: U.S. Department of Health and Human Services, Centers for Disease Control and Prevention.</w:t>
      </w:r>
      <w:r w:rsidRPr="005C1EF0">
        <w:rPr>
          <w:rFonts w:cs="Calibri"/>
          <w:szCs w:val="20"/>
        </w:rPr>
        <w:t xml:space="preserve"> Available: </w:t>
      </w:r>
      <w:hyperlink r:id="rId25" w:history="1">
        <w:r w:rsidRPr="005C1EF0">
          <w:rPr>
            <w:rStyle w:val="Hyperlink"/>
            <w:rFonts w:cs="Calibri"/>
            <w:szCs w:val="20"/>
          </w:rPr>
          <w:t>http://apps.nccd.cdc.gov/DDTSTRS/default.aspx</w:t>
        </w:r>
      </w:hyperlink>
      <w:r w:rsidRPr="005C1EF0">
        <w:rPr>
          <w:rFonts w:cs="Calibri"/>
          <w:szCs w:val="20"/>
        </w:rPr>
        <w:t>.</w:t>
      </w:r>
    </w:p>
    <w:p w:rsidR="004053DC" w:rsidRPr="005C1EF0" w:rsidRDefault="004053DC" w:rsidP="005C1EF0">
      <w:pPr>
        <w:spacing w:before="120" w:after="0" w:line="240" w:lineRule="auto"/>
        <w:rPr>
          <w:rFonts w:cs="Calibri"/>
          <w:iCs/>
          <w:szCs w:val="20"/>
        </w:rPr>
      </w:pPr>
      <w:proofErr w:type="spellStart"/>
      <w:proofErr w:type="gramStart"/>
      <w:r w:rsidRPr="005C1EF0">
        <w:rPr>
          <w:rFonts w:cs="Calibri"/>
          <w:iCs/>
          <w:szCs w:val="20"/>
        </w:rPr>
        <w:t>Chevrier</w:t>
      </w:r>
      <w:proofErr w:type="spellEnd"/>
      <w:r w:rsidR="00885182">
        <w:rPr>
          <w:rFonts w:cs="Calibri"/>
          <w:iCs/>
          <w:szCs w:val="20"/>
        </w:rPr>
        <w:t>,</w:t>
      </w:r>
      <w:r w:rsidRPr="005C1EF0">
        <w:rPr>
          <w:rFonts w:cs="Calibri"/>
          <w:iCs/>
          <w:szCs w:val="20"/>
        </w:rPr>
        <w:t xml:space="preserve"> J</w:t>
      </w:r>
      <w:r w:rsidR="00885182">
        <w:rPr>
          <w:rFonts w:cs="Calibri"/>
          <w:iCs/>
          <w:szCs w:val="20"/>
        </w:rPr>
        <w:t>.</w:t>
      </w:r>
      <w:r w:rsidRPr="005C1EF0">
        <w:rPr>
          <w:rFonts w:cs="Calibri"/>
          <w:iCs/>
          <w:szCs w:val="20"/>
        </w:rPr>
        <w:t xml:space="preserve">, </w:t>
      </w:r>
      <w:proofErr w:type="spellStart"/>
      <w:r w:rsidRPr="005C1EF0">
        <w:rPr>
          <w:rFonts w:cs="Calibri"/>
          <w:iCs/>
          <w:szCs w:val="20"/>
        </w:rPr>
        <w:t>Dewailly</w:t>
      </w:r>
      <w:proofErr w:type="spellEnd"/>
      <w:r w:rsidR="00885182">
        <w:rPr>
          <w:rFonts w:cs="Calibri"/>
          <w:iCs/>
          <w:szCs w:val="20"/>
        </w:rPr>
        <w:t>,</w:t>
      </w:r>
      <w:r w:rsidRPr="005C1EF0">
        <w:rPr>
          <w:rFonts w:cs="Calibri"/>
          <w:iCs/>
          <w:szCs w:val="20"/>
        </w:rPr>
        <w:t xml:space="preserve"> E</w:t>
      </w:r>
      <w:r w:rsidR="00885182">
        <w:rPr>
          <w:rFonts w:cs="Calibri"/>
          <w:iCs/>
          <w:szCs w:val="20"/>
        </w:rPr>
        <w:t>.</w:t>
      </w:r>
      <w:r w:rsidRPr="005C1EF0">
        <w:rPr>
          <w:rFonts w:cs="Calibri"/>
          <w:iCs/>
          <w:szCs w:val="20"/>
        </w:rPr>
        <w:t xml:space="preserve">, </w:t>
      </w:r>
      <w:proofErr w:type="spellStart"/>
      <w:r w:rsidRPr="005C1EF0">
        <w:rPr>
          <w:rFonts w:cs="Calibri"/>
          <w:iCs/>
          <w:szCs w:val="20"/>
        </w:rPr>
        <w:t>Ayotte</w:t>
      </w:r>
      <w:proofErr w:type="spellEnd"/>
      <w:r w:rsidR="00885182">
        <w:rPr>
          <w:rFonts w:cs="Calibri"/>
          <w:iCs/>
          <w:szCs w:val="20"/>
        </w:rPr>
        <w:t>,</w:t>
      </w:r>
      <w:r w:rsidRPr="005C1EF0">
        <w:rPr>
          <w:rFonts w:cs="Calibri"/>
          <w:iCs/>
          <w:szCs w:val="20"/>
        </w:rPr>
        <w:t xml:space="preserve"> P</w:t>
      </w:r>
      <w:r w:rsidR="00885182">
        <w:rPr>
          <w:rFonts w:cs="Calibri"/>
          <w:iCs/>
          <w:szCs w:val="20"/>
        </w:rPr>
        <w:t>.</w:t>
      </w:r>
      <w:r w:rsidRPr="005C1EF0">
        <w:rPr>
          <w:rFonts w:cs="Calibri"/>
          <w:iCs/>
          <w:szCs w:val="20"/>
        </w:rPr>
        <w:t xml:space="preserve">, </w:t>
      </w:r>
      <w:proofErr w:type="spellStart"/>
      <w:r w:rsidRPr="005C1EF0">
        <w:rPr>
          <w:rFonts w:cs="Calibri"/>
          <w:iCs/>
          <w:szCs w:val="20"/>
        </w:rPr>
        <w:t>Mauriège</w:t>
      </w:r>
      <w:proofErr w:type="spellEnd"/>
      <w:r w:rsidR="00885182">
        <w:rPr>
          <w:rFonts w:cs="Calibri"/>
          <w:iCs/>
          <w:szCs w:val="20"/>
        </w:rPr>
        <w:t>,</w:t>
      </w:r>
      <w:r w:rsidRPr="005C1EF0">
        <w:rPr>
          <w:rFonts w:cs="Calibri"/>
          <w:iCs/>
          <w:szCs w:val="20"/>
        </w:rPr>
        <w:t xml:space="preserve"> P</w:t>
      </w:r>
      <w:r w:rsidR="00885182">
        <w:rPr>
          <w:rFonts w:cs="Calibri"/>
          <w:iCs/>
          <w:szCs w:val="20"/>
        </w:rPr>
        <w:t>.</w:t>
      </w:r>
      <w:r w:rsidRPr="005C1EF0">
        <w:rPr>
          <w:rFonts w:cs="Calibri"/>
          <w:iCs/>
          <w:szCs w:val="20"/>
        </w:rPr>
        <w:t xml:space="preserve">, </w:t>
      </w:r>
      <w:proofErr w:type="spellStart"/>
      <w:r w:rsidRPr="005C1EF0">
        <w:rPr>
          <w:rFonts w:cs="Calibri"/>
          <w:iCs/>
          <w:szCs w:val="20"/>
        </w:rPr>
        <w:t>Després</w:t>
      </w:r>
      <w:proofErr w:type="spellEnd"/>
      <w:r w:rsidR="00885182">
        <w:rPr>
          <w:rFonts w:cs="Calibri"/>
          <w:iCs/>
          <w:szCs w:val="20"/>
        </w:rPr>
        <w:t>,</w:t>
      </w:r>
      <w:r w:rsidRPr="005C1EF0">
        <w:rPr>
          <w:rFonts w:cs="Calibri"/>
          <w:iCs/>
          <w:szCs w:val="20"/>
        </w:rPr>
        <w:t xml:space="preserve"> J</w:t>
      </w:r>
      <w:r w:rsidR="00885182">
        <w:rPr>
          <w:rFonts w:cs="Calibri"/>
          <w:iCs/>
          <w:szCs w:val="20"/>
        </w:rPr>
        <w:t>.</w:t>
      </w:r>
      <w:r w:rsidRPr="005C1EF0">
        <w:rPr>
          <w:rFonts w:cs="Calibri"/>
          <w:iCs/>
          <w:szCs w:val="20"/>
        </w:rPr>
        <w:t>P</w:t>
      </w:r>
      <w:r w:rsidR="00885182">
        <w:rPr>
          <w:rFonts w:cs="Calibri"/>
          <w:iCs/>
          <w:szCs w:val="20"/>
        </w:rPr>
        <w:t>.</w:t>
      </w:r>
      <w:r w:rsidRPr="005C1EF0">
        <w:rPr>
          <w:rFonts w:cs="Calibri"/>
          <w:iCs/>
          <w:szCs w:val="20"/>
        </w:rPr>
        <w:t>, Tremblay</w:t>
      </w:r>
      <w:r w:rsidR="00885182">
        <w:rPr>
          <w:rFonts w:cs="Calibri"/>
          <w:iCs/>
          <w:szCs w:val="20"/>
        </w:rPr>
        <w:t>,</w:t>
      </w:r>
      <w:r w:rsidRPr="005C1EF0">
        <w:rPr>
          <w:rFonts w:cs="Calibri"/>
          <w:iCs/>
          <w:szCs w:val="20"/>
        </w:rPr>
        <w:t xml:space="preserve"> A.</w:t>
      </w:r>
      <w:r w:rsidR="00885182">
        <w:rPr>
          <w:rFonts w:cs="Calibri"/>
          <w:iCs/>
          <w:szCs w:val="20"/>
        </w:rPr>
        <w:t>, 2000.</w:t>
      </w:r>
      <w:proofErr w:type="gramEnd"/>
      <w:r w:rsidRPr="005C1EF0">
        <w:rPr>
          <w:rFonts w:cs="Calibri"/>
          <w:iCs/>
          <w:szCs w:val="20"/>
        </w:rPr>
        <w:t xml:space="preserve"> Body weight loss increases plasma and adipose tissue concentrations of potentially toxic pollutants in obese individuals. Int</w:t>
      </w:r>
      <w:r w:rsidR="00885182">
        <w:rPr>
          <w:rFonts w:cs="Calibri"/>
          <w:iCs/>
          <w:szCs w:val="20"/>
        </w:rPr>
        <w:t>.</w:t>
      </w:r>
      <w:r w:rsidRPr="005C1EF0">
        <w:rPr>
          <w:rFonts w:cs="Calibri"/>
          <w:iCs/>
          <w:szCs w:val="20"/>
        </w:rPr>
        <w:t xml:space="preserve"> J</w:t>
      </w:r>
      <w:r w:rsidR="00885182">
        <w:rPr>
          <w:rFonts w:cs="Calibri"/>
          <w:iCs/>
          <w:szCs w:val="20"/>
        </w:rPr>
        <w:t>.</w:t>
      </w:r>
      <w:r w:rsidRPr="005C1EF0">
        <w:rPr>
          <w:rFonts w:cs="Calibri"/>
          <w:iCs/>
          <w:szCs w:val="20"/>
        </w:rPr>
        <w:t xml:space="preserve"> </w:t>
      </w:r>
      <w:proofErr w:type="spellStart"/>
      <w:r w:rsidRPr="005C1EF0">
        <w:rPr>
          <w:rFonts w:cs="Calibri"/>
          <w:iCs/>
          <w:szCs w:val="20"/>
        </w:rPr>
        <w:t>Obes</w:t>
      </w:r>
      <w:proofErr w:type="spellEnd"/>
      <w:r w:rsidR="00885182">
        <w:rPr>
          <w:rFonts w:cs="Calibri"/>
          <w:iCs/>
          <w:szCs w:val="20"/>
        </w:rPr>
        <w:t>.</w:t>
      </w:r>
      <w:r w:rsidRPr="005C1EF0">
        <w:rPr>
          <w:rFonts w:cs="Calibri"/>
          <w:iCs/>
          <w:szCs w:val="20"/>
        </w:rPr>
        <w:t xml:space="preserve"> </w:t>
      </w:r>
      <w:proofErr w:type="spellStart"/>
      <w:proofErr w:type="gramStart"/>
      <w:r w:rsidRPr="005C1EF0">
        <w:rPr>
          <w:rFonts w:cs="Calibri"/>
          <w:iCs/>
          <w:szCs w:val="20"/>
        </w:rPr>
        <w:t>Relat</w:t>
      </w:r>
      <w:proofErr w:type="spellEnd"/>
      <w:r w:rsidR="00885182">
        <w:rPr>
          <w:rFonts w:cs="Calibri"/>
          <w:iCs/>
          <w:szCs w:val="20"/>
        </w:rPr>
        <w:t>.</w:t>
      </w:r>
      <w:proofErr w:type="gramEnd"/>
      <w:r w:rsidRPr="005C1EF0">
        <w:rPr>
          <w:rFonts w:cs="Calibri"/>
          <w:iCs/>
          <w:szCs w:val="20"/>
        </w:rPr>
        <w:t xml:space="preserve"> </w:t>
      </w:r>
      <w:proofErr w:type="spellStart"/>
      <w:proofErr w:type="gramStart"/>
      <w:r w:rsidRPr="005C1EF0">
        <w:rPr>
          <w:rFonts w:cs="Calibri"/>
          <w:iCs/>
          <w:szCs w:val="20"/>
        </w:rPr>
        <w:t>Metab</w:t>
      </w:r>
      <w:proofErr w:type="spellEnd"/>
      <w:r w:rsidR="00885182">
        <w:rPr>
          <w:rFonts w:cs="Calibri"/>
          <w:iCs/>
          <w:szCs w:val="20"/>
        </w:rPr>
        <w:t>.</w:t>
      </w:r>
      <w:proofErr w:type="gramEnd"/>
      <w:r w:rsidRPr="005C1EF0">
        <w:rPr>
          <w:rFonts w:cs="Calibri"/>
          <w:iCs/>
          <w:szCs w:val="20"/>
        </w:rPr>
        <w:t xml:space="preserve"> </w:t>
      </w:r>
      <w:proofErr w:type="spellStart"/>
      <w:proofErr w:type="gramStart"/>
      <w:r w:rsidRPr="005C1EF0">
        <w:rPr>
          <w:rFonts w:cs="Calibri"/>
          <w:iCs/>
          <w:szCs w:val="20"/>
        </w:rPr>
        <w:t>Disord</w:t>
      </w:r>
      <w:proofErr w:type="spellEnd"/>
      <w:r w:rsidR="00885182">
        <w:rPr>
          <w:rFonts w:cs="Calibri"/>
          <w:iCs/>
          <w:szCs w:val="20"/>
        </w:rPr>
        <w:t>.</w:t>
      </w:r>
      <w:proofErr w:type="gramEnd"/>
      <w:r w:rsidR="00885182">
        <w:rPr>
          <w:rFonts w:cs="Calibri"/>
          <w:iCs/>
          <w:szCs w:val="20"/>
        </w:rPr>
        <w:t xml:space="preserve"> 24, </w:t>
      </w:r>
      <w:r w:rsidRPr="005C1EF0">
        <w:rPr>
          <w:rFonts w:cs="Calibri"/>
          <w:iCs/>
          <w:szCs w:val="20"/>
        </w:rPr>
        <w:t>1272–1278.</w:t>
      </w:r>
    </w:p>
    <w:p w:rsidR="000B484A" w:rsidRPr="005C1EF0" w:rsidRDefault="000B484A" w:rsidP="005C1EF0">
      <w:pPr>
        <w:spacing w:before="120" w:after="0" w:line="240" w:lineRule="auto"/>
        <w:rPr>
          <w:rFonts w:eastAsia="Times New Roman" w:cs="Calibri"/>
          <w:bCs/>
          <w:szCs w:val="20"/>
        </w:rPr>
      </w:pPr>
      <w:proofErr w:type="spellStart"/>
      <w:r w:rsidRPr="005C1EF0">
        <w:rPr>
          <w:rFonts w:eastAsia="Times New Roman" w:cs="Calibri"/>
          <w:bCs/>
          <w:szCs w:val="20"/>
        </w:rPr>
        <w:t>DeCastro</w:t>
      </w:r>
      <w:proofErr w:type="spellEnd"/>
      <w:r w:rsidR="00365D71">
        <w:rPr>
          <w:rFonts w:eastAsia="Times New Roman" w:cs="Calibri"/>
          <w:bCs/>
          <w:szCs w:val="20"/>
        </w:rPr>
        <w:t>,</w:t>
      </w:r>
      <w:r w:rsidRPr="005C1EF0">
        <w:rPr>
          <w:rFonts w:eastAsia="Times New Roman" w:cs="Calibri"/>
          <w:bCs/>
          <w:szCs w:val="20"/>
        </w:rPr>
        <w:t xml:space="preserve"> B</w:t>
      </w:r>
      <w:r w:rsidR="00365D71">
        <w:rPr>
          <w:rFonts w:eastAsia="Times New Roman" w:cs="Calibri"/>
          <w:bCs/>
          <w:szCs w:val="20"/>
        </w:rPr>
        <w:t>.</w:t>
      </w:r>
      <w:r w:rsidRPr="005C1EF0">
        <w:rPr>
          <w:rFonts w:eastAsia="Times New Roman" w:cs="Calibri"/>
          <w:bCs/>
          <w:szCs w:val="20"/>
        </w:rPr>
        <w:t>R</w:t>
      </w:r>
      <w:r w:rsidR="00365D71">
        <w:rPr>
          <w:rFonts w:eastAsia="Times New Roman" w:cs="Calibri"/>
          <w:bCs/>
          <w:szCs w:val="20"/>
        </w:rPr>
        <w:t>.</w:t>
      </w:r>
      <w:r w:rsidRPr="005C1EF0">
        <w:rPr>
          <w:rFonts w:eastAsia="Times New Roman" w:cs="Calibri"/>
          <w:bCs/>
          <w:szCs w:val="20"/>
        </w:rPr>
        <w:t xml:space="preserve">, </w:t>
      </w:r>
      <w:proofErr w:type="spellStart"/>
      <w:r w:rsidRPr="005C1EF0">
        <w:rPr>
          <w:rFonts w:eastAsia="Times New Roman" w:cs="Calibri"/>
          <w:bCs/>
          <w:szCs w:val="20"/>
        </w:rPr>
        <w:t>Korrick</w:t>
      </w:r>
      <w:proofErr w:type="spellEnd"/>
      <w:r w:rsidR="00365D71">
        <w:rPr>
          <w:rFonts w:eastAsia="Times New Roman" w:cs="Calibri"/>
          <w:bCs/>
          <w:szCs w:val="20"/>
        </w:rPr>
        <w:t>,</w:t>
      </w:r>
      <w:r w:rsidRPr="005C1EF0">
        <w:rPr>
          <w:rFonts w:eastAsia="Times New Roman" w:cs="Calibri"/>
          <w:bCs/>
          <w:szCs w:val="20"/>
        </w:rPr>
        <w:t xml:space="preserve"> S</w:t>
      </w:r>
      <w:r w:rsidR="00365D71">
        <w:rPr>
          <w:rFonts w:eastAsia="Times New Roman" w:cs="Calibri"/>
          <w:bCs/>
          <w:szCs w:val="20"/>
        </w:rPr>
        <w:t>.</w:t>
      </w:r>
      <w:r w:rsidRPr="005C1EF0">
        <w:rPr>
          <w:rFonts w:eastAsia="Times New Roman" w:cs="Calibri"/>
          <w:bCs/>
          <w:szCs w:val="20"/>
        </w:rPr>
        <w:t>A</w:t>
      </w:r>
      <w:r w:rsidR="00365D71">
        <w:rPr>
          <w:rFonts w:eastAsia="Times New Roman" w:cs="Calibri"/>
          <w:bCs/>
          <w:szCs w:val="20"/>
        </w:rPr>
        <w:t>.</w:t>
      </w:r>
      <w:r w:rsidRPr="005C1EF0">
        <w:rPr>
          <w:rFonts w:eastAsia="Times New Roman" w:cs="Calibri"/>
          <w:bCs/>
          <w:szCs w:val="20"/>
        </w:rPr>
        <w:t>, Spengler</w:t>
      </w:r>
      <w:r w:rsidR="00365D71">
        <w:rPr>
          <w:rFonts w:eastAsia="Times New Roman" w:cs="Calibri"/>
          <w:bCs/>
          <w:szCs w:val="20"/>
        </w:rPr>
        <w:t>,</w:t>
      </w:r>
      <w:r w:rsidRPr="005C1EF0">
        <w:rPr>
          <w:rFonts w:eastAsia="Times New Roman" w:cs="Calibri"/>
          <w:bCs/>
          <w:szCs w:val="20"/>
        </w:rPr>
        <w:t xml:space="preserve"> J</w:t>
      </w:r>
      <w:r w:rsidR="00365D71">
        <w:rPr>
          <w:rFonts w:eastAsia="Times New Roman" w:cs="Calibri"/>
          <w:bCs/>
          <w:szCs w:val="20"/>
        </w:rPr>
        <w:t>.</w:t>
      </w:r>
      <w:r w:rsidRPr="005C1EF0">
        <w:rPr>
          <w:rFonts w:eastAsia="Times New Roman" w:cs="Calibri"/>
          <w:bCs/>
          <w:szCs w:val="20"/>
        </w:rPr>
        <w:t>D</w:t>
      </w:r>
      <w:r w:rsidR="00365D71">
        <w:rPr>
          <w:rFonts w:eastAsia="Times New Roman" w:cs="Calibri"/>
          <w:bCs/>
          <w:szCs w:val="20"/>
        </w:rPr>
        <w:t>.</w:t>
      </w:r>
      <w:r w:rsidRPr="005C1EF0">
        <w:rPr>
          <w:rFonts w:eastAsia="Times New Roman" w:cs="Calibri"/>
          <w:bCs/>
          <w:szCs w:val="20"/>
        </w:rPr>
        <w:t>, Soto</w:t>
      </w:r>
      <w:r w:rsidR="00365D71">
        <w:rPr>
          <w:rFonts w:eastAsia="Times New Roman" w:cs="Calibri"/>
          <w:bCs/>
          <w:szCs w:val="20"/>
        </w:rPr>
        <w:t>,</w:t>
      </w:r>
      <w:r w:rsidRPr="005C1EF0">
        <w:rPr>
          <w:rFonts w:eastAsia="Times New Roman" w:cs="Calibri"/>
          <w:bCs/>
          <w:szCs w:val="20"/>
        </w:rPr>
        <w:t xml:space="preserve"> A</w:t>
      </w:r>
      <w:r w:rsidR="00365D71">
        <w:rPr>
          <w:rFonts w:eastAsia="Times New Roman" w:cs="Calibri"/>
          <w:bCs/>
          <w:szCs w:val="20"/>
        </w:rPr>
        <w:t>.</w:t>
      </w:r>
      <w:r w:rsidRPr="005C1EF0">
        <w:rPr>
          <w:rFonts w:eastAsia="Times New Roman" w:cs="Calibri"/>
          <w:bCs/>
          <w:szCs w:val="20"/>
        </w:rPr>
        <w:t>M.</w:t>
      </w:r>
      <w:r w:rsidR="00365D71">
        <w:rPr>
          <w:rFonts w:eastAsia="Times New Roman" w:cs="Calibri"/>
          <w:bCs/>
          <w:szCs w:val="20"/>
        </w:rPr>
        <w:t>, 2006.</w:t>
      </w:r>
      <w:r w:rsidRPr="005C1EF0">
        <w:rPr>
          <w:rFonts w:eastAsia="Times New Roman" w:cs="Calibri"/>
          <w:bCs/>
          <w:szCs w:val="20"/>
        </w:rPr>
        <w:t xml:space="preserve"> Estrogenic activity of polychlorinated biphenyls present in human tissue and the environment. Environ</w:t>
      </w:r>
      <w:r w:rsidR="00365D71">
        <w:rPr>
          <w:rFonts w:eastAsia="Times New Roman" w:cs="Calibri"/>
          <w:bCs/>
          <w:szCs w:val="20"/>
        </w:rPr>
        <w:t>.</w:t>
      </w:r>
      <w:r w:rsidRPr="005C1EF0">
        <w:rPr>
          <w:rFonts w:eastAsia="Times New Roman" w:cs="Calibri"/>
          <w:bCs/>
          <w:szCs w:val="20"/>
        </w:rPr>
        <w:t xml:space="preserve"> </w:t>
      </w:r>
      <w:proofErr w:type="gramStart"/>
      <w:r w:rsidRPr="005C1EF0">
        <w:rPr>
          <w:rFonts w:eastAsia="Times New Roman" w:cs="Calibri"/>
          <w:bCs/>
          <w:szCs w:val="20"/>
        </w:rPr>
        <w:t>Sci</w:t>
      </w:r>
      <w:r w:rsidR="00365D71">
        <w:rPr>
          <w:rFonts w:eastAsia="Times New Roman" w:cs="Calibri"/>
          <w:bCs/>
          <w:szCs w:val="20"/>
        </w:rPr>
        <w:t>.</w:t>
      </w:r>
      <w:r w:rsidRPr="005C1EF0">
        <w:rPr>
          <w:rFonts w:eastAsia="Times New Roman" w:cs="Calibri"/>
          <w:bCs/>
          <w:szCs w:val="20"/>
        </w:rPr>
        <w:t xml:space="preserve"> Technol. </w:t>
      </w:r>
      <w:r w:rsidR="00365D71">
        <w:rPr>
          <w:rFonts w:eastAsia="Times New Roman" w:cs="Calibri"/>
          <w:bCs/>
          <w:szCs w:val="20"/>
        </w:rPr>
        <w:t xml:space="preserve">40(8), </w:t>
      </w:r>
      <w:r w:rsidR="006F144D" w:rsidRPr="005C1EF0">
        <w:rPr>
          <w:rFonts w:eastAsia="Times New Roman" w:cs="Calibri"/>
          <w:bCs/>
          <w:szCs w:val="20"/>
        </w:rPr>
        <w:t>2819–2825.</w:t>
      </w:r>
      <w:proofErr w:type="gramEnd"/>
      <w:r w:rsidRPr="005C1EF0">
        <w:rPr>
          <w:rFonts w:cs="Calibri"/>
          <w:iCs/>
          <w:szCs w:val="20"/>
        </w:rPr>
        <w:t xml:space="preserve"> </w:t>
      </w:r>
    </w:p>
    <w:p w:rsidR="000C6058" w:rsidRPr="000C6058" w:rsidRDefault="000C6058" w:rsidP="000C6058">
      <w:pPr>
        <w:spacing w:before="240" w:after="0" w:line="240" w:lineRule="auto"/>
        <w:rPr>
          <w:rFonts w:cs="Calibri"/>
          <w:bCs/>
        </w:rPr>
      </w:pPr>
      <w:r w:rsidRPr="000C6058">
        <w:rPr>
          <w:rFonts w:cs="Calibri"/>
          <w:bCs/>
          <w:iCs/>
          <w:color w:val="000000"/>
        </w:rPr>
        <w:t xml:space="preserve">Goncharov, A., </w:t>
      </w:r>
      <w:r w:rsidRPr="000C6058">
        <w:rPr>
          <w:rFonts w:cs="Calibri"/>
          <w:bCs/>
          <w:iCs/>
        </w:rPr>
        <w:t xml:space="preserve">Bloom, M., </w:t>
      </w:r>
      <w:r w:rsidRPr="000C6058">
        <w:rPr>
          <w:rFonts w:cs="Calibri"/>
          <w:bCs/>
          <w:iCs/>
          <w:color w:val="000000"/>
        </w:rPr>
        <w:t>Pavuk, M.,</w:t>
      </w:r>
      <w:r w:rsidRPr="000C6058">
        <w:rPr>
          <w:rFonts w:cs="Calibri"/>
          <w:bCs/>
          <w:iCs/>
        </w:rPr>
        <w:t xml:space="preserve"> Birman, I.</w:t>
      </w:r>
      <w:r w:rsidRPr="000C6058">
        <w:rPr>
          <w:rFonts w:cs="Calibri"/>
          <w:bCs/>
          <w:iCs/>
          <w:color w:val="000000"/>
        </w:rPr>
        <w:t>, Carpenter, D.O., 2010.</w:t>
      </w:r>
      <w:r w:rsidRPr="000C6058">
        <w:rPr>
          <w:rFonts w:cs="Calibri"/>
          <w:bCs/>
          <w:iCs/>
        </w:rPr>
        <w:t xml:space="preserve"> </w:t>
      </w:r>
      <w:proofErr w:type="gramStart"/>
      <w:r w:rsidRPr="000C6058">
        <w:rPr>
          <w:rFonts w:cs="Calibri"/>
        </w:rPr>
        <w:t>Blood pressure and hypertension in relation to levels of serum polychlorinated biphenyls in residents of Anniston, Alabama.</w:t>
      </w:r>
      <w:proofErr w:type="gramEnd"/>
      <w:r w:rsidRPr="000C6058">
        <w:rPr>
          <w:rFonts w:cs="Calibri"/>
        </w:rPr>
        <w:t xml:space="preserve"> J. </w:t>
      </w:r>
      <w:proofErr w:type="spellStart"/>
      <w:r w:rsidRPr="000C6058">
        <w:rPr>
          <w:rFonts w:cs="Calibri"/>
        </w:rPr>
        <w:t>Hypertens</w:t>
      </w:r>
      <w:proofErr w:type="spellEnd"/>
      <w:r w:rsidRPr="000C6058">
        <w:rPr>
          <w:rFonts w:cs="Calibri"/>
        </w:rPr>
        <w:t>. 28(10), 2053-2060.</w:t>
      </w:r>
    </w:p>
    <w:p w:rsidR="000C6058" w:rsidRPr="000C6058" w:rsidRDefault="000C6058" w:rsidP="000C6058">
      <w:pPr>
        <w:spacing w:before="240" w:after="0" w:line="240" w:lineRule="auto"/>
        <w:rPr>
          <w:rFonts w:cs="Calibri"/>
          <w:bCs/>
        </w:rPr>
      </w:pPr>
      <w:proofErr w:type="gramStart"/>
      <w:r w:rsidRPr="000C6058">
        <w:rPr>
          <w:rFonts w:cs="Calibri"/>
          <w:bCs/>
          <w:iCs/>
          <w:color w:val="000000"/>
        </w:rPr>
        <w:t>Goncharov, A., Pavuk, M., Foushee, H.R., Carpenter, D.O., 2011.</w:t>
      </w:r>
      <w:proofErr w:type="gramEnd"/>
      <w:r w:rsidRPr="000C6058">
        <w:rPr>
          <w:rFonts w:cs="Calibri"/>
          <w:bCs/>
          <w:iCs/>
          <w:color w:val="000000"/>
        </w:rPr>
        <w:t xml:space="preserve"> </w:t>
      </w:r>
      <w:r w:rsidRPr="000C6058">
        <w:rPr>
          <w:rFonts w:cs="Calibri"/>
          <w:bCs/>
        </w:rPr>
        <w:t xml:space="preserve">Blood pressure in relation to concentrations of PCB congeners and chlorinated pesticides. Environ. </w:t>
      </w:r>
      <w:proofErr w:type="gramStart"/>
      <w:r w:rsidRPr="000C6058">
        <w:rPr>
          <w:rFonts w:cs="Calibri"/>
          <w:bCs/>
        </w:rPr>
        <w:t xml:space="preserve">Health </w:t>
      </w:r>
      <w:proofErr w:type="spellStart"/>
      <w:r w:rsidRPr="000C6058">
        <w:rPr>
          <w:rFonts w:cs="Calibri"/>
          <w:bCs/>
        </w:rPr>
        <w:t>Perspect</w:t>
      </w:r>
      <w:proofErr w:type="spellEnd"/>
      <w:r w:rsidRPr="000C6058">
        <w:rPr>
          <w:rFonts w:cs="Calibri"/>
          <w:bCs/>
        </w:rPr>
        <w:t>.</w:t>
      </w:r>
      <w:proofErr w:type="gramEnd"/>
      <w:r w:rsidRPr="000C6058">
        <w:rPr>
          <w:rFonts w:cs="Calibri"/>
          <w:bCs/>
        </w:rPr>
        <w:t xml:space="preserve"> 119(3), 319-325.</w:t>
      </w:r>
    </w:p>
    <w:p w:rsidR="000C6058" w:rsidRPr="000C6058" w:rsidRDefault="000C6058" w:rsidP="005C1EF0">
      <w:pPr>
        <w:spacing w:before="120" w:after="0" w:line="240" w:lineRule="auto"/>
        <w:rPr>
          <w:bCs/>
        </w:rPr>
      </w:pPr>
      <w:r w:rsidRPr="000C6058">
        <w:rPr>
          <w:bCs/>
        </w:rPr>
        <w:t xml:space="preserve">Hansen, L.G., 1998. </w:t>
      </w:r>
      <w:proofErr w:type="gramStart"/>
      <w:r w:rsidRPr="000C6058">
        <w:rPr>
          <w:bCs/>
        </w:rPr>
        <w:t>Stepping backward to improve assessment of PCB congener toxicities.</w:t>
      </w:r>
      <w:proofErr w:type="gramEnd"/>
      <w:r w:rsidRPr="000C6058">
        <w:rPr>
          <w:bCs/>
        </w:rPr>
        <w:t xml:space="preserve"> Environ. </w:t>
      </w:r>
      <w:proofErr w:type="gramStart"/>
      <w:r w:rsidRPr="000C6058">
        <w:rPr>
          <w:bCs/>
        </w:rPr>
        <w:t xml:space="preserve">Health </w:t>
      </w:r>
      <w:proofErr w:type="spellStart"/>
      <w:r w:rsidRPr="000C6058">
        <w:rPr>
          <w:bCs/>
        </w:rPr>
        <w:t>Perspect</w:t>
      </w:r>
      <w:proofErr w:type="spellEnd"/>
      <w:r w:rsidRPr="000C6058">
        <w:rPr>
          <w:bCs/>
        </w:rPr>
        <w:t>.</w:t>
      </w:r>
      <w:proofErr w:type="gramEnd"/>
      <w:r w:rsidRPr="000C6058">
        <w:rPr>
          <w:bCs/>
        </w:rPr>
        <w:t xml:space="preserve"> 106 </w:t>
      </w:r>
      <w:proofErr w:type="spellStart"/>
      <w:r w:rsidRPr="000C6058">
        <w:rPr>
          <w:bCs/>
        </w:rPr>
        <w:t>Suppl</w:t>
      </w:r>
      <w:proofErr w:type="spellEnd"/>
      <w:r w:rsidRPr="000C6058">
        <w:rPr>
          <w:bCs/>
        </w:rPr>
        <w:t xml:space="preserve"> 1, 171-189.</w:t>
      </w:r>
    </w:p>
    <w:p w:rsidR="000B484A" w:rsidRPr="000C6058" w:rsidRDefault="000B484A" w:rsidP="005C1EF0">
      <w:pPr>
        <w:spacing w:before="120" w:after="0" w:line="240" w:lineRule="auto"/>
        <w:rPr>
          <w:rFonts w:cs="Calibri"/>
          <w:bCs/>
        </w:rPr>
      </w:pPr>
      <w:r w:rsidRPr="000C6058">
        <w:rPr>
          <w:rFonts w:cs="Calibri"/>
          <w:bCs/>
        </w:rPr>
        <w:t>Hastie</w:t>
      </w:r>
      <w:r w:rsidR="000C6058">
        <w:rPr>
          <w:rFonts w:cs="Calibri"/>
          <w:bCs/>
        </w:rPr>
        <w:t>,</w:t>
      </w:r>
      <w:r w:rsidRPr="000C6058">
        <w:rPr>
          <w:rFonts w:cs="Calibri"/>
          <w:bCs/>
        </w:rPr>
        <w:t xml:space="preserve"> T</w:t>
      </w:r>
      <w:r w:rsidR="000C6058">
        <w:rPr>
          <w:rFonts w:cs="Calibri"/>
          <w:bCs/>
        </w:rPr>
        <w:t>.</w:t>
      </w:r>
      <w:r w:rsidRPr="000C6058">
        <w:rPr>
          <w:rFonts w:cs="Calibri"/>
          <w:bCs/>
        </w:rPr>
        <w:t>J</w:t>
      </w:r>
      <w:r w:rsidR="000C6058">
        <w:rPr>
          <w:rFonts w:cs="Calibri"/>
          <w:bCs/>
        </w:rPr>
        <w:t>.</w:t>
      </w:r>
      <w:r w:rsidRPr="000C6058">
        <w:rPr>
          <w:rFonts w:cs="Calibri"/>
          <w:bCs/>
        </w:rPr>
        <w:t xml:space="preserve">, </w:t>
      </w:r>
      <w:proofErr w:type="spellStart"/>
      <w:r w:rsidRPr="000C6058">
        <w:rPr>
          <w:rFonts w:cs="Calibri"/>
          <w:bCs/>
        </w:rPr>
        <w:t>Tibshirani</w:t>
      </w:r>
      <w:proofErr w:type="spellEnd"/>
      <w:r w:rsidR="000C6058">
        <w:rPr>
          <w:rFonts w:cs="Calibri"/>
          <w:bCs/>
        </w:rPr>
        <w:t>,</w:t>
      </w:r>
      <w:r w:rsidRPr="000C6058">
        <w:rPr>
          <w:rFonts w:cs="Calibri"/>
          <w:bCs/>
        </w:rPr>
        <w:t xml:space="preserve"> R</w:t>
      </w:r>
      <w:r w:rsidR="000C6058">
        <w:rPr>
          <w:rFonts w:cs="Calibri"/>
          <w:bCs/>
        </w:rPr>
        <w:t>.</w:t>
      </w:r>
      <w:r w:rsidRPr="000C6058">
        <w:rPr>
          <w:rFonts w:cs="Calibri"/>
          <w:bCs/>
        </w:rPr>
        <w:t>J.</w:t>
      </w:r>
      <w:r w:rsidR="000C6058">
        <w:rPr>
          <w:rFonts w:cs="Calibri"/>
          <w:bCs/>
        </w:rPr>
        <w:t>, 1990.</w:t>
      </w:r>
      <w:r w:rsidRPr="000C6058">
        <w:rPr>
          <w:rFonts w:cs="Calibri"/>
          <w:bCs/>
        </w:rPr>
        <w:t xml:space="preserve"> </w:t>
      </w:r>
      <w:proofErr w:type="gramStart"/>
      <w:r w:rsidRPr="000C6058">
        <w:rPr>
          <w:rFonts w:cs="Calibri"/>
          <w:bCs/>
        </w:rPr>
        <w:t>Gene</w:t>
      </w:r>
      <w:r w:rsidR="000C6058">
        <w:rPr>
          <w:rFonts w:cs="Calibri"/>
          <w:bCs/>
        </w:rPr>
        <w:t>ralized Additive Models.</w:t>
      </w:r>
      <w:proofErr w:type="gramEnd"/>
      <w:r w:rsidR="000C6058">
        <w:rPr>
          <w:rFonts w:cs="Calibri"/>
          <w:bCs/>
        </w:rPr>
        <w:t xml:space="preserve"> </w:t>
      </w:r>
      <w:proofErr w:type="gramStart"/>
      <w:r w:rsidR="000C6058">
        <w:rPr>
          <w:rFonts w:cs="Calibri"/>
          <w:bCs/>
        </w:rPr>
        <w:t>Chapman &amp; Hall, Atlanta</w:t>
      </w:r>
      <w:r w:rsidRPr="000C6058">
        <w:rPr>
          <w:rFonts w:cs="Calibri"/>
          <w:bCs/>
        </w:rPr>
        <w:t>.</w:t>
      </w:r>
      <w:proofErr w:type="gramEnd"/>
    </w:p>
    <w:p w:rsidR="00BD322B" w:rsidRPr="005C1EF0" w:rsidRDefault="000B484A" w:rsidP="005C1EF0">
      <w:pPr>
        <w:spacing w:before="120" w:after="0" w:line="240" w:lineRule="auto"/>
        <w:rPr>
          <w:rFonts w:cs="Calibri"/>
          <w:bCs/>
          <w:szCs w:val="20"/>
        </w:rPr>
      </w:pPr>
      <w:proofErr w:type="spellStart"/>
      <w:r w:rsidRPr="000C6058">
        <w:rPr>
          <w:rFonts w:cs="Calibri"/>
          <w:bCs/>
        </w:rPr>
        <w:t>Inzucchi</w:t>
      </w:r>
      <w:proofErr w:type="spellEnd"/>
      <w:r w:rsidR="00BD322B">
        <w:rPr>
          <w:rFonts w:cs="Calibri"/>
          <w:bCs/>
        </w:rPr>
        <w:t>,</w:t>
      </w:r>
      <w:r w:rsidRPr="000C6058">
        <w:rPr>
          <w:rFonts w:cs="Calibri"/>
          <w:bCs/>
        </w:rPr>
        <w:t xml:space="preserve"> S</w:t>
      </w:r>
      <w:r w:rsidR="00BD322B">
        <w:rPr>
          <w:rFonts w:cs="Calibri"/>
          <w:bCs/>
        </w:rPr>
        <w:t>.</w:t>
      </w:r>
      <w:r w:rsidRPr="000C6058">
        <w:rPr>
          <w:rFonts w:cs="Calibri"/>
          <w:bCs/>
        </w:rPr>
        <w:t>E</w:t>
      </w:r>
      <w:r w:rsidR="00BD322B">
        <w:rPr>
          <w:rFonts w:cs="Calibri"/>
          <w:bCs/>
        </w:rPr>
        <w:t>.</w:t>
      </w:r>
      <w:r w:rsidRPr="000C6058">
        <w:rPr>
          <w:rFonts w:cs="Calibri"/>
          <w:bCs/>
        </w:rPr>
        <w:t>, Sher</w:t>
      </w:r>
      <w:r w:rsidR="00BD322B">
        <w:rPr>
          <w:rFonts w:cs="Calibri"/>
          <w:bCs/>
        </w:rPr>
        <w:t>w</w:t>
      </w:r>
      <w:r w:rsidRPr="000C6058">
        <w:rPr>
          <w:rFonts w:cs="Calibri"/>
          <w:bCs/>
        </w:rPr>
        <w:t>in</w:t>
      </w:r>
      <w:r w:rsidR="00BD322B">
        <w:rPr>
          <w:rFonts w:cs="Calibri"/>
          <w:bCs/>
        </w:rPr>
        <w:t>,</w:t>
      </w:r>
      <w:r w:rsidRPr="000C6058">
        <w:rPr>
          <w:rFonts w:cs="Calibri"/>
          <w:bCs/>
        </w:rPr>
        <w:t xml:space="preserve"> R</w:t>
      </w:r>
      <w:r w:rsidR="00BD322B">
        <w:rPr>
          <w:rFonts w:cs="Calibri"/>
          <w:bCs/>
        </w:rPr>
        <w:t>.</w:t>
      </w:r>
      <w:r w:rsidRPr="000C6058">
        <w:rPr>
          <w:rFonts w:cs="Calibri"/>
          <w:bCs/>
        </w:rPr>
        <w:t>S.</w:t>
      </w:r>
      <w:r w:rsidR="00BD322B">
        <w:rPr>
          <w:rFonts w:cs="Calibri"/>
          <w:bCs/>
        </w:rPr>
        <w:t>, 2008.</w:t>
      </w:r>
      <w:r w:rsidRPr="000C6058">
        <w:rPr>
          <w:rFonts w:cs="Calibri"/>
          <w:bCs/>
        </w:rPr>
        <w:t xml:space="preserve"> Type 2 Diabetes</w:t>
      </w:r>
      <w:r w:rsidRPr="005C1EF0">
        <w:rPr>
          <w:rFonts w:cs="Calibri"/>
          <w:bCs/>
          <w:szCs w:val="20"/>
        </w:rPr>
        <w:t xml:space="preserve"> Mellitus</w:t>
      </w:r>
      <w:r w:rsidR="00BD322B">
        <w:rPr>
          <w:rFonts w:cs="Calibri"/>
          <w:bCs/>
          <w:szCs w:val="20"/>
        </w:rPr>
        <w:t xml:space="preserve">, in: </w:t>
      </w:r>
      <w:r w:rsidRPr="005C1EF0">
        <w:rPr>
          <w:rFonts w:cs="Calibri"/>
          <w:bCs/>
          <w:szCs w:val="20"/>
        </w:rPr>
        <w:t>Goldman,</w:t>
      </w:r>
      <w:r w:rsidR="00BD322B">
        <w:rPr>
          <w:rFonts w:cs="Calibri"/>
          <w:bCs/>
          <w:szCs w:val="20"/>
        </w:rPr>
        <w:t xml:space="preserve"> L.,</w:t>
      </w:r>
      <w:r w:rsidRPr="005C1EF0">
        <w:rPr>
          <w:rFonts w:cs="Calibri"/>
          <w:bCs/>
          <w:szCs w:val="20"/>
        </w:rPr>
        <w:t xml:space="preserve"> </w:t>
      </w:r>
      <w:proofErr w:type="spellStart"/>
      <w:r w:rsidRPr="005C1EF0">
        <w:rPr>
          <w:rFonts w:cs="Calibri"/>
          <w:bCs/>
          <w:szCs w:val="20"/>
        </w:rPr>
        <w:t>Aussielo</w:t>
      </w:r>
      <w:proofErr w:type="spellEnd"/>
      <w:r w:rsidR="00BD322B">
        <w:rPr>
          <w:rFonts w:cs="Calibri"/>
          <w:bCs/>
          <w:szCs w:val="20"/>
        </w:rPr>
        <w:t>, D.A., (</w:t>
      </w:r>
      <w:r w:rsidRPr="005C1EF0">
        <w:rPr>
          <w:rFonts w:cs="Calibri"/>
          <w:bCs/>
          <w:szCs w:val="20"/>
        </w:rPr>
        <w:t>Ed</w:t>
      </w:r>
      <w:r w:rsidR="00BD322B">
        <w:rPr>
          <w:rFonts w:cs="Calibri"/>
          <w:bCs/>
          <w:szCs w:val="20"/>
        </w:rPr>
        <w:t>s</w:t>
      </w:r>
      <w:r w:rsidRPr="005C1EF0">
        <w:rPr>
          <w:rFonts w:cs="Calibri"/>
          <w:bCs/>
          <w:szCs w:val="20"/>
        </w:rPr>
        <w:t>.</w:t>
      </w:r>
      <w:r w:rsidR="00BD322B">
        <w:rPr>
          <w:rFonts w:cs="Calibri"/>
          <w:bCs/>
          <w:szCs w:val="20"/>
        </w:rPr>
        <w:t>),</w:t>
      </w:r>
      <w:r w:rsidR="00BD322B" w:rsidRPr="005C1EF0">
        <w:rPr>
          <w:rFonts w:cs="Calibri"/>
          <w:bCs/>
          <w:szCs w:val="20"/>
        </w:rPr>
        <w:t xml:space="preserve"> Cecil Medicine</w:t>
      </w:r>
      <w:r w:rsidR="00BD322B">
        <w:rPr>
          <w:rFonts w:cs="Calibri"/>
          <w:bCs/>
          <w:szCs w:val="20"/>
        </w:rPr>
        <w:t>, 23</w:t>
      </w:r>
      <w:r w:rsidR="00BD322B" w:rsidRPr="00BD322B">
        <w:rPr>
          <w:rFonts w:cs="Calibri"/>
          <w:bCs/>
          <w:szCs w:val="20"/>
          <w:vertAlign w:val="superscript"/>
        </w:rPr>
        <w:t>rd</w:t>
      </w:r>
      <w:r w:rsidR="00BD322B">
        <w:rPr>
          <w:rFonts w:cs="Calibri"/>
          <w:bCs/>
          <w:szCs w:val="20"/>
        </w:rPr>
        <w:t xml:space="preserve"> ed. </w:t>
      </w:r>
      <w:r w:rsidRPr="005C1EF0">
        <w:rPr>
          <w:rFonts w:cs="Calibri"/>
          <w:bCs/>
          <w:szCs w:val="20"/>
        </w:rPr>
        <w:t>Saunders Elsevier, Philadelphia</w:t>
      </w:r>
      <w:r w:rsidR="00BD322B">
        <w:rPr>
          <w:rFonts w:cs="Calibri"/>
          <w:bCs/>
          <w:szCs w:val="20"/>
        </w:rPr>
        <w:t xml:space="preserve">, pp. </w:t>
      </w:r>
      <w:r w:rsidRPr="005C1EF0">
        <w:rPr>
          <w:rFonts w:cs="Calibri"/>
          <w:bCs/>
          <w:szCs w:val="20"/>
        </w:rPr>
        <w:t>1748-1759.</w:t>
      </w:r>
    </w:p>
    <w:p w:rsidR="000B484A" w:rsidRPr="005C1EF0" w:rsidRDefault="000B484A" w:rsidP="005C1EF0">
      <w:pPr>
        <w:spacing w:before="120" w:after="0" w:line="240" w:lineRule="auto"/>
        <w:rPr>
          <w:rFonts w:cs="Calibri"/>
          <w:szCs w:val="20"/>
        </w:rPr>
      </w:pPr>
      <w:proofErr w:type="spellStart"/>
      <w:proofErr w:type="gramStart"/>
      <w:r w:rsidRPr="005C1EF0">
        <w:rPr>
          <w:rFonts w:cs="Calibri"/>
          <w:bCs/>
          <w:szCs w:val="20"/>
        </w:rPr>
        <w:t>Knobeloch</w:t>
      </w:r>
      <w:proofErr w:type="spellEnd"/>
      <w:r w:rsidR="0001320A">
        <w:rPr>
          <w:rFonts w:cs="Calibri"/>
          <w:bCs/>
          <w:szCs w:val="20"/>
        </w:rPr>
        <w:t>,</w:t>
      </w:r>
      <w:r w:rsidRPr="005C1EF0">
        <w:rPr>
          <w:rFonts w:cs="Calibri"/>
          <w:szCs w:val="20"/>
        </w:rPr>
        <w:t xml:space="preserve"> L</w:t>
      </w:r>
      <w:r w:rsidR="0001320A">
        <w:rPr>
          <w:rFonts w:cs="Calibri"/>
          <w:szCs w:val="20"/>
        </w:rPr>
        <w:t>.</w:t>
      </w:r>
      <w:r w:rsidRPr="005C1EF0">
        <w:rPr>
          <w:rFonts w:cs="Calibri"/>
          <w:szCs w:val="20"/>
        </w:rPr>
        <w:t xml:space="preserve">, </w:t>
      </w:r>
      <w:proofErr w:type="spellStart"/>
      <w:r w:rsidRPr="005C1EF0">
        <w:rPr>
          <w:rFonts w:cs="Calibri"/>
          <w:szCs w:val="20"/>
        </w:rPr>
        <w:t>Turyk</w:t>
      </w:r>
      <w:proofErr w:type="spellEnd"/>
      <w:r w:rsidR="0001320A">
        <w:rPr>
          <w:rFonts w:cs="Calibri"/>
          <w:szCs w:val="20"/>
        </w:rPr>
        <w:t>,</w:t>
      </w:r>
      <w:r w:rsidRPr="005C1EF0">
        <w:rPr>
          <w:rFonts w:cs="Calibri"/>
          <w:szCs w:val="20"/>
        </w:rPr>
        <w:t xml:space="preserve"> M</w:t>
      </w:r>
      <w:r w:rsidR="0001320A">
        <w:rPr>
          <w:rFonts w:cs="Calibri"/>
          <w:szCs w:val="20"/>
        </w:rPr>
        <w:t>.</w:t>
      </w:r>
      <w:r w:rsidRPr="005C1EF0">
        <w:rPr>
          <w:rFonts w:cs="Calibri"/>
          <w:szCs w:val="20"/>
        </w:rPr>
        <w:t xml:space="preserve">, </w:t>
      </w:r>
      <w:proofErr w:type="spellStart"/>
      <w:r w:rsidRPr="005C1EF0">
        <w:rPr>
          <w:rFonts w:cs="Calibri"/>
          <w:szCs w:val="20"/>
        </w:rPr>
        <w:t>Imm</w:t>
      </w:r>
      <w:proofErr w:type="spellEnd"/>
      <w:r w:rsidR="0001320A">
        <w:rPr>
          <w:rFonts w:cs="Calibri"/>
          <w:szCs w:val="20"/>
        </w:rPr>
        <w:t>,</w:t>
      </w:r>
      <w:r w:rsidRPr="005C1EF0">
        <w:rPr>
          <w:rFonts w:cs="Calibri"/>
          <w:szCs w:val="20"/>
        </w:rPr>
        <w:t xml:space="preserve"> P</w:t>
      </w:r>
      <w:r w:rsidR="0001320A">
        <w:rPr>
          <w:rFonts w:cs="Calibri"/>
          <w:szCs w:val="20"/>
        </w:rPr>
        <w:t>.</w:t>
      </w:r>
      <w:r w:rsidRPr="005C1EF0">
        <w:rPr>
          <w:rFonts w:cs="Calibri"/>
          <w:szCs w:val="20"/>
        </w:rPr>
        <w:t xml:space="preserve">, </w:t>
      </w:r>
      <w:proofErr w:type="spellStart"/>
      <w:r w:rsidRPr="005C1EF0">
        <w:rPr>
          <w:rFonts w:cs="Calibri"/>
          <w:szCs w:val="20"/>
        </w:rPr>
        <w:t>Schrank</w:t>
      </w:r>
      <w:proofErr w:type="spellEnd"/>
      <w:r w:rsidR="0001320A">
        <w:rPr>
          <w:rFonts w:cs="Calibri"/>
          <w:szCs w:val="20"/>
        </w:rPr>
        <w:t>,</w:t>
      </w:r>
      <w:r w:rsidRPr="005C1EF0">
        <w:rPr>
          <w:rFonts w:cs="Calibri"/>
          <w:szCs w:val="20"/>
        </w:rPr>
        <w:t xml:space="preserve"> C</w:t>
      </w:r>
      <w:r w:rsidR="0001320A">
        <w:rPr>
          <w:rFonts w:cs="Calibri"/>
          <w:szCs w:val="20"/>
        </w:rPr>
        <w:t>.</w:t>
      </w:r>
      <w:r w:rsidRPr="005C1EF0">
        <w:rPr>
          <w:rFonts w:cs="Calibri"/>
          <w:szCs w:val="20"/>
        </w:rPr>
        <w:t>, Anderson</w:t>
      </w:r>
      <w:r w:rsidR="0001320A">
        <w:rPr>
          <w:rFonts w:cs="Calibri"/>
          <w:szCs w:val="20"/>
        </w:rPr>
        <w:t>,</w:t>
      </w:r>
      <w:r w:rsidRPr="005C1EF0">
        <w:rPr>
          <w:rFonts w:cs="Calibri"/>
          <w:szCs w:val="20"/>
        </w:rPr>
        <w:t xml:space="preserve"> H.</w:t>
      </w:r>
      <w:r w:rsidR="0001320A">
        <w:rPr>
          <w:rFonts w:cs="Calibri"/>
          <w:szCs w:val="20"/>
        </w:rPr>
        <w:t>, 2009.</w:t>
      </w:r>
      <w:proofErr w:type="gramEnd"/>
      <w:r w:rsidRPr="005C1EF0">
        <w:rPr>
          <w:rFonts w:cs="Calibri"/>
          <w:szCs w:val="20"/>
        </w:rPr>
        <w:t xml:space="preserve"> Temporal changes in </w:t>
      </w:r>
      <w:r w:rsidRPr="005C1EF0">
        <w:rPr>
          <w:rFonts w:cs="Calibri"/>
          <w:bCs/>
          <w:szCs w:val="20"/>
        </w:rPr>
        <w:t>PCB</w:t>
      </w:r>
      <w:r w:rsidRPr="005C1EF0">
        <w:rPr>
          <w:rFonts w:cs="Calibri"/>
          <w:szCs w:val="20"/>
        </w:rPr>
        <w:t xml:space="preserve"> and DDE levels among a cohort of frequent and infrequent consumers of Great Lakes </w:t>
      </w:r>
      <w:proofErr w:type="spellStart"/>
      <w:r w:rsidRPr="005C1EF0">
        <w:rPr>
          <w:rFonts w:cs="Calibri"/>
          <w:szCs w:val="20"/>
        </w:rPr>
        <w:t>sportfish</w:t>
      </w:r>
      <w:proofErr w:type="spellEnd"/>
      <w:r w:rsidRPr="005C1EF0">
        <w:rPr>
          <w:rFonts w:cs="Calibri"/>
          <w:szCs w:val="20"/>
        </w:rPr>
        <w:t xml:space="preserve">. </w:t>
      </w:r>
      <w:r w:rsidRPr="005C1EF0">
        <w:rPr>
          <w:rStyle w:val="jrnl"/>
          <w:rFonts w:cs="Calibri"/>
          <w:szCs w:val="20"/>
        </w:rPr>
        <w:t>Environ</w:t>
      </w:r>
      <w:r w:rsidR="0001320A">
        <w:rPr>
          <w:rStyle w:val="jrnl"/>
          <w:rFonts w:cs="Calibri"/>
          <w:szCs w:val="20"/>
        </w:rPr>
        <w:t>.</w:t>
      </w:r>
      <w:r w:rsidRPr="005C1EF0">
        <w:rPr>
          <w:rStyle w:val="jrnl"/>
          <w:rFonts w:cs="Calibri"/>
          <w:szCs w:val="20"/>
        </w:rPr>
        <w:t xml:space="preserve"> Res</w:t>
      </w:r>
      <w:r w:rsidR="0001320A">
        <w:rPr>
          <w:rStyle w:val="jrnl"/>
          <w:rFonts w:cs="Calibri"/>
          <w:szCs w:val="20"/>
        </w:rPr>
        <w:t xml:space="preserve">. </w:t>
      </w:r>
      <w:r w:rsidR="0001320A">
        <w:rPr>
          <w:rFonts w:cs="Calibri"/>
          <w:szCs w:val="20"/>
        </w:rPr>
        <w:t xml:space="preserve">109(1), </w:t>
      </w:r>
      <w:r w:rsidRPr="005C1EF0">
        <w:rPr>
          <w:rFonts w:cs="Calibri"/>
          <w:szCs w:val="20"/>
        </w:rPr>
        <w:t>66-72.</w:t>
      </w:r>
    </w:p>
    <w:p w:rsidR="00097245" w:rsidRDefault="004053DC" w:rsidP="00097245">
      <w:pPr>
        <w:spacing w:before="120" w:after="0" w:line="240" w:lineRule="auto"/>
        <w:rPr>
          <w:rFonts w:cs="Calibri"/>
          <w:szCs w:val="20"/>
        </w:rPr>
      </w:pPr>
      <w:r w:rsidRPr="005C1EF0">
        <w:rPr>
          <w:rFonts w:cs="Calibri"/>
          <w:szCs w:val="20"/>
        </w:rPr>
        <w:t>Lee</w:t>
      </w:r>
      <w:r w:rsidR="0001320A">
        <w:rPr>
          <w:rFonts w:cs="Calibri"/>
          <w:szCs w:val="20"/>
        </w:rPr>
        <w:t>,</w:t>
      </w:r>
      <w:r w:rsidRPr="005C1EF0">
        <w:rPr>
          <w:rFonts w:cs="Calibri"/>
          <w:szCs w:val="20"/>
        </w:rPr>
        <w:t xml:space="preserve"> D</w:t>
      </w:r>
      <w:r w:rsidR="0001320A">
        <w:rPr>
          <w:rFonts w:cs="Calibri"/>
          <w:szCs w:val="20"/>
        </w:rPr>
        <w:t>.</w:t>
      </w:r>
      <w:r w:rsidRPr="005C1EF0">
        <w:rPr>
          <w:rFonts w:cs="Calibri"/>
          <w:szCs w:val="20"/>
        </w:rPr>
        <w:t>H</w:t>
      </w:r>
      <w:r w:rsidR="0001320A">
        <w:rPr>
          <w:rFonts w:cs="Calibri"/>
          <w:szCs w:val="20"/>
        </w:rPr>
        <w:t>.</w:t>
      </w:r>
      <w:r w:rsidRPr="005C1EF0">
        <w:rPr>
          <w:rFonts w:cs="Calibri"/>
          <w:szCs w:val="20"/>
        </w:rPr>
        <w:t>, Lind</w:t>
      </w:r>
      <w:r w:rsidR="0001320A">
        <w:rPr>
          <w:rFonts w:cs="Calibri"/>
          <w:szCs w:val="20"/>
        </w:rPr>
        <w:t>,</w:t>
      </w:r>
      <w:r w:rsidRPr="005C1EF0">
        <w:rPr>
          <w:rFonts w:cs="Calibri"/>
          <w:szCs w:val="20"/>
        </w:rPr>
        <w:t xml:space="preserve"> L</w:t>
      </w:r>
      <w:r w:rsidR="0001320A">
        <w:rPr>
          <w:rFonts w:cs="Calibri"/>
          <w:szCs w:val="20"/>
        </w:rPr>
        <w:t>.</w:t>
      </w:r>
      <w:r w:rsidRPr="005C1EF0">
        <w:rPr>
          <w:rFonts w:cs="Calibri"/>
          <w:szCs w:val="20"/>
        </w:rPr>
        <w:t>, Jacobs</w:t>
      </w:r>
      <w:r w:rsidR="0001320A">
        <w:rPr>
          <w:rFonts w:cs="Calibri"/>
          <w:szCs w:val="20"/>
        </w:rPr>
        <w:t xml:space="preserve"> Jr.,</w:t>
      </w:r>
      <w:r w:rsidRPr="005C1EF0">
        <w:rPr>
          <w:rFonts w:cs="Calibri"/>
          <w:szCs w:val="20"/>
        </w:rPr>
        <w:t xml:space="preserve"> D</w:t>
      </w:r>
      <w:r w:rsidR="0001320A">
        <w:rPr>
          <w:rFonts w:cs="Calibri"/>
          <w:szCs w:val="20"/>
        </w:rPr>
        <w:t>.</w:t>
      </w:r>
      <w:r w:rsidRPr="005C1EF0">
        <w:rPr>
          <w:rFonts w:cs="Calibri"/>
          <w:szCs w:val="20"/>
        </w:rPr>
        <w:t>R</w:t>
      </w:r>
      <w:proofErr w:type="gramStart"/>
      <w:r w:rsidR="0001320A">
        <w:rPr>
          <w:rFonts w:cs="Calibri"/>
          <w:szCs w:val="20"/>
        </w:rPr>
        <w:t>.</w:t>
      </w:r>
      <w:r w:rsidRPr="005C1EF0">
        <w:rPr>
          <w:rFonts w:cs="Calibri"/>
          <w:szCs w:val="20"/>
        </w:rPr>
        <w:t xml:space="preserve"> ,</w:t>
      </w:r>
      <w:proofErr w:type="gramEnd"/>
      <w:r w:rsidRPr="005C1EF0">
        <w:rPr>
          <w:rFonts w:cs="Calibri"/>
          <w:szCs w:val="20"/>
        </w:rPr>
        <w:t xml:space="preserve"> </w:t>
      </w:r>
      <w:proofErr w:type="spellStart"/>
      <w:r w:rsidRPr="005C1EF0">
        <w:rPr>
          <w:rFonts w:cs="Calibri"/>
          <w:szCs w:val="20"/>
        </w:rPr>
        <w:t>Salihovic</w:t>
      </w:r>
      <w:proofErr w:type="spellEnd"/>
      <w:r w:rsidR="0001320A">
        <w:rPr>
          <w:rFonts w:cs="Calibri"/>
          <w:szCs w:val="20"/>
        </w:rPr>
        <w:t>,</w:t>
      </w:r>
      <w:r w:rsidRPr="005C1EF0">
        <w:rPr>
          <w:rFonts w:cs="Calibri"/>
          <w:szCs w:val="20"/>
        </w:rPr>
        <w:t xml:space="preserve"> S</w:t>
      </w:r>
      <w:r w:rsidR="0001320A">
        <w:rPr>
          <w:rFonts w:cs="Calibri"/>
          <w:szCs w:val="20"/>
        </w:rPr>
        <w:t>.</w:t>
      </w:r>
      <w:r w:rsidRPr="005C1EF0">
        <w:rPr>
          <w:rFonts w:cs="Calibri"/>
          <w:szCs w:val="20"/>
        </w:rPr>
        <w:t xml:space="preserve">, van </w:t>
      </w:r>
      <w:proofErr w:type="spellStart"/>
      <w:r w:rsidRPr="005C1EF0">
        <w:rPr>
          <w:rFonts w:cs="Calibri"/>
          <w:szCs w:val="20"/>
        </w:rPr>
        <w:t>Bavel</w:t>
      </w:r>
      <w:proofErr w:type="spellEnd"/>
      <w:r w:rsidR="0001320A">
        <w:rPr>
          <w:rFonts w:cs="Calibri"/>
          <w:szCs w:val="20"/>
        </w:rPr>
        <w:t>,</w:t>
      </w:r>
      <w:r w:rsidRPr="005C1EF0">
        <w:rPr>
          <w:rFonts w:cs="Calibri"/>
          <w:szCs w:val="20"/>
        </w:rPr>
        <w:t xml:space="preserve"> B</w:t>
      </w:r>
      <w:r w:rsidR="0001320A">
        <w:rPr>
          <w:rFonts w:cs="Calibri"/>
          <w:szCs w:val="20"/>
        </w:rPr>
        <w:t>.</w:t>
      </w:r>
      <w:r w:rsidRPr="005C1EF0">
        <w:rPr>
          <w:rFonts w:cs="Calibri"/>
          <w:szCs w:val="20"/>
        </w:rPr>
        <w:t>, Lind</w:t>
      </w:r>
      <w:r w:rsidR="0001320A">
        <w:rPr>
          <w:rFonts w:cs="Calibri"/>
          <w:szCs w:val="20"/>
        </w:rPr>
        <w:t>,</w:t>
      </w:r>
      <w:r w:rsidRPr="005C1EF0">
        <w:rPr>
          <w:rFonts w:cs="Calibri"/>
          <w:szCs w:val="20"/>
        </w:rPr>
        <w:t xml:space="preserve"> P</w:t>
      </w:r>
      <w:r w:rsidR="0001320A">
        <w:rPr>
          <w:rFonts w:cs="Calibri"/>
          <w:szCs w:val="20"/>
        </w:rPr>
        <w:t>.</w:t>
      </w:r>
      <w:r w:rsidRPr="005C1EF0">
        <w:rPr>
          <w:rFonts w:cs="Calibri"/>
          <w:szCs w:val="20"/>
        </w:rPr>
        <w:t>M.</w:t>
      </w:r>
      <w:r w:rsidR="0001320A">
        <w:rPr>
          <w:rFonts w:cs="Calibri"/>
          <w:szCs w:val="20"/>
        </w:rPr>
        <w:t>, 2012.</w:t>
      </w:r>
      <w:r w:rsidRPr="005C1EF0">
        <w:rPr>
          <w:rFonts w:cs="Calibri"/>
          <w:szCs w:val="20"/>
        </w:rPr>
        <w:t xml:space="preserve"> Associations of persistent organic pollutants with abdominal obesity in the elderly: The Prospective Investigation of the Vasculature in Uppsala Seniors (PIVUS) study. Environ</w:t>
      </w:r>
      <w:r w:rsidR="0001320A">
        <w:rPr>
          <w:rFonts w:cs="Calibri"/>
          <w:szCs w:val="20"/>
        </w:rPr>
        <w:t>.</w:t>
      </w:r>
      <w:r w:rsidRPr="005C1EF0">
        <w:rPr>
          <w:rFonts w:cs="Calibri"/>
          <w:szCs w:val="20"/>
        </w:rPr>
        <w:t xml:space="preserve"> Int. </w:t>
      </w:r>
      <w:r w:rsidR="0001320A">
        <w:rPr>
          <w:rFonts w:cs="Calibri"/>
          <w:szCs w:val="20"/>
        </w:rPr>
        <w:t xml:space="preserve">40, </w:t>
      </w:r>
      <w:r w:rsidRPr="005C1EF0">
        <w:rPr>
          <w:rFonts w:cs="Calibri"/>
          <w:szCs w:val="20"/>
        </w:rPr>
        <w:t>170-</w:t>
      </w:r>
      <w:r w:rsidR="0001320A">
        <w:rPr>
          <w:rFonts w:cs="Calibri"/>
          <w:szCs w:val="20"/>
        </w:rPr>
        <w:t>17</w:t>
      </w:r>
      <w:r w:rsidRPr="005C1EF0">
        <w:rPr>
          <w:rFonts w:cs="Calibri"/>
          <w:szCs w:val="20"/>
        </w:rPr>
        <w:t>8.</w:t>
      </w:r>
    </w:p>
    <w:p w:rsidR="00097245" w:rsidRPr="00097245" w:rsidRDefault="00097245" w:rsidP="00097245">
      <w:pPr>
        <w:spacing w:before="120" w:after="0" w:line="240" w:lineRule="auto"/>
        <w:rPr>
          <w:rFonts w:cs="Calibri"/>
          <w:szCs w:val="20"/>
        </w:rPr>
      </w:pPr>
      <w:proofErr w:type="spellStart"/>
      <w:proofErr w:type="gramStart"/>
      <w:r>
        <w:lastRenderedPageBreak/>
        <w:t>Longnecker</w:t>
      </w:r>
      <w:proofErr w:type="spellEnd"/>
      <w:r>
        <w:t xml:space="preserve">, M.P., Rogan, W.J., </w:t>
      </w:r>
      <w:proofErr w:type="spellStart"/>
      <w:r>
        <w:t>Lucier</w:t>
      </w:r>
      <w:proofErr w:type="spellEnd"/>
      <w:r>
        <w:t>, G., 1997.</w:t>
      </w:r>
      <w:proofErr w:type="gramEnd"/>
      <w:r>
        <w:t xml:space="preserve"> The human health effects of DDT (dichlorodiphenyltrichloroethane) and PCBS (polychlorinated biphenyls) and an overview of </w:t>
      </w:r>
      <w:proofErr w:type="spellStart"/>
      <w:r>
        <w:t>organochlorines</w:t>
      </w:r>
      <w:proofErr w:type="spellEnd"/>
      <w:r>
        <w:t xml:space="preserve"> in public health.</w:t>
      </w:r>
      <w:r w:rsidRPr="00D94533">
        <w:t xml:space="preserve"> </w:t>
      </w:r>
      <w:proofErr w:type="spellStart"/>
      <w:proofErr w:type="gramStart"/>
      <w:r w:rsidRPr="00D94533">
        <w:t>Annu</w:t>
      </w:r>
      <w:proofErr w:type="spellEnd"/>
      <w:r>
        <w:t>.</w:t>
      </w:r>
      <w:proofErr w:type="gramEnd"/>
      <w:r w:rsidRPr="00D94533">
        <w:t xml:space="preserve"> Rev</w:t>
      </w:r>
      <w:r>
        <w:t>.</w:t>
      </w:r>
      <w:r w:rsidRPr="00D94533">
        <w:t xml:space="preserve"> Public</w:t>
      </w:r>
      <w:r>
        <w:t xml:space="preserve"> Health 18, 211-244.</w:t>
      </w:r>
    </w:p>
    <w:p w:rsidR="000B484A" w:rsidRPr="005C1EF0" w:rsidRDefault="000B484A" w:rsidP="005C1EF0">
      <w:pPr>
        <w:spacing w:before="120" w:after="0" w:line="240" w:lineRule="auto"/>
        <w:rPr>
          <w:rFonts w:cs="Calibri"/>
          <w:szCs w:val="20"/>
        </w:rPr>
      </w:pPr>
      <w:proofErr w:type="spellStart"/>
      <w:proofErr w:type="gramStart"/>
      <w:r w:rsidRPr="005C1EF0">
        <w:rPr>
          <w:rFonts w:cs="Calibri"/>
          <w:szCs w:val="20"/>
        </w:rPr>
        <w:t>Machin</w:t>
      </w:r>
      <w:proofErr w:type="spellEnd"/>
      <w:r w:rsidRPr="005C1EF0">
        <w:rPr>
          <w:rFonts w:cs="Calibri"/>
          <w:szCs w:val="20"/>
        </w:rPr>
        <w:t>, D., Campbell</w:t>
      </w:r>
      <w:r w:rsidR="00097245">
        <w:rPr>
          <w:rFonts w:cs="Calibri"/>
          <w:szCs w:val="20"/>
        </w:rPr>
        <w:t xml:space="preserve">, M., </w:t>
      </w:r>
      <w:proofErr w:type="spellStart"/>
      <w:r w:rsidR="00097245">
        <w:rPr>
          <w:rFonts w:cs="Calibri"/>
          <w:szCs w:val="20"/>
        </w:rPr>
        <w:t>Fayers</w:t>
      </w:r>
      <w:proofErr w:type="spellEnd"/>
      <w:r w:rsidR="00097245">
        <w:rPr>
          <w:rFonts w:cs="Calibri"/>
          <w:szCs w:val="20"/>
        </w:rPr>
        <w:t xml:space="preserve">, P., and </w:t>
      </w:r>
      <w:proofErr w:type="spellStart"/>
      <w:r w:rsidR="00097245">
        <w:rPr>
          <w:rFonts w:cs="Calibri"/>
          <w:szCs w:val="20"/>
        </w:rPr>
        <w:t>Pinol</w:t>
      </w:r>
      <w:proofErr w:type="spellEnd"/>
      <w:r w:rsidR="00097245">
        <w:rPr>
          <w:rFonts w:cs="Calibri"/>
          <w:szCs w:val="20"/>
        </w:rPr>
        <w:t>, A., 1997.</w:t>
      </w:r>
      <w:proofErr w:type="gramEnd"/>
      <w:r w:rsidR="00097245">
        <w:rPr>
          <w:rFonts w:cs="Calibri"/>
          <w:szCs w:val="20"/>
        </w:rPr>
        <w:t xml:space="preserve"> </w:t>
      </w:r>
      <w:r w:rsidRPr="005C1EF0">
        <w:rPr>
          <w:rFonts w:cs="Calibri"/>
          <w:szCs w:val="20"/>
        </w:rPr>
        <w:t xml:space="preserve">Sample Size Tables for Clinical Studies, 2nd Edition. </w:t>
      </w:r>
      <w:proofErr w:type="gramStart"/>
      <w:r w:rsidR="00097245">
        <w:rPr>
          <w:rFonts w:cs="Calibri"/>
          <w:szCs w:val="20"/>
        </w:rPr>
        <w:t>Malden, MA, Blackwell Science</w:t>
      </w:r>
      <w:r w:rsidRPr="005C1EF0">
        <w:rPr>
          <w:rFonts w:cs="Calibri"/>
          <w:szCs w:val="20"/>
        </w:rPr>
        <w:t>.</w:t>
      </w:r>
      <w:proofErr w:type="gramEnd"/>
    </w:p>
    <w:p w:rsidR="000B484A" w:rsidRPr="005C1EF0" w:rsidRDefault="000B484A" w:rsidP="005C1EF0">
      <w:pPr>
        <w:spacing w:before="120" w:after="0" w:line="240" w:lineRule="auto"/>
        <w:rPr>
          <w:rFonts w:cs="Calibri"/>
          <w:szCs w:val="20"/>
        </w:rPr>
      </w:pPr>
      <w:proofErr w:type="spellStart"/>
      <w:r w:rsidRPr="005C1EF0">
        <w:rPr>
          <w:rFonts w:cs="Calibri"/>
          <w:szCs w:val="20"/>
        </w:rPr>
        <w:t>Pessah</w:t>
      </w:r>
      <w:proofErr w:type="spellEnd"/>
      <w:r w:rsidR="006F3673">
        <w:rPr>
          <w:rFonts w:cs="Calibri"/>
          <w:szCs w:val="20"/>
        </w:rPr>
        <w:t>,</w:t>
      </w:r>
      <w:r w:rsidRPr="005C1EF0">
        <w:rPr>
          <w:rFonts w:cs="Calibri"/>
          <w:szCs w:val="20"/>
        </w:rPr>
        <w:t xml:space="preserve"> I</w:t>
      </w:r>
      <w:r w:rsidR="006F3673">
        <w:rPr>
          <w:rFonts w:cs="Calibri"/>
          <w:szCs w:val="20"/>
        </w:rPr>
        <w:t>.</w:t>
      </w:r>
      <w:r w:rsidRPr="005C1EF0">
        <w:rPr>
          <w:rFonts w:cs="Calibri"/>
          <w:szCs w:val="20"/>
        </w:rPr>
        <w:t>N</w:t>
      </w:r>
      <w:r w:rsidR="006F3673">
        <w:rPr>
          <w:rFonts w:cs="Calibri"/>
          <w:szCs w:val="20"/>
        </w:rPr>
        <w:t>.</w:t>
      </w:r>
      <w:r w:rsidRPr="005C1EF0">
        <w:rPr>
          <w:rFonts w:cs="Calibri"/>
          <w:szCs w:val="20"/>
        </w:rPr>
        <w:t>, Hansen</w:t>
      </w:r>
      <w:r w:rsidR="006F3673">
        <w:rPr>
          <w:rFonts w:cs="Calibri"/>
          <w:szCs w:val="20"/>
        </w:rPr>
        <w:t>,</w:t>
      </w:r>
      <w:r w:rsidRPr="005C1EF0">
        <w:rPr>
          <w:rFonts w:cs="Calibri"/>
          <w:szCs w:val="20"/>
        </w:rPr>
        <w:t xml:space="preserve"> L</w:t>
      </w:r>
      <w:r w:rsidR="006F3673">
        <w:rPr>
          <w:rFonts w:cs="Calibri"/>
          <w:szCs w:val="20"/>
        </w:rPr>
        <w:t>.</w:t>
      </w:r>
      <w:r w:rsidRPr="005C1EF0">
        <w:rPr>
          <w:rFonts w:cs="Calibri"/>
          <w:szCs w:val="20"/>
        </w:rPr>
        <w:t>G</w:t>
      </w:r>
      <w:r w:rsidR="006F3673">
        <w:rPr>
          <w:rFonts w:cs="Calibri"/>
          <w:szCs w:val="20"/>
        </w:rPr>
        <w:t>.</w:t>
      </w:r>
      <w:r w:rsidRPr="005C1EF0">
        <w:rPr>
          <w:rFonts w:cs="Calibri"/>
          <w:szCs w:val="20"/>
        </w:rPr>
        <w:t>, Albertson</w:t>
      </w:r>
      <w:r w:rsidR="006F3673">
        <w:rPr>
          <w:rFonts w:cs="Calibri"/>
          <w:szCs w:val="20"/>
        </w:rPr>
        <w:t>,</w:t>
      </w:r>
      <w:r w:rsidRPr="005C1EF0">
        <w:rPr>
          <w:rFonts w:cs="Calibri"/>
          <w:szCs w:val="20"/>
        </w:rPr>
        <w:t xml:space="preserve"> T</w:t>
      </w:r>
      <w:r w:rsidR="006F3673">
        <w:rPr>
          <w:rFonts w:cs="Calibri"/>
          <w:szCs w:val="20"/>
        </w:rPr>
        <w:t>.</w:t>
      </w:r>
      <w:r w:rsidRPr="005C1EF0">
        <w:rPr>
          <w:rFonts w:cs="Calibri"/>
          <w:szCs w:val="20"/>
        </w:rPr>
        <w:t>E</w:t>
      </w:r>
      <w:r w:rsidR="006F3673">
        <w:rPr>
          <w:rFonts w:cs="Calibri"/>
          <w:szCs w:val="20"/>
        </w:rPr>
        <w:t>.</w:t>
      </w:r>
      <w:r w:rsidRPr="005C1EF0">
        <w:rPr>
          <w:rFonts w:cs="Calibri"/>
          <w:szCs w:val="20"/>
        </w:rPr>
        <w:t>, Garner</w:t>
      </w:r>
      <w:r w:rsidR="006F3673">
        <w:rPr>
          <w:rFonts w:cs="Calibri"/>
          <w:szCs w:val="20"/>
        </w:rPr>
        <w:t>,</w:t>
      </w:r>
      <w:r w:rsidRPr="005C1EF0">
        <w:rPr>
          <w:rFonts w:cs="Calibri"/>
          <w:szCs w:val="20"/>
        </w:rPr>
        <w:t xml:space="preserve"> C</w:t>
      </w:r>
      <w:r w:rsidR="006F3673">
        <w:rPr>
          <w:rFonts w:cs="Calibri"/>
          <w:szCs w:val="20"/>
        </w:rPr>
        <w:t>.</w:t>
      </w:r>
      <w:r w:rsidRPr="005C1EF0">
        <w:rPr>
          <w:rFonts w:cs="Calibri"/>
          <w:szCs w:val="20"/>
        </w:rPr>
        <w:t>E</w:t>
      </w:r>
      <w:r w:rsidR="006F3673">
        <w:rPr>
          <w:rFonts w:cs="Calibri"/>
          <w:szCs w:val="20"/>
        </w:rPr>
        <w:t>.</w:t>
      </w:r>
      <w:r w:rsidRPr="005C1EF0">
        <w:rPr>
          <w:rFonts w:cs="Calibri"/>
          <w:szCs w:val="20"/>
        </w:rPr>
        <w:t>, Ta</w:t>
      </w:r>
      <w:r w:rsidR="006F3673">
        <w:rPr>
          <w:rFonts w:cs="Calibri"/>
          <w:szCs w:val="20"/>
        </w:rPr>
        <w:t>,</w:t>
      </w:r>
      <w:r w:rsidRPr="005C1EF0">
        <w:rPr>
          <w:rFonts w:cs="Calibri"/>
          <w:szCs w:val="20"/>
        </w:rPr>
        <w:t xml:space="preserve"> T</w:t>
      </w:r>
      <w:r w:rsidR="006F3673">
        <w:rPr>
          <w:rFonts w:cs="Calibri"/>
          <w:szCs w:val="20"/>
        </w:rPr>
        <w:t>.</w:t>
      </w:r>
      <w:r w:rsidRPr="005C1EF0">
        <w:rPr>
          <w:rFonts w:cs="Calibri"/>
          <w:szCs w:val="20"/>
        </w:rPr>
        <w:t>A</w:t>
      </w:r>
      <w:r w:rsidR="006F3673">
        <w:rPr>
          <w:rFonts w:cs="Calibri"/>
          <w:szCs w:val="20"/>
        </w:rPr>
        <w:t>.</w:t>
      </w:r>
      <w:r w:rsidRPr="005C1EF0">
        <w:rPr>
          <w:rFonts w:cs="Calibri"/>
          <w:szCs w:val="20"/>
        </w:rPr>
        <w:t>, Do</w:t>
      </w:r>
      <w:r w:rsidR="006F3673">
        <w:rPr>
          <w:rFonts w:cs="Calibri"/>
          <w:szCs w:val="20"/>
        </w:rPr>
        <w:t>,</w:t>
      </w:r>
      <w:r w:rsidRPr="005C1EF0">
        <w:rPr>
          <w:rFonts w:cs="Calibri"/>
          <w:szCs w:val="20"/>
        </w:rPr>
        <w:t xml:space="preserve"> Z</w:t>
      </w:r>
      <w:r w:rsidR="006F3673">
        <w:rPr>
          <w:rFonts w:cs="Calibri"/>
          <w:szCs w:val="20"/>
        </w:rPr>
        <w:t>.</w:t>
      </w:r>
      <w:r w:rsidRPr="005C1EF0">
        <w:rPr>
          <w:rFonts w:cs="Calibri"/>
          <w:szCs w:val="20"/>
        </w:rPr>
        <w:t>, et al.</w:t>
      </w:r>
      <w:r w:rsidR="006F3673">
        <w:rPr>
          <w:rFonts w:cs="Calibri"/>
          <w:szCs w:val="20"/>
        </w:rPr>
        <w:t xml:space="preserve">, 2006. </w:t>
      </w:r>
      <w:proofErr w:type="gramStart"/>
      <w:r w:rsidRPr="005C1EF0">
        <w:rPr>
          <w:rFonts w:cs="Calibri"/>
          <w:szCs w:val="20"/>
        </w:rPr>
        <w:t xml:space="preserve">Structure-activity relationship for </w:t>
      </w:r>
      <w:proofErr w:type="spellStart"/>
      <w:r w:rsidRPr="005C1EF0">
        <w:rPr>
          <w:rFonts w:cs="Calibri"/>
          <w:szCs w:val="20"/>
        </w:rPr>
        <w:t>noncoplanar</w:t>
      </w:r>
      <w:proofErr w:type="spellEnd"/>
      <w:r w:rsidRPr="005C1EF0">
        <w:rPr>
          <w:rFonts w:cs="Calibri"/>
          <w:szCs w:val="20"/>
        </w:rPr>
        <w:t xml:space="preserve"> polychlorinated biphenyl congeners toward the ryanodine receptor-Ca2+ channel complex type 1 (RyR1).</w:t>
      </w:r>
      <w:proofErr w:type="gramEnd"/>
      <w:r w:rsidRPr="005C1EF0">
        <w:rPr>
          <w:rFonts w:cs="Calibri"/>
          <w:szCs w:val="20"/>
        </w:rPr>
        <w:t xml:space="preserve"> Chem</w:t>
      </w:r>
      <w:r w:rsidR="006F3673">
        <w:rPr>
          <w:rFonts w:cs="Calibri"/>
          <w:szCs w:val="20"/>
        </w:rPr>
        <w:t>.</w:t>
      </w:r>
      <w:r w:rsidRPr="005C1EF0">
        <w:rPr>
          <w:rFonts w:cs="Calibri"/>
          <w:szCs w:val="20"/>
        </w:rPr>
        <w:t xml:space="preserve"> Res</w:t>
      </w:r>
      <w:r w:rsidR="006F3673">
        <w:rPr>
          <w:rFonts w:cs="Calibri"/>
          <w:szCs w:val="20"/>
        </w:rPr>
        <w:t>.</w:t>
      </w:r>
      <w:r w:rsidRPr="005C1EF0">
        <w:rPr>
          <w:rFonts w:cs="Calibri"/>
          <w:szCs w:val="20"/>
        </w:rPr>
        <w:t xml:space="preserve"> </w:t>
      </w:r>
      <w:proofErr w:type="spellStart"/>
      <w:r w:rsidRPr="005C1EF0">
        <w:rPr>
          <w:rFonts w:cs="Calibri"/>
          <w:szCs w:val="20"/>
        </w:rPr>
        <w:t>Toxicol</w:t>
      </w:r>
      <w:proofErr w:type="spellEnd"/>
      <w:r w:rsidRPr="005C1EF0">
        <w:rPr>
          <w:rFonts w:cs="Calibri"/>
          <w:szCs w:val="20"/>
        </w:rPr>
        <w:t xml:space="preserve">. </w:t>
      </w:r>
      <w:r w:rsidR="006F3673">
        <w:rPr>
          <w:rFonts w:cs="Calibri"/>
          <w:szCs w:val="20"/>
        </w:rPr>
        <w:t xml:space="preserve">19(1), </w:t>
      </w:r>
      <w:r w:rsidRPr="005C1EF0">
        <w:rPr>
          <w:rFonts w:cs="Calibri"/>
          <w:szCs w:val="20"/>
        </w:rPr>
        <w:t>92–101.</w:t>
      </w:r>
    </w:p>
    <w:p w:rsidR="006F3673" w:rsidRDefault="004053DC" w:rsidP="006F3673">
      <w:pPr>
        <w:spacing w:before="120" w:after="0" w:line="240" w:lineRule="auto"/>
        <w:rPr>
          <w:rFonts w:cs="Calibri"/>
          <w:szCs w:val="20"/>
        </w:rPr>
      </w:pPr>
      <w:proofErr w:type="gramStart"/>
      <w:r w:rsidRPr="005C1EF0">
        <w:rPr>
          <w:rFonts w:cs="Calibri"/>
          <w:szCs w:val="20"/>
        </w:rPr>
        <w:t>Ritter</w:t>
      </w:r>
      <w:r w:rsidR="006F3673">
        <w:rPr>
          <w:rFonts w:cs="Calibri"/>
          <w:szCs w:val="20"/>
        </w:rPr>
        <w:t>,</w:t>
      </w:r>
      <w:r w:rsidRPr="005C1EF0">
        <w:rPr>
          <w:rFonts w:cs="Calibri"/>
          <w:szCs w:val="20"/>
        </w:rPr>
        <w:t xml:space="preserve"> R</w:t>
      </w:r>
      <w:r w:rsidR="006F3673">
        <w:rPr>
          <w:rFonts w:cs="Calibri"/>
          <w:szCs w:val="20"/>
        </w:rPr>
        <w:t>.</w:t>
      </w:r>
      <w:r w:rsidRPr="005C1EF0">
        <w:rPr>
          <w:rFonts w:cs="Calibri"/>
          <w:szCs w:val="20"/>
        </w:rPr>
        <w:t xml:space="preserve">, </w:t>
      </w:r>
      <w:proofErr w:type="spellStart"/>
      <w:r w:rsidRPr="005C1EF0">
        <w:rPr>
          <w:rFonts w:cs="Calibri"/>
          <w:szCs w:val="20"/>
        </w:rPr>
        <w:t>Scheringer</w:t>
      </w:r>
      <w:proofErr w:type="spellEnd"/>
      <w:r w:rsidR="006F3673">
        <w:rPr>
          <w:rFonts w:cs="Calibri"/>
          <w:szCs w:val="20"/>
        </w:rPr>
        <w:t>,</w:t>
      </w:r>
      <w:r w:rsidRPr="005C1EF0">
        <w:rPr>
          <w:rFonts w:cs="Calibri"/>
          <w:szCs w:val="20"/>
        </w:rPr>
        <w:t xml:space="preserve"> M</w:t>
      </w:r>
      <w:r w:rsidR="006F3673">
        <w:rPr>
          <w:rFonts w:cs="Calibri"/>
          <w:szCs w:val="20"/>
        </w:rPr>
        <w:t>.</w:t>
      </w:r>
      <w:r w:rsidRPr="005C1EF0">
        <w:rPr>
          <w:rFonts w:cs="Calibri"/>
          <w:szCs w:val="20"/>
        </w:rPr>
        <w:t>, MacLeod</w:t>
      </w:r>
      <w:r w:rsidR="006F3673">
        <w:rPr>
          <w:rFonts w:cs="Calibri"/>
          <w:szCs w:val="20"/>
        </w:rPr>
        <w:t>,</w:t>
      </w:r>
      <w:r w:rsidRPr="005C1EF0">
        <w:rPr>
          <w:rFonts w:cs="Calibri"/>
          <w:szCs w:val="20"/>
        </w:rPr>
        <w:t xml:space="preserve"> M</w:t>
      </w:r>
      <w:r w:rsidR="006F3673">
        <w:rPr>
          <w:rFonts w:cs="Calibri"/>
          <w:szCs w:val="20"/>
        </w:rPr>
        <w:t xml:space="preserve">., </w:t>
      </w:r>
      <w:proofErr w:type="spellStart"/>
      <w:r w:rsidR="006F3673">
        <w:rPr>
          <w:rFonts w:cs="Calibri"/>
          <w:szCs w:val="20"/>
        </w:rPr>
        <w:t>Moeckel</w:t>
      </w:r>
      <w:proofErr w:type="spellEnd"/>
      <w:r w:rsidR="006F3673">
        <w:rPr>
          <w:rFonts w:cs="Calibri"/>
          <w:szCs w:val="20"/>
        </w:rPr>
        <w:t xml:space="preserve">, </w:t>
      </w:r>
      <w:r w:rsidRPr="005C1EF0">
        <w:rPr>
          <w:rFonts w:cs="Calibri"/>
          <w:szCs w:val="20"/>
        </w:rPr>
        <w:t>C</w:t>
      </w:r>
      <w:r w:rsidR="006F3673">
        <w:rPr>
          <w:rFonts w:cs="Calibri"/>
          <w:szCs w:val="20"/>
        </w:rPr>
        <w:t>.</w:t>
      </w:r>
      <w:r w:rsidRPr="005C1EF0">
        <w:rPr>
          <w:rFonts w:cs="Calibri"/>
          <w:szCs w:val="20"/>
        </w:rPr>
        <w:t>, Jones</w:t>
      </w:r>
      <w:r w:rsidR="006F3673">
        <w:rPr>
          <w:rFonts w:cs="Calibri"/>
          <w:szCs w:val="20"/>
        </w:rPr>
        <w:t>,</w:t>
      </w:r>
      <w:r w:rsidRPr="005C1EF0">
        <w:rPr>
          <w:rFonts w:cs="Calibri"/>
          <w:szCs w:val="20"/>
        </w:rPr>
        <w:t xml:space="preserve"> K</w:t>
      </w:r>
      <w:r w:rsidR="006F3673">
        <w:rPr>
          <w:rFonts w:cs="Calibri"/>
          <w:szCs w:val="20"/>
        </w:rPr>
        <w:t>.</w:t>
      </w:r>
      <w:r w:rsidRPr="005C1EF0">
        <w:rPr>
          <w:rFonts w:cs="Calibri"/>
          <w:szCs w:val="20"/>
        </w:rPr>
        <w:t>C</w:t>
      </w:r>
      <w:r w:rsidR="006F3673">
        <w:rPr>
          <w:rFonts w:cs="Calibri"/>
          <w:szCs w:val="20"/>
        </w:rPr>
        <w:t>.</w:t>
      </w:r>
      <w:r w:rsidRPr="005C1EF0">
        <w:rPr>
          <w:rFonts w:cs="Calibri"/>
          <w:szCs w:val="20"/>
        </w:rPr>
        <w:t xml:space="preserve">, </w:t>
      </w:r>
      <w:proofErr w:type="spellStart"/>
      <w:r w:rsidRPr="005C1EF0">
        <w:rPr>
          <w:rFonts w:cs="Calibri"/>
          <w:szCs w:val="20"/>
        </w:rPr>
        <w:t>Hungerbühler</w:t>
      </w:r>
      <w:proofErr w:type="spellEnd"/>
      <w:r w:rsidR="006F3673">
        <w:rPr>
          <w:rFonts w:cs="Calibri"/>
          <w:szCs w:val="20"/>
        </w:rPr>
        <w:t>,</w:t>
      </w:r>
      <w:r w:rsidRPr="005C1EF0">
        <w:rPr>
          <w:rFonts w:cs="Calibri"/>
          <w:szCs w:val="20"/>
        </w:rPr>
        <w:t xml:space="preserve"> K.</w:t>
      </w:r>
      <w:r w:rsidR="006F3673">
        <w:rPr>
          <w:rFonts w:cs="Calibri"/>
          <w:szCs w:val="20"/>
        </w:rPr>
        <w:t>, 2011.</w:t>
      </w:r>
      <w:proofErr w:type="gramEnd"/>
      <w:r w:rsidRPr="005C1EF0">
        <w:rPr>
          <w:rFonts w:cs="Calibri"/>
          <w:szCs w:val="20"/>
        </w:rPr>
        <w:t xml:space="preserve"> Intrinsic human elimination half-lives of polychlorinated biphenyls derived from the temporal evolution of cross-sectional </w:t>
      </w:r>
      <w:proofErr w:type="spellStart"/>
      <w:r w:rsidRPr="005C1EF0">
        <w:rPr>
          <w:rFonts w:cs="Calibri"/>
          <w:szCs w:val="20"/>
        </w:rPr>
        <w:t>biomonitoring</w:t>
      </w:r>
      <w:proofErr w:type="spellEnd"/>
      <w:r w:rsidRPr="005C1EF0">
        <w:rPr>
          <w:rFonts w:cs="Calibri"/>
          <w:szCs w:val="20"/>
        </w:rPr>
        <w:t xml:space="preserve"> data from the United Kingdom. Environ</w:t>
      </w:r>
      <w:r w:rsidR="006F3673">
        <w:rPr>
          <w:rFonts w:cs="Calibri"/>
          <w:szCs w:val="20"/>
        </w:rPr>
        <w:t>.</w:t>
      </w:r>
      <w:r w:rsidRPr="005C1EF0">
        <w:rPr>
          <w:rFonts w:cs="Calibri"/>
          <w:szCs w:val="20"/>
        </w:rPr>
        <w:t xml:space="preserve"> </w:t>
      </w:r>
      <w:proofErr w:type="gramStart"/>
      <w:r w:rsidRPr="005C1EF0">
        <w:rPr>
          <w:rFonts w:cs="Calibri"/>
          <w:szCs w:val="20"/>
        </w:rPr>
        <w:t xml:space="preserve">Health </w:t>
      </w:r>
      <w:proofErr w:type="spellStart"/>
      <w:r w:rsidRPr="005C1EF0">
        <w:rPr>
          <w:rFonts w:cs="Calibri"/>
          <w:szCs w:val="20"/>
        </w:rPr>
        <w:t>Perspect</w:t>
      </w:r>
      <w:proofErr w:type="spellEnd"/>
      <w:r w:rsidRPr="005C1EF0">
        <w:rPr>
          <w:rFonts w:cs="Calibri"/>
          <w:szCs w:val="20"/>
        </w:rPr>
        <w:t>.</w:t>
      </w:r>
      <w:proofErr w:type="gramEnd"/>
      <w:r w:rsidRPr="005C1EF0">
        <w:rPr>
          <w:rFonts w:cs="Calibri"/>
          <w:szCs w:val="20"/>
        </w:rPr>
        <w:t xml:space="preserve"> </w:t>
      </w:r>
      <w:r w:rsidR="006F3673">
        <w:rPr>
          <w:rFonts w:cs="Calibri"/>
          <w:szCs w:val="20"/>
        </w:rPr>
        <w:t xml:space="preserve">119(2), </w:t>
      </w:r>
      <w:r w:rsidRPr="005C1EF0">
        <w:rPr>
          <w:rFonts w:cs="Calibri"/>
          <w:szCs w:val="20"/>
        </w:rPr>
        <w:t>225-</w:t>
      </w:r>
      <w:r w:rsidR="006F3673">
        <w:rPr>
          <w:rFonts w:cs="Calibri"/>
          <w:szCs w:val="20"/>
        </w:rPr>
        <w:t>231.</w:t>
      </w:r>
    </w:p>
    <w:p w:rsidR="006F3673" w:rsidRDefault="006F3673" w:rsidP="006F3673">
      <w:pPr>
        <w:spacing w:before="120" w:after="0" w:line="240" w:lineRule="auto"/>
        <w:rPr>
          <w:rFonts w:cs="Calibri"/>
          <w:szCs w:val="20"/>
        </w:rPr>
      </w:pPr>
      <w:proofErr w:type="spellStart"/>
      <w:r w:rsidRPr="00F41628">
        <w:t>Seegal</w:t>
      </w:r>
      <w:proofErr w:type="spellEnd"/>
      <w:r>
        <w:t>,</w:t>
      </w:r>
      <w:r w:rsidRPr="00F41628">
        <w:t xml:space="preserve"> R</w:t>
      </w:r>
      <w:r>
        <w:t>.</w:t>
      </w:r>
      <w:r w:rsidRPr="00F41628">
        <w:t>F</w:t>
      </w:r>
      <w:r>
        <w:t>.</w:t>
      </w:r>
      <w:r w:rsidRPr="00F41628">
        <w:t>, Fitzgerald</w:t>
      </w:r>
      <w:r>
        <w:t>,</w:t>
      </w:r>
      <w:r w:rsidRPr="00F41628">
        <w:t xml:space="preserve"> E</w:t>
      </w:r>
      <w:r>
        <w:t>.</w:t>
      </w:r>
      <w:r w:rsidRPr="00F41628">
        <w:t>F</w:t>
      </w:r>
      <w:r>
        <w:t>.</w:t>
      </w:r>
      <w:r w:rsidRPr="00F41628">
        <w:t>, Hills</w:t>
      </w:r>
      <w:r>
        <w:t xml:space="preserve">, E.A., Wolff, M.S., Haase, R.F., Todd, A.C., Parsons P., </w:t>
      </w:r>
      <w:proofErr w:type="spellStart"/>
      <w:r>
        <w:t>Molho</w:t>
      </w:r>
      <w:proofErr w:type="spellEnd"/>
      <w:r>
        <w:t xml:space="preserve">, E.S., Higgins, D.S., Factor, S.A., </w:t>
      </w:r>
      <w:proofErr w:type="spellStart"/>
      <w:r>
        <w:t>Marek</w:t>
      </w:r>
      <w:proofErr w:type="spellEnd"/>
      <w:r>
        <w:t xml:space="preserve">, K.L., </w:t>
      </w:r>
      <w:proofErr w:type="spellStart"/>
      <w:r>
        <w:t>Seiby</w:t>
      </w:r>
      <w:proofErr w:type="spellEnd"/>
      <w:r>
        <w:t xml:space="preserve">, J.P., Jennings, D.L., McCaffrey, R.J., 2011. </w:t>
      </w:r>
      <w:r w:rsidRPr="0038678D">
        <w:rPr>
          <w:bCs/>
          <w:color w:val="000000"/>
          <w:lang w:val="en"/>
        </w:rPr>
        <w:t>Estimating the half-lives of PCB congeners in former capacitor workers measured over a 28-year interval</w:t>
      </w:r>
      <w:r>
        <w:rPr>
          <w:bCs/>
          <w:color w:val="000000"/>
          <w:lang w:val="en"/>
        </w:rPr>
        <w:t xml:space="preserve">. J. Exposure Sci. Environ. </w:t>
      </w:r>
      <w:proofErr w:type="spellStart"/>
      <w:proofErr w:type="gramStart"/>
      <w:r>
        <w:rPr>
          <w:bCs/>
          <w:color w:val="000000"/>
          <w:lang w:val="en"/>
        </w:rPr>
        <w:t>Epi</w:t>
      </w:r>
      <w:proofErr w:type="spellEnd"/>
      <w:r>
        <w:rPr>
          <w:bCs/>
          <w:color w:val="000000"/>
          <w:lang w:val="en"/>
        </w:rPr>
        <w:t>.</w:t>
      </w:r>
      <w:proofErr w:type="gramEnd"/>
      <w:r>
        <w:rPr>
          <w:bCs/>
          <w:color w:val="000000"/>
          <w:lang w:val="en"/>
        </w:rPr>
        <w:t xml:space="preserve"> 21, </w:t>
      </w:r>
      <w:r w:rsidRPr="0038678D">
        <w:rPr>
          <w:color w:val="000000"/>
          <w:lang w:val="en"/>
        </w:rPr>
        <w:t>234–246</w:t>
      </w:r>
      <w:r>
        <w:rPr>
          <w:color w:val="000000"/>
          <w:lang w:val="en"/>
        </w:rPr>
        <w:t>.</w:t>
      </w:r>
    </w:p>
    <w:p w:rsidR="006F3673" w:rsidRPr="006F3673" w:rsidRDefault="006F3673" w:rsidP="006F3673">
      <w:pPr>
        <w:spacing w:before="120" w:after="0" w:line="240" w:lineRule="auto"/>
        <w:rPr>
          <w:rFonts w:cs="Calibri"/>
          <w:szCs w:val="20"/>
        </w:rPr>
      </w:pPr>
      <w:proofErr w:type="gramStart"/>
      <w:r w:rsidRPr="00837F35">
        <w:rPr>
          <w:bCs/>
        </w:rPr>
        <w:t>Silverstone</w:t>
      </w:r>
      <w:r>
        <w:rPr>
          <w:bCs/>
        </w:rPr>
        <w:t>,</w:t>
      </w:r>
      <w:r w:rsidRPr="00837F35">
        <w:rPr>
          <w:bCs/>
        </w:rPr>
        <w:t xml:space="preserve"> A</w:t>
      </w:r>
      <w:r>
        <w:rPr>
          <w:bCs/>
        </w:rPr>
        <w:t>.</w:t>
      </w:r>
      <w:r w:rsidRPr="00837F35">
        <w:rPr>
          <w:bCs/>
        </w:rPr>
        <w:t>E</w:t>
      </w:r>
      <w:r>
        <w:rPr>
          <w:bCs/>
        </w:rPr>
        <w:t>.</w:t>
      </w:r>
      <w:r w:rsidRPr="00837F35">
        <w:rPr>
          <w:bCs/>
        </w:rPr>
        <w:t>, Rosenbaum</w:t>
      </w:r>
      <w:r>
        <w:rPr>
          <w:bCs/>
        </w:rPr>
        <w:t>,</w:t>
      </w:r>
      <w:r w:rsidRPr="00837F35">
        <w:rPr>
          <w:bCs/>
        </w:rPr>
        <w:t xml:space="preserve"> P</w:t>
      </w:r>
      <w:r>
        <w:rPr>
          <w:bCs/>
        </w:rPr>
        <w:t>.</w:t>
      </w:r>
      <w:r w:rsidRPr="00837F35">
        <w:rPr>
          <w:bCs/>
        </w:rPr>
        <w:t>F</w:t>
      </w:r>
      <w:r>
        <w:rPr>
          <w:bCs/>
        </w:rPr>
        <w:t>.</w:t>
      </w:r>
      <w:r w:rsidRPr="00837F35">
        <w:rPr>
          <w:bCs/>
        </w:rPr>
        <w:t>, Weinstock</w:t>
      </w:r>
      <w:r>
        <w:rPr>
          <w:bCs/>
        </w:rPr>
        <w:t>,</w:t>
      </w:r>
      <w:r w:rsidRPr="00837F35">
        <w:rPr>
          <w:bCs/>
        </w:rPr>
        <w:t xml:space="preserve"> R</w:t>
      </w:r>
      <w:r>
        <w:rPr>
          <w:bCs/>
        </w:rPr>
        <w:t>.</w:t>
      </w:r>
      <w:r w:rsidRPr="00837F35">
        <w:rPr>
          <w:bCs/>
        </w:rPr>
        <w:t>S</w:t>
      </w:r>
      <w:r>
        <w:rPr>
          <w:bCs/>
        </w:rPr>
        <w:t>.</w:t>
      </w:r>
      <w:r w:rsidRPr="00837F35">
        <w:rPr>
          <w:bCs/>
        </w:rPr>
        <w:t>, Ba</w:t>
      </w:r>
      <w:r>
        <w:rPr>
          <w:bCs/>
        </w:rPr>
        <w:t>r</w:t>
      </w:r>
      <w:r w:rsidRPr="00837F35">
        <w:rPr>
          <w:bCs/>
        </w:rPr>
        <w:t>tell</w:t>
      </w:r>
      <w:r>
        <w:rPr>
          <w:bCs/>
        </w:rPr>
        <w:t>,</w:t>
      </w:r>
      <w:r w:rsidRPr="00837F35">
        <w:rPr>
          <w:bCs/>
        </w:rPr>
        <w:t xml:space="preserve"> S</w:t>
      </w:r>
      <w:r>
        <w:rPr>
          <w:bCs/>
        </w:rPr>
        <w:t>.</w:t>
      </w:r>
      <w:r w:rsidRPr="00837F35">
        <w:rPr>
          <w:bCs/>
        </w:rPr>
        <w:t>M</w:t>
      </w:r>
      <w:r>
        <w:rPr>
          <w:bCs/>
        </w:rPr>
        <w:t>.</w:t>
      </w:r>
      <w:r w:rsidRPr="00837F35">
        <w:rPr>
          <w:bCs/>
        </w:rPr>
        <w:t>, Foushee</w:t>
      </w:r>
      <w:r>
        <w:rPr>
          <w:bCs/>
        </w:rPr>
        <w:t>,</w:t>
      </w:r>
      <w:r w:rsidRPr="00837F35">
        <w:rPr>
          <w:bCs/>
        </w:rPr>
        <w:t xml:space="preserve"> H</w:t>
      </w:r>
      <w:r>
        <w:rPr>
          <w:bCs/>
        </w:rPr>
        <w:t>.</w:t>
      </w:r>
      <w:r w:rsidRPr="00837F35">
        <w:rPr>
          <w:bCs/>
        </w:rPr>
        <w:t>R</w:t>
      </w:r>
      <w:r>
        <w:rPr>
          <w:bCs/>
        </w:rPr>
        <w:t>.</w:t>
      </w:r>
      <w:r w:rsidRPr="00837F35">
        <w:rPr>
          <w:bCs/>
        </w:rPr>
        <w:t>, Shelton</w:t>
      </w:r>
      <w:r>
        <w:rPr>
          <w:bCs/>
        </w:rPr>
        <w:t>,</w:t>
      </w:r>
      <w:r w:rsidRPr="00837F35">
        <w:rPr>
          <w:bCs/>
        </w:rPr>
        <w:t xml:space="preserve"> C</w:t>
      </w:r>
      <w:r>
        <w:rPr>
          <w:bCs/>
        </w:rPr>
        <w:t>.</w:t>
      </w:r>
      <w:r w:rsidRPr="00837F35">
        <w:rPr>
          <w:bCs/>
        </w:rPr>
        <w:t>, Pavuk</w:t>
      </w:r>
      <w:r>
        <w:rPr>
          <w:bCs/>
        </w:rPr>
        <w:t>,</w:t>
      </w:r>
      <w:r w:rsidRPr="00837F35">
        <w:rPr>
          <w:bCs/>
        </w:rPr>
        <w:t xml:space="preserve"> M</w:t>
      </w:r>
      <w:r>
        <w:rPr>
          <w:bCs/>
        </w:rPr>
        <w:t>., 2012</w:t>
      </w:r>
      <w:r w:rsidRPr="00837F35">
        <w:rPr>
          <w:bCs/>
        </w:rPr>
        <w:t>.</w:t>
      </w:r>
      <w:proofErr w:type="gramEnd"/>
      <w:r w:rsidRPr="00837F35">
        <w:rPr>
          <w:bCs/>
        </w:rPr>
        <w:t xml:space="preserve"> Polychlorinated Biphenyl (PCB) Exposure and Diabetes: Results from the Anniston Community Health Survey. En</w:t>
      </w:r>
      <w:r>
        <w:rPr>
          <w:bCs/>
        </w:rPr>
        <w:t xml:space="preserve">viron. </w:t>
      </w:r>
      <w:proofErr w:type="gramStart"/>
      <w:r>
        <w:rPr>
          <w:bCs/>
        </w:rPr>
        <w:t xml:space="preserve">Health </w:t>
      </w:r>
      <w:proofErr w:type="spellStart"/>
      <w:r>
        <w:rPr>
          <w:bCs/>
        </w:rPr>
        <w:t>Perspect</w:t>
      </w:r>
      <w:proofErr w:type="spellEnd"/>
      <w:r>
        <w:rPr>
          <w:bCs/>
        </w:rPr>
        <w:t>.</w:t>
      </w:r>
      <w:proofErr w:type="gramEnd"/>
      <w:r>
        <w:rPr>
          <w:bCs/>
        </w:rPr>
        <w:t xml:space="preserve"> </w:t>
      </w:r>
      <w:r>
        <w:t>120(5), 727-732.</w:t>
      </w:r>
    </w:p>
    <w:p w:rsidR="004053DC" w:rsidRPr="005C1EF0" w:rsidRDefault="004053DC" w:rsidP="005C1EF0">
      <w:pPr>
        <w:spacing w:before="120" w:after="0" w:line="240" w:lineRule="auto"/>
        <w:rPr>
          <w:rFonts w:cs="Calibri"/>
          <w:szCs w:val="20"/>
        </w:rPr>
      </w:pPr>
      <w:proofErr w:type="spellStart"/>
      <w:proofErr w:type="gramStart"/>
      <w:r w:rsidRPr="005C1EF0">
        <w:rPr>
          <w:rFonts w:cs="Calibri"/>
          <w:szCs w:val="20"/>
        </w:rPr>
        <w:t>Turyk</w:t>
      </w:r>
      <w:proofErr w:type="spellEnd"/>
      <w:r w:rsidR="006F3673">
        <w:rPr>
          <w:rFonts w:cs="Calibri"/>
          <w:szCs w:val="20"/>
        </w:rPr>
        <w:t>,</w:t>
      </w:r>
      <w:r w:rsidRPr="005C1EF0">
        <w:rPr>
          <w:rFonts w:cs="Calibri"/>
          <w:szCs w:val="20"/>
        </w:rPr>
        <w:t xml:space="preserve"> M</w:t>
      </w:r>
      <w:r w:rsidR="006F3673">
        <w:rPr>
          <w:rFonts w:cs="Calibri"/>
          <w:szCs w:val="20"/>
        </w:rPr>
        <w:t>.</w:t>
      </w:r>
      <w:r w:rsidRPr="005C1EF0">
        <w:rPr>
          <w:rFonts w:cs="Calibri"/>
          <w:szCs w:val="20"/>
        </w:rPr>
        <w:t>, Anderson</w:t>
      </w:r>
      <w:r w:rsidR="006F3673">
        <w:rPr>
          <w:rFonts w:cs="Calibri"/>
          <w:szCs w:val="20"/>
        </w:rPr>
        <w:t>,</w:t>
      </w:r>
      <w:r w:rsidRPr="005C1EF0">
        <w:rPr>
          <w:rFonts w:cs="Calibri"/>
          <w:szCs w:val="20"/>
        </w:rPr>
        <w:t xml:space="preserve"> H</w:t>
      </w:r>
      <w:r w:rsidR="006F3673">
        <w:rPr>
          <w:rFonts w:cs="Calibri"/>
          <w:szCs w:val="20"/>
        </w:rPr>
        <w:t>.</w:t>
      </w:r>
      <w:r w:rsidRPr="005C1EF0">
        <w:rPr>
          <w:rFonts w:cs="Calibri"/>
          <w:szCs w:val="20"/>
        </w:rPr>
        <w:t xml:space="preserve">, </w:t>
      </w:r>
      <w:proofErr w:type="spellStart"/>
      <w:r w:rsidRPr="005C1EF0">
        <w:rPr>
          <w:rFonts w:cs="Calibri"/>
          <w:szCs w:val="20"/>
        </w:rPr>
        <w:t>Knobeloch</w:t>
      </w:r>
      <w:proofErr w:type="spellEnd"/>
      <w:r w:rsidR="006F3673">
        <w:rPr>
          <w:rFonts w:cs="Calibri"/>
          <w:szCs w:val="20"/>
        </w:rPr>
        <w:t>,</w:t>
      </w:r>
      <w:r w:rsidRPr="005C1EF0">
        <w:rPr>
          <w:rFonts w:cs="Calibri"/>
          <w:szCs w:val="20"/>
        </w:rPr>
        <w:t xml:space="preserve"> L</w:t>
      </w:r>
      <w:r w:rsidR="006F3673">
        <w:rPr>
          <w:rFonts w:cs="Calibri"/>
          <w:szCs w:val="20"/>
        </w:rPr>
        <w:t xml:space="preserve">., </w:t>
      </w:r>
      <w:proofErr w:type="spellStart"/>
      <w:r w:rsidR="006F3673">
        <w:rPr>
          <w:rFonts w:cs="Calibri"/>
          <w:szCs w:val="20"/>
        </w:rPr>
        <w:t>Imm</w:t>
      </w:r>
      <w:proofErr w:type="spellEnd"/>
      <w:r w:rsidR="006F3673">
        <w:rPr>
          <w:rFonts w:cs="Calibri"/>
          <w:szCs w:val="20"/>
        </w:rPr>
        <w:t xml:space="preserve">, </w:t>
      </w:r>
      <w:r w:rsidRPr="005C1EF0">
        <w:rPr>
          <w:rFonts w:cs="Calibri"/>
          <w:szCs w:val="20"/>
        </w:rPr>
        <w:t>P</w:t>
      </w:r>
      <w:r w:rsidR="006F3673">
        <w:rPr>
          <w:rFonts w:cs="Calibri"/>
          <w:szCs w:val="20"/>
        </w:rPr>
        <w:t>.</w:t>
      </w:r>
      <w:r w:rsidRPr="005C1EF0">
        <w:rPr>
          <w:rFonts w:cs="Calibri"/>
          <w:szCs w:val="20"/>
        </w:rPr>
        <w:t xml:space="preserve">, </w:t>
      </w:r>
      <w:proofErr w:type="spellStart"/>
      <w:r w:rsidRPr="005C1EF0">
        <w:rPr>
          <w:rFonts w:cs="Calibri"/>
          <w:szCs w:val="20"/>
        </w:rPr>
        <w:t>Persky</w:t>
      </w:r>
      <w:proofErr w:type="spellEnd"/>
      <w:r w:rsidR="006F3673">
        <w:rPr>
          <w:rFonts w:cs="Calibri"/>
          <w:szCs w:val="20"/>
        </w:rPr>
        <w:t>,</w:t>
      </w:r>
      <w:r w:rsidRPr="005C1EF0">
        <w:rPr>
          <w:rFonts w:cs="Calibri"/>
          <w:szCs w:val="20"/>
        </w:rPr>
        <w:t xml:space="preserve"> V.</w:t>
      </w:r>
      <w:r w:rsidR="006F3673">
        <w:rPr>
          <w:rFonts w:cs="Calibri"/>
          <w:szCs w:val="20"/>
        </w:rPr>
        <w:t>, 2009.</w:t>
      </w:r>
      <w:proofErr w:type="gramEnd"/>
      <w:r w:rsidRPr="005C1EF0">
        <w:rPr>
          <w:rFonts w:cs="Calibri"/>
          <w:szCs w:val="20"/>
        </w:rPr>
        <w:t xml:space="preserve"> </w:t>
      </w:r>
      <w:proofErr w:type="spellStart"/>
      <w:r w:rsidRPr="005C1EF0">
        <w:rPr>
          <w:rFonts w:cs="Calibri"/>
          <w:szCs w:val="20"/>
        </w:rPr>
        <w:t>Organochlorine</w:t>
      </w:r>
      <w:proofErr w:type="spellEnd"/>
      <w:r w:rsidRPr="005C1EF0">
        <w:rPr>
          <w:rFonts w:cs="Calibri"/>
          <w:szCs w:val="20"/>
        </w:rPr>
        <w:t xml:space="preserve"> exposure and incidence of diabetes in a cohort of Great Lakes sport fish consumers. Environ</w:t>
      </w:r>
      <w:r w:rsidR="006F3673">
        <w:rPr>
          <w:rFonts w:cs="Calibri"/>
          <w:szCs w:val="20"/>
        </w:rPr>
        <w:t>.</w:t>
      </w:r>
      <w:r w:rsidRPr="005C1EF0">
        <w:rPr>
          <w:rFonts w:cs="Calibri"/>
          <w:szCs w:val="20"/>
        </w:rPr>
        <w:t xml:space="preserve"> </w:t>
      </w:r>
      <w:proofErr w:type="gramStart"/>
      <w:r w:rsidRPr="005C1EF0">
        <w:rPr>
          <w:rFonts w:cs="Calibri"/>
          <w:szCs w:val="20"/>
        </w:rPr>
        <w:t xml:space="preserve">Health </w:t>
      </w:r>
      <w:proofErr w:type="spellStart"/>
      <w:r w:rsidRPr="005C1EF0">
        <w:rPr>
          <w:rFonts w:cs="Calibri"/>
          <w:szCs w:val="20"/>
        </w:rPr>
        <w:t>Perspect</w:t>
      </w:r>
      <w:proofErr w:type="spellEnd"/>
      <w:r w:rsidRPr="005C1EF0">
        <w:rPr>
          <w:rFonts w:cs="Calibri"/>
          <w:szCs w:val="20"/>
        </w:rPr>
        <w:t>.</w:t>
      </w:r>
      <w:proofErr w:type="gramEnd"/>
      <w:r w:rsidR="006F3673">
        <w:rPr>
          <w:rFonts w:cs="Calibri"/>
          <w:szCs w:val="20"/>
        </w:rPr>
        <w:t xml:space="preserve"> 117(7), </w:t>
      </w:r>
      <w:r w:rsidRPr="005C1EF0">
        <w:rPr>
          <w:rFonts w:cs="Calibri"/>
          <w:szCs w:val="20"/>
        </w:rPr>
        <w:t>1076-</w:t>
      </w:r>
      <w:r w:rsidR="006F3673">
        <w:rPr>
          <w:rFonts w:cs="Calibri"/>
          <w:szCs w:val="20"/>
        </w:rPr>
        <w:t>10</w:t>
      </w:r>
      <w:r w:rsidRPr="005C1EF0">
        <w:rPr>
          <w:rFonts w:cs="Calibri"/>
          <w:szCs w:val="20"/>
        </w:rPr>
        <w:t>82.</w:t>
      </w:r>
    </w:p>
    <w:p w:rsidR="006F3673" w:rsidRDefault="006F3673" w:rsidP="006F3673">
      <w:pPr>
        <w:spacing w:before="120" w:after="0" w:line="240" w:lineRule="auto"/>
        <w:rPr>
          <w:rFonts w:eastAsia="Times New Roman" w:cs="Calibri"/>
          <w:bCs/>
          <w:color w:val="000000"/>
          <w:szCs w:val="20"/>
        </w:rPr>
      </w:pPr>
      <w:proofErr w:type="gramStart"/>
      <w:r>
        <w:rPr>
          <w:rFonts w:cs="Calibri"/>
          <w:szCs w:val="20"/>
        </w:rPr>
        <w:t>USCB (</w:t>
      </w:r>
      <w:r w:rsidR="000B484A" w:rsidRPr="005C1EF0">
        <w:rPr>
          <w:rFonts w:cs="Calibri"/>
          <w:szCs w:val="20"/>
        </w:rPr>
        <w:t>United States Census Bureau</w:t>
      </w:r>
      <w:r>
        <w:rPr>
          <w:rFonts w:cs="Calibri"/>
          <w:szCs w:val="20"/>
        </w:rPr>
        <w:t xml:space="preserve">), </w:t>
      </w:r>
      <w:r w:rsidR="000B484A" w:rsidRPr="005C1EF0">
        <w:rPr>
          <w:rFonts w:cs="Calibri"/>
          <w:szCs w:val="20"/>
        </w:rPr>
        <w:t>2011.</w:t>
      </w:r>
      <w:proofErr w:type="gramEnd"/>
      <w:r w:rsidR="000B484A" w:rsidRPr="005C1EF0">
        <w:rPr>
          <w:rFonts w:cs="Calibri"/>
          <w:i/>
          <w:szCs w:val="20"/>
        </w:rPr>
        <w:t xml:space="preserve"> </w:t>
      </w:r>
      <w:r w:rsidR="000B484A" w:rsidRPr="006F3673">
        <w:rPr>
          <w:rFonts w:cs="Calibri"/>
          <w:szCs w:val="20"/>
        </w:rPr>
        <w:t xml:space="preserve">State and County </w:t>
      </w:r>
      <w:proofErr w:type="spellStart"/>
      <w:r w:rsidR="000B484A" w:rsidRPr="006F3673">
        <w:rPr>
          <w:rFonts w:cs="Calibri"/>
          <w:szCs w:val="20"/>
        </w:rPr>
        <w:t>QuickFacts</w:t>
      </w:r>
      <w:proofErr w:type="spellEnd"/>
      <w:r w:rsidR="000B484A" w:rsidRPr="006F3673">
        <w:rPr>
          <w:rFonts w:cs="Calibri"/>
          <w:szCs w:val="20"/>
        </w:rPr>
        <w:t xml:space="preserve">: Anniston (city), Alabama. </w:t>
      </w:r>
      <w:r w:rsidR="000B484A" w:rsidRPr="006F3673">
        <w:rPr>
          <w:rFonts w:eastAsia="Times New Roman" w:cs="Calibri"/>
          <w:bCs/>
          <w:color w:val="000000"/>
          <w:szCs w:val="20"/>
        </w:rPr>
        <w:t xml:space="preserve"> Release Date: 18 October 2011. </w:t>
      </w:r>
      <w:r w:rsidR="000B484A" w:rsidRPr="005C1EF0">
        <w:rPr>
          <w:rFonts w:eastAsia="Times New Roman" w:cs="Calibri"/>
          <w:bCs/>
          <w:color w:val="000000"/>
          <w:szCs w:val="20"/>
        </w:rPr>
        <w:t xml:space="preserve">Available: </w:t>
      </w:r>
      <w:hyperlink r:id="rId26" w:history="1">
        <w:r w:rsidR="000B484A" w:rsidRPr="005C1EF0">
          <w:rPr>
            <w:rStyle w:val="Hyperlink"/>
            <w:rFonts w:eastAsia="Times New Roman" w:cs="Calibri"/>
            <w:bCs/>
            <w:szCs w:val="20"/>
          </w:rPr>
          <w:t>http://quickfacts.census.gov/qfd/states/01/0101852.html</w:t>
        </w:r>
      </w:hyperlink>
      <w:r>
        <w:rPr>
          <w:rFonts w:eastAsia="Times New Roman" w:cs="Calibri"/>
          <w:bCs/>
          <w:color w:val="000000"/>
          <w:szCs w:val="20"/>
        </w:rPr>
        <w:t>.</w:t>
      </w:r>
    </w:p>
    <w:p w:rsidR="006F3673" w:rsidRPr="006F3673" w:rsidRDefault="006F3673" w:rsidP="006F3673">
      <w:pPr>
        <w:spacing w:before="120" w:after="0" w:line="240" w:lineRule="auto"/>
        <w:rPr>
          <w:rFonts w:eastAsia="Times New Roman" w:cs="Calibri"/>
          <w:bCs/>
          <w:color w:val="000000"/>
          <w:szCs w:val="20"/>
        </w:rPr>
      </w:pPr>
      <w:proofErr w:type="gramStart"/>
      <w:r w:rsidRPr="00F41628">
        <w:t>Van den Berg</w:t>
      </w:r>
      <w:r>
        <w:t>,</w:t>
      </w:r>
      <w:r w:rsidRPr="00F41628">
        <w:t xml:space="preserve"> M</w:t>
      </w:r>
      <w:r>
        <w:t>.</w:t>
      </w:r>
      <w:r w:rsidRPr="00F41628">
        <w:t>, Birnbaum</w:t>
      </w:r>
      <w:r>
        <w:t>,</w:t>
      </w:r>
      <w:r w:rsidRPr="00F41628">
        <w:t xml:space="preserve"> L</w:t>
      </w:r>
      <w:r>
        <w:t>.</w:t>
      </w:r>
      <w:r w:rsidRPr="00F41628">
        <w:t>S</w:t>
      </w:r>
      <w:r>
        <w:t>.</w:t>
      </w:r>
      <w:r w:rsidRPr="00F41628">
        <w:t>, Denison</w:t>
      </w:r>
      <w:r>
        <w:t>,</w:t>
      </w:r>
      <w:r w:rsidRPr="00F41628">
        <w:t xml:space="preserve"> M</w:t>
      </w:r>
      <w:r>
        <w:t>.</w:t>
      </w:r>
      <w:r w:rsidRPr="00F41628">
        <w:t>, De Vito</w:t>
      </w:r>
      <w:r>
        <w:t>,</w:t>
      </w:r>
      <w:r w:rsidRPr="00F41628">
        <w:t xml:space="preserve"> M</w:t>
      </w:r>
      <w:r>
        <w:t>.</w:t>
      </w:r>
      <w:r w:rsidRPr="00F41628">
        <w:t xml:space="preserve">, </w:t>
      </w:r>
      <w:proofErr w:type="spellStart"/>
      <w:r w:rsidRPr="00F41628">
        <w:t>Farland</w:t>
      </w:r>
      <w:proofErr w:type="spellEnd"/>
      <w:r>
        <w:t>,</w:t>
      </w:r>
      <w:r w:rsidRPr="00F41628">
        <w:t xml:space="preserve"> W</w:t>
      </w:r>
      <w:r>
        <w:t>.</w:t>
      </w:r>
      <w:r w:rsidRPr="00F41628">
        <w:t xml:space="preserve">, </w:t>
      </w:r>
      <w:proofErr w:type="spellStart"/>
      <w:r w:rsidRPr="00F41628">
        <w:t>Feeley</w:t>
      </w:r>
      <w:proofErr w:type="spellEnd"/>
      <w:r>
        <w:t>,</w:t>
      </w:r>
      <w:r w:rsidRPr="00F41628">
        <w:t xml:space="preserve"> M</w:t>
      </w:r>
      <w:r>
        <w:t>.</w:t>
      </w:r>
      <w:r w:rsidRPr="00F41628">
        <w:t>, Fiedler</w:t>
      </w:r>
      <w:r>
        <w:t>,</w:t>
      </w:r>
      <w:r w:rsidRPr="00F41628">
        <w:t xml:space="preserve"> H</w:t>
      </w:r>
      <w:r>
        <w:t>.</w:t>
      </w:r>
      <w:r w:rsidRPr="00F41628">
        <w:t xml:space="preserve">, </w:t>
      </w:r>
      <w:proofErr w:type="spellStart"/>
      <w:r w:rsidRPr="00F41628">
        <w:t>Hakansson</w:t>
      </w:r>
      <w:proofErr w:type="spellEnd"/>
      <w:r>
        <w:t>,</w:t>
      </w:r>
      <w:r w:rsidRPr="00F41628">
        <w:t xml:space="preserve"> H</w:t>
      </w:r>
      <w:r>
        <w:t>.</w:t>
      </w:r>
      <w:r w:rsidRPr="00F41628">
        <w:t xml:space="preserve">, </w:t>
      </w:r>
      <w:proofErr w:type="spellStart"/>
      <w:r w:rsidRPr="00F41628">
        <w:t>Hanberg</w:t>
      </w:r>
      <w:proofErr w:type="spellEnd"/>
      <w:r>
        <w:t>,</w:t>
      </w:r>
      <w:r w:rsidRPr="00F41628">
        <w:t xml:space="preserve"> A</w:t>
      </w:r>
      <w:r>
        <w:t>.</w:t>
      </w:r>
      <w:r w:rsidRPr="00F41628">
        <w:t>, Haws</w:t>
      </w:r>
      <w:r>
        <w:t>,</w:t>
      </w:r>
      <w:r w:rsidRPr="00F41628">
        <w:t xml:space="preserve"> L</w:t>
      </w:r>
      <w:r>
        <w:t xml:space="preserve">., Rose, </w:t>
      </w:r>
      <w:r w:rsidRPr="00F41628">
        <w:t>M</w:t>
      </w:r>
      <w:r>
        <w:t>.</w:t>
      </w:r>
      <w:r w:rsidRPr="00F41628">
        <w:t>, Safe</w:t>
      </w:r>
      <w:r>
        <w:t>,</w:t>
      </w:r>
      <w:r w:rsidRPr="00F41628">
        <w:t xml:space="preserve"> S</w:t>
      </w:r>
      <w:r>
        <w:t>.</w:t>
      </w:r>
      <w:r w:rsidRPr="00F41628">
        <w:t xml:space="preserve">, </w:t>
      </w:r>
      <w:proofErr w:type="spellStart"/>
      <w:r w:rsidRPr="00F41628">
        <w:t>Schrenk</w:t>
      </w:r>
      <w:proofErr w:type="spellEnd"/>
      <w:r>
        <w:t>,</w:t>
      </w:r>
      <w:r w:rsidRPr="00F41628">
        <w:t xml:space="preserve"> D</w:t>
      </w:r>
      <w:r>
        <w:t>.</w:t>
      </w:r>
      <w:r w:rsidRPr="00F41628">
        <w:t xml:space="preserve">, </w:t>
      </w:r>
      <w:proofErr w:type="spellStart"/>
      <w:r w:rsidRPr="00F41628">
        <w:t>Tohyama</w:t>
      </w:r>
      <w:proofErr w:type="spellEnd"/>
      <w:r>
        <w:t>,</w:t>
      </w:r>
      <w:r w:rsidRPr="00F41628">
        <w:t xml:space="preserve"> C</w:t>
      </w:r>
      <w:r>
        <w:t>.</w:t>
      </w:r>
      <w:r w:rsidRPr="00F41628">
        <w:t xml:space="preserve">, </w:t>
      </w:r>
      <w:proofErr w:type="spellStart"/>
      <w:r w:rsidRPr="00F41628">
        <w:t>Tritscher</w:t>
      </w:r>
      <w:proofErr w:type="spellEnd"/>
      <w:r>
        <w:t>,</w:t>
      </w:r>
      <w:r w:rsidRPr="00F41628">
        <w:t xml:space="preserve"> A</w:t>
      </w:r>
      <w:r>
        <w:t>.</w:t>
      </w:r>
      <w:r w:rsidRPr="00F41628">
        <w:t xml:space="preserve">, </w:t>
      </w:r>
      <w:proofErr w:type="spellStart"/>
      <w:r w:rsidRPr="00F41628">
        <w:t>Tuomisto</w:t>
      </w:r>
      <w:proofErr w:type="spellEnd"/>
      <w:r>
        <w:t>,</w:t>
      </w:r>
      <w:r w:rsidRPr="00F41628">
        <w:t xml:space="preserve"> J</w:t>
      </w:r>
      <w:r>
        <w:t xml:space="preserve">., </w:t>
      </w:r>
      <w:proofErr w:type="spellStart"/>
      <w:r>
        <w:t>Tysklind</w:t>
      </w:r>
      <w:proofErr w:type="spellEnd"/>
      <w:r>
        <w:t xml:space="preserve">, </w:t>
      </w:r>
      <w:r w:rsidRPr="00F41628">
        <w:t>M</w:t>
      </w:r>
      <w:r>
        <w:t>.</w:t>
      </w:r>
      <w:r w:rsidRPr="00F41628">
        <w:t>, Walker</w:t>
      </w:r>
      <w:r>
        <w:t>,</w:t>
      </w:r>
      <w:r w:rsidRPr="00F41628">
        <w:t xml:space="preserve"> N</w:t>
      </w:r>
      <w:r>
        <w:t>.</w:t>
      </w:r>
      <w:r w:rsidRPr="00F41628">
        <w:t>, Peterson</w:t>
      </w:r>
      <w:r>
        <w:t>,</w:t>
      </w:r>
      <w:r w:rsidRPr="00F41628">
        <w:t xml:space="preserve"> R</w:t>
      </w:r>
      <w:r>
        <w:t>.</w:t>
      </w:r>
      <w:r w:rsidRPr="00F41628">
        <w:t>E.</w:t>
      </w:r>
      <w:r>
        <w:t>, 2006.</w:t>
      </w:r>
      <w:proofErr w:type="gramEnd"/>
      <w:r w:rsidRPr="00F41628">
        <w:t xml:space="preserve"> The 2005 World Health Organization reevaluation of human and mammalian toxic equivalency factors for dioxins and dioxin-like compounds. </w:t>
      </w:r>
      <w:proofErr w:type="spellStart"/>
      <w:r w:rsidRPr="00F41628">
        <w:t>Toxicol</w:t>
      </w:r>
      <w:proofErr w:type="spellEnd"/>
      <w:r w:rsidRPr="00F41628">
        <w:t xml:space="preserve"> Sci. 93</w:t>
      </w:r>
      <w:r>
        <w:t xml:space="preserve">(2), </w:t>
      </w:r>
      <w:r w:rsidRPr="00F41628">
        <w:t>223-</w:t>
      </w:r>
      <w:r>
        <w:t>2</w:t>
      </w:r>
      <w:r w:rsidRPr="00F41628">
        <w:t>41.</w:t>
      </w:r>
    </w:p>
    <w:p w:rsidR="000B484A" w:rsidRPr="00382E23" w:rsidRDefault="000B484A" w:rsidP="000F4029">
      <w:pPr>
        <w:autoSpaceDE w:val="0"/>
        <w:autoSpaceDN w:val="0"/>
        <w:adjustRightInd w:val="0"/>
        <w:spacing w:after="0" w:line="240" w:lineRule="auto"/>
        <w:rPr>
          <w:rFonts w:ascii="Times New Roman" w:eastAsia="Times New Roman" w:hAnsi="Times New Roman"/>
          <w:b/>
          <w:i/>
          <w:sz w:val="24"/>
          <w:szCs w:val="24"/>
        </w:rPr>
      </w:pPr>
    </w:p>
    <w:sectPr w:rsidR="000B484A" w:rsidRPr="00382E23" w:rsidSect="007666A2">
      <w:headerReference w:type="even" r:id="rId27"/>
      <w:headerReference w:type="default" r:id="rId28"/>
      <w:footerReference w:type="even" r:id="rId29"/>
      <w:footerReference w:type="default" r:id="rId30"/>
      <w:headerReference w:type="first" r:id="rId31"/>
      <w:footerReference w:type="first" r:id="rId32"/>
      <w:type w:val="continuous"/>
      <w:pgSz w:w="12240" w:h="15840" w:code="1"/>
      <w:pgMar w:top="1440" w:right="1440" w:bottom="153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5C4" w:rsidRDefault="001A55C4" w:rsidP="002616A4">
      <w:pPr>
        <w:spacing w:after="0" w:line="240" w:lineRule="auto"/>
      </w:pPr>
      <w:r>
        <w:separator/>
      </w:r>
    </w:p>
  </w:endnote>
  <w:endnote w:type="continuationSeparator" w:id="0">
    <w:p w:rsidR="001A55C4" w:rsidRDefault="001A55C4" w:rsidP="00261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5C4" w:rsidRDefault="001A55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5C4" w:rsidRDefault="001A55C4">
    <w:pPr>
      <w:pStyle w:val="Footer"/>
      <w:jc w:val="right"/>
    </w:pPr>
    <w:r>
      <w:fldChar w:fldCharType="begin"/>
    </w:r>
    <w:r>
      <w:instrText xml:space="preserve"> PAGE   \* MERGEFORMAT </w:instrText>
    </w:r>
    <w:r>
      <w:fldChar w:fldCharType="separate"/>
    </w:r>
    <w:r w:rsidR="00A04629">
      <w:rPr>
        <w:noProof/>
      </w:rPr>
      <w:t>16</w:t>
    </w:r>
    <w:r>
      <w:fldChar w:fldCharType="end"/>
    </w:r>
  </w:p>
  <w:p w:rsidR="001A55C4" w:rsidRDefault="001A55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5C4" w:rsidRDefault="001A55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5C4" w:rsidRDefault="001A55C4" w:rsidP="002616A4">
      <w:pPr>
        <w:spacing w:after="0" w:line="240" w:lineRule="auto"/>
      </w:pPr>
      <w:r>
        <w:separator/>
      </w:r>
    </w:p>
  </w:footnote>
  <w:footnote w:type="continuationSeparator" w:id="0">
    <w:p w:rsidR="001A55C4" w:rsidRDefault="001A55C4" w:rsidP="002616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5C4" w:rsidRDefault="001A55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5C4" w:rsidRDefault="001A55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5C4" w:rsidRDefault="001A55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5.35pt;height:7.1pt" o:bullet="t">
        <v:imagedata r:id="rId1" o:title="bu_sftblue"/>
      </v:shape>
    </w:pict>
  </w:numPicBullet>
  <w:numPicBullet w:numPicBulletId="1">
    <w:pict>
      <v:shape id="_x0000_i1039" type="#_x0000_t75" style="width:3in;height:3in" o:bullet="t"/>
    </w:pict>
  </w:numPicBullet>
  <w:numPicBullet w:numPicBulletId="2">
    <w:pict>
      <v:shape id="_x0000_i1040" type="#_x0000_t75" style="width:3in;height:3in" o:bullet="t"/>
    </w:pict>
  </w:numPicBullet>
  <w:abstractNum w:abstractNumId="0">
    <w:nsid w:val="00BE2B34"/>
    <w:multiLevelType w:val="multilevel"/>
    <w:tmpl w:val="5ED4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71EAB"/>
    <w:multiLevelType w:val="multilevel"/>
    <w:tmpl w:val="5DC4A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2D17E4"/>
    <w:multiLevelType w:val="hybridMultilevel"/>
    <w:tmpl w:val="696002FE"/>
    <w:lvl w:ilvl="0" w:tplc="10C0FA3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536991"/>
    <w:multiLevelType w:val="hybridMultilevel"/>
    <w:tmpl w:val="C5AC11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A74BA8"/>
    <w:multiLevelType w:val="multilevel"/>
    <w:tmpl w:val="614A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3D1468"/>
    <w:multiLevelType w:val="hybridMultilevel"/>
    <w:tmpl w:val="9E687D5A"/>
    <w:lvl w:ilvl="0" w:tplc="30241E74">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9C75AE0"/>
    <w:multiLevelType w:val="hybridMultilevel"/>
    <w:tmpl w:val="8ED88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4612A2"/>
    <w:multiLevelType w:val="hybridMultilevel"/>
    <w:tmpl w:val="0178A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43673D"/>
    <w:multiLevelType w:val="hybridMultilevel"/>
    <w:tmpl w:val="A1F229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586FF6"/>
    <w:multiLevelType w:val="hybridMultilevel"/>
    <w:tmpl w:val="7FB53C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DEC1514"/>
    <w:multiLevelType w:val="hybridMultilevel"/>
    <w:tmpl w:val="8ED88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A2657"/>
    <w:multiLevelType w:val="hybridMultilevel"/>
    <w:tmpl w:val="9500A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A704A4"/>
    <w:multiLevelType w:val="hybridMultilevel"/>
    <w:tmpl w:val="7C3A6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6204E4"/>
    <w:multiLevelType w:val="hybridMultilevel"/>
    <w:tmpl w:val="BC86D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6A6FD3"/>
    <w:multiLevelType w:val="hybridMultilevel"/>
    <w:tmpl w:val="DDE4369A"/>
    <w:lvl w:ilvl="0" w:tplc="0C7C49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211992"/>
    <w:multiLevelType w:val="hybridMultilevel"/>
    <w:tmpl w:val="71ECC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2A5ABD"/>
    <w:multiLevelType w:val="multilevel"/>
    <w:tmpl w:val="8B46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750925"/>
    <w:multiLevelType w:val="hybridMultilevel"/>
    <w:tmpl w:val="8A347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3650F2"/>
    <w:multiLevelType w:val="hybridMultilevel"/>
    <w:tmpl w:val="3E7ED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4F6F32"/>
    <w:multiLevelType w:val="multilevel"/>
    <w:tmpl w:val="52FC1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9D0C81"/>
    <w:multiLevelType w:val="hybridMultilevel"/>
    <w:tmpl w:val="3572DFAE"/>
    <w:lvl w:ilvl="0" w:tplc="C88C156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0207B8F"/>
    <w:multiLevelType w:val="hybridMultilevel"/>
    <w:tmpl w:val="BE2AC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740AF1"/>
    <w:multiLevelType w:val="hybridMultilevel"/>
    <w:tmpl w:val="1C426FA2"/>
    <w:lvl w:ilvl="0" w:tplc="B9B043F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196DF3"/>
    <w:multiLevelType w:val="hybridMultilevel"/>
    <w:tmpl w:val="497A2A58"/>
    <w:lvl w:ilvl="0" w:tplc="48E27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4"/>
  </w:num>
  <w:num w:numId="3">
    <w:abstractNumId w:val="0"/>
  </w:num>
  <w:num w:numId="4">
    <w:abstractNumId w:val="1"/>
  </w:num>
  <w:num w:numId="5">
    <w:abstractNumId w:val="16"/>
  </w:num>
  <w:num w:numId="6">
    <w:abstractNumId w:val="19"/>
  </w:num>
  <w:num w:numId="7">
    <w:abstractNumId w:val="2"/>
  </w:num>
  <w:num w:numId="8">
    <w:abstractNumId w:val="22"/>
  </w:num>
  <w:num w:numId="9">
    <w:abstractNumId w:val="5"/>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1"/>
  </w:num>
  <w:num w:numId="13">
    <w:abstractNumId w:val="7"/>
  </w:num>
  <w:num w:numId="14">
    <w:abstractNumId w:val="12"/>
  </w:num>
  <w:num w:numId="15">
    <w:abstractNumId w:val="9"/>
  </w:num>
  <w:num w:numId="16">
    <w:abstractNumId w:val="18"/>
  </w:num>
  <w:num w:numId="17">
    <w:abstractNumId w:val="21"/>
  </w:num>
  <w:num w:numId="18">
    <w:abstractNumId w:val="17"/>
  </w:num>
  <w:num w:numId="19">
    <w:abstractNumId w:val="10"/>
  </w:num>
  <w:num w:numId="20">
    <w:abstractNumId w:val="15"/>
  </w:num>
  <w:num w:numId="21">
    <w:abstractNumId w:val="13"/>
  </w:num>
  <w:num w:numId="22">
    <w:abstractNumId w:val="6"/>
  </w:num>
  <w:num w:numId="23">
    <w:abstractNumId w:val="8"/>
  </w:num>
  <w:num w:numId="24">
    <w:abstractNumId w:val="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EFF"/>
    <w:rsid w:val="0000071C"/>
    <w:rsid w:val="00000781"/>
    <w:rsid w:val="00000BAC"/>
    <w:rsid w:val="00000D7B"/>
    <w:rsid w:val="00002A30"/>
    <w:rsid w:val="00002A5C"/>
    <w:rsid w:val="00003949"/>
    <w:rsid w:val="00004852"/>
    <w:rsid w:val="00005487"/>
    <w:rsid w:val="00006C20"/>
    <w:rsid w:val="0001062E"/>
    <w:rsid w:val="00011535"/>
    <w:rsid w:val="00011F53"/>
    <w:rsid w:val="00012A0F"/>
    <w:rsid w:val="0001320A"/>
    <w:rsid w:val="00014D7D"/>
    <w:rsid w:val="0001584D"/>
    <w:rsid w:val="00015CE5"/>
    <w:rsid w:val="000171A2"/>
    <w:rsid w:val="00017B09"/>
    <w:rsid w:val="00020CEE"/>
    <w:rsid w:val="00020EFF"/>
    <w:rsid w:val="0002272B"/>
    <w:rsid w:val="00023070"/>
    <w:rsid w:val="00023ADC"/>
    <w:rsid w:val="00025BEE"/>
    <w:rsid w:val="00026166"/>
    <w:rsid w:val="00027951"/>
    <w:rsid w:val="00027EFD"/>
    <w:rsid w:val="00027F3F"/>
    <w:rsid w:val="00030215"/>
    <w:rsid w:val="0003757D"/>
    <w:rsid w:val="000375EB"/>
    <w:rsid w:val="00040A1F"/>
    <w:rsid w:val="000418AD"/>
    <w:rsid w:val="0004197E"/>
    <w:rsid w:val="00042EDC"/>
    <w:rsid w:val="0004322A"/>
    <w:rsid w:val="000440C0"/>
    <w:rsid w:val="00045DBC"/>
    <w:rsid w:val="00046F5E"/>
    <w:rsid w:val="00046FB5"/>
    <w:rsid w:val="00051294"/>
    <w:rsid w:val="00053045"/>
    <w:rsid w:val="0005309C"/>
    <w:rsid w:val="00053B1A"/>
    <w:rsid w:val="0005520D"/>
    <w:rsid w:val="0006108E"/>
    <w:rsid w:val="00063A39"/>
    <w:rsid w:val="00065101"/>
    <w:rsid w:val="000662C6"/>
    <w:rsid w:val="00066C54"/>
    <w:rsid w:val="00067F26"/>
    <w:rsid w:val="00070C76"/>
    <w:rsid w:val="00070E1D"/>
    <w:rsid w:val="00071598"/>
    <w:rsid w:val="00073D39"/>
    <w:rsid w:val="000744C7"/>
    <w:rsid w:val="00074C74"/>
    <w:rsid w:val="0007641C"/>
    <w:rsid w:val="00076735"/>
    <w:rsid w:val="00080753"/>
    <w:rsid w:val="0008156D"/>
    <w:rsid w:val="00082213"/>
    <w:rsid w:val="000824CD"/>
    <w:rsid w:val="00082A08"/>
    <w:rsid w:val="000852C2"/>
    <w:rsid w:val="00085F24"/>
    <w:rsid w:val="0008691B"/>
    <w:rsid w:val="0008737D"/>
    <w:rsid w:val="00087BF3"/>
    <w:rsid w:val="000947AA"/>
    <w:rsid w:val="00097245"/>
    <w:rsid w:val="000A1E3F"/>
    <w:rsid w:val="000A214A"/>
    <w:rsid w:val="000A226A"/>
    <w:rsid w:val="000A2D73"/>
    <w:rsid w:val="000A7DAB"/>
    <w:rsid w:val="000B2468"/>
    <w:rsid w:val="000B484A"/>
    <w:rsid w:val="000B5D0B"/>
    <w:rsid w:val="000C6058"/>
    <w:rsid w:val="000C74DE"/>
    <w:rsid w:val="000D1112"/>
    <w:rsid w:val="000D25CB"/>
    <w:rsid w:val="000D27C2"/>
    <w:rsid w:val="000D2CE4"/>
    <w:rsid w:val="000D2E3E"/>
    <w:rsid w:val="000D49EA"/>
    <w:rsid w:val="000D6BD9"/>
    <w:rsid w:val="000D74D7"/>
    <w:rsid w:val="000E13FB"/>
    <w:rsid w:val="000E1898"/>
    <w:rsid w:val="000E1FAB"/>
    <w:rsid w:val="000E2941"/>
    <w:rsid w:val="000E369D"/>
    <w:rsid w:val="000E37D8"/>
    <w:rsid w:val="000E439F"/>
    <w:rsid w:val="000E6DFF"/>
    <w:rsid w:val="000E7775"/>
    <w:rsid w:val="000F219E"/>
    <w:rsid w:val="000F26FB"/>
    <w:rsid w:val="000F33F7"/>
    <w:rsid w:val="000F386B"/>
    <w:rsid w:val="000F3BAB"/>
    <w:rsid w:val="000F4029"/>
    <w:rsid w:val="000F43DC"/>
    <w:rsid w:val="000F5B3D"/>
    <w:rsid w:val="000F7424"/>
    <w:rsid w:val="00100B55"/>
    <w:rsid w:val="00100FAF"/>
    <w:rsid w:val="00101482"/>
    <w:rsid w:val="00102384"/>
    <w:rsid w:val="00103CA5"/>
    <w:rsid w:val="001047F1"/>
    <w:rsid w:val="00104B2F"/>
    <w:rsid w:val="001051F6"/>
    <w:rsid w:val="0010630B"/>
    <w:rsid w:val="00110DD9"/>
    <w:rsid w:val="001147B5"/>
    <w:rsid w:val="00116C6B"/>
    <w:rsid w:val="0012049F"/>
    <w:rsid w:val="00120D75"/>
    <w:rsid w:val="00122246"/>
    <w:rsid w:val="001229A3"/>
    <w:rsid w:val="001229B0"/>
    <w:rsid w:val="00122C32"/>
    <w:rsid w:val="001230CF"/>
    <w:rsid w:val="00125B3D"/>
    <w:rsid w:val="00125BF7"/>
    <w:rsid w:val="00130A40"/>
    <w:rsid w:val="00131880"/>
    <w:rsid w:val="00133966"/>
    <w:rsid w:val="00133E9F"/>
    <w:rsid w:val="001344CE"/>
    <w:rsid w:val="00134702"/>
    <w:rsid w:val="00135558"/>
    <w:rsid w:val="001373AF"/>
    <w:rsid w:val="001377B8"/>
    <w:rsid w:val="00137D16"/>
    <w:rsid w:val="0014315B"/>
    <w:rsid w:val="001445AC"/>
    <w:rsid w:val="00144C9E"/>
    <w:rsid w:val="00147CBF"/>
    <w:rsid w:val="00150FDF"/>
    <w:rsid w:val="00154174"/>
    <w:rsid w:val="001543F9"/>
    <w:rsid w:val="00155F25"/>
    <w:rsid w:val="00156C5A"/>
    <w:rsid w:val="00157A76"/>
    <w:rsid w:val="001605E3"/>
    <w:rsid w:val="00162691"/>
    <w:rsid w:val="00162F15"/>
    <w:rsid w:val="00164567"/>
    <w:rsid w:val="00166811"/>
    <w:rsid w:val="00171360"/>
    <w:rsid w:val="00172178"/>
    <w:rsid w:val="00172675"/>
    <w:rsid w:val="00175CBC"/>
    <w:rsid w:val="0017650C"/>
    <w:rsid w:val="00177435"/>
    <w:rsid w:val="00177D56"/>
    <w:rsid w:val="00181B0C"/>
    <w:rsid w:val="001844D5"/>
    <w:rsid w:val="001846F0"/>
    <w:rsid w:val="00185993"/>
    <w:rsid w:val="00186094"/>
    <w:rsid w:val="00187C51"/>
    <w:rsid w:val="001905BC"/>
    <w:rsid w:val="0019117C"/>
    <w:rsid w:val="00192ACC"/>
    <w:rsid w:val="00193966"/>
    <w:rsid w:val="00194014"/>
    <w:rsid w:val="00194482"/>
    <w:rsid w:val="00195D92"/>
    <w:rsid w:val="00197A0B"/>
    <w:rsid w:val="00197B63"/>
    <w:rsid w:val="001A0151"/>
    <w:rsid w:val="001A05E0"/>
    <w:rsid w:val="001A12DA"/>
    <w:rsid w:val="001A259D"/>
    <w:rsid w:val="001A3267"/>
    <w:rsid w:val="001A3840"/>
    <w:rsid w:val="001A44F2"/>
    <w:rsid w:val="001A521D"/>
    <w:rsid w:val="001A55C4"/>
    <w:rsid w:val="001A70B7"/>
    <w:rsid w:val="001A7E0A"/>
    <w:rsid w:val="001B0720"/>
    <w:rsid w:val="001B11A2"/>
    <w:rsid w:val="001B4FE1"/>
    <w:rsid w:val="001B54EA"/>
    <w:rsid w:val="001B5616"/>
    <w:rsid w:val="001B60CA"/>
    <w:rsid w:val="001C2724"/>
    <w:rsid w:val="001C2C21"/>
    <w:rsid w:val="001C3574"/>
    <w:rsid w:val="001C3C8F"/>
    <w:rsid w:val="001C6B5A"/>
    <w:rsid w:val="001C796C"/>
    <w:rsid w:val="001D0BD9"/>
    <w:rsid w:val="001D1076"/>
    <w:rsid w:val="001D3B1E"/>
    <w:rsid w:val="001D510E"/>
    <w:rsid w:val="001D57FB"/>
    <w:rsid w:val="001D6729"/>
    <w:rsid w:val="001D78CE"/>
    <w:rsid w:val="001E0CD9"/>
    <w:rsid w:val="001E260F"/>
    <w:rsid w:val="001E2E5B"/>
    <w:rsid w:val="001E30DC"/>
    <w:rsid w:val="001E38CE"/>
    <w:rsid w:val="001E3EF5"/>
    <w:rsid w:val="001E3F8E"/>
    <w:rsid w:val="001E797D"/>
    <w:rsid w:val="001E7C66"/>
    <w:rsid w:val="001E7ED3"/>
    <w:rsid w:val="001F1E0B"/>
    <w:rsid w:val="001F42A5"/>
    <w:rsid w:val="001F48C6"/>
    <w:rsid w:val="001F495B"/>
    <w:rsid w:val="001F6EC9"/>
    <w:rsid w:val="002005A0"/>
    <w:rsid w:val="00203285"/>
    <w:rsid w:val="0020353F"/>
    <w:rsid w:val="0020451B"/>
    <w:rsid w:val="00204AFE"/>
    <w:rsid w:val="00205E1B"/>
    <w:rsid w:val="00206224"/>
    <w:rsid w:val="00211D33"/>
    <w:rsid w:val="00212885"/>
    <w:rsid w:val="0021303B"/>
    <w:rsid w:val="002131E1"/>
    <w:rsid w:val="00217CBA"/>
    <w:rsid w:val="00220B4C"/>
    <w:rsid w:val="002212CA"/>
    <w:rsid w:val="00222512"/>
    <w:rsid w:val="002226CD"/>
    <w:rsid w:val="00222AF1"/>
    <w:rsid w:val="00225273"/>
    <w:rsid w:val="00225F8D"/>
    <w:rsid w:val="00231C54"/>
    <w:rsid w:val="0023233D"/>
    <w:rsid w:val="00234ED4"/>
    <w:rsid w:val="00235C83"/>
    <w:rsid w:val="0023705C"/>
    <w:rsid w:val="002372DF"/>
    <w:rsid w:val="00241D86"/>
    <w:rsid w:val="00244B22"/>
    <w:rsid w:val="002450BB"/>
    <w:rsid w:val="00247989"/>
    <w:rsid w:val="002520D9"/>
    <w:rsid w:val="00252D87"/>
    <w:rsid w:val="00253D52"/>
    <w:rsid w:val="00254470"/>
    <w:rsid w:val="00254CDE"/>
    <w:rsid w:val="00254FB9"/>
    <w:rsid w:val="0026061A"/>
    <w:rsid w:val="00260C39"/>
    <w:rsid w:val="00261648"/>
    <w:rsid w:val="002616A4"/>
    <w:rsid w:val="00262961"/>
    <w:rsid w:val="00263E2A"/>
    <w:rsid w:val="002655CC"/>
    <w:rsid w:val="00265D05"/>
    <w:rsid w:val="00267894"/>
    <w:rsid w:val="00271D31"/>
    <w:rsid w:val="00272D77"/>
    <w:rsid w:val="002733E0"/>
    <w:rsid w:val="0027430A"/>
    <w:rsid w:val="00276BF9"/>
    <w:rsid w:val="0028643D"/>
    <w:rsid w:val="00286C98"/>
    <w:rsid w:val="00290B57"/>
    <w:rsid w:val="00290C4B"/>
    <w:rsid w:val="00296078"/>
    <w:rsid w:val="0029682D"/>
    <w:rsid w:val="00297F25"/>
    <w:rsid w:val="002A07B9"/>
    <w:rsid w:val="002A229D"/>
    <w:rsid w:val="002A3EAF"/>
    <w:rsid w:val="002A479D"/>
    <w:rsid w:val="002A4D3E"/>
    <w:rsid w:val="002A6404"/>
    <w:rsid w:val="002A704F"/>
    <w:rsid w:val="002B4A61"/>
    <w:rsid w:val="002B78B7"/>
    <w:rsid w:val="002C0793"/>
    <w:rsid w:val="002C15D1"/>
    <w:rsid w:val="002C1696"/>
    <w:rsid w:val="002C17BB"/>
    <w:rsid w:val="002C299A"/>
    <w:rsid w:val="002C3AB0"/>
    <w:rsid w:val="002C3D37"/>
    <w:rsid w:val="002C4D21"/>
    <w:rsid w:val="002D03E0"/>
    <w:rsid w:val="002D12F2"/>
    <w:rsid w:val="002D1703"/>
    <w:rsid w:val="002D5E28"/>
    <w:rsid w:val="002E0879"/>
    <w:rsid w:val="002E340D"/>
    <w:rsid w:val="002E34EC"/>
    <w:rsid w:val="002E4BFF"/>
    <w:rsid w:val="002E59B4"/>
    <w:rsid w:val="002E68E8"/>
    <w:rsid w:val="002E7515"/>
    <w:rsid w:val="002F050B"/>
    <w:rsid w:val="002F2A72"/>
    <w:rsid w:val="002F30D2"/>
    <w:rsid w:val="002F348A"/>
    <w:rsid w:val="002F3D89"/>
    <w:rsid w:val="002F4C0C"/>
    <w:rsid w:val="003016F6"/>
    <w:rsid w:val="003050FE"/>
    <w:rsid w:val="00306D3C"/>
    <w:rsid w:val="00311224"/>
    <w:rsid w:val="00311946"/>
    <w:rsid w:val="00311D3E"/>
    <w:rsid w:val="003128A9"/>
    <w:rsid w:val="00312918"/>
    <w:rsid w:val="00312A94"/>
    <w:rsid w:val="00312C40"/>
    <w:rsid w:val="00314110"/>
    <w:rsid w:val="00315E0A"/>
    <w:rsid w:val="00317BA4"/>
    <w:rsid w:val="00320D5E"/>
    <w:rsid w:val="00324311"/>
    <w:rsid w:val="003252AA"/>
    <w:rsid w:val="0032769E"/>
    <w:rsid w:val="003457EC"/>
    <w:rsid w:val="00350E57"/>
    <w:rsid w:val="00351CFA"/>
    <w:rsid w:val="0035341A"/>
    <w:rsid w:val="00353C66"/>
    <w:rsid w:val="00354AC7"/>
    <w:rsid w:val="00355CD5"/>
    <w:rsid w:val="00355DA4"/>
    <w:rsid w:val="00356CCC"/>
    <w:rsid w:val="003571AE"/>
    <w:rsid w:val="00357A1A"/>
    <w:rsid w:val="003615E0"/>
    <w:rsid w:val="00361F3B"/>
    <w:rsid w:val="00362F56"/>
    <w:rsid w:val="00363900"/>
    <w:rsid w:val="00364B85"/>
    <w:rsid w:val="00364C3E"/>
    <w:rsid w:val="00365D71"/>
    <w:rsid w:val="00366B61"/>
    <w:rsid w:val="003676B0"/>
    <w:rsid w:val="00370C66"/>
    <w:rsid w:val="00372EF5"/>
    <w:rsid w:val="00375CC3"/>
    <w:rsid w:val="0037613B"/>
    <w:rsid w:val="00382470"/>
    <w:rsid w:val="00382B1A"/>
    <w:rsid w:val="00382E23"/>
    <w:rsid w:val="003846FB"/>
    <w:rsid w:val="00384AB4"/>
    <w:rsid w:val="00387D82"/>
    <w:rsid w:val="00387E36"/>
    <w:rsid w:val="00390081"/>
    <w:rsid w:val="003910AF"/>
    <w:rsid w:val="003936AA"/>
    <w:rsid w:val="003937C3"/>
    <w:rsid w:val="00393815"/>
    <w:rsid w:val="00395BA7"/>
    <w:rsid w:val="00397056"/>
    <w:rsid w:val="003A2DCE"/>
    <w:rsid w:val="003A41A3"/>
    <w:rsid w:val="003A5CD7"/>
    <w:rsid w:val="003B01A7"/>
    <w:rsid w:val="003B193A"/>
    <w:rsid w:val="003B2944"/>
    <w:rsid w:val="003B2EC8"/>
    <w:rsid w:val="003B3A52"/>
    <w:rsid w:val="003B40A6"/>
    <w:rsid w:val="003B46DF"/>
    <w:rsid w:val="003B6350"/>
    <w:rsid w:val="003B6625"/>
    <w:rsid w:val="003B6B71"/>
    <w:rsid w:val="003B790C"/>
    <w:rsid w:val="003C083C"/>
    <w:rsid w:val="003C3855"/>
    <w:rsid w:val="003C3BE7"/>
    <w:rsid w:val="003C4F3A"/>
    <w:rsid w:val="003C513F"/>
    <w:rsid w:val="003C590E"/>
    <w:rsid w:val="003C6A09"/>
    <w:rsid w:val="003D0450"/>
    <w:rsid w:val="003D047E"/>
    <w:rsid w:val="003D1685"/>
    <w:rsid w:val="003D2172"/>
    <w:rsid w:val="003D31DF"/>
    <w:rsid w:val="003D3A34"/>
    <w:rsid w:val="003D4F28"/>
    <w:rsid w:val="003E212C"/>
    <w:rsid w:val="003E2735"/>
    <w:rsid w:val="003E3006"/>
    <w:rsid w:val="003E335C"/>
    <w:rsid w:val="003E391C"/>
    <w:rsid w:val="003E5402"/>
    <w:rsid w:val="003E7DC3"/>
    <w:rsid w:val="003F0CC0"/>
    <w:rsid w:val="003F0FFA"/>
    <w:rsid w:val="003F2335"/>
    <w:rsid w:val="003F2C74"/>
    <w:rsid w:val="003F3499"/>
    <w:rsid w:val="003F389F"/>
    <w:rsid w:val="003F4C5C"/>
    <w:rsid w:val="003F57EB"/>
    <w:rsid w:val="003F7BD3"/>
    <w:rsid w:val="00402CD5"/>
    <w:rsid w:val="004053DC"/>
    <w:rsid w:val="00405E09"/>
    <w:rsid w:val="00410715"/>
    <w:rsid w:val="00410E69"/>
    <w:rsid w:val="00411C9C"/>
    <w:rsid w:val="00413D20"/>
    <w:rsid w:val="0041453D"/>
    <w:rsid w:val="0041791D"/>
    <w:rsid w:val="00420AEF"/>
    <w:rsid w:val="00422638"/>
    <w:rsid w:val="00422758"/>
    <w:rsid w:val="00423AA5"/>
    <w:rsid w:val="00423EF1"/>
    <w:rsid w:val="00424AD8"/>
    <w:rsid w:val="00425A2A"/>
    <w:rsid w:val="00425B15"/>
    <w:rsid w:val="004261BC"/>
    <w:rsid w:val="00431B57"/>
    <w:rsid w:val="00431F1D"/>
    <w:rsid w:val="00433747"/>
    <w:rsid w:val="00435136"/>
    <w:rsid w:val="004355D0"/>
    <w:rsid w:val="00435A0A"/>
    <w:rsid w:val="00436808"/>
    <w:rsid w:val="0043765D"/>
    <w:rsid w:val="00440287"/>
    <w:rsid w:val="00441294"/>
    <w:rsid w:val="004413CA"/>
    <w:rsid w:val="0044378C"/>
    <w:rsid w:val="00444660"/>
    <w:rsid w:val="00444B28"/>
    <w:rsid w:val="00445A01"/>
    <w:rsid w:val="00447265"/>
    <w:rsid w:val="00450833"/>
    <w:rsid w:val="004557B9"/>
    <w:rsid w:val="004561A8"/>
    <w:rsid w:val="00456E93"/>
    <w:rsid w:val="004573E8"/>
    <w:rsid w:val="004604FE"/>
    <w:rsid w:val="00461DBE"/>
    <w:rsid w:val="00463140"/>
    <w:rsid w:val="00463297"/>
    <w:rsid w:val="0046405A"/>
    <w:rsid w:val="00465A95"/>
    <w:rsid w:val="00465CBD"/>
    <w:rsid w:val="00465D11"/>
    <w:rsid w:val="00466656"/>
    <w:rsid w:val="00466D8C"/>
    <w:rsid w:val="00467C44"/>
    <w:rsid w:val="00470B1A"/>
    <w:rsid w:val="0047183A"/>
    <w:rsid w:val="004749BF"/>
    <w:rsid w:val="00475C0F"/>
    <w:rsid w:val="00477977"/>
    <w:rsid w:val="00477A6B"/>
    <w:rsid w:val="0048110A"/>
    <w:rsid w:val="004821A3"/>
    <w:rsid w:val="0048278D"/>
    <w:rsid w:val="004828F1"/>
    <w:rsid w:val="0048347F"/>
    <w:rsid w:val="00485F55"/>
    <w:rsid w:val="00486E63"/>
    <w:rsid w:val="00487ECF"/>
    <w:rsid w:val="004922E0"/>
    <w:rsid w:val="00493963"/>
    <w:rsid w:val="00493C6B"/>
    <w:rsid w:val="004941D8"/>
    <w:rsid w:val="00496150"/>
    <w:rsid w:val="004A005B"/>
    <w:rsid w:val="004A0C1E"/>
    <w:rsid w:val="004A22E8"/>
    <w:rsid w:val="004A27EF"/>
    <w:rsid w:val="004A2A36"/>
    <w:rsid w:val="004A3529"/>
    <w:rsid w:val="004A3FA7"/>
    <w:rsid w:val="004B0345"/>
    <w:rsid w:val="004B08F9"/>
    <w:rsid w:val="004B09AA"/>
    <w:rsid w:val="004B09B2"/>
    <w:rsid w:val="004B0D25"/>
    <w:rsid w:val="004B2123"/>
    <w:rsid w:val="004B42D9"/>
    <w:rsid w:val="004B6735"/>
    <w:rsid w:val="004B6B53"/>
    <w:rsid w:val="004B7D96"/>
    <w:rsid w:val="004C0AEC"/>
    <w:rsid w:val="004C29C6"/>
    <w:rsid w:val="004C38F3"/>
    <w:rsid w:val="004C3AD5"/>
    <w:rsid w:val="004C3F63"/>
    <w:rsid w:val="004C4CCE"/>
    <w:rsid w:val="004C4ECB"/>
    <w:rsid w:val="004C6517"/>
    <w:rsid w:val="004D12CA"/>
    <w:rsid w:val="004D30AB"/>
    <w:rsid w:val="004D4CAF"/>
    <w:rsid w:val="004D5A85"/>
    <w:rsid w:val="004D7CFF"/>
    <w:rsid w:val="004E096F"/>
    <w:rsid w:val="004E1C4F"/>
    <w:rsid w:val="004E1E93"/>
    <w:rsid w:val="004E26BE"/>
    <w:rsid w:val="004E4FF2"/>
    <w:rsid w:val="004E5211"/>
    <w:rsid w:val="004F2631"/>
    <w:rsid w:val="004F2661"/>
    <w:rsid w:val="004F471D"/>
    <w:rsid w:val="004F49C1"/>
    <w:rsid w:val="004F68A2"/>
    <w:rsid w:val="004F7063"/>
    <w:rsid w:val="004F75B9"/>
    <w:rsid w:val="00501CF0"/>
    <w:rsid w:val="00503333"/>
    <w:rsid w:val="00505F07"/>
    <w:rsid w:val="00506271"/>
    <w:rsid w:val="0051065B"/>
    <w:rsid w:val="005111C9"/>
    <w:rsid w:val="00512C2F"/>
    <w:rsid w:val="00513519"/>
    <w:rsid w:val="00513BC5"/>
    <w:rsid w:val="00513BD4"/>
    <w:rsid w:val="005172A3"/>
    <w:rsid w:val="0051768C"/>
    <w:rsid w:val="00520974"/>
    <w:rsid w:val="00521241"/>
    <w:rsid w:val="00522035"/>
    <w:rsid w:val="00524225"/>
    <w:rsid w:val="00524865"/>
    <w:rsid w:val="005256F7"/>
    <w:rsid w:val="00525CA7"/>
    <w:rsid w:val="00526948"/>
    <w:rsid w:val="00530403"/>
    <w:rsid w:val="00530D63"/>
    <w:rsid w:val="0053264D"/>
    <w:rsid w:val="00532A87"/>
    <w:rsid w:val="005347D9"/>
    <w:rsid w:val="00534C05"/>
    <w:rsid w:val="00540E2E"/>
    <w:rsid w:val="00542389"/>
    <w:rsid w:val="00542E21"/>
    <w:rsid w:val="00542E32"/>
    <w:rsid w:val="00543B7E"/>
    <w:rsid w:val="0054406E"/>
    <w:rsid w:val="005444FD"/>
    <w:rsid w:val="00544CDC"/>
    <w:rsid w:val="00545400"/>
    <w:rsid w:val="00546913"/>
    <w:rsid w:val="005471FC"/>
    <w:rsid w:val="005479B4"/>
    <w:rsid w:val="0055138F"/>
    <w:rsid w:val="0055230D"/>
    <w:rsid w:val="0055334B"/>
    <w:rsid w:val="00553CE0"/>
    <w:rsid w:val="00561A3B"/>
    <w:rsid w:val="005636E8"/>
    <w:rsid w:val="00563822"/>
    <w:rsid w:val="00565C88"/>
    <w:rsid w:val="00566007"/>
    <w:rsid w:val="00570EC1"/>
    <w:rsid w:val="0057196F"/>
    <w:rsid w:val="00572C6F"/>
    <w:rsid w:val="005734EE"/>
    <w:rsid w:val="005741A0"/>
    <w:rsid w:val="005752C8"/>
    <w:rsid w:val="00582060"/>
    <w:rsid w:val="0058218E"/>
    <w:rsid w:val="00586166"/>
    <w:rsid w:val="005863B8"/>
    <w:rsid w:val="00592897"/>
    <w:rsid w:val="00592AB3"/>
    <w:rsid w:val="00596096"/>
    <w:rsid w:val="005A0E91"/>
    <w:rsid w:val="005A27A7"/>
    <w:rsid w:val="005A3B0B"/>
    <w:rsid w:val="005A3DBE"/>
    <w:rsid w:val="005B1E45"/>
    <w:rsid w:val="005B4188"/>
    <w:rsid w:val="005B4FE3"/>
    <w:rsid w:val="005B5891"/>
    <w:rsid w:val="005B5B8A"/>
    <w:rsid w:val="005B77DB"/>
    <w:rsid w:val="005C05D6"/>
    <w:rsid w:val="005C1EF0"/>
    <w:rsid w:val="005C42DE"/>
    <w:rsid w:val="005C4524"/>
    <w:rsid w:val="005C487B"/>
    <w:rsid w:val="005C5A8E"/>
    <w:rsid w:val="005C61B7"/>
    <w:rsid w:val="005C67B2"/>
    <w:rsid w:val="005C6970"/>
    <w:rsid w:val="005D3713"/>
    <w:rsid w:val="005D4544"/>
    <w:rsid w:val="005D6362"/>
    <w:rsid w:val="005D66A0"/>
    <w:rsid w:val="005D723D"/>
    <w:rsid w:val="005E26FA"/>
    <w:rsid w:val="005E2BAC"/>
    <w:rsid w:val="005E2F75"/>
    <w:rsid w:val="005E2FA7"/>
    <w:rsid w:val="005E424A"/>
    <w:rsid w:val="005E4676"/>
    <w:rsid w:val="005E6881"/>
    <w:rsid w:val="005E7F40"/>
    <w:rsid w:val="005F0966"/>
    <w:rsid w:val="005F1786"/>
    <w:rsid w:val="005F3740"/>
    <w:rsid w:val="005F4443"/>
    <w:rsid w:val="005F47CB"/>
    <w:rsid w:val="005F4804"/>
    <w:rsid w:val="005F7811"/>
    <w:rsid w:val="005F7A93"/>
    <w:rsid w:val="00601944"/>
    <w:rsid w:val="00602507"/>
    <w:rsid w:val="006029F6"/>
    <w:rsid w:val="00603661"/>
    <w:rsid w:val="006038DE"/>
    <w:rsid w:val="006047DF"/>
    <w:rsid w:val="00614266"/>
    <w:rsid w:val="0061439A"/>
    <w:rsid w:val="00614E84"/>
    <w:rsid w:val="00614EC3"/>
    <w:rsid w:val="00616193"/>
    <w:rsid w:val="006175C4"/>
    <w:rsid w:val="00620430"/>
    <w:rsid w:val="00621905"/>
    <w:rsid w:val="00621B85"/>
    <w:rsid w:val="0062274D"/>
    <w:rsid w:val="00624129"/>
    <w:rsid w:val="00624473"/>
    <w:rsid w:val="00625541"/>
    <w:rsid w:val="00627CC4"/>
    <w:rsid w:val="0063053D"/>
    <w:rsid w:val="0063067D"/>
    <w:rsid w:val="00632214"/>
    <w:rsid w:val="0063258E"/>
    <w:rsid w:val="00632BA1"/>
    <w:rsid w:val="00637042"/>
    <w:rsid w:val="00640648"/>
    <w:rsid w:val="0064210D"/>
    <w:rsid w:val="00642C28"/>
    <w:rsid w:val="006432F1"/>
    <w:rsid w:val="0064495B"/>
    <w:rsid w:val="00645B79"/>
    <w:rsid w:val="00647B50"/>
    <w:rsid w:val="0065106A"/>
    <w:rsid w:val="006512E1"/>
    <w:rsid w:val="006524E0"/>
    <w:rsid w:val="0065289D"/>
    <w:rsid w:val="006540AA"/>
    <w:rsid w:val="00656659"/>
    <w:rsid w:val="00656A49"/>
    <w:rsid w:val="00656F3C"/>
    <w:rsid w:val="00657A43"/>
    <w:rsid w:val="00662059"/>
    <w:rsid w:val="00662112"/>
    <w:rsid w:val="00662126"/>
    <w:rsid w:val="006633D0"/>
    <w:rsid w:val="00666054"/>
    <w:rsid w:val="00673488"/>
    <w:rsid w:val="0067382A"/>
    <w:rsid w:val="0067444E"/>
    <w:rsid w:val="00674895"/>
    <w:rsid w:val="00676813"/>
    <w:rsid w:val="0067714E"/>
    <w:rsid w:val="00680077"/>
    <w:rsid w:val="00683057"/>
    <w:rsid w:val="00685A05"/>
    <w:rsid w:val="006861ED"/>
    <w:rsid w:val="00686CCD"/>
    <w:rsid w:val="00687DEF"/>
    <w:rsid w:val="00692DAC"/>
    <w:rsid w:val="006936AC"/>
    <w:rsid w:val="00693958"/>
    <w:rsid w:val="00694906"/>
    <w:rsid w:val="00694952"/>
    <w:rsid w:val="0069549C"/>
    <w:rsid w:val="00696005"/>
    <w:rsid w:val="006971D6"/>
    <w:rsid w:val="006A12C2"/>
    <w:rsid w:val="006A369A"/>
    <w:rsid w:val="006A3D81"/>
    <w:rsid w:val="006A4697"/>
    <w:rsid w:val="006A5BA2"/>
    <w:rsid w:val="006A7E0D"/>
    <w:rsid w:val="006B2EE5"/>
    <w:rsid w:val="006B307B"/>
    <w:rsid w:val="006B4375"/>
    <w:rsid w:val="006B6180"/>
    <w:rsid w:val="006C08DC"/>
    <w:rsid w:val="006C193D"/>
    <w:rsid w:val="006C1E28"/>
    <w:rsid w:val="006C21CF"/>
    <w:rsid w:val="006C3A45"/>
    <w:rsid w:val="006C404B"/>
    <w:rsid w:val="006C47AF"/>
    <w:rsid w:val="006C4B94"/>
    <w:rsid w:val="006C6DF6"/>
    <w:rsid w:val="006D0302"/>
    <w:rsid w:val="006D03E3"/>
    <w:rsid w:val="006D0C47"/>
    <w:rsid w:val="006D111B"/>
    <w:rsid w:val="006D3730"/>
    <w:rsid w:val="006D3C53"/>
    <w:rsid w:val="006D7468"/>
    <w:rsid w:val="006E1CAA"/>
    <w:rsid w:val="006E202E"/>
    <w:rsid w:val="006E2DA9"/>
    <w:rsid w:val="006E6494"/>
    <w:rsid w:val="006E761B"/>
    <w:rsid w:val="006F0A9B"/>
    <w:rsid w:val="006F144D"/>
    <w:rsid w:val="006F3673"/>
    <w:rsid w:val="006F408A"/>
    <w:rsid w:val="006F5251"/>
    <w:rsid w:val="006F6920"/>
    <w:rsid w:val="00700797"/>
    <w:rsid w:val="007025A5"/>
    <w:rsid w:val="00702C71"/>
    <w:rsid w:val="00703148"/>
    <w:rsid w:val="00704515"/>
    <w:rsid w:val="00704ACA"/>
    <w:rsid w:val="00704BF6"/>
    <w:rsid w:val="00705A6D"/>
    <w:rsid w:val="00706931"/>
    <w:rsid w:val="00707713"/>
    <w:rsid w:val="00711298"/>
    <w:rsid w:val="00711C4D"/>
    <w:rsid w:val="00712818"/>
    <w:rsid w:val="0071338B"/>
    <w:rsid w:val="00715061"/>
    <w:rsid w:val="00716526"/>
    <w:rsid w:val="007168AF"/>
    <w:rsid w:val="00717545"/>
    <w:rsid w:val="007200B2"/>
    <w:rsid w:val="00720901"/>
    <w:rsid w:val="00720942"/>
    <w:rsid w:val="00722A75"/>
    <w:rsid w:val="0072323A"/>
    <w:rsid w:val="0072377A"/>
    <w:rsid w:val="00723A30"/>
    <w:rsid w:val="00723DF4"/>
    <w:rsid w:val="007256C4"/>
    <w:rsid w:val="0072576F"/>
    <w:rsid w:val="00726893"/>
    <w:rsid w:val="00726EB9"/>
    <w:rsid w:val="00727B65"/>
    <w:rsid w:val="007320FA"/>
    <w:rsid w:val="00733FA0"/>
    <w:rsid w:val="00734244"/>
    <w:rsid w:val="0073727A"/>
    <w:rsid w:val="00737D70"/>
    <w:rsid w:val="007401B5"/>
    <w:rsid w:val="00740572"/>
    <w:rsid w:val="007408F7"/>
    <w:rsid w:val="00741066"/>
    <w:rsid w:val="00741924"/>
    <w:rsid w:val="007437F0"/>
    <w:rsid w:val="007458BD"/>
    <w:rsid w:val="007459CC"/>
    <w:rsid w:val="00745E32"/>
    <w:rsid w:val="00746A77"/>
    <w:rsid w:val="0074764B"/>
    <w:rsid w:val="00750DB2"/>
    <w:rsid w:val="00751041"/>
    <w:rsid w:val="007514F7"/>
    <w:rsid w:val="00751D93"/>
    <w:rsid w:val="00753923"/>
    <w:rsid w:val="00756FE1"/>
    <w:rsid w:val="00760ABF"/>
    <w:rsid w:val="00763067"/>
    <w:rsid w:val="0076414E"/>
    <w:rsid w:val="007652EC"/>
    <w:rsid w:val="007666A2"/>
    <w:rsid w:val="00766B82"/>
    <w:rsid w:val="00767737"/>
    <w:rsid w:val="00767CB2"/>
    <w:rsid w:val="00767E22"/>
    <w:rsid w:val="0077388D"/>
    <w:rsid w:val="0077415D"/>
    <w:rsid w:val="00774A2A"/>
    <w:rsid w:val="00775030"/>
    <w:rsid w:val="00775E3C"/>
    <w:rsid w:val="0078589E"/>
    <w:rsid w:val="00786181"/>
    <w:rsid w:val="00786E68"/>
    <w:rsid w:val="00786F07"/>
    <w:rsid w:val="00787E54"/>
    <w:rsid w:val="00790404"/>
    <w:rsid w:val="00792A7D"/>
    <w:rsid w:val="007976FE"/>
    <w:rsid w:val="0079781A"/>
    <w:rsid w:val="007A3367"/>
    <w:rsid w:val="007A5488"/>
    <w:rsid w:val="007A5BAE"/>
    <w:rsid w:val="007A6178"/>
    <w:rsid w:val="007A73CC"/>
    <w:rsid w:val="007B5CD4"/>
    <w:rsid w:val="007B70CF"/>
    <w:rsid w:val="007C0D02"/>
    <w:rsid w:val="007C2A4C"/>
    <w:rsid w:val="007C2E62"/>
    <w:rsid w:val="007C346B"/>
    <w:rsid w:val="007C5067"/>
    <w:rsid w:val="007C5CF6"/>
    <w:rsid w:val="007D25E0"/>
    <w:rsid w:val="007D4527"/>
    <w:rsid w:val="007D523F"/>
    <w:rsid w:val="007E1D08"/>
    <w:rsid w:val="007E4212"/>
    <w:rsid w:val="007E545A"/>
    <w:rsid w:val="007E5A35"/>
    <w:rsid w:val="007E6EDA"/>
    <w:rsid w:val="007E7A2C"/>
    <w:rsid w:val="007E7F58"/>
    <w:rsid w:val="007F2526"/>
    <w:rsid w:val="007F4B66"/>
    <w:rsid w:val="007F4B74"/>
    <w:rsid w:val="007F5F45"/>
    <w:rsid w:val="00801C2F"/>
    <w:rsid w:val="0080221F"/>
    <w:rsid w:val="008038D0"/>
    <w:rsid w:val="00803D45"/>
    <w:rsid w:val="00810FFF"/>
    <w:rsid w:val="00813095"/>
    <w:rsid w:val="00813141"/>
    <w:rsid w:val="00813B10"/>
    <w:rsid w:val="00815541"/>
    <w:rsid w:val="00816907"/>
    <w:rsid w:val="008170C3"/>
    <w:rsid w:val="008224DC"/>
    <w:rsid w:val="00823569"/>
    <w:rsid w:val="00823E7E"/>
    <w:rsid w:val="008244CF"/>
    <w:rsid w:val="00827811"/>
    <w:rsid w:val="008306C0"/>
    <w:rsid w:val="0083100C"/>
    <w:rsid w:val="008310F3"/>
    <w:rsid w:val="00831B21"/>
    <w:rsid w:val="00834765"/>
    <w:rsid w:val="00834F3D"/>
    <w:rsid w:val="008409D8"/>
    <w:rsid w:val="0084241D"/>
    <w:rsid w:val="00842B18"/>
    <w:rsid w:val="00843606"/>
    <w:rsid w:val="00844E65"/>
    <w:rsid w:val="00845F63"/>
    <w:rsid w:val="008472B3"/>
    <w:rsid w:val="00852D88"/>
    <w:rsid w:val="0085462D"/>
    <w:rsid w:val="00856D95"/>
    <w:rsid w:val="00857DE7"/>
    <w:rsid w:val="008605B9"/>
    <w:rsid w:val="0086131E"/>
    <w:rsid w:val="008617FC"/>
    <w:rsid w:val="00863D83"/>
    <w:rsid w:val="00864E8B"/>
    <w:rsid w:val="00865433"/>
    <w:rsid w:val="00865A95"/>
    <w:rsid w:val="00866F8B"/>
    <w:rsid w:val="00867197"/>
    <w:rsid w:val="00867425"/>
    <w:rsid w:val="00867B98"/>
    <w:rsid w:val="00870FD8"/>
    <w:rsid w:val="00873AA5"/>
    <w:rsid w:val="00874498"/>
    <w:rsid w:val="0087507E"/>
    <w:rsid w:val="0087710C"/>
    <w:rsid w:val="00877F36"/>
    <w:rsid w:val="008810CE"/>
    <w:rsid w:val="008815A0"/>
    <w:rsid w:val="008819FC"/>
    <w:rsid w:val="00882149"/>
    <w:rsid w:val="00885182"/>
    <w:rsid w:val="00886F28"/>
    <w:rsid w:val="00887462"/>
    <w:rsid w:val="00891BF8"/>
    <w:rsid w:val="00893302"/>
    <w:rsid w:val="00893E4D"/>
    <w:rsid w:val="00893ECD"/>
    <w:rsid w:val="008959F7"/>
    <w:rsid w:val="0089630F"/>
    <w:rsid w:val="008969E2"/>
    <w:rsid w:val="008A0681"/>
    <w:rsid w:val="008A0713"/>
    <w:rsid w:val="008A13A9"/>
    <w:rsid w:val="008A15FB"/>
    <w:rsid w:val="008A24A7"/>
    <w:rsid w:val="008A3F04"/>
    <w:rsid w:val="008A591D"/>
    <w:rsid w:val="008A59BB"/>
    <w:rsid w:val="008A76D9"/>
    <w:rsid w:val="008A79D8"/>
    <w:rsid w:val="008A7BA4"/>
    <w:rsid w:val="008B1B0A"/>
    <w:rsid w:val="008B1F11"/>
    <w:rsid w:val="008B2170"/>
    <w:rsid w:val="008B3A57"/>
    <w:rsid w:val="008B3DBA"/>
    <w:rsid w:val="008B5658"/>
    <w:rsid w:val="008B645E"/>
    <w:rsid w:val="008B6736"/>
    <w:rsid w:val="008B7B98"/>
    <w:rsid w:val="008C18DA"/>
    <w:rsid w:val="008C2FCC"/>
    <w:rsid w:val="008C3529"/>
    <w:rsid w:val="008C46D3"/>
    <w:rsid w:val="008C4762"/>
    <w:rsid w:val="008C58A2"/>
    <w:rsid w:val="008C6052"/>
    <w:rsid w:val="008C6710"/>
    <w:rsid w:val="008C7D5F"/>
    <w:rsid w:val="008C7E64"/>
    <w:rsid w:val="008D142D"/>
    <w:rsid w:val="008D2327"/>
    <w:rsid w:val="008D474B"/>
    <w:rsid w:val="008D619A"/>
    <w:rsid w:val="008D6BE8"/>
    <w:rsid w:val="008D72C7"/>
    <w:rsid w:val="008D73F5"/>
    <w:rsid w:val="008E2A80"/>
    <w:rsid w:val="008E2AF0"/>
    <w:rsid w:val="008E36BC"/>
    <w:rsid w:val="008E395A"/>
    <w:rsid w:val="008E3CA2"/>
    <w:rsid w:val="008E3E78"/>
    <w:rsid w:val="008E6249"/>
    <w:rsid w:val="008F008E"/>
    <w:rsid w:val="008F0114"/>
    <w:rsid w:val="008F038F"/>
    <w:rsid w:val="008F312B"/>
    <w:rsid w:val="008F4F81"/>
    <w:rsid w:val="008F50D9"/>
    <w:rsid w:val="008F5902"/>
    <w:rsid w:val="008F6A0B"/>
    <w:rsid w:val="008F7A8A"/>
    <w:rsid w:val="008F7CFA"/>
    <w:rsid w:val="00900105"/>
    <w:rsid w:val="009021CE"/>
    <w:rsid w:val="00902938"/>
    <w:rsid w:val="00903A16"/>
    <w:rsid w:val="009047B4"/>
    <w:rsid w:val="00910472"/>
    <w:rsid w:val="009104FD"/>
    <w:rsid w:val="00912B50"/>
    <w:rsid w:val="00913D1A"/>
    <w:rsid w:val="009155D0"/>
    <w:rsid w:val="00916DD7"/>
    <w:rsid w:val="009201E6"/>
    <w:rsid w:val="00921444"/>
    <w:rsid w:val="00923068"/>
    <w:rsid w:val="009249BB"/>
    <w:rsid w:val="00925129"/>
    <w:rsid w:val="009272F6"/>
    <w:rsid w:val="00927C8E"/>
    <w:rsid w:val="00927E3D"/>
    <w:rsid w:val="009304E0"/>
    <w:rsid w:val="009316D6"/>
    <w:rsid w:val="00931E9A"/>
    <w:rsid w:val="009349D9"/>
    <w:rsid w:val="009374CD"/>
    <w:rsid w:val="0094049C"/>
    <w:rsid w:val="009407AA"/>
    <w:rsid w:val="0094164C"/>
    <w:rsid w:val="0094180D"/>
    <w:rsid w:val="00941CD7"/>
    <w:rsid w:val="009421A9"/>
    <w:rsid w:val="0094267E"/>
    <w:rsid w:val="00943BDE"/>
    <w:rsid w:val="0094533C"/>
    <w:rsid w:val="00950319"/>
    <w:rsid w:val="00953239"/>
    <w:rsid w:val="00953DD6"/>
    <w:rsid w:val="009545AB"/>
    <w:rsid w:val="00956DC3"/>
    <w:rsid w:val="0096309A"/>
    <w:rsid w:val="00964654"/>
    <w:rsid w:val="00965C2E"/>
    <w:rsid w:val="009718B4"/>
    <w:rsid w:val="009718D6"/>
    <w:rsid w:val="00972A70"/>
    <w:rsid w:val="00973276"/>
    <w:rsid w:val="00974015"/>
    <w:rsid w:val="009775BC"/>
    <w:rsid w:val="00981351"/>
    <w:rsid w:val="009821FE"/>
    <w:rsid w:val="00982245"/>
    <w:rsid w:val="009845FB"/>
    <w:rsid w:val="00985068"/>
    <w:rsid w:val="0098593B"/>
    <w:rsid w:val="00985A6E"/>
    <w:rsid w:val="009861DD"/>
    <w:rsid w:val="00986327"/>
    <w:rsid w:val="00986D7C"/>
    <w:rsid w:val="0099023D"/>
    <w:rsid w:val="009906A8"/>
    <w:rsid w:val="00991CD2"/>
    <w:rsid w:val="009923E1"/>
    <w:rsid w:val="00993DF4"/>
    <w:rsid w:val="009A5605"/>
    <w:rsid w:val="009A61CA"/>
    <w:rsid w:val="009A6F03"/>
    <w:rsid w:val="009B3769"/>
    <w:rsid w:val="009B6F4E"/>
    <w:rsid w:val="009B718D"/>
    <w:rsid w:val="009C1572"/>
    <w:rsid w:val="009C25AD"/>
    <w:rsid w:val="009C724E"/>
    <w:rsid w:val="009D0916"/>
    <w:rsid w:val="009D2715"/>
    <w:rsid w:val="009D3232"/>
    <w:rsid w:val="009D33D0"/>
    <w:rsid w:val="009D3B99"/>
    <w:rsid w:val="009D55C6"/>
    <w:rsid w:val="009D6459"/>
    <w:rsid w:val="009D78D4"/>
    <w:rsid w:val="009D795F"/>
    <w:rsid w:val="009D7E9E"/>
    <w:rsid w:val="009E018E"/>
    <w:rsid w:val="009E0D07"/>
    <w:rsid w:val="009E7FFD"/>
    <w:rsid w:val="009F25FE"/>
    <w:rsid w:val="009F2687"/>
    <w:rsid w:val="009F2916"/>
    <w:rsid w:val="009F39E3"/>
    <w:rsid w:val="009F3ADC"/>
    <w:rsid w:val="009F7184"/>
    <w:rsid w:val="00A03594"/>
    <w:rsid w:val="00A037E2"/>
    <w:rsid w:val="00A04629"/>
    <w:rsid w:val="00A05944"/>
    <w:rsid w:val="00A05EC6"/>
    <w:rsid w:val="00A10E75"/>
    <w:rsid w:val="00A10EEE"/>
    <w:rsid w:val="00A1139C"/>
    <w:rsid w:val="00A12C07"/>
    <w:rsid w:val="00A15E24"/>
    <w:rsid w:val="00A160E2"/>
    <w:rsid w:val="00A16D5F"/>
    <w:rsid w:val="00A17E83"/>
    <w:rsid w:val="00A21466"/>
    <w:rsid w:val="00A22CDA"/>
    <w:rsid w:val="00A22DE4"/>
    <w:rsid w:val="00A23429"/>
    <w:rsid w:val="00A241E9"/>
    <w:rsid w:val="00A24D68"/>
    <w:rsid w:val="00A262D3"/>
    <w:rsid w:val="00A26D38"/>
    <w:rsid w:val="00A30F9F"/>
    <w:rsid w:val="00A31036"/>
    <w:rsid w:val="00A31120"/>
    <w:rsid w:val="00A31B59"/>
    <w:rsid w:val="00A35251"/>
    <w:rsid w:val="00A3585A"/>
    <w:rsid w:val="00A4008B"/>
    <w:rsid w:val="00A4084C"/>
    <w:rsid w:val="00A40E58"/>
    <w:rsid w:val="00A415AB"/>
    <w:rsid w:val="00A462EC"/>
    <w:rsid w:val="00A53316"/>
    <w:rsid w:val="00A54037"/>
    <w:rsid w:val="00A540ED"/>
    <w:rsid w:val="00A5662A"/>
    <w:rsid w:val="00A577CA"/>
    <w:rsid w:val="00A61772"/>
    <w:rsid w:val="00A628C5"/>
    <w:rsid w:val="00A63C91"/>
    <w:rsid w:val="00A67B87"/>
    <w:rsid w:val="00A71459"/>
    <w:rsid w:val="00A7162F"/>
    <w:rsid w:val="00A730FD"/>
    <w:rsid w:val="00A734E8"/>
    <w:rsid w:val="00A7463A"/>
    <w:rsid w:val="00A761E5"/>
    <w:rsid w:val="00A80033"/>
    <w:rsid w:val="00A80B14"/>
    <w:rsid w:val="00A818EB"/>
    <w:rsid w:val="00A8228F"/>
    <w:rsid w:val="00A84D83"/>
    <w:rsid w:val="00A87AFA"/>
    <w:rsid w:val="00A87EA4"/>
    <w:rsid w:val="00A918AC"/>
    <w:rsid w:val="00A91C35"/>
    <w:rsid w:val="00A91C4B"/>
    <w:rsid w:val="00A925A3"/>
    <w:rsid w:val="00A95E37"/>
    <w:rsid w:val="00A96140"/>
    <w:rsid w:val="00A966A5"/>
    <w:rsid w:val="00A97D1E"/>
    <w:rsid w:val="00AA161E"/>
    <w:rsid w:val="00AA1654"/>
    <w:rsid w:val="00AA2CA7"/>
    <w:rsid w:val="00AA2E39"/>
    <w:rsid w:val="00AA33FC"/>
    <w:rsid w:val="00AA5262"/>
    <w:rsid w:val="00AA6DC8"/>
    <w:rsid w:val="00AB1E0D"/>
    <w:rsid w:val="00AB5F29"/>
    <w:rsid w:val="00AC14F9"/>
    <w:rsid w:val="00AC2B08"/>
    <w:rsid w:val="00AC5A7A"/>
    <w:rsid w:val="00AC7EA1"/>
    <w:rsid w:val="00AD0FFB"/>
    <w:rsid w:val="00AD204F"/>
    <w:rsid w:val="00AD6200"/>
    <w:rsid w:val="00AD69B3"/>
    <w:rsid w:val="00AD7225"/>
    <w:rsid w:val="00AD760E"/>
    <w:rsid w:val="00AD7882"/>
    <w:rsid w:val="00AE3C41"/>
    <w:rsid w:val="00AE7AE8"/>
    <w:rsid w:val="00AF0C4D"/>
    <w:rsid w:val="00AF18AD"/>
    <w:rsid w:val="00AF5886"/>
    <w:rsid w:val="00AF6853"/>
    <w:rsid w:val="00AF6E2E"/>
    <w:rsid w:val="00AF76DF"/>
    <w:rsid w:val="00B01644"/>
    <w:rsid w:val="00B02550"/>
    <w:rsid w:val="00B04842"/>
    <w:rsid w:val="00B054C9"/>
    <w:rsid w:val="00B10FE1"/>
    <w:rsid w:val="00B1271E"/>
    <w:rsid w:val="00B13031"/>
    <w:rsid w:val="00B16A07"/>
    <w:rsid w:val="00B206C6"/>
    <w:rsid w:val="00B20854"/>
    <w:rsid w:val="00B21DB0"/>
    <w:rsid w:val="00B21DBA"/>
    <w:rsid w:val="00B24D95"/>
    <w:rsid w:val="00B253A5"/>
    <w:rsid w:val="00B2550A"/>
    <w:rsid w:val="00B26C54"/>
    <w:rsid w:val="00B2746F"/>
    <w:rsid w:val="00B278D9"/>
    <w:rsid w:val="00B27D70"/>
    <w:rsid w:val="00B308BF"/>
    <w:rsid w:val="00B308F7"/>
    <w:rsid w:val="00B32597"/>
    <w:rsid w:val="00B33322"/>
    <w:rsid w:val="00B344E3"/>
    <w:rsid w:val="00B35F83"/>
    <w:rsid w:val="00B36E73"/>
    <w:rsid w:val="00B372BF"/>
    <w:rsid w:val="00B42FEC"/>
    <w:rsid w:val="00B433D6"/>
    <w:rsid w:val="00B45CFA"/>
    <w:rsid w:val="00B465F4"/>
    <w:rsid w:val="00B4797C"/>
    <w:rsid w:val="00B503EA"/>
    <w:rsid w:val="00B57E43"/>
    <w:rsid w:val="00B617B4"/>
    <w:rsid w:val="00B61E4F"/>
    <w:rsid w:val="00B66FF6"/>
    <w:rsid w:val="00B7127A"/>
    <w:rsid w:val="00B726DA"/>
    <w:rsid w:val="00B72ADA"/>
    <w:rsid w:val="00B73A82"/>
    <w:rsid w:val="00B73E0D"/>
    <w:rsid w:val="00B76EED"/>
    <w:rsid w:val="00B8074E"/>
    <w:rsid w:val="00B81623"/>
    <w:rsid w:val="00B81F62"/>
    <w:rsid w:val="00B871A9"/>
    <w:rsid w:val="00B877AA"/>
    <w:rsid w:val="00B90368"/>
    <w:rsid w:val="00B92F59"/>
    <w:rsid w:val="00B93610"/>
    <w:rsid w:val="00B94F1E"/>
    <w:rsid w:val="00B95FBB"/>
    <w:rsid w:val="00B971FD"/>
    <w:rsid w:val="00BA1B86"/>
    <w:rsid w:val="00BA4A51"/>
    <w:rsid w:val="00BA5896"/>
    <w:rsid w:val="00BA7AFF"/>
    <w:rsid w:val="00BA7BD6"/>
    <w:rsid w:val="00BA7F42"/>
    <w:rsid w:val="00BB07E4"/>
    <w:rsid w:val="00BB1226"/>
    <w:rsid w:val="00BB151B"/>
    <w:rsid w:val="00BB3BFF"/>
    <w:rsid w:val="00BB44E6"/>
    <w:rsid w:val="00BB48F2"/>
    <w:rsid w:val="00BB4A02"/>
    <w:rsid w:val="00BB4FD6"/>
    <w:rsid w:val="00BB5523"/>
    <w:rsid w:val="00BB5D37"/>
    <w:rsid w:val="00BB627D"/>
    <w:rsid w:val="00BB67FD"/>
    <w:rsid w:val="00BC240B"/>
    <w:rsid w:val="00BC3081"/>
    <w:rsid w:val="00BC3D2B"/>
    <w:rsid w:val="00BC4750"/>
    <w:rsid w:val="00BC77AF"/>
    <w:rsid w:val="00BD1767"/>
    <w:rsid w:val="00BD322B"/>
    <w:rsid w:val="00BD3660"/>
    <w:rsid w:val="00BD40B9"/>
    <w:rsid w:val="00BD4231"/>
    <w:rsid w:val="00BD53A4"/>
    <w:rsid w:val="00BE0690"/>
    <w:rsid w:val="00BE0CB1"/>
    <w:rsid w:val="00BE1B6E"/>
    <w:rsid w:val="00BE368C"/>
    <w:rsid w:val="00BE47FE"/>
    <w:rsid w:val="00BE683F"/>
    <w:rsid w:val="00BE7290"/>
    <w:rsid w:val="00BF0584"/>
    <w:rsid w:val="00BF089F"/>
    <w:rsid w:val="00BF1014"/>
    <w:rsid w:val="00BF1DC5"/>
    <w:rsid w:val="00BF5927"/>
    <w:rsid w:val="00BF6813"/>
    <w:rsid w:val="00BF6A13"/>
    <w:rsid w:val="00BF6F85"/>
    <w:rsid w:val="00BF793A"/>
    <w:rsid w:val="00C0039D"/>
    <w:rsid w:val="00C011D2"/>
    <w:rsid w:val="00C016D6"/>
    <w:rsid w:val="00C02646"/>
    <w:rsid w:val="00C02C18"/>
    <w:rsid w:val="00C055E9"/>
    <w:rsid w:val="00C14D05"/>
    <w:rsid w:val="00C14F4B"/>
    <w:rsid w:val="00C175A3"/>
    <w:rsid w:val="00C17E4F"/>
    <w:rsid w:val="00C2085C"/>
    <w:rsid w:val="00C230A1"/>
    <w:rsid w:val="00C24F22"/>
    <w:rsid w:val="00C265D6"/>
    <w:rsid w:val="00C26B63"/>
    <w:rsid w:val="00C30D58"/>
    <w:rsid w:val="00C328EF"/>
    <w:rsid w:val="00C32B58"/>
    <w:rsid w:val="00C35C81"/>
    <w:rsid w:val="00C439D4"/>
    <w:rsid w:val="00C455F1"/>
    <w:rsid w:val="00C4607A"/>
    <w:rsid w:val="00C463CC"/>
    <w:rsid w:val="00C4669E"/>
    <w:rsid w:val="00C466B7"/>
    <w:rsid w:val="00C47034"/>
    <w:rsid w:val="00C51227"/>
    <w:rsid w:val="00C52EC5"/>
    <w:rsid w:val="00C53D08"/>
    <w:rsid w:val="00C54D8A"/>
    <w:rsid w:val="00C55D6E"/>
    <w:rsid w:val="00C56756"/>
    <w:rsid w:val="00C62EF2"/>
    <w:rsid w:val="00C63D20"/>
    <w:rsid w:val="00C642EC"/>
    <w:rsid w:val="00C646D8"/>
    <w:rsid w:val="00C66399"/>
    <w:rsid w:val="00C67B33"/>
    <w:rsid w:val="00C70545"/>
    <w:rsid w:val="00C70B97"/>
    <w:rsid w:val="00C70FD9"/>
    <w:rsid w:val="00C71244"/>
    <w:rsid w:val="00C724EE"/>
    <w:rsid w:val="00C73476"/>
    <w:rsid w:val="00C74546"/>
    <w:rsid w:val="00C81AEF"/>
    <w:rsid w:val="00C81E0B"/>
    <w:rsid w:val="00C826AE"/>
    <w:rsid w:val="00C826BE"/>
    <w:rsid w:val="00C82B3D"/>
    <w:rsid w:val="00C83078"/>
    <w:rsid w:val="00C8571F"/>
    <w:rsid w:val="00C872D2"/>
    <w:rsid w:val="00C91E6A"/>
    <w:rsid w:val="00C920D1"/>
    <w:rsid w:val="00C94FB1"/>
    <w:rsid w:val="00C95868"/>
    <w:rsid w:val="00C95A79"/>
    <w:rsid w:val="00C97652"/>
    <w:rsid w:val="00CA0E6B"/>
    <w:rsid w:val="00CA13E5"/>
    <w:rsid w:val="00CA157D"/>
    <w:rsid w:val="00CA293C"/>
    <w:rsid w:val="00CA37A8"/>
    <w:rsid w:val="00CA40B1"/>
    <w:rsid w:val="00CA5096"/>
    <w:rsid w:val="00CA73B9"/>
    <w:rsid w:val="00CB0867"/>
    <w:rsid w:val="00CB0C73"/>
    <w:rsid w:val="00CB44D0"/>
    <w:rsid w:val="00CB7D47"/>
    <w:rsid w:val="00CC07F8"/>
    <w:rsid w:val="00CC3346"/>
    <w:rsid w:val="00CC379E"/>
    <w:rsid w:val="00CC4BC2"/>
    <w:rsid w:val="00CC4FEC"/>
    <w:rsid w:val="00CC7600"/>
    <w:rsid w:val="00CC78F1"/>
    <w:rsid w:val="00CD11CA"/>
    <w:rsid w:val="00CD59D1"/>
    <w:rsid w:val="00CE4D28"/>
    <w:rsid w:val="00CE4EC8"/>
    <w:rsid w:val="00CE5BCD"/>
    <w:rsid w:val="00CE7C0B"/>
    <w:rsid w:val="00CF0616"/>
    <w:rsid w:val="00CF211D"/>
    <w:rsid w:val="00CF4256"/>
    <w:rsid w:val="00CF48AA"/>
    <w:rsid w:val="00CF4D8B"/>
    <w:rsid w:val="00CF57C9"/>
    <w:rsid w:val="00CF5EDB"/>
    <w:rsid w:val="00CF60AA"/>
    <w:rsid w:val="00CF6E4C"/>
    <w:rsid w:val="00D00CE9"/>
    <w:rsid w:val="00D0143E"/>
    <w:rsid w:val="00D01B4E"/>
    <w:rsid w:val="00D02D7A"/>
    <w:rsid w:val="00D05D27"/>
    <w:rsid w:val="00D07516"/>
    <w:rsid w:val="00D10B2B"/>
    <w:rsid w:val="00D11617"/>
    <w:rsid w:val="00D17C5E"/>
    <w:rsid w:val="00D22794"/>
    <w:rsid w:val="00D22FA0"/>
    <w:rsid w:val="00D2461E"/>
    <w:rsid w:val="00D25C5D"/>
    <w:rsid w:val="00D26A9B"/>
    <w:rsid w:val="00D27315"/>
    <w:rsid w:val="00D33A00"/>
    <w:rsid w:val="00D34017"/>
    <w:rsid w:val="00D3440B"/>
    <w:rsid w:val="00D36A44"/>
    <w:rsid w:val="00D40FA0"/>
    <w:rsid w:val="00D44979"/>
    <w:rsid w:val="00D44A0F"/>
    <w:rsid w:val="00D46321"/>
    <w:rsid w:val="00D51B80"/>
    <w:rsid w:val="00D51D61"/>
    <w:rsid w:val="00D524E5"/>
    <w:rsid w:val="00D528A9"/>
    <w:rsid w:val="00D53A3E"/>
    <w:rsid w:val="00D53BC3"/>
    <w:rsid w:val="00D55C15"/>
    <w:rsid w:val="00D5658F"/>
    <w:rsid w:val="00D56808"/>
    <w:rsid w:val="00D568C0"/>
    <w:rsid w:val="00D57D45"/>
    <w:rsid w:val="00D6008B"/>
    <w:rsid w:val="00D603D1"/>
    <w:rsid w:val="00D61586"/>
    <w:rsid w:val="00D61C20"/>
    <w:rsid w:val="00D620A3"/>
    <w:rsid w:val="00D642D4"/>
    <w:rsid w:val="00D665E4"/>
    <w:rsid w:val="00D666D1"/>
    <w:rsid w:val="00D66847"/>
    <w:rsid w:val="00D67A96"/>
    <w:rsid w:val="00D734E6"/>
    <w:rsid w:val="00D7578E"/>
    <w:rsid w:val="00D75914"/>
    <w:rsid w:val="00D76DDE"/>
    <w:rsid w:val="00D82243"/>
    <w:rsid w:val="00D837BB"/>
    <w:rsid w:val="00D83EA2"/>
    <w:rsid w:val="00D8494E"/>
    <w:rsid w:val="00D90EC1"/>
    <w:rsid w:val="00D93D9C"/>
    <w:rsid w:val="00D9757D"/>
    <w:rsid w:val="00D97C9B"/>
    <w:rsid w:val="00DA0799"/>
    <w:rsid w:val="00DA1B7D"/>
    <w:rsid w:val="00DA2A59"/>
    <w:rsid w:val="00DA483F"/>
    <w:rsid w:val="00DA5073"/>
    <w:rsid w:val="00DA5882"/>
    <w:rsid w:val="00DA6303"/>
    <w:rsid w:val="00DB03A0"/>
    <w:rsid w:val="00DB0EDB"/>
    <w:rsid w:val="00DB173B"/>
    <w:rsid w:val="00DB1CBD"/>
    <w:rsid w:val="00DB2AAE"/>
    <w:rsid w:val="00DB3F7E"/>
    <w:rsid w:val="00DB5AF0"/>
    <w:rsid w:val="00DB5E87"/>
    <w:rsid w:val="00DB6132"/>
    <w:rsid w:val="00DB786E"/>
    <w:rsid w:val="00DC0D04"/>
    <w:rsid w:val="00DC3926"/>
    <w:rsid w:val="00DC59AD"/>
    <w:rsid w:val="00DC61E1"/>
    <w:rsid w:val="00DC7B94"/>
    <w:rsid w:val="00DD195C"/>
    <w:rsid w:val="00DD1CE8"/>
    <w:rsid w:val="00DD24D4"/>
    <w:rsid w:val="00DD5110"/>
    <w:rsid w:val="00DE0627"/>
    <w:rsid w:val="00DE3C3C"/>
    <w:rsid w:val="00DE59EE"/>
    <w:rsid w:val="00DE655A"/>
    <w:rsid w:val="00DF1E86"/>
    <w:rsid w:val="00DF43E2"/>
    <w:rsid w:val="00DF4F13"/>
    <w:rsid w:val="00DF66BE"/>
    <w:rsid w:val="00DF749C"/>
    <w:rsid w:val="00E00A76"/>
    <w:rsid w:val="00E01FFC"/>
    <w:rsid w:val="00E02D17"/>
    <w:rsid w:val="00E040F4"/>
    <w:rsid w:val="00E04885"/>
    <w:rsid w:val="00E06D61"/>
    <w:rsid w:val="00E108D0"/>
    <w:rsid w:val="00E1234A"/>
    <w:rsid w:val="00E15F58"/>
    <w:rsid w:val="00E1785F"/>
    <w:rsid w:val="00E20C6E"/>
    <w:rsid w:val="00E2126F"/>
    <w:rsid w:val="00E21638"/>
    <w:rsid w:val="00E2291D"/>
    <w:rsid w:val="00E22B08"/>
    <w:rsid w:val="00E2439F"/>
    <w:rsid w:val="00E24BC7"/>
    <w:rsid w:val="00E250E5"/>
    <w:rsid w:val="00E2666D"/>
    <w:rsid w:val="00E27C82"/>
    <w:rsid w:val="00E300C9"/>
    <w:rsid w:val="00E333FF"/>
    <w:rsid w:val="00E33AF6"/>
    <w:rsid w:val="00E343F0"/>
    <w:rsid w:val="00E34F5A"/>
    <w:rsid w:val="00E4170D"/>
    <w:rsid w:val="00E42D53"/>
    <w:rsid w:val="00E45DF2"/>
    <w:rsid w:val="00E46A8A"/>
    <w:rsid w:val="00E47972"/>
    <w:rsid w:val="00E525F7"/>
    <w:rsid w:val="00E53510"/>
    <w:rsid w:val="00E53C1F"/>
    <w:rsid w:val="00E550F0"/>
    <w:rsid w:val="00E55945"/>
    <w:rsid w:val="00E571E5"/>
    <w:rsid w:val="00E62F07"/>
    <w:rsid w:val="00E63ABC"/>
    <w:rsid w:val="00E64A10"/>
    <w:rsid w:val="00E65BF1"/>
    <w:rsid w:val="00E67386"/>
    <w:rsid w:val="00E71157"/>
    <w:rsid w:val="00E7201D"/>
    <w:rsid w:val="00E724FA"/>
    <w:rsid w:val="00E7287C"/>
    <w:rsid w:val="00E73F97"/>
    <w:rsid w:val="00E74F65"/>
    <w:rsid w:val="00E75646"/>
    <w:rsid w:val="00E77A41"/>
    <w:rsid w:val="00E80B54"/>
    <w:rsid w:val="00E814A5"/>
    <w:rsid w:val="00E82726"/>
    <w:rsid w:val="00E85BE3"/>
    <w:rsid w:val="00E926CA"/>
    <w:rsid w:val="00E92A68"/>
    <w:rsid w:val="00E932C2"/>
    <w:rsid w:val="00E93365"/>
    <w:rsid w:val="00E94B42"/>
    <w:rsid w:val="00E96158"/>
    <w:rsid w:val="00E96E5D"/>
    <w:rsid w:val="00EA0B5F"/>
    <w:rsid w:val="00EA2106"/>
    <w:rsid w:val="00EB348F"/>
    <w:rsid w:val="00EB3783"/>
    <w:rsid w:val="00EB3C84"/>
    <w:rsid w:val="00EB4D3C"/>
    <w:rsid w:val="00EB59D1"/>
    <w:rsid w:val="00EB5DF2"/>
    <w:rsid w:val="00EC0D6E"/>
    <w:rsid w:val="00EC20CC"/>
    <w:rsid w:val="00EC21B4"/>
    <w:rsid w:val="00EC4DFE"/>
    <w:rsid w:val="00EC5173"/>
    <w:rsid w:val="00EC5F7E"/>
    <w:rsid w:val="00EC67E9"/>
    <w:rsid w:val="00ED081A"/>
    <w:rsid w:val="00ED42A5"/>
    <w:rsid w:val="00ED476C"/>
    <w:rsid w:val="00ED4DE9"/>
    <w:rsid w:val="00ED74B3"/>
    <w:rsid w:val="00ED7EE4"/>
    <w:rsid w:val="00EE05B3"/>
    <w:rsid w:val="00EE0821"/>
    <w:rsid w:val="00EE17D9"/>
    <w:rsid w:val="00EE1C3A"/>
    <w:rsid w:val="00EE3BED"/>
    <w:rsid w:val="00EE56B2"/>
    <w:rsid w:val="00EE7081"/>
    <w:rsid w:val="00EE7A13"/>
    <w:rsid w:val="00EE7A7A"/>
    <w:rsid w:val="00EF0AA2"/>
    <w:rsid w:val="00EF1B8C"/>
    <w:rsid w:val="00EF356D"/>
    <w:rsid w:val="00EF36C4"/>
    <w:rsid w:val="00EF5C20"/>
    <w:rsid w:val="00EF66EB"/>
    <w:rsid w:val="00EF6D8A"/>
    <w:rsid w:val="00F01408"/>
    <w:rsid w:val="00F02BF3"/>
    <w:rsid w:val="00F039AB"/>
    <w:rsid w:val="00F05320"/>
    <w:rsid w:val="00F05479"/>
    <w:rsid w:val="00F05A48"/>
    <w:rsid w:val="00F05D4E"/>
    <w:rsid w:val="00F06534"/>
    <w:rsid w:val="00F107F1"/>
    <w:rsid w:val="00F108A8"/>
    <w:rsid w:val="00F117B0"/>
    <w:rsid w:val="00F126F1"/>
    <w:rsid w:val="00F12D17"/>
    <w:rsid w:val="00F168F5"/>
    <w:rsid w:val="00F16A75"/>
    <w:rsid w:val="00F178FE"/>
    <w:rsid w:val="00F216FF"/>
    <w:rsid w:val="00F23714"/>
    <w:rsid w:val="00F23F8E"/>
    <w:rsid w:val="00F279B7"/>
    <w:rsid w:val="00F27FF9"/>
    <w:rsid w:val="00F30655"/>
    <w:rsid w:val="00F308F5"/>
    <w:rsid w:val="00F311A9"/>
    <w:rsid w:val="00F3389C"/>
    <w:rsid w:val="00F34880"/>
    <w:rsid w:val="00F35283"/>
    <w:rsid w:val="00F377F5"/>
    <w:rsid w:val="00F40742"/>
    <w:rsid w:val="00F40D1D"/>
    <w:rsid w:val="00F42507"/>
    <w:rsid w:val="00F470E6"/>
    <w:rsid w:val="00F50A01"/>
    <w:rsid w:val="00F51152"/>
    <w:rsid w:val="00F51D1A"/>
    <w:rsid w:val="00F53610"/>
    <w:rsid w:val="00F54A45"/>
    <w:rsid w:val="00F56160"/>
    <w:rsid w:val="00F56CBE"/>
    <w:rsid w:val="00F57820"/>
    <w:rsid w:val="00F611FE"/>
    <w:rsid w:val="00F6168E"/>
    <w:rsid w:val="00F636F4"/>
    <w:rsid w:val="00F6618D"/>
    <w:rsid w:val="00F66F26"/>
    <w:rsid w:val="00F706D2"/>
    <w:rsid w:val="00F70ADC"/>
    <w:rsid w:val="00F70FF5"/>
    <w:rsid w:val="00F7325F"/>
    <w:rsid w:val="00F7557D"/>
    <w:rsid w:val="00F776D3"/>
    <w:rsid w:val="00F77AC8"/>
    <w:rsid w:val="00F80C3A"/>
    <w:rsid w:val="00F819F4"/>
    <w:rsid w:val="00F82B5F"/>
    <w:rsid w:val="00F8343B"/>
    <w:rsid w:val="00F83EFB"/>
    <w:rsid w:val="00F84A7E"/>
    <w:rsid w:val="00F84C75"/>
    <w:rsid w:val="00F84F3F"/>
    <w:rsid w:val="00F8702B"/>
    <w:rsid w:val="00F872B0"/>
    <w:rsid w:val="00F92326"/>
    <w:rsid w:val="00F9239C"/>
    <w:rsid w:val="00F92C7A"/>
    <w:rsid w:val="00F94F18"/>
    <w:rsid w:val="00F95399"/>
    <w:rsid w:val="00F95C01"/>
    <w:rsid w:val="00FA031A"/>
    <w:rsid w:val="00FA160A"/>
    <w:rsid w:val="00FA1EDB"/>
    <w:rsid w:val="00FA1F50"/>
    <w:rsid w:val="00FA28F5"/>
    <w:rsid w:val="00FA4C79"/>
    <w:rsid w:val="00FA58E9"/>
    <w:rsid w:val="00FA7AFC"/>
    <w:rsid w:val="00FB168F"/>
    <w:rsid w:val="00FB2189"/>
    <w:rsid w:val="00FB26F0"/>
    <w:rsid w:val="00FB3ADA"/>
    <w:rsid w:val="00FB448F"/>
    <w:rsid w:val="00FB59F4"/>
    <w:rsid w:val="00FB76E2"/>
    <w:rsid w:val="00FC0C80"/>
    <w:rsid w:val="00FC0D8D"/>
    <w:rsid w:val="00FC374C"/>
    <w:rsid w:val="00FC3970"/>
    <w:rsid w:val="00FC4882"/>
    <w:rsid w:val="00FC532A"/>
    <w:rsid w:val="00FC592B"/>
    <w:rsid w:val="00FC76CC"/>
    <w:rsid w:val="00FC7F8A"/>
    <w:rsid w:val="00FD5248"/>
    <w:rsid w:val="00FD67E0"/>
    <w:rsid w:val="00FD71B7"/>
    <w:rsid w:val="00FD7E23"/>
    <w:rsid w:val="00FE0E10"/>
    <w:rsid w:val="00FE1C39"/>
    <w:rsid w:val="00FE43A9"/>
    <w:rsid w:val="00FE4A77"/>
    <w:rsid w:val="00FE57F7"/>
    <w:rsid w:val="00FE61EC"/>
    <w:rsid w:val="00FE7E8C"/>
    <w:rsid w:val="00FF256C"/>
    <w:rsid w:val="00FF5E45"/>
    <w:rsid w:val="00FF60A4"/>
    <w:rsid w:val="00FF6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7EF"/>
    <w:pPr>
      <w:spacing w:after="200" w:line="276" w:lineRule="auto"/>
    </w:pPr>
    <w:rPr>
      <w:sz w:val="22"/>
      <w:szCs w:val="22"/>
    </w:rPr>
  </w:style>
  <w:style w:type="paragraph" w:styleId="Heading1">
    <w:name w:val="heading 1"/>
    <w:basedOn w:val="Normal"/>
    <w:next w:val="Normal"/>
    <w:link w:val="Heading1Char"/>
    <w:uiPriority w:val="9"/>
    <w:qFormat/>
    <w:rsid w:val="00692DA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92DA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1E2E5B"/>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0EFF"/>
    <w:pPr>
      <w:autoSpaceDE w:val="0"/>
      <w:autoSpaceDN w:val="0"/>
      <w:adjustRightInd w:val="0"/>
    </w:pPr>
    <w:rPr>
      <w:rFonts w:ascii="Arial" w:hAnsi="Arial" w:cs="Arial"/>
      <w:color w:val="000000"/>
      <w:sz w:val="24"/>
      <w:szCs w:val="24"/>
    </w:rPr>
  </w:style>
  <w:style w:type="character" w:styleId="Hyperlink">
    <w:name w:val="Hyperlink"/>
    <w:uiPriority w:val="99"/>
    <w:unhideWhenUsed/>
    <w:rsid w:val="00F7325F"/>
    <w:rPr>
      <w:color w:val="0000FF"/>
      <w:u w:val="single"/>
    </w:rPr>
  </w:style>
  <w:style w:type="paragraph" w:styleId="HTMLPreformatted">
    <w:name w:val="HTML Preformatted"/>
    <w:basedOn w:val="Normal"/>
    <w:link w:val="HTMLPreformattedChar"/>
    <w:uiPriority w:val="99"/>
    <w:semiHidden/>
    <w:unhideWhenUsed/>
    <w:rsid w:val="00324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324311"/>
    <w:rPr>
      <w:rFonts w:ascii="Courier New" w:eastAsia="Times New Roman" w:hAnsi="Courier New" w:cs="Courier New"/>
      <w:sz w:val="20"/>
      <w:szCs w:val="20"/>
    </w:rPr>
  </w:style>
  <w:style w:type="paragraph" w:styleId="ListParagraph">
    <w:name w:val="List Paragraph"/>
    <w:basedOn w:val="Normal"/>
    <w:uiPriority w:val="34"/>
    <w:qFormat/>
    <w:rsid w:val="0064495B"/>
    <w:pPr>
      <w:ind w:left="720"/>
      <w:contextualSpacing/>
    </w:pPr>
  </w:style>
  <w:style w:type="character" w:customStyle="1" w:styleId="Heading1Char">
    <w:name w:val="Heading 1 Char"/>
    <w:link w:val="Heading1"/>
    <w:uiPriority w:val="9"/>
    <w:rsid w:val="00692DAC"/>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92DAC"/>
    <w:rPr>
      <w:rFonts w:ascii="Cambria" w:eastAsia="Times New Roman" w:hAnsi="Cambria" w:cs="Times New Roman"/>
      <w:b/>
      <w:bCs/>
      <w:color w:val="4F81BD"/>
      <w:sz w:val="26"/>
      <w:szCs w:val="26"/>
    </w:rPr>
  </w:style>
  <w:style w:type="paragraph" w:styleId="Title">
    <w:name w:val="Title"/>
    <w:basedOn w:val="Normal"/>
    <w:next w:val="Normal"/>
    <w:link w:val="TitleChar"/>
    <w:uiPriority w:val="10"/>
    <w:qFormat/>
    <w:rsid w:val="00692DA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692DAC"/>
    <w:rPr>
      <w:rFonts w:ascii="Cambria" w:eastAsia="Times New Roman" w:hAnsi="Cambria" w:cs="Times New Roman"/>
      <w:color w:val="17365D"/>
      <w:spacing w:val="5"/>
      <w:kern w:val="28"/>
      <w:sz w:val="52"/>
      <w:szCs w:val="52"/>
    </w:rPr>
  </w:style>
  <w:style w:type="paragraph" w:styleId="TOCHeading">
    <w:name w:val="TOC Heading"/>
    <w:basedOn w:val="Heading1"/>
    <w:next w:val="Normal"/>
    <w:uiPriority w:val="39"/>
    <w:semiHidden/>
    <w:unhideWhenUsed/>
    <w:qFormat/>
    <w:rsid w:val="00A61772"/>
    <w:pPr>
      <w:outlineLvl w:val="9"/>
    </w:pPr>
  </w:style>
  <w:style w:type="paragraph" w:styleId="TOC1">
    <w:name w:val="toc 1"/>
    <w:basedOn w:val="Normal"/>
    <w:next w:val="Normal"/>
    <w:autoRedefine/>
    <w:uiPriority w:val="39"/>
    <w:unhideWhenUsed/>
    <w:rsid w:val="00A61772"/>
    <w:pPr>
      <w:spacing w:after="100"/>
    </w:pPr>
  </w:style>
  <w:style w:type="paragraph" w:styleId="TOC2">
    <w:name w:val="toc 2"/>
    <w:basedOn w:val="Normal"/>
    <w:next w:val="Normal"/>
    <w:autoRedefine/>
    <w:uiPriority w:val="39"/>
    <w:unhideWhenUsed/>
    <w:rsid w:val="00A61772"/>
    <w:pPr>
      <w:spacing w:after="100"/>
      <w:ind w:left="220"/>
    </w:pPr>
  </w:style>
  <w:style w:type="paragraph" w:styleId="BalloonText">
    <w:name w:val="Balloon Text"/>
    <w:basedOn w:val="Normal"/>
    <w:link w:val="BalloonTextChar"/>
    <w:uiPriority w:val="99"/>
    <w:semiHidden/>
    <w:unhideWhenUsed/>
    <w:rsid w:val="00A6177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1772"/>
    <w:rPr>
      <w:rFonts w:ascii="Tahoma" w:hAnsi="Tahoma" w:cs="Tahoma"/>
      <w:sz w:val="16"/>
      <w:szCs w:val="16"/>
    </w:rPr>
  </w:style>
  <w:style w:type="character" w:customStyle="1" w:styleId="Heading3Char">
    <w:name w:val="Heading 3 Char"/>
    <w:link w:val="Heading3"/>
    <w:uiPriority w:val="9"/>
    <w:rsid w:val="001E2E5B"/>
    <w:rPr>
      <w:rFonts w:ascii="Cambria" w:eastAsia="Times New Roman" w:hAnsi="Cambria" w:cs="Times New Roman"/>
      <w:b/>
      <w:bCs/>
      <w:color w:val="4F81BD"/>
    </w:rPr>
  </w:style>
  <w:style w:type="paragraph" w:styleId="TOC3">
    <w:name w:val="toc 3"/>
    <w:basedOn w:val="Normal"/>
    <w:next w:val="Normal"/>
    <w:autoRedefine/>
    <w:uiPriority w:val="39"/>
    <w:unhideWhenUsed/>
    <w:rsid w:val="00100B55"/>
    <w:pPr>
      <w:spacing w:after="100"/>
      <w:ind w:left="440"/>
    </w:pPr>
  </w:style>
  <w:style w:type="paragraph" w:styleId="NoSpacing">
    <w:name w:val="No Spacing"/>
    <w:uiPriority w:val="1"/>
    <w:qFormat/>
    <w:rsid w:val="00100B55"/>
    <w:rPr>
      <w:sz w:val="22"/>
      <w:szCs w:val="22"/>
    </w:rPr>
  </w:style>
  <w:style w:type="table" w:styleId="TableGrid">
    <w:name w:val="Table Grid"/>
    <w:basedOn w:val="TableNormal"/>
    <w:uiPriority w:val="59"/>
    <w:rsid w:val="0054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2616A4"/>
  </w:style>
  <w:style w:type="paragraph" w:styleId="FootnoteText">
    <w:name w:val="footnote text"/>
    <w:basedOn w:val="Normal"/>
    <w:link w:val="FootnoteTextChar"/>
    <w:uiPriority w:val="99"/>
    <w:semiHidden/>
    <w:unhideWhenUsed/>
    <w:rsid w:val="002616A4"/>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2616A4"/>
    <w:rPr>
      <w:rFonts w:ascii="Times New Roman" w:eastAsia="Times New Roman" w:hAnsi="Times New Roman"/>
    </w:rPr>
  </w:style>
  <w:style w:type="paragraph" w:customStyle="1" w:styleId="GLHeading2">
    <w:name w:val="GLHeading2"/>
    <w:basedOn w:val="Heading2"/>
    <w:qFormat/>
    <w:rsid w:val="007E1D08"/>
    <w:pPr>
      <w:keepLines w:val="0"/>
      <w:spacing w:before="120" w:after="120" w:line="240" w:lineRule="auto"/>
    </w:pPr>
    <w:rPr>
      <w:rFonts w:ascii="Calibri" w:hAnsi="Calibri" w:cs="Calibri"/>
      <w:iCs/>
      <w:color w:val="auto"/>
      <w:sz w:val="24"/>
      <w:szCs w:val="24"/>
    </w:rPr>
  </w:style>
  <w:style w:type="paragraph" w:customStyle="1" w:styleId="GLheading3">
    <w:name w:val="GLheading3"/>
    <w:basedOn w:val="Heading3"/>
    <w:qFormat/>
    <w:rsid w:val="007E1D08"/>
    <w:pPr>
      <w:keepLines w:val="0"/>
      <w:spacing w:before="120" w:after="120" w:line="240" w:lineRule="auto"/>
    </w:pPr>
    <w:rPr>
      <w:rFonts w:ascii="Calibri" w:hAnsi="Calibri" w:cs="Calibri"/>
      <w:b w:val="0"/>
      <w:color w:val="auto"/>
      <w:sz w:val="24"/>
      <w:szCs w:val="24"/>
      <w:u w:val="single"/>
    </w:rPr>
  </w:style>
  <w:style w:type="paragraph" w:customStyle="1" w:styleId="GLparagraph">
    <w:name w:val="GLparagraph"/>
    <w:basedOn w:val="Normal"/>
    <w:qFormat/>
    <w:rsid w:val="007E1D08"/>
    <w:pPr>
      <w:spacing w:after="0" w:line="360" w:lineRule="auto"/>
      <w:ind w:firstLine="720"/>
    </w:pPr>
    <w:rPr>
      <w:rFonts w:cs="Calibri"/>
      <w:bCs/>
      <w:sz w:val="24"/>
      <w:szCs w:val="24"/>
    </w:rPr>
  </w:style>
  <w:style w:type="paragraph" w:customStyle="1" w:styleId="Style2">
    <w:name w:val="Style2"/>
    <w:basedOn w:val="Normal"/>
    <w:qFormat/>
    <w:rsid w:val="007E1D08"/>
    <w:pPr>
      <w:spacing w:after="0" w:line="360" w:lineRule="auto"/>
      <w:ind w:firstLine="720"/>
    </w:pPr>
    <w:rPr>
      <w:rFonts w:cs="Calibri"/>
      <w:bCs/>
      <w:sz w:val="24"/>
      <w:szCs w:val="24"/>
    </w:rPr>
  </w:style>
  <w:style w:type="character" w:styleId="CommentReference">
    <w:name w:val="annotation reference"/>
    <w:unhideWhenUsed/>
    <w:rsid w:val="007E1D08"/>
    <w:rPr>
      <w:sz w:val="16"/>
      <w:szCs w:val="16"/>
    </w:rPr>
  </w:style>
  <w:style w:type="paragraph" w:styleId="CommentText">
    <w:name w:val="annotation text"/>
    <w:basedOn w:val="Normal"/>
    <w:link w:val="CommentTextChar"/>
    <w:unhideWhenUsed/>
    <w:rsid w:val="007E1D08"/>
    <w:pPr>
      <w:spacing w:line="240" w:lineRule="auto"/>
    </w:pPr>
    <w:rPr>
      <w:sz w:val="20"/>
      <w:szCs w:val="20"/>
    </w:rPr>
  </w:style>
  <w:style w:type="character" w:customStyle="1" w:styleId="CommentTextChar">
    <w:name w:val="Comment Text Char"/>
    <w:basedOn w:val="DefaultParagraphFont"/>
    <w:link w:val="CommentText"/>
    <w:uiPriority w:val="99"/>
    <w:rsid w:val="007E1D08"/>
  </w:style>
  <w:style w:type="paragraph" w:customStyle="1" w:styleId="GLparagraph2">
    <w:name w:val="GLparagraph2"/>
    <w:basedOn w:val="Normal"/>
    <w:link w:val="GLparagraph2Char"/>
    <w:rsid w:val="00702C71"/>
    <w:pPr>
      <w:spacing w:after="0" w:line="360" w:lineRule="auto"/>
    </w:pPr>
    <w:rPr>
      <w:sz w:val="24"/>
      <w:szCs w:val="24"/>
      <w:lang w:val="x-none" w:eastAsia="x-none"/>
    </w:rPr>
  </w:style>
  <w:style w:type="character" w:customStyle="1" w:styleId="GLparagraph2Char">
    <w:name w:val="GLparagraph2 Char"/>
    <w:link w:val="GLparagraph2"/>
    <w:rsid w:val="00702C71"/>
    <w:rPr>
      <w:sz w:val="24"/>
      <w:szCs w:val="24"/>
      <w:lang w:val="x-none" w:eastAsia="x-none"/>
    </w:rPr>
  </w:style>
  <w:style w:type="paragraph" w:customStyle="1" w:styleId="CM53">
    <w:name w:val="CM53"/>
    <w:basedOn w:val="Default"/>
    <w:next w:val="Default"/>
    <w:uiPriority w:val="99"/>
    <w:rsid w:val="00E300C9"/>
    <w:rPr>
      <w:rFonts w:ascii="Times New Roman" w:hAnsi="Times New Roman" w:cs="Times New Roman"/>
      <w:color w:val="auto"/>
    </w:rPr>
  </w:style>
  <w:style w:type="paragraph" w:customStyle="1" w:styleId="tablesandfigures">
    <w:name w:val="tables and figures"/>
    <w:basedOn w:val="Normal"/>
    <w:qFormat/>
    <w:rsid w:val="00187C51"/>
    <w:pPr>
      <w:widowControl w:val="0"/>
      <w:autoSpaceDE w:val="0"/>
      <w:autoSpaceDN w:val="0"/>
      <w:adjustRightInd w:val="0"/>
      <w:spacing w:after="0" w:line="240" w:lineRule="auto"/>
    </w:pPr>
    <w:rPr>
      <w:rFonts w:ascii="Times New Roman" w:eastAsia="Times New Roman" w:hAnsi="Times New Roman"/>
      <w:b/>
      <w:sz w:val="24"/>
      <w:szCs w:val="24"/>
    </w:rPr>
  </w:style>
  <w:style w:type="paragraph" w:customStyle="1" w:styleId="GLTables">
    <w:name w:val="GL Tables"/>
    <w:basedOn w:val="Heading1"/>
    <w:link w:val="GLTablesChar"/>
    <w:qFormat/>
    <w:rsid w:val="003C3BE7"/>
    <w:pPr>
      <w:keepLines w:val="0"/>
      <w:spacing w:before="0" w:line="240" w:lineRule="auto"/>
    </w:pPr>
    <w:rPr>
      <w:rFonts w:ascii="Calibri" w:hAnsi="Calibri"/>
      <w:b w:val="0"/>
      <w:color w:val="auto"/>
      <w:kern w:val="32"/>
      <w:sz w:val="24"/>
      <w:szCs w:val="32"/>
      <w:lang w:val="x-none" w:eastAsia="x-none"/>
    </w:rPr>
  </w:style>
  <w:style w:type="character" w:customStyle="1" w:styleId="GLTablesChar">
    <w:name w:val="GL Tables Char"/>
    <w:link w:val="GLTables"/>
    <w:rsid w:val="003C3BE7"/>
    <w:rPr>
      <w:rFonts w:eastAsia="Times New Roman"/>
      <w:bCs/>
      <w:kern w:val="32"/>
      <w:sz w:val="24"/>
      <w:szCs w:val="32"/>
      <w:lang w:val="x-none" w:eastAsia="x-none"/>
    </w:rPr>
  </w:style>
  <w:style w:type="paragraph" w:styleId="NormalWeb">
    <w:name w:val="Normal (Web)"/>
    <w:basedOn w:val="Normal"/>
    <w:uiPriority w:val="99"/>
    <w:unhideWhenUsed/>
    <w:rsid w:val="000D1112"/>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712818"/>
    <w:rPr>
      <w:b/>
      <w:bCs/>
    </w:rPr>
  </w:style>
  <w:style w:type="paragraph" w:styleId="Header">
    <w:name w:val="header"/>
    <w:basedOn w:val="Normal"/>
    <w:link w:val="HeaderChar"/>
    <w:uiPriority w:val="99"/>
    <w:unhideWhenUsed/>
    <w:rsid w:val="00FE0E10"/>
    <w:pPr>
      <w:tabs>
        <w:tab w:val="center" w:pos="4680"/>
        <w:tab w:val="right" w:pos="9360"/>
      </w:tabs>
    </w:pPr>
  </w:style>
  <w:style w:type="character" w:customStyle="1" w:styleId="HeaderChar">
    <w:name w:val="Header Char"/>
    <w:link w:val="Header"/>
    <w:uiPriority w:val="99"/>
    <w:rsid w:val="00FE0E10"/>
    <w:rPr>
      <w:sz w:val="22"/>
      <w:szCs w:val="22"/>
    </w:rPr>
  </w:style>
  <w:style w:type="paragraph" w:styleId="Footer">
    <w:name w:val="footer"/>
    <w:basedOn w:val="Normal"/>
    <w:link w:val="FooterChar"/>
    <w:uiPriority w:val="99"/>
    <w:unhideWhenUsed/>
    <w:rsid w:val="00FE0E10"/>
    <w:pPr>
      <w:tabs>
        <w:tab w:val="center" w:pos="4680"/>
        <w:tab w:val="right" w:pos="9360"/>
      </w:tabs>
    </w:pPr>
  </w:style>
  <w:style w:type="character" w:customStyle="1" w:styleId="FooterChar">
    <w:name w:val="Footer Char"/>
    <w:link w:val="Footer"/>
    <w:uiPriority w:val="99"/>
    <w:rsid w:val="00FE0E10"/>
    <w:rPr>
      <w:sz w:val="22"/>
      <w:szCs w:val="22"/>
    </w:rPr>
  </w:style>
  <w:style w:type="paragraph" w:customStyle="1" w:styleId="GLReference">
    <w:name w:val="GL Reference"/>
    <w:basedOn w:val="Normal"/>
    <w:link w:val="GLReferenceChar"/>
    <w:qFormat/>
    <w:rsid w:val="00EE3BED"/>
    <w:pPr>
      <w:spacing w:line="360" w:lineRule="auto"/>
      <w:ind w:left="360" w:hanging="360"/>
    </w:pPr>
    <w:rPr>
      <w:lang w:val="x-none" w:eastAsia="x-none"/>
    </w:rPr>
  </w:style>
  <w:style w:type="character" w:customStyle="1" w:styleId="GLReferenceChar">
    <w:name w:val="GL Reference Char"/>
    <w:link w:val="GLReference"/>
    <w:rsid w:val="00EE3BED"/>
    <w:rPr>
      <w:sz w:val="22"/>
      <w:szCs w:val="22"/>
    </w:rPr>
  </w:style>
  <w:style w:type="paragraph" w:styleId="CommentSubject">
    <w:name w:val="annotation subject"/>
    <w:basedOn w:val="CommentText"/>
    <w:next w:val="CommentText"/>
    <w:link w:val="CommentSubjectChar"/>
    <w:uiPriority w:val="99"/>
    <w:semiHidden/>
    <w:unhideWhenUsed/>
    <w:rsid w:val="00A5662A"/>
    <w:pPr>
      <w:spacing w:line="276" w:lineRule="auto"/>
    </w:pPr>
    <w:rPr>
      <w:b/>
      <w:bCs/>
    </w:rPr>
  </w:style>
  <w:style w:type="character" w:customStyle="1" w:styleId="CommentSubjectChar">
    <w:name w:val="Comment Subject Char"/>
    <w:link w:val="CommentSubject"/>
    <w:uiPriority w:val="99"/>
    <w:semiHidden/>
    <w:rsid w:val="00A5662A"/>
    <w:rPr>
      <w:b/>
      <w:bCs/>
    </w:rPr>
  </w:style>
  <w:style w:type="paragraph" w:customStyle="1" w:styleId="pbody">
    <w:name w:val="pbody"/>
    <w:basedOn w:val="Normal"/>
    <w:rsid w:val="00231C54"/>
    <w:pPr>
      <w:spacing w:before="180" w:after="180" w:line="240" w:lineRule="auto"/>
    </w:pPr>
    <w:rPr>
      <w:rFonts w:ascii="Verdana" w:eastAsia="Times New Roman" w:hAnsi="Verdana"/>
      <w:color w:val="000000"/>
      <w:sz w:val="18"/>
      <w:szCs w:val="18"/>
    </w:rPr>
  </w:style>
  <w:style w:type="character" w:customStyle="1" w:styleId="bbold">
    <w:name w:val="bbold"/>
    <w:rsid w:val="00231C54"/>
  </w:style>
  <w:style w:type="character" w:customStyle="1" w:styleId="jrnl">
    <w:name w:val="jrnl"/>
    <w:rsid w:val="00E06D61"/>
  </w:style>
  <w:style w:type="character" w:styleId="FollowedHyperlink">
    <w:name w:val="FollowedHyperlink"/>
    <w:basedOn w:val="DefaultParagraphFont"/>
    <w:uiPriority w:val="99"/>
    <w:semiHidden/>
    <w:unhideWhenUsed/>
    <w:rsid w:val="00B465F4"/>
    <w:rPr>
      <w:color w:val="800080" w:themeColor="followedHyperlink"/>
      <w:u w:val="single"/>
    </w:rPr>
  </w:style>
  <w:style w:type="paragraph" w:styleId="PlainText">
    <w:name w:val="Plain Text"/>
    <w:basedOn w:val="Normal"/>
    <w:link w:val="PlainTextChar"/>
    <w:uiPriority w:val="99"/>
    <w:unhideWhenUsed/>
    <w:rsid w:val="005E2F75"/>
    <w:pPr>
      <w:spacing w:after="0" w:line="240" w:lineRule="auto"/>
    </w:pPr>
    <w:rPr>
      <w:rFonts w:eastAsiaTheme="minorHAnsi" w:cs="Calibri"/>
    </w:rPr>
  </w:style>
  <w:style w:type="character" w:customStyle="1" w:styleId="PlainTextChar">
    <w:name w:val="Plain Text Char"/>
    <w:basedOn w:val="DefaultParagraphFont"/>
    <w:link w:val="PlainText"/>
    <w:uiPriority w:val="99"/>
    <w:rsid w:val="005E2F75"/>
    <w:rPr>
      <w:rFonts w:eastAsiaTheme="minorHAnsi" w:cs="Calibri"/>
      <w:sz w:val="22"/>
      <w:szCs w:val="22"/>
    </w:rPr>
  </w:style>
  <w:style w:type="paragraph" w:customStyle="1" w:styleId="cipd">
    <w:name w:val="cipd"/>
    <w:basedOn w:val="Normal"/>
    <w:rsid w:val="008810CE"/>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B02550"/>
    <w:rPr>
      <w:sz w:val="22"/>
      <w:szCs w:val="22"/>
    </w:rPr>
  </w:style>
  <w:style w:type="character" w:styleId="Emphasis">
    <w:name w:val="Emphasis"/>
    <w:basedOn w:val="DefaultParagraphFont"/>
    <w:uiPriority w:val="20"/>
    <w:qFormat/>
    <w:rsid w:val="0079781A"/>
    <w:rPr>
      <w:i/>
      <w:iCs/>
    </w:rPr>
  </w:style>
  <w:style w:type="paragraph" w:customStyle="1" w:styleId="wp-caption-text">
    <w:name w:val="wp-caption-text"/>
    <w:basedOn w:val="Normal"/>
    <w:rsid w:val="005A27A7"/>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7EF"/>
    <w:pPr>
      <w:spacing w:after="200" w:line="276" w:lineRule="auto"/>
    </w:pPr>
    <w:rPr>
      <w:sz w:val="22"/>
      <w:szCs w:val="22"/>
    </w:rPr>
  </w:style>
  <w:style w:type="paragraph" w:styleId="Heading1">
    <w:name w:val="heading 1"/>
    <w:basedOn w:val="Normal"/>
    <w:next w:val="Normal"/>
    <w:link w:val="Heading1Char"/>
    <w:uiPriority w:val="9"/>
    <w:qFormat/>
    <w:rsid w:val="00692DA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92DA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1E2E5B"/>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0EFF"/>
    <w:pPr>
      <w:autoSpaceDE w:val="0"/>
      <w:autoSpaceDN w:val="0"/>
      <w:adjustRightInd w:val="0"/>
    </w:pPr>
    <w:rPr>
      <w:rFonts w:ascii="Arial" w:hAnsi="Arial" w:cs="Arial"/>
      <w:color w:val="000000"/>
      <w:sz w:val="24"/>
      <w:szCs w:val="24"/>
    </w:rPr>
  </w:style>
  <w:style w:type="character" w:styleId="Hyperlink">
    <w:name w:val="Hyperlink"/>
    <w:uiPriority w:val="99"/>
    <w:unhideWhenUsed/>
    <w:rsid w:val="00F7325F"/>
    <w:rPr>
      <w:color w:val="0000FF"/>
      <w:u w:val="single"/>
    </w:rPr>
  </w:style>
  <w:style w:type="paragraph" w:styleId="HTMLPreformatted">
    <w:name w:val="HTML Preformatted"/>
    <w:basedOn w:val="Normal"/>
    <w:link w:val="HTMLPreformattedChar"/>
    <w:uiPriority w:val="99"/>
    <w:semiHidden/>
    <w:unhideWhenUsed/>
    <w:rsid w:val="00324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324311"/>
    <w:rPr>
      <w:rFonts w:ascii="Courier New" w:eastAsia="Times New Roman" w:hAnsi="Courier New" w:cs="Courier New"/>
      <w:sz w:val="20"/>
      <w:szCs w:val="20"/>
    </w:rPr>
  </w:style>
  <w:style w:type="paragraph" w:styleId="ListParagraph">
    <w:name w:val="List Paragraph"/>
    <w:basedOn w:val="Normal"/>
    <w:uiPriority w:val="34"/>
    <w:qFormat/>
    <w:rsid w:val="0064495B"/>
    <w:pPr>
      <w:ind w:left="720"/>
      <w:contextualSpacing/>
    </w:pPr>
  </w:style>
  <w:style w:type="character" w:customStyle="1" w:styleId="Heading1Char">
    <w:name w:val="Heading 1 Char"/>
    <w:link w:val="Heading1"/>
    <w:uiPriority w:val="9"/>
    <w:rsid w:val="00692DAC"/>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92DAC"/>
    <w:rPr>
      <w:rFonts w:ascii="Cambria" w:eastAsia="Times New Roman" w:hAnsi="Cambria" w:cs="Times New Roman"/>
      <w:b/>
      <w:bCs/>
      <w:color w:val="4F81BD"/>
      <w:sz w:val="26"/>
      <w:szCs w:val="26"/>
    </w:rPr>
  </w:style>
  <w:style w:type="paragraph" w:styleId="Title">
    <w:name w:val="Title"/>
    <w:basedOn w:val="Normal"/>
    <w:next w:val="Normal"/>
    <w:link w:val="TitleChar"/>
    <w:uiPriority w:val="10"/>
    <w:qFormat/>
    <w:rsid w:val="00692DA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692DAC"/>
    <w:rPr>
      <w:rFonts w:ascii="Cambria" w:eastAsia="Times New Roman" w:hAnsi="Cambria" w:cs="Times New Roman"/>
      <w:color w:val="17365D"/>
      <w:spacing w:val="5"/>
      <w:kern w:val="28"/>
      <w:sz w:val="52"/>
      <w:szCs w:val="52"/>
    </w:rPr>
  </w:style>
  <w:style w:type="paragraph" w:styleId="TOCHeading">
    <w:name w:val="TOC Heading"/>
    <w:basedOn w:val="Heading1"/>
    <w:next w:val="Normal"/>
    <w:uiPriority w:val="39"/>
    <w:semiHidden/>
    <w:unhideWhenUsed/>
    <w:qFormat/>
    <w:rsid w:val="00A61772"/>
    <w:pPr>
      <w:outlineLvl w:val="9"/>
    </w:pPr>
  </w:style>
  <w:style w:type="paragraph" w:styleId="TOC1">
    <w:name w:val="toc 1"/>
    <w:basedOn w:val="Normal"/>
    <w:next w:val="Normal"/>
    <w:autoRedefine/>
    <w:uiPriority w:val="39"/>
    <w:unhideWhenUsed/>
    <w:rsid w:val="00A61772"/>
    <w:pPr>
      <w:spacing w:after="100"/>
    </w:pPr>
  </w:style>
  <w:style w:type="paragraph" w:styleId="TOC2">
    <w:name w:val="toc 2"/>
    <w:basedOn w:val="Normal"/>
    <w:next w:val="Normal"/>
    <w:autoRedefine/>
    <w:uiPriority w:val="39"/>
    <w:unhideWhenUsed/>
    <w:rsid w:val="00A61772"/>
    <w:pPr>
      <w:spacing w:after="100"/>
      <w:ind w:left="220"/>
    </w:pPr>
  </w:style>
  <w:style w:type="paragraph" w:styleId="BalloonText">
    <w:name w:val="Balloon Text"/>
    <w:basedOn w:val="Normal"/>
    <w:link w:val="BalloonTextChar"/>
    <w:uiPriority w:val="99"/>
    <w:semiHidden/>
    <w:unhideWhenUsed/>
    <w:rsid w:val="00A6177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1772"/>
    <w:rPr>
      <w:rFonts w:ascii="Tahoma" w:hAnsi="Tahoma" w:cs="Tahoma"/>
      <w:sz w:val="16"/>
      <w:szCs w:val="16"/>
    </w:rPr>
  </w:style>
  <w:style w:type="character" w:customStyle="1" w:styleId="Heading3Char">
    <w:name w:val="Heading 3 Char"/>
    <w:link w:val="Heading3"/>
    <w:uiPriority w:val="9"/>
    <w:rsid w:val="001E2E5B"/>
    <w:rPr>
      <w:rFonts w:ascii="Cambria" w:eastAsia="Times New Roman" w:hAnsi="Cambria" w:cs="Times New Roman"/>
      <w:b/>
      <w:bCs/>
      <w:color w:val="4F81BD"/>
    </w:rPr>
  </w:style>
  <w:style w:type="paragraph" w:styleId="TOC3">
    <w:name w:val="toc 3"/>
    <w:basedOn w:val="Normal"/>
    <w:next w:val="Normal"/>
    <w:autoRedefine/>
    <w:uiPriority w:val="39"/>
    <w:unhideWhenUsed/>
    <w:rsid w:val="00100B55"/>
    <w:pPr>
      <w:spacing w:after="100"/>
      <w:ind w:left="440"/>
    </w:pPr>
  </w:style>
  <w:style w:type="paragraph" w:styleId="NoSpacing">
    <w:name w:val="No Spacing"/>
    <w:uiPriority w:val="1"/>
    <w:qFormat/>
    <w:rsid w:val="00100B55"/>
    <w:rPr>
      <w:sz w:val="22"/>
      <w:szCs w:val="22"/>
    </w:rPr>
  </w:style>
  <w:style w:type="table" w:styleId="TableGrid">
    <w:name w:val="Table Grid"/>
    <w:basedOn w:val="TableNormal"/>
    <w:uiPriority w:val="59"/>
    <w:rsid w:val="0054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2616A4"/>
  </w:style>
  <w:style w:type="paragraph" w:styleId="FootnoteText">
    <w:name w:val="footnote text"/>
    <w:basedOn w:val="Normal"/>
    <w:link w:val="FootnoteTextChar"/>
    <w:uiPriority w:val="99"/>
    <w:semiHidden/>
    <w:unhideWhenUsed/>
    <w:rsid w:val="002616A4"/>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2616A4"/>
    <w:rPr>
      <w:rFonts w:ascii="Times New Roman" w:eastAsia="Times New Roman" w:hAnsi="Times New Roman"/>
    </w:rPr>
  </w:style>
  <w:style w:type="paragraph" w:customStyle="1" w:styleId="GLHeading2">
    <w:name w:val="GLHeading2"/>
    <w:basedOn w:val="Heading2"/>
    <w:qFormat/>
    <w:rsid w:val="007E1D08"/>
    <w:pPr>
      <w:keepLines w:val="0"/>
      <w:spacing w:before="120" w:after="120" w:line="240" w:lineRule="auto"/>
    </w:pPr>
    <w:rPr>
      <w:rFonts w:ascii="Calibri" w:hAnsi="Calibri" w:cs="Calibri"/>
      <w:iCs/>
      <w:color w:val="auto"/>
      <w:sz w:val="24"/>
      <w:szCs w:val="24"/>
    </w:rPr>
  </w:style>
  <w:style w:type="paragraph" w:customStyle="1" w:styleId="GLheading3">
    <w:name w:val="GLheading3"/>
    <w:basedOn w:val="Heading3"/>
    <w:qFormat/>
    <w:rsid w:val="007E1D08"/>
    <w:pPr>
      <w:keepLines w:val="0"/>
      <w:spacing w:before="120" w:after="120" w:line="240" w:lineRule="auto"/>
    </w:pPr>
    <w:rPr>
      <w:rFonts w:ascii="Calibri" w:hAnsi="Calibri" w:cs="Calibri"/>
      <w:b w:val="0"/>
      <w:color w:val="auto"/>
      <w:sz w:val="24"/>
      <w:szCs w:val="24"/>
      <w:u w:val="single"/>
    </w:rPr>
  </w:style>
  <w:style w:type="paragraph" w:customStyle="1" w:styleId="GLparagraph">
    <w:name w:val="GLparagraph"/>
    <w:basedOn w:val="Normal"/>
    <w:qFormat/>
    <w:rsid w:val="007E1D08"/>
    <w:pPr>
      <w:spacing w:after="0" w:line="360" w:lineRule="auto"/>
      <w:ind w:firstLine="720"/>
    </w:pPr>
    <w:rPr>
      <w:rFonts w:cs="Calibri"/>
      <w:bCs/>
      <w:sz w:val="24"/>
      <w:szCs w:val="24"/>
    </w:rPr>
  </w:style>
  <w:style w:type="paragraph" w:customStyle="1" w:styleId="Style2">
    <w:name w:val="Style2"/>
    <w:basedOn w:val="Normal"/>
    <w:qFormat/>
    <w:rsid w:val="007E1D08"/>
    <w:pPr>
      <w:spacing w:after="0" w:line="360" w:lineRule="auto"/>
      <w:ind w:firstLine="720"/>
    </w:pPr>
    <w:rPr>
      <w:rFonts w:cs="Calibri"/>
      <w:bCs/>
      <w:sz w:val="24"/>
      <w:szCs w:val="24"/>
    </w:rPr>
  </w:style>
  <w:style w:type="character" w:styleId="CommentReference">
    <w:name w:val="annotation reference"/>
    <w:unhideWhenUsed/>
    <w:rsid w:val="007E1D08"/>
    <w:rPr>
      <w:sz w:val="16"/>
      <w:szCs w:val="16"/>
    </w:rPr>
  </w:style>
  <w:style w:type="paragraph" w:styleId="CommentText">
    <w:name w:val="annotation text"/>
    <w:basedOn w:val="Normal"/>
    <w:link w:val="CommentTextChar"/>
    <w:unhideWhenUsed/>
    <w:rsid w:val="007E1D08"/>
    <w:pPr>
      <w:spacing w:line="240" w:lineRule="auto"/>
    </w:pPr>
    <w:rPr>
      <w:sz w:val="20"/>
      <w:szCs w:val="20"/>
    </w:rPr>
  </w:style>
  <w:style w:type="character" w:customStyle="1" w:styleId="CommentTextChar">
    <w:name w:val="Comment Text Char"/>
    <w:basedOn w:val="DefaultParagraphFont"/>
    <w:link w:val="CommentText"/>
    <w:uiPriority w:val="99"/>
    <w:rsid w:val="007E1D08"/>
  </w:style>
  <w:style w:type="paragraph" w:customStyle="1" w:styleId="GLparagraph2">
    <w:name w:val="GLparagraph2"/>
    <w:basedOn w:val="Normal"/>
    <w:link w:val="GLparagraph2Char"/>
    <w:rsid w:val="00702C71"/>
    <w:pPr>
      <w:spacing w:after="0" w:line="360" w:lineRule="auto"/>
    </w:pPr>
    <w:rPr>
      <w:sz w:val="24"/>
      <w:szCs w:val="24"/>
      <w:lang w:val="x-none" w:eastAsia="x-none"/>
    </w:rPr>
  </w:style>
  <w:style w:type="character" w:customStyle="1" w:styleId="GLparagraph2Char">
    <w:name w:val="GLparagraph2 Char"/>
    <w:link w:val="GLparagraph2"/>
    <w:rsid w:val="00702C71"/>
    <w:rPr>
      <w:sz w:val="24"/>
      <w:szCs w:val="24"/>
      <w:lang w:val="x-none" w:eastAsia="x-none"/>
    </w:rPr>
  </w:style>
  <w:style w:type="paragraph" w:customStyle="1" w:styleId="CM53">
    <w:name w:val="CM53"/>
    <w:basedOn w:val="Default"/>
    <w:next w:val="Default"/>
    <w:uiPriority w:val="99"/>
    <w:rsid w:val="00E300C9"/>
    <w:rPr>
      <w:rFonts w:ascii="Times New Roman" w:hAnsi="Times New Roman" w:cs="Times New Roman"/>
      <w:color w:val="auto"/>
    </w:rPr>
  </w:style>
  <w:style w:type="paragraph" w:customStyle="1" w:styleId="tablesandfigures">
    <w:name w:val="tables and figures"/>
    <w:basedOn w:val="Normal"/>
    <w:qFormat/>
    <w:rsid w:val="00187C51"/>
    <w:pPr>
      <w:widowControl w:val="0"/>
      <w:autoSpaceDE w:val="0"/>
      <w:autoSpaceDN w:val="0"/>
      <w:adjustRightInd w:val="0"/>
      <w:spacing w:after="0" w:line="240" w:lineRule="auto"/>
    </w:pPr>
    <w:rPr>
      <w:rFonts w:ascii="Times New Roman" w:eastAsia="Times New Roman" w:hAnsi="Times New Roman"/>
      <w:b/>
      <w:sz w:val="24"/>
      <w:szCs w:val="24"/>
    </w:rPr>
  </w:style>
  <w:style w:type="paragraph" w:customStyle="1" w:styleId="GLTables">
    <w:name w:val="GL Tables"/>
    <w:basedOn w:val="Heading1"/>
    <w:link w:val="GLTablesChar"/>
    <w:qFormat/>
    <w:rsid w:val="003C3BE7"/>
    <w:pPr>
      <w:keepLines w:val="0"/>
      <w:spacing w:before="0" w:line="240" w:lineRule="auto"/>
    </w:pPr>
    <w:rPr>
      <w:rFonts w:ascii="Calibri" w:hAnsi="Calibri"/>
      <w:b w:val="0"/>
      <w:color w:val="auto"/>
      <w:kern w:val="32"/>
      <w:sz w:val="24"/>
      <w:szCs w:val="32"/>
      <w:lang w:val="x-none" w:eastAsia="x-none"/>
    </w:rPr>
  </w:style>
  <w:style w:type="character" w:customStyle="1" w:styleId="GLTablesChar">
    <w:name w:val="GL Tables Char"/>
    <w:link w:val="GLTables"/>
    <w:rsid w:val="003C3BE7"/>
    <w:rPr>
      <w:rFonts w:eastAsia="Times New Roman"/>
      <w:bCs/>
      <w:kern w:val="32"/>
      <w:sz w:val="24"/>
      <w:szCs w:val="32"/>
      <w:lang w:val="x-none" w:eastAsia="x-none"/>
    </w:rPr>
  </w:style>
  <w:style w:type="paragraph" w:styleId="NormalWeb">
    <w:name w:val="Normal (Web)"/>
    <w:basedOn w:val="Normal"/>
    <w:uiPriority w:val="99"/>
    <w:unhideWhenUsed/>
    <w:rsid w:val="000D1112"/>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712818"/>
    <w:rPr>
      <w:b/>
      <w:bCs/>
    </w:rPr>
  </w:style>
  <w:style w:type="paragraph" w:styleId="Header">
    <w:name w:val="header"/>
    <w:basedOn w:val="Normal"/>
    <w:link w:val="HeaderChar"/>
    <w:uiPriority w:val="99"/>
    <w:unhideWhenUsed/>
    <w:rsid w:val="00FE0E10"/>
    <w:pPr>
      <w:tabs>
        <w:tab w:val="center" w:pos="4680"/>
        <w:tab w:val="right" w:pos="9360"/>
      </w:tabs>
    </w:pPr>
  </w:style>
  <w:style w:type="character" w:customStyle="1" w:styleId="HeaderChar">
    <w:name w:val="Header Char"/>
    <w:link w:val="Header"/>
    <w:uiPriority w:val="99"/>
    <w:rsid w:val="00FE0E10"/>
    <w:rPr>
      <w:sz w:val="22"/>
      <w:szCs w:val="22"/>
    </w:rPr>
  </w:style>
  <w:style w:type="paragraph" w:styleId="Footer">
    <w:name w:val="footer"/>
    <w:basedOn w:val="Normal"/>
    <w:link w:val="FooterChar"/>
    <w:uiPriority w:val="99"/>
    <w:unhideWhenUsed/>
    <w:rsid w:val="00FE0E10"/>
    <w:pPr>
      <w:tabs>
        <w:tab w:val="center" w:pos="4680"/>
        <w:tab w:val="right" w:pos="9360"/>
      </w:tabs>
    </w:pPr>
  </w:style>
  <w:style w:type="character" w:customStyle="1" w:styleId="FooterChar">
    <w:name w:val="Footer Char"/>
    <w:link w:val="Footer"/>
    <w:uiPriority w:val="99"/>
    <w:rsid w:val="00FE0E10"/>
    <w:rPr>
      <w:sz w:val="22"/>
      <w:szCs w:val="22"/>
    </w:rPr>
  </w:style>
  <w:style w:type="paragraph" w:customStyle="1" w:styleId="GLReference">
    <w:name w:val="GL Reference"/>
    <w:basedOn w:val="Normal"/>
    <w:link w:val="GLReferenceChar"/>
    <w:qFormat/>
    <w:rsid w:val="00EE3BED"/>
    <w:pPr>
      <w:spacing w:line="360" w:lineRule="auto"/>
      <w:ind w:left="360" w:hanging="360"/>
    </w:pPr>
    <w:rPr>
      <w:lang w:val="x-none" w:eastAsia="x-none"/>
    </w:rPr>
  </w:style>
  <w:style w:type="character" w:customStyle="1" w:styleId="GLReferenceChar">
    <w:name w:val="GL Reference Char"/>
    <w:link w:val="GLReference"/>
    <w:rsid w:val="00EE3BED"/>
    <w:rPr>
      <w:sz w:val="22"/>
      <w:szCs w:val="22"/>
    </w:rPr>
  </w:style>
  <w:style w:type="paragraph" w:styleId="CommentSubject">
    <w:name w:val="annotation subject"/>
    <w:basedOn w:val="CommentText"/>
    <w:next w:val="CommentText"/>
    <w:link w:val="CommentSubjectChar"/>
    <w:uiPriority w:val="99"/>
    <w:semiHidden/>
    <w:unhideWhenUsed/>
    <w:rsid w:val="00A5662A"/>
    <w:pPr>
      <w:spacing w:line="276" w:lineRule="auto"/>
    </w:pPr>
    <w:rPr>
      <w:b/>
      <w:bCs/>
    </w:rPr>
  </w:style>
  <w:style w:type="character" w:customStyle="1" w:styleId="CommentSubjectChar">
    <w:name w:val="Comment Subject Char"/>
    <w:link w:val="CommentSubject"/>
    <w:uiPriority w:val="99"/>
    <w:semiHidden/>
    <w:rsid w:val="00A5662A"/>
    <w:rPr>
      <w:b/>
      <w:bCs/>
    </w:rPr>
  </w:style>
  <w:style w:type="paragraph" w:customStyle="1" w:styleId="pbody">
    <w:name w:val="pbody"/>
    <w:basedOn w:val="Normal"/>
    <w:rsid w:val="00231C54"/>
    <w:pPr>
      <w:spacing w:before="180" w:after="180" w:line="240" w:lineRule="auto"/>
    </w:pPr>
    <w:rPr>
      <w:rFonts w:ascii="Verdana" w:eastAsia="Times New Roman" w:hAnsi="Verdana"/>
      <w:color w:val="000000"/>
      <w:sz w:val="18"/>
      <w:szCs w:val="18"/>
    </w:rPr>
  </w:style>
  <w:style w:type="character" w:customStyle="1" w:styleId="bbold">
    <w:name w:val="bbold"/>
    <w:rsid w:val="00231C54"/>
  </w:style>
  <w:style w:type="character" w:customStyle="1" w:styleId="jrnl">
    <w:name w:val="jrnl"/>
    <w:rsid w:val="00E06D61"/>
  </w:style>
  <w:style w:type="character" w:styleId="FollowedHyperlink">
    <w:name w:val="FollowedHyperlink"/>
    <w:basedOn w:val="DefaultParagraphFont"/>
    <w:uiPriority w:val="99"/>
    <w:semiHidden/>
    <w:unhideWhenUsed/>
    <w:rsid w:val="00B465F4"/>
    <w:rPr>
      <w:color w:val="800080" w:themeColor="followedHyperlink"/>
      <w:u w:val="single"/>
    </w:rPr>
  </w:style>
  <w:style w:type="paragraph" w:styleId="PlainText">
    <w:name w:val="Plain Text"/>
    <w:basedOn w:val="Normal"/>
    <w:link w:val="PlainTextChar"/>
    <w:uiPriority w:val="99"/>
    <w:unhideWhenUsed/>
    <w:rsid w:val="005E2F75"/>
    <w:pPr>
      <w:spacing w:after="0" w:line="240" w:lineRule="auto"/>
    </w:pPr>
    <w:rPr>
      <w:rFonts w:eastAsiaTheme="minorHAnsi" w:cs="Calibri"/>
    </w:rPr>
  </w:style>
  <w:style w:type="character" w:customStyle="1" w:styleId="PlainTextChar">
    <w:name w:val="Plain Text Char"/>
    <w:basedOn w:val="DefaultParagraphFont"/>
    <w:link w:val="PlainText"/>
    <w:uiPriority w:val="99"/>
    <w:rsid w:val="005E2F75"/>
    <w:rPr>
      <w:rFonts w:eastAsiaTheme="minorHAnsi" w:cs="Calibri"/>
      <w:sz w:val="22"/>
      <w:szCs w:val="22"/>
    </w:rPr>
  </w:style>
  <w:style w:type="paragraph" w:customStyle="1" w:styleId="cipd">
    <w:name w:val="cipd"/>
    <w:basedOn w:val="Normal"/>
    <w:rsid w:val="008810CE"/>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B02550"/>
    <w:rPr>
      <w:sz w:val="22"/>
      <w:szCs w:val="22"/>
    </w:rPr>
  </w:style>
  <w:style w:type="character" w:styleId="Emphasis">
    <w:name w:val="Emphasis"/>
    <w:basedOn w:val="DefaultParagraphFont"/>
    <w:uiPriority w:val="20"/>
    <w:qFormat/>
    <w:rsid w:val="0079781A"/>
    <w:rPr>
      <w:i/>
      <w:iCs/>
    </w:rPr>
  </w:style>
  <w:style w:type="paragraph" w:customStyle="1" w:styleId="wp-caption-text">
    <w:name w:val="wp-caption-text"/>
    <w:basedOn w:val="Normal"/>
    <w:rsid w:val="005A27A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90409">
      <w:bodyDiv w:val="1"/>
      <w:marLeft w:val="0"/>
      <w:marRight w:val="5"/>
      <w:marTop w:val="0"/>
      <w:marBottom w:val="436"/>
      <w:divBdr>
        <w:top w:val="none" w:sz="0" w:space="0" w:color="auto"/>
        <w:left w:val="none" w:sz="0" w:space="0" w:color="auto"/>
        <w:bottom w:val="none" w:sz="0" w:space="0" w:color="auto"/>
        <w:right w:val="none" w:sz="0" w:space="0" w:color="auto"/>
      </w:divBdr>
      <w:divsChild>
        <w:div w:id="1847404447">
          <w:marLeft w:val="1647"/>
          <w:marRight w:val="0"/>
          <w:marTop w:val="327"/>
          <w:marBottom w:val="218"/>
          <w:divBdr>
            <w:top w:val="none" w:sz="0" w:space="0" w:color="auto"/>
            <w:left w:val="none" w:sz="0" w:space="0" w:color="auto"/>
            <w:bottom w:val="none" w:sz="0" w:space="0" w:color="auto"/>
            <w:right w:val="none" w:sz="0" w:space="0" w:color="auto"/>
          </w:divBdr>
        </w:div>
      </w:divsChild>
    </w:div>
    <w:div w:id="214044115">
      <w:bodyDiv w:val="1"/>
      <w:marLeft w:val="0"/>
      <w:marRight w:val="0"/>
      <w:marTop w:val="0"/>
      <w:marBottom w:val="0"/>
      <w:divBdr>
        <w:top w:val="none" w:sz="0" w:space="0" w:color="auto"/>
        <w:left w:val="none" w:sz="0" w:space="0" w:color="auto"/>
        <w:bottom w:val="none" w:sz="0" w:space="0" w:color="auto"/>
        <w:right w:val="none" w:sz="0" w:space="0" w:color="auto"/>
      </w:divBdr>
      <w:divsChild>
        <w:div w:id="1727139948">
          <w:marLeft w:val="0"/>
          <w:marRight w:val="0"/>
          <w:marTop w:val="0"/>
          <w:marBottom w:val="0"/>
          <w:divBdr>
            <w:top w:val="none" w:sz="0" w:space="0" w:color="auto"/>
            <w:left w:val="none" w:sz="0" w:space="0" w:color="auto"/>
            <w:bottom w:val="none" w:sz="0" w:space="0" w:color="auto"/>
            <w:right w:val="none" w:sz="0" w:space="0" w:color="auto"/>
          </w:divBdr>
          <w:divsChild>
            <w:div w:id="96798153">
              <w:marLeft w:val="340"/>
              <w:marRight w:val="4211"/>
              <w:marTop w:val="0"/>
              <w:marBottom w:val="0"/>
              <w:divBdr>
                <w:top w:val="none" w:sz="0" w:space="0" w:color="auto"/>
                <w:left w:val="none" w:sz="0" w:space="0" w:color="auto"/>
                <w:bottom w:val="none" w:sz="0" w:space="0" w:color="auto"/>
                <w:right w:val="none" w:sz="0" w:space="0" w:color="auto"/>
              </w:divBdr>
            </w:div>
          </w:divsChild>
        </w:div>
      </w:divsChild>
    </w:div>
    <w:div w:id="278724644">
      <w:bodyDiv w:val="1"/>
      <w:marLeft w:val="0"/>
      <w:marRight w:val="0"/>
      <w:marTop w:val="0"/>
      <w:marBottom w:val="0"/>
      <w:divBdr>
        <w:top w:val="none" w:sz="0" w:space="0" w:color="auto"/>
        <w:left w:val="none" w:sz="0" w:space="0" w:color="auto"/>
        <w:bottom w:val="none" w:sz="0" w:space="0" w:color="auto"/>
        <w:right w:val="none" w:sz="0" w:space="0" w:color="auto"/>
      </w:divBdr>
    </w:div>
    <w:div w:id="283928114">
      <w:bodyDiv w:val="1"/>
      <w:marLeft w:val="0"/>
      <w:marRight w:val="0"/>
      <w:marTop w:val="0"/>
      <w:marBottom w:val="0"/>
      <w:divBdr>
        <w:top w:val="none" w:sz="0" w:space="0" w:color="auto"/>
        <w:left w:val="none" w:sz="0" w:space="0" w:color="auto"/>
        <w:bottom w:val="none" w:sz="0" w:space="0" w:color="auto"/>
        <w:right w:val="none" w:sz="0" w:space="0" w:color="auto"/>
      </w:divBdr>
    </w:div>
    <w:div w:id="368723332">
      <w:bodyDiv w:val="1"/>
      <w:marLeft w:val="0"/>
      <w:marRight w:val="0"/>
      <w:marTop w:val="0"/>
      <w:marBottom w:val="0"/>
      <w:divBdr>
        <w:top w:val="none" w:sz="0" w:space="0" w:color="auto"/>
        <w:left w:val="none" w:sz="0" w:space="0" w:color="auto"/>
        <w:bottom w:val="none" w:sz="0" w:space="0" w:color="auto"/>
        <w:right w:val="none" w:sz="0" w:space="0" w:color="auto"/>
      </w:divBdr>
      <w:divsChild>
        <w:div w:id="1500272883">
          <w:marLeft w:val="0"/>
          <w:marRight w:val="0"/>
          <w:marTop w:val="0"/>
          <w:marBottom w:val="0"/>
          <w:divBdr>
            <w:top w:val="none" w:sz="0" w:space="0" w:color="auto"/>
            <w:left w:val="none" w:sz="0" w:space="0" w:color="auto"/>
            <w:bottom w:val="none" w:sz="0" w:space="0" w:color="auto"/>
            <w:right w:val="none" w:sz="0" w:space="0" w:color="auto"/>
          </w:divBdr>
          <w:divsChild>
            <w:div w:id="1479809111">
              <w:marLeft w:val="0"/>
              <w:marRight w:val="0"/>
              <w:marTop w:val="0"/>
              <w:marBottom w:val="0"/>
              <w:divBdr>
                <w:top w:val="none" w:sz="0" w:space="0" w:color="auto"/>
                <w:left w:val="none" w:sz="0" w:space="0" w:color="auto"/>
                <w:bottom w:val="none" w:sz="0" w:space="0" w:color="auto"/>
                <w:right w:val="none" w:sz="0" w:space="0" w:color="auto"/>
              </w:divBdr>
              <w:divsChild>
                <w:div w:id="1731422738">
                  <w:marLeft w:val="0"/>
                  <w:marRight w:val="0"/>
                  <w:marTop w:val="0"/>
                  <w:marBottom w:val="0"/>
                  <w:divBdr>
                    <w:top w:val="none" w:sz="0" w:space="0" w:color="auto"/>
                    <w:left w:val="none" w:sz="0" w:space="0" w:color="auto"/>
                    <w:bottom w:val="none" w:sz="0" w:space="0" w:color="auto"/>
                    <w:right w:val="none" w:sz="0" w:space="0" w:color="auto"/>
                  </w:divBdr>
                  <w:divsChild>
                    <w:div w:id="1980258476">
                      <w:marLeft w:val="300"/>
                      <w:marRight w:val="300"/>
                      <w:marTop w:val="300"/>
                      <w:marBottom w:val="225"/>
                      <w:divBdr>
                        <w:top w:val="none" w:sz="0" w:space="0" w:color="auto"/>
                        <w:left w:val="none" w:sz="0" w:space="0" w:color="auto"/>
                        <w:bottom w:val="none" w:sz="0" w:space="0" w:color="auto"/>
                        <w:right w:val="none" w:sz="0" w:space="0" w:color="auto"/>
                      </w:divBdr>
                      <w:divsChild>
                        <w:div w:id="1573736557">
                          <w:marLeft w:val="0"/>
                          <w:marRight w:val="0"/>
                          <w:marTop w:val="300"/>
                          <w:marBottom w:val="0"/>
                          <w:divBdr>
                            <w:top w:val="none" w:sz="0" w:space="0" w:color="auto"/>
                            <w:left w:val="none" w:sz="0" w:space="0" w:color="auto"/>
                            <w:bottom w:val="none" w:sz="0" w:space="0" w:color="auto"/>
                            <w:right w:val="none" w:sz="0" w:space="0" w:color="auto"/>
                          </w:divBdr>
                          <w:divsChild>
                            <w:div w:id="592862624">
                              <w:marLeft w:val="0"/>
                              <w:marRight w:val="0"/>
                              <w:marTop w:val="0"/>
                              <w:marBottom w:val="0"/>
                              <w:divBdr>
                                <w:top w:val="none" w:sz="0" w:space="0" w:color="auto"/>
                                <w:left w:val="none" w:sz="0" w:space="0" w:color="auto"/>
                                <w:bottom w:val="none" w:sz="0" w:space="0" w:color="auto"/>
                                <w:right w:val="none" w:sz="0" w:space="0" w:color="auto"/>
                              </w:divBdr>
                              <w:divsChild>
                                <w:div w:id="1995526431">
                                  <w:marLeft w:val="0"/>
                                  <w:marRight w:val="0"/>
                                  <w:marTop w:val="0"/>
                                  <w:marBottom w:val="0"/>
                                  <w:divBdr>
                                    <w:top w:val="none" w:sz="0" w:space="0" w:color="auto"/>
                                    <w:left w:val="none" w:sz="0" w:space="0" w:color="auto"/>
                                    <w:bottom w:val="none" w:sz="0" w:space="0" w:color="auto"/>
                                    <w:right w:val="none" w:sz="0" w:space="0" w:color="auto"/>
                                  </w:divBdr>
                                  <w:divsChild>
                                    <w:div w:id="1421953489">
                                      <w:marLeft w:val="0"/>
                                      <w:marRight w:val="0"/>
                                      <w:marTop w:val="0"/>
                                      <w:marBottom w:val="0"/>
                                      <w:divBdr>
                                        <w:top w:val="none" w:sz="0" w:space="0" w:color="auto"/>
                                        <w:left w:val="none" w:sz="0" w:space="0" w:color="auto"/>
                                        <w:bottom w:val="none" w:sz="0" w:space="0" w:color="auto"/>
                                        <w:right w:val="none" w:sz="0" w:space="0" w:color="auto"/>
                                      </w:divBdr>
                                      <w:divsChild>
                                        <w:div w:id="115580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1076125">
      <w:bodyDiv w:val="1"/>
      <w:marLeft w:val="0"/>
      <w:marRight w:val="0"/>
      <w:marTop w:val="0"/>
      <w:marBottom w:val="0"/>
      <w:divBdr>
        <w:top w:val="none" w:sz="0" w:space="0" w:color="auto"/>
        <w:left w:val="none" w:sz="0" w:space="0" w:color="auto"/>
        <w:bottom w:val="none" w:sz="0" w:space="0" w:color="auto"/>
        <w:right w:val="none" w:sz="0" w:space="0" w:color="auto"/>
      </w:divBdr>
    </w:div>
    <w:div w:id="618024742">
      <w:bodyDiv w:val="1"/>
      <w:marLeft w:val="0"/>
      <w:marRight w:val="0"/>
      <w:marTop w:val="0"/>
      <w:marBottom w:val="0"/>
      <w:divBdr>
        <w:top w:val="none" w:sz="0" w:space="0" w:color="auto"/>
        <w:left w:val="none" w:sz="0" w:space="0" w:color="auto"/>
        <w:bottom w:val="none" w:sz="0" w:space="0" w:color="auto"/>
        <w:right w:val="none" w:sz="0" w:space="0" w:color="auto"/>
      </w:divBdr>
    </w:div>
    <w:div w:id="647586848">
      <w:bodyDiv w:val="1"/>
      <w:marLeft w:val="0"/>
      <w:marRight w:val="0"/>
      <w:marTop w:val="0"/>
      <w:marBottom w:val="0"/>
      <w:divBdr>
        <w:top w:val="none" w:sz="0" w:space="0" w:color="auto"/>
        <w:left w:val="none" w:sz="0" w:space="0" w:color="auto"/>
        <w:bottom w:val="none" w:sz="0" w:space="0" w:color="auto"/>
        <w:right w:val="none" w:sz="0" w:space="0" w:color="auto"/>
      </w:divBdr>
    </w:div>
    <w:div w:id="808548835">
      <w:bodyDiv w:val="1"/>
      <w:marLeft w:val="0"/>
      <w:marRight w:val="0"/>
      <w:marTop w:val="0"/>
      <w:marBottom w:val="0"/>
      <w:divBdr>
        <w:top w:val="none" w:sz="0" w:space="0" w:color="auto"/>
        <w:left w:val="none" w:sz="0" w:space="0" w:color="auto"/>
        <w:bottom w:val="none" w:sz="0" w:space="0" w:color="auto"/>
        <w:right w:val="none" w:sz="0" w:space="0" w:color="auto"/>
      </w:divBdr>
      <w:divsChild>
        <w:div w:id="294605861">
          <w:marLeft w:val="0"/>
          <w:marRight w:val="0"/>
          <w:marTop w:val="0"/>
          <w:marBottom w:val="0"/>
          <w:divBdr>
            <w:top w:val="none" w:sz="0" w:space="0" w:color="auto"/>
            <w:left w:val="none" w:sz="0" w:space="0" w:color="auto"/>
            <w:bottom w:val="none" w:sz="0" w:space="0" w:color="auto"/>
            <w:right w:val="none" w:sz="0" w:space="0" w:color="auto"/>
          </w:divBdr>
          <w:divsChild>
            <w:div w:id="467550943">
              <w:marLeft w:val="340"/>
              <w:marRight w:val="4211"/>
              <w:marTop w:val="0"/>
              <w:marBottom w:val="0"/>
              <w:divBdr>
                <w:top w:val="none" w:sz="0" w:space="0" w:color="auto"/>
                <w:left w:val="none" w:sz="0" w:space="0" w:color="auto"/>
                <w:bottom w:val="none" w:sz="0" w:space="0" w:color="auto"/>
                <w:right w:val="none" w:sz="0" w:space="0" w:color="auto"/>
              </w:divBdr>
            </w:div>
          </w:divsChild>
        </w:div>
      </w:divsChild>
    </w:div>
    <w:div w:id="1180511021">
      <w:bodyDiv w:val="1"/>
      <w:marLeft w:val="0"/>
      <w:marRight w:val="0"/>
      <w:marTop w:val="0"/>
      <w:marBottom w:val="0"/>
      <w:divBdr>
        <w:top w:val="none" w:sz="0" w:space="0" w:color="auto"/>
        <w:left w:val="none" w:sz="0" w:space="0" w:color="auto"/>
        <w:bottom w:val="none" w:sz="0" w:space="0" w:color="auto"/>
        <w:right w:val="none" w:sz="0" w:space="0" w:color="auto"/>
      </w:divBdr>
      <w:divsChild>
        <w:div w:id="1715735698">
          <w:marLeft w:val="0"/>
          <w:marRight w:val="0"/>
          <w:marTop w:val="300"/>
          <w:marBottom w:val="0"/>
          <w:divBdr>
            <w:top w:val="none" w:sz="0" w:space="0" w:color="auto"/>
            <w:left w:val="none" w:sz="0" w:space="0" w:color="auto"/>
            <w:bottom w:val="none" w:sz="0" w:space="0" w:color="auto"/>
            <w:right w:val="none" w:sz="0" w:space="0" w:color="auto"/>
          </w:divBdr>
          <w:divsChild>
            <w:div w:id="1825005604">
              <w:marLeft w:val="0"/>
              <w:marRight w:val="0"/>
              <w:marTop w:val="0"/>
              <w:marBottom w:val="0"/>
              <w:divBdr>
                <w:top w:val="none" w:sz="0" w:space="0" w:color="auto"/>
                <w:left w:val="none" w:sz="0" w:space="0" w:color="auto"/>
                <w:bottom w:val="none" w:sz="0" w:space="0" w:color="auto"/>
                <w:right w:val="none" w:sz="0" w:space="0" w:color="auto"/>
              </w:divBdr>
              <w:divsChild>
                <w:div w:id="347679613">
                  <w:marLeft w:val="0"/>
                  <w:marRight w:val="0"/>
                  <w:marTop w:val="0"/>
                  <w:marBottom w:val="0"/>
                  <w:divBdr>
                    <w:top w:val="none" w:sz="0" w:space="0" w:color="auto"/>
                    <w:left w:val="none" w:sz="0" w:space="0" w:color="auto"/>
                    <w:bottom w:val="none" w:sz="0" w:space="0" w:color="auto"/>
                    <w:right w:val="none" w:sz="0" w:space="0" w:color="auto"/>
                  </w:divBdr>
                  <w:divsChild>
                    <w:div w:id="962615623">
                      <w:marLeft w:val="0"/>
                      <w:marRight w:val="165"/>
                      <w:marTop w:val="0"/>
                      <w:marBottom w:val="0"/>
                      <w:divBdr>
                        <w:top w:val="none" w:sz="0" w:space="0" w:color="auto"/>
                        <w:left w:val="none" w:sz="0" w:space="0" w:color="auto"/>
                        <w:bottom w:val="none" w:sz="0" w:space="0" w:color="auto"/>
                        <w:right w:val="none" w:sz="0" w:space="0" w:color="auto"/>
                      </w:divBdr>
                      <w:divsChild>
                        <w:div w:id="1605652587">
                          <w:marLeft w:val="0"/>
                          <w:marRight w:val="0"/>
                          <w:marTop w:val="0"/>
                          <w:marBottom w:val="300"/>
                          <w:divBdr>
                            <w:top w:val="none" w:sz="0" w:space="0" w:color="auto"/>
                            <w:left w:val="none" w:sz="0" w:space="0" w:color="auto"/>
                            <w:bottom w:val="none" w:sz="0" w:space="0" w:color="auto"/>
                            <w:right w:val="none" w:sz="0" w:space="0" w:color="auto"/>
                          </w:divBdr>
                          <w:divsChild>
                            <w:div w:id="13153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768611">
      <w:bodyDiv w:val="1"/>
      <w:marLeft w:val="4"/>
      <w:marRight w:val="4"/>
      <w:marTop w:val="4"/>
      <w:marBottom w:val="4"/>
      <w:divBdr>
        <w:top w:val="none" w:sz="0" w:space="0" w:color="auto"/>
        <w:left w:val="none" w:sz="0" w:space="0" w:color="auto"/>
        <w:bottom w:val="none" w:sz="0" w:space="0" w:color="auto"/>
        <w:right w:val="none" w:sz="0" w:space="0" w:color="auto"/>
      </w:divBdr>
      <w:divsChild>
        <w:div w:id="478573244">
          <w:marLeft w:val="0"/>
          <w:marRight w:val="0"/>
          <w:marTop w:val="0"/>
          <w:marBottom w:val="0"/>
          <w:divBdr>
            <w:top w:val="none" w:sz="0" w:space="0" w:color="auto"/>
            <w:left w:val="none" w:sz="0" w:space="0" w:color="auto"/>
            <w:bottom w:val="none" w:sz="0" w:space="0" w:color="auto"/>
            <w:right w:val="none" w:sz="0" w:space="0" w:color="auto"/>
          </w:divBdr>
          <w:divsChild>
            <w:div w:id="351420888">
              <w:marLeft w:val="0"/>
              <w:marRight w:val="0"/>
              <w:marTop w:val="0"/>
              <w:marBottom w:val="0"/>
              <w:divBdr>
                <w:top w:val="none" w:sz="0" w:space="0" w:color="auto"/>
                <w:left w:val="none" w:sz="0" w:space="0" w:color="auto"/>
                <w:bottom w:val="none" w:sz="0" w:space="0" w:color="auto"/>
                <w:right w:val="none" w:sz="0" w:space="0" w:color="auto"/>
              </w:divBdr>
              <w:divsChild>
                <w:div w:id="1546916138">
                  <w:marLeft w:val="0"/>
                  <w:marRight w:val="0"/>
                  <w:marTop w:val="0"/>
                  <w:marBottom w:val="180"/>
                  <w:divBdr>
                    <w:top w:val="none" w:sz="0" w:space="0" w:color="auto"/>
                    <w:left w:val="none" w:sz="0" w:space="0" w:color="auto"/>
                    <w:bottom w:val="none" w:sz="0" w:space="0" w:color="auto"/>
                    <w:right w:val="none" w:sz="0" w:space="0" w:color="auto"/>
                  </w:divBdr>
                  <w:divsChild>
                    <w:div w:id="1739553496">
                      <w:marLeft w:val="0"/>
                      <w:marRight w:val="0"/>
                      <w:marTop w:val="0"/>
                      <w:marBottom w:val="0"/>
                      <w:divBdr>
                        <w:top w:val="none" w:sz="0" w:space="0" w:color="auto"/>
                        <w:left w:val="none" w:sz="0" w:space="0" w:color="auto"/>
                        <w:bottom w:val="none" w:sz="0" w:space="0" w:color="auto"/>
                        <w:right w:val="none" w:sz="0" w:space="0" w:color="auto"/>
                      </w:divBdr>
                      <w:divsChild>
                        <w:div w:id="1412893703">
                          <w:marLeft w:val="0"/>
                          <w:marRight w:val="0"/>
                          <w:marTop w:val="0"/>
                          <w:marBottom w:val="0"/>
                          <w:divBdr>
                            <w:top w:val="none" w:sz="0" w:space="0" w:color="auto"/>
                            <w:left w:val="none" w:sz="0" w:space="0" w:color="auto"/>
                            <w:bottom w:val="none" w:sz="0" w:space="0" w:color="auto"/>
                            <w:right w:val="none" w:sz="0" w:space="0" w:color="auto"/>
                          </w:divBdr>
                          <w:divsChild>
                            <w:div w:id="41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476370">
      <w:bodyDiv w:val="1"/>
      <w:marLeft w:val="0"/>
      <w:marRight w:val="0"/>
      <w:marTop w:val="0"/>
      <w:marBottom w:val="0"/>
      <w:divBdr>
        <w:top w:val="none" w:sz="0" w:space="0" w:color="auto"/>
        <w:left w:val="none" w:sz="0" w:space="0" w:color="auto"/>
        <w:bottom w:val="none" w:sz="0" w:space="0" w:color="auto"/>
        <w:right w:val="none" w:sz="0" w:space="0" w:color="auto"/>
      </w:divBdr>
      <w:divsChild>
        <w:div w:id="755518445">
          <w:marLeft w:val="0"/>
          <w:marRight w:val="0"/>
          <w:marTop w:val="0"/>
          <w:marBottom w:val="0"/>
          <w:divBdr>
            <w:top w:val="none" w:sz="0" w:space="0" w:color="auto"/>
            <w:left w:val="single" w:sz="8" w:space="0" w:color="F8F6F2"/>
            <w:bottom w:val="none" w:sz="0" w:space="0" w:color="auto"/>
            <w:right w:val="single" w:sz="8" w:space="0" w:color="EEEFF0"/>
          </w:divBdr>
          <w:divsChild>
            <w:div w:id="1890221686">
              <w:marLeft w:val="304"/>
              <w:marRight w:val="304"/>
              <w:marTop w:val="304"/>
              <w:marBottom w:val="304"/>
              <w:divBdr>
                <w:top w:val="none" w:sz="0" w:space="0" w:color="auto"/>
                <w:left w:val="none" w:sz="0" w:space="0" w:color="auto"/>
                <w:bottom w:val="none" w:sz="0" w:space="0" w:color="auto"/>
                <w:right w:val="none" w:sz="0" w:space="0" w:color="auto"/>
              </w:divBdr>
            </w:div>
          </w:divsChild>
        </w:div>
      </w:divsChild>
    </w:div>
    <w:div w:id="1453596688">
      <w:bodyDiv w:val="1"/>
      <w:marLeft w:val="0"/>
      <w:marRight w:val="5"/>
      <w:marTop w:val="0"/>
      <w:marBottom w:val="436"/>
      <w:divBdr>
        <w:top w:val="none" w:sz="0" w:space="0" w:color="auto"/>
        <w:left w:val="none" w:sz="0" w:space="0" w:color="auto"/>
        <w:bottom w:val="none" w:sz="0" w:space="0" w:color="auto"/>
        <w:right w:val="none" w:sz="0" w:space="0" w:color="auto"/>
      </w:divBdr>
      <w:divsChild>
        <w:div w:id="1575967839">
          <w:marLeft w:val="1647"/>
          <w:marRight w:val="0"/>
          <w:marTop w:val="327"/>
          <w:marBottom w:val="218"/>
          <w:divBdr>
            <w:top w:val="none" w:sz="0" w:space="0" w:color="auto"/>
            <w:left w:val="none" w:sz="0" w:space="0" w:color="auto"/>
            <w:bottom w:val="none" w:sz="0" w:space="0" w:color="auto"/>
            <w:right w:val="none" w:sz="0" w:space="0" w:color="auto"/>
          </w:divBdr>
        </w:div>
      </w:divsChild>
    </w:div>
    <w:div w:id="1467969963">
      <w:bodyDiv w:val="1"/>
      <w:marLeft w:val="0"/>
      <w:marRight w:val="0"/>
      <w:marTop w:val="0"/>
      <w:marBottom w:val="0"/>
      <w:divBdr>
        <w:top w:val="none" w:sz="0" w:space="0" w:color="auto"/>
        <w:left w:val="none" w:sz="0" w:space="0" w:color="auto"/>
        <w:bottom w:val="none" w:sz="0" w:space="0" w:color="auto"/>
        <w:right w:val="none" w:sz="0" w:space="0" w:color="auto"/>
      </w:divBdr>
    </w:div>
    <w:div w:id="1546941015">
      <w:bodyDiv w:val="1"/>
      <w:marLeft w:val="0"/>
      <w:marRight w:val="0"/>
      <w:marTop w:val="0"/>
      <w:marBottom w:val="0"/>
      <w:divBdr>
        <w:top w:val="none" w:sz="0" w:space="0" w:color="auto"/>
        <w:left w:val="none" w:sz="0" w:space="0" w:color="auto"/>
        <w:bottom w:val="none" w:sz="0" w:space="0" w:color="auto"/>
        <w:right w:val="none" w:sz="0" w:space="0" w:color="auto"/>
      </w:divBdr>
    </w:div>
    <w:div w:id="1761176514">
      <w:bodyDiv w:val="1"/>
      <w:marLeft w:val="0"/>
      <w:marRight w:val="0"/>
      <w:marTop w:val="0"/>
      <w:marBottom w:val="0"/>
      <w:divBdr>
        <w:top w:val="none" w:sz="0" w:space="0" w:color="auto"/>
        <w:left w:val="none" w:sz="0" w:space="0" w:color="auto"/>
        <w:bottom w:val="none" w:sz="0" w:space="0" w:color="auto"/>
        <w:right w:val="none" w:sz="0" w:space="0" w:color="auto"/>
      </w:divBdr>
    </w:div>
    <w:div w:id="1922375062">
      <w:bodyDiv w:val="1"/>
      <w:marLeft w:val="0"/>
      <w:marRight w:val="0"/>
      <w:marTop w:val="0"/>
      <w:marBottom w:val="0"/>
      <w:divBdr>
        <w:top w:val="none" w:sz="0" w:space="0" w:color="auto"/>
        <w:left w:val="none" w:sz="0" w:space="0" w:color="auto"/>
        <w:bottom w:val="none" w:sz="0" w:space="0" w:color="auto"/>
        <w:right w:val="none" w:sz="0" w:space="0" w:color="auto"/>
      </w:divBdr>
    </w:div>
    <w:div w:id="1956474752">
      <w:bodyDiv w:val="1"/>
      <w:marLeft w:val="0"/>
      <w:marRight w:val="0"/>
      <w:marTop w:val="0"/>
      <w:marBottom w:val="0"/>
      <w:divBdr>
        <w:top w:val="none" w:sz="0" w:space="0" w:color="auto"/>
        <w:left w:val="none" w:sz="0" w:space="0" w:color="auto"/>
        <w:bottom w:val="none" w:sz="0" w:space="0" w:color="auto"/>
        <w:right w:val="none" w:sz="0" w:space="0" w:color="auto"/>
      </w:divBdr>
      <w:divsChild>
        <w:div w:id="1562061033">
          <w:marLeft w:val="0"/>
          <w:marRight w:val="0"/>
          <w:marTop w:val="0"/>
          <w:marBottom w:val="0"/>
          <w:divBdr>
            <w:top w:val="none" w:sz="0" w:space="0" w:color="auto"/>
            <w:left w:val="none" w:sz="0" w:space="0" w:color="auto"/>
            <w:bottom w:val="none" w:sz="0" w:space="0" w:color="auto"/>
            <w:right w:val="none" w:sz="0" w:space="0" w:color="auto"/>
          </w:divBdr>
          <w:divsChild>
            <w:div w:id="326716010">
              <w:marLeft w:val="0"/>
              <w:marRight w:val="0"/>
              <w:marTop w:val="0"/>
              <w:marBottom w:val="0"/>
              <w:divBdr>
                <w:top w:val="none" w:sz="0" w:space="0" w:color="auto"/>
                <w:left w:val="none" w:sz="0" w:space="0" w:color="auto"/>
                <w:bottom w:val="none" w:sz="0" w:space="0" w:color="auto"/>
                <w:right w:val="none" w:sz="0" w:space="0" w:color="auto"/>
              </w:divBdr>
              <w:divsChild>
                <w:div w:id="516847648">
                  <w:marLeft w:val="0"/>
                  <w:marRight w:val="0"/>
                  <w:marTop w:val="0"/>
                  <w:marBottom w:val="0"/>
                  <w:divBdr>
                    <w:top w:val="none" w:sz="0" w:space="0" w:color="auto"/>
                    <w:left w:val="none" w:sz="0" w:space="0" w:color="auto"/>
                    <w:bottom w:val="none" w:sz="0" w:space="0" w:color="auto"/>
                    <w:right w:val="none" w:sz="0" w:space="0" w:color="auto"/>
                  </w:divBdr>
                  <w:divsChild>
                    <w:div w:id="813836205">
                      <w:marLeft w:val="0"/>
                      <w:marRight w:val="0"/>
                      <w:marTop w:val="0"/>
                      <w:marBottom w:val="0"/>
                      <w:divBdr>
                        <w:top w:val="none" w:sz="0" w:space="0" w:color="auto"/>
                        <w:left w:val="none" w:sz="0" w:space="0" w:color="auto"/>
                        <w:bottom w:val="none" w:sz="0" w:space="0" w:color="auto"/>
                        <w:right w:val="none" w:sz="0" w:space="0" w:color="auto"/>
                      </w:divBdr>
                      <w:divsChild>
                        <w:div w:id="1327393097">
                          <w:marLeft w:val="0"/>
                          <w:marRight w:val="0"/>
                          <w:marTop w:val="0"/>
                          <w:marBottom w:val="0"/>
                          <w:divBdr>
                            <w:top w:val="none" w:sz="0" w:space="0" w:color="auto"/>
                            <w:left w:val="none" w:sz="0" w:space="0" w:color="auto"/>
                            <w:bottom w:val="none" w:sz="0" w:space="0" w:color="auto"/>
                            <w:right w:val="none" w:sz="0" w:space="0" w:color="auto"/>
                          </w:divBdr>
                          <w:divsChild>
                            <w:div w:id="1634554414">
                              <w:marLeft w:val="0"/>
                              <w:marRight w:val="0"/>
                              <w:marTop w:val="0"/>
                              <w:marBottom w:val="0"/>
                              <w:divBdr>
                                <w:top w:val="none" w:sz="0" w:space="0" w:color="auto"/>
                                <w:left w:val="none" w:sz="0" w:space="0" w:color="auto"/>
                                <w:bottom w:val="none" w:sz="0" w:space="0" w:color="auto"/>
                                <w:right w:val="none" w:sz="0" w:space="0" w:color="auto"/>
                              </w:divBdr>
                              <w:divsChild>
                                <w:div w:id="5848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878153">
      <w:bodyDiv w:val="1"/>
      <w:marLeft w:val="0"/>
      <w:marRight w:val="5"/>
      <w:marTop w:val="0"/>
      <w:marBottom w:val="436"/>
      <w:divBdr>
        <w:top w:val="none" w:sz="0" w:space="0" w:color="auto"/>
        <w:left w:val="none" w:sz="0" w:space="0" w:color="auto"/>
        <w:bottom w:val="none" w:sz="0" w:space="0" w:color="auto"/>
        <w:right w:val="none" w:sz="0" w:space="0" w:color="auto"/>
      </w:divBdr>
      <w:divsChild>
        <w:div w:id="286939282">
          <w:marLeft w:val="1647"/>
          <w:marRight w:val="0"/>
          <w:marTop w:val="327"/>
          <w:marBottom w:val="218"/>
          <w:divBdr>
            <w:top w:val="none" w:sz="0" w:space="0" w:color="auto"/>
            <w:left w:val="none" w:sz="0" w:space="0" w:color="auto"/>
            <w:bottom w:val="none" w:sz="0" w:space="0" w:color="auto"/>
            <w:right w:val="none" w:sz="0" w:space="0" w:color="auto"/>
          </w:divBdr>
        </w:div>
      </w:divsChild>
    </w:div>
    <w:div w:id="2133329364">
      <w:bodyDiv w:val="1"/>
      <w:marLeft w:val="0"/>
      <w:marRight w:val="5"/>
      <w:marTop w:val="0"/>
      <w:marBottom w:val="436"/>
      <w:divBdr>
        <w:top w:val="none" w:sz="0" w:space="0" w:color="auto"/>
        <w:left w:val="none" w:sz="0" w:space="0" w:color="auto"/>
        <w:bottom w:val="none" w:sz="0" w:space="0" w:color="auto"/>
        <w:right w:val="none" w:sz="0" w:space="0" w:color="auto"/>
      </w:divBdr>
      <w:divsChild>
        <w:div w:id="390427843">
          <w:marLeft w:val="1647"/>
          <w:marRight w:val="0"/>
          <w:marTop w:val="327"/>
          <w:marBottom w:val="218"/>
          <w:divBdr>
            <w:top w:val="none" w:sz="0" w:space="0" w:color="auto"/>
            <w:left w:val="none" w:sz="0" w:space="0" w:color="auto"/>
            <w:bottom w:val="none" w:sz="0" w:space="0" w:color="auto"/>
            <w:right w:val="none" w:sz="0" w:space="0" w:color="auto"/>
          </w:divBdr>
        </w:div>
      </w:divsChild>
    </w:div>
    <w:div w:id="2135097561">
      <w:bodyDiv w:val="1"/>
      <w:marLeft w:val="0"/>
      <w:marRight w:val="0"/>
      <w:marTop w:val="0"/>
      <w:marBottom w:val="0"/>
      <w:divBdr>
        <w:top w:val="none" w:sz="0" w:space="0" w:color="auto"/>
        <w:left w:val="none" w:sz="0" w:space="0" w:color="auto"/>
        <w:bottom w:val="none" w:sz="0" w:space="0" w:color="auto"/>
        <w:right w:val="none" w:sz="0" w:space="0" w:color="auto"/>
      </w:divBdr>
      <w:divsChild>
        <w:div w:id="635571634">
          <w:marLeft w:val="0"/>
          <w:marRight w:val="0"/>
          <w:marTop w:val="0"/>
          <w:marBottom w:val="0"/>
          <w:divBdr>
            <w:top w:val="none" w:sz="0" w:space="0" w:color="auto"/>
            <w:left w:val="none" w:sz="0" w:space="0" w:color="auto"/>
            <w:bottom w:val="none" w:sz="0" w:space="0" w:color="auto"/>
            <w:right w:val="none" w:sz="0" w:space="0" w:color="auto"/>
          </w:divBdr>
          <w:divsChild>
            <w:div w:id="197279142">
              <w:marLeft w:val="0"/>
              <w:marRight w:val="0"/>
              <w:marTop w:val="0"/>
              <w:marBottom w:val="0"/>
              <w:divBdr>
                <w:top w:val="none" w:sz="0" w:space="0" w:color="auto"/>
                <w:left w:val="none" w:sz="0" w:space="0" w:color="auto"/>
                <w:bottom w:val="none" w:sz="0" w:space="0" w:color="auto"/>
                <w:right w:val="none" w:sz="0" w:space="0" w:color="auto"/>
              </w:divBdr>
              <w:divsChild>
                <w:div w:id="1770389648">
                  <w:marLeft w:val="0"/>
                  <w:marRight w:val="0"/>
                  <w:marTop w:val="0"/>
                  <w:marBottom w:val="0"/>
                  <w:divBdr>
                    <w:top w:val="none" w:sz="0" w:space="0" w:color="auto"/>
                    <w:left w:val="none" w:sz="0" w:space="0" w:color="auto"/>
                    <w:bottom w:val="none" w:sz="0" w:space="0" w:color="auto"/>
                    <w:right w:val="none" w:sz="0" w:space="0" w:color="auto"/>
                  </w:divBdr>
                  <w:divsChild>
                    <w:div w:id="163722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spencer@usc.edu" TargetMode="External"/><Relationship Id="rId18" Type="http://schemas.openxmlformats.org/officeDocument/2006/relationships/hyperlink" Target="mailto:Nick.Nichols@dcnr.alabama.gov" TargetMode="External"/><Relationship Id="rId26" Type="http://schemas.openxmlformats.org/officeDocument/2006/relationships/hyperlink" Target="http://quickfacts.census.gov/qfd/states/01/0101852.html" TargetMode="External"/><Relationship Id="rId3" Type="http://schemas.openxmlformats.org/officeDocument/2006/relationships/styles" Target="styles.xml"/><Relationship Id="rId21" Type="http://schemas.openxmlformats.org/officeDocument/2006/relationships/hyperlink" Target="http://www.uab.edu/cores/survey-research-unit"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att.cave@louisville.edu" TargetMode="External"/><Relationship Id="rId17" Type="http://schemas.openxmlformats.org/officeDocument/2006/relationships/hyperlink" Target="mailto:john.guarisco@adph.state.al.us" TargetMode="External"/><Relationship Id="rId25" Type="http://schemas.openxmlformats.org/officeDocument/2006/relationships/hyperlink" Target="http://apps.nccd.cdc.gov/DDTSTRS/default.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aron.lewis@adph.state.al.us" TargetMode="External"/><Relationship Id="rId20" Type="http://schemas.openxmlformats.org/officeDocument/2006/relationships/hyperlink" Target="mailto:mlen@adem.state.al.u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exposurereport/index.html" TargetMode="External"/><Relationship Id="rId24" Type="http://schemas.openxmlformats.org/officeDocument/2006/relationships/hyperlink" Target="http://www.cdc.gov/exposurereport/index.html"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kaybeardal@bellsouth.net" TargetMode="External"/><Relationship Id="rId23" Type="http://schemas.openxmlformats.org/officeDocument/2006/relationships/hyperlink" Target="http://www.demographics.aum.edu/uploadedfile/file/2011_alabama_population.pdf" TargetMode="External"/><Relationship Id="rId28" Type="http://schemas.openxmlformats.org/officeDocument/2006/relationships/header" Target="header2.xml"/><Relationship Id="rId10" Type="http://schemas.openxmlformats.org/officeDocument/2006/relationships/hyperlink" Target="http://www.epa.gov/environmentaljustice/)" TargetMode="External"/><Relationship Id="rId19" Type="http://schemas.openxmlformats.org/officeDocument/2006/relationships/hyperlink" Target="mailto:David.Hayden@dcnr.alabama.gov"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aaport.org" TargetMode="External"/><Relationship Id="rId14" Type="http://schemas.openxmlformats.org/officeDocument/2006/relationships/hyperlink" Target="mailto:msabccarter@yahoo.com" TargetMode="External"/><Relationship Id="rId22" Type="http://schemas.openxmlformats.org/officeDocument/2006/relationships/hyperlink" Target="http://www.arhaonline.org/PDF%20Files/CountyReports/Calhoun%20County%202009.pdf" TargetMode="External"/><Relationship Id="rId27" Type="http://schemas.openxmlformats.org/officeDocument/2006/relationships/header" Target="header1.xml"/><Relationship Id="rId30"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5356D-0327-4A19-99F3-7DB043B38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8674</Words>
  <Characters>49445</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58003</CharactersWithSpaces>
  <SharedDoc>false</SharedDoc>
  <HLinks>
    <vt:vector size="288" baseType="variant">
      <vt:variant>
        <vt:i4>2752544</vt:i4>
      </vt:variant>
      <vt:variant>
        <vt:i4>150</vt:i4>
      </vt:variant>
      <vt:variant>
        <vt:i4>0</vt:i4>
      </vt:variant>
      <vt:variant>
        <vt:i4>5</vt:i4>
      </vt:variant>
      <vt:variant>
        <vt:lpwstr>http://www.epa.gov/region4/waste/npl/nplal/annpcbal.htm</vt:lpwstr>
      </vt:variant>
      <vt:variant>
        <vt:lpwstr/>
      </vt:variant>
      <vt:variant>
        <vt:i4>2162807</vt:i4>
      </vt:variant>
      <vt:variant>
        <vt:i4>147</vt:i4>
      </vt:variant>
      <vt:variant>
        <vt:i4>0</vt:i4>
      </vt:variant>
      <vt:variant>
        <vt:i4>5</vt:i4>
      </vt:variant>
      <vt:variant>
        <vt:lpwstr>http://www.epa.gov/region4/waste/npl/nplal/annpcbalfinalpathwayanalysisOU4.pdf</vt:lpwstr>
      </vt:variant>
      <vt:variant>
        <vt:lpwstr/>
      </vt:variant>
      <vt:variant>
        <vt:i4>5832730</vt:i4>
      </vt:variant>
      <vt:variant>
        <vt:i4>144</vt:i4>
      </vt:variant>
      <vt:variant>
        <vt:i4>0</vt:i4>
      </vt:variant>
      <vt:variant>
        <vt:i4>5</vt:i4>
      </vt:variant>
      <vt:variant>
        <vt:lpwstr>http://www.epa.gov/region4/waste/npl/nplal/annpcbou3risk.pdf</vt:lpwstr>
      </vt:variant>
      <vt:variant>
        <vt:lpwstr/>
      </vt:variant>
      <vt:variant>
        <vt:i4>4259933</vt:i4>
      </vt:variant>
      <vt:variant>
        <vt:i4>141</vt:i4>
      </vt:variant>
      <vt:variant>
        <vt:i4>0</vt:i4>
      </vt:variant>
      <vt:variant>
        <vt:i4>5</vt:i4>
      </vt:variant>
      <vt:variant>
        <vt:lpwstr>http://www.epa.gov/region4/waste/npl/nplal/annpcbhhra.pdf</vt:lpwstr>
      </vt:variant>
      <vt:variant>
        <vt:lpwstr/>
      </vt:variant>
      <vt:variant>
        <vt:i4>6553653</vt:i4>
      </vt:variant>
      <vt:variant>
        <vt:i4>138</vt:i4>
      </vt:variant>
      <vt:variant>
        <vt:i4>0</vt:i4>
      </vt:variant>
      <vt:variant>
        <vt:i4>5</vt:i4>
      </vt:variant>
      <vt:variant>
        <vt:lpwstr>http://quickfacts.census.gov/qfd/states/01/0101852.html</vt:lpwstr>
      </vt:variant>
      <vt:variant>
        <vt:lpwstr/>
      </vt:variant>
      <vt:variant>
        <vt:i4>8192106</vt:i4>
      </vt:variant>
      <vt:variant>
        <vt:i4>135</vt:i4>
      </vt:variant>
      <vt:variant>
        <vt:i4>0</vt:i4>
      </vt:variant>
      <vt:variant>
        <vt:i4>5</vt:i4>
      </vt:variant>
      <vt:variant>
        <vt:lpwstr>http://www.isr.umich.edu/src/smp/Electronic Copies/51-Draft106.pdf</vt:lpwstr>
      </vt:variant>
      <vt:variant>
        <vt:lpwstr/>
      </vt:variant>
      <vt:variant>
        <vt:i4>196680</vt:i4>
      </vt:variant>
      <vt:variant>
        <vt:i4>132</vt:i4>
      </vt:variant>
      <vt:variant>
        <vt:i4>0</vt:i4>
      </vt:variant>
      <vt:variant>
        <vt:i4>5</vt:i4>
      </vt:variant>
      <vt:variant>
        <vt:lpwstr>http://www.ncbi.nlm.nih.gov/pubmed?term=%22McCaffrey%20RJ%22%5BAuthor%5D</vt:lpwstr>
      </vt:variant>
      <vt:variant>
        <vt:lpwstr/>
      </vt:variant>
      <vt:variant>
        <vt:i4>6619172</vt:i4>
      </vt:variant>
      <vt:variant>
        <vt:i4>129</vt:i4>
      </vt:variant>
      <vt:variant>
        <vt:i4>0</vt:i4>
      </vt:variant>
      <vt:variant>
        <vt:i4>5</vt:i4>
      </vt:variant>
      <vt:variant>
        <vt:lpwstr>http://www.ncbi.nlm.nih.gov/pubmed?term=%22Jennings%20DL%22%5BAuthor%5D</vt:lpwstr>
      </vt:variant>
      <vt:variant>
        <vt:lpwstr/>
      </vt:variant>
      <vt:variant>
        <vt:i4>1048663</vt:i4>
      </vt:variant>
      <vt:variant>
        <vt:i4>126</vt:i4>
      </vt:variant>
      <vt:variant>
        <vt:i4>0</vt:i4>
      </vt:variant>
      <vt:variant>
        <vt:i4>5</vt:i4>
      </vt:variant>
      <vt:variant>
        <vt:lpwstr>http://www.ncbi.nlm.nih.gov/pubmed?term=%22Seibyl%20JP%22%5BAuthor%5D</vt:lpwstr>
      </vt:variant>
      <vt:variant>
        <vt:lpwstr/>
      </vt:variant>
      <vt:variant>
        <vt:i4>852043</vt:i4>
      </vt:variant>
      <vt:variant>
        <vt:i4>123</vt:i4>
      </vt:variant>
      <vt:variant>
        <vt:i4>0</vt:i4>
      </vt:variant>
      <vt:variant>
        <vt:i4>5</vt:i4>
      </vt:variant>
      <vt:variant>
        <vt:lpwstr>http://www.ncbi.nlm.nih.gov/pubmed?term=%22Marek%20KL%22%5BAuthor%5D</vt:lpwstr>
      </vt:variant>
      <vt:variant>
        <vt:lpwstr/>
      </vt:variant>
      <vt:variant>
        <vt:i4>524354</vt:i4>
      </vt:variant>
      <vt:variant>
        <vt:i4>120</vt:i4>
      </vt:variant>
      <vt:variant>
        <vt:i4>0</vt:i4>
      </vt:variant>
      <vt:variant>
        <vt:i4>5</vt:i4>
      </vt:variant>
      <vt:variant>
        <vt:lpwstr>http://www.ncbi.nlm.nih.gov/pubmed?term=%22Factor%20SA%22%5BAuthor%5D</vt:lpwstr>
      </vt:variant>
      <vt:variant>
        <vt:lpwstr/>
      </vt:variant>
      <vt:variant>
        <vt:i4>6488112</vt:i4>
      </vt:variant>
      <vt:variant>
        <vt:i4>117</vt:i4>
      </vt:variant>
      <vt:variant>
        <vt:i4>0</vt:i4>
      </vt:variant>
      <vt:variant>
        <vt:i4>5</vt:i4>
      </vt:variant>
      <vt:variant>
        <vt:lpwstr>http://www.ncbi.nlm.nih.gov/pubmed?term=%22Higgins%20DS%22%5BAuthor%5D</vt:lpwstr>
      </vt:variant>
      <vt:variant>
        <vt:lpwstr/>
      </vt:variant>
      <vt:variant>
        <vt:i4>1638487</vt:i4>
      </vt:variant>
      <vt:variant>
        <vt:i4>114</vt:i4>
      </vt:variant>
      <vt:variant>
        <vt:i4>0</vt:i4>
      </vt:variant>
      <vt:variant>
        <vt:i4>5</vt:i4>
      </vt:variant>
      <vt:variant>
        <vt:lpwstr>http://www.ncbi.nlm.nih.gov/pubmed?term=%22Molho%20ES%22%5BAuthor%5D</vt:lpwstr>
      </vt:variant>
      <vt:variant>
        <vt:lpwstr/>
      </vt:variant>
      <vt:variant>
        <vt:i4>4849677</vt:i4>
      </vt:variant>
      <vt:variant>
        <vt:i4>111</vt:i4>
      </vt:variant>
      <vt:variant>
        <vt:i4>0</vt:i4>
      </vt:variant>
      <vt:variant>
        <vt:i4>5</vt:i4>
      </vt:variant>
      <vt:variant>
        <vt:lpwstr>http://www.ncbi.nlm.nih.gov/pubmed?term=%22Parsons%20P%22%5BAuthor%5D</vt:lpwstr>
      </vt:variant>
      <vt:variant>
        <vt:lpwstr/>
      </vt:variant>
      <vt:variant>
        <vt:i4>7340092</vt:i4>
      </vt:variant>
      <vt:variant>
        <vt:i4>108</vt:i4>
      </vt:variant>
      <vt:variant>
        <vt:i4>0</vt:i4>
      </vt:variant>
      <vt:variant>
        <vt:i4>5</vt:i4>
      </vt:variant>
      <vt:variant>
        <vt:lpwstr>http://www.ncbi.nlm.nih.gov/pubmed?term=%22Todd%20AC%22%5BAuthor%5D</vt:lpwstr>
      </vt:variant>
      <vt:variant>
        <vt:lpwstr/>
      </vt:variant>
      <vt:variant>
        <vt:i4>786519</vt:i4>
      </vt:variant>
      <vt:variant>
        <vt:i4>105</vt:i4>
      </vt:variant>
      <vt:variant>
        <vt:i4>0</vt:i4>
      </vt:variant>
      <vt:variant>
        <vt:i4>5</vt:i4>
      </vt:variant>
      <vt:variant>
        <vt:lpwstr>http://www.ncbi.nlm.nih.gov/pubmed?term=%22Haase%20RF%22%5BAuthor%5D</vt:lpwstr>
      </vt:variant>
      <vt:variant>
        <vt:lpwstr/>
      </vt:variant>
      <vt:variant>
        <vt:i4>131161</vt:i4>
      </vt:variant>
      <vt:variant>
        <vt:i4>102</vt:i4>
      </vt:variant>
      <vt:variant>
        <vt:i4>0</vt:i4>
      </vt:variant>
      <vt:variant>
        <vt:i4>5</vt:i4>
      </vt:variant>
      <vt:variant>
        <vt:lpwstr>http://www.ncbi.nlm.nih.gov/pubmed?term=%22Wolff%20MS%22%5BAuthor%5D</vt:lpwstr>
      </vt:variant>
      <vt:variant>
        <vt:lpwstr/>
      </vt:variant>
      <vt:variant>
        <vt:i4>71</vt:i4>
      </vt:variant>
      <vt:variant>
        <vt:i4>99</vt:i4>
      </vt:variant>
      <vt:variant>
        <vt:i4>0</vt:i4>
      </vt:variant>
      <vt:variant>
        <vt:i4>5</vt:i4>
      </vt:variant>
      <vt:variant>
        <vt:lpwstr>http://www.ncbi.nlm.nih.gov/pubmed?term=%22Hills%20EA%22%5BAuthor%5D</vt:lpwstr>
      </vt:variant>
      <vt:variant>
        <vt:lpwstr/>
      </vt:variant>
      <vt:variant>
        <vt:i4>917568</vt:i4>
      </vt:variant>
      <vt:variant>
        <vt:i4>96</vt:i4>
      </vt:variant>
      <vt:variant>
        <vt:i4>0</vt:i4>
      </vt:variant>
      <vt:variant>
        <vt:i4>5</vt:i4>
      </vt:variant>
      <vt:variant>
        <vt:lpwstr>http://www.ncbi.nlm.nih.gov/pubmed?term=%22Fitzgerald%20EF%22%5BAuthor%5D</vt:lpwstr>
      </vt:variant>
      <vt:variant>
        <vt:lpwstr/>
      </vt:variant>
      <vt:variant>
        <vt:i4>1769478</vt:i4>
      </vt:variant>
      <vt:variant>
        <vt:i4>93</vt:i4>
      </vt:variant>
      <vt:variant>
        <vt:i4>0</vt:i4>
      </vt:variant>
      <vt:variant>
        <vt:i4>5</vt:i4>
      </vt:variant>
      <vt:variant>
        <vt:lpwstr>http://www.demographics.aum.edu/uploadedfile/file/2011_alabama_population.pdf</vt:lpwstr>
      </vt:variant>
      <vt:variant>
        <vt:lpwstr/>
      </vt:variant>
      <vt:variant>
        <vt:i4>458844</vt:i4>
      </vt:variant>
      <vt:variant>
        <vt:i4>90</vt:i4>
      </vt:variant>
      <vt:variant>
        <vt:i4>0</vt:i4>
      </vt:variant>
      <vt:variant>
        <vt:i4>5</vt:i4>
      </vt:variant>
      <vt:variant>
        <vt:lpwstr>http://apps.nccd.cdc.gov/DDTSTRS/default.aspx</vt:lpwstr>
      </vt:variant>
      <vt:variant>
        <vt:lpwstr/>
      </vt:variant>
      <vt:variant>
        <vt:i4>4980819</vt:i4>
      </vt:variant>
      <vt:variant>
        <vt:i4>87</vt:i4>
      </vt:variant>
      <vt:variant>
        <vt:i4>0</vt:i4>
      </vt:variant>
      <vt:variant>
        <vt:i4>5</vt:i4>
      </vt:variant>
      <vt:variant>
        <vt:lpwstr>http://www.cdc.gov/exposurereport/index.html</vt:lpwstr>
      </vt:variant>
      <vt:variant>
        <vt:lpwstr/>
      </vt:variant>
      <vt:variant>
        <vt:i4>6422580</vt:i4>
      </vt:variant>
      <vt:variant>
        <vt:i4>84</vt:i4>
      </vt:variant>
      <vt:variant>
        <vt:i4>0</vt:i4>
      </vt:variant>
      <vt:variant>
        <vt:i4>5</vt:i4>
      </vt:variant>
      <vt:variant>
        <vt:lpwstr>http://www.cdc.gov/nchs/data/nhanes/nhanes_05_06/LAB.pdf</vt:lpwstr>
      </vt:variant>
      <vt:variant>
        <vt:lpwstr/>
      </vt:variant>
      <vt:variant>
        <vt:i4>720952</vt:i4>
      </vt:variant>
      <vt:variant>
        <vt:i4>81</vt:i4>
      </vt:variant>
      <vt:variant>
        <vt:i4>0</vt:i4>
      </vt:variant>
      <vt:variant>
        <vt:i4>5</vt:i4>
      </vt:variant>
      <vt:variant>
        <vt:lpwstr>http://www.fws.gov/daphne/Hot_Topics/Anniston Final Assessment Plan.pdf</vt:lpwstr>
      </vt:variant>
      <vt:variant>
        <vt:lpwstr/>
      </vt:variant>
      <vt:variant>
        <vt:i4>5636104</vt:i4>
      </vt:variant>
      <vt:variant>
        <vt:i4>78</vt:i4>
      </vt:variant>
      <vt:variant>
        <vt:i4>0</vt:i4>
      </vt:variant>
      <vt:variant>
        <vt:i4>5</vt:i4>
      </vt:variant>
      <vt:variant>
        <vt:lpwstr>http://www.atsdr.cdc.gov/HAC/pha/AnnistonPCBSiteHC101606/AnnistonPCBSiteHC101606.pdf</vt:lpwstr>
      </vt:variant>
      <vt:variant>
        <vt:lpwstr/>
      </vt:variant>
      <vt:variant>
        <vt:i4>6946943</vt:i4>
      </vt:variant>
      <vt:variant>
        <vt:i4>75</vt:i4>
      </vt:variant>
      <vt:variant>
        <vt:i4>0</vt:i4>
      </vt:variant>
      <vt:variant>
        <vt:i4>5</vt:i4>
      </vt:variant>
      <vt:variant>
        <vt:lpwstr>http://www.gpo.gov/fdsys/pkg/FR-2003-05-29/pdf/03-13378.pdf</vt:lpwstr>
      </vt:variant>
      <vt:variant>
        <vt:lpwstr/>
      </vt:variant>
      <vt:variant>
        <vt:i4>4587576</vt:i4>
      </vt:variant>
      <vt:variant>
        <vt:i4>72</vt:i4>
      </vt:variant>
      <vt:variant>
        <vt:i4>0</vt:i4>
      </vt:variant>
      <vt:variant>
        <vt:i4>5</vt:i4>
      </vt:variant>
      <vt:variant>
        <vt:lpwstr>http://www.atsdr.cdc.gov/HAC/PHA/solutia/mcs_toc.html</vt:lpwstr>
      </vt:variant>
      <vt:variant>
        <vt:lpwstr/>
      </vt:variant>
      <vt:variant>
        <vt:i4>3211352</vt:i4>
      </vt:variant>
      <vt:variant>
        <vt:i4>69</vt:i4>
      </vt:variant>
      <vt:variant>
        <vt:i4>0</vt:i4>
      </vt:variant>
      <vt:variant>
        <vt:i4>5</vt:i4>
      </vt:variant>
      <vt:variant>
        <vt:lpwstr>http://www.atsdr.cdc.gov/HAC/PHA/annpc/ann_toc.html</vt:lpwstr>
      </vt:variant>
      <vt:variant>
        <vt:lpwstr/>
      </vt:variant>
      <vt:variant>
        <vt:i4>1966098</vt:i4>
      </vt:variant>
      <vt:variant>
        <vt:i4>66</vt:i4>
      </vt:variant>
      <vt:variant>
        <vt:i4>0</vt:i4>
      </vt:variant>
      <vt:variant>
        <vt:i4>5</vt:i4>
      </vt:variant>
      <vt:variant>
        <vt:lpwstr>http://www.arhaonline.org/PDF Files/CountyReports/Calhoun County 2009.pdf</vt:lpwstr>
      </vt:variant>
      <vt:variant>
        <vt:lpwstr/>
      </vt:variant>
      <vt:variant>
        <vt:i4>5505064</vt:i4>
      </vt:variant>
      <vt:variant>
        <vt:i4>63</vt:i4>
      </vt:variant>
      <vt:variant>
        <vt:i4>0</vt:i4>
      </vt:variant>
      <vt:variant>
        <vt:i4>5</vt:i4>
      </vt:variant>
      <vt:variant>
        <vt:lpwstr>mailto:dr.bartell@gmail.com</vt:lpwstr>
      </vt:variant>
      <vt:variant>
        <vt:lpwstr/>
      </vt:variant>
      <vt:variant>
        <vt:i4>6422592</vt:i4>
      </vt:variant>
      <vt:variant>
        <vt:i4>60</vt:i4>
      </vt:variant>
      <vt:variant>
        <vt:i4>0</vt:i4>
      </vt:variant>
      <vt:variant>
        <vt:i4>5</vt:i4>
      </vt:variant>
      <vt:variant>
        <vt:lpwstr>mailto:cdodson@cdc.gov</vt:lpwstr>
      </vt:variant>
      <vt:variant>
        <vt:lpwstr/>
      </vt:variant>
      <vt:variant>
        <vt:i4>1245244</vt:i4>
      </vt:variant>
      <vt:variant>
        <vt:i4>57</vt:i4>
      </vt:variant>
      <vt:variant>
        <vt:i4>0</vt:i4>
      </vt:variant>
      <vt:variant>
        <vt:i4>5</vt:i4>
      </vt:variant>
      <vt:variant>
        <vt:lpwstr>mailto:cshelton@jsu.edu</vt:lpwstr>
      </vt:variant>
      <vt:variant>
        <vt:lpwstr/>
      </vt:variant>
      <vt:variant>
        <vt:i4>2031662</vt:i4>
      </vt:variant>
      <vt:variant>
        <vt:i4>54</vt:i4>
      </vt:variant>
      <vt:variant>
        <vt:i4>0</vt:i4>
      </vt:variant>
      <vt:variant>
        <vt:i4>5</vt:i4>
      </vt:variant>
      <vt:variant>
        <vt:lpwstr>mailto:kaybeardal@bellsouth.net</vt:lpwstr>
      </vt:variant>
      <vt:variant>
        <vt:lpwstr/>
      </vt:variant>
      <vt:variant>
        <vt:i4>1245244</vt:i4>
      </vt:variant>
      <vt:variant>
        <vt:i4>51</vt:i4>
      </vt:variant>
      <vt:variant>
        <vt:i4>0</vt:i4>
      </vt:variant>
      <vt:variant>
        <vt:i4>5</vt:i4>
      </vt:variant>
      <vt:variant>
        <vt:lpwstr>mailto:cshelton@jsu.edu</vt:lpwstr>
      </vt:variant>
      <vt:variant>
        <vt:lpwstr/>
      </vt:variant>
      <vt:variant>
        <vt:i4>5505064</vt:i4>
      </vt:variant>
      <vt:variant>
        <vt:i4>48</vt:i4>
      </vt:variant>
      <vt:variant>
        <vt:i4>0</vt:i4>
      </vt:variant>
      <vt:variant>
        <vt:i4>5</vt:i4>
      </vt:variant>
      <vt:variant>
        <vt:lpwstr>mailto:dr.bartell@gmail.com</vt:lpwstr>
      </vt:variant>
      <vt:variant>
        <vt:lpwstr/>
      </vt:variant>
      <vt:variant>
        <vt:i4>6094899</vt:i4>
      </vt:variant>
      <vt:variant>
        <vt:i4>45</vt:i4>
      </vt:variant>
      <vt:variant>
        <vt:i4>0</vt:i4>
      </vt:variant>
      <vt:variant>
        <vt:i4>5</vt:i4>
      </vt:variant>
      <vt:variant>
        <vt:lpwstr>mailto:john.guarisco@adph.state.al.us</vt:lpwstr>
      </vt:variant>
      <vt:variant>
        <vt:lpwstr/>
      </vt:variant>
      <vt:variant>
        <vt:i4>5505064</vt:i4>
      </vt:variant>
      <vt:variant>
        <vt:i4>42</vt:i4>
      </vt:variant>
      <vt:variant>
        <vt:i4>0</vt:i4>
      </vt:variant>
      <vt:variant>
        <vt:i4>5</vt:i4>
      </vt:variant>
      <vt:variant>
        <vt:lpwstr>mailto:dr.bartell@gmail.com</vt:lpwstr>
      </vt:variant>
      <vt:variant>
        <vt:lpwstr/>
      </vt:variant>
      <vt:variant>
        <vt:i4>2031662</vt:i4>
      </vt:variant>
      <vt:variant>
        <vt:i4>39</vt:i4>
      </vt:variant>
      <vt:variant>
        <vt:i4>0</vt:i4>
      </vt:variant>
      <vt:variant>
        <vt:i4>5</vt:i4>
      </vt:variant>
      <vt:variant>
        <vt:lpwstr>mailto:kaybeardal@bellsouth.net</vt:lpwstr>
      </vt:variant>
      <vt:variant>
        <vt:lpwstr/>
      </vt:variant>
      <vt:variant>
        <vt:i4>1703968</vt:i4>
      </vt:variant>
      <vt:variant>
        <vt:i4>36</vt:i4>
      </vt:variant>
      <vt:variant>
        <vt:i4>0</vt:i4>
      </vt:variant>
      <vt:variant>
        <vt:i4>5</vt:i4>
      </vt:variant>
      <vt:variant>
        <vt:lpwstr>mailto:msabccarter@yahoo.com</vt:lpwstr>
      </vt:variant>
      <vt:variant>
        <vt:lpwstr/>
      </vt:variant>
      <vt:variant>
        <vt:i4>65617</vt:i4>
      </vt:variant>
      <vt:variant>
        <vt:i4>33</vt:i4>
      </vt:variant>
      <vt:variant>
        <vt:i4>0</vt:i4>
      </vt:variant>
      <vt:variant>
        <vt:i4>5</vt:i4>
      </vt:variant>
      <vt:variant>
        <vt:lpwstr>http://www.epa.gov/environmentaljustice/)</vt:lpwstr>
      </vt:variant>
      <vt:variant>
        <vt:lpwstr/>
      </vt:variant>
      <vt:variant>
        <vt:i4>4653073</vt:i4>
      </vt:variant>
      <vt:variant>
        <vt:i4>30</vt:i4>
      </vt:variant>
      <vt:variant>
        <vt:i4>0</vt:i4>
      </vt:variant>
      <vt:variant>
        <vt:i4>5</vt:i4>
      </vt:variant>
      <vt:variant>
        <vt:lpwstr>http://www.sawtooth.com/index.php/software/products/wincati/</vt:lpwstr>
      </vt:variant>
      <vt:variant>
        <vt:lpwstr/>
      </vt:variant>
      <vt:variant>
        <vt:i4>4653073</vt:i4>
      </vt:variant>
      <vt:variant>
        <vt:i4>27</vt:i4>
      </vt:variant>
      <vt:variant>
        <vt:i4>0</vt:i4>
      </vt:variant>
      <vt:variant>
        <vt:i4>5</vt:i4>
      </vt:variant>
      <vt:variant>
        <vt:lpwstr>http://www.sawtooth.com/index.php/software/products/wincati/</vt:lpwstr>
      </vt:variant>
      <vt:variant>
        <vt:lpwstr/>
      </vt:variant>
      <vt:variant>
        <vt:i4>1114174</vt:i4>
      </vt:variant>
      <vt:variant>
        <vt:i4>23</vt:i4>
      </vt:variant>
      <vt:variant>
        <vt:i4>0</vt:i4>
      </vt:variant>
      <vt:variant>
        <vt:i4>5</vt:i4>
      </vt:variant>
      <vt:variant>
        <vt:lpwstr/>
      </vt:variant>
      <vt:variant>
        <vt:lpwstr>_Toc296932940</vt:lpwstr>
      </vt:variant>
      <vt:variant>
        <vt:i4>1441854</vt:i4>
      </vt:variant>
      <vt:variant>
        <vt:i4>20</vt:i4>
      </vt:variant>
      <vt:variant>
        <vt:i4>0</vt:i4>
      </vt:variant>
      <vt:variant>
        <vt:i4>5</vt:i4>
      </vt:variant>
      <vt:variant>
        <vt:lpwstr/>
      </vt:variant>
      <vt:variant>
        <vt:lpwstr>_Toc296932939</vt:lpwstr>
      </vt:variant>
      <vt:variant>
        <vt:i4>1441854</vt:i4>
      </vt:variant>
      <vt:variant>
        <vt:i4>17</vt:i4>
      </vt:variant>
      <vt:variant>
        <vt:i4>0</vt:i4>
      </vt:variant>
      <vt:variant>
        <vt:i4>5</vt:i4>
      </vt:variant>
      <vt:variant>
        <vt:lpwstr/>
      </vt:variant>
      <vt:variant>
        <vt:lpwstr>_Toc296932938</vt:lpwstr>
      </vt:variant>
      <vt:variant>
        <vt:i4>1441854</vt:i4>
      </vt:variant>
      <vt:variant>
        <vt:i4>14</vt:i4>
      </vt:variant>
      <vt:variant>
        <vt:i4>0</vt:i4>
      </vt:variant>
      <vt:variant>
        <vt:i4>5</vt:i4>
      </vt:variant>
      <vt:variant>
        <vt:lpwstr/>
      </vt:variant>
      <vt:variant>
        <vt:lpwstr>_Toc296932937</vt:lpwstr>
      </vt:variant>
      <vt:variant>
        <vt:i4>1441854</vt:i4>
      </vt:variant>
      <vt:variant>
        <vt:i4>8</vt:i4>
      </vt:variant>
      <vt:variant>
        <vt:i4>0</vt:i4>
      </vt:variant>
      <vt:variant>
        <vt:i4>5</vt:i4>
      </vt:variant>
      <vt:variant>
        <vt:lpwstr/>
      </vt:variant>
      <vt:variant>
        <vt:lpwstr>_Toc296932936</vt:lpwstr>
      </vt:variant>
      <vt:variant>
        <vt:i4>1441854</vt:i4>
      </vt:variant>
      <vt:variant>
        <vt:i4>2</vt:i4>
      </vt:variant>
      <vt:variant>
        <vt:i4>0</vt:i4>
      </vt:variant>
      <vt:variant>
        <vt:i4>5</vt:i4>
      </vt:variant>
      <vt:variant>
        <vt:lpwstr/>
      </vt:variant>
      <vt:variant>
        <vt:lpwstr>_Toc296932935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sgd8</dc:creator>
  <cp:lastModifiedBy>Marian Pavuk</cp:lastModifiedBy>
  <cp:revision>2</cp:revision>
  <cp:lastPrinted>2013-09-11T21:00:00Z</cp:lastPrinted>
  <dcterms:created xsi:type="dcterms:W3CDTF">2013-09-13T16:02:00Z</dcterms:created>
  <dcterms:modified xsi:type="dcterms:W3CDTF">2013-09-13T16:02:00Z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-348812228</vt:i4>
  </property>
  <property fmtid="{D5CDD505-2E9C-101B-9397-08002B2CF9AE}" pid="3" name="_NewReviewCycle">
    <vt:lpwstr/>
  </property>
  <property fmtid="{D5CDD505-2E9C-101B-9397-08002B2CF9AE}" pid="4" name="_EmailSubject">
    <vt:lpwstr>Revisions to 0923-12RO Anniston Follow-up Study after Monday October 21, 2013 Conference Call</vt:lpwstr>
  </property>
  <property fmtid="{D5CDD505-2E9C-101B-9397-08002B2CF9AE}" pid="5" name="_AuthorEmail">
    <vt:lpwstr>Cortney_Higgins@omb.eop.gov</vt:lpwstr>
  </property>
  <property fmtid="{D5CDD505-2E9C-101B-9397-08002B2CF9AE}" pid="6" name="_AuthorEmailDisplayName">
    <vt:lpwstr>Higgins, Cortney</vt:lpwstr>
  </property>
</Properties>
</file>