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61" w:rsidRDefault="000526FB" w:rsidP="009F750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Generic Information Collection (</w:t>
      </w:r>
      <w:proofErr w:type="spellStart"/>
      <w:r>
        <w:rPr>
          <w:b/>
          <w:sz w:val="28"/>
          <w:szCs w:val="28"/>
        </w:rPr>
        <w:t>GenIC</w:t>
      </w:r>
      <w:proofErr w:type="spellEnd"/>
      <w:r>
        <w:rPr>
          <w:b/>
          <w:sz w:val="28"/>
          <w:szCs w:val="28"/>
        </w:rPr>
        <w:t xml:space="preserve">) </w:t>
      </w:r>
      <w:r w:rsidR="00A73148" w:rsidRPr="002268E8">
        <w:rPr>
          <w:b/>
          <w:sz w:val="28"/>
          <w:szCs w:val="28"/>
        </w:rPr>
        <w:t>Submitt</w:t>
      </w:r>
      <w:r w:rsidR="00BB5A4C">
        <w:rPr>
          <w:b/>
          <w:sz w:val="28"/>
          <w:szCs w:val="28"/>
        </w:rPr>
        <w:t>al Form</w:t>
      </w:r>
      <w:r w:rsidR="00A73148" w:rsidRPr="002268E8">
        <w:rPr>
          <w:b/>
          <w:sz w:val="28"/>
          <w:szCs w:val="28"/>
        </w:rPr>
        <w:t xml:space="preserve"> for </w:t>
      </w:r>
    </w:p>
    <w:p w:rsidR="00990609" w:rsidRDefault="00A73148">
      <w:pPr>
        <w:spacing w:after="0" w:line="240" w:lineRule="auto"/>
        <w:jc w:val="center"/>
        <w:rPr>
          <w:b/>
          <w:sz w:val="28"/>
          <w:szCs w:val="28"/>
        </w:rPr>
      </w:pPr>
      <w:r w:rsidRPr="002268E8">
        <w:rPr>
          <w:b/>
          <w:sz w:val="28"/>
          <w:szCs w:val="28"/>
        </w:rPr>
        <w:t>OMB Rev</w:t>
      </w:r>
      <w:r w:rsidR="002268E8" w:rsidRPr="002268E8">
        <w:rPr>
          <w:b/>
          <w:sz w:val="28"/>
          <w:szCs w:val="28"/>
        </w:rPr>
        <w:t xml:space="preserve">iew of </w:t>
      </w:r>
      <w:r w:rsidR="00C8371F">
        <w:rPr>
          <w:b/>
          <w:sz w:val="28"/>
          <w:szCs w:val="28"/>
        </w:rPr>
        <w:t xml:space="preserve">ATSDR </w:t>
      </w:r>
      <w:r w:rsidR="002268E8">
        <w:rPr>
          <w:b/>
          <w:sz w:val="28"/>
          <w:szCs w:val="28"/>
        </w:rPr>
        <w:t>Exposure Investigation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 xml:space="preserve"> (EI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>)</w:t>
      </w:r>
      <w:r w:rsidR="002268E8" w:rsidRPr="002268E8">
        <w:rPr>
          <w:b/>
          <w:sz w:val="28"/>
          <w:szCs w:val="28"/>
        </w:rPr>
        <w:t xml:space="preserve"> </w:t>
      </w:r>
      <w:r w:rsidR="00990609">
        <w:rPr>
          <w:b/>
          <w:sz w:val="28"/>
          <w:szCs w:val="28"/>
        </w:rPr>
        <w:t>(0923-004</w:t>
      </w:r>
      <w:r w:rsidR="00066D15">
        <w:rPr>
          <w:b/>
          <w:sz w:val="28"/>
          <w:szCs w:val="28"/>
        </w:rPr>
        <w:t>8</w:t>
      </w:r>
      <w:r w:rsidR="00990609">
        <w:rPr>
          <w:b/>
          <w:sz w:val="28"/>
          <w:szCs w:val="28"/>
        </w:rPr>
        <w:t>)</w:t>
      </w:r>
    </w:p>
    <w:p w:rsidR="00990609" w:rsidRPr="002268E8" w:rsidRDefault="00990609" w:rsidP="009F7507">
      <w:pPr>
        <w:spacing w:after="0" w:line="240" w:lineRule="auto"/>
        <w:jc w:val="center"/>
        <w:rPr>
          <w:b/>
          <w:sz w:val="28"/>
          <w:szCs w:val="28"/>
        </w:rPr>
      </w:pPr>
    </w:p>
    <w:p w:rsidR="002268E8" w:rsidRDefault="002268E8">
      <w:pPr>
        <w:rPr>
          <w:b/>
          <w:sz w:val="24"/>
          <w:szCs w:val="24"/>
        </w:rPr>
      </w:pPr>
      <w:r w:rsidRPr="008C1299">
        <w:rPr>
          <w:b/>
          <w:sz w:val="24"/>
          <w:szCs w:val="24"/>
        </w:rPr>
        <w:t>PROJECT TITLE</w:t>
      </w:r>
      <w:r w:rsidR="00952433">
        <w:rPr>
          <w:b/>
          <w:sz w:val="24"/>
          <w:szCs w:val="24"/>
        </w:rPr>
        <w:t xml:space="preserve">:  </w:t>
      </w:r>
      <w:r w:rsidR="006A1C2A">
        <w:rPr>
          <w:b/>
          <w:sz w:val="24"/>
          <w:szCs w:val="24"/>
        </w:rPr>
        <w:t>Colorado Smelter Exposure Investigation</w:t>
      </w:r>
    </w:p>
    <w:p w:rsidR="00146801" w:rsidRPr="008C1299" w:rsidRDefault="005119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</w:t>
      </w:r>
      <w:r w:rsidR="00146801">
        <w:rPr>
          <w:b/>
          <w:sz w:val="24"/>
          <w:szCs w:val="24"/>
        </w:rPr>
        <w:t>LOCATION</w:t>
      </w:r>
      <w:r w:rsidR="00952433">
        <w:rPr>
          <w:b/>
          <w:sz w:val="24"/>
          <w:szCs w:val="24"/>
        </w:rPr>
        <w:t xml:space="preserve">:  </w:t>
      </w:r>
      <w:r w:rsidR="00281057">
        <w:rPr>
          <w:b/>
          <w:sz w:val="24"/>
          <w:szCs w:val="24"/>
        </w:rPr>
        <w:t xml:space="preserve">Pueblo, </w:t>
      </w:r>
      <w:r w:rsidR="006A1C2A">
        <w:rPr>
          <w:b/>
          <w:sz w:val="24"/>
          <w:szCs w:val="24"/>
        </w:rPr>
        <w:t>Colorado</w:t>
      </w:r>
    </w:p>
    <w:p w:rsidR="002C3309" w:rsidRDefault="002C3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REQUESTED BURDEN HOURS</w:t>
      </w:r>
      <w:r w:rsidR="00245FE8">
        <w:rPr>
          <w:b/>
          <w:sz w:val="24"/>
          <w:szCs w:val="24"/>
        </w:rPr>
        <w:t xml:space="preserve">:    </w:t>
      </w:r>
      <w:r w:rsidR="001E7826">
        <w:rPr>
          <w:b/>
          <w:sz w:val="24"/>
          <w:szCs w:val="24"/>
        </w:rPr>
        <w:t>100</w:t>
      </w:r>
    </w:p>
    <w:p w:rsidR="00977D5F" w:rsidRDefault="00AD12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</w:t>
      </w:r>
      <w:r w:rsidR="008C26C6">
        <w:rPr>
          <w:b/>
          <w:sz w:val="24"/>
          <w:szCs w:val="24"/>
        </w:rPr>
        <w:t>SUMMARY</w:t>
      </w:r>
    </w:p>
    <w:tbl>
      <w:tblPr>
        <w:tblStyle w:val="TableGrid"/>
        <w:tblW w:w="10296" w:type="dxa"/>
        <w:tblInd w:w="108" w:type="dxa"/>
        <w:tblLook w:val="04A0" w:firstRow="1" w:lastRow="0" w:firstColumn="1" w:lastColumn="0" w:noHBand="0" w:noVBand="1"/>
      </w:tblPr>
      <w:tblGrid>
        <w:gridCol w:w="3168"/>
        <w:gridCol w:w="7128"/>
      </w:tblGrid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Investigator(s):</w:t>
            </w:r>
          </w:p>
        </w:tc>
        <w:tc>
          <w:tcPr>
            <w:tcW w:w="7128" w:type="dxa"/>
          </w:tcPr>
          <w:p w:rsidR="00977D5F" w:rsidRDefault="00977D5F" w:rsidP="00977D5F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 w:rsidRPr="00977D5F">
              <w:rPr>
                <w:sz w:val="24"/>
                <w:szCs w:val="24"/>
              </w:rPr>
              <w:t>Lourdes Rosale</w:t>
            </w:r>
            <w:r>
              <w:rPr>
                <w:sz w:val="24"/>
                <w:szCs w:val="24"/>
              </w:rPr>
              <w:t>s-Guev</w:t>
            </w:r>
            <w:r w:rsidR="008E286E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 (ATSDR Headquarters)</w:t>
            </w:r>
          </w:p>
          <w:p w:rsidR="00977D5F" w:rsidRPr="00977D5F" w:rsidRDefault="00977D5F" w:rsidP="00977D5F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 w:rsidRPr="00977D5F">
              <w:rPr>
                <w:sz w:val="24"/>
                <w:szCs w:val="24"/>
              </w:rPr>
              <w:t>David Dorian (ATSDR Region 8)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Assistance:</w:t>
            </w:r>
          </w:p>
        </w:tc>
        <w:tc>
          <w:tcPr>
            <w:tcW w:w="7128" w:type="dxa"/>
          </w:tcPr>
          <w:p w:rsidR="00977D5F" w:rsidRPr="00977D5F" w:rsidRDefault="00977D5F" w:rsidP="00977D5F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977D5F">
              <w:rPr>
                <w:sz w:val="24"/>
                <w:szCs w:val="24"/>
              </w:rPr>
              <w:t xml:space="preserve">Pueblo City County Health Department (PCCHD) </w:t>
            </w:r>
          </w:p>
          <w:p w:rsidR="00977D5F" w:rsidRPr="00977D5F" w:rsidRDefault="009A4C91" w:rsidP="00977D5F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DLS/NCEH/</w:t>
            </w:r>
            <w:r w:rsidR="00977D5F" w:rsidRPr="00977D5F">
              <w:rPr>
                <w:sz w:val="24"/>
                <w:szCs w:val="24"/>
              </w:rPr>
              <w:t>ATSDR laboratory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 w:rsidRPr="007F0688">
              <w:rPr>
                <w:b/>
                <w:sz w:val="24"/>
                <w:szCs w:val="24"/>
              </w:rPr>
              <w:t>Source of Request (state, petition, etc.):</w:t>
            </w:r>
          </w:p>
        </w:tc>
        <w:tc>
          <w:tcPr>
            <w:tcW w:w="7128" w:type="dxa"/>
          </w:tcPr>
          <w:p w:rsidR="00977D5F" w:rsidRPr="00977D5F" w:rsidRDefault="00BF1A54" w:rsidP="0097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Pueblo City County Health Department (PCCHD)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Goals:</w:t>
            </w:r>
          </w:p>
        </w:tc>
        <w:tc>
          <w:tcPr>
            <w:tcW w:w="7128" w:type="dxa"/>
          </w:tcPr>
          <w:p w:rsidR="00977D5F" w:rsidRPr="00977D5F" w:rsidRDefault="00977D5F" w:rsidP="00BF1A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goal of the EI is t</w:t>
            </w:r>
            <w:r w:rsidRPr="00AA7DE7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determine whether </w:t>
            </w:r>
            <w:r w:rsidR="00BF1A54">
              <w:rPr>
                <w:sz w:val="24"/>
                <w:szCs w:val="24"/>
              </w:rPr>
              <w:t>soil</w:t>
            </w:r>
            <w:r w:rsidR="003B366F">
              <w:rPr>
                <w:sz w:val="24"/>
                <w:szCs w:val="24"/>
              </w:rPr>
              <w:t xml:space="preserve"> </w:t>
            </w:r>
            <w:r w:rsidR="005F093E">
              <w:rPr>
                <w:sz w:val="24"/>
                <w:szCs w:val="24"/>
              </w:rPr>
              <w:t>contamination</w:t>
            </w:r>
            <w:r>
              <w:rPr>
                <w:sz w:val="24"/>
                <w:szCs w:val="24"/>
              </w:rPr>
              <w:t xml:space="preserve"> </w:t>
            </w:r>
            <w:r w:rsidR="005F093E">
              <w:rPr>
                <w:sz w:val="24"/>
                <w:szCs w:val="24"/>
              </w:rPr>
              <w:t xml:space="preserve">from historical smelting operations </w:t>
            </w:r>
            <w:r w:rsidR="00F95EF6">
              <w:rPr>
                <w:sz w:val="24"/>
                <w:szCs w:val="24"/>
              </w:rPr>
              <w:t xml:space="preserve">is resulting in community members </w:t>
            </w:r>
            <w:proofErr w:type="gramStart"/>
            <w:r w:rsidR="00F95EF6">
              <w:rPr>
                <w:sz w:val="24"/>
                <w:szCs w:val="24"/>
              </w:rPr>
              <w:t>being exposed</w:t>
            </w:r>
            <w:proofErr w:type="gramEnd"/>
            <w:r w:rsidR="00F95EF6">
              <w:rPr>
                <w:sz w:val="24"/>
                <w:szCs w:val="24"/>
              </w:rPr>
              <w:t xml:space="preserve"> to lead and arsenic at levels of health concern</w:t>
            </w:r>
            <w:r w:rsidR="006B5535">
              <w:rPr>
                <w:sz w:val="24"/>
                <w:szCs w:val="24"/>
              </w:rPr>
              <w:t xml:space="preserve">.  If this is the case, ATSDR will make recommendations </w:t>
            </w:r>
            <w:r w:rsidR="005956AA">
              <w:rPr>
                <w:sz w:val="24"/>
                <w:szCs w:val="24"/>
              </w:rPr>
              <w:t xml:space="preserve">for </w:t>
            </w:r>
            <w:r w:rsidR="006B5535">
              <w:rPr>
                <w:sz w:val="24"/>
                <w:szCs w:val="24"/>
              </w:rPr>
              <w:t>people to reduce their exposures</w:t>
            </w:r>
            <w:r w:rsidR="004B252F">
              <w:rPr>
                <w:sz w:val="24"/>
                <w:szCs w:val="24"/>
              </w:rPr>
              <w:t xml:space="preserve"> and will recommend contaminant mitigation to the appropriate government agencies (e.g., the U.S. Environmental Protection Agency (EPA) and their state equivalent).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Objectives:</w:t>
            </w:r>
          </w:p>
        </w:tc>
        <w:tc>
          <w:tcPr>
            <w:tcW w:w="7128" w:type="dxa"/>
          </w:tcPr>
          <w:p w:rsidR="00977D5F" w:rsidRPr="00977D5F" w:rsidRDefault="00771A77" w:rsidP="00594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="00E04405">
              <w:rPr>
                <w:sz w:val="24"/>
                <w:szCs w:val="24"/>
              </w:rPr>
              <w:t>is exposure investigation will recruit community members</w:t>
            </w:r>
            <w:r w:rsidR="005956AA">
              <w:rPr>
                <w:sz w:val="24"/>
                <w:szCs w:val="24"/>
              </w:rPr>
              <w:t xml:space="preserve"> </w:t>
            </w:r>
            <w:proofErr w:type="gramStart"/>
            <w:r w:rsidR="00245FE8">
              <w:rPr>
                <w:sz w:val="24"/>
                <w:szCs w:val="24"/>
              </w:rPr>
              <w:t>living  within</w:t>
            </w:r>
            <w:proofErr w:type="gramEnd"/>
            <w:r w:rsidR="00245FE8">
              <w:rPr>
                <w:sz w:val="24"/>
                <w:szCs w:val="24"/>
              </w:rPr>
              <w:t xml:space="preserve"> a ½ mile of the former smelter, who are </w:t>
            </w:r>
            <w:r w:rsidR="0063667F">
              <w:rPr>
                <w:sz w:val="24"/>
                <w:szCs w:val="24"/>
              </w:rPr>
              <w:t xml:space="preserve">at highest risk for exposure. </w:t>
            </w:r>
            <w:proofErr w:type="gramStart"/>
            <w:r w:rsidR="0063667F">
              <w:rPr>
                <w:sz w:val="24"/>
                <w:szCs w:val="24"/>
              </w:rPr>
              <w:t>We will</w:t>
            </w:r>
            <w:r w:rsidR="00E04405">
              <w:rPr>
                <w:sz w:val="24"/>
                <w:szCs w:val="24"/>
              </w:rPr>
              <w:t xml:space="preserve"> obtain their assent/consent/parental permission, test blood for lead </w:t>
            </w:r>
            <w:r w:rsidR="00BF1A54">
              <w:rPr>
                <w:sz w:val="24"/>
                <w:szCs w:val="24"/>
              </w:rPr>
              <w:t>in children (aged 9 months to 72 months and aged 6</w:t>
            </w:r>
            <w:r w:rsidR="00594706">
              <w:rPr>
                <w:sz w:val="24"/>
                <w:szCs w:val="24"/>
              </w:rPr>
              <w:t xml:space="preserve"> to 17 years) and women of childbearing age/pregnant women</w:t>
            </w:r>
            <w:r w:rsidR="00BF1A54">
              <w:rPr>
                <w:sz w:val="24"/>
                <w:szCs w:val="24"/>
              </w:rPr>
              <w:t xml:space="preserve">, </w:t>
            </w:r>
            <w:r w:rsidR="00E04405">
              <w:rPr>
                <w:sz w:val="24"/>
                <w:szCs w:val="24"/>
              </w:rPr>
              <w:t xml:space="preserve">and urine </w:t>
            </w:r>
            <w:r w:rsidR="0063667F">
              <w:rPr>
                <w:sz w:val="24"/>
                <w:szCs w:val="24"/>
              </w:rPr>
              <w:t xml:space="preserve">for arsenic in </w:t>
            </w:r>
            <w:r w:rsidR="004B252F">
              <w:rPr>
                <w:sz w:val="24"/>
                <w:szCs w:val="24"/>
              </w:rPr>
              <w:t>children</w:t>
            </w:r>
            <w:r w:rsidR="00BF05F8">
              <w:rPr>
                <w:sz w:val="24"/>
                <w:szCs w:val="24"/>
              </w:rPr>
              <w:t xml:space="preserve"> </w:t>
            </w:r>
            <w:r w:rsidR="00594706">
              <w:rPr>
                <w:sz w:val="24"/>
                <w:szCs w:val="24"/>
              </w:rPr>
              <w:t>(aged 6 to 17 years)</w:t>
            </w:r>
            <w:r w:rsidR="004B252F">
              <w:rPr>
                <w:sz w:val="24"/>
                <w:szCs w:val="24"/>
              </w:rPr>
              <w:t xml:space="preserve"> and </w:t>
            </w:r>
            <w:r w:rsidR="00594706">
              <w:rPr>
                <w:sz w:val="24"/>
                <w:szCs w:val="24"/>
              </w:rPr>
              <w:t>women of childbearing age/</w:t>
            </w:r>
            <w:r w:rsidR="0063667F">
              <w:rPr>
                <w:sz w:val="24"/>
                <w:szCs w:val="24"/>
              </w:rPr>
              <w:t>pregnant women</w:t>
            </w:r>
            <w:r w:rsidR="00E04405">
              <w:rPr>
                <w:sz w:val="24"/>
                <w:szCs w:val="24"/>
              </w:rPr>
              <w:t>; compare</w:t>
            </w:r>
            <w:r w:rsidR="006B5535">
              <w:rPr>
                <w:sz w:val="24"/>
                <w:szCs w:val="24"/>
              </w:rPr>
              <w:t xml:space="preserve"> the results with levels of health concern; provide participants with their individual results and interpretation/recommendations; and write a summary report</w:t>
            </w:r>
            <w:r w:rsidR="00E36E2D">
              <w:rPr>
                <w:sz w:val="24"/>
                <w:szCs w:val="24"/>
              </w:rPr>
              <w:t xml:space="preserve"> (EI report)</w:t>
            </w:r>
            <w:r w:rsidR="006B5535">
              <w:rPr>
                <w:sz w:val="24"/>
                <w:szCs w:val="24"/>
              </w:rPr>
              <w:t>.</w:t>
            </w:r>
            <w:proofErr w:type="gramEnd"/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Sampling to be Completed:</w:t>
            </w:r>
          </w:p>
        </w:tc>
        <w:tc>
          <w:tcPr>
            <w:tcW w:w="7128" w:type="dxa"/>
          </w:tcPr>
          <w:p w:rsidR="00977D5F" w:rsidRPr="00977D5F" w:rsidRDefault="00F32AA2" w:rsidP="0097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Biological Sampling to be Completed:</w:t>
            </w:r>
          </w:p>
        </w:tc>
        <w:tc>
          <w:tcPr>
            <w:tcW w:w="7128" w:type="dxa"/>
          </w:tcPr>
          <w:p w:rsidR="00977D5F" w:rsidRPr="00854A8B" w:rsidRDefault="00F32AA2" w:rsidP="00977D5F">
            <w:pPr>
              <w:rPr>
                <w:sz w:val="24"/>
                <w:szCs w:val="24"/>
                <w:u w:val="single"/>
              </w:rPr>
            </w:pPr>
            <w:r w:rsidRPr="00854A8B">
              <w:rPr>
                <w:sz w:val="24"/>
                <w:szCs w:val="24"/>
                <w:u w:val="single"/>
              </w:rPr>
              <w:t>Blood lead levels in:</w:t>
            </w:r>
          </w:p>
          <w:p w:rsidR="00F32AA2" w:rsidRPr="00F32AA2" w:rsidRDefault="00F32AA2" w:rsidP="00F32AA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aged </w:t>
            </w:r>
            <w:r w:rsidR="00C2426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to 72 months (</w:t>
            </w:r>
            <w:r w:rsidR="005956AA">
              <w:rPr>
                <w:sz w:val="24"/>
                <w:szCs w:val="24"/>
              </w:rPr>
              <w:t xml:space="preserve">up to </w:t>
            </w:r>
            <w:r>
              <w:rPr>
                <w:sz w:val="24"/>
                <w:szCs w:val="24"/>
              </w:rPr>
              <w:t xml:space="preserve">6 years </w:t>
            </w:r>
            <w:r w:rsidR="004B252F">
              <w:rPr>
                <w:sz w:val="24"/>
                <w:szCs w:val="24"/>
              </w:rPr>
              <w:t>of age</w:t>
            </w:r>
            <w:r>
              <w:rPr>
                <w:sz w:val="24"/>
                <w:szCs w:val="24"/>
              </w:rPr>
              <w:t>)</w:t>
            </w:r>
            <w:r w:rsidR="0007663C">
              <w:rPr>
                <w:sz w:val="24"/>
                <w:szCs w:val="24"/>
              </w:rPr>
              <w:t xml:space="preserve"> – 200 </w:t>
            </w:r>
            <w:r w:rsidR="00594706">
              <w:rPr>
                <w:sz w:val="24"/>
                <w:szCs w:val="24"/>
              </w:rPr>
              <w:t>participants</w:t>
            </w:r>
          </w:p>
          <w:p w:rsidR="00EF656A" w:rsidRPr="000F454D" w:rsidRDefault="00F32AA2" w:rsidP="000F454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aged </w:t>
            </w:r>
            <w:r w:rsidR="0007663C">
              <w:rPr>
                <w:sz w:val="24"/>
                <w:szCs w:val="24"/>
              </w:rPr>
              <w:t xml:space="preserve">6 to 17 years </w:t>
            </w:r>
            <w:r w:rsidR="004B252F">
              <w:rPr>
                <w:sz w:val="24"/>
                <w:szCs w:val="24"/>
              </w:rPr>
              <w:t>of age</w:t>
            </w:r>
            <w:r w:rsidR="0007663C">
              <w:rPr>
                <w:sz w:val="24"/>
                <w:szCs w:val="24"/>
              </w:rPr>
              <w:t xml:space="preserve"> </w:t>
            </w:r>
            <w:r w:rsidR="0063667F">
              <w:rPr>
                <w:sz w:val="24"/>
                <w:szCs w:val="24"/>
              </w:rPr>
              <w:t xml:space="preserve">and </w:t>
            </w:r>
            <w:r w:rsidR="00594706">
              <w:rPr>
                <w:sz w:val="24"/>
                <w:szCs w:val="24"/>
              </w:rPr>
              <w:t>women of childbearing age/</w:t>
            </w:r>
            <w:r w:rsidR="00245FE8">
              <w:rPr>
                <w:sz w:val="24"/>
                <w:szCs w:val="24"/>
              </w:rPr>
              <w:t>p</w:t>
            </w:r>
            <w:r w:rsidR="00EF656A" w:rsidRPr="000F454D">
              <w:rPr>
                <w:sz w:val="24"/>
                <w:szCs w:val="24"/>
              </w:rPr>
              <w:t>regnant women</w:t>
            </w:r>
            <w:r w:rsidR="0007663C" w:rsidRPr="000F454D">
              <w:rPr>
                <w:sz w:val="24"/>
                <w:szCs w:val="24"/>
              </w:rPr>
              <w:t xml:space="preserve"> </w:t>
            </w:r>
            <w:r w:rsidR="00B348E2">
              <w:rPr>
                <w:sz w:val="24"/>
                <w:szCs w:val="24"/>
              </w:rPr>
              <w:t xml:space="preserve">(15 to 44 years) </w:t>
            </w:r>
            <w:r w:rsidR="0007663C" w:rsidRPr="000F454D">
              <w:rPr>
                <w:sz w:val="24"/>
                <w:szCs w:val="24"/>
              </w:rPr>
              <w:t xml:space="preserve">– </w:t>
            </w:r>
            <w:r w:rsidR="0063667F">
              <w:rPr>
                <w:sz w:val="24"/>
                <w:szCs w:val="24"/>
              </w:rPr>
              <w:t xml:space="preserve">total of </w:t>
            </w:r>
            <w:r w:rsidR="0007663C" w:rsidRPr="000F454D">
              <w:rPr>
                <w:sz w:val="24"/>
                <w:szCs w:val="24"/>
              </w:rPr>
              <w:t xml:space="preserve">100 </w:t>
            </w:r>
            <w:r w:rsidR="00594706">
              <w:rPr>
                <w:sz w:val="24"/>
                <w:szCs w:val="24"/>
              </w:rPr>
              <w:t>participants</w:t>
            </w:r>
            <w:r w:rsidR="0063667F">
              <w:rPr>
                <w:sz w:val="24"/>
                <w:szCs w:val="24"/>
              </w:rPr>
              <w:t xml:space="preserve"> between these two groups</w:t>
            </w:r>
          </w:p>
          <w:p w:rsidR="00EF656A" w:rsidRPr="00854A8B" w:rsidRDefault="00EF656A" w:rsidP="00EF656A">
            <w:pPr>
              <w:rPr>
                <w:sz w:val="24"/>
                <w:szCs w:val="24"/>
                <w:u w:val="single"/>
              </w:rPr>
            </w:pPr>
            <w:r w:rsidRPr="00854A8B">
              <w:rPr>
                <w:sz w:val="24"/>
                <w:szCs w:val="24"/>
                <w:u w:val="single"/>
              </w:rPr>
              <w:t>Arsenic in urine in:</w:t>
            </w:r>
          </w:p>
          <w:p w:rsidR="00EF656A" w:rsidRPr="00EF656A" w:rsidRDefault="00EF656A" w:rsidP="00594706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 aged</w:t>
            </w:r>
            <w:r w:rsidR="00446811">
              <w:rPr>
                <w:sz w:val="24"/>
                <w:szCs w:val="24"/>
              </w:rPr>
              <w:t xml:space="preserve"> 6 to 17 years old</w:t>
            </w:r>
            <w:r w:rsidR="0007663C">
              <w:rPr>
                <w:sz w:val="24"/>
                <w:szCs w:val="24"/>
              </w:rPr>
              <w:t xml:space="preserve"> </w:t>
            </w:r>
            <w:r w:rsidR="0063667F">
              <w:rPr>
                <w:sz w:val="24"/>
                <w:szCs w:val="24"/>
              </w:rPr>
              <w:t xml:space="preserve"> and </w:t>
            </w:r>
            <w:r w:rsidR="00594706">
              <w:rPr>
                <w:sz w:val="24"/>
                <w:szCs w:val="24"/>
              </w:rPr>
              <w:t>women of childbearing age/</w:t>
            </w:r>
            <w:r w:rsidR="00245FE8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regnant women</w:t>
            </w:r>
            <w:r w:rsidR="00B65000">
              <w:rPr>
                <w:sz w:val="24"/>
                <w:szCs w:val="24"/>
              </w:rPr>
              <w:t xml:space="preserve"> </w:t>
            </w:r>
            <w:r w:rsidR="00B348E2">
              <w:rPr>
                <w:sz w:val="24"/>
                <w:szCs w:val="24"/>
              </w:rPr>
              <w:t xml:space="preserve">(15 to 44 years) </w:t>
            </w:r>
            <w:r w:rsidR="0007663C">
              <w:rPr>
                <w:sz w:val="24"/>
                <w:szCs w:val="24"/>
              </w:rPr>
              <w:t xml:space="preserve"> – </w:t>
            </w:r>
            <w:r w:rsidR="0063667F">
              <w:rPr>
                <w:sz w:val="24"/>
                <w:szCs w:val="24"/>
              </w:rPr>
              <w:t xml:space="preserve">total of </w:t>
            </w:r>
            <w:r w:rsidR="0007663C">
              <w:rPr>
                <w:sz w:val="24"/>
                <w:szCs w:val="24"/>
              </w:rPr>
              <w:t xml:space="preserve">100 </w:t>
            </w:r>
            <w:r w:rsidR="00594706">
              <w:rPr>
                <w:sz w:val="24"/>
                <w:szCs w:val="24"/>
              </w:rPr>
              <w:t>participants</w:t>
            </w:r>
            <w:r w:rsidR="0063667F">
              <w:rPr>
                <w:sz w:val="24"/>
                <w:szCs w:val="24"/>
              </w:rPr>
              <w:t xml:space="preserve"> between these two groups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Data Collection and Analysis Procedures:</w:t>
            </w:r>
          </w:p>
        </w:tc>
        <w:tc>
          <w:tcPr>
            <w:tcW w:w="7128" w:type="dxa"/>
          </w:tcPr>
          <w:p w:rsidR="00B65000" w:rsidRDefault="00B65000" w:rsidP="00977D5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Recruitment of Participants:</w:t>
            </w:r>
          </w:p>
          <w:p w:rsidR="00B65000" w:rsidRPr="00B65000" w:rsidRDefault="00B65000" w:rsidP="0097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There are two neighborhoods located within one-half mile of the former smelter location.  These neighborhoods </w:t>
            </w:r>
            <w:proofErr w:type="gramStart"/>
            <w:r>
              <w:rPr>
                <w:sz w:val="24"/>
                <w:szCs w:val="24"/>
              </w:rPr>
              <w:t>will be canvased</w:t>
            </w:r>
            <w:proofErr w:type="gramEnd"/>
            <w:r>
              <w:rPr>
                <w:sz w:val="24"/>
                <w:szCs w:val="24"/>
              </w:rPr>
              <w:t xml:space="preserve"> and participants will be identified from these neighborhoods.  As discussed above, the EI will target identification of 200 children aged 9 to 72 months for testing of lead in blood.  In addition, blood lead and urin</w:t>
            </w:r>
            <w:r w:rsidR="003D408F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arsenic will be tested in children between age 6 and 17 years and women of </w:t>
            </w:r>
            <w:proofErr w:type="gramStart"/>
            <w:r>
              <w:rPr>
                <w:sz w:val="24"/>
                <w:szCs w:val="24"/>
              </w:rPr>
              <w:t>child-bearing</w:t>
            </w:r>
            <w:proofErr w:type="gramEnd"/>
            <w:r>
              <w:rPr>
                <w:sz w:val="24"/>
                <w:szCs w:val="24"/>
              </w:rPr>
              <w:t xml:space="preserve"> age/pregnant women.  We will be </w:t>
            </w:r>
            <w:r w:rsidR="003A2015">
              <w:rPr>
                <w:sz w:val="24"/>
                <w:szCs w:val="24"/>
              </w:rPr>
              <w:t xml:space="preserve">targeting </w:t>
            </w:r>
            <w:proofErr w:type="gramStart"/>
            <w:r w:rsidR="003A2015">
              <w:rPr>
                <w:sz w:val="24"/>
                <w:szCs w:val="24"/>
              </w:rPr>
              <w:t>a total of 100</w:t>
            </w:r>
            <w:proofErr w:type="gramEnd"/>
            <w:r w:rsidR="003A2015">
              <w:rPr>
                <w:sz w:val="24"/>
                <w:szCs w:val="24"/>
              </w:rPr>
              <w:t xml:space="preserve"> people between these two groups.</w:t>
            </w:r>
          </w:p>
          <w:p w:rsidR="00977D5F" w:rsidRPr="00BA4320" w:rsidRDefault="006C2E1C" w:rsidP="00977D5F">
            <w:pPr>
              <w:rPr>
                <w:sz w:val="24"/>
                <w:szCs w:val="24"/>
                <w:u w:val="single"/>
              </w:rPr>
            </w:pPr>
            <w:r w:rsidRPr="00BA4320">
              <w:rPr>
                <w:sz w:val="24"/>
                <w:szCs w:val="24"/>
                <w:u w:val="single"/>
              </w:rPr>
              <w:t>Collection:</w:t>
            </w:r>
          </w:p>
          <w:p w:rsidR="00854A8B" w:rsidRDefault="00854A8B" w:rsidP="00B2200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aged 9 to 72 months </w:t>
            </w:r>
            <w:proofErr w:type="gramStart"/>
            <w:r>
              <w:rPr>
                <w:sz w:val="24"/>
                <w:szCs w:val="24"/>
              </w:rPr>
              <w:t>will only be tested</w:t>
            </w:r>
            <w:proofErr w:type="gramEnd"/>
            <w:r>
              <w:rPr>
                <w:sz w:val="24"/>
                <w:szCs w:val="24"/>
              </w:rPr>
              <w:t xml:space="preserve"> for blood lead.</w:t>
            </w:r>
          </w:p>
          <w:p w:rsidR="00854A8B" w:rsidRDefault="00854A8B" w:rsidP="00B2200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aged 6 to 17 years and </w:t>
            </w:r>
            <w:r w:rsidR="00594706">
              <w:rPr>
                <w:sz w:val="24"/>
                <w:szCs w:val="24"/>
              </w:rPr>
              <w:t>women of childbearing age/</w:t>
            </w:r>
            <w:r>
              <w:rPr>
                <w:sz w:val="24"/>
                <w:szCs w:val="24"/>
              </w:rPr>
              <w:t xml:space="preserve">pregnant women </w:t>
            </w:r>
            <w:r w:rsidR="00B348E2">
              <w:rPr>
                <w:sz w:val="24"/>
                <w:szCs w:val="24"/>
              </w:rPr>
              <w:t xml:space="preserve">(15 to 44 years) </w:t>
            </w:r>
            <w:proofErr w:type="gramStart"/>
            <w:r>
              <w:rPr>
                <w:sz w:val="24"/>
                <w:szCs w:val="24"/>
              </w:rPr>
              <w:t>will be tested</w:t>
            </w:r>
            <w:proofErr w:type="gramEnd"/>
            <w:r>
              <w:rPr>
                <w:sz w:val="24"/>
                <w:szCs w:val="24"/>
              </w:rPr>
              <w:t xml:space="preserve"> for both blood lead and urine arsenic.</w:t>
            </w:r>
          </w:p>
          <w:p w:rsidR="00E27222" w:rsidRDefault="00134B62" w:rsidP="00B2200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Supporting Statements A and B for the OMB EI </w:t>
            </w:r>
            <w:proofErr w:type="gramStart"/>
            <w:r>
              <w:rPr>
                <w:sz w:val="24"/>
                <w:szCs w:val="24"/>
              </w:rPr>
              <w:t>are provided</w:t>
            </w:r>
            <w:proofErr w:type="gramEnd"/>
            <w:r>
              <w:rPr>
                <w:sz w:val="24"/>
                <w:szCs w:val="24"/>
              </w:rPr>
              <w:t xml:space="preserve"> in Attachments 1 and 2.  The Supporting Statements outline the EI </w:t>
            </w:r>
            <w:r w:rsidR="008529CA">
              <w:rPr>
                <w:sz w:val="24"/>
                <w:szCs w:val="24"/>
              </w:rPr>
              <w:t xml:space="preserve">data collection and analysis </w:t>
            </w:r>
            <w:r>
              <w:rPr>
                <w:sz w:val="24"/>
                <w:szCs w:val="24"/>
              </w:rPr>
              <w:t>procedures.</w:t>
            </w:r>
          </w:p>
          <w:p w:rsidR="0076482D" w:rsidRDefault="0076482D" w:rsidP="00B2200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participants will </w:t>
            </w:r>
            <w:proofErr w:type="gramStart"/>
            <w:r>
              <w:rPr>
                <w:sz w:val="24"/>
                <w:szCs w:val="24"/>
              </w:rPr>
              <w:t>be provided</w:t>
            </w:r>
            <w:proofErr w:type="gramEnd"/>
            <w:r>
              <w:rPr>
                <w:sz w:val="24"/>
                <w:szCs w:val="24"/>
              </w:rPr>
              <w:t xml:space="preserve"> a</w:t>
            </w:r>
            <w:r w:rsidR="006C23C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</w:t>
            </w:r>
            <w:r w:rsidR="00854A8B">
              <w:rPr>
                <w:sz w:val="24"/>
                <w:szCs w:val="24"/>
              </w:rPr>
              <w:t>assent/consent/parental permission</w:t>
            </w:r>
            <w:r>
              <w:rPr>
                <w:sz w:val="24"/>
                <w:szCs w:val="24"/>
              </w:rPr>
              <w:t xml:space="preserve"> form to sign (</w:t>
            </w:r>
            <w:r w:rsidR="00E27222">
              <w:rPr>
                <w:sz w:val="24"/>
                <w:szCs w:val="24"/>
              </w:rPr>
              <w:t xml:space="preserve">Attachment </w:t>
            </w:r>
            <w:r w:rsidR="00B348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) and will be asked </w:t>
            </w:r>
            <w:r w:rsidR="00E27222">
              <w:rPr>
                <w:sz w:val="24"/>
                <w:szCs w:val="24"/>
              </w:rPr>
              <w:t xml:space="preserve">questions to allow a better interpretation of the results.  The questionnaire to </w:t>
            </w:r>
            <w:proofErr w:type="gramStart"/>
            <w:r w:rsidR="00E27222">
              <w:rPr>
                <w:sz w:val="24"/>
                <w:szCs w:val="24"/>
              </w:rPr>
              <w:t>be used</w:t>
            </w:r>
            <w:proofErr w:type="gramEnd"/>
            <w:r w:rsidR="00E27222">
              <w:rPr>
                <w:sz w:val="24"/>
                <w:szCs w:val="24"/>
              </w:rPr>
              <w:t xml:space="preserve"> in the EI is attached (Attachment </w:t>
            </w:r>
            <w:r w:rsidR="00B348E2">
              <w:rPr>
                <w:sz w:val="24"/>
                <w:szCs w:val="24"/>
              </w:rPr>
              <w:t>4</w:t>
            </w:r>
            <w:r w:rsidR="00E27222">
              <w:rPr>
                <w:sz w:val="24"/>
                <w:szCs w:val="24"/>
              </w:rPr>
              <w:t>).</w:t>
            </w:r>
            <w:r w:rsidR="00854A8B">
              <w:rPr>
                <w:sz w:val="24"/>
                <w:szCs w:val="24"/>
              </w:rPr>
              <w:t xml:space="preserve">  </w:t>
            </w:r>
          </w:p>
          <w:p w:rsidR="001C2596" w:rsidRPr="00B348E2" w:rsidRDefault="001C2596" w:rsidP="00996E9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AC57A7">
              <w:rPr>
                <w:sz w:val="24"/>
                <w:szCs w:val="24"/>
              </w:rPr>
              <w:t xml:space="preserve">human </w:t>
            </w:r>
            <w:proofErr w:type="gramStart"/>
            <w:r w:rsidR="00AC57A7">
              <w:rPr>
                <w:sz w:val="24"/>
                <w:szCs w:val="24"/>
              </w:rPr>
              <w:t>subjects</w:t>
            </w:r>
            <w:proofErr w:type="gramEnd"/>
            <w:r>
              <w:rPr>
                <w:sz w:val="24"/>
                <w:szCs w:val="24"/>
              </w:rPr>
              <w:t xml:space="preserve"> documentation is provided in Attachment </w:t>
            </w:r>
            <w:r w:rsidR="00B348E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 </w:t>
            </w:r>
            <w:r w:rsidR="00245FE8">
              <w:rPr>
                <w:sz w:val="24"/>
                <w:szCs w:val="24"/>
              </w:rPr>
              <w:t>The EI</w:t>
            </w:r>
            <w:r w:rsidRPr="001C2596">
              <w:rPr>
                <w:sz w:val="24"/>
                <w:szCs w:val="24"/>
              </w:rPr>
              <w:t xml:space="preserve"> </w:t>
            </w:r>
            <w:proofErr w:type="gramStart"/>
            <w:r w:rsidRPr="001C2596">
              <w:rPr>
                <w:sz w:val="24"/>
                <w:szCs w:val="24"/>
              </w:rPr>
              <w:t>is not considered</w:t>
            </w:r>
            <w:proofErr w:type="gramEnd"/>
            <w:r w:rsidRPr="001C2596">
              <w:rPr>
                <w:sz w:val="24"/>
                <w:szCs w:val="24"/>
              </w:rPr>
              <w:t xml:space="preserve"> a research study</w:t>
            </w:r>
            <w:r w:rsidR="008529CA">
              <w:rPr>
                <w:sz w:val="24"/>
                <w:szCs w:val="24"/>
              </w:rPr>
              <w:t>;</w:t>
            </w:r>
            <w:r w:rsidRPr="001C2596">
              <w:rPr>
                <w:sz w:val="24"/>
                <w:szCs w:val="24"/>
              </w:rPr>
              <w:t xml:space="preserve"> </w:t>
            </w:r>
            <w:r w:rsidR="008529CA">
              <w:rPr>
                <w:sz w:val="24"/>
                <w:szCs w:val="24"/>
              </w:rPr>
              <w:t>i</w:t>
            </w:r>
            <w:r w:rsidRPr="001C2596">
              <w:rPr>
                <w:sz w:val="24"/>
                <w:szCs w:val="24"/>
              </w:rPr>
              <w:t>ts primary intent is public health practice</w:t>
            </w:r>
            <w:r>
              <w:rPr>
                <w:sz w:val="24"/>
                <w:szCs w:val="24"/>
              </w:rPr>
              <w:t>.</w:t>
            </w:r>
          </w:p>
          <w:p w:rsidR="006C2E1C" w:rsidRDefault="00B22001" w:rsidP="00B2200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samples </w:t>
            </w:r>
            <w:proofErr w:type="gramStart"/>
            <w:r>
              <w:rPr>
                <w:sz w:val="24"/>
                <w:szCs w:val="24"/>
              </w:rPr>
              <w:t>will be obtained</w:t>
            </w:r>
            <w:proofErr w:type="gramEnd"/>
            <w:r>
              <w:rPr>
                <w:sz w:val="24"/>
                <w:szCs w:val="24"/>
              </w:rPr>
              <w:t xml:space="preserve"> using </w:t>
            </w:r>
            <w:r w:rsidR="0076482D">
              <w:rPr>
                <w:sz w:val="24"/>
                <w:szCs w:val="24"/>
              </w:rPr>
              <w:t>certified phlebotomists</w:t>
            </w:r>
            <w:r w:rsidR="005202A1">
              <w:rPr>
                <w:sz w:val="24"/>
                <w:szCs w:val="24"/>
              </w:rPr>
              <w:t xml:space="preserve"> at a designated location within the community</w:t>
            </w:r>
            <w:r w:rsidR="0076482D">
              <w:rPr>
                <w:sz w:val="24"/>
                <w:szCs w:val="24"/>
              </w:rPr>
              <w:t xml:space="preserve">.  ATSDR personnel will pack and ship the samples </w:t>
            </w:r>
            <w:r w:rsidR="00D3577B">
              <w:rPr>
                <w:sz w:val="24"/>
                <w:szCs w:val="24"/>
              </w:rPr>
              <w:t xml:space="preserve">overnight </w:t>
            </w:r>
            <w:r w:rsidR="0076482D">
              <w:rPr>
                <w:sz w:val="24"/>
                <w:szCs w:val="24"/>
              </w:rPr>
              <w:t xml:space="preserve">to the </w:t>
            </w:r>
            <w:r w:rsidR="00D3577B">
              <w:rPr>
                <w:sz w:val="24"/>
                <w:szCs w:val="24"/>
              </w:rPr>
              <w:t xml:space="preserve">NCEH </w:t>
            </w:r>
            <w:r w:rsidR="0076482D">
              <w:rPr>
                <w:sz w:val="24"/>
                <w:szCs w:val="24"/>
              </w:rPr>
              <w:t>laboratory</w:t>
            </w:r>
            <w:r w:rsidR="006C23C0">
              <w:rPr>
                <w:sz w:val="24"/>
                <w:szCs w:val="24"/>
              </w:rPr>
              <w:t xml:space="preserve"> from the blood collection site</w:t>
            </w:r>
            <w:r w:rsidR="0076482D">
              <w:rPr>
                <w:sz w:val="24"/>
                <w:szCs w:val="24"/>
              </w:rPr>
              <w:t>.</w:t>
            </w:r>
          </w:p>
          <w:p w:rsidR="00E36E2D" w:rsidRDefault="005202A1" w:rsidP="000F454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</w:t>
            </w:r>
            <w:proofErr w:type="gramStart"/>
            <w:r>
              <w:rPr>
                <w:sz w:val="24"/>
                <w:szCs w:val="24"/>
              </w:rPr>
              <w:t>will be given</w:t>
            </w:r>
            <w:proofErr w:type="gramEnd"/>
            <w:r>
              <w:rPr>
                <w:sz w:val="24"/>
                <w:szCs w:val="24"/>
              </w:rPr>
              <w:t xml:space="preserve"> a </w:t>
            </w:r>
            <w:r w:rsidR="00D3577B">
              <w:rPr>
                <w:sz w:val="24"/>
                <w:szCs w:val="24"/>
              </w:rPr>
              <w:t>specimen cup</w:t>
            </w:r>
            <w:r>
              <w:rPr>
                <w:sz w:val="24"/>
                <w:szCs w:val="24"/>
              </w:rPr>
              <w:t xml:space="preserve"> for urine</w:t>
            </w:r>
            <w:r w:rsidR="00D3577B">
              <w:rPr>
                <w:sz w:val="24"/>
                <w:szCs w:val="24"/>
              </w:rPr>
              <w:t xml:space="preserve"> void collection</w:t>
            </w:r>
            <w:r w:rsidR="00E36E2D">
              <w:rPr>
                <w:sz w:val="24"/>
                <w:szCs w:val="24"/>
              </w:rPr>
              <w:t xml:space="preserve"> when they are recruited</w:t>
            </w:r>
            <w:r>
              <w:rPr>
                <w:sz w:val="24"/>
                <w:szCs w:val="24"/>
              </w:rPr>
              <w:t xml:space="preserve">.  </w:t>
            </w:r>
            <w:r w:rsidR="007B53F4">
              <w:rPr>
                <w:sz w:val="24"/>
                <w:szCs w:val="24"/>
              </w:rPr>
              <w:t xml:space="preserve">They </w:t>
            </w:r>
            <w:proofErr w:type="gramStart"/>
            <w:r w:rsidR="007B53F4">
              <w:rPr>
                <w:sz w:val="24"/>
                <w:szCs w:val="24"/>
              </w:rPr>
              <w:t>will be asked</w:t>
            </w:r>
            <w:proofErr w:type="gramEnd"/>
            <w:r w:rsidR="007B53F4">
              <w:rPr>
                <w:sz w:val="24"/>
                <w:szCs w:val="24"/>
              </w:rPr>
              <w:t xml:space="preserve"> to collect a </w:t>
            </w:r>
            <w:r w:rsidR="00E36E2D">
              <w:rPr>
                <w:sz w:val="24"/>
                <w:szCs w:val="24"/>
              </w:rPr>
              <w:t xml:space="preserve">spot </w:t>
            </w:r>
            <w:r w:rsidR="007B53F4">
              <w:rPr>
                <w:sz w:val="24"/>
                <w:szCs w:val="24"/>
              </w:rPr>
              <w:t>sample</w:t>
            </w:r>
            <w:r w:rsidR="006C23C0">
              <w:rPr>
                <w:sz w:val="24"/>
                <w:szCs w:val="24"/>
              </w:rPr>
              <w:t xml:space="preserve"> of urine</w:t>
            </w:r>
            <w:r w:rsidR="007B53F4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>the morning of the</w:t>
            </w:r>
            <w:r w:rsidR="007B53F4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 xml:space="preserve">appointment date to collect </w:t>
            </w:r>
            <w:r w:rsidR="006C23C0">
              <w:rPr>
                <w:sz w:val="24"/>
                <w:szCs w:val="24"/>
              </w:rPr>
              <w:t>blood</w:t>
            </w:r>
            <w:r w:rsidR="007B53F4">
              <w:rPr>
                <w:sz w:val="24"/>
                <w:szCs w:val="24"/>
              </w:rPr>
              <w:t>.   EI</w:t>
            </w:r>
            <w:r w:rsidR="00EF6EF2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 xml:space="preserve">personnel will </w:t>
            </w:r>
            <w:r>
              <w:rPr>
                <w:sz w:val="24"/>
                <w:szCs w:val="24"/>
              </w:rPr>
              <w:t xml:space="preserve">pack </w:t>
            </w:r>
            <w:r w:rsidR="00EF6EF2">
              <w:rPr>
                <w:sz w:val="24"/>
                <w:szCs w:val="24"/>
              </w:rPr>
              <w:t>and ship the</w:t>
            </w:r>
            <w:r w:rsidR="006C23C0">
              <w:rPr>
                <w:sz w:val="24"/>
                <w:szCs w:val="24"/>
              </w:rPr>
              <w:t xml:space="preserve"> samples</w:t>
            </w:r>
            <w:r w:rsidR="00EF6EF2">
              <w:rPr>
                <w:sz w:val="24"/>
                <w:szCs w:val="24"/>
              </w:rPr>
              <w:t xml:space="preserve"> </w:t>
            </w:r>
            <w:r w:rsidR="00E36E2D">
              <w:rPr>
                <w:sz w:val="24"/>
                <w:szCs w:val="24"/>
              </w:rPr>
              <w:t xml:space="preserve">overnight </w:t>
            </w:r>
            <w:r w:rsidR="006C23C0">
              <w:rPr>
                <w:sz w:val="24"/>
                <w:szCs w:val="24"/>
              </w:rPr>
              <w:t xml:space="preserve">to the NCEH laboratory </w:t>
            </w:r>
            <w:r w:rsidR="00EF6EF2">
              <w:rPr>
                <w:sz w:val="24"/>
                <w:szCs w:val="24"/>
              </w:rPr>
              <w:t>from the blood collection site.</w:t>
            </w:r>
            <w:r w:rsidR="00EF6EF2" w:rsidDel="00EF6EF2">
              <w:rPr>
                <w:sz w:val="24"/>
                <w:szCs w:val="24"/>
              </w:rPr>
              <w:t xml:space="preserve"> </w:t>
            </w:r>
          </w:p>
          <w:p w:rsidR="006C2E1C" w:rsidRPr="000F454D" w:rsidRDefault="006C2E1C" w:rsidP="006C23C0">
            <w:pPr>
              <w:rPr>
                <w:sz w:val="24"/>
                <w:szCs w:val="24"/>
                <w:u w:val="single"/>
              </w:rPr>
            </w:pPr>
            <w:r w:rsidRPr="000F454D">
              <w:rPr>
                <w:sz w:val="24"/>
                <w:szCs w:val="24"/>
                <w:u w:val="single"/>
              </w:rPr>
              <w:t>Analysis:</w:t>
            </w:r>
          </w:p>
          <w:p w:rsidR="006C2E1C" w:rsidRDefault="006C2E1C" w:rsidP="006C2E1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blood and urine samples will be </w:t>
            </w:r>
            <w:r w:rsidR="00BA09ED">
              <w:rPr>
                <w:sz w:val="24"/>
                <w:szCs w:val="24"/>
              </w:rPr>
              <w:t>analy</w:t>
            </w:r>
            <w:r w:rsidR="00E36E2D">
              <w:rPr>
                <w:sz w:val="24"/>
                <w:szCs w:val="24"/>
              </w:rPr>
              <w:t>z</w:t>
            </w:r>
            <w:r w:rsidR="00BA09ED">
              <w:rPr>
                <w:sz w:val="24"/>
                <w:szCs w:val="24"/>
              </w:rPr>
              <w:t xml:space="preserve">ed </w:t>
            </w:r>
            <w:r>
              <w:rPr>
                <w:sz w:val="24"/>
                <w:szCs w:val="24"/>
              </w:rPr>
              <w:t xml:space="preserve">by the NCEH laboratory </w:t>
            </w:r>
            <w:r w:rsidR="00AC47D1">
              <w:rPr>
                <w:sz w:val="24"/>
                <w:szCs w:val="24"/>
              </w:rPr>
              <w:t>using state-of-art laboratory methods</w:t>
            </w:r>
          </w:p>
          <w:p w:rsidR="00AC47D1" w:rsidRPr="006C2E1C" w:rsidRDefault="00AC47D1" w:rsidP="006C2E1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arsenic in urine will be </w:t>
            </w:r>
            <w:proofErr w:type="spellStart"/>
            <w:r>
              <w:rPr>
                <w:sz w:val="24"/>
                <w:szCs w:val="24"/>
              </w:rPr>
              <w:t>speciated</w:t>
            </w:r>
            <w:proofErr w:type="spellEnd"/>
            <w:r w:rsidR="00B22001">
              <w:rPr>
                <w:sz w:val="24"/>
                <w:szCs w:val="24"/>
              </w:rPr>
              <w:t xml:space="preserve"> if arsenic levels exceed </w:t>
            </w:r>
            <w:proofErr w:type="gramStart"/>
            <w:r w:rsidR="00B22001">
              <w:rPr>
                <w:sz w:val="24"/>
                <w:szCs w:val="24"/>
              </w:rPr>
              <w:t xml:space="preserve">50 </w:t>
            </w:r>
            <w:proofErr w:type="spellStart"/>
            <w:r w:rsidR="00B22001">
              <w:rPr>
                <w:sz w:val="24"/>
                <w:szCs w:val="24"/>
              </w:rPr>
              <w:t>ug</w:t>
            </w:r>
            <w:proofErr w:type="spellEnd"/>
            <w:r w:rsidR="00B22001">
              <w:rPr>
                <w:sz w:val="24"/>
                <w:szCs w:val="24"/>
              </w:rPr>
              <w:t>/L.</w:t>
            </w:r>
            <w:proofErr w:type="gramEnd"/>
          </w:p>
          <w:p w:rsidR="006C2E1C" w:rsidRPr="00977D5F" w:rsidRDefault="006C2E1C" w:rsidP="00977D5F">
            <w:pPr>
              <w:rPr>
                <w:sz w:val="24"/>
                <w:szCs w:val="24"/>
              </w:rPr>
            </w:pP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Collection Mode (in-person or remote):</w:t>
            </w:r>
          </w:p>
        </w:tc>
        <w:tc>
          <w:tcPr>
            <w:tcW w:w="7128" w:type="dxa"/>
          </w:tcPr>
          <w:p w:rsidR="00977D5F" w:rsidRPr="00977D5F" w:rsidRDefault="00446811" w:rsidP="0097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Payment to Participant (if applicable):</w:t>
            </w:r>
          </w:p>
        </w:tc>
        <w:tc>
          <w:tcPr>
            <w:tcW w:w="7128" w:type="dxa"/>
          </w:tcPr>
          <w:p w:rsidR="00977D5F" w:rsidRPr="00977D5F" w:rsidRDefault="00446811" w:rsidP="0097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Applicable</w:t>
            </w:r>
          </w:p>
        </w:tc>
      </w:tr>
      <w:tr w:rsidR="00977D5F" w:rsidTr="00977D5F">
        <w:tc>
          <w:tcPr>
            <w:tcW w:w="3168" w:type="dxa"/>
          </w:tcPr>
          <w:p w:rsidR="00977D5F" w:rsidRDefault="00DD64AD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Privacy</w:t>
            </w:r>
            <w:r w:rsidR="00977D5F">
              <w:rPr>
                <w:b/>
                <w:sz w:val="24"/>
                <w:szCs w:val="24"/>
              </w:rPr>
              <w:t xml:space="preserve"> Protections:</w:t>
            </w:r>
          </w:p>
        </w:tc>
        <w:tc>
          <w:tcPr>
            <w:tcW w:w="7128" w:type="dxa"/>
          </w:tcPr>
          <w:p w:rsidR="00977D5F" w:rsidRPr="00977D5F" w:rsidRDefault="00DD64AD" w:rsidP="00DD6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</w:t>
            </w:r>
            <w:r w:rsidR="00446811">
              <w:rPr>
                <w:sz w:val="24"/>
                <w:szCs w:val="24"/>
              </w:rPr>
              <w:t xml:space="preserve"> will be protected </w:t>
            </w:r>
            <w:proofErr w:type="gramStart"/>
            <w:r w:rsidR="00446811">
              <w:rPr>
                <w:sz w:val="24"/>
                <w:szCs w:val="24"/>
              </w:rPr>
              <w:t>to the fullest extent</w:t>
            </w:r>
            <w:proofErr w:type="gramEnd"/>
            <w:r w:rsidR="00446811">
              <w:rPr>
                <w:sz w:val="24"/>
                <w:szCs w:val="24"/>
              </w:rPr>
              <w:t xml:space="preserve"> of the law.  </w:t>
            </w:r>
            <w:r w:rsidR="00797694" w:rsidRPr="000F454D">
              <w:rPr>
                <w:sz w:val="24"/>
                <w:szCs w:val="24"/>
              </w:rPr>
              <w:t xml:space="preserve">The consent </w:t>
            </w:r>
            <w:r w:rsidR="00797694" w:rsidRPr="000F454D">
              <w:rPr>
                <w:sz w:val="24"/>
                <w:szCs w:val="24"/>
              </w:rPr>
              <w:lastRenderedPageBreak/>
              <w:t xml:space="preserve">forms contain information about </w:t>
            </w:r>
            <w:r>
              <w:rPr>
                <w:sz w:val="24"/>
                <w:szCs w:val="24"/>
              </w:rPr>
              <w:t>privacy</w:t>
            </w:r>
            <w:r w:rsidR="00797694" w:rsidRPr="000F454D">
              <w:rPr>
                <w:sz w:val="24"/>
                <w:szCs w:val="24"/>
              </w:rPr>
              <w:t xml:space="preserve"> expectations.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Other Ethical Concerns/Issues:</w:t>
            </w:r>
          </w:p>
        </w:tc>
        <w:tc>
          <w:tcPr>
            <w:tcW w:w="7128" w:type="dxa"/>
          </w:tcPr>
          <w:p w:rsidR="00977D5F" w:rsidRPr="00977D5F" w:rsidRDefault="00C2426C" w:rsidP="006C2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Blood </w:t>
            </w:r>
            <w:proofErr w:type="gramStart"/>
            <w:r>
              <w:rPr>
                <w:sz w:val="24"/>
                <w:szCs w:val="24"/>
              </w:rPr>
              <w:t>will be drawn</w:t>
            </w:r>
            <w:proofErr w:type="gramEnd"/>
            <w:r>
              <w:rPr>
                <w:sz w:val="24"/>
                <w:szCs w:val="24"/>
              </w:rPr>
              <w:t xml:space="preserve"> from children </w:t>
            </w:r>
            <w:r w:rsidR="006C23C0">
              <w:rPr>
                <w:sz w:val="24"/>
                <w:szCs w:val="24"/>
              </w:rPr>
              <w:t>and adults, which may</w:t>
            </w:r>
            <w:r>
              <w:rPr>
                <w:sz w:val="24"/>
                <w:szCs w:val="24"/>
              </w:rPr>
              <w:t xml:space="preserve"> cause some fear </w:t>
            </w:r>
            <w:r w:rsidR="006C23C0">
              <w:rPr>
                <w:sz w:val="24"/>
                <w:szCs w:val="24"/>
              </w:rPr>
              <w:t xml:space="preserve">and discomfort </w:t>
            </w:r>
            <w:r w:rsidR="00245FE8">
              <w:rPr>
                <w:sz w:val="24"/>
                <w:szCs w:val="24"/>
              </w:rPr>
              <w:t xml:space="preserve">for </w:t>
            </w:r>
            <w:r w:rsidR="006C23C0">
              <w:rPr>
                <w:sz w:val="24"/>
                <w:szCs w:val="24"/>
              </w:rPr>
              <w:t>the participants</w:t>
            </w:r>
            <w:r>
              <w:rPr>
                <w:sz w:val="24"/>
                <w:szCs w:val="24"/>
              </w:rPr>
              <w:t>.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Projected Time Frame:</w:t>
            </w:r>
          </w:p>
        </w:tc>
        <w:tc>
          <w:tcPr>
            <w:tcW w:w="7128" w:type="dxa"/>
          </w:tcPr>
          <w:p w:rsidR="00977D5F" w:rsidRDefault="005202A1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53447F">
              <w:rPr>
                <w:sz w:val="24"/>
                <w:szCs w:val="24"/>
              </w:rPr>
              <w:t xml:space="preserve">The EI </w:t>
            </w:r>
            <w:proofErr w:type="gramStart"/>
            <w:r w:rsidRPr="0053447F">
              <w:rPr>
                <w:sz w:val="24"/>
                <w:szCs w:val="24"/>
              </w:rPr>
              <w:t>will be conducted</w:t>
            </w:r>
            <w:proofErr w:type="gramEnd"/>
            <w:r w:rsidRPr="0053447F">
              <w:rPr>
                <w:sz w:val="24"/>
                <w:szCs w:val="24"/>
              </w:rPr>
              <w:t xml:space="preserve"> over a </w:t>
            </w:r>
            <w:r w:rsidR="0053447F" w:rsidRPr="0053447F">
              <w:rPr>
                <w:sz w:val="24"/>
                <w:szCs w:val="24"/>
              </w:rPr>
              <w:t xml:space="preserve">period of </w:t>
            </w:r>
            <w:r w:rsidR="00E36E2D">
              <w:rPr>
                <w:sz w:val="24"/>
                <w:szCs w:val="24"/>
              </w:rPr>
              <w:t>5</w:t>
            </w:r>
            <w:r w:rsidR="00E36E2D" w:rsidRPr="0053447F">
              <w:rPr>
                <w:sz w:val="24"/>
                <w:szCs w:val="24"/>
              </w:rPr>
              <w:t xml:space="preserve"> </w:t>
            </w:r>
            <w:r w:rsidR="0053447F" w:rsidRPr="0053447F">
              <w:rPr>
                <w:sz w:val="24"/>
                <w:szCs w:val="24"/>
              </w:rPr>
              <w:t>days (</w:t>
            </w:r>
            <w:r w:rsidR="00E36E2D">
              <w:rPr>
                <w:sz w:val="24"/>
                <w:szCs w:val="24"/>
              </w:rPr>
              <w:t>Sunday</w:t>
            </w:r>
            <w:r w:rsidR="00E36E2D" w:rsidRPr="0053447F">
              <w:rPr>
                <w:sz w:val="24"/>
                <w:szCs w:val="24"/>
              </w:rPr>
              <w:t xml:space="preserve"> </w:t>
            </w:r>
            <w:r w:rsidR="0053447F" w:rsidRPr="0053447F">
              <w:rPr>
                <w:sz w:val="24"/>
                <w:szCs w:val="24"/>
              </w:rPr>
              <w:t xml:space="preserve">through Thursday).  Each </w:t>
            </w:r>
            <w:r w:rsidR="0053447F">
              <w:rPr>
                <w:sz w:val="24"/>
                <w:szCs w:val="24"/>
              </w:rPr>
              <w:t>sample</w:t>
            </w:r>
            <w:r w:rsidR="0053447F" w:rsidRPr="0053447F">
              <w:rPr>
                <w:sz w:val="24"/>
                <w:szCs w:val="24"/>
              </w:rPr>
              <w:t xml:space="preserve"> collection will </w:t>
            </w:r>
            <w:r w:rsidR="0053447F">
              <w:rPr>
                <w:sz w:val="24"/>
                <w:szCs w:val="24"/>
              </w:rPr>
              <w:t xml:space="preserve">take approximately </w:t>
            </w:r>
            <w:r w:rsidR="00BF05F8">
              <w:rPr>
                <w:sz w:val="24"/>
                <w:szCs w:val="24"/>
              </w:rPr>
              <w:t>20</w:t>
            </w:r>
            <w:r w:rsidR="00E36E2D">
              <w:rPr>
                <w:sz w:val="24"/>
                <w:szCs w:val="24"/>
              </w:rPr>
              <w:t xml:space="preserve"> </w:t>
            </w:r>
            <w:r w:rsidR="0053447F">
              <w:rPr>
                <w:sz w:val="24"/>
                <w:szCs w:val="24"/>
              </w:rPr>
              <w:t>minutes per participant.</w:t>
            </w:r>
          </w:p>
          <w:p w:rsidR="0053447F" w:rsidRDefault="0053447F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participants </w:t>
            </w:r>
            <w:proofErr w:type="gramStart"/>
            <w:r>
              <w:rPr>
                <w:sz w:val="24"/>
                <w:szCs w:val="24"/>
              </w:rPr>
              <w:t>will be provided</w:t>
            </w:r>
            <w:proofErr w:type="gramEnd"/>
            <w:r>
              <w:rPr>
                <w:sz w:val="24"/>
                <w:szCs w:val="24"/>
              </w:rPr>
              <w:t xml:space="preserve"> results of the blood and urine sampling within </w:t>
            </w:r>
            <w:r w:rsidR="000F454D">
              <w:rPr>
                <w:sz w:val="24"/>
                <w:szCs w:val="24"/>
              </w:rPr>
              <w:t xml:space="preserve">16 </w:t>
            </w:r>
            <w:r>
              <w:rPr>
                <w:sz w:val="24"/>
                <w:szCs w:val="24"/>
              </w:rPr>
              <w:t xml:space="preserve">weeks </w:t>
            </w:r>
            <w:r w:rsidR="00245FE8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collection.</w:t>
            </w:r>
          </w:p>
          <w:p w:rsidR="00245FE8" w:rsidRDefault="00245FE8" w:rsidP="0053447F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concentrations in blood and/or urine </w:t>
            </w:r>
            <w:proofErr w:type="gramStart"/>
            <w:r>
              <w:rPr>
                <w:sz w:val="24"/>
                <w:szCs w:val="24"/>
              </w:rPr>
              <w:t>are found</w:t>
            </w:r>
            <w:proofErr w:type="gramEnd"/>
            <w:r>
              <w:rPr>
                <w:sz w:val="24"/>
                <w:szCs w:val="24"/>
              </w:rPr>
              <w:t xml:space="preserve"> at levels of health concern, participants will be contacted sooner.</w:t>
            </w:r>
          </w:p>
          <w:p w:rsidR="0053447F" w:rsidRPr="0053447F" w:rsidRDefault="0053447F" w:rsidP="000F454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EI </w:t>
            </w:r>
            <w:proofErr w:type="gramStart"/>
            <w:r>
              <w:rPr>
                <w:sz w:val="24"/>
                <w:szCs w:val="24"/>
              </w:rPr>
              <w:t>will be prepared</w:t>
            </w:r>
            <w:r w:rsidR="00E36E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cleared</w:t>
            </w:r>
            <w:r w:rsidR="00956EF2">
              <w:rPr>
                <w:sz w:val="24"/>
                <w:szCs w:val="24"/>
              </w:rPr>
              <w:t>, and released</w:t>
            </w:r>
            <w:r>
              <w:rPr>
                <w:sz w:val="24"/>
                <w:szCs w:val="24"/>
              </w:rPr>
              <w:t xml:space="preserve"> as soon as possible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Publication and Dissemination of Results:</w:t>
            </w:r>
          </w:p>
        </w:tc>
        <w:tc>
          <w:tcPr>
            <w:tcW w:w="7128" w:type="dxa"/>
          </w:tcPr>
          <w:p w:rsidR="000F454D" w:rsidRDefault="00C2426C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C2426C">
              <w:rPr>
                <w:sz w:val="24"/>
                <w:szCs w:val="24"/>
              </w:rPr>
              <w:t xml:space="preserve">Blood lead and urine arsenic results </w:t>
            </w:r>
            <w:proofErr w:type="gramStart"/>
            <w:r w:rsidRPr="00C2426C">
              <w:rPr>
                <w:sz w:val="24"/>
                <w:szCs w:val="24"/>
              </w:rPr>
              <w:t>will be provided</w:t>
            </w:r>
            <w:proofErr w:type="gramEnd"/>
            <w:r w:rsidRPr="00C2426C">
              <w:rPr>
                <w:sz w:val="24"/>
                <w:szCs w:val="24"/>
              </w:rPr>
              <w:t xml:space="preserve"> to participants within </w:t>
            </w:r>
            <w:r w:rsidR="000F454D">
              <w:rPr>
                <w:sz w:val="24"/>
                <w:szCs w:val="24"/>
              </w:rPr>
              <w:t>1</w:t>
            </w:r>
            <w:r w:rsidR="00933EF0">
              <w:rPr>
                <w:sz w:val="24"/>
                <w:szCs w:val="24"/>
              </w:rPr>
              <w:t>4-18</w:t>
            </w:r>
            <w:r w:rsidR="000F454D">
              <w:rPr>
                <w:sz w:val="24"/>
                <w:szCs w:val="24"/>
              </w:rPr>
              <w:t xml:space="preserve"> </w:t>
            </w:r>
            <w:r w:rsidRPr="00C2426C">
              <w:rPr>
                <w:sz w:val="24"/>
                <w:szCs w:val="24"/>
              </w:rPr>
              <w:t xml:space="preserve">weeks of </w:t>
            </w:r>
            <w:r w:rsidR="007B07B7">
              <w:rPr>
                <w:sz w:val="24"/>
                <w:szCs w:val="24"/>
              </w:rPr>
              <w:t>specimen collection</w:t>
            </w:r>
            <w:r w:rsidRPr="00C2426C">
              <w:rPr>
                <w:sz w:val="24"/>
                <w:szCs w:val="24"/>
              </w:rPr>
              <w:t>.</w:t>
            </w:r>
          </w:p>
          <w:p w:rsidR="00245FE8" w:rsidRPr="00245FE8" w:rsidRDefault="00245FE8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concentrations in blood and/or urine </w:t>
            </w:r>
            <w:proofErr w:type="gramStart"/>
            <w:r>
              <w:rPr>
                <w:sz w:val="24"/>
                <w:szCs w:val="24"/>
              </w:rPr>
              <w:t>are found</w:t>
            </w:r>
            <w:proofErr w:type="gramEnd"/>
            <w:r>
              <w:rPr>
                <w:sz w:val="24"/>
                <w:szCs w:val="24"/>
              </w:rPr>
              <w:t xml:space="preserve"> at levels of health concern, participants will be contacted sooner.</w:t>
            </w:r>
          </w:p>
          <w:p w:rsidR="00C2426C" w:rsidRPr="00C2426C" w:rsidRDefault="0053447F" w:rsidP="00245FE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 w:rsidR="00C2426C">
              <w:rPr>
                <w:sz w:val="24"/>
                <w:szCs w:val="24"/>
              </w:rPr>
              <w:t xml:space="preserve"> EI report will be prepared</w:t>
            </w:r>
            <w:r w:rsidR="00245FE8">
              <w:rPr>
                <w:sz w:val="24"/>
                <w:szCs w:val="24"/>
              </w:rPr>
              <w:t>,</w:t>
            </w:r>
            <w:r w:rsidR="00C2426C">
              <w:rPr>
                <w:sz w:val="24"/>
                <w:szCs w:val="24"/>
              </w:rPr>
              <w:t xml:space="preserve"> </w:t>
            </w:r>
            <w:r w:rsidR="001A5953">
              <w:rPr>
                <w:sz w:val="24"/>
                <w:szCs w:val="24"/>
              </w:rPr>
              <w:t>cleared</w:t>
            </w:r>
            <w:r w:rsidR="00245FE8">
              <w:rPr>
                <w:sz w:val="24"/>
                <w:szCs w:val="24"/>
              </w:rPr>
              <w:t xml:space="preserve"> and released</w:t>
            </w:r>
            <w:r w:rsidR="001A5953">
              <w:rPr>
                <w:sz w:val="24"/>
                <w:szCs w:val="24"/>
              </w:rPr>
              <w:t xml:space="preserve"> as soon as possible.</w:t>
            </w:r>
          </w:p>
        </w:tc>
      </w:tr>
      <w:tr w:rsidR="00977D5F" w:rsidTr="00977D5F">
        <w:tc>
          <w:tcPr>
            <w:tcW w:w="3168" w:type="dxa"/>
          </w:tcPr>
          <w:p w:rsidR="00977D5F" w:rsidRDefault="00977D5F" w:rsidP="00977D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Burden Hours Requested:</w:t>
            </w:r>
          </w:p>
        </w:tc>
        <w:tc>
          <w:tcPr>
            <w:tcW w:w="7128" w:type="dxa"/>
          </w:tcPr>
          <w:p w:rsidR="00977D5F" w:rsidRPr="00977D5F" w:rsidRDefault="001E7826" w:rsidP="000456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4565A">
              <w:rPr>
                <w:sz w:val="24"/>
                <w:szCs w:val="24"/>
              </w:rPr>
              <w:t>0</w:t>
            </w:r>
            <w:r w:rsidR="0053447F">
              <w:rPr>
                <w:sz w:val="24"/>
                <w:szCs w:val="24"/>
              </w:rPr>
              <w:t xml:space="preserve"> hours (</w:t>
            </w:r>
            <w:r w:rsidR="00245FE8">
              <w:rPr>
                <w:sz w:val="24"/>
                <w:szCs w:val="24"/>
              </w:rPr>
              <w:t>3</w:t>
            </w:r>
            <w:r w:rsidR="0053447F">
              <w:rPr>
                <w:sz w:val="24"/>
                <w:szCs w:val="24"/>
              </w:rPr>
              <w:t xml:space="preserve">00 participants x </w:t>
            </w:r>
            <w:r w:rsidR="0004565A">
              <w:rPr>
                <w:sz w:val="24"/>
                <w:szCs w:val="24"/>
              </w:rPr>
              <w:t>20</w:t>
            </w:r>
            <w:r w:rsidR="0053447F">
              <w:rPr>
                <w:sz w:val="24"/>
                <w:szCs w:val="24"/>
              </w:rPr>
              <w:t xml:space="preserve"> minutes per participant)</w:t>
            </w:r>
          </w:p>
        </w:tc>
      </w:tr>
    </w:tbl>
    <w:p w:rsidR="00977D5F" w:rsidRPr="008C1299" w:rsidRDefault="00977D5F">
      <w:pPr>
        <w:rPr>
          <w:b/>
          <w:sz w:val="24"/>
          <w:szCs w:val="24"/>
        </w:rPr>
      </w:pPr>
    </w:p>
    <w:p w:rsidR="008C26C6" w:rsidRPr="009F7507" w:rsidRDefault="008C26C6" w:rsidP="009F7507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ATTACHMENTS</w:t>
      </w:r>
    </w:p>
    <w:p w:rsidR="003266CE" w:rsidRDefault="003266CE" w:rsidP="00226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Supporting Statement A</w:t>
      </w:r>
    </w:p>
    <w:p w:rsidR="003266CE" w:rsidRDefault="003266CE" w:rsidP="00226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Supporting Statement B</w:t>
      </w:r>
    </w:p>
    <w:p w:rsidR="00B348E2" w:rsidRDefault="00B348E2" w:rsidP="002268E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Assent/Consent/Parental Permission Forms</w:t>
      </w:r>
    </w:p>
    <w:p w:rsidR="00804F11" w:rsidRPr="00BB5A4C" w:rsidRDefault="007A07A6" w:rsidP="00804F1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Pueblo, Colorado Smelter Exposure Investigation Questionnaire</w:t>
      </w:r>
    </w:p>
    <w:p w:rsidR="00804F11" w:rsidRPr="008C26C6" w:rsidRDefault="00804F11" w:rsidP="00804F1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8C26C6">
        <w:rPr>
          <w:b/>
          <w:sz w:val="24"/>
          <w:szCs w:val="24"/>
        </w:rPr>
        <w:t>Human Subjects Documentation</w:t>
      </w:r>
    </w:p>
    <w:sectPr w:rsidR="00804F11" w:rsidRPr="008C26C6" w:rsidSect="00D809E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554"/>
    <w:multiLevelType w:val="hybridMultilevel"/>
    <w:tmpl w:val="1DF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09FB"/>
    <w:multiLevelType w:val="hybridMultilevel"/>
    <w:tmpl w:val="2FD2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82861"/>
    <w:multiLevelType w:val="hybridMultilevel"/>
    <w:tmpl w:val="8C2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857A5"/>
    <w:multiLevelType w:val="hybridMultilevel"/>
    <w:tmpl w:val="36F2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2D47E9"/>
    <w:multiLevelType w:val="hybridMultilevel"/>
    <w:tmpl w:val="F9F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C436F"/>
    <w:multiLevelType w:val="hybridMultilevel"/>
    <w:tmpl w:val="F6780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95B21"/>
    <w:multiLevelType w:val="hybridMultilevel"/>
    <w:tmpl w:val="7D5A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A7ADF"/>
    <w:multiLevelType w:val="hybridMultilevel"/>
    <w:tmpl w:val="455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5694C"/>
    <w:multiLevelType w:val="hybridMultilevel"/>
    <w:tmpl w:val="88C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48"/>
    <w:rsid w:val="0004565A"/>
    <w:rsid w:val="000457B7"/>
    <w:rsid w:val="000526FB"/>
    <w:rsid w:val="00066D15"/>
    <w:rsid w:val="0007663C"/>
    <w:rsid w:val="00085879"/>
    <w:rsid w:val="000F454D"/>
    <w:rsid w:val="00105B25"/>
    <w:rsid w:val="00114DF9"/>
    <w:rsid w:val="00134B62"/>
    <w:rsid w:val="00146801"/>
    <w:rsid w:val="001564CF"/>
    <w:rsid w:val="001A5953"/>
    <w:rsid w:val="001C2596"/>
    <w:rsid w:val="001E5273"/>
    <w:rsid w:val="001E7826"/>
    <w:rsid w:val="002268E8"/>
    <w:rsid w:val="00245FE8"/>
    <w:rsid w:val="00276B88"/>
    <w:rsid w:val="00281057"/>
    <w:rsid w:val="002A5D89"/>
    <w:rsid w:val="002B1BC4"/>
    <w:rsid w:val="002C1792"/>
    <w:rsid w:val="002C3309"/>
    <w:rsid w:val="002D2DA8"/>
    <w:rsid w:val="00314173"/>
    <w:rsid w:val="003266CE"/>
    <w:rsid w:val="003711F5"/>
    <w:rsid w:val="003A2015"/>
    <w:rsid w:val="003B366F"/>
    <w:rsid w:val="003D408F"/>
    <w:rsid w:val="00446811"/>
    <w:rsid w:val="00450BF4"/>
    <w:rsid w:val="00456DD7"/>
    <w:rsid w:val="004579F8"/>
    <w:rsid w:val="00473F86"/>
    <w:rsid w:val="0049518C"/>
    <w:rsid w:val="004B252F"/>
    <w:rsid w:val="005119AF"/>
    <w:rsid w:val="005202A1"/>
    <w:rsid w:val="0053447F"/>
    <w:rsid w:val="00594706"/>
    <w:rsid w:val="005956AA"/>
    <w:rsid w:val="005B348D"/>
    <w:rsid w:val="005D258E"/>
    <w:rsid w:val="005E1D60"/>
    <w:rsid w:val="005F093E"/>
    <w:rsid w:val="005F62B4"/>
    <w:rsid w:val="0063667F"/>
    <w:rsid w:val="00652BD7"/>
    <w:rsid w:val="006A1C2A"/>
    <w:rsid w:val="006B4CA3"/>
    <w:rsid w:val="006B5535"/>
    <w:rsid w:val="006C23C0"/>
    <w:rsid w:val="006C2E1C"/>
    <w:rsid w:val="006F6D2F"/>
    <w:rsid w:val="00752494"/>
    <w:rsid w:val="00761B07"/>
    <w:rsid w:val="0076482D"/>
    <w:rsid w:val="00771A77"/>
    <w:rsid w:val="00797694"/>
    <w:rsid w:val="007A07A6"/>
    <w:rsid w:val="007A595C"/>
    <w:rsid w:val="007B07B7"/>
    <w:rsid w:val="007B53F4"/>
    <w:rsid w:val="007E60F2"/>
    <w:rsid w:val="00804F11"/>
    <w:rsid w:val="008529CA"/>
    <w:rsid w:val="00854A8B"/>
    <w:rsid w:val="00881AA6"/>
    <w:rsid w:val="00885DD4"/>
    <w:rsid w:val="008C1299"/>
    <w:rsid w:val="008C26C6"/>
    <w:rsid w:val="008E286E"/>
    <w:rsid w:val="00933EF0"/>
    <w:rsid w:val="009402B9"/>
    <w:rsid w:val="00952433"/>
    <w:rsid w:val="00956EF2"/>
    <w:rsid w:val="009730FC"/>
    <w:rsid w:val="00977D5F"/>
    <w:rsid w:val="00990609"/>
    <w:rsid w:val="00992967"/>
    <w:rsid w:val="00996E9F"/>
    <w:rsid w:val="009A4C91"/>
    <w:rsid w:val="009E4287"/>
    <w:rsid w:val="009E491C"/>
    <w:rsid w:val="009F7507"/>
    <w:rsid w:val="00A3626C"/>
    <w:rsid w:val="00A42E0B"/>
    <w:rsid w:val="00A56EAC"/>
    <w:rsid w:val="00A73148"/>
    <w:rsid w:val="00AA7DE7"/>
    <w:rsid w:val="00AC3F36"/>
    <w:rsid w:val="00AC47D1"/>
    <w:rsid w:val="00AC57A7"/>
    <w:rsid w:val="00AD12BA"/>
    <w:rsid w:val="00AD2FF0"/>
    <w:rsid w:val="00B22001"/>
    <w:rsid w:val="00B348E2"/>
    <w:rsid w:val="00B512C3"/>
    <w:rsid w:val="00B65000"/>
    <w:rsid w:val="00B76ACB"/>
    <w:rsid w:val="00BA09ED"/>
    <w:rsid w:val="00BA4320"/>
    <w:rsid w:val="00BB5A4C"/>
    <w:rsid w:val="00BF05F8"/>
    <w:rsid w:val="00BF1A54"/>
    <w:rsid w:val="00C2426C"/>
    <w:rsid w:val="00C55B5E"/>
    <w:rsid w:val="00C8371F"/>
    <w:rsid w:val="00CB69F1"/>
    <w:rsid w:val="00CC6774"/>
    <w:rsid w:val="00D312D7"/>
    <w:rsid w:val="00D3577B"/>
    <w:rsid w:val="00D43C37"/>
    <w:rsid w:val="00D56F90"/>
    <w:rsid w:val="00D7489E"/>
    <w:rsid w:val="00D809E7"/>
    <w:rsid w:val="00DA3458"/>
    <w:rsid w:val="00DD64AD"/>
    <w:rsid w:val="00DE13BE"/>
    <w:rsid w:val="00E04405"/>
    <w:rsid w:val="00E27222"/>
    <w:rsid w:val="00E34861"/>
    <w:rsid w:val="00E36E2D"/>
    <w:rsid w:val="00EF656A"/>
    <w:rsid w:val="00EF6EF2"/>
    <w:rsid w:val="00F027EC"/>
    <w:rsid w:val="00F040A9"/>
    <w:rsid w:val="00F20D02"/>
    <w:rsid w:val="00F32AA2"/>
    <w:rsid w:val="00F60B52"/>
    <w:rsid w:val="00F94491"/>
    <w:rsid w:val="00F95EF6"/>
    <w:rsid w:val="00FB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(ATSDR/DHAC/EISAB)</dc:creator>
  <cp:lastModifiedBy>OS Reviewer</cp:lastModifiedBy>
  <cp:revision>4</cp:revision>
  <cp:lastPrinted>2013-08-05T19:18:00Z</cp:lastPrinted>
  <dcterms:created xsi:type="dcterms:W3CDTF">2013-08-05T19:53:00Z</dcterms:created>
  <dcterms:modified xsi:type="dcterms:W3CDTF">2013-08-05T19:53:00Z</dcterms:modified>
</cp:coreProperties>
</file>