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5EBC99" w14:textId="77777777" w:rsidR="005B6A3B" w:rsidRDefault="003D7089" w:rsidP="00176D6F">
      <w:pPr>
        <w:pStyle w:val="Heading1"/>
        <w:spacing w:before="0"/>
        <w:jc w:val="center"/>
        <w:rPr>
          <w:rFonts w:ascii="Times New Roman" w:hAnsi="Times New Roman"/>
          <w:color w:val="auto"/>
          <w:sz w:val="24"/>
          <w:szCs w:val="24"/>
        </w:rPr>
      </w:pPr>
      <w:bookmarkStart w:id="0" w:name="_GoBack"/>
      <w:bookmarkEnd w:id="0"/>
      <w:r w:rsidRPr="000F2C35">
        <w:rPr>
          <w:rFonts w:ascii="Times New Roman" w:hAnsi="Times New Roman"/>
          <w:color w:val="auto"/>
          <w:sz w:val="24"/>
          <w:szCs w:val="24"/>
        </w:rPr>
        <w:t xml:space="preserve">CDFI Bond Guarantee Program </w:t>
      </w:r>
    </w:p>
    <w:p w14:paraId="1D5EBC9A" w14:textId="2AD95D26" w:rsidR="003D7089" w:rsidRDefault="003D7089" w:rsidP="00176D6F">
      <w:pPr>
        <w:pStyle w:val="Heading1"/>
        <w:spacing w:before="0"/>
        <w:jc w:val="center"/>
        <w:rPr>
          <w:rFonts w:ascii="Times New Roman" w:hAnsi="Times New Roman"/>
          <w:color w:val="auto"/>
          <w:sz w:val="24"/>
          <w:szCs w:val="24"/>
        </w:rPr>
      </w:pPr>
      <w:r w:rsidRPr="000F2C35">
        <w:rPr>
          <w:rFonts w:ascii="Times New Roman" w:hAnsi="Times New Roman"/>
          <w:color w:val="auto"/>
          <w:sz w:val="24"/>
          <w:szCs w:val="24"/>
        </w:rPr>
        <w:t xml:space="preserve">Secondary Loan </w:t>
      </w:r>
      <w:r w:rsidR="002C4791">
        <w:rPr>
          <w:rFonts w:ascii="Times New Roman" w:hAnsi="Times New Roman"/>
          <w:color w:val="auto"/>
          <w:sz w:val="24"/>
          <w:szCs w:val="24"/>
        </w:rPr>
        <w:t>Requirements</w:t>
      </w:r>
    </w:p>
    <w:p w14:paraId="1D5EBC9B" w14:textId="77777777" w:rsidR="003D7089" w:rsidRDefault="003D7089" w:rsidP="00176D6F">
      <w:pPr>
        <w:jc w:val="center"/>
        <w:rPr>
          <w:rFonts w:ascii="Times New Roman" w:hAnsi="Times New Roman"/>
          <w:sz w:val="24"/>
          <w:szCs w:val="24"/>
        </w:rPr>
      </w:pPr>
      <w:r>
        <w:rPr>
          <w:rFonts w:ascii="Times New Roman" w:hAnsi="Times New Roman"/>
          <w:sz w:val="24"/>
          <w:szCs w:val="24"/>
        </w:rPr>
        <w:t>Underwriting Review Checklist</w:t>
      </w:r>
    </w:p>
    <w:p w14:paraId="1D5EBC9C" w14:textId="6FD74009" w:rsidR="00B4012E" w:rsidRPr="00B4012E" w:rsidRDefault="00B4012E" w:rsidP="005C48D0">
      <w:pPr>
        <w:spacing w:before="240"/>
        <w:jc w:val="both"/>
        <w:rPr>
          <w:rFonts w:ascii="Times New Roman" w:hAnsi="Times New Roman"/>
          <w:b/>
          <w:smallCaps/>
          <w:sz w:val="24"/>
          <w:szCs w:val="24"/>
        </w:rPr>
      </w:pPr>
      <w:r w:rsidRPr="00B4012E">
        <w:rPr>
          <w:rFonts w:ascii="Times New Roman" w:hAnsi="Times New Roman"/>
          <w:b/>
          <w:smallCaps/>
          <w:sz w:val="24"/>
          <w:szCs w:val="24"/>
        </w:rPr>
        <w:t xml:space="preserve">Part I: Institutional Lending </w:t>
      </w:r>
      <w:r w:rsidR="002C4791">
        <w:rPr>
          <w:rFonts w:ascii="Times New Roman" w:hAnsi="Times New Roman"/>
          <w:b/>
          <w:smallCaps/>
          <w:sz w:val="24"/>
          <w:szCs w:val="24"/>
        </w:rPr>
        <w:t>Requirements</w:t>
      </w:r>
    </w:p>
    <w:p w14:paraId="1D5EBC9D" w14:textId="70814027" w:rsidR="0081496B" w:rsidRDefault="0039035A" w:rsidP="00C737A2">
      <w:pPr>
        <w:spacing w:line="240" w:lineRule="auto"/>
        <w:jc w:val="both"/>
        <w:rPr>
          <w:rFonts w:ascii="Times New Roman" w:hAnsi="Times New Roman"/>
          <w:sz w:val="24"/>
          <w:szCs w:val="24"/>
        </w:rPr>
      </w:pPr>
      <w:r>
        <w:rPr>
          <w:rFonts w:ascii="Times New Roman" w:eastAsia="Times New Roman" w:hAnsi="Times New Roman"/>
          <w:sz w:val="24"/>
          <w:szCs w:val="24"/>
        </w:rPr>
        <w:t>Under the CDFI Bond Guarantee Program, t</w:t>
      </w:r>
      <w:r w:rsidR="005552DA">
        <w:rPr>
          <w:rFonts w:ascii="Times New Roman" w:eastAsia="Times New Roman" w:hAnsi="Times New Roman"/>
          <w:sz w:val="24"/>
          <w:szCs w:val="24"/>
        </w:rPr>
        <w:t xml:space="preserve">he Eligible CDFI must maintain loan policies and procedures to support Secondary Loans under the applicable asset class. </w:t>
      </w:r>
      <w:r w:rsidR="00930A00">
        <w:rPr>
          <w:rFonts w:ascii="Times New Roman" w:eastAsia="Times New Roman" w:hAnsi="Times New Roman"/>
          <w:sz w:val="24"/>
          <w:szCs w:val="24"/>
        </w:rPr>
        <w:t>The Eligible CDFI</w:t>
      </w:r>
      <w:r w:rsidR="005A221F">
        <w:rPr>
          <w:rFonts w:ascii="Times New Roman" w:eastAsia="Times New Roman" w:hAnsi="Times New Roman"/>
          <w:sz w:val="24"/>
          <w:szCs w:val="24"/>
        </w:rPr>
        <w:t xml:space="preserve">’s </w:t>
      </w:r>
      <w:r w:rsidR="00930A00">
        <w:rPr>
          <w:rFonts w:ascii="Times New Roman" w:eastAsia="Times New Roman" w:hAnsi="Times New Roman"/>
          <w:sz w:val="24"/>
          <w:szCs w:val="24"/>
        </w:rPr>
        <w:t xml:space="preserve"> loan policies and procedures</w:t>
      </w:r>
      <w:r w:rsidR="005A221F">
        <w:rPr>
          <w:rFonts w:ascii="Times New Roman" w:eastAsia="Times New Roman" w:hAnsi="Times New Roman"/>
          <w:sz w:val="24"/>
          <w:szCs w:val="24"/>
        </w:rPr>
        <w:t xml:space="preserve"> will be subject to review</w:t>
      </w:r>
      <w:r w:rsidR="00930A00">
        <w:rPr>
          <w:rFonts w:ascii="Times New Roman" w:eastAsia="Times New Roman" w:hAnsi="Times New Roman"/>
          <w:sz w:val="24"/>
          <w:szCs w:val="24"/>
        </w:rPr>
        <w:t xml:space="preserve"> as part of the </w:t>
      </w:r>
      <w:r w:rsidR="005A221F">
        <w:rPr>
          <w:rFonts w:ascii="Times New Roman" w:eastAsia="Times New Roman" w:hAnsi="Times New Roman"/>
          <w:sz w:val="24"/>
          <w:szCs w:val="24"/>
        </w:rPr>
        <w:t xml:space="preserve"> Guarantee </w:t>
      </w:r>
      <w:r w:rsidR="00930A00">
        <w:rPr>
          <w:rFonts w:ascii="Times New Roman" w:eastAsia="Times New Roman" w:hAnsi="Times New Roman"/>
          <w:sz w:val="24"/>
          <w:szCs w:val="24"/>
        </w:rPr>
        <w:t>approval process</w:t>
      </w:r>
      <w:r w:rsidR="00935B02">
        <w:rPr>
          <w:rFonts w:ascii="Times New Roman" w:eastAsia="Times New Roman" w:hAnsi="Times New Roman"/>
          <w:sz w:val="24"/>
          <w:szCs w:val="24"/>
        </w:rPr>
        <w:t>.</w:t>
      </w:r>
      <w:r w:rsidR="00930A00">
        <w:rPr>
          <w:rFonts w:ascii="Times New Roman" w:eastAsia="Times New Roman" w:hAnsi="Times New Roman"/>
          <w:sz w:val="24"/>
          <w:szCs w:val="24"/>
        </w:rPr>
        <w:t xml:space="preserve"> </w:t>
      </w:r>
      <w:r w:rsidR="00935B02">
        <w:rPr>
          <w:rFonts w:ascii="Times New Roman" w:eastAsia="Times New Roman" w:hAnsi="Times New Roman"/>
          <w:sz w:val="24"/>
          <w:szCs w:val="24"/>
        </w:rPr>
        <w:t>A</w:t>
      </w:r>
      <w:r w:rsidR="00930A00">
        <w:rPr>
          <w:rFonts w:ascii="Times New Roman" w:eastAsia="Times New Roman" w:hAnsi="Times New Roman"/>
          <w:sz w:val="24"/>
          <w:szCs w:val="24"/>
        </w:rPr>
        <w:t>ny changes</w:t>
      </w:r>
      <w:r w:rsidR="005A221F">
        <w:rPr>
          <w:rFonts w:ascii="Times New Roman" w:eastAsia="Times New Roman" w:hAnsi="Times New Roman"/>
          <w:sz w:val="24"/>
          <w:szCs w:val="24"/>
        </w:rPr>
        <w:t xml:space="preserve"> to these policies</w:t>
      </w:r>
      <w:r w:rsidR="00930A00">
        <w:rPr>
          <w:rFonts w:ascii="Times New Roman" w:eastAsia="Times New Roman" w:hAnsi="Times New Roman"/>
          <w:sz w:val="24"/>
          <w:szCs w:val="24"/>
        </w:rPr>
        <w:t xml:space="preserve"> made after the </w:t>
      </w:r>
      <w:r w:rsidR="00094D0B">
        <w:rPr>
          <w:rFonts w:ascii="Times New Roman" w:eastAsia="Times New Roman" w:hAnsi="Times New Roman"/>
          <w:sz w:val="24"/>
          <w:szCs w:val="24"/>
        </w:rPr>
        <w:t>execution of the Secondary Loan</w:t>
      </w:r>
      <w:r w:rsidR="00935B02">
        <w:rPr>
          <w:rFonts w:ascii="Times New Roman" w:eastAsia="Times New Roman" w:hAnsi="Times New Roman"/>
          <w:sz w:val="24"/>
          <w:szCs w:val="24"/>
        </w:rPr>
        <w:t xml:space="preserve"> should be submitted</w:t>
      </w:r>
      <w:r w:rsidR="00930A00">
        <w:rPr>
          <w:rFonts w:ascii="Times New Roman" w:eastAsia="Times New Roman" w:hAnsi="Times New Roman"/>
          <w:sz w:val="24"/>
          <w:szCs w:val="24"/>
        </w:rPr>
        <w:t xml:space="preserve"> for review and approval. </w:t>
      </w:r>
      <w:r w:rsidR="005552DA">
        <w:rPr>
          <w:rFonts w:ascii="Times New Roman" w:hAnsi="Times New Roman"/>
          <w:sz w:val="24"/>
          <w:szCs w:val="24"/>
        </w:rPr>
        <w:t>Given the</w:t>
      </w:r>
      <w:r w:rsidR="005552DA" w:rsidRPr="003A3B3F">
        <w:rPr>
          <w:rFonts w:ascii="Times New Roman" w:hAnsi="Times New Roman"/>
          <w:sz w:val="24"/>
          <w:szCs w:val="24"/>
        </w:rPr>
        <w:t xml:space="preserve"> complexity </w:t>
      </w:r>
      <w:r w:rsidR="005552DA">
        <w:rPr>
          <w:rFonts w:ascii="Times New Roman" w:hAnsi="Times New Roman"/>
          <w:sz w:val="24"/>
          <w:szCs w:val="24"/>
        </w:rPr>
        <w:t>of</w:t>
      </w:r>
      <w:r w:rsidR="005552DA" w:rsidRPr="003A3B3F">
        <w:rPr>
          <w:rFonts w:ascii="Times New Roman" w:hAnsi="Times New Roman"/>
          <w:sz w:val="24"/>
          <w:szCs w:val="24"/>
        </w:rPr>
        <w:t xml:space="preserve"> quantifying, modeling and communicating financial (credit) risk</w:t>
      </w:r>
      <w:r w:rsidR="005552DA">
        <w:rPr>
          <w:rFonts w:ascii="Times New Roman" w:hAnsi="Times New Roman"/>
          <w:sz w:val="24"/>
          <w:szCs w:val="24"/>
        </w:rPr>
        <w:t>,</w:t>
      </w:r>
      <w:r w:rsidR="007A291A">
        <w:rPr>
          <w:rFonts w:ascii="Times New Roman" w:hAnsi="Times New Roman"/>
          <w:sz w:val="24"/>
          <w:szCs w:val="24"/>
        </w:rPr>
        <w:t xml:space="preserve"> </w:t>
      </w:r>
      <w:r w:rsidR="005552DA">
        <w:rPr>
          <w:rFonts w:ascii="Times New Roman" w:hAnsi="Times New Roman"/>
          <w:sz w:val="24"/>
          <w:szCs w:val="24"/>
        </w:rPr>
        <w:t>policies and procedures</w:t>
      </w:r>
      <w:r w:rsidR="005552DA" w:rsidRPr="003A3B3F">
        <w:rPr>
          <w:rFonts w:ascii="Times New Roman" w:hAnsi="Times New Roman"/>
          <w:sz w:val="24"/>
          <w:szCs w:val="24"/>
        </w:rPr>
        <w:t xml:space="preserve"> can range from simple qualitative statements to complex quantitative models. </w:t>
      </w:r>
      <w:r>
        <w:rPr>
          <w:rFonts w:ascii="Times New Roman" w:hAnsi="Times New Roman"/>
          <w:sz w:val="24"/>
          <w:szCs w:val="24"/>
        </w:rPr>
        <w:t>If the Eligible CDFI uses</w:t>
      </w:r>
      <w:r w:rsidR="007A291A">
        <w:rPr>
          <w:rFonts w:ascii="Times New Roman" w:hAnsi="Times New Roman"/>
          <w:sz w:val="24"/>
          <w:szCs w:val="24"/>
        </w:rPr>
        <w:t xml:space="preserve"> </w:t>
      </w:r>
      <w:r w:rsidR="00365630" w:rsidRPr="00710D03">
        <w:rPr>
          <w:rFonts w:ascii="Times New Roman" w:hAnsi="Times New Roman"/>
          <w:sz w:val="24"/>
          <w:szCs w:val="24"/>
        </w:rPr>
        <w:t>qualitative statements</w:t>
      </w:r>
      <w:r>
        <w:rPr>
          <w:rFonts w:ascii="Times New Roman" w:hAnsi="Times New Roman"/>
          <w:sz w:val="24"/>
          <w:szCs w:val="24"/>
        </w:rPr>
        <w:t>,</w:t>
      </w:r>
      <w:r w:rsidR="00365630" w:rsidRPr="00710D03">
        <w:rPr>
          <w:rFonts w:ascii="Times New Roman" w:hAnsi="Times New Roman"/>
          <w:sz w:val="24"/>
          <w:szCs w:val="24"/>
        </w:rPr>
        <w:t xml:space="preserve"> </w:t>
      </w:r>
      <w:r>
        <w:rPr>
          <w:rFonts w:ascii="Times New Roman" w:hAnsi="Times New Roman"/>
          <w:sz w:val="24"/>
          <w:szCs w:val="24"/>
        </w:rPr>
        <w:t xml:space="preserve">the Eligible CDFI </w:t>
      </w:r>
      <w:r w:rsidR="00365630">
        <w:rPr>
          <w:rFonts w:ascii="Times New Roman" w:hAnsi="Times New Roman"/>
          <w:sz w:val="24"/>
          <w:szCs w:val="24"/>
        </w:rPr>
        <w:t xml:space="preserve">must support </w:t>
      </w:r>
      <w:r w:rsidR="00CB2847">
        <w:rPr>
          <w:rFonts w:ascii="Times New Roman" w:hAnsi="Times New Roman"/>
          <w:sz w:val="24"/>
          <w:szCs w:val="24"/>
        </w:rPr>
        <w:t xml:space="preserve">these statements with </w:t>
      </w:r>
      <w:r w:rsidR="00365630">
        <w:rPr>
          <w:rFonts w:ascii="Times New Roman" w:hAnsi="Times New Roman"/>
          <w:sz w:val="24"/>
          <w:szCs w:val="24"/>
        </w:rPr>
        <w:t>key indicators/</w:t>
      </w:r>
      <w:r w:rsidR="00365630" w:rsidRPr="00710D03">
        <w:rPr>
          <w:rFonts w:ascii="Times New Roman" w:hAnsi="Times New Roman"/>
          <w:sz w:val="24"/>
          <w:szCs w:val="24"/>
        </w:rPr>
        <w:t>metrics and values</w:t>
      </w:r>
      <w:r w:rsidR="00A76EC0">
        <w:rPr>
          <w:rFonts w:ascii="Times New Roman" w:hAnsi="Times New Roman"/>
          <w:sz w:val="24"/>
          <w:szCs w:val="24"/>
        </w:rPr>
        <w:t xml:space="preserve"> related</w:t>
      </w:r>
      <w:r w:rsidR="00365630">
        <w:rPr>
          <w:rFonts w:ascii="Times New Roman" w:hAnsi="Times New Roman"/>
          <w:sz w:val="24"/>
          <w:szCs w:val="24"/>
        </w:rPr>
        <w:t xml:space="preserve"> to the</w:t>
      </w:r>
      <w:r w:rsidR="00365630" w:rsidRPr="00710D03">
        <w:rPr>
          <w:rFonts w:ascii="Times New Roman" w:hAnsi="Times New Roman"/>
          <w:sz w:val="24"/>
          <w:szCs w:val="24"/>
        </w:rPr>
        <w:t xml:space="preserve"> </w:t>
      </w:r>
      <w:r w:rsidR="00094D0B">
        <w:rPr>
          <w:rFonts w:ascii="Times New Roman" w:hAnsi="Times New Roman"/>
          <w:sz w:val="24"/>
          <w:szCs w:val="24"/>
        </w:rPr>
        <w:t>Target Market (as defined in 12.C.F.R. 1805.104 (ll)) and the  industry and asset class.</w:t>
      </w:r>
      <w:r w:rsidR="00365630">
        <w:rPr>
          <w:rFonts w:ascii="Times New Roman" w:hAnsi="Times New Roman"/>
          <w:sz w:val="24"/>
          <w:szCs w:val="24"/>
        </w:rPr>
        <w:t xml:space="preserve"> </w:t>
      </w:r>
    </w:p>
    <w:p w14:paraId="1D5EBC9F" w14:textId="576C51E7" w:rsidR="00B4012E" w:rsidRDefault="00365630" w:rsidP="00352024">
      <w:pPr>
        <w:spacing w:line="240" w:lineRule="auto"/>
        <w:jc w:val="both"/>
        <w:rPr>
          <w:rFonts w:ascii="Times New Roman" w:eastAsia="Times New Roman" w:hAnsi="Times New Roman"/>
          <w:sz w:val="24"/>
          <w:szCs w:val="24"/>
        </w:rPr>
      </w:pPr>
      <w:r>
        <w:rPr>
          <w:rFonts w:ascii="Times New Roman" w:hAnsi="Times New Roman"/>
          <w:sz w:val="24"/>
          <w:szCs w:val="24"/>
        </w:rPr>
        <w:t>Eligible CDFI</w:t>
      </w:r>
      <w:r w:rsidR="00580A53">
        <w:rPr>
          <w:rFonts w:ascii="Times New Roman" w:hAnsi="Times New Roman"/>
          <w:sz w:val="24"/>
          <w:szCs w:val="24"/>
        </w:rPr>
        <w:t>s</w:t>
      </w:r>
      <w:r>
        <w:rPr>
          <w:rFonts w:ascii="Times New Roman" w:hAnsi="Times New Roman"/>
          <w:sz w:val="24"/>
          <w:szCs w:val="24"/>
        </w:rPr>
        <w:t xml:space="preserve"> must be able to demonstrate compliance with </w:t>
      </w:r>
      <w:r w:rsidR="00580A53">
        <w:rPr>
          <w:rFonts w:ascii="Times New Roman" w:hAnsi="Times New Roman"/>
          <w:sz w:val="24"/>
          <w:szCs w:val="24"/>
        </w:rPr>
        <w:t xml:space="preserve">their own </w:t>
      </w:r>
      <w:r>
        <w:rPr>
          <w:rFonts w:ascii="Times New Roman" w:hAnsi="Times New Roman"/>
          <w:sz w:val="24"/>
          <w:szCs w:val="24"/>
        </w:rPr>
        <w:t xml:space="preserve"> underwriting </w:t>
      </w:r>
      <w:r w:rsidR="00A65BA0">
        <w:rPr>
          <w:rFonts w:ascii="Times New Roman" w:hAnsi="Times New Roman"/>
          <w:sz w:val="24"/>
          <w:szCs w:val="24"/>
        </w:rPr>
        <w:t>policies</w:t>
      </w:r>
      <w:r w:rsidR="00580A53">
        <w:rPr>
          <w:rFonts w:ascii="Times New Roman" w:eastAsia="Times New Roman" w:hAnsi="Times New Roman"/>
          <w:sz w:val="24"/>
          <w:szCs w:val="24"/>
        </w:rPr>
        <w:t xml:space="preserve"> and standards.   In addition, t</w:t>
      </w:r>
      <w:r w:rsidR="00B4012E">
        <w:rPr>
          <w:rFonts w:ascii="Times New Roman" w:eastAsia="Times New Roman" w:hAnsi="Times New Roman"/>
          <w:sz w:val="24"/>
          <w:szCs w:val="24"/>
        </w:rPr>
        <w:t xml:space="preserve">he </w:t>
      </w:r>
      <w:r w:rsidR="00B4012E" w:rsidRPr="00C704A8">
        <w:rPr>
          <w:rFonts w:ascii="Times New Roman" w:eastAsia="Times New Roman" w:hAnsi="Times New Roman"/>
          <w:sz w:val="24"/>
          <w:szCs w:val="24"/>
        </w:rPr>
        <w:t>CDFI Bond Guarantee Program</w:t>
      </w:r>
      <w:r w:rsidR="00B4012E">
        <w:rPr>
          <w:rFonts w:ascii="Times New Roman" w:eastAsia="Times New Roman" w:hAnsi="Times New Roman"/>
          <w:sz w:val="24"/>
          <w:szCs w:val="24"/>
        </w:rPr>
        <w:t xml:space="preserve"> requires </w:t>
      </w:r>
      <w:r w:rsidR="000D459F">
        <w:rPr>
          <w:rFonts w:ascii="Times New Roman" w:eastAsia="Times New Roman" w:hAnsi="Times New Roman"/>
          <w:sz w:val="24"/>
          <w:szCs w:val="24"/>
        </w:rPr>
        <w:t>that</w:t>
      </w:r>
      <w:r w:rsidR="00CB2847">
        <w:rPr>
          <w:rFonts w:ascii="Times New Roman" w:eastAsia="Times New Roman" w:hAnsi="Times New Roman"/>
          <w:sz w:val="24"/>
          <w:szCs w:val="24"/>
        </w:rPr>
        <w:t xml:space="preserve">  Eligible CDFIs </w:t>
      </w:r>
      <w:r w:rsidR="00B4012E">
        <w:rPr>
          <w:rFonts w:ascii="Times New Roman" w:eastAsia="Times New Roman" w:hAnsi="Times New Roman"/>
          <w:sz w:val="24"/>
          <w:szCs w:val="24"/>
        </w:rPr>
        <w:t xml:space="preserve">meet the following </w:t>
      </w:r>
      <w:r w:rsidR="005552DA">
        <w:rPr>
          <w:rFonts w:ascii="Times New Roman" w:eastAsia="Times New Roman" w:hAnsi="Times New Roman"/>
          <w:sz w:val="24"/>
          <w:szCs w:val="24"/>
        </w:rPr>
        <w:t xml:space="preserve">MINIMUM </w:t>
      </w:r>
      <w:r w:rsidR="004A073D">
        <w:rPr>
          <w:rFonts w:ascii="Times New Roman" w:eastAsia="Times New Roman" w:hAnsi="Times New Roman"/>
          <w:sz w:val="24"/>
          <w:szCs w:val="24"/>
        </w:rPr>
        <w:t>g</w:t>
      </w:r>
      <w:r w:rsidR="00B4012E">
        <w:rPr>
          <w:rFonts w:ascii="Times New Roman" w:eastAsia="Times New Roman" w:hAnsi="Times New Roman"/>
          <w:sz w:val="24"/>
          <w:szCs w:val="24"/>
        </w:rPr>
        <w:t>uidelines</w:t>
      </w:r>
      <w:r w:rsidR="002D449F">
        <w:rPr>
          <w:rFonts w:ascii="Times New Roman" w:eastAsia="Times New Roman" w:hAnsi="Times New Roman"/>
          <w:sz w:val="24"/>
          <w:szCs w:val="24"/>
        </w:rPr>
        <w:t xml:space="preserve"> for credit evaluation and deliberation</w:t>
      </w:r>
      <w:r w:rsidR="004A073D">
        <w:rPr>
          <w:rFonts w:ascii="Times New Roman" w:eastAsia="Times New Roman" w:hAnsi="Times New Roman"/>
          <w:sz w:val="24"/>
          <w:szCs w:val="24"/>
        </w:rPr>
        <w:t>:</w:t>
      </w:r>
      <w:r w:rsidR="00B4012E">
        <w:rPr>
          <w:rFonts w:ascii="Times New Roman" w:eastAsia="Times New Roman" w:hAnsi="Times New Roman"/>
          <w:sz w:val="24"/>
          <w:szCs w:val="24"/>
        </w:rPr>
        <w:t xml:space="preserve">  </w:t>
      </w:r>
    </w:p>
    <w:p w14:paraId="1D5EBCA1" w14:textId="77777777" w:rsidR="00365630" w:rsidRDefault="00365630" w:rsidP="002515AB">
      <w:pPr>
        <w:spacing w:after="0" w:line="240" w:lineRule="auto"/>
        <w:jc w:val="both"/>
        <w:rPr>
          <w:rFonts w:ascii="Times New Roman" w:eastAsia="Times New Roman" w:hAnsi="Times New Roman"/>
          <w:b/>
          <w:smallCaps/>
          <w:sz w:val="24"/>
          <w:szCs w:val="24"/>
        </w:rPr>
      </w:pPr>
      <w:r w:rsidRPr="004E63AC">
        <w:rPr>
          <w:rFonts w:ascii="Times New Roman" w:eastAsia="Times New Roman" w:hAnsi="Times New Roman"/>
          <w:b/>
          <w:smallCaps/>
          <w:sz w:val="24"/>
          <w:szCs w:val="24"/>
        </w:rPr>
        <w:t>Governance &amp; Organization</w:t>
      </w:r>
    </w:p>
    <w:p w14:paraId="1D5EBCA2" w14:textId="6503EDD2" w:rsidR="00B4012E" w:rsidRDefault="00365630" w:rsidP="002515AB">
      <w:pPr>
        <w:spacing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The </w:t>
      </w:r>
      <w:r w:rsidRPr="00190099">
        <w:rPr>
          <w:rFonts w:ascii="Times New Roman" w:eastAsia="Times New Roman" w:hAnsi="Times New Roman"/>
          <w:sz w:val="24"/>
          <w:szCs w:val="24"/>
        </w:rPr>
        <w:t>Eligible CDFI</w:t>
      </w:r>
      <w:r>
        <w:rPr>
          <w:rFonts w:ascii="Times New Roman" w:eastAsia="Times New Roman" w:hAnsi="Times New Roman"/>
          <w:sz w:val="24"/>
          <w:szCs w:val="24"/>
        </w:rPr>
        <w:t xml:space="preserve"> must have governance and organizational structures that support lending practices co</w:t>
      </w:r>
      <w:r w:rsidR="00094D0B">
        <w:rPr>
          <w:rFonts w:ascii="Times New Roman" w:eastAsia="Times New Roman" w:hAnsi="Times New Roman"/>
          <w:sz w:val="24"/>
          <w:szCs w:val="24"/>
        </w:rPr>
        <w:t>nsistent with its mission.  These governance and organizational structures</w:t>
      </w:r>
      <w:r>
        <w:rPr>
          <w:rFonts w:ascii="Times New Roman" w:eastAsia="Times New Roman" w:hAnsi="Times New Roman"/>
          <w:sz w:val="24"/>
          <w:szCs w:val="24"/>
        </w:rPr>
        <w:t xml:space="preserve"> must include:  </w:t>
      </w:r>
    </w:p>
    <w:p w14:paraId="1D5EBCA3" w14:textId="77777777" w:rsidR="00365630" w:rsidRDefault="00365630" w:rsidP="002515AB">
      <w:pPr>
        <w:spacing w:after="0" w:line="240" w:lineRule="auto"/>
        <w:ind w:left="360"/>
        <w:jc w:val="both"/>
        <w:rPr>
          <w:rFonts w:ascii="Times New Roman" w:eastAsia="Times New Roman" w:hAnsi="Times New Roman"/>
          <w:sz w:val="24"/>
          <w:szCs w:val="24"/>
        </w:rPr>
      </w:pPr>
    </w:p>
    <w:p w14:paraId="1D5EBCA4" w14:textId="14091ECC" w:rsidR="00B4012E" w:rsidRDefault="00B4012E" w:rsidP="002515AB">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A governance structure that includes a </w:t>
      </w:r>
      <w:r w:rsidR="00184D13">
        <w:rPr>
          <w:rFonts w:ascii="Times New Roman" w:eastAsia="Times New Roman" w:hAnsi="Times New Roman"/>
          <w:sz w:val="24"/>
          <w:szCs w:val="24"/>
        </w:rPr>
        <w:t>b</w:t>
      </w:r>
      <w:r>
        <w:rPr>
          <w:rFonts w:ascii="Times New Roman" w:eastAsia="Times New Roman" w:hAnsi="Times New Roman"/>
          <w:sz w:val="24"/>
          <w:szCs w:val="24"/>
        </w:rPr>
        <w:t xml:space="preserve">oard of </w:t>
      </w:r>
      <w:r w:rsidR="00184D13">
        <w:rPr>
          <w:rFonts w:ascii="Times New Roman" w:eastAsia="Times New Roman" w:hAnsi="Times New Roman"/>
          <w:sz w:val="24"/>
          <w:szCs w:val="24"/>
        </w:rPr>
        <w:t>d</w:t>
      </w:r>
      <w:r>
        <w:rPr>
          <w:rFonts w:ascii="Times New Roman" w:eastAsia="Times New Roman" w:hAnsi="Times New Roman"/>
          <w:sz w:val="24"/>
          <w:szCs w:val="24"/>
        </w:rPr>
        <w:t xml:space="preserve">irectors </w:t>
      </w:r>
      <w:r w:rsidR="00DC77C9">
        <w:rPr>
          <w:rFonts w:ascii="Times New Roman" w:eastAsia="Times New Roman" w:hAnsi="Times New Roman"/>
          <w:sz w:val="24"/>
          <w:szCs w:val="24"/>
        </w:rPr>
        <w:t>or equivalent body (e.g. executive committee)</w:t>
      </w:r>
      <w:r w:rsidR="00B245F9">
        <w:rPr>
          <w:rFonts w:ascii="Times New Roman" w:eastAsia="Times New Roman" w:hAnsi="Times New Roman"/>
          <w:sz w:val="24"/>
          <w:szCs w:val="24"/>
        </w:rPr>
        <w:t>;</w:t>
      </w:r>
    </w:p>
    <w:p w14:paraId="1D5EBCA5" w14:textId="425E9D83" w:rsidR="00B4012E" w:rsidRDefault="00A76EC0" w:rsidP="002515AB">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00B4012E" w:rsidRPr="009033FE">
        <w:rPr>
          <w:rFonts w:ascii="Times New Roman" w:eastAsia="Times New Roman" w:hAnsi="Times New Roman"/>
          <w:sz w:val="24"/>
          <w:szCs w:val="24"/>
        </w:rPr>
        <w:t xml:space="preserve">olicies and procedures related to loan </w:t>
      </w:r>
      <w:r w:rsidR="00184D13">
        <w:rPr>
          <w:rFonts w:ascii="Times New Roman" w:eastAsia="Times New Roman" w:hAnsi="Times New Roman"/>
          <w:sz w:val="24"/>
          <w:szCs w:val="24"/>
        </w:rPr>
        <w:t xml:space="preserve">review, underwriting and </w:t>
      </w:r>
      <w:r w:rsidR="00B4012E" w:rsidRPr="009033FE">
        <w:rPr>
          <w:rFonts w:ascii="Times New Roman" w:eastAsia="Times New Roman" w:hAnsi="Times New Roman"/>
          <w:sz w:val="24"/>
          <w:szCs w:val="24"/>
        </w:rPr>
        <w:t>approval</w:t>
      </w:r>
      <w:r w:rsidR="00B245F9">
        <w:rPr>
          <w:rFonts w:ascii="Times New Roman" w:eastAsia="Times New Roman" w:hAnsi="Times New Roman"/>
          <w:sz w:val="24"/>
          <w:szCs w:val="24"/>
        </w:rPr>
        <w:t>; and</w:t>
      </w:r>
    </w:p>
    <w:p w14:paraId="1D5EBCA6" w14:textId="77777777" w:rsidR="00B4012E" w:rsidRDefault="00A76EC0" w:rsidP="002515AB">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B4012E" w:rsidRPr="009033FE">
        <w:rPr>
          <w:rFonts w:ascii="Times New Roman" w:eastAsia="Times New Roman" w:hAnsi="Times New Roman"/>
          <w:sz w:val="24"/>
          <w:szCs w:val="24"/>
        </w:rPr>
        <w:t xml:space="preserve">elegations of authority related to </w:t>
      </w:r>
      <w:r w:rsidR="00B4012E">
        <w:rPr>
          <w:rFonts w:ascii="Times New Roman" w:eastAsia="Times New Roman" w:hAnsi="Times New Roman"/>
          <w:sz w:val="24"/>
          <w:szCs w:val="24"/>
        </w:rPr>
        <w:t xml:space="preserve">loan </w:t>
      </w:r>
      <w:r w:rsidR="00B4012E" w:rsidRPr="009033FE">
        <w:rPr>
          <w:rFonts w:ascii="Times New Roman" w:eastAsia="Times New Roman" w:hAnsi="Times New Roman"/>
          <w:sz w:val="24"/>
          <w:szCs w:val="24"/>
        </w:rPr>
        <w:t>approvals, consents, waivers and modifications.</w:t>
      </w:r>
    </w:p>
    <w:p w14:paraId="1D5EBCA7" w14:textId="77777777" w:rsidR="00B4012E" w:rsidRPr="00B4012E" w:rsidRDefault="00B4012E" w:rsidP="002515AB">
      <w:pPr>
        <w:spacing w:after="0" w:line="240" w:lineRule="auto"/>
        <w:ind w:left="360"/>
        <w:jc w:val="both"/>
        <w:rPr>
          <w:rFonts w:ascii="Times New Roman" w:eastAsia="Times New Roman" w:hAnsi="Times New Roman"/>
          <w:smallCaps/>
          <w:sz w:val="24"/>
          <w:szCs w:val="24"/>
        </w:rPr>
      </w:pPr>
    </w:p>
    <w:p w14:paraId="1D5EBCA8" w14:textId="77777777" w:rsidR="00B4012E" w:rsidRDefault="00B4012E" w:rsidP="002515AB">
      <w:pPr>
        <w:spacing w:after="0" w:line="240" w:lineRule="auto"/>
        <w:jc w:val="both"/>
        <w:rPr>
          <w:rFonts w:ascii="Times New Roman" w:eastAsia="Times New Roman" w:hAnsi="Times New Roman"/>
          <w:b/>
          <w:smallCaps/>
          <w:sz w:val="24"/>
          <w:szCs w:val="24"/>
        </w:rPr>
      </w:pPr>
      <w:r w:rsidRPr="004E63AC">
        <w:rPr>
          <w:rFonts w:ascii="Times New Roman" w:eastAsia="Times New Roman" w:hAnsi="Times New Roman"/>
          <w:b/>
          <w:smallCaps/>
          <w:sz w:val="24"/>
          <w:szCs w:val="24"/>
        </w:rPr>
        <w:t>Loan Policies and Procedures</w:t>
      </w:r>
    </w:p>
    <w:p w14:paraId="1D5EBCA9" w14:textId="77777777" w:rsidR="00B4012E" w:rsidRDefault="000D459F" w:rsidP="002515AB">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The </w:t>
      </w:r>
      <w:r w:rsidR="00B4012E" w:rsidRPr="00190099">
        <w:rPr>
          <w:rFonts w:ascii="Times New Roman" w:eastAsia="Times New Roman" w:hAnsi="Times New Roman"/>
          <w:sz w:val="24"/>
          <w:szCs w:val="24"/>
        </w:rPr>
        <w:t>Eligible CDFI</w:t>
      </w:r>
      <w:r w:rsidR="00B4012E">
        <w:rPr>
          <w:rFonts w:ascii="Times New Roman" w:eastAsia="Times New Roman" w:hAnsi="Times New Roman"/>
          <w:sz w:val="24"/>
          <w:szCs w:val="24"/>
        </w:rPr>
        <w:t xml:space="preserve"> </w:t>
      </w:r>
      <w:r>
        <w:rPr>
          <w:rFonts w:ascii="Times New Roman" w:eastAsia="Times New Roman" w:hAnsi="Times New Roman"/>
          <w:sz w:val="24"/>
          <w:szCs w:val="24"/>
        </w:rPr>
        <w:t>must</w:t>
      </w:r>
      <w:r w:rsidR="00B4012E">
        <w:rPr>
          <w:rFonts w:ascii="Times New Roman" w:eastAsia="Times New Roman" w:hAnsi="Times New Roman"/>
          <w:sz w:val="24"/>
          <w:szCs w:val="24"/>
        </w:rPr>
        <w:t xml:space="preserve"> have established policies and procedures that govern </w:t>
      </w:r>
      <w:r>
        <w:rPr>
          <w:rFonts w:ascii="Times New Roman" w:eastAsia="Times New Roman" w:hAnsi="Times New Roman"/>
          <w:sz w:val="24"/>
          <w:szCs w:val="24"/>
        </w:rPr>
        <w:t>its</w:t>
      </w:r>
      <w:r w:rsidR="00B4012E">
        <w:rPr>
          <w:rFonts w:ascii="Times New Roman" w:eastAsia="Times New Roman" w:hAnsi="Times New Roman"/>
          <w:sz w:val="24"/>
          <w:szCs w:val="24"/>
        </w:rPr>
        <w:t xml:space="preserve"> lending activities. </w:t>
      </w:r>
      <w:r w:rsidR="00B4012E" w:rsidRPr="00F5734D">
        <w:rPr>
          <w:rFonts w:ascii="Times New Roman" w:eastAsia="Times New Roman" w:hAnsi="Times New Roman"/>
          <w:sz w:val="24"/>
          <w:szCs w:val="24"/>
        </w:rPr>
        <w:t xml:space="preserve">The CDFI Bond Guarantee Program requires </w:t>
      </w:r>
      <w:r>
        <w:rPr>
          <w:rFonts w:ascii="Times New Roman" w:eastAsia="Times New Roman" w:hAnsi="Times New Roman"/>
          <w:sz w:val="24"/>
          <w:szCs w:val="24"/>
        </w:rPr>
        <w:t xml:space="preserve">that </w:t>
      </w:r>
      <w:r w:rsidR="00B4012E" w:rsidRPr="00F5734D">
        <w:rPr>
          <w:rFonts w:ascii="Times New Roman" w:eastAsia="Times New Roman" w:hAnsi="Times New Roman"/>
          <w:sz w:val="24"/>
          <w:szCs w:val="24"/>
        </w:rPr>
        <w:t>these policies and procedures</w:t>
      </w:r>
      <w:r w:rsidR="004A073D">
        <w:rPr>
          <w:rFonts w:ascii="Times New Roman" w:eastAsia="Times New Roman" w:hAnsi="Times New Roman"/>
          <w:sz w:val="24"/>
          <w:szCs w:val="24"/>
        </w:rPr>
        <w:t>:</w:t>
      </w:r>
      <w:r w:rsidR="00B4012E">
        <w:rPr>
          <w:rFonts w:ascii="Times New Roman" w:eastAsia="Times New Roman" w:hAnsi="Times New Roman"/>
          <w:sz w:val="24"/>
          <w:szCs w:val="24"/>
        </w:rPr>
        <w:t xml:space="preserve">  </w:t>
      </w:r>
    </w:p>
    <w:p w14:paraId="1D5EBCAA" w14:textId="77777777" w:rsidR="00B4012E" w:rsidRDefault="00B4012E" w:rsidP="002515AB">
      <w:pPr>
        <w:spacing w:after="0" w:line="240" w:lineRule="auto"/>
        <w:ind w:left="360"/>
        <w:rPr>
          <w:rFonts w:ascii="Times New Roman" w:eastAsia="Times New Roman" w:hAnsi="Times New Roman"/>
          <w:sz w:val="24"/>
          <w:szCs w:val="24"/>
        </w:rPr>
      </w:pPr>
    </w:p>
    <w:p w14:paraId="1D5EBCAB" w14:textId="61C2DD1B" w:rsidR="00B4012E" w:rsidRDefault="00D76072" w:rsidP="002515AB">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Include </w:t>
      </w:r>
      <w:r w:rsidR="000D459F">
        <w:rPr>
          <w:rFonts w:ascii="Times New Roman" w:eastAsia="Times New Roman" w:hAnsi="Times New Roman"/>
          <w:sz w:val="24"/>
          <w:szCs w:val="24"/>
        </w:rPr>
        <w:t>d</w:t>
      </w:r>
      <w:r w:rsidR="00B4012E">
        <w:rPr>
          <w:rFonts w:ascii="Times New Roman" w:eastAsia="Times New Roman" w:hAnsi="Times New Roman"/>
          <w:sz w:val="24"/>
          <w:szCs w:val="24"/>
        </w:rPr>
        <w:t xml:space="preserve">ocumented loan policies and procedures that are approved by the </w:t>
      </w:r>
      <w:r w:rsidR="005B6A3B">
        <w:rPr>
          <w:rFonts w:ascii="Times New Roman" w:eastAsia="Times New Roman" w:hAnsi="Times New Roman"/>
          <w:sz w:val="24"/>
          <w:szCs w:val="24"/>
        </w:rPr>
        <w:t>Eligible CDFI’s b</w:t>
      </w:r>
      <w:r w:rsidR="00B4012E">
        <w:rPr>
          <w:rFonts w:ascii="Times New Roman" w:eastAsia="Times New Roman" w:hAnsi="Times New Roman"/>
          <w:sz w:val="24"/>
          <w:szCs w:val="24"/>
        </w:rPr>
        <w:t xml:space="preserve">oard of </w:t>
      </w:r>
      <w:r w:rsidR="005B6A3B">
        <w:rPr>
          <w:rFonts w:ascii="Times New Roman" w:eastAsia="Times New Roman" w:hAnsi="Times New Roman"/>
          <w:sz w:val="24"/>
          <w:szCs w:val="24"/>
        </w:rPr>
        <w:t>d</w:t>
      </w:r>
      <w:r w:rsidR="00B4012E">
        <w:rPr>
          <w:rFonts w:ascii="Times New Roman" w:eastAsia="Times New Roman" w:hAnsi="Times New Roman"/>
          <w:sz w:val="24"/>
          <w:szCs w:val="24"/>
        </w:rPr>
        <w:t>irectors</w:t>
      </w:r>
      <w:r w:rsidR="00DC77C9">
        <w:rPr>
          <w:rFonts w:ascii="Times New Roman" w:eastAsia="Times New Roman" w:hAnsi="Times New Roman"/>
          <w:sz w:val="24"/>
          <w:szCs w:val="24"/>
        </w:rPr>
        <w:t xml:space="preserve"> (or equivalent body)</w:t>
      </w:r>
      <w:r w:rsidR="00B245F9">
        <w:rPr>
          <w:rFonts w:ascii="Times New Roman" w:eastAsia="Times New Roman" w:hAnsi="Times New Roman"/>
          <w:sz w:val="24"/>
          <w:szCs w:val="24"/>
        </w:rPr>
        <w:t>;</w:t>
      </w:r>
    </w:p>
    <w:p w14:paraId="17315166" w14:textId="75BFB8D8" w:rsidR="00652015" w:rsidRDefault="00652015" w:rsidP="00652015">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Include a process for the update and approval of loan policies and procedures</w:t>
      </w:r>
      <w:r w:rsidR="00B245F9">
        <w:rPr>
          <w:rFonts w:ascii="Times New Roman" w:eastAsia="Times New Roman" w:hAnsi="Times New Roman"/>
          <w:sz w:val="24"/>
          <w:szCs w:val="24"/>
        </w:rPr>
        <w:t>; and</w:t>
      </w:r>
    </w:p>
    <w:p w14:paraId="1D5EBCAC" w14:textId="77777777" w:rsidR="00B4012E" w:rsidRDefault="000D459F" w:rsidP="002515AB">
      <w:pPr>
        <w:numPr>
          <w:ilvl w:val="0"/>
          <w:numId w:val="1"/>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Address</w:t>
      </w:r>
      <w:r w:rsidR="00B4012E">
        <w:rPr>
          <w:rFonts w:ascii="Times New Roman" w:eastAsia="Times New Roman" w:hAnsi="Times New Roman"/>
          <w:sz w:val="24"/>
          <w:szCs w:val="24"/>
        </w:rPr>
        <w:t>:</w:t>
      </w:r>
    </w:p>
    <w:p w14:paraId="1D5EBCAD" w14:textId="62C777DD" w:rsidR="00B4012E" w:rsidRDefault="00B4012E" w:rsidP="002515AB">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Loan </w:t>
      </w:r>
      <w:r w:rsidR="000D459F">
        <w:rPr>
          <w:rFonts w:ascii="Times New Roman" w:eastAsia="Times New Roman" w:hAnsi="Times New Roman"/>
          <w:sz w:val="24"/>
          <w:szCs w:val="24"/>
        </w:rPr>
        <w:t>o</w:t>
      </w:r>
      <w:r>
        <w:rPr>
          <w:rFonts w:ascii="Times New Roman" w:eastAsia="Times New Roman" w:hAnsi="Times New Roman"/>
          <w:sz w:val="24"/>
          <w:szCs w:val="24"/>
        </w:rPr>
        <w:t xml:space="preserve">rigination </w:t>
      </w:r>
      <w:r w:rsidR="000D459F">
        <w:rPr>
          <w:rFonts w:ascii="Times New Roman" w:eastAsia="Times New Roman" w:hAnsi="Times New Roman"/>
          <w:sz w:val="24"/>
          <w:szCs w:val="24"/>
        </w:rPr>
        <w:t>and</w:t>
      </w:r>
      <w:r>
        <w:rPr>
          <w:rFonts w:ascii="Times New Roman" w:eastAsia="Times New Roman" w:hAnsi="Times New Roman"/>
          <w:sz w:val="24"/>
          <w:szCs w:val="24"/>
        </w:rPr>
        <w:t xml:space="preserve"> </w:t>
      </w:r>
      <w:r w:rsidR="000D459F">
        <w:rPr>
          <w:rFonts w:ascii="Times New Roman" w:eastAsia="Times New Roman" w:hAnsi="Times New Roman"/>
          <w:sz w:val="24"/>
          <w:szCs w:val="24"/>
        </w:rPr>
        <w:t>u</w:t>
      </w:r>
      <w:r>
        <w:rPr>
          <w:rFonts w:ascii="Times New Roman" w:eastAsia="Times New Roman" w:hAnsi="Times New Roman"/>
          <w:sz w:val="24"/>
          <w:szCs w:val="24"/>
        </w:rPr>
        <w:t>nderwriting</w:t>
      </w:r>
      <w:r w:rsidR="00094D0B">
        <w:rPr>
          <w:rFonts w:ascii="Times New Roman" w:eastAsia="Times New Roman" w:hAnsi="Times New Roman"/>
          <w:sz w:val="24"/>
          <w:szCs w:val="24"/>
        </w:rPr>
        <w:t>;</w:t>
      </w:r>
    </w:p>
    <w:p w14:paraId="1D5EBCAE" w14:textId="194E4CAD" w:rsidR="00B4012E" w:rsidRDefault="00B4012E" w:rsidP="003A3B3F">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Permitted </w:t>
      </w:r>
      <w:r w:rsidR="000D459F">
        <w:rPr>
          <w:rFonts w:ascii="Times New Roman" w:eastAsia="Times New Roman" w:hAnsi="Times New Roman"/>
          <w:sz w:val="24"/>
          <w:szCs w:val="24"/>
        </w:rPr>
        <w:t>l</w:t>
      </w:r>
      <w:r>
        <w:rPr>
          <w:rFonts w:ascii="Times New Roman" w:eastAsia="Times New Roman" w:hAnsi="Times New Roman"/>
          <w:sz w:val="24"/>
          <w:szCs w:val="24"/>
        </w:rPr>
        <w:t xml:space="preserve">ending </w:t>
      </w:r>
      <w:r w:rsidR="000D459F">
        <w:rPr>
          <w:rFonts w:ascii="Times New Roman" w:eastAsia="Times New Roman" w:hAnsi="Times New Roman"/>
          <w:sz w:val="24"/>
          <w:szCs w:val="24"/>
        </w:rPr>
        <w:t>a</w:t>
      </w:r>
      <w:r>
        <w:rPr>
          <w:rFonts w:ascii="Times New Roman" w:eastAsia="Times New Roman" w:hAnsi="Times New Roman"/>
          <w:sz w:val="24"/>
          <w:szCs w:val="24"/>
        </w:rPr>
        <w:t>ctivities</w:t>
      </w:r>
      <w:r w:rsidR="00094D0B">
        <w:rPr>
          <w:rFonts w:ascii="Times New Roman" w:eastAsia="Times New Roman" w:hAnsi="Times New Roman"/>
          <w:sz w:val="24"/>
          <w:szCs w:val="24"/>
        </w:rPr>
        <w:t>;</w:t>
      </w:r>
    </w:p>
    <w:p w14:paraId="1D5EBCAF" w14:textId="6BE05832" w:rsidR="009A3B0B" w:rsidRDefault="009A3B0B" w:rsidP="009A3B0B">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Secondary Loan interest rates compared with Bond Loan interest rates</w:t>
      </w:r>
      <w:r w:rsidR="00094D0B">
        <w:rPr>
          <w:rFonts w:ascii="Times New Roman" w:eastAsia="Times New Roman" w:hAnsi="Times New Roman"/>
          <w:sz w:val="24"/>
          <w:szCs w:val="24"/>
        </w:rPr>
        <w:t>;</w:t>
      </w:r>
    </w:p>
    <w:p w14:paraId="1D5EBCB0" w14:textId="18A45DB8" w:rsidR="00B4012E" w:rsidRDefault="00B4012E" w:rsidP="003A3B3F">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Credit </w:t>
      </w:r>
      <w:r w:rsidR="000D459F">
        <w:rPr>
          <w:rFonts w:ascii="Times New Roman" w:eastAsia="Times New Roman" w:hAnsi="Times New Roman"/>
          <w:sz w:val="24"/>
          <w:szCs w:val="24"/>
        </w:rPr>
        <w:t>a</w:t>
      </w:r>
      <w:r>
        <w:rPr>
          <w:rFonts w:ascii="Times New Roman" w:eastAsia="Times New Roman" w:hAnsi="Times New Roman"/>
          <w:sz w:val="24"/>
          <w:szCs w:val="24"/>
        </w:rPr>
        <w:t>pproval</w:t>
      </w:r>
      <w:r w:rsidR="00094D0B">
        <w:rPr>
          <w:rFonts w:ascii="Times New Roman" w:eastAsia="Times New Roman" w:hAnsi="Times New Roman"/>
          <w:sz w:val="24"/>
          <w:szCs w:val="24"/>
        </w:rPr>
        <w:t>;</w:t>
      </w:r>
    </w:p>
    <w:p w14:paraId="1D5EBCB1" w14:textId="74AC105E" w:rsidR="009A3B0B" w:rsidRDefault="009A3B0B" w:rsidP="009A3B0B">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Commitment and closing requirements</w:t>
      </w:r>
      <w:r w:rsidR="00094D0B">
        <w:rPr>
          <w:rFonts w:ascii="Times New Roman" w:eastAsia="Times New Roman" w:hAnsi="Times New Roman"/>
          <w:sz w:val="24"/>
          <w:szCs w:val="24"/>
        </w:rPr>
        <w:t>;</w:t>
      </w:r>
    </w:p>
    <w:p w14:paraId="1D5EBCB2" w14:textId="07FCCCA7" w:rsidR="009A3B0B" w:rsidRDefault="009A3B0B" w:rsidP="009A3B0B">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Pre-development, construction, and lease-up period management, monitoring, and risk mitigation (if applicable)</w:t>
      </w:r>
      <w:r w:rsidR="00094D0B">
        <w:rPr>
          <w:rFonts w:ascii="Times New Roman" w:eastAsia="Times New Roman" w:hAnsi="Times New Roman"/>
          <w:sz w:val="24"/>
          <w:szCs w:val="24"/>
        </w:rPr>
        <w:t>;</w:t>
      </w:r>
    </w:p>
    <w:p w14:paraId="1D5EBCB3" w14:textId="0843E8BB" w:rsidR="00B4012E" w:rsidRDefault="00B4012E" w:rsidP="003A3B3F">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Credit </w:t>
      </w:r>
      <w:r w:rsidR="000D459F">
        <w:rPr>
          <w:rFonts w:ascii="Times New Roman" w:eastAsia="Times New Roman" w:hAnsi="Times New Roman"/>
          <w:sz w:val="24"/>
          <w:szCs w:val="24"/>
        </w:rPr>
        <w:t>r</w:t>
      </w:r>
      <w:r>
        <w:rPr>
          <w:rFonts w:ascii="Times New Roman" w:eastAsia="Times New Roman" w:hAnsi="Times New Roman"/>
          <w:sz w:val="24"/>
          <w:szCs w:val="24"/>
        </w:rPr>
        <w:t xml:space="preserve">eporting </w:t>
      </w:r>
      <w:r w:rsidR="000D459F">
        <w:rPr>
          <w:rFonts w:ascii="Times New Roman" w:eastAsia="Times New Roman" w:hAnsi="Times New Roman"/>
          <w:sz w:val="24"/>
          <w:szCs w:val="24"/>
        </w:rPr>
        <w:t>m</w:t>
      </w:r>
      <w:r>
        <w:rPr>
          <w:rFonts w:ascii="Times New Roman" w:eastAsia="Times New Roman" w:hAnsi="Times New Roman"/>
          <w:sz w:val="24"/>
          <w:szCs w:val="24"/>
        </w:rPr>
        <w:t xml:space="preserve">etrics and </w:t>
      </w:r>
      <w:r w:rsidR="000D459F">
        <w:rPr>
          <w:rFonts w:ascii="Times New Roman" w:eastAsia="Times New Roman" w:hAnsi="Times New Roman"/>
          <w:sz w:val="24"/>
          <w:szCs w:val="24"/>
        </w:rPr>
        <w:t>r</w:t>
      </w:r>
      <w:r>
        <w:rPr>
          <w:rFonts w:ascii="Times New Roman" w:eastAsia="Times New Roman" w:hAnsi="Times New Roman"/>
          <w:sz w:val="24"/>
          <w:szCs w:val="24"/>
        </w:rPr>
        <w:t xml:space="preserve">eserve </w:t>
      </w:r>
      <w:r w:rsidR="000D459F">
        <w:rPr>
          <w:rFonts w:ascii="Times New Roman" w:eastAsia="Times New Roman" w:hAnsi="Times New Roman"/>
          <w:sz w:val="24"/>
          <w:szCs w:val="24"/>
        </w:rPr>
        <w:t>p</w:t>
      </w:r>
      <w:r>
        <w:rPr>
          <w:rFonts w:ascii="Times New Roman" w:eastAsia="Times New Roman" w:hAnsi="Times New Roman"/>
          <w:sz w:val="24"/>
          <w:szCs w:val="24"/>
        </w:rPr>
        <w:t>olicies</w:t>
      </w:r>
      <w:r w:rsidR="00094D0B">
        <w:rPr>
          <w:rFonts w:ascii="Times New Roman" w:eastAsia="Times New Roman" w:hAnsi="Times New Roman"/>
          <w:sz w:val="24"/>
          <w:szCs w:val="24"/>
        </w:rPr>
        <w:t>;</w:t>
      </w:r>
    </w:p>
    <w:p w14:paraId="1D5EBCB4" w14:textId="3043FB0B" w:rsidR="00B4012E" w:rsidRDefault="00B4012E" w:rsidP="003A3B3F">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Credit </w:t>
      </w:r>
      <w:r w:rsidR="000D459F">
        <w:rPr>
          <w:rFonts w:ascii="Times New Roman" w:eastAsia="Times New Roman" w:hAnsi="Times New Roman"/>
          <w:sz w:val="24"/>
          <w:szCs w:val="24"/>
        </w:rPr>
        <w:t>and</w:t>
      </w:r>
      <w:r>
        <w:rPr>
          <w:rFonts w:ascii="Times New Roman" w:eastAsia="Times New Roman" w:hAnsi="Times New Roman"/>
          <w:sz w:val="24"/>
          <w:szCs w:val="24"/>
        </w:rPr>
        <w:t xml:space="preserve"> </w:t>
      </w:r>
      <w:r w:rsidR="000D459F">
        <w:rPr>
          <w:rFonts w:ascii="Times New Roman" w:eastAsia="Times New Roman" w:hAnsi="Times New Roman"/>
          <w:sz w:val="24"/>
          <w:szCs w:val="24"/>
        </w:rPr>
        <w:t>r</w:t>
      </w:r>
      <w:r>
        <w:rPr>
          <w:rFonts w:ascii="Times New Roman" w:eastAsia="Times New Roman" w:hAnsi="Times New Roman"/>
          <w:sz w:val="24"/>
          <w:szCs w:val="24"/>
        </w:rPr>
        <w:t xml:space="preserve">isk </w:t>
      </w:r>
      <w:r w:rsidR="000D459F">
        <w:rPr>
          <w:rFonts w:ascii="Times New Roman" w:eastAsia="Times New Roman" w:hAnsi="Times New Roman"/>
          <w:sz w:val="24"/>
          <w:szCs w:val="24"/>
        </w:rPr>
        <w:t>m</w:t>
      </w:r>
      <w:r>
        <w:rPr>
          <w:rFonts w:ascii="Times New Roman" w:eastAsia="Times New Roman" w:hAnsi="Times New Roman"/>
          <w:sz w:val="24"/>
          <w:szCs w:val="24"/>
        </w:rPr>
        <w:t>anagement</w:t>
      </w:r>
      <w:r w:rsidR="00094D0B">
        <w:rPr>
          <w:rFonts w:ascii="Times New Roman" w:eastAsia="Times New Roman" w:hAnsi="Times New Roman"/>
          <w:sz w:val="24"/>
          <w:szCs w:val="24"/>
        </w:rPr>
        <w:t>;</w:t>
      </w:r>
    </w:p>
    <w:p w14:paraId="1D5EBCB5" w14:textId="3B0295CF" w:rsidR="00F86D29" w:rsidRDefault="00B4012E" w:rsidP="003A3B3F">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Loan and </w:t>
      </w:r>
      <w:r w:rsidR="000D459F">
        <w:rPr>
          <w:rFonts w:ascii="Times New Roman" w:eastAsia="Times New Roman" w:hAnsi="Times New Roman"/>
          <w:sz w:val="24"/>
          <w:szCs w:val="24"/>
        </w:rPr>
        <w:t>p</w:t>
      </w:r>
      <w:r>
        <w:rPr>
          <w:rFonts w:ascii="Times New Roman" w:eastAsia="Times New Roman" w:hAnsi="Times New Roman"/>
          <w:sz w:val="24"/>
          <w:szCs w:val="24"/>
        </w:rPr>
        <w:t xml:space="preserve">ortfolio </w:t>
      </w:r>
      <w:r w:rsidR="000D459F">
        <w:rPr>
          <w:rFonts w:ascii="Times New Roman" w:eastAsia="Times New Roman" w:hAnsi="Times New Roman"/>
          <w:sz w:val="24"/>
          <w:szCs w:val="24"/>
        </w:rPr>
        <w:t>m</w:t>
      </w:r>
      <w:r>
        <w:rPr>
          <w:rFonts w:ascii="Times New Roman" w:eastAsia="Times New Roman" w:hAnsi="Times New Roman"/>
          <w:sz w:val="24"/>
          <w:szCs w:val="24"/>
        </w:rPr>
        <w:t>onitoring</w:t>
      </w:r>
      <w:r w:rsidR="00094D0B">
        <w:rPr>
          <w:rFonts w:ascii="Times New Roman" w:eastAsia="Times New Roman" w:hAnsi="Times New Roman"/>
          <w:sz w:val="24"/>
          <w:szCs w:val="24"/>
        </w:rPr>
        <w:t>; and</w:t>
      </w:r>
    </w:p>
    <w:p w14:paraId="1D5EBCB6" w14:textId="6D3A049B" w:rsidR="00B4012E" w:rsidRPr="00F86D29" w:rsidRDefault="009A3B0B" w:rsidP="00F86D29">
      <w:pPr>
        <w:numPr>
          <w:ilvl w:val="1"/>
          <w:numId w:val="1"/>
        </w:numPr>
        <w:tabs>
          <w:tab w:val="left" w:pos="144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Consideration of </w:t>
      </w:r>
      <w:r w:rsidR="00F86D29">
        <w:rPr>
          <w:rFonts w:ascii="Times New Roman" w:eastAsia="Times New Roman" w:hAnsi="Times New Roman"/>
          <w:sz w:val="24"/>
          <w:szCs w:val="24"/>
        </w:rPr>
        <w:t>policy exceptions</w:t>
      </w:r>
      <w:r w:rsidR="00094D0B">
        <w:rPr>
          <w:rFonts w:ascii="Times New Roman" w:eastAsia="Times New Roman" w:hAnsi="Times New Roman"/>
          <w:sz w:val="24"/>
          <w:szCs w:val="24"/>
        </w:rPr>
        <w:t>.</w:t>
      </w:r>
    </w:p>
    <w:p w14:paraId="1D5EBCB8" w14:textId="77777777" w:rsidR="00B4012E" w:rsidRDefault="00B4012E" w:rsidP="005C48D0">
      <w:pPr>
        <w:spacing w:after="0" w:line="240" w:lineRule="auto"/>
        <w:ind w:left="360"/>
        <w:jc w:val="both"/>
        <w:rPr>
          <w:rFonts w:ascii="Times New Roman" w:eastAsia="Times New Roman" w:hAnsi="Times New Roman"/>
          <w:sz w:val="24"/>
          <w:szCs w:val="24"/>
        </w:rPr>
      </w:pPr>
    </w:p>
    <w:p w14:paraId="1D5EBCB9" w14:textId="77777777" w:rsidR="00B4012E" w:rsidRDefault="00B4012E" w:rsidP="005C48D0">
      <w:pPr>
        <w:tabs>
          <w:tab w:val="left" w:pos="90"/>
        </w:tabs>
        <w:spacing w:after="0" w:line="240" w:lineRule="auto"/>
        <w:jc w:val="both"/>
        <w:rPr>
          <w:rFonts w:ascii="Times New Roman" w:eastAsia="Times New Roman" w:hAnsi="Times New Roman"/>
          <w:b/>
          <w:smallCaps/>
          <w:sz w:val="24"/>
          <w:szCs w:val="24"/>
        </w:rPr>
      </w:pPr>
      <w:r>
        <w:rPr>
          <w:rFonts w:ascii="Times New Roman" w:eastAsia="Times New Roman" w:hAnsi="Times New Roman"/>
          <w:b/>
          <w:smallCaps/>
          <w:sz w:val="24"/>
          <w:szCs w:val="24"/>
        </w:rPr>
        <w:t>CDFI Bond Guarantee Program Asset Classes</w:t>
      </w:r>
    </w:p>
    <w:p w14:paraId="1D5EBCBA" w14:textId="6AA33221" w:rsidR="00B4012E" w:rsidRDefault="00B4012E" w:rsidP="005C48D0">
      <w:pPr>
        <w:spacing w:after="0"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The following asset cla</w:t>
      </w:r>
      <w:r w:rsidR="004A073D">
        <w:rPr>
          <w:rFonts w:ascii="Times New Roman" w:eastAsia="Times New Roman" w:hAnsi="Times New Roman"/>
          <w:sz w:val="24"/>
          <w:szCs w:val="24"/>
        </w:rPr>
        <w:t xml:space="preserve">sses </w:t>
      </w:r>
      <w:r w:rsidR="000D459F">
        <w:rPr>
          <w:rFonts w:ascii="Times New Roman" w:eastAsia="Times New Roman" w:hAnsi="Times New Roman"/>
          <w:sz w:val="24"/>
          <w:szCs w:val="24"/>
        </w:rPr>
        <w:t xml:space="preserve">are eligible </w:t>
      </w:r>
      <w:r w:rsidR="004A073D">
        <w:rPr>
          <w:rFonts w:ascii="Times New Roman" w:eastAsia="Times New Roman" w:hAnsi="Times New Roman"/>
          <w:sz w:val="24"/>
          <w:szCs w:val="24"/>
        </w:rPr>
        <w:t xml:space="preserve">for </w:t>
      </w:r>
      <w:r w:rsidR="007274E3">
        <w:rPr>
          <w:rFonts w:ascii="Times New Roman" w:eastAsia="Times New Roman" w:hAnsi="Times New Roman"/>
          <w:sz w:val="24"/>
          <w:szCs w:val="24"/>
        </w:rPr>
        <w:t>Secondary Loans</w:t>
      </w:r>
      <w:r w:rsidR="00094D0B">
        <w:rPr>
          <w:rFonts w:ascii="Times New Roman" w:eastAsia="Times New Roman" w:hAnsi="Times New Roman"/>
          <w:sz w:val="24"/>
          <w:szCs w:val="24"/>
        </w:rPr>
        <w:t>.</w:t>
      </w:r>
      <w:r w:rsidR="00091D5E" w:rsidRPr="00091D5E">
        <w:rPr>
          <w:rFonts w:ascii="Times New Roman" w:eastAsia="Times New Roman" w:hAnsi="Times New Roman"/>
          <w:sz w:val="24"/>
          <w:szCs w:val="24"/>
        </w:rPr>
        <w:t xml:space="preserve"> </w:t>
      </w:r>
      <w:r w:rsidR="00091D5E">
        <w:rPr>
          <w:rFonts w:ascii="Times New Roman" w:eastAsia="Times New Roman" w:hAnsi="Times New Roman"/>
          <w:sz w:val="24"/>
          <w:szCs w:val="24"/>
        </w:rPr>
        <w:t xml:space="preserve">If the Eligible CDFI proposes to make a Secondary Loan to these asset classes, it must maintain loan policies and procedures that are </w:t>
      </w:r>
      <w:r w:rsidR="00D84C58">
        <w:rPr>
          <w:rFonts w:ascii="Times New Roman" w:eastAsia="Times New Roman" w:hAnsi="Times New Roman"/>
          <w:sz w:val="24"/>
          <w:szCs w:val="24"/>
        </w:rPr>
        <w:t>applicable to the unique characteristics of that asset class</w:t>
      </w:r>
      <w:r w:rsidR="00091D5E">
        <w:rPr>
          <w:rFonts w:ascii="Times New Roman" w:eastAsia="Times New Roman" w:hAnsi="Times New Roman"/>
          <w:sz w:val="24"/>
          <w:szCs w:val="24"/>
        </w:rPr>
        <w:t>.  The policies and procedures</w:t>
      </w:r>
      <w:r w:rsidR="00BD0DF9">
        <w:rPr>
          <w:rFonts w:ascii="Times New Roman" w:eastAsia="Times New Roman" w:hAnsi="Times New Roman"/>
          <w:sz w:val="24"/>
          <w:szCs w:val="24"/>
        </w:rPr>
        <w:t xml:space="preserve"> for underwriting Secondary Borrowers</w:t>
      </w:r>
      <w:r w:rsidR="00091D5E">
        <w:rPr>
          <w:rFonts w:ascii="Times New Roman" w:eastAsia="Times New Roman" w:hAnsi="Times New Roman"/>
          <w:sz w:val="24"/>
          <w:szCs w:val="24"/>
        </w:rPr>
        <w:t xml:space="preserve"> must</w:t>
      </w:r>
      <w:r w:rsidR="00D84C58">
        <w:rPr>
          <w:rFonts w:ascii="Times New Roman" w:eastAsia="Times New Roman" w:hAnsi="Times New Roman"/>
          <w:sz w:val="24"/>
          <w:szCs w:val="24"/>
        </w:rPr>
        <w:t xml:space="preserve"> also</w:t>
      </w:r>
      <w:r w:rsidR="00091D5E">
        <w:rPr>
          <w:rFonts w:ascii="Times New Roman" w:eastAsia="Times New Roman" w:hAnsi="Times New Roman"/>
          <w:sz w:val="24"/>
          <w:szCs w:val="24"/>
        </w:rPr>
        <w:t xml:space="preserve"> be consistent with the CDFI Bond Guarantee Program’s Eligible Purposes</w:t>
      </w:r>
      <w:r w:rsidR="004A073D">
        <w:rPr>
          <w:rFonts w:ascii="Times New Roman" w:eastAsia="Times New Roman" w:hAnsi="Times New Roman"/>
          <w:sz w:val="24"/>
          <w:szCs w:val="24"/>
        </w:rPr>
        <w:t>:</w:t>
      </w:r>
    </w:p>
    <w:p w14:paraId="1D5EBCBB" w14:textId="77777777" w:rsidR="00B4012E" w:rsidRDefault="00B4012E" w:rsidP="005C48D0">
      <w:pPr>
        <w:spacing w:after="0" w:line="240" w:lineRule="auto"/>
        <w:ind w:left="360"/>
        <w:jc w:val="both"/>
        <w:rPr>
          <w:rFonts w:ascii="Times New Roman" w:eastAsia="Times New Roman" w:hAnsi="Times New Roman"/>
          <w:sz w:val="24"/>
          <w:szCs w:val="24"/>
        </w:rPr>
      </w:pPr>
    </w:p>
    <w:p w14:paraId="1D5EBCBC" w14:textId="11C7080A" w:rsidR="00B4012E" w:rsidRDefault="00B4012E"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CDFI</w:t>
      </w:r>
      <w:r w:rsidR="005B6A3B">
        <w:rPr>
          <w:rFonts w:ascii="Times New Roman" w:eastAsia="Times New Roman" w:hAnsi="Times New Roman"/>
          <w:sz w:val="24"/>
          <w:szCs w:val="24"/>
        </w:rPr>
        <w:t>-</w:t>
      </w:r>
      <w:r>
        <w:rPr>
          <w:rFonts w:ascii="Times New Roman" w:eastAsia="Times New Roman" w:hAnsi="Times New Roman"/>
          <w:sz w:val="24"/>
          <w:szCs w:val="24"/>
        </w:rPr>
        <w:t>to</w:t>
      </w:r>
      <w:r w:rsidR="005B6A3B">
        <w:rPr>
          <w:rFonts w:ascii="Times New Roman" w:eastAsia="Times New Roman" w:hAnsi="Times New Roman"/>
          <w:sz w:val="24"/>
          <w:szCs w:val="24"/>
        </w:rPr>
        <w:t>-</w:t>
      </w:r>
      <w:r>
        <w:rPr>
          <w:rFonts w:ascii="Times New Roman" w:eastAsia="Times New Roman" w:hAnsi="Times New Roman"/>
          <w:sz w:val="24"/>
          <w:szCs w:val="24"/>
        </w:rPr>
        <w:t>CDFI</w:t>
      </w:r>
      <w:r w:rsidR="00094D0B">
        <w:rPr>
          <w:rFonts w:ascii="Times New Roman" w:eastAsia="Times New Roman" w:hAnsi="Times New Roman"/>
          <w:sz w:val="24"/>
          <w:szCs w:val="24"/>
        </w:rPr>
        <w:t>;</w:t>
      </w:r>
    </w:p>
    <w:p w14:paraId="1D5EBCBD" w14:textId="1B8C1844" w:rsidR="00CC518C" w:rsidRDefault="00CC518C"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CDFI to </w:t>
      </w:r>
      <w:r w:rsidR="003D78C9">
        <w:rPr>
          <w:rFonts w:ascii="Times New Roman" w:eastAsia="Times New Roman" w:hAnsi="Times New Roman"/>
          <w:sz w:val="24"/>
          <w:szCs w:val="24"/>
        </w:rPr>
        <w:t>F</w:t>
      </w:r>
      <w:r>
        <w:rPr>
          <w:rFonts w:ascii="Times New Roman" w:eastAsia="Times New Roman" w:hAnsi="Times New Roman"/>
          <w:sz w:val="24"/>
          <w:szCs w:val="24"/>
        </w:rPr>
        <w:t xml:space="preserve">inancing </w:t>
      </w:r>
      <w:r w:rsidR="003D78C9">
        <w:rPr>
          <w:rFonts w:ascii="Times New Roman" w:eastAsia="Times New Roman" w:hAnsi="Times New Roman"/>
          <w:sz w:val="24"/>
          <w:szCs w:val="24"/>
        </w:rPr>
        <w:t>E</w:t>
      </w:r>
      <w:r>
        <w:rPr>
          <w:rFonts w:ascii="Times New Roman" w:eastAsia="Times New Roman" w:hAnsi="Times New Roman"/>
          <w:sz w:val="24"/>
          <w:szCs w:val="24"/>
        </w:rPr>
        <w:t>ntity (other than a Certified CDFI)</w:t>
      </w:r>
      <w:r w:rsidR="00094D0B">
        <w:rPr>
          <w:rFonts w:ascii="Times New Roman" w:eastAsia="Times New Roman" w:hAnsi="Times New Roman"/>
          <w:sz w:val="24"/>
          <w:szCs w:val="24"/>
        </w:rPr>
        <w:t>;</w:t>
      </w:r>
    </w:p>
    <w:p w14:paraId="1D5EBCBE" w14:textId="688B97C2" w:rsidR="00B4012E" w:rsidRDefault="00B4012E"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Charter </w:t>
      </w:r>
      <w:r w:rsidR="00457F1C">
        <w:rPr>
          <w:rFonts w:ascii="Times New Roman" w:eastAsia="Times New Roman" w:hAnsi="Times New Roman"/>
          <w:sz w:val="24"/>
          <w:szCs w:val="24"/>
        </w:rPr>
        <w:t>s</w:t>
      </w:r>
      <w:r>
        <w:rPr>
          <w:rFonts w:ascii="Times New Roman" w:eastAsia="Times New Roman" w:hAnsi="Times New Roman"/>
          <w:sz w:val="24"/>
          <w:szCs w:val="24"/>
        </w:rPr>
        <w:t>chools</w:t>
      </w:r>
      <w:r w:rsidR="00094D0B">
        <w:rPr>
          <w:rFonts w:ascii="Times New Roman" w:eastAsia="Times New Roman" w:hAnsi="Times New Roman"/>
          <w:sz w:val="24"/>
          <w:szCs w:val="24"/>
        </w:rPr>
        <w:t>;</w:t>
      </w:r>
    </w:p>
    <w:p w14:paraId="1D5EBCBF" w14:textId="4E49CA03" w:rsidR="00B4012E" w:rsidRDefault="00B4012E"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Commercial </w:t>
      </w:r>
      <w:r w:rsidR="00457F1C">
        <w:rPr>
          <w:rFonts w:ascii="Times New Roman" w:eastAsia="Times New Roman" w:hAnsi="Times New Roman"/>
          <w:sz w:val="24"/>
          <w:szCs w:val="24"/>
        </w:rPr>
        <w:t>r</w:t>
      </w:r>
      <w:r>
        <w:rPr>
          <w:rFonts w:ascii="Times New Roman" w:eastAsia="Times New Roman" w:hAnsi="Times New Roman"/>
          <w:sz w:val="24"/>
          <w:szCs w:val="24"/>
        </w:rPr>
        <w:t xml:space="preserve">eal </w:t>
      </w:r>
      <w:r w:rsidR="00457F1C">
        <w:rPr>
          <w:rFonts w:ascii="Times New Roman" w:eastAsia="Times New Roman" w:hAnsi="Times New Roman"/>
          <w:sz w:val="24"/>
          <w:szCs w:val="24"/>
        </w:rPr>
        <w:t>e</w:t>
      </w:r>
      <w:r>
        <w:rPr>
          <w:rFonts w:ascii="Times New Roman" w:eastAsia="Times New Roman" w:hAnsi="Times New Roman"/>
          <w:sz w:val="24"/>
          <w:szCs w:val="24"/>
        </w:rPr>
        <w:t>state</w:t>
      </w:r>
      <w:r w:rsidR="00094D0B">
        <w:rPr>
          <w:rFonts w:ascii="Times New Roman" w:eastAsia="Times New Roman" w:hAnsi="Times New Roman"/>
          <w:sz w:val="24"/>
          <w:szCs w:val="24"/>
        </w:rPr>
        <w:t>;</w:t>
      </w:r>
    </w:p>
    <w:p w14:paraId="1D5EBCC0" w14:textId="7FD7BB70" w:rsidR="00B4012E" w:rsidRDefault="00B4012E"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Daycare </w:t>
      </w:r>
      <w:r w:rsidR="00457F1C">
        <w:rPr>
          <w:rFonts w:ascii="Times New Roman" w:eastAsia="Times New Roman" w:hAnsi="Times New Roman"/>
          <w:sz w:val="24"/>
          <w:szCs w:val="24"/>
        </w:rPr>
        <w:t>c</w:t>
      </w:r>
      <w:r>
        <w:rPr>
          <w:rFonts w:ascii="Times New Roman" w:eastAsia="Times New Roman" w:hAnsi="Times New Roman"/>
          <w:sz w:val="24"/>
          <w:szCs w:val="24"/>
        </w:rPr>
        <w:t>enters</w:t>
      </w:r>
      <w:r w:rsidR="00094D0B">
        <w:rPr>
          <w:rFonts w:ascii="Times New Roman" w:eastAsia="Times New Roman" w:hAnsi="Times New Roman"/>
          <w:sz w:val="24"/>
          <w:szCs w:val="24"/>
        </w:rPr>
        <w:t>;</w:t>
      </w:r>
    </w:p>
    <w:p w14:paraId="1D5EBCC1" w14:textId="123EBC8A" w:rsidR="00B4012E" w:rsidRDefault="00B4012E"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Healthcare </w:t>
      </w:r>
      <w:r w:rsidR="00457F1C">
        <w:rPr>
          <w:rFonts w:ascii="Times New Roman" w:eastAsia="Times New Roman" w:hAnsi="Times New Roman"/>
          <w:sz w:val="24"/>
          <w:szCs w:val="24"/>
        </w:rPr>
        <w:t>f</w:t>
      </w:r>
      <w:r>
        <w:rPr>
          <w:rFonts w:ascii="Times New Roman" w:eastAsia="Times New Roman" w:hAnsi="Times New Roman"/>
          <w:sz w:val="24"/>
          <w:szCs w:val="24"/>
        </w:rPr>
        <w:t>acilities</w:t>
      </w:r>
      <w:r w:rsidR="00094D0B">
        <w:rPr>
          <w:rFonts w:ascii="Times New Roman" w:eastAsia="Times New Roman" w:hAnsi="Times New Roman"/>
          <w:sz w:val="24"/>
          <w:szCs w:val="24"/>
        </w:rPr>
        <w:t>;</w:t>
      </w:r>
    </w:p>
    <w:p w14:paraId="1D5EBCC2" w14:textId="0BD3AF8F" w:rsidR="00B4012E" w:rsidRDefault="00941753"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R</w:t>
      </w:r>
      <w:r w:rsidR="00F86D29">
        <w:rPr>
          <w:rFonts w:ascii="Times New Roman" w:eastAsia="Times New Roman" w:hAnsi="Times New Roman"/>
          <w:sz w:val="24"/>
          <w:szCs w:val="24"/>
        </w:rPr>
        <w:t xml:space="preserve">ental </w:t>
      </w:r>
      <w:r w:rsidR="00457F1C">
        <w:rPr>
          <w:rFonts w:ascii="Times New Roman" w:eastAsia="Times New Roman" w:hAnsi="Times New Roman"/>
          <w:sz w:val="24"/>
          <w:szCs w:val="24"/>
        </w:rPr>
        <w:t>h</w:t>
      </w:r>
      <w:r w:rsidR="00B4012E">
        <w:rPr>
          <w:rFonts w:ascii="Times New Roman" w:eastAsia="Times New Roman" w:hAnsi="Times New Roman"/>
          <w:sz w:val="24"/>
          <w:szCs w:val="24"/>
        </w:rPr>
        <w:t>ousing</w:t>
      </w:r>
      <w:r w:rsidR="00094D0B">
        <w:rPr>
          <w:rFonts w:ascii="Times New Roman" w:eastAsia="Times New Roman" w:hAnsi="Times New Roman"/>
          <w:sz w:val="24"/>
          <w:szCs w:val="24"/>
        </w:rPr>
        <w:t>;</w:t>
      </w:r>
    </w:p>
    <w:p w14:paraId="1D5EBCC3" w14:textId="5302C7FB" w:rsidR="00B4012E" w:rsidRDefault="009B0540"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Rural</w:t>
      </w:r>
      <w:r w:rsidR="00B4012E">
        <w:rPr>
          <w:rFonts w:ascii="Times New Roman" w:eastAsia="Times New Roman" w:hAnsi="Times New Roman"/>
          <w:sz w:val="24"/>
          <w:szCs w:val="24"/>
        </w:rPr>
        <w:t xml:space="preserve"> </w:t>
      </w:r>
      <w:r w:rsidR="00457F1C">
        <w:rPr>
          <w:rFonts w:ascii="Times New Roman" w:eastAsia="Times New Roman" w:hAnsi="Times New Roman"/>
          <w:sz w:val="24"/>
          <w:szCs w:val="24"/>
        </w:rPr>
        <w:t>i</w:t>
      </w:r>
      <w:r w:rsidR="00B4012E">
        <w:rPr>
          <w:rFonts w:ascii="Times New Roman" w:eastAsia="Times New Roman" w:hAnsi="Times New Roman"/>
          <w:sz w:val="24"/>
          <w:szCs w:val="24"/>
        </w:rPr>
        <w:t>nfrastructure</w:t>
      </w:r>
      <w:r w:rsidR="00094D0B">
        <w:rPr>
          <w:rFonts w:ascii="Times New Roman" w:eastAsia="Times New Roman" w:hAnsi="Times New Roman"/>
          <w:sz w:val="24"/>
          <w:szCs w:val="24"/>
        </w:rPr>
        <w:t>;</w:t>
      </w:r>
    </w:p>
    <w:p w14:paraId="1D5EBCC4" w14:textId="2CBEC984" w:rsidR="00B4012E" w:rsidRDefault="00310F94"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Owner-</w:t>
      </w:r>
      <w:r w:rsidR="00A65BA0">
        <w:rPr>
          <w:rFonts w:ascii="Times New Roman" w:eastAsia="Times New Roman" w:hAnsi="Times New Roman"/>
          <w:sz w:val="24"/>
          <w:szCs w:val="24"/>
        </w:rPr>
        <w:t>o</w:t>
      </w:r>
      <w:r>
        <w:rPr>
          <w:rFonts w:ascii="Times New Roman" w:eastAsia="Times New Roman" w:hAnsi="Times New Roman"/>
          <w:sz w:val="24"/>
          <w:szCs w:val="24"/>
        </w:rPr>
        <w:t>ccupied homes</w:t>
      </w:r>
      <w:r w:rsidR="00094D0B">
        <w:rPr>
          <w:rFonts w:ascii="Times New Roman" w:eastAsia="Times New Roman" w:hAnsi="Times New Roman"/>
          <w:sz w:val="24"/>
          <w:szCs w:val="24"/>
        </w:rPr>
        <w:t>;</w:t>
      </w:r>
    </w:p>
    <w:p w14:paraId="1D5EBCC5" w14:textId="3151EA47" w:rsidR="00B4012E" w:rsidRDefault="00094D0B"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Licensed s</w:t>
      </w:r>
      <w:r w:rsidR="00B4012E">
        <w:rPr>
          <w:rFonts w:ascii="Times New Roman" w:eastAsia="Times New Roman" w:hAnsi="Times New Roman"/>
          <w:sz w:val="24"/>
          <w:szCs w:val="24"/>
        </w:rPr>
        <w:t xml:space="preserve">enior </w:t>
      </w:r>
      <w:r w:rsidR="00457F1C">
        <w:rPr>
          <w:rFonts w:ascii="Times New Roman" w:eastAsia="Times New Roman" w:hAnsi="Times New Roman"/>
          <w:sz w:val="24"/>
          <w:szCs w:val="24"/>
        </w:rPr>
        <w:t>l</w:t>
      </w:r>
      <w:r w:rsidR="00B4012E">
        <w:rPr>
          <w:rFonts w:ascii="Times New Roman" w:eastAsia="Times New Roman" w:hAnsi="Times New Roman"/>
          <w:sz w:val="24"/>
          <w:szCs w:val="24"/>
        </w:rPr>
        <w:t xml:space="preserve">iving and </w:t>
      </w:r>
      <w:r w:rsidR="00457F1C">
        <w:rPr>
          <w:rFonts w:ascii="Times New Roman" w:eastAsia="Times New Roman" w:hAnsi="Times New Roman"/>
          <w:sz w:val="24"/>
          <w:szCs w:val="24"/>
        </w:rPr>
        <w:t>l</w:t>
      </w:r>
      <w:r w:rsidR="00B4012E">
        <w:rPr>
          <w:rFonts w:ascii="Times New Roman" w:eastAsia="Times New Roman" w:hAnsi="Times New Roman"/>
          <w:sz w:val="24"/>
          <w:szCs w:val="24"/>
        </w:rPr>
        <w:t>ong</w:t>
      </w:r>
      <w:r w:rsidR="00184D13">
        <w:rPr>
          <w:rFonts w:ascii="Times New Roman" w:eastAsia="Times New Roman" w:hAnsi="Times New Roman"/>
          <w:sz w:val="24"/>
          <w:szCs w:val="24"/>
        </w:rPr>
        <w:t>-</w:t>
      </w:r>
      <w:r w:rsidR="00457F1C">
        <w:rPr>
          <w:rFonts w:ascii="Times New Roman" w:eastAsia="Times New Roman" w:hAnsi="Times New Roman"/>
          <w:sz w:val="24"/>
          <w:szCs w:val="24"/>
        </w:rPr>
        <w:t>t</w:t>
      </w:r>
      <w:r w:rsidR="00B4012E">
        <w:rPr>
          <w:rFonts w:ascii="Times New Roman" w:eastAsia="Times New Roman" w:hAnsi="Times New Roman"/>
          <w:sz w:val="24"/>
          <w:szCs w:val="24"/>
        </w:rPr>
        <w:t xml:space="preserve">erm </w:t>
      </w:r>
      <w:r w:rsidR="00457F1C">
        <w:rPr>
          <w:rFonts w:ascii="Times New Roman" w:eastAsia="Times New Roman" w:hAnsi="Times New Roman"/>
          <w:sz w:val="24"/>
          <w:szCs w:val="24"/>
        </w:rPr>
        <w:t>c</w:t>
      </w:r>
      <w:r w:rsidR="00B4012E">
        <w:rPr>
          <w:rFonts w:ascii="Times New Roman" w:eastAsia="Times New Roman" w:hAnsi="Times New Roman"/>
          <w:sz w:val="24"/>
          <w:szCs w:val="24"/>
        </w:rPr>
        <w:t xml:space="preserve">are </w:t>
      </w:r>
      <w:r w:rsidR="00457F1C">
        <w:rPr>
          <w:rFonts w:ascii="Times New Roman" w:eastAsia="Times New Roman" w:hAnsi="Times New Roman"/>
          <w:sz w:val="24"/>
          <w:szCs w:val="24"/>
        </w:rPr>
        <w:t>f</w:t>
      </w:r>
      <w:r w:rsidR="00B4012E">
        <w:rPr>
          <w:rFonts w:ascii="Times New Roman" w:eastAsia="Times New Roman" w:hAnsi="Times New Roman"/>
          <w:sz w:val="24"/>
          <w:szCs w:val="24"/>
        </w:rPr>
        <w:t>acilities</w:t>
      </w:r>
      <w:r>
        <w:rPr>
          <w:rFonts w:ascii="Times New Roman" w:eastAsia="Times New Roman" w:hAnsi="Times New Roman"/>
          <w:sz w:val="24"/>
          <w:szCs w:val="24"/>
        </w:rPr>
        <w:t>;</w:t>
      </w:r>
    </w:p>
    <w:p w14:paraId="1D5EBCC6" w14:textId="40D4AEA7" w:rsidR="00B4012E" w:rsidRDefault="00B4012E"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 xml:space="preserve">Small </w:t>
      </w:r>
      <w:r w:rsidR="00457F1C">
        <w:rPr>
          <w:rFonts w:ascii="Times New Roman" w:eastAsia="Times New Roman" w:hAnsi="Times New Roman"/>
          <w:sz w:val="24"/>
          <w:szCs w:val="24"/>
        </w:rPr>
        <w:t>b</w:t>
      </w:r>
      <w:r>
        <w:rPr>
          <w:rFonts w:ascii="Times New Roman" w:eastAsia="Times New Roman" w:hAnsi="Times New Roman"/>
          <w:sz w:val="24"/>
          <w:szCs w:val="24"/>
        </w:rPr>
        <w:t xml:space="preserve">usiness </w:t>
      </w:r>
      <w:r w:rsidR="003D78C9">
        <w:rPr>
          <w:rFonts w:ascii="Times New Roman" w:eastAsia="Times New Roman" w:hAnsi="Times New Roman"/>
          <w:sz w:val="24"/>
          <w:szCs w:val="24"/>
        </w:rPr>
        <w:t>(for-profit)</w:t>
      </w:r>
      <w:r w:rsidR="00094D0B">
        <w:rPr>
          <w:rFonts w:ascii="Times New Roman" w:eastAsia="Times New Roman" w:hAnsi="Times New Roman"/>
          <w:sz w:val="24"/>
          <w:szCs w:val="24"/>
        </w:rPr>
        <w:t>; and</w:t>
      </w:r>
    </w:p>
    <w:p w14:paraId="1D5EBCC7" w14:textId="3A3D09FF" w:rsidR="00AB3564" w:rsidRDefault="00310F94" w:rsidP="005C48D0">
      <w:pPr>
        <w:pStyle w:val="ListParagraph"/>
        <w:numPr>
          <w:ilvl w:val="0"/>
          <w:numId w:val="3"/>
        </w:numPr>
        <w:tabs>
          <w:tab w:val="left" w:pos="810"/>
        </w:tabs>
        <w:spacing w:after="0" w:line="240" w:lineRule="auto"/>
        <w:ind w:left="1080"/>
        <w:jc w:val="both"/>
        <w:rPr>
          <w:rFonts w:ascii="Times New Roman" w:eastAsia="Times New Roman" w:hAnsi="Times New Roman"/>
          <w:sz w:val="24"/>
          <w:szCs w:val="24"/>
        </w:rPr>
      </w:pPr>
      <w:r>
        <w:rPr>
          <w:rFonts w:ascii="Times New Roman" w:eastAsia="Times New Roman" w:hAnsi="Times New Roman"/>
          <w:sz w:val="24"/>
          <w:szCs w:val="24"/>
        </w:rPr>
        <w:t>Not-For</w:t>
      </w:r>
      <w:r w:rsidR="00AB3564">
        <w:rPr>
          <w:rFonts w:ascii="Times New Roman" w:eastAsia="Times New Roman" w:hAnsi="Times New Roman"/>
          <w:sz w:val="24"/>
          <w:szCs w:val="24"/>
        </w:rPr>
        <w:t>-Profit Organizations</w:t>
      </w:r>
      <w:r w:rsidR="00094D0B">
        <w:rPr>
          <w:rFonts w:ascii="Times New Roman" w:eastAsia="Times New Roman" w:hAnsi="Times New Roman"/>
          <w:sz w:val="24"/>
          <w:szCs w:val="24"/>
        </w:rPr>
        <w:t>.</w:t>
      </w:r>
    </w:p>
    <w:p w14:paraId="1D5EBCC8" w14:textId="77777777" w:rsidR="00B4012E" w:rsidRDefault="00B4012E" w:rsidP="005C48D0">
      <w:pPr>
        <w:spacing w:after="0" w:line="240" w:lineRule="auto"/>
        <w:ind w:left="720"/>
        <w:jc w:val="both"/>
        <w:rPr>
          <w:rFonts w:ascii="Times New Roman" w:eastAsia="Times New Roman" w:hAnsi="Times New Roman"/>
          <w:sz w:val="24"/>
          <w:szCs w:val="24"/>
        </w:rPr>
      </w:pPr>
    </w:p>
    <w:p w14:paraId="1D5EBCC9" w14:textId="0FA4E0A3" w:rsidR="00843E34" w:rsidRPr="00843E34" w:rsidRDefault="00843E34" w:rsidP="003A3B3F">
      <w:pPr>
        <w:spacing w:before="240" w:line="240" w:lineRule="auto"/>
        <w:rPr>
          <w:rFonts w:ascii="Times New Roman" w:eastAsia="Times New Roman" w:hAnsi="Times New Roman"/>
          <w:b/>
          <w:smallCaps/>
          <w:sz w:val="24"/>
          <w:szCs w:val="24"/>
        </w:rPr>
      </w:pPr>
      <w:r w:rsidRPr="00843E34">
        <w:rPr>
          <w:rFonts w:ascii="Times New Roman" w:eastAsia="Times New Roman" w:hAnsi="Times New Roman"/>
          <w:b/>
          <w:smallCaps/>
          <w:sz w:val="24"/>
          <w:szCs w:val="24"/>
        </w:rPr>
        <w:t xml:space="preserve">Part II: Minimum Lending </w:t>
      </w:r>
      <w:r w:rsidR="002D449F">
        <w:rPr>
          <w:rFonts w:ascii="Times New Roman" w:eastAsia="Times New Roman" w:hAnsi="Times New Roman"/>
          <w:b/>
          <w:smallCaps/>
          <w:sz w:val="24"/>
          <w:szCs w:val="24"/>
        </w:rPr>
        <w:t>Requirements</w:t>
      </w:r>
      <w:r w:rsidR="00306F0B">
        <w:rPr>
          <w:rFonts w:ascii="Times New Roman" w:eastAsia="Times New Roman" w:hAnsi="Times New Roman"/>
          <w:b/>
          <w:smallCaps/>
          <w:sz w:val="24"/>
          <w:szCs w:val="24"/>
        </w:rPr>
        <w:t xml:space="preserve"> by A</w:t>
      </w:r>
      <w:r w:rsidR="00C61F66">
        <w:rPr>
          <w:rFonts w:ascii="Times New Roman" w:eastAsia="Times New Roman" w:hAnsi="Times New Roman"/>
          <w:b/>
          <w:smallCaps/>
          <w:sz w:val="24"/>
          <w:szCs w:val="24"/>
        </w:rPr>
        <w:t>sset</w:t>
      </w:r>
      <w:r w:rsidR="00306F0B">
        <w:rPr>
          <w:rFonts w:ascii="Times New Roman" w:eastAsia="Times New Roman" w:hAnsi="Times New Roman"/>
          <w:b/>
          <w:smallCaps/>
          <w:sz w:val="24"/>
          <w:szCs w:val="24"/>
        </w:rPr>
        <w:t xml:space="preserve"> </w:t>
      </w:r>
      <w:r w:rsidR="005A221F">
        <w:rPr>
          <w:rFonts w:ascii="Times New Roman" w:eastAsia="Times New Roman" w:hAnsi="Times New Roman"/>
          <w:b/>
          <w:smallCaps/>
          <w:sz w:val="24"/>
          <w:szCs w:val="24"/>
        </w:rPr>
        <w:t>Class</w:t>
      </w:r>
    </w:p>
    <w:p w14:paraId="1D5EBCCA" w14:textId="5DFD8598" w:rsidR="00B4012E" w:rsidRDefault="00B4012E" w:rsidP="003A3B3F">
      <w:pPr>
        <w:pStyle w:val="ListParagraph"/>
        <w:numPr>
          <w:ilvl w:val="0"/>
          <w:numId w:val="4"/>
        </w:numPr>
        <w:tabs>
          <w:tab w:val="left" w:pos="360"/>
        </w:tabs>
        <w:spacing w:after="0" w:line="240" w:lineRule="auto"/>
        <w:ind w:left="360"/>
        <w:rPr>
          <w:rFonts w:ascii="Times New Roman" w:eastAsia="Times New Roman" w:hAnsi="Times New Roman"/>
          <w:b/>
          <w:smallCaps/>
          <w:sz w:val="24"/>
          <w:szCs w:val="24"/>
        </w:rPr>
      </w:pPr>
      <w:r w:rsidRPr="00150898">
        <w:rPr>
          <w:rFonts w:ascii="Times New Roman" w:eastAsia="Times New Roman" w:hAnsi="Times New Roman"/>
          <w:b/>
          <w:smallCaps/>
          <w:sz w:val="24"/>
          <w:szCs w:val="24"/>
        </w:rPr>
        <w:t>CDFI</w:t>
      </w:r>
      <w:r w:rsidR="005B6A3B">
        <w:rPr>
          <w:rFonts w:ascii="Times New Roman" w:eastAsia="Times New Roman" w:hAnsi="Times New Roman"/>
          <w:b/>
          <w:smallCaps/>
          <w:sz w:val="24"/>
          <w:szCs w:val="24"/>
        </w:rPr>
        <w:t>-</w:t>
      </w:r>
      <w:r w:rsidRPr="00150898">
        <w:rPr>
          <w:rFonts w:ascii="Times New Roman" w:eastAsia="Times New Roman" w:hAnsi="Times New Roman"/>
          <w:b/>
          <w:smallCaps/>
          <w:sz w:val="24"/>
          <w:szCs w:val="24"/>
        </w:rPr>
        <w:t>to</w:t>
      </w:r>
      <w:r w:rsidR="005B6A3B">
        <w:rPr>
          <w:rFonts w:ascii="Times New Roman" w:eastAsia="Times New Roman" w:hAnsi="Times New Roman"/>
          <w:b/>
          <w:smallCaps/>
          <w:sz w:val="24"/>
          <w:szCs w:val="24"/>
        </w:rPr>
        <w:t>-</w:t>
      </w:r>
      <w:r w:rsidRPr="00150898">
        <w:rPr>
          <w:rFonts w:ascii="Times New Roman" w:eastAsia="Times New Roman" w:hAnsi="Times New Roman"/>
          <w:b/>
          <w:smallCaps/>
          <w:sz w:val="24"/>
          <w:szCs w:val="24"/>
        </w:rPr>
        <w:t xml:space="preserve">CDFI </w:t>
      </w:r>
      <w:r w:rsidR="00CA50D1">
        <w:rPr>
          <w:rFonts w:ascii="Times New Roman" w:eastAsia="Times New Roman" w:hAnsi="Times New Roman"/>
          <w:b/>
          <w:smallCaps/>
          <w:sz w:val="24"/>
          <w:szCs w:val="24"/>
        </w:rPr>
        <w:t xml:space="preserve"> </w:t>
      </w:r>
      <w:r w:rsidRPr="00150898">
        <w:rPr>
          <w:rFonts w:ascii="Times New Roman" w:eastAsia="Times New Roman" w:hAnsi="Times New Roman"/>
          <w:b/>
          <w:smallCaps/>
          <w:sz w:val="24"/>
          <w:szCs w:val="24"/>
        </w:rPr>
        <w:t>Lending:</w:t>
      </w:r>
    </w:p>
    <w:p w14:paraId="1D5EBCCB" w14:textId="77777777" w:rsidR="00A10EF5" w:rsidRDefault="00A10EF5" w:rsidP="003A3B3F">
      <w:pPr>
        <w:spacing w:after="0" w:line="240" w:lineRule="auto"/>
        <w:ind w:left="360"/>
        <w:rPr>
          <w:rFonts w:ascii="Times New Roman" w:eastAsia="Times New Roman" w:hAnsi="Times New Roman"/>
          <w:sz w:val="24"/>
          <w:szCs w:val="24"/>
        </w:rPr>
      </w:pPr>
    </w:p>
    <w:p w14:paraId="1D5EBCCC" w14:textId="77777777" w:rsidR="00A10EF5" w:rsidRDefault="00A10EF5" w:rsidP="003A3B3F">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The Secondary Borrower must be a</w:t>
      </w:r>
      <w:r w:rsidRPr="008213B2">
        <w:rPr>
          <w:rFonts w:ascii="Times New Roman" w:eastAsia="Times New Roman" w:hAnsi="Times New Roman"/>
          <w:sz w:val="24"/>
          <w:szCs w:val="24"/>
        </w:rPr>
        <w:t xml:space="preserve"> </w:t>
      </w:r>
      <w:r>
        <w:rPr>
          <w:rFonts w:ascii="Times New Roman" w:eastAsia="Times New Roman" w:hAnsi="Times New Roman"/>
          <w:sz w:val="24"/>
          <w:szCs w:val="24"/>
        </w:rPr>
        <w:t xml:space="preserve">Certified </w:t>
      </w:r>
      <w:r w:rsidRPr="008213B2">
        <w:rPr>
          <w:rFonts w:ascii="Times New Roman" w:eastAsia="Times New Roman" w:hAnsi="Times New Roman"/>
          <w:sz w:val="24"/>
          <w:szCs w:val="24"/>
        </w:rPr>
        <w:t xml:space="preserve">CDFI </w:t>
      </w:r>
      <w:r>
        <w:rPr>
          <w:rFonts w:ascii="Times New Roman" w:eastAsia="Times New Roman" w:hAnsi="Times New Roman"/>
          <w:sz w:val="24"/>
          <w:szCs w:val="24"/>
        </w:rPr>
        <w:t>or an affiliate of a Certified CDFI.</w:t>
      </w:r>
    </w:p>
    <w:p w14:paraId="1D5EBCCD" w14:textId="61FAFE92" w:rsidR="00B4012E" w:rsidRDefault="007766D9" w:rsidP="003A3B3F">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The </w:t>
      </w:r>
      <w:r w:rsidR="00D424D2">
        <w:rPr>
          <w:rFonts w:ascii="Times New Roman" w:eastAsia="Times New Roman" w:hAnsi="Times New Roman"/>
          <w:sz w:val="24"/>
          <w:szCs w:val="24"/>
        </w:rPr>
        <w:t xml:space="preserve">Eligible CDFI’s </w:t>
      </w:r>
      <w:r w:rsidR="00B4012E" w:rsidRPr="00F5734D">
        <w:rPr>
          <w:rFonts w:ascii="Times New Roman" w:eastAsia="Times New Roman" w:hAnsi="Times New Roman"/>
          <w:sz w:val="24"/>
          <w:szCs w:val="24"/>
        </w:rPr>
        <w:t xml:space="preserve">underwriting </w:t>
      </w:r>
      <w:r w:rsidR="00D424D2">
        <w:rPr>
          <w:rFonts w:ascii="Times New Roman" w:eastAsia="Times New Roman" w:hAnsi="Times New Roman"/>
          <w:sz w:val="24"/>
          <w:szCs w:val="24"/>
        </w:rPr>
        <w:t xml:space="preserve">policies </w:t>
      </w:r>
      <w:r w:rsidR="00622AFE">
        <w:rPr>
          <w:rFonts w:ascii="Times New Roman" w:eastAsia="Times New Roman" w:hAnsi="Times New Roman"/>
          <w:sz w:val="24"/>
          <w:szCs w:val="24"/>
        </w:rPr>
        <w:t xml:space="preserve">and evaluation criteria </w:t>
      </w:r>
      <w:r w:rsidR="00D424D2">
        <w:rPr>
          <w:rFonts w:ascii="Times New Roman" w:eastAsia="Times New Roman" w:hAnsi="Times New Roman"/>
          <w:sz w:val="24"/>
          <w:szCs w:val="24"/>
        </w:rPr>
        <w:t xml:space="preserve">for a </w:t>
      </w:r>
      <w:r w:rsidR="00D84C58">
        <w:rPr>
          <w:rFonts w:ascii="Times New Roman" w:eastAsia="Times New Roman" w:hAnsi="Times New Roman"/>
          <w:sz w:val="24"/>
          <w:szCs w:val="24"/>
        </w:rPr>
        <w:t>Secondary Borrower</w:t>
      </w:r>
      <w:r w:rsidR="00B4012E" w:rsidRPr="00F5734D">
        <w:rPr>
          <w:rFonts w:ascii="Times New Roman" w:eastAsia="Times New Roman" w:hAnsi="Times New Roman"/>
          <w:sz w:val="24"/>
          <w:szCs w:val="24"/>
        </w:rPr>
        <w:t xml:space="preserve"> </w:t>
      </w:r>
      <w:r w:rsidR="00D424D2">
        <w:rPr>
          <w:rFonts w:ascii="Times New Roman" w:eastAsia="Times New Roman" w:hAnsi="Times New Roman"/>
          <w:sz w:val="24"/>
          <w:szCs w:val="24"/>
        </w:rPr>
        <w:t xml:space="preserve">under this asset </w:t>
      </w:r>
      <w:r w:rsidR="00306F0B">
        <w:rPr>
          <w:rFonts w:ascii="Times New Roman" w:eastAsia="Times New Roman" w:hAnsi="Times New Roman"/>
          <w:sz w:val="24"/>
          <w:szCs w:val="24"/>
        </w:rPr>
        <w:t>class</w:t>
      </w:r>
      <w:r w:rsidR="00D424D2">
        <w:rPr>
          <w:rFonts w:ascii="Times New Roman" w:eastAsia="Times New Roman" w:hAnsi="Times New Roman"/>
          <w:sz w:val="24"/>
          <w:szCs w:val="24"/>
        </w:rPr>
        <w:t xml:space="preserve"> </w:t>
      </w:r>
      <w:r w:rsidR="00211826">
        <w:rPr>
          <w:rFonts w:ascii="Times New Roman" w:eastAsia="Times New Roman" w:hAnsi="Times New Roman"/>
          <w:sz w:val="24"/>
          <w:szCs w:val="24"/>
        </w:rPr>
        <w:t>must</w:t>
      </w:r>
      <w:r w:rsidR="00D84C58">
        <w:rPr>
          <w:rFonts w:ascii="Times New Roman" w:eastAsia="Times New Roman" w:hAnsi="Times New Roman"/>
          <w:sz w:val="24"/>
          <w:szCs w:val="24"/>
        </w:rPr>
        <w:t xml:space="preserve"> address</w:t>
      </w:r>
      <w:r w:rsidR="00B4012E" w:rsidRPr="00F5734D">
        <w:rPr>
          <w:rFonts w:ascii="Times New Roman" w:eastAsia="Times New Roman" w:hAnsi="Times New Roman"/>
          <w:sz w:val="24"/>
          <w:szCs w:val="24"/>
        </w:rPr>
        <w:t xml:space="preserve"> the following</w:t>
      </w:r>
      <w:r w:rsidR="004A073D">
        <w:rPr>
          <w:rFonts w:ascii="Times New Roman" w:eastAsia="Times New Roman" w:hAnsi="Times New Roman"/>
          <w:sz w:val="24"/>
          <w:szCs w:val="24"/>
        </w:rPr>
        <w:t>:</w:t>
      </w:r>
    </w:p>
    <w:p w14:paraId="1D5EBCCE" w14:textId="77777777" w:rsidR="00B4012E" w:rsidRPr="00445740" w:rsidRDefault="00B4012E" w:rsidP="00C466C6">
      <w:pPr>
        <w:spacing w:after="0" w:line="240" w:lineRule="auto"/>
        <w:ind w:left="360"/>
        <w:rPr>
          <w:rFonts w:ascii="Times New Roman" w:eastAsia="Times New Roman" w:hAnsi="Times New Roman"/>
          <w:sz w:val="24"/>
          <w:szCs w:val="24"/>
        </w:rPr>
      </w:pPr>
    </w:p>
    <w:p w14:paraId="1D5EBCCF" w14:textId="77777777" w:rsidR="00CB312B" w:rsidRPr="007F23B4" w:rsidRDefault="001A4B72" w:rsidP="007F23B4">
      <w:pPr>
        <w:pStyle w:val="ListParagraph"/>
        <w:numPr>
          <w:ilvl w:val="0"/>
          <w:numId w:val="8"/>
        </w:numPr>
        <w:spacing w:after="0" w:line="240" w:lineRule="auto"/>
        <w:ind w:left="720"/>
        <w:rPr>
          <w:rFonts w:ascii="Times New Roman" w:eastAsia="Times New Roman" w:hAnsi="Times New Roman"/>
          <w:i/>
          <w:sz w:val="24"/>
          <w:szCs w:val="24"/>
          <w:u w:val="single"/>
        </w:rPr>
      </w:pPr>
      <w:r>
        <w:rPr>
          <w:rFonts w:ascii="Times New Roman" w:eastAsia="Times New Roman" w:hAnsi="Times New Roman"/>
          <w:sz w:val="24"/>
          <w:szCs w:val="24"/>
        </w:rPr>
        <w:t xml:space="preserve">Management </w:t>
      </w:r>
      <w:r w:rsidR="0074545A">
        <w:rPr>
          <w:rFonts w:ascii="Times New Roman" w:eastAsia="Times New Roman" w:hAnsi="Times New Roman"/>
          <w:sz w:val="24"/>
          <w:szCs w:val="24"/>
        </w:rPr>
        <w:t>and financial capacity</w:t>
      </w:r>
      <w:r>
        <w:rPr>
          <w:rFonts w:ascii="Times New Roman" w:eastAsia="Times New Roman" w:hAnsi="Times New Roman"/>
          <w:sz w:val="24"/>
          <w:szCs w:val="24"/>
        </w:rPr>
        <w:t xml:space="preserve"> </w:t>
      </w:r>
      <w:r w:rsidR="0074545A">
        <w:rPr>
          <w:rFonts w:ascii="Times New Roman" w:eastAsia="Times New Roman" w:hAnsi="Times New Roman"/>
          <w:sz w:val="24"/>
          <w:szCs w:val="24"/>
        </w:rPr>
        <w:t xml:space="preserve">and performance </w:t>
      </w:r>
      <w:r>
        <w:rPr>
          <w:rFonts w:ascii="Times New Roman" w:eastAsia="Times New Roman" w:hAnsi="Times New Roman"/>
          <w:sz w:val="24"/>
          <w:szCs w:val="24"/>
        </w:rPr>
        <w:t>in all facets of operations</w:t>
      </w:r>
      <w:r w:rsidR="0074545A">
        <w:rPr>
          <w:rFonts w:ascii="Times New Roman" w:eastAsia="Times New Roman" w:hAnsi="Times New Roman"/>
          <w:sz w:val="24"/>
          <w:szCs w:val="24"/>
        </w:rPr>
        <w:t>, including</w:t>
      </w:r>
      <w:r w:rsidR="00CB312B">
        <w:rPr>
          <w:rFonts w:ascii="Times New Roman" w:eastAsia="Times New Roman" w:hAnsi="Times New Roman"/>
          <w:sz w:val="24"/>
          <w:szCs w:val="24"/>
        </w:rPr>
        <w:t>:</w:t>
      </w:r>
      <w:r>
        <w:rPr>
          <w:rFonts w:ascii="Times New Roman" w:eastAsia="Times New Roman" w:hAnsi="Times New Roman"/>
          <w:sz w:val="24"/>
          <w:szCs w:val="24"/>
        </w:rPr>
        <w:t xml:space="preserve"> </w:t>
      </w:r>
    </w:p>
    <w:p w14:paraId="1D5EBCD0" w14:textId="0EF96E0A" w:rsidR="00CB312B" w:rsidRPr="007F23B4"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1A4B72">
        <w:rPr>
          <w:rFonts w:ascii="Times New Roman" w:eastAsia="Times New Roman" w:hAnsi="Times New Roman"/>
          <w:sz w:val="24"/>
          <w:szCs w:val="24"/>
        </w:rPr>
        <w:t>overnance</w:t>
      </w:r>
      <w:r w:rsidR="00CB312B">
        <w:rPr>
          <w:rFonts w:ascii="Times New Roman" w:eastAsia="Times New Roman" w:hAnsi="Times New Roman"/>
          <w:sz w:val="24"/>
          <w:szCs w:val="24"/>
        </w:rPr>
        <w:t xml:space="preserve">; </w:t>
      </w:r>
    </w:p>
    <w:p w14:paraId="1D5EBCD1" w14:textId="0690B510" w:rsidR="00CB312B" w:rsidRPr="007F23B4"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CB312B">
        <w:rPr>
          <w:rFonts w:ascii="Times New Roman" w:eastAsia="Times New Roman" w:hAnsi="Times New Roman"/>
          <w:sz w:val="24"/>
          <w:szCs w:val="24"/>
        </w:rPr>
        <w:t xml:space="preserve">ey personnel; </w:t>
      </w:r>
    </w:p>
    <w:p w14:paraId="1D5EBCD2" w14:textId="32F6D82C" w:rsidR="00CB312B" w:rsidRPr="007F23B4"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5941A3">
        <w:rPr>
          <w:rFonts w:ascii="Times New Roman" w:eastAsia="Times New Roman" w:hAnsi="Times New Roman"/>
          <w:sz w:val="24"/>
          <w:szCs w:val="24"/>
        </w:rPr>
        <w:t xml:space="preserve">inancial performance, liquidity, capital and asset </w:t>
      </w:r>
      <w:r w:rsidR="0074545A">
        <w:rPr>
          <w:rFonts w:ascii="Times New Roman" w:eastAsia="Times New Roman" w:hAnsi="Times New Roman"/>
          <w:sz w:val="24"/>
          <w:szCs w:val="24"/>
        </w:rPr>
        <w:t>adequacy</w:t>
      </w:r>
      <w:r w:rsidR="005941A3">
        <w:rPr>
          <w:rFonts w:ascii="Times New Roman" w:eastAsia="Times New Roman" w:hAnsi="Times New Roman"/>
          <w:sz w:val="24"/>
          <w:szCs w:val="24"/>
        </w:rPr>
        <w:t xml:space="preserve"> and metrics</w:t>
      </w:r>
      <w:r w:rsidR="00CB312B">
        <w:rPr>
          <w:rFonts w:ascii="Times New Roman" w:eastAsia="Times New Roman" w:hAnsi="Times New Roman"/>
          <w:sz w:val="24"/>
          <w:szCs w:val="24"/>
        </w:rPr>
        <w:t>;</w:t>
      </w:r>
      <w:r w:rsidR="0074545A">
        <w:rPr>
          <w:rFonts w:ascii="Times New Roman" w:eastAsia="Times New Roman" w:hAnsi="Times New Roman"/>
          <w:sz w:val="24"/>
          <w:szCs w:val="24"/>
        </w:rPr>
        <w:t xml:space="preserve"> </w:t>
      </w:r>
    </w:p>
    <w:p w14:paraId="1D5EBCD3" w14:textId="3AEE707C" w:rsidR="00CB312B" w:rsidRPr="007F23B4"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L</w:t>
      </w:r>
      <w:r w:rsidR="00CB312B">
        <w:rPr>
          <w:rFonts w:ascii="Times New Roman" w:eastAsia="Times New Roman" w:hAnsi="Times New Roman"/>
          <w:sz w:val="24"/>
          <w:szCs w:val="24"/>
        </w:rPr>
        <w:t>oan underwriting policies and capacities;</w:t>
      </w:r>
    </w:p>
    <w:p w14:paraId="1D5EBCD4" w14:textId="7B38DA23" w:rsidR="00CB312B" w:rsidRPr="007F23B4"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L</w:t>
      </w:r>
      <w:r w:rsidR="001A4B72">
        <w:rPr>
          <w:rFonts w:ascii="Times New Roman" w:eastAsia="Times New Roman" w:hAnsi="Times New Roman"/>
          <w:sz w:val="24"/>
          <w:szCs w:val="24"/>
        </w:rPr>
        <w:t>oan origination</w:t>
      </w:r>
      <w:r w:rsidR="00CB312B">
        <w:rPr>
          <w:rFonts w:ascii="Times New Roman" w:eastAsia="Times New Roman" w:hAnsi="Times New Roman"/>
          <w:sz w:val="24"/>
          <w:szCs w:val="24"/>
        </w:rPr>
        <w:t xml:space="preserve"> processes;</w:t>
      </w:r>
      <w:r w:rsidR="001A4B72">
        <w:rPr>
          <w:rFonts w:ascii="Times New Roman" w:eastAsia="Times New Roman" w:hAnsi="Times New Roman"/>
          <w:sz w:val="24"/>
          <w:szCs w:val="24"/>
        </w:rPr>
        <w:t xml:space="preserve"> </w:t>
      </w:r>
    </w:p>
    <w:p w14:paraId="1D5EBCD5" w14:textId="04157F12" w:rsidR="00CB312B" w:rsidRPr="007F23B4"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P</w:t>
      </w:r>
      <w:r w:rsidR="001A4B72">
        <w:rPr>
          <w:rFonts w:ascii="Times New Roman" w:eastAsia="Times New Roman" w:hAnsi="Times New Roman"/>
          <w:sz w:val="24"/>
          <w:szCs w:val="24"/>
        </w:rPr>
        <w:t xml:space="preserve">ortfolio and risk management, </w:t>
      </w:r>
      <w:r w:rsidR="00CB312B">
        <w:rPr>
          <w:rFonts w:ascii="Times New Roman" w:eastAsia="Times New Roman" w:hAnsi="Times New Roman"/>
          <w:sz w:val="24"/>
          <w:szCs w:val="24"/>
        </w:rPr>
        <w:t xml:space="preserve">including </w:t>
      </w:r>
      <w:r w:rsidR="001A4B72">
        <w:rPr>
          <w:rFonts w:ascii="Times New Roman" w:eastAsia="Times New Roman" w:hAnsi="Times New Roman"/>
          <w:sz w:val="24"/>
          <w:szCs w:val="24"/>
        </w:rPr>
        <w:t>collections</w:t>
      </w:r>
      <w:r w:rsidR="00CB312B">
        <w:rPr>
          <w:rFonts w:ascii="Times New Roman" w:eastAsia="Times New Roman" w:hAnsi="Times New Roman"/>
          <w:sz w:val="24"/>
          <w:szCs w:val="24"/>
        </w:rPr>
        <w:t xml:space="preserve"> and</w:t>
      </w:r>
      <w:r w:rsidR="001A4B72">
        <w:rPr>
          <w:rFonts w:ascii="Times New Roman" w:eastAsia="Times New Roman" w:hAnsi="Times New Roman"/>
          <w:sz w:val="24"/>
          <w:szCs w:val="24"/>
        </w:rPr>
        <w:t xml:space="preserve"> loan workouts</w:t>
      </w:r>
      <w:r w:rsidR="0074545A">
        <w:rPr>
          <w:rFonts w:ascii="Times New Roman" w:eastAsia="Times New Roman" w:hAnsi="Times New Roman"/>
          <w:sz w:val="24"/>
          <w:szCs w:val="24"/>
        </w:rPr>
        <w:t>,</w:t>
      </w:r>
      <w:r w:rsidR="001A4B72">
        <w:rPr>
          <w:rFonts w:ascii="Times New Roman" w:eastAsia="Times New Roman" w:hAnsi="Times New Roman"/>
          <w:sz w:val="24"/>
          <w:szCs w:val="24"/>
        </w:rPr>
        <w:t xml:space="preserve"> </w:t>
      </w:r>
      <w:r w:rsidR="00CB312B" w:rsidRPr="009F74D4">
        <w:rPr>
          <w:rFonts w:ascii="Times New Roman" w:eastAsia="Times New Roman" w:hAnsi="Times New Roman"/>
          <w:sz w:val="24"/>
          <w:szCs w:val="24"/>
        </w:rPr>
        <w:t>delinquencies, charge-offs</w:t>
      </w:r>
      <w:r w:rsidR="00CB312B">
        <w:rPr>
          <w:rFonts w:ascii="Times New Roman" w:eastAsia="Times New Roman" w:hAnsi="Times New Roman"/>
          <w:sz w:val="24"/>
          <w:szCs w:val="24"/>
        </w:rPr>
        <w:t>,</w:t>
      </w:r>
      <w:r w:rsidR="00CB312B" w:rsidRPr="009F74D4">
        <w:rPr>
          <w:rFonts w:ascii="Times New Roman" w:eastAsia="Times New Roman" w:hAnsi="Times New Roman"/>
          <w:sz w:val="24"/>
          <w:szCs w:val="24"/>
        </w:rPr>
        <w:t xml:space="preserve"> non-accrual loans</w:t>
      </w:r>
      <w:r w:rsidR="00CB312B">
        <w:rPr>
          <w:rFonts w:ascii="Times New Roman" w:eastAsia="Times New Roman" w:hAnsi="Times New Roman"/>
          <w:sz w:val="24"/>
          <w:szCs w:val="24"/>
        </w:rPr>
        <w:t>, and loss reserves;</w:t>
      </w:r>
    </w:p>
    <w:p w14:paraId="421CE43C" w14:textId="77777777" w:rsidR="001E73C5" w:rsidRPr="001E73C5"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M</w:t>
      </w:r>
      <w:r w:rsidR="00CB312B">
        <w:rPr>
          <w:rFonts w:ascii="Times New Roman" w:eastAsia="Times New Roman" w:hAnsi="Times New Roman"/>
          <w:sz w:val="24"/>
          <w:szCs w:val="24"/>
        </w:rPr>
        <w:t>anagement information systems</w:t>
      </w:r>
      <w:r>
        <w:rPr>
          <w:rFonts w:ascii="Times New Roman" w:eastAsia="Times New Roman" w:hAnsi="Times New Roman"/>
          <w:sz w:val="24"/>
          <w:szCs w:val="24"/>
        </w:rPr>
        <w:t>;</w:t>
      </w:r>
      <w:r w:rsidR="00CB312B" w:rsidRPr="009F74D4">
        <w:rPr>
          <w:rFonts w:ascii="Times New Roman" w:eastAsia="Times New Roman" w:hAnsi="Times New Roman"/>
          <w:sz w:val="24"/>
          <w:szCs w:val="24"/>
        </w:rPr>
        <w:t xml:space="preserve"> </w:t>
      </w:r>
      <w:r w:rsidR="00CB312B">
        <w:rPr>
          <w:rFonts w:ascii="Times New Roman" w:eastAsia="Times New Roman" w:hAnsi="Times New Roman"/>
          <w:sz w:val="24"/>
          <w:szCs w:val="24"/>
        </w:rPr>
        <w:t>and</w:t>
      </w:r>
      <w:r w:rsidR="00CB312B" w:rsidRPr="009F74D4">
        <w:rPr>
          <w:rFonts w:ascii="Times New Roman" w:eastAsia="Times New Roman" w:hAnsi="Times New Roman"/>
          <w:sz w:val="24"/>
          <w:szCs w:val="24"/>
        </w:rPr>
        <w:t xml:space="preserve"> </w:t>
      </w:r>
    </w:p>
    <w:p w14:paraId="1D5EBCD6" w14:textId="62DE7270" w:rsidR="002C3E17" w:rsidRPr="00B245F9" w:rsidRDefault="001E73C5" w:rsidP="007F23B4">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R</w:t>
      </w:r>
      <w:r w:rsidR="0074545A" w:rsidRPr="009F74D4">
        <w:rPr>
          <w:rFonts w:ascii="Times New Roman" w:eastAsia="Times New Roman" w:hAnsi="Times New Roman"/>
          <w:sz w:val="24"/>
          <w:szCs w:val="24"/>
        </w:rPr>
        <w:t>eporting</w:t>
      </w:r>
      <w:r w:rsidR="0074545A">
        <w:rPr>
          <w:rFonts w:ascii="Times New Roman" w:eastAsia="Times New Roman" w:hAnsi="Times New Roman"/>
          <w:sz w:val="24"/>
          <w:szCs w:val="24"/>
        </w:rPr>
        <w:t xml:space="preserve"> </w:t>
      </w:r>
      <w:r w:rsidR="00CB312B">
        <w:rPr>
          <w:rFonts w:ascii="Times New Roman" w:eastAsia="Times New Roman" w:hAnsi="Times New Roman"/>
          <w:sz w:val="24"/>
          <w:szCs w:val="24"/>
        </w:rPr>
        <w:t xml:space="preserve">and methodology </w:t>
      </w:r>
      <w:r w:rsidR="0074545A">
        <w:rPr>
          <w:rFonts w:ascii="Times New Roman" w:eastAsia="Times New Roman" w:hAnsi="Times New Roman"/>
          <w:sz w:val="24"/>
          <w:szCs w:val="24"/>
        </w:rPr>
        <w:t>on</w:t>
      </w:r>
      <w:r w:rsidR="0074545A" w:rsidRPr="009F74D4">
        <w:rPr>
          <w:rFonts w:ascii="Times New Roman" w:eastAsia="Times New Roman" w:hAnsi="Times New Roman"/>
          <w:sz w:val="24"/>
          <w:szCs w:val="24"/>
        </w:rPr>
        <w:t xml:space="preserve"> loan portfolio performance</w:t>
      </w:r>
      <w:r w:rsidR="005941A3">
        <w:rPr>
          <w:rFonts w:ascii="Times New Roman" w:eastAsia="Times New Roman" w:hAnsi="Times New Roman"/>
          <w:sz w:val="24"/>
          <w:szCs w:val="24"/>
        </w:rPr>
        <w:t>.</w:t>
      </w:r>
      <w:r w:rsidR="00CB312B">
        <w:rPr>
          <w:rFonts w:ascii="Times New Roman" w:eastAsia="Times New Roman" w:hAnsi="Times New Roman"/>
          <w:sz w:val="24"/>
          <w:szCs w:val="24"/>
        </w:rPr>
        <w:t xml:space="preserve"> </w:t>
      </w:r>
      <w:r w:rsidR="002C3E17">
        <w:rPr>
          <w:rFonts w:ascii="Times New Roman" w:eastAsia="Times New Roman" w:hAnsi="Times New Roman"/>
          <w:sz w:val="24"/>
          <w:szCs w:val="24"/>
        </w:rPr>
        <w:t xml:space="preserve"> </w:t>
      </w:r>
    </w:p>
    <w:p w14:paraId="1D5EBCD7" w14:textId="77777777" w:rsidR="005941A3" w:rsidRPr="007F23B4" w:rsidRDefault="00CB312B" w:rsidP="00CB312B">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sidR="005941A3">
        <w:rPr>
          <w:rFonts w:ascii="Times New Roman" w:eastAsia="Times New Roman" w:hAnsi="Times New Roman"/>
          <w:sz w:val="24"/>
          <w:szCs w:val="24"/>
        </w:rPr>
        <w:t>obligations, including:</w:t>
      </w:r>
    </w:p>
    <w:p w14:paraId="1D5EBCD8" w14:textId="7CF68CCA" w:rsidR="00CB312B" w:rsidRPr="007766D9" w:rsidRDefault="001E73C5" w:rsidP="00C737A2">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lastRenderedPageBreak/>
        <w:t>F</w:t>
      </w:r>
      <w:r w:rsidR="005941A3">
        <w:rPr>
          <w:rFonts w:ascii="Times New Roman" w:eastAsia="Times New Roman" w:hAnsi="Times New Roman"/>
          <w:sz w:val="24"/>
          <w:szCs w:val="24"/>
        </w:rPr>
        <w:t xml:space="preserve">or </w:t>
      </w:r>
      <w:r w:rsidR="00CB312B" w:rsidRPr="008213B2">
        <w:rPr>
          <w:rFonts w:ascii="Times New Roman" w:eastAsia="Times New Roman" w:hAnsi="Times New Roman"/>
          <w:sz w:val="24"/>
          <w:szCs w:val="24"/>
        </w:rPr>
        <w:t>debt obligations</w:t>
      </w:r>
      <w:r w:rsidR="00CB312B">
        <w:rPr>
          <w:rFonts w:ascii="Times New Roman" w:eastAsia="Times New Roman" w:hAnsi="Times New Roman"/>
          <w:sz w:val="24"/>
          <w:szCs w:val="24"/>
        </w:rPr>
        <w:t xml:space="preserve">, </w:t>
      </w:r>
      <w:r w:rsidR="005941A3">
        <w:rPr>
          <w:rFonts w:ascii="Times New Roman" w:eastAsia="Times New Roman" w:hAnsi="Times New Roman"/>
          <w:sz w:val="24"/>
          <w:szCs w:val="24"/>
        </w:rPr>
        <w:t xml:space="preserve">current </w:t>
      </w:r>
      <w:r w:rsidR="00CB312B">
        <w:rPr>
          <w:rFonts w:ascii="Times New Roman" w:eastAsia="Times New Roman" w:hAnsi="Times New Roman"/>
          <w:sz w:val="24"/>
          <w:szCs w:val="24"/>
        </w:rPr>
        <w:t xml:space="preserve">payment </w:t>
      </w:r>
      <w:r w:rsidR="005941A3">
        <w:rPr>
          <w:rFonts w:ascii="Times New Roman" w:eastAsia="Times New Roman" w:hAnsi="Times New Roman"/>
          <w:sz w:val="24"/>
          <w:szCs w:val="24"/>
        </w:rPr>
        <w:t>status</w:t>
      </w:r>
      <w:r w:rsidR="00CB312B">
        <w:rPr>
          <w:rFonts w:ascii="Times New Roman" w:eastAsia="Times New Roman" w:hAnsi="Times New Roman"/>
          <w:sz w:val="24"/>
          <w:szCs w:val="24"/>
        </w:rPr>
        <w:t xml:space="preserve"> </w:t>
      </w:r>
      <w:r w:rsidR="00CB312B" w:rsidRPr="008213B2">
        <w:rPr>
          <w:rFonts w:ascii="Times New Roman" w:eastAsia="Times New Roman" w:hAnsi="Times New Roman"/>
          <w:sz w:val="24"/>
          <w:szCs w:val="24"/>
        </w:rPr>
        <w:t>and compliance with programmatic and financial covenants</w:t>
      </w:r>
      <w:r w:rsidR="00DE5742">
        <w:rPr>
          <w:rFonts w:ascii="Times New Roman" w:eastAsia="Times New Roman" w:hAnsi="Times New Roman"/>
          <w:sz w:val="24"/>
          <w:szCs w:val="24"/>
        </w:rPr>
        <w:t>;</w:t>
      </w:r>
    </w:p>
    <w:p w14:paraId="1D5EBCD9" w14:textId="05CA5F25" w:rsidR="005941A3" w:rsidRPr="00C737A2" w:rsidRDefault="00DE5742" w:rsidP="00C737A2">
      <w:pPr>
        <w:pStyle w:val="ListParagraph"/>
        <w:numPr>
          <w:ilvl w:val="1"/>
          <w:numId w:val="20"/>
        </w:numPr>
        <w:spacing w:after="0" w:line="240" w:lineRule="auto"/>
        <w:rPr>
          <w:rFonts w:ascii="Times New Roman" w:hAnsi="Times New Roman"/>
          <w:sz w:val="24"/>
        </w:rPr>
      </w:pPr>
      <w:r>
        <w:rPr>
          <w:rFonts w:ascii="Times New Roman" w:eastAsia="Times New Roman" w:hAnsi="Times New Roman"/>
          <w:sz w:val="24"/>
          <w:szCs w:val="24"/>
        </w:rPr>
        <w:t>M</w:t>
      </w:r>
      <w:r w:rsidR="005941A3" w:rsidRPr="008F18E7">
        <w:rPr>
          <w:rFonts w:ascii="Times New Roman" w:eastAsia="Times New Roman" w:hAnsi="Times New Roman"/>
          <w:sz w:val="24"/>
          <w:szCs w:val="24"/>
        </w:rPr>
        <w:t>aintenance of good-standing status with respect to all other obligations, in</w:t>
      </w:r>
      <w:r>
        <w:rPr>
          <w:rFonts w:ascii="Times New Roman" w:eastAsia="Times New Roman" w:hAnsi="Times New Roman"/>
          <w:sz w:val="24"/>
          <w:szCs w:val="24"/>
        </w:rPr>
        <w:t>surance and legal requirements; and</w:t>
      </w:r>
    </w:p>
    <w:p w14:paraId="1D5EBCDA" w14:textId="41C123DD" w:rsidR="008B749B"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CB312B">
        <w:rPr>
          <w:rFonts w:ascii="Times New Roman" w:eastAsia="Times New Roman" w:hAnsi="Times New Roman"/>
          <w:sz w:val="24"/>
          <w:szCs w:val="24"/>
        </w:rPr>
        <w:t xml:space="preserve">ny recent or outstanding </w:t>
      </w:r>
      <w:r w:rsidR="008B749B">
        <w:rPr>
          <w:rFonts w:ascii="Times New Roman" w:eastAsia="Times New Roman" w:hAnsi="Times New Roman"/>
          <w:sz w:val="24"/>
          <w:szCs w:val="24"/>
        </w:rPr>
        <w:t xml:space="preserve">corrective actions at the time of the Eligible CDFI underwriting </w:t>
      </w:r>
      <w:r w:rsidR="003D78C9">
        <w:rPr>
          <w:rFonts w:ascii="Times New Roman" w:eastAsia="Times New Roman" w:hAnsi="Times New Roman"/>
          <w:sz w:val="24"/>
          <w:szCs w:val="24"/>
        </w:rPr>
        <w:t xml:space="preserve">of </w:t>
      </w:r>
      <w:r>
        <w:rPr>
          <w:rFonts w:ascii="Times New Roman" w:eastAsia="Times New Roman" w:hAnsi="Times New Roman"/>
          <w:sz w:val="24"/>
          <w:szCs w:val="24"/>
        </w:rPr>
        <w:t>the Secondary Borrower.</w:t>
      </w:r>
    </w:p>
    <w:p w14:paraId="1D5EBCDB" w14:textId="77777777" w:rsidR="007F23B4" w:rsidRPr="007F23B4" w:rsidRDefault="007F23B4" w:rsidP="007F23B4">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Specifically in connection with the Secondary Loan:</w:t>
      </w:r>
    </w:p>
    <w:p w14:paraId="1D5EBCDC" w14:textId="5C87F438" w:rsidR="007F23B4" w:rsidRDefault="007F23B4" w:rsidP="007F23B4">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asset classes for which </w:t>
      </w:r>
      <w:r w:rsidR="00DE5742">
        <w:rPr>
          <w:rFonts w:ascii="Times New Roman" w:eastAsia="Times New Roman" w:hAnsi="Times New Roman"/>
          <w:sz w:val="24"/>
          <w:szCs w:val="24"/>
        </w:rPr>
        <w:t xml:space="preserve">the Secondary Loan </w:t>
      </w:r>
      <w:r>
        <w:rPr>
          <w:rFonts w:ascii="Times New Roman" w:eastAsia="Times New Roman" w:hAnsi="Times New Roman"/>
          <w:sz w:val="24"/>
          <w:szCs w:val="24"/>
        </w:rPr>
        <w:t>proceeds would be used</w:t>
      </w:r>
      <w:r w:rsidR="00DE5742">
        <w:rPr>
          <w:rFonts w:ascii="Times New Roman" w:eastAsia="Times New Roman" w:hAnsi="Times New Roman"/>
          <w:sz w:val="24"/>
          <w:szCs w:val="24"/>
        </w:rPr>
        <w:t xml:space="preserve"> (deployment of assets);</w:t>
      </w:r>
    </w:p>
    <w:p w14:paraId="1D5EBCDD" w14:textId="1BA7992A" w:rsidR="005941A3" w:rsidRDefault="00DE5742" w:rsidP="007F23B4">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5941A3" w:rsidRPr="007F23B4">
        <w:rPr>
          <w:rFonts w:ascii="Times New Roman" w:eastAsia="Times New Roman" w:hAnsi="Times New Roman"/>
          <w:sz w:val="24"/>
          <w:szCs w:val="24"/>
        </w:rPr>
        <w:t>emand for loans from potential borrowers by asset class</w:t>
      </w:r>
      <w:r>
        <w:rPr>
          <w:rFonts w:ascii="Times New Roman" w:eastAsia="Times New Roman" w:hAnsi="Times New Roman"/>
          <w:sz w:val="24"/>
          <w:szCs w:val="24"/>
        </w:rPr>
        <w:t>;</w:t>
      </w:r>
    </w:p>
    <w:p w14:paraId="1D5EBCDE" w14:textId="501A4A77" w:rsidR="002515AB" w:rsidRDefault="00DE5742" w:rsidP="002515AB">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U</w:t>
      </w:r>
      <w:r w:rsidR="002515AB">
        <w:rPr>
          <w:rFonts w:ascii="Times New Roman" w:eastAsia="Times New Roman" w:hAnsi="Times New Roman"/>
          <w:sz w:val="24"/>
          <w:szCs w:val="24"/>
        </w:rPr>
        <w:t>nderwriting policies for each asset class as specified in other sections of this Underwriting Review Checklist, as applicable, or comparable p</w:t>
      </w:r>
      <w:r>
        <w:rPr>
          <w:rFonts w:ascii="Times New Roman" w:eastAsia="Times New Roman" w:hAnsi="Times New Roman"/>
          <w:sz w:val="24"/>
          <w:szCs w:val="24"/>
        </w:rPr>
        <w:t>olicies for other asset classes;</w:t>
      </w:r>
    </w:p>
    <w:p w14:paraId="1D5EBCDF" w14:textId="59131DCF" w:rsidR="00B5111D" w:rsidRPr="007F23B4" w:rsidRDefault="00DE5742" w:rsidP="007F23B4">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00B5111D">
        <w:rPr>
          <w:rFonts w:ascii="Times New Roman" w:eastAsia="Times New Roman" w:hAnsi="Times New Roman"/>
          <w:sz w:val="24"/>
          <w:szCs w:val="24"/>
        </w:rPr>
        <w:t>f the Secondary Borrower will provide financing for predevelopment, construction and lease-up periods, additional relevant financial and management capacitie</w:t>
      </w:r>
      <w:r>
        <w:rPr>
          <w:rFonts w:ascii="Times New Roman" w:eastAsia="Times New Roman" w:hAnsi="Times New Roman"/>
          <w:sz w:val="24"/>
          <w:szCs w:val="24"/>
        </w:rPr>
        <w:t>s and risk mitigation policies;</w:t>
      </w:r>
    </w:p>
    <w:p w14:paraId="4D6B6DE2" w14:textId="77777777" w:rsidR="00DE5742" w:rsidRDefault="007F23B4"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A76593" w:rsidRPr="007F23B4">
        <w:rPr>
          <w:rFonts w:ascii="Times New Roman" w:eastAsia="Times New Roman" w:hAnsi="Times New Roman"/>
          <w:sz w:val="24"/>
          <w:szCs w:val="24"/>
        </w:rPr>
        <w:t>ources of repayment of the Secondary Loan, including principal and interest payments</w:t>
      </w:r>
      <w:r w:rsidR="00DE5742">
        <w:rPr>
          <w:rFonts w:ascii="Times New Roman" w:eastAsia="Times New Roman" w:hAnsi="Times New Roman"/>
          <w:sz w:val="24"/>
          <w:szCs w:val="24"/>
        </w:rPr>
        <w:t>;</w:t>
      </w:r>
    </w:p>
    <w:p w14:paraId="1D5EBCE0" w14:textId="055FBD25" w:rsidR="00A76593" w:rsidRPr="007F23B4"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An ability of the Secondary Borrower to pay</w:t>
      </w:r>
      <w:r w:rsidR="00A76593" w:rsidRPr="007F23B4">
        <w:rPr>
          <w:rFonts w:ascii="Times New Roman" w:eastAsia="Times New Roman" w:hAnsi="Times New Roman"/>
          <w:sz w:val="24"/>
          <w:szCs w:val="24"/>
        </w:rPr>
        <w:t xml:space="preserve"> monthly operating expenses</w:t>
      </w:r>
      <w:r w:rsidR="003D78C9" w:rsidRPr="007F23B4">
        <w:rPr>
          <w:rFonts w:ascii="Times New Roman" w:eastAsia="Times New Roman" w:hAnsi="Times New Roman"/>
          <w:sz w:val="24"/>
          <w:szCs w:val="24"/>
        </w:rPr>
        <w:t>;</w:t>
      </w:r>
    </w:p>
    <w:p w14:paraId="1D5EBCE1" w14:textId="0F73F726" w:rsidR="008B749B" w:rsidRPr="007F23B4"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CB312B">
        <w:rPr>
          <w:rFonts w:ascii="Times New Roman" w:eastAsia="Times New Roman" w:hAnsi="Times New Roman"/>
          <w:sz w:val="24"/>
          <w:szCs w:val="24"/>
        </w:rPr>
        <w:t xml:space="preserve">iquidity and </w:t>
      </w:r>
      <w:r w:rsidR="008B749B">
        <w:rPr>
          <w:rFonts w:ascii="Times New Roman" w:eastAsia="Times New Roman" w:hAnsi="Times New Roman"/>
          <w:sz w:val="24"/>
          <w:szCs w:val="24"/>
        </w:rPr>
        <w:t>organizational cash flows with debt service coverage</w:t>
      </w:r>
      <w:r w:rsidR="00F72CE8">
        <w:rPr>
          <w:rFonts w:ascii="Times New Roman" w:eastAsia="Times New Roman" w:hAnsi="Times New Roman"/>
          <w:sz w:val="24"/>
          <w:szCs w:val="24"/>
        </w:rPr>
        <w:t xml:space="preserve"> of the Secondary Loan</w:t>
      </w:r>
      <w:r w:rsidR="008B749B">
        <w:rPr>
          <w:rFonts w:ascii="Times New Roman" w:eastAsia="Times New Roman" w:hAnsi="Times New Roman"/>
          <w:sz w:val="24"/>
          <w:szCs w:val="24"/>
        </w:rPr>
        <w:t xml:space="preserve"> that can withstand fluctuations without interrupted debt service payments</w:t>
      </w:r>
      <w:r w:rsidR="003D78C9">
        <w:rPr>
          <w:rFonts w:ascii="Times New Roman" w:eastAsia="Times New Roman" w:hAnsi="Times New Roman"/>
          <w:sz w:val="24"/>
          <w:szCs w:val="24"/>
        </w:rPr>
        <w:t>; and</w:t>
      </w:r>
    </w:p>
    <w:p w14:paraId="1D5EBCE2" w14:textId="1ACFD3FB" w:rsidR="00B80D5E" w:rsidRPr="007F23B4"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CB312B" w:rsidRPr="007F23B4">
        <w:rPr>
          <w:rFonts w:ascii="Times New Roman" w:eastAsia="Times New Roman" w:hAnsi="Times New Roman"/>
          <w:sz w:val="24"/>
          <w:szCs w:val="24"/>
        </w:rPr>
        <w:t>reatment and terms of</w:t>
      </w:r>
      <w:r w:rsidR="00B80D5E" w:rsidRPr="007F23B4">
        <w:rPr>
          <w:rFonts w:ascii="Times New Roman" w:eastAsia="Times New Roman" w:hAnsi="Times New Roman"/>
          <w:sz w:val="24"/>
          <w:szCs w:val="24"/>
        </w:rPr>
        <w:t xml:space="preserve"> any Credit Enhancements, grants, guarantees or other support</w:t>
      </w:r>
      <w:r w:rsidR="00B245F9">
        <w:rPr>
          <w:rFonts w:ascii="Times New Roman" w:eastAsia="Times New Roman" w:hAnsi="Times New Roman"/>
          <w:sz w:val="24"/>
          <w:szCs w:val="24"/>
        </w:rPr>
        <w:t xml:space="preserve"> to the Secondary Borrower that</w:t>
      </w:r>
      <w:r w:rsidR="00B80D5E" w:rsidRPr="007F23B4">
        <w:rPr>
          <w:rFonts w:ascii="Times New Roman" w:eastAsia="Times New Roman" w:hAnsi="Times New Roman"/>
          <w:sz w:val="24"/>
          <w:szCs w:val="24"/>
        </w:rPr>
        <w:t xml:space="preserve"> impact the underwriting and/or risk mitigation of the Secondary Loan. </w:t>
      </w:r>
    </w:p>
    <w:p w14:paraId="1D5EBCE3" w14:textId="77777777" w:rsidR="00CE2CD3" w:rsidRDefault="00CE2CD3" w:rsidP="005C48D0">
      <w:pPr>
        <w:spacing w:after="0" w:line="240" w:lineRule="auto"/>
        <w:ind w:left="360"/>
        <w:jc w:val="both"/>
        <w:rPr>
          <w:rFonts w:ascii="Times New Roman" w:eastAsia="Times New Roman" w:hAnsi="Times New Roman"/>
          <w:b/>
          <w:sz w:val="24"/>
          <w:szCs w:val="24"/>
        </w:rPr>
      </w:pPr>
    </w:p>
    <w:p w14:paraId="1D5EBCE4" w14:textId="25EA9019" w:rsidR="00CA50D1" w:rsidRDefault="00CA50D1" w:rsidP="00CA50D1">
      <w:pPr>
        <w:pStyle w:val="ListParagraph"/>
        <w:numPr>
          <w:ilvl w:val="0"/>
          <w:numId w:val="4"/>
        </w:numPr>
        <w:tabs>
          <w:tab w:val="left" w:pos="360"/>
        </w:tabs>
        <w:spacing w:after="0" w:line="240" w:lineRule="auto"/>
        <w:ind w:left="360"/>
        <w:rPr>
          <w:rFonts w:ascii="Times New Roman" w:eastAsia="Times New Roman" w:hAnsi="Times New Roman"/>
          <w:b/>
          <w:smallCaps/>
          <w:sz w:val="24"/>
          <w:szCs w:val="24"/>
        </w:rPr>
      </w:pPr>
      <w:r>
        <w:rPr>
          <w:rFonts w:ascii="Times New Roman" w:eastAsia="Times New Roman" w:hAnsi="Times New Roman"/>
          <w:b/>
          <w:smallCaps/>
          <w:sz w:val="24"/>
          <w:szCs w:val="24"/>
        </w:rPr>
        <w:t>CDFI-to-Financing Entity Lending:</w:t>
      </w:r>
    </w:p>
    <w:p w14:paraId="1D5EBCE5" w14:textId="44BBE004" w:rsidR="009B0540" w:rsidRPr="00C737A2" w:rsidRDefault="009B0540" w:rsidP="00C737A2">
      <w:pPr>
        <w:spacing w:after="0" w:line="240" w:lineRule="auto"/>
        <w:ind w:left="360"/>
        <w:rPr>
          <w:rFonts w:ascii="Times New Roman" w:hAnsi="Times New Roman"/>
          <w:sz w:val="24"/>
        </w:rPr>
      </w:pPr>
      <w:r>
        <w:rPr>
          <w:rFonts w:ascii="Times New Roman" w:eastAsia="Times New Roman" w:hAnsi="Times New Roman"/>
          <w:sz w:val="24"/>
          <w:szCs w:val="24"/>
        </w:rPr>
        <w:t>The Secondary Borrower must be a</w:t>
      </w:r>
      <w:r w:rsidRPr="008213B2">
        <w:rPr>
          <w:rFonts w:ascii="Times New Roman" w:eastAsia="Times New Roman" w:hAnsi="Times New Roman"/>
          <w:sz w:val="24"/>
          <w:szCs w:val="24"/>
        </w:rPr>
        <w:t xml:space="preserve"> </w:t>
      </w:r>
      <w:r>
        <w:rPr>
          <w:rFonts w:ascii="Times New Roman" w:eastAsia="Times New Roman" w:hAnsi="Times New Roman"/>
          <w:sz w:val="24"/>
          <w:szCs w:val="24"/>
        </w:rPr>
        <w:t>Financing Entity as defined in 12 C.F.R. 1805.201(b)(2)</w:t>
      </w:r>
      <w:r w:rsidR="00FF5AE2">
        <w:rPr>
          <w:rFonts w:ascii="Times New Roman" w:eastAsia="Times New Roman" w:hAnsi="Times New Roman"/>
          <w:sz w:val="24"/>
          <w:szCs w:val="24"/>
        </w:rPr>
        <w:t xml:space="preserve"> </w:t>
      </w:r>
      <w:r w:rsidR="002515AB">
        <w:rPr>
          <w:rFonts w:ascii="Times New Roman" w:eastAsia="Times New Roman" w:hAnsi="Times New Roman"/>
          <w:sz w:val="24"/>
          <w:szCs w:val="24"/>
        </w:rPr>
        <w:t xml:space="preserve">and an affiliate of a Certified CDFI. </w:t>
      </w:r>
      <w:r>
        <w:rPr>
          <w:rFonts w:ascii="Times New Roman" w:eastAsia="Times New Roman" w:hAnsi="Times New Roman"/>
          <w:sz w:val="24"/>
          <w:szCs w:val="24"/>
        </w:rPr>
        <w:t xml:space="preserve">The Eligible CDFI’s </w:t>
      </w:r>
      <w:r w:rsidRPr="00F5734D">
        <w:rPr>
          <w:rFonts w:ascii="Times New Roman" w:eastAsia="Times New Roman" w:hAnsi="Times New Roman"/>
          <w:sz w:val="24"/>
          <w:szCs w:val="24"/>
        </w:rPr>
        <w:t xml:space="preserve">underwriting </w:t>
      </w:r>
      <w:r>
        <w:rPr>
          <w:rFonts w:ascii="Times New Roman" w:eastAsia="Times New Roman" w:hAnsi="Times New Roman"/>
          <w:sz w:val="24"/>
          <w:szCs w:val="24"/>
        </w:rPr>
        <w:t xml:space="preserve">policies </w:t>
      </w:r>
      <w:r w:rsidR="00622AFE">
        <w:rPr>
          <w:rFonts w:ascii="Times New Roman" w:eastAsia="Times New Roman" w:hAnsi="Times New Roman"/>
          <w:sz w:val="24"/>
          <w:szCs w:val="24"/>
        </w:rPr>
        <w:t xml:space="preserve">and evaluation criteria </w:t>
      </w:r>
      <w:r>
        <w:rPr>
          <w:rFonts w:ascii="Times New Roman" w:eastAsia="Times New Roman" w:hAnsi="Times New Roman"/>
          <w:sz w:val="24"/>
          <w:szCs w:val="24"/>
        </w:rPr>
        <w:t>for a Secondary Borrower</w:t>
      </w:r>
      <w:r w:rsidRPr="00F5734D">
        <w:rPr>
          <w:rFonts w:ascii="Times New Roman" w:eastAsia="Times New Roman" w:hAnsi="Times New Roman"/>
          <w:sz w:val="24"/>
          <w:szCs w:val="24"/>
        </w:rPr>
        <w:t xml:space="preserve"> </w:t>
      </w:r>
      <w:r>
        <w:rPr>
          <w:rFonts w:ascii="Times New Roman" w:eastAsia="Times New Roman" w:hAnsi="Times New Roman"/>
          <w:sz w:val="24"/>
          <w:szCs w:val="24"/>
        </w:rPr>
        <w:t xml:space="preserve">under this asset </w:t>
      </w:r>
      <w:r w:rsidR="00646259">
        <w:rPr>
          <w:rFonts w:ascii="Times New Roman" w:eastAsia="Times New Roman" w:hAnsi="Times New Roman"/>
          <w:sz w:val="24"/>
          <w:szCs w:val="24"/>
        </w:rPr>
        <w:t>class</w:t>
      </w:r>
      <w:r>
        <w:rPr>
          <w:rFonts w:ascii="Times New Roman" w:eastAsia="Times New Roman" w:hAnsi="Times New Roman"/>
          <w:sz w:val="24"/>
          <w:szCs w:val="24"/>
        </w:rPr>
        <w:t xml:space="preserve"> must address</w:t>
      </w:r>
      <w:r w:rsidRPr="00F5734D">
        <w:rPr>
          <w:rFonts w:ascii="Times New Roman" w:eastAsia="Times New Roman" w:hAnsi="Times New Roman"/>
          <w:sz w:val="24"/>
          <w:szCs w:val="24"/>
        </w:rPr>
        <w:t xml:space="preserve"> the following</w:t>
      </w:r>
      <w:r>
        <w:rPr>
          <w:rFonts w:ascii="Times New Roman" w:eastAsia="Times New Roman" w:hAnsi="Times New Roman"/>
          <w:sz w:val="24"/>
          <w:szCs w:val="24"/>
        </w:rPr>
        <w:t>:</w:t>
      </w:r>
    </w:p>
    <w:p w14:paraId="1D5EBCE6" w14:textId="77777777" w:rsidR="009B0540" w:rsidRPr="00445740" w:rsidRDefault="009B0540" w:rsidP="009B0540">
      <w:pPr>
        <w:spacing w:after="0" w:line="240" w:lineRule="auto"/>
        <w:ind w:left="360"/>
        <w:rPr>
          <w:rFonts w:ascii="Times New Roman" w:eastAsia="Times New Roman" w:hAnsi="Times New Roman"/>
          <w:sz w:val="24"/>
          <w:szCs w:val="24"/>
        </w:rPr>
      </w:pPr>
    </w:p>
    <w:p w14:paraId="1D5EBCE7" w14:textId="77777777" w:rsidR="009B0540" w:rsidRPr="007F23B4" w:rsidRDefault="009B0540" w:rsidP="009B0540">
      <w:pPr>
        <w:pStyle w:val="ListParagraph"/>
        <w:numPr>
          <w:ilvl w:val="0"/>
          <w:numId w:val="8"/>
        </w:numPr>
        <w:spacing w:after="0" w:line="240" w:lineRule="auto"/>
        <w:ind w:left="720"/>
        <w:rPr>
          <w:rFonts w:ascii="Times New Roman" w:eastAsia="Times New Roman" w:hAnsi="Times New Roman"/>
          <w:i/>
          <w:sz w:val="24"/>
          <w:szCs w:val="24"/>
          <w:u w:val="single"/>
        </w:rPr>
      </w:pPr>
      <w:r>
        <w:rPr>
          <w:rFonts w:ascii="Times New Roman" w:eastAsia="Times New Roman" w:hAnsi="Times New Roman"/>
          <w:sz w:val="24"/>
          <w:szCs w:val="24"/>
        </w:rPr>
        <w:t xml:space="preserve">Management and financial capacity and performance in all facets of operations, including: </w:t>
      </w:r>
    </w:p>
    <w:p w14:paraId="1D5EBCE8" w14:textId="7981F7CE" w:rsidR="009B0540" w:rsidRPr="007F23B4" w:rsidRDefault="00DE5742" w:rsidP="009B054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9B0540">
        <w:rPr>
          <w:rFonts w:ascii="Times New Roman" w:eastAsia="Times New Roman" w:hAnsi="Times New Roman"/>
          <w:sz w:val="24"/>
          <w:szCs w:val="24"/>
        </w:rPr>
        <w:t xml:space="preserve">overnance; </w:t>
      </w:r>
    </w:p>
    <w:p w14:paraId="1D5EBCE9" w14:textId="208F829B" w:rsidR="009B0540" w:rsidRPr="007F23B4" w:rsidRDefault="00DE5742" w:rsidP="009B054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9B0540">
        <w:rPr>
          <w:rFonts w:ascii="Times New Roman" w:eastAsia="Times New Roman" w:hAnsi="Times New Roman"/>
          <w:sz w:val="24"/>
          <w:szCs w:val="24"/>
        </w:rPr>
        <w:t xml:space="preserve">ey personnel; </w:t>
      </w:r>
    </w:p>
    <w:p w14:paraId="1D5EBCEA" w14:textId="511258E7" w:rsidR="009B0540" w:rsidRPr="007F23B4" w:rsidRDefault="00DE5742" w:rsidP="009B054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9B0540">
        <w:rPr>
          <w:rFonts w:ascii="Times New Roman" w:eastAsia="Times New Roman" w:hAnsi="Times New Roman"/>
          <w:sz w:val="24"/>
          <w:szCs w:val="24"/>
        </w:rPr>
        <w:t xml:space="preserve">inancial performance, liquidity, capital and asset adequacy and metrics; </w:t>
      </w:r>
    </w:p>
    <w:p w14:paraId="1D5EBCEB" w14:textId="61F85111" w:rsidR="009B0540" w:rsidRPr="007F23B4" w:rsidRDefault="00DE5742" w:rsidP="009B054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L</w:t>
      </w:r>
      <w:r w:rsidR="009B0540">
        <w:rPr>
          <w:rFonts w:ascii="Times New Roman" w:eastAsia="Times New Roman" w:hAnsi="Times New Roman"/>
          <w:sz w:val="24"/>
          <w:szCs w:val="24"/>
        </w:rPr>
        <w:t>oan underwriting policies and capacities;</w:t>
      </w:r>
    </w:p>
    <w:p w14:paraId="1D5EBCEC" w14:textId="6CF4B3EB" w:rsidR="009B0540" w:rsidRPr="007F23B4" w:rsidRDefault="00DE5742" w:rsidP="009B054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L</w:t>
      </w:r>
      <w:r w:rsidR="009B0540">
        <w:rPr>
          <w:rFonts w:ascii="Times New Roman" w:eastAsia="Times New Roman" w:hAnsi="Times New Roman"/>
          <w:sz w:val="24"/>
          <w:szCs w:val="24"/>
        </w:rPr>
        <w:t xml:space="preserve">oan origination processes; </w:t>
      </w:r>
    </w:p>
    <w:p w14:paraId="1D5EBCED" w14:textId="2F61BE7D" w:rsidR="009B0540" w:rsidRPr="007F23B4" w:rsidRDefault="00DE5742" w:rsidP="009B054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P</w:t>
      </w:r>
      <w:r w:rsidR="009B0540">
        <w:rPr>
          <w:rFonts w:ascii="Times New Roman" w:eastAsia="Times New Roman" w:hAnsi="Times New Roman"/>
          <w:sz w:val="24"/>
          <w:szCs w:val="24"/>
        </w:rPr>
        <w:t xml:space="preserve">ortfolio and risk management, including collections and loan workouts, </w:t>
      </w:r>
      <w:r w:rsidR="009B0540" w:rsidRPr="009F74D4">
        <w:rPr>
          <w:rFonts w:ascii="Times New Roman" w:eastAsia="Times New Roman" w:hAnsi="Times New Roman"/>
          <w:sz w:val="24"/>
          <w:szCs w:val="24"/>
        </w:rPr>
        <w:t>delinquencies, charge-offs</w:t>
      </w:r>
      <w:r w:rsidR="009B0540">
        <w:rPr>
          <w:rFonts w:ascii="Times New Roman" w:eastAsia="Times New Roman" w:hAnsi="Times New Roman"/>
          <w:sz w:val="24"/>
          <w:szCs w:val="24"/>
        </w:rPr>
        <w:t>,</w:t>
      </w:r>
      <w:r w:rsidR="009B0540" w:rsidRPr="009F74D4">
        <w:rPr>
          <w:rFonts w:ascii="Times New Roman" w:eastAsia="Times New Roman" w:hAnsi="Times New Roman"/>
          <w:sz w:val="24"/>
          <w:szCs w:val="24"/>
        </w:rPr>
        <w:t xml:space="preserve"> non-accrual loans</w:t>
      </w:r>
      <w:r w:rsidR="009B0540">
        <w:rPr>
          <w:rFonts w:ascii="Times New Roman" w:eastAsia="Times New Roman" w:hAnsi="Times New Roman"/>
          <w:sz w:val="24"/>
          <w:szCs w:val="24"/>
        </w:rPr>
        <w:t>, and loss reserves;</w:t>
      </w:r>
    </w:p>
    <w:p w14:paraId="53D58DB0" w14:textId="5B76883C" w:rsidR="00302DD8" w:rsidRPr="00302DD8" w:rsidRDefault="00DE5742" w:rsidP="00C737A2">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M</w:t>
      </w:r>
      <w:r w:rsidR="009B0540">
        <w:rPr>
          <w:rFonts w:ascii="Times New Roman" w:eastAsia="Times New Roman" w:hAnsi="Times New Roman"/>
          <w:sz w:val="24"/>
          <w:szCs w:val="24"/>
        </w:rPr>
        <w:t>anagement information systems</w:t>
      </w:r>
      <w:r w:rsidR="00302DD8">
        <w:rPr>
          <w:rFonts w:ascii="Times New Roman" w:eastAsia="Times New Roman" w:hAnsi="Times New Roman"/>
          <w:sz w:val="24"/>
          <w:szCs w:val="24"/>
        </w:rPr>
        <w:t xml:space="preserve">; </w:t>
      </w:r>
      <w:r w:rsidR="009B0540">
        <w:rPr>
          <w:rFonts w:ascii="Times New Roman" w:eastAsia="Times New Roman" w:hAnsi="Times New Roman"/>
          <w:sz w:val="24"/>
          <w:szCs w:val="24"/>
        </w:rPr>
        <w:t>and</w:t>
      </w:r>
      <w:r w:rsidR="009B0540" w:rsidRPr="009F74D4">
        <w:rPr>
          <w:rFonts w:ascii="Times New Roman" w:eastAsia="Times New Roman" w:hAnsi="Times New Roman"/>
          <w:sz w:val="24"/>
          <w:szCs w:val="24"/>
        </w:rPr>
        <w:t xml:space="preserve"> </w:t>
      </w:r>
    </w:p>
    <w:p w14:paraId="1D5EBCEE" w14:textId="7B6E8F25" w:rsidR="009B0540" w:rsidRPr="002C3E17" w:rsidRDefault="00302DD8" w:rsidP="00C737A2">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R</w:t>
      </w:r>
      <w:r w:rsidR="009B0540" w:rsidRPr="009F74D4">
        <w:rPr>
          <w:rFonts w:ascii="Times New Roman" w:eastAsia="Times New Roman" w:hAnsi="Times New Roman"/>
          <w:sz w:val="24"/>
          <w:szCs w:val="24"/>
        </w:rPr>
        <w:t>eporting</w:t>
      </w:r>
      <w:r w:rsidR="009B0540">
        <w:rPr>
          <w:rFonts w:ascii="Times New Roman" w:eastAsia="Times New Roman" w:hAnsi="Times New Roman"/>
          <w:sz w:val="24"/>
          <w:szCs w:val="24"/>
        </w:rPr>
        <w:t xml:space="preserve"> and methodology on</w:t>
      </w:r>
      <w:r w:rsidR="009B0540" w:rsidRPr="009F74D4">
        <w:rPr>
          <w:rFonts w:ascii="Times New Roman" w:eastAsia="Times New Roman" w:hAnsi="Times New Roman"/>
          <w:sz w:val="24"/>
          <w:szCs w:val="24"/>
        </w:rPr>
        <w:t xml:space="preserve"> loan portfolio performance</w:t>
      </w:r>
      <w:r w:rsidR="009B0540">
        <w:rPr>
          <w:rFonts w:ascii="Times New Roman" w:eastAsia="Times New Roman" w:hAnsi="Times New Roman"/>
          <w:sz w:val="24"/>
          <w:szCs w:val="24"/>
        </w:rPr>
        <w:t xml:space="preserve">.  </w:t>
      </w:r>
    </w:p>
    <w:p w14:paraId="1D5EBCEF" w14:textId="77777777" w:rsidR="009B0540" w:rsidRPr="007F23B4" w:rsidRDefault="009B0540" w:rsidP="009B0540">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CF0" w14:textId="02B58662" w:rsidR="009B0540" w:rsidRPr="007766D9" w:rsidRDefault="00DE5742" w:rsidP="009B0540">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9B0540">
        <w:rPr>
          <w:rFonts w:ascii="Times New Roman" w:eastAsia="Times New Roman" w:hAnsi="Times New Roman"/>
          <w:sz w:val="24"/>
          <w:szCs w:val="24"/>
        </w:rPr>
        <w:t xml:space="preserve">or </w:t>
      </w:r>
      <w:r w:rsidR="009B0540" w:rsidRPr="008213B2">
        <w:rPr>
          <w:rFonts w:ascii="Times New Roman" w:eastAsia="Times New Roman" w:hAnsi="Times New Roman"/>
          <w:sz w:val="24"/>
          <w:szCs w:val="24"/>
        </w:rPr>
        <w:t>debt obligations</w:t>
      </w:r>
      <w:r w:rsidR="009B0540">
        <w:rPr>
          <w:rFonts w:ascii="Times New Roman" w:eastAsia="Times New Roman" w:hAnsi="Times New Roman"/>
          <w:sz w:val="24"/>
          <w:szCs w:val="24"/>
        </w:rPr>
        <w:t xml:space="preserve">, current payment status </w:t>
      </w:r>
      <w:r w:rsidR="009B0540" w:rsidRPr="008213B2">
        <w:rPr>
          <w:rFonts w:ascii="Times New Roman" w:eastAsia="Times New Roman" w:hAnsi="Times New Roman"/>
          <w:sz w:val="24"/>
          <w:szCs w:val="24"/>
        </w:rPr>
        <w:t>and compliance with programmatic and financial covenants</w:t>
      </w:r>
      <w:r>
        <w:rPr>
          <w:rFonts w:ascii="Times New Roman" w:eastAsia="Times New Roman" w:hAnsi="Times New Roman"/>
          <w:sz w:val="24"/>
          <w:szCs w:val="24"/>
        </w:rPr>
        <w:t>;</w:t>
      </w:r>
    </w:p>
    <w:p w14:paraId="1D5EBCF1" w14:textId="23F5C86E" w:rsidR="009B0540" w:rsidRPr="008F18E7" w:rsidRDefault="00DE5742" w:rsidP="009B0540">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M</w:t>
      </w:r>
      <w:r w:rsidR="009B0540" w:rsidRPr="008F18E7">
        <w:rPr>
          <w:rFonts w:ascii="Times New Roman" w:eastAsia="Times New Roman" w:hAnsi="Times New Roman"/>
          <w:sz w:val="24"/>
          <w:szCs w:val="24"/>
        </w:rPr>
        <w:t>aintenance of good-standing status with respect to all other obligations, i</w:t>
      </w:r>
      <w:r>
        <w:rPr>
          <w:rFonts w:ascii="Times New Roman" w:eastAsia="Times New Roman" w:hAnsi="Times New Roman"/>
          <w:sz w:val="24"/>
          <w:szCs w:val="24"/>
        </w:rPr>
        <w:t>nsurance and legal requirements; and</w:t>
      </w:r>
      <w:r w:rsidR="009B0540" w:rsidRPr="008F18E7">
        <w:rPr>
          <w:rFonts w:ascii="Times New Roman" w:eastAsia="Times New Roman" w:hAnsi="Times New Roman"/>
          <w:sz w:val="24"/>
          <w:szCs w:val="24"/>
        </w:rPr>
        <w:t xml:space="preserve"> </w:t>
      </w:r>
    </w:p>
    <w:p w14:paraId="1D5EBCF2" w14:textId="377C89EF" w:rsidR="009B0540"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9B0540">
        <w:rPr>
          <w:rFonts w:ascii="Times New Roman" w:eastAsia="Times New Roman" w:hAnsi="Times New Roman"/>
          <w:sz w:val="24"/>
          <w:szCs w:val="24"/>
        </w:rPr>
        <w:t>ny recent or outstanding corrective actions at the time of the Eligible CDFI underwriting of the Secondary Borrower.</w:t>
      </w:r>
    </w:p>
    <w:p w14:paraId="1D5EBCF3" w14:textId="77777777" w:rsidR="009B0540" w:rsidRPr="007F23B4" w:rsidRDefault="009B0540" w:rsidP="009B0540">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Specifically in connection with the Secondary Loan:</w:t>
      </w:r>
    </w:p>
    <w:p w14:paraId="1D5EBCF4" w14:textId="2F852156" w:rsidR="009B0540" w:rsidRDefault="00DE5742" w:rsidP="009B0540">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9B0540">
        <w:rPr>
          <w:rFonts w:ascii="Times New Roman" w:eastAsia="Times New Roman" w:hAnsi="Times New Roman"/>
          <w:sz w:val="24"/>
          <w:szCs w:val="24"/>
        </w:rPr>
        <w:t xml:space="preserve">he asset classes for which </w:t>
      </w:r>
      <w:r>
        <w:rPr>
          <w:rFonts w:ascii="Times New Roman" w:eastAsia="Times New Roman" w:hAnsi="Times New Roman"/>
          <w:sz w:val="24"/>
          <w:szCs w:val="24"/>
        </w:rPr>
        <w:t xml:space="preserve">the Secondary Loan </w:t>
      </w:r>
      <w:r w:rsidR="009B0540">
        <w:rPr>
          <w:rFonts w:ascii="Times New Roman" w:eastAsia="Times New Roman" w:hAnsi="Times New Roman"/>
          <w:sz w:val="24"/>
          <w:szCs w:val="24"/>
        </w:rPr>
        <w:t>proceeds would be used</w:t>
      </w:r>
      <w:r>
        <w:rPr>
          <w:rFonts w:ascii="Times New Roman" w:eastAsia="Times New Roman" w:hAnsi="Times New Roman"/>
          <w:sz w:val="24"/>
          <w:szCs w:val="24"/>
        </w:rPr>
        <w:t xml:space="preserve"> (deployment of assets);</w:t>
      </w:r>
    </w:p>
    <w:p w14:paraId="1D5EBCF5" w14:textId="6D554122" w:rsidR="009B0540" w:rsidRDefault="00DE5742" w:rsidP="009B0540">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9B0540" w:rsidRPr="007F23B4">
        <w:rPr>
          <w:rFonts w:ascii="Times New Roman" w:eastAsia="Times New Roman" w:hAnsi="Times New Roman"/>
          <w:sz w:val="24"/>
          <w:szCs w:val="24"/>
        </w:rPr>
        <w:t>emand for loans from potential borrowers by asset class</w:t>
      </w:r>
      <w:r w:rsidR="00302DD8">
        <w:rPr>
          <w:rFonts w:ascii="Times New Roman" w:eastAsia="Times New Roman" w:hAnsi="Times New Roman"/>
          <w:sz w:val="24"/>
          <w:szCs w:val="24"/>
        </w:rPr>
        <w:t>;</w:t>
      </w:r>
    </w:p>
    <w:p w14:paraId="1D5EBCF6" w14:textId="6356668F" w:rsidR="009B0540" w:rsidRDefault="00DE5742" w:rsidP="009B0540">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U</w:t>
      </w:r>
      <w:r w:rsidR="009B0540">
        <w:rPr>
          <w:rFonts w:ascii="Times New Roman" w:eastAsia="Times New Roman" w:hAnsi="Times New Roman"/>
          <w:sz w:val="24"/>
          <w:szCs w:val="24"/>
        </w:rPr>
        <w:t xml:space="preserve">nderwriting policies </w:t>
      </w:r>
      <w:r w:rsidR="002515AB">
        <w:rPr>
          <w:rFonts w:ascii="Times New Roman" w:eastAsia="Times New Roman" w:hAnsi="Times New Roman"/>
          <w:sz w:val="24"/>
          <w:szCs w:val="24"/>
        </w:rPr>
        <w:t>for</w:t>
      </w:r>
      <w:r w:rsidR="009B0540">
        <w:rPr>
          <w:rFonts w:ascii="Times New Roman" w:eastAsia="Times New Roman" w:hAnsi="Times New Roman"/>
          <w:sz w:val="24"/>
          <w:szCs w:val="24"/>
        </w:rPr>
        <w:t xml:space="preserve"> each asset class</w:t>
      </w:r>
      <w:r w:rsidR="002515AB">
        <w:rPr>
          <w:rFonts w:ascii="Times New Roman" w:eastAsia="Times New Roman" w:hAnsi="Times New Roman"/>
          <w:sz w:val="24"/>
          <w:szCs w:val="24"/>
        </w:rPr>
        <w:t xml:space="preserve"> as </w:t>
      </w:r>
      <w:r w:rsidR="009B0540">
        <w:rPr>
          <w:rFonts w:ascii="Times New Roman" w:eastAsia="Times New Roman" w:hAnsi="Times New Roman"/>
          <w:sz w:val="24"/>
          <w:szCs w:val="24"/>
        </w:rPr>
        <w:t>specified in other sections of this Underwriting Review Checklist, as applicable, or comparable p</w:t>
      </w:r>
      <w:r>
        <w:rPr>
          <w:rFonts w:ascii="Times New Roman" w:eastAsia="Times New Roman" w:hAnsi="Times New Roman"/>
          <w:sz w:val="24"/>
          <w:szCs w:val="24"/>
        </w:rPr>
        <w:t>olicies for other asset classes;</w:t>
      </w:r>
    </w:p>
    <w:p w14:paraId="1D5EBCF7" w14:textId="6E05AC0F" w:rsidR="009B0540" w:rsidRPr="007F23B4" w:rsidRDefault="00DE5742" w:rsidP="009B0540">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009B0540">
        <w:rPr>
          <w:rFonts w:ascii="Times New Roman" w:eastAsia="Times New Roman" w:hAnsi="Times New Roman"/>
          <w:sz w:val="24"/>
          <w:szCs w:val="24"/>
        </w:rPr>
        <w:t>f the Secondary Borrower will provide financing for predevelopment, construction and lease-up periods, additional relevant financial and management capaciti</w:t>
      </w:r>
      <w:r>
        <w:rPr>
          <w:rFonts w:ascii="Times New Roman" w:eastAsia="Times New Roman" w:hAnsi="Times New Roman"/>
          <w:sz w:val="24"/>
          <w:szCs w:val="24"/>
        </w:rPr>
        <w:t>es and risk mitigation policies;</w:t>
      </w:r>
      <w:r w:rsidR="009B0540">
        <w:rPr>
          <w:rFonts w:ascii="Times New Roman" w:eastAsia="Times New Roman" w:hAnsi="Times New Roman"/>
          <w:sz w:val="24"/>
          <w:szCs w:val="24"/>
        </w:rPr>
        <w:t xml:space="preserve"> </w:t>
      </w:r>
    </w:p>
    <w:p w14:paraId="0E7D333A" w14:textId="77777777" w:rsidR="00DE5742"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9B0540" w:rsidRPr="007F23B4">
        <w:rPr>
          <w:rFonts w:ascii="Times New Roman" w:eastAsia="Times New Roman" w:hAnsi="Times New Roman"/>
          <w:sz w:val="24"/>
          <w:szCs w:val="24"/>
        </w:rPr>
        <w:t>ources of repayment of the Secondary Loan, including pri</w:t>
      </w:r>
      <w:r>
        <w:rPr>
          <w:rFonts w:ascii="Times New Roman" w:eastAsia="Times New Roman" w:hAnsi="Times New Roman"/>
          <w:sz w:val="24"/>
          <w:szCs w:val="24"/>
        </w:rPr>
        <w:t>ncipal and interest payments;</w:t>
      </w:r>
    </w:p>
    <w:p w14:paraId="1D5EBCF8" w14:textId="7985591B" w:rsidR="009B0540" w:rsidRPr="007F23B4"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An ability of the Secondary Borrower to pay</w:t>
      </w:r>
      <w:r w:rsidR="009B0540" w:rsidRPr="007F23B4">
        <w:rPr>
          <w:rFonts w:ascii="Times New Roman" w:eastAsia="Times New Roman" w:hAnsi="Times New Roman"/>
          <w:sz w:val="24"/>
          <w:szCs w:val="24"/>
        </w:rPr>
        <w:t xml:space="preserve"> monthly operating expenses;</w:t>
      </w:r>
    </w:p>
    <w:p w14:paraId="1D5EBCF9" w14:textId="00E8B776" w:rsidR="009B0540" w:rsidRPr="007F23B4" w:rsidRDefault="00DE5742"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9B0540">
        <w:rPr>
          <w:rFonts w:ascii="Times New Roman" w:eastAsia="Times New Roman" w:hAnsi="Times New Roman"/>
          <w:sz w:val="24"/>
          <w:szCs w:val="24"/>
        </w:rPr>
        <w:t>iquidity and organizational cash flows with debt service coverage of the Secondary Loan that can withstand fluctuations without interrupted debt service payments; and</w:t>
      </w:r>
    </w:p>
    <w:p w14:paraId="1D5EBCFA" w14:textId="578E2F0D" w:rsidR="009B0540" w:rsidRPr="00C737A2" w:rsidRDefault="00DE5742" w:rsidP="00C737A2">
      <w:pPr>
        <w:pStyle w:val="ListParagraph"/>
        <w:numPr>
          <w:ilvl w:val="1"/>
          <w:numId w:val="20"/>
        </w:numPr>
        <w:spacing w:after="0" w:line="240" w:lineRule="auto"/>
        <w:rPr>
          <w:rFonts w:ascii="Times New Roman" w:hAnsi="Times New Roman"/>
          <w:sz w:val="24"/>
        </w:rPr>
      </w:pPr>
      <w:r>
        <w:rPr>
          <w:rFonts w:ascii="Times New Roman" w:eastAsia="Times New Roman" w:hAnsi="Times New Roman"/>
          <w:sz w:val="24"/>
          <w:szCs w:val="24"/>
        </w:rPr>
        <w:t>T</w:t>
      </w:r>
      <w:r w:rsidR="009B0540" w:rsidRPr="007F23B4">
        <w:rPr>
          <w:rFonts w:ascii="Times New Roman" w:eastAsia="Times New Roman" w:hAnsi="Times New Roman"/>
          <w:sz w:val="24"/>
          <w:szCs w:val="24"/>
        </w:rPr>
        <w:t>reatment and terms of any Credit Enhancements, grants, guarantees or other support</w:t>
      </w:r>
      <w:r w:rsidR="00302DD8">
        <w:rPr>
          <w:rFonts w:ascii="Times New Roman" w:eastAsia="Times New Roman" w:hAnsi="Times New Roman"/>
          <w:sz w:val="24"/>
          <w:szCs w:val="24"/>
        </w:rPr>
        <w:t xml:space="preserve"> to the Secondary Borrower that</w:t>
      </w:r>
      <w:r w:rsidR="009B0540" w:rsidRPr="007F23B4">
        <w:rPr>
          <w:rFonts w:ascii="Times New Roman" w:eastAsia="Times New Roman" w:hAnsi="Times New Roman"/>
          <w:sz w:val="24"/>
          <w:szCs w:val="24"/>
        </w:rPr>
        <w:t xml:space="preserve"> impact the underwriting and/or risk mitigation of the Secondary Loan. </w:t>
      </w:r>
    </w:p>
    <w:p w14:paraId="1D5EBCFB" w14:textId="77777777" w:rsidR="00FF5AE2" w:rsidRPr="00C737A2" w:rsidRDefault="00FF5AE2" w:rsidP="00C737A2">
      <w:pPr>
        <w:spacing w:after="0" w:line="240" w:lineRule="auto"/>
        <w:ind w:left="360"/>
        <w:rPr>
          <w:rFonts w:ascii="Times New Roman" w:hAnsi="Times New Roman"/>
          <w:sz w:val="24"/>
        </w:rPr>
      </w:pPr>
    </w:p>
    <w:p w14:paraId="1D5EBCFC" w14:textId="210514B7" w:rsidR="00B4012E" w:rsidRPr="00040F7D" w:rsidRDefault="00B4012E" w:rsidP="005C48D0">
      <w:pPr>
        <w:pStyle w:val="ListParagraph"/>
        <w:numPr>
          <w:ilvl w:val="0"/>
          <w:numId w:val="4"/>
        </w:numPr>
        <w:spacing w:after="0" w:line="240" w:lineRule="auto"/>
        <w:ind w:left="360"/>
        <w:jc w:val="both"/>
        <w:rPr>
          <w:rFonts w:ascii="Times New Roman" w:eastAsia="Times New Roman" w:hAnsi="Times New Roman"/>
          <w:b/>
          <w:sz w:val="24"/>
          <w:szCs w:val="24"/>
        </w:rPr>
      </w:pPr>
      <w:r w:rsidRPr="00040F7D">
        <w:rPr>
          <w:rFonts w:ascii="Times New Roman" w:eastAsia="Times New Roman" w:hAnsi="Times New Roman"/>
          <w:b/>
          <w:smallCaps/>
          <w:sz w:val="24"/>
          <w:szCs w:val="24"/>
        </w:rPr>
        <w:t>Charter School</w:t>
      </w:r>
      <w:r w:rsidR="00F6502A">
        <w:rPr>
          <w:rFonts w:ascii="Times New Roman" w:eastAsia="Times New Roman" w:hAnsi="Times New Roman"/>
          <w:b/>
          <w:smallCaps/>
          <w:sz w:val="24"/>
          <w:szCs w:val="24"/>
        </w:rPr>
        <w:t>s</w:t>
      </w:r>
      <w:r w:rsidRPr="00040F7D">
        <w:rPr>
          <w:rFonts w:ascii="Times New Roman" w:eastAsia="Times New Roman" w:hAnsi="Times New Roman"/>
          <w:b/>
          <w:smallCaps/>
          <w:sz w:val="24"/>
          <w:szCs w:val="24"/>
        </w:rPr>
        <w:t xml:space="preserve"> Lending:</w:t>
      </w:r>
    </w:p>
    <w:p w14:paraId="1D5EBCFD" w14:textId="5AF88081" w:rsidR="000B7B05" w:rsidRPr="000B7B05" w:rsidRDefault="000B7B05" w:rsidP="000B7B05">
      <w:pPr>
        <w:spacing w:after="0" w:line="240" w:lineRule="auto"/>
        <w:ind w:left="360"/>
        <w:rPr>
          <w:rFonts w:ascii="Times New Roman" w:eastAsia="Times New Roman" w:hAnsi="Times New Roman"/>
          <w:sz w:val="24"/>
          <w:szCs w:val="24"/>
        </w:rPr>
      </w:pPr>
      <w:r w:rsidRPr="000B7B05">
        <w:rPr>
          <w:rFonts w:ascii="Times New Roman" w:eastAsia="Times New Roman" w:hAnsi="Times New Roman"/>
          <w:sz w:val="24"/>
          <w:szCs w:val="24"/>
        </w:rPr>
        <w:t xml:space="preserve">The Eligible CDFI’s underwriting policies </w:t>
      </w:r>
      <w:r w:rsidR="00622AFE">
        <w:rPr>
          <w:rFonts w:ascii="Times New Roman" w:eastAsia="Times New Roman" w:hAnsi="Times New Roman"/>
          <w:sz w:val="24"/>
          <w:szCs w:val="24"/>
        </w:rPr>
        <w:t xml:space="preserve">and evaluation criteria </w:t>
      </w:r>
      <w:r w:rsidRPr="000B7B05">
        <w:rPr>
          <w:rFonts w:ascii="Times New Roman" w:eastAsia="Times New Roman" w:hAnsi="Times New Roman"/>
          <w:sz w:val="24"/>
          <w:szCs w:val="24"/>
        </w:rPr>
        <w:t xml:space="preserve">for a Secondary Borrower under this asset </w:t>
      </w:r>
      <w:r w:rsidR="00646259" w:rsidRPr="000B7B05">
        <w:rPr>
          <w:rFonts w:ascii="Times New Roman" w:eastAsia="Times New Roman" w:hAnsi="Times New Roman"/>
          <w:sz w:val="24"/>
          <w:szCs w:val="24"/>
        </w:rPr>
        <w:t>class</w:t>
      </w:r>
      <w:r w:rsidRPr="000B7B05">
        <w:rPr>
          <w:rFonts w:ascii="Times New Roman" w:eastAsia="Times New Roman" w:hAnsi="Times New Roman"/>
          <w:sz w:val="24"/>
          <w:szCs w:val="24"/>
        </w:rPr>
        <w:t xml:space="preserve"> must address the following:</w:t>
      </w:r>
    </w:p>
    <w:p w14:paraId="1D5EBCFE" w14:textId="77777777" w:rsidR="00D424D2" w:rsidRPr="00C737A2" w:rsidRDefault="00D424D2" w:rsidP="00C737A2">
      <w:pPr>
        <w:pStyle w:val="ListParagraph"/>
        <w:numPr>
          <w:ilvl w:val="0"/>
          <w:numId w:val="8"/>
        </w:numPr>
        <w:spacing w:after="0" w:line="240" w:lineRule="auto"/>
        <w:ind w:left="720"/>
        <w:rPr>
          <w:rFonts w:ascii="Times New Roman" w:hAnsi="Times New Roman"/>
          <w:i/>
          <w:sz w:val="24"/>
          <w:u w:val="single"/>
        </w:rPr>
      </w:pPr>
      <w:r>
        <w:rPr>
          <w:rFonts w:ascii="Times New Roman" w:eastAsia="Times New Roman" w:hAnsi="Times New Roman"/>
          <w:sz w:val="24"/>
          <w:szCs w:val="24"/>
        </w:rPr>
        <w:t xml:space="preserve">Management and financial capacity and performance in all facets of operations, including: </w:t>
      </w:r>
    </w:p>
    <w:p w14:paraId="1D5EBCFF" w14:textId="5F16E13D" w:rsidR="00D424D2" w:rsidRPr="007F23B4" w:rsidRDefault="006C6B73" w:rsidP="00D424D2">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D424D2">
        <w:rPr>
          <w:rFonts w:ascii="Times New Roman" w:eastAsia="Times New Roman" w:hAnsi="Times New Roman"/>
          <w:sz w:val="24"/>
          <w:szCs w:val="24"/>
        </w:rPr>
        <w:t xml:space="preserve">overnance; </w:t>
      </w:r>
    </w:p>
    <w:p w14:paraId="1D5EBD00" w14:textId="24080732" w:rsidR="00D424D2" w:rsidRPr="007F23B4" w:rsidRDefault="006C6B73" w:rsidP="00D424D2">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D424D2">
        <w:rPr>
          <w:rFonts w:ascii="Times New Roman" w:eastAsia="Times New Roman" w:hAnsi="Times New Roman"/>
          <w:sz w:val="24"/>
          <w:szCs w:val="24"/>
        </w:rPr>
        <w:t>ey personnel</w:t>
      </w:r>
      <w:r w:rsidR="008867B9">
        <w:rPr>
          <w:rFonts w:ascii="Times New Roman" w:eastAsia="Times New Roman" w:hAnsi="Times New Roman"/>
          <w:sz w:val="24"/>
          <w:szCs w:val="24"/>
        </w:rPr>
        <w:t>, including management depth and dependency on key personnel</w:t>
      </w:r>
      <w:r w:rsidR="00D424D2">
        <w:rPr>
          <w:rFonts w:ascii="Times New Roman" w:eastAsia="Times New Roman" w:hAnsi="Times New Roman"/>
          <w:sz w:val="24"/>
          <w:szCs w:val="24"/>
        </w:rPr>
        <w:t xml:space="preserve">; </w:t>
      </w:r>
    </w:p>
    <w:p w14:paraId="1D5EBD01" w14:textId="6C9BAC67" w:rsidR="00276F43" w:rsidRDefault="00302DD8" w:rsidP="008867B9">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276F43">
        <w:rPr>
          <w:rFonts w:ascii="Times New Roman" w:eastAsia="Times New Roman" w:hAnsi="Times New Roman"/>
          <w:sz w:val="24"/>
          <w:szCs w:val="24"/>
        </w:rPr>
        <w:t xml:space="preserve">inancial performance, liquidity, </w:t>
      </w:r>
      <w:r w:rsidR="006C6B73">
        <w:rPr>
          <w:rFonts w:ascii="Times New Roman" w:eastAsia="Times New Roman" w:hAnsi="Times New Roman"/>
          <w:sz w:val="24"/>
          <w:szCs w:val="24"/>
        </w:rPr>
        <w:t xml:space="preserve">audited financial statements;  and </w:t>
      </w:r>
      <w:r w:rsidR="00276F43">
        <w:rPr>
          <w:rFonts w:ascii="Times New Roman" w:eastAsia="Times New Roman" w:hAnsi="Times New Roman"/>
          <w:sz w:val="24"/>
          <w:szCs w:val="24"/>
        </w:rPr>
        <w:t>capita</w:t>
      </w:r>
      <w:r w:rsidR="006C6B73">
        <w:rPr>
          <w:rFonts w:ascii="Times New Roman" w:eastAsia="Times New Roman" w:hAnsi="Times New Roman"/>
          <w:sz w:val="24"/>
          <w:szCs w:val="24"/>
        </w:rPr>
        <w:t>l and asset adequacy and metrics;</w:t>
      </w:r>
    </w:p>
    <w:p w14:paraId="1D5EBD02" w14:textId="2B31CEC6" w:rsidR="0092619F" w:rsidRDefault="006C6B73" w:rsidP="00C737A2">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B5111D">
        <w:rPr>
          <w:rFonts w:ascii="Times New Roman" w:eastAsia="Times New Roman" w:hAnsi="Times New Roman"/>
          <w:sz w:val="24"/>
          <w:szCs w:val="24"/>
        </w:rPr>
        <w:t xml:space="preserve">udgeting and forecasting </w:t>
      </w:r>
      <w:r w:rsidR="00302DD8">
        <w:rPr>
          <w:rFonts w:ascii="Times New Roman" w:eastAsia="Times New Roman" w:hAnsi="Times New Roman"/>
          <w:sz w:val="24"/>
          <w:szCs w:val="24"/>
        </w:rPr>
        <w:t xml:space="preserve">of </w:t>
      </w:r>
      <w:r w:rsidR="00B5111D">
        <w:rPr>
          <w:rFonts w:ascii="Times New Roman" w:eastAsia="Times New Roman" w:hAnsi="Times New Roman"/>
          <w:sz w:val="24"/>
          <w:szCs w:val="24"/>
        </w:rPr>
        <w:t>charter school performance and managing discrepancies between the budget and actual results;</w:t>
      </w:r>
      <w:r w:rsidR="00B5111D" w:rsidRPr="00B5111D">
        <w:rPr>
          <w:rFonts w:ascii="Times New Roman" w:eastAsia="Times New Roman" w:hAnsi="Times New Roman"/>
          <w:sz w:val="24"/>
          <w:szCs w:val="24"/>
        </w:rPr>
        <w:t xml:space="preserve"> </w:t>
      </w:r>
    </w:p>
    <w:p w14:paraId="1D5EBD03" w14:textId="26AA87B8" w:rsidR="00B5111D" w:rsidRDefault="006C6B73" w:rsidP="00C737A2">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92619F">
        <w:rPr>
          <w:rFonts w:ascii="Times New Roman" w:eastAsia="Times New Roman" w:hAnsi="Times New Roman"/>
          <w:sz w:val="24"/>
          <w:szCs w:val="24"/>
        </w:rPr>
        <w:t>u</w:t>
      </w:r>
      <w:r w:rsidR="00B5111D" w:rsidRPr="004F7005">
        <w:rPr>
          <w:rFonts w:ascii="Times New Roman" w:eastAsia="Times New Roman" w:hAnsi="Times New Roman"/>
          <w:sz w:val="24"/>
          <w:szCs w:val="24"/>
        </w:rPr>
        <w:t xml:space="preserve">nding mechanisms and </w:t>
      </w:r>
      <w:r w:rsidR="00B5111D">
        <w:rPr>
          <w:rFonts w:ascii="Times New Roman" w:eastAsia="Times New Roman" w:hAnsi="Times New Roman"/>
          <w:sz w:val="24"/>
          <w:szCs w:val="24"/>
        </w:rPr>
        <w:t>the ability to manage reimbursement delays</w:t>
      </w:r>
      <w:r w:rsidR="0092619F">
        <w:rPr>
          <w:rFonts w:ascii="Times New Roman" w:eastAsia="Times New Roman" w:hAnsi="Times New Roman"/>
          <w:sz w:val="24"/>
          <w:szCs w:val="24"/>
        </w:rPr>
        <w:t>;</w:t>
      </w:r>
    </w:p>
    <w:p w14:paraId="1D5EBD04" w14:textId="1B491B54" w:rsidR="008867B9" w:rsidRDefault="008867B9" w:rsidP="008867B9">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Educational credentials and</w:t>
      </w:r>
      <w:r w:rsidRPr="004F7005">
        <w:rPr>
          <w:rFonts w:ascii="Times New Roman" w:eastAsia="Times New Roman" w:hAnsi="Times New Roman"/>
          <w:sz w:val="24"/>
          <w:szCs w:val="24"/>
        </w:rPr>
        <w:t xml:space="preserve"> experience in the</w:t>
      </w:r>
      <w:r>
        <w:rPr>
          <w:rFonts w:ascii="Times New Roman" w:eastAsia="Times New Roman" w:hAnsi="Times New Roman"/>
          <w:sz w:val="24"/>
          <w:szCs w:val="24"/>
        </w:rPr>
        <w:t xml:space="preserve"> development, </w:t>
      </w:r>
      <w:r w:rsidRPr="004F7005">
        <w:rPr>
          <w:rFonts w:ascii="Times New Roman" w:eastAsia="Times New Roman" w:hAnsi="Times New Roman"/>
          <w:sz w:val="24"/>
          <w:szCs w:val="24"/>
        </w:rPr>
        <w:t>management</w:t>
      </w:r>
      <w:r>
        <w:rPr>
          <w:rFonts w:ascii="Times New Roman" w:eastAsia="Times New Roman" w:hAnsi="Times New Roman"/>
          <w:sz w:val="24"/>
          <w:szCs w:val="24"/>
        </w:rPr>
        <w:t>,</w:t>
      </w:r>
      <w:r w:rsidRPr="004F7005">
        <w:rPr>
          <w:rFonts w:ascii="Times New Roman" w:eastAsia="Times New Roman" w:hAnsi="Times New Roman"/>
          <w:sz w:val="24"/>
          <w:szCs w:val="24"/>
        </w:rPr>
        <w:t xml:space="preserve"> and operations of a </w:t>
      </w:r>
      <w:r>
        <w:rPr>
          <w:rFonts w:ascii="Times New Roman" w:eastAsia="Times New Roman" w:hAnsi="Times New Roman"/>
          <w:sz w:val="24"/>
          <w:szCs w:val="24"/>
        </w:rPr>
        <w:t>c</w:t>
      </w:r>
      <w:r w:rsidRPr="004F7005">
        <w:rPr>
          <w:rFonts w:ascii="Times New Roman" w:eastAsia="Times New Roman" w:hAnsi="Times New Roman"/>
          <w:sz w:val="24"/>
          <w:szCs w:val="24"/>
        </w:rPr>
        <w:t xml:space="preserve">harter </w:t>
      </w:r>
      <w:r>
        <w:rPr>
          <w:rFonts w:ascii="Times New Roman" w:eastAsia="Times New Roman" w:hAnsi="Times New Roman"/>
          <w:sz w:val="24"/>
          <w:szCs w:val="24"/>
        </w:rPr>
        <w:t>s</w:t>
      </w:r>
      <w:r w:rsidRPr="004F7005">
        <w:rPr>
          <w:rFonts w:ascii="Times New Roman" w:eastAsia="Times New Roman" w:hAnsi="Times New Roman"/>
          <w:sz w:val="24"/>
          <w:szCs w:val="24"/>
        </w:rPr>
        <w:t>chool</w:t>
      </w:r>
      <w:r>
        <w:rPr>
          <w:rFonts w:ascii="Times New Roman" w:eastAsia="Times New Roman" w:hAnsi="Times New Roman"/>
          <w:sz w:val="24"/>
          <w:szCs w:val="24"/>
        </w:rPr>
        <w:t xml:space="preserve"> that</w:t>
      </w:r>
      <w:r w:rsidRPr="008560CD">
        <w:rPr>
          <w:rFonts w:ascii="Times New Roman" w:eastAsia="Times New Roman" w:hAnsi="Times New Roman"/>
          <w:sz w:val="24"/>
          <w:szCs w:val="24"/>
        </w:rPr>
        <w:t xml:space="preserve"> include</w:t>
      </w:r>
      <w:r>
        <w:rPr>
          <w:rFonts w:ascii="Times New Roman" w:eastAsia="Times New Roman" w:hAnsi="Times New Roman"/>
          <w:sz w:val="24"/>
          <w:szCs w:val="24"/>
        </w:rPr>
        <w:t>s a track record working with S</w:t>
      </w:r>
      <w:r w:rsidRPr="004F7005">
        <w:rPr>
          <w:rFonts w:ascii="Times New Roman" w:eastAsia="Times New Roman" w:hAnsi="Times New Roman"/>
          <w:sz w:val="24"/>
          <w:szCs w:val="24"/>
        </w:rPr>
        <w:t>tate and local governments</w:t>
      </w:r>
      <w:r w:rsidR="006C6B73">
        <w:rPr>
          <w:rFonts w:ascii="Times New Roman" w:eastAsia="Times New Roman" w:hAnsi="Times New Roman"/>
          <w:sz w:val="24"/>
          <w:szCs w:val="24"/>
        </w:rPr>
        <w:t>, as applicable;</w:t>
      </w:r>
    </w:p>
    <w:p w14:paraId="1D5EBD05" w14:textId="3CBB5643" w:rsidR="0092619F" w:rsidRDefault="006C6B73" w:rsidP="00C737A2">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Y</w:t>
      </w:r>
      <w:r w:rsidR="0092619F" w:rsidRPr="004F7005">
        <w:rPr>
          <w:rFonts w:ascii="Times New Roman" w:eastAsia="Times New Roman" w:hAnsi="Times New Roman"/>
          <w:sz w:val="24"/>
          <w:szCs w:val="24"/>
        </w:rPr>
        <w:t xml:space="preserve">early </w:t>
      </w:r>
      <w:r w:rsidR="0092619F">
        <w:rPr>
          <w:rFonts w:ascii="Times New Roman" w:eastAsia="Times New Roman" w:hAnsi="Times New Roman"/>
          <w:sz w:val="24"/>
          <w:szCs w:val="24"/>
        </w:rPr>
        <w:t>p</w:t>
      </w:r>
      <w:r w:rsidR="0092619F" w:rsidRPr="004F7005">
        <w:rPr>
          <w:rFonts w:ascii="Times New Roman" w:eastAsia="Times New Roman" w:hAnsi="Times New Roman"/>
          <w:sz w:val="24"/>
          <w:szCs w:val="24"/>
        </w:rPr>
        <w:t xml:space="preserve">rogress </w:t>
      </w:r>
      <w:r w:rsidR="0092619F">
        <w:rPr>
          <w:rFonts w:ascii="Times New Roman" w:eastAsia="Times New Roman" w:hAnsi="Times New Roman"/>
          <w:sz w:val="24"/>
          <w:szCs w:val="24"/>
        </w:rPr>
        <w:t>(or other defined measure</w:t>
      </w:r>
      <w:r>
        <w:rPr>
          <w:rFonts w:ascii="Times New Roman" w:eastAsia="Times New Roman" w:hAnsi="Times New Roman"/>
          <w:sz w:val="24"/>
          <w:szCs w:val="24"/>
        </w:rPr>
        <w:t xml:space="preserve">ment of school performance); </w:t>
      </w:r>
      <w:r w:rsidR="0092619F">
        <w:rPr>
          <w:rFonts w:ascii="Times New Roman" w:eastAsia="Times New Roman" w:hAnsi="Times New Roman"/>
          <w:sz w:val="24"/>
          <w:szCs w:val="24"/>
        </w:rPr>
        <w:t xml:space="preserve"> </w:t>
      </w:r>
    </w:p>
    <w:p w14:paraId="1D5EBD06" w14:textId="60836FA4" w:rsidR="0092619F" w:rsidRDefault="006C6B73"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92619F" w:rsidRPr="002560C6">
        <w:rPr>
          <w:rFonts w:ascii="Times New Roman" w:eastAsia="Times New Roman" w:hAnsi="Times New Roman"/>
          <w:sz w:val="24"/>
          <w:szCs w:val="24"/>
        </w:rPr>
        <w:t xml:space="preserve"> historical track record of charter s</w:t>
      </w:r>
      <w:r w:rsidR="0092619F">
        <w:rPr>
          <w:rFonts w:ascii="Times New Roman" w:eastAsia="Times New Roman" w:hAnsi="Times New Roman"/>
          <w:sz w:val="24"/>
          <w:szCs w:val="24"/>
        </w:rPr>
        <w:t>chool renewal that</w:t>
      </w:r>
      <w:r w:rsidR="0092619F" w:rsidRPr="002560C6">
        <w:rPr>
          <w:rFonts w:ascii="Times New Roman" w:eastAsia="Times New Roman" w:hAnsi="Times New Roman"/>
          <w:sz w:val="24"/>
          <w:szCs w:val="24"/>
        </w:rPr>
        <w:t xml:space="preserve"> demonstrate</w:t>
      </w:r>
      <w:r w:rsidR="0092619F">
        <w:rPr>
          <w:rFonts w:ascii="Times New Roman" w:eastAsia="Times New Roman" w:hAnsi="Times New Roman"/>
          <w:sz w:val="24"/>
          <w:szCs w:val="24"/>
        </w:rPr>
        <w:t>s</w:t>
      </w:r>
      <w:r w:rsidR="0092619F" w:rsidRPr="002560C6">
        <w:rPr>
          <w:rFonts w:ascii="Times New Roman" w:eastAsia="Times New Roman" w:hAnsi="Times New Roman"/>
          <w:sz w:val="24"/>
          <w:szCs w:val="24"/>
        </w:rPr>
        <w:t xml:space="preserve"> success in meeting charter school req</w:t>
      </w:r>
      <w:r w:rsidR="00302DD8">
        <w:rPr>
          <w:rFonts w:ascii="Times New Roman" w:eastAsia="Times New Roman" w:hAnsi="Times New Roman"/>
          <w:sz w:val="24"/>
          <w:szCs w:val="24"/>
        </w:rPr>
        <w:t>uirements and established goals;</w:t>
      </w:r>
      <w:r w:rsidR="0092619F" w:rsidRPr="0092619F">
        <w:rPr>
          <w:rFonts w:ascii="Times New Roman" w:eastAsia="Times New Roman" w:hAnsi="Times New Roman"/>
          <w:sz w:val="24"/>
          <w:szCs w:val="24"/>
        </w:rPr>
        <w:t xml:space="preserve"> </w:t>
      </w:r>
    </w:p>
    <w:p w14:paraId="1D5EBD07" w14:textId="7D6FABCC" w:rsidR="0092619F" w:rsidRDefault="006C6B73" w:rsidP="0092619F">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D102D4">
        <w:rPr>
          <w:rFonts w:ascii="Times New Roman" w:eastAsia="Times New Roman" w:hAnsi="Times New Roman"/>
          <w:sz w:val="24"/>
          <w:szCs w:val="24"/>
        </w:rPr>
        <w:t>l</w:t>
      </w:r>
      <w:r w:rsidR="0092619F">
        <w:rPr>
          <w:rFonts w:ascii="Times New Roman" w:eastAsia="Times New Roman" w:hAnsi="Times New Roman"/>
          <w:sz w:val="24"/>
          <w:szCs w:val="24"/>
        </w:rPr>
        <w:t>ikelihood of renewing its school charter(s), taking into account the strength of state and local charter laws;</w:t>
      </w:r>
      <w:r>
        <w:rPr>
          <w:rFonts w:ascii="Times New Roman" w:eastAsia="Times New Roman" w:hAnsi="Times New Roman"/>
          <w:sz w:val="24"/>
          <w:szCs w:val="24"/>
        </w:rPr>
        <w:t xml:space="preserve"> and</w:t>
      </w:r>
    </w:p>
    <w:p w14:paraId="1D5EBD08" w14:textId="5DF60932" w:rsidR="00F305AF" w:rsidRPr="00F305AF" w:rsidRDefault="006C6B73" w:rsidP="00F305AF">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F305AF">
        <w:rPr>
          <w:rFonts w:ascii="Times New Roman" w:eastAsia="Times New Roman" w:hAnsi="Times New Roman"/>
          <w:sz w:val="24"/>
          <w:szCs w:val="24"/>
        </w:rPr>
        <w:t>ompliance with licensing requirements for daycare centers</w:t>
      </w:r>
      <w:r w:rsidR="005E1E41">
        <w:rPr>
          <w:rFonts w:ascii="Times New Roman" w:eastAsia="Times New Roman" w:hAnsi="Times New Roman"/>
          <w:sz w:val="24"/>
          <w:szCs w:val="24"/>
        </w:rPr>
        <w:t>.</w:t>
      </w:r>
    </w:p>
    <w:p w14:paraId="1D5EBD09" w14:textId="77777777" w:rsidR="00D424D2" w:rsidRPr="007F23B4" w:rsidRDefault="00D424D2" w:rsidP="00D424D2">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D0A" w14:textId="3F0D2DBF" w:rsidR="00D424D2" w:rsidRPr="007766D9" w:rsidRDefault="005E1E41" w:rsidP="00D424D2">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lastRenderedPageBreak/>
        <w:t>F</w:t>
      </w:r>
      <w:r w:rsidR="00D424D2">
        <w:rPr>
          <w:rFonts w:ascii="Times New Roman" w:eastAsia="Times New Roman" w:hAnsi="Times New Roman"/>
          <w:sz w:val="24"/>
          <w:szCs w:val="24"/>
        </w:rPr>
        <w:t xml:space="preserve">or </w:t>
      </w:r>
      <w:r w:rsidR="00D424D2" w:rsidRPr="008213B2">
        <w:rPr>
          <w:rFonts w:ascii="Times New Roman" w:eastAsia="Times New Roman" w:hAnsi="Times New Roman"/>
          <w:sz w:val="24"/>
          <w:szCs w:val="24"/>
        </w:rPr>
        <w:t>debt obligations</w:t>
      </w:r>
      <w:r w:rsidR="00D424D2">
        <w:rPr>
          <w:rFonts w:ascii="Times New Roman" w:eastAsia="Times New Roman" w:hAnsi="Times New Roman"/>
          <w:sz w:val="24"/>
          <w:szCs w:val="24"/>
        </w:rPr>
        <w:t xml:space="preserve">, current payment status </w:t>
      </w:r>
      <w:r w:rsidR="00D424D2" w:rsidRPr="008213B2">
        <w:rPr>
          <w:rFonts w:ascii="Times New Roman" w:eastAsia="Times New Roman" w:hAnsi="Times New Roman"/>
          <w:sz w:val="24"/>
          <w:szCs w:val="24"/>
        </w:rPr>
        <w:t>and compliance with programmatic and financial covenants</w:t>
      </w:r>
      <w:r>
        <w:rPr>
          <w:rFonts w:ascii="Times New Roman" w:eastAsia="Times New Roman" w:hAnsi="Times New Roman"/>
          <w:sz w:val="24"/>
          <w:szCs w:val="24"/>
        </w:rPr>
        <w:t>;</w:t>
      </w:r>
    </w:p>
    <w:p w14:paraId="1D5EBD0B" w14:textId="41A45BE8" w:rsidR="00D424D2" w:rsidRPr="008F18E7" w:rsidRDefault="006D5F54" w:rsidP="00D424D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w:t>
      </w:r>
      <w:r w:rsidR="00D424D2" w:rsidRPr="008F18E7">
        <w:rPr>
          <w:rFonts w:ascii="Times New Roman" w:eastAsia="Times New Roman" w:hAnsi="Times New Roman"/>
          <w:sz w:val="24"/>
          <w:szCs w:val="24"/>
        </w:rPr>
        <w:t>aintenance of good-standing status with respect to all other obligations, i</w:t>
      </w:r>
      <w:r>
        <w:rPr>
          <w:rFonts w:ascii="Times New Roman" w:eastAsia="Times New Roman" w:hAnsi="Times New Roman"/>
          <w:sz w:val="24"/>
          <w:szCs w:val="24"/>
        </w:rPr>
        <w:t>nsurance and legal requirements; and</w:t>
      </w:r>
      <w:r w:rsidR="00D424D2" w:rsidRPr="008F18E7">
        <w:rPr>
          <w:rFonts w:ascii="Times New Roman" w:eastAsia="Times New Roman" w:hAnsi="Times New Roman"/>
          <w:sz w:val="24"/>
          <w:szCs w:val="24"/>
        </w:rPr>
        <w:t xml:space="preserve"> </w:t>
      </w:r>
    </w:p>
    <w:p w14:paraId="1D5EBD0C" w14:textId="51856185" w:rsidR="00D424D2" w:rsidRDefault="006D5F54" w:rsidP="00D424D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D424D2">
        <w:rPr>
          <w:rFonts w:ascii="Times New Roman" w:eastAsia="Times New Roman" w:hAnsi="Times New Roman"/>
          <w:sz w:val="24"/>
          <w:szCs w:val="24"/>
        </w:rPr>
        <w:t>ny recent or outstanding corrective actions at the time of the Eligible CDFI underwriting of the Secondary Borrower.</w:t>
      </w:r>
    </w:p>
    <w:p w14:paraId="1D5EBD0D" w14:textId="77777777" w:rsidR="0092619F" w:rsidRPr="007F23B4" w:rsidRDefault="0092619F" w:rsidP="00C737A2">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Specifically in connection with the Secondary Loan:</w:t>
      </w:r>
    </w:p>
    <w:p w14:paraId="1D5EBD0E" w14:textId="15980B46" w:rsidR="00B4012E" w:rsidRPr="0092619F" w:rsidRDefault="006D5F54" w:rsidP="0092619F">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E</w:t>
      </w:r>
      <w:r w:rsidR="00B4012E" w:rsidRPr="0092619F">
        <w:rPr>
          <w:rFonts w:ascii="Times New Roman" w:eastAsia="Times New Roman" w:hAnsi="Times New Roman"/>
          <w:sz w:val="24"/>
          <w:szCs w:val="24"/>
        </w:rPr>
        <w:t>xperience</w:t>
      </w:r>
      <w:r w:rsidR="00B5111D" w:rsidRPr="0092619F">
        <w:rPr>
          <w:rFonts w:ascii="Times New Roman" w:eastAsia="Times New Roman" w:hAnsi="Times New Roman"/>
          <w:sz w:val="24"/>
          <w:szCs w:val="24"/>
        </w:rPr>
        <w:t xml:space="preserve"> and capacity</w:t>
      </w:r>
      <w:r w:rsidR="00B4012E" w:rsidRPr="0092619F">
        <w:rPr>
          <w:rFonts w:ascii="Times New Roman" w:eastAsia="Times New Roman" w:hAnsi="Times New Roman"/>
          <w:sz w:val="24"/>
          <w:szCs w:val="24"/>
        </w:rPr>
        <w:t xml:space="preserve"> </w:t>
      </w:r>
      <w:r w:rsidR="00601857" w:rsidRPr="0092619F">
        <w:rPr>
          <w:rFonts w:ascii="Times New Roman" w:eastAsia="Times New Roman" w:hAnsi="Times New Roman"/>
          <w:sz w:val="24"/>
          <w:szCs w:val="24"/>
        </w:rPr>
        <w:t>in</w:t>
      </w:r>
      <w:r w:rsidR="00B4012E" w:rsidRPr="0092619F">
        <w:rPr>
          <w:rFonts w:ascii="Times New Roman" w:eastAsia="Times New Roman" w:hAnsi="Times New Roman"/>
          <w:sz w:val="24"/>
          <w:szCs w:val="24"/>
        </w:rPr>
        <w:t xml:space="preserve"> construct</w:t>
      </w:r>
      <w:r w:rsidR="00601857" w:rsidRPr="0092619F">
        <w:rPr>
          <w:rFonts w:ascii="Times New Roman" w:eastAsia="Times New Roman" w:hAnsi="Times New Roman"/>
          <w:sz w:val="24"/>
          <w:szCs w:val="24"/>
        </w:rPr>
        <w:t>ing</w:t>
      </w:r>
      <w:r w:rsidR="00B5111D" w:rsidRPr="0092619F">
        <w:rPr>
          <w:rFonts w:ascii="Times New Roman" w:eastAsia="Times New Roman" w:hAnsi="Times New Roman"/>
          <w:sz w:val="24"/>
          <w:szCs w:val="24"/>
        </w:rPr>
        <w:t xml:space="preserve"> and </w:t>
      </w:r>
      <w:r w:rsidR="00B4012E" w:rsidRPr="0092619F">
        <w:rPr>
          <w:rFonts w:ascii="Times New Roman" w:eastAsia="Times New Roman" w:hAnsi="Times New Roman"/>
          <w:sz w:val="24"/>
          <w:szCs w:val="24"/>
        </w:rPr>
        <w:t>renovat</w:t>
      </w:r>
      <w:r w:rsidR="00601857" w:rsidRPr="0092619F">
        <w:rPr>
          <w:rFonts w:ascii="Times New Roman" w:eastAsia="Times New Roman" w:hAnsi="Times New Roman"/>
          <w:sz w:val="24"/>
          <w:szCs w:val="24"/>
        </w:rPr>
        <w:t>ing</w:t>
      </w:r>
      <w:r w:rsidR="00B4012E" w:rsidRPr="0092619F">
        <w:rPr>
          <w:rFonts w:ascii="Times New Roman" w:eastAsia="Times New Roman" w:hAnsi="Times New Roman"/>
          <w:sz w:val="24"/>
          <w:szCs w:val="24"/>
        </w:rPr>
        <w:t xml:space="preserve"> </w:t>
      </w:r>
      <w:r w:rsidR="00211826" w:rsidRPr="0092619F">
        <w:rPr>
          <w:rFonts w:ascii="Times New Roman" w:eastAsia="Times New Roman" w:hAnsi="Times New Roman"/>
          <w:sz w:val="24"/>
          <w:szCs w:val="24"/>
        </w:rPr>
        <w:t>c</w:t>
      </w:r>
      <w:r w:rsidR="00B4012E" w:rsidRPr="0092619F">
        <w:rPr>
          <w:rFonts w:ascii="Times New Roman" w:eastAsia="Times New Roman" w:hAnsi="Times New Roman"/>
          <w:sz w:val="24"/>
          <w:szCs w:val="24"/>
        </w:rPr>
        <w:t xml:space="preserve">harter </w:t>
      </w:r>
      <w:r w:rsidR="00211826" w:rsidRPr="0092619F">
        <w:rPr>
          <w:rFonts w:ascii="Times New Roman" w:eastAsia="Times New Roman" w:hAnsi="Times New Roman"/>
          <w:sz w:val="24"/>
          <w:szCs w:val="24"/>
        </w:rPr>
        <w:t>s</w:t>
      </w:r>
      <w:r w:rsidR="00442DB3" w:rsidRPr="0092619F">
        <w:rPr>
          <w:rFonts w:ascii="Times New Roman" w:eastAsia="Times New Roman" w:hAnsi="Times New Roman"/>
          <w:sz w:val="24"/>
          <w:szCs w:val="24"/>
        </w:rPr>
        <w:t>chools</w:t>
      </w:r>
      <w:r>
        <w:rPr>
          <w:rFonts w:ascii="Times New Roman" w:eastAsia="Times New Roman" w:hAnsi="Times New Roman"/>
          <w:sz w:val="24"/>
          <w:szCs w:val="24"/>
        </w:rPr>
        <w:t>, if relevant;</w:t>
      </w:r>
    </w:p>
    <w:p w14:paraId="1D5EBD0F" w14:textId="12B99EF8" w:rsidR="0092619F" w:rsidRPr="0092619F" w:rsidRDefault="006D5F54" w:rsidP="0092619F">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92619F">
        <w:rPr>
          <w:rFonts w:ascii="Times New Roman" w:eastAsia="Times New Roman" w:hAnsi="Times New Roman"/>
          <w:sz w:val="24"/>
          <w:szCs w:val="24"/>
        </w:rPr>
        <w:t xml:space="preserve">likelihood of sufficient </w:t>
      </w:r>
      <w:r>
        <w:rPr>
          <w:rFonts w:ascii="Times New Roman" w:eastAsia="Times New Roman" w:hAnsi="Times New Roman"/>
          <w:sz w:val="24"/>
          <w:szCs w:val="24"/>
        </w:rPr>
        <w:t>student enrollment;</w:t>
      </w:r>
    </w:p>
    <w:p w14:paraId="1D5EBD10" w14:textId="495C2CA2" w:rsidR="00276F43" w:rsidRPr="0092619F" w:rsidRDefault="006D5F54" w:rsidP="00276F43">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276F43">
        <w:rPr>
          <w:rFonts w:ascii="Times New Roman" w:eastAsia="Times New Roman" w:hAnsi="Times New Roman"/>
          <w:sz w:val="24"/>
          <w:szCs w:val="24"/>
        </w:rPr>
        <w:t>ll required charters and licenses for the school to be financed</w:t>
      </w:r>
      <w:r>
        <w:rPr>
          <w:rFonts w:ascii="Times New Roman" w:eastAsia="Times New Roman" w:hAnsi="Times New Roman"/>
          <w:sz w:val="24"/>
          <w:szCs w:val="24"/>
        </w:rPr>
        <w:t>;</w:t>
      </w:r>
    </w:p>
    <w:p w14:paraId="1D5EBD11" w14:textId="39EE2627" w:rsidR="0092619F" w:rsidRPr="007B5362" w:rsidRDefault="008930AB" w:rsidP="0092619F">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92619F" w:rsidRPr="007B5362">
        <w:rPr>
          <w:rFonts w:ascii="Times New Roman" w:eastAsia="Times New Roman" w:hAnsi="Times New Roman"/>
          <w:sz w:val="24"/>
          <w:szCs w:val="24"/>
        </w:rPr>
        <w:t>n ability</w:t>
      </w:r>
      <w:r w:rsidR="0092619F">
        <w:rPr>
          <w:rFonts w:ascii="Times New Roman" w:eastAsia="Times New Roman" w:hAnsi="Times New Roman"/>
          <w:sz w:val="24"/>
          <w:szCs w:val="24"/>
        </w:rPr>
        <w:t xml:space="preserve"> of the Secondary Borrower/project</w:t>
      </w:r>
      <w:r w:rsidR="0092619F" w:rsidRPr="007B5362">
        <w:rPr>
          <w:rFonts w:ascii="Times New Roman" w:eastAsia="Times New Roman" w:hAnsi="Times New Roman"/>
          <w:sz w:val="24"/>
          <w:szCs w:val="24"/>
        </w:rPr>
        <w:t xml:space="preserve"> to pay all asso</w:t>
      </w:r>
      <w:r w:rsidR="0092619F">
        <w:rPr>
          <w:rFonts w:ascii="Times New Roman" w:eastAsia="Times New Roman" w:hAnsi="Times New Roman"/>
          <w:sz w:val="24"/>
          <w:szCs w:val="24"/>
        </w:rPr>
        <w:t>ciated expenses on the project that include</w:t>
      </w:r>
      <w:r w:rsidR="0092619F" w:rsidRPr="007B5362">
        <w:rPr>
          <w:rFonts w:ascii="Times New Roman" w:eastAsia="Times New Roman" w:hAnsi="Times New Roman"/>
          <w:sz w:val="24"/>
          <w:szCs w:val="24"/>
        </w:rPr>
        <w:t xml:space="preserve"> principal and interest and all ope</w:t>
      </w:r>
      <w:r w:rsidR="0092619F">
        <w:rPr>
          <w:rFonts w:ascii="Times New Roman" w:eastAsia="Times New Roman" w:hAnsi="Times New Roman"/>
          <w:sz w:val="24"/>
          <w:szCs w:val="24"/>
        </w:rPr>
        <w:t>rating and maintenance expenses;</w:t>
      </w:r>
    </w:p>
    <w:p w14:paraId="1D5EBD12" w14:textId="0663770B" w:rsidR="009C31EF" w:rsidRDefault="006D5F54" w:rsidP="009C31EF">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009C31EF">
        <w:rPr>
          <w:rFonts w:ascii="Times New Roman" w:eastAsia="Times New Roman" w:hAnsi="Times New Roman"/>
          <w:sz w:val="24"/>
          <w:szCs w:val="24"/>
        </w:rPr>
        <w:t>orking capital</w:t>
      </w:r>
      <w:r>
        <w:rPr>
          <w:rFonts w:ascii="Times New Roman" w:eastAsia="Times New Roman" w:hAnsi="Times New Roman"/>
          <w:sz w:val="24"/>
          <w:szCs w:val="24"/>
        </w:rPr>
        <w:t>;</w:t>
      </w:r>
      <w:r w:rsidR="009C31EF">
        <w:rPr>
          <w:rFonts w:ascii="Times New Roman" w:eastAsia="Times New Roman" w:hAnsi="Times New Roman"/>
          <w:sz w:val="24"/>
          <w:szCs w:val="24"/>
        </w:rPr>
        <w:t xml:space="preserve"> </w:t>
      </w:r>
    </w:p>
    <w:p w14:paraId="1D5EBD13" w14:textId="18F4EC74" w:rsidR="0092619F" w:rsidRPr="007B5362" w:rsidRDefault="006D5F54"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92619F" w:rsidRPr="007B5362">
        <w:rPr>
          <w:rFonts w:ascii="Times New Roman" w:eastAsia="Times New Roman" w:hAnsi="Times New Roman"/>
          <w:sz w:val="24"/>
          <w:szCs w:val="24"/>
        </w:rPr>
        <w:t>ebt</w:t>
      </w:r>
      <w:r w:rsidR="0092619F">
        <w:rPr>
          <w:rFonts w:ascii="Times New Roman" w:eastAsia="Times New Roman" w:hAnsi="Times New Roman"/>
          <w:sz w:val="24"/>
          <w:szCs w:val="24"/>
        </w:rPr>
        <w:t xml:space="preserve"> </w:t>
      </w:r>
      <w:r w:rsidR="0092619F" w:rsidRPr="007B5362">
        <w:rPr>
          <w:rFonts w:ascii="Times New Roman" w:eastAsia="Times New Roman" w:hAnsi="Times New Roman"/>
          <w:sz w:val="24"/>
          <w:szCs w:val="24"/>
        </w:rPr>
        <w:t>se</w:t>
      </w:r>
      <w:r w:rsidR="0092619F">
        <w:rPr>
          <w:rFonts w:ascii="Times New Roman" w:eastAsia="Times New Roman" w:hAnsi="Times New Roman"/>
          <w:sz w:val="24"/>
          <w:szCs w:val="24"/>
        </w:rPr>
        <w:t>rvice coverage of the Secondary L</w:t>
      </w:r>
      <w:r w:rsidR="0092619F" w:rsidRPr="007B5362">
        <w:rPr>
          <w:rFonts w:ascii="Times New Roman" w:eastAsia="Times New Roman" w:hAnsi="Times New Roman"/>
          <w:sz w:val="24"/>
          <w:szCs w:val="24"/>
        </w:rPr>
        <w:t xml:space="preserve">oan and all associated </w:t>
      </w:r>
      <w:r w:rsidR="0092619F">
        <w:rPr>
          <w:rFonts w:ascii="Times New Roman" w:eastAsia="Times New Roman" w:hAnsi="Times New Roman"/>
          <w:sz w:val="24"/>
          <w:szCs w:val="24"/>
        </w:rPr>
        <w:t>Secondary B</w:t>
      </w:r>
      <w:r>
        <w:rPr>
          <w:rFonts w:ascii="Times New Roman" w:eastAsia="Times New Roman" w:hAnsi="Times New Roman"/>
          <w:sz w:val="24"/>
          <w:szCs w:val="24"/>
        </w:rPr>
        <w:t>orrower debt;</w:t>
      </w:r>
    </w:p>
    <w:p w14:paraId="1D5EBD14" w14:textId="71FD5B0A" w:rsidR="009C31EF" w:rsidRDefault="006D5F54" w:rsidP="009C31EF">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9C31EF">
        <w:rPr>
          <w:rFonts w:ascii="Times New Roman" w:eastAsia="Times New Roman" w:hAnsi="Times New Roman"/>
          <w:sz w:val="24"/>
          <w:szCs w:val="24"/>
        </w:rPr>
        <w:t>oan to value ratio</w:t>
      </w:r>
      <w:r>
        <w:rPr>
          <w:rFonts w:ascii="Times New Roman" w:eastAsia="Times New Roman" w:hAnsi="Times New Roman"/>
          <w:sz w:val="24"/>
          <w:szCs w:val="24"/>
        </w:rPr>
        <w:t>; and</w:t>
      </w:r>
    </w:p>
    <w:p w14:paraId="1D5EBD15" w14:textId="341E360B" w:rsidR="00CD6EFA" w:rsidRPr="0092619F" w:rsidRDefault="006D5F54"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2560C6" w:rsidRPr="007B5362">
        <w:rPr>
          <w:rFonts w:ascii="Times New Roman" w:eastAsia="Times New Roman" w:hAnsi="Times New Roman"/>
          <w:sz w:val="24"/>
          <w:szCs w:val="24"/>
        </w:rPr>
        <w:t xml:space="preserve">ny </w:t>
      </w:r>
      <w:r w:rsidR="002560C6">
        <w:rPr>
          <w:rFonts w:ascii="Times New Roman" w:eastAsia="Times New Roman" w:hAnsi="Times New Roman"/>
          <w:sz w:val="24"/>
          <w:szCs w:val="24"/>
        </w:rPr>
        <w:t>C</w:t>
      </w:r>
      <w:r w:rsidR="002560C6" w:rsidRPr="007B5362">
        <w:rPr>
          <w:rFonts w:ascii="Times New Roman" w:eastAsia="Times New Roman" w:hAnsi="Times New Roman"/>
          <w:sz w:val="24"/>
          <w:szCs w:val="24"/>
        </w:rPr>
        <w:t xml:space="preserve">redit </w:t>
      </w:r>
      <w:r w:rsidR="002560C6">
        <w:rPr>
          <w:rFonts w:ascii="Times New Roman" w:eastAsia="Times New Roman" w:hAnsi="Times New Roman"/>
          <w:sz w:val="24"/>
          <w:szCs w:val="24"/>
        </w:rPr>
        <w:t>E</w:t>
      </w:r>
      <w:r w:rsidR="002560C6" w:rsidRPr="007B5362">
        <w:rPr>
          <w:rFonts w:ascii="Times New Roman" w:eastAsia="Times New Roman" w:hAnsi="Times New Roman"/>
          <w:sz w:val="24"/>
          <w:szCs w:val="24"/>
        </w:rPr>
        <w:t xml:space="preserve">nhancements, grants, guarantees or other support to the </w:t>
      </w:r>
      <w:r w:rsidR="002560C6">
        <w:rPr>
          <w:rFonts w:ascii="Times New Roman" w:eastAsia="Times New Roman" w:hAnsi="Times New Roman"/>
          <w:sz w:val="24"/>
          <w:szCs w:val="24"/>
        </w:rPr>
        <w:t xml:space="preserve">Secondary </w:t>
      </w:r>
      <w:r w:rsidR="008930AB">
        <w:rPr>
          <w:rFonts w:ascii="Times New Roman" w:eastAsia="Times New Roman" w:hAnsi="Times New Roman"/>
          <w:sz w:val="24"/>
          <w:szCs w:val="24"/>
        </w:rPr>
        <w:t>Borrower that</w:t>
      </w:r>
      <w:r w:rsidR="002560C6" w:rsidRPr="007B5362">
        <w:rPr>
          <w:rFonts w:ascii="Times New Roman" w:eastAsia="Times New Roman" w:hAnsi="Times New Roman"/>
          <w:sz w:val="24"/>
          <w:szCs w:val="24"/>
        </w:rPr>
        <w:t xml:space="preserve"> impact the underwriting and/or risk mitigation of the </w:t>
      </w:r>
      <w:r w:rsidR="002560C6">
        <w:rPr>
          <w:rFonts w:ascii="Times New Roman" w:eastAsia="Times New Roman" w:hAnsi="Times New Roman"/>
          <w:sz w:val="24"/>
          <w:szCs w:val="24"/>
        </w:rPr>
        <w:t>Secondary Loan</w:t>
      </w:r>
      <w:r w:rsidR="00275ABF">
        <w:rPr>
          <w:rFonts w:ascii="Times New Roman" w:eastAsia="Times New Roman" w:hAnsi="Times New Roman"/>
          <w:sz w:val="24"/>
          <w:szCs w:val="24"/>
        </w:rPr>
        <w:t>.</w:t>
      </w:r>
    </w:p>
    <w:p w14:paraId="1D5EBD16" w14:textId="77777777" w:rsidR="00B4012E" w:rsidRPr="007B5362" w:rsidRDefault="00B4012E" w:rsidP="005C48D0">
      <w:pPr>
        <w:spacing w:after="0" w:line="240" w:lineRule="auto"/>
        <w:jc w:val="both"/>
        <w:rPr>
          <w:rFonts w:ascii="Times New Roman" w:eastAsia="Times New Roman" w:hAnsi="Times New Roman"/>
          <w:sz w:val="24"/>
          <w:szCs w:val="24"/>
        </w:rPr>
      </w:pPr>
    </w:p>
    <w:p w14:paraId="1D5EBD17" w14:textId="64FD5734" w:rsidR="00B4012E" w:rsidRPr="00352024" w:rsidRDefault="00B4012E" w:rsidP="00352024">
      <w:pPr>
        <w:pStyle w:val="ListParagraph"/>
        <w:numPr>
          <w:ilvl w:val="0"/>
          <w:numId w:val="4"/>
        </w:numPr>
        <w:spacing w:after="0" w:line="240" w:lineRule="auto"/>
        <w:ind w:left="360"/>
        <w:jc w:val="both"/>
        <w:rPr>
          <w:rFonts w:ascii="Times New Roman" w:eastAsia="Times New Roman" w:hAnsi="Times New Roman"/>
          <w:b/>
          <w:smallCaps/>
          <w:sz w:val="24"/>
          <w:szCs w:val="24"/>
        </w:rPr>
      </w:pPr>
      <w:r w:rsidRPr="007B5362">
        <w:rPr>
          <w:rFonts w:ascii="Times New Roman" w:eastAsia="Times New Roman" w:hAnsi="Times New Roman"/>
          <w:b/>
          <w:smallCaps/>
          <w:sz w:val="24"/>
          <w:szCs w:val="24"/>
        </w:rPr>
        <w:t xml:space="preserve">Commercial Real Estate </w:t>
      </w:r>
      <w:r w:rsidR="00F6502A">
        <w:rPr>
          <w:rFonts w:ascii="Times New Roman" w:eastAsia="Times New Roman" w:hAnsi="Times New Roman"/>
          <w:b/>
          <w:smallCaps/>
          <w:sz w:val="24"/>
          <w:szCs w:val="24"/>
        </w:rPr>
        <w:t>Lending:</w:t>
      </w:r>
    </w:p>
    <w:p w14:paraId="1D5EBD18" w14:textId="66075A7A" w:rsidR="000B7B05" w:rsidRPr="000B7B05" w:rsidRDefault="000B7B05" w:rsidP="000B7B05">
      <w:pPr>
        <w:spacing w:after="0" w:line="240" w:lineRule="auto"/>
        <w:ind w:left="360"/>
        <w:rPr>
          <w:rFonts w:ascii="Times New Roman" w:eastAsia="Times New Roman" w:hAnsi="Times New Roman"/>
          <w:sz w:val="24"/>
          <w:szCs w:val="24"/>
        </w:rPr>
      </w:pPr>
      <w:r w:rsidRPr="000B7B05">
        <w:rPr>
          <w:rFonts w:ascii="Times New Roman" w:eastAsia="Times New Roman" w:hAnsi="Times New Roman"/>
          <w:sz w:val="24"/>
          <w:szCs w:val="24"/>
        </w:rPr>
        <w:t xml:space="preserve">The Eligible CDFI’s underwriting policies </w:t>
      </w:r>
      <w:r w:rsidR="00622AFE">
        <w:rPr>
          <w:rFonts w:ascii="Times New Roman" w:eastAsia="Times New Roman" w:hAnsi="Times New Roman"/>
          <w:sz w:val="24"/>
          <w:szCs w:val="24"/>
        </w:rPr>
        <w:t xml:space="preserve">and evaluation criteria </w:t>
      </w:r>
      <w:r w:rsidRPr="000B7B05">
        <w:rPr>
          <w:rFonts w:ascii="Times New Roman" w:eastAsia="Times New Roman" w:hAnsi="Times New Roman"/>
          <w:sz w:val="24"/>
          <w:szCs w:val="24"/>
        </w:rPr>
        <w:t xml:space="preserve">for a Secondary Borrower under this asset </w:t>
      </w:r>
      <w:r w:rsidR="00646259" w:rsidRPr="000B7B05">
        <w:rPr>
          <w:rFonts w:ascii="Times New Roman" w:eastAsia="Times New Roman" w:hAnsi="Times New Roman"/>
          <w:sz w:val="24"/>
          <w:szCs w:val="24"/>
        </w:rPr>
        <w:t>class</w:t>
      </w:r>
      <w:r w:rsidRPr="000B7B05">
        <w:rPr>
          <w:rFonts w:ascii="Times New Roman" w:eastAsia="Times New Roman" w:hAnsi="Times New Roman"/>
          <w:sz w:val="24"/>
          <w:szCs w:val="24"/>
        </w:rPr>
        <w:t xml:space="preserve"> must address the following:</w:t>
      </w:r>
    </w:p>
    <w:p w14:paraId="1D5EBD19" w14:textId="77777777" w:rsidR="00B4012E" w:rsidRPr="007B5362" w:rsidRDefault="00B4012E" w:rsidP="003A3B3F">
      <w:pPr>
        <w:spacing w:after="0" w:line="240" w:lineRule="auto"/>
        <w:ind w:left="360"/>
        <w:rPr>
          <w:rFonts w:ascii="Times New Roman" w:eastAsia="Times New Roman" w:hAnsi="Times New Roman"/>
          <w:sz w:val="24"/>
          <w:szCs w:val="24"/>
        </w:rPr>
      </w:pPr>
    </w:p>
    <w:p w14:paraId="1D5EBD1A" w14:textId="77777777" w:rsidR="007F74B3" w:rsidRPr="007F23B4" w:rsidRDefault="007F74B3" w:rsidP="007F74B3">
      <w:pPr>
        <w:pStyle w:val="ListParagraph"/>
        <w:numPr>
          <w:ilvl w:val="0"/>
          <w:numId w:val="8"/>
        </w:numPr>
        <w:spacing w:after="0" w:line="240" w:lineRule="auto"/>
        <w:ind w:left="720"/>
        <w:rPr>
          <w:rFonts w:ascii="Times New Roman" w:eastAsia="Times New Roman" w:hAnsi="Times New Roman"/>
          <w:i/>
          <w:sz w:val="24"/>
          <w:szCs w:val="24"/>
          <w:u w:val="single"/>
        </w:rPr>
      </w:pPr>
      <w:r>
        <w:rPr>
          <w:rFonts w:ascii="Times New Roman" w:eastAsia="Times New Roman" w:hAnsi="Times New Roman"/>
          <w:sz w:val="24"/>
          <w:szCs w:val="24"/>
        </w:rPr>
        <w:t xml:space="preserve">Management and financial capacity and performance in all facets of operations, including: </w:t>
      </w:r>
    </w:p>
    <w:p w14:paraId="1D5EBD1B" w14:textId="0829F0B3" w:rsidR="007F74B3" w:rsidRPr="007F23B4" w:rsidRDefault="006D5F54" w:rsidP="007F74B3">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7F74B3">
        <w:rPr>
          <w:rFonts w:ascii="Times New Roman" w:eastAsia="Times New Roman" w:hAnsi="Times New Roman"/>
          <w:sz w:val="24"/>
          <w:szCs w:val="24"/>
        </w:rPr>
        <w:t xml:space="preserve">overnance; </w:t>
      </w:r>
    </w:p>
    <w:p w14:paraId="1D5EBD1C" w14:textId="38C08AB4" w:rsidR="007F74B3" w:rsidRPr="007F23B4" w:rsidRDefault="006D5F54" w:rsidP="007F74B3">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7F74B3">
        <w:rPr>
          <w:rFonts w:ascii="Times New Roman" w:eastAsia="Times New Roman" w:hAnsi="Times New Roman"/>
          <w:sz w:val="24"/>
          <w:szCs w:val="24"/>
        </w:rPr>
        <w:t xml:space="preserve">ey personnel, including management depth and dependency on key personnel; </w:t>
      </w:r>
      <w:r>
        <w:rPr>
          <w:rFonts w:ascii="Times New Roman" w:eastAsia="Times New Roman" w:hAnsi="Times New Roman"/>
          <w:sz w:val="24"/>
          <w:szCs w:val="24"/>
        </w:rPr>
        <w:t xml:space="preserve">and </w:t>
      </w:r>
    </w:p>
    <w:p w14:paraId="1D5EBD1D" w14:textId="7BD21984" w:rsidR="009B0540" w:rsidRPr="009B0540" w:rsidRDefault="006D5F54" w:rsidP="00276F43">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276F43">
        <w:rPr>
          <w:rFonts w:ascii="Times New Roman" w:eastAsia="Times New Roman" w:hAnsi="Times New Roman"/>
          <w:sz w:val="24"/>
          <w:szCs w:val="24"/>
        </w:rPr>
        <w:t xml:space="preserve">inancial performance, liquidity, </w:t>
      </w:r>
      <w:r>
        <w:rPr>
          <w:rFonts w:ascii="Times New Roman" w:eastAsia="Times New Roman" w:hAnsi="Times New Roman"/>
          <w:sz w:val="24"/>
          <w:szCs w:val="24"/>
        </w:rPr>
        <w:t xml:space="preserve">audited financial statements; and </w:t>
      </w:r>
      <w:r w:rsidR="00276F43">
        <w:rPr>
          <w:rFonts w:ascii="Times New Roman" w:eastAsia="Times New Roman" w:hAnsi="Times New Roman"/>
          <w:sz w:val="24"/>
          <w:szCs w:val="24"/>
        </w:rPr>
        <w:t>capital and asset adequacy and metrics</w:t>
      </w:r>
      <w:r>
        <w:rPr>
          <w:rFonts w:ascii="Times New Roman" w:eastAsia="Times New Roman" w:hAnsi="Times New Roman"/>
          <w:sz w:val="24"/>
          <w:szCs w:val="24"/>
        </w:rPr>
        <w:t>.</w:t>
      </w:r>
    </w:p>
    <w:p w14:paraId="1D5EBD1E" w14:textId="77777777" w:rsidR="007F74B3" w:rsidRPr="007F23B4" w:rsidRDefault="007F74B3" w:rsidP="009B0540">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D1F" w14:textId="2126273F" w:rsidR="007F74B3" w:rsidRPr="007766D9" w:rsidRDefault="006D5F54" w:rsidP="007F74B3">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7F74B3">
        <w:rPr>
          <w:rFonts w:ascii="Times New Roman" w:eastAsia="Times New Roman" w:hAnsi="Times New Roman"/>
          <w:sz w:val="24"/>
          <w:szCs w:val="24"/>
        </w:rPr>
        <w:t xml:space="preserve">or </w:t>
      </w:r>
      <w:r w:rsidR="007F74B3" w:rsidRPr="008213B2">
        <w:rPr>
          <w:rFonts w:ascii="Times New Roman" w:eastAsia="Times New Roman" w:hAnsi="Times New Roman"/>
          <w:sz w:val="24"/>
          <w:szCs w:val="24"/>
        </w:rPr>
        <w:t>debt obligations</w:t>
      </w:r>
      <w:r w:rsidR="007F74B3">
        <w:rPr>
          <w:rFonts w:ascii="Times New Roman" w:eastAsia="Times New Roman" w:hAnsi="Times New Roman"/>
          <w:sz w:val="24"/>
          <w:szCs w:val="24"/>
        </w:rPr>
        <w:t xml:space="preserve">, current payment status </w:t>
      </w:r>
      <w:r w:rsidR="007F74B3" w:rsidRPr="008213B2">
        <w:rPr>
          <w:rFonts w:ascii="Times New Roman" w:eastAsia="Times New Roman" w:hAnsi="Times New Roman"/>
          <w:sz w:val="24"/>
          <w:szCs w:val="24"/>
        </w:rPr>
        <w:t>and compliance with programmatic and financial covenants</w:t>
      </w:r>
      <w:r>
        <w:rPr>
          <w:rFonts w:ascii="Times New Roman" w:eastAsia="Times New Roman" w:hAnsi="Times New Roman"/>
          <w:sz w:val="24"/>
          <w:szCs w:val="24"/>
        </w:rPr>
        <w:t>;</w:t>
      </w:r>
    </w:p>
    <w:p w14:paraId="1D5EBD20" w14:textId="2C5BAE25" w:rsidR="007F74B3" w:rsidRPr="008F18E7" w:rsidRDefault="006D5F54" w:rsidP="007F74B3">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w:t>
      </w:r>
      <w:r w:rsidR="007F74B3" w:rsidRPr="008F18E7">
        <w:rPr>
          <w:rFonts w:ascii="Times New Roman" w:eastAsia="Times New Roman" w:hAnsi="Times New Roman"/>
          <w:sz w:val="24"/>
          <w:szCs w:val="24"/>
        </w:rPr>
        <w:t>aintenance of good-standing status with respect to all other obligations, i</w:t>
      </w:r>
      <w:r>
        <w:rPr>
          <w:rFonts w:ascii="Times New Roman" w:eastAsia="Times New Roman" w:hAnsi="Times New Roman"/>
          <w:sz w:val="24"/>
          <w:szCs w:val="24"/>
        </w:rPr>
        <w:t>nsurance and legal requirements; and</w:t>
      </w:r>
      <w:r w:rsidR="007F74B3" w:rsidRPr="008F18E7">
        <w:rPr>
          <w:rFonts w:ascii="Times New Roman" w:eastAsia="Times New Roman" w:hAnsi="Times New Roman"/>
          <w:sz w:val="24"/>
          <w:szCs w:val="24"/>
        </w:rPr>
        <w:t xml:space="preserve"> </w:t>
      </w:r>
    </w:p>
    <w:p w14:paraId="1D5EBD21" w14:textId="7F25029F" w:rsidR="007F74B3" w:rsidRDefault="006D5F54"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7F74B3">
        <w:rPr>
          <w:rFonts w:ascii="Times New Roman" w:eastAsia="Times New Roman" w:hAnsi="Times New Roman"/>
          <w:sz w:val="24"/>
          <w:szCs w:val="24"/>
        </w:rPr>
        <w:t>ny recent or outstanding corrective actions at the time of the Eligible CDFI underwriting of the Secondary Borrower.</w:t>
      </w:r>
    </w:p>
    <w:p w14:paraId="1D5EBD22" w14:textId="77777777" w:rsidR="007F74B3" w:rsidRPr="007F74B3" w:rsidRDefault="007F74B3" w:rsidP="007F74B3">
      <w:pPr>
        <w:pStyle w:val="ListParagraph"/>
        <w:numPr>
          <w:ilvl w:val="0"/>
          <w:numId w:val="30"/>
        </w:numPr>
        <w:spacing w:after="0" w:line="240" w:lineRule="auto"/>
        <w:rPr>
          <w:rFonts w:ascii="Times New Roman" w:eastAsia="Times New Roman" w:hAnsi="Times New Roman"/>
          <w:sz w:val="24"/>
          <w:szCs w:val="24"/>
        </w:rPr>
      </w:pPr>
      <w:r w:rsidRPr="007F74B3">
        <w:rPr>
          <w:rFonts w:ascii="Times New Roman" w:eastAsia="Times New Roman" w:hAnsi="Times New Roman"/>
          <w:sz w:val="24"/>
          <w:szCs w:val="24"/>
        </w:rPr>
        <w:t>Specifically in connection with the Secondary Loan:</w:t>
      </w:r>
    </w:p>
    <w:p w14:paraId="1D5EBD23" w14:textId="1202DEC7" w:rsidR="00C17FEF" w:rsidRDefault="006D5F54" w:rsidP="00C737A2">
      <w:pPr>
        <w:pStyle w:val="ListParagraph"/>
        <w:numPr>
          <w:ilvl w:val="0"/>
          <w:numId w:val="43"/>
        </w:numPr>
        <w:spacing w:after="0" w:line="240" w:lineRule="auto"/>
        <w:rPr>
          <w:rFonts w:ascii="Times New Roman" w:hAnsi="Times New Roman"/>
          <w:sz w:val="24"/>
          <w:szCs w:val="24"/>
        </w:rPr>
      </w:pPr>
      <w:r>
        <w:rPr>
          <w:rFonts w:ascii="Times New Roman" w:hAnsi="Times New Roman"/>
          <w:sz w:val="24"/>
          <w:szCs w:val="24"/>
        </w:rPr>
        <w:t>O</w:t>
      </w:r>
      <w:r w:rsidR="00C17FEF">
        <w:rPr>
          <w:rFonts w:ascii="Times New Roman" w:hAnsi="Times New Roman"/>
          <w:sz w:val="24"/>
          <w:szCs w:val="24"/>
        </w:rPr>
        <w:t xml:space="preserve">perational and financial </w:t>
      </w:r>
      <w:r w:rsidR="007F74B3">
        <w:rPr>
          <w:rFonts w:ascii="Times New Roman" w:hAnsi="Times New Roman"/>
          <w:sz w:val="24"/>
          <w:szCs w:val="24"/>
        </w:rPr>
        <w:t>capacity for</w:t>
      </w:r>
      <w:r w:rsidR="00C17FEF" w:rsidRPr="00232F21">
        <w:rPr>
          <w:rFonts w:ascii="Times New Roman" w:hAnsi="Times New Roman"/>
          <w:sz w:val="24"/>
          <w:szCs w:val="24"/>
        </w:rPr>
        <w:t xml:space="preserve"> the proposed project</w:t>
      </w:r>
      <w:r w:rsidR="00151184">
        <w:rPr>
          <w:rFonts w:ascii="Times New Roman" w:hAnsi="Times New Roman"/>
          <w:sz w:val="24"/>
          <w:szCs w:val="24"/>
        </w:rPr>
        <w:t xml:space="preserve"> that includes</w:t>
      </w:r>
      <w:r w:rsidR="00F06C39">
        <w:rPr>
          <w:rFonts w:ascii="Times New Roman" w:hAnsi="Times New Roman"/>
          <w:sz w:val="24"/>
          <w:szCs w:val="24"/>
        </w:rPr>
        <w:t xml:space="preserve"> a fundin</w:t>
      </w:r>
      <w:r w:rsidR="00151184">
        <w:rPr>
          <w:rFonts w:ascii="Times New Roman" w:hAnsi="Times New Roman"/>
          <w:sz w:val="24"/>
          <w:szCs w:val="24"/>
        </w:rPr>
        <w:t xml:space="preserve">g mechanism </w:t>
      </w:r>
      <w:r w:rsidR="00F06C39">
        <w:rPr>
          <w:rFonts w:ascii="Times New Roman" w:hAnsi="Times New Roman"/>
          <w:sz w:val="24"/>
          <w:szCs w:val="24"/>
        </w:rPr>
        <w:t>to ensure</w:t>
      </w:r>
      <w:r w:rsidR="00151184">
        <w:rPr>
          <w:rFonts w:ascii="Times New Roman" w:hAnsi="Times New Roman"/>
          <w:sz w:val="24"/>
          <w:szCs w:val="24"/>
        </w:rPr>
        <w:t xml:space="preserve"> payment of </w:t>
      </w:r>
      <w:r w:rsidR="00D7406E">
        <w:rPr>
          <w:rFonts w:ascii="Times New Roman" w:hAnsi="Times New Roman"/>
          <w:sz w:val="24"/>
          <w:szCs w:val="24"/>
        </w:rPr>
        <w:t>the Secondary Loan</w:t>
      </w:r>
      <w:r w:rsidR="00151184">
        <w:rPr>
          <w:rFonts w:ascii="Times New Roman" w:hAnsi="Times New Roman"/>
          <w:sz w:val="24"/>
          <w:szCs w:val="24"/>
        </w:rPr>
        <w:t xml:space="preserve"> and other obligations</w:t>
      </w:r>
      <w:r w:rsidR="00275ABF">
        <w:rPr>
          <w:rFonts w:ascii="Times New Roman" w:hAnsi="Times New Roman"/>
          <w:sz w:val="24"/>
          <w:szCs w:val="24"/>
        </w:rPr>
        <w:t>;</w:t>
      </w:r>
    </w:p>
    <w:p w14:paraId="67D162B2" w14:textId="77777777" w:rsidR="00D46CCB" w:rsidRDefault="006D5F54" w:rsidP="00C737A2">
      <w:pPr>
        <w:pStyle w:val="ListParagraph"/>
        <w:numPr>
          <w:ilvl w:val="0"/>
          <w:numId w:val="43"/>
        </w:numPr>
        <w:spacing w:after="0" w:line="240" w:lineRule="auto"/>
        <w:contextualSpacing w:val="0"/>
        <w:rPr>
          <w:rFonts w:ascii="Times New Roman" w:hAnsi="Times New Roman"/>
          <w:sz w:val="24"/>
          <w:szCs w:val="24"/>
        </w:rPr>
      </w:pPr>
      <w:r>
        <w:rPr>
          <w:rFonts w:ascii="Times New Roman" w:hAnsi="Times New Roman"/>
          <w:sz w:val="24"/>
          <w:szCs w:val="24"/>
        </w:rPr>
        <w:t>M</w:t>
      </w:r>
      <w:r w:rsidR="00C17FEF" w:rsidRPr="007F74B3">
        <w:rPr>
          <w:rFonts w:ascii="Times New Roman" w:hAnsi="Times New Roman"/>
          <w:sz w:val="24"/>
          <w:szCs w:val="24"/>
        </w:rPr>
        <w:t>anagement and operational experience to carry out the proposed project that includes licensin</w:t>
      </w:r>
      <w:r w:rsidR="00565113" w:rsidRPr="007F74B3">
        <w:rPr>
          <w:rFonts w:ascii="Times New Roman" w:hAnsi="Times New Roman"/>
          <w:sz w:val="24"/>
          <w:szCs w:val="24"/>
        </w:rPr>
        <w:t>g and background credentials; a</w:t>
      </w:r>
      <w:r w:rsidR="00C17FEF" w:rsidRPr="007F74B3">
        <w:rPr>
          <w:rFonts w:ascii="Times New Roman" w:hAnsi="Times New Roman"/>
          <w:sz w:val="24"/>
          <w:szCs w:val="24"/>
        </w:rPr>
        <w:t xml:space="preserve"> track record in the  development, management, administration and operations of commercial real estate projects; </w:t>
      </w:r>
    </w:p>
    <w:p w14:paraId="1D5EBD24" w14:textId="17EA2635" w:rsidR="00035423" w:rsidRDefault="00D46CCB" w:rsidP="00C737A2">
      <w:pPr>
        <w:pStyle w:val="ListParagraph"/>
        <w:numPr>
          <w:ilvl w:val="0"/>
          <w:numId w:val="43"/>
        </w:numPr>
        <w:spacing w:after="0" w:line="240" w:lineRule="auto"/>
        <w:contextualSpacing w:val="0"/>
        <w:rPr>
          <w:rFonts w:ascii="Times New Roman" w:hAnsi="Times New Roman"/>
          <w:sz w:val="24"/>
          <w:szCs w:val="24"/>
        </w:rPr>
      </w:pPr>
      <w:r>
        <w:rPr>
          <w:rFonts w:ascii="Times New Roman" w:hAnsi="Times New Roman"/>
          <w:sz w:val="24"/>
          <w:szCs w:val="24"/>
        </w:rPr>
        <w:lastRenderedPageBreak/>
        <w:t>F</w:t>
      </w:r>
      <w:r w:rsidR="00C17FEF" w:rsidRPr="007F74B3">
        <w:rPr>
          <w:rFonts w:ascii="Times New Roman" w:hAnsi="Times New Roman"/>
          <w:sz w:val="24"/>
          <w:szCs w:val="24"/>
        </w:rPr>
        <w:t>inancial management capabilities and  financial resources to undertake the development and/or operation of the proposed project</w:t>
      </w:r>
      <w:r w:rsidR="00275ABF" w:rsidRPr="007F74B3">
        <w:rPr>
          <w:rFonts w:ascii="Times New Roman" w:hAnsi="Times New Roman"/>
          <w:sz w:val="24"/>
          <w:szCs w:val="24"/>
        </w:rPr>
        <w:t>;</w:t>
      </w:r>
    </w:p>
    <w:p w14:paraId="1D5EBD25" w14:textId="7DC0BDC8" w:rsidR="00B4012E" w:rsidRPr="007F74B3" w:rsidRDefault="006D5F54" w:rsidP="007F74B3">
      <w:pPr>
        <w:pStyle w:val="ListParagraph"/>
        <w:numPr>
          <w:ilvl w:val="0"/>
          <w:numId w:val="43"/>
        </w:numPr>
        <w:spacing w:after="0" w:line="240" w:lineRule="auto"/>
        <w:contextualSpacing w:val="0"/>
        <w:rPr>
          <w:rFonts w:ascii="Times New Roman" w:hAnsi="Times New Roman"/>
          <w:sz w:val="24"/>
          <w:szCs w:val="24"/>
        </w:rPr>
      </w:pPr>
      <w:r>
        <w:rPr>
          <w:rFonts w:ascii="Times New Roman" w:eastAsia="Times New Roman" w:hAnsi="Times New Roman"/>
          <w:sz w:val="24"/>
          <w:szCs w:val="24"/>
        </w:rPr>
        <w:t>C</w:t>
      </w:r>
      <w:r w:rsidR="00B4012E" w:rsidRPr="007F74B3">
        <w:rPr>
          <w:rFonts w:ascii="Times New Roman" w:eastAsia="Times New Roman" w:hAnsi="Times New Roman"/>
          <w:sz w:val="24"/>
          <w:szCs w:val="24"/>
        </w:rPr>
        <w:t>urrent market conditions, demand assumptions, vacancy rates, collecti</w:t>
      </w:r>
      <w:r>
        <w:rPr>
          <w:rFonts w:ascii="Times New Roman" w:eastAsia="Times New Roman" w:hAnsi="Times New Roman"/>
          <w:sz w:val="24"/>
          <w:szCs w:val="24"/>
        </w:rPr>
        <w:t>on assumptions, turnover rates;</w:t>
      </w:r>
    </w:p>
    <w:p w14:paraId="0CC88E75" w14:textId="77777777" w:rsidR="00D46CCB" w:rsidRDefault="006D5F54" w:rsidP="00C737A2">
      <w:pPr>
        <w:pStyle w:val="ListParagraph"/>
        <w:numPr>
          <w:ilvl w:val="0"/>
          <w:numId w:val="43"/>
        </w:numPr>
        <w:rPr>
          <w:rFonts w:ascii="Times New Roman" w:eastAsia="Times New Roman" w:hAnsi="Times New Roman"/>
          <w:sz w:val="24"/>
          <w:szCs w:val="24"/>
        </w:rPr>
      </w:pPr>
      <w:r>
        <w:rPr>
          <w:rFonts w:ascii="Times New Roman" w:eastAsia="Times New Roman" w:hAnsi="Times New Roman"/>
          <w:sz w:val="24"/>
          <w:szCs w:val="24"/>
        </w:rPr>
        <w:t>R</w:t>
      </w:r>
      <w:r w:rsidR="00D7406E" w:rsidRPr="007B5362">
        <w:rPr>
          <w:rFonts w:ascii="Times New Roman" w:eastAsia="Times New Roman" w:hAnsi="Times New Roman"/>
          <w:sz w:val="24"/>
          <w:szCs w:val="24"/>
        </w:rPr>
        <w:t xml:space="preserve">evenues for the </w:t>
      </w:r>
      <w:r w:rsidR="00D7406E">
        <w:rPr>
          <w:rFonts w:ascii="Times New Roman" w:eastAsia="Times New Roman" w:hAnsi="Times New Roman"/>
          <w:sz w:val="24"/>
          <w:szCs w:val="24"/>
        </w:rPr>
        <w:t>project that include</w:t>
      </w:r>
      <w:r w:rsidR="00D7406E" w:rsidRPr="007B5362">
        <w:rPr>
          <w:rFonts w:ascii="Times New Roman" w:eastAsia="Times New Roman" w:hAnsi="Times New Roman"/>
          <w:sz w:val="24"/>
          <w:szCs w:val="24"/>
        </w:rPr>
        <w:t xml:space="preserve"> </w:t>
      </w:r>
      <w:r w:rsidR="00D7406E">
        <w:rPr>
          <w:rFonts w:ascii="Times New Roman" w:eastAsia="Times New Roman" w:hAnsi="Times New Roman"/>
          <w:sz w:val="24"/>
          <w:szCs w:val="24"/>
        </w:rPr>
        <w:t xml:space="preserve">cash flow projections, </w:t>
      </w:r>
      <w:r w:rsidR="00D7406E" w:rsidRPr="007F74B3">
        <w:rPr>
          <w:rFonts w:ascii="Times New Roman" w:eastAsia="Times New Roman" w:hAnsi="Times New Roman"/>
          <w:sz w:val="24"/>
          <w:szCs w:val="24"/>
        </w:rPr>
        <w:t>operating expenses, debt service requirements and any other project related costs or conditions that may affect the project;</w:t>
      </w:r>
      <w:r w:rsidR="00D7406E">
        <w:rPr>
          <w:rFonts w:ascii="Times New Roman" w:eastAsia="Times New Roman" w:hAnsi="Times New Roman"/>
          <w:sz w:val="24"/>
          <w:szCs w:val="24"/>
        </w:rPr>
        <w:t xml:space="preserve"> </w:t>
      </w:r>
    </w:p>
    <w:p w14:paraId="1D5EBD26" w14:textId="48267C47" w:rsidR="00D7406E" w:rsidRDefault="00D46CCB" w:rsidP="00C737A2">
      <w:pPr>
        <w:pStyle w:val="ListParagraph"/>
        <w:numPr>
          <w:ilvl w:val="0"/>
          <w:numId w:val="43"/>
        </w:numPr>
        <w:rPr>
          <w:rFonts w:ascii="Times New Roman" w:eastAsia="Times New Roman" w:hAnsi="Times New Roman"/>
          <w:sz w:val="24"/>
          <w:szCs w:val="24"/>
        </w:rPr>
      </w:pPr>
      <w:r>
        <w:rPr>
          <w:rFonts w:ascii="Times New Roman" w:eastAsia="Times New Roman" w:hAnsi="Times New Roman"/>
          <w:sz w:val="24"/>
          <w:szCs w:val="24"/>
        </w:rPr>
        <w:t>A</w:t>
      </w:r>
      <w:r w:rsidR="00D7406E">
        <w:rPr>
          <w:rFonts w:ascii="Times New Roman" w:eastAsia="Times New Roman" w:hAnsi="Times New Roman"/>
          <w:sz w:val="24"/>
          <w:szCs w:val="24"/>
        </w:rPr>
        <w:t xml:space="preserve"> </w:t>
      </w:r>
      <w:r w:rsidR="00D7406E" w:rsidRPr="009D6223">
        <w:rPr>
          <w:rFonts w:ascii="Times New Roman" w:eastAsia="Times New Roman" w:hAnsi="Times New Roman"/>
          <w:sz w:val="24"/>
          <w:szCs w:val="24"/>
        </w:rPr>
        <w:t xml:space="preserve">methodology </w:t>
      </w:r>
      <w:r w:rsidR="00D7406E">
        <w:rPr>
          <w:rFonts w:ascii="Times New Roman" w:eastAsia="Times New Roman" w:hAnsi="Times New Roman"/>
          <w:sz w:val="24"/>
          <w:szCs w:val="24"/>
        </w:rPr>
        <w:t>and narrative discussion for the projected increase in revenue;</w:t>
      </w:r>
    </w:p>
    <w:p w14:paraId="1D5EBD27" w14:textId="65016BE5" w:rsidR="00B4012E" w:rsidRPr="007F74B3" w:rsidRDefault="006D5F54" w:rsidP="00C737A2">
      <w:pPr>
        <w:pStyle w:val="ListParagraph"/>
        <w:numPr>
          <w:ilvl w:val="0"/>
          <w:numId w:val="43"/>
        </w:numPr>
        <w:rPr>
          <w:rFonts w:ascii="Times New Roman" w:eastAsia="Times New Roman" w:hAnsi="Times New Roman"/>
          <w:sz w:val="24"/>
          <w:szCs w:val="24"/>
        </w:rPr>
      </w:pPr>
      <w:r>
        <w:rPr>
          <w:rFonts w:ascii="Times New Roman" w:eastAsia="Times New Roman" w:hAnsi="Times New Roman"/>
          <w:sz w:val="24"/>
          <w:szCs w:val="24"/>
        </w:rPr>
        <w:t>T</w:t>
      </w:r>
      <w:r w:rsidR="00B4012E" w:rsidRPr="007F74B3">
        <w:rPr>
          <w:rFonts w:ascii="Times New Roman" w:eastAsia="Times New Roman" w:hAnsi="Times New Roman"/>
          <w:sz w:val="24"/>
          <w:szCs w:val="24"/>
        </w:rPr>
        <w:t>he terms and impact of ground leases or other ongoing restrictions</w:t>
      </w:r>
      <w:r w:rsidR="002763F3" w:rsidRPr="007F74B3">
        <w:rPr>
          <w:rFonts w:ascii="Times New Roman" w:eastAsia="Times New Roman" w:hAnsi="Times New Roman"/>
          <w:sz w:val="24"/>
          <w:szCs w:val="24"/>
        </w:rPr>
        <w:t xml:space="preserve"> to the project and/or property</w:t>
      </w:r>
      <w:r w:rsidR="00275ABF" w:rsidRPr="007F74B3">
        <w:rPr>
          <w:rFonts w:ascii="Times New Roman" w:eastAsia="Times New Roman" w:hAnsi="Times New Roman"/>
          <w:sz w:val="24"/>
          <w:szCs w:val="24"/>
        </w:rPr>
        <w:t>;</w:t>
      </w:r>
    </w:p>
    <w:p w14:paraId="1D5EBD28" w14:textId="2CF06C96" w:rsidR="007F74B3" w:rsidRDefault="006D5F54" w:rsidP="00C737A2">
      <w:pPr>
        <w:pStyle w:val="ListParagraph"/>
        <w:numPr>
          <w:ilvl w:val="0"/>
          <w:numId w:val="43"/>
        </w:numPr>
        <w:rPr>
          <w:rFonts w:ascii="Times New Roman" w:eastAsia="Times New Roman" w:hAnsi="Times New Roman"/>
          <w:sz w:val="24"/>
          <w:szCs w:val="24"/>
        </w:rPr>
      </w:pPr>
      <w:r>
        <w:rPr>
          <w:rFonts w:ascii="Times New Roman" w:eastAsia="Times New Roman" w:hAnsi="Times New Roman"/>
          <w:sz w:val="24"/>
          <w:szCs w:val="24"/>
        </w:rPr>
        <w:t>O</w:t>
      </w:r>
      <w:r w:rsidR="00B4012E">
        <w:rPr>
          <w:rFonts w:ascii="Times New Roman" w:eastAsia="Times New Roman" w:hAnsi="Times New Roman"/>
          <w:sz w:val="24"/>
          <w:szCs w:val="24"/>
        </w:rPr>
        <w:t>perating, lease-up and replacement reserves and any other types of reser</w:t>
      </w:r>
      <w:r w:rsidR="002763F3">
        <w:rPr>
          <w:rFonts w:ascii="Times New Roman" w:eastAsia="Times New Roman" w:hAnsi="Times New Roman"/>
          <w:sz w:val="24"/>
          <w:szCs w:val="24"/>
        </w:rPr>
        <w:t>ves established for the project</w:t>
      </w:r>
      <w:r w:rsidR="00275ABF">
        <w:rPr>
          <w:rFonts w:ascii="Times New Roman" w:eastAsia="Times New Roman" w:hAnsi="Times New Roman"/>
          <w:sz w:val="24"/>
          <w:szCs w:val="24"/>
        </w:rPr>
        <w:t xml:space="preserve">; </w:t>
      </w:r>
    </w:p>
    <w:p w14:paraId="1D5EBD29" w14:textId="0E6FBD85" w:rsidR="00B4012E" w:rsidRDefault="006D5F54" w:rsidP="007F74B3">
      <w:pPr>
        <w:pStyle w:val="ListParagraph"/>
        <w:numPr>
          <w:ilvl w:val="0"/>
          <w:numId w:val="43"/>
        </w:numPr>
        <w:rPr>
          <w:rFonts w:ascii="Times New Roman" w:eastAsia="Times New Roman" w:hAnsi="Times New Roman"/>
          <w:sz w:val="24"/>
          <w:szCs w:val="24"/>
        </w:rPr>
      </w:pPr>
      <w:r>
        <w:rPr>
          <w:rFonts w:ascii="Times New Roman" w:hAnsi="Times New Roman"/>
          <w:sz w:val="24"/>
          <w:szCs w:val="24"/>
        </w:rPr>
        <w:t>I</w:t>
      </w:r>
      <w:r w:rsidR="007F74B3">
        <w:rPr>
          <w:rFonts w:ascii="Times New Roman" w:hAnsi="Times New Roman"/>
          <w:sz w:val="24"/>
          <w:szCs w:val="24"/>
        </w:rPr>
        <w:t>nsurance, at all times, to support the project and the organization;</w:t>
      </w:r>
    </w:p>
    <w:p w14:paraId="1D5EBD2A" w14:textId="572FE0B0" w:rsidR="00B4012E" w:rsidRDefault="006D5F54" w:rsidP="003A3B3F">
      <w:pPr>
        <w:pStyle w:val="ListParagraph"/>
        <w:numPr>
          <w:ilvl w:val="0"/>
          <w:numId w:val="12"/>
        </w:numPr>
        <w:rPr>
          <w:rFonts w:ascii="Times New Roman" w:eastAsia="Times New Roman" w:hAnsi="Times New Roman"/>
          <w:sz w:val="24"/>
          <w:szCs w:val="24"/>
        </w:rPr>
      </w:pPr>
      <w:r>
        <w:rPr>
          <w:rFonts w:ascii="Times New Roman" w:eastAsia="Times New Roman" w:hAnsi="Times New Roman"/>
          <w:sz w:val="24"/>
          <w:szCs w:val="24"/>
        </w:rPr>
        <w:t>A</w:t>
      </w:r>
      <w:r w:rsidR="00B4012E">
        <w:rPr>
          <w:rFonts w:ascii="Times New Roman" w:eastAsia="Times New Roman" w:hAnsi="Times New Roman"/>
          <w:sz w:val="24"/>
          <w:szCs w:val="24"/>
        </w:rPr>
        <w:t>s applicable, hi</w:t>
      </w:r>
      <w:r w:rsidR="002763F3">
        <w:rPr>
          <w:rFonts w:ascii="Times New Roman" w:eastAsia="Times New Roman" w:hAnsi="Times New Roman"/>
          <w:sz w:val="24"/>
          <w:szCs w:val="24"/>
        </w:rPr>
        <w:t xml:space="preserve">storical </w:t>
      </w:r>
      <w:r w:rsidR="007F74B3">
        <w:rPr>
          <w:rFonts w:ascii="Times New Roman" w:eastAsia="Times New Roman" w:hAnsi="Times New Roman"/>
          <w:sz w:val="24"/>
          <w:szCs w:val="24"/>
        </w:rPr>
        <w:t xml:space="preserve">property </w:t>
      </w:r>
      <w:r w:rsidR="002763F3">
        <w:rPr>
          <w:rFonts w:ascii="Times New Roman" w:eastAsia="Times New Roman" w:hAnsi="Times New Roman"/>
          <w:sz w:val="24"/>
          <w:szCs w:val="24"/>
        </w:rPr>
        <w:t xml:space="preserve">financial performance that is </w:t>
      </w:r>
      <w:r w:rsidR="00B4012E">
        <w:rPr>
          <w:rFonts w:ascii="Times New Roman" w:eastAsia="Times New Roman" w:hAnsi="Times New Roman"/>
          <w:sz w:val="24"/>
          <w:szCs w:val="24"/>
        </w:rPr>
        <w:t>supported by an audited financial statement, rent roll, project leases and any other operating information pertinent to t</w:t>
      </w:r>
      <w:r w:rsidR="00D46CCB">
        <w:rPr>
          <w:rFonts w:ascii="Times New Roman" w:eastAsia="Times New Roman" w:hAnsi="Times New Roman"/>
          <w:sz w:val="24"/>
          <w:szCs w:val="24"/>
        </w:rPr>
        <w:t>he underwriting of the project;</w:t>
      </w:r>
    </w:p>
    <w:p w14:paraId="1D5EBD2B" w14:textId="36977D19" w:rsidR="009C31EF" w:rsidRDefault="006D5F54" w:rsidP="009C31EF">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009C31EF">
        <w:rPr>
          <w:rFonts w:ascii="Times New Roman" w:eastAsia="Times New Roman" w:hAnsi="Times New Roman"/>
          <w:sz w:val="24"/>
          <w:szCs w:val="24"/>
        </w:rPr>
        <w:t>orking capital</w:t>
      </w:r>
      <w:r>
        <w:rPr>
          <w:rFonts w:ascii="Times New Roman" w:eastAsia="Times New Roman" w:hAnsi="Times New Roman"/>
          <w:sz w:val="24"/>
          <w:szCs w:val="24"/>
        </w:rPr>
        <w:t>;</w:t>
      </w:r>
      <w:r w:rsidR="009C31EF">
        <w:rPr>
          <w:rFonts w:ascii="Times New Roman" w:eastAsia="Times New Roman" w:hAnsi="Times New Roman"/>
          <w:sz w:val="24"/>
          <w:szCs w:val="24"/>
        </w:rPr>
        <w:t xml:space="preserve"> </w:t>
      </w:r>
    </w:p>
    <w:p w14:paraId="1D5EBD2C" w14:textId="2D2D3D35" w:rsidR="00D7406E" w:rsidRDefault="006D5F54" w:rsidP="00D7406E">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E55E58" w:rsidRPr="00D7406E">
        <w:rPr>
          <w:rFonts w:ascii="Times New Roman" w:eastAsia="Times New Roman" w:hAnsi="Times New Roman"/>
          <w:sz w:val="24"/>
          <w:szCs w:val="24"/>
        </w:rPr>
        <w:t>ebt</w:t>
      </w:r>
      <w:r w:rsidR="00EE4E00" w:rsidRPr="00D7406E">
        <w:rPr>
          <w:rFonts w:ascii="Times New Roman" w:eastAsia="Times New Roman" w:hAnsi="Times New Roman"/>
          <w:sz w:val="24"/>
          <w:szCs w:val="24"/>
        </w:rPr>
        <w:t xml:space="preserve"> </w:t>
      </w:r>
      <w:r w:rsidR="00E55E58" w:rsidRPr="00D7406E">
        <w:rPr>
          <w:rFonts w:ascii="Times New Roman" w:eastAsia="Times New Roman" w:hAnsi="Times New Roman"/>
          <w:sz w:val="24"/>
          <w:szCs w:val="24"/>
        </w:rPr>
        <w:t xml:space="preserve">service coverage of the proposed </w:t>
      </w:r>
      <w:r w:rsidR="008D5830" w:rsidRPr="00D7406E">
        <w:rPr>
          <w:rFonts w:ascii="Times New Roman" w:eastAsia="Times New Roman" w:hAnsi="Times New Roman"/>
          <w:sz w:val="24"/>
          <w:szCs w:val="24"/>
        </w:rPr>
        <w:t>Secondary L</w:t>
      </w:r>
      <w:r w:rsidR="00E55E58" w:rsidRPr="00D7406E">
        <w:rPr>
          <w:rFonts w:ascii="Times New Roman" w:eastAsia="Times New Roman" w:hAnsi="Times New Roman"/>
          <w:sz w:val="24"/>
          <w:szCs w:val="24"/>
        </w:rPr>
        <w:t>oan and all ass</w:t>
      </w:r>
      <w:r>
        <w:rPr>
          <w:rFonts w:ascii="Times New Roman" w:eastAsia="Times New Roman" w:hAnsi="Times New Roman"/>
          <w:sz w:val="24"/>
          <w:szCs w:val="24"/>
        </w:rPr>
        <w:t>ociated Secondary Borrower debt;</w:t>
      </w:r>
    </w:p>
    <w:p w14:paraId="1D5EBD2D" w14:textId="39B185DC" w:rsidR="009C31EF" w:rsidRDefault="006D5F54" w:rsidP="009C31EF">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9C31EF">
        <w:rPr>
          <w:rFonts w:ascii="Times New Roman" w:eastAsia="Times New Roman" w:hAnsi="Times New Roman"/>
          <w:sz w:val="24"/>
          <w:szCs w:val="24"/>
        </w:rPr>
        <w:t>oan to value analysis</w:t>
      </w:r>
      <w:r>
        <w:rPr>
          <w:rFonts w:ascii="Times New Roman" w:eastAsia="Times New Roman" w:hAnsi="Times New Roman"/>
          <w:sz w:val="24"/>
          <w:szCs w:val="24"/>
        </w:rPr>
        <w:t>; and</w:t>
      </w:r>
    </w:p>
    <w:p w14:paraId="1D5EBD2E" w14:textId="5D451192" w:rsidR="00E55E58" w:rsidRPr="00D7406E" w:rsidRDefault="006D5F54" w:rsidP="00C737A2">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D7406E">
        <w:rPr>
          <w:rFonts w:ascii="Times New Roman" w:eastAsia="Times New Roman" w:hAnsi="Times New Roman"/>
          <w:sz w:val="24"/>
          <w:szCs w:val="24"/>
        </w:rPr>
        <w:t>ny Credit E</w:t>
      </w:r>
      <w:r w:rsidR="00D7406E" w:rsidRPr="007B5362">
        <w:rPr>
          <w:rFonts w:ascii="Times New Roman" w:eastAsia="Times New Roman" w:hAnsi="Times New Roman"/>
          <w:sz w:val="24"/>
          <w:szCs w:val="24"/>
        </w:rPr>
        <w:t xml:space="preserve">nhancements, grants, guarantees or other support to the </w:t>
      </w:r>
      <w:r w:rsidR="00D7406E">
        <w:rPr>
          <w:rFonts w:ascii="Times New Roman" w:eastAsia="Times New Roman" w:hAnsi="Times New Roman"/>
          <w:sz w:val="24"/>
          <w:szCs w:val="24"/>
        </w:rPr>
        <w:t>Secondary Borrower that</w:t>
      </w:r>
      <w:r w:rsidR="00D7406E" w:rsidRPr="007B5362">
        <w:rPr>
          <w:rFonts w:ascii="Times New Roman" w:eastAsia="Times New Roman" w:hAnsi="Times New Roman"/>
          <w:sz w:val="24"/>
          <w:szCs w:val="24"/>
        </w:rPr>
        <w:t xml:space="preserve"> impact the underwriting and/or risk mitigation of the </w:t>
      </w:r>
      <w:r w:rsidR="00D7406E">
        <w:rPr>
          <w:rFonts w:ascii="Times New Roman" w:eastAsia="Times New Roman" w:hAnsi="Times New Roman"/>
          <w:sz w:val="24"/>
          <w:szCs w:val="24"/>
        </w:rPr>
        <w:t>Secondary Loan.</w:t>
      </w:r>
    </w:p>
    <w:p w14:paraId="1D5EBD2F" w14:textId="77777777" w:rsidR="00B27095" w:rsidRPr="003A3B3F" w:rsidRDefault="00B27095" w:rsidP="003A3B3F">
      <w:pPr>
        <w:spacing w:after="0" w:line="240" w:lineRule="auto"/>
        <w:ind w:left="360"/>
        <w:rPr>
          <w:rFonts w:ascii="Times New Roman" w:eastAsia="Times New Roman" w:hAnsi="Times New Roman"/>
          <w:sz w:val="24"/>
          <w:szCs w:val="24"/>
        </w:rPr>
      </w:pPr>
    </w:p>
    <w:p w14:paraId="1D5EBD30" w14:textId="6B3580BE" w:rsidR="00B4012E" w:rsidRPr="00857F55" w:rsidRDefault="00B4012E" w:rsidP="003A3B3F">
      <w:pPr>
        <w:pStyle w:val="ListParagraph"/>
        <w:numPr>
          <w:ilvl w:val="0"/>
          <w:numId w:val="4"/>
        </w:numPr>
        <w:tabs>
          <w:tab w:val="left" w:pos="360"/>
          <w:tab w:val="left" w:pos="540"/>
        </w:tabs>
        <w:spacing w:after="0" w:line="240" w:lineRule="auto"/>
        <w:ind w:left="360"/>
        <w:rPr>
          <w:rFonts w:ascii="Times New Roman" w:eastAsia="Times New Roman" w:hAnsi="Times New Roman"/>
          <w:b/>
          <w:smallCaps/>
          <w:sz w:val="24"/>
          <w:szCs w:val="24"/>
        </w:rPr>
      </w:pPr>
      <w:r w:rsidRPr="00857F55">
        <w:rPr>
          <w:rFonts w:ascii="Times New Roman" w:eastAsia="Times New Roman" w:hAnsi="Times New Roman"/>
          <w:b/>
          <w:smallCaps/>
          <w:sz w:val="24"/>
          <w:szCs w:val="24"/>
        </w:rPr>
        <w:t>Daycare Center</w:t>
      </w:r>
      <w:r w:rsidR="00F6502A">
        <w:rPr>
          <w:rFonts w:ascii="Times New Roman" w:eastAsia="Times New Roman" w:hAnsi="Times New Roman"/>
          <w:b/>
          <w:smallCaps/>
          <w:sz w:val="24"/>
          <w:szCs w:val="24"/>
        </w:rPr>
        <w:t xml:space="preserve"> Lending:</w:t>
      </w:r>
    </w:p>
    <w:p w14:paraId="1D5EBD31" w14:textId="7E98F0FB" w:rsidR="000B7B05" w:rsidRPr="000B7B05" w:rsidRDefault="000B7B05" w:rsidP="000B7B05">
      <w:pPr>
        <w:spacing w:after="0" w:line="240" w:lineRule="auto"/>
        <w:ind w:left="360"/>
        <w:rPr>
          <w:rFonts w:ascii="Times New Roman" w:eastAsia="Times New Roman" w:hAnsi="Times New Roman"/>
          <w:sz w:val="24"/>
          <w:szCs w:val="24"/>
        </w:rPr>
      </w:pPr>
      <w:r w:rsidRPr="000B7B05">
        <w:rPr>
          <w:rFonts w:ascii="Times New Roman" w:eastAsia="Times New Roman" w:hAnsi="Times New Roman"/>
          <w:sz w:val="24"/>
          <w:szCs w:val="24"/>
        </w:rPr>
        <w:t xml:space="preserve">The Eligible CDFI’s underwriting policies </w:t>
      </w:r>
      <w:r w:rsidR="00622AFE">
        <w:rPr>
          <w:rFonts w:ascii="Times New Roman" w:eastAsia="Times New Roman" w:hAnsi="Times New Roman"/>
          <w:sz w:val="24"/>
          <w:szCs w:val="24"/>
        </w:rPr>
        <w:t xml:space="preserve">and evaluation criteria </w:t>
      </w:r>
      <w:r w:rsidRPr="000B7B05">
        <w:rPr>
          <w:rFonts w:ascii="Times New Roman" w:eastAsia="Times New Roman" w:hAnsi="Times New Roman"/>
          <w:sz w:val="24"/>
          <w:szCs w:val="24"/>
        </w:rPr>
        <w:t xml:space="preserve">for a Secondary Borrower under this asset </w:t>
      </w:r>
      <w:r w:rsidR="00646259" w:rsidRPr="000B7B05">
        <w:rPr>
          <w:rFonts w:ascii="Times New Roman" w:eastAsia="Times New Roman" w:hAnsi="Times New Roman"/>
          <w:sz w:val="24"/>
          <w:szCs w:val="24"/>
        </w:rPr>
        <w:t>class</w:t>
      </w:r>
      <w:r w:rsidRPr="000B7B05">
        <w:rPr>
          <w:rFonts w:ascii="Times New Roman" w:eastAsia="Times New Roman" w:hAnsi="Times New Roman"/>
          <w:sz w:val="24"/>
          <w:szCs w:val="24"/>
        </w:rPr>
        <w:t xml:space="preserve"> must address the following:</w:t>
      </w:r>
    </w:p>
    <w:p w14:paraId="1D5EBD32" w14:textId="77777777" w:rsidR="00594D45" w:rsidRDefault="00594D45" w:rsidP="003A3B3F">
      <w:pPr>
        <w:spacing w:after="0" w:line="240" w:lineRule="auto"/>
        <w:ind w:left="360"/>
        <w:rPr>
          <w:rFonts w:ascii="Times New Roman" w:eastAsia="Times New Roman" w:hAnsi="Times New Roman"/>
          <w:sz w:val="24"/>
          <w:szCs w:val="24"/>
        </w:rPr>
      </w:pPr>
    </w:p>
    <w:p w14:paraId="1D5EBD33" w14:textId="77777777" w:rsidR="00D7406E" w:rsidRPr="00C737A2" w:rsidRDefault="00D7406E" w:rsidP="00C737A2">
      <w:pPr>
        <w:pStyle w:val="ListParagraph"/>
        <w:numPr>
          <w:ilvl w:val="0"/>
          <w:numId w:val="8"/>
        </w:numPr>
        <w:spacing w:after="0" w:line="240" w:lineRule="auto"/>
        <w:ind w:left="720"/>
        <w:rPr>
          <w:rFonts w:ascii="Times New Roman" w:hAnsi="Times New Roman"/>
          <w:i/>
          <w:sz w:val="24"/>
          <w:u w:val="single"/>
        </w:rPr>
      </w:pPr>
      <w:r>
        <w:rPr>
          <w:rFonts w:ascii="Times New Roman" w:eastAsia="Times New Roman" w:hAnsi="Times New Roman"/>
          <w:sz w:val="24"/>
          <w:szCs w:val="24"/>
        </w:rPr>
        <w:t xml:space="preserve">Management and financial capacity and performance in all facets of operations, including: </w:t>
      </w:r>
    </w:p>
    <w:p w14:paraId="1D5EBD34" w14:textId="0B009CEF" w:rsidR="00D7406E" w:rsidRPr="007F23B4" w:rsidRDefault="006D5F54" w:rsidP="00D7406E">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D7406E">
        <w:rPr>
          <w:rFonts w:ascii="Times New Roman" w:eastAsia="Times New Roman" w:hAnsi="Times New Roman"/>
          <w:sz w:val="24"/>
          <w:szCs w:val="24"/>
        </w:rPr>
        <w:t xml:space="preserve">overnance; </w:t>
      </w:r>
    </w:p>
    <w:p w14:paraId="1D5EBD35" w14:textId="2969F1FC" w:rsidR="00D7406E" w:rsidRPr="007F23B4" w:rsidRDefault="006D5F54" w:rsidP="00D7406E">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D7406E">
        <w:rPr>
          <w:rFonts w:ascii="Times New Roman" w:eastAsia="Times New Roman" w:hAnsi="Times New Roman"/>
          <w:sz w:val="24"/>
          <w:szCs w:val="24"/>
        </w:rPr>
        <w:t xml:space="preserve">ey personnel, including management depth and dependency on key personnel; </w:t>
      </w:r>
    </w:p>
    <w:p w14:paraId="1D5EBD36" w14:textId="3C15C815" w:rsidR="00D7406E" w:rsidRPr="008867B9" w:rsidRDefault="00D46CCB" w:rsidP="00D7406E">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D7406E">
        <w:rPr>
          <w:rFonts w:ascii="Times New Roman" w:eastAsia="Times New Roman" w:hAnsi="Times New Roman"/>
          <w:sz w:val="24"/>
          <w:szCs w:val="24"/>
        </w:rPr>
        <w:t xml:space="preserve">inancial performance, liquidity, </w:t>
      </w:r>
      <w:r w:rsidR="006D5F54">
        <w:rPr>
          <w:rFonts w:ascii="Times New Roman" w:eastAsia="Times New Roman" w:hAnsi="Times New Roman"/>
          <w:sz w:val="24"/>
          <w:szCs w:val="24"/>
        </w:rPr>
        <w:t xml:space="preserve">audited financial statements, and </w:t>
      </w:r>
      <w:r w:rsidR="00D7406E">
        <w:rPr>
          <w:rFonts w:ascii="Times New Roman" w:eastAsia="Times New Roman" w:hAnsi="Times New Roman"/>
          <w:sz w:val="24"/>
          <w:szCs w:val="24"/>
        </w:rPr>
        <w:t xml:space="preserve">capital and asset adequacy and metrics; </w:t>
      </w:r>
    </w:p>
    <w:p w14:paraId="1D5EBD37" w14:textId="040BFEAD" w:rsidR="00D7406E" w:rsidRDefault="006D5F54" w:rsidP="00C737A2">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D7406E">
        <w:rPr>
          <w:rFonts w:ascii="Times New Roman" w:eastAsia="Times New Roman" w:hAnsi="Times New Roman"/>
          <w:sz w:val="24"/>
          <w:szCs w:val="24"/>
        </w:rPr>
        <w:t xml:space="preserve">udgeting and forecasting </w:t>
      </w:r>
      <w:r w:rsidR="009C31EF">
        <w:rPr>
          <w:rFonts w:ascii="Times New Roman" w:eastAsia="Times New Roman" w:hAnsi="Times New Roman"/>
          <w:sz w:val="24"/>
          <w:szCs w:val="24"/>
        </w:rPr>
        <w:t>daycare center</w:t>
      </w:r>
      <w:r w:rsidR="00D7406E">
        <w:rPr>
          <w:rFonts w:ascii="Times New Roman" w:eastAsia="Times New Roman" w:hAnsi="Times New Roman"/>
          <w:sz w:val="24"/>
          <w:szCs w:val="24"/>
        </w:rPr>
        <w:t xml:space="preserve"> performance and managing discrepancies between the budget and actual results;</w:t>
      </w:r>
      <w:r w:rsidR="00D7406E" w:rsidRPr="00B5111D">
        <w:rPr>
          <w:rFonts w:ascii="Times New Roman" w:eastAsia="Times New Roman" w:hAnsi="Times New Roman"/>
          <w:sz w:val="24"/>
          <w:szCs w:val="24"/>
        </w:rPr>
        <w:t xml:space="preserve"> </w:t>
      </w:r>
    </w:p>
    <w:p w14:paraId="1D5EBD38" w14:textId="3E5A59AE" w:rsidR="00D7406E" w:rsidRDefault="006D5F54" w:rsidP="00D7406E">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D7406E">
        <w:rPr>
          <w:rFonts w:ascii="Times New Roman" w:eastAsia="Times New Roman" w:hAnsi="Times New Roman"/>
          <w:sz w:val="24"/>
          <w:szCs w:val="24"/>
        </w:rPr>
        <w:t>u</w:t>
      </w:r>
      <w:r w:rsidR="00D7406E" w:rsidRPr="004F7005">
        <w:rPr>
          <w:rFonts w:ascii="Times New Roman" w:eastAsia="Times New Roman" w:hAnsi="Times New Roman"/>
          <w:sz w:val="24"/>
          <w:szCs w:val="24"/>
        </w:rPr>
        <w:t xml:space="preserve">nding mechanisms and </w:t>
      </w:r>
      <w:r w:rsidR="00D7406E">
        <w:rPr>
          <w:rFonts w:ascii="Times New Roman" w:eastAsia="Times New Roman" w:hAnsi="Times New Roman"/>
          <w:sz w:val="24"/>
          <w:szCs w:val="24"/>
        </w:rPr>
        <w:t>the ability to manage reimbursement delays;</w:t>
      </w:r>
    </w:p>
    <w:p w14:paraId="1D5EBD39" w14:textId="06030960" w:rsidR="00941753" w:rsidRPr="00941753" w:rsidRDefault="006D5F54" w:rsidP="00941753">
      <w:pPr>
        <w:pStyle w:val="ListParagraph"/>
        <w:numPr>
          <w:ilvl w:val="1"/>
          <w:numId w:val="15"/>
        </w:numPr>
        <w:spacing w:after="0" w:line="240" w:lineRule="auto"/>
        <w:rPr>
          <w:rFonts w:ascii="Times New Roman" w:eastAsia="Times New Roman" w:hAnsi="Times New Roman"/>
          <w:sz w:val="24"/>
          <w:szCs w:val="24"/>
        </w:rPr>
      </w:pPr>
      <w:r>
        <w:rPr>
          <w:rFonts w:ascii="Times New Roman" w:hAnsi="Times New Roman"/>
          <w:sz w:val="24"/>
          <w:szCs w:val="24"/>
        </w:rPr>
        <w:t>A</w:t>
      </w:r>
      <w:r w:rsidR="00941753" w:rsidRPr="00F11ABD">
        <w:rPr>
          <w:rFonts w:ascii="Times New Roman" w:hAnsi="Times New Roman"/>
          <w:sz w:val="24"/>
          <w:szCs w:val="24"/>
        </w:rPr>
        <w:t xml:space="preserve"> track record in working with </w:t>
      </w:r>
      <w:r w:rsidR="00941753">
        <w:rPr>
          <w:rFonts w:ascii="Times New Roman" w:hAnsi="Times New Roman"/>
          <w:sz w:val="24"/>
          <w:szCs w:val="24"/>
        </w:rPr>
        <w:t>S</w:t>
      </w:r>
      <w:r w:rsidR="00941753" w:rsidRPr="00F11ABD">
        <w:rPr>
          <w:rFonts w:ascii="Times New Roman" w:hAnsi="Times New Roman"/>
          <w:sz w:val="24"/>
          <w:szCs w:val="24"/>
        </w:rPr>
        <w:t>tate and local governments</w:t>
      </w:r>
      <w:r w:rsidR="00941753">
        <w:rPr>
          <w:rFonts w:ascii="Times New Roman" w:hAnsi="Times New Roman"/>
          <w:sz w:val="24"/>
          <w:szCs w:val="24"/>
        </w:rPr>
        <w:t>, as</w:t>
      </w:r>
      <w:r w:rsidR="00941753" w:rsidRPr="00F11ABD">
        <w:rPr>
          <w:rFonts w:ascii="Times New Roman" w:hAnsi="Times New Roman"/>
          <w:sz w:val="24"/>
          <w:szCs w:val="24"/>
        </w:rPr>
        <w:t xml:space="preserve"> applicable</w:t>
      </w:r>
      <w:r>
        <w:rPr>
          <w:rFonts w:ascii="Times New Roman" w:hAnsi="Times New Roman"/>
          <w:sz w:val="24"/>
          <w:szCs w:val="24"/>
        </w:rPr>
        <w:t>;</w:t>
      </w:r>
    </w:p>
    <w:p w14:paraId="1D5EBD3A" w14:textId="23D25A40" w:rsidR="00F305AF" w:rsidRPr="008F18E7" w:rsidRDefault="006D5F54" w:rsidP="00F305AF">
      <w:pPr>
        <w:pStyle w:val="ListParagraph"/>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F305AF">
        <w:rPr>
          <w:rFonts w:ascii="Times New Roman" w:eastAsia="Times New Roman" w:hAnsi="Times New Roman"/>
          <w:sz w:val="24"/>
          <w:szCs w:val="24"/>
        </w:rPr>
        <w:t>ompliance with licensing requirements for daycare centers</w:t>
      </w:r>
      <w:r>
        <w:rPr>
          <w:rFonts w:ascii="Times New Roman" w:eastAsia="Times New Roman" w:hAnsi="Times New Roman"/>
          <w:sz w:val="24"/>
          <w:szCs w:val="24"/>
        </w:rPr>
        <w:t>; and</w:t>
      </w:r>
    </w:p>
    <w:p w14:paraId="1D5EBD3B" w14:textId="43269062" w:rsidR="00F305AF" w:rsidRPr="00F305AF" w:rsidRDefault="006D5F54" w:rsidP="00D7406E">
      <w:pPr>
        <w:pStyle w:val="ListParagraph"/>
        <w:numPr>
          <w:ilvl w:val="1"/>
          <w:numId w:val="15"/>
        </w:numPr>
        <w:spacing w:after="0" w:line="240" w:lineRule="auto"/>
        <w:rPr>
          <w:rFonts w:ascii="Times New Roman" w:eastAsia="Times New Roman" w:hAnsi="Times New Roman"/>
          <w:sz w:val="24"/>
          <w:szCs w:val="24"/>
        </w:rPr>
      </w:pPr>
      <w:r>
        <w:rPr>
          <w:rFonts w:ascii="Times New Roman" w:hAnsi="Times New Roman"/>
          <w:sz w:val="24"/>
          <w:szCs w:val="24"/>
        </w:rPr>
        <w:t>C</w:t>
      </w:r>
      <w:r w:rsidR="00F305AF" w:rsidRPr="00F305AF">
        <w:rPr>
          <w:rFonts w:ascii="Times New Roman" w:hAnsi="Times New Roman"/>
          <w:sz w:val="24"/>
          <w:szCs w:val="24"/>
        </w:rPr>
        <w:t>urrent background and legal checks of employees of the daycare center</w:t>
      </w:r>
      <w:r>
        <w:rPr>
          <w:rFonts w:ascii="Times New Roman" w:hAnsi="Times New Roman"/>
          <w:sz w:val="24"/>
          <w:szCs w:val="24"/>
        </w:rPr>
        <w:t>.</w:t>
      </w:r>
    </w:p>
    <w:p w14:paraId="1D5EBD3C" w14:textId="77777777" w:rsidR="00D7406E" w:rsidRPr="007F23B4" w:rsidRDefault="00D7406E" w:rsidP="00D7406E">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D3D" w14:textId="52B36275" w:rsidR="00D7406E" w:rsidRPr="007766D9" w:rsidRDefault="006D5F54" w:rsidP="00D7406E">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D7406E">
        <w:rPr>
          <w:rFonts w:ascii="Times New Roman" w:eastAsia="Times New Roman" w:hAnsi="Times New Roman"/>
          <w:sz w:val="24"/>
          <w:szCs w:val="24"/>
        </w:rPr>
        <w:t xml:space="preserve">or </w:t>
      </w:r>
      <w:r w:rsidR="00D7406E" w:rsidRPr="008213B2">
        <w:rPr>
          <w:rFonts w:ascii="Times New Roman" w:eastAsia="Times New Roman" w:hAnsi="Times New Roman"/>
          <w:sz w:val="24"/>
          <w:szCs w:val="24"/>
        </w:rPr>
        <w:t>debt obligations</w:t>
      </w:r>
      <w:r w:rsidR="00D7406E">
        <w:rPr>
          <w:rFonts w:ascii="Times New Roman" w:eastAsia="Times New Roman" w:hAnsi="Times New Roman"/>
          <w:sz w:val="24"/>
          <w:szCs w:val="24"/>
        </w:rPr>
        <w:t xml:space="preserve">, current payment status </w:t>
      </w:r>
      <w:r w:rsidR="00D7406E" w:rsidRPr="008213B2">
        <w:rPr>
          <w:rFonts w:ascii="Times New Roman" w:eastAsia="Times New Roman" w:hAnsi="Times New Roman"/>
          <w:sz w:val="24"/>
          <w:szCs w:val="24"/>
        </w:rPr>
        <w:t>and compliance with programmatic and financial covenants</w:t>
      </w:r>
      <w:r>
        <w:rPr>
          <w:rFonts w:ascii="Times New Roman" w:eastAsia="Times New Roman" w:hAnsi="Times New Roman"/>
          <w:sz w:val="24"/>
          <w:szCs w:val="24"/>
        </w:rPr>
        <w:t>;</w:t>
      </w:r>
    </w:p>
    <w:p w14:paraId="1D5EBD3E" w14:textId="297EC521" w:rsidR="00D7406E" w:rsidRDefault="006D5F54" w:rsidP="00D7406E">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w:t>
      </w:r>
      <w:r w:rsidR="00D7406E" w:rsidRPr="008F18E7">
        <w:rPr>
          <w:rFonts w:ascii="Times New Roman" w:eastAsia="Times New Roman" w:hAnsi="Times New Roman"/>
          <w:sz w:val="24"/>
          <w:szCs w:val="24"/>
        </w:rPr>
        <w:t>aintenance of good-standing status with respect to all other obligations, i</w:t>
      </w:r>
      <w:r>
        <w:rPr>
          <w:rFonts w:ascii="Times New Roman" w:eastAsia="Times New Roman" w:hAnsi="Times New Roman"/>
          <w:sz w:val="24"/>
          <w:szCs w:val="24"/>
        </w:rPr>
        <w:t>nsurance and legal requirements;</w:t>
      </w:r>
      <w:r w:rsidR="00D7406E" w:rsidRPr="008F18E7">
        <w:rPr>
          <w:rFonts w:ascii="Times New Roman" w:eastAsia="Times New Roman" w:hAnsi="Times New Roman"/>
          <w:sz w:val="24"/>
          <w:szCs w:val="24"/>
        </w:rPr>
        <w:t xml:space="preserve"> </w:t>
      </w:r>
      <w:r w:rsidR="00EA31BF">
        <w:rPr>
          <w:rFonts w:ascii="Times New Roman" w:eastAsia="Times New Roman" w:hAnsi="Times New Roman"/>
          <w:sz w:val="24"/>
          <w:szCs w:val="24"/>
        </w:rPr>
        <w:t>and</w:t>
      </w:r>
    </w:p>
    <w:p w14:paraId="1D5EBD3F" w14:textId="7F5D4E83" w:rsidR="00D7406E" w:rsidRDefault="006D5F54" w:rsidP="00D7406E">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A</w:t>
      </w:r>
      <w:r w:rsidR="00D7406E">
        <w:rPr>
          <w:rFonts w:ascii="Times New Roman" w:eastAsia="Times New Roman" w:hAnsi="Times New Roman"/>
          <w:sz w:val="24"/>
          <w:szCs w:val="24"/>
        </w:rPr>
        <w:t>ny recent or outstanding corrective actions at the time of the Eligible CDFI underwr</w:t>
      </w:r>
      <w:r>
        <w:rPr>
          <w:rFonts w:ascii="Times New Roman" w:eastAsia="Times New Roman" w:hAnsi="Times New Roman"/>
          <w:sz w:val="24"/>
          <w:szCs w:val="24"/>
        </w:rPr>
        <w:t>iting of the Secondary Borrower</w:t>
      </w:r>
      <w:r w:rsidR="00EA31BF">
        <w:rPr>
          <w:rFonts w:ascii="Times New Roman" w:eastAsia="Times New Roman" w:hAnsi="Times New Roman"/>
          <w:sz w:val="24"/>
          <w:szCs w:val="24"/>
        </w:rPr>
        <w:t>.</w:t>
      </w:r>
    </w:p>
    <w:p w14:paraId="1D5EBD40" w14:textId="77777777" w:rsidR="00D7406E" w:rsidRPr="007F23B4" w:rsidRDefault="00D7406E" w:rsidP="00D7406E">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Specifically in connection with the Secondary Loan:</w:t>
      </w:r>
    </w:p>
    <w:p w14:paraId="1D5EBD41" w14:textId="45FE2122" w:rsidR="00930A00" w:rsidRDefault="00EA31BF" w:rsidP="00930A00">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T</w:t>
      </w:r>
      <w:r w:rsidR="00930A00">
        <w:rPr>
          <w:rFonts w:ascii="Times New Roman" w:eastAsia="Times New Roman" w:hAnsi="Times New Roman"/>
          <w:sz w:val="24"/>
          <w:szCs w:val="24"/>
        </w:rPr>
        <w:t>he specific population to be served (e</w:t>
      </w:r>
      <w:r w:rsidR="00D46CCB">
        <w:rPr>
          <w:rFonts w:ascii="Times New Roman" w:eastAsia="Times New Roman" w:hAnsi="Times New Roman"/>
          <w:sz w:val="24"/>
          <w:szCs w:val="24"/>
        </w:rPr>
        <w:t>.</w:t>
      </w:r>
      <w:r w:rsidR="00930A00">
        <w:rPr>
          <w:rFonts w:ascii="Times New Roman" w:eastAsia="Times New Roman" w:hAnsi="Times New Roman"/>
          <w:sz w:val="24"/>
          <w:szCs w:val="24"/>
        </w:rPr>
        <w:t>g, pre-school aged children, the elderly, the disabled) and any on-site services to be provided</w:t>
      </w:r>
      <w:r>
        <w:rPr>
          <w:rFonts w:ascii="Times New Roman" w:eastAsia="Times New Roman" w:hAnsi="Times New Roman"/>
          <w:sz w:val="24"/>
          <w:szCs w:val="24"/>
        </w:rPr>
        <w:t>;</w:t>
      </w:r>
    </w:p>
    <w:p w14:paraId="1D5EBD42" w14:textId="0D8E5286" w:rsidR="00930A00" w:rsidRPr="00C737A2" w:rsidRDefault="00EA31BF" w:rsidP="00C737A2">
      <w:pPr>
        <w:pStyle w:val="ListParagraph"/>
        <w:numPr>
          <w:ilvl w:val="0"/>
          <w:numId w:val="12"/>
        </w:numPr>
        <w:spacing w:after="0" w:line="240" w:lineRule="auto"/>
        <w:rPr>
          <w:rFonts w:ascii="Times New Roman" w:hAnsi="Times New Roman"/>
          <w:sz w:val="24"/>
        </w:rPr>
      </w:pPr>
      <w:r>
        <w:rPr>
          <w:rFonts w:ascii="Times New Roman" w:eastAsia="Times New Roman" w:hAnsi="Times New Roman"/>
          <w:sz w:val="24"/>
          <w:szCs w:val="24"/>
        </w:rPr>
        <w:t>E</w:t>
      </w:r>
      <w:r w:rsidR="00930A00" w:rsidRPr="0092619F">
        <w:rPr>
          <w:rFonts w:ascii="Times New Roman" w:eastAsia="Times New Roman" w:hAnsi="Times New Roman"/>
          <w:sz w:val="24"/>
          <w:szCs w:val="24"/>
        </w:rPr>
        <w:t xml:space="preserve">xperience and capacity in </w:t>
      </w:r>
      <w:r w:rsidR="00930A00">
        <w:rPr>
          <w:rFonts w:ascii="Times New Roman" w:eastAsia="Times New Roman" w:hAnsi="Times New Roman"/>
          <w:sz w:val="24"/>
          <w:szCs w:val="24"/>
        </w:rPr>
        <w:t>daycare center</w:t>
      </w:r>
      <w:r w:rsidR="00930A00" w:rsidRPr="0092619F">
        <w:rPr>
          <w:rFonts w:ascii="Times New Roman" w:eastAsia="Times New Roman" w:hAnsi="Times New Roman"/>
          <w:sz w:val="24"/>
          <w:szCs w:val="24"/>
        </w:rPr>
        <w:t xml:space="preserve"> constructi</w:t>
      </w:r>
      <w:r w:rsidR="00930A00">
        <w:rPr>
          <w:rFonts w:ascii="Times New Roman" w:eastAsia="Times New Roman" w:hAnsi="Times New Roman"/>
          <w:sz w:val="24"/>
          <w:szCs w:val="24"/>
        </w:rPr>
        <w:t>on</w:t>
      </w:r>
      <w:r w:rsidR="00930A00" w:rsidRPr="0092619F">
        <w:rPr>
          <w:rFonts w:ascii="Times New Roman" w:eastAsia="Times New Roman" w:hAnsi="Times New Roman"/>
          <w:sz w:val="24"/>
          <w:szCs w:val="24"/>
        </w:rPr>
        <w:t xml:space="preserve"> and renovati</w:t>
      </w:r>
      <w:r w:rsidR="00930A00">
        <w:rPr>
          <w:rFonts w:ascii="Times New Roman" w:eastAsia="Times New Roman" w:hAnsi="Times New Roman"/>
          <w:sz w:val="24"/>
          <w:szCs w:val="24"/>
        </w:rPr>
        <w:t>on</w:t>
      </w:r>
      <w:r>
        <w:rPr>
          <w:rFonts w:ascii="Times New Roman" w:eastAsia="Times New Roman" w:hAnsi="Times New Roman"/>
          <w:sz w:val="24"/>
          <w:szCs w:val="24"/>
        </w:rPr>
        <w:t>, if relevant;</w:t>
      </w:r>
    </w:p>
    <w:p w14:paraId="1D5EBD43" w14:textId="5E879CED" w:rsidR="00276F43" w:rsidRDefault="00EA31BF" w:rsidP="00C737A2">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The </w:t>
      </w:r>
      <w:r w:rsidR="00D7406E">
        <w:rPr>
          <w:rFonts w:ascii="Times New Roman" w:eastAsia="Times New Roman" w:hAnsi="Times New Roman"/>
          <w:sz w:val="24"/>
          <w:szCs w:val="24"/>
        </w:rPr>
        <w:t xml:space="preserve">likelihood of sufficient </w:t>
      </w:r>
      <w:r w:rsidR="00D7406E" w:rsidRPr="0092619F">
        <w:rPr>
          <w:rFonts w:ascii="Times New Roman" w:eastAsia="Times New Roman" w:hAnsi="Times New Roman"/>
          <w:sz w:val="24"/>
          <w:szCs w:val="24"/>
        </w:rPr>
        <w:t>enrollment</w:t>
      </w:r>
      <w:r w:rsidR="00276F43">
        <w:rPr>
          <w:rFonts w:ascii="Times New Roman" w:eastAsia="Times New Roman" w:hAnsi="Times New Roman"/>
          <w:sz w:val="24"/>
          <w:szCs w:val="24"/>
        </w:rPr>
        <w:t>,</w:t>
      </w:r>
      <w:r w:rsidR="00276F43" w:rsidRPr="00276F43">
        <w:rPr>
          <w:rFonts w:ascii="Times New Roman" w:eastAsia="Times New Roman" w:hAnsi="Times New Roman"/>
          <w:sz w:val="24"/>
          <w:szCs w:val="24"/>
        </w:rPr>
        <w:t xml:space="preserve"> </w:t>
      </w:r>
      <w:r w:rsidR="00276F43">
        <w:rPr>
          <w:rFonts w:ascii="Times New Roman" w:eastAsia="Times New Roman" w:hAnsi="Times New Roman"/>
          <w:sz w:val="24"/>
          <w:szCs w:val="24"/>
        </w:rPr>
        <w:t>considering current market conditions, demand assumptions, collection assumptions, operating expenses, debt service requirements and any other project related costs or conditions that may affect the project</w:t>
      </w:r>
      <w:r>
        <w:rPr>
          <w:rFonts w:ascii="Times New Roman" w:eastAsia="Times New Roman" w:hAnsi="Times New Roman"/>
          <w:sz w:val="24"/>
          <w:szCs w:val="24"/>
        </w:rPr>
        <w:t>;</w:t>
      </w:r>
    </w:p>
    <w:p w14:paraId="1D5EBD44" w14:textId="2E37B7B4" w:rsidR="00276F43" w:rsidRDefault="00EA31BF" w:rsidP="00930A00">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276F43" w:rsidRPr="00276F43">
        <w:rPr>
          <w:rFonts w:ascii="Times New Roman" w:eastAsia="Times New Roman" w:hAnsi="Times New Roman"/>
          <w:sz w:val="24"/>
          <w:szCs w:val="24"/>
        </w:rPr>
        <w:t>ll required licenses for the daycare center to be financed</w:t>
      </w:r>
      <w:r>
        <w:rPr>
          <w:rFonts w:ascii="Times New Roman" w:eastAsia="Times New Roman" w:hAnsi="Times New Roman"/>
          <w:sz w:val="24"/>
          <w:szCs w:val="24"/>
        </w:rPr>
        <w:t>;</w:t>
      </w:r>
    </w:p>
    <w:p w14:paraId="1D5EBD45" w14:textId="08DB4E19" w:rsidR="00930A00" w:rsidRPr="00276F43" w:rsidRDefault="00EA31BF" w:rsidP="00930A00">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930A00">
        <w:rPr>
          <w:rFonts w:ascii="Times New Roman" w:eastAsia="Times New Roman" w:hAnsi="Times New Roman"/>
          <w:sz w:val="24"/>
          <w:szCs w:val="24"/>
        </w:rPr>
        <w:t>tate and local daycare facilities standards</w:t>
      </w:r>
      <w:r>
        <w:rPr>
          <w:rFonts w:ascii="Times New Roman" w:eastAsia="Times New Roman" w:hAnsi="Times New Roman"/>
          <w:sz w:val="24"/>
          <w:szCs w:val="24"/>
        </w:rPr>
        <w:t>;</w:t>
      </w:r>
    </w:p>
    <w:p w14:paraId="1D5EBD46" w14:textId="7CBFB0A0" w:rsidR="00276F43" w:rsidRPr="0092619F" w:rsidRDefault="00EA31BF" w:rsidP="00930A00">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w:t>
      </w:r>
      <w:r w:rsidR="00276F43">
        <w:rPr>
          <w:rFonts w:ascii="Times New Roman" w:eastAsia="Times New Roman" w:hAnsi="Times New Roman"/>
          <w:sz w:val="24"/>
          <w:szCs w:val="24"/>
        </w:rPr>
        <w:t>taffing plan to ensure the safety of all enrollees</w:t>
      </w:r>
      <w:r>
        <w:rPr>
          <w:rFonts w:ascii="Times New Roman" w:eastAsia="Times New Roman" w:hAnsi="Times New Roman"/>
          <w:sz w:val="24"/>
          <w:szCs w:val="24"/>
        </w:rPr>
        <w:t>;</w:t>
      </w:r>
    </w:p>
    <w:p w14:paraId="1D5EBD47" w14:textId="3C5A6729" w:rsidR="00D7406E" w:rsidRPr="007B5362" w:rsidRDefault="00EA31BF"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D7406E" w:rsidRPr="007B5362">
        <w:rPr>
          <w:rFonts w:ascii="Times New Roman" w:eastAsia="Times New Roman" w:hAnsi="Times New Roman"/>
          <w:sz w:val="24"/>
          <w:szCs w:val="24"/>
        </w:rPr>
        <w:t>n ability</w:t>
      </w:r>
      <w:r w:rsidR="00D7406E">
        <w:rPr>
          <w:rFonts w:ascii="Times New Roman" w:eastAsia="Times New Roman" w:hAnsi="Times New Roman"/>
          <w:sz w:val="24"/>
          <w:szCs w:val="24"/>
        </w:rPr>
        <w:t xml:space="preserve"> of the Secondary Borrower/project</w:t>
      </w:r>
      <w:r w:rsidR="00D7406E" w:rsidRPr="007B5362">
        <w:rPr>
          <w:rFonts w:ascii="Times New Roman" w:eastAsia="Times New Roman" w:hAnsi="Times New Roman"/>
          <w:sz w:val="24"/>
          <w:szCs w:val="24"/>
        </w:rPr>
        <w:t xml:space="preserve"> to pay all asso</w:t>
      </w:r>
      <w:r w:rsidR="00D7406E">
        <w:rPr>
          <w:rFonts w:ascii="Times New Roman" w:eastAsia="Times New Roman" w:hAnsi="Times New Roman"/>
          <w:sz w:val="24"/>
          <w:szCs w:val="24"/>
        </w:rPr>
        <w:t>ciated expenses on the project that include</w:t>
      </w:r>
      <w:r w:rsidR="00D7406E" w:rsidRPr="007B5362">
        <w:rPr>
          <w:rFonts w:ascii="Times New Roman" w:eastAsia="Times New Roman" w:hAnsi="Times New Roman"/>
          <w:sz w:val="24"/>
          <w:szCs w:val="24"/>
        </w:rPr>
        <w:t xml:space="preserve"> principal and interest and all ope</w:t>
      </w:r>
      <w:r w:rsidR="00D7406E">
        <w:rPr>
          <w:rFonts w:ascii="Times New Roman" w:eastAsia="Times New Roman" w:hAnsi="Times New Roman"/>
          <w:sz w:val="24"/>
          <w:szCs w:val="24"/>
        </w:rPr>
        <w:t>rating and maintenance expenses;</w:t>
      </w:r>
    </w:p>
    <w:p w14:paraId="1D5EBD48" w14:textId="03D2EA6A" w:rsidR="009C31EF" w:rsidRDefault="00EA31BF" w:rsidP="00930A00">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009C31EF">
        <w:rPr>
          <w:rFonts w:ascii="Times New Roman" w:eastAsia="Times New Roman" w:hAnsi="Times New Roman"/>
          <w:sz w:val="24"/>
          <w:szCs w:val="24"/>
        </w:rPr>
        <w:t>orking capital</w:t>
      </w:r>
      <w:r>
        <w:rPr>
          <w:rFonts w:ascii="Times New Roman" w:eastAsia="Times New Roman" w:hAnsi="Times New Roman"/>
          <w:sz w:val="24"/>
          <w:szCs w:val="24"/>
        </w:rPr>
        <w:t>;</w:t>
      </w:r>
      <w:r w:rsidR="009C31EF">
        <w:rPr>
          <w:rFonts w:ascii="Times New Roman" w:eastAsia="Times New Roman" w:hAnsi="Times New Roman"/>
          <w:sz w:val="24"/>
          <w:szCs w:val="24"/>
        </w:rPr>
        <w:t xml:space="preserve"> </w:t>
      </w:r>
    </w:p>
    <w:p w14:paraId="1D5EBD49" w14:textId="7477F3CD" w:rsidR="00D7406E" w:rsidRPr="007B5362" w:rsidRDefault="00EA31BF"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D7406E" w:rsidRPr="007B5362">
        <w:rPr>
          <w:rFonts w:ascii="Times New Roman" w:eastAsia="Times New Roman" w:hAnsi="Times New Roman"/>
          <w:sz w:val="24"/>
          <w:szCs w:val="24"/>
        </w:rPr>
        <w:t>ebt</w:t>
      </w:r>
      <w:r w:rsidR="00D7406E">
        <w:rPr>
          <w:rFonts w:ascii="Times New Roman" w:eastAsia="Times New Roman" w:hAnsi="Times New Roman"/>
          <w:sz w:val="24"/>
          <w:szCs w:val="24"/>
        </w:rPr>
        <w:t xml:space="preserve"> </w:t>
      </w:r>
      <w:r w:rsidR="00D7406E" w:rsidRPr="007B5362">
        <w:rPr>
          <w:rFonts w:ascii="Times New Roman" w:eastAsia="Times New Roman" w:hAnsi="Times New Roman"/>
          <w:sz w:val="24"/>
          <w:szCs w:val="24"/>
        </w:rPr>
        <w:t>se</w:t>
      </w:r>
      <w:r w:rsidR="00D7406E">
        <w:rPr>
          <w:rFonts w:ascii="Times New Roman" w:eastAsia="Times New Roman" w:hAnsi="Times New Roman"/>
          <w:sz w:val="24"/>
          <w:szCs w:val="24"/>
        </w:rPr>
        <w:t>rvice coverage of the Secondary L</w:t>
      </w:r>
      <w:r w:rsidR="00D7406E" w:rsidRPr="007B5362">
        <w:rPr>
          <w:rFonts w:ascii="Times New Roman" w:eastAsia="Times New Roman" w:hAnsi="Times New Roman"/>
          <w:sz w:val="24"/>
          <w:szCs w:val="24"/>
        </w:rPr>
        <w:t xml:space="preserve">oan and all associated </w:t>
      </w:r>
      <w:r w:rsidR="00D7406E">
        <w:rPr>
          <w:rFonts w:ascii="Times New Roman" w:eastAsia="Times New Roman" w:hAnsi="Times New Roman"/>
          <w:sz w:val="24"/>
          <w:szCs w:val="24"/>
        </w:rPr>
        <w:t>Secondary B</w:t>
      </w:r>
      <w:r>
        <w:rPr>
          <w:rFonts w:ascii="Times New Roman" w:eastAsia="Times New Roman" w:hAnsi="Times New Roman"/>
          <w:sz w:val="24"/>
          <w:szCs w:val="24"/>
        </w:rPr>
        <w:t>orrower debt;</w:t>
      </w:r>
    </w:p>
    <w:p w14:paraId="1D5EBD4A" w14:textId="20943855" w:rsidR="009C31EF" w:rsidRDefault="00EA31BF" w:rsidP="00930A00">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9C31EF">
        <w:rPr>
          <w:rFonts w:ascii="Times New Roman" w:eastAsia="Times New Roman" w:hAnsi="Times New Roman"/>
          <w:sz w:val="24"/>
          <w:szCs w:val="24"/>
        </w:rPr>
        <w:t>oan to value ratio</w:t>
      </w:r>
      <w:r>
        <w:rPr>
          <w:rFonts w:ascii="Times New Roman" w:eastAsia="Times New Roman" w:hAnsi="Times New Roman"/>
          <w:sz w:val="24"/>
          <w:szCs w:val="24"/>
        </w:rPr>
        <w:t>; and</w:t>
      </w:r>
    </w:p>
    <w:p w14:paraId="1D5EBD4B" w14:textId="487F2502" w:rsidR="00D7406E" w:rsidRPr="0092619F" w:rsidRDefault="00EA31BF"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D7406E" w:rsidRPr="007B5362">
        <w:rPr>
          <w:rFonts w:ascii="Times New Roman" w:eastAsia="Times New Roman" w:hAnsi="Times New Roman"/>
          <w:sz w:val="24"/>
          <w:szCs w:val="24"/>
        </w:rPr>
        <w:t xml:space="preserve">ny </w:t>
      </w:r>
      <w:r w:rsidR="00D7406E">
        <w:rPr>
          <w:rFonts w:ascii="Times New Roman" w:eastAsia="Times New Roman" w:hAnsi="Times New Roman"/>
          <w:sz w:val="24"/>
          <w:szCs w:val="24"/>
        </w:rPr>
        <w:t>C</w:t>
      </w:r>
      <w:r w:rsidR="00D7406E" w:rsidRPr="007B5362">
        <w:rPr>
          <w:rFonts w:ascii="Times New Roman" w:eastAsia="Times New Roman" w:hAnsi="Times New Roman"/>
          <w:sz w:val="24"/>
          <w:szCs w:val="24"/>
        </w:rPr>
        <w:t xml:space="preserve">redit </w:t>
      </w:r>
      <w:r w:rsidR="00D7406E">
        <w:rPr>
          <w:rFonts w:ascii="Times New Roman" w:eastAsia="Times New Roman" w:hAnsi="Times New Roman"/>
          <w:sz w:val="24"/>
          <w:szCs w:val="24"/>
        </w:rPr>
        <w:t>E</w:t>
      </w:r>
      <w:r w:rsidR="00D7406E" w:rsidRPr="007B5362">
        <w:rPr>
          <w:rFonts w:ascii="Times New Roman" w:eastAsia="Times New Roman" w:hAnsi="Times New Roman"/>
          <w:sz w:val="24"/>
          <w:szCs w:val="24"/>
        </w:rPr>
        <w:t xml:space="preserve">nhancements, grants, guarantees or other support to the </w:t>
      </w:r>
      <w:r w:rsidR="00D7406E">
        <w:rPr>
          <w:rFonts w:ascii="Times New Roman" w:eastAsia="Times New Roman" w:hAnsi="Times New Roman"/>
          <w:sz w:val="24"/>
          <w:szCs w:val="24"/>
        </w:rPr>
        <w:t xml:space="preserve">Secondary </w:t>
      </w:r>
      <w:r w:rsidR="00D7406E" w:rsidRPr="007B5362">
        <w:rPr>
          <w:rFonts w:ascii="Times New Roman" w:eastAsia="Times New Roman" w:hAnsi="Times New Roman"/>
          <w:sz w:val="24"/>
          <w:szCs w:val="24"/>
        </w:rPr>
        <w:t>Borr</w:t>
      </w:r>
      <w:r w:rsidR="00D46CCB">
        <w:rPr>
          <w:rFonts w:ascii="Times New Roman" w:eastAsia="Times New Roman" w:hAnsi="Times New Roman"/>
          <w:sz w:val="24"/>
          <w:szCs w:val="24"/>
        </w:rPr>
        <w:t>ower that</w:t>
      </w:r>
      <w:r w:rsidR="00D7406E" w:rsidRPr="007B5362">
        <w:rPr>
          <w:rFonts w:ascii="Times New Roman" w:eastAsia="Times New Roman" w:hAnsi="Times New Roman"/>
          <w:sz w:val="24"/>
          <w:szCs w:val="24"/>
        </w:rPr>
        <w:t xml:space="preserve"> impact the underwriting and/or risk mitigation of the </w:t>
      </w:r>
      <w:r w:rsidR="00D7406E">
        <w:rPr>
          <w:rFonts w:ascii="Times New Roman" w:eastAsia="Times New Roman" w:hAnsi="Times New Roman"/>
          <w:sz w:val="24"/>
          <w:szCs w:val="24"/>
        </w:rPr>
        <w:t>Secondary Loan.</w:t>
      </w:r>
    </w:p>
    <w:p w14:paraId="1D5EBD4C" w14:textId="77777777" w:rsidR="00CA3893" w:rsidRPr="00C737A2" w:rsidRDefault="00CA3893" w:rsidP="00C737A2">
      <w:pPr>
        <w:pStyle w:val="ListParagraph"/>
        <w:spacing w:after="0" w:line="240" w:lineRule="auto"/>
        <w:rPr>
          <w:rFonts w:ascii="Times New Roman" w:hAnsi="Times New Roman"/>
          <w:b/>
          <w:sz w:val="24"/>
        </w:rPr>
      </w:pPr>
    </w:p>
    <w:p w14:paraId="1D5EBD4D" w14:textId="5F66E3A9" w:rsidR="00B4012E" w:rsidRPr="00857F55" w:rsidRDefault="00B4012E" w:rsidP="00930A00">
      <w:pPr>
        <w:pStyle w:val="ListParagraph"/>
        <w:numPr>
          <w:ilvl w:val="0"/>
          <w:numId w:val="4"/>
        </w:numPr>
        <w:tabs>
          <w:tab w:val="left" w:pos="270"/>
          <w:tab w:val="left" w:pos="360"/>
        </w:tabs>
        <w:spacing w:after="0" w:line="240" w:lineRule="auto"/>
        <w:ind w:left="360"/>
        <w:jc w:val="both"/>
        <w:rPr>
          <w:rFonts w:ascii="Times New Roman" w:eastAsia="Times New Roman" w:hAnsi="Times New Roman"/>
          <w:b/>
          <w:smallCaps/>
          <w:sz w:val="24"/>
          <w:szCs w:val="24"/>
        </w:rPr>
      </w:pPr>
      <w:r>
        <w:rPr>
          <w:rFonts w:ascii="Times New Roman" w:eastAsia="Times New Roman" w:hAnsi="Times New Roman"/>
          <w:b/>
          <w:smallCaps/>
          <w:sz w:val="24"/>
          <w:szCs w:val="24"/>
        </w:rPr>
        <w:t>Healthcare Facilities</w:t>
      </w:r>
      <w:r w:rsidRPr="00857F55">
        <w:rPr>
          <w:rFonts w:ascii="Times New Roman" w:eastAsia="Times New Roman" w:hAnsi="Times New Roman"/>
          <w:b/>
          <w:smallCaps/>
          <w:sz w:val="24"/>
          <w:szCs w:val="24"/>
        </w:rPr>
        <w:t xml:space="preserve"> </w:t>
      </w:r>
      <w:r w:rsidR="00F6502A">
        <w:rPr>
          <w:rFonts w:ascii="Times New Roman" w:eastAsia="Times New Roman" w:hAnsi="Times New Roman"/>
          <w:b/>
          <w:smallCaps/>
          <w:sz w:val="24"/>
          <w:szCs w:val="24"/>
        </w:rPr>
        <w:t>Lending:</w:t>
      </w:r>
    </w:p>
    <w:p w14:paraId="1D5EBD4E" w14:textId="0938B206" w:rsidR="000B7B05" w:rsidRPr="000B7B05" w:rsidRDefault="000B7B05" w:rsidP="00930A00">
      <w:pPr>
        <w:spacing w:after="0" w:line="240" w:lineRule="auto"/>
        <w:ind w:left="360"/>
        <w:rPr>
          <w:rFonts w:ascii="Times New Roman" w:eastAsia="Times New Roman" w:hAnsi="Times New Roman"/>
          <w:sz w:val="24"/>
          <w:szCs w:val="24"/>
        </w:rPr>
      </w:pPr>
      <w:r w:rsidRPr="000B7B05">
        <w:rPr>
          <w:rFonts w:ascii="Times New Roman" w:eastAsia="Times New Roman" w:hAnsi="Times New Roman"/>
          <w:sz w:val="24"/>
          <w:szCs w:val="24"/>
        </w:rPr>
        <w:t xml:space="preserve">The Eligible CDFI’s underwriting policies </w:t>
      </w:r>
      <w:r w:rsidR="00622AFE">
        <w:rPr>
          <w:rFonts w:ascii="Times New Roman" w:eastAsia="Times New Roman" w:hAnsi="Times New Roman"/>
          <w:sz w:val="24"/>
          <w:szCs w:val="24"/>
        </w:rPr>
        <w:t xml:space="preserve">and evaluation criteria </w:t>
      </w:r>
      <w:r w:rsidRPr="000B7B05">
        <w:rPr>
          <w:rFonts w:ascii="Times New Roman" w:eastAsia="Times New Roman" w:hAnsi="Times New Roman"/>
          <w:sz w:val="24"/>
          <w:szCs w:val="24"/>
        </w:rPr>
        <w:t xml:space="preserve">for a Secondary Borrower under this asset </w:t>
      </w:r>
      <w:r w:rsidR="00646259" w:rsidRPr="000B7B05">
        <w:rPr>
          <w:rFonts w:ascii="Times New Roman" w:eastAsia="Times New Roman" w:hAnsi="Times New Roman"/>
          <w:sz w:val="24"/>
          <w:szCs w:val="24"/>
        </w:rPr>
        <w:t>class</w:t>
      </w:r>
      <w:r w:rsidRPr="000B7B05">
        <w:rPr>
          <w:rFonts w:ascii="Times New Roman" w:eastAsia="Times New Roman" w:hAnsi="Times New Roman"/>
          <w:sz w:val="24"/>
          <w:szCs w:val="24"/>
        </w:rPr>
        <w:t xml:space="preserve"> must address the following:</w:t>
      </w:r>
    </w:p>
    <w:p w14:paraId="1D5EBD4F" w14:textId="77777777" w:rsidR="00B4012E" w:rsidRDefault="00B4012E" w:rsidP="00930A00">
      <w:pPr>
        <w:spacing w:after="0" w:line="240" w:lineRule="auto"/>
        <w:rPr>
          <w:rFonts w:ascii="Times New Roman" w:eastAsia="Times New Roman" w:hAnsi="Times New Roman"/>
          <w:i/>
          <w:sz w:val="24"/>
          <w:szCs w:val="24"/>
          <w:u w:val="single"/>
        </w:rPr>
      </w:pPr>
    </w:p>
    <w:p w14:paraId="1D5EBD50" w14:textId="77777777" w:rsidR="00276F43" w:rsidRPr="007F23B4" w:rsidRDefault="00276F43" w:rsidP="00930A00">
      <w:pPr>
        <w:pStyle w:val="ListParagraph"/>
        <w:numPr>
          <w:ilvl w:val="0"/>
          <w:numId w:val="8"/>
        </w:numPr>
        <w:spacing w:after="0" w:line="240" w:lineRule="auto"/>
        <w:ind w:left="720"/>
        <w:rPr>
          <w:rFonts w:ascii="Times New Roman" w:eastAsia="Times New Roman" w:hAnsi="Times New Roman"/>
          <w:i/>
          <w:sz w:val="24"/>
          <w:szCs w:val="24"/>
          <w:u w:val="single"/>
        </w:rPr>
      </w:pPr>
      <w:r>
        <w:rPr>
          <w:rFonts w:ascii="Times New Roman" w:eastAsia="Times New Roman" w:hAnsi="Times New Roman"/>
          <w:sz w:val="24"/>
          <w:szCs w:val="24"/>
        </w:rPr>
        <w:t xml:space="preserve">Management and financial capacity and performance in all facets of operations, including: </w:t>
      </w:r>
    </w:p>
    <w:p w14:paraId="1D5EBD51" w14:textId="5A53E458" w:rsidR="00276F43" w:rsidRPr="007F23B4" w:rsidRDefault="00EA31BF" w:rsidP="00930A0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276F43">
        <w:rPr>
          <w:rFonts w:ascii="Times New Roman" w:eastAsia="Times New Roman" w:hAnsi="Times New Roman"/>
          <w:sz w:val="24"/>
          <w:szCs w:val="24"/>
        </w:rPr>
        <w:t xml:space="preserve">overnance; </w:t>
      </w:r>
    </w:p>
    <w:p w14:paraId="1D5EBD52" w14:textId="33DDBF81" w:rsidR="00276F43" w:rsidRPr="007F23B4" w:rsidRDefault="00AF5117" w:rsidP="00930A00">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276F43">
        <w:rPr>
          <w:rFonts w:ascii="Times New Roman" w:eastAsia="Times New Roman" w:hAnsi="Times New Roman"/>
          <w:sz w:val="24"/>
          <w:szCs w:val="24"/>
        </w:rPr>
        <w:t xml:space="preserve">ey personnel, including management depth and dependency on key personnel; </w:t>
      </w:r>
    </w:p>
    <w:p w14:paraId="1D5EBD53" w14:textId="0C656CC4" w:rsidR="00941753" w:rsidRDefault="00AF5117" w:rsidP="00930A00">
      <w:pPr>
        <w:pStyle w:val="ListParagraph"/>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I</w:t>
      </w:r>
      <w:r w:rsidR="00941753" w:rsidRPr="00941753">
        <w:rPr>
          <w:rFonts w:ascii="Times New Roman" w:eastAsia="Times New Roman" w:hAnsi="Times New Roman"/>
          <w:sz w:val="24"/>
          <w:szCs w:val="24"/>
        </w:rPr>
        <w:t>nformation on the healthcare facility’s sponsoring organization, if applicable, that includes financial audits, historical performa</w:t>
      </w:r>
      <w:r>
        <w:rPr>
          <w:rFonts w:ascii="Times New Roman" w:eastAsia="Times New Roman" w:hAnsi="Times New Roman"/>
          <w:sz w:val="24"/>
          <w:szCs w:val="24"/>
        </w:rPr>
        <w:t>nce and management capabilities;</w:t>
      </w:r>
    </w:p>
    <w:p w14:paraId="1D5EBD54" w14:textId="644D7A6E" w:rsidR="00941753" w:rsidRPr="00941753" w:rsidRDefault="00AF5117" w:rsidP="00C737A2">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F</w:t>
      </w:r>
      <w:r w:rsidR="00276F43" w:rsidRPr="00941753">
        <w:rPr>
          <w:rFonts w:ascii="Times New Roman" w:eastAsia="Times New Roman" w:hAnsi="Times New Roman"/>
          <w:sz w:val="24"/>
          <w:szCs w:val="24"/>
        </w:rPr>
        <w:t>inancial performance, liquidity, capital</w:t>
      </w:r>
      <w:r w:rsidR="00D46CCB">
        <w:rPr>
          <w:rFonts w:ascii="Times New Roman" w:eastAsia="Times New Roman" w:hAnsi="Times New Roman"/>
          <w:sz w:val="24"/>
          <w:szCs w:val="24"/>
        </w:rPr>
        <w:t xml:space="preserve"> and asset adequacy and metrics that is supported by</w:t>
      </w:r>
      <w:r w:rsidR="00941753" w:rsidRPr="00941753">
        <w:rPr>
          <w:rFonts w:ascii="Times New Roman" w:eastAsia="Times New Roman" w:hAnsi="Times New Roman"/>
          <w:sz w:val="24"/>
          <w:szCs w:val="24"/>
        </w:rPr>
        <w:t xml:space="preserve"> audited financial statement</w:t>
      </w:r>
      <w:r w:rsidR="00D46CCB">
        <w:rPr>
          <w:rFonts w:ascii="Times New Roman" w:eastAsia="Times New Roman" w:hAnsi="Times New Roman"/>
          <w:sz w:val="24"/>
          <w:szCs w:val="24"/>
        </w:rPr>
        <w:t>s</w:t>
      </w:r>
      <w:r w:rsidR="00941753" w:rsidRPr="00941753">
        <w:rPr>
          <w:rFonts w:ascii="Times New Roman" w:eastAsia="Times New Roman" w:hAnsi="Times New Roman"/>
          <w:sz w:val="24"/>
          <w:szCs w:val="24"/>
        </w:rPr>
        <w:t>,</w:t>
      </w:r>
      <w:r>
        <w:rPr>
          <w:rFonts w:ascii="Times New Roman" w:eastAsia="Times New Roman" w:hAnsi="Times New Roman"/>
          <w:sz w:val="24"/>
          <w:szCs w:val="24"/>
        </w:rPr>
        <w:t xml:space="preserve"> health service activity report</w:t>
      </w:r>
      <w:r w:rsidR="00D46CCB">
        <w:rPr>
          <w:rFonts w:ascii="Times New Roman" w:eastAsia="Times New Roman" w:hAnsi="Times New Roman"/>
          <w:sz w:val="24"/>
          <w:szCs w:val="24"/>
        </w:rPr>
        <w:t>s</w:t>
      </w:r>
      <w:r>
        <w:rPr>
          <w:rFonts w:ascii="Times New Roman" w:eastAsia="Times New Roman" w:hAnsi="Times New Roman"/>
          <w:sz w:val="24"/>
          <w:szCs w:val="24"/>
        </w:rPr>
        <w:t>;</w:t>
      </w:r>
      <w:r w:rsidR="00941753" w:rsidRPr="00941753">
        <w:rPr>
          <w:rFonts w:ascii="Times New Roman" w:eastAsia="Times New Roman" w:hAnsi="Times New Roman"/>
          <w:sz w:val="24"/>
          <w:szCs w:val="24"/>
        </w:rPr>
        <w:t xml:space="preserve"> reimbursement activities, operating history and any other information pertinent to the underwriting of the project</w:t>
      </w:r>
      <w:r>
        <w:rPr>
          <w:rFonts w:ascii="Times New Roman" w:eastAsia="Times New Roman" w:hAnsi="Times New Roman"/>
          <w:sz w:val="24"/>
          <w:szCs w:val="24"/>
        </w:rPr>
        <w:t>;</w:t>
      </w:r>
      <w:r w:rsidR="00941753" w:rsidRPr="00941753">
        <w:rPr>
          <w:rFonts w:ascii="Times New Roman" w:eastAsia="Times New Roman" w:hAnsi="Times New Roman"/>
          <w:sz w:val="24"/>
          <w:szCs w:val="24"/>
        </w:rPr>
        <w:t xml:space="preserve"> </w:t>
      </w:r>
    </w:p>
    <w:p w14:paraId="1D5EBD55" w14:textId="58E5C333" w:rsidR="00276F43" w:rsidRPr="00941753" w:rsidRDefault="00AF5117" w:rsidP="00941753">
      <w:pPr>
        <w:pStyle w:val="ListParagraph"/>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276F43" w:rsidRPr="00941753">
        <w:rPr>
          <w:rFonts w:ascii="Times New Roman" w:eastAsia="Times New Roman" w:hAnsi="Times New Roman"/>
          <w:sz w:val="24"/>
          <w:szCs w:val="24"/>
        </w:rPr>
        <w:t xml:space="preserve">udgeting and forecasting </w:t>
      </w:r>
      <w:r w:rsidR="009C31EF" w:rsidRPr="00941753">
        <w:rPr>
          <w:rFonts w:ascii="Times New Roman" w:eastAsia="Times New Roman" w:hAnsi="Times New Roman"/>
          <w:sz w:val="24"/>
          <w:szCs w:val="24"/>
        </w:rPr>
        <w:t>healthcare facilities</w:t>
      </w:r>
      <w:r w:rsidR="00276F43" w:rsidRPr="00941753">
        <w:rPr>
          <w:rFonts w:ascii="Times New Roman" w:eastAsia="Times New Roman" w:hAnsi="Times New Roman"/>
          <w:sz w:val="24"/>
          <w:szCs w:val="24"/>
        </w:rPr>
        <w:t xml:space="preserve"> performance and managing discrepancies between the budget and actual results; </w:t>
      </w:r>
    </w:p>
    <w:p w14:paraId="1D5EBD56" w14:textId="66056FAC" w:rsidR="00276F43" w:rsidRDefault="00AF5117" w:rsidP="00941753">
      <w:pPr>
        <w:numPr>
          <w:ilvl w:val="1"/>
          <w:numId w:val="15"/>
        </w:num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F</w:t>
      </w:r>
      <w:r w:rsidR="00276F43">
        <w:rPr>
          <w:rFonts w:ascii="Times New Roman" w:eastAsia="Times New Roman" w:hAnsi="Times New Roman"/>
          <w:sz w:val="24"/>
          <w:szCs w:val="24"/>
        </w:rPr>
        <w:t>u</w:t>
      </w:r>
      <w:r w:rsidR="00276F43" w:rsidRPr="004F7005">
        <w:rPr>
          <w:rFonts w:ascii="Times New Roman" w:eastAsia="Times New Roman" w:hAnsi="Times New Roman"/>
          <w:sz w:val="24"/>
          <w:szCs w:val="24"/>
        </w:rPr>
        <w:t xml:space="preserve">nding mechanisms and </w:t>
      </w:r>
      <w:r w:rsidR="00276F43">
        <w:rPr>
          <w:rFonts w:ascii="Times New Roman" w:eastAsia="Times New Roman" w:hAnsi="Times New Roman"/>
          <w:sz w:val="24"/>
          <w:szCs w:val="24"/>
        </w:rPr>
        <w:t>the ability to manage reimbursement delays;</w:t>
      </w:r>
    </w:p>
    <w:p w14:paraId="1D5EBD57" w14:textId="607680CD" w:rsidR="00941753" w:rsidRPr="00F305AF" w:rsidRDefault="00AF5117" w:rsidP="00941753">
      <w:pPr>
        <w:pStyle w:val="ListParagraph"/>
        <w:numPr>
          <w:ilvl w:val="1"/>
          <w:numId w:val="15"/>
        </w:numPr>
        <w:spacing w:after="0" w:line="240" w:lineRule="auto"/>
        <w:rPr>
          <w:rFonts w:ascii="Times New Roman" w:eastAsia="Times New Roman" w:hAnsi="Times New Roman"/>
          <w:sz w:val="24"/>
          <w:szCs w:val="24"/>
        </w:rPr>
      </w:pPr>
      <w:r>
        <w:rPr>
          <w:rFonts w:ascii="Times New Roman" w:hAnsi="Times New Roman"/>
          <w:sz w:val="24"/>
          <w:szCs w:val="24"/>
        </w:rPr>
        <w:t>A</w:t>
      </w:r>
      <w:r w:rsidR="00941753" w:rsidRPr="00F11ABD">
        <w:rPr>
          <w:rFonts w:ascii="Times New Roman" w:hAnsi="Times New Roman"/>
          <w:sz w:val="24"/>
          <w:szCs w:val="24"/>
        </w:rPr>
        <w:t xml:space="preserve"> track record in working with </w:t>
      </w:r>
      <w:r w:rsidR="00941753">
        <w:rPr>
          <w:rFonts w:ascii="Times New Roman" w:hAnsi="Times New Roman"/>
          <w:sz w:val="24"/>
          <w:szCs w:val="24"/>
        </w:rPr>
        <w:t>S</w:t>
      </w:r>
      <w:r w:rsidR="00941753" w:rsidRPr="00F11ABD">
        <w:rPr>
          <w:rFonts w:ascii="Times New Roman" w:hAnsi="Times New Roman"/>
          <w:sz w:val="24"/>
          <w:szCs w:val="24"/>
        </w:rPr>
        <w:t xml:space="preserve">tate and local governments and, if applicable, the </w:t>
      </w:r>
      <w:r w:rsidR="00941753">
        <w:rPr>
          <w:rFonts w:ascii="Times New Roman" w:hAnsi="Times New Roman"/>
          <w:sz w:val="24"/>
          <w:szCs w:val="24"/>
        </w:rPr>
        <w:t>F</w:t>
      </w:r>
      <w:r w:rsidR="00941753" w:rsidRPr="00F11ABD">
        <w:rPr>
          <w:rFonts w:ascii="Times New Roman" w:hAnsi="Times New Roman"/>
          <w:sz w:val="24"/>
          <w:szCs w:val="24"/>
        </w:rPr>
        <w:t>ederal government</w:t>
      </w:r>
      <w:r>
        <w:rPr>
          <w:rFonts w:ascii="Times New Roman" w:hAnsi="Times New Roman"/>
          <w:sz w:val="24"/>
          <w:szCs w:val="24"/>
        </w:rPr>
        <w:t>;</w:t>
      </w:r>
    </w:p>
    <w:p w14:paraId="1D5EBD58" w14:textId="35ABE543" w:rsidR="00276F43" w:rsidRDefault="00AF5117" w:rsidP="00276F43">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276F43">
        <w:rPr>
          <w:rFonts w:ascii="Times New Roman" w:eastAsia="Times New Roman" w:hAnsi="Times New Roman"/>
          <w:sz w:val="24"/>
          <w:szCs w:val="24"/>
        </w:rPr>
        <w:t xml:space="preserve">ompliance with licensing requirements for </w:t>
      </w:r>
      <w:r w:rsidR="009C31EF">
        <w:rPr>
          <w:rFonts w:ascii="Times New Roman" w:eastAsia="Times New Roman" w:hAnsi="Times New Roman"/>
          <w:sz w:val="24"/>
          <w:szCs w:val="24"/>
        </w:rPr>
        <w:t>healthcare facilities</w:t>
      </w:r>
      <w:r>
        <w:rPr>
          <w:rFonts w:ascii="Times New Roman" w:eastAsia="Times New Roman" w:hAnsi="Times New Roman"/>
          <w:sz w:val="24"/>
          <w:szCs w:val="24"/>
        </w:rPr>
        <w:t>; and</w:t>
      </w:r>
    </w:p>
    <w:p w14:paraId="1D5EBD59" w14:textId="2DED5603" w:rsidR="00941753" w:rsidRPr="00F305AF" w:rsidRDefault="00AF5117" w:rsidP="00941753">
      <w:pPr>
        <w:pStyle w:val="ListParagraph"/>
        <w:numPr>
          <w:ilvl w:val="1"/>
          <w:numId w:val="20"/>
        </w:numPr>
        <w:spacing w:after="0" w:line="240" w:lineRule="auto"/>
        <w:rPr>
          <w:rFonts w:ascii="Times New Roman" w:eastAsia="Times New Roman" w:hAnsi="Times New Roman"/>
          <w:sz w:val="24"/>
          <w:szCs w:val="24"/>
        </w:rPr>
      </w:pPr>
      <w:r>
        <w:rPr>
          <w:rFonts w:ascii="Times New Roman" w:hAnsi="Times New Roman"/>
          <w:sz w:val="24"/>
          <w:szCs w:val="24"/>
        </w:rPr>
        <w:lastRenderedPageBreak/>
        <w:t>C</w:t>
      </w:r>
      <w:r w:rsidR="00941753" w:rsidRPr="00F305AF">
        <w:rPr>
          <w:rFonts w:ascii="Times New Roman" w:hAnsi="Times New Roman"/>
          <w:sz w:val="24"/>
          <w:szCs w:val="24"/>
        </w:rPr>
        <w:t xml:space="preserve">urrent background and legal checks of employees of the </w:t>
      </w:r>
      <w:r w:rsidR="00941753">
        <w:rPr>
          <w:rFonts w:ascii="Times New Roman" w:hAnsi="Times New Roman"/>
          <w:sz w:val="24"/>
          <w:szCs w:val="24"/>
        </w:rPr>
        <w:t>healthcare facility</w:t>
      </w:r>
      <w:r>
        <w:rPr>
          <w:rFonts w:ascii="Times New Roman" w:hAnsi="Times New Roman"/>
          <w:sz w:val="24"/>
          <w:szCs w:val="24"/>
        </w:rPr>
        <w:t>.</w:t>
      </w:r>
    </w:p>
    <w:p w14:paraId="1D5EBD5A" w14:textId="77777777" w:rsidR="00276F43" w:rsidRPr="007F23B4" w:rsidRDefault="00276F43" w:rsidP="00276F43">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D5B" w14:textId="3A49AF7F" w:rsidR="00276F43" w:rsidRPr="007766D9" w:rsidRDefault="00AF5117" w:rsidP="00276F43">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276F43">
        <w:rPr>
          <w:rFonts w:ascii="Times New Roman" w:eastAsia="Times New Roman" w:hAnsi="Times New Roman"/>
          <w:sz w:val="24"/>
          <w:szCs w:val="24"/>
        </w:rPr>
        <w:t xml:space="preserve">or </w:t>
      </w:r>
      <w:r w:rsidR="00276F43" w:rsidRPr="008213B2">
        <w:rPr>
          <w:rFonts w:ascii="Times New Roman" w:eastAsia="Times New Roman" w:hAnsi="Times New Roman"/>
          <w:sz w:val="24"/>
          <w:szCs w:val="24"/>
        </w:rPr>
        <w:t>debt obligations</w:t>
      </w:r>
      <w:r w:rsidR="00276F43">
        <w:rPr>
          <w:rFonts w:ascii="Times New Roman" w:eastAsia="Times New Roman" w:hAnsi="Times New Roman"/>
          <w:sz w:val="24"/>
          <w:szCs w:val="24"/>
        </w:rPr>
        <w:t xml:space="preserve">, current payment status </w:t>
      </w:r>
      <w:r w:rsidR="00276F43" w:rsidRPr="008213B2">
        <w:rPr>
          <w:rFonts w:ascii="Times New Roman" w:eastAsia="Times New Roman" w:hAnsi="Times New Roman"/>
          <w:sz w:val="24"/>
          <w:szCs w:val="24"/>
        </w:rPr>
        <w:t>and compliance with programmatic and financial covenants</w:t>
      </w:r>
      <w:r>
        <w:rPr>
          <w:rFonts w:ascii="Times New Roman" w:eastAsia="Times New Roman" w:hAnsi="Times New Roman"/>
          <w:sz w:val="24"/>
          <w:szCs w:val="24"/>
        </w:rPr>
        <w:t>;</w:t>
      </w:r>
    </w:p>
    <w:p w14:paraId="1D5EBD5C" w14:textId="371D807A" w:rsidR="00276F43" w:rsidRPr="008F18E7" w:rsidRDefault="00AF5117"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w:t>
      </w:r>
      <w:r w:rsidR="00276F43" w:rsidRPr="008F18E7">
        <w:rPr>
          <w:rFonts w:ascii="Times New Roman" w:eastAsia="Times New Roman" w:hAnsi="Times New Roman"/>
          <w:sz w:val="24"/>
          <w:szCs w:val="24"/>
        </w:rPr>
        <w:t>aintenance of good-standing status with respect to all other obligations, i</w:t>
      </w:r>
      <w:r>
        <w:rPr>
          <w:rFonts w:ascii="Times New Roman" w:eastAsia="Times New Roman" w:hAnsi="Times New Roman"/>
          <w:sz w:val="24"/>
          <w:szCs w:val="24"/>
        </w:rPr>
        <w:t>nsurance and legal requirements;</w:t>
      </w:r>
      <w:r w:rsidR="00276F43" w:rsidRPr="008F18E7">
        <w:rPr>
          <w:rFonts w:ascii="Times New Roman" w:eastAsia="Times New Roman" w:hAnsi="Times New Roman"/>
          <w:sz w:val="24"/>
          <w:szCs w:val="24"/>
        </w:rPr>
        <w:t xml:space="preserve"> </w:t>
      </w:r>
    </w:p>
    <w:p w14:paraId="1D5EBD5D" w14:textId="10B672C6" w:rsidR="009C31EF" w:rsidRPr="00F11ABD" w:rsidRDefault="00AF5117" w:rsidP="00C737A2">
      <w:pPr>
        <w:pStyle w:val="ListParagraph"/>
        <w:numPr>
          <w:ilvl w:val="1"/>
          <w:numId w:val="20"/>
        </w:numPr>
        <w:spacing w:after="0" w:line="240" w:lineRule="auto"/>
        <w:contextualSpacing w:val="0"/>
        <w:rPr>
          <w:rFonts w:ascii="Times New Roman" w:hAnsi="Times New Roman"/>
          <w:sz w:val="24"/>
          <w:szCs w:val="24"/>
        </w:rPr>
      </w:pPr>
      <w:r>
        <w:rPr>
          <w:rFonts w:ascii="Times New Roman" w:hAnsi="Times New Roman"/>
          <w:sz w:val="24"/>
          <w:szCs w:val="24"/>
        </w:rPr>
        <w:t>The current</w:t>
      </w:r>
      <w:r w:rsidR="009C31EF" w:rsidRPr="00F11ABD">
        <w:rPr>
          <w:rFonts w:ascii="Times New Roman" w:hAnsi="Times New Roman"/>
          <w:sz w:val="24"/>
          <w:szCs w:val="24"/>
        </w:rPr>
        <w:t xml:space="preserve"> standing as a Federally Qualified Healthcare Center (as defined in 42 C.F.R. 405.2401), or comparable accreditation</w:t>
      </w:r>
      <w:r w:rsidR="009C31EF">
        <w:rPr>
          <w:rFonts w:ascii="Times New Roman" w:hAnsi="Times New Roman"/>
          <w:sz w:val="24"/>
          <w:szCs w:val="24"/>
        </w:rPr>
        <w:t>;</w:t>
      </w:r>
      <w:r>
        <w:rPr>
          <w:rFonts w:ascii="Times New Roman" w:hAnsi="Times New Roman"/>
          <w:sz w:val="24"/>
          <w:szCs w:val="24"/>
        </w:rPr>
        <w:t xml:space="preserve"> and</w:t>
      </w:r>
    </w:p>
    <w:p w14:paraId="1D5EBD5E" w14:textId="22A590B9" w:rsidR="00276F43" w:rsidRDefault="00AF5117" w:rsidP="002515AB">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276F43">
        <w:rPr>
          <w:rFonts w:ascii="Times New Roman" w:eastAsia="Times New Roman" w:hAnsi="Times New Roman"/>
          <w:sz w:val="24"/>
          <w:szCs w:val="24"/>
        </w:rPr>
        <w:t>ny recent or outstanding corrective actions at the time of the Eligible CDFI underwriting of the Secondary Borrower.</w:t>
      </w:r>
    </w:p>
    <w:p w14:paraId="1D5EBD5F" w14:textId="77777777" w:rsidR="00276F43" w:rsidRPr="007F23B4" w:rsidRDefault="00276F43" w:rsidP="002515AB">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Specifically in connection with the Secondary Loan:</w:t>
      </w:r>
    </w:p>
    <w:p w14:paraId="1D5EBD60" w14:textId="7FFB6E4D" w:rsidR="00276F43" w:rsidRPr="00C737A2" w:rsidRDefault="00AF5117" w:rsidP="00C737A2">
      <w:pPr>
        <w:pStyle w:val="ListParagraph"/>
        <w:numPr>
          <w:ilvl w:val="0"/>
          <w:numId w:val="42"/>
        </w:numPr>
        <w:spacing w:after="0" w:line="240" w:lineRule="auto"/>
        <w:rPr>
          <w:rFonts w:ascii="Times New Roman" w:hAnsi="Times New Roman"/>
          <w:sz w:val="24"/>
        </w:rPr>
      </w:pPr>
      <w:r>
        <w:rPr>
          <w:rFonts w:ascii="Times New Roman" w:eastAsia="Times New Roman" w:hAnsi="Times New Roman"/>
          <w:sz w:val="24"/>
          <w:szCs w:val="24"/>
        </w:rPr>
        <w:t>E</w:t>
      </w:r>
      <w:r w:rsidR="00276F43" w:rsidRPr="0092619F">
        <w:rPr>
          <w:rFonts w:ascii="Times New Roman" w:eastAsia="Times New Roman" w:hAnsi="Times New Roman"/>
          <w:sz w:val="24"/>
          <w:szCs w:val="24"/>
        </w:rPr>
        <w:t xml:space="preserve">xperience and capacity in constructing and renovating </w:t>
      </w:r>
      <w:r w:rsidR="009C31EF">
        <w:rPr>
          <w:rFonts w:ascii="Times New Roman" w:eastAsia="Times New Roman" w:hAnsi="Times New Roman"/>
          <w:sz w:val="24"/>
          <w:szCs w:val="24"/>
        </w:rPr>
        <w:t>healthcare facilities</w:t>
      </w:r>
      <w:r>
        <w:rPr>
          <w:rFonts w:ascii="Times New Roman" w:eastAsia="Times New Roman" w:hAnsi="Times New Roman"/>
          <w:sz w:val="24"/>
          <w:szCs w:val="24"/>
        </w:rPr>
        <w:t>, if relevant;</w:t>
      </w:r>
    </w:p>
    <w:p w14:paraId="1D5EBD61" w14:textId="69B36F0D" w:rsidR="00941753" w:rsidRPr="00F11ABD" w:rsidRDefault="00AF5117" w:rsidP="00C737A2">
      <w:pPr>
        <w:pStyle w:val="ListParagraph"/>
        <w:numPr>
          <w:ilvl w:val="0"/>
          <w:numId w:val="42"/>
        </w:numPr>
        <w:spacing w:line="240" w:lineRule="auto"/>
        <w:rPr>
          <w:rFonts w:ascii="Times New Roman" w:eastAsia="Times New Roman" w:hAnsi="Times New Roman"/>
          <w:sz w:val="24"/>
          <w:szCs w:val="24"/>
        </w:rPr>
      </w:pPr>
      <w:r>
        <w:rPr>
          <w:rFonts w:ascii="Times New Roman" w:eastAsia="Times New Roman" w:hAnsi="Times New Roman"/>
          <w:sz w:val="24"/>
          <w:szCs w:val="24"/>
        </w:rPr>
        <w:t>C</w:t>
      </w:r>
      <w:r w:rsidR="00941753" w:rsidRPr="00F11ABD">
        <w:rPr>
          <w:rFonts w:ascii="Times New Roman" w:eastAsia="Times New Roman" w:hAnsi="Times New Roman"/>
          <w:sz w:val="24"/>
          <w:szCs w:val="24"/>
        </w:rPr>
        <w:t>urrent market conditions, service demand assumptions, reimbursement mechanisms and sources, collection assumptions, operating expenses, debt service requirements and any other project related costs or conditions that may affect the project</w:t>
      </w:r>
      <w:r>
        <w:rPr>
          <w:rFonts w:ascii="Times New Roman" w:eastAsia="Times New Roman" w:hAnsi="Times New Roman"/>
          <w:sz w:val="24"/>
          <w:szCs w:val="24"/>
        </w:rPr>
        <w:t>;</w:t>
      </w:r>
    </w:p>
    <w:p w14:paraId="1D5EBD62" w14:textId="38CA3789" w:rsidR="00276F43" w:rsidRPr="0092619F" w:rsidRDefault="00AF5117" w:rsidP="002515AB">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276F43">
        <w:rPr>
          <w:rFonts w:ascii="Times New Roman" w:eastAsia="Times New Roman" w:hAnsi="Times New Roman"/>
          <w:sz w:val="24"/>
          <w:szCs w:val="24"/>
        </w:rPr>
        <w:t xml:space="preserve">ll required licenses for the </w:t>
      </w:r>
      <w:r w:rsidR="009C31EF">
        <w:rPr>
          <w:rFonts w:ascii="Times New Roman" w:eastAsia="Times New Roman" w:hAnsi="Times New Roman"/>
          <w:sz w:val="24"/>
          <w:szCs w:val="24"/>
        </w:rPr>
        <w:t>healthcare facility</w:t>
      </w:r>
      <w:r w:rsidR="00276F43">
        <w:rPr>
          <w:rFonts w:ascii="Times New Roman" w:eastAsia="Times New Roman" w:hAnsi="Times New Roman"/>
          <w:sz w:val="24"/>
          <w:szCs w:val="24"/>
        </w:rPr>
        <w:t xml:space="preserve"> to be financed</w:t>
      </w:r>
      <w:r>
        <w:rPr>
          <w:rFonts w:ascii="Times New Roman" w:eastAsia="Times New Roman" w:hAnsi="Times New Roman"/>
          <w:sz w:val="24"/>
          <w:szCs w:val="24"/>
        </w:rPr>
        <w:t>;</w:t>
      </w:r>
    </w:p>
    <w:p w14:paraId="1D5EBD63" w14:textId="52615CFE" w:rsidR="00276F43" w:rsidRPr="007B5362" w:rsidRDefault="00AF5117"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276F43" w:rsidRPr="007B5362">
        <w:rPr>
          <w:rFonts w:ascii="Times New Roman" w:eastAsia="Times New Roman" w:hAnsi="Times New Roman"/>
          <w:sz w:val="24"/>
          <w:szCs w:val="24"/>
        </w:rPr>
        <w:t>n ability</w:t>
      </w:r>
      <w:r w:rsidR="00276F43">
        <w:rPr>
          <w:rFonts w:ascii="Times New Roman" w:eastAsia="Times New Roman" w:hAnsi="Times New Roman"/>
          <w:sz w:val="24"/>
          <w:szCs w:val="24"/>
        </w:rPr>
        <w:t xml:space="preserve"> of the Secondary Borrower/project</w:t>
      </w:r>
      <w:r w:rsidR="00276F43" w:rsidRPr="007B5362">
        <w:rPr>
          <w:rFonts w:ascii="Times New Roman" w:eastAsia="Times New Roman" w:hAnsi="Times New Roman"/>
          <w:sz w:val="24"/>
          <w:szCs w:val="24"/>
        </w:rPr>
        <w:t xml:space="preserve"> to pay all asso</w:t>
      </w:r>
      <w:r w:rsidR="00276F43">
        <w:rPr>
          <w:rFonts w:ascii="Times New Roman" w:eastAsia="Times New Roman" w:hAnsi="Times New Roman"/>
          <w:sz w:val="24"/>
          <w:szCs w:val="24"/>
        </w:rPr>
        <w:t>ciated expenses on the project that include</w:t>
      </w:r>
      <w:r w:rsidR="00276F43" w:rsidRPr="007B5362">
        <w:rPr>
          <w:rFonts w:ascii="Times New Roman" w:eastAsia="Times New Roman" w:hAnsi="Times New Roman"/>
          <w:sz w:val="24"/>
          <w:szCs w:val="24"/>
        </w:rPr>
        <w:t xml:space="preserve"> principal and interest and all ope</w:t>
      </w:r>
      <w:r w:rsidR="00276F43">
        <w:rPr>
          <w:rFonts w:ascii="Times New Roman" w:eastAsia="Times New Roman" w:hAnsi="Times New Roman"/>
          <w:sz w:val="24"/>
          <w:szCs w:val="24"/>
        </w:rPr>
        <w:t>rating and maintenance expenses;</w:t>
      </w:r>
    </w:p>
    <w:p w14:paraId="1D5EBD64" w14:textId="290C4BAF" w:rsidR="009C31EF" w:rsidRDefault="00AF5117"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009C31EF">
        <w:rPr>
          <w:rFonts w:ascii="Times New Roman" w:eastAsia="Times New Roman" w:hAnsi="Times New Roman"/>
          <w:sz w:val="24"/>
          <w:szCs w:val="24"/>
        </w:rPr>
        <w:t>orking capital</w:t>
      </w:r>
      <w:r>
        <w:rPr>
          <w:rFonts w:ascii="Times New Roman" w:eastAsia="Times New Roman" w:hAnsi="Times New Roman"/>
          <w:sz w:val="24"/>
          <w:szCs w:val="24"/>
        </w:rPr>
        <w:t>;</w:t>
      </w:r>
      <w:r w:rsidR="009C31EF">
        <w:rPr>
          <w:rFonts w:ascii="Times New Roman" w:eastAsia="Times New Roman" w:hAnsi="Times New Roman"/>
          <w:sz w:val="24"/>
          <w:szCs w:val="24"/>
        </w:rPr>
        <w:t xml:space="preserve"> </w:t>
      </w:r>
    </w:p>
    <w:p w14:paraId="1D5EBD65" w14:textId="5D233A15" w:rsidR="00276F43" w:rsidRPr="007B5362" w:rsidRDefault="00AF5117"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276F43" w:rsidRPr="007B5362">
        <w:rPr>
          <w:rFonts w:ascii="Times New Roman" w:eastAsia="Times New Roman" w:hAnsi="Times New Roman"/>
          <w:sz w:val="24"/>
          <w:szCs w:val="24"/>
        </w:rPr>
        <w:t>ebt</w:t>
      </w:r>
      <w:r w:rsidR="00276F43">
        <w:rPr>
          <w:rFonts w:ascii="Times New Roman" w:eastAsia="Times New Roman" w:hAnsi="Times New Roman"/>
          <w:sz w:val="24"/>
          <w:szCs w:val="24"/>
        </w:rPr>
        <w:t xml:space="preserve"> </w:t>
      </w:r>
      <w:r w:rsidR="00276F43" w:rsidRPr="007B5362">
        <w:rPr>
          <w:rFonts w:ascii="Times New Roman" w:eastAsia="Times New Roman" w:hAnsi="Times New Roman"/>
          <w:sz w:val="24"/>
          <w:szCs w:val="24"/>
        </w:rPr>
        <w:t>se</w:t>
      </w:r>
      <w:r w:rsidR="00276F43">
        <w:rPr>
          <w:rFonts w:ascii="Times New Roman" w:eastAsia="Times New Roman" w:hAnsi="Times New Roman"/>
          <w:sz w:val="24"/>
          <w:szCs w:val="24"/>
        </w:rPr>
        <w:t>rvice coverage of the Secondary L</w:t>
      </w:r>
      <w:r w:rsidR="00276F43" w:rsidRPr="007B5362">
        <w:rPr>
          <w:rFonts w:ascii="Times New Roman" w:eastAsia="Times New Roman" w:hAnsi="Times New Roman"/>
          <w:sz w:val="24"/>
          <w:szCs w:val="24"/>
        </w:rPr>
        <w:t xml:space="preserve">oan and all associated </w:t>
      </w:r>
      <w:r w:rsidR="00276F43">
        <w:rPr>
          <w:rFonts w:ascii="Times New Roman" w:eastAsia="Times New Roman" w:hAnsi="Times New Roman"/>
          <w:sz w:val="24"/>
          <w:szCs w:val="24"/>
        </w:rPr>
        <w:t>Secondary B</w:t>
      </w:r>
      <w:r>
        <w:rPr>
          <w:rFonts w:ascii="Times New Roman" w:eastAsia="Times New Roman" w:hAnsi="Times New Roman"/>
          <w:sz w:val="24"/>
          <w:szCs w:val="24"/>
        </w:rPr>
        <w:t>orrower debt;</w:t>
      </w:r>
    </w:p>
    <w:p w14:paraId="1D5EBD66" w14:textId="36ECD62F" w:rsidR="009C31EF" w:rsidRDefault="00AF5117" w:rsidP="002515AB">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9C31EF">
        <w:rPr>
          <w:rFonts w:ascii="Times New Roman" w:eastAsia="Times New Roman" w:hAnsi="Times New Roman"/>
          <w:sz w:val="24"/>
          <w:szCs w:val="24"/>
        </w:rPr>
        <w:t>oan to value ratio</w:t>
      </w:r>
      <w:r>
        <w:rPr>
          <w:rFonts w:ascii="Times New Roman" w:eastAsia="Times New Roman" w:hAnsi="Times New Roman"/>
          <w:sz w:val="24"/>
          <w:szCs w:val="24"/>
        </w:rPr>
        <w:t>; and</w:t>
      </w:r>
    </w:p>
    <w:p w14:paraId="1D5EBD67" w14:textId="68BE0B81" w:rsidR="00276F43" w:rsidRPr="0092619F" w:rsidRDefault="00AF5117" w:rsidP="00C737A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276F43" w:rsidRPr="007B5362">
        <w:rPr>
          <w:rFonts w:ascii="Times New Roman" w:eastAsia="Times New Roman" w:hAnsi="Times New Roman"/>
          <w:sz w:val="24"/>
          <w:szCs w:val="24"/>
        </w:rPr>
        <w:t xml:space="preserve">ny </w:t>
      </w:r>
      <w:r w:rsidR="00276F43">
        <w:rPr>
          <w:rFonts w:ascii="Times New Roman" w:eastAsia="Times New Roman" w:hAnsi="Times New Roman"/>
          <w:sz w:val="24"/>
          <w:szCs w:val="24"/>
        </w:rPr>
        <w:t>C</w:t>
      </w:r>
      <w:r w:rsidR="00276F43" w:rsidRPr="007B5362">
        <w:rPr>
          <w:rFonts w:ascii="Times New Roman" w:eastAsia="Times New Roman" w:hAnsi="Times New Roman"/>
          <w:sz w:val="24"/>
          <w:szCs w:val="24"/>
        </w:rPr>
        <w:t xml:space="preserve">redit </w:t>
      </w:r>
      <w:r w:rsidR="00276F43">
        <w:rPr>
          <w:rFonts w:ascii="Times New Roman" w:eastAsia="Times New Roman" w:hAnsi="Times New Roman"/>
          <w:sz w:val="24"/>
          <w:szCs w:val="24"/>
        </w:rPr>
        <w:t>E</w:t>
      </w:r>
      <w:r w:rsidR="00276F43" w:rsidRPr="007B5362">
        <w:rPr>
          <w:rFonts w:ascii="Times New Roman" w:eastAsia="Times New Roman" w:hAnsi="Times New Roman"/>
          <w:sz w:val="24"/>
          <w:szCs w:val="24"/>
        </w:rPr>
        <w:t xml:space="preserve">nhancements, grants, guarantees or other support to the </w:t>
      </w:r>
      <w:r w:rsidR="00276F43">
        <w:rPr>
          <w:rFonts w:ascii="Times New Roman" w:eastAsia="Times New Roman" w:hAnsi="Times New Roman"/>
          <w:sz w:val="24"/>
          <w:szCs w:val="24"/>
        </w:rPr>
        <w:t xml:space="preserve">Secondary </w:t>
      </w:r>
      <w:r w:rsidR="00E00B26">
        <w:rPr>
          <w:rFonts w:ascii="Times New Roman" w:eastAsia="Times New Roman" w:hAnsi="Times New Roman"/>
          <w:sz w:val="24"/>
          <w:szCs w:val="24"/>
        </w:rPr>
        <w:t>Borrower that</w:t>
      </w:r>
      <w:r w:rsidR="00276F43" w:rsidRPr="007B5362">
        <w:rPr>
          <w:rFonts w:ascii="Times New Roman" w:eastAsia="Times New Roman" w:hAnsi="Times New Roman"/>
          <w:sz w:val="24"/>
          <w:szCs w:val="24"/>
        </w:rPr>
        <w:t xml:space="preserve"> impact the underwriting and/or risk mitigation of the </w:t>
      </w:r>
      <w:r w:rsidR="00276F43">
        <w:rPr>
          <w:rFonts w:ascii="Times New Roman" w:eastAsia="Times New Roman" w:hAnsi="Times New Roman"/>
          <w:sz w:val="24"/>
          <w:szCs w:val="24"/>
        </w:rPr>
        <w:t>Secondary Loan.</w:t>
      </w:r>
    </w:p>
    <w:p w14:paraId="1D5EBD68" w14:textId="77777777" w:rsidR="00966F4D" w:rsidRPr="00F11ABD" w:rsidRDefault="00966F4D" w:rsidP="009C31EF">
      <w:pPr>
        <w:pStyle w:val="ListParagraph"/>
        <w:spacing w:after="0" w:line="240" w:lineRule="auto"/>
        <w:contextualSpacing w:val="0"/>
        <w:rPr>
          <w:rFonts w:ascii="Times New Roman" w:hAnsi="Times New Roman"/>
          <w:sz w:val="24"/>
          <w:szCs w:val="24"/>
        </w:rPr>
      </w:pPr>
    </w:p>
    <w:p w14:paraId="1D5EBD69" w14:textId="31E1EE87" w:rsidR="003D7089" w:rsidRPr="004A073D" w:rsidRDefault="00941753" w:rsidP="003A3B3F">
      <w:pPr>
        <w:pStyle w:val="ListParagraph"/>
        <w:numPr>
          <w:ilvl w:val="0"/>
          <w:numId w:val="4"/>
        </w:numPr>
        <w:spacing w:before="240" w:after="0" w:line="240" w:lineRule="auto"/>
        <w:ind w:left="360"/>
        <w:rPr>
          <w:rFonts w:ascii="Times New Roman" w:eastAsia="Times New Roman" w:hAnsi="Times New Roman"/>
          <w:b/>
          <w:sz w:val="24"/>
          <w:szCs w:val="24"/>
        </w:rPr>
      </w:pPr>
      <w:r>
        <w:rPr>
          <w:rFonts w:ascii="Times New Roman" w:eastAsia="Times New Roman" w:hAnsi="Times New Roman"/>
          <w:b/>
          <w:smallCaps/>
          <w:sz w:val="24"/>
          <w:szCs w:val="24"/>
        </w:rPr>
        <w:t>Rental</w:t>
      </w:r>
      <w:r w:rsidR="00C456E5">
        <w:rPr>
          <w:rFonts w:ascii="Times New Roman" w:eastAsia="Times New Roman" w:hAnsi="Times New Roman"/>
          <w:b/>
          <w:smallCaps/>
          <w:sz w:val="24"/>
          <w:szCs w:val="24"/>
        </w:rPr>
        <w:t xml:space="preserve"> Housing</w:t>
      </w:r>
      <w:r w:rsidR="00F6502A">
        <w:rPr>
          <w:rFonts w:ascii="Times New Roman" w:eastAsia="Times New Roman" w:hAnsi="Times New Roman"/>
          <w:b/>
          <w:smallCaps/>
          <w:sz w:val="24"/>
          <w:szCs w:val="24"/>
        </w:rPr>
        <w:t xml:space="preserve"> Lending</w:t>
      </w:r>
      <w:r w:rsidR="003D7089" w:rsidRPr="00040F7D">
        <w:rPr>
          <w:rFonts w:ascii="Times New Roman" w:eastAsia="Times New Roman" w:hAnsi="Times New Roman"/>
          <w:b/>
          <w:smallCaps/>
          <w:sz w:val="24"/>
          <w:szCs w:val="24"/>
        </w:rPr>
        <w:t>:</w:t>
      </w:r>
    </w:p>
    <w:p w14:paraId="1D5EBD6A" w14:textId="7E508D16" w:rsidR="000B7B05" w:rsidRPr="000B7B05" w:rsidRDefault="000B7B05" w:rsidP="002515AB">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In addition to multifamily rental housing, t</w:t>
      </w:r>
      <w:r w:rsidR="005D2907">
        <w:rPr>
          <w:rFonts w:ascii="Times New Roman" w:eastAsia="Times New Roman" w:hAnsi="Times New Roman"/>
          <w:sz w:val="24"/>
          <w:szCs w:val="24"/>
        </w:rPr>
        <w:t xml:space="preserve">his asset class may include single family </w:t>
      </w:r>
      <w:r w:rsidR="00C47D4E">
        <w:rPr>
          <w:rFonts w:ascii="Times New Roman" w:eastAsia="Times New Roman" w:hAnsi="Times New Roman"/>
          <w:sz w:val="24"/>
          <w:szCs w:val="24"/>
        </w:rPr>
        <w:t xml:space="preserve">rental </w:t>
      </w:r>
      <w:r w:rsidR="005D2907">
        <w:rPr>
          <w:rFonts w:ascii="Times New Roman" w:eastAsia="Times New Roman" w:hAnsi="Times New Roman"/>
          <w:sz w:val="24"/>
          <w:szCs w:val="24"/>
        </w:rPr>
        <w:t>home</w:t>
      </w:r>
      <w:r w:rsidR="00C47D4E">
        <w:rPr>
          <w:rFonts w:ascii="Times New Roman" w:eastAsia="Times New Roman" w:hAnsi="Times New Roman"/>
          <w:sz w:val="24"/>
          <w:szCs w:val="24"/>
        </w:rPr>
        <w:t>s, supportive housing, and rental housing for the elderly unless special licensing is required</w:t>
      </w:r>
      <w:r w:rsidR="005D2907">
        <w:rPr>
          <w:rFonts w:ascii="Times New Roman" w:eastAsia="Times New Roman" w:hAnsi="Times New Roman"/>
          <w:sz w:val="24"/>
          <w:szCs w:val="24"/>
        </w:rPr>
        <w:t xml:space="preserve">.  The Eligible CDFI must be able to demonstrate underwriting guidelines that address the unique financial characteristics of these asset classes.  </w:t>
      </w:r>
      <w:r w:rsidRPr="000B7B05">
        <w:rPr>
          <w:rFonts w:ascii="Times New Roman" w:eastAsia="Times New Roman" w:hAnsi="Times New Roman"/>
          <w:sz w:val="24"/>
          <w:szCs w:val="24"/>
        </w:rPr>
        <w:t xml:space="preserve">The Eligible CDFI’s underwriting policies </w:t>
      </w:r>
      <w:r w:rsidR="00622AFE">
        <w:rPr>
          <w:rFonts w:ascii="Times New Roman" w:eastAsia="Times New Roman" w:hAnsi="Times New Roman"/>
          <w:sz w:val="24"/>
          <w:szCs w:val="24"/>
        </w:rPr>
        <w:t xml:space="preserve">and evaluation criteria </w:t>
      </w:r>
      <w:r w:rsidRPr="000B7B05">
        <w:rPr>
          <w:rFonts w:ascii="Times New Roman" w:eastAsia="Times New Roman" w:hAnsi="Times New Roman"/>
          <w:sz w:val="24"/>
          <w:szCs w:val="24"/>
        </w:rPr>
        <w:t xml:space="preserve">for a Secondary Borrower under this asset </w:t>
      </w:r>
      <w:r w:rsidR="00646259" w:rsidRPr="000B7B05">
        <w:rPr>
          <w:rFonts w:ascii="Times New Roman" w:eastAsia="Times New Roman" w:hAnsi="Times New Roman"/>
          <w:sz w:val="24"/>
          <w:szCs w:val="24"/>
        </w:rPr>
        <w:t>class</w:t>
      </w:r>
      <w:r w:rsidRPr="000B7B05">
        <w:rPr>
          <w:rFonts w:ascii="Times New Roman" w:eastAsia="Times New Roman" w:hAnsi="Times New Roman"/>
          <w:sz w:val="24"/>
          <w:szCs w:val="24"/>
        </w:rPr>
        <w:t xml:space="preserve"> must address the following:</w:t>
      </w:r>
    </w:p>
    <w:p w14:paraId="1D5EBD6B" w14:textId="77777777" w:rsidR="004A073D" w:rsidRPr="004A073D" w:rsidRDefault="004A073D" w:rsidP="002515AB">
      <w:pPr>
        <w:spacing w:after="0" w:line="240" w:lineRule="auto"/>
        <w:ind w:left="360"/>
        <w:jc w:val="both"/>
        <w:rPr>
          <w:rFonts w:ascii="Times New Roman" w:eastAsia="Times New Roman" w:hAnsi="Times New Roman"/>
          <w:sz w:val="24"/>
          <w:szCs w:val="24"/>
        </w:rPr>
      </w:pPr>
    </w:p>
    <w:p w14:paraId="1D5EBD6C" w14:textId="77777777" w:rsidR="00A65BA0" w:rsidRPr="007F23B4" w:rsidRDefault="00A65BA0" w:rsidP="002515AB">
      <w:pPr>
        <w:pStyle w:val="ListParagraph"/>
        <w:numPr>
          <w:ilvl w:val="0"/>
          <w:numId w:val="8"/>
        </w:numPr>
        <w:spacing w:after="0" w:line="240" w:lineRule="auto"/>
        <w:ind w:left="720"/>
        <w:rPr>
          <w:rFonts w:ascii="Times New Roman" w:eastAsia="Times New Roman" w:hAnsi="Times New Roman"/>
          <w:i/>
          <w:sz w:val="24"/>
          <w:szCs w:val="24"/>
          <w:u w:val="single"/>
        </w:rPr>
      </w:pPr>
      <w:r>
        <w:rPr>
          <w:rFonts w:ascii="Times New Roman" w:eastAsia="Times New Roman" w:hAnsi="Times New Roman"/>
          <w:sz w:val="24"/>
          <w:szCs w:val="24"/>
        </w:rPr>
        <w:t xml:space="preserve">Management and financial capacity and performance in all facets of operations, including: </w:t>
      </w:r>
    </w:p>
    <w:p w14:paraId="1D5EBD6D" w14:textId="28AC3558" w:rsidR="00A65BA0" w:rsidRPr="007F23B4" w:rsidRDefault="00AF5117" w:rsidP="002515AB">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A65BA0">
        <w:rPr>
          <w:rFonts w:ascii="Times New Roman" w:eastAsia="Times New Roman" w:hAnsi="Times New Roman"/>
          <w:sz w:val="24"/>
          <w:szCs w:val="24"/>
        </w:rPr>
        <w:t xml:space="preserve">overnance; </w:t>
      </w:r>
    </w:p>
    <w:p w14:paraId="1D5EBD6E" w14:textId="64A8A5CB" w:rsidR="00A65BA0" w:rsidRPr="007F23B4" w:rsidRDefault="00AF5117" w:rsidP="002515AB">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A65BA0">
        <w:rPr>
          <w:rFonts w:ascii="Times New Roman" w:eastAsia="Times New Roman" w:hAnsi="Times New Roman"/>
          <w:sz w:val="24"/>
          <w:szCs w:val="24"/>
        </w:rPr>
        <w:t xml:space="preserve">ey personnel, including management depth and dependency on key personnel; </w:t>
      </w:r>
      <w:r>
        <w:rPr>
          <w:rFonts w:ascii="Times New Roman" w:eastAsia="Times New Roman" w:hAnsi="Times New Roman"/>
          <w:sz w:val="24"/>
          <w:szCs w:val="24"/>
        </w:rPr>
        <w:t xml:space="preserve"> and</w:t>
      </w:r>
    </w:p>
    <w:p w14:paraId="1D5EBD6F" w14:textId="22A06DE8" w:rsidR="009B0540" w:rsidRPr="009B0540" w:rsidRDefault="00AF5117" w:rsidP="002515AB">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A65BA0">
        <w:rPr>
          <w:rFonts w:ascii="Times New Roman" w:eastAsia="Times New Roman" w:hAnsi="Times New Roman"/>
          <w:sz w:val="24"/>
          <w:szCs w:val="24"/>
        </w:rPr>
        <w:t xml:space="preserve">inancial performance, liquidity, </w:t>
      </w:r>
      <w:r>
        <w:rPr>
          <w:rFonts w:ascii="Times New Roman" w:eastAsia="Times New Roman" w:hAnsi="Times New Roman"/>
          <w:sz w:val="24"/>
          <w:szCs w:val="24"/>
        </w:rPr>
        <w:t xml:space="preserve">audited financial statements, and </w:t>
      </w:r>
      <w:r w:rsidR="00A65BA0">
        <w:rPr>
          <w:rFonts w:ascii="Times New Roman" w:eastAsia="Times New Roman" w:hAnsi="Times New Roman"/>
          <w:sz w:val="24"/>
          <w:szCs w:val="24"/>
        </w:rPr>
        <w:t>capital and asset adequacy and metric</w:t>
      </w:r>
      <w:r>
        <w:rPr>
          <w:rFonts w:ascii="Times New Roman" w:eastAsia="Times New Roman" w:hAnsi="Times New Roman"/>
          <w:sz w:val="24"/>
          <w:szCs w:val="24"/>
        </w:rPr>
        <w:t>s.</w:t>
      </w:r>
      <w:r w:rsidR="00A65BA0">
        <w:rPr>
          <w:rFonts w:ascii="Times New Roman" w:eastAsia="Times New Roman" w:hAnsi="Times New Roman"/>
          <w:sz w:val="24"/>
          <w:szCs w:val="24"/>
        </w:rPr>
        <w:t xml:space="preserve"> </w:t>
      </w:r>
    </w:p>
    <w:p w14:paraId="1D5EBD70" w14:textId="77777777" w:rsidR="00A65BA0" w:rsidRPr="007F23B4" w:rsidRDefault="00A65BA0" w:rsidP="002515AB">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D71" w14:textId="06F90C14" w:rsidR="00A65BA0" w:rsidRPr="007766D9" w:rsidRDefault="00AF5117" w:rsidP="002515AB">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lastRenderedPageBreak/>
        <w:t>F</w:t>
      </w:r>
      <w:r w:rsidR="00A65BA0">
        <w:rPr>
          <w:rFonts w:ascii="Times New Roman" w:eastAsia="Times New Roman" w:hAnsi="Times New Roman"/>
          <w:sz w:val="24"/>
          <w:szCs w:val="24"/>
        </w:rPr>
        <w:t xml:space="preserve">or </w:t>
      </w:r>
      <w:r w:rsidR="00A65BA0" w:rsidRPr="008213B2">
        <w:rPr>
          <w:rFonts w:ascii="Times New Roman" w:eastAsia="Times New Roman" w:hAnsi="Times New Roman"/>
          <w:sz w:val="24"/>
          <w:szCs w:val="24"/>
        </w:rPr>
        <w:t>debt obligations</w:t>
      </w:r>
      <w:r w:rsidR="00A65BA0">
        <w:rPr>
          <w:rFonts w:ascii="Times New Roman" w:eastAsia="Times New Roman" w:hAnsi="Times New Roman"/>
          <w:sz w:val="24"/>
          <w:szCs w:val="24"/>
        </w:rPr>
        <w:t xml:space="preserve">, current payment status </w:t>
      </w:r>
      <w:r w:rsidR="00A65BA0" w:rsidRPr="008213B2">
        <w:rPr>
          <w:rFonts w:ascii="Times New Roman" w:eastAsia="Times New Roman" w:hAnsi="Times New Roman"/>
          <w:sz w:val="24"/>
          <w:szCs w:val="24"/>
        </w:rPr>
        <w:t>and compliance with programmatic and financial covenants</w:t>
      </w:r>
      <w:r>
        <w:rPr>
          <w:rFonts w:ascii="Times New Roman" w:eastAsia="Times New Roman" w:hAnsi="Times New Roman"/>
          <w:sz w:val="24"/>
          <w:szCs w:val="24"/>
        </w:rPr>
        <w:t>;</w:t>
      </w:r>
    </w:p>
    <w:p w14:paraId="1D5EBD72" w14:textId="7DB43AD5" w:rsidR="00A65BA0" w:rsidRPr="008F18E7" w:rsidRDefault="00AF5117" w:rsidP="002515AB">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w:t>
      </w:r>
      <w:r w:rsidR="00A65BA0" w:rsidRPr="008F18E7">
        <w:rPr>
          <w:rFonts w:ascii="Times New Roman" w:eastAsia="Times New Roman" w:hAnsi="Times New Roman"/>
          <w:sz w:val="24"/>
          <w:szCs w:val="24"/>
        </w:rPr>
        <w:t>aintenance of good-standing status with respect to all other obligations, in</w:t>
      </w:r>
      <w:r>
        <w:rPr>
          <w:rFonts w:ascii="Times New Roman" w:eastAsia="Times New Roman" w:hAnsi="Times New Roman"/>
          <w:sz w:val="24"/>
          <w:szCs w:val="24"/>
        </w:rPr>
        <w:t>surance and legal requirements;</w:t>
      </w:r>
    </w:p>
    <w:p w14:paraId="1D5EBD73" w14:textId="2C1D3524" w:rsidR="00A65BA0" w:rsidRDefault="00AF5117" w:rsidP="002515AB">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A65BA0">
        <w:rPr>
          <w:rFonts w:ascii="Times New Roman" w:eastAsia="Times New Roman" w:hAnsi="Times New Roman"/>
          <w:sz w:val="24"/>
          <w:szCs w:val="24"/>
        </w:rPr>
        <w:t>ny recent or outstanding corrective actions at the time of the Eligible CDFI underwriting of the Secondary Borrower.</w:t>
      </w:r>
    </w:p>
    <w:p w14:paraId="1D5EBD74" w14:textId="77777777" w:rsidR="00A65BA0" w:rsidRPr="007F74B3" w:rsidRDefault="00A65BA0" w:rsidP="002515AB">
      <w:pPr>
        <w:pStyle w:val="ListParagraph"/>
        <w:numPr>
          <w:ilvl w:val="0"/>
          <w:numId w:val="30"/>
        </w:numPr>
        <w:spacing w:after="0" w:line="240" w:lineRule="auto"/>
        <w:rPr>
          <w:rFonts w:ascii="Times New Roman" w:eastAsia="Times New Roman" w:hAnsi="Times New Roman"/>
          <w:sz w:val="24"/>
          <w:szCs w:val="24"/>
        </w:rPr>
      </w:pPr>
      <w:r w:rsidRPr="007F74B3">
        <w:rPr>
          <w:rFonts w:ascii="Times New Roman" w:eastAsia="Times New Roman" w:hAnsi="Times New Roman"/>
          <w:sz w:val="24"/>
          <w:szCs w:val="24"/>
        </w:rPr>
        <w:t>Specifically in connection with the Secondary Loan:</w:t>
      </w:r>
    </w:p>
    <w:p w14:paraId="1D5EBD75" w14:textId="5FC73D93" w:rsidR="00A65BA0" w:rsidRDefault="00AF5117" w:rsidP="00C737A2">
      <w:pPr>
        <w:pStyle w:val="ListParagraph"/>
        <w:numPr>
          <w:ilvl w:val="0"/>
          <w:numId w:val="43"/>
        </w:numPr>
        <w:spacing w:after="0" w:line="240" w:lineRule="auto"/>
        <w:rPr>
          <w:rFonts w:ascii="Times New Roman" w:hAnsi="Times New Roman"/>
          <w:sz w:val="24"/>
          <w:szCs w:val="24"/>
        </w:rPr>
      </w:pPr>
      <w:r>
        <w:rPr>
          <w:rFonts w:ascii="Times New Roman" w:hAnsi="Times New Roman"/>
          <w:sz w:val="24"/>
          <w:szCs w:val="24"/>
        </w:rPr>
        <w:t>O</w:t>
      </w:r>
      <w:r w:rsidR="00A65BA0">
        <w:rPr>
          <w:rFonts w:ascii="Times New Roman" w:hAnsi="Times New Roman"/>
          <w:sz w:val="24"/>
          <w:szCs w:val="24"/>
        </w:rPr>
        <w:t>perational and financial capacity for</w:t>
      </w:r>
      <w:r w:rsidR="00A65BA0" w:rsidRPr="00232F21">
        <w:rPr>
          <w:rFonts w:ascii="Times New Roman" w:hAnsi="Times New Roman"/>
          <w:sz w:val="24"/>
          <w:szCs w:val="24"/>
        </w:rPr>
        <w:t xml:space="preserve"> the proposed project</w:t>
      </w:r>
      <w:r w:rsidR="00A65BA0">
        <w:rPr>
          <w:rFonts w:ascii="Times New Roman" w:hAnsi="Times New Roman"/>
          <w:sz w:val="24"/>
          <w:szCs w:val="24"/>
        </w:rPr>
        <w:t xml:space="preserve"> that includes a funding mechanism to ensure payment of the Secondary Loan and other obligations;</w:t>
      </w:r>
    </w:p>
    <w:p w14:paraId="1D5EBD76" w14:textId="73633566" w:rsidR="00A65BA0" w:rsidRDefault="00AF5117" w:rsidP="00C737A2">
      <w:pPr>
        <w:pStyle w:val="ListParagraph"/>
        <w:numPr>
          <w:ilvl w:val="0"/>
          <w:numId w:val="43"/>
        </w:numPr>
        <w:spacing w:after="0" w:line="240" w:lineRule="auto"/>
        <w:contextualSpacing w:val="0"/>
        <w:rPr>
          <w:rFonts w:ascii="Times New Roman" w:hAnsi="Times New Roman"/>
          <w:sz w:val="24"/>
          <w:szCs w:val="24"/>
        </w:rPr>
      </w:pPr>
      <w:r>
        <w:rPr>
          <w:rFonts w:ascii="Times New Roman" w:hAnsi="Times New Roman"/>
          <w:sz w:val="24"/>
          <w:szCs w:val="24"/>
        </w:rPr>
        <w:t>M</w:t>
      </w:r>
      <w:r w:rsidR="00A65BA0" w:rsidRPr="007F74B3">
        <w:rPr>
          <w:rFonts w:ascii="Times New Roman" w:hAnsi="Times New Roman"/>
          <w:sz w:val="24"/>
          <w:szCs w:val="24"/>
        </w:rPr>
        <w:t xml:space="preserve">anagement and operational experience to carry out the proposed project that includes licensing and background credentials; a track record in the development, management, administration and operations of </w:t>
      </w:r>
      <w:r w:rsidR="009B0540">
        <w:rPr>
          <w:rFonts w:ascii="Times New Roman" w:hAnsi="Times New Roman"/>
          <w:sz w:val="24"/>
          <w:szCs w:val="24"/>
        </w:rPr>
        <w:t>rental housing</w:t>
      </w:r>
      <w:r w:rsidR="00A65BA0" w:rsidRPr="007F74B3">
        <w:rPr>
          <w:rFonts w:ascii="Times New Roman" w:hAnsi="Times New Roman"/>
          <w:sz w:val="24"/>
          <w:szCs w:val="24"/>
        </w:rPr>
        <w:t xml:space="preserve"> projects; and financial management capabilities and  financial resources to undertake the development and/or operation of the proposed project;</w:t>
      </w:r>
    </w:p>
    <w:p w14:paraId="1D5EBD77" w14:textId="67DEECA1" w:rsidR="00A65BA0" w:rsidRPr="007F74B3" w:rsidRDefault="00AF5117" w:rsidP="00C737A2">
      <w:pPr>
        <w:pStyle w:val="ListParagraph"/>
        <w:numPr>
          <w:ilvl w:val="0"/>
          <w:numId w:val="43"/>
        </w:numPr>
        <w:spacing w:after="0" w:line="240" w:lineRule="auto"/>
        <w:contextualSpacing w:val="0"/>
        <w:rPr>
          <w:rFonts w:ascii="Times New Roman" w:hAnsi="Times New Roman"/>
          <w:sz w:val="24"/>
          <w:szCs w:val="24"/>
        </w:rPr>
      </w:pPr>
      <w:r>
        <w:rPr>
          <w:rFonts w:ascii="Times New Roman" w:eastAsia="Times New Roman" w:hAnsi="Times New Roman"/>
          <w:sz w:val="24"/>
          <w:szCs w:val="24"/>
        </w:rPr>
        <w:t>C</w:t>
      </w:r>
      <w:r w:rsidR="00A65BA0" w:rsidRPr="007F74B3">
        <w:rPr>
          <w:rFonts w:ascii="Times New Roman" w:eastAsia="Times New Roman" w:hAnsi="Times New Roman"/>
          <w:sz w:val="24"/>
          <w:szCs w:val="24"/>
        </w:rPr>
        <w:t>urrent market conditions, demand assumptions, vacancy rates, collection assumptions,</w:t>
      </w:r>
      <w:r>
        <w:rPr>
          <w:rFonts w:ascii="Times New Roman" w:eastAsia="Times New Roman" w:hAnsi="Times New Roman"/>
          <w:sz w:val="24"/>
          <w:szCs w:val="24"/>
        </w:rPr>
        <w:t xml:space="preserve"> and turnover rates;</w:t>
      </w:r>
      <w:r w:rsidR="00A65BA0" w:rsidRPr="007F74B3">
        <w:rPr>
          <w:rFonts w:ascii="Times New Roman" w:eastAsia="Times New Roman" w:hAnsi="Times New Roman"/>
          <w:sz w:val="24"/>
          <w:szCs w:val="24"/>
        </w:rPr>
        <w:t xml:space="preserve"> </w:t>
      </w:r>
    </w:p>
    <w:p w14:paraId="74C5A9AE" w14:textId="77777777" w:rsidR="00AF5117" w:rsidRDefault="00AF5117" w:rsidP="002515AB">
      <w:pPr>
        <w:pStyle w:val="ListParagraph"/>
        <w:numPr>
          <w:ilvl w:val="0"/>
          <w:numId w:val="43"/>
        </w:numPr>
        <w:spacing w:line="240" w:lineRule="auto"/>
        <w:rPr>
          <w:rFonts w:ascii="Times New Roman" w:eastAsia="Times New Roman" w:hAnsi="Times New Roman"/>
          <w:sz w:val="24"/>
          <w:szCs w:val="24"/>
        </w:rPr>
      </w:pPr>
      <w:r>
        <w:rPr>
          <w:rFonts w:ascii="Times New Roman" w:eastAsia="Times New Roman" w:hAnsi="Times New Roman"/>
          <w:sz w:val="24"/>
          <w:szCs w:val="24"/>
        </w:rPr>
        <w:t>R</w:t>
      </w:r>
      <w:r w:rsidR="00A65BA0" w:rsidRPr="007B5362">
        <w:rPr>
          <w:rFonts w:ascii="Times New Roman" w:eastAsia="Times New Roman" w:hAnsi="Times New Roman"/>
          <w:sz w:val="24"/>
          <w:szCs w:val="24"/>
        </w:rPr>
        <w:t xml:space="preserve">evenues for the </w:t>
      </w:r>
      <w:r w:rsidR="00A65BA0">
        <w:rPr>
          <w:rFonts w:ascii="Times New Roman" w:eastAsia="Times New Roman" w:hAnsi="Times New Roman"/>
          <w:sz w:val="24"/>
          <w:szCs w:val="24"/>
        </w:rPr>
        <w:t>project that include</w:t>
      </w:r>
      <w:r w:rsidR="00A65BA0" w:rsidRPr="007B5362">
        <w:rPr>
          <w:rFonts w:ascii="Times New Roman" w:eastAsia="Times New Roman" w:hAnsi="Times New Roman"/>
          <w:sz w:val="24"/>
          <w:szCs w:val="24"/>
        </w:rPr>
        <w:t xml:space="preserve"> </w:t>
      </w:r>
      <w:r w:rsidR="00A65BA0">
        <w:rPr>
          <w:rFonts w:ascii="Times New Roman" w:eastAsia="Times New Roman" w:hAnsi="Times New Roman"/>
          <w:sz w:val="24"/>
          <w:szCs w:val="24"/>
        </w:rPr>
        <w:t xml:space="preserve">cash flow projections, </w:t>
      </w:r>
      <w:r w:rsidR="00A65BA0" w:rsidRPr="007F74B3">
        <w:rPr>
          <w:rFonts w:ascii="Times New Roman" w:eastAsia="Times New Roman" w:hAnsi="Times New Roman"/>
          <w:sz w:val="24"/>
          <w:szCs w:val="24"/>
        </w:rPr>
        <w:t>operating expenses, debt service requirements and any other project related costs or conditions that may affect the project;</w:t>
      </w:r>
      <w:r w:rsidR="00A65BA0">
        <w:rPr>
          <w:rFonts w:ascii="Times New Roman" w:eastAsia="Times New Roman" w:hAnsi="Times New Roman"/>
          <w:sz w:val="24"/>
          <w:szCs w:val="24"/>
        </w:rPr>
        <w:t xml:space="preserve"> </w:t>
      </w:r>
    </w:p>
    <w:p w14:paraId="1D5EBD78" w14:textId="21EF48B4" w:rsidR="009B0540" w:rsidRPr="009B0540" w:rsidRDefault="00AF5117" w:rsidP="002515AB">
      <w:pPr>
        <w:pStyle w:val="ListParagraph"/>
        <w:numPr>
          <w:ilvl w:val="0"/>
          <w:numId w:val="43"/>
        </w:numPr>
        <w:spacing w:line="240" w:lineRule="auto"/>
        <w:rPr>
          <w:rFonts w:ascii="Times New Roman" w:eastAsia="Times New Roman" w:hAnsi="Times New Roman"/>
          <w:sz w:val="24"/>
          <w:szCs w:val="24"/>
        </w:rPr>
      </w:pPr>
      <w:r>
        <w:rPr>
          <w:rFonts w:ascii="Times New Roman" w:eastAsia="Times New Roman" w:hAnsi="Times New Roman"/>
          <w:sz w:val="24"/>
          <w:szCs w:val="24"/>
        </w:rPr>
        <w:t>A</w:t>
      </w:r>
      <w:r w:rsidR="00A65BA0">
        <w:rPr>
          <w:rFonts w:ascii="Times New Roman" w:eastAsia="Times New Roman" w:hAnsi="Times New Roman"/>
          <w:sz w:val="24"/>
          <w:szCs w:val="24"/>
        </w:rPr>
        <w:t xml:space="preserve"> </w:t>
      </w:r>
      <w:r w:rsidR="00A65BA0" w:rsidRPr="009D6223">
        <w:rPr>
          <w:rFonts w:ascii="Times New Roman" w:eastAsia="Times New Roman" w:hAnsi="Times New Roman"/>
          <w:sz w:val="24"/>
          <w:szCs w:val="24"/>
        </w:rPr>
        <w:t xml:space="preserve">methodology </w:t>
      </w:r>
      <w:r w:rsidR="00A65BA0">
        <w:rPr>
          <w:rFonts w:ascii="Times New Roman" w:eastAsia="Times New Roman" w:hAnsi="Times New Roman"/>
          <w:sz w:val="24"/>
          <w:szCs w:val="24"/>
        </w:rPr>
        <w:t>and narrative discussion for the projected increase in revenue;</w:t>
      </w:r>
    </w:p>
    <w:p w14:paraId="1D5EBD79" w14:textId="77777777" w:rsidR="00A65BA0" w:rsidRPr="007F74B3" w:rsidRDefault="00A65BA0" w:rsidP="002515AB">
      <w:pPr>
        <w:pStyle w:val="ListParagraph"/>
        <w:numPr>
          <w:ilvl w:val="0"/>
          <w:numId w:val="43"/>
        </w:numPr>
        <w:spacing w:line="240" w:lineRule="auto"/>
        <w:rPr>
          <w:rFonts w:ascii="Times New Roman" w:eastAsia="Times New Roman" w:hAnsi="Times New Roman"/>
          <w:sz w:val="24"/>
          <w:szCs w:val="24"/>
        </w:rPr>
      </w:pPr>
      <w:r w:rsidRPr="007F74B3">
        <w:rPr>
          <w:rFonts w:ascii="Times New Roman" w:eastAsia="Times New Roman" w:hAnsi="Times New Roman"/>
          <w:sz w:val="24"/>
          <w:szCs w:val="24"/>
        </w:rPr>
        <w:t>The terms and impact of ground leases or other ongoing restrictions to the project and/or property;</w:t>
      </w:r>
    </w:p>
    <w:p w14:paraId="1D5EBD7A" w14:textId="6406F936" w:rsidR="00A65BA0" w:rsidRDefault="00AF5117" w:rsidP="002515AB">
      <w:pPr>
        <w:pStyle w:val="ListParagraph"/>
        <w:numPr>
          <w:ilvl w:val="0"/>
          <w:numId w:val="43"/>
        </w:numPr>
        <w:spacing w:line="240" w:lineRule="auto"/>
        <w:rPr>
          <w:rFonts w:ascii="Times New Roman" w:eastAsia="Times New Roman" w:hAnsi="Times New Roman"/>
          <w:sz w:val="24"/>
          <w:szCs w:val="24"/>
        </w:rPr>
      </w:pPr>
      <w:r>
        <w:rPr>
          <w:rFonts w:ascii="Times New Roman" w:eastAsia="Times New Roman" w:hAnsi="Times New Roman"/>
          <w:sz w:val="24"/>
          <w:szCs w:val="24"/>
        </w:rPr>
        <w:t>O</w:t>
      </w:r>
      <w:r w:rsidR="00A65BA0">
        <w:rPr>
          <w:rFonts w:ascii="Times New Roman" w:eastAsia="Times New Roman" w:hAnsi="Times New Roman"/>
          <w:sz w:val="24"/>
          <w:szCs w:val="24"/>
        </w:rPr>
        <w:t xml:space="preserve">perating, lease-up and replacement reserves and any other types of reserves established for the project; </w:t>
      </w:r>
    </w:p>
    <w:p w14:paraId="1D5EBD7B" w14:textId="069D07D9" w:rsidR="00A65BA0" w:rsidRDefault="00AF5117" w:rsidP="002515AB">
      <w:pPr>
        <w:pStyle w:val="ListParagraph"/>
        <w:numPr>
          <w:ilvl w:val="0"/>
          <w:numId w:val="43"/>
        </w:numPr>
        <w:spacing w:line="240" w:lineRule="auto"/>
        <w:rPr>
          <w:rFonts w:ascii="Times New Roman" w:eastAsia="Times New Roman" w:hAnsi="Times New Roman"/>
          <w:sz w:val="24"/>
          <w:szCs w:val="24"/>
        </w:rPr>
      </w:pPr>
      <w:r>
        <w:rPr>
          <w:rFonts w:ascii="Times New Roman" w:hAnsi="Times New Roman"/>
          <w:sz w:val="24"/>
          <w:szCs w:val="24"/>
        </w:rPr>
        <w:t>I</w:t>
      </w:r>
      <w:r w:rsidR="00A65BA0">
        <w:rPr>
          <w:rFonts w:ascii="Times New Roman" w:hAnsi="Times New Roman"/>
          <w:sz w:val="24"/>
          <w:szCs w:val="24"/>
        </w:rPr>
        <w:t>nsurance, at all times, to support the project and the organization</w:t>
      </w:r>
      <w:r w:rsidR="009B0540">
        <w:rPr>
          <w:rFonts w:ascii="Times New Roman" w:hAnsi="Times New Roman"/>
          <w:sz w:val="24"/>
          <w:szCs w:val="24"/>
        </w:rPr>
        <w:t>;</w:t>
      </w:r>
    </w:p>
    <w:p w14:paraId="1D5EBD7C" w14:textId="3493F5D8" w:rsidR="00A65BA0" w:rsidRDefault="00E00B26" w:rsidP="002515AB">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A</w:t>
      </w:r>
      <w:r w:rsidR="00A65BA0">
        <w:rPr>
          <w:rFonts w:ascii="Times New Roman" w:eastAsia="Times New Roman" w:hAnsi="Times New Roman"/>
          <w:sz w:val="24"/>
          <w:szCs w:val="24"/>
        </w:rPr>
        <w:t xml:space="preserve">s applicable, historical property financial performance that is supported by an audited financial statement, rent roll, project leases and any other operating information pertinent to </w:t>
      </w:r>
      <w:r w:rsidR="00AF5117">
        <w:rPr>
          <w:rFonts w:ascii="Times New Roman" w:eastAsia="Times New Roman" w:hAnsi="Times New Roman"/>
          <w:sz w:val="24"/>
          <w:szCs w:val="24"/>
        </w:rPr>
        <w:t>the underwriting of the project;</w:t>
      </w:r>
      <w:r w:rsidR="00A65BA0">
        <w:rPr>
          <w:rFonts w:ascii="Times New Roman" w:eastAsia="Times New Roman" w:hAnsi="Times New Roman"/>
          <w:sz w:val="24"/>
          <w:szCs w:val="24"/>
        </w:rPr>
        <w:t xml:space="preserve"> </w:t>
      </w:r>
    </w:p>
    <w:p w14:paraId="1D5EBD7D" w14:textId="54A7112A" w:rsidR="00A65BA0" w:rsidRDefault="00AF5117" w:rsidP="00C737A2">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00A65BA0">
        <w:rPr>
          <w:rFonts w:ascii="Times New Roman" w:eastAsia="Times New Roman" w:hAnsi="Times New Roman"/>
          <w:sz w:val="24"/>
          <w:szCs w:val="24"/>
        </w:rPr>
        <w:t>orking capital</w:t>
      </w:r>
      <w:r>
        <w:rPr>
          <w:rFonts w:ascii="Times New Roman" w:eastAsia="Times New Roman" w:hAnsi="Times New Roman"/>
          <w:sz w:val="24"/>
          <w:szCs w:val="24"/>
        </w:rPr>
        <w:t>;</w:t>
      </w:r>
      <w:r w:rsidR="00A65BA0">
        <w:rPr>
          <w:rFonts w:ascii="Times New Roman" w:eastAsia="Times New Roman" w:hAnsi="Times New Roman"/>
          <w:sz w:val="24"/>
          <w:szCs w:val="24"/>
        </w:rPr>
        <w:t xml:space="preserve"> </w:t>
      </w:r>
    </w:p>
    <w:p w14:paraId="1D5EBD7E" w14:textId="292B22CE" w:rsidR="00A65BA0" w:rsidRDefault="00AF5117" w:rsidP="00C737A2">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A65BA0" w:rsidRPr="00D7406E">
        <w:rPr>
          <w:rFonts w:ascii="Times New Roman" w:eastAsia="Times New Roman" w:hAnsi="Times New Roman"/>
          <w:sz w:val="24"/>
          <w:szCs w:val="24"/>
        </w:rPr>
        <w:t>ebt service coverage of the proposed Secondary Loan and all asso</w:t>
      </w:r>
      <w:r>
        <w:rPr>
          <w:rFonts w:ascii="Times New Roman" w:eastAsia="Times New Roman" w:hAnsi="Times New Roman"/>
          <w:sz w:val="24"/>
          <w:szCs w:val="24"/>
        </w:rPr>
        <w:t>ciated Secondary Borrower debt;</w:t>
      </w:r>
    </w:p>
    <w:p w14:paraId="1D5EBD7F" w14:textId="76E2FB12" w:rsidR="00A65BA0" w:rsidRDefault="00AF5117" w:rsidP="002515AB">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A65BA0">
        <w:rPr>
          <w:rFonts w:ascii="Times New Roman" w:eastAsia="Times New Roman" w:hAnsi="Times New Roman"/>
          <w:sz w:val="24"/>
          <w:szCs w:val="24"/>
        </w:rPr>
        <w:t>oan to value analysis</w:t>
      </w:r>
      <w:r>
        <w:rPr>
          <w:rFonts w:ascii="Times New Roman" w:eastAsia="Times New Roman" w:hAnsi="Times New Roman"/>
          <w:sz w:val="24"/>
          <w:szCs w:val="24"/>
        </w:rPr>
        <w:t xml:space="preserve">; </w:t>
      </w:r>
    </w:p>
    <w:p w14:paraId="1D5EBD80" w14:textId="6DD1A549" w:rsidR="00C47D4E" w:rsidRDefault="00AF5117" w:rsidP="002515AB">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C47D4E">
        <w:rPr>
          <w:rFonts w:ascii="Times New Roman" w:eastAsia="Times New Roman" w:hAnsi="Times New Roman"/>
          <w:sz w:val="24"/>
          <w:szCs w:val="24"/>
        </w:rPr>
        <w:t xml:space="preserve">dditional policies for single-family rental homes, supportive housing, and housing for the elderly (provided </w:t>
      </w:r>
      <w:r>
        <w:rPr>
          <w:rFonts w:ascii="Times New Roman" w:eastAsia="Times New Roman" w:hAnsi="Times New Roman"/>
          <w:sz w:val="24"/>
          <w:szCs w:val="24"/>
        </w:rPr>
        <w:t>no special license is required); and</w:t>
      </w:r>
    </w:p>
    <w:p w14:paraId="1D5EBD81" w14:textId="7CB5EA93" w:rsidR="00A65BA0" w:rsidRDefault="00AF5117" w:rsidP="002515AB">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A65BA0">
        <w:rPr>
          <w:rFonts w:ascii="Times New Roman" w:eastAsia="Times New Roman" w:hAnsi="Times New Roman"/>
          <w:sz w:val="24"/>
          <w:szCs w:val="24"/>
        </w:rPr>
        <w:t>ny Credit E</w:t>
      </w:r>
      <w:r w:rsidR="00A65BA0" w:rsidRPr="007B5362">
        <w:rPr>
          <w:rFonts w:ascii="Times New Roman" w:eastAsia="Times New Roman" w:hAnsi="Times New Roman"/>
          <w:sz w:val="24"/>
          <w:szCs w:val="24"/>
        </w:rPr>
        <w:t xml:space="preserve">nhancements, grants, guarantees or other support to the </w:t>
      </w:r>
      <w:r w:rsidR="00A65BA0">
        <w:rPr>
          <w:rFonts w:ascii="Times New Roman" w:eastAsia="Times New Roman" w:hAnsi="Times New Roman"/>
          <w:sz w:val="24"/>
          <w:szCs w:val="24"/>
        </w:rPr>
        <w:t>Secondary Borrower that</w:t>
      </w:r>
      <w:r w:rsidR="00A65BA0" w:rsidRPr="007B5362">
        <w:rPr>
          <w:rFonts w:ascii="Times New Roman" w:eastAsia="Times New Roman" w:hAnsi="Times New Roman"/>
          <w:sz w:val="24"/>
          <w:szCs w:val="24"/>
        </w:rPr>
        <w:t xml:space="preserve"> impact the underwriting and/or risk mitigation of the </w:t>
      </w:r>
      <w:r w:rsidR="00A65BA0">
        <w:rPr>
          <w:rFonts w:ascii="Times New Roman" w:eastAsia="Times New Roman" w:hAnsi="Times New Roman"/>
          <w:sz w:val="24"/>
          <w:szCs w:val="24"/>
        </w:rPr>
        <w:t>Secondary Loan.</w:t>
      </w:r>
    </w:p>
    <w:p w14:paraId="1D5EBD82" w14:textId="77777777" w:rsidR="009B0540" w:rsidRPr="00D7406E" w:rsidRDefault="009B0540" w:rsidP="009B0540">
      <w:pPr>
        <w:pStyle w:val="ListParagraph"/>
        <w:spacing w:after="0" w:line="240" w:lineRule="auto"/>
        <w:ind w:left="1440"/>
        <w:rPr>
          <w:rFonts w:ascii="Times New Roman" w:eastAsia="Times New Roman" w:hAnsi="Times New Roman"/>
          <w:sz w:val="24"/>
          <w:szCs w:val="24"/>
        </w:rPr>
      </w:pPr>
    </w:p>
    <w:p w14:paraId="1D5EBD83" w14:textId="6CB6CFD0" w:rsidR="000A5E47" w:rsidRPr="000A4773" w:rsidRDefault="009B0540" w:rsidP="005C48D0">
      <w:pPr>
        <w:pStyle w:val="ListParagraph"/>
        <w:numPr>
          <w:ilvl w:val="0"/>
          <w:numId w:val="4"/>
        </w:numPr>
        <w:spacing w:after="0" w:line="240" w:lineRule="auto"/>
        <w:ind w:left="360"/>
        <w:jc w:val="both"/>
        <w:rPr>
          <w:rFonts w:ascii="Times New Roman" w:eastAsia="Times New Roman" w:hAnsi="Times New Roman"/>
          <w:b/>
          <w:sz w:val="24"/>
          <w:szCs w:val="24"/>
        </w:rPr>
      </w:pPr>
      <w:r>
        <w:rPr>
          <w:rFonts w:ascii="Times New Roman" w:eastAsia="Times New Roman" w:hAnsi="Times New Roman"/>
          <w:b/>
          <w:smallCaps/>
          <w:sz w:val="24"/>
          <w:szCs w:val="24"/>
        </w:rPr>
        <w:t>Rural</w:t>
      </w:r>
      <w:r w:rsidR="000A5E47">
        <w:rPr>
          <w:rFonts w:ascii="Times New Roman" w:eastAsia="Times New Roman" w:hAnsi="Times New Roman"/>
          <w:b/>
          <w:smallCaps/>
          <w:sz w:val="24"/>
          <w:szCs w:val="24"/>
        </w:rPr>
        <w:t xml:space="preserve"> Infrastructure</w:t>
      </w:r>
      <w:r w:rsidR="00F6502A">
        <w:rPr>
          <w:rFonts w:ascii="Times New Roman" w:eastAsia="Times New Roman" w:hAnsi="Times New Roman"/>
          <w:b/>
          <w:smallCaps/>
          <w:sz w:val="24"/>
          <w:szCs w:val="24"/>
        </w:rPr>
        <w:t xml:space="preserve"> Lending</w:t>
      </w:r>
      <w:r w:rsidR="000A5E47">
        <w:rPr>
          <w:rFonts w:ascii="Times New Roman" w:eastAsia="Times New Roman" w:hAnsi="Times New Roman"/>
          <w:b/>
          <w:smallCaps/>
          <w:sz w:val="24"/>
          <w:szCs w:val="24"/>
        </w:rPr>
        <w:t>:</w:t>
      </w:r>
    </w:p>
    <w:p w14:paraId="1D5EBD84" w14:textId="4E98ACAC" w:rsidR="00622AFE" w:rsidRDefault="005D2907" w:rsidP="00622AFE">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As opposed to lending directly to </w:t>
      </w:r>
      <w:r w:rsidR="00FF5AE2">
        <w:rPr>
          <w:rFonts w:ascii="Times New Roman" w:eastAsia="Times New Roman" w:hAnsi="Times New Roman"/>
          <w:sz w:val="24"/>
          <w:szCs w:val="24"/>
        </w:rPr>
        <w:t xml:space="preserve">urban </w:t>
      </w:r>
      <w:r>
        <w:rPr>
          <w:rFonts w:ascii="Times New Roman" w:eastAsia="Times New Roman" w:hAnsi="Times New Roman"/>
          <w:sz w:val="24"/>
          <w:szCs w:val="24"/>
        </w:rPr>
        <w:t>municipalities</w:t>
      </w:r>
      <w:r w:rsidR="00E00B26">
        <w:rPr>
          <w:rFonts w:ascii="Times New Roman" w:eastAsia="Times New Roman" w:hAnsi="Times New Roman"/>
          <w:sz w:val="24"/>
          <w:szCs w:val="24"/>
        </w:rPr>
        <w:t>,</w:t>
      </w:r>
      <w:r>
        <w:rPr>
          <w:rFonts w:ascii="Times New Roman" w:eastAsia="Times New Roman" w:hAnsi="Times New Roman"/>
          <w:sz w:val="24"/>
          <w:szCs w:val="24"/>
        </w:rPr>
        <w:t xml:space="preserve"> which have sufficient access to other forms of capital, this asset class is intended to address the financing of municipal infrastructural projects (water, sewer,</w:t>
      </w:r>
      <w:r w:rsidR="00646259">
        <w:rPr>
          <w:rFonts w:ascii="Times New Roman" w:eastAsia="Times New Roman" w:hAnsi="Times New Roman"/>
          <w:sz w:val="24"/>
          <w:szCs w:val="24"/>
        </w:rPr>
        <w:t xml:space="preserve"> </w:t>
      </w:r>
      <w:r>
        <w:rPr>
          <w:rFonts w:ascii="Times New Roman" w:eastAsia="Times New Roman" w:hAnsi="Times New Roman"/>
          <w:sz w:val="24"/>
          <w:szCs w:val="24"/>
        </w:rPr>
        <w:t xml:space="preserve">etc.) that support </w:t>
      </w:r>
      <w:r w:rsidR="0042257C">
        <w:rPr>
          <w:rFonts w:ascii="Times New Roman" w:eastAsia="Times New Roman" w:hAnsi="Times New Roman"/>
          <w:sz w:val="24"/>
          <w:szCs w:val="24"/>
        </w:rPr>
        <w:t>devel</w:t>
      </w:r>
      <w:r w:rsidR="00A52396">
        <w:rPr>
          <w:rFonts w:ascii="Times New Roman" w:eastAsia="Times New Roman" w:hAnsi="Times New Roman"/>
          <w:sz w:val="24"/>
          <w:szCs w:val="24"/>
        </w:rPr>
        <w:t>opment in low-income or underserved rural areas as</w:t>
      </w:r>
      <w:r w:rsidR="00E00B26">
        <w:rPr>
          <w:rFonts w:ascii="Times New Roman" w:eastAsia="Times New Roman" w:hAnsi="Times New Roman"/>
          <w:sz w:val="24"/>
          <w:szCs w:val="24"/>
        </w:rPr>
        <w:t xml:space="preserve"> defined in 12 C.F.R. 1808.102</w:t>
      </w:r>
      <w:r w:rsidR="00A52396">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622AFE">
        <w:rPr>
          <w:rFonts w:ascii="Times New Roman" w:eastAsia="Times New Roman" w:hAnsi="Times New Roman"/>
          <w:sz w:val="24"/>
          <w:szCs w:val="24"/>
        </w:rPr>
        <w:t xml:space="preserve">The Eligible CDFI’s </w:t>
      </w:r>
      <w:r w:rsidR="00622AFE" w:rsidRPr="00F5734D">
        <w:rPr>
          <w:rFonts w:ascii="Times New Roman" w:eastAsia="Times New Roman" w:hAnsi="Times New Roman"/>
          <w:sz w:val="24"/>
          <w:szCs w:val="24"/>
        </w:rPr>
        <w:t xml:space="preserve">underwriting </w:t>
      </w:r>
      <w:r w:rsidR="00622AFE">
        <w:rPr>
          <w:rFonts w:ascii="Times New Roman" w:eastAsia="Times New Roman" w:hAnsi="Times New Roman"/>
          <w:sz w:val="24"/>
          <w:szCs w:val="24"/>
        </w:rPr>
        <w:t>policies and evaluation criteria for a Secondary Borrower</w:t>
      </w:r>
      <w:r w:rsidR="00622AFE" w:rsidRPr="00F5734D">
        <w:rPr>
          <w:rFonts w:ascii="Times New Roman" w:eastAsia="Times New Roman" w:hAnsi="Times New Roman"/>
          <w:sz w:val="24"/>
          <w:szCs w:val="24"/>
        </w:rPr>
        <w:t xml:space="preserve"> </w:t>
      </w:r>
      <w:r w:rsidR="00622AFE">
        <w:rPr>
          <w:rFonts w:ascii="Times New Roman" w:eastAsia="Times New Roman" w:hAnsi="Times New Roman"/>
          <w:sz w:val="24"/>
          <w:szCs w:val="24"/>
        </w:rPr>
        <w:t>under this asset class must address</w:t>
      </w:r>
      <w:r w:rsidR="00622AFE" w:rsidRPr="00F5734D">
        <w:rPr>
          <w:rFonts w:ascii="Times New Roman" w:eastAsia="Times New Roman" w:hAnsi="Times New Roman"/>
          <w:sz w:val="24"/>
          <w:szCs w:val="24"/>
        </w:rPr>
        <w:t xml:space="preserve"> the following</w:t>
      </w:r>
      <w:r w:rsidR="00622AFE">
        <w:rPr>
          <w:rFonts w:ascii="Times New Roman" w:eastAsia="Times New Roman" w:hAnsi="Times New Roman"/>
          <w:sz w:val="24"/>
          <w:szCs w:val="24"/>
        </w:rPr>
        <w:t>:</w:t>
      </w:r>
    </w:p>
    <w:p w14:paraId="1D5EBD86" w14:textId="77777777" w:rsidR="00F11ABD" w:rsidRDefault="00F11ABD" w:rsidP="003A3B3F">
      <w:pPr>
        <w:spacing w:after="0" w:line="240" w:lineRule="auto"/>
        <w:ind w:left="360"/>
        <w:rPr>
          <w:rFonts w:ascii="Times New Roman" w:eastAsia="Times New Roman" w:hAnsi="Times New Roman"/>
          <w:sz w:val="24"/>
          <w:szCs w:val="24"/>
        </w:rPr>
      </w:pPr>
    </w:p>
    <w:p w14:paraId="1D5EBD87" w14:textId="68417A02" w:rsidR="00DC6AF1" w:rsidRDefault="00FF5AE2" w:rsidP="00415B0A">
      <w:pPr>
        <w:pStyle w:val="ListParagraph"/>
        <w:numPr>
          <w:ilvl w:val="0"/>
          <w:numId w:val="35"/>
        </w:numPr>
        <w:spacing w:after="0" w:line="240" w:lineRule="auto"/>
        <w:contextualSpacing w:val="0"/>
        <w:rPr>
          <w:rFonts w:ascii="Times New Roman" w:hAnsi="Times New Roman"/>
          <w:sz w:val="24"/>
          <w:szCs w:val="24"/>
        </w:rPr>
      </w:pPr>
      <w:r>
        <w:rPr>
          <w:rFonts w:ascii="Times New Roman" w:hAnsi="Times New Roman"/>
          <w:sz w:val="24"/>
          <w:szCs w:val="24"/>
        </w:rPr>
        <w:lastRenderedPageBreak/>
        <w:t>I</w:t>
      </w:r>
      <w:r w:rsidR="00DC6AF1" w:rsidRPr="00BA6D88">
        <w:rPr>
          <w:rFonts w:ascii="Times New Roman" w:hAnsi="Times New Roman"/>
          <w:sz w:val="24"/>
          <w:szCs w:val="24"/>
        </w:rPr>
        <w:t>ncorporat</w:t>
      </w:r>
      <w:r>
        <w:rPr>
          <w:rFonts w:ascii="Times New Roman" w:hAnsi="Times New Roman"/>
          <w:sz w:val="24"/>
          <w:szCs w:val="24"/>
        </w:rPr>
        <w:t>ion</w:t>
      </w:r>
      <w:r w:rsidR="00DC6AF1" w:rsidRPr="00BA6D88">
        <w:rPr>
          <w:rFonts w:ascii="Times New Roman" w:hAnsi="Times New Roman"/>
          <w:sz w:val="24"/>
          <w:szCs w:val="24"/>
        </w:rPr>
        <w:t xml:space="preserve"> as an independent public governing body with elected officials</w:t>
      </w:r>
      <w:r w:rsidR="00DC6AF1">
        <w:rPr>
          <w:rFonts w:ascii="Times New Roman" w:hAnsi="Times New Roman"/>
          <w:sz w:val="24"/>
          <w:szCs w:val="24"/>
        </w:rPr>
        <w:t xml:space="preserve"> that have the authority to levy assessments and/or taxes as necessary to cover </w:t>
      </w:r>
      <w:r w:rsidR="00D55B7C">
        <w:rPr>
          <w:rFonts w:ascii="Times New Roman" w:hAnsi="Times New Roman"/>
          <w:sz w:val="24"/>
          <w:szCs w:val="24"/>
        </w:rPr>
        <w:t>operating costs and debt service;</w:t>
      </w:r>
    </w:p>
    <w:p w14:paraId="1D5EBD88" w14:textId="20A563B0" w:rsidR="00DC6AF1" w:rsidRDefault="00FF5AE2" w:rsidP="00415B0A">
      <w:pPr>
        <w:pStyle w:val="ListParagraph"/>
        <w:numPr>
          <w:ilvl w:val="0"/>
          <w:numId w:val="35"/>
        </w:numPr>
        <w:spacing w:after="0" w:line="240" w:lineRule="auto"/>
        <w:contextualSpacing w:val="0"/>
        <w:rPr>
          <w:rFonts w:ascii="Times New Roman" w:hAnsi="Times New Roman"/>
          <w:sz w:val="24"/>
          <w:szCs w:val="24"/>
        </w:rPr>
      </w:pPr>
      <w:r>
        <w:rPr>
          <w:rFonts w:ascii="Times New Roman" w:hAnsi="Times New Roman"/>
          <w:sz w:val="24"/>
          <w:szCs w:val="24"/>
        </w:rPr>
        <w:t>A</w:t>
      </w:r>
      <w:r w:rsidR="00DC6AF1">
        <w:rPr>
          <w:rFonts w:ascii="Times New Roman" w:hAnsi="Times New Roman"/>
          <w:sz w:val="24"/>
          <w:szCs w:val="24"/>
        </w:rPr>
        <w:t>uthority to issue debt secured by a revenue source under the co</w:t>
      </w:r>
      <w:r w:rsidR="00F11ABD">
        <w:rPr>
          <w:rFonts w:ascii="Times New Roman" w:hAnsi="Times New Roman"/>
          <w:sz w:val="24"/>
          <w:szCs w:val="24"/>
        </w:rPr>
        <w:t>ntrol of the Secondary Borrower</w:t>
      </w:r>
      <w:r w:rsidR="00D55B7C">
        <w:rPr>
          <w:rFonts w:ascii="Times New Roman" w:hAnsi="Times New Roman"/>
          <w:sz w:val="24"/>
          <w:szCs w:val="24"/>
        </w:rPr>
        <w:t>;</w:t>
      </w:r>
    </w:p>
    <w:p w14:paraId="1D5EBD89" w14:textId="77777777" w:rsidR="00FF5AE2" w:rsidRPr="007F23B4" w:rsidRDefault="00FF5AE2" w:rsidP="00FF5AE2">
      <w:pPr>
        <w:pStyle w:val="ListParagraph"/>
        <w:numPr>
          <w:ilvl w:val="0"/>
          <w:numId w:val="8"/>
        </w:numPr>
        <w:spacing w:after="0" w:line="240" w:lineRule="auto"/>
        <w:ind w:left="720"/>
        <w:rPr>
          <w:rFonts w:ascii="Times New Roman" w:eastAsia="Times New Roman" w:hAnsi="Times New Roman"/>
          <w:i/>
          <w:sz w:val="24"/>
          <w:szCs w:val="24"/>
          <w:u w:val="single"/>
        </w:rPr>
      </w:pPr>
      <w:r>
        <w:rPr>
          <w:rFonts w:ascii="Times New Roman" w:eastAsia="Times New Roman" w:hAnsi="Times New Roman"/>
          <w:sz w:val="24"/>
          <w:szCs w:val="24"/>
        </w:rPr>
        <w:t xml:space="preserve">Management and financial capacity and performance in all facets of operations, including: </w:t>
      </w:r>
    </w:p>
    <w:p w14:paraId="1D5EBD8A" w14:textId="5CB89769" w:rsidR="00FF5AE2" w:rsidRPr="007F23B4" w:rsidRDefault="00AF5117" w:rsidP="00FF5AE2">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FF5AE2">
        <w:rPr>
          <w:rFonts w:ascii="Times New Roman" w:eastAsia="Times New Roman" w:hAnsi="Times New Roman"/>
          <w:sz w:val="24"/>
          <w:szCs w:val="24"/>
        </w:rPr>
        <w:t xml:space="preserve">overnance; </w:t>
      </w:r>
    </w:p>
    <w:p w14:paraId="1D5EBD8B" w14:textId="73A2DC9C" w:rsidR="00FF5AE2" w:rsidRPr="007F23B4" w:rsidRDefault="00AF5117" w:rsidP="00FF5AE2">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FF5AE2">
        <w:rPr>
          <w:rFonts w:ascii="Times New Roman" w:eastAsia="Times New Roman" w:hAnsi="Times New Roman"/>
          <w:sz w:val="24"/>
          <w:szCs w:val="24"/>
        </w:rPr>
        <w:t xml:space="preserve">ey personnel, including management depth and dependency on key personnel; </w:t>
      </w:r>
    </w:p>
    <w:p w14:paraId="1D5EBD8C" w14:textId="5FAA83D0" w:rsidR="00FF5AE2" w:rsidRPr="008867B9" w:rsidRDefault="00D55B7C" w:rsidP="00FF5AE2">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FF5AE2">
        <w:rPr>
          <w:rFonts w:ascii="Times New Roman" w:eastAsia="Times New Roman" w:hAnsi="Times New Roman"/>
          <w:sz w:val="24"/>
          <w:szCs w:val="24"/>
        </w:rPr>
        <w:t xml:space="preserve">inancial performance, liquidity, </w:t>
      </w:r>
      <w:r w:rsidR="00AF5117">
        <w:rPr>
          <w:rFonts w:ascii="Times New Roman" w:eastAsia="Times New Roman" w:hAnsi="Times New Roman"/>
          <w:sz w:val="24"/>
          <w:szCs w:val="24"/>
        </w:rPr>
        <w:t xml:space="preserve">audited financial statements; and </w:t>
      </w:r>
      <w:r w:rsidR="00FF5AE2">
        <w:rPr>
          <w:rFonts w:ascii="Times New Roman" w:eastAsia="Times New Roman" w:hAnsi="Times New Roman"/>
          <w:sz w:val="24"/>
          <w:szCs w:val="24"/>
        </w:rPr>
        <w:t>capita</w:t>
      </w:r>
      <w:r w:rsidR="00AF5117">
        <w:rPr>
          <w:rFonts w:ascii="Times New Roman" w:eastAsia="Times New Roman" w:hAnsi="Times New Roman"/>
          <w:sz w:val="24"/>
          <w:szCs w:val="24"/>
        </w:rPr>
        <w:t>l and asset adequacy and metrics;</w:t>
      </w:r>
    </w:p>
    <w:p w14:paraId="1D5EBD8D" w14:textId="65EB274D" w:rsidR="00FF5AE2" w:rsidRDefault="00AF5117" w:rsidP="00FF5AE2">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B</w:t>
      </w:r>
      <w:r w:rsidR="00FF5AE2">
        <w:rPr>
          <w:rFonts w:ascii="Times New Roman" w:eastAsia="Times New Roman" w:hAnsi="Times New Roman"/>
          <w:sz w:val="24"/>
          <w:szCs w:val="24"/>
        </w:rPr>
        <w:t>udgeting and forecasting performance and managing discrepancies between the budget and actual results;</w:t>
      </w:r>
      <w:r w:rsidR="00FF5AE2" w:rsidRPr="00B5111D">
        <w:rPr>
          <w:rFonts w:ascii="Times New Roman" w:eastAsia="Times New Roman" w:hAnsi="Times New Roman"/>
          <w:sz w:val="24"/>
          <w:szCs w:val="24"/>
        </w:rPr>
        <w:t xml:space="preserve"> </w:t>
      </w:r>
    </w:p>
    <w:p w14:paraId="1D5EBD8E" w14:textId="4CADAD28" w:rsidR="00FF5AE2" w:rsidRDefault="00AF5117" w:rsidP="00C737A2">
      <w:pPr>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FF5AE2">
        <w:rPr>
          <w:rFonts w:ascii="Times New Roman" w:eastAsia="Times New Roman" w:hAnsi="Times New Roman"/>
          <w:sz w:val="24"/>
          <w:szCs w:val="24"/>
        </w:rPr>
        <w:t>u</w:t>
      </w:r>
      <w:r w:rsidR="00FF5AE2" w:rsidRPr="004F7005">
        <w:rPr>
          <w:rFonts w:ascii="Times New Roman" w:eastAsia="Times New Roman" w:hAnsi="Times New Roman"/>
          <w:sz w:val="24"/>
          <w:szCs w:val="24"/>
        </w:rPr>
        <w:t xml:space="preserve">nding mechanisms and </w:t>
      </w:r>
      <w:r w:rsidR="00FF5AE2">
        <w:rPr>
          <w:rFonts w:ascii="Times New Roman" w:eastAsia="Times New Roman" w:hAnsi="Times New Roman"/>
          <w:sz w:val="24"/>
          <w:szCs w:val="24"/>
        </w:rPr>
        <w:t>the ability to manage payment delays;</w:t>
      </w:r>
    </w:p>
    <w:p w14:paraId="1D5EBD8F" w14:textId="6E6B3FBF" w:rsidR="00FF5AE2" w:rsidRPr="00941753" w:rsidRDefault="00AF5117" w:rsidP="00FF5AE2">
      <w:pPr>
        <w:pStyle w:val="ListParagraph"/>
        <w:numPr>
          <w:ilvl w:val="1"/>
          <w:numId w:val="15"/>
        </w:numPr>
        <w:spacing w:after="0" w:line="240" w:lineRule="auto"/>
        <w:rPr>
          <w:rFonts w:ascii="Times New Roman" w:eastAsia="Times New Roman" w:hAnsi="Times New Roman"/>
          <w:sz w:val="24"/>
          <w:szCs w:val="24"/>
        </w:rPr>
      </w:pPr>
      <w:r>
        <w:rPr>
          <w:rFonts w:ascii="Times New Roman" w:hAnsi="Times New Roman"/>
          <w:sz w:val="24"/>
          <w:szCs w:val="24"/>
        </w:rPr>
        <w:t>A</w:t>
      </w:r>
      <w:r w:rsidR="00FF5AE2" w:rsidRPr="00F11ABD">
        <w:rPr>
          <w:rFonts w:ascii="Times New Roman" w:hAnsi="Times New Roman"/>
          <w:sz w:val="24"/>
          <w:szCs w:val="24"/>
        </w:rPr>
        <w:t xml:space="preserve"> track record in working with </w:t>
      </w:r>
      <w:r w:rsidR="00FF5AE2">
        <w:rPr>
          <w:rFonts w:ascii="Times New Roman" w:hAnsi="Times New Roman"/>
          <w:sz w:val="24"/>
          <w:szCs w:val="24"/>
        </w:rPr>
        <w:t>S</w:t>
      </w:r>
      <w:r w:rsidR="00FF5AE2" w:rsidRPr="00F11ABD">
        <w:rPr>
          <w:rFonts w:ascii="Times New Roman" w:hAnsi="Times New Roman"/>
          <w:sz w:val="24"/>
          <w:szCs w:val="24"/>
        </w:rPr>
        <w:t>tate</w:t>
      </w:r>
      <w:r w:rsidR="00FF5AE2">
        <w:rPr>
          <w:rFonts w:ascii="Times New Roman" w:hAnsi="Times New Roman"/>
          <w:sz w:val="24"/>
          <w:szCs w:val="24"/>
        </w:rPr>
        <w:t>,</w:t>
      </w:r>
      <w:r w:rsidR="00FF5AE2" w:rsidRPr="00F11ABD">
        <w:rPr>
          <w:rFonts w:ascii="Times New Roman" w:hAnsi="Times New Roman"/>
          <w:sz w:val="24"/>
          <w:szCs w:val="24"/>
        </w:rPr>
        <w:t xml:space="preserve"> local</w:t>
      </w:r>
      <w:r w:rsidR="00FF5AE2">
        <w:rPr>
          <w:rFonts w:ascii="Times New Roman" w:hAnsi="Times New Roman"/>
          <w:sz w:val="24"/>
          <w:szCs w:val="24"/>
        </w:rPr>
        <w:t xml:space="preserve"> and Federal</w:t>
      </w:r>
      <w:r w:rsidR="00FF5AE2" w:rsidRPr="00F11ABD">
        <w:rPr>
          <w:rFonts w:ascii="Times New Roman" w:hAnsi="Times New Roman"/>
          <w:sz w:val="24"/>
          <w:szCs w:val="24"/>
        </w:rPr>
        <w:t xml:space="preserve"> governments</w:t>
      </w:r>
      <w:r w:rsidR="00FF5AE2">
        <w:rPr>
          <w:rFonts w:ascii="Times New Roman" w:hAnsi="Times New Roman"/>
          <w:sz w:val="24"/>
          <w:szCs w:val="24"/>
        </w:rPr>
        <w:t>, as</w:t>
      </w:r>
      <w:r w:rsidR="00FF5AE2" w:rsidRPr="00F11ABD">
        <w:rPr>
          <w:rFonts w:ascii="Times New Roman" w:hAnsi="Times New Roman"/>
          <w:sz w:val="24"/>
          <w:szCs w:val="24"/>
        </w:rPr>
        <w:t xml:space="preserve"> applicable</w:t>
      </w:r>
      <w:r>
        <w:rPr>
          <w:rFonts w:ascii="Times New Roman" w:hAnsi="Times New Roman"/>
          <w:sz w:val="24"/>
          <w:szCs w:val="24"/>
        </w:rPr>
        <w:t>; and</w:t>
      </w:r>
    </w:p>
    <w:p w14:paraId="1D5EBD90" w14:textId="237964C5" w:rsidR="00FF5AE2" w:rsidRPr="008F18E7" w:rsidRDefault="00AF5117" w:rsidP="00FF5AE2">
      <w:pPr>
        <w:pStyle w:val="ListParagraph"/>
        <w:numPr>
          <w:ilvl w:val="1"/>
          <w:numId w:val="1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FF5AE2">
        <w:rPr>
          <w:rFonts w:ascii="Times New Roman" w:eastAsia="Times New Roman" w:hAnsi="Times New Roman"/>
          <w:sz w:val="24"/>
          <w:szCs w:val="24"/>
        </w:rPr>
        <w:t>ompliance with all environmental and other governmental standards</w:t>
      </w:r>
      <w:r>
        <w:rPr>
          <w:rFonts w:ascii="Times New Roman" w:eastAsia="Times New Roman" w:hAnsi="Times New Roman"/>
          <w:sz w:val="24"/>
          <w:szCs w:val="24"/>
        </w:rPr>
        <w:t>.</w:t>
      </w:r>
    </w:p>
    <w:p w14:paraId="1D5EBD91" w14:textId="77777777" w:rsidR="00FF5AE2" w:rsidRPr="007F23B4" w:rsidRDefault="00FF5AE2" w:rsidP="00FF5AE2">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D92" w14:textId="55D8CFD1" w:rsidR="00FF5AE2" w:rsidRPr="007766D9" w:rsidRDefault="00FF5AE2" w:rsidP="00FF5AE2">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For </w:t>
      </w:r>
      <w:r w:rsidRPr="008213B2">
        <w:rPr>
          <w:rFonts w:ascii="Times New Roman" w:eastAsia="Times New Roman" w:hAnsi="Times New Roman"/>
          <w:sz w:val="24"/>
          <w:szCs w:val="24"/>
        </w:rPr>
        <w:t>debt obligations</w:t>
      </w:r>
      <w:r>
        <w:rPr>
          <w:rFonts w:ascii="Times New Roman" w:eastAsia="Times New Roman" w:hAnsi="Times New Roman"/>
          <w:sz w:val="24"/>
          <w:szCs w:val="24"/>
        </w:rPr>
        <w:t xml:space="preserve">, current payment status </w:t>
      </w:r>
      <w:r w:rsidRPr="008213B2">
        <w:rPr>
          <w:rFonts w:ascii="Times New Roman" w:eastAsia="Times New Roman" w:hAnsi="Times New Roman"/>
          <w:sz w:val="24"/>
          <w:szCs w:val="24"/>
        </w:rPr>
        <w:t>and compliance with programmatic and financial covenants</w:t>
      </w:r>
      <w:r w:rsidR="00AF5117">
        <w:rPr>
          <w:rFonts w:ascii="Times New Roman" w:eastAsia="Times New Roman" w:hAnsi="Times New Roman"/>
          <w:sz w:val="24"/>
          <w:szCs w:val="24"/>
        </w:rPr>
        <w:t>;</w:t>
      </w:r>
    </w:p>
    <w:p w14:paraId="1D5EBD93" w14:textId="6CA7281C" w:rsidR="00FF5AE2" w:rsidRDefault="00AF5117" w:rsidP="00C737A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w:t>
      </w:r>
      <w:r w:rsidR="00FF5AE2" w:rsidRPr="008F18E7">
        <w:rPr>
          <w:rFonts w:ascii="Times New Roman" w:eastAsia="Times New Roman" w:hAnsi="Times New Roman"/>
          <w:sz w:val="24"/>
          <w:szCs w:val="24"/>
        </w:rPr>
        <w:t>aintenance of good-standing status with respect to all other obligations, insurance and legal requiremen</w:t>
      </w:r>
      <w:r>
        <w:rPr>
          <w:rFonts w:ascii="Times New Roman" w:eastAsia="Times New Roman" w:hAnsi="Times New Roman"/>
          <w:sz w:val="24"/>
          <w:szCs w:val="24"/>
        </w:rPr>
        <w:t>ts;</w:t>
      </w:r>
      <w:r w:rsidR="00FF5AE2" w:rsidRPr="008F18E7">
        <w:rPr>
          <w:rFonts w:ascii="Times New Roman" w:eastAsia="Times New Roman" w:hAnsi="Times New Roman"/>
          <w:sz w:val="24"/>
          <w:szCs w:val="24"/>
        </w:rPr>
        <w:t xml:space="preserve"> </w:t>
      </w:r>
      <w:r>
        <w:rPr>
          <w:rFonts w:ascii="Times New Roman" w:eastAsia="Times New Roman" w:hAnsi="Times New Roman"/>
          <w:sz w:val="24"/>
          <w:szCs w:val="24"/>
        </w:rPr>
        <w:t>and</w:t>
      </w:r>
    </w:p>
    <w:p w14:paraId="1D5EBD94" w14:textId="5A258689" w:rsidR="00FF5AE2" w:rsidRDefault="00AF5117" w:rsidP="00FF5AE2">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FF5AE2">
        <w:rPr>
          <w:rFonts w:ascii="Times New Roman" w:eastAsia="Times New Roman" w:hAnsi="Times New Roman"/>
          <w:sz w:val="24"/>
          <w:szCs w:val="24"/>
        </w:rPr>
        <w:t>ny recent or outstanding corrective actions at the time of the Eligible CDFI underwr</w:t>
      </w:r>
      <w:r>
        <w:rPr>
          <w:rFonts w:ascii="Times New Roman" w:eastAsia="Times New Roman" w:hAnsi="Times New Roman"/>
          <w:sz w:val="24"/>
          <w:szCs w:val="24"/>
        </w:rPr>
        <w:t>iting of the Secondary Borrower.</w:t>
      </w:r>
    </w:p>
    <w:p w14:paraId="1D5EBD95" w14:textId="77777777" w:rsidR="00FF5AE2" w:rsidRPr="007F23B4" w:rsidRDefault="00FF5AE2" w:rsidP="00FF5AE2">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Specifically in connection with the Secondary Loan:</w:t>
      </w:r>
    </w:p>
    <w:p w14:paraId="1D5EBD96" w14:textId="08DB3CAF" w:rsidR="00FF5AE2" w:rsidRPr="00FF5AE2" w:rsidRDefault="00AF5117" w:rsidP="00C737A2">
      <w:pPr>
        <w:pStyle w:val="ListParagraph"/>
        <w:numPr>
          <w:ilvl w:val="0"/>
          <w:numId w:val="12"/>
        </w:numPr>
        <w:spacing w:after="0" w:line="240" w:lineRule="auto"/>
        <w:rPr>
          <w:rFonts w:ascii="Times New Roman" w:eastAsia="Times New Roman" w:hAnsi="Times New Roman"/>
          <w:sz w:val="24"/>
          <w:szCs w:val="24"/>
        </w:rPr>
      </w:pPr>
      <w:r>
        <w:rPr>
          <w:rFonts w:ascii="Times New Roman" w:hAnsi="Times New Roman"/>
          <w:sz w:val="24"/>
          <w:szCs w:val="24"/>
        </w:rPr>
        <w:t>O</w:t>
      </w:r>
      <w:r w:rsidR="00FF5AE2" w:rsidRPr="00FF5AE2">
        <w:rPr>
          <w:rFonts w:ascii="Times New Roman" w:hAnsi="Times New Roman"/>
          <w:sz w:val="24"/>
          <w:szCs w:val="24"/>
        </w:rPr>
        <w:t>perational and financial capacity to undertake the project</w:t>
      </w:r>
      <w:r w:rsidR="00FF5AE2">
        <w:rPr>
          <w:rFonts w:ascii="Times New Roman" w:hAnsi="Times New Roman"/>
          <w:sz w:val="24"/>
          <w:szCs w:val="24"/>
        </w:rPr>
        <w:t>,</w:t>
      </w:r>
      <w:r w:rsidR="00FF5AE2" w:rsidRPr="00FF5AE2">
        <w:rPr>
          <w:rFonts w:ascii="Times New Roman" w:hAnsi="Times New Roman"/>
          <w:sz w:val="24"/>
          <w:szCs w:val="24"/>
        </w:rPr>
        <w:t xml:space="preserve"> </w:t>
      </w:r>
      <w:r w:rsidR="00FF5AE2" w:rsidRPr="00F11ABD">
        <w:rPr>
          <w:rFonts w:ascii="Times New Roman" w:hAnsi="Times New Roman"/>
          <w:sz w:val="24"/>
          <w:szCs w:val="24"/>
        </w:rPr>
        <w:t>includ</w:t>
      </w:r>
      <w:r w:rsidR="00FF5AE2">
        <w:rPr>
          <w:rFonts w:ascii="Times New Roman" w:hAnsi="Times New Roman"/>
          <w:sz w:val="24"/>
          <w:szCs w:val="24"/>
        </w:rPr>
        <w:t>ing</w:t>
      </w:r>
      <w:r w:rsidR="00FF5AE2" w:rsidRPr="00F11ABD">
        <w:rPr>
          <w:rFonts w:ascii="Times New Roman" w:hAnsi="Times New Roman"/>
          <w:sz w:val="24"/>
          <w:szCs w:val="24"/>
        </w:rPr>
        <w:t xml:space="preserve"> licensing and credentials;</w:t>
      </w:r>
    </w:p>
    <w:p w14:paraId="1D5EBD97" w14:textId="2B8FB893" w:rsidR="009B06C5" w:rsidRDefault="00AF5117" w:rsidP="00C737A2">
      <w:pPr>
        <w:pStyle w:val="ListParagraph"/>
        <w:numPr>
          <w:ilvl w:val="0"/>
          <w:numId w:val="12"/>
        </w:numPr>
        <w:spacing w:after="0" w:line="240" w:lineRule="auto"/>
        <w:contextualSpacing w:val="0"/>
        <w:rPr>
          <w:rFonts w:ascii="Times New Roman" w:hAnsi="Times New Roman"/>
          <w:sz w:val="24"/>
          <w:szCs w:val="24"/>
        </w:rPr>
      </w:pPr>
      <w:r>
        <w:rPr>
          <w:rFonts w:ascii="Times New Roman" w:hAnsi="Times New Roman"/>
          <w:sz w:val="24"/>
          <w:szCs w:val="24"/>
        </w:rPr>
        <w:t>A</w:t>
      </w:r>
      <w:r w:rsidR="009B06C5" w:rsidRPr="00BA6D88">
        <w:rPr>
          <w:rFonts w:ascii="Times New Roman" w:hAnsi="Times New Roman"/>
          <w:sz w:val="24"/>
          <w:szCs w:val="24"/>
        </w:rPr>
        <w:t xml:space="preserve"> track record </w:t>
      </w:r>
      <w:r w:rsidR="00D55B7C">
        <w:rPr>
          <w:rFonts w:ascii="Times New Roman" w:hAnsi="Times New Roman"/>
          <w:sz w:val="24"/>
          <w:szCs w:val="24"/>
        </w:rPr>
        <w:t xml:space="preserve">of </w:t>
      </w:r>
      <w:r w:rsidR="009B06C5" w:rsidRPr="00BA6D88">
        <w:rPr>
          <w:rFonts w:ascii="Times New Roman" w:hAnsi="Times New Roman"/>
          <w:sz w:val="24"/>
          <w:szCs w:val="24"/>
        </w:rPr>
        <w:t>working with various public and private constituencies to develop similar projects</w:t>
      </w:r>
      <w:r w:rsidR="009B06C5">
        <w:rPr>
          <w:rFonts w:ascii="Times New Roman" w:hAnsi="Times New Roman"/>
          <w:sz w:val="24"/>
          <w:szCs w:val="24"/>
        </w:rPr>
        <w:t>;</w:t>
      </w:r>
    </w:p>
    <w:p w14:paraId="1D5EBD98" w14:textId="2F00985C" w:rsidR="00BF1D87" w:rsidRDefault="00AF5117" w:rsidP="00BF1D87">
      <w:pPr>
        <w:pStyle w:val="ListParagraph"/>
        <w:numPr>
          <w:ilvl w:val="0"/>
          <w:numId w:val="12"/>
        </w:numPr>
        <w:spacing w:after="0" w:line="240" w:lineRule="auto"/>
        <w:contextualSpacing w:val="0"/>
        <w:rPr>
          <w:rFonts w:ascii="Times New Roman" w:eastAsia="Times New Roman" w:hAnsi="Times New Roman"/>
          <w:sz w:val="24"/>
          <w:szCs w:val="24"/>
        </w:rPr>
      </w:pPr>
      <w:r>
        <w:rPr>
          <w:rFonts w:ascii="Times New Roman" w:eastAsia="Times New Roman" w:hAnsi="Times New Roman"/>
          <w:sz w:val="24"/>
          <w:szCs w:val="24"/>
        </w:rPr>
        <w:t>F</w:t>
      </w:r>
      <w:r w:rsidR="00BF1D87" w:rsidRPr="009F2C34">
        <w:rPr>
          <w:rFonts w:ascii="Times New Roman" w:eastAsia="Times New Roman" w:hAnsi="Times New Roman"/>
          <w:sz w:val="24"/>
          <w:szCs w:val="24"/>
        </w:rPr>
        <w:t>unding mechanisms and payment requirements, if any, that a</w:t>
      </w:r>
      <w:r w:rsidR="00BF1D87">
        <w:rPr>
          <w:rFonts w:ascii="Times New Roman" w:eastAsia="Times New Roman" w:hAnsi="Times New Roman"/>
          <w:sz w:val="24"/>
          <w:szCs w:val="24"/>
        </w:rPr>
        <w:t>re predictable, accountable and insulate</w:t>
      </w:r>
      <w:r w:rsidR="00BF1D87" w:rsidRPr="009F2C34">
        <w:rPr>
          <w:rFonts w:ascii="Times New Roman" w:eastAsia="Times New Roman" w:hAnsi="Times New Roman"/>
          <w:sz w:val="24"/>
          <w:szCs w:val="24"/>
        </w:rPr>
        <w:t xml:space="preserve"> sources of repayment from any potential performance issues of the proposed </w:t>
      </w:r>
      <w:r w:rsidR="00BF1D87">
        <w:rPr>
          <w:rFonts w:ascii="Times New Roman" w:eastAsia="Times New Roman" w:hAnsi="Times New Roman"/>
          <w:sz w:val="24"/>
          <w:szCs w:val="24"/>
        </w:rPr>
        <w:t>facility or project;</w:t>
      </w:r>
      <w:r w:rsidR="00BF1D87" w:rsidRPr="00645D26">
        <w:rPr>
          <w:rFonts w:ascii="Times New Roman" w:eastAsia="Times New Roman" w:hAnsi="Times New Roman"/>
          <w:sz w:val="24"/>
          <w:szCs w:val="24"/>
        </w:rPr>
        <w:t xml:space="preserve"> </w:t>
      </w:r>
    </w:p>
    <w:p w14:paraId="1D5EBD99" w14:textId="23417D95" w:rsidR="009B06C5" w:rsidRPr="002D2D36" w:rsidRDefault="00AF5117" w:rsidP="00C737A2">
      <w:pPr>
        <w:pStyle w:val="ListParagraph"/>
        <w:numPr>
          <w:ilvl w:val="0"/>
          <w:numId w:val="12"/>
        </w:numPr>
        <w:spacing w:after="0" w:line="240" w:lineRule="auto"/>
        <w:contextualSpacing w:val="0"/>
        <w:rPr>
          <w:rFonts w:ascii="Times New Roman" w:hAnsi="Times New Roman"/>
          <w:sz w:val="24"/>
          <w:szCs w:val="24"/>
        </w:rPr>
      </w:pPr>
      <w:r>
        <w:rPr>
          <w:rFonts w:ascii="Times New Roman" w:hAnsi="Times New Roman"/>
          <w:sz w:val="24"/>
          <w:szCs w:val="24"/>
        </w:rPr>
        <w:t>T</w:t>
      </w:r>
      <w:r w:rsidR="009B06C5" w:rsidRPr="002D2D36">
        <w:rPr>
          <w:rFonts w:ascii="Times New Roman" w:hAnsi="Times New Roman"/>
          <w:sz w:val="24"/>
          <w:szCs w:val="24"/>
        </w:rPr>
        <w:t>he authority and willingness to pledge a</w:t>
      </w:r>
      <w:r w:rsidR="00BF1D87">
        <w:rPr>
          <w:rFonts w:ascii="Times New Roman" w:hAnsi="Times New Roman"/>
          <w:sz w:val="24"/>
          <w:szCs w:val="24"/>
        </w:rPr>
        <w:t>ny expected</w:t>
      </w:r>
      <w:r w:rsidR="009B06C5" w:rsidRPr="002D2D36">
        <w:rPr>
          <w:rFonts w:ascii="Times New Roman" w:hAnsi="Times New Roman"/>
          <w:sz w:val="24"/>
          <w:szCs w:val="24"/>
        </w:rPr>
        <w:t xml:space="preserve"> revenue source toward the repayment of the Secondary Loan</w:t>
      </w:r>
      <w:r w:rsidR="009B06C5">
        <w:rPr>
          <w:rFonts w:ascii="Times New Roman" w:hAnsi="Times New Roman"/>
          <w:sz w:val="24"/>
          <w:szCs w:val="24"/>
        </w:rPr>
        <w:t>;</w:t>
      </w:r>
    </w:p>
    <w:p w14:paraId="1D5EBD9A" w14:textId="2E89E536" w:rsidR="009B06C5" w:rsidRPr="009B06C5" w:rsidRDefault="00AF5117" w:rsidP="00C737A2">
      <w:pPr>
        <w:pStyle w:val="ListParagraph"/>
        <w:numPr>
          <w:ilvl w:val="0"/>
          <w:numId w:val="12"/>
        </w:numPr>
        <w:spacing w:after="0" w:line="240" w:lineRule="auto"/>
        <w:contextualSpacing w:val="0"/>
        <w:rPr>
          <w:rFonts w:ascii="Times New Roman" w:hAnsi="Times New Roman"/>
          <w:sz w:val="24"/>
          <w:szCs w:val="24"/>
        </w:rPr>
      </w:pPr>
      <w:r>
        <w:rPr>
          <w:rFonts w:ascii="Times New Roman" w:hAnsi="Times New Roman"/>
          <w:sz w:val="24"/>
          <w:szCs w:val="24"/>
        </w:rPr>
        <w:t>T</w:t>
      </w:r>
      <w:r w:rsidR="009B06C5" w:rsidRPr="009B06C5">
        <w:rPr>
          <w:rFonts w:ascii="Times New Roman" w:hAnsi="Times New Roman"/>
          <w:sz w:val="24"/>
          <w:szCs w:val="24"/>
        </w:rPr>
        <w:t xml:space="preserve">he reliability and sustainability of pledged revenues through essentiality of service, taxing powers, reasonably expected economic growth, and/or existing demand, </w:t>
      </w:r>
      <w:r w:rsidR="009B06C5">
        <w:rPr>
          <w:rFonts w:ascii="Times New Roman" w:hAnsi="Times New Roman"/>
          <w:sz w:val="24"/>
          <w:szCs w:val="24"/>
        </w:rPr>
        <w:t>without expiration, competing claims or revocation</w:t>
      </w:r>
      <w:r w:rsidR="009B06C5" w:rsidRPr="009B06C5">
        <w:rPr>
          <w:rFonts w:ascii="Times New Roman" w:hAnsi="Times New Roman"/>
          <w:sz w:val="24"/>
          <w:szCs w:val="24"/>
        </w:rPr>
        <w:t xml:space="preserve"> except as contemplated in the Secondary </w:t>
      </w:r>
      <w:r w:rsidR="00D55B7C">
        <w:rPr>
          <w:rFonts w:ascii="Times New Roman" w:hAnsi="Times New Roman"/>
          <w:sz w:val="24"/>
          <w:szCs w:val="24"/>
        </w:rPr>
        <w:t xml:space="preserve">Loan </w:t>
      </w:r>
      <w:r w:rsidR="00E92661">
        <w:rPr>
          <w:rFonts w:ascii="Times New Roman" w:hAnsi="Times New Roman"/>
          <w:sz w:val="24"/>
          <w:szCs w:val="24"/>
        </w:rPr>
        <w:t>a</w:t>
      </w:r>
      <w:r w:rsidR="009B06C5" w:rsidRPr="009B06C5">
        <w:rPr>
          <w:rFonts w:ascii="Times New Roman" w:hAnsi="Times New Roman"/>
          <w:sz w:val="24"/>
          <w:szCs w:val="24"/>
        </w:rPr>
        <w:t>greement</w:t>
      </w:r>
      <w:r w:rsidR="009B06C5">
        <w:rPr>
          <w:rFonts w:ascii="Times New Roman" w:hAnsi="Times New Roman"/>
          <w:sz w:val="24"/>
          <w:szCs w:val="24"/>
        </w:rPr>
        <w:t>;</w:t>
      </w:r>
    </w:p>
    <w:p w14:paraId="1D5EBD9B" w14:textId="75D2F59C" w:rsidR="00FF5AE2" w:rsidRPr="00FF5AE2" w:rsidRDefault="00AF5117" w:rsidP="00FF5AE2">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C</w:t>
      </w:r>
      <w:r w:rsidR="00FF5AE2" w:rsidRPr="00FF5AE2">
        <w:rPr>
          <w:rFonts w:ascii="Times New Roman" w:eastAsia="Times New Roman" w:hAnsi="Times New Roman"/>
          <w:sz w:val="24"/>
          <w:szCs w:val="24"/>
        </w:rPr>
        <w:t>urrent market conditions, demand assumptions, collection assumptions, operating expenses, debt service requirements and any other project related costs or conditions that may affect the project</w:t>
      </w:r>
    </w:p>
    <w:p w14:paraId="1D5EBD9C" w14:textId="6AB299E9" w:rsidR="00FF5AE2" w:rsidRPr="007B5362" w:rsidRDefault="00AF5117" w:rsidP="00FF5AE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FF5AE2" w:rsidRPr="007B5362">
        <w:rPr>
          <w:rFonts w:ascii="Times New Roman" w:eastAsia="Times New Roman" w:hAnsi="Times New Roman"/>
          <w:sz w:val="24"/>
          <w:szCs w:val="24"/>
        </w:rPr>
        <w:t>n ability</w:t>
      </w:r>
      <w:r w:rsidR="00FF5AE2">
        <w:rPr>
          <w:rFonts w:ascii="Times New Roman" w:eastAsia="Times New Roman" w:hAnsi="Times New Roman"/>
          <w:sz w:val="24"/>
          <w:szCs w:val="24"/>
        </w:rPr>
        <w:t xml:space="preserve"> of the Secondary Borrower/project</w:t>
      </w:r>
      <w:r w:rsidR="00FF5AE2" w:rsidRPr="007B5362">
        <w:rPr>
          <w:rFonts w:ascii="Times New Roman" w:eastAsia="Times New Roman" w:hAnsi="Times New Roman"/>
          <w:sz w:val="24"/>
          <w:szCs w:val="24"/>
        </w:rPr>
        <w:t xml:space="preserve"> to pay all asso</w:t>
      </w:r>
      <w:r w:rsidR="00FF5AE2">
        <w:rPr>
          <w:rFonts w:ascii="Times New Roman" w:eastAsia="Times New Roman" w:hAnsi="Times New Roman"/>
          <w:sz w:val="24"/>
          <w:szCs w:val="24"/>
        </w:rPr>
        <w:t>ciated expenses on the project that include</w:t>
      </w:r>
      <w:r w:rsidR="00FF5AE2" w:rsidRPr="007B5362">
        <w:rPr>
          <w:rFonts w:ascii="Times New Roman" w:eastAsia="Times New Roman" w:hAnsi="Times New Roman"/>
          <w:sz w:val="24"/>
          <w:szCs w:val="24"/>
        </w:rPr>
        <w:t xml:space="preserve"> principal and interest and all ope</w:t>
      </w:r>
      <w:r w:rsidR="00FF5AE2">
        <w:rPr>
          <w:rFonts w:ascii="Times New Roman" w:eastAsia="Times New Roman" w:hAnsi="Times New Roman"/>
          <w:sz w:val="24"/>
          <w:szCs w:val="24"/>
        </w:rPr>
        <w:t>rating and maintenance expenses;</w:t>
      </w:r>
    </w:p>
    <w:p w14:paraId="1D5EBD9D" w14:textId="3FAF087D" w:rsidR="00FF5AE2" w:rsidRDefault="00AF5117" w:rsidP="00FF5AE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00FF5AE2">
        <w:rPr>
          <w:rFonts w:ascii="Times New Roman" w:eastAsia="Times New Roman" w:hAnsi="Times New Roman"/>
          <w:sz w:val="24"/>
          <w:szCs w:val="24"/>
        </w:rPr>
        <w:t>orking capital</w:t>
      </w:r>
      <w:r>
        <w:rPr>
          <w:rFonts w:ascii="Times New Roman" w:eastAsia="Times New Roman" w:hAnsi="Times New Roman"/>
          <w:sz w:val="24"/>
          <w:szCs w:val="24"/>
        </w:rPr>
        <w:t>;</w:t>
      </w:r>
      <w:r w:rsidR="00FF5AE2">
        <w:rPr>
          <w:rFonts w:ascii="Times New Roman" w:eastAsia="Times New Roman" w:hAnsi="Times New Roman"/>
          <w:sz w:val="24"/>
          <w:szCs w:val="24"/>
        </w:rPr>
        <w:t xml:space="preserve"> </w:t>
      </w:r>
    </w:p>
    <w:p w14:paraId="1D5EBD9E" w14:textId="55A9E171" w:rsidR="00BF1D87" w:rsidRDefault="00AF5117" w:rsidP="00FF5AE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R</w:t>
      </w:r>
      <w:r w:rsidR="00BF1D87">
        <w:rPr>
          <w:rFonts w:ascii="Times New Roman" w:eastAsia="Times New Roman" w:hAnsi="Times New Roman"/>
          <w:sz w:val="24"/>
          <w:szCs w:val="24"/>
        </w:rPr>
        <w:t>eserves for debt service, operations or maintenance to mitigate identified risks;</w:t>
      </w:r>
    </w:p>
    <w:p w14:paraId="1D5EBD9F" w14:textId="416B4474" w:rsidR="00FF5AE2" w:rsidRPr="007B5362" w:rsidRDefault="00E92661" w:rsidP="00FF5AE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D</w:t>
      </w:r>
      <w:r w:rsidR="00FF5AE2" w:rsidRPr="007B5362">
        <w:rPr>
          <w:rFonts w:ascii="Times New Roman" w:eastAsia="Times New Roman" w:hAnsi="Times New Roman"/>
          <w:sz w:val="24"/>
          <w:szCs w:val="24"/>
        </w:rPr>
        <w:t>ebt</w:t>
      </w:r>
      <w:r w:rsidR="00FF5AE2">
        <w:rPr>
          <w:rFonts w:ascii="Times New Roman" w:eastAsia="Times New Roman" w:hAnsi="Times New Roman"/>
          <w:sz w:val="24"/>
          <w:szCs w:val="24"/>
        </w:rPr>
        <w:t xml:space="preserve"> </w:t>
      </w:r>
      <w:r w:rsidR="00FF5AE2" w:rsidRPr="007B5362">
        <w:rPr>
          <w:rFonts w:ascii="Times New Roman" w:eastAsia="Times New Roman" w:hAnsi="Times New Roman"/>
          <w:sz w:val="24"/>
          <w:szCs w:val="24"/>
        </w:rPr>
        <w:t>se</w:t>
      </w:r>
      <w:r w:rsidR="00FF5AE2">
        <w:rPr>
          <w:rFonts w:ascii="Times New Roman" w:eastAsia="Times New Roman" w:hAnsi="Times New Roman"/>
          <w:sz w:val="24"/>
          <w:szCs w:val="24"/>
        </w:rPr>
        <w:t>rvice coverage of the Secondary L</w:t>
      </w:r>
      <w:r w:rsidR="00FF5AE2" w:rsidRPr="007B5362">
        <w:rPr>
          <w:rFonts w:ascii="Times New Roman" w:eastAsia="Times New Roman" w:hAnsi="Times New Roman"/>
          <w:sz w:val="24"/>
          <w:szCs w:val="24"/>
        </w:rPr>
        <w:t xml:space="preserve">oan and all associated </w:t>
      </w:r>
      <w:r w:rsidR="00FF5AE2">
        <w:rPr>
          <w:rFonts w:ascii="Times New Roman" w:eastAsia="Times New Roman" w:hAnsi="Times New Roman"/>
          <w:sz w:val="24"/>
          <w:szCs w:val="24"/>
        </w:rPr>
        <w:t>Secondary B</w:t>
      </w:r>
      <w:r w:rsidR="00396C7C">
        <w:rPr>
          <w:rFonts w:ascii="Times New Roman" w:eastAsia="Times New Roman" w:hAnsi="Times New Roman"/>
          <w:sz w:val="24"/>
          <w:szCs w:val="24"/>
        </w:rPr>
        <w:t xml:space="preserve">orrower debt; </w:t>
      </w:r>
    </w:p>
    <w:p w14:paraId="1D5EBDA0" w14:textId="303B569F" w:rsidR="00FF5AE2" w:rsidRDefault="00396C7C" w:rsidP="00FF5AE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L</w:t>
      </w:r>
      <w:r w:rsidR="00FF5AE2">
        <w:rPr>
          <w:rFonts w:ascii="Times New Roman" w:eastAsia="Times New Roman" w:hAnsi="Times New Roman"/>
          <w:sz w:val="24"/>
          <w:szCs w:val="24"/>
        </w:rPr>
        <w:t>oan to value ratio</w:t>
      </w:r>
      <w:r>
        <w:rPr>
          <w:rFonts w:ascii="Times New Roman" w:eastAsia="Times New Roman" w:hAnsi="Times New Roman"/>
          <w:sz w:val="24"/>
          <w:szCs w:val="24"/>
        </w:rPr>
        <w:t>;</w:t>
      </w:r>
    </w:p>
    <w:p w14:paraId="7C14422B" w14:textId="7E488B73" w:rsidR="00396C7C" w:rsidRDefault="00396C7C" w:rsidP="00FF5AE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Any Credit Enhancements, grants, guarantees or other support</w:t>
      </w:r>
      <w:r w:rsidR="003B2934">
        <w:rPr>
          <w:rFonts w:ascii="Times New Roman" w:eastAsia="Times New Roman" w:hAnsi="Times New Roman"/>
          <w:sz w:val="24"/>
          <w:szCs w:val="24"/>
        </w:rPr>
        <w:t xml:space="preserve"> to the Secondary Borrower </w:t>
      </w:r>
      <w:r w:rsidR="003B2934" w:rsidRPr="00E92661">
        <w:rPr>
          <w:rFonts w:ascii="Times New Roman" w:eastAsia="Times New Roman" w:hAnsi="Times New Roman"/>
          <w:sz w:val="24"/>
          <w:szCs w:val="24"/>
        </w:rPr>
        <w:t>that</w:t>
      </w:r>
      <w:r>
        <w:rPr>
          <w:rFonts w:ascii="Times New Roman" w:eastAsia="Times New Roman" w:hAnsi="Times New Roman"/>
          <w:sz w:val="24"/>
          <w:szCs w:val="24"/>
        </w:rPr>
        <w:t xml:space="preserve"> impact the underwriting and/or risk mitigation of the Secondary Loan; and </w:t>
      </w:r>
    </w:p>
    <w:p w14:paraId="3CACED7C" w14:textId="255DA235" w:rsidR="00396C7C" w:rsidRDefault="00396C7C" w:rsidP="00FF5AE2">
      <w:pPr>
        <w:pStyle w:val="ListParagraph"/>
        <w:numPr>
          <w:ilvl w:val="0"/>
          <w:numId w:val="4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 forecast of performance that incorporates assumptions with respect to user fees, tax receipts, and other sources of revenue.  The forecast of performance must also be reasonable and consistent with local market conditions and trends.</w:t>
      </w:r>
    </w:p>
    <w:p w14:paraId="1D5EBDA5" w14:textId="77777777" w:rsidR="00855245" w:rsidRDefault="00855245" w:rsidP="003A3B3F">
      <w:pPr>
        <w:spacing w:after="0" w:line="240" w:lineRule="auto"/>
        <w:rPr>
          <w:rFonts w:ascii="Times New Roman" w:eastAsia="Times New Roman" w:hAnsi="Times New Roman"/>
          <w:sz w:val="24"/>
          <w:szCs w:val="24"/>
        </w:rPr>
      </w:pPr>
    </w:p>
    <w:p w14:paraId="1D5EBDA6" w14:textId="566DA5FA" w:rsidR="00855245" w:rsidRDefault="00BA79D1" w:rsidP="003A3B3F">
      <w:pPr>
        <w:pStyle w:val="ListParagraph"/>
        <w:numPr>
          <w:ilvl w:val="0"/>
          <w:numId w:val="4"/>
        </w:numPr>
        <w:spacing w:after="0" w:line="240" w:lineRule="auto"/>
        <w:ind w:left="360"/>
        <w:rPr>
          <w:rFonts w:ascii="Times New Roman" w:eastAsia="Times New Roman" w:hAnsi="Times New Roman"/>
          <w:b/>
          <w:smallCaps/>
          <w:sz w:val="24"/>
          <w:szCs w:val="24"/>
        </w:rPr>
      </w:pPr>
      <w:r>
        <w:rPr>
          <w:rFonts w:ascii="Times New Roman" w:eastAsia="Times New Roman" w:hAnsi="Times New Roman"/>
          <w:b/>
          <w:smallCaps/>
          <w:sz w:val="24"/>
          <w:szCs w:val="24"/>
        </w:rPr>
        <w:t xml:space="preserve">Owner Occupied Home </w:t>
      </w:r>
      <w:r w:rsidR="00F6502A">
        <w:rPr>
          <w:rFonts w:ascii="Times New Roman" w:eastAsia="Times New Roman" w:hAnsi="Times New Roman"/>
          <w:b/>
          <w:smallCaps/>
          <w:sz w:val="24"/>
          <w:szCs w:val="24"/>
        </w:rPr>
        <w:t>Mortgage Lending</w:t>
      </w:r>
      <w:r w:rsidR="00646259">
        <w:rPr>
          <w:rFonts w:ascii="Times New Roman" w:eastAsia="Times New Roman" w:hAnsi="Times New Roman"/>
          <w:b/>
          <w:smallCaps/>
          <w:sz w:val="24"/>
          <w:szCs w:val="24"/>
        </w:rPr>
        <w:t>:</w:t>
      </w:r>
      <w:r w:rsidR="003E3B16">
        <w:rPr>
          <w:rFonts w:ascii="Times New Roman" w:eastAsia="Times New Roman" w:hAnsi="Times New Roman"/>
          <w:b/>
          <w:smallCaps/>
          <w:sz w:val="24"/>
          <w:szCs w:val="24"/>
        </w:rPr>
        <w:t xml:space="preserve"> </w:t>
      </w:r>
    </w:p>
    <w:p w14:paraId="1D5EBDA7" w14:textId="401AC35F" w:rsidR="00B43E7E" w:rsidRDefault="00B43E7E" w:rsidP="003A3B3F">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The </w:t>
      </w:r>
      <w:r w:rsidR="003B2934">
        <w:rPr>
          <w:rFonts w:ascii="Times New Roman" w:eastAsia="Times New Roman" w:hAnsi="Times New Roman"/>
          <w:sz w:val="24"/>
          <w:szCs w:val="24"/>
        </w:rPr>
        <w:t xml:space="preserve">Eligible </w:t>
      </w:r>
      <w:r>
        <w:rPr>
          <w:rFonts w:ascii="Times New Roman" w:eastAsia="Times New Roman" w:hAnsi="Times New Roman"/>
          <w:sz w:val="24"/>
          <w:szCs w:val="24"/>
        </w:rPr>
        <w:t>CDFI’s</w:t>
      </w:r>
      <w:r w:rsidR="004D3A68">
        <w:rPr>
          <w:rFonts w:ascii="Times New Roman" w:eastAsia="Times New Roman" w:hAnsi="Times New Roman"/>
          <w:sz w:val="24"/>
          <w:szCs w:val="24"/>
        </w:rPr>
        <w:t xml:space="preserve"> poli</w:t>
      </w:r>
      <w:r w:rsidR="00112B07">
        <w:rPr>
          <w:rFonts w:ascii="Times New Roman" w:eastAsia="Times New Roman" w:hAnsi="Times New Roman"/>
          <w:sz w:val="24"/>
          <w:szCs w:val="24"/>
        </w:rPr>
        <w:t>cies and procedures must demonstrate</w:t>
      </w:r>
      <w:r>
        <w:rPr>
          <w:rFonts w:ascii="Times New Roman" w:eastAsia="Times New Roman" w:hAnsi="Times New Roman"/>
          <w:sz w:val="24"/>
          <w:szCs w:val="24"/>
        </w:rPr>
        <w:t>:</w:t>
      </w:r>
    </w:p>
    <w:p w14:paraId="1D5EBDA8" w14:textId="0DF2DE94" w:rsidR="00B43E7E" w:rsidRPr="00A05D60" w:rsidRDefault="003B2934" w:rsidP="00352024">
      <w:pPr>
        <w:pStyle w:val="ListParagraph"/>
        <w:numPr>
          <w:ilvl w:val="0"/>
          <w:numId w:val="52"/>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A</w:t>
      </w:r>
      <w:r w:rsidR="00B43E7E">
        <w:rPr>
          <w:rFonts w:ascii="Times New Roman" w:eastAsia="Times New Roman" w:hAnsi="Times New Roman"/>
          <w:sz w:val="24"/>
          <w:szCs w:val="24"/>
        </w:rPr>
        <w:t xml:space="preserve"> process for compliance management for single-family mortgage loans that includes The Home Mortgage Disclosure Act, Equal Credit Opportunity Act and Truth-i</w:t>
      </w:r>
      <w:r w:rsidR="00B43E7E" w:rsidRPr="00A05D60">
        <w:rPr>
          <w:rFonts w:ascii="Times New Roman" w:eastAsia="Times New Roman" w:hAnsi="Times New Roman"/>
          <w:sz w:val="24"/>
          <w:szCs w:val="24"/>
        </w:rPr>
        <w:t xml:space="preserve">n-Lending requirements as well as all other applicable </w:t>
      </w:r>
      <w:r w:rsidR="00B43E7E">
        <w:rPr>
          <w:rFonts w:ascii="Times New Roman" w:eastAsia="Times New Roman" w:hAnsi="Times New Roman"/>
          <w:sz w:val="24"/>
          <w:szCs w:val="24"/>
        </w:rPr>
        <w:t>Federal regulations</w:t>
      </w:r>
      <w:r w:rsidR="003E4258">
        <w:rPr>
          <w:rFonts w:ascii="Times New Roman" w:eastAsia="Times New Roman" w:hAnsi="Times New Roman"/>
          <w:sz w:val="24"/>
          <w:szCs w:val="24"/>
        </w:rPr>
        <w:t>;</w:t>
      </w:r>
    </w:p>
    <w:p w14:paraId="1D5EBDA9" w14:textId="05EC7C26" w:rsidR="00B43E7E" w:rsidRPr="00A05D60" w:rsidRDefault="003B2934" w:rsidP="00352024">
      <w:pPr>
        <w:pStyle w:val="ListParagraph"/>
        <w:numPr>
          <w:ilvl w:val="0"/>
          <w:numId w:val="52"/>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A</w:t>
      </w:r>
      <w:r w:rsidR="00B43E7E">
        <w:rPr>
          <w:rFonts w:ascii="Times New Roman" w:eastAsia="Times New Roman" w:hAnsi="Times New Roman"/>
          <w:sz w:val="24"/>
          <w:szCs w:val="24"/>
        </w:rPr>
        <w:t xml:space="preserve"> history of successfully originating and servicing </w:t>
      </w:r>
      <w:r w:rsidR="00BF1D87">
        <w:rPr>
          <w:rFonts w:ascii="Times New Roman" w:eastAsia="Times New Roman" w:hAnsi="Times New Roman"/>
          <w:sz w:val="24"/>
          <w:szCs w:val="24"/>
        </w:rPr>
        <w:t>owner-occupied home</w:t>
      </w:r>
      <w:r w:rsidR="00B43E7E">
        <w:rPr>
          <w:rFonts w:ascii="Times New Roman" w:eastAsia="Times New Roman" w:hAnsi="Times New Roman"/>
          <w:sz w:val="24"/>
          <w:szCs w:val="24"/>
        </w:rPr>
        <w:t xml:space="preserve"> mortgage loans</w:t>
      </w:r>
      <w:r w:rsidR="003E4258">
        <w:rPr>
          <w:rFonts w:ascii="Times New Roman" w:eastAsia="Times New Roman" w:hAnsi="Times New Roman"/>
          <w:sz w:val="24"/>
          <w:szCs w:val="24"/>
        </w:rPr>
        <w:t>; and</w:t>
      </w:r>
    </w:p>
    <w:p w14:paraId="1D5EBDAA" w14:textId="703C8EF6" w:rsidR="00B43E7E" w:rsidRPr="00112B07" w:rsidRDefault="003B2934" w:rsidP="00352024">
      <w:pPr>
        <w:pStyle w:val="ListParagraph"/>
        <w:numPr>
          <w:ilvl w:val="0"/>
          <w:numId w:val="52"/>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T</w:t>
      </w:r>
      <w:r w:rsidR="00B43E7E">
        <w:rPr>
          <w:rFonts w:ascii="Times New Roman" w:eastAsia="Times New Roman" w:hAnsi="Times New Roman"/>
          <w:sz w:val="24"/>
          <w:szCs w:val="24"/>
        </w:rPr>
        <w:t>he</w:t>
      </w:r>
      <w:r w:rsidR="00112B07">
        <w:rPr>
          <w:rFonts w:ascii="Times New Roman" w:eastAsia="Times New Roman" w:hAnsi="Times New Roman"/>
          <w:sz w:val="24"/>
          <w:szCs w:val="24"/>
        </w:rPr>
        <w:t xml:space="preserve"> capacity and </w:t>
      </w:r>
      <w:r w:rsidR="00B43E7E">
        <w:rPr>
          <w:rFonts w:ascii="Times New Roman" w:eastAsia="Times New Roman" w:hAnsi="Times New Roman"/>
          <w:sz w:val="24"/>
          <w:szCs w:val="24"/>
        </w:rPr>
        <w:t xml:space="preserve">staffing to originate </w:t>
      </w:r>
      <w:r w:rsidR="00BF1D87">
        <w:rPr>
          <w:rFonts w:ascii="Times New Roman" w:eastAsia="Times New Roman" w:hAnsi="Times New Roman"/>
          <w:sz w:val="24"/>
          <w:szCs w:val="24"/>
        </w:rPr>
        <w:t xml:space="preserve">owner-occupied home </w:t>
      </w:r>
      <w:r w:rsidR="00B43E7E">
        <w:rPr>
          <w:rFonts w:ascii="Times New Roman" w:eastAsia="Times New Roman" w:hAnsi="Times New Roman"/>
          <w:sz w:val="24"/>
          <w:szCs w:val="24"/>
        </w:rPr>
        <w:t>mortgage loans</w:t>
      </w:r>
      <w:r w:rsidR="00112B07">
        <w:rPr>
          <w:rFonts w:ascii="Times New Roman" w:eastAsia="Times New Roman" w:hAnsi="Times New Roman"/>
          <w:sz w:val="24"/>
          <w:szCs w:val="24"/>
        </w:rPr>
        <w:t>.</w:t>
      </w:r>
    </w:p>
    <w:p w14:paraId="1D5EBDAB" w14:textId="77777777" w:rsidR="00112B07" w:rsidRPr="00A05D60" w:rsidRDefault="00112B07" w:rsidP="00112B07">
      <w:pPr>
        <w:pStyle w:val="ListParagraph"/>
        <w:spacing w:after="0" w:line="240" w:lineRule="auto"/>
        <w:ind w:left="1080"/>
        <w:rPr>
          <w:rFonts w:ascii="Times New Roman" w:eastAsia="Times New Roman" w:hAnsi="Times New Roman"/>
          <w:i/>
          <w:sz w:val="24"/>
          <w:szCs w:val="24"/>
          <w:u w:val="single"/>
        </w:rPr>
      </w:pPr>
    </w:p>
    <w:p w14:paraId="1D5EBDAD" w14:textId="3B4B915A" w:rsidR="00622AFE" w:rsidRDefault="00622AFE" w:rsidP="00622AFE">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The Eligible CDFI’s </w:t>
      </w:r>
      <w:r w:rsidRPr="00F5734D">
        <w:rPr>
          <w:rFonts w:ascii="Times New Roman" w:eastAsia="Times New Roman" w:hAnsi="Times New Roman"/>
          <w:sz w:val="24"/>
          <w:szCs w:val="24"/>
        </w:rPr>
        <w:t xml:space="preserve">underwriting </w:t>
      </w:r>
      <w:r>
        <w:rPr>
          <w:rFonts w:ascii="Times New Roman" w:eastAsia="Times New Roman" w:hAnsi="Times New Roman"/>
          <w:sz w:val="24"/>
          <w:szCs w:val="24"/>
        </w:rPr>
        <w:t>policies and evaluation criteria for a Secondary Borrower</w:t>
      </w:r>
      <w:r w:rsidRPr="00F5734D">
        <w:rPr>
          <w:rFonts w:ascii="Times New Roman" w:eastAsia="Times New Roman" w:hAnsi="Times New Roman"/>
          <w:sz w:val="24"/>
          <w:szCs w:val="24"/>
        </w:rPr>
        <w:t xml:space="preserve"> </w:t>
      </w:r>
      <w:r>
        <w:rPr>
          <w:rFonts w:ascii="Times New Roman" w:eastAsia="Times New Roman" w:hAnsi="Times New Roman"/>
          <w:sz w:val="24"/>
          <w:szCs w:val="24"/>
        </w:rPr>
        <w:t>under this asset class must address</w:t>
      </w:r>
      <w:r w:rsidRPr="00F5734D">
        <w:rPr>
          <w:rFonts w:ascii="Times New Roman" w:eastAsia="Times New Roman" w:hAnsi="Times New Roman"/>
          <w:sz w:val="24"/>
          <w:szCs w:val="24"/>
        </w:rPr>
        <w:t xml:space="preserve"> the following</w:t>
      </w:r>
      <w:r>
        <w:rPr>
          <w:rFonts w:ascii="Times New Roman" w:eastAsia="Times New Roman" w:hAnsi="Times New Roman"/>
          <w:sz w:val="24"/>
          <w:szCs w:val="24"/>
        </w:rPr>
        <w:t>:</w:t>
      </w:r>
    </w:p>
    <w:p w14:paraId="1D5EBDB0" w14:textId="60AAF50A" w:rsidR="009F40CB" w:rsidRDefault="003B2934" w:rsidP="00352024">
      <w:pPr>
        <w:pStyle w:val="ListParagraph"/>
        <w:numPr>
          <w:ilvl w:val="0"/>
          <w:numId w:val="51"/>
        </w:numPr>
        <w:spacing w:after="0" w:line="240" w:lineRule="auto"/>
        <w:contextualSpacing w:val="0"/>
        <w:rPr>
          <w:rFonts w:ascii="Times New Roman" w:hAnsi="Times New Roman"/>
          <w:sz w:val="24"/>
          <w:szCs w:val="24"/>
        </w:rPr>
      </w:pPr>
      <w:r>
        <w:rPr>
          <w:rFonts w:ascii="Times New Roman" w:hAnsi="Times New Roman"/>
          <w:sz w:val="24"/>
          <w:szCs w:val="24"/>
        </w:rPr>
        <w:t>U</w:t>
      </w:r>
      <w:r w:rsidR="00BF1D87">
        <w:rPr>
          <w:rFonts w:ascii="Times New Roman" w:hAnsi="Times New Roman"/>
          <w:sz w:val="24"/>
          <w:szCs w:val="24"/>
        </w:rPr>
        <w:t>se of the home as</w:t>
      </w:r>
      <w:r w:rsidR="009F40CB" w:rsidRPr="009F40CB">
        <w:rPr>
          <w:rFonts w:ascii="Times New Roman" w:hAnsi="Times New Roman"/>
          <w:sz w:val="24"/>
          <w:szCs w:val="24"/>
        </w:rPr>
        <w:t xml:space="preserve"> the </w:t>
      </w:r>
      <w:r w:rsidR="00BF1D87">
        <w:rPr>
          <w:rFonts w:ascii="Times New Roman" w:eastAsia="Times New Roman" w:hAnsi="Times New Roman"/>
          <w:sz w:val="24"/>
          <w:szCs w:val="24"/>
        </w:rPr>
        <w:t>Secondary Borrower</w:t>
      </w:r>
      <w:r w:rsidR="009F40CB" w:rsidRPr="009F40CB">
        <w:rPr>
          <w:rFonts w:ascii="Times New Roman" w:hAnsi="Times New Roman"/>
          <w:sz w:val="24"/>
          <w:szCs w:val="24"/>
        </w:rPr>
        <w:t xml:space="preserve">’s primary residence and not </w:t>
      </w:r>
      <w:r w:rsidR="00BF1D87">
        <w:rPr>
          <w:rFonts w:ascii="Times New Roman" w:hAnsi="Times New Roman"/>
          <w:sz w:val="24"/>
          <w:szCs w:val="24"/>
        </w:rPr>
        <w:t>for investment</w:t>
      </w:r>
      <w:r w:rsidR="00E92661">
        <w:rPr>
          <w:rFonts w:ascii="Times New Roman" w:hAnsi="Times New Roman"/>
          <w:sz w:val="24"/>
          <w:szCs w:val="24"/>
        </w:rPr>
        <w:t>;</w:t>
      </w:r>
    </w:p>
    <w:p w14:paraId="1D5EBDB1" w14:textId="6035D50B" w:rsidR="00C47D4E" w:rsidRPr="009F40CB" w:rsidRDefault="003B2934" w:rsidP="00352024">
      <w:pPr>
        <w:pStyle w:val="ListParagraph"/>
        <w:numPr>
          <w:ilvl w:val="0"/>
          <w:numId w:val="51"/>
        </w:numPr>
        <w:spacing w:after="0" w:line="240" w:lineRule="auto"/>
        <w:contextualSpacing w:val="0"/>
        <w:rPr>
          <w:rFonts w:ascii="Times New Roman" w:hAnsi="Times New Roman"/>
          <w:sz w:val="24"/>
          <w:szCs w:val="24"/>
        </w:rPr>
      </w:pPr>
      <w:r>
        <w:rPr>
          <w:rFonts w:ascii="Times New Roman" w:hAnsi="Times New Roman"/>
          <w:sz w:val="24"/>
          <w:szCs w:val="24"/>
        </w:rPr>
        <w:t>T</w:t>
      </w:r>
      <w:r w:rsidR="00C47D4E">
        <w:rPr>
          <w:rFonts w:ascii="Times New Roman" w:hAnsi="Times New Roman"/>
          <w:sz w:val="24"/>
          <w:szCs w:val="24"/>
        </w:rPr>
        <w:t>he condition of the property and durability of major systems</w:t>
      </w:r>
      <w:r w:rsidR="00E92661">
        <w:rPr>
          <w:rFonts w:ascii="Times New Roman" w:hAnsi="Times New Roman"/>
          <w:sz w:val="24"/>
          <w:szCs w:val="24"/>
        </w:rPr>
        <w:t xml:space="preserve"> (e.g. electrical and plumbing)</w:t>
      </w:r>
    </w:p>
    <w:p w14:paraId="1D5EBDB2" w14:textId="7AE2ABE4" w:rsidR="00C47D4E" w:rsidRDefault="003B2934" w:rsidP="00352024">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T</w:t>
      </w:r>
      <w:r w:rsidR="00C47D4E">
        <w:rPr>
          <w:rFonts w:ascii="Times New Roman" w:hAnsi="Times New Roman"/>
          <w:sz w:val="24"/>
          <w:szCs w:val="24"/>
        </w:rPr>
        <w:t>he provision of pre-purchase counseling</w:t>
      </w:r>
      <w:r w:rsidR="00E92661">
        <w:rPr>
          <w:rFonts w:ascii="Times New Roman" w:hAnsi="Times New Roman"/>
          <w:sz w:val="24"/>
          <w:szCs w:val="24"/>
        </w:rPr>
        <w:t>;</w:t>
      </w:r>
    </w:p>
    <w:p w14:paraId="1D5EBDB3" w14:textId="30D3E412" w:rsidR="005950C3" w:rsidRDefault="003B2934" w:rsidP="00352024">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P</w:t>
      </w:r>
      <w:r w:rsidR="00C47D4E">
        <w:rPr>
          <w:rFonts w:ascii="Times New Roman" w:hAnsi="Times New Roman"/>
          <w:sz w:val="24"/>
          <w:szCs w:val="24"/>
        </w:rPr>
        <w:t>roperty</w:t>
      </w:r>
      <w:r w:rsidR="005950C3" w:rsidRPr="009F40CB">
        <w:rPr>
          <w:rFonts w:ascii="Times New Roman" w:hAnsi="Times New Roman"/>
          <w:sz w:val="24"/>
          <w:szCs w:val="24"/>
        </w:rPr>
        <w:t xml:space="preserve"> insurance coverage through and beyond the maturity of the Secondary Loan</w:t>
      </w:r>
      <w:r w:rsidR="003E4258">
        <w:rPr>
          <w:rFonts w:ascii="Times New Roman" w:hAnsi="Times New Roman"/>
          <w:sz w:val="24"/>
          <w:szCs w:val="24"/>
        </w:rPr>
        <w:t>;</w:t>
      </w:r>
    </w:p>
    <w:p w14:paraId="1D5EBDB4" w14:textId="498B4685" w:rsidR="00BF1D87" w:rsidRDefault="00E92661" w:rsidP="00352024">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Q</w:t>
      </w:r>
      <w:r w:rsidR="00BF1D87">
        <w:rPr>
          <w:rFonts w:ascii="Times New Roman" w:hAnsi="Times New Roman"/>
          <w:sz w:val="24"/>
          <w:szCs w:val="24"/>
        </w:rPr>
        <w:t>ualification as a “qualified mortgage” for purposes of the Consumer Financial Protection Bureau’s “ability-to-repay” rules;</w:t>
      </w:r>
    </w:p>
    <w:p w14:paraId="1D5EBDB5" w14:textId="1DB47803" w:rsidR="005950C3" w:rsidRDefault="003B2934" w:rsidP="00352024">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D</w:t>
      </w:r>
      <w:r w:rsidR="005950C3">
        <w:rPr>
          <w:rFonts w:ascii="Times New Roman" w:hAnsi="Times New Roman"/>
          <w:sz w:val="24"/>
          <w:szCs w:val="24"/>
        </w:rPr>
        <w:t>ebt</w:t>
      </w:r>
      <w:r w:rsidR="003E4258">
        <w:rPr>
          <w:rFonts w:ascii="Times New Roman" w:hAnsi="Times New Roman"/>
          <w:sz w:val="24"/>
          <w:szCs w:val="24"/>
        </w:rPr>
        <w:t>-</w:t>
      </w:r>
      <w:r w:rsidR="005950C3">
        <w:rPr>
          <w:rFonts w:ascii="Times New Roman" w:hAnsi="Times New Roman"/>
          <w:sz w:val="24"/>
          <w:szCs w:val="24"/>
        </w:rPr>
        <w:t>to</w:t>
      </w:r>
      <w:r w:rsidR="003E4258">
        <w:rPr>
          <w:rFonts w:ascii="Times New Roman" w:hAnsi="Times New Roman"/>
          <w:sz w:val="24"/>
          <w:szCs w:val="24"/>
        </w:rPr>
        <w:t>-</w:t>
      </w:r>
      <w:r w:rsidR="00BF1D87">
        <w:rPr>
          <w:rFonts w:ascii="Times New Roman" w:hAnsi="Times New Roman"/>
          <w:sz w:val="24"/>
          <w:szCs w:val="24"/>
        </w:rPr>
        <w:t>income standards</w:t>
      </w:r>
      <w:r w:rsidR="003E4258">
        <w:rPr>
          <w:rFonts w:ascii="Times New Roman" w:hAnsi="Times New Roman"/>
          <w:sz w:val="24"/>
          <w:szCs w:val="24"/>
        </w:rPr>
        <w:t>;</w:t>
      </w:r>
    </w:p>
    <w:p w14:paraId="1D5EBDB6" w14:textId="7AC067DE" w:rsidR="00BF1D87" w:rsidRDefault="003B2934" w:rsidP="00352024">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C</w:t>
      </w:r>
      <w:r w:rsidR="00BF1D87">
        <w:rPr>
          <w:rFonts w:ascii="Times New Roman" w:hAnsi="Times New Roman"/>
          <w:sz w:val="24"/>
          <w:szCs w:val="24"/>
        </w:rPr>
        <w:t>redit scores;</w:t>
      </w:r>
    </w:p>
    <w:p w14:paraId="1D5EBDB7" w14:textId="20D69CDC" w:rsidR="00BF1D87" w:rsidRDefault="003B2934" w:rsidP="00352024">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L</w:t>
      </w:r>
      <w:r w:rsidR="00BF1D87">
        <w:rPr>
          <w:rFonts w:ascii="Times New Roman" w:hAnsi="Times New Roman"/>
          <w:sz w:val="24"/>
          <w:szCs w:val="24"/>
        </w:rPr>
        <w:t>oan to value;</w:t>
      </w:r>
    </w:p>
    <w:p w14:paraId="1D5EBDB8" w14:textId="60E408AA" w:rsidR="005950C3" w:rsidRDefault="003B2934" w:rsidP="00352024">
      <w:pPr>
        <w:pStyle w:val="ListParagraph"/>
        <w:numPr>
          <w:ilvl w:val="0"/>
          <w:numId w:val="51"/>
        </w:numPr>
        <w:spacing w:after="0" w:line="240" w:lineRule="auto"/>
        <w:rPr>
          <w:rFonts w:ascii="Times New Roman" w:hAnsi="Times New Roman"/>
          <w:sz w:val="24"/>
          <w:szCs w:val="24"/>
        </w:rPr>
      </w:pPr>
      <w:r>
        <w:rPr>
          <w:rFonts w:ascii="Times New Roman" w:hAnsi="Times New Roman"/>
          <w:sz w:val="24"/>
          <w:szCs w:val="24"/>
        </w:rPr>
        <w:t>C</w:t>
      </w:r>
      <w:r w:rsidR="005950C3">
        <w:rPr>
          <w:rFonts w:ascii="Times New Roman" w:hAnsi="Times New Roman"/>
          <w:sz w:val="24"/>
          <w:szCs w:val="24"/>
        </w:rPr>
        <w:t>urrent compliance on all existing debt obligations</w:t>
      </w:r>
      <w:r w:rsidR="003E4258">
        <w:rPr>
          <w:rFonts w:ascii="Times New Roman" w:hAnsi="Times New Roman"/>
          <w:sz w:val="24"/>
          <w:szCs w:val="24"/>
        </w:rPr>
        <w:t>; and</w:t>
      </w:r>
    </w:p>
    <w:p w14:paraId="1D5EBDB9" w14:textId="0E204513" w:rsidR="00966F4D" w:rsidRPr="004D3A68" w:rsidRDefault="003B2934" w:rsidP="00352024">
      <w:pPr>
        <w:pStyle w:val="ListParagraph"/>
        <w:numPr>
          <w:ilvl w:val="0"/>
          <w:numId w:val="51"/>
        </w:numPr>
        <w:spacing w:after="0" w:line="240" w:lineRule="auto"/>
        <w:rPr>
          <w:rFonts w:ascii="Times New Roman" w:eastAsia="Times New Roman" w:hAnsi="Times New Roman"/>
          <w:sz w:val="24"/>
          <w:szCs w:val="24"/>
        </w:rPr>
      </w:pPr>
      <w:r>
        <w:rPr>
          <w:rFonts w:ascii="Times New Roman" w:hAnsi="Times New Roman"/>
          <w:sz w:val="24"/>
          <w:szCs w:val="24"/>
        </w:rPr>
        <w:t>C</w:t>
      </w:r>
      <w:r w:rsidR="005950C3">
        <w:rPr>
          <w:rFonts w:ascii="Times New Roman" w:hAnsi="Times New Roman"/>
          <w:sz w:val="24"/>
          <w:szCs w:val="24"/>
        </w:rPr>
        <w:t>omplete discharge of all bankruptcies for a minimum of two years prior to the closing of the Secondary Loan</w:t>
      </w:r>
      <w:r w:rsidR="00F11ABD">
        <w:rPr>
          <w:rFonts w:ascii="Times New Roman" w:hAnsi="Times New Roman"/>
          <w:sz w:val="24"/>
          <w:szCs w:val="24"/>
        </w:rPr>
        <w:t>.</w:t>
      </w:r>
    </w:p>
    <w:p w14:paraId="1D5EBDBA" w14:textId="77777777" w:rsidR="00855245" w:rsidRDefault="00855245" w:rsidP="00B5617D">
      <w:pPr>
        <w:pStyle w:val="ListParagraph"/>
        <w:tabs>
          <w:tab w:val="left" w:pos="270"/>
        </w:tabs>
        <w:spacing w:after="0" w:line="240" w:lineRule="auto"/>
        <w:ind w:left="360"/>
        <w:rPr>
          <w:rFonts w:ascii="Times New Roman" w:eastAsia="Times New Roman" w:hAnsi="Times New Roman"/>
          <w:sz w:val="24"/>
          <w:szCs w:val="24"/>
        </w:rPr>
      </w:pPr>
    </w:p>
    <w:p w14:paraId="1D5EBDBB" w14:textId="1FFA6B5E" w:rsidR="008A2F01" w:rsidRPr="00040F7D" w:rsidRDefault="00C47D4E" w:rsidP="00B5617D">
      <w:pPr>
        <w:pStyle w:val="ListParagraph"/>
        <w:numPr>
          <w:ilvl w:val="0"/>
          <w:numId w:val="4"/>
        </w:numPr>
        <w:spacing w:after="0" w:line="240" w:lineRule="auto"/>
        <w:ind w:left="360"/>
        <w:rPr>
          <w:rFonts w:ascii="Times New Roman" w:eastAsia="Times New Roman" w:hAnsi="Times New Roman"/>
          <w:b/>
          <w:sz w:val="24"/>
          <w:szCs w:val="24"/>
        </w:rPr>
      </w:pPr>
      <w:r>
        <w:rPr>
          <w:rFonts w:ascii="Times New Roman" w:eastAsia="Times New Roman" w:hAnsi="Times New Roman"/>
          <w:b/>
          <w:smallCaps/>
          <w:sz w:val="24"/>
          <w:szCs w:val="24"/>
        </w:rPr>
        <w:t xml:space="preserve">Licensed </w:t>
      </w:r>
      <w:r w:rsidR="008A2F01">
        <w:rPr>
          <w:rFonts w:ascii="Times New Roman" w:eastAsia="Times New Roman" w:hAnsi="Times New Roman"/>
          <w:b/>
          <w:smallCaps/>
          <w:sz w:val="24"/>
          <w:szCs w:val="24"/>
        </w:rPr>
        <w:t xml:space="preserve">Senior Living </w:t>
      </w:r>
      <w:r w:rsidR="00855245">
        <w:rPr>
          <w:rFonts w:ascii="Times New Roman" w:eastAsia="Times New Roman" w:hAnsi="Times New Roman"/>
          <w:b/>
          <w:smallCaps/>
          <w:sz w:val="24"/>
          <w:szCs w:val="24"/>
        </w:rPr>
        <w:t>and Long</w:t>
      </w:r>
      <w:r w:rsidR="00741FEC">
        <w:rPr>
          <w:rFonts w:ascii="Times New Roman" w:eastAsia="Times New Roman" w:hAnsi="Times New Roman"/>
          <w:b/>
          <w:smallCaps/>
          <w:sz w:val="24"/>
          <w:szCs w:val="24"/>
        </w:rPr>
        <w:t>-</w:t>
      </w:r>
      <w:r w:rsidR="00855245">
        <w:rPr>
          <w:rFonts w:ascii="Times New Roman" w:eastAsia="Times New Roman" w:hAnsi="Times New Roman"/>
          <w:b/>
          <w:smallCaps/>
          <w:sz w:val="24"/>
          <w:szCs w:val="24"/>
        </w:rPr>
        <w:t xml:space="preserve">Term Care </w:t>
      </w:r>
      <w:r w:rsidR="008A2F01">
        <w:rPr>
          <w:rFonts w:ascii="Times New Roman" w:eastAsia="Times New Roman" w:hAnsi="Times New Roman"/>
          <w:b/>
          <w:smallCaps/>
          <w:sz w:val="24"/>
          <w:szCs w:val="24"/>
        </w:rPr>
        <w:t>Facilities</w:t>
      </w:r>
      <w:r w:rsidR="00F6502A">
        <w:rPr>
          <w:rFonts w:ascii="Times New Roman" w:eastAsia="Times New Roman" w:hAnsi="Times New Roman"/>
          <w:b/>
          <w:smallCaps/>
          <w:sz w:val="24"/>
          <w:szCs w:val="24"/>
        </w:rPr>
        <w:t xml:space="preserve"> Lending:</w:t>
      </w:r>
    </w:p>
    <w:p w14:paraId="1D5EBDBC" w14:textId="49FCBA8B" w:rsidR="000A4773" w:rsidRDefault="00C47D4E" w:rsidP="00B5617D">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Housing for the elderly should follow the </w:t>
      </w:r>
      <w:r w:rsidR="00B5617D">
        <w:rPr>
          <w:rFonts w:ascii="Times New Roman" w:eastAsia="Times New Roman" w:hAnsi="Times New Roman"/>
          <w:sz w:val="24"/>
          <w:szCs w:val="24"/>
        </w:rPr>
        <w:t xml:space="preserve">lending </w:t>
      </w:r>
      <w:r>
        <w:rPr>
          <w:rFonts w:ascii="Times New Roman" w:eastAsia="Times New Roman" w:hAnsi="Times New Roman"/>
          <w:sz w:val="24"/>
          <w:szCs w:val="24"/>
        </w:rPr>
        <w:t xml:space="preserve">policies for Rental Housing if no special licensing is required. </w:t>
      </w:r>
      <w:r w:rsidR="00622AFE">
        <w:rPr>
          <w:rFonts w:ascii="Times New Roman" w:eastAsia="Times New Roman" w:hAnsi="Times New Roman"/>
          <w:sz w:val="24"/>
          <w:szCs w:val="24"/>
        </w:rPr>
        <w:t xml:space="preserve"> </w:t>
      </w:r>
      <w:r w:rsidR="00CE7A9F">
        <w:rPr>
          <w:rFonts w:ascii="Times New Roman" w:eastAsia="Times New Roman" w:hAnsi="Times New Roman"/>
          <w:sz w:val="24"/>
          <w:szCs w:val="24"/>
        </w:rPr>
        <w:t xml:space="preserve">For </w:t>
      </w:r>
      <w:r w:rsidR="00CE7A9F" w:rsidRPr="00CE7A9F">
        <w:rPr>
          <w:rFonts w:ascii="Times New Roman" w:eastAsia="Times New Roman" w:hAnsi="Times New Roman"/>
          <w:sz w:val="24"/>
          <w:szCs w:val="24"/>
        </w:rPr>
        <w:t>Licensed Senior Living and Long-Term Care Facilities</w:t>
      </w:r>
      <w:r w:rsidR="00CE7A9F">
        <w:rPr>
          <w:rFonts w:ascii="Times New Roman" w:eastAsia="Times New Roman" w:hAnsi="Times New Roman"/>
          <w:sz w:val="24"/>
          <w:szCs w:val="24"/>
        </w:rPr>
        <w:t xml:space="preserve">, </w:t>
      </w:r>
      <w:r w:rsidR="00622AFE">
        <w:rPr>
          <w:rFonts w:ascii="Times New Roman" w:eastAsia="Times New Roman" w:hAnsi="Times New Roman"/>
          <w:sz w:val="24"/>
          <w:szCs w:val="24"/>
        </w:rPr>
        <w:t xml:space="preserve">the Eligible CDFI’s </w:t>
      </w:r>
      <w:r w:rsidR="00622AFE" w:rsidRPr="00F5734D">
        <w:rPr>
          <w:rFonts w:ascii="Times New Roman" w:eastAsia="Times New Roman" w:hAnsi="Times New Roman"/>
          <w:sz w:val="24"/>
          <w:szCs w:val="24"/>
        </w:rPr>
        <w:t xml:space="preserve">underwriting </w:t>
      </w:r>
      <w:r w:rsidR="00622AFE">
        <w:rPr>
          <w:rFonts w:ascii="Times New Roman" w:eastAsia="Times New Roman" w:hAnsi="Times New Roman"/>
          <w:sz w:val="24"/>
          <w:szCs w:val="24"/>
        </w:rPr>
        <w:t>policies and evaluation criteria for a Secondary Borrower</w:t>
      </w:r>
      <w:r w:rsidR="00622AFE" w:rsidRPr="00F5734D">
        <w:rPr>
          <w:rFonts w:ascii="Times New Roman" w:eastAsia="Times New Roman" w:hAnsi="Times New Roman"/>
          <w:sz w:val="24"/>
          <w:szCs w:val="24"/>
        </w:rPr>
        <w:t xml:space="preserve"> </w:t>
      </w:r>
      <w:r w:rsidR="00622AFE">
        <w:rPr>
          <w:rFonts w:ascii="Times New Roman" w:eastAsia="Times New Roman" w:hAnsi="Times New Roman"/>
          <w:sz w:val="24"/>
          <w:szCs w:val="24"/>
        </w:rPr>
        <w:t>under this asset class must address</w:t>
      </w:r>
      <w:r w:rsidR="00622AFE" w:rsidRPr="00F5734D">
        <w:rPr>
          <w:rFonts w:ascii="Times New Roman" w:eastAsia="Times New Roman" w:hAnsi="Times New Roman"/>
          <w:sz w:val="24"/>
          <w:szCs w:val="24"/>
        </w:rPr>
        <w:t xml:space="preserve"> the following</w:t>
      </w:r>
      <w:r w:rsidR="00622AFE">
        <w:rPr>
          <w:rFonts w:ascii="Times New Roman" w:eastAsia="Times New Roman" w:hAnsi="Times New Roman"/>
          <w:sz w:val="24"/>
          <w:szCs w:val="24"/>
        </w:rPr>
        <w:t>:</w:t>
      </w:r>
    </w:p>
    <w:p w14:paraId="1D5EBDBD" w14:textId="77777777" w:rsidR="00CE7A9F" w:rsidRDefault="00CE7A9F" w:rsidP="00B5617D">
      <w:pPr>
        <w:pStyle w:val="ListParagraph"/>
        <w:spacing w:after="0" w:line="240" w:lineRule="auto"/>
        <w:rPr>
          <w:rFonts w:ascii="Times New Roman" w:hAnsi="Times New Roman"/>
          <w:sz w:val="24"/>
          <w:szCs w:val="24"/>
        </w:rPr>
      </w:pPr>
    </w:p>
    <w:p w14:paraId="1D5EBDBE" w14:textId="77777777" w:rsidR="00CE7A9F" w:rsidRPr="007F23B4" w:rsidRDefault="00CE7A9F" w:rsidP="00B5617D">
      <w:pPr>
        <w:pStyle w:val="ListParagraph"/>
        <w:numPr>
          <w:ilvl w:val="0"/>
          <w:numId w:val="8"/>
        </w:numPr>
        <w:spacing w:after="0" w:line="240" w:lineRule="auto"/>
        <w:ind w:left="720"/>
        <w:rPr>
          <w:rFonts w:ascii="Times New Roman" w:eastAsia="Times New Roman" w:hAnsi="Times New Roman"/>
          <w:i/>
          <w:sz w:val="24"/>
          <w:szCs w:val="24"/>
          <w:u w:val="single"/>
        </w:rPr>
      </w:pPr>
      <w:r>
        <w:rPr>
          <w:rFonts w:ascii="Times New Roman" w:eastAsia="Times New Roman" w:hAnsi="Times New Roman"/>
          <w:sz w:val="24"/>
          <w:szCs w:val="24"/>
        </w:rPr>
        <w:t xml:space="preserve">Management and financial capacity and performance in all facets of operations, including: </w:t>
      </w:r>
    </w:p>
    <w:p w14:paraId="1D5EBDBF" w14:textId="25E42BFD" w:rsidR="00CE7A9F" w:rsidRPr="007F23B4" w:rsidRDefault="003B2934" w:rsidP="00B5617D">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G</w:t>
      </w:r>
      <w:r w:rsidR="00CE7A9F">
        <w:rPr>
          <w:rFonts w:ascii="Times New Roman" w:eastAsia="Times New Roman" w:hAnsi="Times New Roman"/>
          <w:sz w:val="24"/>
          <w:szCs w:val="24"/>
        </w:rPr>
        <w:t xml:space="preserve">overnance; </w:t>
      </w:r>
    </w:p>
    <w:p w14:paraId="1D5EBDC0" w14:textId="495B0C02" w:rsidR="00CE7A9F" w:rsidRPr="007F23B4" w:rsidRDefault="003B2934" w:rsidP="00B5617D">
      <w:pPr>
        <w:pStyle w:val="ListParagraph"/>
        <w:numPr>
          <w:ilvl w:val="1"/>
          <w:numId w:val="15"/>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K</w:t>
      </w:r>
      <w:r w:rsidR="00CE7A9F">
        <w:rPr>
          <w:rFonts w:ascii="Times New Roman" w:eastAsia="Times New Roman" w:hAnsi="Times New Roman"/>
          <w:sz w:val="24"/>
          <w:szCs w:val="24"/>
        </w:rPr>
        <w:t xml:space="preserve">ey personnel, including management depth and dependency on key personnel; </w:t>
      </w:r>
    </w:p>
    <w:p w14:paraId="1D5EBDC1" w14:textId="012D4F7F" w:rsidR="00CE7A9F" w:rsidRPr="00273D2E" w:rsidRDefault="003B2934" w:rsidP="00352024">
      <w:pPr>
        <w:pStyle w:val="ListParagraph"/>
        <w:numPr>
          <w:ilvl w:val="0"/>
          <w:numId w:val="48"/>
        </w:numPr>
        <w:spacing w:after="0" w:line="240" w:lineRule="auto"/>
        <w:rPr>
          <w:rFonts w:ascii="Times New Roman" w:hAnsi="Times New Roman"/>
          <w:sz w:val="24"/>
          <w:szCs w:val="24"/>
        </w:rPr>
      </w:pPr>
      <w:r>
        <w:rPr>
          <w:rFonts w:ascii="Times New Roman" w:eastAsia="Times New Roman" w:hAnsi="Times New Roman"/>
          <w:sz w:val="24"/>
          <w:szCs w:val="24"/>
        </w:rPr>
        <w:lastRenderedPageBreak/>
        <w:t>F</w:t>
      </w:r>
      <w:r w:rsidR="00CE7A9F">
        <w:rPr>
          <w:rFonts w:ascii="Times New Roman" w:eastAsia="Times New Roman" w:hAnsi="Times New Roman"/>
          <w:sz w:val="24"/>
          <w:szCs w:val="24"/>
        </w:rPr>
        <w:t xml:space="preserve">inancial performance, liquidity, </w:t>
      </w:r>
      <w:r>
        <w:rPr>
          <w:rFonts w:ascii="Times New Roman" w:eastAsia="Times New Roman" w:hAnsi="Times New Roman"/>
          <w:sz w:val="24"/>
          <w:szCs w:val="24"/>
        </w:rPr>
        <w:t xml:space="preserve">audited financial statements, and </w:t>
      </w:r>
      <w:r w:rsidR="00CE7A9F">
        <w:rPr>
          <w:rFonts w:ascii="Times New Roman" w:eastAsia="Times New Roman" w:hAnsi="Times New Roman"/>
          <w:sz w:val="24"/>
          <w:szCs w:val="24"/>
        </w:rPr>
        <w:t>capital and asset adequacy and metri</w:t>
      </w:r>
      <w:r>
        <w:rPr>
          <w:rFonts w:ascii="Times New Roman" w:eastAsia="Times New Roman" w:hAnsi="Times New Roman"/>
          <w:sz w:val="24"/>
          <w:szCs w:val="24"/>
        </w:rPr>
        <w:t>cs</w:t>
      </w:r>
      <w:r w:rsidR="00CE7A9F">
        <w:rPr>
          <w:rFonts w:ascii="Times New Roman" w:eastAsia="Times New Roman" w:hAnsi="Times New Roman"/>
          <w:sz w:val="24"/>
          <w:szCs w:val="24"/>
        </w:rPr>
        <w:t xml:space="preserve">; </w:t>
      </w:r>
    </w:p>
    <w:p w14:paraId="1D5EBDC2" w14:textId="4316C487" w:rsidR="00CE7A9F" w:rsidRDefault="003B2934" w:rsidP="00352024">
      <w:pPr>
        <w:pStyle w:val="ListParagraph"/>
        <w:numPr>
          <w:ilvl w:val="0"/>
          <w:numId w:val="48"/>
        </w:numPr>
        <w:spacing w:after="0" w:line="240" w:lineRule="auto"/>
        <w:rPr>
          <w:rFonts w:ascii="Times New Roman" w:hAnsi="Times New Roman"/>
          <w:sz w:val="24"/>
          <w:szCs w:val="24"/>
        </w:rPr>
      </w:pPr>
      <w:r>
        <w:rPr>
          <w:rFonts w:ascii="Times New Roman" w:hAnsi="Times New Roman"/>
          <w:sz w:val="24"/>
          <w:szCs w:val="24"/>
        </w:rPr>
        <w:t>R</w:t>
      </w:r>
      <w:r w:rsidR="00E92661">
        <w:rPr>
          <w:rFonts w:ascii="Times New Roman" w:hAnsi="Times New Roman"/>
          <w:sz w:val="24"/>
          <w:szCs w:val="24"/>
        </w:rPr>
        <w:t xml:space="preserve">eview of  </w:t>
      </w:r>
      <w:r w:rsidR="00CE7A9F">
        <w:rPr>
          <w:rFonts w:ascii="Times New Roman" w:hAnsi="Times New Roman"/>
          <w:sz w:val="24"/>
          <w:szCs w:val="24"/>
        </w:rPr>
        <w:t>Centers for Medicare and Medicaid Service</w:t>
      </w:r>
      <w:r w:rsidR="00E92661">
        <w:rPr>
          <w:rFonts w:ascii="Times New Roman" w:hAnsi="Times New Roman"/>
          <w:sz w:val="24"/>
          <w:szCs w:val="24"/>
        </w:rPr>
        <w:t xml:space="preserve"> (CMS</w:t>
      </w:r>
      <w:r w:rsidR="00CE7A9F">
        <w:rPr>
          <w:rFonts w:ascii="Times New Roman" w:hAnsi="Times New Roman"/>
          <w:sz w:val="24"/>
          <w:szCs w:val="24"/>
        </w:rPr>
        <w:t xml:space="preserve">) </w:t>
      </w:r>
      <w:r w:rsidR="00CE7A9F" w:rsidRPr="007E4D96">
        <w:rPr>
          <w:rFonts w:ascii="Times New Roman" w:hAnsi="Times New Roman"/>
          <w:sz w:val="24"/>
          <w:szCs w:val="24"/>
        </w:rPr>
        <w:t xml:space="preserve"> records</w:t>
      </w:r>
      <w:r w:rsidR="00CE7A9F">
        <w:rPr>
          <w:rFonts w:ascii="Times New Roman" w:hAnsi="Times New Roman"/>
          <w:sz w:val="24"/>
          <w:szCs w:val="24"/>
        </w:rPr>
        <w:t xml:space="preserve"> (if applicable)</w:t>
      </w:r>
      <w:r>
        <w:rPr>
          <w:rFonts w:ascii="Times New Roman" w:hAnsi="Times New Roman"/>
          <w:sz w:val="24"/>
          <w:szCs w:val="24"/>
        </w:rPr>
        <w:t>;</w:t>
      </w:r>
      <w:r w:rsidR="00CE7A9F" w:rsidRPr="007E4D96">
        <w:rPr>
          <w:rFonts w:ascii="Times New Roman" w:hAnsi="Times New Roman"/>
          <w:sz w:val="24"/>
          <w:szCs w:val="24"/>
        </w:rPr>
        <w:t xml:space="preserve"> </w:t>
      </w:r>
    </w:p>
    <w:p w14:paraId="1D5EBDC3" w14:textId="30937453" w:rsidR="00CE7A9F" w:rsidRPr="00CE7A9F" w:rsidRDefault="003B2934" w:rsidP="00B5617D">
      <w:pPr>
        <w:pStyle w:val="ListParagraph"/>
        <w:numPr>
          <w:ilvl w:val="0"/>
          <w:numId w:val="45"/>
        </w:numPr>
        <w:spacing w:after="0" w:line="240" w:lineRule="auto"/>
        <w:rPr>
          <w:rFonts w:ascii="Times New Roman" w:eastAsia="Times New Roman" w:hAnsi="Times New Roman"/>
          <w:b/>
          <w:sz w:val="24"/>
          <w:szCs w:val="24"/>
        </w:rPr>
      </w:pPr>
      <w:r>
        <w:rPr>
          <w:rFonts w:ascii="Times New Roman" w:hAnsi="Times New Roman"/>
          <w:sz w:val="24"/>
          <w:szCs w:val="24"/>
        </w:rPr>
        <w:t>E</w:t>
      </w:r>
      <w:r w:rsidR="00CE7A9F" w:rsidRPr="007E4D96">
        <w:rPr>
          <w:rFonts w:ascii="Times New Roman" w:hAnsi="Times New Roman"/>
          <w:sz w:val="24"/>
          <w:szCs w:val="24"/>
        </w:rPr>
        <w:t xml:space="preserve">xperience in the development, management, and operations of a </w:t>
      </w:r>
      <w:r w:rsidR="00CE7A9F">
        <w:rPr>
          <w:rFonts w:ascii="Times New Roman" w:hAnsi="Times New Roman"/>
          <w:sz w:val="24"/>
          <w:szCs w:val="24"/>
        </w:rPr>
        <w:t xml:space="preserve">licensed senior living or </w:t>
      </w:r>
      <w:r w:rsidR="00CE7A9F" w:rsidRPr="007E4D96">
        <w:rPr>
          <w:rFonts w:ascii="Times New Roman" w:hAnsi="Times New Roman"/>
          <w:sz w:val="24"/>
          <w:szCs w:val="24"/>
        </w:rPr>
        <w:t xml:space="preserve">long-term care facility that includes a track record working with </w:t>
      </w:r>
      <w:r w:rsidR="00CE7A9F">
        <w:rPr>
          <w:rFonts w:ascii="Times New Roman" w:hAnsi="Times New Roman"/>
          <w:sz w:val="24"/>
          <w:szCs w:val="24"/>
        </w:rPr>
        <w:t>S</w:t>
      </w:r>
      <w:r w:rsidR="00CE7A9F" w:rsidRPr="007E4D96">
        <w:rPr>
          <w:rFonts w:ascii="Times New Roman" w:hAnsi="Times New Roman"/>
          <w:sz w:val="24"/>
          <w:szCs w:val="24"/>
        </w:rPr>
        <w:t>tate and local governments</w:t>
      </w:r>
      <w:r w:rsidR="00CE7A9F">
        <w:rPr>
          <w:rFonts w:ascii="Times New Roman" w:hAnsi="Times New Roman"/>
          <w:sz w:val="24"/>
          <w:szCs w:val="24"/>
        </w:rPr>
        <w:t>;</w:t>
      </w:r>
      <w:r w:rsidR="00CE7A9F" w:rsidRPr="00CE7A9F">
        <w:rPr>
          <w:rFonts w:ascii="Times New Roman" w:hAnsi="Times New Roman"/>
          <w:sz w:val="24"/>
          <w:szCs w:val="24"/>
        </w:rPr>
        <w:t xml:space="preserve"> </w:t>
      </w:r>
      <w:r>
        <w:rPr>
          <w:rFonts w:ascii="Times New Roman" w:hAnsi="Times New Roman"/>
          <w:sz w:val="24"/>
          <w:szCs w:val="24"/>
        </w:rPr>
        <w:t>and</w:t>
      </w:r>
    </w:p>
    <w:p w14:paraId="1D5EBDC4" w14:textId="177C8F3E" w:rsidR="00CE7A9F" w:rsidRPr="00CE7A9F" w:rsidRDefault="00E92661" w:rsidP="00B5617D">
      <w:pPr>
        <w:pStyle w:val="ListParagraph"/>
        <w:numPr>
          <w:ilvl w:val="0"/>
          <w:numId w:val="45"/>
        </w:numPr>
        <w:spacing w:after="0" w:line="240" w:lineRule="auto"/>
        <w:rPr>
          <w:rFonts w:ascii="Times New Roman" w:eastAsia="Times New Roman" w:hAnsi="Times New Roman"/>
          <w:b/>
          <w:sz w:val="24"/>
          <w:szCs w:val="24"/>
        </w:rPr>
      </w:pPr>
      <w:r>
        <w:rPr>
          <w:rFonts w:ascii="Times New Roman" w:hAnsi="Times New Roman"/>
          <w:sz w:val="24"/>
          <w:szCs w:val="24"/>
        </w:rPr>
        <w:t>C</w:t>
      </w:r>
      <w:r w:rsidR="00CE7A9F">
        <w:rPr>
          <w:rFonts w:ascii="Times New Roman" w:hAnsi="Times New Roman"/>
          <w:sz w:val="24"/>
          <w:szCs w:val="24"/>
        </w:rPr>
        <w:t xml:space="preserve">urrent </w:t>
      </w:r>
      <w:r w:rsidR="00CE7A9F" w:rsidRPr="00F11ABD">
        <w:rPr>
          <w:rFonts w:ascii="Times New Roman" w:hAnsi="Times New Roman"/>
          <w:sz w:val="24"/>
          <w:szCs w:val="24"/>
        </w:rPr>
        <w:t>background and legal checks of employees of the senior living and long-term care facility.</w:t>
      </w:r>
    </w:p>
    <w:p w14:paraId="1D5EBDC5" w14:textId="77777777" w:rsidR="00CE7A9F" w:rsidRPr="007F23B4" w:rsidRDefault="00CE7A9F" w:rsidP="00B5617D">
      <w:pPr>
        <w:pStyle w:val="ListParagraph"/>
        <w:numPr>
          <w:ilvl w:val="0"/>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 xml:space="preserve">Status of </w:t>
      </w:r>
      <w:r w:rsidRPr="008213B2">
        <w:rPr>
          <w:rFonts w:ascii="Times New Roman" w:eastAsia="Times New Roman" w:hAnsi="Times New Roman"/>
          <w:sz w:val="24"/>
          <w:szCs w:val="24"/>
        </w:rPr>
        <w:t xml:space="preserve">all </w:t>
      </w:r>
      <w:r>
        <w:rPr>
          <w:rFonts w:ascii="Times New Roman" w:eastAsia="Times New Roman" w:hAnsi="Times New Roman"/>
          <w:sz w:val="24"/>
          <w:szCs w:val="24"/>
        </w:rPr>
        <w:t>obligations, including:</w:t>
      </w:r>
    </w:p>
    <w:p w14:paraId="1D5EBDC6" w14:textId="08CF8EF9" w:rsidR="00CE7A9F" w:rsidRPr="007766D9" w:rsidRDefault="003B2934" w:rsidP="00B5617D">
      <w:pPr>
        <w:pStyle w:val="ListParagraph"/>
        <w:numPr>
          <w:ilvl w:val="1"/>
          <w:numId w:val="20"/>
        </w:numPr>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rPr>
        <w:t>F</w:t>
      </w:r>
      <w:r w:rsidR="00CE7A9F">
        <w:rPr>
          <w:rFonts w:ascii="Times New Roman" w:eastAsia="Times New Roman" w:hAnsi="Times New Roman"/>
          <w:sz w:val="24"/>
          <w:szCs w:val="24"/>
        </w:rPr>
        <w:t xml:space="preserve">or </w:t>
      </w:r>
      <w:r w:rsidR="00CE7A9F" w:rsidRPr="008213B2">
        <w:rPr>
          <w:rFonts w:ascii="Times New Roman" w:eastAsia="Times New Roman" w:hAnsi="Times New Roman"/>
          <w:sz w:val="24"/>
          <w:szCs w:val="24"/>
        </w:rPr>
        <w:t>debt obligations</w:t>
      </w:r>
      <w:r w:rsidR="00CE7A9F">
        <w:rPr>
          <w:rFonts w:ascii="Times New Roman" w:eastAsia="Times New Roman" w:hAnsi="Times New Roman"/>
          <w:sz w:val="24"/>
          <w:szCs w:val="24"/>
        </w:rPr>
        <w:t xml:space="preserve">, current payment status </w:t>
      </w:r>
      <w:r w:rsidR="00CE7A9F" w:rsidRPr="008213B2">
        <w:rPr>
          <w:rFonts w:ascii="Times New Roman" w:eastAsia="Times New Roman" w:hAnsi="Times New Roman"/>
          <w:sz w:val="24"/>
          <w:szCs w:val="24"/>
        </w:rPr>
        <w:t>and compliance with programmatic and financial covenants</w:t>
      </w:r>
      <w:r>
        <w:rPr>
          <w:rFonts w:ascii="Times New Roman" w:eastAsia="Times New Roman" w:hAnsi="Times New Roman"/>
          <w:sz w:val="24"/>
          <w:szCs w:val="24"/>
        </w:rPr>
        <w:t>;</w:t>
      </w:r>
    </w:p>
    <w:p w14:paraId="1D5EBDC7" w14:textId="06E10704" w:rsidR="00CE7A9F" w:rsidRPr="008F18E7" w:rsidRDefault="003B2934" w:rsidP="00B5617D">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M</w:t>
      </w:r>
      <w:r w:rsidR="00CE7A9F" w:rsidRPr="008F18E7">
        <w:rPr>
          <w:rFonts w:ascii="Times New Roman" w:eastAsia="Times New Roman" w:hAnsi="Times New Roman"/>
          <w:sz w:val="24"/>
          <w:szCs w:val="24"/>
        </w:rPr>
        <w:t>aintenance of good-standing status with respect to all other obligations, i</w:t>
      </w:r>
      <w:r>
        <w:rPr>
          <w:rFonts w:ascii="Times New Roman" w:eastAsia="Times New Roman" w:hAnsi="Times New Roman"/>
          <w:sz w:val="24"/>
          <w:szCs w:val="24"/>
        </w:rPr>
        <w:t>nsurance and legal requirements; and</w:t>
      </w:r>
      <w:r w:rsidR="00CE7A9F" w:rsidRPr="008F18E7">
        <w:rPr>
          <w:rFonts w:ascii="Times New Roman" w:eastAsia="Times New Roman" w:hAnsi="Times New Roman"/>
          <w:sz w:val="24"/>
          <w:szCs w:val="24"/>
        </w:rPr>
        <w:t xml:space="preserve"> </w:t>
      </w:r>
    </w:p>
    <w:p w14:paraId="1D5EBDC8" w14:textId="2CA1DA8E" w:rsidR="00CE7A9F" w:rsidRDefault="003B2934" w:rsidP="00B5617D">
      <w:pPr>
        <w:pStyle w:val="ListParagraph"/>
        <w:numPr>
          <w:ilvl w:val="1"/>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CE7A9F">
        <w:rPr>
          <w:rFonts w:ascii="Times New Roman" w:eastAsia="Times New Roman" w:hAnsi="Times New Roman"/>
          <w:sz w:val="24"/>
          <w:szCs w:val="24"/>
        </w:rPr>
        <w:t>ny recent or outstanding corrective actions at the time of the Eligible CDFI underwriting of the Secondary Borrower.</w:t>
      </w:r>
    </w:p>
    <w:p w14:paraId="1D5EBDC9" w14:textId="77777777" w:rsidR="00CE7A9F" w:rsidRPr="007F74B3" w:rsidRDefault="00CE7A9F" w:rsidP="00B5617D">
      <w:pPr>
        <w:pStyle w:val="ListParagraph"/>
        <w:numPr>
          <w:ilvl w:val="0"/>
          <w:numId w:val="30"/>
        </w:numPr>
        <w:spacing w:after="0" w:line="240" w:lineRule="auto"/>
        <w:rPr>
          <w:rFonts w:ascii="Times New Roman" w:eastAsia="Times New Roman" w:hAnsi="Times New Roman"/>
          <w:sz w:val="24"/>
          <w:szCs w:val="24"/>
        </w:rPr>
      </w:pPr>
      <w:r w:rsidRPr="007F74B3">
        <w:rPr>
          <w:rFonts w:ascii="Times New Roman" w:eastAsia="Times New Roman" w:hAnsi="Times New Roman"/>
          <w:sz w:val="24"/>
          <w:szCs w:val="24"/>
        </w:rPr>
        <w:t>Specifically in connection with the Secondary Loan:</w:t>
      </w:r>
    </w:p>
    <w:p w14:paraId="1D5EBDCA" w14:textId="321CB710" w:rsidR="00CE7A9F" w:rsidRDefault="003B2934" w:rsidP="00B5617D">
      <w:pPr>
        <w:pStyle w:val="ListParagraph"/>
        <w:numPr>
          <w:ilvl w:val="0"/>
          <w:numId w:val="43"/>
        </w:numPr>
        <w:spacing w:after="0" w:line="240" w:lineRule="auto"/>
        <w:rPr>
          <w:rFonts w:ascii="Times New Roman" w:hAnsi="Times New Roman"/>
          <w:sz w:val="24"/>
          <w:szCs w:val="24"/>
        </w:rPr>
      </w:pPr>
      <w:r>
        <w:rPr>
          <w:rFonts w:ascii="Times New Roman" w:hAnsi="Times New Roman"/>
          <w:sz w:val="24"/>
          <w:szCs w:val="24"/>
        </w:rPr>
        <w:t>O</w:t>
      </w:r>
      <w:r w:rsidR="00CE7A9F">
        <w:rPr>
          <w:rFonts w:ascii="Times New Roman" w:hAnsi="Times New Roman"/>
          <w:sz w:val="24"/>
          <w:szCs w:val="24"/>
        </w:rPr>
        <w:t>perational and financial capacity for</w:t>
      </w:r>
      <w:r w:rsidR="00CE7A9F" w:rsidRPr="00232F21">
        <w:rPr>
          <w:rFonts w:ascii="Times New Roman" w:hAnsi="Times New Roman"/>
          <w:sz w:val="24"/>
          <w:szCs w:val="24"/>
        </w:rPr>
        <w:t xml:space="preserve"> the proposed project</w:t>
      </w:r>
      <w:r w:rsidR="00CE7A9F">
        <w:rPr>
          <w:rFonts w:ascii="Times New Roman" w:hAnsi="Times New Roman"/>
          <w:sz w:val="24"/>
          <w:szCs w:val="24"/>
        </w:rPr>
        <w:t xml:space="preserve"> that includes a funding mechanism to ensure payment of the Secondary Loan and other obligations;</w:t>
      </w:r>
    </w:p>
    <w:p w14:paraId="208FED1B" w14:textId="77777777" w:rsidR="00E92661" w:rsidRDefault="003B2934" w:rsidP="00B5617D">
      <w:pPr>
        <w:pStyle w:val="ListParagraph"/>
        <w:numPr>
          <w:ilvl w:val="0"/>
          <w:numId w:val="43"/>
        </w:numPr>
        <w:spacing w:after="0" w:line="240" w:lineRule="auto"/>
        <w:contextualSpacing w:val="0"/>
        <w:rPr>
          <w:rFonts w:ascii="Times New Roman" w:hAnsi="Times New Roman"/>
          <w:sz w:val="24"/>
          <w:szCs w:val="24"/>
        </w:rPr>
      </w:pPr>
      <w:r>
        <w:rPr>
          <w:rFonts w:ascii="Times New Roman" w:hAnsi="Times New Roman"/>
          <w:sz w:val="24"/>
          <w:szCs w:val="24"/>
        </w:rPr>
        <w:t>M</w:t>
      </w:r>
      <w:r w:rsidR="00CE7A9F" w:rsidRPr="007F74B3">
        <w:rPr>
          <w:rFonts w:ascii="Times New Roman" w:hAnsi="Times New Roman"/>
          <w:sz w:val="24"/>
          <w:szCs w:val="24"/>
        </w:rPr>
        <w:t xml:space="preserve">anagement and operational experience to carry out the proposed project that includes licensing and background credentials; </w:t>
      </w:r>
    </w:p>
    <w:p w14:paraId="3312DA7D" w14:textId="77777777" w:rsidR="00E92661" w:rsidRDefault="00E92661" w:rsidP="00B5617D">
      <w:pPr>
        <w:pStyle w:val="ListParagraph"/>
        <w:numPr>
          <w:ilvl w:val="0"/>
          <w:numId w:val="43"/>
        </w:numPr>
        <w:spacing w:after="0" w:line="240" w:lineRule="auto"/>
        <w:contextualSpacing w:val="0"/>
        <w:rPr>
          <w:rFonts w:ascii="Times New Roman" w:hAnsi="Times New Roman"/>
          <w:sz w:val="24"/>
          <w:szCs w:val="24"/>
        </w:rPr>
      </w:pPr>
      <w:r>
        <w:rPr>
          <w:rFonts w:ascii="Times New Roman" w:hAnsi="Times New Roman"/>
          <w:sz w:val="24"/>
          <w:szCs w:val="24"/>
        </w:rPr>
        <w:t>A</w:t>
      </w:r>
      <w:r w:rsidR="00CE7A9F" w:rsidRPr="007F74B3">
        <w:rPr>
          <w:rFonts w:ascii="Times New Roman" w:hAnsi="Times New Roman"/>
          <w:sz w:val="24"/>
          <w:szCs w:val="24"/>
        </w:rPr>
        <w:t xml:space="preserve"> track record in the development, management, administration and operations of </w:t>
      </w:r>
      <w:r w:rsidR="00CE7A9F">
        <w:rPr>
          <w:rFonts w:ascii="Times New Roman" w:hAnsi="Times New Roman"/>
          <w:sz w:val="24"/>
          <w:szCs w:val="24"/>
        </w:rPr>
        <w:t>rental housing</w:t>
      </w:r>
      <w:r>
        <w:rPr>
          <w:rFonts w:ascii="Times New Roman" w:hAnsi="Times New Roman"/>
          <w:sz w:val="24"/>
          <w:szCs w:val="24"/>
        </w:rPr>
        <w:t xml:space="preserve"> projects;</w:t>
      </w:r>
    </w:p>
    <w:p w14:paraId="1D5EBDCB" w14:textId="48FB2294" w:rsidR="00CE7A9F" w:rsidRDefault="00E92661" w:rsidP="00B5617D">
      <w:pPr>
        <w:pStyle w:val="ListParagraph"/>
        <w:numPr>
          <w:ilvl w:val="0"/>
          <w:numId w:val="43"/>
        </w:numPr>
        <w:spacing w:after="0" w:line="240" w:lineRule="auto"/>
        <w:contextualSpacing w:val="0"/>
        <w:rPr>
          <w:rFonts w:ascii="Times New Roman" w:hAnsi="Times New Roman"/>
          <w:sz w:val="24"/>
          <w:szCs w:val="24"/>
        </w:rPr>
      </w:pPr>
      <w:r>
        <w:rPr>
          <w:rFonts w:ascii="Times New Roman" w:hAnsi="Times New Roman"/>
          <w:sz w:val="24"/>
          <w:szCs w:val="24"/>
        </w:rPr>
        <w:t>F</w:t>
      </w:r>
      <w:r w:rsidR="00CE7A9F" w:rsidRPr="007F74B3">
        <w:rPr>
          <w:rFonts w:ascii="Times New Roman" w:hAnsi="Times New Roman"/>
          <w:sz w:val="24"/>
          <w:szCs w:val="24"/>
        </w:rPr>
        <w:t>inancial management capabilities and  financial resources to undertake the development and/or operation of the proposed project;</w:t>
      </w:r>
    </w:p>
    <w:p w14:paraId="1D5EBDCC" w14:textId="6A97085E" w:rsidR="00CE7A9F" w:rsidRPr="00F11ABD" w:rsidRDefault="003B2934" w:rsidP="00C737A2">
      <w:pPr>
        <w:pStyle w:val="ListParagraph"/>
        <w:numPr>
          <w:ilvl w:val="0"/>
          <w:numId w:val="43"/>
        </w:numPr>
        <w:spacing w:after="0" w:line="240" w:lineRule="auto"/>
        <w:contextualSpacing w:val="0"/>
        <w:rPr>
          <w:rFonts w:ascii="Times New Roman" w:hAnsi="Times New Roman"/>
          <w:sz w:val="24"/>
          <w:szCs w:val="24"/>
        </w:rPr>
      </w:pPr>
      <w:r>
        <w:rPr>
          <w:rFonts w:ascii="Times New Roman" w:hAnsi="Times New Roman"/>
          <w:sz w:val="24"/>
          <w:szCs w:val="24"/>
        </w:rPr>
        <w:t>T</w:t>
      </w:r>
      <w:r w:rsidR="00CE7A9F">
        <w:rPr>
          <w:rFonts w:ascii="Times New Roman" w:hAnsi="Times New Roman"/>
          <w:sz w:val="24"/>
          <w:szCs w:val="24"/>
        </w:rPr>
        <w:t>he m</w:t>
      </w:r>
      <w:r w:rsidR="00CE7A9F" w:rsidRPr="00F11ABD">
        <w:rPr>
          <w:rFonts w:ascii="Times New Roman" w:hAnsi="Times New Roman"/>
          <w:sz w:val="24"/>
          <w:szCs w:val="24"/>
        </w:rPr>
        <w:t>aint</w:t>
      </w:r>
      <w:r w:rsidR="00CE7A9F">
        <w:rPr>
          <w:rFonts w:ascii="Times New Roman" w:hAnsi="Times New Roman"/>
          <w:sz w:val="24"/>
          <w:szCs w:val="24"/>
        </w:rPr>
        <w:t>enance of</w:t>
      </w:r>
      <w:r w:rsidR="00CE7A9F" w:rsidRPr="00F11ABD">
        <w:rPr>
          <w:rFonts w:ascii="Times New Roman" w:hAnsi="Times New Roman"/>
          <w:sz w:val="24"/>
          <w:szCs w:val="24"/>
        </w:rPr>
        <w:t xml:space="preserve"> insurance, at all times, to support the project and organization</w:t>
      </w:r>
      <w:r>
        <w:rPr>
          <w:rFonts w:ascii="Times New Roman" w:hAnsi="Times New Roman"/>
          <w:sz w:val="24"/>
          <w:szCs w:val="24"/>
        </w:rPr>
        <w:t>;</w:t>
      </w:r>
    </w:p>
    <w:p w14:paraId="1D5EBDCD" w14:textId="00FED6AE" w:rsidR="00B5617D" w:rsidRDefault="003B2934" w:rsidP="00B5617D">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C</w:t>
      </w:r>
      <w:r w:rsidR="00CE7A9F" w:rsidRPr="007F74B3">
        <w:rPr>
          <w:rFonts w:ascii="Times New Roman" w:eastAsia="Times New Roman" w:hAnsi="Times New Roman"/>
          <w:sz w:val="24"/>
          <w:szCs w:val="24"/>
        </w:rPr>
        <w:t xml:space="preserve">urrent market conditions, demand assumptions, </w:t>
      </w:r>
      <w:r w:rsidR="00B5617D" w:rsidRPr="00F11ABD">
        <w:rPr>
          <w:rFonts w:ascii="Times New Roman" w:eastAsia="Times New Roman" w:hAnsi="Times New Roman"/>
          <w:sz w:val="24"/>
          <w:szCs w:val="24"/>
        </w:rPr>
        <w:t>rates, fees</w:t>
      </w:r>
      <w:r w:rsidR="00B5617D">
        <w:rPr>
          <w:rFonts w:ascii="Times New Roman" w:eastAsia="Times New Roman" w:hAnsi="Times New Roman"/>
          <w:sz w:val="24"/>
          <w:szCs w:val="24"/>
        </w:rPr>
        <w:t>,</w:t>
      </w:r>
      <w:r w:rsidR="00B5617D" w:rsidRPr="00F11ABD">
        <w:rPr>
          <w:rFonts w:ascii="Times New Roman" w:eastAsia="Times New Roman" w:hAnsi="Times New Roman"/>
          <w:sz w:val="24"/>
          <w:szCs w:val="24"/>
        </w:rPr>
        <w:t xml:space="preserve"> </w:t>
      </w:r>
      <w:r w:rsidR="00CE7A9F" w:rsidRPr="007F74B3">
        <w:rPr>
          <w:rFonts w:ascii="Times New Roman" w:eastAsia="Times New Roman" w:hAnsi="Times New Roman"/>
          <w:sz w:val="24"/>
          <w:szCs w:val="24"/>
        </w:rPr>
        <w:t>vacancy rates, collection assumptions, turnover rates</w:t>
      </w:r>
      <w:r w:rsidR="00CE7A9F">
        <w:rPr>
          <w:rFonts w:ascii="Times New Roman" w:eastAsia="Times New Roman" w:hAnsi="Times New Roman"/>
          <w:sz w:val="24"/>
          <w:szCs w:val="24"/>
        </w:rPr>
        <w:t>, including consideration of t</w:t>
      </w:r>
      <w:r w:rsidR="00CE7A9F" w:rsidRPr="00F11ABD">
        <w:rPr>
          <w:rFonts w:ascii="Times New Roman" w:eastAsia="Times New Roman" w:hAnsi="Times New Roman"/>
          <w:sz w:val="24"/>
          <w:szCs w:val="24"/>
        </w:rPr>
        <w:t>he number and pr</w:t>
      </w:r>
      <w:r>
        <w:rPr>
          <w:rFonts w:ascii="Times New Roman" w:eastAsia="Times New Roman" w:hAnsi="Times New Roman"/>
          <w:sz w:val="24"/>
          <w:szCs w:val="24"/>
        </w:rPr>
        <w:t>oximity of competing facilities;</w:t>
      </w:r>
      <w:r w:rsidR="00CE7A9F" w:rsidRPr="00F11ABD">
        <w:rPr>
          <w:rFonts w:ascii="Times New Roman" w:eastAsia="Times New Roman" w:hAnsi="Times New Roman"/>
          <w:sz w:val="24"/>
          <w:szCs w:val="24"/>
        </w:rPr>
        <w:t xml:space="preserve">  </w:t>
      </w:r>
    </w:p>
    <w:p w14:paraId="656A6127" w14:textId="77777777" w:rsidR="00E92661" w:rsidRDefault="003B2934" w:rsidP="00B5617D">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R</w:t>
      </w:r>
      <w:r w:rsidR="00CE7A9F" w:rsidRPr="007B5362">
        <w:rPr>
          <w:rFonts w:ascii="Times New Roman" w:eastAsia="Times New Roman" w:hAnsi="Times New Roman"/>
          <w:sz w:val="24"/>
          <w:szCs w:val="24"/>
        </w:rPr>
        <w:t xml:space="preserve">evenues for the </w:t>
      </w:r>
      <w:r w:rsidR="00CE7A9F">
        <w:rPr>
          <w:rFonts w:ascii="Times New Roman" w:eastAsia="Times New Roman" w:hAnsi="Times New Roman"/>
          <w:sz w:val="24"/>
          <w:szCs w:val="24"/>
        </w:rPr>
        <w:t>project that include</w:t>
      </w:r>
      <w:r w:rsidR="00CE7A9F" w:rsidRPr="007B5362">
        <w:rPr>
          <w:rFonts w:ascii="Times New Roman" w:eastAsia="Times New Roman" w:hAnsi="Times New Roman"/>
          <w:sz w:val="24"/>
          <w:szCs w:val="24"/>
        </w:rPr>
        <w:t xml:space="preserve"> </w:t>
      </w:r>
      <w:r w:rsidR="00CE7A9F">
        <w:rPr>
          <w:rFonts w:ascii="Times New Roman" w:eastAsia="Times New Roman" w:hAnsi="Times New Roman"/>
          <w:sz w:val="24"/>
          <w:szCs w:val="24"/>
        </w:rPr>
        <w:t xml:space="preserve">cash flow projections, </w:t>
      </w:r>
      <w:r w:rsidR="00CE7A9F" w:rsidRPr="007F74B3">
        <w:rPr>
          <w:rFonts w:ascii="Times New Roman" w:eastAsia="Times New Roman" w:hAnsi="Times New Roman"/>
          <w:sz w:val="24"/>
          <w:szCs w:val="24"/>
        </w:rPr>
        <w:t>operating expenses, debt service requirements and any other project related costs or conditions that may affect the project;</w:t>
      </w:r>
    </w:p>
    <w:p w14:paraId="607A940F" w14:textId="77777777" w:rsidR="00E92661" w:rsidRDefault="00E92661" w:rsidP="00B5617D">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A</w:t>
      </w:r>
      <w:r w:rsidR="00CE7A9F">
        <w:rPr>
          <w:rFonts w:ascii="Times New Roman" w:eastAsia="Times New Roman" w:hAnsi="Times New Roman"/>
          <w:sz w:val="24"/>
          <w:szCs w:val="24"/>
        </w:rPr>
        <w:t xml:space="preserve"> </w:t>
      </w:r>
      <w:r w:rsidR="00CE7A9F" w:rsidRPr="009D6223">
        <w:rPr>
          <w:rFonts w:ascii="Times New Roman" w:eastAsia="Times New Roman" w:hAnsi="Times New Roman"/>
          <w:sz w:val="24"/>
          <w:szCs w:val="24"/>
        </w:rPr>
        <w:t xml:space="preserve">methodology </w:t>
      </w:r>
      <w:r w:rsidR="00CE7A9F">
        <w:rPr>
          <w:rFonts w:ascii="Times New Roman" w:eastAsia="Times New Roman" w:hAnsi="Times New Roman"/>
          <w:sz w:val="24"/>
          <w:szCs w:val="24"/>
        </w:rPr>
        <w:t>and narrative discussion for the projected increase in revenue;</w:t>
      </w:r>
      <w:r w:rsidR="00B5617D">
        <w:rPr>
          <w:rFonts w:ascii="Times New Roman" w:eastAsia="Times New Roman" w:hAnsi="Times New Roman"/>
          <w:sz w:val="24"/>
          <w:szCs w:val="24"/>
        </w:rPr>
        <w:t xml:space="preserve"> </w:t>
      </w:r>
    </w:p>
    <w:p w14:paraId="1D5EBDCE" w14:textId="2AFDEAC7" w:rsidR="00CE7A9F" w:rsidRPr="009B0540" w:rsidRDefault="00E92661" w:rsidP="00B5617D">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D</w:t>
      </w:r>
      <w:r w:rsidR="003B2934">
        <w:rPr>
          <w:rFonts w:ascii="Times New Roman" w:eastAsia="Times New Roman" w:hAnsi="Times New Roman"/>
          <w:sz w:val="24"/>
          <w:szCs w:val="24"/>
        </w:rPr>
        <w:t>iversity of payment sources;</w:t>
      </w:r>
    </w:p>
    <w:p w14:paraId="1D5EBDCF" w14:textId="0BBD847E" w:rsidR="00CE7A9F" w:rsidRPr="007F74B3" w:rsidRDefault="003B2934" w:rsidP="00B5617D">
      <w:pPr>
        <w:pStyle w:val="ListParagraph"/>
        <w:numPr>
          <w:ilvl w:val="0"/>
          <w:numId w:val="43"/>
        </w:numPr>
        <w:spacing w:line="240" w:lineRule="auto"/>
        <w:rPr>
          <w:rFonts w:ascii="Times New Roman" w:eastAsia="Times New Roman" w:hAnsi="Times New Roman"/>
          <w:sz w:val="24"/>
          <w:szCs w:val="24"/>
        </w:rPr>
      </w:pPr>
      <w:r>
        <w:rPr>
          <w:rFonts w:ascii="Times New Roman" w:eastAsia="Times New Roman" w:hAnsi="Times New Roman"/>
          <w:sz w:val="24"/>
          <w:szCs w:val="24"/>
        </w:rPr>
        <w:t>T</w:t>
      </w:r>
      <w:r w:rsidR="00CE7A9F" w:rsidRPr="007F74B3">
        <w:rPr>
          <w:rFonts w:ascii="Times New Roman" w:eastAsia="Times New Roman" w:hAnsi="Times New Roman"/>
          <w:sz w:val="24"/>
          <w:szCs w:val="24"/>
        </w:rPr>
        <w:t>he terms and impact of ground leases or other ongoing restrictions to the project and/or property;</w:t>
      </w:r>
    </w:p>
    <w:p w14:paraId="1D5EBDD0" w14:textId="45CE3853" w:rsidR="00CE7A9F" w:rsidRDefault="003B2934" w:rsidP="00B5617D">
      <w:pPr>
        <w:pStyle w:val="ListParagraph"/>
        <w:numPr>
          <w:ilvl w:val="0"/>
          <w:numId w:val="43"/>
        </w:numPr>
        <w:spacing w:line="240" w:lineRule="auto"/>
        <w:rPr>
          <w:rFonts w:ascii="Times New Roman" w:eastAsia="Times New Roman" w:hAnsi="Times New Roman"/>
          <w:sz w:val="24"/>
          <w:szCs w:val="24"/>
        </w:rPr>
      </w:pPr>
      <w:r>
        <w:rPr>
          <w:rFonts w:ascii="Times New Roman" w:eastAsia="Times New Roman" w:hAnsi="Times New Roman"/>
          <w:sz w:val="24"/>
          <w:szCs w:val="24"/>
        </w:rPr>
        <w:t>O</w:t>
      </w:r>
      <w:r w:rsidR="00CE7A9F">
        <w:rPr>
          <w:rFonts w:ascii="Times New Roman" w:eastAsia="Times New Roman" w:hAnsi="Times New Roman"/>
          <w:sz w:val="24"/>
          <w:szCs w:val="24"/>
        </w:rPr>
        <w:t xml:space="preserve">perating, lease-up and replacement reserves and any other types of reserves established for the project; </w:t>
      </w:r>
    </w:p>
    <w:p w14:paraId="1D5EBDD1" w14:textId="0AC2472E" w:rsidR="00CE7A9F" w:rsidRDefault="003B2934" w:rsidP="00B5617D">
      <w:pPr>
        <w:pStyle w:val="ListParagraph"/>
        <w:numPr>
          <w:ilvl w:val="0"/>
          <w:numId w:val="43"/>
        </w:numPr>
        <w:spacing w:line="240" w:lineRule="auto"/>
        <w:rPr>
          <w:rFonts w:ascii="Times New Roman" w:eastAsia="Times New Roman" w:hAnsi="Times New Roman"/>
          <w:sz w:val="24"/>
          <w:szCs w:val="24"/>
        </w:rPr>
      </w:pPr>
      <w:r>
        <w:rPr>
          <w:rFonts w:ascii="Times New Roman" w:hAnsi="Times New Roman"/>
          <w:sz w:val="24"/>
          <w:szCs w:val="24"/>
        </w:rPr>
        <w:t>I</w:t>
      </w:r>
      <w:r w:rsidR="00CE7A9F">
        <w:rPr>
          <w:rFonts w:ascii="Times New Roman" w:hAnsi="Times New Roman"/>
          <w:sz w:val="24"/>
          <w:szCs w:val="24"/>
        </w:rPr>
        <w:t>nsurance, at all times, to support the project and the organization;</w:t>
      </w:r>
    </w:p>
    <w:p w14:paraId="1D5EBDD2" w14:textId="5DB6FA98" w:rsidR="00CE7A9F" w:rsidRDefault="003B2934" w:rsidP="00B5617D">
      <w:pPr>
        <w:pStyle w:val="ListParagraph"/>
        <w:numPr>
          <w:ilvl w:val="0"/>
          <w:numId w:val="12"/>
        </w:numPr>
        <w:spacing w:line="240" w:lineRule="auto"/>
        <w:rPr>
          <w:rFonts w:ascii="Times New Roman" w:eastAsia="Times New Roman" w:hAnsi="Times New Roman"/>
          <w:sz w:val="24"/>
          <w:szCs w:val="24"/>
        </w:rPr>
      </w:pPr>
      <w:r>
        <w:rPr>
          <w:rFonts w:ascii="Times New Roman" w:eastAsia="Times New Roman" w:hAnsi="Times New Roman"/>
          <w:sz w:val="24"/>
          <w:szCs w:val="24"/>
        </w:rPr>
        <w:t>A</w:t>
      </w:r>
      <w:r w:rsidR="00CE7A9F">
        <w:rPr>
          <w:rFonts w:ascii="Times New Roman" w:eastAsia="Times New Roman" w:hAnsi="Times New Roman"/>
          <w:sz w:val="24"/>
          <w:szCs w:val="24"/>
        </w:rPr>
        <w:t xml:space="preserve">s applicable, historical property financial performance that is supported by an audited financial statement and any other operating information pertinent to </w:t>
      </w:r>
      <w:r>
        <w:rPr>
          <w:rFonts w:ascii="Times New Roman" w:eastAsia="Times New Roman" w:hAnsi="Times New Roman"/>
          <w:sz w:val="24"/>
          <w:szCs w:val="24"/>
        </w:rPr>
        <w:t>the underwriting of the project;</w:t>
      </w:r>
      <w:r w:rsidR="00CE7A9F">
        <w:rPr>
          <w:rFonts w:ascii="Times New Roman" w:eastAsia="Times New Roman" w:hAnsi="Times New Roman"/>
          <w:sz w:val="24"/>
          <w:szCs w:val="24"/>
        </w:rPr>
        <w:t xml:space="preserve"> </w:t>
      </w:r>
    </w:p>
    <w:p w14:paraId="1D5EBDD3" w14:textId="58898CA7" w:rsidR="00CE7A9F" w:rsidRDefault="003B2934" w:rsidP="00C737A2">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w:t>
      </w:r>
      <w:r w:rsidR="00CE7A9F">
        <w:rPr>
          <w:rFonts w:ascii="Times New Roman" w:eastAsia="Times New Roman" w:hAnsi="Times New Roman"/>
          <w:sz w:val="24"/>
          <w:szCs w:val="24"/>
        </w:rPr>
        <w:t>orking capital</w:t>
      </w:r>
      <w:r>
        <w:rPr>
          <w:rFonts w:ascii="Times New Roman" w:eastAsia="Times New Roman" w:hAnsi="Times New Roman"/>
          <w:sz w:val="24"/>
          <w:szCs w:val="24"/>
        </w:rPr>
        <w:t>;</w:t>
      </w:r>
      <w:r w:rsidR="00CE7A9F">
        <w:rPr>
          <w:rFonts w:ascii="Times New Roman" w:eastAsia="Times New Roman" w:hAnsi="Times New Roman"/>
          <w:sz w:val="24"/>
          <w:szCs w:val="24"/>
        </w:rPr>
        <w:t xml:space="preserve"> </w:t>
      </w:r>
    </w:p>
    <w:p w14:paraId="1D5EBDD4" w14:textId="75F4C7E0" w:rsidR="00CE7A9F" w:rsidRDefault="003B2934" w:rsidP="00C737A2">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D</w:t>
      </w:r>
      <w:r w:rsidR="00CE7A9F" w:rsidRPr="00D7406E">
        <w:rPr>
          <w:rFonts w:ascii="Times New Roman" w:eastAsia="Times New Roman" w:hAnsi="Times New Roman"/>
          <w:sz w:val="24"/>
          <w:szCs w:val="24"/>
        </w:rPr>
        <w:t>ebt service coverage of the proposed Secondary Loan and all ass</w:t>
      </w:r>
      <w:r>
        <w:rPr>
          <w:rFonts w:ascii="Times New Roman" w:eastAsia="Times New Roman" w:hAnsi="Times New Roman"/>
          <w:sz w:val="24"/>
          <w:szCs w:val="24"/>
        </w:rPr>
        <w:t xml:space="preserve">ociated Secondary Borrower debt; </w:t>
      </w:r>
      <w:r w:rsidR="00CE7A9F" w:rsidRPr="00D7406E">
        <w:rPr>
          <w:rFonts w:ascii="Times New Roman" w:eastAsia="Times New Roman" w:hAnsi="Times New Roman"/>
          <w:sz w:val="24"/>
          <w:szCs w:val="24"/>
        </w:rPr>
        <w:t xml:space="preserve"> </w:t>
      </w:r>
    </w:p>
    <w:p w14:paraId="1D5EBDD5" w14:textId="35623A1C" w:rsidR="00CE7A9F" w:rsidRDefault="003B2934" w:rsidP="00B5617D">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L</w:t>
      </w:r>
      <w:r w:rsidR="00CE7A9F">
        <w:rPr>
          <w:rFonts w:ascii="Times New Roman" w:eastAsia="Times New Roman" w:hAnsi="Times New Roman"/>
          <w:sz w:val="24"/>
          <w:szCs w:val="24"/>
        </w:rPr>
        <w:t>oan to value analysis</w:t>
      </w:r>
      <w:r>
        <w:rPr>
          <w:rFonts w:ascii="Times New Roman" w:eastAsia="Times New Roman" w:hAnsi="Times New Roman"/>
          <w:sz w:val="24"/>
          <w:szCs w:val="24"/>
        </w:rPr>
        <w:t>; and</w:t>
      </w:r>
    </w:p>
    <w:p w14:paraId="1D5EBDD6" w14:textId="47702C59" w:rsidR="00CE7A9F" w:rsidRDefault="003B2934" w:rsidP="00B5617D">
      <w:pPr>
        <w:pStyle w:val="ListParagraph"/>
        <w:numPr>
          <w:ilvl w:val="0"/>
          <w:numId w:val="12"/>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CE7A9F">
        <w:rPr>
          <w:rFonts w:ascii="Times New Roman" w:eastAsia="Times New Roman" w:hAnsi="Times New Roman"/>
          <w:sz w:val="24"/>
          <w:szCs w:val="24"/>
        </w:rPr>
        <w:t>ny Credit E</w:t>
      </w:r>
      <w:r w:rsidR="00CE7A9F" w:rsidRPr="007B5362">
        <w:rPr>
          <w:rFonts w:ascii="Times New Roman" w:eastAsia="Times New Roman" w:hAnsi="Times New Roman"/>
          <w:sz w:val="24"/>
          <w:szCs w:val="24"/>
        </w:rPr>
        <w:t xml:space="preserve">nhancements, grants, guarantees or other support to the </w:t>
      </w:r>
      <w:r w:rsidR="00CE7A9F">
        <w:rPr>
          <w:rFonts w:ascii="Times New Roman" w:eastAsia="Times New Roman" w:hAnsi="Times New Roman"/>
          <w:sz w:val="24"/>
          <w:szCs w:val="24"/>
        </w:rPr>
        <w:t>Secondary Borrower that</w:t>
      </w:r>
      <w:r w:rsidR="00CE7A9F" w:rsidRPr="007B5362">
        <w:rPr>
          <w:rFonts w:ascii="Times New Roman" w:eastAsia="Times New Roman" w:hAnsi="Times New Roman"/>
          <w:sz w:val="24"/>
          <w:szCs w:val="24"/>
        </w:rPr>
        <w:t xml:space="preserve"> impact the underwriting and/or risk mitigation of the </w:t>
      </w:r>
      <w:r w:rsidR="00CE7A9F">
        <w:rPr>
          <w:rFonts w:ascii="Times New Roman" w:eastAsia="Times New Roman" w:hAnsi="Times New Roman"/>
          <w:sz w:val="24"/>
          <w:szCs w:val="24"/>
        </w:rPr>
        <w:t>Secondary Loan.</w:t>
      </w:r>
    </w:p>
    <w:p w14:paraId="1D5EBDD7" w14:textId="77777777" w:rsidR="00787DBE" w:rsidRDefault="00787DBE" w:rsidP="005C48D0">
      <w:pPr>
        <w:spacing w:after="0" w:line="240" w:lineRule="auto"/>
        <w:ind w:firstLine="360"/>
        <w:jc w:val="both"/>
        <w:rPr>
          <w:rFonts w:ascii="Times New Roman" w:eastAsia="Times New Roman" w:hAnsi="Times New Roman"/>
          <w:i/>
          <w:sz w:val="24"/>
          <w:szCs w:val="24"/>
          <w:u w:val="single"/>
        </w:rPr>
      </w:pPr>
    </w:p>
    <w:p w14:paraId="1D5EBDD8" w14:textId="27662FB1" w:rsidR="00855245" w:rsidRPr="00E174C1" w:rsidRDefault="00855245" w:rsidP="005C48D0">
      <w:pPr>
        <w:pStyle w:val="ListParagraph"/>
        <w:numPr>
          <w:ilvl w:val="0"/>
          <w:numId w:val="4"/>
        </w:numPr>
        <w:tabs>
          <w:tab w:val="left" w:pos="360"/>
        </w:tabs>
        <w:spacing w:after="0" w:line="240" w:lineRule="auto"/>
        <w:ind w:left="360"/>
        <w:jc w:val="both"/>
        <w:rPr>
          <w:rFonts w:ascii="Times New Roman" w:eastAsia="Times New Roman" w:hAnsi="Times New Roman"/>
          <w:b/>
          <w:sz w:val="24"/>
          <w:szCs w:val="24"/>
        </w:rPr>
      </w:pPr>
      <w:r w:rsidRPr="00E174C1">
        <w:rPr>
          <w:rFonts w:ascii="Times New Roman" w:eastAsia="Times New Roman" w:hAnsi="Times New Roman"/>
          <w:b/>
          <w:smallCaps/>
          <w:sz w:val="24"/>
          <w:szCs w:val="24"/>
        </w:rPr>
        <w:t>Small Business</w:t>
      </w:r>
      <w:r w:rsidR="005552DA">
        <w:rPr>
          <w:rFonts w:ascii="Times New Roman" w:eastAsia="Times New Roman" w:hAnsi="Times New Roman"/>
          <w:b/>
          <w:smallCaps/>
          <w:sz w:val="24"/>
          <w:szCs w:val="24"/>
        </w:rPr>
        <w:t xml:space="preserve"> (For Profit)</w:t>
      </w:r>
      <w:r w:rsidRPr="00E174C1">
        <w:rPr>
          <w:rFonts w:ascii="Times New Roman" w:eastAsia="Times New Roman" w:hAnsi="Times New Roman"/>
          <w:b/>
          <w:smallCaps/>
          <w:sz w:val="24"/>
          <w:szCs w:val="24"/>
        </w:rPr>
        <w:t xml:space="preserve"> Lending:</w:t>
      </w:r>
    </w:p>
    <w:p w14:paraId="1D5EBDD9" w14:textId="4A5918E5" w:rsidR="000A4773" w:rsidRPr="000A4773" w:rsidRDefault="00622AFE" w:rsidP="003A3B3F">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 xml:space="preserve">The Eligible CDFI’s </w:t>
      </w:r>
      <w:r w:rsidRPr="00F5734D">
        <w:rPr>
          <w:rFonts w:ascii="Times New Roman" w:eastAsia="Times New Roman" w:hAnsi="Times New Roman"/>
          <w:sz w:val="24"/>
          <w:szCs w:val="24"/>
        </w:rPr>
        <w:t xml:space="preserve">underwriting </w:t>
      </w:r>
      <w:r>
        <w:rPr>
          <w:rFonts w:ascii="Times New Roman" w:eastAsia="Times New Roman" w:hAnsi="Times New Roman"/>
          <w:sz w:val="24"/>
          <w:szCs w:val="24"/>
        </w:rPr>
        <w:t>policies and evaluation criteria for a Secondary Borrower</w:t>
      </w:r>
      <w:r w:rsidRPr="00F5734D">
        <w:rPr>
          <w:rFonts w:ascii="Times New Roman" w:eastAsia="Times New Roman" w:hAnsi="Times New Roman"/>
          <w:sz w:val="24"/>
          <w:szCs w:val="24"/>
        </w:rPr>
        <w:t xml:space="preserve"> </w:t>
      </w:r>
      <w:r>
        <w:rPr>
          <w:rFonts w:ascii="Times New Roman" w:eastAsia="Times New Roman" w:hAnsi="Times New Roman"/>
          <w:sz w:val="24"/>
          <w:szCs w:val="24"/>
        </w:rPr>
        <w:t>under this asset class must address</w:t>
      </w:r>
      <w:r w:rsidRPr="00F5734D">
        <w:rPr>
          <w:rFonts w:ascii="Times New Roman" w:eastAsia="Times New Roman" w:hAnsi="Times New Roman"/>
          <w:sz w:val="24"/>
          <w:szCs w:val="24"/>
        </w:rPr>
        <w:t xml:space="preserve"> the following</w:t>
      </w:r>
      <w:r>
        <w:rPr>
          <w:rFonts w:ascii="Times New Roman" w:eastAsia="Times New Roman" w:hAnsi="Times New Roman"/>
          <w:sz w:val="24"/>
          <w:szCs w:val="24"/>
        </w:rPr>
        <w:t>:</w:t>
      </w:r>
    </w:p>
    <w:p w14:paraId="1D5EBDDA" w14:textId="77777777" w:rsidR="00641C6B" w:rsidRDefault="00641C6B" w:rsidP="003A3B3F">
      <w:pPr>
        <w:spacing w:after="0" w:line="240" w:lineRule="auto"/>
        <w:ind w:left="360"/>
        <w:rPr>
          <w:rFonts w:ascii="Times New Roman" w:eastAsia="Times New Roman" w:hAnsi="Times New Roman"/>
          <w:sz w:val="24"/>
          <w:szCs w:val="24"/>
        </w:rPr>
      </w:pPr>
    </w:p>
    <w:p w14:paraId="1D5EBDDB" w14:textId="2DE3C66A" w:rsidR="005F4875" w:rsidRPr="003B7B04" w:rsidRDefault="003B2934" w:rsidP="00352024">
      <w:pPr>
        <w:pStyle w:val="ListParagraph"/>
        <w:numPr>
          <w:ilvl w:val="0"/>
          <w:numId w:val="50"/>
        </w:numPr>
        <w:spacing w:after="0" w:line="240" w:lineRule="auto"/>
        <w:contextualSpacing w:val="0"/>
        <w:rPr>
          <w:rFonts w:ascii="Times New Roman" w:hAnsi="Times New Roman"/>
          <w:sz w:val="24"/>
          <w:szCs w:val="24"/>
        </w:rPr>
      </w:pPr>
      <w:r>
        <w:rPr>
          <w:rFonts w:ascii="Times New Roman" w:hAnsi="Times New Roman"/>
          <w:sz w:val="24"/>
          <w:szCs w:val="24"/>
        </w:rPr>
        <w:t xml:space="preserve">A </w:t>
      </w:r>
      <w:r w:rsidR="005F4875">
        <w:rPr>
          <w:rFonts w:ascii="Times New Roman" w:hAnsi="Times New Roman"/>
          <w:sz w:val="24"/>
          <w:szCs w:val="24"/>
        </w:rPr>
        <w:t xml:space="preserve">track record of each Secondary Borrower principal’s ability </w:t>
      </w:r>
      <w:r w:rsidR="00463B10">
        <w:rPr>
          <w:rFonts w:ascii="Times New Roman" w:hAnsi="Times New Roman"/>
          <w:sz w:val="24"/>
          <w:szCs w:val="24"/>
        </w:rPr>
        <w:t xml:space="preserve">to </w:t>
      </w:r>
      <w:r w:rsidR="005F4875">
        <w:rPr>
          <w:rFonts w:ascii="Times New Roman" w:hAnsi="Times New Roman"/>
          <w:sz w:val="24"/>
          <w:szCs w:val="24"/>
        </w:rPr>
        <w:t>pay personal debt as it comes due</w:t>
      </w:r>
      <w:r w:rsidR="00463B10">
        <w:rPr>
          <w:rFonts w:ascii="Times New Roman" w:hAnsi="Times New Roman"/>
          <w:sz w:val="24"/>
          <w:szCs w:val="24"/>
        </w:rPr>
        <w:t xml:space="preserve"> </w:t>
      </w:r>
      <w:r w:rsidR="005F4875">
        <w:rPr>
          <w:rFonts w:ascii="Times New Roman" w:hAnsi="Times New Roman"/>
          <w:sz w:val="24"/>
          <w:szCs w:val="24"/>
        </w:rPr>
        <w:t xml:space="preserve">and </w:t>
      </w:r>
      <w:r w:rsidR="00463B10">
        <w:rPr>
          <w:rFonts w:ascii="Times New Roman" w:hAnsi="Times New Roman"/>
          <w:sz w:val="24"/>
          <w:szCs w:val="24"/>
        </w:rPr>
        <w:t xml:space="preserve">to </w:t>
      </w:r>
      <w:r w:rsidR="005F4875">
        <w:rPr>
          <w:rFonts w:ascii="Times New Roman" w:hAnsi="Times New Roman"/>
          <w:sz w:val="24"/>
          <w:szCs w:val="24"/>
        </w:rPr>
        <w:t xml:space="preserve">comply with </w:t>
      </w:r>
      <w:r w:rsidR="003E4258">
        <w:rPr>
          <w:rFonts w:ascii="Times New Roman" w:hAnsi="Times New Roman"/>
          <w:sz w:val="24"/>
          <w:szCs w:val="24"/>
        </w:rPr>
        <w:t>all applicable F</w:t>
      </w:r>
      <w:r w:rsidR="005F4875">
        <w:rPr>
          <w:rFonts w:ascii="Times New Roman" w:hAnsi="Times New Roman"/>
          <w:sz w:val="24"/>
          <w:szCs w:val="24"/>
        </w:rPr>
        <w:t xml:space="preserve">ederal, </w:t>
      </w:r>
      <w:r w:rsidR="003E4258">
        <w:rPr>
          <w:rFonts w:ascii="Times New Roman" w:hAnsi="Times New Roman"/>
          <w:sz w:val="24"/>
          <w:szCs w:val="24"/>
        </w:rPr>
        <w:t>S</w:t>
      </w:r>
      <w:r w:rsidR="005F4875">
        <w:rPr>
          <w:rFonts w:ascii="Times New Roman" w:hAnsi="Times New Roman"/>
          <w:sz w:val="24"/>
          <w:szCs w:val="24"/>
        </w:rPr>
        <w:t>tate and local law</w:t>
      </w:r>
      <w:r>
        <w:rPr>
          <w:rFonts w:ascii="Times New Roman" w:hAnsi="Times New Roman"/>
          <w:sz w:val="24"/>
          <w:szCs w:val="24"/>
        </w:rPr>
        <w:t>s;</w:t>
      </w:r>
    </w:p>
    <w:p w14:paraId="1D5EBDDC" w14:textId="20496E9B" w:rsidR="005F4875" w:rsidRPr="003B7B04" w:rsidRDefault="003B2934" w:rsidP="00352024">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T</w:t>
      </w:r>
      <w:r w:rsidR="005F4875" w:rsidRPr="003B7B04">
        <w:rPr>
          <w:rFonts w:ascii="Times New Roman" w:hAnsi="Times New Roman"/>
          <w:sz w:val="24"/>
          <w:szCs w:val="24"/>
        </w:rPr>
        <w:t xml:space="preserve">he </w:t>
      </w:r>
      <w:r w:rsidR="003B7B04">
        <w:rPr>
          <w:rFonts w:ascii="Times New Roman" w:hAnsi="Times New Roman"/>
          <w:sz w:val="24"/>
          <w:szCs w:val="24"/>
        </w:rPr>
        <w:t>capacity</w:t>
      </w:r>
      <w:r w:rsidR="00463B10" w:rsidRPr="003B7B04">
        <w:rPr>
          <w:rFonts w:ascii="Times New Roman" w:hAnsi="Times New Roman"/>
          <w:sz w:val="24"/>
          <w:szCs w:val="24"/>
        </w:rPr>
        <w:t xml:space="preserve"> to provide Eligible CDFI with recurring business financial reports that include annual and interim balance sheets, income statements, and any other financial or operational reports that the Eligible CDFI will require.  If the Secondary Borrower has any third-party guarantors, the aforementioned financial statement requirement would apply to third-party guarantors</w:t>
      </w:r>
      <w:r w:rsidR="003E4258" w:rsidRPr="003B7B04">
        <w:rPr>
          <w:rFonts w:ascii="Times New Roman" w:hAnsi="Times New Roman"/>
          <w:sz w:val="24"/>
          <w:szCs w:val="24"/>
        </w:rPr>
        <w:t>;</w:t>
      </w:r>
    </w:p>
    <w:p w14:paraId="1D5EBDDE" w14:textId="707F6DF4" w:rsidR="00463B10" w:rsidRPr="003B7B04" w:rsidRDefault="003B2934" w:rsidP="00352024">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K</w:t>
      </w:r>
      <w:r w:rsidR="00463B10" w:rsidRPr="003B7B04">
        <w:rPr>
          <w:rFonts w:ascii="Times New Roman" w:hAnsi="Times New Roman"/>
          <w:sz w:val="24"/>
          <w:szCs w:val="24"/>
        </w:rPr>
        <w:t>nowledge of the business and market as evidenced by a complete business plan that includes sections on marketing (e.g. product pricing and proposed customer base); finance (e.g.</w:t>
      </w:r>
      <w:r w:rsidR="003E4258" w:rsidRPr="003B7B04">
        <w:rPr>
          <w:rFonts w:ascii="Times New Roman" w:hAnsi="Times New Roman"/>
          <w:sz w:val="24"/>
          <w:szCs w:val="24"/>
        </w:rPr>
        <w:t>,</w:t>
      </w:r>
      <w:r w:rsidR="00463B10" w:rsidRPr="003B7B04">
        <w:rPr>
          <w:rFonts w:ascii="Times New Roman" w:hAnsi="Times New Roman"/>
          <w:sz w:val="24"/>
          <w:szCs w:val="24"/>
        </w:rPr>
        <w:t xml:space="preserve"> monthly cash flow projections on a best, worst and most likely case basis); </w:t>
      </w:r>
      <w:r w:rsidR="00B65BCF" w:rsidRPr="003B7B04">
        <w:rPr>
          <w:rFonts w:ascii="Times New Roman" w:hAnsi="Times New Roman"/>
          <w:sz w:val="24"/>
          <w:szCs w:val="24"/>
        </w:rPr>
        <w:t xml:space="preserve">operations, </w:t>
      </w:r>
      <w:r w:rsidR="00463B10" w:rsidRPr="003B7B04">
        <w:rPr>
          <w:rFonts w:ascii="Times New Roman" w:hAnsi="Times New Roman"/>
          <w:sz w:val="24"/>
          <w:szCs w:val="24"/>
        </w:rPr>
        <w:t>management</w:t>
      </w:r>
      <w:r w:rsidR="00B65BCF" w:rsidRPr="003B7B04">
        <w:rPr>
          <w:rFonts w:ascii="Times New Roman" w:hAnsi="Times New Roman"/>
          <w:sz w:val="24"/>
          <w:szCs w:val="24"/>
        </w:rPr>
        <w:t xml:space="preserve"> plan</w:t>
      </w:r>
      <w:r w:rsidR="00463B10" w:rsidRPr="003B7B04">
        <w:rPr>
          <w:rFonts w:ascii="Times New Roman" w:hAnsi="Times New Roman"/>
          <w:sz w:val="24"/>
          <w:szCs w:val="24"/>
        </w:rPr>
        <w:t xml:space="preserve"> and staffing; and proposed legal structure</w:t>
      </w:r>
      <w:r w:rsidR="003E4258" w:rsidRPr="003B7B04">
        <w:rPr>
          <w:rFonts w:ascii="Times New Roman" w:hAnsi="Times New Roman"/>
          <w:sz w:val="24"/>
          <w:szCs w:val="24"/>
        </w:rPr>
        <w:t>;</w:t>
      </w:r>
    </w:p>
    <w:p w14:paraId="1D5EBDDF" w14:textId="0FD80EE1" w:rsidR="00E7090A" w:rsidRPr="003B7B04" w:rsidRDefault="003B2934" w:rsidP="00352024">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D</w:t>
      </w:r>
      <w:r w:rsidR="00E7090A" w:rsidRPr="003B7B04">
        <w:rPr>
          <w:rFonts w:ascii="Times New Roman" w:hAnsi="Times New Roman"/>
          <w:sz w:val="24"/>
          <w:szCs w:val="24"/>
        </w:rPr>
        <w:t>emand for its services as indicated in stable or increasing earnings before interest, taxes, depreciation and amortization (EBITDA).  The debt service of the Secondary Borrower/ small business cannot depend upon rapidly increasing cash flow projections</w:t>
      </w:r>
      <w:r w:rsidR="003E4258" w:rsidRPr="003B7B04">
        <w:rPr>
          <w:rFonts w:ascii="Times New Roman" w:hAnsi="Times New Roman"/>
          <w:sz w:val="24"/>
          <w:szCs w:val="24"/>
        </w:rPr>
        <w:t>;</w:t>
      </w:r>
    </w:p>
    <w:p w14:paraId="1D5EBDE0" w14:textId="37EC28A1" w:rsidR="003B7B04" w:rsidRPr="003B5A88" w:rsidRDefault="003B7B04" w:rsidP="00352024">
      <w:pPr>
        <w:pStyle w:val="ListParagraph"/>
        <w:numPr>
          <w:ilvl w:val="0"/>
          <w:numId w:val="5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Sufficiency of </w:t>
      </w:r>
      <w:r w:rsidRPr="003B5A88">
        <w:rPr>
          <w:rFonts w:ascii="Times New Roman" w:eastAsia="Times New Roman" w:hAnsi="Times New Roman"/>
          <w:sz w:val="24"/>
          <w:szCs w:val="24"/>
        </w:rPr>
        <w:t>operating cash flows to repay the Secondary Loan on time from the operating cash generated over the term of the proposed Secondary Loan</w:t>
      </w:r>
      <w:r w:rsidR="003B2934">
        <w:rPr>
          <w:rFonts w:ascii="Times New Roman" w:eastAsia="Times New Roman" w:hAnsi="Times New Roman"/>
          <w:sz w:val="24"/>
          <w:szCs w:val="24"/>
        </w:rPr>
        <w:t xml:space="preserve">; </w:t>
      </w:r>
    </w:p>
    <w:p w14:paraId="1D5EBDE1" w14:textId="7C36E1B8" w:rsidR="00463B10" w:rsidRPr="00171A15" w:rsidRDefault="003B2934" w:rsidP="00352024">
      <w:pPr>
        <w:pStyle w:val="ListParagraph"/>
        <w:numPr>
          <w:ilvl w:val="0"/>
          <w:numId w:val="50"/>
        </w:numPr>
        <w:spacing w:after="0" w:line="240" w:lineRule="auto"/>
        <w:rPr>
          <w:rFonts w:ascii="Times New Roman" w:hAnsi="Times New Roman"/>
          <w:sz w:val="24"/>
          <w:szCs w:val="24"/>
        </w:rPr>
      </w:pPr>
      <w:r w:rsidRPr="00171A15">
        <w:rPr>
          <w:rFonts w:ascii="Times New Roman" w:hAnsi="Times New Roman"/>
          <w:sz w:val="24"/>
          <w:szCs w:val="24"/>
        </w:rPr>
        <w:t>D</w:t>
      </w:r>
      <w:r w:rsidR="00463B10" w:rsidRPr="00171A15">
        <w:rPr>
          <w:rFonts w:ascii="Times New Roman" w:hAnsi="Times New Roman"/>
          <w:sz w:val="24"/>
          <w:szCs w:val="24"/>
        </w:rPr>
        <w:t>ocumented</w:t>
      </w:r>
      <w:r w:rsidR="00B65BCF" w:rsidRPr="00171A15">
        <w:rPr>
          <w:rFonts w:ascii="Times New Roman" w:hAnsi="Times New Roman"/>
          <w:sz w:val="24"/>
          <w:szCs w:val="24"/>
        </w:rPr>
        <w:t xml:space="preserve"> evidence of </w:t>
      </w:r>
      <w:r w:rsidR="00463B10" w:rsidRPr="00171A15">
        <w:rPr>
          <w:rFonts w:ascii="Times New Roman" w:hAnsi="Times New Roman"/>
          <w:sz w:val="24"/>
          <w:szCs w:val="24"/>
        </w:rPr>
        <w:t xml:space="preserve"> investment in </w:t>
      </w:r>
      <w:r w:rsidR="00B326B0" w:rsidRPr="00171A15">
        <w:rPr>
          <w:rFonts w:ascii="Times New Roman" w:hAnsi="Times New Roman"/>
          <w:sz w:val="24"/>
          <w:szCs w:val="24"/>
        </w:rPr>
        <w:t xml:space="preserve">the </w:t>
      </w:r>
      <w:r w:rsidR="00463B10" w:rsidRPr="00171A15">
        <w:rPr>
          <w:rFonts w:ascii="Times New Roman" w:hAnsi="Times New Roman"/>
          <w:sz w:val="24"/>
          <w:szCs w:val="24"/>
        </w:rPr>
        <w:t>enterprise</w:t>
      </w:r>
      <w:r w:rsidR="00B326B0" w:rsidRPr="00171A15">
        <w:rPr>
          <w:rFonts w:ascii="Times New Roman" w:hAnsi="Times New Roman"/>
          <w:sz w:val="24"/>
          <w:szCs w:val="24"/>
        </w:rPr>
        <w:t xml:space="preserve"> (small business)</w:t>
      </w:r>
      <w:r w:rsidR="00463B10" w:rsidRPr="00171A15">
        <w:rPr>
          <w:rFonts w:ascii="Times New Roman" w:hAnsi="Times New Roman"/>
          <w:sz w:val="24"/>
          <w:szCs w:val="24"/>
        </w:rPr>
        <w:t xml:space="preserve"> for which the Secondary Loan is sought</w:t>
      </w:r>
      <w:r w:rsidR="003E4258" w:rsidRPr="00171A15">
        <w:rPr>
          <w:rFonts w:ascii="Times New Roman" w:hAnsi="Times New Roman"/>
          <w:sz w:val="24"/>
          <w:szCs w:val="24"/>
        </w:rPr>
        <w:t>;</w:t>
      </w:r>
    </w:p>
    <w:p w14:paraId="1D5EBDE2" w14:textId="33C5F185" w:rsidR="00463B10" w:rsidRPr="003B7B04" w:rsidRDefault="003B2934" w:rsidP="00352024">
      <w:pPr>
        <w:pStyle w:val="ListParagraph"/>
        <w:numPr>
          <w:ilvl w:val="0"/>
          <w:numId w:val="50"/>
        </w:numPr>
        <w:spacing w:after="0" w:line="240" w:lineRule="auto"/>
        <w:rPr>
          <w:rFonts w:ascii="Times New Roman" w:hAnsi="Times New Roman"/>
          <w:sz w:val="24"/>
          <w:szCs w:val="24"/>
        </w:rPr>
      </w:pPr>
      <w:r>
        <w:rPr>
          <w:rFonts w:ascii="Times New Roman" w:hAnsi="Times New Roman"/>
          <w:sz w:val="24"/>
          <w:szCs w:val="24"/>
        </w:rPr>
        <w:t>C</w:t>
      </w:r>
      <w:r w:rsidR="00463B10" w:rsidRPr="003B7B04">
        <w:rPr>
          <w:rFonts w:ascii="Times New Roman" w:hAnsi="Times New Roman"/>
          <w:sz w:val="24"/>
          <w:szCs w:val="24"/>
        </w:rPr>
        <w:t xml:space="preserve">ommitment for success of the </w:t>
      </w:r>
      <w:r w:rsidR="00171A15">
        <w:rPr>
          <w:rFonts w:ascii="Times New Roman" w:hAnsi="Times New Roman"/>
          <w:sz w:val="24"/>
          <w:szCs w:val="24"/>
        </w:rPr>
        <w:t xml:space="preserve">small </w:t>
      </w:r>
      <w:r w:rsidR="00463B10" w:rsidRPr="003B7B04">
        <w:rPr>
          <w:rFonts w:ascii="Times New Roman" w:hAnsi="Times New Roman"/>
          <w:sz w:val="24"/>
          <w:szCs w:val="24"/>
        </w:rPr>
        <w:t>business</w:t>
      </w:r>
      <w:r w:rsidR="00171A15">
        <w:rPr>
          <w:rFonts w:ascii="Times New Roman" w:hAnsi="Times New Roman"/>
          <w:sz w:val="24"/>
          <w:szCs w:val="24"/>
        </w:rPr>
        <w:t xml:space="preserve">; </w:t>
      </w:r>
    </w:p>
    <w:p w14:paraId="1D5EBDE3" w14:textId="6C982A7A" w:rsidR="003B5A88" w:rsidRPr="003B7B04" w:rsidRDefault="003B2934" w:rsidP="00352024">
      <w:pPr>
        <w:pStyle w:val="ListParagraph"/>
        <w:numPr>
          <w:ilvl w:val="0"/>
          <w:numId w:val="50"/>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w:t>
      </w:r>
      <w:r w:rsidR="003B5A88" w:rsidRPr="003B7B04">
        <w:rPr>
          <w:rFonts w:ascii="Times New Roman" w:eastAsia="Times New Roman" w:hAnsi="Times New Roman"/>
          <w:sz w:val="24"/>
          <w:szCs w:val="24"/>
        </w:rPr>
        <w:t xml:space="preserve">he ability of </w:t>
      </w:r>
      <w:r w:rsidR="00AD153D" w:rsidRPr="003B7B04">
        <w:rPr>
          <w:rFonts w:ascii="Times New Roman" w:eastAsia="Times New Roman" w:hAnsi="Times New Roman"/>
          <w:sz w:val="24"/>
          <w:szCs w:val="24"/>
        </w:rPr>
        <w:t>the Secondary</w:t>
      </w:r>
      <w:r w:rsidR="00171A15">
        <w:rPr>
          <w:rFonts w:ascii="Times New Roman" w:eastAsia="Times New Roman" w:hAnsi="Times New Roman"/>
          <w:sz w:val="24"/>
          <w:szCs w:val="24"/>
        </w:rPr>
        <w:t xml:space="preserve"> Borrower</w:t>
      </w:r>
      <w:r w:rsidR="003B5A88" w:rsidRPr="003B7B04">
        <w:rPr>
          <w:rFonts w:ascii="Times New Roman" w:eastAsia="Times New Roman" w:hAnsi="Times New Roman"/>
          <w:sz w:val="24"/>
          <w:szCs w:val="24"/>
        </w:rPr>
        <w:t xml:space="preserve"> to operate as a for-profit company</w:t>
      </w:r>
      <w:r w:rsidR="00B326B0">
        <w:rPr>
          <w:rFonts w:ascii="Times New Roman" w:eastAsia="Times New Roman" w:hAnsi="Times New Roman"/>
          <w:sz w:val="24"/>
          <w:szCs w:val="24"/>
        </w:rPr>
        <w:t>;</w:t>
      </w:r>
    </w:p>
    <w:p w14:paraId="1D5EBDE4" w14:textId="2421BB79" w:rsidR="00787DBE" w:rsidRPr="00F11ABD" w:rsidRDefault="00B326B0" w:rsidP="00352024">
      <w:pPr>
        <w:pStyle w:val="ListParagraph"/>
        <w:numPr>
          <w:ilvl w:val="0"/>
          <w:numId w:val="5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A</w:t>
      </w:r>
      <w:r w:rsidR="00787DBE" w:rsidRPr="00F11ABD">
        <w:rPr>
          <w:rFonts w:ascii="Times New Roman" w:eastAsia="Times New Roman" w:hAnsi="Times New Roman"/>
          <w:sz w:val="24"/>
          <w:szCs w:val="24"/>
        </w:rPr>
        <w:t>ny Credit Enhancements, grants, guarantees or other support to the Second</w:t>
      </w:r>
      <w:r>
        <w:rPr>
          <w:rFonts w:ascii="Times New Roman" w:eastAsia="Times New Roman" w:hAnsi="Times New Roman"/>
          <w:sz w:val="24"/>
          <w:szCs w:val="24"/>
        </w:rPr>
        <w:t>ary Borrower that</w:t>
      </w:r>
      <w:r w:rsidR="00787DBE" w:rsidRPr="00F11ABD">
        <w:rPr>
          <w:rFonts w:ascii="Times New Roman" w:eastAsia="Times New Roman" w:hAnsi="Times New Roman"/>
          <w:sz w:val="24"/>
          <w:szCs w:val="24"/>
        </w:rPr>
        <w:t xml:space="preserve"> impact the underwriting and/or risk mitigation of the Secondary Loan</w:t>
      </w:r>
      <w:r>
        <w:rPr>
          <w:rFonts w:ascii="Times New Roman" w:eastAsia="Times New Roman" w:hAnsi="Times New Roman"/>
          <w:sz w:val="24"/>
          <w:szCs w:val="24"/>
        </w:rPr>
        <w:t>; and</w:t>
      </w:r>
    </w:p>
    <w:p w14:paraId="1D5EBDE5" w14:textId="4F09790F" w:rsidR="003B5A88" w:rsidRPr="001C2F90" w:rsidRDefault="00B326B0" w:rsidP="00352024">
      <w:pPr>
        <w:pStyle w:val="ListParagraph"/>
        <w:numPr>
          <w:ilvl w:val="0"/>
          <w:numId w:val="5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P</w:t>
      </w:r>
      <w:r w:rsidR="003B5A88" w:rsidRPr="001C2F90">
        <w:rPr>
          <w:rFonts w:ascii="Times New Roman" w:eastAsia="Times New Roman" w:hAnsi="Times New Roman"/>
          <w:sz w:val="24"/>
          <w:szCs w:val="24"/>
        </w:rPr>
        <w:t>ersonal guarantees of all</w:t>
      </w:r>
      <w:r w:rsidR="00171A15">
        <w:rPr>
          <w:rFonts w:ascii="Times New Roman" w:eastAsia="Times New Roman" w:hAnsi="Times New Roman"/>
          <w:sz w:val="24"/>
          <w:szCs w:val="24"/>
        </w:rPr>
        <w:t xml:space="preserve"> small b</w:t>
      </w:r>
      <w:r w:rsidR="001C2F90" w:rsidRPr="001C2F90">
        <w:rPr>
          <w:rFonts w:ascii="Times New Roman" w:eastAsia="Times New Roman" w:hAnsi="Times New Roman"/>
          <w:sz w:val="24"/>
          <w:szCs w:val="24"/>
        </w:rPr>
        <w:t>usiness</w:t>
      </w:r>
      <w:r w:rsidR="003B5A88" w:rsidRPr="001C2F90">
        <w:rPr>
          <w:rFonts w:ascii="Times New Roman" w:eastAsia="Times New Roman" w:hAnsi="Times New Roman"/>
          <w:sz w:val="24"/>
          <w:szCs w:val="24"/>
        </w:rPr>
        <w:t xml:space="preserve"> owners</w:t>
      </w:r>
      <w:r w:rsidR="001C2F90" w:rsidRPr="001C2F90">
        <w:rPr>
          <w:rFonts w:ascii="Times New Roman" w:eastAsia="Times New Roman" w:hAnsi="Times New Roman"/>
          <w:sz w:val="24"/>
          <w:szCs w:val="24"/>
        </w:rPr>
        <w:t xml:space="preserve">/principals </w:t>
      </w:r>
      <w:r w:rsidR="003B5A88" w:rsidRPr="001C2F90">
        <w:rPr>
          <w:rFonts w:ascii="Times New Roman" w:eastAsia="Times New Roman" w:hAnsi="Times New Roman"/>
          <w:sz w:val="24"/>
          <w:szCs w:val="24"/>
        </w:rPr>
        <w:t xml:space="preserve">for a portion or </w:t>
      </w:r>
      <w:r w:rsidR="00AD153D" w:rsidRPr="001C2F90">
        <w:rPr>
          <w:rFonts w:ascii="Times New Roman" w:eastAsia="Times New Roman" w:hAnsi="Times New Roman"/>
          <w:sz w:val="24"/>
          <w:szCs w:val="24"/>
        </w:rPr>
        <w:t>the entire</w:t>
      </w:r>
      <w:r w:rsidR="003B5A88" w:rsidRPr="001C2F90">
        <w:rPr>
          <w:rFonts w:ascii="Times New Roman" w:eastAsia="Times New Roman" w:hAnsi="Times New Roman"/>
          <w:sz w:val="24"/>
          <w:szCs w:val="24"/>
        </w:rPr>
        <w:t xml:space="preserve"> Secondary Loan or credit enhancement</w:t>
      </w:r>
      <w:r w:rsidR="00F11ABD">
        <w:rPr>
          <w:rFonts w:ascii="Times New Roman" w:eastAsia="Times New Roman" w:hAnsi="Times New Roman"/>
          <w:sz w:val="24"/>
          <w:szCs w:val="24"/>
        </w:rPr>
        <w:t>.</w:t>
      </w:r>
    </w:p>
    <w:p w14:paraId="1D5EBDE6" w14:textId="77777777" w:rsidR="00F83B5C" w:rsidRDefault="00F83B5C" w:rsidP="003A3B3F">
      <w:pPr>
        <w:spacing w:after="0" w:line="240" w:lineRule="auto"/>
        <w:rPr>
          <w:rFonts w:ascii="Times New Roman" w:eastAsia="Times New Roman" w:hAnsi="Times New Roman"/>
          <w:sz w:val="24"/>
          <w:szCs w:val="24"/>
        </w:rPr>
      </w:pPr>
    </w:p>
    <w:p w14:paraId="1D5EBDE7" w14:textId="3D4CA829" w:rsidR="001245DB" w:rsidRPr="00E174C1" w:rsidRDefault="001245DB" w:rsidP="001245DB">
      <w:pPr>
        <w:pStyle w:val="ListParagraph"/>
        <w:numPr>
          <w:ilvl w:val="0"/>
          <w:numId w:val="4"/>
        </w:numPr>
        <w:tabs>
          <w:tab w:val="left" w:pos="360"/>
        </w:tabs>
        <w:spacing w:after="0" w:line="240" w:lineRule="auto"/>
        <w:ind w:left="360"/>
        <w:jc w:val="both"/>
        <w:rPr>
          <w:rFonts w:ascii="Times New Roman" w:eastAsia="Times New Roman" w:hAnsi="Times New Roman"/>
          <w:b/>
          <w:sz w:val="24"/>
          <w:szCs w:val="24"/>
        </w:rPr>
      </w:pPr>
      <w:r>
        <w:rPr>
          <w:rFonts w:ascii="Times New Roman" w:eastAsia="Times New Roman" w:hAnsi="Times New Roman"/>
          <w:b/>
          <w:smallCaps/>
          <w:sz w:val="24"/>
          <w:szCs w:val="24"/>
        </w:rPr>
        <w:t>No</w:t>
      </w:r>
      <w:r w:rsidR="00961084">
        <w:rPr>
          <w:rFonts w:ascii="Times New Roman" w:eastAsia="Times New Roman" w:hAnsi="Times New Roman"/>
          <w:b/>
          <w:smallCaps/>
          <w:sz w:val="24"/>
          <w:szCs w:val="24"/>
        </w:rPr>
        <w:t>t</w:t>
      </w:r>
      <w:r>
        <w:rPr>
          <w:rFonts w:ascii="Times New Roman" w:eastAsia="Times New Roman" w:hAnsi="Times New Roman"/>
          <w:b/>
          <w:smallCaps/>
          <w:sz w:val="24"/>
          <w:szCs w:val="24"/>
        </w:rPr>
        <w:t>-</w:t>
      </w:r>
      <w:r w:rsidR="00961084">
        <w:rPr>
          <w:rFonts w:ascii="Times New Roman" w:eastAsia="Times New Roman" w:hAnsi="Times New Roman"/>
          <w:b/>
          <w:smallCaps/>
          <w:sz w:val="24"/>
          <w:szCs w:val="24"/>
        </w:rPr>
        <w:t>For-</w:t>
      </w:r>
      <w:r>
        <w:rPr>
          <w:rFonts w:ascii="Times New Roman" w:eastAsia="Times New Roman" w:hAnsi="Times New Roman"/>
          <w:b/>
          <w:smallCaps/>
          <w:sz w:val="24"/>
          <w:szCs w:val="24"/>
        </w:rPr>
        <w:t>profit</w:t>
      </w:r>
      <w:r w:rsidRPr="00E174C1">
        <w:rPr>
          <w:rFonts w:ascii="Times New Roman" w:eastAsia="Times New Roman" w:hAnsi="Times New Roman"/>
          <w:b/>
          <w:smallCaps/>
          <w:sz w:val="24"/>
          <w:szCs w:val="24"/>
        </w:rPr>
        <w:t xml:space="preserve"> Lending:</w:t>
      </w:r>
    </w:p>
    <w:p w14:paraId="1D5EBDE8" w14:textId="58634F5F" w:rsidR="001D6655" w:rsidRDefault="00171A15" w:rsidP="001D6655">
      <w:pPr>
        <w:spacing w:after="0" w:line="240" w:lineRule="auto"/>
        <w:ind w:left="360"/>
        <w:rPr>
          <w:rFonts w:ascii="Times New Roman" w:eastAsia="Times New Roman" w:hAnsi="Times New Roman"/>
          <w:sz w:val="24"/>
          <w:szCs w:val="24"/>
        </w:rPr>
      </w:pPr>
      <w:r>
        <w:rPr>
          <w:rFonts w:ascii="Times New Roman" w:eastAsia="Times New Roman" w:hAnsi="Times New Roman"/>
          <w:sz w:val="24"/>
          <w:szCs w:val="24"/>
        </w:rPr>
        <w:t>When</w:t>
      </w:r>
      <w:r w:rsidR="00B326B0">
        <w:rPr>
          <w:rFonts w:ascii="Times New Roman" w:eastAsia="Times New Roman" w:hAnsi="Times New Roman"/>
          <w:sz w:val="24"/>
          <w:szCs w:val="24"/>
        </w:rPr>
        <w:t xml:space="preserve"> not-for</w:t>
      </w:r>
      <w:r w:rsidR="003B7B04">
        <w:rPr>
          <w:rFonts w:ascii="Times New Roman" w:eastAsia="Times New Roman" w:hAnsi="Times New Roman"/>
          <w:sz w:val="24"/>
          <w:szCs w:val="24"/>
        </w:rPr>
        <w:t>-profit organizations undertake projects within</w:t>
      </w:r>
      <w:r w:rsidR="001245DB">
        <w:rPr>
          <w:rFonts w:ascii="Times New Roman" w:eastAsia="Times New Roman" w:hAnsi="Times New Roman"/>
          <w:sz w:val="24"/>
          <w:szCs w:val="24"/>
        </w:rPr>
        <w:t xml:space="preserve"> the aforementioned asset classes</w:t>
      </w:r>
      <w:r w:rsidR="003B7B04">
        <w:rPr>
          <w:rFonts w:ascii="Times New Roman" w:eastAsia="Times New Roman" w:hAnsi="Times New Roman"/>
          <w:sz w:val="24"/>
          <w:szCs w:val="24"/>
        </w:rPr>
        <w:t xml:space="preserve">, </w:t>
      </w:r>
      <w:r w:rsidR="001245DB">
        <w:rPr>
          <w:rFonts w:ascii="Times New Roman" w:eastAsia="Times New Roman" w:hAnsi="Times New Roman"/>
          <w:sz w:val="24"/>
          <w:szCs w:val="24"/>
        </w:rPr>
        <w:t xml:space="preserve">underwriting </w:t>
      </w:r>
      <w:r w:rsidR="003B7B04">
        <w:rPr>
          <w:rFonts w:ascii="Times New Roman" w:eastAsia="Times New Roman" w:hAnsi="Times New Roman"/>
          <w:sz w:val="24"/>
          <w:szCs w:val="24"/>
        </w:rPr>
        <w:t>policies</w:t>
      </w:r>
      <w:r w:rsidR="001245DB">
        <w:rPr>
          <w:rFonts w:ascii="Times New Roman" w:eastAsia="Times New Roman" w:hAnsi="Times New Roman"/>
          <w:sz w:val="24"/>
          <w:szCs w:val="24"/>
        </w:rPr>
        <w:t xml:space="preserve"> for that asset class will appl</w:t>
      </w:r>
      <w:r w:rsidR="003B7B04">
        <w:rPr>
          <w:rFonts w:ascii="Times New Roman" w:eastAsia="Times New Roman" w:hAnsi="Times New Roman"/>
          <w:sz w:val="24"/>
          <w:szCs w:val="24"/>
        </w:rPr>
        <w:t>y</w:t>
      </w:r>
      <w:r w:rsidR="001245DB">
        <w:rPr>
          <w:rFonts w:ascii="Times New Roman" w:eastAsia="Times New Roman" w:hAnsi="Times New Roman"/>
          <w:sz w:val="24"/>
          <w:szCs w:val="24"/>
        </w:rPr>
        <w:t xml:space="preserve">.  </w:t>
      </w:r>
      <w:r>
        <w:rPr>
          <w:rFonts w:ascii="Times New Roman" w:eastAsia="Times New Roman" w:hAnsi="Times New Roman"/>
          <w:sz w:val="24"/>
          <w:szCs w:val="24"/>
        </w:rPr>
        <w:t xml:space="preserve">In cases when </w:t>
      </w:r>
      <w:r w:rsidR="00F545C1">
        <w:rPr>
          <w:rFonts w:ascii="Times New Roman" w:eastAsia="Times New Roman" w:hAnsi="Times New Roman"/>
          <w:sz w:val="24"/>
          <w:szCs w:val="24"/>
        </w:rPr>
        <w:t xml:space="preserve"> lending to no</w:t>
      </w:r>
      <w:r w:rsidR="00961084">
        <w:rPr>
          <w:rFonts w:ascii="Times New Roman" w:eastAsia="Times New Roman" w:hAnsi="Times New Roman"/>
          <w:sz w:val="24"/>
          <w:szCs w:val="24"/>
        </w:rPr>
        <w:t>t</w:t>
      </w:r>
      <w:r w:rsidR="00F545C1">
        <w:rPr>
          <w:rFonts w:ascii="Times New Roman" w:eastAsia="Times New Roman" w:hAnsi="Times New Roman"/>
          <w:sz w:val="24"/>
          <w:szCs w:val="24"/>
        </w:rPr>
        <w:t>-</w:t>
      </w:r>
      <w:r w:rsidR="00961084">
        <w:rPr>
          <w:rFonts w:ascii="Times New Roman" w:eastAsia="Times New Roman" w:hAnsi="Times New Roman"/>
          <w:sz w:val="24"/>
          <w:szCs w:val="24"/>
        </w:rPr>
        <w:t>for-</w:t>
      </w:r>
      <w:r>
        <w:rPr>
          <w:rFonts w:ascii="Times New Roman" w:eastAsia="Times New Roman" w:hAnsi="Times New Roman"/>
          <w:sz w:val="24"/>
          <w:szCs w:val="24"/>
        </w:rPr>
        <w:t>profit organizations do not</w:t>
      </w:r>
      <w:r w:rsidR="00F545C1">
        <w:rPr>
          <w:rFonts w:ascii="Times New Roman" w:eastAsia="Times New Roman" w:hAnsi="Times New Roman"/>
          <w:sz w:val="24"/>
          <w:szCs w:val="24"/>
        </w:rPr>
        <w:t xml:space="preserve"> correspond with the aforementioned asset classes, </w:t>
      </w:r>
      <w:r w:rsidR="001D6655">
        <w:rPr>
          <w:rFonts w:ascii="Times New Roman" w:eastAsia="Times New Roman" w:hAnsi="Times New Roman"/>
          <w:sz w:val="24"/>
          <w:szCs w:val="24"/>
        </w:rPr>
        <w:t xml:space="preserve">the Eligible CDFI’s </w:t>
      </w:r>
      <w:r w:rsidR="001D6655" w:rsidRPr="00F5734D">
        <w:rPr>
          <w:rFonts w:ascii="Times New Roman" w:eastAsia="Times New Roman" w:hAnsi="Times New Roman"/>
          <w:sz w:val="24"/>
          <w:szCs w:val="24"/>
        </w:rPr>
        <w:t xml:space="preserve">underwriting </w:t>
      </w:r>
      <w:r w:rsidR="001D6655">
        <w:rPr>
          <w:rFonts w:ascii="Times New Roman" w:eastAsia="Times New Roman" w:hAnsi="Times New Roman"/>
          <w:sz w:val="24"/>
          <w:szCs w:val="24"/>
        </w:rPr>
        <w:t>policies and evaluation criteria for a Secondary Borrower</w:t>
      </w:r>
      <w:r w:rsidR="001D6655" w:rsidRPr="00F5734D">
        <w:rPr>
          <w:rFonts w:ascii="Times New Roman" w:eastAsia="Times New Roman" w:hAnsi="Times New Roman"/>
          <w:sz w:val="24"/>
          <w:szCs w:val="24"/>
        </w:rPr>
        <w:t xml:space="preserve"> </w:t>
      </w:r>
      <w:r w:rsidR="001D6655">
        <w:rPr>
          <w:rFonts w:ascii="Times New Roman" w:eastAsia="Times New Roman" w:hAnsi="Times New Roman"/>
          <w:sz w:val="24"/>
          <w:szCs w:val="24"/>
        </w:rPr>
        <w:t>must address</w:t>
      </w:r>
      <w:r w:rsidR="001D6655" w:rsidRPr="00F5734D">
        <w:rPr>
          <w:rFonts w:ascii="Times New Roman" w:eastAsia="Times New Roman" w:hAnsi="Times New Roman"/>
          <w:sz w:val="24"/>
          <w:szCs w:val="24"/>
        </w:rPr>
        <w:t xml:space="preserve"> the following</w:t>
      </w:r>
      <w:r w:rsidR="001D6655">
        <w:rPr>
          <w:rFonts w:ascii="Times New Roman" w:eastAsia="Times New Roman" w:hAnsi="Times New Roman"/>
          <w:sz w:val="24"/>
          <w:szCs w:val="24"/>
        </w:rPr>
        <w:t>:</w:t>
      </w:r>
    </w:p>
    <w:p w14:paraId="1D5EBDEA" w14:textId="77777777" w:rsidR="001245DB" w:rsidRDefault="001245DB" w:rsidP="001245DB">
      <w:pPr>
        <w:spacing w:after="0" w:line="240" w:lineRule="auto"/>
        <w:ind w:left="360"/>
        <w:rPr>
          <w:rFonts w:ascii="Times New Roman" w:eastAsia="Times New Roman" w:hAnsi="Times New Roman"/>
          <w:sz w:val="24"/>
          <w:szCs w:val="24"/>
        </w:rPr>
      </w:pPr>
    </w:p>
    <w:p w14:paraId="1D5EBDEB" w14:textId="607E37D8" w:rsidR="001245DB" w:rsidRDefault="00B326B0" w:rsidP="00352024">
      <w:pPr>
        <w:pStyle w:val="ListParagraph"/>
        <w:numPr>
          <w:ilvl w:val="0"/>
          <w:numId w:val="49"/>
        </w:numPr>
        <w:spacing w:after="0" w:line="240" w:lineRule="auto"/>
        <w:contextualSpacing w:val="0"/>
        <w:rPr>
          <w:rFonts w:ascii="Times New Roman" w:hAnsi="Times New Roman"/>
          <w:sz w:val="24"/>
          <w:szCs w:val="24"/>
        </w:rPr>
      </w:pPr>
      <w:r>
        <w:rPr>
          <w:rFonts w:ascii="Times New Roman" w:hAnsi="Times New Roman"/>
          <w:sz w:val="24"/>
          <w:szCs w:val="24"/>
        </w:rPr>
        <w:t>T</w:t>
      </w:r>
      <w:r w:rsidR="00A213C2">
        <w:rPr>
          <w:rFonts w:ascii="Times New Roman" w:hAnsi="Times New Roman"/>
          <w:sz w:val="24"/>
          <w:szCs w:val="24"/>
        </w:rPr>
        <w:t>he track record of compliance</w:t>
      </w:r>
      <w:r w:rsidR="001245DB">
        <w:rPr>
          <w:rFonts w:ascii="Times New Roman" w:hAnsi="Times New Roman"/>
          <w:sz w:val="24"/>
          <w:szCs w:val="24"/>
        </w:rPr>
        <w:t xml:space="preserve"> with all applicable Federal, State and local laws</w:t>
      </w:r>
      <w:r w:rsidR="00425B7F">
        <w:rPr>
          <w:rFonts w:ascii="Times New Roman" w:hAnsi="Times New Roman"/>
          <w:sz w:val="24"/>
          <w:szCs w:val="24"/>
        </w:rPr>
        <w:t>;</w:t>
      </w:r>
    </w:p>
    <w:p w14:paraId="1D5EBDEC" w14:textId="14402788" w:rsidR="00A213C2" w:rsidRDefault="00B326B0" w:rsidP="00352024">
      <w:pPr>
        <w:pStyle w:val="ListParagraph"/>
        <w:numPr>
          <w:ilvl w:val="0"/>
          <w:numId w:val="49"/>
        </w:numPr>
        <w:spacing w:after="0" w:line="240" w:lineRule="auto"/>
        <w:contextualSpacing w:val="0"/>
        <w:rPr>
          <w:rFonts w:ascii="Times New Roman" w:hAnsi="Times New Roman"/>
          <w:sz w:val="24"/>
          <w:szCs w:val="24"/>
        </w:rPr>
      </w:pPr>
      <w:r>
        <w:rPr>
          <w:rFonts w:ascii="Times New Roman" w:hAnsi="Times New Roman"/>
          <w:sz w:val="24"/>
          <w:szCs w:val="24"/>
        </w:rPr>
        <w:t>P</w:t>
      </w:r>
      <w:r w:rsidR="00A213C2">
        <w:rPr>
          <w:rFonts w:ascii="Times New Roman" w:hAnsi="Times New Roman"/>
          <w:sz w:val="24"/>
          <w:szCs w:val="24"/>
        </w:rPr>
        <w:t>roof of good standing as a non-profit entity</w:t>
      </w:r>
      <w:r w:rsidR="00B5617D">
        <w:rPr>
          <w:rFonts w:ascii="Times New Roman" w:hAnsi="Times New Roman"/>
          <w:sz w:val="24"/>
          <w:szCs w:val="24"/>
        </w:rPr>
        <w:t xml:space="preserve"> </w:t>
      </w:r>
      <w:r w:rsidR="00A213C2">
        <w:rPr>
          <w:rFonts w:ascii="Times New Roman" w:hAnsi="Times New Roman"/>
          <w:sz w:val="24"/>
          <w:szCs w:val="24"/>
        </w:rPr>
        <w:t xml:space="preserve">under </w:t>
      </w:r>
      <w:r w:rsidR="00B5617D">
        <w:rPr>
          <w:rFonts w:ascii="Times New Roman" w:hAnsi="Times New Roman"/>
          <w:sz w:val="24"/>
          <w:szCs w:val="24"/>
        </w:rPr>
        <w:t xml:space="preserve">Section 501(c) of </w:t>
      </w:r>
      <w:r w:rsidR="00A213C2">
        <w:rPr>
          <w:rFonts w:ascii="Times New Roman" w:hAnsi="Times New Roman"/>
          <w:sz w:val="24"/>
          <w:szCs w:val="24"/>
        </w:rPr>
        <w:t>the Internal Revenue Code</w:t>
      </w:r>
      <w:r w:rsidR="00425B7F">
        <w:rPr>
          <w:rFonts w:ascii="Times New Roman" w:hAnsi="Times New Roman"/>
          <w:sz w:val="24"/>
          <w:szCs w:val="24"/>
        </w:rPr>
        <w:t>;</w:t>
      </w:r>
    </w:p>
    <w:p w14:paraId="1D5EBDED" w14:textId="0438C050" w:rsidR="00795ED9" w:rsidRDefault="00B326B0" w:rsidP="00352024">
      <w:pPr>
        <w:pStyle w:val="ListParagraph"/>
        <w:numPr>
          <w:ilvl w:val="0"/>
          <w:numId w:val="49"/>
        </w:numPr>
        <w:spacing w:after="0" w:line="240" w:lineRule="auto"/>
        <w:contextualSpacing w:val="0"/>
        <w:rPr>
          <w:rFonts w:ascii="Times New Roman" w:hAnsi="Times New Roman"/>
          <w:sz w:val="24"/>
          <w:szCs w:val="24"/>
        </w:rPr>
      </w:pPr>
      <w:r>
        <w:rPr>
          <w:rFonts w:ascii="Times New Roman" w:hAnsi="Times New Roman"/>
          <w:sz w:val="24"/>
          <w:szCs w:val="24"/>
        </w:rPr>
        <w:lastRenderedPageBreak/>
        <w:t>S</w:t>
      </w:r>
      <w:r w:rsidR="00795ED9">
        <w:rPr>
          <w:rFonts w:ascii="Times New Roman" w:hAnsi="Times New Roman"/>
          <w:sz w:val="24"/>
          <w:szCs w:val="24"/>
        </w:rPr>
        <w:t xml:space="preserve">tability of leadership including key management, staffing, </w:t>
      </w:r>
      <w:r w:rsidR="002515AB">
        <w:rPr>
          <w:rFonts w:ascii="Times New Roman" w:hAnsi="Times New Roman"/>
          <w:sz w:val="24"/>
          <w:szCs w:val="24"/>
        </w:rPr>
        <w:t xml:space="preserve">and </w:t>
      </w:r>
      <w:r w:rsidR="00795ED9">
        <w:rPr>
          <w:rFonts w:ascii="Times New Roman" w:hAnsi="Times New Roman"/>
          <w:sz w:val="24"/>
          <w:szCs w:val="24"/>
        </w:rPr>
        <w:t>Board of Directors</w:t>
      </w:r>
      <w:r w:rsidR="00425B7F">
        <w:rPr>
          <w:rFonts w:ascii="Times New Roman" w:hAnsi="Times New Roman"/>
          <w:sz w:val="24"/>
          <w:szCs w:val="24"/>
        </w:rPr>
        <w:t>;</w:t>
      </w:r>
    </w:p>
    <w:p w14:paraId="1D5EBDEE" w14:textId="3BFB4B46" w:rsidR="001245DB" w:rsidRPr="002515AB" w:rsidRDefault="00B326B0" w:rsidP="00352024">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A</w:t>
      </w:r>
      <w:r w:rsidR="00A213C2" w:rsidRPr="002515AB">
        <w:rPr>
          <w:rFonts w:ascii="Times New Roman" w:hAnsi="Times New Roman"/>
          <w:sz w:val="24"/>
          <w:szCs w:val="24"/>
        </w:rPr>
        <w:t>n evaluation of liquidity and solvency through the current ratio and operating reserves ratio</w:t>
      </w:r>
      <w:r w:rsidR="001245DB" w:rsidRPr="002515AB">
        <w:rPr>
          <w:rFonts w:ascii="Times New Roman" w:hAnsi="Times New Roman"/>
          <w:sz w:val="24"/>
          <w:szCs w:val="24"/>
        </w:rPr>
        <w:t>;</w:t>
      </w:r>
    </w:p>
    <w:p w14:paraId="1D5EBDEF" w14:textId="2ED496D2" w:rsidR="00795ED9" w:rsidRPr="002515AB" w:rsidRDefault="00B326B0" w:rsidP="00352024">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C</w:t>
      </w:r>
      <w:r w:rsidR="00795ED9" w:rsidRPr="002515AB">
        <w:rPr>
          <w:rFonts w:ascii="Times New Roman" w:hAnsi="Times New Roman"/>
          <w:sz w:val="24"/>
          <w:szCs w:val="24"/>
        </w:rPr>
        <w:t>u</w:t>
      </w:r>
      <w:r w:rsidR="00171A15">
        <w:rPr>
          <w:rFonts w:ascii="Times New Roman" w:hAnsi="Times New Roman"/>
          <w:sz w:val="24"/>
          <w:szCs w:val="24"/>
        </w:rPr>
        <w:t xml:space="preserve">rrent budget and comparisons of </w:t>
      </w:r>
      <w:r w:rsidR="00795ED9" w:rsidRPr="002515AB">
        <w:rPr>
          <w:rFonts w:ascii="Times New Roman" w:hAnsi="Times New Roman"/>
          <w:sz w:val="24"/>
          <w:szCs w:val="24"/>
        </w:rPr>
        <w:t>historic</w:t>
      </w:r>
      <w:r w:rsidR="00171A15">
        <w:rPr>
          <w:rFonts w:ascii="Times New Roman" w:hAnsi="Times New Roman"/>
          <w:sz w:val="24"/>
          <w:szCs w:val="24"/>
        </w:rPr>
        <w:t>al budgets to actual budgets</w:t>
      </w:r>
      <w:r w:rsidR="00795ED9" w:rsidRPr="002515AB">
        <w:rPr>
          <w:rFonts w:ascii="Times New Roman" w:hAnsi="Times New Roman"/>
          <w:sz w:val="24"/>
          <w:szCs w:val="24"/>
        </w:rPr>
        <w:t>;</w:t>
      </w:r>
    </w:p>
    <w:p w14:paraId="1D5EBDF0" w14:textId="09A07EF2" w:rsidR="00A213C2" w:rsidRPr="002515AB" w:rsidRDefault="00171A15" w:rsidP="00352024">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F</w:t>
      </w:r>
      <w:r w:rsidR="00A213C2" w:rsidRPr="002515AB">
        <w:rPr>
          <w:rFonts w:ascii="Times New Roman" w:hAnsi="Times New Roman"/>
          <w:sz w:val="24"/>
          <w:szCs w:val="24"/>
        </w:rPr>
        <w:t xml:space="preserve">unding diversity through an evaluation of </w:t>
      </w:r>
      <w:r>
        <w:rPr>
          <w:rFonts w:ascii="Times New Roman" w:hAnsi="Times New Roman"/>
          <w:sz w:val="24"/>
          <w:szCs w:val="24"/>
        </w:rPr>
        <w:t xml:space="preserve">the </w:t>
      </w:r>
      <w:r w:rsidR="00A213C2" w:rsidRPr="002515AB">
        <w:rPr>
          <w:rFonts w:ascii="Times New Roman" w:hAnsi="Times New Roman"/>
          <w:sz w:val="24"/>
          <w:szCs w:val="24"/>
        </w:rPr>
        <w:t>funding source concentration and related ratio analysis</w:t>
      </w:r>
      <w:r w:rsidR="00795ED9" w:rsidRPr="002515AB">
        <w:rPr>
          <w:rFonts w:ascii="Times New Roman" w:hAnsi="Times New Roman"/>
          <w:sz w:val="24"/>
          <w:szCs w:val="24"/>
        </w:rPr>
        <w:t>;</w:t>
      </w:r>
    </w:p>
    <w:p w14:paraId="1D5EBDF1" w14:textId="1E0D39E2" w:rsidR="00795ED9" w:rsidRPr="002515AB" w:rsidRDefault="00B326B0" w:rsidP="00352024">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D</w:t>
      </w:r>
      <w:r w:rsidR="00795ED9" w:rsidRPr="002515AB">
        <w:rPr>
          <w:rFonts w:ascii="Times New Roman" w:hAnsi="Times New Roman"/>
          <w:sz w:val="24"/>
          <w:szCs w:val="24"/>
        </w:rPr>
        <w:t>ebt service analysis;</w:t>
      </w:r>
    </w:p>
    <w:p w14:paraId="1D5EBDF2" w14:textId="482CC060" w:rsidR="00A213C2" w:rsidRPr="002515AB" w:rsidRDefault="00B326B0" w:rsidP="00352024">
      <w:pPr>
        <w:pStyle w:val="ListParagraph"/>
        <w:numPr>
          <w:ilvl w:val="0"/>
          <w:numId w:val="4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T</w:t>
      </w:r>
      <w:r w:rsidR="00A213C2" w:rsidRPr="002515AB">
        <w:rPr>
          <w:rFonts w:ascii="Times New Roman" w:eastAsia="Times New Roman" w:hAnsi="Times New Roman"/>
          <w:sz w:val="24"/>
          <w:szCs w:val="24"/>
        </w:rPr>
        <w:t>he capa</w:t>
      </w:r>
      <w:r w:rsidR="002515AB">
        <w:rPr>
          <w:rFonts w:ascii="Times New Roman" w:eastAsia="Times New Roman" w:hAnsi="Times New Roman"/>
          <w:sz w:val="24"/>
          <w:szCs w:val="24"/>
        </w:rPr>
        <w:t>city</w:t>
      </w:r>
      <w:r w:rsidR="00A213C2" w:rsidRPr="002515AB">
        <w:rPr>
          <w:rFonts w:ascii="Times New Roman" w:eastAsia="Times New Roman" w:hAnsi="Times New Roman"/>
          <w:sz w:val="24"/>
          <w:szCs w:val="24"/>
        </w:rPr>
        <w:t xml:space="preserve"> to provide the Eligible CDFI with recurring business financial reports that include annual and interim balance sheets, income statements, and any other financial or operational reports that the Eligible CDFI will</w:t>
      </w:r>
      <w:r w:rsidR="00795ED9" w:rsidRPr="002515AB">
        <w:rPr>
          <w:rFonts w:ascii="Times New Roman" w:eastAsia="Times New Roman" w:hAnsi="Times New Roman"/>
          <w:sz w:val="24"/>
          <w:szCs w:val="24"/>
        </w:rPr>
        <w:t xml:space="preserve"> require;</w:t>
      </w:r>
      <w:r w:rsidR="00A213C2" w:rsidRPr="002515AB">
        <w:rPr>
          <w:rFonts w:ascii="Times New Roman" w:eastAsia="Times New Roman" w:hAnsi="Times New Roman"/>
          <w:sz w:val="24"/>
          <w:szCs w:val="24"/>
        </w:rPr>
        <w:t xml:space="preserve"> </w:t>
      </w:r>
    </w:p>
    <w:p w14:paraId="1D5EBDF3" w14:textId="74A6C0D7" w:rsidR="00A213C2" w:rsidRPr="002515AB" w:rsidRDefault="00B326B0" w:rsidP="00352024">
      <w:pPr>
        <w:pStyle w:val="ListParagraph"/>
        <w:numPr>
          <w:ilvl w:val="0"/>
          <w:numId w:val="49"/>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F</w:t>
      </w:r>
      <w:r w:rsidR="00A213C2" w:rsidRPr="002515AB">
        <w:rPr>
          <w:rFonts w:ascii="Times New Roman" w:eastAsia="Times New Roman" w:hAnsi="Times New Roman"/>
          <w:sz w:val="24"/>
          <w:szCs w:val="24"/>
        </w:rPr>
        <w:t>inancial statement</w:t>
      </w:r>
      <w:r w:rsidR="00795ED9" w:rsidRPr="002515AB">
        <w:rPr>
          <w:rFonts w:ascii="Times New Roman" w:eastAsia="Times New Roman" w:hAnsi="Times New Roman"/>
          <w:sz w:val="24"/>
          <w:szCs w:val="24"/>
        </w:rPr>
        <w:t>s of any</w:t>
      </w:r>
      <w:r w:rsidR="00A213C2" w:rsidRPr="002515AB">
        <w:rPr>
          <w:rFonts w:ascii="Times New Roman" w:eastAsia="Times New Roman" w:hAnsi="Times New Roman"/>
          <w:sz w:val="24"/>
          <w:szCs w:val="24"/>
        </w:rPr>
        <w:t xml:space="preserve"> third-party guarantors;</w:t>
      </w:r>
    </w:p>
    <w:p w14:paraId="1D5EBDF4" w14:textId="1F38B1DA" w:rsidR="002515AB" w:rsidRDefault="00B326B0" w:rsidP="00352024">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C</w:t>
      </w:r>
      <w:r w:rsidR="00795ED9" w:rsidRPr="002515AB">
        <w:rPr>
          <w:rFonts w:ascii="Times New Roman" w:hAnsi="Times New Roman"/>
          <w:sz w:val="24"/>
          <w:szCs w:val="24"/>
        </w:rPr>
        <w:t xml:space="preserve">apital campaign plan to support </w:t>
      </w:r>
      <w:r w:rsidR="002515AB" w:rsidRPr="002515AB">
        <w:rPr>
          <w:rFonts w:ascii="Times New Roman" w:hAnsi="Times New Roman"/>
          <w:sz w:val="24"/>
          <w:szCs w:val="24"/>
        </w:rPr>
        <w:t>the Secondary L</w:t>
      </w:r>
      <w:r w:rsidR="00795ED9" w:rsidRPr="002515AB">
        <w:rPr>
          <w:rFonts w:ascii="Times New Roman" w:hAnsi="Times New Roman"/>
          <w:sz w:val="24"/>
          <w:szCs w:val="24"/>
        </w:rPr>
        <w:t>oan (if applicable);</w:t>
      </w:r>
      <w:r w:rsidR="00425B7F" w:rsidRPr="002515AB">
        <w:rPr>
          <w:rFonts w:ascii="Times New Roman" w:hAnsi="Times New Roman"/>
          <w:sz w:val="24"/>
          <w:szCs w:val="24"/>
        </w:rPr>
        <w:t xml:space="preserve"> and</w:t>
      </w:r>
    </w:p>
    <w:p w14:paraId="1D5EBDF5" w14:textId="24F38994" w:rsidR="00795ED9" w:rsidRPr="002515AB" w:rsidRDefault="00B326B0" w:rsidP="00352024">
      <w:pPr>
        <w:pStyle w:val="ListParagraph"/>
        <w:numPr>
          <w:ilvl w:val="0"/>
          <w:numId w:val="49"/>
        </w:numPr>
        <w:spacing w:after="0" w:line="240" w:lineRule="auto"/>
        <w:rPr>
          <w:rFonts w:ascii="Times New Roman" w:hAnsi="Times New Roman"/>
          <w:sz w:val="24"/>
          <w:szCs w:val="24"/>
        </w:rPr>
      </w:pPr>
      <w:r>
        <w:rPr>
          <w:rFonts w:ascii="Times New Roman" w:hAnsi="Times New Roman"/>
          <w:sz w:val="24"/>
          <w:szCs w:val="24"/>
        </w:rPr>
        <w:t>R</w:t>
      </w:r>
      <w:r w:rsidR="00795ED9" w:rsidRPr="002515AB">
        <w:rPr>
          <w:rFonts w:ascii="Times New Roman" w:hAnsi="Times New Roman"/>
          <w:sz w:val="24"/>
          <w:szCs w:val="24"/>
        </w:rPr>
        <w:t>eport on previous funding history</w:t>
      </w:r>
      <w:r w:rsidR="00425B7F" w:rsidRPr="002515AB">
        <w:rPr>
          <w:rFonts w:ascii="Times New Roman" w:hAnsi="Times New Roman"/>
          <w:sz w:val="24"/>
          <w:szCs w:val="24"/>
        </w:rPr>
        <w:t>.</w:t>
      </w:r>
    </w:p>
    <w:p w14:paraId="1D5EBDF6" w14:textId="77777777" w:rsidR="00A213C2" w:rsidRDefault="00A213C2" w:rsidP="00C737A2">
      <w:pPr>
        <w:pStyle w:val="ListParagraph"/>
        <w:spacing w:after="0" w:line="240" w:lineRule="auto"/>
        <w:rPr>
          <w:rFonts w:ascii="Times New Roman" w:hAnsi="Times New Roman"/>
          <w:sz w:val="24"/>
          <w:szCs w:val="24"/>
        </w:rPr>
      </w:pPr>
    </w:p>
    <w:p w14:paraId="1D5EBDF7" w14:textId="77777777" w:rsidR="005C48D0" w:rsidRPr="00855245" w:rsidRDefault="005C48D0">
      <w:pPr>
        <w:jc w:val="both"/>
        <w:rPr>
          <w:rFonts w:ascii="Times New Roman" w:eastAsia="Times New Roman" w:hAnsi="Times New Roman"/>
          <w:b/>
          <w:sz w:val="24"/>
          <w:szCs w:val="24"/>
        </w:rPr>
      </w:pPr>
    </w:p>
    <w:sectPr w:rsidR="005C48D0" w:rsidRPr="0085524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EBDFB" w14:textId="77777777" w:rsidR="00AF5117" w:rsidRDefault="00AF5117">
      <w:pPr>
        <w:spacing w:after="0" w:line="240" w:lineRule="auto"/>
      </w:pPr>
      <w:r>
        <w:separator/>
      </w:r>
    </w:p>
  </w:endnote>
  <w:endnote w:type="continuationSeparator" w:id="0">
    <w:p w14:paraId="1D5EBDFC" w14:textId="77777777" w:rsidR="00AF5117" w:rsidRDefault="00AF5117">
      <w:pPr>
        <w:spacing w:after="0" w:line="240" w:lineRule="auto"/>
      </w:pPr>
      <w:r>
        <w:continuationSeparator/>
      </w:r>
    </w:p>
  </w:endnote>
  <w:endnote w:type="continuationNotice" w:id="1">
    <w:p w14:paraId="1D5EBDFD" w14:textId="77777777" w:rsidR="00AF5117" w:rsidRDefault="00AF5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EBE00" w14:textId="77777777" w:rsidR="00AF5117" w:rsidRDefault="00AF5117">
    <w:pPr>
      <w:pStyle w:val="Footer"/>
      <w:jc w:val="center"/>
    </w:pPr>
    <w:r>
      <w:fldChar w:fldCharType="begin"/>
    </w:r>
    <w:r>
      <w:instrText xml:space="preserve"> PAGE   \* MERGEFORMAT </w:instrText>
    </w:r>
    <w:r>
      <w:fldChar w:fldCharType="separate"/>
    </w:r>
    <w:r w:rsidR="00E96172">
      <w:rPr>
        <w:noProof/>
      </w:rPr>
      <w:t>1</w:t>
    </w:r>
    <w:r>
      <w:rPr>
        <w:noProof/>
      </w:rPr>
      <w:fldChar w:fldCharType="end"/>
    </w:r>
  </w:p>
  <w:p w14:paraId="1D5EBE01" w14:textId="77777777" w:rsidR="00AF5117" w:rsidRDefault="00AF51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EBDF8" w14:textId="77777777" w:rsidR="00AF5117" w:rsidRDefault="00AF5117">
      <w:pPr>
        <w:spacing w:after="0" w:line="240" w:lineRule="auto"/>
      </w:pPr>
      <w:r>
        <w:separator/>
      </w:r>
    </w:p>
  </w:footnote>
  <w:footnote w:type="continuationSeparator" w:id="0">
    <w:p w14:paraId="1D5EBDF9" w14:textId="77777777" w:rsidR="00AF5117" w:rsidRDefault="00AF5117">
      <w:pPr>
        <w:spacing w:after="0" w:line="240" w:lineRule="auto"/>
      </w:pPr>
      <w:r>
        <w:continuationSeparator/>
      </w:r>
    </w:p>
  </w:footnote>
  <w:footnote w:type="continuationNotice" w:id="1">
    <w:p w14:paraId="1D5EBDFA" w14:textId="77777777" w:rsidR="00AF5117" w:rsidRDefault="00AF511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6DA"/>
    <w:multiLevelType w:val="hybridMultilevel"/>
    <w:tmpl w:val="12F24AF2"/>
    <w:lvl w:ilvl="0" w:tplc="E916703A">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82456"/>
    <w:multiLevelType w:val="hybridMultilevel"/>
    <w:tmpl w:val="723490F0"/>
    <w:lvl w:ilvl="0" w:tplc="E9167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771E61"/>
    <w:multiLevelType w:val="hybridMultilevel"/>
    <w:tmpl w:val="4A367008"/>
    <w:lvl w:ilvl="0" w:tplc="E9167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79212B"/>
    <w:multiLevelType w:val="hybridMultilevel"/>
    <w:tmpl w:val="694601C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6A600F"/>
    <w:multiLevelType w:val="hybridMultilevel"/>
    <w:tmpl w:val="BAA4CAAE"/>
    <w:lvl w:ilvl="0" w:tplc="E9167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330E40"/>
    <w:multiLevelType w:val="hybridMultilevel"/>
    <w:tmpl w:val="09DEC93A"/>
    <w:lvl w:ilvl="0" w:tplc="E916703A">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431CAE"/>
    <w:multiLevelType w:val="hybridMultilevel"/>
    <w:tmpl w:val="BA721B88"/>
    <w:lvl w:ilvl="0" w:tplc="E91670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6CB1A51"/>
    <w:multiLevelType w:val="hybridMultilevel"/>
    <w:tmpl w:val="BCF0BF20"/>
    <w:lvl w:ilvl="0" w:tplc="E91670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0702F8"/>
    <w:multiLevelType w:val="hybridMultilevel"/>
    <w:tmpl w:val="1ED2B536"/>
    <w:lvl w:ilvl="0" w:tplc="E9167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C5C03"/>
    <w:multiLevelType w:val="hybridMultilevel"/>
    <w:tmpl w:val="1E1EE7C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C1A4241"/>
    <w:multiLevelType w:val="hybridMultilevel"/>
    <w:tmpl w:val="F74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346904"/>
    <w:multiLevelType w:val="hybridMultilevel"/>
    <w:tmpl w:val="DD4EBB94"/>
    <w:lvl w:ilvl="0" w:tplc="E9167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DF00D7"/>
    <w:multiLevelType w:val="hybridMultilevel"/>
    <w:tmpl w:val="B6B4C466"/>
    <w:lvl w:ilvl="0" w:tplc="E91670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243353"/>
    <w:multiLevelType w:val="hybridMultilevel"/>
    <w:tmpl w:val="56E270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7D1268"/>
    <w:multiLevelType w:val="hybridMultilevel"/>
    <w:tmpl w:val="55AABD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B066BD"/>
    <w:multiLevelType w:val="hybridMultilevel"/>
    <w:tmpl w:val="730E658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F70844"/>
    <w:multiLevelType w:val="hybridMultilevel"/>
    <w:tmpl w:val="734244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3CD3AA1"/>
    <w:multiLevelType w:val="hybridMultilevel"/>
    <w:tmpl w:val="C394A53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9B4DFE"/>
    <w:multiLevelType w:val="hybridMultilevel"/>
    <w:tmpl w:val="EEA272A0"/>
    <w:lvl w:ilvl="0" w:tplc="E916703A">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1707DF"/>
    <w:multiLevelType w:val="hybridMultilevel"/>
    <w:tmpl w:val="5EE26C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5F4742"/>
    <w:multiLevelType w:val="hybridMultilevel"/>
    <w:tmpl w:val="C5223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B732477"/>
    <w:multiLevelType w:val="hybridMultilevel"/>
    <w:tmpl w:val="D4124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DD67C2"/>
    <w:multiLevelType w:val="hybridMultilevel"/>
    <w:tmpl w:val="5F1ACB94"/>
    <w:lvl w:ilvl="0" w:tplc="E91670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399397B"/>
    <w:multiLevelType w:val="hybridMultilevel"/>
    <w:tmpl w:val="AC7CC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8025C12"/>
    <w:multiLevelType w:val="hybridMultilevel"/>
    <w:tmpl w:val="14B4BA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DDE3668"/>
    <w:multiLevelType w:val="hybridMultilevel"/>
    <w:tmpl w:val="D4ECEE06"/>
    <w:lvl w:ilvl="0" w:tplc="E91670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A44CEA"/>
    <w:multiLevelType w:val="hybridMultilevel"/>
    <w:tmpl w:val="E7DEE1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2AA298B"/>
    <w:multiLevelType w:val="hybridMultilevel"/>
    <w:tmpl w:val="F0A0E9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431538C"/>
    <w:multiLevelType w:val="hybridMultilevel"/>
    <w:tmpl w:val="ED24FB88"/>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817398"/>
    <w:multiLevelType w:val="hybridMultilevel"/>
    <w:tmpl w:val="9BEAD1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9F340D7"/>
    <w:multiLevelType w:val="hybridMultilevel"/>
    <w:tmpl w:val="8850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97443D"/>
    <w:multiLevelType w:val="hybridMultilevel"/>
    <w:tmpl w:val="DB083C7E"/>
    <w:lvl w:ilvl="0" w:tplc="E916703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B8F6A89"/>
    <w:multiLevelType w:val="hybridMultilevel"/>
    <w:tmpl w:val="9FF4FE7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C91172D"/>
    <w:multiLevelType w:val="hybridMultilevel"/>
    <w:tmpl w:val="8C623092"/>
    <w:lvl w:ilvl="0" w:tplc="E91670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0907C9"/>
    <w:multiLevelType w:val="hybridMultilevel"/>
    <w:tmpl w:val="2BD02F3A"/>
    <w:lvl w:ilvl="0" w:tplc="04090003">
      <w:start w:val="1"/>
      <w:numFmt w:val="bullet"/>
      <w:lvlText w:val="o"/>
      <w:lvlJc w:val="left"/>
      <w:pPr>
        <w:ind w:left="7200" w:hanging="360"/>
      </w:pPr>
      <w:rPr>
        <w:rFonts w:ascii="Courier New" w:hAnsi="Courier New" w:cs="Courier New" w:hint="default"/>
      </w:rPr>
    </w:lvl>
    <w:lvl w:ilvl="1" w:tplc="04090003">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35">
    <w:nsid w:val="4DDC372F"/>
    <w:multiLevelType w:val="hybridMultilevel"/>
    <w:tmpl w:val="8ADC9E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DE03F1D"/>
    <w:multiLevelType w:val="hybridMultilevel"/>
    <w:tmpl w:val="E410E1A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E4F624A"/>
    <w:multiLevelType w:val="hybridMultilevel"/>
    <w:tmpl w:val="D7B48E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5637D28"/>
    <w:multiLevelType w:val="hybridMultilevel"/>
    <w:tmpl w:val="60C02E78"/>
    <w:lvl w:ilvl="0" w:tplc="E91670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D25227"/>
    <w:multiLevelType w:val="hybridMultilevel"/>
    <w:tmpl w:val="CACC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8336BDB"/>
    <w:multiLevelType w:val="hybridMultilevel"/>
    <w:tmpl w:val="D1BEF2B6"/>
    <w:lvl w:ilvl="0" w:tplc="E9167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96256E9"/>
    <w:multiLevelType w:val="hybridMultilevel"/>
    <w:tmpl w:val="4B8CBE7E"/>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598C2822"/>
    <w:multiLevelType w:val="hybridMultilevel"/>
    <w:tmpl w:val="C13A6710"/>
    <w:lvl w:ilvl="0" w:tplc="E9167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A5949C5"/>
    <w:multiLevelType w:val="hybridMultilevel"/>
    <w:tmpl w:val="7AE880E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D4970D0"/>
    <w:multiLevelType w:val="hybridMultilevel"/>
    <w:tmpl w:val="6BF890F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4EA2CDA"/>
    <w:multiLevelType w:val="hybridMultilevel"/>
    <w:tmpl w:val="C1600C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62734B"/>
    <w:multiLevelType w:val="hybridMultilevel"/>
    <w:tmpl w:val="B2C255D0"/>
    <w:lvl w:ilvl="0" w:tplc="E91670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F641701"/>
    <w:multiLevelType w:val="hybridMultilevel"/>
    <w:tmpl w:val="663C94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04D79A6"/>
    <w:multiLevelType w:val="hybridMultilevel"/>
    <w:tmpl w:val="6BF4FFC0"/>
    <w:lvl w:ilvl="0" w:tplc="E91670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311D97"/>
    <w:multiLevelType w:val="hybridMultilevel"/>
    <w:tmpl w:val="ABB24926"/>
    <w:lvl w:ilvl="0" w:tplc="E916703A">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614092"/>
    <w:multiLevelType w:val="hybridMultilevel"/>
    <w:tmpl w:val="52781524"/>
    <w:lvl w:ilvl="0" w:tplc="E916703A">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15F38"/>
    <w:multiLevelType w:val="hybridMultilevel"/>
    <w:tmpl w:val="E98E6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4"/>
  </w:num>
  <w:num w:numId="3">
    <w:abstractNumId w:val="51"/>
  </w:num>
  <w:num w:numId="4">
    <w:abstractNumId w:val="21"/>
  </w:num>
  <w:num w:numId="5">
    <w:abstractNumId w:val="30"/>
  </w:num>
  <w:num w:numId="6">
    <w:abstractNumId w:val="39"/>
  </w:num>
  <w:num w:numId="7">
    <w:abstractNumId w:val="10"/>
  </w:num>
  <w:num w:numId="8">
    <w:abstractNumId w:val="31"/>
  </w:num>
  <w:num w:numId="9">
    <w:abstractNumId w:val="1"/>
  </w:num>
  <w:num w:numId="10">
    <w:abstractNumId w:val="18"/>
  </w:num>
  <w:num w:numId="11">
    <w:abstractNumId w:val="3"/>
  </w:num>
  <w:num w:numId="12">
    <w:abstractNumId w:val="41"/>
  </w:num>
  <w:num w:numId="13">
    <w:abstractNumId w:val="42"/>
  </w:num>
  <w:num w:numId="14">
    <w:abstractNumId w:val="38"/>
  </w:num>
  <w:num w:numId="15">
    <w:abstractNumId w:val="45"/>
  </w:num>
  <w:num w:numId="16">
    <w:abstractNumId w:val="16"/>
  </w:num>
  <w:num w:numId="17">
    <w:abstractNumId w:val="8"/>
  </w:num>
  <w:num w:numId="18">
    <w:abstractNumId w:val="43"/>
  </w:num>
  <w:num w:numId="19">
    <w:abstractNumId w:val="11"/>
  </w:num>
  <w:num w:numId="20">
    <w:abstractNumId w:val="6"/>
  </w:num>
  <w:num w:numId="21">
    <w:abstractNumId w:val="36"/>
  </w:num>
  <w:num w:numId="22">
    <w:abstractNumId w:val="15"/>
  </w:num>
  <w:num w:numId="23">
    <w:abstractNumId w:val="32"/>
  </w:num>
  <w:num w:numId="24">
    <w:abstractNumId w:val="24"/>
  </w:num>
  <w:num w:numId="25">
    <w:abstractNumId w:val="40"/>
  </w:num>
  <w:num w:numId="26">
    <w:abstractNumId w:val="44"/>
  </w:num>
  <w:num w:numId="27">
    <w:abstractNumId w:val="0"/>
  </w:num>
  <w:num w:numId="28">
    <w:abstractNumId w:val="9"/>
  </w:num>
  <w:num w:numId="29">
    <w:abstractNumId w:val="17"/>
  </w:num>
  <w:num w:numId="30">
    <w:abstractNumId w:val="5"/>
  </w:num>
  <w:num w:numId="31">
    <w:abstractNumId w:val="14"/>
  </w:num>
  <w:num w:numId="32">
    <w:abstractNumId w:val="12"/>
  </w:num>
  <w:num w:numId="33">
    <w:abstractNumId w:val="25"/>
  </w:num>
  <w:num w:numId="34">
    <w:abstractNumId w:val="49"/>
  </w:num>
  <w:num w:numId="35">
    <w:abstractNumId w:val="50"/>
  </w:num>
  <w:num w:numId="36">
    <w:abstractNumId w:val="26"/>
  </w:num>
  <w:num w:numId="37">
    <w:abstractNumId w:val="48"/>
  </w:num>
  <w:num w:numId="38">
    <w:abstractNumId w:val="2"/>
  </w:num>
  <w:num w:numId="39">
    <w:abstractNumId w:val="33"/>
  </w:num>
  <w:num w:numId="40">
    <w:abstractNumId w:val="46"/>
  </w:num>
  <w:num w:numId="41">
    <w:abstractNumId w:val="29"/>
  </w:num>
  <w:num w:numId="42">
    <w:abstractNumId w:val="13"/>
  </w:num>
  <w:num w:numId="43">
    <w:abstractNumId w:val="20"/>
  </w:num>
  <w:num w:numId="44">
    <w:abstractNumId w:val="47"/>
  </w:num>
  <w:num w:numId="45">
    <w:abstractNumId w:val="27"/>
  </w:num>
  <w:num w:numId="46">
    <w:abstractNumId w:val="7"/>
  </w:num>
  <w:num w:numId="47">
    <w:abstractNumId w:val="4"/>
  </w:num>
  <w:num w:numId="48">
    <w:abstractNumId w:val="37"/>
  </w:num>
  <w:num w:numId="49">
    <w:abstractNumId w:val="28"/>
  </w:num>
  <w:num w:numId="50">
    <w:abstractNumId w:val="35"/>
  </w:num>
  <w:num w:numId="51">
    <w:abstractNumId w:val="19"/>
  </w:num>
  <w:num w:numId="5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8" w:nlCheck="1" w:checkStyle="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089"/>
    <w:rsid w:val="0000116E"/>
    <w:rsid w:val="00007825"/>
    <w:rsid w:val="00012506"/>
    <w:rsid w:val="00035423"/>
    <w:rsid w:val="00040F7D"/>
    <w:rsid w:val="00060544"/>
    <w:rsid w:val="00063570"/>
    <w:rsid w:val="0006748B"/>
    <w:rsid w:val="00084D28"/>
    <w:rsid w:val="00091D5E"/>
    <w:rsid w:val="00094D0B"/>
    <w:rsid w:val="00096966"/>
    <w:rsid w:val="00097FBC"/>
    <w:rsid w:val="000A4773"/>
    <w:rsid w:val="000A4E51"/>
    <w:rsid w:val="000A5773"/>
    <w:rsid w:val="000A5E47"/>
    <w:rsid w:val="000B3A87"/>
    <w:rsid w:val="000B7B05"/>
    <w:rsid w:val="000D459F"/>
    <w:rsid w:val="000E39B1"/>
    <w:rsid w:val="000E7718"/>
    <w:rsid w:val="000F3FF4"/>
    <w:rsid w:val="00106A5B"/>
    <w:rsid w:val="0010728C"/>
    <w:rsid w:val="00112B07"/>
    <w:rsid w:val="0012386B"/>
    <w:rsid w:val="001245DB"/>
    <w:rsid w:val="001321A3"/>
    <w:rsid w:val="0013687D"/>
    <w:rsid w:val="00136E6A"/>
    <w:rsid w:val="00151184"/>
    <w:rsid w:val="00171A15"/>
    <w:rsid w:val="00171B07"/>
    <w:rsid w:val="00176D6F"/>
    <w:rsid w:val="00180988"/>
    <w:rsid w:val="00184A5D"/>
    <w:rsid w:val="00184D13"/>
    <w:rsid w:val="00190099"/>
    <w:rsid w:val="001957B1"/>
    <w:rsid w:val="001961A2"/>
    <w:rsid w:val="001A4B72"/>
    <w:rsid w:val="001B0A37"/>
    <w:rsid w:val="001B4BDE"/>
    <w:rsid w:val="001B6B25"/>
    <w:rsid w:val="001B7BEF"/>
    <w:rsid w:val="001C2F90"/>
    <w:rsid w:val="001C4B7E"/>
    <w:rsid w:val="001D6655"/>
    <w:rsid w:val="001D6C83"/>
    <w:rsid w:val="001E73C5"/>
    <w:rsid w:val="00211826"/>
    <w:rsid w:val="00213C8D"/>
    <w:rsid w:val="0021443A"/>
    <w:rsid w:val="00232F21"/>
    <w:rsid w:val="00240805"/>
    <w:rsid w:val="002429BB"/>
    <w:rsid w:val="002444E3"/>
    <w:rsid w:val="00244F74"/>
    <w:rsid w:val="002515AB"/>
    <w:rsid w:val="002529EF"/>
    <w:rsid w:val="00253016"/>
    <w:rsid w:val="00253845"/>
    <w:rsid w:val="002560C6"/>
    <w:rsid w:val="00257830"/>
    <w:rsid w:val="00260123"/>
    <w:rsid w:val="002636A7"/>
    <w:rsid w:val="00267753"/>
    <w:rsid w:val="00273D2E"/>
    <w:rsid w:val="00275ABF"/>
    <w:rsid w:val="002763F3"/>
    <w:rsid w:val="00276F43"/>
    <w:rsid w:val="002915E5"/>
    <w:rsid w:val="002B5ED4"/>
    <w:rsid w:val="002C3E17"/>
    <w:rsid w:val="002C4791"/>
    <w:rsid w:val="002C5305"/>
    <w:rsid w:val="002D2D36"/>
    <w:rsid w:val="002D449F"/>
    <w:rsid w:val="002E24F0"/>
    <w:rsid w:val="00302DD8"/>
    <w:rsid w:val="00306F0B"/>
    <w:rsid w:val="00310F94"/>
    <w:rsid w:val="00313478"/>
    <w:rsid w:val="00314E24"/>
    <w:rsid w:val="00317491"/>
    <w:rsid w:val="003204AB"/>
    <w:rsid w:val="003257A5"/>
    <w:rsid w:val="003265D0"/>
    <w:rsid w:val="00334500"/>
    <w:rsid w:val="0033783E"/>
    <w:rsid w:val="00340EBD"/>
    <w:rsid w:val="0034345A"/>
    <w:rsid w:val="00346D44"/>
    <w:rsid w:val="00352024"/>
    <w:rsid w:val="00357E7A"/>
    <w:rsid w:val="00365630"/>
    <w:rsid w:val="003662EA"/>
    <w:rsid w:val="00371024"/>
    <w:rsid w:val="003761CB"/>
    <w:rsid w:val="0039035A"/>
    <w:rsid w:val="00390632"/>
    <w:rsid w:val="003923FF"/>
    <w:rsid w:val="00396C7C"/>
    <w:rsid w:val="00397CF4"/>
    <w:rsid w:val="003A06B4"/>
    <w:rsid w:val="003A3B3F"/>
    <w:rsid w:val="003A424D"/>
    <w:rsid w:val="003B2934"/>
    <w:rsid w:val="003B2C96"/>
    <w:rsid w:val="003B5A88"/>
    <w:rsid w:val="003B7B04"/>
    <w:rsid w:val="003D1F31"/>
    <w:rsid w:val="003D7072"/>
    <w:rsid w:val="003D7089"/>
    <w:rsid w:val="003D78C9"/>
    <w:rsid w:val="003E3B16"/>
    <w:rsid w:val="003E4258"/>
    <w:rsid w:val="00410375"/>
    <w:rsid w:val="00412A6F"/>
    <w:rsid w:val="00415B0A"/>
    <w:rsid w:val="0042257C"/>
    <w:rsid w:val="004232C0"/>
    <w:rsid w:val="00425B7F"/>
    <w:rsid w:val="00426935"/>
    <w:rsid w:val="00440638"/>
    <w:rsid w:val="00441657"/>
    <w:rsid w:val="00442DB3"/>
    <w:rsid w:val="00457F1C"/>
    <w:rsid w:val="00463B10"/>
    <w:rsid w:val="00472326"/>
    <w:rsid w:val="00472A1B"/>
    <w:rsid w:val="00490C01"/>
    <w:rsid w:val="00491C6F"/>
    <w:rsid w:val="00494F95"/>
    <w:rsid w:val="004A073D"/>
    <w:rsid w:val="004A5136"/>
    <w:rsid w:val="004B1289"/>
    <w:rsid w:val="004C0555"/>
    <w:rsid w:val="004D3A68"/>
    <w:rsid w:val="004E63AC"/>
    <w:rsid w:val="004F57FC"/>
    <w:rsid w:val="00504AED"/>
    <w:rsid w:val="00507629"/>
    <w:rsid w:val="0051289C"/>
    <w:rsid w:val="0052595A"/>
    <w:rsid w:val="005516FE"/>
    <w:rsid w:val="005529C3"/>
    <w:rsid w:val="005552DA"/>
    <w:rsid w:val="00564C91"/>
    <w:rsid w:val="00565113"/>
    <w:rsid w:val="00580A53"/>
    <w:rsid w:val="00581F3B"/>
    <w:rsid w:val="00582D29"/>
    <w:rsid w:val="00593CAC"/>
    <w:rsid w:val="005941A3"/>
    <w:rsid w:val="00594D45"/>
    <w:rsid w:val="005950C3"/>
    <w:rsid w:val="005A16C1"/>
    <w:rsid w:val="005A221F"/>
    <w:rsid w:val="005A3627"/>
    <w:rsid w:val="005B6A3B"/>
    <w:rsid w:val="005C48D0"/>
    <w:rsid w:val="005C4B65"/>
    <w:rsid w:val="005D2907"/>
    <w:rsid w:val="005D34C9"/>
    <w:rsid w:val="005D73FF"/>
    <w:rsid w:val="005E16C2"/>
    <w:rsid w:val="005E1E41"/>
    <w:rsid w:val="005E5BC6"/>
    <w:rsid w:val="005F4875"/>
    <w:rsid w:val="00601857"/>
    <w:rsid w:val="00605F15"/>
    <w:rsid w:val="00612812"/>
    <w:rsid w:val="00622AFE"/>
    <w:rsid w:val="00624E3B"/>
    <w:rsid w:val="00625C10"/>
    <w:rsid w:val="00634D51"/>
    <w:rsid w:val="00640854"/>
    <w:rsid w:val="00641C6B"/>
    <w:rsid w:val="00645D26"/>
    <w:rsid w:val="00646259"/>
    <w:rsid w:val="00652015"/>
    <w:rsid w:val="006550CA"/>
    <w:rsid w:val="00664D7C"/>
    <w:rsid w:val="006747EE"/>
    <w:rsid w:val="00674C69"/>
    <w:rsid w:val="006A1921"/>
    <w:rsid w:val="006A5E3C"/>
    <w:rsid w:val="006B0834"/>
    <w:rsid w:val="006C6B73"/>
    <w:rsid w:val="006C78E6"/>
    <w:rsid w:val="006D1057"/>
    <w:rsid w:val="006D5F54"/>
    <w:rsid w:val="006E2338"/>
    <w:rsid w:val="00701F4A"/>
    <w:rsid w:val="00723F23"/>
    <w:rsid w:val="0072410F"/>
    <w:rsid w:val="007242C6"/>
    <w:rsid w:val="007274E3"/>
    <w:rsid w:val="00741FEC"/>
    <w:rsid w:val="00744B69"/>
    <w:rsid w:val="0074545A"/>
    <w:rsid w:val="00755021"/>
    <w:rsid w:val="00756581"/>
    <w:rsid w:val="00762B3F"/>
    <w:rsid w:val="00763F6D"/>
    <w:rsid w:val="007661A4"/>
    <w:rsid w:val="00773B1D"/>
    <w:rsid w:val="00775BAB"/>
    <w:rsid w:val="007766D9"/>
    <w:rsid w:val="0078137C"/>
    <w:rsid w:val="00783DF7"/>
    <w:rsid w:val="00787DBE"/>
    <w:rsid w:val="00795ED9"/>
    <w:rsid w:val="007A291A"/>
    <w:rsid w:val="007A5502"/>
    <w:rsid w:val="007B190E"/>
    <w:rsid w:val="007B2CF0"/>
    <w:rsid w:val="007B6A5A"/>
    <w:rsid w:val="007B7A7F"/>
    <w:rsid w:val="007C0A10"/>
    <w:rsid w:val="007E4D96"/>
    <w:rsid w:val="007F23B4"/>
    <w:rsid w:val="007F74B3"/>
    <w:rsid w:val="00802A76"/>
    <w:rsid w:val="008068C8"/>
    <w:rsid w:val="0081496B"/>
    <w:rsid w:val="008213B2"/>
    <w:rsid w:val="00824773"/>
    <w:rsid w:val="00826D2A"/>
    <w:rsid w:val="008358FC"/>
    <w:rsid w:val="00835A08"/>
    <w:rsid w:val="00843E34"/>
    <w:rsid w:val="00855245"/>
    <w:rsid w:val="00855913"/>
    <w:rsid w:val="00864942"/>
    <w:rsid w:val="00871ADE"/>
    <w:rsid w:val="00881AC9"/>
    <w:rsid w:val="008824EF"/>
    <w:rsid w:val="008867B9"/>
    <w:rsid w:val="008930AB"/>
    <w:rsid w:val="0089366B"/>
    <w:rsid w:val="00893EDE"/>
    <w:rsid w:val="00897B6F"/>
    <w:rsid w:val="008A2F01"/>
    <w:rsid w:val="008A556F"/>
    <w:rsid w:val="008B749B"/>
    <w:rsid w:val="008D0FF4"/>
    <w:rsid w:val="008D2FD2"/>
    <w:rsid w:val="008D3473"/>
    <w:rsid w:val="008D4850"/>
    <w:rsid w:val="008D5830"/>
    <w:rsid w:val="008F28F2"/>
    <w:rsid w:val="0090212E"/>
    <w:rsid w:val="009033FE"/>
    <w:rsid w:val="00912108"/>
    <w:rsid w:val="00916B5B"/>
    <w:rsid w:val="0092619F"/>
    <w:rsid w:val="0093052B"/>
    <w:rsid w:val="00930A00"/>
    <w:rsid w:val="00935B02"/>
    <w:rsid w:val="00940BA1"/>
    <w:rsid w:val="00941753"/>
    <w:rsid w:val="00945017"/>
    <w:rsid w:val="00945F9F"/>
    <w:rsid w:val="00947B0A"/>
    <w:rsid w:val="009501F6"/>
    <w:rsid w:val="009521BD"/>
    <w:rsid w:val="00955E0A"/>
    <w:rsid w:val="00961084"/>
    <w:rsid w:val="00964647"/>
    <w:rsid w:val="00966F4D"/>
    <w:rsid w:val="00971C90"/>
    <w:rsid w:val="00975BE7"/>
    <w:rsid w:val="009A27C3"/>
    <w:rsid w:val="009A3B0B"/>
    <w:rsid w:val="009A5F52"/>
    <w:rsid w:val="009B0540"/>
    <w:rsid w:val="009B06C5"/>
    <w:rsid w:val="009B0708"/>
    <w:rsid w:val="009B6B5A"/>
    <w:rsid w:val="009C31EF"/>
    <w:rsid w:val="009C7136"/>
    <w:rsid w:val="009D0960"/>
    <w:rsid w:val="009D5814"/>
    <w:rsid w:val="009E2BF1"/>
    <w:rsid w:val="009F2B51"/>
    <w:rsid w:val="009F2C34"/>
    <w:rsid w:val="009F40CB"/>
    <w:rsid w:val="009F4FD2"/>
    <w:rsid w:val="009F74D4"/>
    <w:rsid w:val="00A03C13"/>
    <w:rsid w:val="00A10EF5"/>
    <w:rsid w:val="00A1275F"/>
    <w:rsid w:val="00A12B19"/>
    <w:rsid w:val="00A213C2"/>
    <w:rsid w:val="00A3346E"/>
    <w:rsid w:val="00A52396"/>
    <w:rsid w:val="00A533D5"/>
    <w:rsid w:val="00A65BA0"/>
    <w:rsid w:val="00A73E20"/>
    <w:rsid w:val="00A76593"/>
    <w:rsid w:val="00A76EC0"/>
    <w:rsid w:val="00A872F7"/>
    <w:rsid w:val="00A916D9"/>
    <w:rsid w:val="00A91860"/>
    <w:rsid w:val="00A92977"/>
    <w:rsid w:val="00AB3564"/>
    <w:rsid w:val="00AD153D"/>
    <w:rsid w:val="00AD53FB"/>
    <w:rsid w:val="00AF5117"/>
    <w:rsid w:val="00B046BD"/>
    <w:rsid w:val="00B051A5"/>
    <w:rsid w:val="00B10AD0"/>
    <w:rsid w:val="00B15822"/>
    <w:rsid w:val="00B245F9"/>
    <w:rsid w:val="00B27095"/>
    <w:rsid w:val="00B326B0"/>
    <w:rsid w:val="00B33682"/>
    <w:rsid w:val="00B4012E"/>
    <w:rsid w:val="00B43E7E"/>
    <w:rsid w:val="00B5111D"/>
    <w:rsid w:val="00B513A4"/>
    <w:rsid w:val="00B5617D"/>
    <w:rsid w:val="00B56D07"/>
    <w:rsid w:val="00B65BCF"/>
    <w:rsid w:val="00B7444A"/>
    <w:rsid w:val="00B76B1D"/>
    <w:rsid w:val="00B80D5E"/>
    <w:rsid w:val="00B971F7"/>
    <w:rsid w:val="00BA6D88"/>
    <w:rsid w:val="00BA79D1"/>
    <w:rsid w:val="00BB32F5"/>
    <w:rsid w:val="00BD0DF9"/>
    <w:rsid w:val="00BF1D87"/>
    <w:rsid w:val="00C005EB"/>
    <w:rsid w:val="00C07DAB"/>
    <w:rsid w:val="00C12D0B"/>
    <w:rsid w:val="00C14BDC"/>
    <w:rsid w:val="00C14D91"/>
    <w:rsid w:val="00C17FEF"/>
    <w:rsid w:val="00C17FF7"/>
    <w:rsid w:val="00C27EBC"/>
    <w:rsid w:val="00C34093"/>
    <w:rsid w:val="00C3498A"/>
    <w:rsid w:val="00C36730"/>
    <w:rsid w:val="00C44EF2"/>
    <w:rsid w:val="00C456E5"/>
    <w:rsid w:val="00C466C6"/>
    <w:rsid w:val="00C47D4E"/>
    <w:rsid w:val="00C50B7D"/>
    <w:rsid w:val="00C61F66"/>
    <w:rsid w:val="00C704A8"/>
    <w:rsid w:val="00C737A2"/>
    <w:rsid w:val="00C94710"/>
    <w:rsid w:val="00CA3893"/>
    <w:rsid w:val="00CA50D1"/>
    <w:rsid w:val="00CB1BE2"/>
    <w:rsid w:val="00CB2847"/>
    <w:rsid w:val="00CB312B"/>
    <w:rsid w:val="00CB4E53"/>
    <w:rsid w:val="00CB5589"/>
    <w:rsid w:val="00CB671E"/>
    <w:rsid w:val="00CB689D"/>
    <w:rsid w:val="00CC518C"/>
    <w:rsid w:val="00CD6EFA"/>
    <w:rsid w:val="00CE2CD3"/>
    <w:rsid w:val="00CE6011"/>
    <w:rsid w:val="00CE7A9F"/>
    <w:rsid w:val="00CE7EBF"/>
    <w:rsid w:val="00D102D4"/>
    <w:rsid w:val="00D272D4"/>
    <w:rsid w:val="00D3046D"/>
    <w:rsid w:val="00D424D2"/>
    <w:rsid w:val="00D46CCB"/>
    <w:rsid w:val="00D475B4"/>
    <w:rsid w:val="00D54E04"/>
    <w:rsid w:val="00D55B7C"/>
    <w:rsid w:val="00D56FA5"/>
    <w:rsid w:val="00D62000"/>
    <w:rsid w:val="00D63A9E"/>
    <w:rsid w:val="00D7406E"/>
    <w:rsid w:val="00D7599E"/>
    <w:rsid w:val="00D76072"/>
    <w:rsid w:val="00D8014F"/>
    <w:rsid w:val="00D84C58"/>
    <w:rsid w:val="00D92906"/>
    <w:rsid w:val="00DA79D5"/>
    <w:rsid w:val="00DB1119"/>
    <w:rsid w:val="00DB1BD2"/>
    <w:rsid w:val="00DB58AF"/>
    <w:rsid w:val="00DC3BB7"/>
    <w:rsid w:val="00DC6AF1"/>
    <w:rsid w:val="00DC77C9"/>
    <w:rsid w:val="00DE137D"/>
    <w:rsid w:val="00DE5742"/>
    <w:rsid w:val="00DF5B8D"/>
    <w:rsid w:val="00E00B26"/>
    <w:rsid w:val="00E01F73"/>
    <w:rsid w:val="00E16544"/>
    <w:rsid w:val="00E25FC7"/>
    <w:rsid w:val="00E409DB"/>
    <w:rsid w:val="00E42BAD"/>
    <w:rsid w:val="00E4312F"/>
    <w:rsid w:val="00E43870"/>
    <w:rsid w:val="00E501D4"/>
    <w:rsid w:val="00E55E58"/>
    <w:rsid w:val="00E5707F"/>
    <w:rsid w:val="00E7071B"/>
    <w:rsid w:val="00E7090A"/>
    <w:rsid w:val="00E8561D"/>
    <w:rsid w:val="00E8627F"/>
    <w:rsid w:val="00E92661"/>
    <w:rsid w:val="00E96172"/>
    <w:rsid w:val="00EA31BF"/>
    <w:rsid w:val="00EA7D8A"/>
    <w:rsid w:val="00EE4E00"/>
    <w:rsid w:val="00EE4FD7"/>
    <w:rsid w:val="00EF7370"/>
    <w:rsid w:val="00F06C39"/>
    <w:rsid w:val="00F11ABD"/>
    <w:rsid w:val="00F2173A"/>
    <w:rsid w:val="00F27844"/>
    <w:rsid w:val="00F305AF"/>
    <w:rsid w:val="00F35089"/>
    <w:rsid w:val="00F4713D"/>
    <w:rsid w:val="00F51530"/>
    <w:rsid w:val="00F52303"/>
    <w:rsid w:val="00F545C1"/>
    <w:rsid w:val="00F5734D"/>
    <w:rsid w:val="00F57CCF"/>
    <w:rsid w:val="00F6137E"/>
    <w:rsid w:val="00F6502A"/>
    <w:rsid w:val="00F72CE8"/>
    <w:rsid w:val="00F75F81"/>
    <w:rsid w:val="00F83B5C"/>
    <w:rsid w:val="00F86D29"/>
    <w:rsid w:val="00FC69A6"/>
    <w:rsid w:val="00FE167B"/>
    <w:rsid w:val="00FF5AE2"/>
    <w:rsid w:val="00FF7053"/>
    <w:rsid w:val="00FF7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5EB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05"/>
    <w:pPr>
      <w:spacing w:after="200" w:line="276" w:lineRule="auto"/>
    </w:pPr>
    <w:rPr>
      <w:sz w:val="22"/>
      <w:szCs w:val="22"/>
    </w:rPr>
  </w:style>
  <w:style w:type="paragraph" w:styleId="Heading1">
    <w:name w:val="heading 1"/>
    <w:basedOn w:val="Normal"/>
    <w:next w:val="Normal"/>
    <w:link w:val="Heading1Char"/>
    <w:uiPriority w:val="9"/>
    <w:qFormat/>
    <w:rsid w:val="003D7089"/>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89"/>
  </w:style>
  <w:style w:type="paragraph" w:styleId="ListParagraph">
    <w:name w:val="List Paragraph"/>
    <w:basedOn w:val="Normal"/>
    <w:uiPriority w:val="34"/>
    <w:qFormat/>
    <w:rsid w:val="003D7089"/>
    <w:pPr>
      <w:ind w:left="720"/>
      <w:contextualSpacing/>
    </w:pPr>
  </w:style>
  <w:style w:type="character" w:customStyle="1" w:styleId="Heading1Char">
    <w:name w:val="Heading 1 Char"/>
    <w:link w:val="Heading1"/>
    <w:uiPriority w:val="9"/>
    <w:rsid w:val="003D7089"/>
    <w:rPr>
      <w:rFonts w:ascii="Cambria" w:eastAsia="SimSun" w:hAnsi="Cambria" w:cs="Times New Roman"/>
      <w:b/>
      <w:bCs/>
      <w:color w:val="365F91"/>
      <w:sz w:val="28"/>
      <w:szCs w:val="28"/>
    </w:rPr>
  </w:style>
  <w:style w:type="paragraph" w:styleId="Footer">
    <w:name w:val="footer"/>
    <w:basedOn w:val="Normal"/>
    <w:link w:val="FooterChar"/>
    <w:uiPriority w:val="99"/>
    <w:unhideWhenUsed/>
    <w:rsid w:val="0090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FE"/>
  </w:style>
  <w:style w:type="character" w:styleId="CommentReference">
    <w:name w:val="annotation reference"/>
    <w:uiPriority w:val="99"/>
    <w:semiHidden/>
    <w:unhideWhenUsed/>
    <w:rsid w:val="00CB4E53"/>
    <w:rPr>
      <w:sz w:val="16"/>
      <w:szCs w:val="16"/>
    </w:rPr>
  </w:style>
  <w:style w:type="paragraph" w:styleId="CommentText">
    <w:name w:val="annotation text"/>
    <w:basedOn w:val="Normal"/>
    <w:link w:val="CommentTextChar"/>
    <w:uiPriority w:val="99"/>
    <w:semiHidden/>
    <w:unhideWhenUsed/>
    <w:rsid w:val="00CB4E53"/>
    <w:pPr>
      <w:spacing w:line="240" w:lineRule="auto"/>
    </w:pPr>
    <w:rPr>
      <w:sz w:val="20"/>
      <w:szCs w:val="20"/>
    </w:rPr>
  </w:style>
  <w:style w:type="character" w:customStyle="1" w:styleId="CommentTextChar">
    <w:name w:val="Comment Text Char"/>
    <w:link w:val="CommentText"/>
    <w:uiPriority w:val="99"/>
    <w:semiHidden/>
    <w:rsid w:val="00CB4E53"/>
    <w:rPr>
      <w:sz w:val="20"/>
      <w:szCs w:val="20"/>
    </w:rPr>
  </w:style>
  <w:style w:type="paragraph" w:styleId="CommentSubject">
    <w:name w:val="annotation subject"/>
    <w:basedOn w:val="CommentText"/>
    <w:next w:val="CommentText"/>
    <w:link w:val="CommentSubjectChar"/>
    <w:uiPriority w:val="99"/>
    <w:semiHidden/>
    <w:unhideWhenUsed/>
    <w:rsid w:val="00CB4E53"/>
    <w:rPr>
      <w:b/>
      <w:bCs/>
    </w:rPr>
  </w:style>
  <w:style w:type="character" w:customStyle="1" w:styleId="CommentSubjectChar">
    <w:name w:val="Comment Subject Char"/>
    <w:link w:val="CommentSubject"/>
    <w:uiPriority w:val="99"/>
    <w:semiHidden/>
    <w:rsid w:val="00CB4E53"/>
    <w:rPr>
      <w:b/>
      <w:bCs/>
      <w:sz w:val="20"/>
      <w:szCs w:val="20"/>
    </w:rPr>
  </w:style>
  <w:style w:type="paragraph" w:styleId="BalloonText">
    <w:name w:val="Balloon Text"/>
    <w:basedOn w:val="Normal"/>
    <w:link w:val="BalloonTextChar"/>
    <w:uiPriority w:val="99"/>
    <w:semiHidden/>
    <w:unhideWhenUsed/>
    <w:rsid w:val="00CB4E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4E53"/>
    <w:rPr>
      <w:rFonts w:ascii="Tahoma" w:hAnsi="Tahoma" w:cs="Tahoma"/>
      <w:sz w:val="16"/>
      <w:szCs w:val="16"/>
    </w:rPr>
  </w:style>
  <w:style w:type="character" w:styleId="Hyperlink">
    <w:name w:val="Hyperlink"/>
    <w:uiPriority w:val="99"/>
    <w:semiHidden/>
    <w:unhideWhenUsed/>
    <w:rsid w:val="00346D44"/>
    <w:rPr>
      <w:color w:val="0000FF"/>
      <w:u w:val="single"/>
    </w:rPr>
  </w:style>
  <w:style w:type="paragraph" w:styleId="NormalWeb">
    <w:name w:val="Normal (Web)"/>
    <w:basedOn w:val="Normal"/>
    <w:uiPriority w:val="99"/>
    <w:semiHidden/>
    <w:unhideWhenUsed/>
    <w:rsid w:val="00346D4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7F23B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05"/>
    <w:pPr>
      <w:spacing w:after="200" w:line="276" w:lineRule="auto"/>
    </w:pPr>
    <w:rPr>
      <w:sz w:val="22"/>
      <w:szCs w:val="22"/>
    </w:rPr>
  </w:style>
  <w:style w:type="paragraph" w:styleId="Heading1">
    <w:name w:val="heading 1"/>
    <w:basedOn w:val="Normal"/>
    <w:next w:val="Normal"/>
    <w:link w:val="Heading1Char"/>
    <w:uiPriority w:val="9"/>
    <w:qFormat/>
    <w:rsid w:val="003D7089"/>
    <w:pPr>
      <w:keepNext/>
      <w:keepLines/>
      <w:spacing w:before="480" w:after="0"/>
      <w:outlineLvl w:val="0"/>
    </w:pPr>
    <w:rPr>
      <w:rFonts w:ascii="Cambria" w:eastAsia="SimSu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089"/>
  </w:style>
  <w:style w:type="paragraph" w:styleId="ListParagraph">
    <w:name w:val="List Paragraph"/>
    <w:basedOn w:val="Normal"/>
    <w:uiPriority w:val="34"/>
    <w:qFormat/>
    <w:rsid w:val="003D7089"/>
    <w:pPr>
      <w:ind w:left="720"/>
      <w:contextualSpacing/>
    </w:pPr>
  </w:style>
  <w:style w:type="character" w:customStyle="1" w:styleId="Heading1Char">
    <w:name w:val="Heading 1 Char"/>
    <w:link w:val="Heading1"/>
    <w:uiPriority w:val="9"/>
    <w:rsid w:val="003D7089"/>
    <w:rPr>
      <w:rFonts w:ascii="Cambria" w:eastAsia="SimSun" w:hAnsi="Cambria" w:cs="Times New Roman"/>
      <w:b/>
      <w:bCs/>
      <w:color w:val="365F91"/>
      <w:sz w:val="28"/>
      <w:szCs w:val="28"/>
    </w:rPr>
  </w:style>
  <w:style w:type="paragraph" w:styleId="Footer">
    <w:name w:val="footer"/>
    <w:basedOn w:val="Normal"/>
    <w:link w:val="FooterChar"/>
    <w:uiPriority w:val="99"/>
    <w:unhideWhenUsed/>
    <w:rsid w:val="00903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3FE"/>
  </w:style>
  <w:style w:type="character" w:styleId="CommentReference">
    <w:name w:val="annotation reference"/>
    <w:uiPriority w:val="99"/>
    <w:semiHidden/>
    <w:unhideWhenUsed/>
    <w:rsid w:val="00CB4E53"/>
    <w:rPr>
      <w:sz w:val="16"/>
      <w:szCs w:val="16"/>
    </w:rPr>
  </w:style>
  <w:style w:type="paragraph" w:styleId="CommentText">
    <w:name w:val="annotation text"/>
    <w:basedOn w:val="Normal"/>
    <w:link w:val="CommentTextChar"/>
    <w:uiPriority w:val="99"/>
    <w:semiHidden/>
    <w:unhideWhenUsed/>
    <w:rsid w:val="00CB4E53"/>
    <w:pPr>
      <w:spacing w:line="240" w:lineRule="auto"/>
    </w:pPr>
    <w:rPr>
      <w:sz w:val="20"/>
      <w:szCs w:val="20"/>
    </w:rPr>
  </w:style>
  <w:style w:type="character" w:customStyle="1" w:styleId="CommentTextChar">
    <w:name w:val="Comment Text Char"/>
    <w:link w:val="CommentText"/>
    <w:uiPriority w:val="99"/>
    <w:semiHidden/>
    <w:rsid w:val="00CB4E53"/>
    <w:rPr>
      <w:sz w:val="20"/>
      <w:szCs w:val="20"/>
    </w:rPr>
  </w:style>
  <w:style w:type="paragraph" w:styleId="CommentSubject">
    <w:name w:val="annotation subject"/>
    <w:basedOn w:val="CommentText"/>
    <w:next w:val="CommentText"/>
    <w:link w:val="CommentSubjectChar"/>
    <w:uiPriority w:val="99"/>
    <w:semiHidden/>
    <w:unhideWhenUsed/>
    <w:rsid w:val="00CB4E53"/>
    <w:rPr>
      <w:b/>
      <w:bCs/>
    </w:rPr>
  </w:style>
  <w:style w:type="character" w:customStyle="1" w:styleId="CommentSubjectChar">
    <w:name w:val="Comment Subject Char"/>
    <w:link w:val="CommentSubject"/>
    <w:uiPriority w:val="99"/>
    <w:semiHidden/>
    <w:rsid w:val="00CB4E53"/>
    <w:rPr>
      <w:b/>
      <w:bCs/>
      <w:sz w:val="20"/>
      <w:szCs w:val="20"/>
    </w:rPr>
  </w:style>
  <w:style w:type="paragraph" w:styleId="BalloonText">
    <w:name w:val="Balloon Text"/>
    <w:basedOn w:val="Normal"/>
    <w:link w:val="BalloonTextChar"/>
    <w:uiPriority w:val="99"/>
    <w:semiHidden/>
    <w:unhideWhenUsed/>
    <w:rsid w:val="00CB4E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4E53"/>
    <w:rPr>
      <w:rFonts w:ascii="Tahoma" w:hAnsi="Tahoma" w:cs="Tahoma"/>
      <w:sz w:val="16"/>
      <w:szCs w:val="16"/>
    </w:rPr>
  </w:style>
  <w:style w:type="character" w:styleId="Hyperlink">
    <w:name w:val="Hyperlink"/>
    <w:uiPriority w:val="99"/>
    <w:semiHidden/>
    <w:unhideWhenUsed/>
    <w:rsid w:val="00346D44"/>
    <w:rPr>
      <w:color w:val="0000FF"/>
      <w:u w:val="single"/>
    </w:rPr>
  </w:style>
  <w:style w:type="paragraph" w:styleId="NormalWeb">
    <w:name w:val="Normal (Web)"/>
    <w:basedOn w:val="Normal"/>
    <w:uiPriority w:val="99"/>
    <w:semiHidden/>
    <w:unhideWhenUsed/>
    <w:rsid w:val="00346D44"/>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7F23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55704">
      <w:bodyDiv w:val="1"/>
      <w:marLeft w:val="0"/>
      <w:marRight w:val="0"/>
      <w:marTop w:val="0"/>
      <w:marBottom w:val="0"/>
      <w:divBdr>
        <w:top w:val="none" w:sz="0" w:space="0" w:color="auto"/>
        <w:left w:val="none" w:sz="0" w:space="0" w:color="auto"/>
        <w:bottom w:val="none" w:sz="0" w:space="0" w:color="auto"/>
        <w:right w:val="none" w:sz="0" w:space="0" w:color="auto"/>
      </w:divBdr>
      <w:divsChild>
        <w:div w:id="634871595">
          <w:marLeft w:val="0"/>
          <w:marRight w:val="0"/>
          <w:marTop w:val="0"/>
          <w:marBottom w:val="0"/>
          <w:divBdr>
            <w:top w:val="none" w:sz="0" w:space="0" w:color="auto"/>
            <w:left w:val="none" w:sz="0" w:space="0" w:color="auto"/>
            <w:bottom w:val="none" w:sz="0" w:space="0" w:color="auto"/>
            <w:right w:val="none" w:sz="0" w:space="0" w:color="auto"/>
          </w:divBdr>
          <w:divsChild>
            <w:div w:id="11734275">
              <w:marLeft w:val="0"/>
              <w:marRight w:val="0"/>
              <w:marTop w:val="0"/>
              <w:marBottom w:val="0"/>
              <w:divBdr>
                <w:top w:val="none" w:sz="0" w:space="0" w:color="auto"/>
                <w:left w:val="none" w:sz="0" w:space="0" w:color="auto"/>
                <w:bottom w:val="none" w:sz="0" w:space="0" w:color="auto"/>
                <w:right w:val="none" w:sz="0" w:space="0" w:color="auto"/>
              </w:divBdr>
              <w:divsChild>
                <w:div w:id="7740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8612617E987C4DAD10D38FE873E6CD" ma:contentTypeVersion="20" ma:contentTypeDescription="Create a new document." ma:contentTypeScope="" ma:versionID="5de7654f1e5f8b2c8c64cac5679abb64">
  <xsd:schema xmlns:xsd="http://www.w3.org/2001/XMLSchema" xmlns:xs="http://www.w3.org/2001/XMLSchema" xmlns:p="http://schemas.microsoft.com/office/2006/metadata/properties" xmlns:ns2="7cc3f1bb-fa0a-4140-aab5-c57667f61713" xmlns:ns3="52222ef0-b167-44f5-92f7-438fda0857cd" targetNamespace="http://schemas.microsoft.com/office/2006/metadata/properties" ma:root="true" ma:fieldsID="9ebf03e41cab4a7cb52ac0773d72c53c" ns2:_="" ns3:_="">
    <xsd:import namespace="7cc3f1bb-fa0a-4140-aab5-c57667f61713"/>
    <xsd:import namespace="52222ef0-b167-44f5-92f7-438fda0857cd"/>
    <xsd:element name="properties">
      <xsd:complexType>
        <xsd:sequence>
          <xsd:element name="documentManagement">
            <xsd:complexType>
              <xsd:all>
                <xsd:element ref="ns2:Document_x0020_Type"/>
                <xsd:element ref="ns2:Topic"/>
                <xsd:element ref="ns2:Clearance_x0020_Status" minOccurs="0"/>
                <xsd:element ref="ns2:Clearance_x0020_Start_x0020_Date" minOccurs="0"/>
                <xsd:element ref="ns2:Publication_x0020_Date" minOccurs="0"/>
                <xsd:element ref="ns2:Document_x0020_Lea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3f1bb-fa0a-4140-aab5-c57667f61713" elementFormDefault="qualified">
    <xsd:import namespace="http://schemas.microsoft.com/office/2006/documentManagement/types"/>
    <xsd:import namespace="http://schemas.microsoft.com/office/infopath/2007/PartnerControls"/>
    <xsd:element name="Document_x0020_Type" ma:index="1" ma:displayName="Document Type" ma:default="Application Materials" ma:format="Dropdown" ma:internalName="Document_x0020_Type">
      <xsd:simpleType>
        <xsd:restriction base="dms:Choice">
          <xsd:enumeration value="Application Materials"/>
          <xsd:enumeration value="Legal Document"/>
          <xsd:enumeration value="Memo"/>
          <xsd:enumeration value="PowerPoint Presentation"/>
          <xsd:enumeration value="Other"/>
        </xsd:restriction>
      </xsd:simpleType>
    </xsd:element>
    <xsd:element name="Topic" ma:index="2" ma:displayName="Category" ma:format="Dropdown" ma:internalName="Topic">
      <xsd:simpleType>
        <xsd:restriction base="dms:Choice">
          <xsd:enumeration value="Application Materials"/>
          <xsd:enumeration value="Bond Issuance"/>
          <xsd:enumeration value="Briefing Materials"/>
          <xsd:enumeration value="Credit Review Board"/>
          <xsd:enumeration value="Internal Controls"/>
          <xsd:enumeration value="Legal Documents"/>
          <xsd:enumeration value="Master Servicer/Trustee"/>
          <xsd:enumeration value="Notice of Guarantee Authority (NOGA)"/>
          <xsd:enumeration value="OMB"/>
          <xsd:enumeration value="Operations"/>
          <xsd:enumeration value="Outreach and External Relations"/>
          <xsd:enumeration value="PMLM"/>
          <xsd:enumeration value="Regulations"/>
          <xsd:enumeration value="Secondary Loan Requirements (SLRs)"/>
        </xsd:restriction>
      </xsd:simpleType>
    </xsd:element>
    <xsd:element name="Clearance_x0020_Status" ma:index="3" nillable="true" ma:displayName="Clearance Status" ma:default="In CDFI Fund Clearance" ma:format="Dropdown" ma:internalName="Clearance_x0020_Status">
      <xsd:simpleType>
        <xsd:restriction base="dms:Choice">
          <xsd:enumeration value="Program Office Clearance"/>
          <xsd:enumeration value="In CDFI Fund Clearance"/>
          <xsd:enumeration value="Completed CDFI Fund Clearance"/>
          <xsd:enumeration value="In Domestic Finance Clearance"/>
          <xsd:enumeration value="Completed Domestic Finance Clearance"/>
          <xsd:enumeration value="In MT OGC Clearance"/>
          <xsd:enumeration value="Completed MT OGC Clearance"/>
          <xsd:enumeration value="In Main Treasury Clearance"/>
          <xsd:enumeration value="Completed Main Treasury Clearance"/>
          <xsd:enumeration value="in OMB Clearance"/>
          <xsd:enumeration value="Completed OMB Clearance"/>
          <xsd:enumeration value="Completed"/>
          <xsd:enumeration value="Not in Clearance"/>
        </xsd:restriction>
      </xsd:simpleType>
    </xsd:element>
    <xsd:element name="Clearance_x0020_Start_x0020_Date" ma:index="4" nillable="true" ma:displayName="Clearance Start Date" ma:format="DateOnly" ma:internalName="Clearance_x0020_Start_x0020_Date">
      <xsd:simpleType>
        <xsd:restriction base="dms:DateTime"/>
      </xsd:simpleType>
    </xsd:element>
    <xsd:element name="Publication_x0020_Date" ma:index="5" nillable="true" ma:displayName="Clearance End Date" ma:format="DateOnly" ma:internalName="Publication_x0020_Date">
      <xsd:simpleType>
        <xsd:restriction base="dms:DateTime"/>
      </xsd:simpleType>
    </xsd:element>
    <xsd:element name="Document_x0020_Lead" ma:index="6" nillable="true" ma:displayName="Document Lead" ma:default="Brian Rozental" ma:format="Dropdown" ma:internalName="Document_x0020_Lead">
      <xsd:simpleType>
        <xsd:restriction base="dms:Choice">
          <xsd:enumeration value="Brian Rozental"/>
          <xsd:enumeration value="Leron Gresham"/>
          <xsd:enumeration value="Lisa Jones"/>
          <xsd:enumeration value="Austin Crittendon"/>
          <xsd:enumeration value="Brian Jackson"/>
          <xsd:enumeration value="Brian Rozental"/>
          <xsd:enumeration value="Vinny Sivaraman"/>
          <xsd:enumeration value="Jeff Berg"/>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7"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earance_x0020_Start_x0020_Date xmlns="7cc3f1bb-fa0a-4140-aab5-c57667f61713">2013-03-25T04:00:00+00:00</Clearance_x0020_Start_x0020_Date>
    <Topic xmlns="7cc3f1bb-fa0a-4140-aab5-c57667f61713">Secondary Loan Requirements (SLRs)</Topic>
    <Publication_x0020_Date xmlns="7cc3f1bb-fa0a-4140-aab5-c57667f61713" xsi:nil="true"/>
    <Clearance_x0020_Status xmlns="7cc3f1bb-fa0a-4140-aab5-c57667f61713">in OMB Clearance</Clearance_x0020_Status>
    <Document_x0020_Lead xmlns="7cc3f1bb-fa0a-4140-aab5-c57667f61713">Brian Jackson</Document_x0020_Lead>
    <Document_x0020_Type xmlns="7cc3f1bb-fa0a-4140-aab5-c57667f61713">Other</Document_x0020_Type>
    <_dlc_DocId xmlns="52222ef0-b167-44f5-92f7-438fda0857cd">DOCDFI-124-109</_dlc_DocId>
    <_dlc_DocIdUrl xmlns="52222ef0-b167-44f5-92f7-438fda0857cd">
      <Url>http://thegreen.treas.gov/do/cdfi/BOND_Team_Site/_layouts/DocIdRedir.aspx?ID=DOCDFI-124-109</Url>
      <Description>DOCDFI-124-109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D94FD-3C3B-491E-937D-69F6CF997DC9}">
  <ds:schemaRefs>
    <ds:schemaRef ds:uri="Microsoft.SharePoint.Taxonomy.ContentTypeSync"/>
  </ds:schemaRefs>
</ds:datastoreItem>
</file>

<file path=customXml/itemProps2.xml><?xml version="1.0" encoding="utf-8"?>
<ds:datastoreItem xmlns:ds="http://schemas.openxmlformats.org/officeDocument/2006/customXml" ds:itemID="{A14FE485-A2EC-4BB2-A40F-39CA5FA3C116}">
  <ds:schemaRefs>
    <ds:schemaRef ds:uri="http://schemas.microsoft.com/sharepoint/events"/>
  </ds:schemaRefs>
</ds:datastoreItem>
</file>

<file path=customXml/itemProps3.xml><?xml version="1.0" encoding="utf-8"?>
<ds:datastoreItem xmlns:ds="http://schemas.openxmlformats.org/officeDocument/2006/customXml" ds:itemID="{5EEC0570-8970-4000-AFEF-325556B53AE9}">
  <ds:schemaRefs>
    <ds:schemaRef ds:uri="http://schemas.microsoft.com/sharepoint/v3/contenttype/forms"/>
  </ds:schemaRefs>
</ds:datastoreItem>
</file>

<file path=customXml/itemProps4.xml><?xml version="1.0" encoding="utf-8"?>
<ds:datastoreItem xmlns:ds="http://schemas.openxmlformats.org/officeDocument/2006/customXml" ds:itemID="{14FB44F9-3066-49C2-AE4C-58965881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3f1bb-fa0a-4140-aab5-c57667f61713"/>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5BC01E-A387-4A0C-89C3-1412A7238207}">
  <ds:schemaRefs>
    <ds:schemaRef ds:uri="http://purl.org/dc/elements/1.1/"/>
    <ds:schemaRef ds:uri="http://www.w3.org/XML/1998/namespace"/>
    <ds:schemaRef ds:uri="http://purl.org/dc/terms/"/>
    <ds:schemaRef ds:uri="http://schemas.openxmlformats.org/package/2006/metadata/core-properties"/>
    <ds:schemaRef ds:uri="7cc3f1bb-fa0a-4140-aab5-c57667f61713"/>
    <ds:schemaRef ds:uri="52222ef0-b167-44f5-92f7-438fda0857cd"/>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E2D5707F-3DE4-4A9D-AB49-A0DEB70C903E}">
  <ds:schemaRefs>
    <ds:schemaRef ds:uri="http://schemas.openxmlformats.org/officeDocument/2006/bibliography"/>
  </ds:schemaRefs>
</ds:datastoreItem>
</file>

<file path=customXml/itemProps7.xml><?xml version="1.0" encoding="utf-8"?>
<ds:datastoreItem xmlns:ds="http://schemas.openxmlformats.org/officeDocument/2006/customXml" ds:itemID="{AF22CD14-4108-40B3-93B5-409776AD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5EACD172.dotm</Template>
  <TotalTime>1</TotalTime>
  <Pages>14</Pages>
  <Words>4844</Words>
  <Characters>27612</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Oakley</dc:creator>
  <cp:lastModifiedBy>Arrington, Christine</cp:lastModifiedBy>
  <cp:revision>2</cp:revision>
  <cp:lastPrinted>2013-04-30T21:28:00Z</cp:lastPrinted>
  <dcterms:created xsi:type="dcterms:W3CDTF">2013-06-06T20:47:00Z</dcterms:created>
  <dcterms:modified xsi:type="dcterms:W3CDTF">2013-06-06T20:47:00Z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0x010100D48612617E987C4DAD10D38FE873E6CD</vt:lpwstr>
  </property>
  <property fmtid="{D5CDD505-2E9C-101B-9397-08002B2CF9AE}" pid="3" name="_dlc_DocIdItemGuid">
    <vt:lpwstr>9cf8b01e-5a40-49ab-a04c-50b9319833aa</vt:lpwstr>
  </property>
  <property fmtid="{D5CDD505-2E9C-101B-9397-08002B2CF9AE}" pid="4" name="_dlc_DocId">
    <vt:lpwstr>DOCDFI-124-54</vt:lpwstr>
  </property>
  <property fmtid="{D5CDD505-2E9C-101B-9397-08002B2CF9AE}" pid="5" name="_dlc_DocIdUrl">
    <vt:lpwstr>http://thegreen.treas.gov/do/cdfi/BOND_Team_Site/_layouts/DocIdRedir.aspx?ID=DOCDFI-124-54, DOCDFI-124-54</vt:lpwstr>
  </property>
</Properties>
</file>