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2.xml" ContentType="application/vnd.openxmlformats-officedocument.drawingml.chartshapes+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7F7F7F" w:themeColor="text1" w:themeTint="80"/>
          <w:sz w:val="32"/>
          <w:szCs w:val="32"/>
        </w:rPr>
        <w:id w:val="4556804"/>
        <w:docPartObj>
          <w:docPartGallery w:val="Cover Pages"/>
          <w:docPartUnique/>
        </w:docPartObj>
      </w:sdtPr>
      <w:sdtEndPr>
        <w:rPr>
          <w:color w:val="auto"/>
          <w:sz w:val="22"/>
          <w:szCs w:val="22"/>
        </w:rPr>
      </w:sdtEndPr>
      <w:sdtContent>
        <w:p w:rsidR="00016C28" w:rsidRPr="00FB232E" w:rsidRDefault="00016C28" w:rsidP="00016C28">
          <w:pPr>
            <w:jc w:val="right"/>
          </w:pPr>
          <w:r>
            <w:rPr>
              <w:noProof/>
            </w:rPr>
            <mc:AlternateContent>
              <mc:Choice Requires="wps">
                <w:drawing>
                  <wp:anchor distT="0" distB="0" distL="114300" distR="114300" simplePos="0" relativeHeight="251659264" behindDoc="0" locked="0" layoutInCell="1" allowOverlap="1" wp14:anchorId="304AF021" wp14:editId="45EAE799">
                    <wp:simplePos x="0" y="0"/>
                    <wp:positionH relativeFrom="page">
                      <wp:posOffset>0</wp:posOffset>
                    </wp:positionH>
                    <wp:positionV relativeFrom="page">
                      <wp:posOffset>-49530</wp:posOffset>
                    </wp:positionV>
                    <wp:extent cx="7772400" cy="2157730"/>
                    <wp:effectExtent l="0" t="0" r="0" b="0"/>
                    <wp:wrapNone/>
                    <wp:docPr id="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157730"/>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95B3D7"/>
                                </a:gs>
                                <a:gs pos="100000">
                                  <a:srgbClr val="95B3D7">
                                    <a:gamma/>
                                    <a:tint val="20000"/>
                                    <a:invGamma/>
                                  </a:srgbClr>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0;margin-top:-3.9pt;width:612pt;height:16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" path="m,c,650,,650,,650,914,423,1786,414,2448,466,2448,,2448,,2448,l,xe" fillcolor="#95b3d7" stroked="f" strokecolor="#212120">
                    <v:fill color2="#eaf0f7" rotate="t" focus="100%" type="gradient"/>
                    <v:shadow color="#8c8682"/>
                    <v:path arrowok="t" o:connecttype="custom" o:connectlocs="0,0;0,2157730;7772400,1546926;7772400,0;0,0" o:connectangles="0,0,0,0,0"/>
                    <w10:wrap anchorx="page" anchory="page"/>
                  </v:shape>
                </w:pict>
              </mc:Fallback>
            </mc:AlternateContent>
          </w:r>
          <w:r w:rsidRPr="00FB232E">
            <w:rPr>
              <w:color w:val="7F7F7F" w:themeColor="text1" w:themeTint="80"/>
              <w:sz w:val="32"/>
              <w:szCs w:val="32"/>
            </w:rPr>
            <w:tab/>
          </w:r>
        </w:p>
        <w:p w:rsidR="00016C28" w:rsidRPr="00FB232E" w:rsidRDefault="00016C28" w:rsidP="00016C28">
          <w:pPr>
            <w:jc w:val="right"/>
            <w:rPr>
              <w:color w:val="7F7F7F" w:themeColor="text1" w:themeTint="80"/>
              <w:sz w:val="32"/>
              <w:szCs w:val="32"/>
            </w:rPr>
          </w:pPr>
          <w:r>
            <w:rPr>
              <w:noProof/>
            </w:rPr>
            <mc:AlternateContent>
              <mc:Choice Requires="wps">
                <w:drawing>
                  <wp:anchor distT="0" distB="0" distL="114300" distR="114300" simplePos="0" relativeHeight="251664384" behindDoc="0" locked="0" layoutInCell="1" allowOverlap="1" wp14:anchorId="5FC3A89B" wp14:editId="70281BD8">
                    <wp:simplePos x="0" y="0"/>
                    <wp:positionH relativeFrom="page">
                      <wp:posOffset>13335</wp:posOffset>
                    </wp:positionH>
                    <wp:positionV relativeFrom="page">
                      <wp:posOffset>1316355</wp:posOffset>
                    </wp:positionV>
                    <wp:extent cx="7772400" cy="732790"/>
                    <wp:effectExtent l="0" t="0" r="19050" b="10160"/>
                    <wp:wrapNone/>
                    <wp:docPr id="2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732790"/>
                            </a:xfrm>
                            <a:custGeom>
                              <a:avLst/>
                              <a:gdLst>
                                <a:gd name="T0" fmla="*/ 0 w 2448"/>
                                <a:gd name="T1" fmla="*/ 237 h 237"/>
                                <a:gd name="T2" fmla="*/ 2448 w 2448"/>
                                <a:gd name="T3" fmla="*/ 75 h 237"/>
                              </a:gdLst>
                              <a:ahLst/>
                              <a:cxnLst>
                                <a:cxn ang="0">
                                  <a:pos x="T0" y="T1"/>
                                </a:cxn>
                                <a:cxn ang="0">
                                  <a:pos x="T2" y="T3"/>
                                </a:cxn>
                              </a:cxnLst>
                              <a:rect l="0" t="0" r="r" b="b"/>
                              <a:pathLst>
                                <a:path w="2448" h="237">
                                  <a:moveTo>
                                    <a:pt x="0" y="237"/>
                                  </a:moveTo>
                                  <a:cubicBezTo>
                                    <a:pt x="940" y="0"/>
                                    <a:pt x="1835" y="15"/>
                                    <a:pt x="2448" y="75"/>
                                  </a:cubicBezTo>
                                </a:path>
                              </a:pathLst>
                            </a:custGeom>
                            <a:noFill/>
                            <a:ln w="6335">
                              <a:solidFill>
                                <a:srgbClr val="FABF8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05pt;margin-top:103.65pt;width:612pt;height:57.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" path="m,237c940,,1835,15,2448,75e" filled="f" fillcolor="#fffffe" strokecolor="#fabf8f" strokeweight=".17597mm">
                    <v:stroke joinstyle="miter"/>
                    <v:shadow color="#8c8682"/>
                    <v:path arrowok="t" o:connecttype="custom" o:connectlocs="0,732790;7772400,231896" o:connectangles="0,0"/>
                    <w10:wrap anchorx="page" anchory="page"/>
                  </v:shape>
                </w:pict>
              </mc:Fallback>
            </mc:AlternateContent>
          </w:r>
          <w:r>
            <w:rPr>
              <w:noProof/>
              <w:color w:val="7F7F7F" w:themeColor="text1" w:themeTint="80"/>
              <w:sz w:val="32"/>
              <w:szCs w:val="32"/>
            </w:rPr>
            <mc:AlternateContent>
              <mc:Choice Requires="wps">
                <w:drawing>
                  <wp:anchor distT="0" distB="0" distL="114300" distR="114300" simplePos="0" relativeHeight="251662336" behindDoc="0" locked="0" layoutInCell="1" allowOverlap="1" wp14:anchorId="4DC12FFE" wp14:editId="075B0D27">
                    <wp:simplePos x="0" y="0"/>
                    <wp:positionH relativeFrom="page">
                      <wp:posOffset>90805</wp:posOffset>
                    </wp:positionH>
                    <wp:positionV relativeFrom="page">
                      <wp:posOffset>1290955</wp:posOffset>
                    </wp:positionV>
                    <wp:extent cx="7772400" cy="732790"/>
                    <wp:effectExtent l="0" t="0" r="19050" b="10160"/>
                    <wp:wrapNone/>
                    <wp:docPr id="2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732790"/>
                            </a:xfrm>
                            <a:custGeom>
                              <a:avLst/>
                              <a:gdLst>
                                <a:gd name="T0" fmla="*/ 0 w 2448"/>
                                <a:gd name="T1" fmla="*/ 237 h 237"/>
                                <a:gd name="T2" fmla="*/ 2448 w 2448"/>
                                <a:gd name="T3" fmla="*/ 75 h 237"/>
                              </a:gdLst>
                              <a:ahLst/>
                              <a:cxnLst>
                                <a:cxn ang="0">
                                  <a:pos x="T0" y="T1"/>
                                </a:cxn>
                                <a:cxn ang="0">
                                  <a:pos x="T2" y="T3"/>
                                </a:cxn>
                              </a:cxnLst>
                              <a:rect l="0" t="0" r="r" b="b"/>
                              <a:pathLst>
                                <a:path w="2448" h="237">
                                  <a:moveTo>
                                    <a:pt x="0" y="237"/>
                                  </a:moveTo>
                                  <a:cubicBezTo>
                                    <a:pt x="940" y="0"/>
                                    <a:pt x="1835" y="15"/>
                                    <a:pt x="2448" y="75"/>
                                  </a:cubicBezTo>
                                </a:path>
                              </a:pathLst>
                            </a:custGeom>
                            <a:noFill/>
                            <a:ln w="6335">
                              <a:solidFill>
                                <a:srgbClr val="FABF8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15pt;margin-top:101.65pt;width:612pt;height:5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" path="m,237c940,,1835,15,2448,75e" filled="f" fillcolor="#fffffe" strokecolor="#fabf8f" strokeweight=".17597mm">
                    <v:stroke joinstyle="miter"/>
                    <v:shadow color="#8c8682"/>
                    <v:path arrowok="t" o:connecttype="custom" o:connectlocs="0,732790;7772400,231896" o:connectangles="0,0"/>
                    <w10:wrap anchorx="page" anchory="page"/>
                  </v:shape>
                </w:pict>
              </mc:Fallback>
            </mc:AlternateContent>
          </w:r>
          <w:r>
            <w:rPr>
              <w:noProof/>
              <w:color w:val="7F7F7F" w:themeColor="text1" w:themeTint="80"/>
              <w:sz w:val="32"/>
              <w:szCs w:val="32"/>
            </w:rPr>
            <mc:AlternateContent>
              <mc:Choice Requires="wps">
                <w:drawing>
                  <wp:anchor distT="0" distB="0" distL="114300" distR="114300" simplePos="0" relativeHeight="251661312" behindDoc="0" locked="0" layoutInCell="1" allowOverlap="1" wp14:anchorId="4B143788" wp14:editId="61A3363E">
                    <wp:simplePos x="0" y="0"/>
                    <wp:positionH relativeFrom="page">
                      <wp:posOffset>13335</wp:posOffset>
                    </wp:positionH>
                    <wp:positionV relativeFrom="page">
                      <wp:posOffset>1312545</wp:posOffset>
                    </wp:positionV>
                    <wp:extent cx="7772400" cy="736600"/>
                    <wp:effectExtent l="0" t="0" r="19050" b="2540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73660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6335">
                              <a:solidFill>
                                <a:srgbClr val="938953"/>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05pt;margin-top:103.35pt;width:612pt;height: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" path="m2448,71c1835,12,939,,,238e" filled="f" fillcolor="#fffffe" strokecolor="#938953" strokeweight=".17597mm">
                    <v:stroke joinstyle="miter"/>
                    <v:shadow color="#8c8682"/>
                    <v:path arrowok="t" o:connecttype="custom" o:connectlocs="7772400,219742;0,736600" o:connectangles="0,0"/>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D64E08F" wp14:editId="3207A757">
                    <wp:simplePos x="0" y="0"/>
                    <wp:positionH relativeFrom="page">
                      <wp:posOffset>0</wp:posOffset>
                    </wp:positionH>
                    <wp:positionV relativeFrom="page">
                      <wp:posOffset>1312545</wp:posOffset>
                    </wp:positionV>
                    <wp:extent cx="7772400" cy="732790"/>
                    <wp:effectExtent l="0" t="0" r="19050" b="10160"/>
                    <wp:wrapNone/>
                    <wp:docPr id="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732790"/>
                            </a:xfrm>
                            <a:custGeom>
                              <a:avLst/>
                              <a:gdLst>
                                <a:gd name="T0" fmla="*/ 0 w 2448"/>
                                <a:gd name="T1" fmla="*/ 237 h 237"/>
                                <a:gd name="T2" fmla="*/ 2448 w 2448"/>
                                <a:gd name="T3" fmla="*/ 75 h 237"/>
                              </a:gdLst>
                              <a:ahLst/>
                              <a:cxnLst>
                                <a:cxn ang="0">
                                  <a:pos x="T0" y="T1"/>
                                </a:cxn>
                                <a:cxn ang="0">
                                  <a:pos x="T2" y="T3"/>
                                </a:cxn>
                              </a:cxnLst>
                              <a:rect l="0" t="0" r="r" b="b"/>
                              <a:pathLst>
                                <a:path w="2448" h="237">
                                  <a:moveTo>
                                    <a:pt x="0" y="237"/>
                                  </a:moveTo>
                                  <a:cubicBezTo>
                                    <a:pt x="940" y="0"/>
                                    <a:pt x="1835" y="15"/>
                                    <a:pt x="2448" y="75"/>
                                  </a:cubicBezTo>
                                </a:path>
                              </a:pathLst>
                            </a:custGeom>
                            <a:noFill/>
                            <a:ln w="6335">
                              <a:solidFill>
                                <a:srgbClr val="FABF8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0;margin-top:103.35pt;width:612pt;height:57.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" path="m,237c940,,1835,15,2448,75e" filled="f" fillcolor="#fffffe" strokecolor="#fabf8f" strokeweight=".17597mm">
                    <v:stroke joinstyle="miter"/>
                    <v:shadow color="#8c8682"/>
                    <v:path arrowok="t" o:connecttype="custom" o:connectlocs="0,732790;7772400,231896" o:connectangles="0,0"/>
                    <w10:wrap anchorx="page" anchory="page"/>
                  </v:shape>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016C28" w:rsidRPr="00FB232E" w:rsidTr="005B6C8A">
            <w:tc>
              <w:tcPr>
                <w:tcW w:w="9576" w:type="dxa"/>
              </w:tcPr>
              <w:p w:rsidR="00016C28" w:rsidRPr="00FB232E" w:rsidRDefault="00016C28" w:rsidP="005B6C8A">
                <w:pPr>
                  <w:tabs>
                    <w:tab w:val="left" w:pos="4203"/>
                  </w:tabs>
                  <w:jc w:val="center"/>
                  <w:rPr>
                    <w:rFonts w:ascii="Perpetua Titling MT" w:hAnsi="Perpetua Titling MT"/>
                    <w:sz w:val="32"/>
                    <w:szCs w:val="32"/>
                  </w:rPr>
                </w:pPr>
              </w:p>
            </w:tc>
          </w:tr>
        </w:tbl>
        <w:p w:rsidR="00016C28" w:rsidRPr="00FB232E" w:rsidRDefault="00016C28" w:rsidP="00016C28">
          <w:pPr>
            <w:jc w:val="right"/>
            <w:rPr>
              <w:color w:val="7F7F7F" w:themeColor="text1" w:themeTint="80"/>
              <w:sz w:val="32"/>
              <w:szCs w:val="32"/>
            </w:rPr>
          </w:pPr>
        </w:p>
        <w:p w:rsidR="00016C28" w:rsidRPr="00FB232E" w:rsidRDefault="00016C28" w:rsidP="00016C28">
          <w:pPr>
            <w:tabs>
              <w:tab w:val="left" w:pos="3301"/>
            </w:tabs>
          </w:pPr>
          <w:r w:rsidRPr="00FB232E">
            <w:tab/>
          </w:r>
        </w:p>
      </w:sdtContent>
    </w:sdt>
    <w:p w:rsidR="00016C28" w:rsidRPr="00FB232E" w:rsidRDefault="00016C28" w:rsidP="00016C28">
      <w:r>
        <w:rPr>
          <w:noProof/>
        </w:rPr>
        <mc:AlternateContent>
          <mc:Choice Requires="wps">
            <w:drawing>
              <wp:anchor distT="36576" distB="36576" distL="36576" distR="36576" simplePos="0" relativeHeight="251663360" behindDoc="0" locked="0" layoutInCell="1" allowOverlap="1" wp14:anchorId="6AAB82D4" wp14:editId="50C6F121">
                <wp:simplePos x="0" y="0"/>
                <wp:positionH relativeFrom="page">
                  <wp:posOffset>666750</wp:posOffset>
                </wp:positionH>
                <wp:positionV relativeFrom="page">
                  <wp:posOffset>2743200</wp:posOffset>
                </wp:positionV>
                <wp:extent cx="6210300" cy="2668905"/>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68905"/>
                        </a:xfrm>
                        <a:prstGeom prst="rect">
                          <a:avLst/>
                        </a:prstGeom>
                        <a:noFill/>
                        <a:ln>
                          <a:noFill/>
                        </a:ln>
                        <a:effectLst/>
                        <a:extLst>
                          <a:ext uri="{909E8E84-426E-40DD-AFC4-6F175D3DCCD1}">
                            <a14:hiddenFill xmlns:a14="http://schemas.microsoft.com/office/drawing/2010/main">
                              <a:solidFill>
                                <a:srgbClr val="FAB47A"/>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16C28" w:rsidRPr="00C37E88" w:rsidRDefault="00016C28" w:rsidP="00016C28">
                            <w:pPr>
                              <w:widowControl w:val="0"/>
                              <w:spacing w:line="760" w:lineRule="exact"/>
                              <w:jc w:val="center"/>
                              <w:rPr>
                                <w:rStyle w:val="TitleChar"/>
                                <w:rFonts w:ascii="Calibri" w:eastAsia="Calibri" w:hAnsi="Calibri"/>
                                <w:b/>
                                <w:color w:val="365F91"/>
                                <w:sz w:val="48"/>
                              </w:rPr>
                            </w:pPr>
                            <w:r w:rsidRPr="00C37E88">
                              <w:rPr>
                                <w:rStyle w:val="TitleChar"/>
                                <w:rFonts w:ascii="Calibri" w:eastAsia="Calibri" w:hAnsi="Calibri"/>
                                <w:b/>
                                <w:color w:val="365F91"/>
                                <w:sz w:val="48"/>
                              </w:rPr>
                              <w:t>National Recreational Boating Survey</w:t>
                            </w:r>
                          </w:p>
                          <w:p w:rsidR="00016C28" w:rsidRDefault="00016C28" w:rsidP="00016C28">
                            <w:pPr>
                              <w:widowControl w:val="0"/>
                              <w:spacing w:line="760" w:lineRule="exact"/>
                              <w:jc w:val="center"/>
                              <w:rPr>
                                <w:rStyle w:val="TitleChar"/>
                                <w:rFonts w:ascii="Calibri" w:eastAsia="Calibri" w:hAnsi="Calibri"/>
                                <w:i/>
                                <w:color w:val="365F91"/>
                                <w:sz w:val="36"/>
                              </w:rPr>
                            </w:pPr>
                            <w:r>
                              <w:rPr>
                                <w:rStyle w:val="TitleChar"/>
                                <w:rFonts w:ascii="Calibri" w:eastAsia="Calibri" w:hAnsi="Calibri"/>
                                <w:i/>
                                <w:color w:val="365F91"/>
                                <w:sz w:val="36"/>
                              </w:rPr>
                              <w:t>Cycle 1 Non-Response Analysis</w:t>
                            </w:r>
                          </w:p>
                          <w:p w:rsidR="00016C28" w:rsidRDefault="00016C28" w:rsidP="00016C28">
                            <w:pPr>
                              <w:widowControl w:val="0"/>
                              <w:spacing w:line="760" w:lineRule="exact"/>
                              <w:jc w:val="center"/>
                              <w:rPr>
                                <w:rStyle w:val="TitleChar"/>
                                <w:rFonts w:ascii="Calibri" w:eastAsia="Calibri" w:hAnsi="Calibri"/>
                                <w:i/>
                                <w:color w:val="365F91"/>
                                <w:sz w:val="36"/>
                              </w:rPr>
                            </w:pPr>
                          </w:p>
                          <w:p w:rsidR="00016C28" w:rsidRPr="00D2734F" w:rsidRDefault="00016C28" w:rsidP="00016C28">
                            <w:pPr>
                              <w:widowControl w:val="0"/>
                              <w:spacing w:line="760" w:lineRule="exact"/>
                              <w:jc w:val="center"/>
                              <w:rPr>
                                <w:rStyle w:val="TitleChar"/>
                                <w:rFonts w:ascii="Calibri" w:eastAsia="Calibri" w:hAnsi="Calibri"/>
                                <w:b/>
                                <w:color w:val="365F91"/>
                                <w:sz w:val="32"/>
                              </w:rPr>
                            </w:pPr>
                            <w:r>
                              <w:rPr>
                                <w:rStyle w:val="TitleChar"/>
                                <w:rFonts w:ascii="Calibri" w:eastAsia="Calibri" w:hAnsi="Calibri"/>
                                <w:color w:val="365F91"/>
                                <w:sz w:val="32"/>
                              </w:rPr>
                              <w:t>March 28, 2014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2.5pt;margin-top:3in;width:489pt;height:210.1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" filled="f" fillcolor="#fab47a" stroked="f" strokecolor="#212120" insetpen="t">
                <v:textbox inset="2.88pt,2.88pt,2.88pt,2.88pt">
                  <w:txbxContent>
                    <w:p w:rsidR="00016C28" w:rsidRPr="00C37E88" w:rsidRDefault="00016C28" w:rsidP="00016C28">
                      <w:pPr>
                        <w:widowControl w:val="0"/>
                        <w:spacing w:line="760" w:lineRule="exact"/>
                        <w:jc w:val="center"/>
                        <w:rPr>
                          <w:rStyle w:val="TitleChar"/>
                          <w:rFonts w:ascii="Calibri" w:eastAsia="Calibri" w:hAnsi="Calibri"/>
                          <w:b/>
                          <w:color w:val="365F91"/>
                          <w:sz w:val="48"/>
                        </w:rPr>
                      </w:pPr>
                      <w:r w:rsidRPr="00C37E88">
                        <w:rPr>
                          <w:rStyle w:val="TitleChar"/>
                          <w:rFonts w:ascii="Calibri" w:eastAsia="Calibri" w:hAnsi="Calibri"/>
                          <w:b/>
                          <w:color w:val="365F91"/>
                          <w:sz w:val="48"/>
                        </w:rPr>
                        <w:t>National Recreational Boating Survey</w:t>
                      </w:r>
                    </w:p>
                    <w:p w:rsidR="00016C28" w:rsidRDefault="00016C28" w:rsidP="00016C28">
                      <w:pPr>
                        <w:widowControl w:val="0"/>
                        <w:spacing w:line="760" w:lineRule="exact"/>
                        <w:jc w:val="center"/>
                        <w:rPr>
                          <w:rStyle w:val="TitleChar"/>
                          <w:rFonts w:ascii="Calibri" w:eastAsia="Calibri" w:hAnsi="Calibri"/>
                          <w:i/>
                          <w:color w:val="365F91"/>
                          <w:sz w:val="36"/>
                        </w:rPr>
                      </w:pPr>
                      <w:r>
                        <w:rPr>
                          <w:rStyle w:val="TitleChar"/>
                          <w:rFonts w:ascii="Calibri" w:eastAsia="Calibri" w:hAnsi="Calibri"/>
                          <w:i/>
                          <w:color w:val="365F91"/>
                          <w:sz w:val="36"/>
                        </w:rPr>
                        <w:t>Cycle 1 Non-Response Analysis</w:t>
                      </w:r>
                    </w:p>
                    <w:p w:rsidR="00016C28" w:rsidRDefault="00016C28" w:rsidP="00016C28">
                      <w:pPr>
                        <w:widowControl w:val="0"/>
                        <w:spacing w:line="760" w:lineRule="exact"/>
                        <w:jc w:val="center"/>
                        <w:rPr>
                          <w:rStyle w:val="TitleChar"/>
                          <w:rFonts w:ascii="Calibri" w:eastAsia="Calibri" w:hAnsi="Calibri"/>
                          <w:i/>
                          <w:color w:val="365F91"/>
                          <w:sz w:val="36"/>
                        </w:rPr>
                      </w:pPr>
                    </w:p>
                    <w:p w:rsidR="00016C28" w:rsidRPr="00D2734F" w:rsidRDefault="00016C28" w:rsidP="00016C28">
                      <w:pPr>
                        <w:widowControl w:val="0"/>
                        <w:spacing w:line="760" w:lineRule="exact"/>
                        <w:jc w:val="center"/>
                        <w:rPr>
                          <w:rStyle w:val="TitleChar"/>
                          <w:rFonts w:ascii="Calibri" w:eastAsia="Calibri" w:hAnsi="Calibri"/>
                          <w:b/>
                          <w:color w:val="365F91"/>
                          <w:sz w:val="32"/>
                        </w:rPr>
                      </w:pPr>
                      <w:r>
                        <w:rPr>
                          <w:rStyle w:val="TitleChar"/>
                          <w:rFonts w:ascii="Calibri" w:eastAsia="Calibri" w:hAnsi="Calibri"/>
                          <w:color w:val="365F91"/>
                          <w:sz w:val="32"/>
                        </w:rPr>
                        <w:t>March 28, 2014</w:t>
                      </w:r>
                    </w:p>
                  </w:txbxContent>
                </v:textbox>
                <w10:wrap anchorx="page" anchory="page"/>
              </v:shape>
            </w:pict>
          </mc:Fallback>
        </mc:AlternateContent>
      </w:r>
    </w:p>
    <w:p w:rsidR="00016C28" w:rsidRPr="00FB232E" w:rsidRDefault="00016C28" w:rsidP="00016C28">
      <w:pPr>
        <w:pStyle w:val="BodySingleNRBS"/>
        <w:rPr>
          <w:sz w:val="6"/>
          <w:szCs w:val="6"/>
        </w:rPr>
      </w:pPr>
    </w:p>
    <w:p w:rsidR="00016C28" w:rsidRDefault="00016C28" w:rsidP="00016C28">
      <w:r>
        <w:rPr>
          <w:noProof/>
        </w:rPr>
        <mc:AlternateContent>
          <mc:Choice Requires="wps">
            <w:drawing>
              <wp:anchor distT="0" distB="0" distL="114300" distR="114300" simplePos="0" relativeHeight="251666432" behindDoc="0" locked="0" layoutInCell="1" allowOverlap="1" wp14:anchorId="7B1D7153" wp14:editId="33918466">
                <wp:simplePos x="0" y="0"/>
                <wp:positionH relativeFrom="column">
                  <wp:posOffset>3244215</wp:posOffset>
                </wp:positionH>
                <wp:positionV relativeFrom="paragraph">
                  <wp:posOffset>3682365</wp:posOffset>
                </wp:positionV>
                <wp:extent cx="2955290" cy="30515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305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28" w:rsidRDefault="00016C28" w:rsidP="00016C28">
                            <w:pPr>
                              <w:jc w:val="right"/>
                              <w:rPr>
                                <w:rFonts w:ascii="Calibri" w:eastAsia="Calibri" w:hAnsi="Calibri" w:cs="Times New Roman"/>
                                <w:b/>
                                <w:sz w:val="28"/>
                                <w:szCs w:val="28"/>
                              </w:rPr>
                            </w:pPr>
                            <w:r w:rsidRPr="00930E2B">
                              <w:rPr>
                                <w:rFonts w:ascii="Calibri" w:eastAsia="Calibri" w:hAnsi="Calibri" w:cs="Times New Roman"/>
                                <w:b/>
                                <w:sz w:val="28"/>
                                <w:szCs w:val="28"/>
                              </w:rPr>
                              <w:t>Submitted to:</w:t>
                            </w:r>
                          </w:p>
                          <w:p w:rsidR="00016C28" w:rsidRDefault="00016C28" w:rsidP="00016C28">
                            <w:pPr>
                              <w:jc w:val="right"/>
                              <w:rPr>
                                <w:b/>
                                <w:sz w:val="28"/>
                                <w:szCs w:val="28"/>
                              </w:rPr>
                            </w:pPr>
                            <w:r>
                              <w:rPr>
                                <w:rFonts w:ascii="Arial" w:hAnsi="Arial" w:cs="Arial"/>
                                <w:noProof/>
                              </w:rPr>
                              <w:drawing>
                                <wp:inline distT="0" distB="0" distL="0" distR="0" wp14:anchorId="0DF5FD0B" wp14:editId="30F95488">
                                  <wp:extent cx="1412505" cy="1308078"/>
                                  <wp:effectExtent l="19050" t="0" r="0" b="0"/>
                                  <wp:docPr id="26" name="il_fi" descr="http://www.recalls.gov/usc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calls.gov/uscg2.jpg"/>
                                          <pic:cNvPicPr>
                                            <a:picLocks noChangeAspect="1" noChangeArrowheads="1"/>
                                          </pic:cNvPicPr>
                                        </pic:nvPicPr>
                                        <pic:blipFill>
                                          <a:blip r:embed="rId9"/>
                                          <a:srcRect/>
                                          <a:stretch>
                                            <a:fillRect/>
                                          </a:stretch>
                                        </pic:blipFill>
                                        <pic:spPr bwMode="auto">
                                          <a:xfrm>
                                            <a:off x="0" y="0"/>
                                            <a:ext cx="1417310" cy="1312527"/>
                                          </a:xfrm>
                                          <a:prstGeom prst="rect">
                                            <a:avLst/>
                                          </a:prstGeom>
                                          <a:noFill/>
                                          <a:ln w="9525">
                                            <a:noFill/>
                                            <a:miter lim="800000"/>
                                            <a:headEnd/>
                                            <a:tailEnd/>
                                          </a:ln>
                                        </pic:spPr>
                                      </pic:pic>
                                    </a:graphicData>
                                  </a:graphic>
                                </wp:inline>
                              </w:drawing>
                            </w:r>
                          </w:p>
                          <w:p w:rsidR="00016C28" w:rsidRPr="00E47E54" w:rsidRDefault="00016C28" w:rsidP="00016C28">
                            <w:pPr>
                              <w:spacing w:after="0" w:line="240" w:lineRule="auto"/>
                              <w:jc w:val="right"/>
                              <w:rPr>
                                <w:rFonts w:ascii="Calibri" w:hAnsi="Calibri"/>
                                <w:sz w:val="24"/>
                                <w:szCs w:val="24"/>
                              </w:rPr>
                            </w:pPr>
                            <w:r>
                              <w:rPr>
                                <w:rFonts w:ascii="Calibri" w:hAnsi="Calibri"/>
                                <w:sz w:val="24"/>
                                <w:szCs w:val="24"/>
                              </w:rPr>
                              <w:t xml:space="preserve">Dr. Philippe </w:t>
                            </w:r>
                            <w:r w:rsidRPr="00E47E54">
                              <w:rPr>
                                <w:rFonts w:ascii="Calibri" w:hAnsi="Calibri"/>
                                <w:sz w:val="24"/>
                                <w:szCs w:val="24"/>
                              </w:rPr>
                              <w:t>Gwet, Mathematical Statistician</w:t>
                            </w:r>
                          </w:p>
                          <w:p w:rsidR="00016C28" w:rsidRDefault="00016C28" w:rsidP="00016C28">
                            <w:pPr>
                              <w:spacing w:after="0" w:line="240" w:lineRule="auto"/>
                              <w:jc w:val="right"/>
                              <w:rPr>
                                <w:rFonts w:ascii="Calibri" w:hAnsi="Calibri"/>
                                <w:sz w:val="24"/>
                                <w:szCs w:val="24"/>
                              </w:rPr>
                            </w:pPr>
                            <w:r w:rsidRPr="00E47E54">
                              <w:rPr>
                                <w:rFonts w:ascii="Calibri" w:hAnsi="Calibri"/>
                                <w:sz w:val="24"/>
                                <w:szCs w:val="24"/>
                              </w:rPr>
                              <w:t>U</w:t>
                            </w:r>
                            <w:r>
                              <w:rPr>
                                <w:rFonts w:ascii="Calibri" w:hAnsi="Calibri"/>
                                <w:sz w:val="24"/>
                                <w:szCs w:val="24"/>
                              </w:rPr>
                              <w:t xml:space="preserve">nited </w:t>
                            </w:r>
                            <w:r w:rsidRPr="00E47E54">
                              <w:rPr>
                                <w:rFonts w:ascii="Calibri" w:hAnsi="Calibri"/>
                                <w:sz w:val="24"/>
                                <w:szCs w:val="24"/>
                              </w:rPr>
                              <w:t>S</w:t>
                            </w:r>
                            <w:r>
                              <w:rPr>
                                <w:rFonts w:ascii="Calibri" w:hAnsi="Calibri"/>
                                <w:sz w:val="24"/>
                                <w:szCs w:val="24"/>
                              </w:rPr>
                              <w:t>tates Coast Guard</w:t>
                            </w:r>
                          </w:p>
                          <w:p w:rsidR="00016C28" w:rsidRPr="00E47E54" w:rsidRDefault="00016C28" w:rsidP="00016C28">
                            <w:pPr>
                              <w:spacing w:after="0" w:line="240" w:lineRule="auto"/>
                              <w:jc w:val="right"/>
                              <w:rPr>
                                <w:rFonts w:ascii="Calibri" w:hAnsi="Calibri"/>
                                <w:sz w:val="24"/>
                                <w:szCs w:val="24"/>
                              </w:rPr>
                            </w:pPr>
                            <w:r>
                              <w:rPr>
                                <w:rFonts w:ascii="Calibri" w:hAnsi="Calibri"/>
                                <w:sz w:val="24"/>
                                <w:szCs w:val="24"/>
                              </w:rPr>
                              <w:t>Boating Safety Division CG-BSX-21</w:t>
                            </w:r>
                          </w:p>
                          <w:p w:rsidR="00016C28" w:rsidRPr="00E47E54" w:rsidRDefault="00016C28" w:rsidP="00016C28">
                            <w:pPr>
                              <w:spacing w:after="0" w:line="240" w:lineRule="auto"/>
                              <w:jc w:val="right"/>
                              <w:rPr>
                                <w:rFonts w:ascii="Calibri" w:hAnsi="Calibri"/>
                                <w:sz w:val="24"/>
                                <w:szCs w:val="24"/>
                              </w:rPr>
                            </w:pPr>
                            <w:r>
                              <w:rPr>
                                <w:rFonts w:ascii="Calibri" w:hAnsi="Calibri"/>
                                <w:sz w:val="24"/>
                                <w:szCs w:val="24"/>
                              </w:rPr>
                              <w:t>2703 Martin Luther King Jr. Ave, SE</w:t>
                            </w:r>
                          </w:p>
                          <w:p w:rsidR="00016C28" w:rsidRPr="00766AB5" w:rsidRDefault="00016C28" w:rsidP="00016C28">
                            <w:pPr>
                              <w:spacing w:after="0" w:line="240" w:lineRule="auto"/>
                              <w:jc w:val="right"/>
                              <w:rPr>
                                <w:rFonts w:ascii="Calibri" w:hAnsi="Calibri"/>
                                <w:sz w:val="24"/>
                                <w:szCs w:val="24"/>
                              </w:rPr>
                            </w:pPr>
                            <w:r w:rsidRPr="00E47E54">
                              <w:rPr>
                                <w:rFonts w:ascii="Calibri" w:hAnsi="Calibri"/>
                                <w:sz w:val="24"/>
                                <w:szCs w:val="24"/>
                              </w:rPr>
                              <w:t>Washington, DC 2059</w:t>
                            </w:r>
                            <w:r>
                              <w:rPr>
                                <w:rFonts w:ascii="Calibri" w:hAnsi="Calibri"/>
                                <w:sz w:val="24"/>
                                <w:szCs w:val="24"/>
                              </w:rPr>
                              <w:t>3-7501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55.45pt;margin-top:289.95pt;width:232.7pt;height:24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Up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" filled="f" stroked="f">
                <v:textbox>
                  <w:txbxContent>
                    <w:p w:rsidR="00016C28" w:rsidRDefault="00016C28" w:rsidP="00016C28">
                      <w:pPr>
                        <w:jc w:val="right"/>
                        <w:rPr>
                          <w:rFonts w:ascii="Calibri" w:eastAsia="Calibri" w:hAnsi="Calibri" w:cs="Times New Roman"/>
                          <w:b/>
                          <w:sz w:val="28"/>
                          <w:szCs w:val="28"/>
                        </w:rPr>
                      </w:pPr>
                      <w:r w:rsidRPr="00930E2B">
                        <w:rPr>
                          <w:rFonts w:ascii="Calibri" w:eastAsia="Calibri" w:hAnsi="Calibri" w:cs="Times New Roman"/>
                          <w:b/>
                          <w:sz w:val="28"/>
                          <w:szCs w:val="28"/>
                        </w:rPr>
                        <w:t>Submitted to:</w:t>
                      </w:r>
                    </w:p>
                    <w:p w:rsidR="00016C28" w:rsidRDefault="00016C28" w:rsidP="00016C28">
                      <w:pPr>
                        <w:jc w:val="right"/>
                        <w:rPr>
                          <w:b/>
                          <w:sz w:val="28"/>
                          <w:szCs w:val="28"/>
                        </w:rPr>
                      </w:pPr>
                      <w:r>
                        <w:rPr>
                          <w:rFonts w:ascii="Arial" w:hAnsi="Arial" w:cs="Arial"/>
                          <w:noProof/>
                        </w:rPr>
                        <w:drawing>
                          <wp:inline distT="0" distB="0" distL="0" distR="0" wp14:anchorId="0DF5FD0B" wp14:editId="30F95488">
                            <wp:extent cx="1412505" cy="1308078"/>
                            <wp:effectExtent l="19050" t="0" r="0" b="0"/>
                            <wp:docPr id="26" name="il_fi" descr="http://www.recalls.gov/usc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calls.gov/uscg2.jpg"/>
                                    <pic:cNvPicPr>
                                      <a:picLocks noChangeAspect="1" noChangeArrowheads="1"/>
                                    </pic:cNvPicPr>
                                  </pic:nvPicPr>
                                  <pic:blipFill>
                                    <a:blip r:embed="rId9"/>
                                    <a:srcRect/>
                                    <a:stretch>
                                      <a:fillRect/>
                                    </a:stretch>
                                  </pic:blipFill>
                                  <pic:spPr bwMode="auto">
                                    <a:xfrm>
                                      <a:off x="0" y="0"/>
                                      <a:ext cx="1417310" cy="1312527"/>
                                    </a:xfrm>
                                    <a:prstGeom prst="rect">
                                      <a:avLst/>
                                    </a:prstGeom>
                                    <a:noFill/>
                                    <a:ln w="9525">
                                      <a:noFill/>
                                      <a:miter lim="800000"/>
                                      <a:headEnd/>
                                      <a:tailEnd/>
                                    </a:ln>
                                  </pic:spPr>
                                </pic:pic>
                              </a:graphicData>
                            </a:graphic>
                          </wp:inline>
                        </w:drawing>
                      </w:r>
                    </w:p>
                    <w:p w:rsidR="00016C28" w:rsidRPr="00E47E54" w:rsidRDefault="00016C28" w:rsidP="00016C28">
                      <w:pPr>
                        <w:spacing w:after="0" w:line="240" w:lineRule="auto"/>
                        <w:jc w:val="right"/>
                        <w:rPr>
                          <w:rFonts w:ascii="Calibri" w:hAnsi="Calibri"/>
                          <w:sz w:val="24"/>
                          <w:szCs w:val="24"/>
                        </w:rPr>
                      </w:pPr>
                      <w:r>
                        <w:rPr>
                          <w:rFonts w:ascii="Calibri" w:hAnsi="Calibri"/>
                          <w:sz w:val="24"/>
                          <w:szCs w:val="24"/>
                        </w:rPr>
                        <w:t xml:space="preserve">Dr. Philippe </w:t>
                      </w:r>
                      <w:r w:rsidRPr="00E47E54">
                        <w:rPr>
                          <w:rFonts w:ascii="Calibri" w:hAnsi="Calibri"/>
                          <w:sz w:val="24"/>
                          <w:szCs w:val="24"/>
                        </w:rPr>
                        <w:t>Gwet, Mathematical Statistician</w:t>
                      </w:r>
                    </w:p>
                    <w:p w:rsidR="00016C28" w:rsidRDefault="00016C28" w:rsidP="00016C28">
                      <w:pPr>
                        <w:spacing w:after="0" w:line="240" w:lineRule="auto"/>
                        <w:jc w:val="right"/>
                        <w:rPr>
                          <w:rFonts w:ascii="Calibri" w:hAnsi="Calibri"/>
                          <w:sz w:val="24"/>
                          <w:szCs w:val="24"/>
                        </w:rPr>
                      </w:pPr>
                      <w:r w:rsidRPr="00E47E54">
                        <w:rPr>
                          <w:rFonts w:ascii="Calibri" w:hAnsi="Calibri"/>
                          <w:sz w:val="24"/>
                          <w:szCs w:val="24"/>
                        </w:rPr>
                        <w:t>U</w:t>
                      </w:r>
                      <w:r>
                        <w:rPr>
                          <w:rFonts w:ascii="Calibri" w:hAnsi="Calibri"/>
                          <w:sz w:val="24"/>
                          <w:szCs w:val="24"/>
                        </w:rPr>
                        <w:t xml:space="preserve">nited </w:t>
                      </w:r>
                      <w:r w:rsidRPr="00E47E54">
                        <w:rPr>
                          <w:rFonts w:ascii="Calibri" w:hAnsi="Calibri"/>
                          <w:sz w:val="24"/>
                          <w:szCs w:val="24"/>
                        </w:rPr>
                        <w:t>S</w:t>
                      </w:r>
                      <w:r>
                        <w:rPr>
                          <w:rFonts w:ascii="Calibri" w:hAnsi="Calibri"/>
                          <w:sz w:val="24"/>
                          <w:szCs w:val="24"/>
                        </w:rPr>
                        <w:t>tates Coast Guard</w:t>
                      </w:r>
                    </w:p>
                    <w:p w:rsidR="00016C28" w:rsidRPr="00E47E54" w:rsidRDefault="00016C28" w:rsidP="00016C28">
                      <w:pPr>
                        <w:spacing w:after="0" w:line="240" w:lineRule="auto"/>
                        <w:jc w:val="right"/>
                        <w:rPr>
                          <w:rFonts w:ascii="Calibri" w:hAnsi="Calibri"/>
                          <w:sz w:val="24"/>
                          <w:szCs w:val="24"/>
                        </w:rPr>
                      </w:pPr>
                      <w:r>
                        <w:rPr>
                          <w:rFonts w:ascii="Calibri" w:hAnsi="Calibri"/>
                          <w:sz w:val="24"/>
                          <w:szCs w:val="24"/>
                        </w:rPr>
                        <w:t>Boating Safety Division CG-BSX-21</w:t>
                      </w:r>
                    </w:p>
                    <w:p w:rsidR="00016C28" w:rsidRPr="00E47E54" w:rsidRDefault="00016C28" w:rsidP="00016C28">
                      <w:pPr>
                        <w:spacing w:after="0" w:line="240" w:lineRule="auto"/>
                        <w:jc w:val="right"/>
                        <w:rPr>
                          <w:rFonts w:ascii="Calibri" w:hAnsi="Calibri"/>
                          <w:sz w:val="24"/>
                          <w:szCs w:val="24"/>
                        </w:rPr>
                      </w:pPr>
                      <w:r>
                        <w:rPr>
                          <w:rFonts w:ascii="Calibri" w:hAnsi="Calibri"/>
                          <w:sz w:val="24"/>
                          <w:szCs w:val="24"/>
                        </w:rPr>
                        <w:t>2703 Martin Luther King Jr. Ave, SE</w:t>
                      </w:r>
                    </w:p>
                    <w:p w:rsidR="00016C28" w:rsidRPr="00766AB5" w:rsidRDefault="00016C28" w:rsidP="00016C28">
                      <w:pPr>
                        <w:spacing w:after="0" w:line="240" w:lineRule="auto"/>
                        <w:jc w:val="right"/>
                        <w:rPr>
                          <w:rFonts w:ascii="Calibri" w:hAnsi="Calibri"/>
                          <w:sz w:val="24"/>
                          <w:szCs w:val="24"/>
                        </w:rPr>
                      </w:pPr>
                      <w:r w:rsidRPr="00E47E54">
                        <w:rPr>
                          <w:rFonts w:ascii="Calibri" w:hAnsi="Calibri"/>
                          <w:sz w:val="24"/>
                          <w:szCs w:val="24"/>
                        </w:rPr>
                        <w:t>Washington, DC 2059</w:t>
                      </w:r>
                      <w:r>
                        <w:rPr>
                          <w:rFonts w:ascii="Calibri" w:hAnsi="Calibri"/>
                          <w:sz w:val="24"/>
                          <w:szCs w:val="24"/>
                        </w:rPr>
                        <w:t>3-7501</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9111A5" wp14:editId="085EE9EB">
                <wp:simplePos x="0" y="0"/>
                <wp:positionH relativeFrom="column">
                  <wp:posOffset>-233680</wp:posOffset>
                </wp:positionH>
                <wp:positionV relativeFrom="paragraph">
                  <wp:posOffset>3731260</wp:posOffset>
                </wp:positionV>
                <wp:extent cx="1887220" cy="2583815"/>
                <wp:effectExtent l="0" t="0" r="0" b="698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258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28" w:rsidRDefault="00016C28" w:rsidP="00016C28">
                            <w:pPr>
                              <w:rPr>
                                <w:rFonts w:ascii="Calibri" w:eastAsia="Calibri" w:hAnsi="Calibri" w:cs="Times New Roman"/>
                                <w:b/>
                                <w:sz w:val="28"/>
                                <w:szCs w:val="28"/>
                              </w:rPr>
                            </w:pPr>
                            <w:r w:rsidRPr="00D2734F">
                              <w:rPr>
                                <w:rFonts w:ascii="Calibri" w:eastAsia="Calibri" w:hAnsi="Calibri" w:cs="Times New Roman"/>
                                <w:b/>
                                <w:sz w:val="28"/>
                                <w:szCs w:val="28"/>
                              </w:rPr>
                              <w:t>Submitted by:</w:t>
                            </w:r>
                          </w:p>
                          <w:p w:rsidR="00016C28" w:rsidRDefault="00016C28" w:rsidP="00016C28">
                            <w:pPr>
                              <w:rPr>
                                <w:b/>
                                <w:sz w:val="28"/>
                                <w:szCs w:val="28"/>
                              </w:rPr>
                            </w:pPr>
                            <w:r>
                              <w:rPr>
                                <w:rFonts w:ascii="Arial" w:hAnsi="Arial" w:cs="Arial"/>
                                <w:noProof/>
                                <w:color w:val="000000"/>
                              </w:rPr>
                              <w:drawing>
                                <wp:inline distT="0" distB="0" distL="0" distR="0" wp14:anchorId="4D92BB49" wp14:editId="1127C2CD">
                                  <wp:extent cx="1137683" cy="1137683"/>
                                  <wp:effectExtent l="19050" t="0" r="5317" b="0"/>
                                  <wp:docPr id="15" name="Picture 15" descr="https://intranet.icfi.com/marketing/images/VisualIdentity/ICF-Logos-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ntranet.icfi.com/marketing/images/VisualIdentity/ICF-Logos-ID.png"/>
                                          <pic:cNvPicPr>
                                            <a:picLocks noChangeAspect="1" noChangeArrowheads="1"/>
                                          </pic:cNvPicPr>
                                        </pic:nvPicPr>
                                        <pic:blipFill>
                                          <a:blip r:embed="rId10"/>
                                          <a:srcRect/>
                                          <a:stretch>
                                            <a:fillRect/>
                                          </a:stretch>
                                        </pic:blipFill>
                                        <pic:spPr bwMode="auto">
                                          <a:xfrm>
                                            <a:off x="0" y="0"/>
                                            <a:ext cx="1137627" cy="1137627"/>
                                          </a:xfrm>
                                          <a:prstGeom prst="rect">
                                            <a:avLst/>
                                          </a:prstGeom>
                                          <a:noFill/>
                                          <a:ln w="9525">
                                            <a:noFill/>
                                            <a:miter lim="800000"/>
                                            <a:headEnd/>
                                            <a:tailEnd/>
                                          </a:ln>
                                        </pic:spPr>
                                      </pic:pic>
                                    </a:graphicData>
                                  </a:graphic>
                                </wp:inline>
                              </w:drawing>
                            </w:r>
                          </w:p>
                          <w:p w:rsidR="00016C28" w:rsidRPr="00D2734F" w:rsidRDefault="00016C28" w:rsidP="00016C28">
                            <w:pPr>
                              <w:spacing w:after="0" w:line="240" w:lineRule="auto"/>
                              <w:rPr>
                                <w:rFonts w:ascii="Calibri" w:hAnsi="Calibri"/>
                                <w:sz w:val="24"/>
                                <w:szCs w:val="24"/>
                              </w:rPr>
                            </w:pPr>
                            <w:r w:rsidRPr="00D2734F">
                              <w:rPr>
                                <w:rFonts w:ascii="Calibri" w:hAnsi="Calibri"/>
                                <w:sz w:val="24"/>
                                <w:szCs w:val="24"/>
                              </w:rPr>
                              <w:t>ICF Macro, Inc.</w:t>
                            </w:r>
                          </w:p>
                          <w:p w:rsidR="00016C28" w:rsidRPr="00D2734F" w:rsidRDefault="00016C28" w:rsidP="00016C28">
                            <w:pPr>
                              <w:spacing w:after="0" w:line="240" w:lineRule="auto"/>
                              <w:rPr>
                                <w:rFonts w:ascii="Calibri" w:hAnsi="Calibri"/>
                                <w:sz w:val="24"/>
                                <w:szCs w:val="24"/>
                              </w:rPr>
                            </w:pPr>
                            <w:r w:rsidRPr="00D2734F">
                              <w:rPr>
                                <w:rFonts w:ascii="Calibri" w:hAnsi="Calibri"/>
                                <w:sz w:val="24"/>
                                <w:szCs w:val="24"/>
                              </w:rPr>
                              <w:t>126 College Street</w:t>
                            </w:r>
                          </w:p>
                          <w:p w:rsidR="00016C28" w:rsidRPr="00766AB5" w:rsidRDefault="00016C28" w:rsidP="00016C28">
                            <w:pPr>
                              <w:spacing w:after="0" w:line="240" w:lineRule="auto"/>
                              <w:rPr>
                                <w:rFonts w:ascii="Calibri" w:hAnsi="Calibri"/>
                                <w:sz w:val="24"/>
                                <w:szCs w:val="24"/>
                              </w:rPr>
                            </w:pPr>
                            <w:r w:rsidRPr="00D2734F">
                              <w:rPr>
                                <w:rFonts w:ascii="Calibri" w:hAnsi="Calibri"/>
                                <w:sz w:val="24"/>
                                <w:szCs w:val="24"/>
                              </w:rPr>
                              <w:t>Burlington, VT 05401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8.4pt;margin-top:293.8pt;width:148.6pt;height:20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4F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" filled="f" stroked="f">
                <v:textbox>
                  <w:txbxContent>
                    <w:p w:rsidR="00016C28" w:rsidRDefault="00016C28" w:rsidP="00016C28">
                      <w:pPr>
                        <w:rPr>
                          <w:rFonts w:ascii="Calibri" w:eastAsia="Calibri" w:hAnsi="Calibri" w:cs="Times New Roman"/>
                          <w:b/>
                          <w:sz w:val="28"/>
                          <w:szCs w:val="28"/>
                        </w:rPr>
                      </w:pPr>
                      <w:r w:rsidRPr="00D2734F">
                        <w:rPr>
                          <w:rFonts w:ascii="Calibri" w:eastAsia="Calibri" w:hAnsi="Calibri" w:cs="Times New Roman"/>
                          <w:b/>
                          <w:sz w:val="28"/>
                          <w:szCs w:val="28"/>
                        </w:rPr>
                        <w:t>Submitted by:</w:t>
                      </w:r>
                    </w:p>
                    <w:p w:rsidR="00016C28" w:rsidRDefault="00016C28" w:rsidP="00016C28">
                      <w:pPr>
                        <w:rPr>
                          <w:b/>
                          <w:sz w:val="28"/>
                          <w:szCs w:val="28"/>
                        </w:rPr>
                      </w:pPr>
                      <w:r>
                        <w:rPr>
                          <w:rFonts w:ascii="Arial" w:hAnsi="Arial" w:cs="Arial"/>
                          <w:noProof/>
                          <w:color w:val="000000"/>
                        </w:rPr>
                        <w:drawing>
                          <wp:inline distT="0" distB="0" distL="0" distR="0" wp14:anchorId="4D92BB49" wp14:editId="1127C2CD">
                            <wp:extent cx="1137683" cy="1137683"/>
                            <wp:effectExtent l="19050" t="0" r="5317" b="0"/>
                            <wp:docPr id="15" name="Picture 15" descr="https://intranet.icfi.com/marketing/images/VisualIdentity/ICF-Logos-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ntranet.icfi.com/marketing/images/VisualIdentity/ICF-Logos-ID.png"/>
                                    <pic:cNvPicPr>
                                      <a:picLocks noChangeAspect="1" noChangeArrowheads="1"/>
                                    </pic:cNvPicPr>
                                  </pic:nvPicPr>
                                  <pic:blipFill>
                                    <a:blip r:embed="rId10"/>
                                    <a:srcRect/>
                                    <a:stretch>
                                      <a:fillRect/>
                                    </a:stretch>
                                  </pic:blipFill>
                                  <pic:spPr bwMode="auto">
                                    <a:xfrm>
                                      <a:off x="0" y="0"/>
                                      <a:ext cx="1137627" cy="1137627"/>
                                    </a:xfrm>
                                    <a:prstGeom prst="rect">
                                      <a:avLst/>
                                    </a:prstGeom>
                                    <a:noFill/>
                                    <a:ln w="9525">
                                      <a:noFill/>
                                      <a:miter lim="800000"/>
                                      <a:headEnd/>
                                      <a:tailEnd/>
                                    </a:ln>
                                  </pic:spPr>
                                </pic:pic>
                              </a:graphicData>
                            </a:graphic>
                          </wp:inline>
                        </w:drawing>
                      </w:r>
                    </w:p>
                    <w:p w:rsidR="00016C28" w:rsidRPr="00D2734F" w:rsidRDefault="00016C28" w:rsidP="00016C28">
                      <w:pPr>
                        <w:spacing w:after="0" w:line="240" w:lineRule="auto"/>
                        <w:rPr>
                          <w:rFonts w:ascii="Calibri" w:hAnsi="Calibri"/>
                          <w:sz w:val="24"/>
                          <w:szCs w:val="24"/>
                        </w:rPr>
                      </w:pPr>
                      <w:r w:rsidRPr="00D2734F">
                        <w:rPr>
                          <w:rFonts w:ascii="Calibri" w:hAnsi="Calibri"/>
                          <w:sz w:val="24"/>
                          <w:szCs w:val="24"/>
                        </w:rPr>
                        <w:t>ICF Macro, Inc.</w:t>
                      </w:r>
                    </w:p>
                    <w:p w:rsidR="00016C28" w:rsidRPr="00D2734F" w:rsidRDefault="00016C28" w:rsidP="00016C28">
                      <w:pPr>
                        <w:spacing w:after="0" w:line="240" w:lineRule="auto"/>
                        <w:rPr>
                          <w:rFonts w:ascii="Calibri" w:hAnsi="Calibri"/>
                          <w:sz w:val="24"/>
                          <w:szCs w:val="24"/>
                        </w:rPr>
                      </w:pPr>
                      <w:r w:rsidRPr="00D2734F">
                        <w:rPr>
                          <w:rFonts w:ascii="Calibri" w:hAnsi="Calibri"/>
                          <w:sz w:val="24"/>
                          <w:szCs w:val="24"/>
                        </w:rPr>
                        <w:t>126 College Street</w:t>
                      </w:r>
                    </w:p>
                    <w:p w:rsidR="00016C28" w:rsidRPr="00766AB5" w:rsidRDefault="00016C28" w:rsidP="00016C28">
                      <w:pPr>
                        <w:spacing w:after="0" w:line="240" w:lineRule="auto"/>
                        <w:rPr>
                          <w:rFonts w:ascii="Calibri" w:hAnsi="Calibri"/>
                          <w:sz w:val="24"/>
                          <w:szCs w:val="24"/>
                        </w:rPr>
                      </w:pPr>
                      <w:r w:rsidRPr="00D2734F">
                        <w:rPr>
                          <w:rFonts w:ascii="Calibri" w:hAnsi="Calibri"/>
                          <w:sz w:val="24"/>
                          <w:szCs w:val="24"/>
                        </w:rPr>
                        <w:t>Burlington, VT 05401</w:t>
                      </w:r>
                    </w:p>
                  </w:txbxContent>
                </v:textbox>
              </v:shape>
            </w:pict>
          </mc:Fallback>
        </mc:AlternateContent>
      </w:r>
    </w:p>
    <w:p w:rsidR="009D3609" w:rsidRDefault="009D3609">
      <w:r>
        <w:br w:type="page"/>
      </w:r>
    </w:p>
    <w:sdt>
      <w:sdtPr>
        <w:rPr>
          <w:rFonts w:asciiTheme="minorHAnsi" w:eastAsiaTheme="minorHAnsi" w:hAnsiTheme="minorHAnsi" w:cstheme="minorBidi"/>
          <w:b w:val="0"/>
          <w:bCs w:val="0"/>
          <w:color w:val="auto"/>
          <w:sz w:val="22"/>
          <w:szCs w:val="22"/>
          <w:lang w:eastAsia="en-US"/>
        </w:rPr>
        <w:id w:val="-1198162165"/>
        <w:docPartObj>
          <w:docPartGallery w:val="Table of Contents"/>
          <w:docPartUnique/>
        </w:docPartObj>
      </w:sdtPr>
      <w:sdtEndPr>
        <w:rPr>
          <w:noProof/>
        </w:rPr>
      </w:sdtEndPr>
      <w:sdtContent>
        <w:p w:rsidR="009D3609" w:rsidRDefault="00016C28">
          <w:pPr>
            <w:pStyle w:val="TOCHeading"/>
          </w:pPr>
          <w:r>
            <w:t>Table of Content</w:t>
          </w:r>
          <w:r w:rsidR="009D3609">
            <w:t>s</w:t>
          </w:r>
        </w:p>
        <w:p w:rsidR="004D09C6" w:rsidRDefault="009D360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83784077" w:history="1">
            <w:r w:rsidR="004D09C6" w:rsidRPr="0011393D">
              <w:rPr>
                <w:rStyle w:val="Hyperlink"/>
                <w:noProof/>
              </w:rPr>
              <w:t>List of Figures</w:t>
            </w:r>
            <w:r w:rsidR="004D09C6">
              <w:rPr>
                <w:noProof/>
                <w:webHidden/>
              </w:rPr>
              <w:tab/>
            </w:r>
            <w:r w:rsidR="004D09C6">
              <w:rPr>
                <w:noProof/>
                <w:webHidden/>
              </w:rPr>
              <w:fldChar w:fldCharType="begin"/>
            </w:r>
            <w:r w:rsidR="004D09C6">
              <w:rPr>
                <w:noProof/>
                <w:webHidden/>
              </w:rPr>
              <w:instrText xml:space="preserve"> PAGEREF _Toc383784077 \h </w:instrText>
            </w:r>
            <w:r w:rsidR="004D09C6">
              <w:rPr>
                <w:noProof/>
                <w:webHidden/>
              </w:rPr>
            </w:r>
            <w:r w:rsidR="004D09C6">
              <w:rPr>
                <w:noProof/>
                <w:webHidden/>
              </w:rPr>
              <w:fldChar w:fldCharType="separate"/>
            </w:r>
            <w:r w:rsidR="005201FA">
              <w:rPr>
                <w:noProof/>
                <w:webHidden/>
              </w:rPr>
              <w:t>ii</w:t>
            </w:r>
            <w:r w:rsidR="004D09C6">
              <w:rPr>
                <w:noProof/>
                <w:webHidden/>
              </w:rPr>
              <w:fldChar w:fldCharType="end"/>
            </w:r>
          </w:hyperlink>
        </w:p>
        <w:p w:rsidR="004D09C6" w:rsidRDefault="005201FA">
          <w:pPr>
            <w:pStyle w:val="TOC1"/>
            <w:tabs>
              <w:tab w:val="right" w:leader="dot" w:pos="9350"/>
            </w:tabs>
            <w:rPr>
              <w:rFonts w:eastAsiaTheme="minorEastAsia"/>
              <w:noProof/>
            </w:rPr>
          </w:pPr>
          <w:hyperlink w:anchor="_Toc383784078" w:history="1">
            <w:r w:rsidR="004D09C6" w:rsidRPr="0011393D">
              <w:rPr>
                <w:rStyle w:val="Hyperlink"/>
                <w:noProof/>
              </w:rPr>
              <w:t>Background</w:t>
            </w:r>
            <w:r w:rsidR="004D09C6">
              <w:rPr>
                <w:noProof/>
                <w:webHidden/>
              </w:rPr>
              <w:tab/>
            </w:r>
            <w:r w:rsidR="004D09C6">
              <w:rPr>
                <w:noProof/>
                <w:webHidden/>
              </w:rPr>
              <w:fldChar w:fldCharType="begin"/>
            </w:r>
            <w:r w:rsidR="004D09C6">
              <w:rPr>
                <w:noProof/>
                <w:webHidden/>
              </w:rPr>
              <w:instrText xml:space="preserve"> PAGEREF _Toc383784078 \h </w:instrText>
            </w:r>
            <w:r w:rsidR="004D09C6">
              <w:rPr>
                <w:noProof/>
                <w:webHidden/>
              </w:rPr>
            </w:r>
            <w:r w:rsidR="004D09C6">
              <w:rPr>
                <w:noProof/>
                <w:webHidden/>
              </w:rPr>
              <w:fldChar w:fldCharType="separate"/>
            </w:r>
            <w:r>
              <w:rPr>
                <w:noProof/>
                <w:webHidden/>
              </w:rPr>
              <w:t>1</w:t>
            </w:r>
            <w:r w:rsidR="004D09C6">
              <w:rPr>
                <w:noProof/>
                <w:webHidden/>
              </w:rPr>
              <w:fldChar w:fldCharType="end"/>
            </w:r>
          </w:hyperlink>
        </w:p>
        <w:p w:rsidR="004D09C6" w:rsidRDefault="005201FA">
          <w:pPr>
            <w:pStyle w:val="TOC1"/>
            <w:tabs>
              <w:tab w:val="right" w:leader="dot" w:pos="9350"/>
            </w:tabs>
            <w:rPr>
              <w:rFonts w:eastAsiaTheme="minorEastAsia"/>
              <w:noProof/>
            </w:rPr>
          </w:pPr>
          <w:hyperlink w:anchor="_Toc383784079" w:history="1">
            <w:r w:rsidR="004D09C6" w:rsidRPr="0011393D">
              <w:rPr>
                <w:rStyle w:val="Hyperlink"/>
                <w:noProof/>
              </w:rPr>
              <w:t>2011 Boat Survey</w:t>
            </w:r>
            <w:r w:rsidR="004D09C6">
              <w:rPr>
                <w:noProof/>
                <w:webHidden/>
              </w:rPr>
              <w:tab/>
            </w:r>
            <w:r w:rsidR="004D09C6">
              <w:rPr>
                <w:noProof/>
                <w:webHidden/>
              </w:rPr>
              <w:fldChar w:fldCharType="begin"/>
            </w:r>
            <w:r w:rsidR="004D09C6">
              <w:rPr>
                <w:noProof/>
                <w:webHidden/>
              </w:rPr>
              <w:instrText xml:space="preserve"> PAGEREF _Toc383784079 \h </w:instrText>
            </w:r>
            <w:r w:rsidR="004D09C6">
              <w:rPr>
                <w:noProof/>
                <w:webHidden/>
              </w:rPr>
            </w:r>
            <w:r w:rsidR="004D09C6">
              <w:rPr>
                <w:noProof/>
                <w:webHidden/>
              </w:rPr>
              <w:fldChar w:fldCharType="separate"/>
            </w:r>
            <w:r>
              <w:rPr>
                <w:noProof/>
                <w:webHidden/>
              </w:rPr>
              <w:t>2</w:t>
            </w:r>
            <w:r w:rsidR="004D09C6">
              <w:rPr>
                <w:noProof/>
                <w:webHidden/>
              </w:rPr>
              <w:fldChar w:fldCharType="end"/>
            </w:r>
          </w:hyperlink>
        </w:p>
        <w:p w:rsidR="004D09C6" w:rsidRDefault="005201FA">
          <w:pPr>
            <w:pStyle w:val="TOC2"/>
            <w:tabs>
              <w:tab w:val="right" w:leader="dot" w:pos="9350"/>
            </w:tabs>
            <w:rPr>
              <w:rFonts w:eastAsiaTheme="minorEastAsia"/>
              <w:noProof/>
            </w:rPr>
          </w:pPr>
          <w:hyperlink w:anchor="_Toc383784080" w:history="1">
            <w:r w:rsidR="004D09C6" w:rsidRPr="0011393D">
              <w:rPr>
                <w:rStyle w:val="Hyperlink"/>
                <w:noProof/>
              </w:rPr>
              <w:t>Mail Sample</w:t>
            </w:r>
            <w:r w:rsidR="004D09C6">
              <w:rPr>
                <w:noProof/>
                <w:webHidden/>
              </w:rPr>
              <w:tab/>
            </w:r>
            <w:r w:rsidR="004D09C6">
              <w:rPr>
                <w:noProof/>
                <w:webHidden/>
              </w:rPr>
              <w:fldChar w:fldCharType="begin"/>
            </w:r>
            <w:r w:rsidR="004D09C6">
              <w:rPr>
                <w:noProof/>
                <w:webHidden/>
              </w:rPr>
              <w:instrText xml:space="preserve"> PAGEREF _Toc383784080 \h </w:instrText>
            </w:r>
            <w:r w:rsidR="004D09C6">
              <w:rPr>
                <w:noProof/>
                <w:webHidden/>
              </w:rPr>
            </w:r>
            <w:r w:rsidR="004D09C6">
              <w:rPr>
                <w:noProof/>
                <w:webHidden/>
              </w:rPr>
              <w:fldChar w:fldCharType="separate"/>
            </w:r>
            <w:r>
              <w:rPr>
                <w:noProof/>
                <w:webHidden/>
              </w:rPr>
              <w:t>2</w:t>
            </w:r>
            <w:r w:rsidR="004D09C6">
              <w:rPr>
                <w:noProof/>
                <w:webHidden/>
              </w:rPr>
              <w:fldChar w:fldCharType="end"/>
            </w:r>
          </w:hyperlink>
        </w:p>
        <w:p w:rsidR="004D09C6" w:rsidRDefault="005201FA">
          <w:pPr>
            <w:pStyle w:val="TOC2"/>
            <w:tabs>
              <w:tab w:val="right" w:leader="dot" w:pos="9350"/>
            </w:tabs>
            <w:rPr>
              <w:rFonts w:eastAsiaTheme="minorEastAsia"/>
              <w:noProof/>
            </w:rPr>
          </w:pPr>
          <w:hyperlink w:anchor="_Toc383784081" w:history="1">
            <w:r w:rsidR="004D09C6" w:rsidRPr="0011393D">
              <w:rPr>
                <w:rStyle w:val="Hyperlink"/>
                <w:noProof/>
              </w:rPr>
              <w:t>RDD Sample</w:t>
            </w:r>
            <w:r w:rsidR="004D09C6">
              <w:rPr>
                <w:noProof/>
                <w:webHidden/>
              </w:rPr>
              <w:tab/>
            </w:r>
            <w:r w:rsidR="004D09C6">
              <w:rPr>
                <w:noProof/>
                <w:webHidden/>
              </w:rPr>
              <w:fldChar w:fldCharType="begin"/>
            </w:r>
            <w:r w:rsidR="004D09C6">
              <w:rPr>
                <w:noProof/>
                <w:webHidden/>
              </w:rPr>
              <w:instrText xml:space="preserve"> PAGEREF _Toc383784081 \h </w:instrText>
            </w:r>
            <w:r w:rsidR="004D09C6">
              <w:rPr>
                <w:noProof/>
                <w:webHidden/>
              </w:rPr>
            </w:r>
            <w:r w:rsidR="004D09C6">
              <w:rPr>
                <w:noProof/>
                <w:webHidden/>
              </w:rPr>
              <w:fldChar w:fldCharType="separate"/>
            </w:r>
            <w:r>
              <w:rPr>
                <w:noProof/>
                <w:webHidden/>
              </w:rPr>
              <w:t>3</w:t>
            </w:r>
            <w:r w:rsidR="004D09C6">
              <w:rPr>
                <w:noProof/>
                <w:webHidden/>
              </w:rPr>
              <w:fldChar w:fldCharType="end"/>
            </w:r>
          </w:hyperlink>
        </w:p>
        <w:p w:rsidR="004D09C6" w:rsidRDefault="005201FA">
          <w:pPr>
            <w:pStyle w:val="TOC2"/>
            <w:tabs>
              <w:tab w:val="right" w:leader="dot" w:pos="9350"/>
            </w:tabs>
            <w:rPr>
              <w:rFonts w:eastAsiaTheme="minorEastAsia"/>
              <w:noProof/>
            </w:rPr>
          </w:pPr>
          <w:hyperlink w:anchor="_Toc383784082" w:history="1">
            <w:r w:rsidR="004D09C6" w:rsidRPr="0011393D">
              <w:rPr>
                <w:rStyle w:val="Hyperlink"/>
                <w:noProof/>
              </w:rPr>
              <w:t>Conclusions</w:t>
            </w:r>
            <w:r w:rsidR="004D09C6">
              <w:rPr>
                <w:noProof/>
                <w:webHidden/>
              </w:rPr>
              <w:tab/>
            </w:r>
            <w:r w:rsidR="004D09C6">
              <w:rPr>
                <w:noProof/>
                <w:webHidden/>
              </w:rPr>
              <w:fldChar w:fldCharType="begin"/>
            </w:r>
            <w:r w:rsidR="004D09C6">
              <w:rPr>
                <w:noProof/>
                <w:webHidden/>
              </w:rPr>
              <w:instrText xml:space="preserve"> PAGEREF _Toc383784082 \h </w:instrText>
            </w:r>
            <w:r w:rsidR="004D09C6">
              <w:rPr>
                <w:noProof/>
                <w:webHidden/>
              </w:rPr>
            </w:r>
            <w:r w:rsidR="004D09C6">
              <w:rPr>
                <w:noProof/>
                <w:webHidden/>
              </w:rPr>
              <w:fldChar w:fldCharType="separate"/>
            </w:r>
            <w:r>
              <w:rPr>
                <w:noProof/>
                <w:webHidden/>
              </w:rPr>
              <w:t>6</w:t>
            </w:r>
            <w:r w:rsidR="004D09C6">
              <w:rPr>
                <w:noProof/>
                <w:webHidden/>
              </w:rPr>
              <w:fldChar w:fldCharType="end"/>
            </w:r>
          </w:hyperlink>
        </w:p>
        <w:p w:rsidR="004D09C6" w:rsidRDefault="005201FA">
          <w:pPr>
            <w:pStyle w:val="TOC1"/>
            <w:tabs>
              <w:tab w:val="right" w:leader="dot" w:pos="9350"/>
            </w:tabs>
            <w:rPr>
              <w:rFonts w:eastAsiaTheme="minorEastAsia"/>
              <w:noProof/>
            </w:rPr>
          </w:pPr>
          <w:hyperlink w:anchor="_Toc383784083" w:history="1">
            <w:r w:rsidR="004D09C6" w:rsidRPr="0011393D">
              <w:rPr>
                <w:rStyle w:val="Hyperlink"/>
                <w:noProof/>
              </w:rPr>
              <w:t>2012 Trip Survey</w:t>
            </w:r>
            <w:r w:rsidR="004D09C6">
              <w:rPr>
                <w:noProof/>
                <w:webHidden/>
              </w:rPr>
              <w:tab/>
            </w:r>
            <w:r w:rsidR="004D09C6">
              <w:rPr>
                <w:noProof/>
                <w:webHidden/>
              </w:rPr>
              <w:fldChar w:fldCharType="begin"/>
            </w:r>
            <w:r w:rsidR="004D09C6">
              <w:rPr>
                <w:noProof/>
                <w:webHidden/>
              </w:rPr>
              <w:instrText xml:space="preserve"> PAGEREF _Toc383784083 \h </w:instrText>
            </w:r>
            <w:r w:rsidR="004D09C6">
              <w:rPr>
                <w:noProof/>
                <w:webHidden/>
              </w:rPr>
            </w:r>
            <w:r w:rsidR="004D09C6">
              <w:rPr>
                <w:noProof/>
                <w:webHidden/>
              </w:rPr>
              <w:fldChar w:fldCharType="separate"/>
            </w:r>
            <w:r>
              <w:rPr>
                <w:noProof/>
                <w:webHidden/>
              </w:rPr>
              <w:t>8</w:t>
            </w:r>
            <w:r w:rsidR="004D09C6">
              <w:rPr>
                <w:noProof/>
                <w:webHidden/>
              </w:rPr>
              <w:fldChar w:fldCharType="end"/>
            </w:r>
          </w:hyperlink>
        </w:p>
        <w:p w:rsidR="004D09C6" w:rsidRDefault="005201FA">
          <w:pPr>
            <w:pStyle w:val="TOC2"/>
            <w:tabs>
              <w:tab w:val="right" w:leader="dot" w:pos="9350"/>
            </w:tabs>
            <w:rPr>
              <w:rFonts w:eastAsiaTheme="minorEastAsia"/>
              <w:noProof/>
            </w:rPr>
          </w:pPr>
          <w:hyperlink w:anchor="_Toc383784084" w:history="1">
            <w:r w:rsidR="004D09C6" w:rsidRPr="0011393D">
              <w:rPr>
                <w:rStyle w:val="Hyperlink"/>
                <w:noProof/>
              </w:rPr>
              <w:t>Panel Recruitment Bias</w:t>
            </w:r>
            <w:r w:rsidR="004D09C6">
              <w:rPr>
                <w:noProof/>
                <w:webHidden/>
              </w:rPr>
              <w:tab/>
            </w:r>
            <w:r w:rsidR="004D09C6">
              <w:rPr>
                <w:noProof/>
                <w:webHidden/>
              </w:rPr>
              <w:fldChar w:fldCharType="begin"/>
            </w:r>
            <w:r w:rsidR="004D09C6">
              <w:rPr>
                <w:noProof/>
                <w:webHidden/>
              </w:rPr>
              <w:instrText xml:space="preserve"> PAGEREF _Toc383784084 \h </w:instrText>
            </w:r>
            <w:r w:rsidR="004D09C6">
              <w:rPr>
                <w:noProof/>
                <w:webHidden/>
              </w:rPr>
            </w:r>
            <w:r w:rsidR="004D09C6">
              <w:rPr>
                <w:noProof/>
                <w:webHidden/>
              </w:rPr>
              <w:fldChar w:fldCharType="separate"/>
            </w:r>
            <w:r>
              <w:rPr>
                <w:noProof/>
                <w:webHidden/>
              </w:rPr>
              <w:t>8</w:t>
            </w:r>
            <w:r w:rsidR="004D09C6">
              <w:rPr>
                <w:noProof/>
                <w:webHidden/>
              </w:rPr>
              <w:fldChar w:fldCharType="end"/>
            </w:r>
          </w:hyperlink>
        </w:p>
        <w:p w:rsidR="004D09C6" w:rsidRDefault="005201FA">
          <w:pPr>
            <w:pStyle w:val="TOC2"/>
            <w:tabs>
              <w:tab w:val="right" w:leader="dot" w:pos="9350"/>
            </w:tabs>
            <w:rPr>
              <w:rFonts w:eastAsiaTheme="minorEastAsia"/>
              <w:noProof/>
            </w:rPr>
          </w:pPr>
          <w:hyperlink w:anchor="_Toc383784085" w:history="1">
            <w:r w:rsidR="004D09C6" w:rsidRPr="0011393D">
              <w:rPr>
                <w:rStyle w:val="Hyperlink"/>
                <w:noProof/>
              </w:rPr>
              <w:t>Panel Participation Bias</w:t>
            </w:r>
            <w:r w:rsidR="004D09C6">
              <w:rPr>
                <w:noProof/>
                <w:webHidden/>
              </w:rPr>
              <w:tab/>
            </w:r>
            <w:r w:rsidR="004D09C6">
              <w:rPr>
                <w:noProof/>
                <w:webHidden/>
              </w:rPr>
              <w:fldChar w:fldCharType="begin"/>
            </w:r>
            <w:r w:rsidR="004D09C6">
              <w:rPr>
                <w:noProof/>
                <w:webHidden/>
              </w:rPr>
              <w:instrText xml:space="preserve"> PAGEREF _Toc383784085 \h </w:instrText>
            </w:r>
            <w:r w:rsidR="004D09C6">
              <w:rPr>
                <w:noProof/>
                <w:webHidden/>
              </w:rPr>
            </w:r>
            <w:r w:rsidR="004D09C6">
              <w:rPr>
                <w:noProof/>
                <w:webHidden/>
              </w:rPr>
              <w:fldChar w:fldCharType="separate"/>
            </w:r>
            <w:r>
              <w:rPr>
                <w:noProof/>
                <w:webHidden/>
              </w:rPr>
              <w:t>10</w:t>
            </w:r>
            <w:r w:rsidR="004D09C6">
              <w:rPr>
                <w:noProof/>
                <w:webHidden/>
              </w:rPr>
              <w:fldChar w:fldCharType="end"/>
            </w:r>
          </w:hyperlink>
        </w:p>
        <w:p w:rsidR="004D09C6" w:rsidRDefault="005201FA">
          <w:pPr>
            <w:pStyle w:val="TOC2"/>
            <w:tabs>
              <w:tab w:val="right" w:leader="dot" w:pos="9350"/>
            </w:tabs>
            <w:rPr>
              <w:rFonts w:eastAsiaTheme="minorEastAsia"/>
              <w:noProof/>
            </w:rPr>
          </w:pPr>
          <w:hyperlink w:anchor="_Toc383784086" w:history="1">
            <w:r w:rsidR="004D09C6" w:rsidRPr="0011393D">
              <w:rPr>
                <w:rStyle w:val="Hyperlink"/>
                <w:noProof/>
              </w:rPr>
              <w:t>Conclusions</w:t>
            </w:r>
            <w:r w:rsidR="004D09C6">
              <w:rPr>
                <w:noProof/>
                <w:webHidden/>
              </w:rPr>
              <w:tab/>
            </w:r>
            <w:r w:rsidR="004D09C6">
              <w:rPr>
                <w:noProof/>
                <w:webHidden/>
              </w:rPr>
              <w:fldChar w:fldCharType="begin"/>
            </w:r>
            <w:r w:rsidR="004D09C6">
              <w:rPr>
                <w:noProof/>
                <w:webHidden/>
              </w:rPr>
              <w:instrText xml:space="preserve"> PAGEREF _Toc383784086 \h </w:instrText>
            </w:r>
            <w:r w:rsidR="004D09C6">
              <w:rPr>
                <w:noProof/>
                <w:webHidden/>
              </w:rPr>
            </w:r>
            <w:r w:rsidR="004D09C6">
              <w:rPr>
                <w:noProof/>
                <w:webHidden/>
              </w:rPr>
              <w:fldChar w:fldCharType="separate"/>
            </w:r>
            <w:r>
              <w:rPr>
                <w:noProof/>
                <w:webHidden/>
              </w:rPr>
              <w:t>12</w:t>
            </w:r>
            <w:r w:rsidR="004D09C6">
              <w:rPr>
                <w:noProof/>
                <w:webHidden/>
              </w:rPr>
              <w:fldChar w:fldCharType="end"/>
            </w:r>
          </w:hyperlink>
        </w:p>
        <w:p w:rsidR="004D09C6" w:rsidRDefault="005201FA">
          <w:pPr>
            <w:pStyle w:val="TOC1"/>
            <w:tabs>
              <w:tab w:val="right" w:leader="dot" w:pos="9350"/>
            </w:tabs>
            <w:rPr>
              <w:rFonts w:eastAsiaTheme="minorEastAsia"/>
              <w:noProof/>
            </w:rPr>
          </w:pPr>
          <w:hyperlink w:anchor="_Toc383784087" w:history="1">
            <w:r w:rsidR="004D09C6" w:rsidRPr="0011393D">
              <w:rPr>
                <w:rStyle w:val="Hyperlink"/>
                <w:noProof/>
              </w:rPr>
              <w:t>2013 Participation Survey</w:t>
            </w:r>
            <w:r w:rsidR="004D09C6">
              <w:rPr>
                <w:noProof/>
                <w:webHidden/>
              </w:rPr>
              <w:tab/>
            </w:r>
            <w:r w:rsidR="004D09C6">
              <w:rPr>
                <w:noProof/>
                <w:webHidden/>
              </w:rPr>
              <w:fldChar w:fldCharType="begin"/>
            </w:r>
            <w:r w:rsidR="004D09C6">
              <w:rPr>
                <w:noProof/>
                <w:webHidden/>
              </w:rPr>
              <w:instrText xml:space="preserve"> PAGEREF _Toc383784087 \h </w:instrText>
            </w:r>
            <w:r w:rsidR="004D09C6">
              <w:rPr>
                <w:noProof/>
                <w:webHidden/>
              </w:rPr>
            </w:r>
            <w:r w:rsidR="004D09C6">
              <w:rPr>
                <w:noProof/>
                <w:webHidden/>
              </w:rPr>
              <w:fldChar w:fldCharType="separate"/>
            </w:r>
            <w:r>
              <w:rPr>
                <w:noProof/>
                <w:webHidden/>
              </w:rPr>
              <w:t>13</w:t>
            </w:r>
            <w:r w:rsidR="004D09C6">
              <w:rPr>
                <w:noProof/>
                <w:webHidden/>
              </w:rPr>
              <w:fldChar w:fldCharType="end"/>
            </w:r>
          </w:hyperlink>
        </w:p>
        <w:p w:rsidR="004D09C6" w:rsidRDefault="005201FA">
          <w:pPr>
            <w:pStyle w:val="TOC2"/>
            <w:tabs>
              <w:tab w:val="right" w:leader="dot" w:pos="9350"/>
            </w:tabs>
            <w:rPr>
              <w:rFonts w:eastAsiaTheme="minorEastAsia"/>
              <w:noProof/>
            </w:rPr>
          </w:pPr>
          <w:hyperlink w:anchor="_Toc383784088" w:history="1">
            <w:r w:rsidR="004D09C6" w:rsidRPr="0011393D">
              <w:rPr>
                <w:rStyle w:val="Hyperlink"/>
                <w:noProof/>
              </w:rPr>
              <w:t>Conclusions</w:t>
            </w:r>
            <w:r w:rsidR="004D09C6">
              <w:rPr>
                <w:noProof/>
                <w:webHidden/>
              </w:rPr>
              <w:tab/>
            </w:r>
            <w:r w:rsidR="004D09C6">
              <w:rPr>
                <w:noProof/>
                <w:webHidden/>
              </w:rPr>
              <w:fldChar w:fldCharType="begin"/>
            </w:r>
            <w:r w:rsidR="004D09C6">
              <w:rPr>
                <w:noProof/>
                <w:webHidden/>
              </w:rPr>
              <w:instrText xml:space="preserve"> PAGEREF _Toc383784088 \h </w:instrText>
            </w:r>
            <w:r w:rsidR="004D09C6">
              <w:rPr>
                <w:noProof/>
                <w:webHidden/>
              </w:rPr>
            </w:r>
            <w:r w:rsidR="004D09C6">
              <w:rPr>
                <w:noProof/>
                <w:webHidden/>
              </w:rPr>
              <w:fldChar w:fldCharType="separate"/>
            </w:r>
            <w:r>
              <w:rPr>
                <w:noProof/>
                <w:webHidden/>
              </w:rPr>
              <w:t>15</w:t>
            </w:r>
            <w:r w:rsidR="004D09C6">
              <w:rPr>
                <w:noProof/>
                <w:webHidden/>
              </w:rPr>
              <w:fldChar w:fldCharType="end"/>
            </w:r>
          </w:hyperlink>
        </w:p>
        <w:p w:rsidR="009D3609" w:rsidRDefault="009D3609">
          <w:r>
            <w:rPr>
              <w:b/>
              <w:bCs/>
              <w:noProof/>
            </w:rPr>
            <w:fldChar w:fldCharType="end"/>
          </w:r>
        </w:p>
      </w:sdtContent>
    </w:sdt>
    <w:p w:rsidR="009D3609" w:rsidRDefault="009D3609" w:rsidP="009D3609">
      <w:bookmarkStart w:id="0" w:name="_GoBack"/>
      <w:bookmarkEnd w:id="0"/>
    </w:p>
    <w:p w:rsidR="009D3609" w:rsidRDefault="009D3609" w:rsidP="009D3609">
      <w:pPr>
        <w:pStyle w:val="Heading1"/>
      </w:pPr>
      <w:bookmarkStart w:id="1" w:name="_Toc383784077"/>
      <w:r>
        <w:lastRenderedPageBreak/>
        <w:t>List of Figures</w:t>
      </w:r>
      <w:bookmarkEnd w:id="1"/>
    </w:p>
    <w:p w:rsidR="0010752F" w:rsidRDefault="009D3609" w:rsidP="0010752F">
      <w:pPr>
        <w:pStyle w:val="TableofFigures"/>
        <w:tabs>
          <w:tab w:val="right" w:leader="dot" w:pos="9350"/>
        </w:tabs>
        <w:spacing w:line="360" w:lineRule="auto"/>
        <w:rPr>
          <w:rFonts w:eastAsiaTheme="minorEastAsia"/>
          <w:noProof/>
        </w:rPr>
      </w:pPr>
      <w:r>
        <w:fldChar w:fldCharType="begin"/>
      </w:r>
      <w:r>
        <w:instrText xml:space="preserve"> TOC \h \z \c "Figure" </w:instrText>
      </w:r>
      <w:r>
        <w:fldChar w:fldCharType="separate"/>
      </w:r>
      <w:hyperlink w:anchor="_Toc383765030" w:history="1">
        <w:r w:rsidR="0010752F" w:rsidRPr="00043BDA">
          <w:rPr>
            <w:rStyle w:val="Hyperlink"/>
            <w:noProof/>
          </w:rPr>
          <w:t>Figure 1. Response Rates by Selected Boat Type for 2011 Boat Survey, Mail Sample</w:t>
        </w:r>
        <w:r w:rsidR="0010752F">
          <w:rPr>
            <w:noProof/>
            <w:webHidden/>
          </w:rPr>
          <w:tab/>
        </w:r>
        <w:r w:rsidR="0010752F">
          <w:rPr>
            <w:noProof/>
            <w:webHidden/>
          </w:rPr>
          <w:fldChar w:fldCharType="begin"/>
        </w:r>
        <w:r w:rsidR="0010752F">
          <w:rPr>
            <w:noProof/>
            <w:webHidden/>
          </w:rPr>
          <w:instrText xml:space="preserve"> PAGEREF _Toc383765030 \h </w:instrText>
        </w:r>
        <w:r w:rsidR="0010752F">
          <w:rPr>
            <w:noProof/>
            <w:webHidden/>
          </w:rPr>
        </w:r>
        <w:r w:rsidR="0010752F">
          <w:rPr>
            <w:noProof/>
            <w:webHidden/>
          </w:rPr>
          <w:fldChar w:fldCharType="separate"/>
        </w:r>
        <w:r w:rsidR="005201FA">
          <w:rPr>
            <w:noProof/>
            <w:webHidden/>
          </w:rPr>
          <w:t>2</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1" w:history="1">
        <w:r w:rsidR="0010752F" w:rsidRPr="00043BDA">
          <w:rPr>
            <w:rStyle w:val="Hyperlink"/>
            <w:noProof/>
          </w:rPr>
          <w:t>Figure 2. Response Rates by Region for 2011 Boat Survey, Mail Sample</w:t>
        </w:r>
        <w:r w:rsidR="0010752F">
          <w:rPr>
            <w:noProof/>
            <w:webHidden/>
          </w:rPr>
          <w:tab/>
        </w:r>
        <w:r w:rsidR="0010752F">
          <w:rPr>
            <w:noProof/>
            <w:webHidden/>
          </w:rPr>
          <w:fldChar w:fldCharType="begin"/>
        </w:r>
        <w:r w:rsidR="0010752F">
          <w:rPr>
            <w:noProof/>
            <w:webHidden/>
          </w:rPr>
          <w:instrText xml:space="preserve"> PAGEREF _Toc383765031 \h </w:instrText>
        </w:r>
        <w:r w:rsidR="0010752F">
          <w:rPr>
            <w:noProof/>
            <w:webHidden/>
          </w:rPr>
        </w:r>
        <w:r w:rsidR="0010752F">
          <w:rPr>
            <w:noProof/>
            <w:webHidden/>
          </w:rPr>
          <w:fldChar w:fldCharType="separate"/>
        </w:r>
        <w:r>
          <w:rPr>
            <w:noProof/>
            <w:webHidden/>
          </w:rPr>
          <w:t>3</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2" w:history="1">
        <w:r w:rsidR="0010752F" w:rsidRPr="00043BDA">
          <w:rPr>
            <w:rStyle w:val="Hyperlink"/>
            <w:noProof/>
          </w:rPr>
          <w:t>Figure 3. Response Rates by Region for 2011 Boat Survey, RDD Sample, by Call Type</w:t>
        </w:r>
        <w:r w:rsidR="0010752F">
          <w:rPr>
            <w:noProof/>
            <w:webHidden/>
          </w:rPr>
          <w:tab/>
        </w:r>
        <w:r w:rsidR="0010752F">
          <w:rPr>
            <w:noProof/>
            <w:webHidden/>
          </w:rPr>
          <w:fldChar w:fldCharType="begin"/>
        </w:r>
        <w:r w:rsidR="0010752F">
          <w:rPr>
            <w:noProof/>
            <w:webHidden/>
          </w:rPr>
          <w:instrText xml:space="preserve"> PAGEREF _Toc383765032 \h </w:instrText>
        </w:r>
        <w:r w:rsidR="0010752F">
          <w:rPr>
            <w:noProof/>
            <w:webHidden/>
          </w:rPr>
        </w:r>
        <w:r w:rsidR="0010752F">
          <w:rPr>
            <w:noProof/>
            <w:webHidden/>
          </w:rPr>
          <w:fldChar w:fldCharType="separate"/>
        </w:r>
        <w:r>
          <w:rPr>
            <w:noProof/>
            <w:webHidden/>
          </w:rPr>
          <w:t>4</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3" w:history="1">
        <w:r w:rsidR="0010752F" w:rsidRPr="00043BDA">
          <w:rPr>
            <w:rStyle w:val="Hyperlink"/>
            <w:noProof/>
          </w:rPr>
          <w:t>Figure 4. Proportion of Completed Boat Survey RDD Interviews Achieved by Number of Call Attempts</w:t>
        </w:r>
        <w:r w:rsidR="0010752F">
          <w:rPr>
            <w:noProof/>
            <w:webHidden/>
          </w:rPr>
          <w:tab/>
        </w:r>
        <w:r w:rsidR="0010752F">
          <w:rPr>
            <w:noProof/>
            <w:webHidden/>
          </w:rPr>
          <w:fldChar w:fldCharType="begin"/>
        </w:r>
        <w:r w:rsidR="0010752F">
          <w:rPr>
            <w:noProof/>
            <w:webHidden/>
          </w:rPr>
          <w:instrText xml:space="preserve"> PAGEREF _Toc383765033 \h </w:instrText>
        </w:r>
        <w:r w:rsidR="0010752F">
          <w:rPr>
            <w:noProof/>
            <w:webHidden/>
          </w:rPr>
        </w:r>
        <w:r w:rsidR="0010752F">
          <w:rPr>
            <w:noProof/>
            <w:webHidden/>
          </w:rPr>
          <w:fldChar w:fldCharType="separate"/>
        </w:r>
        <w:r>
          <w:rPr>
            <w:noProof/>
            <w:webHidden/>
          </w:rPr>
          <w:t>5</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4" w:history="1">
        <w:r w:rsidR="0010752F" w:rsidRPr="00043BDA">
          <w:rPr>
            <w:rStyle w:val="Hyperlink"/>
            <w:noProof/>
          </w:rPr>
          <w:t>Figure 5. Mean of Selected Boat Survey Items for Early and Late Responders</w:t>
        </w:r>
        <w:r w:rsidR="0010752F">
          <w:rPr>
            <w:noProof/>
            <w:webHidden/>
          </w:rPr>
          <w:tab/>
        </w:r>
        <w:r w:rsidR="0010752F">
          <w:rPr>
            <w:noProof/>
            <w:webHidden/>
          </w:rPr>
          <w:fldChar w:fldCharType="begin"/>
        </w:r>
        <w:r w:rsidR="0010752F">
          <w:rPr>
            <w:noProof/>
            <w:webHidden/>
          </w:rPr>
          <w:instrText xml:space="preserve"> PAGEREF _Toc383765034 \h </w:instrText>
        </w:r>
        <w:r w:rsidR="0010752F">
          <w:rPr>
            <w:noProof/>
            <w:webHidden/>
          </w:rPr>
        </w:r>
        <w:r w:rsidR="0010752F">
          <w:rPr>
            <w:noProof/>
            <w:webHidden/>
          </w:rPr>
          <w:fldChar w:fldCharType="separate"/>
        </w:r>
        <w:r>
          <w:rPr>
            <w:noProof/>
            <w:webHidden/>
          </w:rPr>
          <w:t>6</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5" w:history="1">
        <w:r w:rsidR="0010752F" w:rsidRPr="00043BDA">
          <w:rPr>
            <w:rStyle w:val="Hyperlink"/>
            <w:noProof/>
          </w:rPr>
          <w:t>Figure 6. Owner’s Experience in Boat Operation by Panel Recruitment Status</w:t>
        </w:r>
        <w:r w:rsidR="0010752F">
          <w:rPr>
            <w:noProof/>
            <w:webHidden/>
          </w:rPr>
          <w:tab/>
        </w:r>
        <w:r w:rsidR="0010752F">
          <w:rPr>
            <w:noProof/>
            <w:webHidden/>
          </w:rPr>
          <w:fldChar w:fldCharType="begin"/>
        </w:r>
        <w:r w:rsidR="0010752F">
          <w:rPr>
            <w:noProof/>
            <w:webHidden/>
          </w:rPr>
          <w:instrText xml:space="preserve"> PAGEREF _Toc383765035 \h </w:instrText>
        </w:r>
        <w:r w:rsidR="0010752F">
          <w:rPr>
            <w:noProof/>
            <w:webHidden/>
          </w:rPr>
        </w:r>
        <w:r w:rsidR="0010752F">
          <w:rPr>
            <w:noProof/>
            <w:webHidden/>
          </w:rPr>
          <w:fldChar w:fldCharType="separate"/>
        </w:r>
        <w:r>
          <w:rPr>
            <w:noProof/>
            <w:webHidden/>
          </w:rPr>
          <w:t>8</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6" w:history="1">
        <w:r w:rsidR="0010752F" w:rsidRPr="00043BDA">
          <w:rPr>
            <w:rStyle w:val="Hyperlink"/>
            <w:noProof/>
          </w:rPr>
          <w:t>Figure 7. Panel Recruitment Rate by Census Region</w:t>
        </w:r>
        <w:r w:rsidR="0010752F">
          <w:rPr>
            <w:noProof/>
            <w:webHidden/>
          </w:rPr>
          <w:tab/>
        </w:r>
        <w:r w:rsidR="0010752F">
          <w:rPr>
            <w:noProof/>
            <w:webHidden/>
          </w:rPr>
          <w:fldChar w:fldCharType="begin"/>
        </w:r>
        <w:r w:rsidR="0010752F">
          <w:rPr>
            <w:noProof/>
            <w:webHidden/>
          </w:rPr>
          <w:instrText xml:space="preserve"> PAGEREF _Toc383765036 \h </w:instrText>
        </w:r>
        <w:r w:rsidR="0010752F">
          <w:rPr>
            <w:noProof/>
            <w:webHidden/>
          </w:rPr>
        </w:r>
        <w:r w:rsidR="0010752F">
          <w:rPr>
            <w:noProof/>
            <w:webHidden/>
          </w:rPr>
          <w:fldChar w:fldCharType="separate"/>
        </w:r>
        <w:r>
          <w:rPr>
            <w:noProof/>
            <w:webHidden/>
          </w:rPr>
          <w:t>9</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7" w:history="1">
        <w:r w:rsidR="0010752F" w:rsidRPr="00043BDA">
          <w:rPr>
            <w:rStyle w:val="Hyperlink"/>
            <w:noProof/>
          </w:rPr>
          <w:t>Figure 8. Distribution of Boats by Type in Population and by Panel Recruitment Status</w:t>
        </w:r>
        <w:r w:rsidR="0010752F">
          <w:rPr>
            <w:noProof/>
            <w:webHidden/>
          </w:rPr>
          <w:tab/>
        </w:r>
        <w:r w:rsidR="0010752F">
          <w:rPr>
            <w:noProof/>
            <w:webHidden/>
          </w:rPr>
          <w:fldChar w:fldCharType="begin"/>
        </w:r>
        <w:r w:rsidR="0010752F">
          <w:rPr>
            <w:noProof/>
            <w:webHidden/>
          </w:rPr>
          <w:instrText xml:space="preserve"> PAGEREF _Toc383765037 \h </w:instrText>
        </w:r>
        <w:r w:rsidR="0010752F">
          <w:rPr>
            <w:noProof/>
            <w:webHidden/>
          </w:rPr>
        </w:r>
        <w:r w:rsidR="0010752F">
          <w:rPr>
            <w:noProof/>
            <w:webHidden/>
          </w:rPr>
          <w:fldChar w:fldCharType="separate"/>
        </w:r>
        <w:r>
          <w:rPr>
            <w:noProof/>
            <w:webHidden/>
          </w:rPr>
          <w:t>10</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8" w:history="1">
        <w:r w:rsidR="0010752F" w:rsidRPr="00043BDA">
          <w:rPr>
            <w:rStyle w:val="Hyperlink"/>
            <w:noProof/>
          </w:rPr>
          <w:t>Figure 9. Owner’s Experience in Boat Operation by Panel Participation Status</w:t>
        </w:r>
        <w:r w:rsidR="0010752F">
          <w:rPr>
            <w:noProof/>
            <w:webHidden/>
          </w:rPr>
          <w:tab/>
        </w:r>
        <w:r w:rsidR="0010752F">
          <w:rPr>
            <w:noProof/>
            <w:webHidden/>
          </w:rPr>
          <w:fldChar w:fldCharType="begin"/>
        </w:r>
        <w:r w:rsidR="0010752F">
          <w:rPr>
            <w:noProof/>
            <w:webHidden/>
          </w:rPr>
          <w:instrText xml:space="preserve"> PAGEREF _Toc383765038 \h </w:instrText>
        </w:r>
        <w:r w:rsidR="0010752F">
          <w:rPr>
            <w:noProof/>
            <w:webHidden/>
          </w:rPr>
        </w:r>
        <w:r w:rsidR="0010752F">
          <w:rPr>
            <w:noProof/>
            <w:webHidden/>
          </w:rPr>
          <w:fldChar w:fldCharType="separate"/>
        </w:r>
        <w:r>
          <w:rPr>
            <w:noProof/>
            <w:webHidden/>
          </w:rPr>
          <w:t>10</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39" w:history="1">
        <w:r w:rsidR="0010752F" w:rsidRPr="00043BDA">
          <w:rPr>
            <w:rStyle w:val="Hyperlink"/>
            <w:noProof/>
          </w:rPr>
          <w:t>Figure 10. Panel Participation Rate by Census Region</w:t>
        </w:r>
        <w:r w:rsidR="0010752F">
          <w:rPr>
            <w:noProof/>
            <w:webHidden/>
          </w:rPr>
          <w:tab/>
        </w:r>
        <w:r w:rsidR="0010752F">
          <w:rPr>
            <w:noProof/>
            <w:webHidden/>
          </w:rPr>
          <w:fldChar w:fldCharType="begin"/>
        </w:r>
        <w:r w:rsidR="0010752F">
          <w:rPr>
            <w:noProof/>
            <w:webHidden/>
          </w:rPr>
          <w:instrText xml:space="preserve"> PAGEREF _Toc383765039 \h </w:instrText>
        </w:r>
        <w:r w:rsidR="0010752F">
          <w:rPr>
            <w:noProof/>
            <w:webHidden/>
          </w:rPr>
        </w:r>
        <w:r w:rsidR="0010752F">
          <w:rPr>
            <w:noProof/>
            <w:webHidden/>
          </w:rPr>
          <w:fldChar w:fldCharType="separate"/>
        </w:r>
        <w:r>
          <w:rPr>
            <w:noProof/>
            <w:webHidden/>
          </w:rPr>
          <w:t>11</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40" w:history="1">
        <w:r w:rsidR="0010752F" w:rsidRPr="00043BDA">
          <w:rPr>
            <w:rStyle w:val="Hyperlink"/>
            <w:noProof/>
          </w:rPr>
          <w:t>Figure 11. Distribution of Boats by Type in Population and by Panel Participation Status</w:t>
        </w:r>
        <w:r w:rsidR="0010752F">
          <w:rPr>
            <w:noProof/>
            <w:webHidden/>
          </w:rPr>
          <w:tab/>
        </w:r>
        <w:r w:rsidR="0010752F">
          <w:rPr>
            <w:noProof/>
            <w:webHidden/>
          </w:rPr>
          <w:fldChar w:fldCharType="begin"/>
        </w:r>
        <w:r w:rsidR="0010752F">
          <w:rPr>
            <w:noProof/>
            <w:webHidden/>
          </w:rPr>
          <w:instrText xml:space="preserve"> PAGEREF _Toc383765040 \h </w:instrText>
        </w:r>
        <w:r w:rsidR="0010752F">
          <w:rPr>
            <w:noProof/>
            <w:webHidden/>
          </w:rPr>
        </w:r>
        <w:r w:rsidR="0010752F">
          <w:rPr>
            <w:noProof/>
            <w:webHidden/>
          </w:rPr>
          <w:fldChar w:fldCharType="separate"/>
        </w:r>
        <w:r>
          <w:rPr>
            <w:noProof/>
            <w:webHidden/>
          </w:rPr>
          <w:t>12</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41" w:history="1">
        <w:r w:rsidR="0010752F" w:rsidRPr="00043BDA">
          <w:rPr>
            <w:rStyle w:val="Hyperlink"/>
            <w:noProof/>
          </w:rPr>
          <w:t>Figure 12. Response Rates by Region for 2011 Boat Survey, RDD Sample (LL + CP)</w:t>
        </w:r>
        <w:r w:rsidR="0010752F">
          <w:rPr>
            <w:noProof/>
            <w:webHidden/>
          </w:rPr>
          <w:tab/>
        </w:r>
        <w:r w:rsidR="0010752F">
          <w:rPr>
            <w:noProof/>
            <w:webHidden/>
          </w:rPr>
          <w:fldChar w:fldCharType="begin"/>
        </w:r>
        <w:r w:rsidR="0010752F">
          <w:rPr>
            <w:noProof/>
            <w:webHidden/>
          </w:rPr>
          <w:instrText xml:space="preserve"> PAGEREF _Toc383765041 \h </w:instrText>
        </w:r>
        <w:r w:rsidR="0010752F">
          <w:rPr>
            <w:noProof/>
            <w:webHidden/>
          </w:rPr>
        </w:r>
        <w:r w:rsidR="0010752F">
          <w:rPr>
            <w:noProof/>
            <w:webHidden/>
          </w:rPr>
          <w:fldChar w:fldCharType="separate"/>
        </w:r>
        <w:r>
          <w:rPr>
            <w:noProof/>
            <w:webHidden/>
          </w:rPr>
          <w:t>13</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42" w:history="1">
        <w:r w:rsidR="0010752F" w:rsidRPr="00043BDA">
          <w:rPr>
            <w:rStyle w:val="Hyperlink"/>
            <w:noProof/>
          </w:rPr>
          <w:t>Figure 13. Proportion of Completed Participation Survey RDD Interviews Achieved by Number of Call Attempts</w:t>
        </w:r>
        <w:r w:rsidR="0010752F">
          <w:rPr>
            <w:noProof/>
            <w:webHidden/>
          </w:rPr>
          <w:tab/>
        </w:r>
        <w:r w:rsidR="0010752F">
          <w:rPr>
            <w:noProof/>
            <w:webHidden/>
          </w:rPr>
          <w:fldChar w:fldCharType="begin"/>
        </w:r>
        <w:r w:rsidR="0010752F">
          <w:rPr>
            <w:noProof/>
            <w:webHidden/>
          </w:rPr>
          <w:instrText xml:space="preserve"> PAGEREF _Toc383765042 \h </w:instrText>
        </w:r>
        <w:r w:rsidR="0010752F">
          <w:rPr>
            <w:noProof/>
            <w:webHidden/>
          </w:rPr>
        </w:r>
        <w:r w:rsidR="0010752F">
          <w:rPr>
            <w:noProof/>
            <w:webHidden/>
          </w:rPr>
          <w:fldChar w:fldCharType="separate"/>
        </w:r>
        <w:r>
          <w:rPr>
            <w:noProof/>
            <w:webHidden/>
          </w:rPr>
          <w:t>14</w:t>
        </w:r>
        <w:r w:rsidR="0010752F">
          <w:rPr>
            <w:noProof/>
            <w:webHidden/>
          </w:rPr>
          <w:fldChar w:fldCharType="end"/>
        </w:r>
      </w:hyperlink>
    </w:p>
    <w:p w:rsidR="0010752F" w:rsidRDefault="005201FA" w:rsidP="0010752F">
      <w:pPr>
        <w:pStyle w:val="TableofFigures"/>
        <w:tabs>
          <w:tab w:val="right" w:leader="dot" w:pos="9350"/>
        </w:tabs>
        <w:spacing w:line="360" w:lineRule="auto"/>
        <w:rPr>
          <w:rFonts w:eastAsiaTheme="minorEastAsia"/>
          <w:noProof/>
        </w:rPr>
      </w:pPr>
      <w:hyperlink w:anchor="_Toc383765043" w:history="1">
        <w:r w:rsidR="0010752F" w:rsidRPr="00043BDA">
          <w:rPr>
            <w:rStyle w:val="Hyperlink"/>
            <w:noProof/>
          </w:rPr>
          <w:t>Figure 14. Mean of Selected Participation Survey Items for Early and Late Responders</w:t>
        </w:r>
        <w:r w:rsidR="0010752F">
          <w:rPr>
            <w:noProof/>
            <w:webHidden/>
          </w:rPr>
          <w:tab/>
        </w:r>
        <w:r w:rsidR="0010752F">
          <w:rPr>
            <w:noProof/>
            <w:webHidden/>
          </w:rPr>
          <w:fldChar w:fldCharType="begin"/>
        </w:r>
        <w:r w:rsidR="0010752F">
          <w:rPr>
            <w:noProof/>
            <w:webHidden/>
          </w:rPr>
          <w:instrText xml:space="preserve"> PAGEREF _Toc383765043 \h </w:instrText>
        </w:r>
        <w:r w:rsidR="0010752F">
          <w:rPr>
            <w:noProof/>
            <w:webHidden/>
          </w:rPr>
        </w:r>
        <w:r w:rsidR="0010752F">
          <w:rPr>
            <w:noProof/>
            <w:webHidden/>
          </w:rPr>
          <w:fldChar w:fldCharType="separate"/>
        </w:r>
        <w:r>
          <w:rPr>
            <w:noProof/>
            <w:webHidden/>
          </w:rPr>
          <w:t>15</w:t>
        </w:r>
        <w:r w:rsidR="0010752F">
          <w:rPr>
            <w:noProof/>
            <w:webHidden/>
          </w:rPr>
          <w:fldChar w:fldCharType="end"/>
        </w:r>
      </w:hyperlink>
    </w:p>
    <w:p w:rsidR="005201FA" w:rsidRDefault="009D3609" w:rsidP="005201FA">
      <w:pPr>
        <w:spacing w:line="360" w:lineRule="auto"/>
        <w:sectPr w:rsidR="005201FA" w:rsidSect="005201FA">
          <w:headerReference w:type="default" r:id="rId11"/>
          <w:type w:val="continuous"/>
          <w:pgSz w:w="12240" w:h="15840"/>
          <w:pgMar w:top="1440" w:right="1440" w:bottom="1440" w:left="1440" w:header="720" w:footer="720" w:gutter="0"/>
          <w:pgNumType w:fmt="lowerRoman" w:start="0"/>
          <w:cols w:space="720"/>
          <w:docGrid w:linePitch="360"/>
        </w:sectPr>
      </w:pPr>
      <w:r>
        <w:fldChar w:fldCharType="end"/>
      </w:r>
      <w:bookmarkStart w:id="2" w:name="_Toc383784078"/>
    </w:p>
    <w:p w:rsidR="004D09C6" w:rsidRDefault="00106658" w:rsidP="004D09C6">
      <w:pPr>
        <w:pStyle w:val="Heading1"/>
      </w:pPr>
      <w:r w:rsidRPr="004E5AC7">
        <w:lastRenderedPageBreak/>
        <w:t>Background</w:t>
      </w:r>
      <w:bookmarkEnd w:id="2"/>
    </w:p>
    <w:p w:rsidR="004D09C6" w:rsidRDefault="00853A3D" w:rsidP="004D09C6">
      <w:r w:rsidRPr="00853A3D">
        <w:t>In 2011–2012, ICF</w:t>
      </w:r>
      <w:r>
        <w:t xml:space="preserve"> Macro</w:t>
      </w:r>
      <w:r w:rsidRPr="00853A3D">
        <w:t xml:space="preserve"> (hereafter, ICF) conducted the 2011 National Recreational Boating Survey (NRBS) on behalf of the U.S. Coast Guard (USCG), </w:t>
      </w:r>
      <w:r>
        <w:t>to</w:t>
      </w:r>
      <w:r w:rsidRPr="00853A3D">
        <w:t xml:space="preserve"> provide data to support the 2012-2016 strategic plan of the National Recreational Boating Safety (RBS) Program. The National RBS Program’s primary goals are to reduce fatalities to specified levels for each upcoming year and to decrease personal injury, property damage, while cooperating with environmental and national security efforts as related to recreational boating. Data collected for the National RBS Program enables the USCG</w:t>
      </w:r>
      <w:r w:rsidRPr="00853A3D" w:rsidDel="00F64E0D">
        <w:t xml:space="preserve"> </w:t>
      </w:r>
      <w:r w:rsidRPr="00853A3D">
        <w:t>to better identify safety priorities, coordinate and focus research efforts, and encourage consistency in the information that is collected as well as the applied analysis methods that are used.</w:t>
      </w:r>
    </w:p>
    <w:p w:rsidR="00106658" w:rsidRPr="00106658" w:rsidRDefault="00106658" w:rsidP="004D09C6">
      <w:r w:rsidRPr="00106658">
        <w:t xml:space="preserve">The NRBS design </w:t>
      </w:r>
      <w:r>
        <w:t>wa</w:t>
      </w:r>
      <w:r w:rsidRPr="00106658">
        <w:t xml:space="preserve">s driven by a desire to achieve comprehensive population coverage and high quality measurement of a variety of boat features and boating activities. </w:t>
      </w:r>
      <w:r>
        <w:t>Consequently</w:t>
      </w:r>
      <w:r w:rsidRPr="00106658">
        <w:t>, the NRBS was designed as a system of three surveys—the Boat Survey, the Trip Survey, and the Participation Survey—</w:t>
      </w:r>
      <w:r>
        <w:t>to</w:t>
      </w:r>
      <w:r w:rsidRPr="00106658">
        <w:t xml:space="preserve"> comprehensively measure boats and boaters in the United States.</w:t>
      </w:r>
      <w:r w:rsidR="004E5AC7">
        <w:t xml:space="preserve"> </w:t>
      </w:r>
      <w:r>
        <w:t xml:space="preserve"> </w:t>
      </w:r>
    </w:p>
    <w:p w:rsidR="00106658" w:rsidRDefault="00853A3D" w:rsidP="004D09C6">
      <w:pPr>
        <w:rPr>
          <w:rFonts w:asciiTheme="majorHAnsi" w:eastAsiaTheme="majorEastAsia" w:hAnsiTheme="majorHAnsi" w:cstheme="majorBidi"/>
          <w:color w:val="365F91" w:themeColor="accent1" w:themeShade="BF"/>
          <w:sz w:val="28"/>
          <w:szCs w:val="28"/>
        </w:rPr>
      </w:pPr>
      <w:r w:rsidRPr="00D61081">
        <w:t>Any information collection from the general public and conducted or sponsored by a Federal agency requires periodic Office of Management and Budget (OMB) clearance</w:t>
      </w:r>
      <w:r>
        <w:t xml:space="preserve">. </w:t>
      </w:r>
      <w:r w:rsidR="004E5AC7">
        <w:t>This report provides ICF’s analysis of non-response for each of the three aforementioned surveys.</w:t>
      </w:r>
      <w:r w:rsidR="00106658">
        <w:br w:type="page"/>
      </w:r>
    </w:p>
    <w:p w:rsidR="005C5602" w:rsidRDefault="005C5602" w:rsidP="00416DFC">
      <w:pPr>
        <w:pStyle w:val="Heading1"/>
      </w:pPr>
      <w:bookmarkStart w:id="3" w:name="_Toc383784079"/>
      <w:r>
        <w:lastRenderedPageBreak/>
        <w:t>2011 Boat Survey</w:t>
      </w:r>
      <w:bookmarkEnd w:id="3"/>
    </w:p>
    <w:p w:rsidR="00584862" w:rsidRDefault="005C5602" w:rsidP="005C5602">
      <w:r>
        <w:t xml:space="preserve">The 2011 Boat Survey measured the incidence of recreational boat ownership and information about these boats. The survey consisted of two modes: A listed mail sample, drawn from state boater registration </w:t>
      </w:r>
      <w:r w:rsidR="00C146F6">
        <w:t>databases</w:t>
      </w:r>
      <w:r>
        <w:t>, and a dual-frame (landline and cell phone) RDD component.</w:t>
      </w:r>
    </w:p>
    <w:p w:rsidR="00584862" w:rsidRDefault="00584862" w:rsidP="00416DFC">
      <w:pPr>
        <w:pStyle w:val="Heading2"/>
      </w:pPr>
      <w:bookmarkStart w:id="4" w:name="_Toc383784080"/>
      <w:r>
        <w:t>Mail Sample</w:t>
      </w:r>
      <w:bookmarkEnd w:id="4"/>
    </w:p>
    <w:p w:rsidR="00584862" w:rsidRDefault="00584862" w:rsidP="005C5602">
      <w:r>
        <w:t>The mail sample was prepared for analysis by first assigning a standard AAPOR disposition to each record based on the last recorded mail event. The followi</w:t>
      </w:r>
      <w:r w:rsidR="00C507BC">
        <w:t>ng analyses compare respondents</w:t>
      </w:r>
      <w:r>
        <w:t xml:space="preserve"> who ret</w:t>
      </w:r>
      <w:r w:rsidR="00C507BC">
        <w:t xml:space="preserve">urned completed interviews (I) </w:t>
      </w:r>
      <w:r>
        <w:t xml:space="preserve">to eligible non-respondents (E). </w:t>
      </w:r>
      <w:r w:rsidR="00F960EA">
        <w:t>For simplicity, t</w:t>
      </w:r>
      <w:r>
        <w:t xml:space="preserve">he small number of records of unknown eligibility (U) </w:t>
      </w:r>
      <w:r w:rsidR="00F960EA">
        <w:t>was</w:t>
      </w:r>
      <w:r>
        <w:t xml:space="preserve"> </w:t>
      </w:r>
      <w:r w:rsidR="00F960EA">
        <w:t>excluded from</w:t>
      </w:r>
      <w:r>
        <w:t xml:space="preserve"> these analyses</w:t>
      </w:r>
      <w:r w:rsidR="00F960EA">
        <w:t>, in addition to the ineligible (X) records</w:t>
      </w:r>
      <w:r>
        <w:t>.</w:t>
      </w:r>
    </w:p>
    <w:p w:rsidR="005D5EC7" w:rsidRDefault="009B3B88" w:rsidP="005C5602">
      <w:r>
        <w:t xml:space="preserve">The first analysis examined whether variation in the rate of response was related to the type of boat selected for profiling during the Boat Survey. </w:t>
      </w:r>
      <w:r w:rsidR="006020BA">
        <w:t xml:space="preserve">As shown in </w:t>
      </w:r>
      <w:r w:rsidR="00E36FE8">
        <w:fldChar w:fldCharType="begin"/>
      </w:r>
      <w:r w:rsidR="00E36FE8">
        <w:instrText xml:space="preserve"> REF _Ref382208811 \h </w:instrText>
      </w:r>
      <w:r w:rsidR="00E36FE8">
        <w:fldChar w:fldCharType="separate"/>
      </w:r>
      <w:r w:rsidR="004E5AC7">
        <w:t xml:space="preserve">Figure </w:t>
      </w:r>
      <w:r w:rsidR="004E5AC7">
        <w:rPr>
          <w:noProof/>
        </w:rPr>
        <w:t>1</w:t>
      </w:r>
      <w:r w:rsidR="00E36FE8">
        <w:fldChar w:fldCharType="end"/>
      </w:r>
      <w:r w:rsidR="006020BA">
        <w:t xml:space="preserve">, the rate of response to the mail survey </w:t>
      </w:r>
      <w:r w:rsidR="00C146F6">
        <w:t>was significantly associated with</w:t>
      </w:r>
      <w:r w:rsidR="006020BA">
        <w:t xml:space="preserve"> the type of boat selected for profiling</w:t>
      </w:r>
      <w:proofErr w:type="gramStart"/>
      <w:r w:rsidR="006020BA">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9</m:t>
            </m:r>
          </m:e>
        </m:d>
        <m:r>
          <w:rPr>
            <w:rFonts w:ascii="Cambria Math" w:hAnsi="Cambria Math"/>
          </w:rPr>
          <m:t xml:space="preserve">= 629.34, p&lt;.0001, </m:t>
        </m:r>
        <m:sSub>
          <m:sSubPr>
            <m:ctrlPr>
              <w:rPr>
                <w:rFonts w:ascii="Cambria Math" w:hAnsi="Cambria Math"/>
                <w:i/>
              </w:rPr>
            </m:ctrlPr>
          </m:sSubPr>
          <m:e>
            <m:r>
              <w:rPr>
                <w:rFonts w:ascii="Cambria Math" w:hAnsi="Cambria Math"/>
              </w:rPr>
              <m:t>φ</m:t>
            </m:r>
          </m:e>
          <m:sub>
            <m:r>
              <w:rPr>
                <w:rFonts w:ascii="Cambria Math" w:hAnsi="Cambria Math"/>
              </w:rPr>
              <m:t>C</m:t>
            </m:r>
          </m:sub>
        </m:sSub>
        <m:r>
          <w:rPr>
            <w:rFonts w:ascii="Cambria Math" w:hAnsi="Cambria Math"/>
          </w:rPr>
          <m:t>=.14</m:t>
        </m:r>
      </m:oMath>
      <w:r w:rsidR="006020BA">
        <w:t xml:space="preserve">. </w:t>
      </w:r>
      <w:r w:rsidR="00E36FE8">
        <w:t xml:space="preserve">This variation appears to be driven primarily by higher response rates from sailboats and long (&gt;28’) powerboats, and by lower response rates from PWCs. </w:t>
      </w:r>
    </w:p>
    <w:p w:rsidR="00E36FE8" w:rsidRDefault="00E36FE8" w:rsidP="00E36FE8">
      <w:pPr>
        <w:pStyle w:val="Caption"/>
        <w:keepNext/>
      </w:pPr>
      <w:bookmarkStart w:id="5" w:name="_Ref382208811"/>
      <w:bookmarkStart w:id="6" w:name="_Toc383765030"/>
      <w:proofErr w:type="gramStart"/>
      <w:r>
        <w:t xml:space="preserve">Figure </w:t>
      </w:r>
      <w:r w:rsidR="005201FA">
        <w:fldChar w:fldCharType="begin"/>
      </w:r>
      <w:r w:rsidR="005201FA">
        <w:instrText xml:space="preserve"> SEQ Figure \* ARABIC </w:instrText>
      </w:r>
      <w:r w:rsidR="005201FA">
        <w:fldChar w:fldCharType="separate"/>
      </w:r>
      <w:r w:rsidR="004E5AC7">
        <w:rPr>
          <w:noProof/>
        </w:rPr>
        <w:t>1</w:t>
      </w:r>
      <w:r w:rsidR="005201FA">
        <w:rPr>
          <w:noProof/>
        </w:rPr>
        <w:fldChar w:fldCharType="end"/>
      </w:r>
      <w:bookmarkEnd w:id="5"/>
      <w:r>
        <w:t>.</w:t>
      </w:r>
      <w:proofErr w:type="gramEnd"/>
      <w:r>
        <w:t xml:space="preserve"> Response Rates by Selected Boat Type for 2011 Boat Survey, Mail Sample</w:t>
      </w:r>
      <w:bookmarkEnd w:id="6"/>
    </w:p>
    <w:p w:rsidR="006020BA" w:rsidRDefault="006020BA" w:rsidP="005C5602">
      <w:r>
        <w:rPr>
          <w:noProof/>
        </w:rPr>
        <w:drawing>
          <wp:inline distT="0" distB="0" distL="0" distR="0" wp14:anchorId="15B3FA13" wp14:editId="348D6A5E">
            <wp:extent cx="5486400" cy="24669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323E" w:rsidRDefault="00F9323E" w:rsidP="00F9323E">
      <w:pPr>
        <w:rPr>
          <w:rFonts w:eastAsiaTheme="minorEastAsia"/>
        </w:rPr>
      </w:pPr>
      <w:r>
        <w:t xml:space="preserve">As shown in </w:t>
      </w:r>
      <w:r w:rsidR="006E0573">
        <w:fldChar w:fldCharType="begin"/>
      </w:r>
      <w:r w:rsidR="006E0573">
        <w:instrText xml:space="preserve"> REF _Ref382214224 \h </w:instrText>
      </w:r>
      <w:r w:rsidR="006E0573">
        <w:fldChar w:fldCharType="separate"/>
      </w:r>
      <w:r w:rsidR="004E5AC7">
        <w:t xml:space="preserve">Figure </w:t>
      </w:r>
      <w:r w:rsidR="004E5AC7">
        <w:rPr>
          <w:noProof/>
        </w:rPr>
        <w:t>2</w:t>
      </w:r>
      <w:r w:rsidR="006E0573">
        <w:fldChar w:fldCharType="end"/>
      </w:r>
      <w:r>
        <w:t>, significant variation in response rates was also observed across the four US Census regions</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3</m:t>
            </m:r>
          </m:e>
        </m:d>
        <m:r>
          <w:rPr>
            <w:rFonts w:ascii="Cambria Math" w:hAnsi="Cambria Math"/>
          </w:rPr>
          <m:t xml:space="preserve">= 173.27, p&lt;.0001, </m:t>
        </m:r>
        <m:sSub>
          <m:sSubPr>
            <m:ctrlPr>
              <w:rPr>
                <w:rFonts w:ascii="Cambria Math" w:hAnsi="Cambria Math"/>
                <w:i/>
              </w:rPr>
            </m:ctrlPr>
          </m:sSubPr>
          <m:e>
            <m:r>
              <w:rPr>
                <w:rFonts w:ascii="Cambria Math" w:hAnsi="Cambria Math"/>
              </w:rPr>
              <m:t>φ</m:t>
            </m:r>
          </m:e>
          <m:sub>
            <m:r>
              <w:rPr>
                <w:rFonts w:ascii="Cambria Math" w:hAnsi="Cambria Math"/>
              </w:rPr>
              <m:t>C</m:t>
            </m:r>
          </m:sub>
        </m:sSub>
        <m:r>
          <w:rPr>
            <w:rFonts w:ascii="Cambria Math" w:hAnsi="Cambria Math"/>
          </w:rPr>
          <m:t>=.07</m:t>
        </m:r>
      </m:oMath>
      <w:r>
        <w:rPr>
          <w:rFonts w:eastAsiaTheme="minorEastAsia"/>
        </w:rPr>
        <w:t>. In this case, the variation is driven primarily by lower response rates in the South region.</w:t>
      </w:r>
    </w:p>
    <w:p w:rsidR="006E0573" w:rsidRDefault="006E0573" w:rsidP="006E0573">
      <w:pPr>
        <w:pStyle w:val="Caption"/>
        <w:keepNext/>
      </w:pPr>
      <w:bookmarkStart w:id="7" w:name="_Ref382214224"/>
      <w:bookmarkStart w:id="8" w:name="_Toc383765031"/>
      <w:proofErr w:type="gramStart"/>
      <w:r>
        <w:lastRenderedPageBreak/>
        <w:t xml:space="preserve">Figure </w:t>
      </w:r>
      <w:r w:rsidR="005201FA">
        <w:fldChar w:fldCharType="begin"/>
      </w:r>
      <w:r w:rsidR="005201FA">
        <w:instrText xml:space="preserve"> SEQ Figure \* ARABIC </w:instrText>
      </w:r>
      <w:r w:rsidR="005201FA">
        <w:fldChar w:fldCharType="separate"/>
      </w:r>
      <w:r w:rsidR="004E5AC7">
        <w:rPr>
          <w:noProof/>
        </w:rPr>
        <w:t>2</w:t>
      </w:r>
      <w:r w:rsidR="005201FA">
        <w:rPr>
          <w:noProof/>
        </w:rPr>
        <w:fldChar w:fldCharType="end"/>
      </w:r>
      <w:bookmarkEnd w:id="7"/>
      <w:r>
        <w:t>.</w:t>
      </w:r>
      <w:proofErr w:type="gramEnd"/>
      <w:r>
        <w:t xml:space="preserve"> Response Rates by Region for 2011 Boat Survey, Mail Sample</w:t>
      </w:r>
      <w:bookmarkEnd w:id="8"/>
    </w:p>
    <w:p w:rsidR="00F9323E" w:rsidRDefault="00F9323E" w:rsidP="00F9323E">
      <w:r>
        <w:rPr>
          <w:noProof/>
        </w:rPr>
        <w:drawing>
          <wp:inline distT="0" distB="0" distL="0" distR="0" wp14:anchorId="30366C38" wp14:editId="32E2728B">
            <wp:extent cx="5486400" cy="15430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5DBD" w:rsidRDefault="00E05DBD" w:rsidP="00F9323E">
      <w:r>
        <w:t xml:space="preserve">These analyses suggest that the probability of response to the mail survey </w:t>
      </w:r>
      <w:r w:rsidR="00C146F6">
        <w:t>may be</w:t>
      </w:r>
      <w:r>
        <w:t xml:space="preserve"> associated with characteristics that are relevant to survey estimates</w:t>
      </w:r>
      <w:r w:rsidR="00C146F6">
        <w:t xml:space="preserve"> (i.e., boat types)</w:t>
      </w:r>
      <w:r>
        <w:t xml:space="preserve">. The potential for this variation to bias survey estimates, however, is minimized by several features of the survey design. First, </w:t>
      </w:r>
      <w:r w:rsidR="00B33BA9">
        <w:t xml:space="preserve">rare boat types, which </w:t>
      </w:r>
      <w:r w:rsidR="00C507BC">
        <w:t xml:space="preserve">were </w:t>
      </w:r>
      <w:r w:rsidR="00B33BA9">
        <w:t>defined to include PWCs, were oversampled to increase their representation. Second, responses were weighted by boat type to known or estimated population totals for registered and unregistered boats</w:t>
      </w:r>
      <w:r w:rsidR="00C01449">
        <w:t>. Because this weighting adjustment was computed separately within each state, it also corrected for variation in non-response across geographic regions.</w:t>
      </w:r>
      <w:r w:rsidR="00246AAC">
        <w:t xml:space="preserve"> Nevertheless, the </w:t>
      </w:r>
      <w:r w:rsidR="00C507BC">
        <w:t xml:space="preserve">observed </w:t>
      </w:r>
      <w:r w:rsidR="00246AAC">
        <w:t xml:space="preserve">variation in response rates by boat type suggests that future efforts to survey this population should continue to oversample rare boat types, particularly those such as PWCs that are less likely to </w:t>
      </w:r>
      <w:r w:rsidR="00C146F6">
        <w:t>generate</w:t>
      </w:r>
      <w:r w:rsidR="00246AAC">
        <w:t xml:space="preserve"> a response.</w:t>
      </w:r>
    </w:p>
    <w:p w:rsidR="00584862" w:rsidRDefault="00584862" w:rsidP="00416DFC">
      <w:pPr>
        <w:pStyle w:val="Heading2"/>
      </w:pPr>
      <w:bookmarkStart w:id="9" w:name="_Toc383784081"/>
      <w:r>
        <w:t>RDD Sample</w:t>
      </w:r>
      <w:bookmarkEnd w:id="9"/>
    </w:p>
    <w:p w:rsidR="006342C6" w:rsidRDefault="00F960EA" w:rsidP="006342C6">
      <w:r>
        <w:t xml:space="preserve">The RDD sample was prepared for analysis by first assigning a standard AAPOR disposition to each record. </w:t>
      </w:r>
      <w:r w:rsidR="0097738E">
        <w:t>Complete interviews (I) include</w:t>
      </w:r>
      <w:r w:rsidR="004C5B69">
        <w:t xml:space="preserve"> completed interviews with boat owners as well as completed interviews with non-boat owners who completed the boating participation module. </w:t>
      </w:r>
      <w:r>
        <w:t>The followi</w:t>
      </w:r>
      <w:r w:rsidR="00C507BC">
        <w:t>ng analyses compare respondents</w:t>
      </w:r>
      <w:r>
        <w:t xml:space="preserve"> (I) to eligible non-respondents (E). For simplicity, the records of unknown eligibility (U) </w:t>
      </w:r>
      <w:r w:rsidR="000D45C3">
        <w:t>were</w:t>
      </w:r>
      <w:r>
        <w:t xml:space="preserve"> excluded from these analyses, in addition to the ineligible (X) records.</w:t>
      </w:r>
    </w:p>
    <w:p w:rsidR="00073A83" w:rsidRDefault="00F960EA" w:rsidP="00F960EA">
      <w:r>
        <w:t>Compared to the mail sample, the RDD sample provides less auxiliary information because the frame is constructed from phone number</w:t>
      </w:r>
      <w:r w:rsidR="00C45F43">
        <w:t xml:space="preserve"> databases</w:t>
      </w:r>
      <w:r>
        <w:t xml:space="preserve">; hence, there is no way to classify non-respondents by boat type. </w:t>
      </w:r>
      <w:proofErr w:type="gramStart"/>
      <w:r w:rsidR="004F13C0">
        <w:t xml:space="preserve">As with the mail sample, however, response rates can be compared by geographic region based on the </w:t>
      </w:r>
      <w:r w:rsidR="00C507BC">
        <w:t>state associated with each phone number on the frame</w:t>
      </w:r>
      <w:r w:rsidR="004F13C0">
        <w:t>.</w:t>
      </w:r>
      <w:proofErr w:type="gramEnd"/>
      <w:r w:rsidR="004F13C0">
        <w:t xml:space="preserve"> This comparison can be made separately for both landline and cell phone records (with the caveat that the geographic accuracy of cell phone records is known to be lower).</w:t>
      </w:r>
      <w:r w:rsidR="000146E7">
        <w:t xml:space="preserve"> </w:t>
      </w:r>
      <w:r w:rsidR="006E0573">
        <w:t xml:space="preserve">As shown in </w:t>
      </w:r>
      <w:r w:rsidR="00073A83">
        <w:fldChar w:fldCharType="begin"/>
      </w:r>
      <w:r w:rsidR="00073A83">
        <w:instrText xml:space="preserve"> REF _Ref382214939 \h </w:instrText>
      </w:r>
      <w:r w:rsidR="00073A83">
        <w:fldChar w:fldCharType="separate"/>
      </w:r>
      <w:r w:rsidR="004E5AC7">
        <w:rPr>
          <w:b/>
          <w:bCs/>
        </w:rPr>
        <w:t xml:space="preserve">Error! Reference source not </w:t>
      </w:r>
      <w:proofErr w:type="gramStart"/>
      <w:r w:rsidR="004E5AC7">
        <w:rPr>
          <w:b/>
          <w:bCs/>
        </w:rPr>
        <w:t>found.</w:t>
      </w:r>
      <w:r w:rsidR="00073A83">
        <w:fldChar w:fldCharType="end"/>
      </w:r>
      <w:r w:rsidR="006E0573">
        <w:t>,</w:t>
      </w:r>
      <w:proofErr w:type="gramEnd"/>
      <w:r w:rsidR="006E0573">
        <w:t xml:space="preserve"> response rates for the full RDD sample (landline and cell phone</w:t>
      </w:r>
      <w:r w:rsidR="00C146F6">
        <w:t xml:space="preserve"> combined</w:t>
      </w:r>
      <w:r w:rsidR="008C26A7">
        <w:t>; blue bars</w:t>
      </w:r>
      <w:r w:rsidR="006E0573">
        <w:t xml:space="preserve">) varied significantly by region, </w:t>
      </w:r>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3</m:t>
            </m:r>
          </m:e>
        </m:d>
        <m:r>
          <w:rPr>
            <w:rFonts w:ascii="Cambria Math" w:hAnsi="Cambria Math"/>
          </w:rPr>
          <m:t xml:space="preserve">= 516.01, p&lt;.0001, </m:t>
        </m:r>
        <m:sSub>
          <m:sSubPr>
            <m:ctrlPr>
              <w:rPr>
                <w:rFonts w:ascii="Cambria Math" w:hAnsi="Cambria Math"/>
                <w:i/>
              </w:rPr>
            </m:ctrlPr>
          </m:sSubPr>
          <m:e>
            <m:r>
              <w:rPr>
                <w:rFonts w:ascii="Cambria Math" w:hAnsi="Cambria Math"/>
              </w:rPr>
              <m:t>φ</m:t>
            </m:r>
          </m:e>
          <m:sub>
            <m:r>
              <w:rPr>
                <w:rFonts w:ascii="Cambria Math" w:hAnsi="Cambria Math"/>
              </w:rPr>
              <m:t>C</m:t>
            </m:r>
          </m:sub>
        </m:sSub>
        <m:r>
          <w:rPr>
            <w:rFonts w:ascii="Cambria Math" w:hAnsi="Cambria Math"/>
          </w:rPr>
          <m:t>=.05</m:t>
        </m:r>
      </m:oMath>
      <w:r w:rsidR="00C507BC">
        <w:rPr>
          <w:rFonts w:eastAsiaTheme="minorEastAsia"/>
        </w:rPr>
        <w:t>, with the Northeast and West regions being higher than the Midwest and South</w:t>
      </w:r>
      <w:r w:rsidR="00836FC2">
        <w:rPr>
          <w:rFonts w:eastAsiaTheme="minorEastAsia"/>
        </w:rPr>
        <w:t>.</w:t>
      </w:r>
      <w:r w:rsidR="00073A83">
        <w:rPr>
          <w:rFonts w:eastAsiaTheme="minorEastAsia"/>
        </w:rPr>
        <w:t xml:space="preserve"> The same, statistically significant pattern was observed in both landline</w:t>
      </w:r>
      <w:r w:rsidR="008C26A7">
        <w:rPr>
          <w:rFonts w:eastAsiaTheme="minorEastAsia"/>
        </w:rPr>
        <w:t xml:space="preserve"> (green bars)</w:t>
      </w:r>
      <w:r w:rsidR="00073A83">
        <w:rPr>
          <w:rFonts w:eastAsiaTheme="minorEastAsia"/>
        </w:rPr>
        <w:t xml:space="preserve"> and cell phone </w:t>
      </w:r>
      <w:r w:rsidR="008C26A7">
        <w:rPr>
          <w:rFonts w:eastAsiaTheme="minorEastAsia"/>
        </w:rPr>
        <w:t xml:space="preserve">(red bars) </w:t>
      </w:r>
      <w:r w:rsidR="00073A83">
        <w:rPr>
          <w:rFonts w:eastAsiaTheme="minorEastAsia"/>
        </w:rPr>
        <w:t>sample separately.</w:t>
      </w:r>
      <w:r w:rsidR="00B2717C">
        <w:rPr>
          <w:rFonts w:eastAsiaTheme="minorEastAsia"/>
        </w:rPr>
        <w:t xml:space="preserve"> </w:t>
      </w:r>
    </w:p>
    <w:p w:rsidR="008C26A7" w:rsidRDefault="008C26A7" w:rsidP="008C26A7">
      <w:pPr>
        <w:pStyle w:val="Caption"/>
        <w:keepNext/>
      </w:pPr>
      <w:bookmarkStart w:id="10" w:name="_Toc383765032"/>
      <w:proofErr w:type="gramStart"/>
      <w:r>
        <w:lastRenderedPageBreak/>
        <w:t xml:space="preserve">Figure </w:t>
      </w:r>
      <w:r w:rsidR="005201FA">
        <w:fldChar w:fldCharType="begin"/>
      </w:r>
      <w:r w:rsidR="005201FA">
        <w:instrText xml:space="preserve"> SEQ Figure \* ARABIC </w:instrText>
      </w:r>
      <w:r w:rsidR="005201FA">
        <w:fldChar w:fldCharType="separate"/>
      </w:r>
      <w:r w:rsidR="004E5AC7">
        <w:rPr>
          <w:noProof/>
        </w:rPr>
        <w:t>3</w:t>
      </w:r>
      <w:r w:rsidR="005201FA">
        <w:rPr>
          <w:noProof/>
        </w:rPr>
        <w:fldChar w:fldCharType="end"/>
      </w:r>
      <w:r>
        <w:t>.</w:t>
      </w:r>
      <w:proofErr w:type="gramEnd"/>
      <w:r>
        <w:t xml:space="preserve"> Response Rates by Region for 2011 Boat Survey, RDD Sample, by Call Type</w:t>
      </w:r>
      <w:bookmarkEnd w:id="10"/>
    </w:p>
    <w:p w:rsidR="008C26A7" w:rsidRDefault="008C26A7" w:rsidP="00F960EA">
      <w:r>
        <w:rPr>
          <w:noProof/>
        </w:rPr>
        <w:drawing>
          <wp:inline distT="0" distB="0" distL="0" distR="0" wp14:anchorId="3450FBF0" wp14:editId="21DDFDEE">
            <wp:extent cx="5486400" cy="33718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19BF" w:rsidRDefault="004F13C0" w:rsidP="00F960EA">
      <w:pPr>
        <w:rPr>
          <w:rFonts w:eastAsiaTheme="minorEastAsia"/>
        </w:rPr>
      </w:pPr>
      <w:r>
        <w:t xml:space="preserve">Response rates in the RDD landline sample can also be compared </w:t>
      </w:r>
      <w:r w:rsidR="00836FC2">
        <w:t xml:space="preserve">based on the geographic stratification of ZIP codes according to the per-capita density of boat owners. Specifically, within each state, landline sample was divided into </w:t>
      </w:r>
      <w:r w:rsidR="000A19BF">
        <w:t xml:space="preserve">a </w:t>
      </w:r>
      <w:r w:rsidR="00836FC2">
        <w:t xml:space="preserve">high- or low-density </w:t>
      </w:r>
      <w:r w:rsidR="00B47B13">
        <w:t xml:space="preserve">boat owner </w:t>
      </w:r>
      <w:r w:rsidR="000A19BF">
        <w:t xml:space="preserve">stratum </w:t>
      </w:r>
      <w:r w:rsidR="00836FC2">
        <w:t xml:space="preserve">based on the ZIP code associated with the phone number. </w:t>
      </w:r>
      <w:r w:rsidR="000A19BF">
        <w:t xml:space="preserve">Data on boat owner density was received from Info-Link, </w:t>
      </w:r>
      <w:r w:rsidR="00B47B13">
        <w:t>the same list vendor that provided access to state boater registry databases. Info-Link used these databases to compute the rate of boat owners per capita in each ZIP code, and these rates were used to define density strata</w:t>
      </w:r>
      <w:r w:rsidR="000A19BF">
        <w:t>.</w:t>
      </w:r>
      <w:r w:rsidR="000D45C3">
        <w:t xml:space="preserve"> </w:t>
      </w:r>
      <w:r w:rsidR="000A19BF">
        <w:t>Response rates in high-density strata were significantly higher (19%) compared to low-density strata (16%)</w:t>
      </w:r>
      <w:proofErr w:type="gramStart"/>
      <w:r w:rsidR="000A19BF">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1</m:t>
            </m:r>
          </m:e>
        </m:d>
        <m:r>
          <w:rPr>
            <w:rFonts w:ascii="Cambria Math" w:hAnsi="Cambria Math"/>
          </w:rPr>
          <m:t xml:space="preserve">= 160.66, p&lt;.0001, </m:t>
        </m:r>
        <m:sSub>
          <m:sSubPr>
            <m:ctrlPr>
              <w:rPr>
                <w:rFonts w:ascii="Cambria Math" w:hAnsi="Cambria Math"/>
                <w:i/>
              </w:rPr>
            </m:ctrlPr>
          </m:sSubPr>
          <m:e>
            <m:r>
              <w:rPr>
                <w:rFonts w:ascii="Cambria Math" w:hAnsi="Cambria Math"/>
              </w:rPr>
              <m:t>φ</m:t>
            </m:r>
          </m:e>
          <m:sub>
            <m:r>
              <w:rPr>
                <w:rFonts w:ascii="Cambria Math" w:hAnsi="Cambria Math"/>
              </w:rPr>
              <m:t>C</m:t>
            </m:r>
          </m:sub>
        </m:sSub>
        <m:r>
          <w:rPr>
            <w:rFonts w:ascii="Cambria Math" w:hAnsi="Cambria Math"/>
          </w:rPr>
          <m:t>=.03</m:t>
        </m:r>
      </m:oMath>
      <w:r w:rsidR="000D45C3">
        <w:rPr>
          <w:rFonts w:eastAsiaTheme="minorEastAsia"/>
        </w:rPr>
        <w:t>.</w:t>
      </w:r>
    </w:p>
    <w:p w:rsidR="00B47B13" w:rsidRDefault="00335040" w:rsidP="00335040">
      <w:r>
        <w:t>An alternative approach to non-response analysis in RDD surveys is to compare responses based on the point in the dialing protocol at which a completed interview was achieved. Although this type of analysis does n</w:t>
      </w:r>
      <w:r w:rsidR="00B47B13">
        <w:t xml:space="preserve">ot technically </w:t>
      </w:r>
      <w:r>
        <w:t>compare responders to non-responders, it can approximate such a comparison to the extent that late responders</w:t>
      </w:r>
      <w:r w:rsidR="00B47B13">
        <w:t xml:space="preserve"> are similar to non-responders.</w:t>
      </w:r>
    </w:p>
    <w:p w:rsidR="00335040" w:rsidRDefault="00335040" w:rsidP="00335040">
      <w:r>
        <w:t>The cumulative distribution of call attempts required to achieve a completed interview for all records on the survey dataset is shown in</w:t>
      </w:r>
      <w:r w:rsidR="00904D86">
        <w:t xml:space="preserve"> </w:t>
      </w:r>
      <w:r w:rsidR="00904D86">
        <w:fldChar w:fldCharType="begin"/>
      </w:r>
      <w:r w:rsidR="00904D86">
        <w:instrText xml:space="preserve"> REF _Ref383764400 \h </w:instrText>
      </w:r>
      <w:r w:rsidR="00904D86">
        <w:fldChar w:fldCharType="separate"/>
      </w:r>
      <w:r w:rsidR="004E5AC7">
        <w:t xml:space="preserve">Figure </w:t>
      </w:r>
      <w:r w:rsidR="004E5AC7">
        <w:rPr>
          <w:noProof/>
        </w:rPr>
        <w:t>4</w:t>
      </w:r>
      <w:r w:rsidR="00904D86">
        <w:fldChar w:fldCharType="end"/>
      </w:r>
      <w:r>
        <w:t xml:space="preserve">. For the purposes of the current analysis, respondents who required 5 or fewer call attempts are </w:t>
      </w:r>
      <w:r w:rsidR="00E00FB9">
        <w:t>classified as</w:t>
      </w:r>
      <w:r>
        <w:t xml:space="preserve"> “early responders” and respondents who required more than 5 attempts are </w:t>
      </w:r>
      <w:r w:rsidR="00E00FB9">
        <w:t xml:space="preserve">classified as </w:t>
      </w:r>
      <w:r>
        <w:t xml:space="preserve">“late responders.” This results in </w:t>
      </w:r>
      <w:r w:rsidR="00DA6B5D">
        <w:t>80</w:t>
      </w:r>
      <w:r>
        <w:t xml:space="preserve">% of </w:t>
      </w:r>
      <w:r w:rsidR="00E00FB9">
        <w:t xml:space="preserve">survey </w:t>
      </w:r>
      <w:r>
        <w:t>responses being categorized as early and 2</w:t>
      </w:r>
      <w:r w:rsidR="00DA6B5D">
        <w:t>0</w:t>
      </w:r>
      <w:r>
        <w:t xml:space="preserve">% of </w:t>
      </w:r>
      <w:r w:rsidR="00E00FB9">
        <w:t xml:space="preserve">survey </w:t>
      </w:r>
      <w:r>
        <w:t>responses being categorized as late.</w:t>
      </w:r>
    </w:p>
    <w:p w:rsidR="00904D86" w:rsidRDefault="00904D86" w:rsidP="00904D86">
      <w:pPr>
        <w:pStyle w:val="Caption"/>
        <w:keepNext/>
      </w:pPr>
      <w:bookmarkStart w:id="11" w:name="_Ref383764400"/>
      <w:bookmarkStart w:id="12" w:name="_Toc383765033"/>
      <w:proofErr w:type="gramStart"/>
      <w:r>
        <w:lastRenderedPageBreak/>
        <w:t xml:space="preserve">Figure </w:t>
      </w:r>
      <w:r w:rsidR="005201FA">
        <w:fldChar w:fldCharType="begin"/>
      </w:r>
      <w:r w:rsidR="005201FA">
        <w:instrText xml:space="preserve"> SEQ Figure \* ARABIC </w:instrText>
      </w:r>
      <w:r w:rsidR="005201FA">
        <w:fldChar w:fldCharType="separate"/>
      </w:r>
      <w:r w:rsidR="004E5AC7">
        <w:rPr>
          <w:noProof/>
        </w:rPr>
        <w:t>4</w:t>
      </w:r>
      <w:r w:rsidR="005201FA">
        <w:rPr>
          <w:noProof/>
        </w:rPr>
        <w:fldChar w:fldCharType="end"/>
      </w:r>
      <w:bookmarkEnd w:id="11"/>
      <w:r>
        <w:t>.</w:t>
      </w:r>
      <w:proofErr w:type="gramEnd"/>
      <w:r>
        <w:t xml:space="preserve"> Proportion of Completed Boat Survey RDD Interviews Achieved by Number of Call Attempts</w:t>
      </w:r>
      <w:bookmarkEnd w:id="12"/>
    </w:p>
    <w:p w:rsidR="00904D86" w:rsidRDefault="00904D86" w:rsidP="00335040">
      <w:r>
        <w:rPr>
          <w:noProof/>
        </w:rPr>
        <w:drawing>
          <wp:inline distT="0" distB="0" distL="0" distR="0" wp14:anchorId="5C6361D6" wp14:editId="6BAD286E">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0FB9" w:rsidRDefault="00A84C04" w:rsidP="00335040">
      <w:r>
        <w:fldChar w:fldCharType="begin"/>
      </w:r>
      <w:r>
        <w:instrText xml:space="preserve"> REF _Ref383701084 \h </w:instrText>
      </w:r>
      <w:r>
        <w:fldChar w:fldCharType="separate"/>
      </w:r>
      <w:r w:rsidR="004E5AC7">
        <w:t xml:space="preserve">Figure </w:t>
      </w:r>
      <w:r w:rsidR="004E5AC7">
        <w:rPr>
          <w:noProof/>
        </w:rPr>
        <w:t>5</w:t>
      </w:r>
      <w:r>
        <w:fldChar w:fldCharType="end"/>
      </w:r>
      <w:r w:rsidR="00335040">
        <w:t xml:space="preserve"> compares the </w:t>
      </w:r>
      <w:r w:rsidR="00E00FB9">
        <w:t>proportions</w:t>
      </w:r>
      <w:r w:rsidR="00335040">
        <w:t xml:space="preserve"> for selected dichotomous survey items between early and late responders. Significant differences are marked with an asterisk </w:t>
      </w:r>
      <w:r w:rsidR="00E00FB9">
        <w:t>at the end of the</w:t>
      </w:r>
      <w:r w:rsidR="00335040">
        <w:t xml:space="preserve"> survey item </w:t>
      </w:r>
      <w:r w:rsidR="00E00FB9">
        <w:t>label (y-axis).</w:t>
      </w:r>
    </w:p>
    <w:p w:rsidR="00E00FB9" w:rsidRDefault="00A84C04" w:rsidP="00335040">
      <w:r>
        <w:t>Compared to late responders, early responders were signific</w:t>
      </w:r>
      <w:r w:rsidR="00E00FB9">
        <w:t xml:space="preserve">antly more likely to report: </w:t>
      </w:r>
    </w:p>
    <w:p w:rsidR="00E00FB9" w:rsidRDefault="00E00FB9" w:rsidP="00E00FB9">
      <w:pPr>
        <w:pStyle w:val="ListParagraph"/>
        <w:numPr>
          <w:ilvl w:val="0"/>
          <w:numId w:val="4"/>
        </w:numPr>
      </w:pPr>
      <w:r>
        <w:t>H</w:t>
      </w:r>
      <w:r w:rsidR="00A84C04">
        <w:t>ousehold partici</w:t>
      </w:r>
      <w:r>
        <w:t>pation in recreational boating</w:t>
      </w:r>
    </w:p>
    <w:p w:rsidR="00E00FB9" w:rsidRDefault="00E00FB9" w:rsidP="00E00FB9">
      <w:pPr>
        <w:pStyle w:val="ListParagraph"/>
        <w:numPr>
          <w:ilvl w:val="0"/>
          <w:numId w:val="4"/>
        </w:numPr>
      </w:pPr>
      <w:r>
        <w:t>H</w:t>
      </w:r>
      <w:r w:rsidR="00A84C04">
        <w:t>ousehold partic</w:t>
      </w:r>
      <w:r>
        <w:t>ipation in fishing from a boat</w:t>
      </w:r>
    </w:p>
    <w:p w:rsidR="00E00FB9" w:rsidRDefault="00E00FB9" w:rsidP="00E00FB9">
      <w:pPr>
        <w:pStyle w:val="ListParagraph"/>
        <w:numPr>
          <w:ilvl w:val="0"/>
          <w:numId w:val="4"/>
        </w:numPr>
      </w:pPr>
      <w:r>
        <w:t>H</w:t>
      </w:r>
      <w:r w:rsidR="00A84C04">
        <w:t>ousehold partici</w:t>
      </w:r>
      <w:r>
        <w:t>pation in canoeing or kayaking</w:t>
      </w:r>
    </w:p>
    <w:p w:rsidR="00E00FB9" w:rsidRDefault="00E00FB9" w:rsidP="00E00FB9">
      <w:pPr>
        <w:pStyle w:val="ListParagraph"/>
        <w:numPr>
          <w:ilvl w:val="0"/>
          <w:numId w:val="4"/>
        </w:numPr>
      </w:pPr>
      <w:r>
        <w:t>A</w:t>
      </w:r>
      <w:r w:rsidR="00A84C04">
        <w:t xml:space="preserve">n intention to take </w:t>
      </w:r>
      <w:r>
        <w:t>the selected boat on the water</w:t>
      </w:r>
    </w:p>
    <w:p w:rsidR="00E00FB9" w:rsidRDefault="00E00FB9" w:rsidP="00E00FB9">
      <w:pPr>
        <w:pStyle w:val="ListParagraph"/>
        <w:numPr>
          <w:ilvl w:val="0"/>
          <w:numId w:val="4"/>
        </w:numPr>
      </w:pPr>
      <w:r>
        <w:t>A</w:t>
      </w:r>
      <w:r w:rsidR="00A84C04">
        <w:t>nd to agree to join the 201</w:t>
      </w:r>
      <w:r>
        <w:t>2 Trip Survey panel</w:t>
      </w:r>
    </w:p>
    <w:p w:rsidR="00A84C04" w:rsidRDefault="00A84C04" w:rsidP="00335040">
      <w:r>
        <w:t xml:space="preserve">Though of small magnitude, these differences generally suggest that late responders are somewhat less engaged with boating, implying a significant but small risk of non-response bias to the extent that </w:t>
      </w:r>
      <w:r w:rsidR="00E00FB9">
        <w:t xml:space="preserve">the </w:t>
      </w:r>
      <w:r>
        <w:t>opinions of boat owners less engaged with boating may be underrepresented.</w:t>
      </w:r>
    </w:p>
    <w:p w:rsidR="00335040" w:rsidRDefault="00335040" w:rsidP="00335040">
      <w:pPr>
        <w:pStyle w:val="Caption"/>
        <w:keepNext/>
      </w:pPr>
      <w:bookmarkStart w:id="13" w:name="_Ref383701084"/>
      <w:bookmarkStart w:id="14" w:name="_Toc383765034"/>
      <w:proofErr w:type="gramStart"/>
      <w:r>
        <w:lastRenderedPageBreak/>
        <w:t xml:space="preserve">Figure </w:t>
      </w:r>
      <w:r w:rsidR="005201FA">
        <w:fldChar w:fldCharType="begin"/>
      </w:r>
      <w:r w:rsidR="005201FA">
        <w:instrText xml:space="preserve"> SEQ Figure \* ARABIC </w:instrText>
      </w:r>
      <w:r w:rsidR="005201FA">
        <w:fldChar w:fldCharType="separate"/>
      </w:r>
      <w:r w:rsidR="004E5AC7">
        <w:rPr>
          <w:noProof/>
        </w:rPr>
        <w:t>5</w:t>
      </w:r>
      <w:r w:rsidR="005201FA">
        <w:rPr>
          <w:noProof/>
        </w:rPr>
        <w:fldChar w:fldCharType="end"/>
      </w:r>
      <w:bookmarkEnd w:id="13"/>
      <w:r>
        <w:t>.</w:t>
      </w:r>
      <w:proofErr w:type="gramEnd"/>
      <w:r>
        <w:t xml:space="preserve"> Mean of Selected </w:t>
      </w:r>
      <w:r w:rsidR="00A84C04">
        <w:t xml:space="preserve">Boat </w:t>
      </w:r>
      <w:r>
        <w:t>Survey Items for Early and Late Responders</w:t>
      </w:r>
      <w:bookmarkEnd w:id="14"/>
    </w:p>
    <w:p w:rsidR="00335040" w:rsidRDefault="00335040" w:rsidP="00335040">
      <w:r>
        <w:rPr>
          <w:noProof/>
        </w:rPr>
        <w:drawing>
          <wp:inline distT="0" distB="0" distL="0" distR="0" wp14:anchorId="6CF4EE0F" wp14:editId="0B5D9716">
            <wp:extent cx="5486400" cy="503872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5040" w:rsidRDefault="00335040" w:rsidP="00335040">
      <w:r>
        <w:t xml:space="preserve">Two continuous demographic measures were also compared between early and late responders. </w:t>
      </w:r>
      <w:r w:rsidR="00E00FB9">
        <w:t>Late responders had significantly fewer people living in their households</w:t>
      </w:r>
      <w:r>
        <w:t xml:space="preserve"> </w:t>
      </w:r>
      <w:r w:rsidRPr="00665B84">
        <w:t>(</w:t>
      </w:r>
      <w:r w:rsidRPr="00665B84">
        <w:rPr>
          <w:i/>
        </w:rPr>
        <w:t>M</w:t>
      </w:r>
      <w:r w:rsidRPr="00665B84">
        <w:t xml:space="preserve"> =</w:t>
      </w:r>
      <w:r w:rsidR="00A84C04">
        <w:t xml:space="preserve"> 2.62</w:t>
      </w:r>
      <w:r>
        <w:t xml:space="preserve">, </w:t>
      </w:r>
      <w:r w:rsidRPr="00D76B7D">
        <w:rPr>
          <w:i/>
        </w:rPr>
        <w:t>SD</w:t>
      </w:r>
      <w:r w:rsidRPr="00D76B7D">
        <w:t xml:space="preserve"> =</w:t>
      </w:r>
      <w:r>
        <w:t xml:space="preserve"> 1.4</w:t>
      </w:r>
      <w:r w:rsidR="00A84C04">
        <w:t>5</w:t>
      </w:r>
      <w:r>
        <w:t xml:space="preserve">) compared to early responders </w:t>
      </w:r>
      <w:r w:rsidRPr="00665B84">
        <w:t>(</w:t>
      </w:r>
      <w:r w:rsidRPr="00665B84">
        <w:rPr>
          <w:i/>
        </w:rPr>
        <w:t>M</w:t>
      </w:r>
      <w:r w:rsidRPr="00665B84">
        <w:t xml:space="preserve"> =</w:t>
      </w:r>
      <w:r>
        <w:t xml:space="preserve"> 2.</w:t>
      </w:r>
      <w:r w:rsidR="00A84C04">
        <w:t>71</w:t>
      </w:r>
      <w:r>
        <w:t xml:space="preserve">, </w:t>
      </w:r>
      <w:r w:rsidRPr="00D76B7D">
        <w:rPr>
          <w:i/>
        </w:rPr>
        <w:t>SD</w:t>
      </w:r>
      <w:r w:rsidRPr="00D76B7D">
        <w:t xml:space="preserve"> =</w:t>
      </w:r>
      <w:r>
        <w:t xml:space="preserve"> 1.47)</w:t>
      </w:r>
      <w:proofErr w:type="gramStart"/>
      <w:r>
        <w:t xml:space="preserve">, </w:t>
      </w:r>
      <w:proofErr w:type="gramEnd"/>
      <m:oMath>
        <m:r>
          <w:rPr>
            <w:rFonts w:ascii="Cambria Math" w:hAnsi="Cambria Math"/>
          </w:rPr>
          <m:t>t</m:t>
        </m:r>
        <m:d>
          <m:dPr>
            <m:ctrlPr>
              <w:rPr>
                <w:rFonts w:ascii="Cambria Math" w:hAnsi="Cambria Math"/>
                <w:i/>
              </w:rPr>
            </m:ctrlPr>
          </m:dPr>
          <m:e>
            <m:r>
              <w:rPr>
                <w:rFonts w:ascii="Cambria Math" w:hAnsi="Cambria Math"/>
              </w:rPr>
              <m:t>20566</m:t>
            </m:r>
          </m:e>
        </m:d>
        <m:r>
          <w:rPr>
            <w:rFonts w:ascii="Cambria Math" w:hAnsi="Cambria Math"/>
          </w:rPr>
          <m:t>=-3.66, p=.0003</m:t>
        </m:r>
      </m:oMath>
      <w:r>
        <w:rPr>
          <w:rFonts w:eastAsiaTheme="minorEastAsia"/>
        </w:rPr>
        <w:t xml:space="preserve">. </w:t>
      </w:r>
      <w:r w:rsidR="00E00FB9">
        <w:rPr>
          <w:rFonts w:eastAsiaTheme="minorEastAsia"/>
        </w:rPr>
        <w:t xml:space="preserve">In addition, </w:t>
      </w:r>
      <w:r>
        <w:rPr>
          <w:rFonts w:eastAsiaTheme="minorEastAsia"/>
        </w:rPr>
        <w:t xml:space="preserve">late responders </w:t>
      </w:r>
      <w:r w:rsidR="00E00FB9">
        <w:rPr>
          <w:rFonts w:eastAsiaTheme="minorEastAsia"/>
        </w:rPr>
        <w:t xml:space="preserve">were significantly older </w:t>
      </w:r>
      <w:r w:rsidRPr="0055679F">
        <w:rPr>
          <w:rFonts w:eastAsiaTheme="minorEastAsia"/>
        </w:rPr>
        <w:t>(</w:t>
      </w:r>
      <w:r w:rsidRPr="0055679F">
        <w:rPr>
          <w:rFonts w:eastAsiaTheme="minorEastAsia"/>
          <w:i/>
        </w:rPr>
        <w:t>M</w:t>
      </w:r>
      <w:r w:rsidRPr="0055679F">
        <w:rPr>
          <w:rFonts w:eastAsiaTheme="minorEastAsia"/>
        </w:rPr>
        <w:t xml:space="preserve"> =</w:t>
      </w:r>
      <w:r>
        <w:rPr>
          <w:rFonts w:eastAsiaTheme="minorEastAsia"/>
        </w:rPr>
        <w:t xml:space="preserve"> </w:t>
      </w:r>
      <w:r w:rsidR="00A84C04">
        <w:rPr>
          <w:rFonts w:eastAsiaTheme="minorEastAsia"/>
        </w:rPr>
        <w:t>52.81</w:t>
      </w:r>
      <w:r>
        <w:rPr>
          <w:rFonts w:eastAsiaTheme="minorEastAsia"/>
        </w:rPr>
        <w:t xml:space="preserve">, </w:t>
      </w:r>
      <w:r w:rsidRPr="0055679F">
        <w:rPr>
          <w:rFonts w:eastAsiaTheme="minorEastAsia"/>
          <w:i/>
        </w:rPr>
        <w:t>SD</w:t>
      </w:r>
      <w:r w:rsidRPr="0055679F">
        <w:rPr>
          <w:rFonts w:eastAsiaTheme="minorEastAsia"/>
        </w:rPr>
        <w:t xml:space="preserve"> </w:t>
      </w:r>
      <w:r>
        <w:rPr>
          <w:rFonts w:eastAsiaTheme="minorEastAsia"/>
        </w:rPr>
        <w:t xml:space="preserve">= </w:t>
      </w:r>
      <w:r w:rsidR="00A84C04">
        <w:rPr>
          <w:rFonts w:eastAsiaTheme="minorEastAsia"/>
        </w:rPr>
        <w:t>18.15</w:t>
      </w:r>
      <w:r>
        <w:rPr>
          <w:rFonts w:eastAsiaTheme="minorEastAsia"/>
        </w:rPr>
        <w:t xml:space="preserve">) compared to early responders </w:t>
      </w:r>
      <w:r w:rsidRPr="0055679F">
        <w:rPr>
          <w:rFonts w:eastAsiaTheme="minorEastAsia"/>
        </w:rPr>
        <w:t>(</w:t>
      </w:r>
      <w:r w:rsidRPr="0055679F">
        <w:rPr>
          <w:rFonts w:eastAsiaTheme="minorEastAsia"/>
          <w:i/>
        </w:rPr>
        <w:t>M</w:t>
      </w:r>
      <w:r w:rsidRPr="0055679F">
        <w:rPr>
          <w:rFonts w:eastAsiaTheme="minorEastAsia"/>
        </w:rPr>
        <w:t xml:space="preserve"> =</w:t>
      </w:r>
      <w:r>
        <w:rPr>
          <w:rFonts w:eastAsiaTheme="minorEastAsia"/>
        </w:rPr>
        <w:t xml:space="preserve"> </w:t>
      </w:r>
      <w:r w:rsidR="00A84C04">
        <w:rPr>
          <w:rFonts w:eastAsiaTheme="minorEastAsia"/>
        </w:rPr>
        <w:t>51.71</w:t>
      </w:r>
      <w:r>
        <w:rPr>
          <w:rFonts w:eastAsiaTheme="minorEastAsia"/>
        </w:rPr>
        <w:t xml:space="preserve">, </w:t>
      </w:r>
      <w:r w:rsidRPr="0055679F">
        <w:rPr>
          <w:rFonts w:eastAsiaTheme="minorEastAsia"/>
          <w:i/>
        </w:rPr>
        <w:t>SD</w:t>
      </w:r>
      <w:r w:rsidRPr="0055679F">
        <w:rPr>
          <w:rFonts w:eastAsiaTheme="minorEastAsia"/>
        </w:rPr>
        <w:t xml:space="preserve"> =</w:t>
      </w:r>
      <w:r>
        <w:rPr>
          <w:rFonts w:eastAsiaTheme="minorEastAsia"/>
        </w:rPr>
        <w:t xml:space="preserve"> </w:t>
      </w:r>
      <w:r w:rsidR="00A84C04">
        <w:rPr>
          <w:rFonts w:eastAsiaTheme="minorEastAsia"/>
        </w:rPr>
        <w:t>15.98</w:t>
      </w:r>
      <w:r>
        <w:rPr>
          <w:rFonts w:eastAsiaTheme="minorEastAsia"/>
        </w:rPr>
        <w:t>)</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Satt</m:t>
            </m:r>
          </m:sub>
        </m:sSub>
        <m:d>
          <m:dPr>
            <m:ctrlPr>
              <w:rPr>
                <w:rFonts w:ascii="Cambria Math" w:eastAsiaTheme="minorEastAsia" w:hAnsi="Cambria Math"/>
                <w:i/>
              </w:rPr>
            </m:ctrlPr>
          </m:dPr>
          <m:e>
            <m:r>
              <w:rPr>
                <w:rFonts w:ascii="Cambria Math" w:eastAsiaTheme="minorEastAsia" w:hAnsi="Cambria Math"/>
              </w:rPr>
              <m:t>5277</m:t>
            </m:r>
          </m:e>
        </m:d>
        <m:r>
          <w:rPr>
            <w:rFonts w:ascii="Cambria Math" w:eastAsiaTheme="minorEastAsia" w:hAnsi="Cambria Math"/>
          </w:rPr>
          <m:t>=3.55, p=.0004</m:t>
        </m:r>
      </m:oMath>
      <w:r>
        <w:rPr>
          <w:rFonts w:eastAsiaTheme="minorEastAsia"/>
        </w:rPr>
        <w:t>.</w:t>
      </w:r>
    </w:p>
    <w:p w:rsidR="00F200BB" w:rsidRDefault="00F200BB" w:rsidP="00F200BB">
      <w:pPr>
        <w:pStyle w:val="Heading2"/>
        <w:rPr>
          <w:rFonts w:eastAsiaTheme="minorEastAsia"/>
        </w:rPr>
      </w:pPr>
      <w:bookmarkStart w:id="15" w:name="_Toc383784082"/>
      <w:r>
        <w:rPr>
          <w:rFonts w:eastAsiaTheme="minorEastAsia"/>
        </w:rPr>
        <w:t>Conclusions</w:t>
      </w:r>
      <w:bookmarkEnd w:id="15"/>
    </w:p>
    <w:p w:rsidR="000D45C3" w:rsidRDefault="000146E7" w:rsidP="00F960EA">
      <w:r>
        <w:t>The regional variation in RDD response rates mirrors that observed for the mail sample (</w:t>
      </w:r>
      <w:r>
        <w:fldChar w:fldCharType="begin"/>
      </w:r>
      <w:r>
        <w:instrText xml:space="preserve"> REF _Ref382214224 \h </w:instrText>
      </w:r>
      <w:r>
        <w:fldChar w:fldCharType="separate"/>
      </w:r>
      <w:r w:rsidR="004E5AC7">
        <w:t xml:space="preserve">Figure </w:t>
      </w:r>
      <w:r w:rsidR="004E5AC7">
        <w:rPr>
          <w:noProof/>
        </w:rPr>
        <w:t>2</w:t>
      </w:r>
      <w:r>
        <w:fldChar w:fldCharType="end"/>
      </w:r>
      <w:r>
        <w:t>), with the lowest rates in the South region. Response rates were also higher within high-density</w:t>
      </w:r>
      <w:r w:rsidR="00E00FB9">
        <w:t xml:space="preserve"> boat owner</w:t>
      </w:r>
      <w:r>
        <w:t xml:space="preserve"> strata for the landline sample, raising the possibility that the survey may over-represent boaters who find the survey more personally relevant, to the extent that interest in boating is geographically clustered. With regard to bias due to regional variation in response rates, the risk of bias is small due to responses being weighted by boat type to known or estimated population totals within each state. Likewise, the risk of bias due to higher response rates from high-density strata is mitigated by weighting </w:t>
      </w:r>
      <w:r>
        <w:lastRenderedPageBreak/>
        <w:t xml:space="preserve">responses by density strata within each state. </w:t>
      </w:r>
      <w:r w:rsidR="006B6B95">
        <w:t xml:space="preserve">Although the response rate in high-density strata was only 3 points higher than in low-density strata, this difference suggests that future efforts to target boat owners and boating participants in this way must take care to ensure that respondents from low-density </w:t>
      </w:r>
      <w:r w:rsidR="00E00FB9">
        <w:t xml:space="preserve">strata—which </w:t>
      </w:r>
      <w:r w:rsidR="006B6B95">
        <w:t xml:space="preserve">may </w:t>
      </w:r>
      <w:r w:rsidR="00E00FB9">
        <w:t xml:space="preserve">have different boating cultures—are </w:t>
      </w:r>
      <w:r w:rsidR="006B6B95">
        <w:t>not systematically underrepresented.</w:t>
      </w:r>
    </w:p>
    <w:p w:rsidR="00E00FB9" w:rsidRDefault="00E00FB9" w:rsidP="00F960EA">
      <w:r>
        <w:t xml:space="preserve">The analyses comparing early vs. late responders in the RDD sample further suggested that, to the extent late responders are similar to non-responders, the survey may over-represent individuals who are more strongly engaged with boating. Again, the magnitude of these differences is small, but they underscore the importance of </w:t>
      </w:r>
      <w:r w:rsidR="00A06565">
        <w:t>achieving completed interviews with hard-to-reach respondents.</w:t>
      </w:r>
    </w:p>
    <w:p w:rsidR="000A19BF" w:rsidRDefault="00416DFC" w:rsidP="00416DFC">
      <w:pPr>
        <w:pStyle w:val="Heading1"/>
      </w:pPr>
      <w:bookmarkStart w:id="16" w:name="_Toc383784083"/>
      <w:r>
        <w:lastRenderedPageBreak/>
        <w:t>2012 Trip Survey</w:t>
      </w:r>
      <w:bookmarkEnd w:id="16"/>
    </w:p>
    <w:p w:rsidR="00416DFC" w:rsidRDefault="00416DFC" w:rsidP="00F960EA">
      <w:r>
        <w:t>The 2012 Trip Survey measured details about specific boating trips using a panel of boat owners recruited during the 2011 Boat Survey. Over the course of 2012, panelists were sampled each month to report on trips taken in the preceding month. Thus, the panel served as the sampling frame each month (with recently-contacted panelists being withheld from selection). The survey was offered in CATI and Web modes.</w:t>
      </w:r>
    </w:p>
    <w:p w:rsidR="00416DFC" w:rsidRDefault="00416DFC" w:rsidP="006342C6">
      <w:r>
        <w:t xml:space="preserve">There are two types of </w:t>
      </w:r>
      <w:r w:rsidR="007B7F38">
        <w:t xml:space="preserve">potential </w:t>
      </w:r>
      <w:r>
        <w:t xml:space="preserve">non-response </w:t>
      </w:r>
      <w:r w:rsidR="007B7F38">
        <w:t xml:space="preserve">bias </w:t>
      </w:r>
      <w:r>
        <w:t xml:space="preserve">to investigate in the Trip Survey: </w:t>
      </w:r>
    </w:p>
    <w:p w:rsidR="00416DFC" w:rsidRDefault="00875325" w:rsidP="00416DFC">
      <w:pPr>
        <w:pStyle w:val="ListParagraph"/>
        <w:numPr>
          <w:ilvl w:val="0"/>
          <w:numId w:val="2"/>
        </w:numPr>
      </w:pPr>
      <w:r w:rsidRPr="007B7F38">
        <w:rPr>
          <w:i/>
        </w:rPr>
        <w:t>Panel Recruitment Bias</w:t>
      </w:r>
      <w:r>
        <w:t xml:space="preserve">: </w:t>
      </w:r>
      <w:r w:rsidR="007B7F38">
        <w:t>due to b</w:t>
      </w:r>
      <w:r w:rsidR="00416DFC">
        <w:t xml:space="preserve">oat owners who completed the Boat Survey but </w:t>
      </w:r>
      <w:r w:rsidR="007B7F38">
        <w:t>declined</w:t>
      </w:r>
      <w:r w:rsidR="00416DFC">
        <w:t xml:space="preserve"> to join </w:t>
      </w:r>
      <w:r>
        <w:t>the Trip Survey panel</w:t>
      </w:r>
    </w:p>
    <w:p w:rsidR="006342C6" w:rsidRDefault="00875325" w:rsidP="00416DFC">
      <w:pPr>
        <w:pStyle w:val="ListParagraph"/>
        <w:numPr>
          <w:ilvl w:val="0"/>
          <w:numId w:val="2"/>
        </w:numPr>
      </w:pPr>
      <w:r w:rsidRPr="007B7F38">
        <w:rPr>
          <w:i/>
        </w:rPr>
        <w:t>Panel Participation Bias</w:t>
      </w:r>
      <w:r>
        <w:t xml:space="preserve">: </w:t>
      </w:r>
      <w:r w:rsidR="007B7F38">
        <w:t>due to b</w:t>
      </w:r>
      <w:r w:rsidR="00416DFC">
        <w:t>oat owners who completed the Boat Survey, agreed to join the panel, but never responded to Trip Survey requests</w:t>
      </w:r>
    </w:p>
    <w:p w:rsidR="005C5602" w:rsidRDefault="00875325" w:rsidP="00875325">
      <w:pPr>
        <w:pStyle w:val="Heading2"/>
      </w:pPr>
      <w:bookmarkStart w:id="17" w:name="_Toc383784084"/>
      <w:r>
        <w:t>Panel Recruitment Bias</w:t>
      </w:r>
      <w:bookmarkEnd w:id="17"/>
    </w:p>
    <w:p w:rsidR="00875325" w:rsidRDefault="009A4145" w:rsidP="005C5602">
      <w:r>
        <w:t xml:space="preserve">Because all boat owners recruited to the 2012 panel necessarily completed the 2011 Boat Survey, it is possible to compare recruited </w:t>
      </w:r>
      <w:r w:rsidR="00C664C6">
        <w:t>boat owners (</w:t>
      </w:r>
      <w:r w:rsidR="00C664C6" w:rsidRPr="00C664C6">
        <w:rPr>
          <w:i/>
        </w:rPr>
        <w:t>n</w:t>
      </w:r>
      <w:r w:rsidR="00C664C6">
        <w:t xml:space="preserve"> = 23,368) </w:t>
      </w:r>
      <w:r w:rsidR="007B7F38">
        <w:t>to</w:t>
      </w:r>
      <w:r>
        <w:t xml:space="preserve"> non-recruited </w:t>
      </w:r>
      <w:r w:rsidR="00896BC9">
        <w:t xml:space="preserve">boat </w:t>
      </w:r>
      <w:r>
        <w:t>owners</w:t>
      </w:r>
      <w:r w:rsidR="00C664C6">
        <w:t xml:space="preserve"> (</w:t>
      </w:r>
      <w:r w:rsidR="00C664C6">
        <w:rPr>
          <w:i/>
        </w:rPr>
        <w:t>n</w:t>
      </w:r>
      <w:r w:rsidR="00C664C6">
        <w:t xml:space="preserve"> = 8,465)</w:t>
      </w:r>
      <w:r>
        <w:t xml:space="preserve"> and their selected boats along a number of </w:t>
      </w:r>
      <w:r w:rsidR="007B7F38">
        <w:t>dimensions</w:t>
      </w:r>
      <w:r>
        <w:t>.</w:t>
      </w:r>
    </w:p>
    <w:p w:rsidR="009A4145" w:rsidRDefault="00896BC9" w:rsidP="005C5602">
      <w:pPr>
        <w:rPr>
          <w:rFonts w:eastAsiaTheme="minorEastAsia"/>
        </w:rPr>
      </w:pPr>
      <w:r>
        <w:t xml:space="preserve">As shown in </w:t>
      </w:r>
      <w:r w:rsidR="00E03757">
        <w:fldChar w:fldCharType="begin"/>
      </w:r>
      <w:r w:rsidR="00E03757">
        <w:instrText xml:space="preserve"> REF _Ref383433377 \h </w:instrText>
      </w:r>
      <w:r w:rsidR="00E03757">
        <w:fldChar w:fldCharType="separate"/>
      </w:r>
      <w:r w:rsidR="004E5AC7">
        <w:t xml:space="preserve">Figure </w:t>
      </w:r>
      <w:r w:rsidR="004E5AC7">
        <w:rPr>
          <w:noProof/>
        </w:rPr>
        <w:t>6</w:t>
      </w:r>
      <w:r w:rsidR="00E03757">
        <w:fldChar w:fldCharType="end"/>
      </w:r>
      <w:r>
        <w:t xml:space="preserve">, there were no significant differences </w:t>
      </w:r>
      <w:r w:rsidR="00525ABA">
        <w:t xml:space="preserve">between recruited </w:t>
      </w:r>
      <w:r w:rsidR="007B7F38">
        <w:t>and</w:t>
      </w:r>
      <w:r w:rsidR="00525ABA">
        <w:t xml:space="preserve"> non-recruited owners </w:t>
      </w:r>
      <w:r>
        <w:t xml:space="preserve">in </w:t>
      </w:r>
      <w:r w:rsidR="00525ABA">
        <w:t>the owner’s experience in boat operation</w:t>
      </w:r>
      <w:proofErr w:type="gramStart"/>
      <w:r w:rsidR="00525ABA">
        <w:t xml:space="preserve">, </w:t>
      </w:r>
      <w:proofErr w:type="gramEnd"/>
      <m:oMath>
        <m:sSub>
          <m:sSubPr>
            <m:ctrlPr>
              <w:rPr>
                <w:rFonts w:ascii="Cambria Math" w:hAnsi="Cambria Math"/>
                <w:i/>
              </w:rPr>
            </m:ctrlPr>
          </m:sSubPr>
          <m:e>
            <m:r>
              <w:rPr>
                <w:rFonts w:ascii="Cambria Math" w:hAnsi="Cambria Math"/>
              </w:rPr>
              <m:t>Z</m:t>
            </m:r>
          </m:e>
          <m:sub>
            <m:r>
              <w:rPr>
                <w:rFonts w:ascii="Cambria Math" w:hAnsi="Cambria Math"/>
              </w:rPr>
              <m:t>Wilcoxon</m:t>
            </m:r>
          </m:sub>
        </m:sSub>
        <m:r>
          <w:rPr>
            <w:rFonts w:ascii="Cambria Math" w:hAnsi="Cambria Math"/>
          </w:rPr>
          <m:t>=0.24, p=.812</m:t>
        </m:r>
      </m:oMath>
      <w:r w:rsidR="00525ABA">
        <w:rPr>
          <w:rFonts w:eastAsiaTheme="minorEastAsia"/>
        </w:rPr>
        <w:t>.</w:t>
      </w:r>
    </w:p>
    <w:p w:rsidR="00E03757" w:rsidRDefault="00E03757" w:rsidP="00E03757">
      <w:pPr>
        <w:pStyle w:val="Caption"/>
        <w:keepNext/>
      </w:pPr>
      <w:bookmarkStart w:id="18" w:name="_Ref383433377"/>
      <w:bookmarkStart w:id="19" w:name="_Toc383765035"/>
      <w:proofErr w:type="gramStart"/>
      <w:r>
        <w:t xml:space="preserve">Figure </w:t>
      </w:r>
      <w:r w:rsidR="005201FA">
        <w:fldChar w:fldCharType="begin"/>
      </w:r>
      <w:r w:rsidR="005201FA">
        <w:instrText xml:space="preserve"> SEQ Figure \* ARABIC </w:instrText>
      </w:r>
      <w:r w:rsidR="005201FA">
        <w:fldChar w:fldCharType="separate"/>
      </w:r>
      <w:r w:rsidR="004E5AC7">
        <w:rPr>
          <w:noProof/>
        </w:rPr>
        <w:t>6</w:t>
      </w:r>
      <w:r w:rsidR="005201FA">
        <w:rPr>
          <w:noProof/>
        </w:rPr>
        <w:fldChar w:fldCharType="end"/>
      </w:r>
      <w:bookmarkEnd w:id="18"/>
      <w:r>
        <w:t>.</w:t>
      </w:r>
      <w:proofErr w:type="gramEnd"/>
      <w:r>
        <w:t xml:space="preserve"> Owner’</w:t>
      </w:r>
      <w:r w:rsidR="003D670B">
        <w:t>s Experience in Boat Operation</w:t>
      </w:r>
      <w:r>
        <w:t xml:space="preserve"> by Panel Recruitment Status</w:t>
      </w:r>
      <w:bookmarkEnd w:id="19"/>
    </w:p>
    <w:p w:rsidR="00525ABA" w:rsidRDefault="00525ABA" w:rsidP="005C5602">
      <w:pPr>
        <w:rPr>
          <w:rFonts w:eastAsiaTheme="minorEastAsia"/>
        </w:rPr>
      </w:pPr>
      <w:r>
        <w:rPr>
          <w:noProof/>
        </w:rPr>
        <w:drawing>
          <wp:inline distT="0" distB="0" distL="0" distR="0" wp14:anchorId="2079CE2F" wp14:editId="7BE79479">
            <wp:extent cx="6019800" cy="1981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676C8" w:rsidRDefault="00A437DD" w:rsidP="005C5602">
      <w:r>
        <w:t>Differences were observed, however, in other boat owner</w:t>
      </w:r>
      <w:r w:rsidR="004676C8">
        <w:t xml:space="preserve"> characteristics. Specifically:</w:t>
      </w:r>
    </w:p>
    <w:p w:rsidR="00525ABA" w:rsidRPr="004676C8" w:rsidRDefault="004676C8" w:rsidP="004676C8">
      <w:pPr>
        <w:pStyle w:val="ListParagraph"/>
        <w:numPr>
          <w:ilvl w:val="0"/>
          <w:numId w:val="3"/>
        </w:numPr>
      </w:pPr>
      <w:r>
        <w:t xml:space="preserve">A higher proportion of the boat owners recruited to the panel </w:t>
      </w:r>
      <w:r w:rsidR="004E3FB7">
        <w:t xml:space="preserve">reported taking </w:t>
      </w:r>
      <w:r>
        <w:t>a boat safety course (46%) compared to non-recruited owners (43%)</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1</m:t>
            </m:r>
          </m:e>
        </m:d>
        <m:r>
          <w:rPr>
            <w:rFonts w:ascii="Cambria Math" w:hAnsi="Cambria Math"/>
          </w:rPr>
          <m:t>= 33.36,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=.03</m:t>
        </m:r>
      </m:oMath>
      <w:r>
        <w:rPr>
          <w:rFonts w:eastAsiaTheme="minorEastAsia"/>
        </w:rPr>
        <w:t>.</w:t>
      </w:r>
    </w:p>
    <w:p w:rsidR="00014182" w:rsidRPr="00014182" w:rsidRDefault="004E3FB7" w:rsidP="00014182">
      <w:pPr>
        <w:pStyle w:val="ListParagraph"/>
        <w:numPr>
          <w:ilvl w:val="0"/>
          <w:numId w:val="3"/>
        </w:numPr>
      </w:pPr>
      <w:r>
        <w:t xml:space="preserve">A lower proportion of the boat owners recruited </w:t>
      </w:r>
      <w:r w:rsidR="002A4C4D">
        <w:t xml:space="preserve">to the panel </w:t>
      </w:r>
      <w:r>
        <w:t>reported being the primary operator of the selected boat (77%) compared to non-recruited owners (81%)</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1</m:t>
            </m:r>
          </m:e>
        </m:d>
        <m:r>
          <w:rPr>
            <w:rFonts w:ascii="Cambria Math" w:hAnsi="Cambria Math"/>
          </w:rPr>
          <m:t>= 49.02,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=.04</m:t>
        </m:r>
      </m:oMath>
      <w:r>
        <w:rPr>
          <w:rFonts w:eastAsiaTheme="minorEastAsia"/>
        </w:rPr>
        <w:t>.</w:t>
      </w:r>
    </w:p>
    <w:p w:rsidR="00014182" w:rsidRDefault="00014182" w:rsidP="00014182">
      <w:r>
        <w:lastRenderedPageBreak/>
        <w:t xml:space="preserve">As shown in </w:t>
      </w:r>
      <w:r>
        <w:fldChar w:fldCharType="begin"/>
      </w:r>
      <w:r>
        <w:instrText xml:space="preserve"> REF _Ref383445997 \h </w:instrText>
      </w:r>
      <w:r>
        <w:fldChar w:fldCharType="separate"/>
      </w:r>
      <w:r w:rsidR="004E5AC7">
        <w:t xml:space="preserve">Figure </w:t>
      </w:r>
      <w:r w:rsidR="004E5AC7">
        <w:rPr>
          <w:noProof/>
        </w:rPr>
        <w:t>7</w:t>
      </w:r>
      <w:r>
        <w:fldChar w:fldCharType="end"/>
      </w:r>
      <w:r>
        <w:t xml:space="preserve">, recruitment rates </w:t>
      </w:r>
      <w:r w:rsidR="007B7F38">
        <w:t xml:space="preserve">also </w:t>
      </w:r>
      <w:r>
        <w:t>varied by geographic region</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3</m:t>
            </m:r>
          </m:e>
        </m:d>
        <m:r>
          <w:rPr>
            <w:rFonts w:ascii="Cambria Math" w:hAnsi="Cambria Math"/>
          </w:rPr>
          <m:t>= 34.88,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=.03</m:t>
        </m:r>
      </m:oMath>
      <w:r>
        <w:t>.</w:t>
      </w:r>
    </w:p>
    <w:p w:rsidR="00014182" w:rsidRDefault="00014182" w:rsidP="00014182">
      <w:pPr>
        <w:pStyle w:val="Caption"/>
        <w:keepNext/>
      </w:pPr>
      <w:bookmarkStart w:id="20" w:name="_Ref383445997"/>
      <w:bookmarkStart w:id="21" w:name="_Toc383765036"/>
      <w:proofErr w:type="gramStart"/>
      <w:r>
        <w:t xml:space="preserve">Figure </w:t>
      </w:r>
      <w:r w:rsidR="005201FA">
        <w:fldChar w:fldCharType="begin"/>
      </w:r>
      <w:r w:rsidR="005201FA">
        <w:instrText xml:space="preserve"> SEQ Figure \* ARABIC </w:instrText>
      </w:r>
      <w:r w:rsidR="005201FA">
        <w:fldChar w:fldCharType="separate"/>
      </w:r>
      <w:r w:rsidR="004E5AC7">
        <w:rPr>
          <w:noProof/>
        </w:rPr>
        <w:t>7</w:t>
      </w:r>
      <w:r w:rsidR="005201FA">
        <w:rPr>
          <w:noProof/>
        </w:rPr>
        <w:fldChar w:fldCharType="end"/>
      </w:r>
      <w:bookmarkEnd w:id="20"/>
      <w:r>
        <w:t>.</w:t>
      </w:r>
      <w:proofErr w:type="gramEnd"/>
      <w:r>
        <w:t xml:space="preserve"> Panel Recruitment Rate by Census Region</w:t>
      </w:r>
      <w:bookmarkEnd w:id="21"/>
    </w:p>
    <w:p w:rsidR="00014182" w:rsidRPr="004E3FB7" w:rsidRDefault="00014182" w:rsidP="00014182">
      <w:r>
        <w:rPr>
          <w:noProof/>
        </w:rPr>
        <w:drawing>
          <wp:inline distT="0" distB="0" distL="0" distR="0" wp14:anchorId="7E37D705" wp14:editId="3F40DEC4">
            <wp:extent cx="5486400" cy="15430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5641" w:rsidRDefault="00EA5641" w:rsidP="004E3FB7">
      <w:pPr>
        <w:rPr>
          <w:rFonts w:eastAsiaTheme="minorEastAsia"/>
        </w:rPr>
      </w:pPr>
      <w:r>
        <w:t xml:space="preserve">Recruitment </w:t>
      </w:r>
      <w:r w:rsidR="007B7F38">
        <w:t>rates also differed</w:t>
      </w:r>
      <w:r w:rsidR="002A4C4D">
        <w:t xml:space="preserve"> with regard to the characteristics of the boats selected for inclusion in the panel. A higher proportion of </w:t>
      </w:r>
      <w:r w:rsidR="00921AE1">
        <w:t xml:space="preserve">boats </w:t>
      </w:r>
      <w:r w:rsidR="00345C99">
        <w:t xml:space="preserve">successfully </w:t>
      </w:r>
      <w:r w:rsidR="00921AE1">
        <w:t>recruited to the panel were un- or non-registered (31%) compared to non-recruited boats (27%)</w:t>
      </w:r>
      <w:proofErr w:type="gramStart"/>
      <w:r w:rsidR="00921AE1">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1</m:t>
            </m:r>
          </m:e>
        </m:d>
        <m:r>
          <w:rPr>
            <w:rFonts w:ascii="Cambria Math" w:hAnsi="Cambria Math"/>
          </w:rPr>
          <m:t>= 46.08,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=.04</m:t>
        </m:r>
      </m:oMath>
      <w:r w:rsidR="00921AE1">
        <w:rPr>
          <w:rFonts w:eastAsiaTheme="minorEastAsia"/>
        </w:rPr>
        <w:t xml:space="preserve">. The higher proportion of </w:t>
      </w:r>
      <w:proofErr w:type="gramStart"/>
      <w:r w:rsidR="00921AE1">
        <w:rPr>
          <w:rFonts w:eastAsiaTheme="minorEastAsia"/>
        </w:rPr>
        <w:t>un- or non-registered</w:t>
      </w:r>
      <w:proofErr w:type="gramEnd"/>
      <w:r w:rsidR="00921AE1">
        <w:rPr>
          <w:rFonts w:eastAsiaTheme="minorEastAsia"/>
        </w:rPr>
        <w:t xml:space="preserve"> boats in the recruited sample is closer to the proportion of such boats in the US population, which was estimated from 2011 Boat Survey data to be 43%.</w:t>
      </w:r>
      <w:r>
        <w:rPr>
          <w:rFonts w:eastAsiaTheme="minorEastAsia"/>
        </w:rPr>
        <w:t xml:space="preserve"> On the other hand, the average purchase price of the boat was not significantly different between recruited boats </w:t>
      </w:r>
      <w:r w:rsidRPr="00EA5641">
        <w:rPr>
          <w:rFonts w:eastAsiaTheme="minorEastAsia"/>
        </w:rPr>
        <w:t>(</w:t>
      </w:r>
      <w:r w:rsidRPr="00EA5641">
        <w:rPr>
          <w:rFonts w:eastAsiaTheme="minorEastAsia"/>
          <w:i/>
        </w:rPr>
        <w:t>M</w:t>
      </w:r>
      <w:r w:rsidRPr="00EA5641">
        <w:rPr>
          <w:rFonts w:eastAsiaTheme="minorEastAsia"/>
        </w:rPr>
        <w:t xml:space="preserve"> =</w:t>
      </w:r>
      <w:r>
        <w:rPr>
          <w:rFonts w:eastAsiaTheme="minorEastAsia"/>
        </w:rPr>
        <w:t xml:space="preserve"> $27,518, </w:t>
      </w:r>
      <w:r w:rsidRPr="00EA5641">
        <w:rPr>
          <w:rFonts w:eastAsiaTheme="minorEastAsia"/>
          <w:i/>
        </w:rPr>
        <w:t>SD</w:t>
      </w:r>
      <w:r w:rsidRPr="00EA5641">
        <w:rPr>
          <w:rFonts w:eastAsiaTheme="minorEastAsia"/>
        </w:rPr>
        <w:t xml:space="preserve"> =</w:t>
      </w:r>
      <w:r w:rsidR="00183217">
        <w:rPr>
          <w:rFonts w:eastAsiaTheme="minorEastAsia"/>
        </w:rPr>
        <w:t xml:space="preserve"> </w:t>
      </w:r>
      <w:r>
        <w:rPr>
          <w:rFonts w:eastAsiaTheme="minorEastAsia"/>
        </w:rPr>
        <w:t xml:space="preserve">62,483) and non-recruited boats </w:t>
      </w:r>
      <w:r w:rsidRPr="00EA5641">
        <w:rPr>
          <w:rFonts w:eastAsiaTheme="minorEastAsia"/>
        </w:rPr>
        <w:t>(</w:t>
      </w:r>
      <w:r w:rsidRPr="00EA5641">
        <w:rPr>
          <w:rFonts w:eastAsiaTheme="minorEastAsia"/>
          <w:i/>
        </w:rPr>
        <w:t>M</w:t>
      </w:r>
      <w:r w:rsidRPr="00EA5641">
        <w:rPr>
          <w:rFonts w:eastAsiaTheme="minorEastAsia"/>
        </w:rPr>
        <w:t xml:space="preserve"> =</w:t>
      </w:r>
      <w:r>
        <w:rPr>
          <w:rFonts w:eastAsiaTheme="minorEastAsia"/>
        </w:rPr>
        <w:t xml:space="preserve"> $25,366, </w:t>
      </w:r>
      <w:r w:rsidRPr="00EA5641">
        <w:rPr>
          <w:rFonts w:eastAsiaTheme="minorEastAsia"/>
          <w:i/>
        </w:rPr>
        <w:t>SD</w:t>
      </w:r>
      <w:r w:rsidRPr="00EA5641">
        <w:rPr>
          <w:rFonts w:eastAsiaTheme="minorEastAsia"/>
        </w:rPr>
        <w:t xml:space="preserve"> =</w:t>
      </w:r>
      <w:r w:rsidR="00183217">
        <w:rPr>
          <w:rFonts w:eastAsiaTheme="minorEastAsia"/>
        </w:rPr>
        <w:t xml:space="preserve"> </w:t>
      </w:r>
      <w:r>
        <w:rPr>
          <w:rFonts w:eastAsiaTheme="minorEastAsia"/>
        </w:rPr>
        <w:t>56,542)</w:t>
      </w:r>
      <w:proofErr w:type="gramStart"/>
      <w:r>
        <w:rPr>
          <w:rFonts w:eastAsiaTheme="minorEastAsia"/>
        </w:rPr>
        <w:t xml:space="preserve">, </w:t>
      </w:r>
      <w:proofErr w:type="gramEnd"/>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981</m:t>
            </m:r>
          </m:e>
        </m:d>
        <m:r>
          <w:rPr>
            <w:rFonts w:ascii="Cambria Math" w:eastAsiaTheme="minorEastAsia" w:hAnsi="Cambria Math"/>
          </w:rPr>
          <m:t>=0.50, p=.616</m:t>
        </m:r>
      </m:oMath>
      <w:r>
        <w:rPr>
          <w:rFonts w:eastAsiaTheme="minorEastAsia"/>
        </w:rPr>
        <w:t>.</w:t>
      </w:r>
    </w:p>
    <w:p w:rsidR="00921AE1" w:rsidRDefault="00547FA2" w:rsidP="004E3FB7">
      <w:r>
        <w:t xml:space="preserve">As shown in </w:t>
      </w:r>
      <w:r>
        <w:fldChar w:fldCharType="begin"/>
      </w:r>
      <w:r>
        <w:instrText xml:space="preserve"> REF _Ref383436209 \h </w:instrText>
      </w:r>
      <w:r>
        <w:fldChar w:fldCharType="separate"/>
      </w:r>
      <w:r w:rsidR="004E5AC7">
        <w:t xml:space="preserve">Figure </w:t>
      </w:r>
      <w:r w:rsidR="004E5AC7">
        <w:rPr>
          <w:noProof/>
        </w:rPr>
        <w:t>8</w:t>
      </w:r>
      <w:r>
        <w:fldChar w:fldCharType="end"/>
      </w:r>
      <w:r>
        <w:t>, t</w:t>
      </w:r>
      <w:r w:rsidR="00921AE1">
        <w:t>he distribution of boat types also differed between rec</w:t>
      </w:r>
      <w:r w:rsidR="00472B82">
        <w:t xml:space="preserve">ruited </w:t>
      </w:r>
      <w:r w:rsidR="007B7F38">
        <w:t>and</w:t>
      </w:r>
      <w:r w:rsidR="00472B82">
        <w:t xml:space="preserve"> non-recruited boats</w:t>
      </w:r>
      <w:proofErr w:type="gramStart"/>
      <w:r w:rsidR="00472B82">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6</m:t>
            </m:r>
          </m:e>
        </m:d>
        <m:r>
          <w:rPr>
            <w:rFonts w:ascii="Cambria Math" w:hAnsi="Cambria Math"/>
          </w:rPr>
          <m:t>= 153.04,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=.07</m:t>
        </m:r>
      </m:oMath>
      <w:r w:rsidR="00472B82">
        <w:rPr>
          <w:rFonts w:eastAsiaTheme="minorEastAsia"/>
        </w:rPr>
        <w:t xml:space="preserve">. The distributions also departed from the population distribution (estimated from 2011 Boat Survey data); in particular, it appears that sailboats </w:t>
      </w:r>
      <w:r w:rsidR="007B7F38">
        <w:rPr>
          <w:rFonts w:eastAsiaTheme="minorEastAsia"/>
        </w:rPr>
        <w:t xml:space="preserve">and pontoon boats </w:t>
      </w:r>
      <w:r w:rsidR="00472B82">
        <w:rPr>
          <w:rFonts w:eastAsiaTheme="minorEastAsia"/>
        </w:rPr>
        <w:t xml:space="preserve">were overrepresented and kayaks were underrepresented </w:t>
      </w:r>
      <w:r w:rsidR="007B7F38">
        <w:rPr>
          <w:rFonts w:eastAsiaTheme="minorEastAsia"/>
        </w:rPr>
        <w:t xml:space="preserve">in the recruited panel </w:t>
      </w:r>
      <w:r w:rsidR="00472B82">
        <w:rPr>
          <w:rFonts w:eastAsiaTheme="minorEastAsia"/>
        </w:rPr>
        <w:t xml:space="preserve">compared to the population. </w:t>
      </w:r>
    </w:p>
    <w:p w:rsidR="00547FA2" w:rsidRDefault="00547FA2" w:rsidP="00547FA2">
      <w:pPr>
        <w:pStyle w:val="Caption"/>
        <w:keepNext/>
      </w:pPr>
      <w:bookmarkStart w:id="22" w:name="_Ref383436209"/>
      <w:bookmarkStart w:id="23" w:name="_Toc383765037"/>
      <w:proofErr w:type="gramStart"/>
      <w:r>
        <w:lastRenderedPageBreak/>
        <w:t xml:space="preserve">Figure </w:t>
      </w:r>
      <w:r w:rsidR="005201FA">
        <w:fldChar w:fldCharType="begin"/>
      </w:r>
      <w:r w:rsidR="005201FA">
        <w:instrText xml:space="preserve"> SEQ Figure \* ARABIC </w:instrText>
      </w:r>
      <w:r w:rsidR="005201FA">
        <w:fldChar w:fldCharType="separate"/>
      </w:r>
      <w:r w:rsidR="004E5AC7">
        <w:rPr>
          <w:noProof/>
        </w:rPr>
        <w:t>8</w:t>
      </w:r>
      <w:r w:rsidR="005201FA">
        <w:rPr>
          <w:noProof/>
        </w:rPr>
        <w:fldChar w:fldCharType="end"/>
      </w:r>
      <w:bookmarkEnd w:id="22"/>
      <w:r>
        <w:t>.</w:t>
      </w:r>
      <w:proofErr w:type="gramEnd"/>
      <w:r>
        <w:t xml:space="preserve"> Distribution of Boats by Type in Population and by Panel Recruitment Status</w:t>
      </w:r>
      <w:bookmarkEnd w:id="23"/>
    </w:p>
    <w:p w:rsidR="00875325" w:rsidRDefault="00E73162" w:rsidP="005C5602">
      <w:r>
        <w:rPr>
          <w:noProof/>
        </w:rPr>
        <w:drawing>
          <wp:inline distT="0" distB="0" distL="0" distR="0" wp14:anchorId="36AEDA19" wp14:editId="6CF1C333">
            <wp:extent cx="5486400" cy="34099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75325" w:rsidRDefault="00875325" w:rsidP="00875325">
      <w:pPr>
        <w:pStyle w:val="Heading2"/>
      </w:pPr>
      <w:bookmarkStart w:id="24" w:name="_Toc383784085"/>
      <w:r>
        <w:t>Panel Participation Bias</w:t>
      </w:r>
      <w:bookmarkEnd w:id="24"/>
    </w:p>
    <w:p w:rsidR="005C5602" w:rsidRDefault="00C664C6" w:rsidP="005C5602">
      <w:r>
        <w:t>The same analyses can be used to compare</w:t>
      </w:r>
      <w:r w:rsidR="00EF7DC8">
        <w:t>, among all</w:t>
      </w:r>
      <w:r>
        <w:t xml:space="preserve"> boat owners who were succ</w:t>
      </w:r>
      <w:r w:rsidR="00EF7DC8">
        <w:t xml:space="preserve">essfully recruited to the panel, those who </w:t>
      </w:r>
      <w:r>
        <w:t>never participated in the 2012 Trip Survey (</w:t>
      </w:r>
      <w:r>
        <w:rPr>
          <w:i/>
        </w:rPr>
        <w:t>n</w:t>
      </w:r>
      <w:r>
        <w:t xml:space="preserve"> = 8,</w:t>
      </w:r>
      <w:r w:rsidR="00EF7DC8">
        <w:t>305</w:t>
      </w:r>
      <w:r>
        <w:t xml:space="preserve">) against those who </w:t>
      </w:r>
      <w:r w:rsidR="007B7F38">
        <w:t xml:space="preserve">participated at least once </w:t>
      </w:r>
      <w:r>
        <w:t>(</w:t>
      </w:r>
      <w:r w:rsidRPr="00C664C6">
        <w:rPr>
          <w:i/>
        </w:rPr>
        <w:t>n</w:t>
      </w:r>
      <w:r>
        <w:t xml:space="preserve"> = 15,</w:t>
      </w:r>
      <w:r w:rsidR="00EF7DC8">
        <w:t>063</w:t>
      </w:r>
      <w:r>
        <w:t>)</w:t>
      </w:r>
      <w:r w:rsidR="00EF7DC8">
        <w:t xml:space="preserve">. </w:t>
      </w:r>
    </w:p>
    <w:p w:rsidR="000E4618" w:rsidRDefault="000E4618" w:rsidP="000E4618">
      <w:r>
        <w:t>As shown in</w:t>
      </w:r>
      <w:r w:rsidR="006F486A">
        <w:t xml:space="preserve"> </w:t>
      </w:r>
      <w:r w:rsidR="006F486A">
        <w:fldChar w:fldCharType="begin"/>
      </w:r>
      <w:r w:rsidR="006F486A">
        <w:instrText xml:space="preserve"> REF _Ref383446712 \h </w:instrText>
      </w:r>
      <w:r w:rsidR="006F486A">
        <w:fldChar w:fldCharType="separate"/>
      </w:r>
      <w:r w:rsidR="004E5AC7">
        <w:t xml:space="preserve">Figure </w:t>
      </w:r>
      <w:r w:rsidR="004E5AC7">
        <w:rPr>
          <w:noProof/>
        </w:rPr>
        <w:t>9</w:t>
      </w:r>
      <w:r w:rsidR="006F486A">
        <w:fldChar w:fldCharType="end"/>
      </w:r>
      <w:r>
        <w:t>, participating panelists had significantly less experience in boat operation than non-participating panelists</w:t>
      </w:r>
      <w:proofErr w:type="gramStart"/>
      <w:r>
        <w:t xml:space="preserve">, </w:t>
      </w:r>
      <w:proofErr w:type="gramEnd"/>
      <m:oMath>
        <m:sSub>
          <m:sSubPr>
            <m:ctrlPr>
              <w:rPr>
                <w:rFonts w:ascii="Cambria Math" w:hAnsi="Cambria Math"/>
                <w:i/>
              </w:rPr>
            </m:ctrlPr>
          </m:sSubPr>
          <m:e>
            <m:r>
              <w:rPr>
                <w:rFonts w:ascii="Cambria Math" w:hAnsi="Cambria Math"/>
              </w:rPr>
              <m:t>Z</m:t>
            </m:r>
          </m:e>
          <m:sub>
            <m:r>
              <w:rPr>
                <w:rFonts w:ascii="Cambria Math" w:hAnsi="Cambria Math"/>
              </w:rPr>
              <m:t>Wilcoxon</m:t>
            </m:r>
          </m:sub>
        </m:sSub>
        <m:r>
          <w:rPr>
            <w:rFonts w:ascii="Cambria Math" w:hAnsi="Cambria Math"/>
          </w:rPr>
          <m:t>=12.55, p&lt;.0001</m:t>
        </m:r>
      </m:oMath>
      <w:r>
        <w:rPr>
          <w:rFonts w:eastAsiaTheme="minorEastAsia"/>
        </w:rPr>
        <w:t xml:space="preserve">. </w:t>
      </w:r>
    </w:p>
    <w:p w:rsidR="006F486A" w:rsidRDefault="006F486A" w:rsidP="006F486A">
      <w:pPr>
        <w:pStyle w:val="Caption"/>
        <w:keepNext/>
      </w:pPr>
      <w:bookmarkStart w:id="25" w:name="_Ref383446712"/>
      <w:bookmarkStart w:id="26" w:name="_Toc383765038"/>
      <w:proofErr w:type="gramStart"/>
      <w:r>
        <w:t xml:space="preserve">Figure </w:t>
      </w:r>
      <w:r w:rsidR="005201FA">
        <w:fldChar w:fldCharType="begin"/>
      </w:r>
      <w:r w:rsidR="005201FA">
        <w:instrText xml:space="preserve"> SEQ Figure \* ARABIC </w:instrText>
      </w:r>
      <w:r w:rsidR="005201FA">
        <w:fldChar w:fldCharType="separate"/>
      </w:r>
      <w:r w:rsidR="004E5AC7">
        <w:rPr>
          <w:noProof/>
        </w:rPr>
        <w:t>9</w:t>
      </w:r>
      <w:r w:rsidR="005201FA">
        <w:rPr>
          <w:noProof/>
        </w:rPr>
        <w:fldChar w:fldCharType="end"/>
      </w:r>
      <w:bookmarkEnd w:id="25"/>
      <w:r>
        <w:t>.</w:t>
      </w:r>
      <w:proofErr w:type="gramEnd"/>
      <w:r>
        <w:t xml:space="preserve"> Owner’s Experience in Boat Operation by Panel Participation Status</w:t>
      </w:r>
      <w:bookmarkEnd w:id="26"/>
    </w:p>
    <w:p w:rsidR="000E4618" w:rsidRDefault="000E4618" w:rsidP="000E4618">
      <w:pPr>
        <w:rPr>
          <w:rFonts w:eastAsiaTheme="minorEastAsia"/>
        </w:rPr>
      </w:pPr>
      <w:r>
        <w:rPr>
          <w:noProof/>
        </w:rPr>
        <w:drawing>
          <wp:inline distT="0" distB="0" distL="0" distR="0" wp14:anchorId="11DA7EBB" wp14:editId="063C8183">
            <wp:extent cx="6019800" cy="1981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E4618" w:rsidRDefault="000E4618" w:rsidP="000E4618">
      <w:r>
        <w:t xml:space="preserve">Differences were </w:t>
      </w:r>
      <w:r w:rsidR="006F486A">
        <w:t xml:space="preserve">also </w:t>
      </w:r>
      <w:r>
        <w:t>observed</w:t>
      </w:r>
      <w:r w:rsidR="006F486A">
        <w:t xml:space="preserve"> </w:t>
      </w:r>
      <w:r>
        <w:t>in other boat owner characteristics. Specifically:</w:t>
      </w:r>
    </w:p>
    <w:p w:rsidR="000E4618" w:rsidRPr="004676C8" w:rsidRDefault="000E4618" w:rsidP="000E4618">
      <w:pPr>
        <w:pStyle w:val="ListParagraph"/>
        <w:numPr>
          <w:ilvl w:val="0"/>
          <w:numId w:val="3"/>
        </w:numPr>
      </w:pPr>
      <w:r>
        <w:lastRenderedPageBreak/>
        <w:t xml:space="preserve">A higher proportion of the </w:t>
      </w:r>
      <w:r w:rsidR="006F486A">
        <w:t>participating panelists</w:t>
      </w:r>
      <w:r>
        <w:t xml:space="preserve"> reported taking a boat safety course (</w:t>
      </w:r>
      <w:r w:rsidR="006F486A">
        <w:t>48</w:t>
      </w:r>
      <w:r>
        <w:t>%) compared to non-</w:t>
      </w:r>
      <w:r w:rsidR="006F486A">
        <w:t>participating panelists</w:t>
      </w:r>
      <w:r>
        <w:t xml:space="preserve"> (43%)</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1</m:t>
            </m:r>
          </m:e>
        </m:d>
        <m:r>
          <w:rPr>
            <w:rFonts w:ascii="Cambria Math" w:hAnsi="Cambria Math"/>
          </w:rPr>
          <m:t>= 50.21,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=.05</m:t>
        </m:r>
      </m:oMath>
      <w:r>
        <w:rPr>
          <w:rFonts w:eastAsiaTheme="minorEastAsia"/>
        </w:rPr>
        <w:t>.</w:t>
      </w:r>
    </w:p>
    <w:p w:rsidR="000E4618" w:rsidRPr="00014182" w:rsidRDefault="000E4618" w:rsidP="000E4618">
      <w:pPr>
        <w:pStyle w:val="ListParagraph"/>
        <w:numPr>
          <w:ilvl w:val="0"/>
          <w:numId w:val="3"/>
        </w:numPr>
      </w:pPr>
      <w:r>
        <w:t xml:space="preserve">A </w:t>
      </w:r>
      <w:r w:rsidR="006F486A">
        <w:t>higher</w:t>
      </w:r>
      <w:r>
        <w:t xml:space="preserve"> proportion of </w:t>
      </w:r>
      <w:r w:rsidR="006F486A">
        <w:t xml:space="preserve">participating panelists </w:t>
      </w:r>
      <w:r>
        <w:t>reported being the primary operator of the selected boat (</w:t>
      </w:r>
      <w:r w:rsidR="006F486A">
        <w:t>81</w:t>
      </w:r>
      <w:r>
        <w:t>%) compared to non-</w:t>
      </w:r>
      <w:r w:rsidR="006F486A">
        <w:t>participating panelists</w:t>
      </w:r>
      <w:r>
        <w:t xml:space="preserve"> (</w:t>
      </w:r>
      <w:r w:rsidR="006F486A">
        <w:t>71</w:t>
      </w:r>
      <w:r>
        <w:t>%)</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1</m:t>
            </m:r>
          </m:e>
        </m:d>
        <m:r>
          <w:rPr>
            <w:rFonts w:ascii="Cambria Math" w:hAnsi="Cambria Math"/>
          </w:rPr>
          <m:t>= 308.29,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=.12</m:t>
        </m:r>
      </m:oMath>
      <w:r>
        <w:rPr>
          <w:rFonts w:eastAsiaTheme="minorEastAsia"/>
        </w:rPr>
        <w:t>.</w:t>
      </w:r>
    </w:p>
    <w:p w:rsidR="000E4618" w:rsidRDefault="000E4618" w:rsidP="000E4618">
      <w:r>
        <w:t xml:space="preserve">As shown in </w:t>
      </w:r>
      <w:r w:rsidR="006F486A">
        <w:fldChar w:fldCharType="begin"/>
      </w:r>
      <w:r w:rsidR="006F486A">
        <w:instrText xml:space="preserve"> REF _Ref383447050 \h </w:instrText>
      </w:r>
      <w:r w:rsidR="006F486A">
        <w:fldChar w:fldCharType="separate"/>
      </w:r>
      <w:r w:rsidR="004E5AC7">
        <w:t xml:space="preserve">Figure </w:t>
      </w:r>
      <w:r w:rsidR="004E5AC7">
        <w:rPr>
          <w:noProof/>
        </w:rPr>
        <w:t>10</w:t>
      </w:r>
      <w:r w:rsidR="006F486A">
        <w:fldChar w:fldCharType="end"/>
      </w:r>
      <w:r>
        <w:t xml:space="preserve">, </w:t>
      </w:r>
      <w:r w:rsidR="006F486A">
        <w:t>the variation in panel participation rates by region was non-significant</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3</m:t>
            </m:r>
          </m:e>
        </m:d>
        <m:r>
          <w:rPr>
            <w:rFonts w:ascii="Cambria Math" w:hAnsi="Cambria Math"/>
          </w:rPr>
          <m:t>= 6.42, p=.093</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=.02</m:t>
        </m:r>
      </m:oMath>
      <w:r>
        <w:t>.</w:t>
      </w:r>
    </w:p>
    <w:p w:rsidR="000E4618" w:rsidRDefault="000E4618" w:rsidP="000E4618">
      <w:pPr>
        <w:pStyle w:val="Caption"/>
        <w:keepNext/>
      </w:pPr>
      <w:bookmarkStart w:id="27" w:name="_Ref383447050"/>
      <w:bookmarkStart w:id="28" w:name="_Toc383765039"/>
      <w:proofErr w:type="gramStart"/>
      <w:r>
        <w:t xml:space="preserve">Figure </w:t>
      </w:r>
      <w:r w:rsidR="005201FA">
        <w:fldChar w:fldCharType="begin"/>
      </w:r>
      <w:r w:rsidR="005201FA">
        <w:instrText xml:space="preserve"> SEQ Figure \* ARABIC </w:instrText>
      </w:r>
      <w:r w:rsidR="005201FA">
        <w:fldChar w:fldCharType="separate"/>
      </w:r>
      <w:r w:rsidR="004E5AC7">
        <w:rPr>
          <w:noProof/>
        </w:rPr>
        <w:t>10</w:t>
      </w:r>
      <w:r w:rsidR="005201FA">
        <w:rPr>
          <w:noProof/>
        </w:rPr>
        <w:fldChar w:fldCharType="end"/>
      </w:r>
      <w:bookmarkEnd w:id="27"/>
      <w:r>
        <w:t>.</w:t>
      </w:r>
      <w:proofErr w:type="gramEnd"/>
      <w:r>
        <w:t xml:space="preserve"> Panel </w:t>
      </w:r>
      <w:r w:rsidR="006F486A">
        <w:t>Participation</w:t>
      </w:r>
      <w:r>
        <w:t xml:space="preserve"> Rate by Census Region</w:t>
      </w:r>
      <w:bookmarkEnd w:id="28"/>
    </w:p>
    <w:p w:rsidR="000E4618" w:rsidRPr="004E3FB7" w:rsidRDefault="000E4618" w:rsidP="000E4618">
      <w:r>
        <w:rPr>
          <w:noProof/>
        </w:rPr>
        <w:drawing>
          <wp:inline distT="0" distB="0" distL="0" distR="0" wp14:anchorId="5A412D32" wp14:editId="116FB042">
            <wp:extent cx="5486400" cy="154305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E4618" w:rsidRDefault="000E4618" w:rsidP="000E4618">
      <w:pPr>
        <w:rPr>
          <w:rFonts w:eastAsiaTheme="minorEastAsia"/>
        </w:rPr>
      </w:pPr>
      <w:r>
        <w:t xml:space="preserve">Recruitment </w:t>
      </w:r>
      <w:r w:rsidR="00DB4A07">
        <w:t>rates also differed</w:t>
      </w:r>
      <w:r>
        <w:t xml:space="preserve"> with regard to the characteristics of the boats selected for inclusion in the panel. A </w:t>
      </w:r>
      <w:r w:rsidR="0083597E">
        <w:t>lower</w:t>
      </w:r>
      <w:r>
        <w:t xml:space="preserve"> proportion of </w:t>
      </w:r>
      <w:r w:rsidR="00B631AC">
        <w:t xml:space="preserve">participating panel </w:t>
      </w:r>
      <w:r>
        <w:t>boats were un- or non-registered (</w:t>
      </w:r>
      <w:r w:rsidR="00B631AC">
        <w:t>27</w:t>
      </w:r>
      <w:r>
        <w:t xml:space="preserve">%) compared to </w:t>
      </w:r>
      <w:r w:rsidR="00B631AC">
        <w:t xml:space="preserve">non-participating </w:t>
      </w:r>
      <w:r>
        <w:t>boats (</w:t>
      </w:r>
      <w:r w:rsidR="00B631AC">
        <w:t>37</w:t>
      </w:r>
      <w:r>
        <w:t>%)</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1</m:t>
            </m:r>
          </m:e>
        </m:d>
        <m:r>
          <w:rPr>
            <w:rFonts w:ascii="Cambria Math" w:hAnsi="Cambria Math"/>
          </w:rPr>
          <m:t>= 241.68,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=.10</m:t>
        </m:r>
      </m:oMath>
      <w:r>
        <w:rPr>
          <w:rFonts w:eastAsiaTheme="minorEastAsia"/>
        </w:rPr>
        <w:t xml:space="preserve">. </w:t>
      </w:r>
      <w:r w:rsidR="00CF381C">
        <w:rPr>
          <w:rFonts w:eastAsiaTheme="minorEastAsia"/>
        </w:rPr>
        <w:t>T</w:t>
      </w:r>
      <w:r>
        <w:rPr>
          <w:rFonts w:eastAsiaTheme="minorEastAsia"/>
        </w:rPr>
        <w:t xml:space="preserve">he average purchase price of the boat was </w:t>
      </w:r>
      <w:r w:rsidR="00CF381C">
        <w:rPr>
          <w:rFonts w:eastAsiaTheme="minorEastAsia"/>
        </w:rPr>
        <w:t xml:space="preserve">marginally lower for participating </w:t>
      </w:r>
      <w:r>
        <w:rPr>
          <w:rFonts w:eastAsiaTheme="minorEastAsia"/>
        </w:rPr>
        <w:t xml:space="preserve">boats </w:t>
      </w:r>
      <w:r w:rsidRPr="00EA5641">
        <w:rPr>
          <w:rFonts w:eastAsiaTheme="minorEastAsia"/>
        </w:rPr>
        <w:t>(</w:t>
      </w:r>
      <w:r w:rsidRPr="00EA5641">
        <w:rPr>
          <w:rFonts w:eastAsiaTheme="minorEastAsia"/>
          <w:i/>
        </w:rPr>
        <w:t>M</w:t>
      </w:r>
      <w:r w:rsidRPr="00EA5641">
        <w:rPr>
          <w:rFonts w:eastAsiaTheme="minorEastAsia"/>
        </w:rPr>
        <w:t xml:space="preserve"> =</w:t>
      </w:r>
      <w:r>
        <w:rPr>
          <w:rFonts w:eastAsiaTheme="minorEastAsia"/>
        </w:rPr>
        <w:t xml:space="preserve"> $</w:t>
      </w:r>
      <w:r w:rsidR="00CF381C">
        <w:rPr>
          <w:rFonts w:eastAsiaTheme="minorEastAsia"/>
        </w:rPr>
        <w:t>24,566</w:t>
      </w:r>
      <w:r>
        <w:rPr>
          <w:rFonts w:eastAsiaTheme="minorEastAsia"/>
        </w:rPr>
        <w:t xml:space="preserve">, </w:t>
      </w:r>
      <w:r w:rsidRPr="00EA5641">
        <w:rPr>
          <w:rFonts w:eastAsiaTheme="minorEastAsia"/>
          <w:i/>
        </w:rPr>
        <w:t>SD</w:t>
      </w:r>
      <w:r w:rsidRPr="00EA5641">
        <w:rPr>
          <w:rFonts w:eastAsiaTheme="minorEastAsia"/>
        </w:rPr>
        <w:t xml:space="preserve"> =</w:t>
      </w:r>
      <w:r>
        <w:rPr>
          <w:rFonts w:eastAsiaTheme="minorEastAsia"/>
        </w:rPr>
        <w:t xml:space="preserve"> </w:t>
      </w:r>
      <w:r w:rsidR="00CF381C">
        <w:rPr>
          <w:rFonts w:eastAsiaTheme="minorEastAsia"/>
        </w:rPr>
        <w:t>48,727</w:t>
      </w:r>
      <w:r>
        <w:rPr>
          <w:rFonts w:eastAsiaTheme="minorEastAsia"/>
        </w:rPr>
        <w:t xml:space="preserve">) </w:t>
      </w:r>
      <w:r w:rsidR="00CF381C">
        <w:rPr>
          <w:rFonts w:eastAsiaTheme="minorEastAsia"/>
        </w:rPr>
        <w:t>compared to non-participating</w:t>
      </w:r>
      <w:r>
        <w:rPr>
          <w:rFonts w:eastAsiaTheme="minorEastAsia"/>
        </w:rPr>
        <w:t xml:space="preserve"> boats </w:t>
      </w:r>
      <w:r w:rsidRPr="00EA5641">
        <w:rPr>
          <w:rFonts w:eastAsiaTheme="minorEastAsia"/>
        </w:rPr>
        <w:t>(</w:t>
      </w:r>
      <w:r w:rsidRPr="00EA5641">
        <w:rPr>
          <w:rFonts w:eastAsiaTheme="minorEastAsia"/>
          <w:i/>
        </w:rPr>
        <w:t>M</w:t>
      </w:r>
      <w:r w:rsidRPr="00EA5641">
        <w:rPr>
          <w:rFonts w:eastAsiaTheme="minorEastAsia"/>
        </w:rPr>
        <w:t xml:space="preserve"> =</w:t>
      </w:r>
      <w:r>
        <w:rPr>
          <w:rFonts w:eastAsiaTheme="minorEastAsia"/>
        </w:rPr>
        <w:t xml:space="preserve"> $</w:t>
      </w:r>
      <w:r w:rsidR="00CF381C">
        <w:rPr>
          <w:rFonts w:eastAsiaTheme="minorEastAsia"/>
        </w:rPr>
        <w:t>34,453</w:t>
      </w:r>
      <w:r>
        <w:rPr>
          <w:rFonts w:eastAsiaTheme="minorEastAsia"/>
        </w:rPr>
        <w:t xml:space="preserve">, </w:t>
      </w:r>
      <w:r w:rsidRPr="00EA5641">
        <w:rPr>
          <w:rFonts w:eastAsiaTheme="minorEastAsia"/>
          <w:i/>
        </w:rPr>
        <w:t>SD</w:t>
      </w:r>
      <w:r w:rsidRPr="00EA5641">
        <w:rPr>
          <w:rFonts w:eastAsiaTheme="minorEastAsia"/>
        </w:rPr>
        <w:t xml:space="preserve"> =</w:t>
      </w:r>
      <w:r>
        <w:rPr>
          <w:rFonts w:eastAsiaTheme="minorEastAsia"/>
        </w:rPr>
        <w:t xml:space="preserve"> </w:t>
      </w:r>
      <w:r w:rsidR="00CF381C">
        <w:rPr>
          <w:rFonts w:eastAsiaTheme="minorEastAsia"/>
        </w:rPr>
        <w:t>86,358</w:t>
      </w:r>
      <w:r>
        <w:rPr>
          <w:rFonts w:eastAsiaTheme="minorEastAsia"/>
        </w:rPr>
        <w:t>)</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Satt</m:t>
            </m:r>
          </m:sub>
        </m:sSub>
        <m:d>
          <m:dPr>
            <m:ctrlPr>
              <w:rPr>
                <w:rFonts w:ascii="Cambria Math" w:eastAsiaTheme="minorEastAsia" w:hAnsi="Cambria Math"/>
                <w:i/>
              </w:rPr>
            </m:ctrlPr>
          </m:dPr>
          <m:e>
            <m:r>
              <w:rPr>
                <w:rFonts w:ascii="Cambria Math" w:eastAsiaTheme="minorEastAsia" w:hAnsi="Cambria Math"/>
              </w:rPr>
              <m:t>266</m:t>
            </m:r>
          </m:e>
        </m:d>
        <m:r>
          <w:rPr>
            <w:rFonts w:ascii="Cambria Math" w:eastAsiaTheme="minorEastAsia" w:hAnsi="Cambria Math"/>
          </w:rPr>
          <m:t>=1.55, p=.122</m:t>
        </m:r>
      </m:oMath>
      <w:r>
        <w:rPr>
          <w:rFonts w:eastAsiaTheme="minorEastAsia"/>
        </w:rPr>
        <w:t>.</w:t>
      </w:r>
    </w:p>
    <w:p w:rsidR="000E4618" w:rsidRDefault="000E4618" w:rsidP="000E4618">
      <w:r>
        <w:t xml:space="preserve">As shown in </w:t>
      </w:r>
      <w:r w:rsidR="00AC3078">
        <w:fldChar w:fldCharType="begin"/>
      </w:r>
      <w:r w:rsidR="00AC3078">
        <w:instrText xml:space="preserve"> REF _Ref383447499 \h </w:instrText>
      </w:r>
      <w:r w:rsidR="00AC3078">
        <w:fldChar w:fldCharType="separate"/>
      </w:r>
      <w:r w:rsidR="004E5AC7">
        <w:t xml:space="preserve">Figure </w:t>
      </w:r>
      <w:r w:rsidR="004E5AC7">
        <w:rPr>
          <w:noProof/>
        </w:rPr>
        <w:t>11</w:t>
      </w:r>
      <w:r w:rsidR="00AC3078">
        <w:fldChar w:fldCharType="end"/>
      </w:r>
      <w:r>
        <w:fldChar w:fldCharType="begin"/>
      </w:r>
      <w:r>
        <w:instrText xml:space="preserve"> REF _Ref383436209 \h </w:instrText>
      </w:r>
      <w:r>
        <w:fldChar w:fldCharType="separate"/>
      </w:r>
      <w:r w:rsidR="004E5AC7">
        <w:t xml:space="preserve">Figure </w:t>
      </w:r>
      <w:r w:rsidR="004E5AC7">
        <w:rPr>
          <w:noProof/>
        </w:rPr>
        <w:t>8</w:t>
      </w:r>
      <w:r>
        <w:fldChar w:fldCharType="end"/>
      </w:r>
      <w:r>
        <w:t xml:space="preserve">, the distribution of boat types also differed between </w:t>
      </w:r>
      <w:r w:rsidR="00AC3078">
        <w:t>participating</w:t>
      </w:r>
      <w:r>
        <w:t xml:space="preserve"> </w:t>
      </w:r>
      <w:r w:rsidR="00DB4A07">
        <w:t>and</w:t>
      </w:r>
      <w:r>
        <w:t xml:space="preserve"> non-</w:t>
      </w:r>
      <w:r w:rsidR="00AC3078">
        <w:t>participating</w:t>
      </w:r>
      <w:r>
        <w:t xml:space="preserve"> boats</w:t>
      </w:r>
      <w:proofErr w:type="gramStart"/>
      <w:r>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6</m:t>
            </m:r>
          </m:e>
        </m:d>
        <m:r>
          <w:rPr>
            <w:rFonts w:ascii="Cambria Math" w:hAnsi="Cambria Math"/>
          </w:rPr>
          <m:t>= 426.26,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=.14</m:t>
        </m:r>
      </m:oMath>
      <w:r>
        <w:rPr>
          <w:rFonts w:eastAsiaTheme="minorEastAsia"/>
        </w:rPr>
        <w:t>.</w:t>
      </w:r>
      <w:r w:rsidR="00AA6C65">
        <w:rPr>
          <w:rFonts w:eastAsiaTheme="minorEastAsia"/>
        </w:rPr>
        <w:t xml:space="preserve"> The largest differences appeared to be due to </w:t>
      </w:r>
      <w:r w:rsidR="00DB4A07">
        <w:rPr>
          <w:rFonts w:eastAsiaTheme="minorEastAsia"/>
        </w:rPr>
        <w:t>relatively lower</w:t>
      </w:r>
      <w:r w:rsidR="00AA6C65">
        <w:rPr>
          <w:rFonts w:eastAsiaTheme="minorEastAsia"/>
        </w:rPr>
        <w:t xml:space="preserve"> participation by owners of pontoon boats and </w:t>
      </w:r>
      <w:r w:rsidR="00DB4A07">
        <w:rPr>
          <w:rFonts w:eastAsiaTheme="minorEastAsia"/>
        </w:rPr>
        <w:t xml:space="preserve">relatively higher </w:t>
      </w:r>
      <w:r w:rsidR="00AA6C65">
        <w:rPr>
          <w:rFonts w:eastAsiaTheme="minorEastAsia"/>
        </w:rPr>
        <w:t>participation by owners of sailboats.</w:t>
      </w:r>
      <w:r>
        <w:rPr>
          <w:rFonts w:eastAsiaTheme="minorEastAsia"/>
        </w:rPr>
        <w:t xml:space="preserve"> The distributions also departed </w:t>
      </w:r>
      <w:r w:rsidR="00DB4A07">
        <w:rPr>
          <w:rFonts w:eastAsiaTheme="minorEastAsia"/>
        </w:rPr>
        <w:t xml:space="preserve">somewhat </w:t>
      </w:r>
      <w:r>
        <w:rPr>
          <w:rFonts w:eastAsiaTheme="minorEastAsia"/>
        </w:rPr>
        <w:t>from the population distribution (estima</w:t>
      </w:r>
      <w:r w:rsidR="00AA6C65">
        <w:rPr>
          <w:rFonts w:eastAsiaTheme="minorEastAsia"/>
        </w:rPr>
        <w:t>ted from 2011 Boat Survey data).</w:t>
      </w:r>
    </w:p>
    <w:p w:rsidR="000E4618" w:rsidRDefault="000E4618" w:rsidP="000E4618">
      <w:pPr>
        <w:pStyle w:val="Caption"/>
        <w:keepNext/>
      </w:pPr>
      <w:bookmarkStart w:id="29" w:name="_Ref383447499"/>
      <w:bookmarkStart w:id="30" w:name="_Toc383765040"/>
      <w:proofErr w:type="gramStart"/>
      <w:r>
        <w:lastRenderedPageBreak/>
        <w:t xml:space="preserve">Figure </w:t>
      </w:r>
      <w:r w:rsidR="005201FA">
        <w:fldChar w:fldCharType="begin"/>
      </w:r>
      <w:r w:rsidR="005201FA">
        <w:instrText xml:space="preserve"> SEQ Figure \* </w:instrText>
      </w:r>
      <w:r w:rsidR="005201FA">
        <w:instrText xml:space="preserve">ARABIC </w:instrText>
      </w:r>
      <w:r w:rsidR="005201FA">
        <w:fldChar w:fldCharType="separate"/>
      </w:r>
      <w:r w:rsidR="004E5AC7">
        <w:rPr>
          <w:noProof/>
        </w:rPr>
        <w:t>11</w:t>
      </w:r>
      <w:r w:rsidR="005201FA">
        <w:rPr>
          <w:noProof/>
        </w:rPr>
        <w:fldChar w:fldCharType="end"/>
      </w:r>
      <w:bookmarkEnd w:id="29"/>
      <w:r>
        <w:t>.</w:t>
      </w:r>
      <w:proofErr w:type="gramEnd"/>
      <w:r>
        <w:t xml:space="preserve"> Distribution of Boats by Type in Population and by Panel </w:t>
      </w:r>
      <w:r w:rsidR="00AC3078">
        <w:t>Participation</w:t>
      </w:r>
      <w:r>
        <w:t xml:space="preserve"> Status</w:t>
      </w:r>
      <w:bookmarkEnd w:id="30"/>
    </w:p>
    <w:p w:rsidR="000E4618" w:rsidRDefault="000E4618" w:rsidP="000E4618">
      <w:r>
        <w:rPr>
          <w:noProof/>
        </w:rPr>
        <w:drawing>
          <wp:inline distT="0" distB="0" distL="0" distR="0" wp14:anchorId="04C98655" wp14:editId="423320C1">
            <wp:extent cx="5486400" cy="340995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C5602" w:rsidRDefault="00DE6D3B" w:rsidP="00DE6D3B">
      <w:pPr>
        <w:pStyle w:val="Heading2"/>
      </w:pPr>
      <w:bookmarkStart w:id="31" w:name="_Toc383784086"/>
      <w:r>
        <w:t>Conclusions</w:t>
      </w:r>
      <w:bookmarkEnd w:id="31"/>
    </w:p>
    <w:p w:rsidR="00366E52" w:rsidRDefault="00AC41C5" w:rsidP="00AC41C5">
      <w:r>
        <w:t xml:space="preserve">A number of differences were observed with regard to </w:t>
      </w:r>
      <w:r w:rsidR="00213D11">
        <w:t xml:space="preserve">who was successfully recruited to the </w:t>
      </w:r>
      <w:r w:rsidR="00DB4A07">
        <w:t xml:space="preserve">Trip Survey </w:t>
      </w:r>
      <w:r w:rsidR="00213D11">
        <w:t xml:space="preserve">panel and who participated in the panel, </w:t>
      </w:r>
      <w:r w:rsidR="00DB4A07">
        <w:t xml:space="preserve">both </w:t>
      </w:r>
      <w:r>
        <w:t xml:space="preserve">in terms of </w:t>
      </w:r>
      <w:r w:rsidR="00213D11">
        <w:t>characteristics of boat owners and the boats</w:t>
      </w:r>
      <w:r w:rsidR="00DB4A07">
        <w:t xml:space="preserve"> themselves</w:t>
      </w:r>
      <w:r>
        <w:t>. In general, however, the magnitude of the difference</w:t>
      </w:r>
      <w:r w:rsidR="00DB4A07">
        <w:t>s</w:t>
      </w:r>
      <w:r>
        <w:t xml:space="preserve"> in these characteristics based on panel recruitment or participation were quite small, with </w:t>
      </w:r>
      <w:r w:rsidR="00AA75F3">
        <w:rPr>
          <w:rFonts w:eastAsiaTheme="minorEastAsia"/>
        </w:rPr>
        <w:t>the strength of association</w:t>
      </w:r>
      <w:r w:rsidR="00DB4A07">
        <w:rPr>
          <w:rFonts w:eastAsiaTheme="minorEastAsia"/>
        </w:rPr>
        <w:t xml:space="preserve"> </w:t>
      </w:r>
      <m:oMath>
        <m:sSub>
          <m:sSubPr>
            <m:ctrlPr>
              <w:rPr>
                <w:rFonts w:ascii="Cambria Math" w:hAnsi="Cambria Math"/>
                <w:i/>
              </w:rPr>
            </m:ctrlPr>
          </m:sSubPr>
          <m:e>
            <m:r>
              <w:rPr>
                <w:rFonts w:ascii="Cambria Math" w:hAnsi="Cambria Math"/>
              </w:rPr>
              <m:t>φ</m:t>
            </m:r>
          </m:e>
          <m:sub>
            <m:r>
              <w:rPr>
                <w:rFonts w:ascii="Cambria Math" w:hAnsi="Cambria Math"/>
              </w:rPr>
              <m:t>C</m:t>
            </m:r>
          </m:sub>
        </m:sSub>
      </m:oMath>
      <w:r>
        <w:rPr>
          <w:rFonts w:eastAsiaTheme="minorEastAsia"/>
        </w:rPr>
        <w:t xml:space="preserve"> generally </w:t>
      </w:r>
      <w:r w:rsidR="00AA75F3">
        <w:rPr>
          <w:rFonts w:eastAsiaTheme="minorEastAsia"/>
        </w:rPr>
        <w:t>less than</w:t>
      </w:r>
      <w:r>
        <w:rPr>
          <w:rFonts w:eastAsiaTheme="minorEastAsia"/>
        </w:rPr>
        <w:t xml:space="preserve"> .1 (on a scale from 0 to 1). Some variation in population characteristics is to be expected due to non-recruitment and non-participation, and the amount of variation observed here is not especially high. Most notably, the variation in participation rates by boat type suggests that additional effort may be helpful in the future to ensure higher partic</w:t>
      </w:r>
      <w:r w:rsidR="00AA75F3">
        <w:rPr>
          <w:rFonts w:eastAsiaTheme="minorEastAsia"/>
        </w:rPr>
        <w:t>ipation among owners of kayaks</w:t>
      </w:r>
      <w:r>
        <w:rPr>
          <w:rFonts w:eastAsiaTheme="minorEastAsia"/>
        </w:rPr>
        <w:t>, but this variation is accounted for in the 2012 Trip Survey by weighting responses by boat type. It is also worth noting that the lack of d</w:t>
      </w:r>
      <w:r w:rsidR="00366E52">
        <w:t>emographic data (e.g., sex, race, age</w:t>
      </w:r>
      <w:r>
        <w:t>, etc.</w:t>
      </w:r>
      <w:r w:rsidR="00366E52">
        <w:t>) on panelists precludes com</w:t>
      </w:r>
      <w:r>
        <w:t xml:space="preserve">parisons along these dimensions, </w:t>
      </w:r>
      <w:r w:rsidR="00AA75F3">
        <w:t>and would therefore</w:t>
      </w:r>
      <w:r>
        <w:t xml:space="preserve"> be </w:t>
      </w:r>
      <w:r w:rsidR="00AA75F3">
        <w:t>helpful</w:t>
      </w:r>
      <w:r>
        <w:t xml:space="preserve"> to collect in the future</w:t>
      </w:r>
      <w:r w:rsidR="00AA75F3">
        <w:t xml:space="preserve"> (e.g., as part of the preceding Boat Survey)</w:t>
      </w:r>
      <w:r>
        <w:t>.</w:t>
      </w:r>
    </w:p>
    <w:p w:rsidR="005C5602" w:rsidRDefault="00007D15" w:rsidP="00007D15">
      <w:pPr>
        <w:pStyle w:val="Heading1"/>
      </w:pPr>
      <w:bookmarkStart w:id="32" w:name="_Toc383784087"/>
      <w:r>
        <w:lastRenderedPageBreak/>
        <w:t>2013 Participation Survey</w:t>
      </w:r>
      <w:bookmarkEnd w:id="32"/>
    </w:p>
    <w:p w:rsidR="005C5602" w:rsidRDefault="00FD364D" w:rsidP="005C5602">
      <w:r>
        <w:t xml:space="preserve">The 2013 Participation Survey measured recreational boating participation using a stratified, national RDD phone design. </w:t>
      </w:r>
    </w:p>
    <w:p w:rsidR="00FD364D" w:rsidRDefault="00FD364D" w:rsidP="00F057F4">
      <w:r>
        <w:t>The RDD sample was prepared for analysis by first assigning a standard AAPOR disposition to each record. C</w:t>
      </w:r>
      <w:r w:rsidR="0097738E">
        <w:t xml:space="preserve">omplete interviews (I) include </w:t>
      </w:r>
      <w:r>
        <w:t xml:space="preserve">completed interviews with </w:t>
      </w:r>
      <w:r w:rsidR="0097738E">
        <w:t>a member of a contacted household</w:t>
      </w:r>
      <w:r>
        <w:t>. The following analyses compare respondents (I) to eligible non-respondents (E). For simplicity, the records of unknown eligibility (U) were excluded from these analyses, in addition to the ineligible (X) records.</w:t>
      </w:r>
    </w:p>
    <w:p w:rsidR="00FD364D" w:rsidRDefault="0097738E" w:rsidP="00FD364D">
      <w:r>
        <w:t xml:space="preserve">RDD samples generally provide little </w:t>
      </w:r>
      <w:r w:rsidR="00FD364D">
        <w:t>auxiliary information because the frame is construc</w:t>
      </w:r>
      <w:r w:rsidR="00F057F4">
        <w:t>ted from phone number databases</w:t>
      </w:r>
      <w:r w:rsidR="00FD364D">
        <w:t xml:space="preserve">. </w:t>
      </w:r>
      <w:r w:rsidR="00F057F4">
        <w:t>R</w:t>
      </w:r>
      <w:r w:rsidR="00FD364D">
        <w:t xml:space="preserve">esponse rates </w:t>
      </w:r>
      <w:r w:rsidR="00F057F4">
        <w:t xml:space="preserve">can, however, </w:t>
      </w:r>
      <w:r w:rsidR="00FD364D">
        <w:t xml:space="preserve">be compared by geographic region based on the state associated with each phone number on the frame. This comparison can be made separately for both landline and cell phone records (with the caveat that the geographic accuracy of cell phone records is known to be lower). As shown in </w:t>
      </w:r>
      <w:r w:rsidR="00AA75F3">
        <w:fldChar w:fldCharType="begin"/>
      </w:r>
      <w:r w:rsidR="00AA75F3">
        <w:instrText xml:space="preserve"> REF _Ref383763291 \h </w:instrText>
      </w:r>
      <w:r w:rsidR="00AA75F3">
        <w:fldChar w:fldCharType="separate"/>
      </w:r>
      <w:r w:rsidR="004E5AC7">
        <w:t xml:space="preserve">Figure </w:t>
      </w:r>
      <w:r w:rsidR="004E5AC7">
        <w:rPr>
          <w:noProof/>
        </w:rPr>
        <w:t>12</w:t>
      </w:r>
      <w:r w:rsidR="00AA75F3">
        <w:fldChar w:fldCharType="end"/>
      </w:r>
      <w:r w:rsidR="00AA75F3">
        <w:t xml:space="preserve"> </w:t>
      </w:r>
      <w:r w:rsidR="00874467">
        <w:t>(blue bars)</w:t>
      </w:r>
      <w:r w:rsidR="00FD364D">
        <w:t>, response rates for the full RDD sample (landline and cell phone</w:t>
      </w:r>
      <w:r w:rsidR="00AA75F3">
        <w:t xml:space="preserve"> combined</w:t>
      </w:r>
      <w:r w:rsidR="00FD364D">
        <w:t>) varied significantly by region</w:t>
      </w:r>
      <w:proofErr w:type="gramStart"/>
      <w:r w:rsidR="00FD364D">
        <w:t xml:space="preserve">, </w:t>
      </w:r>
      <w:proofErr w:type="gramEnd"/>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r>
              <w:rPr>
                <w:rFonts w:ascii="Cambria Math" w:hAnsi="Cambria Math"/>
              </w:rPr>
              <m:t>3</m:t>
            </m:r>
          </m:e>
        </m:d>
        <m:r>
          <w:rPr>
            <w:rFonts w:ascii="Cambria Math" w:hAnsi="Cambria Math"/>
          </w:rPr>
          <m:t>= 82.24, p&lt;.0001</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C</m:t>
            </m:r>
          </m:sub>
        </m:sSub>
        <m:r>
          <w:rPr>
            <w:rFonts w:ascii="Cambria Math" w:eastAsiaTheme="minorEastAsia" w:hAnsi="Cambria Math"/>
          </w:rPr>
          <m:t>=.04</m:t>
        </m:r>
      </m:oMath>
      <w:r w:rsidR="00AA75F3">
        <w:rPr>
          <w:rFonts w:eastAsiaTheme="minorEastAsia"/>
        </w:rPr>
        <w:t>,</w:t>
      </w:r>
      <w:r w:rsidR="00FD364D">
        <w:rPr>
          <w:rFonts w:eastAsiaTheme="minorEastAsia"/>
        </w:rPr>
        <w:t xml:space="preserve"> with the </w:t>
      </w:r>
      <w:r w:rsidR="00506F51">
        <w:rPr>
          <w:rFonts w:eastAsiaTheme="minorEastAsia"/>
        </w:rPr>
        <w:t xml:space="preserve">West region </w:t>
      </w:r>
      <w:r w:rsidR="00FD364D">
        <w:rPr>
          <w:rFonts w:eastAsiaTheme="minorEastAsia"/>
        </w:rPr>
        <w:t xml:space="preserve">being </w:t>
      </w:r>
      <w:r w:rsidR="00506F51">
        <w:rPr>
          <w:rFonts w:eastAsiaTheme="minorEastAsia"/>
        </w:rPr>
        <w:t xml:space="preserve">five points </w:t>
      </w:r>
      <w:r w:rsidR="00FD364D">
        <w:rPr>
          <w:rFonts w:eastAsiaTheme="minorEastAsia"/>
        </w:rPr>
        <w:t>higher than the</w:t>
      </w:r>
      <w:r w:rsidR="00506F51">
        <w:rPr>
          <w:rFonts w:eastAsiaTheme="minorEastAsia"/>
        </w:rPr>
        <w:t xml:space="preserve"> Northeast</w:t>
      </w:r>
      <w:r w:rsidR="00FD364D">
        <w:rPr>
          <w:rFonts w:eastAsiaTheme="minorEastAsia"/>
        </w:rPr>
        <w:t xml:space="preserve">. </w:t>
      </w:r>
      <w:r w:rsidR="006875D5">
        <w:rPr>
          <w:rFonts w:eastAsiaTheme="minorEastAsia"/>
        </w:rPr>
        <w:t>In the landline sample (green bars), response rates were higher for the West and South regions, whereas for the cell phone sample (red bars), response rates were higher for the West region.</w:t>
      </w:r>
    </w:p>
    <w:p w:rsidR="00FD364D" w:rsidRDefault="00FD364D" w:rsidP="00FD364D">
      <w:pPr>
        <w:pStyle w:val="Caption"/>
        <w:keepNext/>
      </w:pPr>
      <w:bookmarkStart w:id="33" w:name="_Ref383763291"/>
      <w:bookmarkStart w:id="34" w:name="_Toc383765041"/>
      <w:proofErr w:type="gramStart"/>
      <w:r>
        <w:t xml:space="preserve">Figure </w:t>
      </w:r>
      <w:r w:rsidR="005201FA">
        <w:fldChar w:fldCharType="begin"/>
      </w:r>
      <w:r w:rsidR="005201FA">
        <w:instrText xml:space="preserve"> SEQ Figure \* ARABIC </w:instrText>
      </w:r>
      <w:r w:rsidR="005201FA">
        <w:fldChar w:fldCharType="separate"/>
      </w:r>
      <w:r w:rsidR="004E5AC7">
        <w:rPr>
          <w:noProof/>
        </w:rPr>
        <w:t>12</w:t>
      </w:r>
      <w:r w:rsidR="005201FA">
        <w:rPr>
          <w:noProof/>
        </w:rPr>
        <w:fldChar w:fldCharType="end"/>
      </w:r>
      <w:bookmarkEnd w:id="33"/>
      <w:r>
        <w:t>.</w:t>
      </w:r>
      <w:proofErr w:type="gramEnd"/>
      <w:r>
        <w:t xml:space="preserve"> Response Rates by Region for 2011 Boat Survey, RDD Sample (LL + CP)</w:t>
      </w:r>
      <w:bookmarkEnd w:id="34"/>
    </w:p>
    <w:p w:rsidR="00FD364D" w:rsidRDefault="00FD364D" w:rsidP="00FD364D">
      <w:r>
        <w:rPr>
          <w:noProof/>
        </w:rPr>
        <w:drawing>
          <wp:inline distT="0" distB="0" distL="0" distR="0" wp14:anchorId="3E7C5698" wp14:editId="4312CDD3">
            <wp:extent cx="5486400" cy="33718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C5602" w:rsidRDefault="005C5602" w:rsidP="005C5602"/>
    <w:p w:rsidR="005832C4" w:rsidRDefault="001C271E" w:rsidP="005C5602">
      <w:r>
        <w:lastRenderedPageBreak/>
        <w:t xml:space="preserve">An alternative approach to non-response analysis in RDD surveys is to compare responses based on the point in the dialing protocol at which a completed interview was achieved. Although </w:t>
      </w:r>
      <w:r w:rsidR="005832C4">
        <w:t xml:space="preserve">this type of analysis does not technically </w:t>
      </w:r>
      <w:r>
        <w:t>compare responders to non-responders, it can approximate such a comparison to the extent that late responders are similar to non-responders.</w:t>
      </w:r>
      <w:r w:rsidR="00A76BA0">
        <w:t xml:space="preserve"> The cumulative distribution of call attempts required to achieve a completed interview for all records on the survey dataset is shown in</w:t>
      </w:r>
      <w:r w:rsidR="00904D86">
        <w:t xml:space="preserve"> </w:t>
      </w:r>
      <w:r w:rsidR="00904D86">
        <w:fldChar w:fldCharType="begin"/>
      </w:r>
      <w:r w:rsidR="00904D86">
        <w:instrText xml:space="preserve"> REF _Ref383764159 \h </w:instrText>
      </w:r>
      <w:r w:rsidR="00904D86">
        <w:fldChar w:fldCharType="separate"/>
      </w:r>
      <w:r w:rsidR="004E5AC7">
        <w:t xml:space="preserve">Figure </w:t>
      </w:r>
      <w:r w:rsidR="004E5AC7">
        <w:rPr>
          <w:noProof/>
        </w:rPr>
        <w:t>13</w:t>
      </w:r>
      <w:r w:rsidR="00904D86">
        <w:fldChar w:fldCharType="end"/>
      </w:r>
      <w:r w:rsidR="00A76BA0">
        <w:t xml:space="preserve">. </w:t>
      </w:r>
    </w:p>
    <w:p w:rsidR="00FD364D" w:rsidRDefault="005832C4" w:rsidP="005C5602">
      <w:r>
        <w:t>Following the same dichotomization used for the 2011 Boat Survey RDD analysis</w:t>
      </w:r>
      <w:r w:rsidR="00A76BA0">
        <w:t xml:space="preserve">, respondents who required 5 or fewer call attempts are </w:t>
      </w:r>
      <w:r>
        <w:t>classified as</w:t>
      </w:r>
      <w:r w:rsidR="00A76BA0">
        <w:t xml:space="preserve"> “early responders” and respondents who required more than 5 attempts are </w:t>
      </w:r>
      <w:r>
        <w:t xml:space="preserve">classified as </w:t>
      </w:r>
      <w:r w:rsidR="00A76BA0">
        <w:t>“late responders.”</w:t>
      </w:r>
      <w:r w:rsidR="003B169D">
        <w:t xml:space="preserve"> This results in 79% of responses being categorized as early and 21% of responses being categorized as late.</w:t>
      </w:r>
    </w:p>
    <w:p w:rsidR="00904D86" w:rsidRDefault="00904D86" w:rsidP="00904D86">
      <w:pPr>
        <w:pStyle w:val="Caption"/>
        <w:keepNext/>
      </w:pPr>
      <w:bookmarkStart w:id="35" w:name="_Ref383764159"/>
      <w:bookmarkStart w:id="36" w:name="_Toc383765042"/>
      <w:proofErr w:type="gramStart"/>
      <w:r>
        <w:t xml:space="preserve">Figure </w:t>
      </w:r>
      <w:r w:rsidR="005201FA">
        <w:fldChar w:fldCharType="begin"/>
      </w:r>
      <w:r w:rsidR="005201FA">
        <w:instrText xml:space="preserve"> SEQ Figure \* ARABIC </w:instrText>
      </w:r>
      <w:r w:rsidR="005201FA">
        <w:fldChar w:fldCharType="separate"/>
      </w:r>
      <w:r w:rsidR="004E5AC7">
        <w:rPr>
          <w:noProof/>
        </w:rPr>
        <w:t>13</w:t>
      </w:r>
      <w:r w:rsidR="005201FA">
        <w:rPr>
          <w:noProof/>
        </w:rPr>
        <w:fldChar w:fldCharType="end"/>
      </w:r>
      <w:bookmarkEnd w:id="35"/>
      <w:r>
        <w:t>.</w:t>
      </w:r>
      <w:proofErr w:type="gramEnd"/>
      <w:r>
        <w:t xml:space="preserve"> Proportion of Completed Participation Survey RDD Interviews Achieved by Number of Call Attempts</w:t>
      </w:r>
      <w:bookmarkEnd w:id="36"/>
    </w:p>
    <w:p w:rsidR="005832C4" w:rsidRDefault="005832C4" w:rsidP="005C5602">
      <w:r>
        <w:rPr>
          <w:noProof/>
        </w:rPr>
        <w:drawing>
          <wp:inline distT="0" distB="0" distL="0" distR="0" wp14:anchorId="436EF1DE" wp14:editId="12419FCD">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04D86" w:rsidRDefault="0055679F" w:rsidP="005C5602">
      <w:r>
        <w:fldChar w:fldCharType="begin"/>
      </w:r>
      <w:r>
        <w:instrText xml:space="preserve"> REF _Ref383694423 \h </w:instrText>
      </w:r>
      <w:r>
        <w:fldChar w:fldCharType="separate"/>
      </w:r>
      <w:r w:rsidR="004E5AC7">
        <w:t xml:space="preserve">Figure </w:t>
      </w:r>
      <w:r w:rsidR="004E5AC7">
        <w:rPr>
          <w:noProof/>
        </w:rPr>
        <w:t>14</w:t>
      </w:r>
      <w:r>
        <w:fldChar w:fldCharType="end"/>
      </w:r>
      <w:r w:rsidR="002D6697">
        <w:t xml:space="preserve"> compares the </w:t>
      </w:r>
      <w:r w:rsidR="00904D86">
        <w:t>proportions</w:t>
      </w:r>
      <w:r w:rsidR="002D6697">
        <w:t xml:space="preserve"> for selected dichotomous survey items between early and late responders. Significant differences are marked with an asterisk </w:t>
      </w:r>
      <w:r w:rsidR="00904D86">
        <w:t>at the end of the</w:t>
      </w:r>
      <w:r w:rsidR="002D6697">
        <w:t xml:space="preserve"> survey item </w:t>
      </w:r>
      <w:r w:rsidR="00904D86">
        <w:t xml:space="preserve">label </w:t>
      </w:r>
      <w:r w:rsidR="002D6697">
        <w:t xml:space="preserve">(y-axis). </w:t>
      </w:r>
    </w:p>
    <w:p w:rsidR="002D6697" w:rsidRDefault="002D6697" w:rsidP="005C5602">
      <w:r>
        <w:t>Of the 11 items analyzed, only one—the proportion of households in which someone had fished from a boat during 2012—was significantly different between early and late responders, with early responders being slightly more likely to report having done so. Otherwise, there was little difference in survey outcomes between these two groups.</w:t>
      </w:r>
    </w:p>
    <w:p w:rsidR="002D6697" w:rsidRDefault="002D6697" w:rsidP="002D6697">
      <w:pPr>
        <w:pStyle w:val="Caption"/>
        <w:keepNext/>
      </w:pPr>
      <w:bookmarkStart w:id="37" w:name="_Ref383694423"/>
      <w:bookmarkStart w:id="38" w:name="_Toc383765043"/>
      <w:proofErr w:type="gramStart"/>
      <w:r>
        <w:lastRenderedPageBreak/>
        <w:t xml:space="preserve">Figure </w:t>
      </w:r>
      <w:r w:rsidR="005201FA">
        <w:fldChar w:fldCharType="begin"/>
      </w:r>
      <w:r w:rsidR="005201FA">
        <w:instrText xml:space="preserve"> SEQ Figure \* ARABIC </w:instrText>
      </w:r>
      <w:r w:rsidR="005201FA">
        <w:fldChar w:fldCharType="separate"/>
      </w:r>
      <w:r w:rsidR="004E5AC7">
        <w:rPr>
          <w:noProof/>
        </w:rPr>
        <w:t>14</w:t>
      </w:r>
      <w:r w:rsidR="005201FA">
        <w:rPr>
          <w:noProof/>
        </w:rPr>
        <w:fldChar w:fldCharType="end"/>
      </w:r>
      <w:bookmarkEnd w:id="37"/>
      <w:r>
        <w:t>.</w:t>
      </w:r>
      <w:proofErr w:type="gramEnd"/>
      <w:r>
        <w:t xml:space="preserve"> Mean of Selected </w:t>
      </w:r>
      <w:r w:rsidR="00A84C04">
        <w:t xml:space="preserve">Participation </w:t>
      </w:r>
      <w:r>
        <w:t xml:space="preserve">Survey Items </w:t>
      </w:r>
      <w:r w:rsidR="0055679F">
        <w:t>for</w:t>
      </w:r>
      <w:r>
        <w:t xml:space="preserve"> Early</w:t>
      </w:r>
      <w:r w:rsidR="0055679F">
        <w:t xml:space="preserve"> and</w:t>
      </w:r>
      <w:r>
        <w:t xml:space="preserve"> Late Responders</w:t>
      </w:r>
      <w:bookmarkEnd w:id="38"/>
    </w:p>
    <w:p w:rsidR="003653DA" w:rsidRDefault="003653DA" w:rsidP="005C5602">
      <w:r>
        <w:rPr>
          <w:noProof/>
        </w:rPr>
        <w:drawing>
          <wp:inline distT="0" distB="0" distL="0" distR="0" wp14:anchorId="7A9C4041" wp14:editId="5759F413">
            <wp:extent cx="5486400" cy="503872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5679F" w:rsidRDefault="0055679F" w:rsidP="0055679F">
      <w:pPr>
        <w:rPr>
          <w:rFonts w:eastAsiaTheme="minorEastAsia"/>
        </w:rPr>
      </w:pPr>
      <w:r>
        <w:t xml:space="preserve">Two continuous demographic measures were also compared between early and late responders. </w:t>
      </w:r>
      <w:r w:rsidR="00904D86">
        <w:t xml:space="preserve">Late responders had significantly </w:t>
      </w:r>
      <w:r w:rsidR="00577E6B">
        <w:t>fewer</w:t>
      </w:r>
      <w:r w:rsidR="00904D86">
        <w:t xml:space="preserve"> people living in their households</w:t>
      </w:r>
      <w:r>
        <w:t xml:space="preserve"> </w:t>
      </w:r>
      <w:r w:rsidRPr="00665B84">
        <w:t>(</w:t>
      </w:r>
      <w:r w:rsidRPr="00665B84">
        <w:rPr>
          <w:i/>
        </w:rPr>
        <w:t>M</w:t>
      </w:r>
      <w:r w:rsidRPr="00665B84">
        <w:t xml:space="preserve"> =</w:t>
      </w:r>
      <w:r w:rsidR="00577E6B">
        <w:t xml:space="preserve"> 2.67,</w:t>
      </w:r>
      <w:r>
        <w:t xml:space="preserve"> </w:t>
      </w:r>
      <w:r w:rsidRPr="00D76B7D">
        <w:rPr>
          <w:i/>
        </w:rPr>
        <w:t>SD</w:t>
      </w:r>
      <w:r w:rsidRPr="00D76B7D">
        <w:t xml:space="preserve"> =</w:t>
      </w:r>
      <w:r>
        <w:t xml:space="preserve"> 1.47) compared to early responders </w:t>
      </w:r>
      <w:r w:rsidRPr="00665B84">
        <w:t>(</w:t>
      </w:r>
      <w:r w:rsidRPr="00665B84">
        <w:rPr>
          <w:i/>
        </w:rPr>
        <w:t>M</w:t>
      </w:r>
      <w:r w:rsidRPr="00665B84">
        <w:t xml:space="preserve"> =</w:t>
      </w:r>
      <w:r w:rsidR="00577E6B">
        <w:t xml:space="preserve"> 2.75</w:t>
      </w:r>
      <w:r>
        <w:t xml:space="preserve">, </w:t>
      </w:r>
      <w:r w:rsidRPr="00D76B7D">
        <w:rPr>
          <w:i/>
        </w:rPr>
        <w:t>SD</w:t>
      </w:r>
      <w:r w:rsidRPr="00D76B7D">
        <w:t xml:space="preserve"> =</w:t>
      </w:r>
      <w:r>
        <w:t xml:space="preserve"> 1.47)</w:t>
      </w:r>
      <w:proofErr w:type="gramStart"/>
      <w:r>
        <w:t xml:space="preserve">, </w:t>
      </w:r>
      <w:proofErr w:type="gramEnd"/>
      <m:oMath>
        <m:r>
          <w:rPr>
            <w:rFonts w:ascii="Cambria Math" w:hAnsi="Cambria Math"/>
          </w:rPr>
          <m:t>t</m:t>
        </m:r>
        <m:d>
          <m:dPr>
            <m:ctrlPr>
              <w:rPr>
                <w:rFonts w:ascii="Cambria Math" w:hAnsi="Cambria Math"/>
                <w:i/>
              </w:rPr>
            </m:ctrlPr>
          </m:dPr>
          <m:e>
            <m:r>
              <w:rPr>
                <w:rFonts w:ascii="Cambria Math" w:hAnsi="Cambria Math"/>
              </w:rPr>
              <m:t>16901</m:t>
            </m:r>
          </m:e>
        </m:d>
        <m:r>
          <w:rPr>
            <w:rFonts w:ascii="Cambria Math" w:hAnsi="Cambria Math"/>
          </w:rPr>
          <m:t>=-3.22, p=.001</m:t>
        </m:r>
      </m:oMath>
      <w:r>
        <w:rPr>
          <w:rFonts w:eastAsiaTheme="minorEastAsia"/>
        </w:rPr>
        <w:t xml:space="preserve">. </w:t>
      </w:r>
      <w:r w:rsidR="00904D86">
        <w:rPr>
          <w:rFonts w:eastAsiaTheme="minorEastAsia"/>
        </w:rPr>
        <w:t>In addition, late responders were significantly older</w:t>
      </w:r>
      <w:r>
        <w:rPr>
          <w:rFonts w:eastAsiaTheme="minorEastAsia"/>
        </w:rPr>
        <w:t xml:space="preserve"> </w:t>
      </w:r>
      <w:r w:rsidRPr="0055679F">
        <w:rPr>
          <w:rFonts w:eastAsiaTheme="minorEastAsia"/>
        </w:rPr>
        <w:t>(</w:t>
      </w:r>
      <w:r w:rsidRPr="0055679F">
        <w:rPr>
          <w:rFonts w:eastAsiaTheme="minorEastAsia"/>
          <w:i/>
        </w:rPr>
        <w:t>M</w:t>
      </w:r>
      <w:r w:rsidRPr="0055679F">
        <w:rPr>
          <w:rFonts w:eastAsiaTheme="minorEastAsia"/>
        </w:rPr>
        <w:t xml:space="preserve"> =</w:t>
      </w:r>
      <w:r>
        <w:rPr>
          <w:rFonts w:eastAsiaTheme="minorEastAsia"/>
        </w:rPr>
        <w:t xml:space="preserve"> 53.26, </w:t>
      </w:r>
      <w:r w:rsidRPr="0055679F">
        <w:rPr>
          <w:rFonts w:eastAsiaTheme="minorEastAsia"/>
          <w:i/>
        </w:rPr>
        <w:t>SD</w:t>
      </w:r>
      <w:r w:rsidRPr="0055679F">
        <w:rPr>
          <w:rFonts w:eastAsiaTheme="minorEastAsia"/>
        </w:rPr>
        <w:t xml:space="preserve"> </w:t>
      </w:r>
      <w:r>
        <w:rPr>
          <w:rFonts w:eastAsiaTheme="minorEastAsia"/>
        </w:rPr>
        <w:t xml:space="preserve">= 18.26) compared to early responders </w:t>
      </w:r>
      <w:r w:rsidRPr="0055679F">
        <w:rPr>
          <w:rFonts w:eastAsiaTheme="minorEastAsia"/>
        </w:rPr>
        <w:t>(</w:t>
      </w:r>
      <w:r w:rsidRPr="0055679F">
        <w:rPr>
          <w:rFonts w:eastAsiaTheme="minorEastAsia"/>
          <w:i/>
        </w:rPr>
        <w:t>M</w:t>
      </w:r>
      <w:r w:rsidRPr="0055679F">
        <w:rPr>
          <w:rFonts w:eastAsiaTheme="minorEastAsia"/>
        </w:rPr>
        <w:t xml:space="preserve"> =</w:t>
      </w:r>
      <w:r>
        <w:rPr>
          <w:rFonts w:eastAsiaTheme="minorEastAsia"/>
        </w:rPr>
        <w:t xml:space="preserve"> 52.59, </w:t>
      </w:r>
      <w:r w:rsidRPr="0055679F">
        <w:rPr>
          <w:rFonts w:eastAsiaTheme="minorEastAsia"/>
          <w:i/>
        </w:rPr>
        <w:t>SD</w:t>
      </w:r>
      <w:r w:rsidRPr="0055679F">
        <w:rPr>
          <w:rFonts w:eastAsiaTheme="minorEastAsia"/>
        </w:rPr>
        <w:t xml:space="preserve"> =</w:t>
      </w:r>
      <w:r>
        <w:rPr>
          <w:rFonts w:eastAsiaTheme="minorEastAsia"/>
        </w:rPr>
        <w:t xml:space="preserve"> 16.09)</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Satt</m:t>
            </m:r>
          </m:sub>
        </m:sSub>
        <m:d>
          <m:dPr>
            <m:ctrlPr>
              <w:rPr>
                <w:rFonts w:ascii="Cambria Math" w:eastAsiaTheme="minorEastAsia" w:hAnsi="Cambria Math"/>
                <w:i/>
              </w:rPr>
            </m:ctrlPr>
          </m:dPr>
          <m:e>
            <m:r>
              <w:rPr>
                <w:rFonts w:ascii="Cambria Math" w:eastAsiaTheme="minorEastAsia" w:hAnsi="Cambria Math"/>
              </w:rPr>
              <m:t>6123</m:t>
            </m:r>
          </m:e>
        </m:d>
        <m:r>
          <w:rPr>
            <w:rFonts w:ascii="Cambria Math" w:eastAsiaTheme="minorEastAsia" w:hAnsi="Cambria Math"/>
          </w:rPr>
          <m:t>=2.11, p=.035</m:t>
        </m:r>
      </m:oMath>
      <w:r>
        <w:rPr>
          <w:rFonts w:eastAsiaTheme="minorEastAsia"/>
        </w:rPr>
        <w:t>.</w:t>
      </w:r>
      <w:r w:rsidR="00A84C04">
        <w:rPr>
          <w:rFonts w:eastAsiaTheme="minorEastAsia"/>
        </w:rPr>
        <w:t xml:space="preserve"> This </w:t>
      </w:r>
      <w:r w:rsidR="00577E6B">
        <w:rPr>
          <w:rFonts w:eastAsiaTheme="minorEastAsia"/>
        </w:rPr>
        <w:t xml:space="preserve">demographic </w:t>
      </w:r>
      <w:r w:rsidR="00A84C04">
        <w:rPr>
          <w:rFonts w:eastAsiaTheme="minorEastAsia"/>
        </w:rPr>
        <w:t>pattern is identical to that observed in the analysis of the RDD sample from the 2011 Boat Survey.</w:t>
      </w:r>
    </w:p>
    <w:p w:rsidR="00577E6B" w:rsidRDefault="00577E6B" w:rsidP="00577E6B">
      <w:pPr>
        <w:pStyle w:val="Heading2"/>
      </w:pPr>
      <w:bookmarkStart w:id="39" w:name="_Toc383784088"/>
      <w:r>
        <w:rPr>
          <w:rFonts w:eastAsiaTheme="minorEastAsia"/>
        </w:rPr>
        <w:t>Conclusions</w:t>
      </w:r>
      <w:bookmarkEnd w:id="39"/>
    </w:p>
    <w:p w:rsidR="009D3609" w:rsidRDefault="00577E6B" w:rsidP="0055679F">
      <w:r>
        <w:t xml:space="preserve">With regard to the observed regional variation in response rates, the risk of bias is small due to responses being weighted to known population totals within each state. </w:t>
      </w:r>
      <w:r w:rsidR="0055679F">
        <w:t xml:space="preserve">Although </w:t>
      </w:r>
      <w:r>
        <w:t>a small number of</w:t>
      </w:r>
      <w:r w:rsidR="0055679F">
        <w:t xml:space="preserve"> significant differences </w:t>
      </w:r>
      <w:r>
        <w:t>were</w:t>
      </w:r>
      <w:r w:rsidR="0055679F">
        <w:t xml:space="preserve"> observed </w:t>
      </w:r>
      <w:r>
        <w:t xml:space="preserve">in survey outcomes </w:t>
      </w:r>
      <w:r w:rsidR="0055679F">
        <w:t>between early and late responders</w:t>
      </w:r>
      <w:r>
        <w:t xml:space="preserve"> in the Participation Survey</w:t>
      </w:r>
      <w:r w:rsidR="0055679F">
        <w:t>, the magnitude of these differences was very small. Taken together, these analyses suggest that, to the extent that late responders are similar to non-responders, there is low risk for bias due to non-response in this survey.</w:t>
      </w:r>
    </w:p>
    <w:sectPr w:rsidR="009D3609" w:rsidSect="005201FA">
      <w:headerReference w:type="default" r:id="rId2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47" w:rsidRDefault="00671547" w:rsidP="00366E52">
      <w:pPr>
        <w:spacing w:after="0" w:line="240" w:lineRule="auto"/>
      </w:pPr>
      <w:r>
        <w:separator/>
      </w:r>
    </w:p>
  </w:endnote>
  <w:endnote w:type="continuationSeparator" w:id="0">
    <w:p w:rsidR="00671547" w:rsidRDefault="00671547" w:rsidP="0036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47" w:rsidRDefault="00671547" w:rsidP="00366E52">
      <w:pPr>
        <w:spacing w:after="0" w:line="240" w:lineRule="auto"/>
      </w:pPr>
      <w:r>
        <w:separator/>
      </w:r>
    </w:p>
  </w:footnote>
  <w:footnote w:type="continuationSeparator" w:id="0">
    <w:p w:rsidR="00671547" w:rsidRDefault="00671547" w:rsidP="00366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015407"/>
      <w:docPartObj>
        <w:docPartGallery w:val="Page Numbers (Top of Page)"/>
        <w:docPartUnique/>
      </w:docPartObj>
    </w:sdtPr>
    <w:sdtEndPr>
      <w:rPr>
        <w:noProof/>
      </w:rPr>
    </w:sdtEndPr>
    <w:sdtContent>
      <w:p w:rsidR="005201FA" w:rsidRDefault="005201FA">
        <w:pPr>
          <w:pStyle w:val="Header"/>
          <w:jc w:val="right"/>
        </w:pPr>
        <w:r>
          <w:fldChar w:fldCharType="begin"/>
        </w:r>
        <w:r>
          <w:instrText xml:space="preserve"> PAGE   \* MERGEFORMAT </w:instrText>
        </w:r>
        <w:r>
          <w:fldChar w:fldCharType="separate"/>
        </w:r>
        <w:r>
          <w:rPr>
            <w:noProof/>
          </w:rPr>
          <w:t xml:space="preserve"> </w:t>
        </w:r>
        <w:r>
          <w:rPr>
            <w:noProof/>
          </w:rPr>
          <w:fldChar w:fldCharType="end"/>
        </w:r>
      </w:p>
    </w:sdtContent>
  </w:sdt>
  <w:p w:rsidR="00A903B5" w:rsidRDefault="00A90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531801"/>
      <w:docPartObj>
        <w:docPartGallery w:val="Page Numbers (Top of Page)"/>
        <w:docPartUnique/>
      </w:docPartObj>
    </w:sdtPr>
    <w:sdtEndPr>
      <w:rPr>
        <w:noProof/>
      </w:rPr>
    </w:sdtEndPr>
    <w:sdtContent>
      <w:p w:rsidR="005201FA" w:rsidRDefault="005201F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201FA" w:rsidRDefault="00520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29BD"/>
    <w:multiLevelType w:val="hybridMultilevel"/>
    <w:tmpl w:val="DDDC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847CE2"/>
    <w:multiLevelType w:val="hybridMultilevel"/>
    <w:tmpl w:val="8416D68A"/>
    <w:lvl w:ilvl="0" w:tplc="3F424A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A3198"/>
    <w:multiLevelType w:val="hybridMultilevel"/>
    <w:tmpl w:val="A3F6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C04042"/>
    <w:multiLevelType w:val="hybridMultilevel"/>
    <w:tmpl w:val="67E64410"/>
    <w:lvl w:ilvl="0" w:tplc="DBBC69B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06"/>
    <w:rsid w:val="00002ED9"/>
    <w:rsid w:val="00007D15"/>
    <w:rsid w:val="00014182"/>
    <w:rsid w:val="000146E7"/>
    <w:rsid w:val="00016C28"/>
    <w:rsid w:val="00020D34"/>
    <w:rsid w:val="000441EC"/>
    <w:rsid w:val="00046B3A"/>
    <w:rsid w:val="00073A83"/>
    <w:rsid w:val="000A19BF"/>
    <w:rsid w:val="000D14AD"/>
    <w:rsid w:val="000D45C3"/>
    <w:rsid w:val="000E4618"/>
    <w:rsid w:val="00106658"/>
    <w:rsid w:val="0010752F"/>
    <w:rsid w:val="00110B6A"/>
    <w:rsid w:val="00183217"/>
    <w:rsid w:val="0019359A"/>
    <w:rsid w:val="001C271E"/>
    <w:rsid w:val="00213D11"/>
    <w:rsid w:val="00246AAC"/>
    <w:rsid w:val="002A4C4D"/>
    <w:rsid w:val="002D6697"/>
    <w:rsid w:val="002F40AE"/>
    <w:rsid w:val="003009CF"/>
    <w:rsid w:val="00335040"/>
    <w:rsid w:val="00345C99"/>
    <w:rsid w:val="003653DA"/>
    <w:rsid w:val="00366E52"/>
    <w:rsid w:val="003B169D"/>
    <w:rsid w:val="003B558B"/>
    <w:rsid w:val="003D39EA"/>
    <w:rsid w:val="003D670B"/>
    <w:rsid w:val="003F0C06"/>
    <w:rsid w:val="0040630C"/>
    <w:rsid w:val="00416DFC"/>
    <w:rsid w:val="0042179F"/>
    <w:rsid w:val="00446465"/>
    <w:rsid w:val="004527B6"/>
    <w:rsid w:val="004676C8"/>
    <w:rsid w:val="00472B82"/>
    <w:rsid w:val="00475492"/>
    <w:rsid w:val="00490B75"/>
    <w:rsid w:val="004A510A"/>
    <w:rsid w:val="004C5B69"/>
    <w:rsid w:val="004D09C6"/>
    <w:rsid w:val="004D60BD"/>
    <w:rsid w:val="004E3FB7"/>
    <w:rsid w:val="004E5AC7"/>
    <w:rsid w:val="004F075C"/>
    <w:rsid w:val="004F13C0"/>
    <w:rsid w:val="00505BBB"/>
    <w:rsid w:val="00506F51"/>
    <w:rsid w:val="005201FA"/>
    <w:rsid w:val="00525ABA"/>
    <w:rsid w:val="005473D7"/>
    <w:rsid w:val="00547FA2"/>
    <w:rsid w:val="0055679F"/>
    <w:rsid w:val="00556869"/>
    <w:rsid w:val="00577E6B"/>
    <w:rsid w:val="005832C4"/>
    <w:rsid w:val="00584862"/>
    <w:rsid w:val="00584FEA"/>
    <w:rsid w:val="005A4737"/>
    <w:rsid w:val="005C5602"/>
    <w:rsid w:val="005C5F1A"/>
    <w:rsid w:val="005D5D12"/>
    <w:rsid w:val="005D5EC7"/>
    <w:rsid w:val="006020BA"/>
    <w:rsid w:val="00611ACE"/>
    <w:rsid w:val="006342C6"/>
    <w:rsid w:val="00671547"/>
    <w:rsid w:val="006875D5"/>
    <w:rsid w:val="006B6B91"/>
    <w:rsid w:val="006B6B95"/>
    <w:rsid w:val="006E0573"/>
    <w:rsid w:val="006F486A"/>
    <w:rsid w:val="00705C09"/>
    <w:rsid w:val="007501A2"/>
    <w:rsid w:val="00773C6E"/>
    <w:rsid w:val="00796E2B"/>
    <w:rsid w:val="007B7F38"/>
    <w:rsid w:val="007E70C2"/>
    <w:rsid w:val="00817BCC"/>
    <w:rsid w:val="0083597E"/>
    <w:rsid w:val="00836FC2"/>
    <w:rsid w:val="00842680"/>
    <w:rsid w:val="00853A3D"/>
    <w:rsid w:val="00874467"/>
    <w:rsid w:val="00875325"/>
    <w:rsid w:val="008847EE"/>
    <w:rsid w:val="00896BC9"/>
    <w:rsid w:val="008C26A7"/>
    <w:rsid w:val="008D505F"/>
    <w:rsid w:val="008F55F4"/>
    <w:rsid w:val="00904D86"/>
    <w:rsid w:val="00912BFD"/>
    <w:rsid w:val="00921AE1"/>
    <w:rsid w:val="0097738E"/>
    <w:rsid w:val="00981430"/>
    <w:rsid w:val="009859BC"/>
    <w:rsid w:val="009A4145"/>
    <w:rsid w:val="009B3B88"/>
    <w:rsid w:val="009C5AE3"/>
    <w:rsid w:val="009D3609"/>
    <w:rsid w:val="00A06565"/>
    <w:rsid w:val="00A41EAB"/>
    <w:rsid w:val="00A437DD"/>
    <w:rsid w:val="00A445A5"/>
    <w:rsid w:val="00A76BA0"/>
    <w:rsid w:val="00A84C04"/>
    <w:rsid w:val="00A903B5"/>
    <w:rsid w:val="00AA615F"/>
    <w:rsid w:val="00AA6C65"/>
    <w:rsid w:val="00AA75F3"/>
    <w:rsid w:val="00AC3078"/>
    <w:rsid w:val="00AC41C5"/>
    <w:rsid w:val="00B02F1F"/>
    <w:rsid w:val="00B0707A"/>
    <w:rsid w:val="00B2717C"/>
    <w:rsid w:val="00B33BA9"/>
    <w:rsid w:val="00B415E1"/>
    <w:rsid w:val="00B47B13"/>
    <w:rsid w:val="00B631AC"/>
    <w:rsid w:val="00B95232"/>
    <w:rsid w:val="00BD093A"/>
    <w:rsid w:val="00C01449"/>
    <w:rsid w:val="00C146F6"/>
    <w:rsid w:val="00C45F43"/>
    <w:rsid w:val="00C507BC"/>
    <w:rsid w:val="00C664C6"/>
    <w:rsid w:val="00CE60D1"/>
    <w:rsid w:val="00CF381C"/>
    <w:rsid w:val="00D6580B"/>
    <w:rsid w:val="00D8605C"/>
    <w:rsid w:val="00DA6B5D"/>
    <w:rsid w:val="00DB4A07"/>
    <w:rsid w:val="00DB5922"/>
    <w:rsid w:val="00DE6D3B"/>
    <w:rsid w:val="00E00FB9"/>
    <w:rsid w:val="00E03757"/>
    <w:rsid w:val="00E05DBD"/>
    <w:rsid w:val="00E156C9"/>
    <w:rsid w:val="00E256AB"/>
    <w:rsid w:val="00E33734"/>
    <w:rsid w:val="00E36FE8"/>
    <w:rsid w:val="00E41108"/>
    <w:rsid w:val="00E513F6"/>
    <w:rsid w:val="00E5444E"/>
    <w:rsid w:val="00E73162"/>
    <w:rsid w:val="00EA5641"/>
    <w:rsid w:val="00EF7DC8"/>
    <w:rsid w:val="00F0315C"/>
    <w:rsid w:val="00F04682"/>
    <w:rsid w:val="00F057F4"/>
    <w:rsid w:val="00F200BB"/>
    <w:rsid w:val="00F9323E"/>
    <w:rsid w:val="00F960EA"/>
    <w:rsid w:val="00FD364D"/>
    <w:rsid w:val="00FE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609"/>
    <w:pPr>
      <w:keepNext/>
      <w:keepLines/>
      <w:pageBreakBefore/>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1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48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C06"/>
    <w:pPr>
      <w:ind w:left="720"/>
      <w:contextualSpacing/>
    </w:pPr>
  </w:style>
  <w:style w:type="character" w:customStyle="1" w:styleId="Heading1Char">
    <w:name w:val="Heading 1 Char"/>
    <w:basedOn w:val="DefaultParagraphFont"/>
    <w:link w:val="Heading1"/>
    <w:uiPriority w:val="9"/>
    <w:rsid w:val="009D36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51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4862"/>
    <w:rPr>
      <w:rFonts w:asciiTheme="majorHAnsi" w:eastAsiaTheme="majorEastAsia" w:hAnsiTheme="majorHAnsi" w:cstheme="majorBidi"/>
      <w:b/>
      <w:bCs/>
      <w:color w:val="4F81BD" w:themeColor="accent1"/>
    </w:rPr>
  </w:style>
  <w:style w:type="table" w:styleId="TableGrid">
    <w:name w:val="Table Grid"/>
    <w:basedOn w:val="TableNormal"/>
    <w:uiPriority w:val="59"/>
    <w:rsid w:val="00193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19359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5D5EC7"/>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513F6"/>
    <w:rPr>
      <w:sz w:val="16"/>
      <w:szCs w:val="16"/>
    </w:rPr>
  </w:style>
  <w:style w:type="paragraph" w:styleId="CommentText">
    <w:name w:val="annotation text"/>
    <w:basedOn w:val="Normal"/>
    <w:link w:val="CommentTextChar"/>
    <w:uiPriority w:val="99"/>
    <w:semiHidden/>
    <w:unhideWhenUsed/>
    <w:rsid w:val="00E513F6"/>
    <w:pPr>
      <w:spacing w:line="240" w:lineRule="auto"/>
    </w:pPr>
    <w:rPr>
      <w:sz w:val="20"/>
      <w:szCs w:val="20"/>
    </w:rPr>
  </w:style>
  <w:style w:type="character" w:customStyle="1" w:styleId="CommentTextChar">
    <w:name w:val="Comment Text Char"/>
    <w:basedOn w:val="DefaultParagraphFont"/>
    <w:link w:val="CommentText"/>
    <w:uiPriority w:val="99"/>
    <w:semiHidden/>
    <w:rsid w:val="00E513F6"/>
    <w:rPr>
      <w:sz w:val="20"/>
      <w:szCs w:val="20"/>
    </w:rPr>
  </w:style>
  <w:style w:type="paragraph" w:styleId="CommentSubject">
    <w:name w:val="annotation subject"/>
    <w:basedOn w:val="CommentText"/>
    <w:next w:val="CommentText"/>
    <w:link w:val="CommentSubjectChar"/>
    <w:uiPriority w:val="99"/>
    <w:semiHidden/>
    <w:unhideWhenUsed/>
    <w:rsid w:val="00E513F6"/>
    <w:rPr>
      <w:b/>
      <w:bCs/>
    </w:rPr>
  </w:style>
  <w:style w:type="character" w:customStyle="1" w:styleId="CommentSubjectChar">
    <w:name w:val="Comment Subject Char"/>
    <w:basedOn w:val="CommentTextChar"/>
    <w:link w:val="CommentSubject"/>
    <w:uiPriority w:val="99"/>
    <w:semiHidden/>
    <w:rsid w:val="00E513F6"/>
    <w:rPr>
      <w:b/>
      <w:bCs/>
      <w:sz w:val="20"/>
      <w:szCs w:val="20"/>
    </w:rPr>
  </w:style>
  <w:style w:type="paragraph" w:styleId="BalloonText">
    <w:name w:val="Balloon Text"/>
    <w:basedOn w:val="Normal"/>
    <w:link w:val="BalloonTextChar"/>
    <w:uiPriority w:val="99"/>
    <w:semiHidden/>
    <w:unhideWhenUsed/>
    <w:rsid w:val="00E51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3F6"/>
    <w:rPr>
      <w:rFonts w:ascii="Tahoma" w:hAnsi="Tahoma" w:cs="Tahoma"/>
      <w:sz w:val="16"/>
      <w:szCs w:val="16"/>
    </w:rPr>
  </w:style>
  <w:style w:type="character" w:styleId="Emphasis">
    <w:name w:val="Emphasis"/>
    <w:basedOn w:val="DefaultParagraphFont"/>
    <w:uiPriority w:val="20"/>
    <w:qFormat/>
    <w:rsid w:val="00490B75"/>
    <w:rPr>
      <w:i/>
      <w:iCs/>
    </w:rPr>
  </w:style>
  <w:style w:type="paragraph" w:styleId="Title">
    <w:name w:val="Title"/>
    <w:basedOn w:val="Normal"/>
    <w:next w:val="Normal"/>
    <w:link w:val="TitleChar"/>
    <w:uiPriority w:val="10"/>
    <w:qFormat/>
    <w:rsid w:val="00416D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DFC"/>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525ABA"/>
    <w:rPr>
      <w:color w:val="808080"/>
    </w:rPr>
  </w:style>
  <w:style w:type="paragraph" w:styleId="Header">
    <w:name w:val="header"/>
    <w:basedOn w:val="Normal"/>
    <w:link w:val="HeaderChar"/>
    <w:uiPriority w:val="99"/>
    <w:unhideWhenUsed/>
    <w:rsid w:val="0036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52"/>
  </w:style>
  <w:style w:type="paragraph" w:styleId="Footer">
    <w:name w:val="footer"/>
    <w:basedOn w:val="Normal"/>
    <w:link w:val="FooterChar"/>
    <w:uiPriority w:val="99"/>
    <w:unhideWhenUsed/>
    <w:rsid w:val="0036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52"/>
  </w:style>
  <w:style w:type="paragraph" w:styleId="TOCHeading">
    <w:name w:val="TOC Heading"/>
    <w:basedOn w:val="Heading1"/>
    <w:next w:val="Normal"/>
    <w:uiPriority w:val="39"/>
    <w:semiHidden/>
    <w:unhideWhenUsed/>
    <w:qFormat/>
    <w:rsid w:val="009D3609"/>
    <w:pPr>
      <w:pageBreakBefore w:val="0"/>
      <w:outlineLvl w:val="9"/>
    </w:pPr>
    <w:rPr>
      <w:lang w:eastAsia="ja-JP"/>
    </w:rPr>
  </w:style>
  <w:style w:type="paragraph" w:styleId="TOC1">
    <w:name w:val="toc 1"/>
    <w:basedOn w:val="Normal"/>
    <w:next w:val="Normal"/>
    <w:autoRedefine/>
    <w:uiPriority w:val="39"/>
    <w:unhideWhenUsed/>
    <w:rsid w:val="009D3609"/>
    <w:pPr>
      <w:spacing w:after="100"/>
    </w:pPr>
  </w:style>
  <w:style w:type="paragraph" w:styleId="TOC2">
    <w:name w:val="toc 2"/>
    <w:basedOn w:val="Normal"/>
    <w:next w:val="Normal"/>
    <w:autoRedefine/>
    <w:uiPriority w:val="39"/>
    <w:unhideWhenUsed/>
    <w:rsid w:val="009D3609"/>
    <w:pPr>
      <w:spacing w:after="100"/>
      <w:ind w:left="220"/>
    </w:pPr>
  </w:style>
  <w:style w:type="character" w:styleId="Hyperlink">
    <w:name w:val="Hyperlink"/>
    <w:basedOn w:val="DefaultParagraphFont"/>
    <w:uiPriority w:val="99"/>
    <w:unhideWhenUsed/>
    <w:rsid w:val="009D3609"/>
    <w:rPr>
      <w:color w:val="0000FF" w:themeColor="hyperlink"/>
      <w:u w:val="single"/>
    </w:rPr>
  </w:style>
  <w:style w:type="paragraph" w:styleId="TableofFigures">
    <w:name w:val="table of figures"/>
    <w:basedOn w:val="Normal"/>
    <w:next w:val="Normal"/>
    <w:uiPriority w:val="99"/>
    <w:unhideWhenUsed/>
    <w:rsid w:val="009D3609"/>
    <w:pPr>
      <w:spacing w:after="0"/>
    </w:pPr>
  </w:style>
  <w:style w:type="paragraph" w:styleId="NormalWeb">
    <w:name w:val="Normal (Web)"/>
    <w:basedOn w:val="Normal"/>
    <w:uiPriority w:val="99"/>
    <w:semiHidden/>
    <w:unhideWhenUsed/>
    <w:rsid w:val="00B415E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SingleNRBS">
    <w:name w:val="Body Single NRBS"/>
    <w:basedOn w:val="Normal"/>
    <w:qFormat/>
    <w:rsid w:val="00016C28"/>
    <w:pPr>
      <w:spacing w:after="0" w:line="240" w:lineRule="auto"/>
      <w:jc w:val="both"/>
    </w:pPr>
    <w:rPr>
      <w:rFonts w:eastAsiaTheme="minorEastAsi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609"/>
    <w:pPr>
      <w:keepNext/>
      <w:keepLines/>
      <w:pageBreakBefore/>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1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48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C06"/>
    <w:pPr>
      <w:ind w:left="720"/>
      <w:contextualSpacing/>
    </w:pPr>
  </w:style>
  <w:style w:type="character" w:customStyle="1" w:styleId="Heading1Char">
    <w:name w:val="Heading 1 Char"/>
    <w:basedOn w:val="DefaultParagraphFont"/>
    <w:link w:val="Heading1"/>
    <w:uiPriority w:val="9"/>
    <w:rsid w:val="009D36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51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4862"/>
    <w:rPr>
      <w:rFonts w:asciiTheme="majorHAnsi" w:eastAsiaTheme="majorEastAsia" w:hAnsiTheme="majorHAnsi" w:cstheme="majorBidi"/>
      <w:b/>
      <w:bCs/>
      <w:color w:val="4F81BD" w:themeColor="accent1"/>
    </w:rPr>
  </w:style>
  <w:style w:type="table" w:styleId="TableGrid">
    <w:name w:val="Table Grid"/>
    <w:basedOn w:val="TableNormal"/>
    <w:uiPriority w:val="59"/>
    <w:rsid w:val="00193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19359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5D5EC7"/>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513F6"/>
    <w:rPr>
      <w:sz w:val="16"/>
      <w:szCs w:val="16"/>
    </w:rPr>
  </w:style>
  <w:style w:type="paragraph" w:styleId="CommentText">
    <w:name w:val="annotation text"/>
    <w:basedOn w:val="Normal"/>
    <w:link w:val="CommentTextChar"/>
    <w:uiPriority w:val="99"/>
    <w:semiHidden/>
    <w:unhideWhenUsed/>
    <w:rsid w:val="00E513F6"/>
    <w:pPr>
      <w:spacing w:line="240" w:lineRule="auto"/>
    </w:pPr>
    <w:rPr>
      <w:sz w:val="20"/>
      <w:szCs w:val="20"/>
    </w:rPr>
  </w:style>
  <w:style w:type="character" w:customStyle="1" w:styleId="CommentTextChar">
    <w:name w:val="Comment Text Char"/>
    <w:basedOn w:val="DefaultParagraphFont"/>
    <w:link w:val="CommentText"/>
    <w:uiPriority w:val="99"/>
    <w:semiHidden/>
    <w:rsid w:val="00E513F6"/>
    <w:rPr>
      <w:sz w:val="20"/>
      <w:szCs w:val="20"/>
    </w:rPr>
  </w:style>
  <w:style w:type="paragraph" w:styleId="CommentSubject">
    <w:name w:val="annotation subject"/>
    <w:basedOn w:val="CommentText"/>
    <w:next w:val="CommentText"/>
    <w:link w:val="CommentSubjectChar"/>
    <w:uiPriority w:val="99"/>
    <w:semiHidden/>
    <w:unhideWhenUsed/>
    <w:rsid w:val="00E513F6"/>
    <w:rPr>
      <w:b/>
      <w:bCs/>
    </w:rPr>
  </w:style>
  <w:style w:type="character" w:customStyle="1" w:styleId="CommentSubjectChar">
    <w:name w:val="Comment Subject Char"/>
    <w:basedOn w:val="CommentTextChar"/>
    <w:link w:val="CommentSubject"/>
    <w:uiPriority w:val="99"/>
    <w:semiHidden/>
    <w:rsid w:val="00E513F6"/>
    <w:rPr>
      <w:b/>
      <w:bCs/>
      <w:sz w:val="20"/>
      <w:szCs w:val="20"/>
    </w:rPr>
  </w:style>
  <w:style w:type="paragraph" w:styleId="BalloonText">
    <w:name w:val="Balloon Text"/>
    <w:basedOn w:val="Normal"/>
    <w:link w:val="BalloonTextChar"/>
    <w:uiPriority w:val="99"/>
    <w:semiHidden/>
    <w:unhideWhenUsed/>
    <w:rsid w:val="00E51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3F6"/>
    <w:rPr>
      <w:rFonts w:ascii="Tahoma" w:hAnsi="Tahoma" w:cs="Tahoma"/>
      <w:sz w:val="16"/>
      <w:szCs w:val="16"/>
    </w:rPr>
  </w:style>
  <w:style w:type="character" w:styleId="Emphasis">
    <w:name w:val="Emphasis"/>
    <w:basedOn w:val="DefaultParagraphFont"/>
    <w:uiPriority w:val="20"/>
    <w:qFormat/>
    <w:rsid w:val="00490B75"/>
    <w:rPr>
      <w:i/>
      <w:iCs/>
    </w:rPr>
  </w:style>
  <w:style w:type="paragraph" w:styleId="Title">
    <w:name w:val="Title"/>
    <w:basedOn w:val="Normal"/>
    <w:next w:val="Normal"/>
    <w:link w:val="TitleChar"/>
    <w:uiPriority w:val="10"/>
    <w:qFormat/>
    <w:rsid w:val="00416D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DFC"/>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525ABA"/>
    <w:rPr>
      <w:color w:val="808080"/>
    </w:rPr>
  </w:style>
  <w:style w:type="paragraph" w:styleId="Header">
    <w:name w:val="header"/>
    <w:basedOn w:val="Normal"/>
    <w:link w:val="HeaderChar"/>
    <w:uiPriority w:val="99"/>
    <w:unhideWhenUsed/>
    <w:rsid w:val="0036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52"/>
  </w:style>
  <w:style w:type="paragraph" w:styleId="Footer">
    <w:name w:val="footer"/>
    <w:basedOn w:val="Normal"/>
    <w:link w:val="FooterChar"/>
    <w:uiPriority w:val="99"/>
    <w:unhideWhenUsed/>
    <w:rsid w:val="0036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52"/>
  </w:style>
  <w:style w:type="paragraph" w:styleId="TOCHeading">
    <w:name w:val="TOC Heading"/>
    <w:basedOn w:val="Heading1"/>
    <w:next w:val="Normal"/>
    <w:uiPriority w:val="39"/>
    <w:semiHidden/>
    <w:unhideWhenUsed/>
    <w:qFormat/>
    <w:rsid w:val="009D3609"/>
    <w:pPr>
      <w:pageBreakBefore w:val="0"/>
      <w:outlineLvl w:val="9"/>
    </w:pPr>
    <w:rPr>
      <w:lang w:eastAsia="ja-JP"/>
    </w:rPr>
  </w:style>
  <w:style w:type="paragraph" w:styleId="TOC1">
    <w:name w:val="toc 1"/>
    <w:basedOn w:val="Normal"/>
    <w:next w:val="Normal"/>
    <w:autoRedefine/>
    <w:uiPriority w:val="39"/>
    <w:unhideWhenUsed/>
    <w:rsid w:val="009D3609"/>
    <w:pPr>
      <w:spacing w:after="100"/>
    </w:pPr>
  </w:style>
  <w:style w:type="paragraph" w:styleId="TOC2">
    <w:name w:val="toc 2"/>
    <w:basedOn w:val="Normal"/>
    <w:next w:val="Normal"/>
    <w:autoRedefine/>
    <w:uiPriority w:val="39"/>
    <w:unhideWhenUsed/>
    <w:rsid w:val="009D3609"/>
    <w:pPr>
      <w:spacing w:after="100"/>
      <w:ind w:left="220"/>
    </w:pPr>
  </w:style>
  <w:style w:type="character" w:styleId="Hyperlink">
    <w:name w:val="Hyperlink"/>
    <w:basedOn w:val="DefaultParagraphFont"/>
    <w:uiPriority w:val="99"/>
    <w:unhideWhenUsed/>
    <w:rsid w:val="009D3609"/>
    <w:rPr>
      <w:color w:val="0000FF" w:themeColor="hyperlink"/>
      <w:u w:val="single"/>
    </w:rPr>
  </w:style>
  <w:style w:type="paragraph" w:styleId="TableofFigures">
    <w:name w:val="table of figures"/>
    <w:basedOn w:val="Normal"/>
    <w:next w:val="Normal"/>
    <w:uiPriority w:val="99"/>
    <w:unhideWhenUsed/>
    <w:rsid w:val="009D3609"/>
    <w:pPr>
      <w:spacing w:after="0"/>
    </w:pPr>
  </w:style>
  <w:style w:type="paragraph" w:styleId="NormalWeb">
    <w:name w:val="Normal (Web)"/>
    <w:basedOn w:val="Normal"/>
    <w:uiPriority w:val="99"/>
    <w:semiHidden/>
    <w:unhideWhenUsed/>
    <w:rsid w:val="00B415E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SingleNRBS">
    <w:name w:val="Body Single NRBS"/>
    <w:basedOn w:val="Normal"/>
    <w:qFormat/>
    <w:rsid w:val="00016C28"/>
    <w:pPr>
      <w:spacing w:after="0" w:line="240" w:lineRule="auto"/>
      <w:jc w:val="both"/>
    </w:pPr>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19.1.150\Burus04\Projects\USCG%20Boating\2014\OMB\NR_cycle1\Participant%20callatts.xlsx"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19.1.150\Burus04\Projects\USCG%20Boating\2014\OMB\NR_cycle1\Participant%20callatts.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Sheet1!$A$2:$A$11</c:f>
              <c:strCache>
                <c:ptCount val="10"/>
                <c:pt idx="0">
                  <c:v>Sailboat (&gt;25')</c:v>
                </c:pt>
                <c:pt idx="1">
                  <c:v>Sailboat (&lt;26')</c:v>
                </c:pt>
                <c:pt idx="2">
                  <c:v>Powerboat (&gt;28')</c:v>
                </c:pt>
                <c:pt idx="3">
                  <c:v>Self-Propelled</c:v>
                </c:pt>
                <c:pt idx="4">
                  <c:v>Pontoon</c:v>
                </c:pt>
                <c:pt idx="5">
                  <c:v>Powerboat (21-28')</c:v>
                </c:pt>
                <c:pt idx="6">
                  <c:v>Powerboat (16-20')</c:v>
                </c:pt>
                <c:pt idx="7">
                  <c:v>Powerboat (&lt;16')</c:v>
                </c:pt>
                <c:pt idx="8">
                  <c:v>Other</c:v>
                </c:pt>
                <c:pt idx="9">
                  <c:v>PWC</c:v>
                </c:pt>
              </c:strCache>
            </c:strRef>
          </c:cat>
          <c:val>
            <c:numRef>
              <c:f>Sheet1!$B$2:$B$11</c:f>
              <c:numCache>
                <c:formatCode>0%</c:formatCode>
                <c:ptCount val="10"/>
                <c:pt idx="0">
                  <c:v>0.54899999999999993</c:v>
                </c:pt>
                <c:pt idx="1">
                  <c:v>0.48840000000000006</c:v>
                </c:pt>
                <c:pt idx="2">
                  <c:v>0.44009999999999999</c:v>
                </c:pt>
                <c:pt idx="3">
                  <c:v>0.3997</c:v>
                </c:pt>
                <c:pt idx="4">
                  <c:v>0.39579999999999999</c:v>
                </c:pt>
                <c:pt idx="5">
                  <c:v>0.38969999999999999</c:v>
                </c:pt>
                <c:pt idx="6">
                  <c:v>0.36</c:v>
                </c:pt>
                <c:pt idx="7">
                  <c:v>0.3493</c:v>
                </c:pt>
                <c:pt idx="8">
                  <c:v>0.34689999999999999</c:v>
                </c:pt>
                <c:pt idx="9">
                  <c:v>0.28190000000000004</c:v>
                </c:pt>
              </c:numCache>
            </c:numRef>
          </c:val>
        </c:ser>
        <c:dLbls>
          <c:showLegendKey val="0"/>
          <c:showVal val="0"/>
          <c:showCatName val="0"/>
          <c:showSerName val="0"/>
          <c:showPercent val="0"/>
          <c:showBubbleSize val="0"/>
        </c:dLbls>
        <c:gapWidth val="150"/>
        <c:axId val="71174016"/>
        <c:axId val="71181440"/>
      </c:barChart>
      <c:catAx>
        <c:axId val="71174016"/>
        <c:scaling>
          <c:orientation val="minMax"/>
        </c:scaling>
        <c:delete val="0"/>
        <c:axPos val="l"/>
        <c:majorTickMark val="out"/>
        <c:minorTickMark val="none"/>
        <c:tickLblPos val="nextTo"/>
        <c:crossAx val="71181440"/>
        <c:crosses val="autoZero"/>
        <c:auto val="1"/>
        <c:lblAlgn val="ctr"/>
        <c:lblOffset val="100"/>
        <c:noMultiLvlLbl val="0"/>
      </c:catAx>
      <c:valAx>
        <c:axId val="71181440"/>
        <c:scaling>
          <c:orientation val="minMax"/>
          <c:max val="1"/>
          <c:min val="0"/>
        </c:scaling>
        <c:delete val="0"/>
        <c:axPos val="b"/>
        <c:majorGridlines/>
        <c:title>
          <c:tx>
            <c:rich>
              <a:bodyPr rot="0" vert="horz"/>
              <a:lstStyle/>
              <a:p>
                <a:pPr>
                  <a:defRPr/>
                </a:pPr>
                <a:r>
                  <a:rPr lang="en-US"/>
                  <a:t>Response Rate:</a:t>
                </a:r>
                <a:r>
                  <a:rPr lang="en-US" baseline="0"/>
                  <a:t> </a:t>
                </a:r>
                <a:r>
                  <a:rPr lang="en-US"/>
                  <a:t>I/(I+E)</a:t>
                </a:r>
              </a:p>
            </c:rich>
          </c:tx>
          <c:layout/>
          <c:overlay val="0"/>
        </c:title>
        <c:numFmt formatCode="0%" sourceLinked="1"/>
        <c:majorTickMark val="out"/>
        <c:minorTickMark val="none"/>
        <c:tickLblPos val="nextTo"/>
        <c:crossAx val="7117401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Sheet1!$B$2:$B$5</c:f>
              <c:numCache>
                <c:formatCode>0%</c:formatCode>
                <c:ptCount val="4"/>
                <c:pt idx="0">
                  <c:v>0.65039999999999998</c:v>
                </c:pt>
                <c:pt idx="1">
                  <c:v>0.63949999999999996</c:v>
                </c:pt>
                <c:pt idx="2">
                  <c:v>0.63959999999999995</c:v>
                </c:pt>
                <c:pt idx="3">
                  <c:v>0.65700000000000003</c:v>
                </c:pt>
              </c:numCache>
            </c:numRef>
          </c:val>
        </c:ser>
        <c:dLbls>
          <c:showLegendKey val="0"/>
          <c:showVal val="0"/>
          <c:showCatName val="0"/>
          <c:showSerName val="0"/>
          <c:showPercent val="0"/>
          <c:showBubbleSize val="0"/>
        </c:dLbls>
        <c:gapWidth val="150"/>
        <c:axId val="168629376"/>
        <c:axId val="168630912"/>
      </c:barChart>
      <c:catAx>
        <c:axId val="168629376"/>
        <c:scaling>
          <c:orientation val="minMax"/>
        </c:scaling>
        <c:delete val="0"/>
        <c:axPos val="l"/>
        <c:majorTickMark val="out"/>
        <c:minorTickMark val="none"/>
        <c:tickLblPos val="nextTo"/>
        <c:crossAx val="168630912"/>
        <c:crosses val="autoZero"/>
        <c:auto val="1"/>
        <c:lblAlgn val="ctr"/>
        <c:lblOffset val="100"/>
        <c:noMultiLvlLbl val="0"/>
      </c:catAx>
      <c:valAx>
        <c:axId val="168630912"/>
        <c:scaling>
          <c:orientation val="minMax"/>
          <c:max val="1"/>
          <c:min val="0"/>
        </c:scaling>
        <c:delete val="0"/>
        <c:axPos val="b"/>
        <c:majorGridlines/>
        <c:title>
          <c:tx>
            <c:rich>
              <a:bodyPr/>
              <a:lstStyle/>
              <a:p>
                <a:pPr>
                  <a:defRPr/>
                </a:pPr>
                <a:r>
                  <a:rPr lang="en-US"/>
                  <a:t>Panel Participation Rate</a:t>
                </a:r>
                <a:endParaRPr lang="en-US" baseline="0"/>
              </a:p>
            </c:rich>
          </c:tx>
          <c:layout/>
          <c:overlay val="0"/>
        </c:title>
        <c:numFmt formatCode="0%" sourceLinked="1"/>
        <c:majorTickMark val="out"/>
        <c:minorTickMark val="none"/>
        <c:tickLblPos val="nextTo"/>
        <c:crossAx val="16862937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Non-Participants</c:v>
                </c:pt>
              </c:strCache>
            </c:strRef>
          </c:tx>
          <c:spPr>
            <a:pattFill prst="pct70">
              <a:fgClr>
                <a:schemeClr val="accent2"/>
              </a:fgClr>
              <a:bgClr>
                <a:schemeClr val="bg1"/>
              </a:bgClr>
            </a:pattFill>
            <a:ln>
              <a:solidFill>
                <a:schemeClr val="accent2"/>
              </a:solidFill>
            </a:ln>
          </c:spPr>
          <c:invertIfNegative val="0"/>
          <c:cat>
            <c:strRef>
              <c:f>Sheet1!$A$2:$A$8</c:f>
              <c:strCache>
                <c:ptCount val="7"/>
                <c:pt idx="0">
                  <c:v>Powerboat</c:v>
                </c:pt>
                <c:pt idx="1">
                  <c:v>Sailboat</c:v>
                </c:pt>
                <c:pt idx="2">
                  <c:v>Pontoon</c:v>
                </c:pt>
                <c:pt idx="3">
                  <c:v>PWC</c:v>
                </c:pt>
                <c:pt idx="4">
                  <c:v>Canoe</c:v>
                </c:pt>
                <c:pt idx="5">
                  <c:v>Kayak</c:v>
                </c:pt>
                <c:pt idx="6">
                  <c:v>Row/Inf/Other</c:v>
                </c:pt>
              </c:strCache>
            </c:strRef>
          </c:cat>
          <c:val>
            <c:numRef>
              <c:f>Sheet1!$B$2:$B$8</c:f>
              <c:numCache>
                <c:formatCode>0%</c:formatCode>
                <c:ptCount val="7"/>
                <c:pt idx="0">
                  <c:v>0.45739999999999997</c:v>
                </c:pt>
                <c:pt idx="1">
                  <c:v>5.91E-2</c:v>
                </c:pt>
                <c:pt idx="2">
                  <c:v>0.1056</c:v>
                </c:pt>
                <c:pt idx="3">
                  <c:v>8.7900000000000006E-2</c:v>
                </c:pt>
                <c:pt idx="4">
                  <c:v>0.12089999999999999</c:v>
                </c:pt>
                <c:pt idx="5">
                  <c:v>0.1142</c:v>
                </c:pt>
                <c:pt idx="6">
                  <c:v>5.5E-2</c:v>
                </c:pt>
              </c:numCache>
            </c:numRef>
          </c:val>
        </c:ser>
        <c:ser>
          <c:idx val="1"/>
          <c:order val="1"/>
          <c:tx>
            <c:strRef>
              <c:f>Sheet1!$C$1</c:f>
              <c:strCache>
                <c:ptCount val="1"/>
                <c:pt idx="0">
                  <c:v>Participants</c:v>
                </c:pt>
              </c:strCache>
            </c:strRef>
          </c:tx>
          <c:spPr>
            <a:pattFill prst="pct70">
              <a:fgClr>
                <a:schemeClr val="accent3"/>
              </a:fgClr>
              <a:bgClr>
                <a:schemeClr val="bg1"/>
              </a:bgClr>
            </a:pattFill>
            <a:ln>
              <a:solidFill>
                <a:schemeClr val="accent3"/>
              </a:solidFill>
            </a:ln>
          </c:spPr>
          <c:invertIfNegative val="0"/>
          <c:cat>
            <c:strRef>
              <c:f>Sheet1!$A$2:$A$8</c:f>
              <c:strCache>
                <c:ptCount val="7"/>
                <c:pt idx="0">
                  <c:v>Powerboat</c:v>
                </c:pt>
                <c:pt idx="1">
                  <c:v>Sailboat</c:v>
                </c:pt>
                <c:pt idx="2">
                  <c:v>Pontoon</c:v>
                </c:pt>
                <c:pt idx="3">
                  <c:v>PWC</c:v>
                </c:pt>
                <c:pt idx="4">
                  <c:v>Canoe</c:v>
                </c:pt>
                <c:pt idx="5">
                  <c:v>Kayak</c:v>
                </c:pt>
                <c:pt idx="6">
                  <c:v>Row/Inf/Other</c:v>
                </c:pt>
              </c:strCache>
            </c:strRef>
          </c:cat>
          <c:val>
            <c:numRef>
              <c:f>Sheet1!$C$2:$C$8</c:f>
              <c:numCache>
                <c:formatCode>0%</c:formatCode>
                <c:ptCount val="7"/>
                <c:pt idx="0">
                  <c:v>0.4955</c:v>
                </c:pt>
                <c:pt idx="1">
                  <c:v>0.1167</c:v>
                </c:pt>
                <c:pt idx="2">
                  <c:v>6.5199999999999994E-2</c:v>
                </c:pt>
                <c:pt idx="3">
                  <c:v>6.25E-2</c:v>
                </c:pt>
                <c:pt idx="4">
                  <c:v>9.6000000000000002E-2</c:v>
                </c:pt>
                <c:pt idx="5">
                  <c:v>9.3700000000000006E-2</c:v>
                </c:pt>
                <c:pt idx="6">
                  <c:v>7.0400000000000004E-2</c:v>
                </c:pt>
              </c:numCache>
            </c:numRef>
          </c:val>
        </c:ser>
        <c:ser>
          <c:idx val="2"/>
          <c:order val="2"/>
          <c:tx>
            <c:strRef>
              <c:f>Sheet1!$D$1</c:f>
              <c:strCache>
                <c:ptCount val="1"/>
                <c:pt idx="0">
                  <c:v>Population</c:v>
                </c:pt>
              </c:strCache>
            </c:strRef>
          </c:tx>
          <c:spPr>
            <a:solidFill>
              <a:schemeClr val="accent1"/>
            </a:solidFill>
          </c:spPr>
          <c:invertIfNegative val="0"/>
          <c:cat>
            <c:strRef>
              <c:f>Sheet1!$A$2:$A$8</c:f>
              <c:strCache>
                <c:ptCount val="7"/>
                <c:pt idx="0">
                  <c:v>Powerboat</c:v>
                </c:pt>
                <c:pt idx="1">
                  <c:v>Sailboat</c:v>
                </c:pt>
                <c:pt idx="2">
                  <c:v>Pontoon</c:v>
                </c:pt>
                <c:pt idx="3">
                  <c:v>PWC</c:v>
                </c:pt>
                <c:pt idx="4">
                  <c:v>Canoe</c:v>
                </c:pt>
                <c:pt idx="5">
                  <c:v>Kayak</c:v>
                </c:pt>
                <c:pt idx="6">
                  <c:v>Row/Inf/Other</c:v>
                </c:pt>
              </c:strCache>
            </c:strRef>
          </c:cat>
          <c:val>
            <c:numRef>
              <c:f>Sheet1!$D$2:$D$8</c:f>
              <c:numCache>
                <c:formatCode>0%</c:formatCode>
                <c:ptCount val="7"/>
                <c:pt idx="0">
                  <c:v>0.46</c:v>
                </c:pt>
                <c:pt idx="1">
                  <c:v>0.03</c:v>
                </c:pt>
                <c:pt idx="2">
                  <c:v>0.04</c:v>
                </c:pt>
                <c:pt idx="3">
                  <c:v>0.08</c:v>
                </c:pt>
                <c:pt idx="4">
                  <c:v>0.11</c:v>
                </c:pt>
                <c:pt idx="5">
                  <c:v>0.18</c:v>
                </c:pt>
                <c:pt idx="6">
                  <c:v>0.08</c:v>
                </c:pt>
              </c:numCache>
            </c:numRef>
          </c:val>
        </c:ser>
        <c:dLbls>
          <c:showLegendKey val="0"/>
          <c:showVal val="0"/>
          <c:showCatName val="0"/>
          <c:showSerName val="0"/>
          <c:showPercent val="0"/>
          <c:showBubbleSize val="0"/>
        </c:dLbls>
        <c:gapWidth val="150"/>
        <c:axId val="169514112"/>
        <c:axId val="169515648"/>
      </c:barChart>
      <c:catAx>
        <c:axId val="169514112"/>
        <c:scaling>
          <c:orientation val="minMax"/>
        </c:scaling>
        <c:delete val="0"/>
        <c:axPos val="l"/>
        <c:majorTickMark val="out"/>
        <c:minorTickMark val="none"/>
        <c:tickLblPos val="nextTo"/>
        <c:crossAx val="169515648"/>
        <c:crosses val="autoZero"/>
        <c:auto val="1"/>
        <c:lblAlgn val="ctr"/>
        <c:lblOffset val="100"/>
        <c:noMultiLvlLbl val="0"/>
      </c:catAx>
      <c:valAx>
        <c:axId val="169515648"/>
        <c:scaling>
          <c:orientation val="minMax"/>
          <c:max val="0.60000000000000009"/>
          <c:min val="0"/>
        </c:scaling>
        <c:delete val="0"/>
        <c:axPos val="b"/>
        <c:majorGridlines/>
        <c:title>
          <c:tx>
            <c:rich>
              <a:bodyPr rot="0" vert="horz"/>
              <a:lstStyle/>
              <a:p>
                <a:pPr>
                  <a:defRPr/>
                </a:pPr>
                <a:r>
                  <a:rPr lang="en-US"/>
                  <a:t>Proportion of All Boats</a:t>
                </a:r>
              </a:p>
            </c:rich>
          </c:tx>
          <c:layout/>
          <c:overlay val="0"/>
        </c:title>
        <c:numFmt formatCode="0%" sourceLinked="1"/>
        <c:majorTickMark val="out"/>
        <c:minorTickMark val="none"/>
        <c:tickLblPos val="nextTo"/>
        <c:crossAx val="169514112"/>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CP</c:v>
                </c:pt>
              </c:strCache>
            </c:strRef>
          </c:tx>
          <c:spPr>
            <a:pattFill prst="pct75">
              <a:fgClr>
                <a:schemeClr val="accent2"/>
              </a:fgClr>
              <a:bgClr>
                <a:schemeClr val="bg1"/>
              </a:bgClr>
            </a:pattFill>
          </c:spPr>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Sheet1!$B$2:$B$5</c:f>
              <c:numCache>
                <c:formatCode>0%</c:formatCode>
                <c:ptCount val="4"/>
                <c:pt idx="0">
                  <c:v>0.2029</c:v>
                </c:pt>
                <c:pt idx="1">
                  <c:v>0.26250000000000001</c:v>
                </c:pt>
                <c:pt idx="2">
                  <c:v>0.22819999999999999</c:v>
                </c:pt>
                <c:pt idx="3">
                  <c:v>0.21970000000000001</c:v>
                </c:pt>
              </c:numCache>
            </c:numRef>
          </c:val>
        </c:ser>
        <c:ser>
          <c:idx val="1"/>
          <c:order val="1"/>
          <c:tx>
            <c:strRef>
              <c:f>Sheet1!$C$1</c:f>
              <c:strCache>
                <c:ptCount val="1"/>
                <c:pt idx="0">
                  <c:v>LL</c:v>
                </c:pt>
              </c:strCache>
            </c:strRef>
          </c:tx>
          <c:spPr>
            <a:pattFill prst="pct75">
              <a:fgClr>
                <a:schemeClr val="accent3"/>
              </a:fgClr>
              <a:bgClr>
                <a:schemeClr val="bg1"/>
              </a:bgClr>
            </a:pattFill>
          </c:spPr>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Sheet1!$C$2:$C$5</c:f>
              <c:numCache>
                <c:formatCode>0%</c:formatCode>
                <c:ptCount val="4"/>
                <c:pt idx="0">
                  <c:v>0.28079999999999999</c:v>
                </c:pt>
                <c:pt idx="1">
                  <c:v>0.31669999999999998</c:v>
                </c:pt>
                <c:pt idx="2">
                  <c:v>0.247</c:v>
                </c:pt>
                <c:pt idx="3">
                  <c:v>0.30270000000000002</c:v>
                </c:pt>
              </c:numCache>
            </c:numRef>
          </c:val>
        </c:ser>
        <c:ser>
          <c:idx val="2"/>
          <c:order val="2"/>
          <c:tx>
            <c:strRef>
              <c:f>Sheet1!$D$1</c:f>
              <c:strCache>
                <c:ptCount val="1"/>
                <c:pt idx="0">
                  <c:v>LL+CP</c:v>
                </c:pt>
              </c:strCache>
            </c:strRef>
          </c:tx>
          <c:spPr>
            <a:solidFill>
              <a:schemeClr val="accent1"/>
            </a:solidFill>
          </c:spPr>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Sheet1!$D$2:$D$5</c:f>
              <c:numCache>
                <c:formatCode>0%</c:formatCode>
                <c:ptCount val="4"/>
                <c:pt idx="0">
                  <c:v>0.25230000000000002</c:v>
                </c:pt>
                <c:pt idx="1">
                  <c:v>0.29820000000000002</c:v>
                </c:pt>
                <c:pt idx="2">
                  <c:v>0.2616</c:v>
                </c:pt>
                <c:pt idx="3">
                  <c:v>0.27179999999999999</c:v>
                </c:pt>
              </c:numCache>
            </c:numRef>
          </c:val>
        </c:ser>
        <c:dLbls>
          <c:showLegendKey val="0"/>
          <c:showVal val="0"/>
          <c:showCatName val="0"/>
          <c:showSerName val="0"/>
          <c:showPercent val="0"/>
          <c:showBubbleSize val="0"/>
        </c:dLbls>
        <c:gapWidth val="150"/>
        <c:axId val="178580096"/>
        <c:axId val="179036544"/>
      </c:barChart>
      <c:catAx>
        <c:axId val="178580096"/>
        <c:scaling>
          <c:orientation val="minMax"/>
        </c:scaling>
        <c:delete val="0"/>
        <c:axPos val="l"/>
        <c:majorTickMark val="out"/>
        <c:minorTickMark val="none"/>
        <c:tickLblPos val="nextTo"/>
        <c:crossAx val="179036544"/>
        <c:crosses val="autoZero"/>
        <c:auto val="1"/>
        <c:lblAlgn val="ctr"/>
        <c:lblOffset val="100"/>
        <c:noMultiLvlLbl val="0"/>
      </c:catAx>
      <c:valAx>
        <c:axId val="179036544"/>
        <c:scaling>
          <c:orientation val="minMax"/>
          <c:max val="1"/>
          <c:min val="0"/>
        </c:scaling>
        <c:delete val="0"/>
        <c:axPos val="b"/>
        <c:majorGridlines/>
        <c:title>
          <c:tx>
            <c:rich>
              <a:bodyPr/>
              <a:lstStyle/>
              <a:p>
                <a:pPr>
                  <a:defRPr/>
                </a:pPr>
                <a:r>
                  <a:rPr lang="en-US"/>
                  <a:t>Response Rate</a:t>
                </a:r>
                <a:r>
                  <a:rPr lang="en-US" baseline="0"/>
                  <a:t>: I/(I+E)</a:t>
                </a:r>
              </a:p>
            </c:rich>
          </c:tx>
          <c:layout/>
          <c:overlay val="0"/>
        </c:title>
        <c:numFmt formatCode="0%" sourceLinked="1"/>
        <c:majorTickMark val="out"/>
        <c:minorTickMark val="none"/>
        <c:tickLblPos val="nextTo"/>
        <c:crossAx val="178580096"/>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ndard"/>
        <c:varyColors val="0"/>
        <c:ser>
          <c:idx val="0"/>
          <c:order val="0"/>
          <c:spPr>
            <a:solidFill>
              <a:schemeClr val="accent1">
                <a:alpha val="75000"/>
              </a:schemeClr>
            </a:solidFill>
          </c:spPr>
          <c:cat>
            <c:strRef>
              <c:f>'[Participant callatts.xlsx]PS'!$Q$2:$Q$11</c:f>
              <c:strCache>
                <c:ptCount val="10"/>
                <c:pt idx="0">
                  <c:v>1</c:v>
                </c:pt>
                <c:pt idx="1">
                  <c:v>2</c:v>
                </c:pt>
                <c:pt idx="2">
                  <c:v>3</c:v>
                </c:pt>
                <c:pt idx="3">
                  <c:v>4</c:v>
                </c:pt>
                <c:pt idx="4">
                  <c:v>5</c:v>
                </c:pt>
                <c:pt idx="5">
                  <c:v>6</c:v>
                </c:pt>
                <c:pt idx="6">
                  <c:v>7</c:v>
                </c:pt>
                <c:pt idx="7">
                  <c:v>8</c:v>
                </c:pt>
                <c:pt idx="8">
                  <c:v>9</c:v>
                </c:pt>
                <c:pt idx="9">
                  <c:v>10+</c:v>
                </c:pt>
              </c:strCache>
            </c:strRef>
          </c:cat>
          <c:val>
            <c:numRef>
              <c:f>'[Participant callatts.xlsx]PS'!$R$2:$R$11</c:f>
              <c:numCache>
                <c:formatCode>0%</c:formatCode>
                <c:ptCount val="10"/>
                <c:pt idx="0">
                  <c:v>0.25559999999999999</c:v>
                </c:pt>
                <c:pt idx="1">
                  <c:v>0.2064</c:v>
                </c:pt>
                <c:pt idx="2">
                  <c:v>0.13980000000000001</c:v>
                </c:pt>
                <c:pt idx="3">
                  <c:v>0.1024</c:v>
                </c:pt>
                <c:pt idx="4">
                  <c:v>8.1699999999999995E-2</c:v>
                </c:pt>
                <c:pt idx="5">
                  <c:v>6.5599999999999992E-2</c:v>
                </c:pt>
                <c:pt idx="6">
                  <c:v>4.0199999999999993E-2</c:v>
                </c:pt>
                <c:pt idx="7">
                  <c:v>3.2300000000000002E-2</c:v>
                </c:pt>
                <c:pt idx="8">
                  <c:v>2.6699999999999998E-2</c:v>
                </c:pt>
                <c:pt idx="9">
                  <c:v>4.9299999999999997E-2</c:v>
                </c:pt>
              </c:numCache>
            </c:numRef>
          </c:val>
        </c:ser>
        <c:dLbls>
          <c:showLegendKey val="0"/>
          <c:showVal val="0"/>
          <c:showCatName val="0"/>
          <c:showSerName val="0"/>
          <c:showPercent val="0"/>
          <c:showBubbleSize val="0"/>
        </c:dLbls>
        <c:axId val="179825664"/>
        <c:axId val="190170624"/>
      </c:areaChart>
      <c:catAx>
        <c:axId val="179825664"/>
        <c:scaling>
          <c:orientation val="minMax"/>
        </c:scaling>
        <c:delete val="0"/>
        <c:axPos val="b"/>
        <c:title>
          <c:tx>
            <c:rich>
              <a:bodyPr/>
              <a:lstStyle/>
              <a:p>
                <a:pPr>
                  <a:defRPr/>
                </a:pPr>
                <a:r>
                  <a:rPr lang="en-US"/>
                  <a:t>Call Attempt</a:t>
                </a:r>
              </a:p>
            </c:rich>
          </c:tx>
          <c:layout/>
          <c:overlay val="0"/>
        </c:title>
        <c:majorTickMark val="out"/>
        <c:minorTickMark val="none"/>
        <c:tickLblPos val="nextTo"/>
        <c:crossAx val="190170624"/>
        <c:crosses val="autoZero"/>
        <c:auto val="1"/>
        <c:lblAlgn val="ctr"/>
        <c:lblOffset val="100"/>
        <c:noMultiLvlLbl val="0"/>
      </c:catAx>
      <c:valAx>
        <c:axId val="190170624"/>
        <c:scaling>
          <c:orientation val="minMax"/>
        </c:scaling>
        <c:delete val="0"/>
        <c:axPos val="l"/>
        <c:majorGridlines/>
        <c:title>
          <c:tx>
            <c:rich>
              <a:bodyPr rot="-5400000" vert="horz"/>
              <a:lstStyle/>
              <a:p>
                <a:pPr>
                  <a:defRPr/>
                </a:pPr>
                <a:r>
                  <a:rPr lang="en-US"/>
                  <a:t>Proportion of Total Completes</a:t>
                </a:r>
              </a:p>
            </c:rich>
          </c:tx>
          <c:layout/>
          <c:overlay val="0"/>
        </c:title>
        <c:numFmt formatCode="0%" sourceLinked="1"/>
        <c:majorTickMark val="out"/>
        <c:minorTickMark val="none"/>
        <c:tickLblPos val="nextTo"/>
        <c:crossAx val="179825664"/>
        <c:crosses val="autoZero"/>
        <c:crossBetween val="midCat"/>
      </c:valAx>
    </c:plotArea>
    <c:plotVisOnly val="1"/>
    <c:dispBlanksAs val="zero"/>
    <c:showDLblsOverMax val="0"/>
  </c:chart>
  <c:txPr>
    <a:bodyPr/>
    <a:lstStyle/>
    <a:p>
      <a:pPr algn="ctr">
        <a:defRPr>
          <a:solidFill>
            <a:sysClr val="windowText" lastClr="000000"/>
          </a:solidFill>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Late Responders</c:v>
                </c:pt>
              </c:strCache>
            </c:strRef>
          </c:tx>
          <c:spPr>
            <a:solidFill>
              <a:schemeClr val="tx1">
                <a:lumMod val="50000"/>
                <a:lumOff val="50000"/>
              </a:schemeClr>
            </a:solidFill>
          </c:spPr>
          <c:invertIfNegative val="0"/>
          <c:dLbls>
            <c:showLegendKey val="0"/>
            <c:showVal val="1"/>
            <c:showCatName val="0"/>
            <c:showSerName val="0"/>
            <c:showPercent val="0"/>
            <c:showBubbleSize val="0"/>
            <c:showLeaderLines val="0"/>
          </c:dLbls>
          <c:cat>
            <c:strRef>
              <c:f>Sheet1!$A$2:$A$12</c:f>
              <c:strCache>
                <c:ptCount val="11"/>
                <c:pt idx="0">
                  <c:v>Any HH participation</c:v>
                </c:pt>
                <c:pt idx="1">
                  <c:v>HH owns boat</c:v>
                </c:pt>
                <c:pt idx="2">
                  <c:v>HH fish from boat*</c:v>
                </c:pt>
                <c:pt idx="3">
                  <c:v>HH kayak/canoe</c:v>
                </c:pt>
                <c:pt idx="4">
                  <c:v>Respondent is Male</c:v>
                </c:pt>
                <c:pt idx="5">
                  <c:v>Respondent lifetime part.</c:v>
                </c:pt>
                <c:pt idx="6">
                  <c:v>HH owns lifejackets</c:v>
                </c:pt>
                <c:pt idx="7">
                  <c:v>Child boating safety course</c:v>
                </c:pt>
                <c:pt idx="8">
                  <c:v>Rented boat trip</c:v>
                </c:pt>
                <c:pt idx="9">
                  <c:v>Alcohol on trip</c:v>
                </c:pt>
                <c:pt idx="10">
                  <c:v>Negative event on trip</c:v>
                </c:pt>
              </c:strCache>
            </c:strRef>
          </c:cat>
          <c:val>
            <c:numRef>
              <c:f>Sheet1!$B$2:$B$12</c:f>
              <c:numCache>
                <c:formatCode>0%</c:formatCode>
                <c:ptCount val="11"/>
                <c:pt idx="0">
                  <c:v>0.28639999999999999</c:v>
                </c:pt>
                <c:pt idx="1">
                  <c:v>0.2404</c:v>
                </c:pt>
                <c:pt idx="2">
                  <c:v>0.19370000000000001</c:v>
                </c:pt>
                <c:pt idx="3">
                  <c:v>0.14710000000000001</c:v>
                </c:pt>
                <c:pt idx="4">
                  <c:v>0.46639999999999998</c:v>
                </c:pt>
                <c:pt idx="5">
                  <c:v>0.57869999999999999</c:v>
                </c:pt>
                <c:pt idx="6">
                  <c:v>0.71299999999999997</c:v>
                </c:pt>
                <c:pt idx="7">
                  <c:v>0.1351</c:v>
                </c:pt>
                <c:pt idx="8">
                  <c:v>0.16550000000000001</c:v>
                </c:pt>
                <c:pt idx="9">
                  <c:v>0.39879999999999999</c:v>
                </c:pt>
                <c:pt idx="10">
                  <c:v>3.1E-2</c:v>
                </c:pt>
              </c:numCache>
            </c:numRef>
          </c:val>
        </c:ser>
        <c:ser>
          <c:idx val="1"/>
          <c:order val="1"/>
          <c:tx>
            <c:strRef>
              <c:f>Sheet1!$C$1</c:f>
              <c:strCache>
                <c:ptCount val="1"/>
                <c:pt idx="0">
                  <c:v>Early Responders</c:v>
                </c:pt>
              </c:strCache>
            </c:strRef>
          </c:tx>
          <c:spPr>
            <a:solidFill>
              <a:schemeClr val="accent3"/>
            </a:solidFill>
          </c:spPr>
          <c:invertIfNegative val="0"/>
          <c:dLbls>
            <c:showLegendKey val="0"/>
            <c:showVal val="1"/>
            <c:showCatName val="0"/>
            <c:showSerName val="0"/>
            <c:showPercent val="0"/>
            <c:showBubbleSize val="0"/>
            <c:showLeaderLines val="0"/>
          </c:dLbls>
          <c:cat>
            <c:strRef>
              <c:f>Sheet1!$A$2:$A$12</c:f>
              <c:strCache>
                <c:ptCount val="11"/>
                <c:pt idx="0">
                  <c:v>Any HH participation</c:v>
                </c:pt>
                <c:pt idx="1">
                  <c:v>HH owns boat</c:v>
                </c:pt>
                <c:pt idx="2">
                  <c:v>HH fish from boat*</c:v>
                </c:pt>
                <c:pt idx="3">
                  <c:v>HH kayak/canoe</c:v>
                </c:pt>
                <c:pt idx="4">
                  <c:v>Respondent is Male</c:v>
                </c:pt>
                <c:pt idx="5">
                  <c:v>Respondent lifetime part.</c:v>
                </c:pt>
                <c:pt idx="6">
                  <c:v>HH owns lifejackets</c:v>
                </c:pt>
                <c:pt idx="7">
                  <c:v>Child boating safety course</c:v>
                </c:pt>
                <c:pt idx="8">
                  <c:v>Rented boat trip</c:v>
                </c:pt>
                <c:pt idx="9">
                  <c:v>Alcohol on trip</c:v>
                </c:pt>
                <c:pt idx="10">
                  <c:v>Negative event on trip</c:v>
                </c:pt>
              </c:strCache>
            </c:strRef>
          </c:cat>
          <c:val>
            <c:numRef>
              <c:f>Sheet1!$C$2:$C$12</c:f>
              <c:numCache>
                <c:formatCode>0%</c:formatCode>
                <c:ptCount val="11"/>
                <c:pt idx="0">
                  <c:v>0.30120000000000002</c:v>
                </c:pt>
                <c:pt idx="1">
                  <c:v>0.25359999999999999</c:v>
                </c:pt>
                <c:pt idx="2">
                  <c:v>0.21160000000000001</c:v>
                </c:pt>
                <c:pt idx="3">
                  <c:v>0.15440000000000001</c:v>
                </c:pt>
                <c:pt idx="4">
                  <c:v>0.45639999999999997</c:v>
                </c:pt>
                <c:pt idx="5">
                  <c:v>0.56610000000000005</c:v>
                </c:pt>
                <c:pt idx="6">
                  <c:v>0.73419999999999996</c:v>
                </c:pt>
                <c:pt idx="7">
                  <c:v>0.16470000000000001</c:v>
                </c:pt>
                <c:pt idx="8">
                  <c:v>0.14860000000000001</c:v>
                </c:pt>
                <c:pt idx="9">
                  <c:v>0.3972</c:v>
                </c:pt>
                <c:pt idx="10">
                  <c:v>5.4199999999999998E-2</c:v>
                </c:pt>
              </c:numCache>
            </c:numRef>
          </c:val>
        </c:ser>
        <c:dLbls>
          <c:showLegendKey val="0"/>
          <c:showVal val="0"/>
          <c:showCatName val="0"/>
          <c:showSerName val="0"/>
          <c:showPercent val="0"/>
          <c:showBubbleSize val="0"/>
        </c:dLbls>
        <c:gapWidth val="150"/>
        <c:axId val="231491840"/>
        <c:axId val="234518016"/>
      </c:barChart>
      <c:catAx>
        <c:axId val="231491840"/>
        <c:scaling>
          <c:orientation val="minMax"/>
        </c:scaling>
        <c:delete val="0"/>
        <c:axPos val="l"/>
        <c:majorTickMark val="out"/>
        <c:minorTickMark val="none"/>
        <c:tickLblPos val="nextTo"/>
        <c:crossAx val="234518016"/>
        <c:crosses val="autoZero"/>
        <c:auto val="1"/>
        <c:lblAlgn val="ctr"/>
        <c:lblOffset val="100"/>
        <c:noMultiLvlLbl val="0"/>
      </c:catAx>
      <c:valAx>
        <c:axId val="234518016"/>
        <c:scaling>
          <c:orientation val="minMax"/>
          <c:max val="1"/>
          <c:min val="0"/>
        </c:scaling>
        <c:delete val="0"/>
        <c:axPos val="b"/>
        <c:majorGridlines/>
        <c:numFmt formatCode="0%" sourceLinked="1"/>
        <c:majorTickMark val="out"/>
        <c:minorTickMark val="none"/>
        <c:tickLblPos val="nextTo"/>
        <c:crossAx val="231491840"/>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Sheet1!$B$2:$B$5</c:f>
              <c:numCache>
                <c:formatCode>0%</c:formatCode>
                <c:ptCount val="4"/>
                <c:pt idx="0">
                  <c:v>0.42349999999999999</c:v>
                </c:pt>
                <c:pt idx="1">
                  <c:v>0.41760000000000003</c:v>
                </c:pt>
                <c:pt idx="2">
                  <c:v>0.40189999999999998</c:v>
                </c:pt>
                <c:pt idx="3">
                  <c:v>0.34350000000000003</c:v>
                </c:pt>
              </c:numCache>
            </c:numRef>
          </c:val>
        </c:ser>
        <c:dLbls>
          <c:showLegendKey val="0"/>
          <c:showVal val="0"/>
          <c:showCatName val="0"/>
          <c:showSerName val="0"/>
          <c:showPercent val="0"/>
          <c:showBubbleSize val="0"/>
        </c:dLbls>
        <c:gapWidth val="150"/>
        <c:axId val="73942528"/>
        <c:axId val="73953664"/>
      </c:barChart>
      <c:catAx>
        <c:axId val="73942528"/>
        <c:scaling>
          <c:orientation val="minMax"/>
        </c:scaling>
        <c:delete val="0"/>
        <c:axPos val="l"/>
        <c:majorTickMark val="out"/>
        <c:minorTickMark val="none"/>
        <c:tickLblPos val="nextTo"/>
        <c:crossAx val="73953664"/>
        <c:crosses val="autoZero"/>
        <c:auto val="1"/>
        <c:lblAlgn val="ctr"/>
        <c:lblOffset val="100"/>
        <c:noMultiLvlLbl val="0"/>
      </c:catAx>
      <c:valAx>
        <c:axId val="73953664"/>
        <c:scaling>
          <c:orientation val="minMax"/>
          <c:max val="1"/>
          <c:min val="0"/>
        </c:scaling>
        <c:delete val="0"/>
        <c:axPos val="b"/>
        <c:majorGridlines/>
        <c:title>
          <c:tx>
            <c:rich>
              <a:bodyPr/>
              <a:lstStyle/>
              <a:p>
                <a:pPr>
                  <a:defRPr/>
                </a:pPr>
                <a:r>
                  <a:rPr lang="en-US"/>
                  <a:t>Response Rate</a:t>
                </a:r>
                <a:r>
                  <a:rPr lang="en-US" baseline="0"/>
                  <a:t>: I/(I+E)</a:t>
                </a:r>
              </a:p>
            </c:rich>
          </c:tx>
          <c:layout/>
          <c:overlay val="0"/>
        </c:title>
        <c:numFmt formatCode="0%" sourceLinked="1"/>
        <c:majorTickMark val="out"/>
        <c:minorTickMark val="none"/>
        <c:tickLblPos val="nextTo"/>
        <c:crossAx val="739425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CP</c:v>
                </c:pt>
              </c:strCache>
            </c:strRef>
          </c:tx>
          <c:spPr>
            <a:pattFill prst="pct75">
              <a:fgClr>
                <a:schemeClr val="accent2"/>
              </a:fgClr>
              <a:bgClr>
                <a:schemeClr val="bg1"/>
              </a:bgClr>
            </a:pattFill>
          </c:spPr>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Sheet1!$B$2:$B$5</c:f>
              <c:numCache>
                <c:formatCode>0%</c:formatCode>
                <c:ptCount val="4"/>
                <c:pt idx="0">
                  <c:v>0.1075</c:v>
                </c:pt>
                <c:pt idx="1">
                  <c:v>0.129</c:v>
                </c:pt>
                <c:pt idx="2">
                  <c:v>0.1045</c:v>
                </c:pt>
                <c:pt idx="3">
                  <c:v>0.1013</c:v>
                </c:pt>
              </c:numCache>
            </c:numRef>
          </c:val>
        </c:ser>
        <c:ser>
          <c:idx val="1"/>
          <c:order val="1"/>
          <c:tx>
            <c:strRef>
              <c:f>Sheet1!$C$1</c:f>
              <c:strCache>
                <c:ptCount val="1"/>
                <c:pt idx="0">
                  <c:v>LL</c:v>
                </c:pt>
              </c:strCache>
            </c:strRef>
          </c:tx>
          <c:spPr>
            <a:pattFill prst="pct75">
              <a:fgClr>
                <a:schemeClr val="accent3"/>
              </a:fgClr>
              <a:bgClr>
                <a:schemeClr val="bg1"/>
              </a:bgClr>
            </a:pattFill>
          </c:spPr>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Sheet1!$C$2:$C$5</c:f>
              <c:numCache>
                <c:formatCode>0%</c:formatCode>
                <c:ptCount val="4"/>
                <c:pt idx="0">
                  <c:v>0.22459999999999999</c:v>
                </c:pt>
                <c:pt idx="1">
                  <c:v>0.20949999999999999</c:v>
                </c:pt>
                <c:pt idx="2">
                  <c:v>0.18090000000000001</c:v>
                </c:pt>
                <c:pt idx="3">
                  <c:v>0.1588</c:v>
                </c:pt>
              </c:numCache>
            </c:numRef>
          </c:val>
        </c:ser>
        <c:ser>
          <c:idx val="2"/>
          <c:order val="2"/>
          <c:tx>
            <c:strRef>
              <c:f>Sheet1!$D$1</c:f>
              <c:strCache>
                <c:ptCount val="1"/>
                <c:pt idx="0">
                  <c:v>LL+CP</c:v>
                </c:pt>
              </c:strCache>
            </c:strRef>
          </c:tx>
          <c:spPr>
            <a:solidFill>
              <a:schemeClr val="accent1"/>
            </a:solidFill>
          </c:spPr>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Sheet1!$D$2:$D$5</c:f>
              <c:numCache>
                <c:formatCode>0%</c:formatCode>
                <c:ptCount val="4"/>
                <c:pt idx="0">
                  <c:v>0.18360000000000001</c:v>
                </c:pt>
                <c:pt idx="1">
                  <c:v>0.184</c:v>
                </c:pt>
                <c:pt idx="2">
                  <c:v>0.15690000000000001</c:v>
                </c:pt>
                <c:pt idx="3">
                  <c:v>0.1416</c:v>
                </c:pt>
              </c:numCache>
            </c:numRef>
          </c:val>
        </c:ser>
        <c:dLbls>
          <c:showLegendKey val="0"/>
          <c:showVal val="0"/>
          <c:showCatName val="0"/>
          <c:showSerName val="0"/>
          <c:showPercent val="0"/>
          <c:showBubbleSize val="0"/>
        </c:dLbls>
        <c:gapWidth val="150"/>
        <c:axId val="78613504"/>
        <c:axId val="79344384"/>
      </c:barChart>
      <c:catAx>
        <c:axId val="78613504"/>
        <c:scaling>
          <c:orientation val="minMax"/>
        </c:scaling>
        <c:delete val="0"/>
        <c:axPos val="l"/>
        <c:majorTickMark val="out"/>
        <c:minorTickMark val="none"/>
        <c:tickLblPos val="nextTo"/>
        <c:crossAx val="79344384"/>
        <c:crosses val="autoZero"/>
        <c:auto val="1"/>
        <c:lblAlgn val="ctr"/>
        <c:lblOffset val="100"/>
        <c:noMultiLvlLbl val="0"/>
      </c:catAx>
      <c:valAx>
        <c:axId val="79344384"/>
        <c:scaling>
          <c:orientation val="minMax"/>
          <c:max val="1"/>
          <c:min val="0"/>
        </c:scaling>
        <c:delete val="0"/>
        <c:axPos val="b"/>
        <c:majorGridlines/>
        <c:title>
          <c:tx>
            <c:rich>
              <a:bodyPr/>
              <a:lstStyle/>
              <a:p>
                <a:pPr>
                  <a:defRPr/>
                </a:pPr>
                <a:r>
                  <a:rPr lang="en-US"/>
                  <a:t>Response Rate</a:t>
                </a:r>
                <a:r>
                  <a:rPr lang="en-US" baseline="0"/>
                  <a:t>: I/(I+E)</a:t>
                </a:r>
              </a:p>
            </c:rich>
          </c:tx>
          <c:layout/>
          <c:overlay val="0"/>
        </c:title>
        <c:numFmt formatCode="0%" sourceLinked="1"/>
        <c:majorTickMark val="out"/>
        <c:minorTickMark val="none"/>
        <c:tickLblPos val="nextTo"/>
        <c:crossAx val="78613504"/>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ndard"/>
        <c:varyColors val="0"/>
        <c:ser>
          <c:idx val="0"/>
          <c:order val="0"/>
          <c:spPr>
            <a:solidFill>
              <a:schemeClr val="accent1">
                <a:alpha val="75000"/>
              </a:schemeClr>
            </a:solidFill>
          </c:spPr>
          <c:cat>
            <c:strRef>
              <c:f>'[Participant callatts.xlsx]BS'!$S$8:$S$17</c:f>
              <c:strCache>
                <c:ptCount val="10"/>
                <c:pt idx="0">
                  <c:v>1</c:v>
                </c:pt>
                <c:pt idx="1">
                  <c:v>2</c:v>
                </c:pt>
                <c:pt idx="2">
                  <c:v>3</c:v>
                </c:pt>
                <c:pt idx="3">
                  <c:v>4</c:v>
                </c:pt>
                <c:pt idx="4">
                  <c:v>5</c:v>
                </c:pt>
                <c:pt idx="5">
                  <c:v>6</c:v>
                </c:pt>
                <c:pt idx="6">
                  <c:v>7</c:v>
                </c:pt>
                <c:pt idx="7">
                  <c:v>8</c:v>
                </c:pt>
                <c:pt idx="8">
                  <c:v>9</c:v>
                </c:pt>
                <c:pt idx="9">
                  <c:v>10+</c:v>
                </c:pt>
              </c:strCache>
            </c:strRef>
          </c:cat>
          <c:val>
            <c:numRef>
              <c:f>'[Participant callatts.xlsx]BS'!$T$8:$T$17</c:f>
              <c:numCache>
                <c:formatCode>0%</c:formatCode>
                <c:ptCount val="10"/>
                <c:pt idx="0">
                  <c:v>0.25159999999999999</c:v>
                </c:pt>
                <c:pt idx="1">
                  <c:v>0.2089</c:v>
                </c:pt>
                <c:pt idx="2">
                  <c:v>0.1515</c:v>
                </c:pt>
                <c:pt idx="3">
                  <c:v>0.11130000000000001</c:v>
                </c:pt>
                <c:pt idx="4">
                  <c:v>7.8719999999999998E-2</c:v>
                </c:pt>
                <c:pt idx="5">
                  <c:v>5.289E-2</c:v>
                </c:pt>
                <c:pt idx="6">
                  <c:v>3.6170000000000001E-2</c:v>
                </c:pt>
                <c:pt idx="7">
                  <c:v>2.9220000000000003E-2</c:v>
                </c:pt>
                <c:pt idx="8">
                  <c:v>2.2099999999999998E-2</c:v>
                </c:pt>
                <c:pt idx="9">
                  <c:v>5.7599999999999998E-2</c:v>
                </c:pt>
              </c:numCache>
            </c:numRef>
          </c:val>
        </c:ser>
        <c:dLbls>
          <c:showLegendKey val="0"/>
          <c:showVal val="0"/>
          <c:showCatName val="0"/>
          <c:showSerName val="0"/>
          <c:showPercent val="0"/>
          <c:showBubbleSize val="0"/>
        </c:dLbls>
        <c:axId val="114412160"/>
        <c:axId val="114704384"/>
      </c:areaChart>
      <c:catAx>
        <c:axId val="114412160"/>
        <c:scaling>
          <c:orientation val="minMax"/>
        </c:scaling>
        <c:delete val="0"/>
        <c:axPos val="b"/>
        <c:title>
          <c:tx>
            <c:rich>
              <a:bodyPr/>
              <a:lstStyle/>
              <a:p>
                <a:pPr>
                  <a:defRPr/>
                </a:pPr>
                <a:r>
                  <a:rPr lang="en-US"/>
                  <a:t>Call Attempt</a:t>
                </a:r>
              </a:p>
            </c:rich>
          </c:tx>
          <c:layout/>
          <c:overlay val="0"/>
        </c:title>
        <c:majorTickMark val="out"/>
        <c:minorTickMark val="none"/>
        <c:tickLblPos val="nextTo"/>
        <c:crossAx val="114704384"/>
        <c:crosses val="autoZero"/>
        <c:auto val="1"/>
        <c:lblAlgn val="ctr"/>
        <c:lblOffset val="100"/>
        <c:noMultiLvlLbl val="0"/>
      </c:catAx>
      <c:valAx>
        <c:axId val="114704384"/>
        <c:scaling>
          <c:orientation val="minMax"/>
        </c:scaling>
        <c:delete val="0"/>
        <c:axPos val="l"/>
        <c:majorGridlines/>
        <c:title>
          <c:tx>
            <c:rich>
              <a:bodyPr rot="-5400000" vert="horz"/>
              <a:lstStyle/>
              <a:p>
                <a:pPr>
                  <a:defRPr/>
                </a:pPr>
                <a:r>
                  <a:rPr lang="en-US"/>
                  <a:t>Proportion of Total Completes</a:t>
                </a:r>
              </a:p>
            </c:rich>
          </c:tx>
          <c:layout/>
          <c:overlay val="0"/>
        </c:title>
        <c:numFmt formatCode="0%" sourceLinked="1"/>
        <c:majorTickMark val="out"/>
        <c:minorTickMark val="none"/>
        <c:tickLblPos val="nextTo"/>
        <c:crossAx val="114412160"/>
        <c:crosses val="autoZero"/>
        <c:crossBetween val="midCat"/>
      </c:valAx>
    </c:plotArea>
    <c:plotVisOnly val="1"/>
    <c:dispBlanksAs val="zero"/>
    <c:showDLblsOverMax val="0"/>
  </c:chart>
  <c:txPr>
    <a:bodyPr/>
    <a:lstStyle/>
    <a:p>
      <a:pPr>
        <a:defRPr>
          <a:solidFill>
            <a:sysClr val="windowText" lastClr="000000"/>
          </a:solidFil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Late Responders</c:v>
                </c:pt>
              </c:strCache>
            </c:strRef>
          </c:tx>
          <c:spPr>
            <a:solidFill>
              <a:schemeClr val="tx1">
                <a:lumMod val="50000"/>
                <a:lumOff val="50000"/>
              </a:schemeClr>
            </a:solidFill>
          </c:spPr>
          <c:invertIfNegative val="0"/>
          <c:dLbls>
            <c:showLegendKey val="0"/>
            <c:showVal val="1"/>
            <c:showCatName val="0"/>
            <c:showSerName val="0"/>
            <c:showPercent val="0"/>
            <c:showBubbleSize val="0"/>
            <c:showLeaderLines val="0"/>
          </c:dLbls>
          <c:cat>
            <c:strRef>
              <c:f>Sheet1!$A$2:$A$14</c:f>
              <c:strCache>
                <c:ptCount val="13"/>
                <c:pt idx="0">
                  <c:v>HH participation*</c:v>
                </c:pt>
                <c:pt idx="1">
                  <c:v>HH owns boat*</c:v>
                </c:pt>
                <c:pt idx="2">
                  <c:v>HH fish from boat*</c:v>
                </c:pt>
                <c:pt idx="3">
                  <c:v>HH kayak/canoe*</c:v>
                </c:pt>
                <c:pt idx="4">
                  <c:v>Sel. Boat purchased new</c:v>
                </c:pt>
                <c:pt idx="5">
                  <c:v>Respondent is Male</c:v>
                </c:pt>
                <c:pt idx="6">
                  <c:v>Child boating safety course</c:v>
                </c:pt>
                <c:pt idx="7">
                  <c:v>Sel. Boat has motor</c:v>
                </c:pt>
                <c:pt idx="8">
                  <c:v>Respondent primary op.</c:v>
                </c:pt>
                <c:pt idx="9">
                  <c:v>Owner boating safety course</c:v>
                </c:pt>
                <c:pt idx="10">
                  <c:v>Intend to take boat on water*</c:v>
                </c:pt>
                <c:pt idx="11">
                  <c:v>Spend any $ on boat 2012</c:v>
                </c:pt>
                <c:pt idx="12">
                  <c:v>Joined 2012 panel*</c:v>
                </c:pt>
              </c:strCache>
            </c:strRef>
          </c:cat>
          <c:val>
            <c:numRef>
              <c:f>Sheet1!$B$2:$B$14</c:f>
              <c:numCache>
                <c:formatCode>0%</c:formatCode>
                <c:ptCount val="13"/>
                <c:pt idx="0">
                  <c:v>0.1726</c:v>
                </c:pt>
                <c:pt idx="1">
                  <c:v>0.50160000000000005</c:v>
                </c:pt>
                <c:pt idx="2">
                  <c:v>0.15989999999999999</c:v>
                </c:pt>
                <c:pt idx="3">
                  <c:v>8.1100000000000005E-2</c:v>
                </c:pt>
                <c:pt idx="4">
                  <c:v>0.44119999999999998</c:v>
                </c:pt>
                <c:pt idx="5">
                  <c:v>0.46529999999999999</c:v>
                </c:pt>
                <c:pt idx="6">
                  <c:v>0.13389999999999999</c:v>
                </c:pt>
                <c:pt idx="7">
                  <c:v>0.60970000000000002</c:v>
                </c:pt>
                <c:pt idx="8">
                  <c:v>0.67200000000000004</c:v>
                </c:pt>
                <c:pt idx="9">
                  <c:v>0.41520000000000001</c:v>
                </c:pt>
                <c:pt idx="10">
                  <c:v>0.87229999999999996</c:v>
                </c:pt>
                <c:pt idx="11">
                  <c:v>0.2681</c:v>
                </c:pt>
                <c:pt idx="12">
                  <c:v>0.41210000000000002</c:v>
                </c:pt>
              </c:numCache>
            </c:numRef>
          </c:val>
        </c:ser>
        <c:ser>
          <c:idx val="1"/>
          <c:order val="1"/>
          <c:tx>
            <c:strRef>
              <c:f>Sheet1!$C$1</c:f>
              <c:strCache>
                <c:ptCount val="1"/>
                <c:pt idx="0">
                  <c:v>Early Responders</c:v>
                </c:pt>
              </c:strCache>
            </c:strRef>
          </c:tx>
          <c:spPr>
            <a:solidFill>
              <a:schemeClr val="accent3"/>
            </a:solidFill>
          </c:spPr>
          <c:invertIfNegative val="0"/>
          <c:dLbls>
            <c:showLegendKey val="0"/>
            <c:showVal val="1"/>
            <c:showCatName val="0"/>
            <c:showSerName val="0"/>
            <c:showPercent val="0"/>
            <c:showBubbleSize val="0"/>
            <c:showLeaderLines val="0"/>
          </c:dLbls>
          <c:cat>
            <c:strRef>
              <c:f>Sheet1!$A$2:$A$14</c:f>
              <c:strCache>
                <c:ptCount val="13"/>
                <c:pt idx="0">
                  <c:v>HH participation*</c:v>
                </c:pt>
                <c:pt idx="1">
                  <c:v>HH owns boat*</c:v>
                </c:pt>
                <c:pt idx="2">
                  <c:v>HH fish from boat*</c:v>
                </c:pt>
                <c:pt idx="3">
                  <c:v>HH kayak/canoe*</c:v>
                </c:pt>
                <c:pt idx="4">
                  <c:v>Sel. Boat purchased new</c:v>
                </c:pt>
                <c:pt idx="5">
                  <c:v>Respondent is Male</c:v>
                </c:pt>
                <c:pt idx="6">
                  <c:v>Child boating safety course</c:v>
                </c:pt>
                <c:pt idx="7">
                  <c:v>Sel. Boat has motor</c:v>
                </c:pt>
                <c:pt idx="8">
                  <c:v>Respondent primary op.</c:v>
                </c:pt>
                <c:pt idx="9">
                  <c:v>Owner boating safety course</c:v>
                </c:pt>
                <c:pt idx="10">
                  <c:v>Intend to take boat on water*</c:v>
                </c:pt>
                <c:pt idx="11">
                  <c:v>Spend any $ on boat 2012</c:v>
                </c:pt>
                <c:pt idx="12">
                  <c:v>Joined 2012 panel*</c:v>
                </c:pt>
              </c:strCache>
            </c:strRef>
          </c:cat>
          <c:val>
            <c:numRef>
              <c:f>Sheet1!$C$2:$C$14</c:f>
              <c:numCache>
                <c:formatCode>0%</c:formatCode>
                <c:ptCount val="13"/>
                <c:pt idx="0">
                  <c:v>0.19420000000000001</c:v>
                </c:pt>
                <c:pt idx="1">
                  <c:v>0.59419999999999995</c:v>
                </c:pt>
                <c:pt idx="2">
                  <c:v>0.18729999999999999</c:v>
                </c:pt>
                <c:pt idx="3">
                  <c:v>9.4100000000000003E-2</c:v>
                </c:pt>
                <c:pt idx="4">
                  <c:v>0.44719999999999999</c:v>
                </c:pt>
                <c:pt idx="5">
                  <c:v>0.47560000000000002</c:v>
                </c:pt>
                <c:pt idx="6">
                  <c:v>0.1565</c:v>
                </c:pt>
                <c:pt idx="7">
                  <c:v>0.62609999999999999</c:v>
                </c:pt>
                <c:pt idx="8">
                  <c:v>0.66800000000000004</c:v>
                </c:pt>
                <c:pt idx="9">
                  <c:v>0.41220000000000001</c:v>
                </c:pt>
                <c:pt idx="10">
                  <c:v>0.89119999999999999</c:v>
                </c:pt>
                <c:pt idx="11">
                  <c:v>0.26960000000000001</c:v>
                </c:pt>
                <c:pt idx="12">
                  <c:v>0.47139999999999999</c:v>
                </c:pt>
              </c:numCache>
            </c:numRef>
          </c:val>
        </c:ser>
        <c:dLbls>
          <c:showLegendKey val="0"/>
          <c:showVal val="0"/>
          <c:showCatName val="0"/>
          <c:showSerName val="0"/>
          <c:showPercent val="0"/>
          <c:showBubbleSize val="0"/>
        </c:dLbls>
        <c:gapWidth val="150"/>
        <c:axId val="135089536"/>
        <c:axId val="136709248"/>
      </c:barChart>
      <c:catAx>
        <c:axId val="135089536"/>
        <c:scaling>
          <c:orientation val="minMax"/>
        </c:scaling>
        <c:delete val="0"/>
        <c:axPos val="l"/>
        <c:majorTickMark val="out"/>
        <c:minorTickMark val="none"/>
        <c:tickLblPos val="nextTo"/>
        <c:crossAx val="136709248"/>
        <c:crosses val="autoZero"/>
        <c:auto val="1"/>
        <c:lblAlgn val="ctr"/>
        <c:lblOffset val="100"/>
        <c:noMultiLvlLbl val="0"/>
      </c:catAx>
      <c:valAx>
        <c:axId val="136709248"/>
        <c:scaling>
          <c:orientation val="minMax"/>
          <c:max val="1"/>
          <c:min val="0"/>
        </c:scaling>
        <c:delete val="0"/>
        <c:axPos val="b"/>
        <c:majorGridlines/>
        <c:numFmt formatCode="0%" sourceLinked="1"/>
        <c:majorTickMark val="out"/>
        <c:minorTickMark val="none"/>
        <c:tickLblPos val="nextTo"/>
        <c:crossAx val="135089536"/>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Sheet1!$B$1</c:f>
              <c:strCache>
                <c:ptCount val="1"/>
                <c:pt idx="0">
                  <c:v>Very Inexperienced</c:v>
                </c:pt>
              </c:strCache>
            </c:strRef>
          </c:tx>
          <c:invertIfNegative val="0"/>
          <c:cat>
            <c:strRef>
              <c:f>Sheet1!$A$2:$A$3</c:f>
              <c:strCache>
                <c:ptCount val="2"/>
                <c:pt idx="0">
                  <c:v>Not Recruited</c:v>
                </c:pt>
                <c:pt idx="1">
                  <c:v>Recruited</c:v>
                </c:pt>
              </c:strCache>
            </c:strRef>
          </c:cat>
          <c:val>
            <c:numRef>
              <c:f>Sheet1!$B$2:$B$3</c:f>
              <c:numCache>
                <c:formatCode>0%</c:formatCode>
                <c:ptCount val="2"/>
                <c:pt idx="0">
                  <c:v>4.1799999999999997E-2</c:v>
                </c:pt>
                <c:pt idx="1">
                  <c:v>3.9100000000000003E-2</c:v>
                </c:pt>
              </c:numCache>
            </c:numRef>
          </c:val>
        </c:ser>
        <c:ser>
          <c:idx val="1"/>
          <c:order val="1"/>
          <c:tx>
            <c:strRef>
              <c:f>Sheet1!$C$1</c:f>
              <c:strCache>
                <c:ptCount val="1"/>
                <c:pt idx="0">
                  <c:v>Somewhat Inexperienced</c:v>
                </c:pt>
              </c:strCache>
            </c:strRef>
          </c:tx>
          <c:invertIfNegative val="0"/>
          <c:cat>
            <c:strRef>
              <c:f>Sheet1!$A$2:$A$3</c:f>
              <c:strCache>
                <c:ptCount val="2"/>
                <c:pt idx="0">
                  <c:v>Not Recruited</c:v>
                </c:pt>
                <c:pt idx="1">
                  <c:v>Recruited</c:v>
                </c:pt>
              </c:strCache>
            </c:strRef>
          </c:cat>
          <c:val>
            <c:numRef>
              <c:f>Sheet1!$C$2:$C$3</c:f>
              <c:numCache>
                <c:formatCode>0%</c:formatCode>
                <c:ptCount val="2"/>
                <c:pt idx="0">
                  <c:v>4.9200000000000001E-2</c:v>
                </c:pt>
                <c:pt idx="1">
                  <c:v>5.2299999999999999E-2</c:v>
                </c:pt>
              </c:numCache>
            </c:numRef>
          </c:val>
        </c:ser>
        <c:ser>
          <c:idx val="2"/>
          <c:order val="2"/>
          <c:tx>
            <c:strRef>
              <c:f>Sheet1!$D$1</c:f>
              <c:strCache>
                <c:ptCount val="1"/>
                <c:pt idx="0">
                  <c:v>Somewhat Experienced</c:v>
                </c:pt>
              </c:strCache>
            </c:strRef>
          </c:tx>
          <c:invertIfNegative val="0"/>
          <c:cat>
            <c:strRef>
              <c:f>Sheet1!$A$2:$A$3</c:f>
              <c:strCache>
                <c:ptCount val="2"/>
                <c:pt idx="0">
                  <c:v>Not Recruited</c:v>
                </c:pt>
                <c:pt idx="1">
                  <c:v>Recruited</c:v>
                </c:pt>
              </c:strCache>
            </c:strRef>
          </c:cat>
          <c:val>
            <c:numRef>
              <c:f>Sheet1!$D$2:$D$3</c:f>
              <c:numCache>
                <c:formatCode>0%</c:formatCode>
                <c:ptCount val="2"/>
                <c:pt idx="0">
                  <c:v>0.26329999999999998</c:v>
                </c:pt>
                <c:pt idx="1">
                  <c:v>0.26500000000000001</c:v>
                </c:pt>
              </c:numCache>
            </c:numRef>
          </c:val>
        </c:ser>
        <c:ser>
          <c:idx val="3"/>
          <c:order val="3"/>
          <c:tx>
            <c:strRef>
              <c:f>Sheet1!$E$1</c:f>
              <c:strCache>
                <c:ptCount val="1"/>
                <c:pt idx="0">
                  <c:v>Very Experienced</c:v>
                </c:pt>
              </c:strCache>
            </c:strRef>
          </c:tx>
          <c:invertIfNegative val="0"/>
          <c:cat>
            <c:strRef>
              <c:f>Sheet1!$A$2:$A$3</c:f>
              <c:strCache>
                <c:ptCount val="2"/>
                <c:pt idx="0">
                  <c:v>Not Recruited</c:v>
                </c:pt>
                <c:pt idx="1">
                  <c:v>Recruited</c:v>
                </c:pt>
              </c:strCache>
            </c:strRef>
          </c:cat>
          <c:val>
            <c:numRef>
              <c:f>Sheet1!$E$2:$E$3</c:f>
              <c:numCache>
                <c:formatCode>0%</c:formatCode>
                <c:ptCount val="2"/>
                <c:pt idx="0">
                  <c:v>0.64570000000000005</c:v>
                </c:pt>
                <c:pt idx="1">
                  <c:v>0.64390000000000003</c:v>
                </c:pt>
              </c:numCache>
            </c:numRef>
          </c:val>
        </c:ser>
        <c:dLbls>
          <c:dLblPos val="ctr"/>
          <c:showLegendKey val="0"/>
          <c:showVal val="1"/>
          <c:showCatName val="0"/>
          <c:showSerName val="0"/>
          <c:showPercent val="0"/>
          <c:showBubbleSize val="0"/>
        </c:dLbls>
        <c:gapWidth val="150"/>
        <c:overlap val="100"/>
        <c:axId val="138882432"/>
        <c:axId val="145282176"/>
      </c:barChart>
      <c:catAx>
        <c:axId val="138882432"/>
        <c:scaling>
          <c:orientation val="minMax"/>
        </c:scaling>
        <c:delete val="0"/>
        <c:axPos val="l"/>
        <c:majorTickMark val="out"/>
        <c:minorTickMark val="none"/>
        <c:tickLblPos val="nextTo"/>
        <c:crossAx val="145282176"/>
        <c:crosses val="autoZero"/>
        <c:auto val="1"/>
        <c:lblAlgn val="ctr"/>
        <c:lblOffset val="100"/>
        <c:noMultiLvlLbl val="0"/>
      </c:catAx>
      <c:valAx>
        <c:axId val="145282176"/>
        <c:scaling>
          <c:orientation val="minMax"/>
          <c:max val="1"/>
          <c:min val="0"/>
        </c:scaling>
        <c:delete val="0"/>
        <c:axPos val="b"/>
        <c:majorGridlines/>
        <c:title>
          <c:tx>
            <c:rich>
              <a:bodyPr/>
              <a:lstStyle/>
              <a:p>
                <a:pPr>
                  <a:defRPr/>
                </a:pPr>
                <a:r>
                  <a:rPr lang="en-US"/>
                  <a:t>Proportion</a:t>
                </a:r>
                <a:r>
                  <a:rPr lang="en-US" baseline="0"/>
                  <a:t> of Responses</a:t>
                </a:r>
                <a:endParaRPr lang="en-US"/>
              </a:p>
            </c:rich>
          </c:tx>
          <c:layout/>
          <c:overlay val="0"/>
        </c:title>
        <c:numFmt formatCode="0%" sourceLinked="1"/>
        <c:majorTickMark val="out"/>
        <c:minorTickMark val="none"/>
        <c:tickLblPos val="nextTo"/>
        <c:crossAx val="1388824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Northeast</c:v>
                </c:pt>
                <c:pt idx="1">
                  <c:v>West</c:v>
                </c:pt>
                <c:pt idx="2">
                  <c:v>Midwest</c:v>
                </c:pt>
                <c:pt idx="3">
                  <c:v>South</c:v>
                </c:pt>
              </c:strCache>
            </c:strRef>
          </c:cat>
          <c:val>
            <c:numRef>
              <c:f>Sheet1!$B$2:$B$5</c:f>
              <c:numCache>
                <c:formatCode>0%</c:formatCode>
                <c:ptCount val="4"/>
                <c:pt idx="0">
                  <c:v>0.74219999999999997</c:v>
                </c:pt>
                <c:pt idx="1">
                  <c:v>0.75570000000000004</c:v>
                </c:pt>
                <c:pt idx="2">
                  <c:v>0.71409999999999996</c:v>
                </c:pt>
                <c:pt idx="3">
                  <c:v>0.73150000000000004</c:v>
                </c:pt>
              </c:numCache>
            </c:numRef>
          </c:val>
        </c:ser>
        <c:dLbls>
          <c:showLegendKey val="0"/>
          <c:showVal val="0"/>
          <c:showCatName val="0"/>
          <c:showSerName val="0"/>
          <c:showPercent val="0"/>
          <c:showBubbleSize val="0"/>
        </c:dLbls>
        <c:gapWidth val="150"/>
        <c:axId val="151201280"/>
        <c:axId val="151202816"/>
      </c:barChart>
      <c:catAx>
        <c:axId val="151201280"/>
        <c:scaling>
          <c:orientation val="minMax"/>
        </c:scaling>
        <c:delete val="0"/>
        <c:axPos val="l"/>
        <c:majorTickMark val="out"/>
        <c:minorTickMark val="none"/>
        <c:tickLblPos val="nextTo"/>
        <c:crossAx val="151202816"/>
        <c:crosses val="autoZero"/>
        <c:auto val="1"/>
        <c:lblAlgn val="ctr"/>
        <c:lblOffset val="100"/>
        <c:noMultiLvlLbl val="0"/>
      </c:catAx>
      <c:valAx>
        <c:axId val="151202816"/>
        <c:scaling>
          <c:orientation val="minMax"/>
          <c:max val="1"/>
          <c:min val="0"/>
        </c:scaling>
        <c:delete val="0"/>
        <c:axPos val="b"/>
        <c:majorGridlines/>
        <c:title>
          <c:tx>
            <c:rich>
              <a:bodyPr/>
              <a:lstStyle/>
              <a:p>
                <a:pPr>
                  <a:defRPr/>
                </a:pPr>
                <a:r>
                  <a:rPr lang="en-US"/>
                  <a:t>Panel Recruitment Rate</a:t>
                </a:r>
                <a:endParaRPr lang="en-US" baseline="0"/>
              </a:p>
            </c:rich>
          </c:tx>
          <c:layout/>
          <c:overlay val="0"/>
        </c:title>
        <c:numFmt formatCode="0%" sourceLinked="1"/>
        <c:majorTickMark val="out"/>
        <c:minorTickMark val="none"/>
        <c:tickLblPos val="nextTo"/>
        <c:crossAx val="15120128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Not Recruited</c:v>
                </c:pt>
              </c:strCache>
            </c:strRef>
          </c:tx>
          <c:spPr>
            <a:pattFill prst="pct70">
              <a:fgClr>
                <a:schemeClr val="accent2"/>
              </a:fgClr>
              <a:bgClr>
                <a:schemeClr val="bg1"/>
              </a:bgClr>
            </a:pattFill>
            <a:ln>
              <a:solidFill>
                <a:schemeClr val="accent2"/>
              </a:solidFill>
            </a:ln>
          </c:spPr>
          <c:invertIfNegative val="0"/>
          <c:cat>
            <c:strRef>
              <c:f>Sheet1!$A$2:$A$8</c:f>
              <c:strCache>
                <c:ptCount val="7"/>
                <c:pt idx="0">
                  <c:v>Powerboat</c:v>
                </c:pt>
                <c:pt idx="1">
                  <c:v>Sailboat</c:v>
                </c:pt>
                <c:pt idx="2">
                  <c:v>Pontoon</c:v>
                </c:pt>
                <c:pt idx="3">
                  <c:v>PWC</c:v>
                </c:pt>
                <c:pt idx="4">
                  <c:v>Canoe</c:v>
                </c:pt>
                <c:pt idx="5">
                  <c:v>Kayak</c:v>
                </c:pt>
                <c:pt idx="6">
                  <c:v>Row/Inf/Other</c:v>
                </c:pt>
              </c:strCache>
            </c:strRef>
          </c:cat>
          <c:val>
            <c:numRef>
              <c:f>Sheet1!$B$2:$B$8</c:f>
              <c:numCache>
                <c:formatCode>0%</c:formatCode>
                <c:ptCount val="7"/>
                <c:pt idx="0">
                  <c:v>0.50609999999999999</c:v>
                </c:pt>
                <c:pt idx="1">
                  <c:v>9.9099999999999994E-2</c:v>
                </c:pt>
                <c:pt idx="2">
                  <c:v>7.2499999999999995E-2</c:v>
                </c:pt>
                <c:pt idx="3">
                  <c:v>8.48E-2</c:v>
                </c:pt>
                <c:pt idx="4">
                  <c:v>8.3400000000000002E-2</c:v>
                </c:pt>
                <c:pt idx="5">
                  <c:v>6.9400000000000003E-2</c:v>
                </c:pt>
                <c:pt idx="6">
                  <c:v>8.4599999999999995E-2</c:v>
                </c:pt>
              </c:numCache>
            </c:numRef>
          </c:val>
        </c:ser>
        <c:ser>
          <c:idx val="1"/>
          <c:order val="1"/>
          <c:tx>
            <c:strRef>
              <c:f>Sheet1!$C$1</c:f>
              <c:strCache>
                <c:ptCount val="1"/>
                <c:pt idx="0">
                  <c:v>Recruited</c:v>
                </c:pt>
              </c:strCache>
            </c:strRef>
          </c:tx>
          <c:spPr>
            <a:pattFill prst="pct70">
              <a:fgClr>
                <a:schemeClr val="accent3"/>
              </a:fgClr>
              <a:bgClr>
                <a:schemeClr val="bg1"/>
              </a:bgClr>
            </a:pattFill>
            <a:ln>
              <a:solidFill>
                <a:schemeClr val="accent3"/>
              </a:solidFill>
            </a:ln>
          </c:spPr>
          <c:invertIfNegative val="0"/>
          <c:cat>
            <c:strRef>
              <c:f>Sheet1!$A$2:$A$8</c:f>
              <c:strCache>
                <c:ptCount val="7"/>
                <c:pt idx="0">
                  <c:v>Powerboat</c:v>
                </c:pt>
                <c:pt idx="1">
                  <c:v>Sailboat</c:v>
                </c:pt>
                <c:pt idx="2">
                  <c:v>Pontoon</c:v>
                </c:pt>
                <c:pt idx="3">
                  <c:v>PWC</c:v>
                </c:pt>
                <c:pt idx="4">
                  <c:v>Canoe</c:v>
                </c:pt>
                <c:pt idx="5">
                  <c:v>Kayak</c:v>
                </c:pt>
                <c:pt idx="6">
                  <c:v>Row/Inf/Other</c:v>
                </c:pt>
              </c:strCache>
            </c:strRef>
          </c:cat>
          <c:val>
            <c:numRef>
              <c:f>Sheet1!$C$2:$C$8</c:f>
              <c:numCache>
                <c:formatCode>0%</c:formatCode>
                <c:ptCount val="7"/>
                <c:pt idx="0">
                  <c:v>0.48209999999999997</c:v>
                </c:pt>
                <c:pt idx="1">
                  <c:v>9.6500000000000002E-2</c:v>
                </c:pt>
                <c:pt idx="2">
                  <c:v>7.9399999999999998E-2</c:v>
                </c:pt>
                <c:pt idx="3">
                  <c:v>7.1400000000000005E-2</c:v>
                </c:pt>
                <c:pt idx="4">
                  <c:v>0.1047</c:v>
                </c:pt>
                <c:pt idx="5">
                  <c:v>0.1009</c:v>
                </c:pt>
                <c:pt idx="6">
                  <c:v>6.5000000000000002E-2</c:v>
                </c:pt>
              </c:numCache>
            </c:numRef>
          </c:val>
        </c:ser>
        <c:ser>
          <c:idx val="2"/>
          <c:order val="2"/>
          <c:tx>
            <c:strRef>
              <c:f>Sheet1!$D$1</c:f>
              <c:strCache>
                <c:ptCount val="1"/>
                <c:pt idx="0">
                  <c:v>Population</c:v>
                </c:pt>
              </c:strCache>
            </c:strRef>
          </c:tx>
          <c:spPr>
            <a:solidFill>
              <a:schemeClr val="accent1"/>
            </a:solidFill>
          </c:spPr>
          <c:invertIfNegative val="0"/>
          <c:cat>
            <c:strRef>
              <c:f>Sheet1!$A$2:$A$8</c:f>
              <c:strCache>
                <c:ptCount val="7"/>
                <c:pt idx="0">
                  <c:v>Powerboat</c:v>
                </c:pt>
                <c:pt idx="1">
                  <c:v>Sailboat</c:v>
                </c:pt>
                <c:pt idx="2">
                  <c:v>Pontoon</c:v>
                </c:pt>
                <c:pt idx="3">
                  <c:v>PWC</c:v>
                </c:pt>
                <c:pt idx="4">
                  <c:v>Canoe</c:v>
                </c:pt>
                <c:pt idx="5">
                  <c:v>Kayak</c:v>
                </c:pt>
                <c:pt idx="6">
                  <c:v>Row/Inf/Other</c:v>
                </c:pt>
              </c:strCache>
            </c:strRef>
          </c:cat>
          <c:val>
            <c:numRef>
              <c:f>Sheet1!$D$2:$D$8</c:f>
              <c:numCache>
                <c:formatCode>0%</c:formatCode>
                <c:ptCount val="7"/>
                <c:pt idx="0">
                  <c:v>0.46</c:v>
                </c:pt>
                <c:pt idx="1">
                  <c:v>0.03</c:v>
                </c:pt>
                <c:pt idx="2">
                  <c:v>0.04</c:v>
                </c:pt>
                <c:pt idx="3">
                  <c:v>0.08</c:v>
                </c:pt>
                <c:pt idx="4">
                  <c:v>0.11</c:v>
                </c:pt>
                <c:pt idx="5">
                  <c:v>0.18</c:v>
                </c:pt>
                <c:pt idx="6">
                  <c:v>0.08</c:v>
                </c:pt>
              </c:numCache>
            </c:numRef>
          </c:val>
        </c:ser>
        <c:dLbls>
          <c:showLegendKey val="0"/>
          <c:showVal val="0"/>
          <c:showCatName val="0"/>
          <c:showSerName val="0"/>
          <c:showPercent val="0"/>
          <c:showBubbleSize val="0"/>
        </c:dLbls>
        <c:gapWidth val="150"/>
        <c:axId val="152057728"/>
        <c:axId val="154042368"/>
      </c:barChart>
      <c:catAx>
        <c:axId val="152057728"/>
        <c:scaling>
          <c:orientation val="minMax"/>
        </c:scaling>
        <c:delete val="0"/>
        <c:axPos val="l"/>
        <c:majorTickMark val="out"/>
        <c:minorTickMark val="none"/>
        <c:tickLblPos val="nextTo"/>
        <c:crossAx val="154042368"/>
        <c:crosses val="autoZero"/>
        <c:auto val="1"/>
        <c:lblAlgn val="ctr"/>
        <c:lblOffset val="100"/>
        <c:noMultiLvlLbl val="0"/>
      </c:catAx>
      <c:valAx>
        <c:axId val="154042368"/>
        <c:scaling>
          <c:orientation val="minMax"/>
          <c:max val="0.60000000000000009"/>
          <c:min val="0"/>
        </c:scaling>
        <c:delete val="0"/>
        <c:axPos val="b"/>
        <c:majorGridlines/>
        <c:title>
          <c:tx>
            <c:rich>
              <a:bodyPr rot="0" vert="horz"/>
              <a:lstStyle/>
              <a:p>
                <a:pPr>
                  <a:defRPr/>
                </a:pPr>
                <a:r>
                  <a:rPr lang="en-US"/>
                  <a:t>Proportion of All Boats</a:t>
                </a:r>
              </a:p>
            </c:rich>
          </c:tx>
          <c:layout/>
          <c:overlay val="0"/>
        </c:title>
        <c:numFmt formatCode="0%" sourceLinked="1"/>
        <c:majorTickMark val="out"/>
        <c:minorTickMark val="none"/>
        <c:tickLblPos val="nextTo"/>
        <c:crossAx val="152057728"/>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Sheet1!$B$1</c:f>
              <c:strCache>
                <c:ptCount val="1"/>
                <c:pt idx="0">
                  <c:v>Very Inexperienced</c:v>
                </c:pt>
              </c:strCache>
            </c:strRef>
          </c:tx>
          <c:invertIfNegative val="0"/>
          <c:cat>
            <c:strRef>
              <c:f>Sheet1!$A$2:$A$3</c:f>
              <c:strCache>
                <c:ptCount val="2"/>
                <c:pt idx="0">
                  <c:v>Non-Participants</c:v>
                </c:pt>
                <c:pt idx="1">
                  <c:v>Participants</c:v>
                </c:pt>
              </c:strCache>
            </c:strRef>
          </c:cat>
          <c:val>
            <c:numRef>
              <c:f>Sheet1!$B$2:$B$3</c:f>
              <c:numCache>
                <c:formatCode>0%</c:formatCode>
                <c:ptCount val="2"/>
                <c:pt idx="0">
                  <c:v>5.0700000000000002E-2</c:v>
                </c:pt>
                <c:pt idx="1">
                  <c:v>3.2599999999999997E-2</c:v>
                </c:pt>
              </c:numCache>
            </c:numRef>
          </c:val>
        </c:ser>
        <c:ser>
          <c:idx val="1"/>
          <c:order val="1"/>
          <c:tx>
            <c:strRef>
              <c:f>Sheet1!$C$1</c:f>
              <c:strCache>
                <c:ptCount val="1"/>
                <c:pt idx="0">
                  <c:v>Somewhat Inexperienced</c:v>
                </c:pt>
              </c:strCache>
            </c:strRef>
          </c:tx>
          <c:invertIfNegative val="0"/>
          <c:cat>
            <c:strRef>
              <c:f>Sheet1!$A$2:$A$3</c:f>
              <c:strCache>
                <c:ptCount val="2"/>
                <c:pt idx="0">
                  <c:v>Non-Participants</c:v>
                </c:pt>
                <c:pt idx="1">
                  <c:v>Participants</c:v>
                </c:pt>
              </c:strCache>
            </c:strRef>
          </c:cat>
          <c:val>
            <c:numRef>
              <c:f>Sheet1!$C$2:$C$3</c:f>
              <c:numCache>
                <c:formatCode>0%</c:formatCode>
                <c:ptCount val="2"/>
                <c:pt idx="0">
                  <c:v>6.1600000000000002E-2</c:v>
                </c:pt>
                <c:pt idx="1">
                  <c:v>4.7199999999999999E-2</c:v>
                </c:pt>
              </c:numCache>
            </c:numRef>
          </c:val>
        </c:ser>
        <c:ser>
          <c:idx val="2"/>
          <c:order val="2"/>
          <c:tx>
            <c:strRef>
              <c:f>Sheet1!$D$1</c:f>
              <c:strCache>
                <c:ptCount val="1"/>
                <c:pt idx="0">
                  <c:v>Somewhat Experienced</c:v>
                </c:pt>
              </c:strCache>
            </c:strRef>
          </c:tx>
          <c:invertIfNegative val="0"/>
          <c:cat>
            <c:strRef>
              <c:f>Sheet1!$A$2:$A$3</c:f>
              <c:strCache>
                <c:ptCount val="2"/>
                <c:pt idx="0">
                  <c:v>Non-Participants</c:v>
                </c:pt>
                <c:pt idx="1">
                  <c:v>Participants</c:v>
                </c:pt>
              </c:strCache>
            </c:strRef>
          </c:cat>
          <c:val>
            <c:numRef>
              <c:f>Sheet1!$D$2:$D$3</c:f>
              <c:numCache>
                <c:formatCode>0%</c:formatCode>
                <c:ptCount val="2"/>
                <c:pt idx="0">
                  <c:v>0.29480000000000001</c:v>
                </c:pt>
                <c:pt idx="1">
                  <c:v>0.24809999999999999</c:v>
                </c:pt>
              </c:numCache>
            </c:numRef>
          </c:val>
        </c:ser>
        <c:ser>
          <c:idx val="3"/>
          <c:order val="3"/>
          <c:tx>
            <c:strRef>
              <c:f>Sheet1!$E$1</c:f>
              <c:strCache>
                <c:ptCount val="1"/>
                <c:pt idx="0">
                  <c:v>Very Experienced</c:v>
                </c:pt>
              </c:strCache>
            </c:strRef>
          </c:tx>
          <c:invertIfNegative val="0"/>
          <c:cat>
            <c:strRef>
              <c:f>Sheet1!$A$2:$A$3</c:f>
              <c:strCache>
                <c:ptCount val="2"/>
                <c:pt idx="0">
                  <c:v>Non-Participants</c:v>
                </c:pt>
                <c:pt idx="1">
                  <c:v>Participants</c:v>
                </c:pt>
              </c:strCache>
            </c:strRef>
          </c:cat>
          <c:val>
            <c:numRef>
              <c:f>Sheet1!$E$2:$E$3</c:f>
              <c:numCache>
                <c:formatCode>0%</c:formatCode>
                <c:ptCount val="2"/>
                <c:pt idx="0">
                  <c:v>0.59289999999999998</c:v>
                </c:pt>
                <c:pt idx="1">
                  <c:v>0.67269999999999996</c:v>
                </c:pt>
              </c:numCache>
            </c:numRef>
          </c:val>
        </c:ser>
        <c:dLbls>
          <c:dLblPos val="ctr"/>
          <c:showLegendKey val="0"/>
          <c:showVal val="1"/>
          <c:showCatName val="0"/>
          <c:showSerName val="0"/>
          <c:showPercent val="0"/>
          <c:showBubbleSize val="0"/>
        </c:dLbls>
        <c:gapWidth val="150"/>
        <c:overlap val="100"/>
        <c:axId val="157595136"/>
        <c:axId val="157597056"/>
      </c:barChart>
      <c:catAx>
        <c:axId val="157595136"/>
        <c:scaling>
          <c:orientation val="minMax"/>
        </c:scaling>
        <c:delete val="0"/>
        <c:axPos val="l"/>
        <c:majorTickMark val="out"/>
        <c:minorTickMark val="none"/>
        <c:tickLblPos val="nextTo"/>
        <c:crossAx val="157597056"/>
        <c:crosses val="autoZero"/>
        <c:auto val="1"/>
        <c:lblAlgn val="ctr"/>
        <c:lblOffset val="100"/>
        <c:noMultiLvlLbl val="0"/>
      </c:catAx>
      <c:valAx>
        <c:axId val="157597056"/>
        <c:scaling>
          <c:orientation val="minMax"/>
          <c:max val="1"/>
          <c:min val="0"/>
        </c:scaling>
        <c:delete val="0"/>
        <c:axPos val="b"/>
        <c:majorGridlines/>
        <c:title>
          <c:tx>
            <c:rich>
              <a:bodyPr/>
              <a:lstStyle/>
              <a:p>
                <a:pPr>
                  <a:defRPr/>
                </a:pPr>
                <a:r>
                  <a:rPr lang="en-US"/>
                  <a:t>Proportion</a:t>
                </a:r>
                <a:r>
                  <a:rPr lang="en-US" baseline="0"/>
                  <a:t> of Responses</a:t>
                </a:r>
                <a:endParaRPr lang="en-US"/>
              </a:p>
            </c:rich>
          </c:tx>
          <c:layout/>
          <c:overlay val="0"/>
        </c:title>
        <c:numFmt formatCode="0%" sourceLinked="1"/>
        <c:majorTickMark val="out"/>
        <c:minorTickMark val="none"/>
        <c:tickLblPos val="nextTo"/>
        <c:crossAx val="157595136"/>
        <c:crosses val="autoZero"/>
        <c:crossBetween val="between"/>
      </c:valAx>
    </c:plotArea>
    <c:legend>
      <c:legendPos val="r"/>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0.50375</cdr:x>
      <cdr:y>0.05031</cdr:y>
    </cdr:from>
    <cdr:to>
      <cdr:x>0.50375</cdr:x>
      <cdr:y>0.78058</cdr:y>
    </cdr:to>
    <cdr:cxnSp macro="">
      <cdr:nvCxnSpPr>
        <cdr:cNvPr id="2" name="Straight Connector 1"/>
        <cdr:cNvCxnSpPr/>
      </cdr:nvCxnSpPr>
      <cdr:spPr>
        <a:xfrm xmlns:a="http://schemas.openxmlformats.org/drawingml/2006/main" flipV="1">
          <a:off x="2303143" y="138023"/>
          <a:ext cx="0" cy="2003251"/>
        </a:xfrm>
        <a:prstGeom xmlns:a="http://schemas.openxmlformats.org/drawingml/2006/main" prst="line">
          <a:avLst/>
        </a:prstGeom>
        <a:ln xmlns:a="http://schemas.openxmlformats.org/drawingml/2006/main">
          <a:prstDash val="sysDash"/>
        </a:ln>
      </cdr:spPr>
      <cdr:style>
        <a:lnRef xmlns:a="http://schemas.openxmlformats.org/drawingml/2006/main" idx="3">
          <a:schemeClr val="dk1"/>
        </a:lnRef>
        <a:fillRef xmlns:a="http://schemas.openxmlformats.org/drawingml/2006/main" idx="0">
          <a:schemeClr val="dk1"/>
        </a:fillRef>
        <a:effectRef xmlns:a="http://schemas.openxmlformats.org/drawingml/2006/main" idx="2">
          <a:schemeClr val="dk1"/>
        </a:effectRef>
        <a:fontRef xmlns:a="http://schemas.openxmlformats.org/drawingml/2006/main" idx="minor">
          <a:schemeClr val="tx1"/>
        </a:fontRef>
      </cdr:style>
    </cdr:cxnSp>
  </cdr:relSizeAnchor>
  <cdr:relSizeAnchor xmlns:cdr="http://schemas.openxmlformats.org/drawingml/2006/chartDrawing">
    <cdr:from>
      <cdr:x>0.32352</cdr:x>
      <cdr:y>0.17016</cdr:y>
    </cdr:from>
    <cdr:to>
      <cdr:x>0.48185</cdr:x>
      <cdr:y>0.33336</cdr:y>
    </cdr:to>
    <cdr:sp macro="" textlink="">
      <cdr:nvSpPr>
        <cdr:cNvPr id="4" name="Text Box 1"/>
        <cdr:cNvSpPr txBox="1"/>
      </cdr:nvSpPr>
      <cdr:spPr>
        <a:xfrm xmlns:a="http://schemas.openxmlformats.org/drawingml/2006/main">
          <a:off x="1479130" y="466773"/>
          <a:ext cx="723885" cy="447690"/>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en-US" sz="1600" b="1">
              <a:solidFill>
                <a:sysClr val="windowText" lastClr="000000"/>
              </a:solidFill>
            </a:rPr>
            <a:t>EARLY</a:t>
          </a:r>
        </a:p>
      </cdr:txBody>
    </cdr:sp>
  </cdr:relSizeAnchor>
  <cdr:relSizeAnchor xmlns:cdr="http://schemas.openxmlformats.org/drawingml/2006/chartDrawing">
    <cdr:from>
      <cdr:x>0.55371</cdr:x>
      <cdr:y>0.17016</cdr:y>
    </cdr:from>
    <cdr:to>
      <cdr:x>0.71204</cdr:x>
      <cdr:y>0.33336</cdr:y>
    </cdr:to>
    <cdr:sp macro="" textlink="">
      <cdr:nvSpPr>
        <cdr:cNvPr id="5" name="Text Box 1"/>
        <cdr:cNvSpPr txBox="1"/>
      </cdr:nvSpPr>
      <cdr:spPr>
        <a:xfrm xmlns:a="http://schemas.openxmlformats.org/drawingml/2006/main">
          <a:off x="2531552" y="466773"/>
          <a:ext cx="723885" cy="447690"/>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en-US" sz="1600" b="1"/>
            <a:t>LATE</a:t>
          </a:r>
        </a:p>
      </cdr:txBody>
    </cdr:sp>
  </cdr:relSizeAnchor>
</c:userShapes>
</file>

<file path=word/drawings/drawing2.xml><?xml version="1.0" encoding="utf-8"?>
<c:userShapes xmlns:c="http://schemas.openxmlformats.org/drawingml/2006/chart">
  <cdr:relSizeAnchor xmlns:cdr="http://schemas.openxmlformats.org/drawingml/2006/chartDrawing">
    <cdr:from>
      <cdr:x>0.50305</cdr:x>
      <cdr:y>0.04717</cdr:y>
    </cdr:from>
    <cdr:to>
      <cdr:x>0.50305</cdr:x>
      <cdr:y>0.78267</cdr:y>
    </cdr:to>
    <cdr:cxnSp macro="">
      <cdr:nvCxnSpPr>
        <cdr:cNvPr id="2" name="Straight Connector 1"/>
        <cdr:cNvCxnSpPr/>
      </cdr:nvCxnSpPr>
      <cdr:spPr>
        <a:xfrm xmlns:a="http://schemas.openxmlformats.org/drawingml/2006/main" flipV="1">
          <a:off x="2299943" y="129396"/>
          <a:ext cx="0" cy="2017623"/>
        </a:xfrm>
        <a:prstGeom xmlns:a="http://schemas.openxmlformats.org/drawingml/2006/main" prst="line">
          <a:avLst/>
        </a:prstGeom>
        <a:ln xmlns:a="http://schemas.openxmlformats.org/drawingml/2006/main">
          <a:prstDash val="sysDash"/>
        </a:ln>
      </cdr:spPr>
      <cdr:style>
        <a:lnRef xmlns:a="http://schemas.openxmlformats.org/drawingml/2006/main" idx="3">
          <a:schemeClr val="dk1"/>
        </a:lnRef>
        <a:fillRef xmlns:a="http://schemas.openxmlformats.org/drawingml/2006/main" idx="0">
          <a:schemeClr val="dk1"/>
        </a:fillRef>
        <a:effectRef xmlns:a="http://schemas.openxmlformats.org/drawingml/2006/main" idx="2">
          <a:schemeClr val="dk1"/>
        </a:effectRef>
        <a:fontRef xmlns:a="http://schemas.openxmlformats.org/drawingml/2006/main" idx="minor">
          <a:schemeClr val="tx1"/>
        </a:fontRef>
      </cdr:style>
    </cdr:cxnSp>
  </cdr:relSizeAnchor>
  <cdr:relSizeAnchor xmlns:cdr="http://schemas.openxmlformats.org/drawingml/2006/chartDrawing">
    <cdr:from>
      <cdr:x>0.31241</cdr:x>
      <cdr:y>0.15164</cdr:y>
    </cdr:from>
    <cdr:to>
      <cdr:x>0.47074</cdr:x>
      <cdr:y>0.31484</cdr:y>
    </cdr:to>
    <cdr:sp macro="" textlink="">
      <cdr:nvSpPr>
        <cdr:cNvPr id="4" name="Text Box 1"/>
        <cdr:cNvSpPr txBox="1"/>
      </cdr:nvSpPr>
      <cdr:spPr>
        <a:xfrm xmlns:a="http://schemas.openxmlformats.org/drawingml/2006/main">
          <a:off x="1428330" y="415973"/>
          <a:ext cx="723885" cy="447690"/>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en-US" sz="1600" b="1"/>
            <a:t>EARLY</a:t>
          </a:r>
        </a:p>
      </cdr:txBody>
    </cdr:sp>
  </cdr:relSizeAnchor>
  <cdr:relSizeAnchor xmlns:cdr="http://schemas.openxmlformats.org/drawingml/2006/chartDrawing">
    <cdr:from>
      <cdr:x>0.5426</cdr:x>
      <cdr:y>0.15164</cdr:y>
    </cdr:from>
    <cdr:to>
      <cdr:x>0.70093</cdr:x>
      <cdr:y>0.31484</cdr:y>
    </cdr:to>
    <cdr:sp macro="" textlink="">
      <cdr:nvSpPr>
        <cdr:cNvPr id="5" name="Text Box 1"/>
        <cdr:cNvSpPr txBox="1"/>
      </cdr:nvSpPr>
      <cdr:spPr>
        <a:xfrm xmlns:a="http://schemas.openxmlformats.org/drawingml/2006/main">
          <a:off x="2480752" y="415973"/>
          <a:ext cx="723885" cy="447690"/>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en-US" sz="1600" b="1"/>
            <a:t>LATE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26503B-2E42-45FC-8AF2-406966C1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3687</Words>
  <Characters>21020</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R. Peters</dc:creator>
  <cp:lastModifiedBy>Kurt R. Peters</cp:lastModifiedBy>
  <cp:revision>2</cp:revision>
  <cp:lastPrinted>2014-01-22T14:59:00Z</cp:lastPrinted>
  <dcterms:created xsi:type="dcterms:W3CDTF">2014-03-28T20:37:00Z</dcterms:created>
  <dcterms:modified xsi:type="dcterms:W3CDTF">2014-03-28T20:37:00Z</dcterms:modified>
</cp:coreProperties>
</file>