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34" w:rsidRDefault="005F6334">
      <w:pPr>
        <w:spacing w:after="200" w:line="276" w:lineRule="auto"/>
        <w:jc w:val="left"/>
        <w:rPr>
          <w:szCs w:val="24"/>
        </w:rPr>
      </w:pPr>
    </w:p>
    <w:p w:rsidR="005F6334" w:rsidRDefault="005F6334" w:rsidP="005F6334">
      <w:pPr>
        <w:spacing w:after="200" w:line="276" w:lineRule="auto"/>
        <w:jc w:val="left"/>
        <w:rPr>
          <w:szCs w:val="24"/>
        </w:rPr>
      </w:pPr>
    </w:p>
    <w:p w:rsidR="005F6334" w:rsidRDefault="005F6334" w:rsidP="005F6334">
      <w:pPr>
        <w:spacing w:after="200" w:line="276" w:lineRule="auto"/>
        <w:jc w:val="left"/>
        <w:rPr>
          <w:szCs w:val="24"/>
        </w:rPr>
      </w:pPr>
    </w:p>
    <w:p w:rsidR="006217AA" w:rsidRDefault="006217AA" w:rsidP="006217AA">
      <w:pPr>
        <w:pStyle w:val="C2-CtrSglSp"/>
        <w:rPr>
          <w:rFonts w:ascii="Franklin Gothic Medium" w:hAnsi="Franklin Gothic Medium"/>
          <w:sz w:val="40"/>
          <w:szCs w:val="40"/>
        </w:rPr>
      </w:pPr>
      <w:bookmarkStart w:id="0" w:name="OLE_LINK1"/>
      <w:bookmarkStart w:id="1" w:name="OLE_LINK2"/>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Default="006217AA" w:rsidP="006217AA">
      <w:pPr>
        <w:pStyle w:val="C2-CtrSglSp"/>
        <w:rPr>
          <w:rFonts w:ascii="Franklin Gothic Medium" w:hAnsi="Franklin Gothic Medium"/>
          <w:sz w:val="40"/>
          <w:szCs w:val="40"/>
        </w:rPr>
      </w:pPr>
    </w:p>
    <w:p w:rsidR="006217AA" w:rsidRPr="006217AA" w:rsidRDefault="006217AA" w:rsidP="006217AA">
      <w:pPr>
        <w:pStyle w:val="C2-CtrSglSp"/>
        <w:rPr>
          <w:rFonts w:ascii="Franklin Gothic Medium" w:hAnsi="Franklin Gothic Medium"/>
          <w:sz w:val="40"/>
          <w:szCs w:val="40"/>
        </w:rPr>
      </w:pPr>
      <w:r w:rsidRPr="007D045B">
        <w:rPr>
          <w:rFonts w:ascii="Franklin Gothic Medium" w:hAnsi="Franklin Gothic Medium"/>
          <w:sz w:val="40"/>
          <w:szCs w:val="40"/>
        </w:rPr>
        <w:t xml:space="preserve">Appendix </w:t>
      </w:r>
      <w:r>
        <w:rPr>
          <w:rFonts w:ascii="Franklin Gothic Medium" w:hAnsi="Franklin Gothic Medium"/>
          <w:sz w:val="40"/>
          <w:szCs w:val="40"/>
        </w:rPr>
        <w:t>F</w:t>
      </w:r>
      <w:bookmarkStart w:id="2" w:name="_GoBack"/>
      <w:bookmarkEnd w:id="2"/>
      <w:r w:rsidRPr="007D045B">
        <w:rPr>
          <w:rFonts w:ascii="Franklin Gothic Medium" w:hAnsi="Franklin Gothic Medium"/>
          <w:sz w:val="40"/>
          <w:szCs w:val="40"/>
        </w:rPr>
        <w:br/>
      </w:r>
      <w:r w:rsidRPr="007D045B">
        <w:rPr>
          <w:rFonts w:ascii="Franklin Gothic Medium" w:hAnsi="Franklin Gothic Medium"/>
          <w:sz w:val="40"/>
          <w:szCs w:val="40"/>
        </w:rPr>
        <w:br/>
      </w:r>
      <w:r>
        <w:rPr>
          <w:rFonts w:ascii="Franklin Gothic Medium" w:hAnsi="Franklin Gothic Medium"/>
          <w:sz w:val="40"/>
          <w:szCs w:val="40"/>
        </w:rPr>
        <w:t>PIAAC</w:t>
      </w:r>
      <w:r w:rsidRPr="006217AA">
        <w:rPr>
          <w:rFonts w:ascii="Franklin Gothic Medium" w:hAnsi="Franklin Gothic Medium"/>
          <w:sz w:val="40"/>
          <w:szCs w:val="40"/>
        </w:rPr>
        <w:t xml:space="preserve"> Reducing Nonresponse Bias and </w:t>
      </w:r>
    </w:p>
    <w:p w:rsidR="006217AA" w:rsidRDefault="006217AA" w:rsidP="006217AA">
      <w:pPr>
        <w:pStyle w:val="C2-CtrSglSp"/>
        <w:rPr>
          <w:rFonts w:ascii="Franklin Gothic Medium" w:hAnsi="Franklin Gothic Medium"/>
          <w:sz w:val="40"/>
          <w:szCs w:val="40"/>
        </w:rPr>
      </w:pPr>
      <w:r w:rsidRPr="006217AA">
        <w:rPr>
          <w:rFonts w:ascii="Franklin Gothic Medium" w:hAnsi="Franklin Gothic Medium"/>
          <w:sz w:val="40"/>
          <w:szCs w:val="40"/>
        </w:rPr>
        <w:t>Preliminary Nonresponse Bias Analysis</w:t>
      </w:r>
    </w:p>
    <w:p w:rsidR="006217AA" w:rsidRDefault="006217AA" w:rsidP="006217AA">
      <w:pPr>
        <w:pStyle w:val="C2-CtrSglSp"/>
        <w:rPr>
          <w:rFonts w:ascii="Franklin Gothic Medium" w:hAnsi="Franklin Gothic Medium"/>
          <w:sz w:val="40"/>
          <w:szCs w:val="40"/>
        </w:rPr>
      </w:pPr>
    </w:p>
    <w:p w:rsidR="006217AA" w:rsidRPr="006217AA" w:rsidRDefault="006217AA" w:rsidP="006217AA">
      <w:pPr>
        <w:pStyle w:val="C2-CtrSglSp"/>
        <w:rPr>
          <w:rFonts w:ascii="Franklin Gothic Medium" w:hAnsi="Franklin Gothic Medium"/>
          <w:b/>
          <w:sz w:val="40"/>
          <w:szCs w:val="40"/>
        </w:rPr>
      </w:pPr>
    </w:p>
    <w:p w:rsidR="00774771" w:rsidRPr="006217AA" w:rsidRDefault="00774771" w:rsidP="006217AA">
      <w:pPr>
        <w:spacing w:after="200" w:line="276" w:lineRule="auto"/>
        <w:jc w:val="left"/>
        <w:rPr>
          <w:rFonts w:ascii="Franklin Gothic Medium" w:hAnsi="Franklin Gothic Medium"/>
          <w:b/>
          <w:sz w:val="40"/>
          <w:szCs w:val="40"/>
        </w:rPr>
      </w:pPr>
      <w:r w:rsidRPr="006217AA">
        <w:rPr>
          <w:rFonts w:ascii="Franklin Gothic Medium" w:hAnsi="Franklin Gothic Medium"/>
          <w:b/>
          <w:sz w:val="40"/>
          <w:szCs w:val="40"/>
        </w:rPr>
        <w:br w:type="page"/>
      </w:r>
    </w:p>
    <w:p w:rsidR="00774771" w:rsidRDefault="00774771" w:rsidP="005F6334">
      <w:pPr>
        <w:pStyle w:val="SL-FlLftSgl"/>
        <w:ind w:left="990"/>
        <w:jc w:val="left"/>
        <w:rPr>
          <w:b/>
          <w:sz w:val="32"/>
          <w:lang w:val="en-GB"/>
        </w:rPr>
      </w:pPr>
      <w:r w:rsidRPr="005F6334">
        <w:rPr>
          <w:noProof/>
        </w:rPr>
        <w:lastRenderedPageBreak/>
        <w:drawing>
          <wp:anchor distT="0" distB="0" distL="114300" distR="114300" simplePos="0" relativeHeight="251660288" behindDoc="1" locked="0" layoutInCell="1" allowOverlap="1" wp14:anchorId="44E27ECE" wp14:editId="402771B6">
            <wp:simplePos x="0" y="0"/>
            <wp:positionH relativeFrom="column">
              <wp:posOffset>207010</wp:posOffset>
            </wp:positionH>
            <wp:positionV relativeFrom="paragraph">
              <wp:posOffset>-326390</wp:posOffset>
            </wp:positionV>
            <wp:extent cx="6036310" cy="819150"/>
            <wp:effectExtent l="0" t="0" r="0" b="0"/>
            <wp:wrapNone/>
            <wp:docPr id="1" name="Picture 0" desc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0" cstate="print"/>
                    <a:srcRect l="12724" t="3130" r="11764" b="88869"/>
                    <a:stretch>
                      <a:fillRect/>
                    </a:stretch>
                  </pic:blipFill>
                  <pic:spPr>
                    <a:xfrm>
                      <a:off x="0" y="0"/>
                      <a:ext cx="6036310" cy="819150"/>
                    </a:xfrm>
                    <a:prstGeom prst="rect">
                      <a:avLst/>
                    </a:prstGeom>
                  </pic:spPr>
                </pic:pic>
              </a:graphicData>
            </a:graphic>
          </wp:anchor>
        </w:drawing>
      </w:r>
    </w:p>
    <w:p w:rsidR="00774771" w:rsidRDefault="00774771" w:rsidP="005F6334">
      <w:pPr>
        <w:pStyle w:val="SL-FlLftSgl"/>
        <w:ind w:left="990"/>
        <w:jc w:val="left"/>
        <w:rPr>
          <w:b/>
          <w:sz w:val="32"/>
          <w:lang w:val="en-GB"/>
        </w:rPr>
      </w:pPr>
    </w:p>
    <w:p w:rsidR="00774771" w:rsidRDefault="00774771" w:rsidP="005F6334">
      <w:pPr>
        <w:pStyle w:val="SL-FlLftSgl"/>
        <w:ind w:left="990"/>
        <w:jc w:val="left"/>
        <w:rPr>
          <w:b/>
          <w:sz w:val="32"/>
          <w:lang w:val="en-GB"/>
        </w:rPr>
      </w:pPr>
    </w:p>
    <w:p w:rsidR="00774771" w:rsidRDefault="00774771" w:rsidP="00774771">
      <w:pPr>
        <w:pStyle w:val="SL-FlLftSgl"/>
        <w:tabs>
          <w:tab w:val="right" w:pos="9360"/>
        </w:tabs>
        <w:ind w:left="990"/>
        <w:jc w:val="left"/>
        <w:rPr>
          <w:b/>
          <w:sz w:val="32"/>
          <w:lang w:val="en-GB"/>
        </w:rPr>
      </w:pPr>
    </w:p>
    <w:p w:rsidR="00774771" w:rsidRDefault="00774771" w:rsidP="00774771">
      <w:pPr>
        <w:pStyle w:val="SL-FlLftSgl"/>
        <w:tabs>
          <w:tab w:val="right" w:pos="9360"/>
        </w:tabs>
        <w:ind w:left="990"/>
        <w:jc w:val="left"/>
        <w:rPr>
          <w:b/>
          <w:sz w:val="32"/>
          <w:lang w:val="en-GB"/>
        </w:rPr>
      </w:pPr>
    </w:p>
    <w:p w:rsidR="00774771" w:rsidRDefault="00774771" w:rsidP="00774771">
      <w:pPr>
        <w:pStyle w:val="SL-FlLftSgl"/>
        <w:tabs>
          <w:tab w:val="right" w:pos="9360"/>
        </w:tabs>
        <w:ind w:left="990"/>
        <w:jc w:val="left"/>
        <w:rPr>
          <w:b/>
          <w:sz w:val="32"/>
          <w:lang w:val="en-GB"/>
        </w:rPr>
      </w:pPr>
    </w:p>
    <w:p w:rsidR="005F6334" w:rsidRPr="005F6334" w:rsidRDefault="005F6334" w:rsidP="00774771">
      <w:pPr>
        <w:pStyle w:val="SL-FlLftSgl"/>
        <w:tabs>
          <w:tab w:val="right" w:pos="9360"/>
        </w:tabs>
        <w:ind w:left="990"/>
        <w:jc w:val="left"/>
        <w:rPr>
          <w:b/>
          <w:sz w:val="32"/>
          <w:lang w:val="en-GB"/>
        </w:rPr>
      </w:pPr>
      <w:r w:rsidRPr="005F6334">
        <w:rPr>
          <w:b/>
          <w:sz w:val="32"/>
          <w:lang w:val="en-GB"/>
        </w:rPr>
        <w:t>PIAAC</w:t>
      </w:r>
      <w:r w:rsidR="00774771">
        <w:rPr>
          <w:b/>
          <w:sz w:val="32"/>
          <w:lang w:val="en-GB"/>
        </w:rPr>
        <w:tab/>
      </w:r>
    </w:p>
    <w:p w:rsidR="005F6334" w:rsidRPr="005F6334" w:rsidRDefault="00A8663C" w:rsidP="005F6334">
      <w:pPr>
        <w:pStyle w:val="SL-FlLftSgl"/>
        <w:ind w:left="990"/>
        <w:jc w:val="left"/>
        <w:rPr>
          <w:b/>
          <w:sz w:val="32"/>
          <w:lang w:val="en-GB"/>
        </w:rPr>
      </w:pPr>
      <w:r w:rsidRPr="005F6334">
        <w:rPr>
          <w:b/>
          <w:sz w:val="32"/>
          <w:lang w:val="en-GB"/>
        </w:rPr>
        <w:t>Reducing</w:t>
      </w:r>
      <w:r w:rsidR="005F6334" w:rsidRPr="005F6334">
        <w:rPr>
          <w:b/>
          <w:sz w:val="32"/>
          <w:lang w:val="en-GB"/>
        </w:rPr>
        <w:t xml:space="preserve"> Nonresponse Bias </w:t>
      </w:r>
      <w:r w:rsidR="005F6334">
        <w:rPr>
          <w:b/>
          <w:sz w:val="32"/>
          <w:lang w:val="en-GB"/>
        </w:rPr>
        <w:t>a</w:t>
      </w:r>
      <w:r w:rsidR="005F6334" w:rsidRPr="005F6334">
        <w:rPr>
          <w:b/>
          <w:sz w:val="32"/>
          <w:lang w:val="en-GB"/>
        </w:rPr>
        <w:t>nd</w:t>
      </w:r>
      <w:r w:rsidR="005F6334">
        <w:rPr>
          <w:b/>
          <w:sz w:val="32"/>
          <w:lang w:val="en-GB"/>
        </w:rPr>
        <w:t xml:space="preserve"> </w:t>
      </w:r>
      <w:r w:rsidR="005F6334" w:rsidRPr="005F6334">
        <w:rPr>
          <w:b/>
          <w:sz w:val="32"/>
          <w:lang w:val="en-GB"/>
        </w:rPr>
        <w:t>Preliminary Nonresponse Bias Analysis</w:t>
      </w:r>
    </w:p>
    <w:bookmarkEnd w:id="0"/>
    <w:bookmarkEnd w:id="1"/>
    <w:p w:rsidR="005F6334" w:rsidRDefault="005F6334" w:rsidP="005F6334">
      <w:pPr>
        <w:spacing w:after="200" w:line="276" w:lineRule="auto"/>
        <w:jc w:val="left"/>
        <w:rPr>
          <w:szCs w:val="24"/>
        </w:rPr>
      </w:pPr>
    </w:p>
    <w:p w:rsidR="005F6334" w:rsidRDefault="005F6334" w:rsidP="005F6334">
      <w:pPr>
        <w:spacing w:after="200" w:line="276" w:lineRule="auto"/>
        <w:jc w:val="left"/>
        <w:rPr>
          <w:szCs w:val="24"/>
        </w:rPr>
      </w:pPr>
    </w:p>
    <w:p w:rsidR="005F6334" w:rsidRDefault="005F6334" w:rsidP="005F6334">
      <w:pPr>
        <w:spacing w:after="200" w:line="276" w:lineRule="auto"/>
        <w:jc w:val="left"/>
        <w:rPr>
          <w:szCs w:val="24"/>
        </w:rPr>
      </w:pPr>
    </w:p>
    <w:p w:rsidR="005F6334" w:rsidRPr="002324A8" w:rsidRDefault="005F6334" w:rsidP="002324A8">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D76C0A" w:rsidRDefault="00D76C0A" w:rsidP="00D76C0A">
      <w:pPr>
        <w:pStyle w:val="SL-FlLftSgl"/>
        <w:ind w:left="990"/>
        <w:jc w:val="left"/>
        <w:rPr>
          <w:b/>
          <w:sz w:val="32"/>
          <w:lang w:val="en-GB"/>
        </w:rPr>
      </w:pPr>
    </w:p>
    <w:p w:rsidR="005F6334" w:rsidRPr="00D76C0A" w:rsidRDefault="00774771" w:rsidP="00D76C0A">
      <w:pPr>
        <w:pStyle w:val="SL-FlLftSgl"/>
        <w:ind w:left="990"/>
        <w:jc w:val="left"/>
        <w:rPr>
          <w:b/>
          <w:sz w:val="32"/>
          <w:lang w:val="en-GB"/>
        </w:rPr>
      </w:pPr>
      <w:r w:rsidRPr="005F6334">
        <w:rPr>
          <w:noProof/>
        </w:rPr>
        <w:drawing>
          <wp:anchor distT="0" distB="0" distL="114300" distR="114300" simplePos="0" relativeHeight="251662336" behindDoc="0" locked="0" layoutInCell="1" allowOverlap="1" wp14:anchorId="05761C6C" wp14:editId="1F2D18E7">
            <wp:simplePos x="0" y="0"/>
            <wp:positionH relativeFrom="column">
              <wp:posOffset>3810</wp:posOffset>
            </wp:positionH>
            <wp:positionV relativeFrom="paragraph">
              <wp:posOffset>1074420</wp:posOffset>
            </wp:positionV>
            <wp:extent cx="6234430" cy="998220"/>
            <wp:effectExtent l="0" t="0" r="0" b="0"/>
            <wp:wrapNone/>
            <wp:docPr id="2" name="Picture 1" descr="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0" cstate="print"/>
                    <a:srcRect l="12237" t="86667" r="11864" b="3936"/>
                    <a:stretch>
                      <a:fillRect/>
                    </a:stretch>
                  </pic:blipFill>
                  <pic:spPr>
                    <a:xfrm>
                      <a:off x="0" y="0"/>
                      <a:ext cx="6234430" cy="998220"/>
                    </a:xfrm>
                    <a:prstGeom prst="rect">
                      <a:avLst/>
                    </a:prstGeom>
                  </pic:spPr>
                </pic:pic>
              </a:graphicData>
            </a:graphic>
          </wp:anchor>
        </w:drawing>
      </w:r>
      <w:r w:rsidR="00D76C0A" w:rsidRPr="00D76C0A">
        <w:rPr>
          <w:b/>
          <w:sz w:val="32"/>
          <w:lang w:val="en-GB"/>
        </w:rPr>
        <w:t>PIAAC_NRB Paper_10March10</w:t>
      </w:r>
      <w:r w:rsidR="005F6334" w:rsidRPr="00D76C0A">
        <w:rPr>
          <w:b/>
          <w:sz w:val="32"/>
          <w:lang w:val="en-GB"/>
        </w:rPr>
        <w:br w:type="page"/>
      </w:r>
    </w:p>
    <w:p w:rsidR="005F6334" w:rsidRPr="00D76C0A" w:rsidRDefault="005F6334" w:rsidP="00D76C0A">
      <w:pPr>
        <w:pStyle w:val="SL-FlLftSgl"/>
        <w:ind w:left="990"/>
        <w:jc w:val="left"/>
        <w:rPr>
          <w:b/>
          <w:sz w:val="32"/>
          <w:lang w:val="en-GB"/>
        </w:rPr>
        <w:sectPr w:rsidR="005F6334" w:rsidRPr="00D76C0A" w:rsidSect="006217AA">
          <w:footerReference w:type="default" r:id="rId11"/>
          <w:type w:val="continuous"/>
          <w:pgSz w:w="12240" w:h="15840"/>
          <w:pgMar w:top="1440" w:right="1440" w:bottom="1440" w:left="1440" w:header="720" w:footer="720" w:gutter="0"/>
          <w:pgBorders w:display="firstPage" w:offsetFrom="page">
            <w:top w:val="threeDEngrave" w:sz="48" w:space="24" w:color="auto"/>
            <w:left w:val="threeDEngrave" w:sz="48" w:space="24" w:color="auto"/>
            <w:bottom w:val="threeDEmboss" w:sz="48" w:space="24" w:color="auto"/>
            <w:right w:val="threeDEmboss" w:sz="48" w:space="24" w:color="auto"/>
          </w:pgBorders>
          <w:cols w:space="720"/>
          <w:titlePg/>
          <w:docGrid w:linePitch="360"/>
        </w:sectPr>
      </w:pPr>
    </w:p>
    <w:p w:rsidR="005F6334" w:rsidRPr="00D913F5" w:rsidRDefault="005F6334" w:rsidP="00D913F5">
      <w:pPr>
        <w:pStyle w:val="TOC1"/>
        <w:jc w:val="center"/>
        <w:rPr>
          <w:b/>
          <w:szCs w:val="24"/>
        </w:rPr>
      </w:pPr>
      <w:r w:rsidRPr="00D913F5">
        <w:rPr>
          <w:b/>
          <w:szCs w:val="24"/>
        </w:rPr>
        <w:lastRenderedPageBreak/>
        <w:t xml:space="preserve">Table of </w:t>
      </w:r>
      <w:r w:rsidR="00D913F5" w:rsidRPr="00D913F5">
        <w:rPr>
          <w:b/>
          <w:szCs w:val="24"/>
        </w:rPr>
        <w:t>Contents</w:t>
      </w:r>
    </w:p>
    <w:p w:rsidR="00D913F5" w:rsidRDefault="00D913F5">
      <w:pPr>
        <w:pStyle w:val="TOC1"/>
        <w:rPr>
          <w:szCs w:val="24"/>
        </w:rPr>
      </w:pPr>
    </w:p>
    <w:p w:rsidR="00C2650A" w:rsidRPr="00C2650A" w:rsidRDefault="0060559A" w:rsidP="00285866">
      <w:pPr>
        <w:pStyle w:val="TOC1"/>
        <w:tabs>
          <w:tab w:val="clear" w:pos="8208"/>
          <w:tab w:val="clear" w:pos="8640"/>
          <w:tab w:val="right" w:leader="dot" w:pos="9180"/>
          <w:tab w:val="left" w:pos="9360"/>
        </w:tabs>
        <w:ind w:left="720" w:right="720" w:hanging="450"/>
        <w:rPr>
          <w:noProof/>
        </w:rPr>
      </w:pPr>
      <w:r w:rsidRPr="00C2650A">
        <w:fldChar w:fldCharType="begin"/>
      </w:r>
      <w:r w:rsidR="005F6334" w:rsidRPr="00C2650A">
        <w:instrText xml:space="preserve"> TOC \o "1-3" \h \z \u </w:instrText>
      </w:r>
      <w:r w:rsidRPr="00C2650A">
        <w:fldChar w:fldCharType="separate"/>
      </w:r>
      <w:hyperlink w:anchor="_Toc255808918" w:history="1">
        <w:r w:rsidR="00285866">
          <w:rPr>
            <w:noProof/>
          </w:rPr>
          <w:t>1.</w:t>
        </w:r>
        <w:r w:rsidR="00285866">
          <w:rPr>
            <w:noProof/>
          </w:rPr>
          <w:tab/>
        </w:r>
        <w:r w:rsidR="00C2650A" w:rsidRPr="00C2650A">
          <w:rPr>
            <w:noProof/>
          </w:rPr>
          <w:t>INTRODUCTION AND OVERVIEW</w:t>
        </w:r>
        <w:r w:rsidR="00C2650A">
          <w:rPr>
            <w:noProof/>
            <w:webHidden/>
          </w:rPr>
          <w:tab/>
        </w:r>
        <w:r>
          <w:rPr>
            <w:noProof/>
            <w:webHidden/>
          </w:rPr>
          <w:fldChar w:fldCharType="begin"/>
        </w:r>
        <w:r w:rsidR="00C2650A">
          <w:rPr>
            <w:noProof/>
            <w:webHidden/>
          </w:rPr>
          <w:instrText xml:space="preserve"> PAGEREF _Toc255808918 \h </w:instrText>
        </w:r>
        <w:r>
          <w:rPr>
            <w:noProof/>
            <w:webHidden/>
          </w:rPr>
        </w:r>
        <w:r>
          <w:rPr>
            <w:noProof/>
            <w:webHidden/>
          </w:rPr>
          <w:fldChar w:fldCharType="separate"/>
        </w:r>
        <w:r w:rsidR="00B97419">
          <w:rPr>
            <w:noProof/>
            <w:webHidden/>
          </w:rPr>
          <w:t>4</w:t>
        </w:r>
        <w:r>
          <w:rPr>
            <w:noProof/>
            <w:webHidden/>
          </w:rPr>
          <w:fldChar w:fldCharType="end"/>
        </w:r>
      </w:hyperlink>
    </w:p>
    <w:p w:rsidR="00285866" w:rsidRDefault="00285866" w:rsidP="00285866">
      <w:pPr>
        <w:pStyle w:val="TOC1"/>
        <w:tabs>
          <w:tab w:val="clear" w:pos="8208"/>
          <w:tab w:val="clear" w:pos="8640"/>
          <w:tab w:val="right" w:leader="dot" w:pos="9180"/>
          <w:tab w:val="left" w:pos="9360"/>
        </w:tabs>
        <w:ind w:left="720" w:right="720" w:hanging="450"/>
        <w:rPr>
          <w:noProof/>
        </w:rPr>
      </w:pPr>
    </w:p>
    <w:p w:rsidR="00C2650A" w:rsidRPr="00C2650A" w:rsidRDefault="00B97419" w:rsidP="00285866">
      <w:pPr>
        <w:pStyle w:val="TOC1"/>
        <w:tabs>
          <w:tab w:val="clear" w:pos="8208"/>
          <w:tab w:val="clear" w:pos="8640"/>
          <w:tab w:val="right" w:leader="dot" w:pos="9180"/>
          <w:tab w:val="left" w:pos="9360"/>
        </w:tabs>
        <w:ind w:left="720" w:right="720" w:hanging="450"/>
        <w:rPr>
          <w:noProof/>
        </w:rPr>
      </w:pPr>
      <w:hyperlink w:anchor="_Toc255808919" w:history="1">
        <w:r w:rsidR="00285866">
          <w:rPr>
            <w:noProof/>
          </w:rPr>
          <w:t>2.</w:t>
        </w:r>
        <w:r w:rsidR="00285866">
          <w:rPr>
            <w:noProof/>
          </w:rPr>
          <w:tab/>
        </w:r>
        <w:r w:rsidR="00C2650A" w:rsidRPr="00C2650A">
          <w:rPr>
            <w:noProof/>
          </w:rPr>
          <w:t>PROBABILITY SAMPLES AND UNBIASED ESTIMATES</w:t>
        </w:r>
        <w:r w:rsidR="00C2650A">
          <w:rPr>
            <w:noProof/>
            <w:webHidden/>
          </w:rPr>
          <w:tab/>
        </w:r>
        <w:r w:rsidR="0060559A">
          <w:rPr>
            <w:noProof/>
            <w:webHidden/>
          </w:rPr>
          <w:fldChar w:fldCharType="begin"/>
        </w:r>
        <w:r w:rsidR="00C2650A">
          <w:rPr>
            <w:noProof/>
            <w:webHidden/>
          </w:rPr>
          <w:instrText xml:space="preserve"> PAGEREF _Toc255808919 \h </w:instrText>
        </w:r>
        <w:r w:rsidR="0060559A">
          <w:rPr>
            <w:noProof/>
            <w:webHidden/>
          </w:rPr>
        </w:r>
        <w:r w:rsidR="0060559A">
          <w:rPr>
            <w:noProof/>
            <w:webHidden/>
          </w:rPr>
          <w:fldChar w:fldCharType="separate"/>
        </w:r>
        <w:r>
          <w:rPr>
            <w:noProof/>
            <w:webHidden/>
          </w:rPr>
          <w:t>5</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720" w:right="720" w:hanging="450"/>
        <w:rPr>
          <w:noProof/>
        </w:rPr>
      </w:pPr>
    </w:p>
    <w:p w:rsidR="00C2650A" w:rsidRPr="00C2650A" w:rsidRDefault="00B97419" w:rsidP="00285866">
      <w:pPr>
        <w:pStyle w:val="TOC1"/>
        <w:tabs>
          <w:tab w:val="clear" w:pos="8208"/>
          <w:tab w:val="clear" w:pos="8640"/>
          <w:tab w:val="right" w:leader="dot" w:pos="9180"/>
          <w:tab w:val="left" w:pos="9360"/>
        </w:tabs>
        <w:ind w:left="720" w:right="720" w:hanging="450"/>
        <w:rPr>
          <w:noProof/>
        </w:rPr>
      </w:pPr>
      <w:hyperlink w:anchor="_Toc255808920" w:history="1">
        <w:r w:rsidR="00285866">
          <w:rPr>
            <w:noProof/>
          </w:rPr>
          <w:t>3.</w:t>
        </w:r>
        <w:r w:rsidR="00285866">
          <w:rPr>
            <w:noProof/>
          </w:rPr>
          <w:tab/>
        </w:r>
        <w:r w:rsidR="00C2650A" w:rsidRPr="00C2650A">
          <w:rPr>
            <w:noProof/>
          </w:rPr>
          <w:t xml:space="preserve">PIAAC DATA QUALITY GOAL REDUCE </w:t>
        </w:r>
        <w:r w:rsidR="00D76C0A" w:rsidRPr="00D76C0A">
          <w:rPr>
            <w:noProof/>
          </w:rPr>
          <w:t>NRB</w:t>
        </w:r>
        <w:r w:rsidR="00C2650A" w:rsidRPr="00C2650A">
          <w:rPr>
            <w:noProof/>
          </w:rPr>
          <w:t xml:space="preserve"> BEFORE, DURING, AND AFTER DATA COLLECTION</w:t>
        </w:r>
        <w:r w:rsidR="00C2650A">
          <w:rPr>
            <w:noProof/>
            <w:webHidden/>
          </w:rPr>
          <w:tab/>
        </w:r>
        <w:r w:rsidR="0060559A">
          <w:rPr>
            <w:noProof/>
            <w:webHidden/>
          </w:rPr>
          <w:fldChar w:fldCharType="begin"/>
        </w:r>
        <w:r w:rsidR="00C2650A">
          <w:rPr>
            <w:noProof/>
            <w:webHidden/>
          </w:rPr>
          <w:instrText xml:space="preserve"> PAGEREF _Toc255808920 \h </w:instrText>
        </w:r>
        <w:r w:rsidR="0060559A">
          <w:rPr>
            <w:noProof/>
            <w:webHidden/>
          </w:rPr>
        </w:r>
        <w:r w:rsidR="0060559A">
          <w:rPr>
            <w:noProof/>
            <w:webHidden/>
          </w:rPr>
          <w:fldChar w:fldCharType="separate"/>
        </w:r>
        <w:r>
          <w:rPr>
            <w:noProof/>
            <w:webHidden/>
          </w:rPr>
          <w:t>6</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620" w:right="720" w:hanging="450"/>
        <w:rPr>
          <w:noProof/>
        </w:rPr>
      </w:pPr>
    </w:p>
    <w:p w:rsidR="00C2650A" w:rsidRPr="00C2650A" w:rsidRDefault="00B97419" w:rsidP="00285866">
      <w:pPr>
        <w:pStyle w:val="TOC1"/>
        <w:tabs>
          <w:tab w:val="clear" w:pos="8208"/>
          <w:tab w:val="clear" w:pos="8640"/>
          <w:tab w:val="right" w:leader="dot" w:pos="9180"/>
          <w:tab w:val="left" w:pos="9360"/>
        </w:tabs>
        <w:ind w:left="1620" w:right="720" w:hanging="450"/>
        <w:rPr>
          <w:noProof/>
        </w:rPr>
      </w:pPr>
      <w:hyperlink w:anchor="_Toc255808921" w:history="1">
        <w:r w:rsidR="00285866">
          <w:rPr>
            <w:noProof/>
          </w:rPr>
          <w:t>3.1</w:t>
        </w:r>
        <w:r w:rsidR="00285866">
          <w:rPr>
            <w:noProof/>
          </w:rPr>
          <w:tab/>
        </w:r>
        <w:r w:rsidR="00C2650A" w:rsidRPr="00C2650A">
          <w:rPr>
            <w:noProof/>
          </w:rPr>
          <w:t xml:space="preserve">Reduce </w:t>
        </w:r>
        <w:r w:rsidR="00D76C0A" w:rsidRPr="00D76C0A">
          <w:rPr>
            <w:noProof/>
          </w:rPr>
          <w:t>NRB</w:t>
        </w:r>
        <w:r w:rsidR="00C2650A" w:rsidRPr="00C2650A">
          <w:rPr>
            <w:noProof/>
          </w:rPr>
          <w:t xml:space="preserve"> Before Data Collection</w:t>
        </w:r>
        <w:r w:rsidR="00C2650A">
          <w:rPr>
            <w:noProof/>
            <w:webHidden/>
          </w:rPr>
          <w:tab/>
        </w:r>
        <w:r w:rsidR="0060559A">
          <w:rPr>
            <w:noProof/>
            <w:webHidden/>
          </w:rPr>
          <w:fldChar w:fldCharType="begin"/>
        </w:r>
        <w:r w:rsidR="00C2650A">
          <w:rPr>
            <w:noProof/>
            <w:webHidden/>
          </w:rPr>
          <w:instrText xml:space="preserve"> PAGEREF _Toc255808921 \h </w:instrText>
        </w:r>
        <w:r w:rsidR="0060559A">
          <w:rPr>
            <w:noProof/>
            <w:webHidden/>
          </w:rPr>
        </w:r>
        <w:r w:rsidR="0060559A">
          <w:rPr>
            <w:noProof/>
            <w:webHidden/>
          </w:rPr>
          <w:fldChar w:fldCharType="separate"/>
        </w:r>
        <w:r>
          <w:rPr>
            <w:noProof/>
            <w:webHidden/>
          </w:rPr>
          <w:t>6</w:t>
        </w:r>
        <w:r w:rsidR="0060559A">
          <w:rPr>
            <w:noProof/>
            <w:webHidden/>
          </w:rPr>
          <w:fldChar w:fldCharType="end"/>
        </w:r>
      </w:hyperlink>
    </w:p>
    <w:p w:rsidR="00C2650A" w:rsidRPr="00C2650A" w:rsidRDefault="00B97419" w:rsidP="00285866">
      <w:pPr>
        <w:pStyle w:val="TOC1"/>
        <w:tabs>
          <w:tab w:val="clear" w:pos="8208"/>
          <w:tab w:val="clear" w:pos="8640"/>
          <w:tab w:val="right" w:leader="dot" w:pos="9180"/>
          <w:tab w:val="left" w:pos="9360"/>
        </w:tabs>
        <w:ind w:left="1620" w:right="720" w:hanging="450"/>
        <w:rPr>
          <w:noProof/>
        </w:rPr>
      </w:pPr>
      <w:hyperlink w:anchor="_Toc255808922" w:history="1">
        <w:r w:rsidR="00285866">
          <w:rPr>
            <w:noProof/>
          </w:rPr>
          <w:t>3.2</w:t>
        </w:r>
        <w:r w:rsidR="00285866">
          <w:rPr>
            <w:noProof/>
          </w:rPr>
          <w:tab/>
        </w:r>
        <w:r w:rsidR="00C2650A" w:rsidRPr="00C2650A">
          <w:rPr>
            <w:noProof/>
          </w:rPr>
          <w:t xml:space="preserve">Reduce </w:t>
        </w:r>
        <w:r w:rsidR="00D76C0A" w:rsidRPr="00D76C0A">
          <w:rPr>
            <w:noProof/>
          </w:rPr>
          <w:t>NRB</w:t>
        </w:r>
        <w:r w:rsidR="00C2650A" w:rsidRPr="00C2650A">
          <w:rPr>
            <w:noProof/>
          </w:rPr>
          <w:t xml:space="preserve"> During Data Collection</w:t>
        </w:r>
        <w:r w:rsidR="00C2650A">
          <w:rPr>
            <w:noProof/>
            <w:webHidden/>
          </w:rPr>
          <w:tab/>
        </w:r>
        <w:r w:rsidR="0060559A">
          <w:rPr>
            <w:noProof/>
            <w:webHidden/>
          </w:rPr>
          <w:fldChar w:fldCharType="begin"/>
        </w:r>
        <w:r w:rsidR="00C2650A">
          <w:rPr>
            <w:noProof/>
            <w:webHidden/>
          </w:rPr>
          <w:instrText xml:space="preserve"> PAGEREF _Toc255808922 \h </w:instrText>
        </w:r>
        <w:r w:rsidR="0060559A">
          <w:rPr>
            <w:noProof/>
            <w:webHidden/>
          </w:rPr>
        </w:r>
        <w:r w:rsidR="0060559A">
          <w:rPr>
            <w:noProof/>
            <w:webHidden/>
          </w:rPr>
          <w:fldChar w:fldCharType="separate"/>
        </w:r>
        <w:r>
          <w:rPr>
            <w:noProof/>
            <w:webHidden/>
          </w:rPr>
          <w:t>7</w:t>
        </w:r>
        <w:r w:rsidR="0060559A">
          <w:rPr>
            <w:noProof/>
            <w:webHidden/>
          </w:rPr>
          <w:fldChar w:fldCharType="end"/>
        </w:r>
      </w:hyperlink>
    </w:p>
    <w:p w:rsidR="00C2650A" w:rsidRPr="00C2650A" w:rsidRDefault="00B97419" w:rsidP="00285866">
      <w:pPr>
        <w:pStyle w:val="TOC1"/>
        <w:tabs>
          <w:tab w:val="clear" w:pos="8208"/>
          <w:tab w:val="clear" w:pos="8640"/>
          <w:tab w:val="right" w:leader="dot" w:pos="9180"/>
          <w:tab w:val="left" w:pos="9360"/>
        </w:tabs>
        <w:ind w:left="1620" w:right="720" w:hanging="450"/>
        <w:rPr>
          <w:noProof/>
        </w:rPr>
      </w:pPr>
      <w:hyperlink w:anchor="_Toc255808923" w:history="1">
        <w:r w:rsidR="00C2650A" w:rsidRPr="00C2650A">
          <w:rPr>
            <w:noProof/>
          </w:rPr>
          <w:t>3.3</w:t>
        </w:r>
        <w:r w:rsidR="004F1FD8">
          <w:rPr>
            <w:noProof/>
          </w:rPr>
          <w:tab/>
        </w:r>
        <w:r w:rsidR="00C2650A" w:rsidRPr="00C2650A">
          <w:rPr>
            <w:noProof/>
          </w:rPr>
          <w:t xml:space="preserve">Reduce </w:t>
        </w:r>
        <w:r w:rsidR="00D76C0A" w:rsidRPr="00D76C0A">
          <w:rPr>
            <w:noProof/>
          </w:rPr>
          <w:t>NRB</w:t>
        </w:r>
        <w:r w:rsidR="00C2650A" w:rsidRPr="00C2650A">
          <w:rPr>
            <w:noProof/>
          </w:rPr>
          <w:t xml:space="preserve"> After Data Collection</w:t>
        </w:r>
        <w:r w:rsidR="00C2650A">
          <w:rPr>
            <w:noProof/>
            <w:webHidden/>
          </w:rPr>
          <w:tab/>
        </w:r>
        <w:r w:rsidR="0060559A">
          <w:rPr>
            <w:noProof/>
            <w:webHidden/>
          </w:rPr>
          <w:fldChar w:fldCharType="begin"/>
        </w:r>
        <w:r w:rsidR="00C2650A">
          <w:rPr>
            <w:noProof/>
            <w:webHidden/>
          </w:rPr>
          <w:instrText xml:space="preserve"> PAGEREF _Toc255808923 \h </w:instrText>
        </w:r>
        <w:r w:rsidR="0060559A">
          <w:rPr>
            <w:noProof/>
            <w:webHidden/>
          </w:rPr>
        </w:r>
        <w:r w:rsidR="0060559A">
          <w:rPr>
            <w:noProof/>
            <w:webHidden/>
          </w:rPr>
          <w:fldChar w:fldCharType="separate"/>
        </w:r>
        <w:r>
          <w:rPr>
            <w:noProof/>
            <w:webHidden/>
          </w:rPr>
          <w:t>8</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2160" w:right="720" w:hanging="540"/>
        <w:rPr>
          <w:noProof/>
        </w:rPr>
      </w:pPr>
    </w:p>
    <w:p w:rsidR="00C2650A" w:rsidRPr="00C2650A" w:rsidRDefault="00B97419" w:rsidP="00285866">
      <w:pPr>
        <w:pStyle w:val="TOC1"/>
        <w:tabs>
          <w:tab w:val="clear" w:pos="8208"/>
          <w:tab w:val="clear" w:pos="8640"/>
          <w:tab w:val="right" w:leader="dot" w:pos="9180"/>
          <w:tab w:val="left" w:pos="9360"/>
        </w:tabs>
        <w:ind w:left="2160" w:right="720" w:hanging="540"/>
        <w:rPr>
          <w:noProof/>
        </w:rPr>
      </w:pPr>
      <w:hyperlink w:anchor="_Toc255808924" w:history="1">
        <w:r w:rsidR="00C2650A" w:rsidRPr="00C2650A">
          <w:rPr>
            <w:noProof/>
          </w:rPr>
          <w:t>3.3.1</w:t>
        </w:r>
        <w:r w:rsidR="004F1FD8">
          <w:rPr>
            <w:noProof/>
          </w:rPr>
          <w:tab/>
        </w:r>
        <w:r w:rsidR="00C2650A" w:rsidRPr="00C2650A">
          <w:rPr>
            <w:noProof/>
          </w:rPr>
          <w:t>Basic Nonresponse Bias Analysis</w:t>
        </w:r>
        <w:r w:rsidR="00C2650A">
          <w:rPr>
            <w:noProof/>
            <w:webHidden/>
          </w:rPr>
          <w:tab/>
        </w:r>
        <w:r w:rsidR="0060559A">
          <w:rPr>
            <w:noProof/>
            <w:webHidden/>
          </w:rPr>
          <w:fldChar w:fldCharType="begin"/>
        </w:r>
        <w:r w:rsidR="00C2650A">
          <w:rPr>
            <w:noProof/>
            <w:webHidden/>
          </w:rPr>
          <w:instrText xml:space="preserve"> PAGEREF _Toc255808924 \h </w:instrText>
        </w:r>
        <w:r w:rsidR="0060559A">
          <w:rPr>
            <w:noProof/>
            <w:webHidden/>
          </w:rPr>
        </w:r>
        <w:r w:rsidR="0060559A">
          <w:rPr>
            <w:noProof/>
            <w:webHidden/>
          </w:rPr>
          <w:fldChar w:fldCharType="separate"/>
        </w:r>
        <w:r>
          <w:rPr>
            <w:noProof/>
            <w:webHidden/>
          </w:rPr>
          <w:t>9</w:t>
        </w:r>
        <w:r w:rsidR="0060559A">
          <w:rPr>
            <w:noProof/>
            <w:webHidden/>
          </w:rPr>
          <w:fldChar w:fldCharType="end"/>
        </w:r>
      </w:hyperlink>
    </w:p>
    <w:p w:rsidR="00C2650A" w:rsidRPr="00C2650A" w:rsidRDefault="00B97419" w:rsidP="00285866">
      <w:pPr>
        <w:pStyle w:val="TOC1"/>
        <w:tabs>
          <w:tab w:val="clear" w:pos="8208"/>
          <w:tab w:val="clear" w:pos="8640"/>
          <w:tab w:val="right" w:leader="dot" w:pos="9180"/>
          <w:tab w:val="left" w:pos="9360"/>
        </w:tabs>
        <w:ind w:left="2160" w:right="720" w:hanging="540"/>
        <w:rPr>
          <w:noProof/>
        </w:rPr>
      </w:pPr>
      <w:hyperlink w:anchor="_Toc255808926" w:history="1">
        <w:r w:rsidR="00C2650A" w:rsidRPr="00C2650A">
          <w:rPr>
            <w:noProof/>
          </w:rPr>
          <w:t>3.3.2</w:t>
        </w:r>
        <w:r w:rsidR="004F1FD8">
          <w:rPr>
            <w:noProof/>
          </w:rPr>
          <w:tab/>
        </w:r>
        <w:r w:rsidR="00D76C0A" w:rsidRPr="00D76C0A">
          <w:rPr>
            <w:noProof/>
          </w:rPr>
          <w:t>NRB</w:t>
        </w:r>
        <w:r w:rsidR="00C2650A" w:rsidRPr="00C2650A">
          <w:rPr>
            <w:noProof/>
          </w:rPr>
          <w:t xml:space="preserve"> Analysis if Response Rate is Less Than 70%</w:t>
        </w:r>
        <w:r w:rsidR="00C2650A">
          <w:rPr>
            <w:noProof/>
            <w:webHidden/>
          </w:rPr>
          <w:tab/>
        </w:r>
        <w:r w:rsidR="0060559A">
          <w:rPr>
            <w:noProof/>
            <w:webHidden/>
          </w:rPr>
          <w:fldChar w:fldCharType="begin"/>
        </w:r>
        <w:r w:rsidR="00C2650A">
          <w:rPr>
            <w:noProof/>
            <w:webHidden/>
          </w:rPr>
          <w:instrText xml:space="preserve"> PAGEREF _Toc255808926 \h </w:instrText>
        </w:r>
        <w:r w:rsidR="0060559A">
          <w:rPr>
            <w:noProof/>
            <w:webHidden/>
          </w:rPr>
        </w:r>
        <w:r w:rsidR="0060559A">
          <w:rPr>
            <w:noProof/>
            <w:webHidden/>
          </w:rPr>
          <w:fldChar w:fldCharType="separate"/>
        </w:r>
        <w:r>
          <w:rPr>
            <w:noProof/>
            <w:webHidden/>
          </w:rPr>
          <w:t>10</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720" w:right="720" w:hanging="450"/>
        <w:rPr>
          <w:noProof/>
        </w:rPr>
      </w:pPr>
    </w:p>
    <w:p w:rsidR="00C2650A" w:rsidRPr="00C2650A" w:rsidRDefault="00B97419" w:rsidP="00285866">
      <w:pPr>
        <w:pStyle w:val="TOC1"/>
        <w:tabs>
          <w:tab w:val="clear" w:pos="8208"/>
          <w:tab w:val="clear" w:pos="8640"/>
          <w:tab w:val="right" w:leader="dot" w:pos="9180"/>
          <w:tab w:val="left" w:pos="9360"/>
        </w:tabs>
        <w:ind w:left="720" w:right="720" w:hanging="450"/>
        <w:rPr>
          <w:noProof/>
        </w:rPr>
      </w:pPr>
      <w:hyperlink w:anchor="_Toc255809064" w:history="1">
        <w:r w:rsidR="00285866">
          <w:rPr>
            <w:noProof/>
          </w:rPr>
          <w:t>4.</w:t>
        </w:r>
        <w:r w:rsidR="00285866">
          <w:rPr>
            <w:noProof/>
          </w:rPr>
          <w:tab/>
        </w:r>
        <w:r w:rsidR="00C2650A" w:rsidRPr="00C2650A">
          <w:rPr>
            <w:noProof/>
          </w:rPr>
          <w:t>Summary</w:t>
        </w:r>
        <w:r w:rsidR="00C2650A">
          <w:rPr>
            <w:noProof/>
            <w:webHidden/>
          </w:rPr>
          <w:tab/>
        </w:r>
        <w:r w:rsidR="0060559A">
          <w:rPr>
            <w:noProof/>
            <w:webHidden/>
          </w:rPr>
          <w:fldChar w:fldCharType="begin"/>
        </w:r>
        <w:r w:rsidR="00C2650A">
          <w:rPr>
            <w:noProof/>
            <w:webHidden/>
          </w:rPr>
          <w:instrText xml:space="preserve"> PAGEREF _Toc255809064 \h </w:instrText>
        </w:r>
        <w:r w:rsidR="0060559A">
          <w:rPr>
            <w:noProof/>
            <w:webHidden/>
          </w:rPr>
        </w:r>
        <w:r w:rsidR="0060559A">
          <w:rPr>
            <w:noProof/>
            <w:webHidden/>
          </w:rPr>
          <w:fldChar w:fldCharType="separate"/>
        </w:r>
        <w:r>
          <w:rPr>
            <w:noProof/>
            <w:webHidden/>
          </w:rPr>
          <w:t>24</w:t>
        </w:r>
        <w:r w:rsidR="0060559A">
          <w:rPr>
            <w:noProof/>
            <w:webHidden/>
          </w:rPr>
          <w:fldChar w:fldCharType="end"/>
        </w:r>
      </w:hyperlink>
    </w:p>
    <w:p w:rsidR="005F6334" w:rsidRDefault="0060559A" w:rsidP="00285866">
      <w:pPr>
        <w:pStyle w:val="TOC1"/>
        <w:tabs>
          <w:tab w:val="clear" w:pos="8208"/>
          <w:tab w:val="clear" w:pos="8640"/>
          <w:tab w:val="right" w:leader="dot" w:pos="9180"/>
          <w:tab w:val="left" w:pos="9360"/>
        </w:tabs>
        <w:ind w:left="720" w:right="720" w:hanging="450"/>
        <w:rPr>
          <w:szCs w:val="24"/>
        </w:rPr>
      </w:pPr>
      <w:r w:rsidRPr="00C2650A">
        <w:fldChar w:fldCharType="end"/>
      </w:r>
    </w:p>
    <w:p w:rsidR="00285866" w:rsidRDefault="00285866" w:rsidP="00285866">
      <w:pPr>
        <w:pStyle w:val="TOC1"/>
        <w:tabs>
          <w:tab w:val="clear" w:pos="8208"/>
          <w:tab w:val="clear" w:pos="8640"/>
          <w:tab w:val="right" w:leader="dot" w:pos="9180"/>
          <w:tab w:val="left" w:pos="9360"/>
        </w:tabs>
        <w:ind w:left="1440" w:right="720" w:hanging="1170"/>
        <w:rPr>
          <w:szCs w:val="24"/>
        </w:rPr>
      </w:pPr>
    </w:p>
    <w:p w:rsidR="00285866" w:rsidRDefault="00285866">
      <w:pPr>
        <w:spacing w:after="200" w:line="276" w:lineRule="auto"/>
        <w:jc w:val="left"/>
        <w:rPr>
          <w:caps/>
          <w:szCs w:val="24"/>
          <w:lang w:val="en-US"/>
        </w:rPr>
      </w:pPr>
      <w:r>
        <w:rPr>
          <w:szCs w:val="24"/>
        </w:rPr>
        <w:br w:type="page"/>
      </w:r>
    </w:p>
    <w:p w:rsidR="00285866" w:rsidRPr="00D913F5" w:rsidRDefault="00285866" w:rsidP="00285866">
      <w:pPr>
        <w:pStyle w:val="TOC1"/>
        <w:jc w:val="center"/>
        <w:rPr>
          <w:b/>
          <w:szCs w:val="24"/>
        </w:rPr>
      </w:pPr>
      <w:r>
        <w:rPr>
          <w:b/>
          <w:szCs w:val="24"/>
        </w:rPr>
        <w:lastRenderedPageBreak/>
        <w:t>List of Figures</w:t>
      </w:r>
    </w:p>
    <w:p w:rsidR="00285866" w:rsidRDefault="00285866" w:rsidP="00285866">
      <w:pPr>
        <w:pStyle w:val="TOC1"/>
        <w:jc w:val="center"/>
        <w:rPr>
          <w:szCs w:val="24"/>
        </w:rPr>
      </w:pPr>
    </w:p>
    <w:p w:rsidR="00D913F5" w:rsidRPr="00285866" w:rsidRDefault="0060559A" w:rsidP="00285866">
      <w:pPr>
        <w:pStyle w:val="TOC1"/>
        <w:tabs>
          <w:tab w:val="clear" w:pos="8208"/>
          <w:tab w:val="clear" w:pos="8640"/>
          <w:tab w:val="right" w:leader="dot" w:pos="9180"/>
          <w:tab w:val="left" w:pos="9360"/>
        </w:tabs>
        <w:ind w:left="1440" w:right="720" w:hanging="1170"/>
        <w:rPr>
          <w:noProof/>
        </w:rPr>
      </w:pPr>
      <w:r>
        <w:rPr>
          <w:szCs w:val="24"/>
        </w:rPr>
        <w:fldChar w:fldCharType="begin"/>
      </w:r>
      <w:r w:rsidR="00D913F5">
        <w:rPr>
          <w:szCs w:val="24"/>
        </w:rPr>
        <w:instrText xml:space="preserve"> TOC \h \z \t "TT-Table Title,1" </w:instrText>
      </w:r>
      <w:r>
        <w:rPr>
          <w:szCs w:val="24"/>
        </w:rPr>
        <w:fldChar w:fldCharType="separate"/>
      </w:r>
      <w:hyperlink w:anchor="_Toc255551054" w:history="1">
        <w:r w:rsidR="00D913F5" w:rsidRPr="00285866">
          <w:rPr>
            <w:noProof/>
          </w:rPr>
          <w:t>Figure 1</w:t>
        </w:r>
        <w:r w:rsidR="0054006F" w:rsidRPr="00285866">
          <w:rPr>
            <w:noProof/>
          </w:rPr>
          <w:t>.</w:t>
        </w:r>
        <w:r w:rsidR="00285866" w:rsidRPr="00285866">
          <w:rPr>
            <w:noProof/>
          </w:rPr>
          <w:tab/>
        </w:r>
        <w:r w:rsidR="00D913F5" w:rsidRPr="00285866">
          <w:rPr>
            <w:noProof/>
          </w:rPr>
          <w:t>Example response rates in West region, USA,</w:t>
        </w:r>
        <w:r w:rsidR="00A8663C" w:rsidRPr="00285866">
          <w:rPr>
            <w:noProof/>
          </w:rPr>
          <w:t xml:space="preserve"> </w:t>
        </w:r>
        <w:r w:rsidR="00D913F5" w:rsidRPr="00285866">
          <w:rPr>
            <w:noProof/>
          </w:rPr>
          <w:t>during data collection</w:t>
        </w:r>
        <w:r w:rsidR="00D913F5">
          <w:rPr>
            <w:noProof/>
            <w:webHidden/>
          </w:rPr>
          <w:tab/>
        </w:r>
        <w:r>
          <w:rPr>
            <w:noProof/>
            <w:webHidden/>
          </w:rPr>
          <w:fldChar w:fldCharType="begin"/>
        </w:r>
        <w:r w:rsidR="00D913F5">
          <w:rPr>
            <w:noProof/>
            <w:webHidden/>
          </w:rPr>
          <w:instrText xml:space="preserve"> PAGEREF _Toc255551054 \h </w:instrText>
        </w:r>
        <w:r>
          <w:rPr>
            <w:noProof/>
            <w:webHidden/>
          </w:rPr>
        </w:r>
        <w:r>
          <w:rPr>
            <w:noProof/>
            <w:webHidden/>
          </w:rPr>
          <w:fldChar w:fldCharType="separate"/>
        </w:r>
        <w:r w:rsidR="00B97419">
          <w:rPr>
            <w:noProof/>
            <w:webHidden/>
          </w:rPr>
          <w:t>8</w:t>
        </w:r>
        <w:r>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55" w:history="1">
        <w:r w:rsidR="00D913F5" w:rsidRPr="00285866">
          <w:rPr>
            <w:noProof/>
          </w:rPr>
          <w:t>Figure 2.</w:t>
        </w:r>
        <w:r w:rsidR="00D913F5" w:rsidRPr="00285866">
          <w:rPr>
            <w:noProof/>
          </w:rPr>
          <w:tab/>
          <w:t xml:space="preserve">Preliminary plans for PIAAC </w:t>
        </w:r>
        <w:r w:rsidR="00D76C0A" w:rsidRPr="00D76C0A">
          <w:rPr>
            <w:noProof/>
          </w:rPr>
          <w:t>NRB</w:t>
        </w:r>
        <w:r w:rsidR="00D913F5" w:rsidRPr="00285866">
          <w:rPr>
            <w:noProof/>
          </w:rPr>
          <w:t xml:space="preserve"> analysis</w:t>
        </w:r>
        <w:r w:rsidR="00D913F5">
          <w:rPr>
            <w:noProof/>
            <w:webHidden/>
          </w:rPr>
          <w:tab/>
        </w:r>
        <w:r w:rsidR="0060559A">
          <w:rPr>
            <w:noProof/>
            <w:webHidden/>
          </w:rPr>
          <w:fldChar w:fldCharType="begin"/>
        </w:r>
        <w:r w:rsidR="00D913F5">
          <w:rPr>
            <w:noProof/>
            <w:webHidden/>
          </w:rPr>
          <w:instrText xml:space="preserve"> PAGEREF _Toc255551055 \h </w:instrText>
        </w:r>
        <w:r w:rsidR="0060559A">
          <w:rPr>
            <w:noProof/>
            <w:webHidden/>
          </w:rPr>
        </w:r>
        <w:r w:rsidR="0060559A">
          <w:rPr>
            <w:noProof/>
            <w:webHidden/>
          </w:rPr>
          <w:fldChar w:fldCharType="separate"/>
        </w:r>
        <w:r>
          <w:rPr>
            <w:noProof/>
            <w:webHidden/>
          </w:rPr>
          <w:t>9</w:t>
        </w:r>
        <w:r w:rsidR="0060559A">
          <w:rPr>
            <w:noProof/>
            <w:webHidden/>
          </w:rPr>
          <w:fldChar w:fldCharType="end"/>
        </w:r>
      </w:hyperlink>
    </w:p>
    <w:p w:rsidR="00D913F5" w:rsidRDefault="00D913F5" w:rsidP="00285866">
      <w:pPr>
        <w:pStyle w:val="TOC1"/>
        <w:tabs>
          <w:tab w:val="clear" w:pos="8208"/>
          <w:tab w:val="clear" w:pos="8640"/>
          <w:tab w:val="right" w:leader="dot" w:pos="9180"/>
          <w:tab w:val="left" w:pos="9360"/>
        </w:tabs>
        <w:ind w:left="1440" w:right="720" w:hanging="1170"/>
        <w:rPr>
          <w:noProof/>
        </w:rPr>
      </w:pPr>
    </w:p>
    <w:p w:rsidR="00285866" w:rsidRPr="00285866" w:rsidRDefault="00285866" w:rsidP="00285866">
      <w:pPr>
        <w:pStyle w:val="TOC1"/>
        <w:tabs>
          <w:tab w:val="clear" w:pos="8208"/>
          <w:tab w:val="clear" w:pos="8640"/>
          <w:tab w:val="right" w:leader="dot" w:pos="9180"/>
          <w:tab w:val="left" w:pos="9360"/>
        </w:tabs>
        <w:ind w:left="1440" w:right="720" w:hanging="1170"/>
        <w:rPr>
          <w:noProof/>
        </w:rPr>
      </w:pPr>
    </w:p>
    <w:p w:rsidR="00285866" w:rsidRPr="00D913F5" w:rsidRDefault="00285866" w:rsidP="00285866">
      <w:pPr>
        <w:pStyle w:val="TOC1"/>
        <w:jc w:val="center"/>
        <w:rPr>
          <w:b/>
          <w:noProof/>
          <w:szCs w:val="24"/>
        </w:rPr>
      </w:pPr>
      <w:r>
        <w:rPr>
          <w:b/>
          <w:noProof/>
          <w:szCs w:val="24"/>
        </w:rPr>
        <w:t>List of Tables</w:t>
      </w:r>
    </w:p>
    <w:p w:rsidR="00285866" w:rsidRP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56" w:history="1">
        <w:r w:rsidR="00A8663C" w:rsidRPr="00285866">
          <w:rPr>
            <w:noProof/>
          </w:rPr>
          <w:t>Table 1.</w:t>
        </w:r>
        <w:r w:rsidR="00D913F5" w:rsidRPr="00285866">
          <w:rPr>
            <w:noProof/>
          </w:rPr>
          <w:tab/>
          <w:t>Sample distribution of unit respondents vs. eligibles for the ALL background questionnaire, by key characteristics: 2003</w:t>
        </w:r>
        <w:r w:rsidR="00D913F5">
          <w:rPr>
            <w:noProof/>
            <w:webHidden/>
          </w:rPr>
          <w:tab/>
        </w:r>
        <w:r w:rsidR="0060559A">
          <w:rPr>
            <w:noProof/>
            <w:webHidden/>
          </w:rPr>
          <w:fldChar w:fldCharType="begin"/>
        </w:r>
        <w:r w:rsidR="00D913F5">
          <w:rPr>
            <w:noProof/>
            <w:webHidden/>
          </w:rPr>
          <w:instrText xml:space="preserve"> PAGEREF _Toc255551056 \h </w:instrText>
        </w:r>
        <w:r w:rsidR="0060559A">
          <w:rPr>
            <w:noProof/>
            <w:webHidden/>
          </w:rPr>
        </w:r>
        <w:r w:rsidR="0060559A">
          <w:rPr>
            <w:noProof/>
            <w:webHidden/>
          </w:rPr>
          <w:fldChar w:fldCharType="separate"/>
        </w:r>
        <w:r>
          <w:rPr>
            <w:noProof/>
            <w:webHidden/>
          </w:rPr>
          <w:t>12</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58" w:history="1">
        <w:r w:rsidR="00D913F5" w:rsidRPr="00285866">
          <w:rPr>
            <w:noProof/>
          </w:rPr>
          <w:t>Tabl</w:t>
        </w:r>
        <w:r w:rsidR="00A8663C" w:rsidRPr="00285866">
          <w:rPr>
            <w:noProof/>
          </w:rPr>
          <w:t>e 2.</w:t>
        </w:r>
        <w:r w:rsidR="00D913F5" w:rsidRPr="00285866">
          <w:rPr>
            <w:noProof/>
          </w:rPr>
          <w:tab/>
          <w:t xml:space="preserve">Estimates of unit </w:t>
        </w:r>
        <w:r w:rsidR="00D76C0A" w:rsidRPr="00D76C0A">
          <w:rPr>
            <w:noProof/>
          </w:rPr>
          <w:t>NRB</w:t>
        </w:r>
        <w:r w:rsidR="00D913F5" w:rsidRPr="00285866">
          <w:rPr>
            <w:noProof/>
          </w:rPr>
          <w:t xml:space="preserve"> for the ALL background</w:t>
        </w:r>
        <w:r w:rsidR="00A8663C" w:rsidRPr="00285866">
          <w:rPr>
            <w:noProof/>
          </w:rPr>
          <w:t xml:space="preserve"> </w:t>
        </w:r>
        <w:r w:rsidR="00D913F5" w:rsidRPr="00285866">
          <w:rPr>
            <w:noProof/>
          </w:rPr>
          <w:t>questionnaire, by key characteristics: 2003</w:t>
        </w:r>
        <w:r w:rsidR="00D913F5">
          <w:rPr>
            <w:noProof/>
            <w:webHidden/>
          </w:rPr>
          <w:tab/>
        </w:r>
        <w:r w:rsidR="0060559A">
          <w:rPr>
            <w:noProof/>
            <w:webHidden/>
          </w:rPr>
          <w:fldChar w:fldCharType="begin"/>
        </w:r>
        <w:r w:rsidR="00D913F5">
          <w:rPr>
            <w:noProof/>
            <w:webHidden/>
          </w:rPr>
          <w:instrText xml:space="preserve"> PAGEREF _Toc255551058 \h </w:instrText>
        </w:r>
        <w:r w:rsidR="0060559A">
          <w:rPr>
            <w:noProof/>
            <w:webHidden/>
          </w:rPr>
        </w:r>
        <w:r w:rsidR="0060559A">
          <w:rPr>
            <w:noProof/>
            <w:webHidden/>
          </w:rPr>
          <w:fldChar w:fldCharType="separate"/>
        </w:r>
        <w:r>
          <w:rPr>
            <w:noProof/>
            <w:webHidden/>
          </w:rPr>
          <w:t>14</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0" w:history="1">
        <w:r w:rsidR="00A8663C" w:rsidRPr="00285866">
          <w:rPr>
            <w:noProof/>
          </w:rPr>
          <w:t>Table 3.</w:t>
        </w:r>
        <w:r w:rsidR="00D913F5" w:rsidRPr="00285866">
          <w:rPr>
            <w:noProof/>
          </w:rPr>
          <w:tab/>
          <w:t>Weighted response rates for the ALL background questionnaire, by response cell: 2003</w:t>
        </w:r>
        <w:r w:rsidR="00D913F5">
          <w:rPr>
            <w:noProof/>
            <w:webHidden/>
          </w:rPr>
          <w:tab/>
        </w:r>
        <w:r w:rsidR="0060559A">
          <w:rPr>
            <w:noProof/>
            <w:webHidden/>
          </w:rPr>
          <w:fldChar w:fldCharType="begin"/>
        </w:r>
        <w:r w:rsidR="00D913F5">
          <w:rPr>
            <w:noProof/>
            <w:webHidden/>
          </w:rPr>
          <w:instrText xml:space="preserve"> PAGEREF _Toc255551060 \h </w:instrText>
        </w:r>
        <w:r w:rsidR="0060559A">
          <w:rPr>
            <w:noProof/>
            <w:webHidden/>
          </w:rPr>
        </w:r>
        <w:r w:rsidR="0060559A">
          <w:rPr>
            <w:noProof/>
            <w:webHidden/>
          </w:rPr>
          <w:fldChar w:fldCharType="separate"/>
        </w:r>
        <w:r>
          <w:rPr>
            <w:noProof/>
            <w:webHidden/>
          </w:rPr>
          <w:t>16</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1" w:history="1">
        <w:r w:rsidR="00A8663C" w:rsidRPr="00285866">
          <w:rPr>
            <w:noProof/>
          </w:rPr>
          <w:t>Table 4.</w:t>
        </w:r>
        <w:r w:rsidR="00D913F5" w:rsidRPr="00285866">
          <w:rPr>
            <w:noProof/>
          </w:rPr>
          <w:tab/>
          <w:t>Multivariate analysis of response indicators: 2003</w:t>
        </w:r>
        <w:r w:rsidR="00D913F5">
          <w:rPr>
            <w:noProof/>
            <w:webHidden/>
          </w:rPr>
          <w:tab/>
        </w:r>
        <w:r w:rsidR="0060559A">
          <w:rPr>
            <w:noProof/>
            <w:webHidden/>
          </w:rPr>
          <w:fldChar w:fldCharType="begin"/>
        </w:r>
        <w:r w:rsidR="00D913F5">
          <w:rPr>
            <w:noProof/>
            <w:webHidden/>
          </w:rPr>
          <w:instrText xml:space="preserve"> PAGEREF _Toc255551061 \h </w:instrText>
        </w:r>
        <w:r w:rsidR="0060559A">
          <w:rPr>
            <w:noProof/>
            <w:webHidden/>
          </w:rPr>
        </w:r>
        <w:r w:rsidR="0060559A">
          <w:rPr>
            <w:noProof/>
            <w:webHidden/>
          </w:rPr>
          <w:fldChar w:fldCharType="separate"/>
        </w:r>
        <w:r>
          <w:rPr>
            <w:noProof/>
            <w:webHidden/>
          </w:rPr>
          <w:t>17</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2" w:history="1">
        <w:r w:rsidR="00A8663C" w:rsidRPr="00285866">
          <w:rPr>
            <w:noProof/>
          </w:rPr>
          <w:t>Table 5.</w:t>
        </w:r>
        <w:r w:rsidR="00D913F5" w:rsidRPr="00285866">
          <w:rPr>
            <w:noProof/>
          </w:rPr>
          <w:tab/>
        </w:r>
        <w:r w:rsidR="00057E8E" w:rsidRPr="00057E8E">
          <w:rPr>
            <w:noProof/>
          </w:rPr>
          <w:t>Percent</w:t>
        </w:r>
        <w:r w:rsidR="008D7F5E">
          <w:rPr>
            <w:noProof/>
          </w:rPr>
          <w:t>AGE</w:t>
        </w:r>
        <w:r w:rsidR="00057E8E" w:rsidRPr="00057E8E">
          <w:rPr>
            <w:noProof/>
          </w:rPr>
          <w:t xml:space="preserve"> distribution of sample cases at each weighting step for the ALL background questionnaire, by key characteristics: 2003</w:t>
        </w:r>
        <w:r w:rsidR="00D913F5">
          <w:rPr>
            <w:noProof/>
            <w:webHidden/>
          </w:rPr>
          <w:tab/>
        </w:r>
        <w:r w:rsidR="0060559A">
          <w:rPr>
            <w:noProof/>
            <w:webHidden/>
          </w:rPr>
          <w:fldChar w:fldCharType="begin"/>
        </w:r>
        <w:r w:rsidR="00D913F5">
          <w:rPr>
            <w:noProof/>
            <w:webHidden/>
          </w:rPr>
          <w:instrText xml:space="preserve"> PAGEREF _Toc255551062 \h </w:instrText>
        </w:r>
        <w:r w:rsidR="0060559A">
          <w:rPr>
            <w:noProof/>
            <w:webHidden/>
          </w:rPr>
        </w:r>
        <w:r w:rsidR="0060559A">
          <w:rPr>
            <w:noProof/>
            <w:webHidden/>
          </w:rPr>
          <w:fldChar w:fldCharType="separate"/>
        </w:r>
        <w:r>
          <w:rPr>
            <w:noProof/>
            <w:webHidden/>
          </w:rPr>
          <w:t>17</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4" w:history="1">
        <w:r w:rsidR="00A8663C" w:rsidRPr="00285866">
          <w:rPr>
            <w:noProof/>
          </w:rPr>
          <w:t>Table 6.</w:t>
        </w:r>
        <w:r w:rsidR="00D913F5" w:rsidRPr="00285866">
          <w:rPr>
            <w:noProof/>
          </w:rPr>
          <w:tab/>
          <w:t>Correlations of demographic variable with the outcome statistic</w:t>
        </w:r>
        <w:r w:rsidR="00D913F5">
          <w:rPr>
            <w:noProof/>
            <w:webHidden/>
          </w:rPr>
          <w:tab/>
        </w:r>
        <w:r w:rsidR="0060559A">
          <w:rPr>
            <w:noProof/>
            <w:webHidden/>
          </w:rPr>
          <w:fldChar w:fldCharType="begin"/>
        </w:r>
        <w:r w:rsidR="00D913F5">
          <w:rPr>
            <w:noProof/>
            <w:webHidden/>
          </w:rPr>
          <w:instrText xml:space="preserve"> PAGEREF _Toc255551064 \h </w:instrText>
        </w:r>
        <w:r w:rsidR="0060559A">
          <w:rPr>
            <w:noProof/>
            <w:webHidden/>
          </w:rPr>
        </w:r>
        <w:r w:rsidR="0060559A">
          <w:rPr>
            <w:noProof/>
            <w:webHidden/>
          </w:rPr>
          <w:fldChar w:fldCharType="separate"/>
        </w:r>
        <w:r>
          <w:rPr>
            <w:noProof/>
            <w:webHidden/>
          </w:rPr>
          <w:t>19</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5" w:history="1">
        <w:r w:rsidR="00A8663C" w:rsidRPr="00285866">
          <w:rPr>
            <w:noProof/>
          </w:rPr>
          <w:t>Table 7.</w:t>
        </w:r>
        <w:r w:rsidR="00D913F5" w:rsidRPr="00285866">
          <w:rPr>
            <w:noProof/>
          </w:rPr>
          <w:tab/>
          <w:t>Distribution of BQ incompletes, by disposition code category</w:t>
        </w:r>
        <w:r w:rsidR="00D913F5">
          <w:rPr>
            <w:noProof/>
            <w:webHidden/>
          </w:rPr>
          <w:tab/>
        </w:r>
        <w:r w:rsidR="0060559A">
          <w:rPr>
            <w:noProof/>
            <w:webHidden/>
          </w:rPr>
          <w:fldChar w:fldCharType="begin"/>
        </w:r>
        <w:r w:rsidR="00D913F5">
          <w:rPr>
            <w:noProof/>
            <w:webHidden/>
          </w:rPr>
          <w:instrText xml:space="preserve"> PAGEREF _Toc255551065 \h </w:instrText>
        </w:r>
        <w:r w:rsidR="0060559A">
          <w:rPr>
            <w:noProof/>
            <w:webHidden/>
          </w:rPr>
        </w:r>
        <w:r w:rsidR="0060559A">
          <w:rPr>
            <w:noProof/>
            <w:webHidden/>
          </w:rPr>
          <w:fldChar w:fldCharType="separate"/>
        </w:r>
        <w:r>
          <w:rPr>
            <w:noProof/>
            <w:webHidden/>
          </w:rPr>
          <w:t>19</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7" w:history="1">
        <w:r w:rsidR="00A8663C" w:rsidRPr="00285866">
          <w:rPr>
            <w:noProof/>
          </w:rPr>
          <w:t>Table 8.</w:t>
        </w:r>
        <w:r w:rsidR="00D913F5" w:rsidRPr="00285866">
          <w:rPr>
            <w:noProof/>
          </w:rPr>
          <w:tab/>
          <w:t>Household race for screener incompletes with NIR data, by region</w:t>
        </w:r>
        <w:r w:rsidR="00D913F5">
          <w:rPr>
            <w:noProof/>
            <w:webHidden/>
          </w:rPr>
          <w:tab/>
        </w:r>
        <w:r w:rsidR="0060559A">
          <w:rPr>
            <w:noProof/>
            <w:webHidden/>
          </w:rPr>
          <w:fldChar w:fldCharType="begin"/>
        </w:r>
        <w:r w:rsidR="00D913F5">
          <w:rPr>
            <w:noProof/>
            <w:webHidden/>
          </w:rPr>
          <w:instrText xml:space="preserve"> PAGEREF _Toc255551067 \h </w:instrText>
        </w:r>
        <w:r w:rsidR="0060559A">
          <w:rPr>
            <w:noProof/>
            <w:webHidden/>
          </w:rPr>
        </w:r>
        <w:r w:rsidR="0060559A">
          <w:rPr>
            <w:noProof/>
            <w:webHidden/>
          </w:rPr>
          <w:fldChar w:fldCharType="separate"/>
        </w:r>
        <w:r>
          <w:rPr>
            <w:noProof/>
            <w:webHidden/>
          </w:rPr>
          <w:t>21</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8" w:history="1">
        <w:r w:rsidR="00A8663C" w:rsidRPr="00285866">
          <w:rPr>
            <w:noProof/>
          </w:rPr>
          <w:t>Table 9.</w:t>
        </w:r>
        <w:r w:rsidR="00D913F5" w:rsidRPr="00285866">
          <w:rPr>
            <w:noProof/>
          </w:rPr>
          <w:tab/>
          <w:t>Differences between the last 10% and first 90% of respondents, by domain</w:t>
        </w:r>
        <w:r w:rsidR="00D913F5">
          <w:rPr>
            <w:noProof/>
            <w:webHidden/>
          </w:rPr>
          <w:tab/>
        </w:r>
        <w:r w:rsidR="0060559A">
          <w:rPr>
            <w:noProof/>
            <w:webHidden/>
          </w:rPr>
          <w:fldChar w:fldCharType="begin"/>
        </w:r>
        <w:r w:rsidR="00D913F5">
          <w:rPr>
            <w:noProof/>
            <w:webHidden/>
          </w:rPr>
          <w:instrText xml:space="preserve"> PAGEREF _Toc255551068 \h </w:instrText>
        </w:r>
        <w:r w:rsidR="0060559A">
          <w:rPr>
            <w:noProof/>
            <w:webHidden/>
          </w:rPr>
        </w:r>
        <w:r w:rsidR="0060559A">
          <w:rPr>
            <w:noProof/>
            <w:webHidden/>
          </w:rPr>
          <w:fldChar w:fldCharType="separate"/>
        </w:r>
        <w:r>
          <w:rPr>
            <w:noProof/>
            <w:webHidden/>
          </w:rPr>
          <w:t>22</w:t>
        </w:r>
        <w:r w:rsidR="0060559A">
          <w:rPr>
            <w:noProof/>
            <w:webHidden/>
          </w:rPr>
          <w:fldChar w:fldCharType="end"/>
        </w:r>
      </w:hyperlink>
    </w:p>
    <w:p w:rsidR="00285866" w:rsidRDefault="00285866" w:rsidP="00285866">
      <w:pPr>
        <w:pStyle w:val="TOC1"/>
        <w:tabs>
          <w:tab w:val="clear" w:pos="8208"/>
          <w:tab w:val="clear" w:pos="8640"/>
          <w:tab w:val="right" w:leader="dot" w:pos="9180"/>
          <w:tab w:val="left" w:pos="9360"/>
        </w:tabs>
        <w:ind w:left="1440" w:right="720" w:hanging="1170"/>
        <w:rPr>
          <w:noProof/>
        </w:rPr>
      </w:pPr>
    </w:p>
    <w:p w:rsidR="00D913F5" w:rsidRPr="00285866" w:rsidRDefault="00B97419" w:rsidP="00285866">
      <w:pPr>
        <w:pStyle w:val="TOC1"/>
        <w:tabs>
          <w:tab w:val="clear" w:pos="8208"/>
          <w:tab w:val="clear" w:pos="8640"/>
          <w:tab w:val="right" w:leader="dot" w:pos="9180"/>
          <w:tab w:val="left" w:pos="9360"/>
        </w:tabs>
        <w:ind w:left="1440" w:right="720" w:hanging="1170"/>
        <w:rPr>
          <w:noProof/>
        </w:rPr>
      </w:pPr>
      <w:hyperlink w:anchor="_Toc255551069" w:history="1">
        <w:r w:rsidR="00A8663C" w:rsidRPr="00285866">
          <w:rPr>
            <w:noProof/>
          </w:rPr>
          <w:t>Table 10.</w:t>
        </w:r>
        <w:r w:rsidR="00D913F5" w:rsidRPr="00285866">
          <w:rPr>
            <w:noProof/>
          </w:rPr>
          <w:tab/>
          <w:t>Average differences between respondents and nonrespondents needed to achieve various amounts of bias in outcome statistics</w:t>
        </w:r>
        <w:r w:rsidR="00D913F5">
          <w:rPr>
            <w:noProof/>
            <w:webHidden/>
          </w:rPr>
          <w:tab/>
        </w:r>
        <w:r w:rsidR="0060559A">
          <w:rPr>
            <w:noProof/>
            <w:webHidden/>
          </w:rPr>
          <w:fldChar w:fldCharType="begin"/>
        </w:r>
        <w:r w:rsidR="00D913F5">
          <w:rPr>
            <w:noProof/>
            <w:webHidden/>
          </w:rPr>
          <w:instrText xml:space="preserve"> PAGEREF _Toc255551069 \h </w:instrText>
        </w:r>
        <w:r w:rsidR="0060559A">
          <w:rPr>
            <w:noProof/>
            <w:webHidden/>
          </w:rPr>
        </w:r>
        <w:r w:rsidR="0060559A">
          <w:rPr>
            <w:noProof/>
            <w:webHidden/>
          </w:rPr>
          <w:fldChar w:fldCharType="separate"/>
        </w:r>
        <w:r>
          <w:rPr>
            <w:noProof/>
            <w:webHidden/>
          </w:rPr>
          <w:t>23</w:t>
        </w:r>
        <w:r w:rsidR="0060559A">
          <w:rPr>
            <w:noProof/>
            <w:webHidden/>
          </w:rPr>
          <w:fldChar w:fldCharType="end"/>
        </w:r>
      </w:hyperlink>
    </w:p>
    <w:p w:rsidR="00285866" w:rsidRDefault="0060559A" w:rsidP="00285866">
      <w:pPr>
        <w:tabs>
          <w:tab w:val="left" w:pos="1440"/>
          <w:tab w:val="right" w:leader="dot" w:pos="9180"/>
          <w:tab w:val="left" w:pos="9360"/>
        </w:tabs>
        <w:spacing w:after="200" w:line="276" w:lineRule="auto"/>
        <w:ind w:left="540" w:right="720" w:hanging="270"/>
        <w:jc w:val="left"/>
        <w:rPr>
          <w:szCs w:val="24"/>
        </w:rPr>
      </w:pPr>
      <w:r>
        <w:rPr>
          <w:szCs w:val="24"/>
        </w:rPr>
        <w:fldChar w:fldCharType="end"/>
      </w:r>
    </w:p>
    <w:p w:rsidR="005F6334" w:rsidRPr="00285866" w:rsidRDefault="00285866" w:rsidP="005F6334">
      <w:pPr>
        <w:spacing w:after="200" w:line="276" w:lineRule="auto"/>
        <w:jc w:val="left"/>
        <w:rPr>
          <w:szCs w:val="24"/>
        </w:rPr>
      </w:pPr>
      <w:r>
        <w:rPr>
          <w:szCs w:val="24"/>
        </w:rPr>
        <w:br w:type="page"/>
      </w:r>
    </w:p>
    <w:p w:rsidR="005F6334" w:rsidRDefault="005F6334" w:rsidP="005F6334">
      <w:pPr>
        <w:spacing w:after="200" w:line="276" w:lineRule="auto"/>
        <w:jc w:val="left"/>
        <w:rPr>
          <w:szCs w:val="24"/>
        </w:rPr>
        <w:sectPr w:rsidR="005F6334" w:rsidSect="005F6334">
          <w:headerReference w:type="first" r:id="rId12"/>
          <w:footerReference w:type="first" r:id="rId13"/>
          <w:type w:val="continuous"/>
          <w:pgSz w:w="12240" w:h="15840"/>
          <w:pgMar w:top="1440" w:right="1440" w:bottom="1440" w:left="1440" w:header="720" w:footer="720" w:gutter="0"/>
          <w:cols w:space="720"/>
          <w:titlePg/>
          <w:docGrid w:linePitch="360"/>
        </w:sectPr>
      </w:pPr>
    </w:p>
    <w:p w:rsidR="009C2AAC" w:rsidRDefault="009C2AAC" w:rsidP="005F6334">
      <w:pPr>
        <w:pStyle w:val="Heading1"/>
        <w:jc w:val="center"/>
        <w:rPr>
          <w:szCs w:val="24"/>
        </w:rPr>
      </w:pPr>
      <w:bookmarkStart w:id="3" w:name="_Toc255550497"/>
      <w:bookmarkStart w:id="4" w:name="_Toc255550894"/>
    </w:p>
    <w:p w:rsidR="00CE42C2" w:rsidRPr="00FA59F4" w:rsidRDefault="00AF5B2E" w:rsidP="00B97419">
      <w:pPr>
        <w:pStyle w:val="Heading1"/>
        <w:spacing w:line="240" w:lineRule="auto"/>
        <w:jc w:val="center"/>
        <w:rPr>
          <w:szCs w:val="24"/>
        </w:rPr>
      </w:pPr>
      <w:bookmarkStart w:id="5" w:name="_Toc255808915"/>
      <w:r w:rsidRPr="00FA59F4">
        <w:rPr>
          <w:szCs w:val="24"/>
        </w:rPr>
        <w:t>PIAAC</w:t>
      </w:r>
      <w:bookmarkEnd w:id="3"/>
      <w:bookmarkEnd w:id="4"/>
      <w:bookmarkEnd w:id="5"/>
    </w:p>
    <w:p w:rsidR="00B151AF" w:rsidRDefault="00A8663C" w:rsidP="005F6334">
      <w:pPr>
        <w:pStyle w:val="Heading1"/>
        <w:jc w:val="center"/>
      </w:pPr>
      <w:bookmarkStart w:id="6" w:name="_Toc255550498"/>
      <w:bookmarkStart w:id="7" w:name="_Toc255550895"/>
      <w:bookmarkStart w:id="8" w:name="_Toc255808916"/>
      <w:r>
        <w:t xml:space="preserve">Reducing </w:t>
      </w:r>
      <w:r w:rsidR="00FA59F4">
        <w:t>NONRESPONSE BIAS AND</w:t>
      </w:r>
      <w:r w:rsidR="00FA59F4">
        <w:br/>
      </w:r>
      <w:r w:rsidR="00AF5B2E" w:rsidRPr="00B92418">
        <w:t>PRELIMINARY NONRESPONSE BIAS ANALYSIS</w:t>
      </w:r>
      <w:bookmarkEnd w:id="6"/>
      <w:bookmarkEnd w:id="7"/>
      <w:bookmarkEnd w:id="8"/>
    </w:p>
    <w:p w:rsidR="001E529E" w:rsidRPr="00B92418" w:rsidRDefault="00AF5B2E" w:rsidP="005F6334">
      <w:pPr>
        <w:pStyle w:val="Heading1"/>
        <w:jc w:val="center"/>
      </w:pPr>
      <w:bookmarkStart w:id="9" w:name="_Toc255550499"/>
      <w:bookmarkStart w:id="10" w:name="_Toc255550896"/>
      <w:bookmarkStart w:id="11" w:name="_Toc255808917"/>
      <w:r>
        <w:t>MARCH 2010</w:t>
      </w:r>
      <w:bookmarkEnd w:id="9"/>
      <w:bookmarkEnd w:id="10"/>
      <w:bookmarkEnd w:id="11"/>
    </w:p>
    <w:p w:rsidR="00AF5B2E" w:rsidRDefault="00AF5B2E" w:rsidP="00C15F40">
      <w:pPr>
        <w:pStyle w:val="Heading2"/>
      </w:pPr>
    </w:p>
    <w:p w:rsidR="0048569A" w:rsidRPr="004F321B" w:rsidRDefault="004F321B" w:rsidP="004F321B">
      <w:pPr>
        <w:pStyle w:val="Heading1"/>
        <w:jc w:val="center"/>
      </w:pPr>
      <w:bookmarkStart w:id="12" w:name="_Toc255808918"/>
      <w:r w:rsidRPr="004F321B">
        <w:t>1.</w:t>
      </w:r>
      <w:r>
        <w:t xml:space="preserve"> </w:t>
      </w:r>
      <w:r w:rsidR="00AF5B2E" w:rsidRPr="004F321B">
        <w:t>INTRODUCTION AND OVERVIEW</w:t>
      </w:r>
      <w:bookmarkEnd w:id="12"/>
    </w:p>
    <w:p w:rsidR="003671BF" w:rsidRDefault="007246A4" w:rsidP="00C15F40">
      <w:r w:rsidRPr="00B92418">
        <w:t xml:space="preserve">This document addresses the issue of </w:t>
      </w:r>
      <w:r w:rsidR="0013356A">
        <w:t>bias</w:t>
      </w:r>
      <w:r w:rsidRPr="00B92418">
        <w:t xml:space="preserve"> in PIAAC </w:t>
      </w:r>
      <w:r w:rsidR="0013356A">
        <w:t xml:space="preserve">outcome statistics </w:t>
      </w:r>
      <w:r w:rsidRPr="00B92418">
        <w:t xml:space="preserve">and </w:t>
      </w:r>
      <w:r w:rsidR="003671BF" w:rsidRPr="00B92418">
        <w:t xml:space="preserve">contains </w:t>
      </w:r>
      <w:r w:rsidRPr="00B92418">
        <w:t xml:space="preserve">an overview of </w:t>
      </w:r>
      <w:r w:rsidR="003671BF" w:rsidRPr="00B92418">
        <w:t xml:space="preserve">the </w:t>
      </w:r>
      <w:r w:rsidR="0013356A">
        <w:t xml:space="preserve">survey goals to reduce </w:t>
      </w:r>
      <w:r w:rsidR="0013356A" w:rsidRPr="00B92418">
        <w:t>nonresponse bias</w:t>
      </w:r>
      <w:r w:rsidR="0013356A">
        <w:t xml:space="preserve"> (</w:t>
      </w:r>
      <w:r w:rsidR="00D76C0A" w:rsidRPr="00D76C0A">
        <w:t>NRB</w:t>
      </w:r>
      <w:r w:rsidR="0013356A">
        <w:t>)</w:t>
      </w:r>
      <w:r w:rsidR="0013356A" w:rsidRPr="00B92418">
        <w:t xml:space="preserve"> </w:t>
      </w:r>
      <w:r w:rsidR="0013356A">
        <w:t xml:space="preserve">and </w:t>
      </w:r>
      <w:r w:rsidR="003671BF" w:rsidRPr="00B92418">
        <w:t xml:space="preserve">preliminary plans </w:t>
      </w:r>
      <w:r w:rsidRPr="00B92418">
        <w:t>for</w:t>
      </w:r>
      <w:r w:rsidR="003671BF" w:rsidRPr="00B92418">
        <w:t xml:space="preserve"> conduct</w:t>
      </w:r>
      <w:r w:rsidRPr="00B92418">
        <w:t>ing</w:t>
      </w:r>
      <w:r w:rsidR="003671BF" w:rsidRPr="00B92418">
        <w:t xml:space="preserve"> </w:t>
      </w:r>
      <w:r w:rsidR="00D76C0A" w:rsidRPr="00D76C0A">
        <w:t>NRB</w:t>
      </w:r>
      <w:r w:rsidR="003671BF" w:rsidRPr="00B92418">
        <w:t xml:space="preserve"> analysis. The Consortium will produce detailed guidelines for the </w:t>
      </w:r>
      <w:r w:rsidR="00D76C0A" w:rsidRPr="00D76C0A">
        <w:t>NRB</w:t>
      </w:r>
      <w:r w:rsidR="003671BF" w:rsidRPr="00B92418">
        <w:t xml:space="preserve"> analysis after the field test is completed and comments are collected from countries on their lessons learned from the field test. </w:t>
      </w:r>
    </w:p>
    <w:p w:rsidR="003874B4" w:rsidRDefault="003874B4" w:rsidP="00C15F40"/>
    <w:p w:rsidR="003874B4" w:rsidRDefault="003874B4" w:rsidP="00C15F40">
      <w:r>
        <w:t xml:space="preserve">Section 2 provides a brief background on why reducing </w:t>
      </w:r>
      <w:r w:rsidR="00D76C0A" w:rsidRPr="00D76C0A">
        <w:t>NRB</w:t>
      </w:r>
      <w:r>
        <w:t xml:space="preserve"> is critical in producing </w:t>
      </w:r>
      <w:r w:rsidR="00D63617">
        <w:t>high-</w:t>
      </w:r>
      <w:r>
        <w:t xml:space="preserve">quality estimates for PIAAC. Section 3 contains a summary of plans </w:t>
      </w:r>
      <w:r w:rsidR="00CF0F90">
        <w:t>and procedures that are critical to</w:t>
      </w:r>
      <w:r w:rsidR="00285866">
        <w:t xml:space="preserve"> reducing</w:t>
      </w:r>
      <w:r>
        <w:t xml:space="preserve"> bias </w:t>
      </w:r>
      <w:r w:rsidR="00037783">
        <w:t xml:space="preserve">in the outcome statistics </w:t>
      </w:r>
      <w:r>
        <w:t xml:space="preserve">and preliminary plans to conduct the </w:t>
      </w:r>
      <w:r w:rsidR="00D76C0A" w:rsidRPr="00D76C0A">
        <w:t>NRB</w:t>
      </w:r>
      <w:r>
        <w:t xml:space="preserve"> analysis</w:t>
      </w:r>
      <w:r w:rsidR="00254E6D">
        <w:t>,</w:t>
      </w:r>
      <w:r>
        <w:t xml:space="preserve"> including examples using data from similar literacy surveys.</w:t>
      </w:r>
    </w:p>
    <w:p w:rsidR="00E40378" w:rsidRDefault="00E40378" w:rsidP="00C15F40"/>
    <w:p w:rsidR="00365E95" w:rsidRDefault="00365E95" w:rsidP="00C15F40">
      <w:pPr>
        <w:rPr>
          <w:iCs/>
        </w:rPr>
      </w:pPr>
      <w:r>
        <w:t>The PIAAC Technical Standards and G</w:t>
      </w:r>
      <w:r w:rsidR="00F518CA" w:rsidRPr="00F518CA">
        <w:t>uidelines (TSG) includes plans and procedures that should be put in place before, during</w:t>
      </w:r>
      <w:r w:rsidR="00D63617">
        <w:t>,</w:t>
      </w:r>
      <w:r w:rsidR="00F518CA" w:rsidRPr="00F518CA">
        <w:t xml:space="preserve"> and after main study data collection to </w:t>
      </w:r>
      <w:r w:rsidRPr="00F518CA">
        <w:t xml:space="preserve">improve response rates </w:t>
      </w:r>
      <w:r>
        <w:t xml:space="preserve">and </w:t>
      </w:r>
      <w:r w:rsidR="00F518CA" w:rsidRPr="00F518CA">
        <w:t xml:space="preserve">help </w:t>
      </w:r>
      <w:r w:rsidR="00D30461">
        <w:t xml:space="preserve">reduce the potential for </w:t>
      </w:r>
      <w:r w:rsidR="00D76C0A" w:rsidRPr="00D76C0A">
        <w:t>NRB</w:t>
      </w:r>
      <w:r w:rsidR="00F518CA" w:rsidRPr="00F518CA">
        <w:t>.</w:t>
      </w:r>
      <w:r w:rsidR="00A8663C">
        <w:t xml:space="preserve"> </w:t>
      </w:r>
      <w:r>
        <w:rPr>
          <w:iCs/>
        </w:rPr>
        <w:t>More specifically, the TSG require each country to:</w:t>
      </w:r>
    </w:p>
    <w:p w:rsidR="00365E95" w:rsidRPr="00365E95" w:rsidRDefault="00365E95" w:rsidP="00365E95">
      <w:pPr>
        <w:pStyle w:val="Default"/>
        <w:rPr>
          <w:rFonts w:ascii="Times New Roman" w:hAnsi="Times New Roman" w:cs="Times New Roman"/>
          <w:color w:val="auto"/>
          <w:sz w:val="22"/>
          <w:szCs w:val="22"/>
        </w:rPr>
      </w:pPr>
    </w:p>
    <w:p w:rsidR="00365E95" w:rsidRPr="00B92418" w:rsidRDefault="00365E95" w:rsidP="004F321B">
      <w:pPr>
        <w:pStyle w:val="N2-2ndBullet"/>
      </w:pPr>
      <w:r w:rsidRPr="00B92418">
        <w:t xml:space="preserve">Identify sources of </w:t>
      </w:r>
      <w:r w:rsidR="00D76C0A" w:rsidRPr="00D76C0A">
        <w:rPr>
          <w:iCs/>
        </w:rPr>
        <w:t>NRB</w:t>
      </w:r>
      <w:r>
        <w:rPr>
          <w:i/>
          <w:iCs/>
        </w:rPr>
        <w:t>,</w:t>
      </w:r>
    </w:p>
    <w:p w:rsidR="00365E95" w:rsidRPr="00B92418" w:rsidRDefault="00365E95" w:rsidP="004F321B">
      <w:pPr>
        <w:pStyle w:val="N2-2ndBullet"/>
      </w:pPr>
      <w:r w:rsidRPr="00B92418">
        <w:t xml:space="preserve">Reduce potential for </w:t>
      </w:r>
      <w:r w:rsidR="00D76C0A" w:rsidRPr="00D76C0A">
        <w:t>NRB</w:t>
      </w:r>
      <w:r w:rsidR="007526F4">
        <w:rPr>
          <w:i/>
        </w:rPr>
        <w:t xml:space="preserve"> </w:t>
      </w:r>
      <w:r w:rsidR="007526F4">
        <w:t>before and during data collection,</w:t>
      </w:r>
    </w:p>
    <w:p w:rsidR="00365E95" w:rsidRDefault="00365E95" w:rsidP="004F321B">
      <w:pPr>
        <w:pStyle w:val="N2-2ndBullet"/>
      </w:pPr>
      <w:r w:rsidRPr="00365E95">
        <w:t xml:space="preserve">Evaluate </w:t>
      </w:r>
      <w:r w:rsidR="00D76C0A" w:rsidRPr="00D76C0A">
        <w:rPr>
          <w:iCs/>
        </w:rPr>
        <w:t>NRB</w:t>
      </w:r>
      <w:r w:rsidRPr="00365E95">
        <w:t xml:space="preserve"> throughout the design and data collection process</w:t>
      </w:r>
      <w:r>
        <w:t>,</w:t>
      </w:r>
    </w:p>
    <w:p w:rsidR="00365E95" w:rsidRDefault="00365E95" w:rsidP="004F321B">
      <w:pPr>
        <w:pStyle w:val="N2-2ndBullet"/>
      </w:pPr>
      <w:r>
        <w:t xml:space="preserve">Evaluate </w:t>
      </w:r>
      <w:r w:rsidR="00D76C0A" w:rsidRPr="00D76C0A">
        <w:t>NRB</w:t>
      </w:r>
      <w:r w:rsidR="00285866">
        <w:t xml:space="preserve"> after data collection</w:t>
      </w:r>
      <w:r>
        <w:t>,</w:t>
      </w:r>
      <w:r w:rsidR="007526F4">
        <w:t xml:space="preserve"> and</w:t>
      </w:r>
      <w:r>
        <w:t xml:space="preserve"> </w:t>
      </w:r>
    </w:p>
    <w:p w:rsidR="00365E95" w:rsidRDefault="00365E95" w:rsidP="004F321B">
      <w:pPr>
        <w:pStyle w:val="N2-2ndBullet"/>
      </w:pPr>
      <w:r w:rsidRPr="00365E95">
        <w:t xml:space="preserve">Adjust for biases through </w:t>
      </w:r>
      <w:r w:rsidR="007526F4">
        <w:t xml:space="preserve">nonresponse adjustment </w:t>
      </w:r>
      <w:r w:rsidRPr="00365E95">
        <w:t>weighting steps</w:t>
      </w:r>
      <w:r w:rsidR="007526F4">
        <w:t>.</w:t>
      </w:r>
    </w:p>
    <w:p w:rsidR="004F321B" w:rsidRPr="007526F4" w:rsidRDefault="004F321B" w:rsidP="004F321B">
      <w:pPr>
        <w:pStyle w:val="N2-2ndBullet"/>
        <w:numPr>
          <w:ilvl w:val="0"/>
          <w:numId w:val="0"/>
        </w:numPr>
        <w:ind w:left="1080"/>
      </w:pPr>
    </w:p>
    <w:p w:rsidR="00875020" w:rsidRDefault="003874B4" w:rsidP="00C15F40">
      <w:r w:rsidRPr="00F518CA">
        <w:rPr>
          <w:szCs w:val="22"/>
        </w:rPr>
        <w:t>Sections</w:t>
      </w:r>
      <w:r>
        <w:rPr>
          <w:szCs w:val="22"/>
        </w:rPr>
        <w:t xml:space="preserve"> 3.1 and 3.2 contain brief summaries </w:t>
      </w:r>
      <w:r>
        <w:t>of procedures included in the TSG that</w:t>
      </w:r>
      <w:r w:rsidRPr="00B92418">
        <w:t xml:space="preserve"> countries </w:t>
      </w:r>
      <w:r w:rsidR="007C135F">
        <w:t>should</w:t>
      </w:r>
      <w:r>
        <w:t xml:space="preserve"> use to </w:t>
      </w:r>
      <w:r w:rsidRPr="00B92418">
        <w:t>make plans to reduce nonresponse bias</w:t>
      </w:r>
      <w:r>
        <w:t xml:space="preserve"> to the extent possible before and </w:t>
      </w:r>
      <w:r w:rsidRPr="00B92418">
        <w:t>during data collection.</w:t>
      </w:r>
      <w:r>
        <w:t xml:space="preserve"> </w:t>
      </w:r>
      <w:r w:rsidR="00875020" w:rsidRPr="00365E95">
        <w:t>At the conclusi</w:t>
      </w:r>
      <w:r w:rsidR="00AE03B4">
        <w:t xml:space="preserve">on of the data collection, </w:t>
      </w:r>
      <w:r w:rsidR="00875020" w:rsidRPr="00365E95">
        <w:t xml:space="preserve">countries </w:t>
      </w:r>
      <w:r w:rsidR="00AE03B4">
        <w:t xml:space="preserve">are required </w:t>
      </w:r>
      <w:r w:rsidR="00875020" w:rsidRPr="00365E95">
        <w:t xml:space="preserve">to conduct a comprehensive </w:t>
      </w:r>
      <w:r w:rsidR="00D76C0A" w:rsidRPr="00D76C0A">
        <w:rPr>
          <w:iCs/>
        </w:rPr>
        <w:t>NRB</w:t>
      </w:r>
      <w:r w:rsidR="00875020" w:rsidRPr="00365E95">
        <w:t xml:space="preserve"> analysis to help guide the most effective </w:t>
      </w:r>
      <w:r w:rsidR="00D76C0A" w:rsidRPr="00D76C0A">
        <w:rPr>
          <w:iCs/>
        </w:rPr>
        <w:t>NRB</w:t>
      </w:r>
      <w:r w:rsidR="00875020" w:rsidRPr="00365E95">
        <w:t xml:space="preserve"> adjustment to the sampling weights. This will help reduc</w:t>
      </w:r>
      <w:r w:rsidR="00285866">
        <w:t>e</w:t>
      </w:r>
      <w:r w:rsidR="00875020" w:rsidRPr="00365E95">
        <w:t xml:space="preserve"> the </w:t>
      </w:r>
      <w:r w:rsidR="00D76C0A" w:rsidRPr="00D76C0A">
        <w:t>NRB</w:t>
      </w:r>
      <w:r w:rsidR="00875020" w:rsidRPr="00365E95">
        <w:t xml:space="preserve"> to the maximum extent possible. Countries with low response rates</w:t>
      </w:r>
      <w:r w:rsidR="00AE03B4">
        <w:t xml:space="preserve"> (see below)</w:t>
      </w:r>
      <w:r w:rsidR="00875020" w:rsidRPr="00365E95">
        <w:t xml:space="preserve"> are then asked to evaluate the potential for remaining bias using final adjusted weights.</w:t>
      </w:r>
    </w:p>
    <w:p w:rsidR="00037783" w:rsidRPr="00365E95" w:rsidRDefault="00037783" w:rsidP="00C15F40"/>
    <w:p w:rsidR="00365E95" w:rsidRDefault="00875020" w:rsidP="00C15F40">
      <w:r>
        <w:t xml:space="preserve">The </w:t>
      </w:r>
      <w:r w:rsidR="00D76C0A" w:rsidRPr="00D76C0A">
        <w:t>NRB</w:t>
      </w:r>
      <w:r>
        <w:t xml:space="preserve"> analyses conducted prior to weighting are referred to as the basic analysis and are </w:t>
      </w:r>
      <w:r w:rsidR="00365E95">
        <w:t xml:space="preserve">described in Section </w:t>
      </w:r>
      <w:r w:rsidR="007526F4">
        <w:t>3.3.1</w:t>
      </w:r>
      <w:r w:rsidR="00365E95">
        <w:t xml:space="preserve">. </w:t>
      </w:r>
      <w:r w:rsidR="00835505">
        <w:t>C</w:t>
      </w:r>
      <w:r w:rsidR="00365E95">
        <w:t xml:space="preserve">ountries will be required to conduct a more extensive </w:t>
      </w:r>
      <w:r w:rsidR="00D76C0A" w:rsidRPr="00D76C0A">
        <w:t>NRB</w:t>
      </w:r>
      <w:r w:rsidR="00365E95">
        <w:t xml:space="preserve"> analysis </w:t>
      </w:r>
      <w:r w:rsidR="007526F4">
        <w:t xml:space="preserve">for each stage </w:t>
      </w:r>
      <w:r w:rsidR="00AE03B4">
        <w:t>of</w:t>
      </w:r>
      <w:r w:rsidR="007526F4">
        <w:t xml:space="preserve"> data collection</w:t>
      </w:r>
      <w:r w:rsidR="00A8663C">
        <w:t xml:space="preserve"> </w:t>
      </w:r>
      <w:r w:rsidR="00365E95">
        <w:t>(screener, BQ/JRA, and assessment)</w:t>
      </w:r>
      <w:r w:rsidR="007526F4">
        <w:t xml:space="preserve"> </w:t>
      </w:r>
      <w:r w:rsidR="00365E95">
        <w:t>with less than an 80% re</w:t>
      </w:r>
      <w:r w:rsidR="007526F4">
        <w:t xml:space="preserve">sponse rate and </w:t>
      </w:r>
      <w:r w:rsidR="00365E95">
        <w:t>if the overall response rate is less than 70%.</w:t>
      </w:r>
      <w:r w:rsidR="00A8663C">
        <w:t xml:space="preserve"> </w:t>
      </w:r>
      <w:r w:rsidR="00365E95">
        <w:t xml:space="preserve">Section </w:t>
      </w:r>
      <w:r w:rsidR="007526F4">
        <w:t>3.3.2</w:t>
      </w:r>
      <w:r w:rsidR="00365E95">
        <w:t xml:space="preserve"> provides preliminary plans for conducting the </w:t>
      </w:r>
      <w:r w:rsidR="007526F4">
        <w:t>ext</w:t>
      </w:r>
      <w:r w:rsidR="00365E95">
        <w:t>end</w:t>
      </w:r>
      <w:r w:rsidR="007526F4">
        <w:t xml:space="preserve">ed </w:t>
      </w:r>
      <w:r w:rsidR="00D76C0A" w:rsidRPr="00D76C0A">
        <w:t>NRB</w:t>
      </w:r>
      <w:r w:rsidR="007526F4">
        <w:t xml:space="preserve"> analysis</w:t>
      </w:r>
      <w:r w:rsidR="00D63617">
        <w:t>,</w:t>
      </w:r>
      <w:r w:rsidR="007526F4">
        <w:t xml:space="preserve"> including some examples using similar </w:t>
      </w:r>
      <w:r w:rsidR="00D63617">
        <w:t>compet</w:t>
      </w:r>
      <w:r w:rsidR="007C7A86">
        <w:t>e</w:t>
      </w:r>
      <w:r w:rsidR="00D63617">
        <w:t xml:space="preserve">ncy </w:t>
      </w:r>
      <w:r w:rsidR="007526F4">
        <w:t>surveys</w:t>
      </w:r>
      <w:r w:rsidR="00365E95">
        <w:t>.</w:t>
      </w:r>
    </w:p>
    <w:p w:rsidR="00365E95" w:rsidRDefault="00365E95" w:rsidP="00C15F40"/>
    <w:p w:rsidR="00446CB0" w:rsidRPr="007526F4" w:rsidRDefault="00E40378" w:rsidP="00C15F40">
      <w:r>
        <w:t>The focus of this document is on unit response rate (not item response rate). Refer to the TSG for details on the item response rate goals</w:t>
      </w:r>
      <w:r w:rsidR="00B54821">
        <w:t xml:space="preserve"> and analyses</w:t>
      </w:r>
      <w:r>
        <w:t>.</w:t>
      </w:r>
    </w:p>
    <w:p w:rsidR="00441830" w:rsidRPr="00B92418" w:rsidRDefault="00441830" w:rsidP="007246A4">
      <w:pPr>
        <w:pStyle w:val="Default"/>
        <w:rPr>
          <w:rFonts w:ascii="Times New Roman" w:hAnsi="Times New Roman" w:cs="Times New Roman"/>
          <w:color w:val="auto"/>
          <w:sz w:val="22"/>
          <w:szCs w:val="22"/>
        </w:rPr>
      </w:pPr>
    </w:p>
    <w:p w:rsidR="009C2AAC" w:rsidRDefault="009C2AAC" w:rsidP="00784BC4">
      <w:pPr>
        <w:pStyle w:val="Heading2"/>
        <w:jc w:val="center"/>
      </w:pPr>
    </w:p>
    <w:p w:rsidR="00B97419" w:rsidRDefault="00B97419">
      <w:pPr>
        <w:spacing w:after="200" w:line="276" w:lineRule="auto"/>
        <w:jc w:val="left"/>
        <w:rPr>
          <w:b/>
        </w:rPr>
      </w:pPr>
      <w:bookmarkStart w:id="13" w:name="_Toc255808919"/>
      <w:r>
        <w:br w:type="page"/>
      </w:r>
    </w:p>
    <w:p w:rsidR="003671BF" w:rsidRPr="00AF5B2E" w:rsidRDefault="00523F0C" w:rsidP="00784BC4">
      <w:pPr>
        <w:pStyle w:val="Heading2"/>
        <w:jc w:val="center"/>
      </w:pPr>
      <w:r>
        <w:lastRenderedPageBreak/>
        <w:t xml:space="preserve">2. </w:t>
      </w:r>
      <w:r w:rsidR="00AF5B2E" w:rsidRPr="00AF5B2E">
        <w:t>PROBABILITY SAMPLES AND UNBIASED ESTIMATES</w:t>
      </w:r>
      <w:bookmarkEnd w:id="13"/>
    </w:p>
    <w:p w:rsidR="00F549AB" w:rsidRPr="00C15F40" w:rsidRDefault="001E529E" w:rsidP="00C15F40">
      <w:r w:rsidRPr="00C15F40">
        <w:t>P</w:t>
      </w:r>
      <w:r w:rsidR="00B174DB" w:rsidRPr="00C15F40">
        <w:t xml:space="preserve">robability sampling is essential for </w:t>
      </w:r>
      <w:r w:rsidRPr="00C15F40">
        <w:t xml:space="preserve">PIAAC for </w:t>
      </w:r>
      <w:r w:rsidR="00B174DB" w:rsidRPr="00C15F40">
        <w:t xml:space="preserve">two main reasons. First, probability sampling </w:t>
      </w:r>
      <w:r w:rsidRPr="00C15F40">
        <w:t>contains</w:t>
      </w:r>
      <w:r w:rsidR="00B174DB" w:rsidRPr="00C15F40">
        <w:t xml:space="preserve"> a set of designs that leads to a variety of unbiased sampling approaches that allow analysts to generalise the results to the target population. Second, measures of precision related to survey estimates can be computed only under a probability design. The production of unbiased estimates assumes that</w:t>
      </w:r>
      <w:r w:rsidR="00F549AB" w:rsidRPr="00C15F40">
        <w:t xml:space="preserve"> every eligible adult in the target population would have a nonzero chance of selection </w:t>
      </w:r>
      <w:r w:rsidR="00B174DB" w:rsidRPr="00C15F40">
        <w:t xml:space="preserve">(exclusion rate is equal to zero) </w:t>
      </w:r>
      <w:r w:rsidR="00F549AB" w:rsidRPr="00C15F40">
        <w:t>in a national sample, and would be located, agree to participate in the study, and respond to all survey items</w:t>
      </w:r>
      <w:r w:rsidR="00B174DB" w:rsidRPr="00C15F40">
        <w:t xml:space="preserve"> (100</w:t>
      </w:r>
      <w:r w:rsidR="00D63617">
        <w:t>%</w:t>
      </w:r>
      <w:r w:rsidR="004E2904" w:rsidRPr="00C15F40">
        <w:t xml:space="preserve"> response rate</w:t>
      </w:r>
      <w:r w:rsidR="00B174DB" w:rsidRPr="00C15F40">
        <w:t>)</w:t>
      </w:r>
      <w:r w:rsidR="00F549AB" w:rsidRPr="00C15F40">
        <w:t>. In practice, these circumstances are not realised in any survey population. Missing data occur</w:t>
      </w:r>
      <w:r w:rsidR="00B174DB" w:rsidRPr="00C15F40">
        <w:t>s</w:t>
      </w:r>
      <w:r w:rsidR="00F549AB" w:rsidRPr="00C15F40">
        <w:t xml:space="preserve"> when</w:t>
      </w:r>
      <w:r w:rsidR="00B174DB" w:rsidRPr="00C15F40">
        <w:t>; 1) subsets of the target population are excluded from the sampling frame,</w:t>
      </w:r>
      <w:r w:rsidR="00F549AB" w:rsidRPr="00C15F40">
        <w:t xml:space="preserve"> </w:t>
      </w:r>
      <w:r w:rsidR="004E2904" w:rsidRPr="00C15F40">
        <w:t>2)</w:t>
      </w:r>
      <w:r w:rsidR="00B174DB" w:rsidRPr="00C15F40">
        <w:t xml:space="preserve"> </w:t>
      </w:r>
      <w:r w:rsidR="00F549AB" w:rsidRPr="00C15F40">
        <w:t xml:space="preserve">some of the adults selected in the sample are not contacted or refuse to participate (referred to as unit nonresponse), </w:t>
      </w:r>
      <w:r w:rsidR="00B174DB" w:rsidRPr="00C15F40">
        <w:t xml:space="preserve">3) </w:t>
      </w:r>
      <w:r w:rsidR="00F549AB" w:rsidRPr="00C15F40">
        <w:t xml:space="preserve">they fail to respond to a particular survey item (referred to as item nonresponse), </w:t>
      </w:r>
      <w:r w:rsidR="00AE03B4">
        <w:t>or 4)</w:t>
      </w:r>
      <w:r w:rsidR="00F549AB" w:rsidRPr="00C15F40">
        <w:t xml:space="preserve"> because data collected from the sampled adults is contaminated (and thus not useful) or lost during or after the data collection phase.</w:t>
      </w:r>
      <w:r w:rsidR="00B174DB" w:rsidRPr="00C15F40">
        <w:t xml:space="preserve"> </w:t>
      </w:r>
      <w:r w:rsidR="003F12CB" w:rsidRPr="00C15F40">
        <w:t>The statistical theory behind unbiased survey estimates and associated precision levels are not true any</w:t>
      </w:r>
      <w:r w:rsidR="00C70692" w:rsidRPr="00C15F40">
        <w:t xml:space="preserve">more when </w:t>
      </w:r>
      <w:r w:rsidR="003F12CB" w:rsidRPr="00C15F40">
        <w:t>data is missing for the units selected into the probability sample.</w:t>
      </w:r>
      <w:r w:rsidR="00D56FA4" w:rsidRPr="00C15F40">
        <w:t xml:space="preserve"> </w:t>
      </w:r>
    </w:p>
    <w:p w:rsidR="00F549AB" w:rsidRPr="00B92418" w:rsidRDefault="00F549AB" w:rsidP="00C15F40"/>
    <w:p w:rsidR="000B463C" w:rsidRDefault="00D76C0A" w:rsidP="00C15F40">
      <w:r w:rsidRPr="00D76C0A">
        <w:t>NRB</w:t>
      </w:r>
      <w:r w:rsidR="00BF129D" w:rsidRPr="00BF129D">
        <w:t xml:space="preserve"> (due to missing data for selected adults) can be substantial when two conditions hold: 1) the response rate is relatively low and 2) the difference between the competency levels of respondents and those of </w:t>
      </w:r>
      <w:proofErr w:type="spellStart"/>
      <w:r w:rsidR="00BF129D" w:rsidRPr="00BF129D">
        <w:t>nonrespondents</w:t>
      </w:r>
      <w:proofErr w:type="spellEnd"/>
      <w:r w:rsidR="00BF129D" w:rsidRPr="00BF129D">
        <w:t xml:space="preserve"> is relatively large. This is reflected in the following deterministic </w:t>
      </w:r>
      <w:r w:rsidRPr="00D76C0A">
        <w:t>NRB</w:t>
      </w:r>
      <w:r w:rsidR="00BF129D" w:rsidRPr="00BF129D">
        <w:t xml:space="preserve"> formula:</w:t>
      </w:r>
    </w:p>
    <w:p w:rsidR="00D63617" w:rsidRPr="00B92418" w:rsidRDefault="00D63617" w:rsidP="00C15F40"/>
    <w:p w:rsidR="00540E4B" w:rsidRDefault="0054006F" w:rsidP="00AF5B2E">
      <w:pPr>
        <w:pStyle w:val="CM4"/>
        <w:jc w:val="center"/>
        <w:rPr>
          <w:sz w:val="22"/>
          <w:szCs w:val="22"/>
        </w:rPr>
      </w:pPr>
      <w:r w:rsidRPr="00AF5B2E">
        <w:rPr>
          <w:position w:val="-12"/>
          <w:sz w:val="22"/>
          <w:szCs w:val="22"/>
        </w:rPr>
        <w:object w:dxaOrig="2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9.5pt" o:ole="">
            <v:imagedata r:id="rId14" o:title=""/>
          </v:shape>
          <o:OLEObject Type="Embed" ProgID="Equation.DSMT4" ShapeID="_x0000_i1025" DrawAspect="Content" ObjectID="_1422897835" r:id="rId15"/>
        </w:object>
      </w:r>
      <w:r w:rsidR="00540E4B">
        <w:rPr>
          <w:sz w:val="22"/>
          <w:szCs w:val="22"/>
        </w:rPr>
        <w:t>,</w:t>
      </w:r>
    </w:p>
    <w:p w:rsidR="00540E4B" w:rsidRDefault="00540E4B" w:rsidP="00CA132B">
      <w:pPr>
        <w:pStyle w:val="CM4"/>
        <w:jc w:val="both"/>
        <w:rPr>
          <w:sz w:val="22"/>
          <w:szCs w:val="22"/>
        </w:rPr>
      </w:pPr>
    </w:p>
    <w:p w:rsidR="00CA132B" w:rsidRDefault="000B463C" w:rsidP="00C15F40">
      <w:r w:rsidRPr="00B92418">
        <w:t xml:space="preserve">where </w:t>
      </w:r>
      <w:r w:rsidRPr="00B92418">
        <w:rPr>
          <w:i/>
          <w:iCs/>
        </w:rPr>
        <w:t>W</w:t>
      </w:r>
      <w:r w:rsidRPr="0054006F">
        <w:rPr>
          <w:i/>
          <w:iCs/>
          <w:vertAlign w:val="subscript"/>
        </w:rPr>
        <w:t>R</w:t>
      </w:r>
      <w:r w:rsidRPr="00B92418">
        <w:rPr>
          <w:i/>
          <w:iCs/>
        </w:rPr>
        <w:t xml:space="preserve"> </w:t>
      </w:r>
      <w:r w:rsidRPr="00B92418">
        <w:t xml:space="preserve">is the proportion of respondents, </w:t>
      </w:r>
      <w:r w:rsidRPr="00B92418">
        <w:rPr>
          <w:i/>
          <w:iCs/>
        </w:rPr>
        <w:t>Y</w:t>
      </w:r>
      <w:r w:rsidRPr="00B92418">
        <w:rPr>
          <w:i/>
          <w:iCs/>
          <w:position w:val="-5"/>
          <w:vertAlign w:val="subscript"/>
        </w:rPr>
        <w:t>R</w:t>
      </w:r>
      <w:r w:rsidRPr="00B92418">
        <w:t xml:space="preserve"> is the mean outcome for respondents, and </w:t>
      </w:r>
      <w:r w:rsidRPr="00B92418">
        <w:rPr>
          <w:i/>
          <w:iCs/>
        </w:rPr>
        <w:t>Y</w:t>
      </w:r>
      <w:r w:rsidRPr="00B92418">
        <w:rPr>
          <w:i/>
          <w:iCs/>
          <w:position w:val="-5"/>
          <w:vertAlign w:val="subscript"/>
        </w:rPr>
        <w:t xml:space="preserve">NR </w:t>
      </w:r>
      <w:r w:rsidRPr="00B92418">
        <w:t xml:space="preserve">is the </w:t>
      </w:r>
      <w:r w:rsidR="00CA132B">
        <w:t xml:space="preserve">mean outcome for </w:t>
      </w:r>
      <w:proofErr w:type="spellStart"/>
      <w:r w:rsidR="00CA132B">
        <w:t>nonrespondents</w:t>
      </w:r>
      <w:proofErr w:type="spellEnd"/>
      <w:r w:rsidR="00CA132B">
        <w:t>.</w:t>
      </w:r>
    </w:p>
    <w:p w:rsidR="00285866" w:rsidRDefault="00285866" w:rsidP="00C15F40"/>
    <w:p w:rsidR="005803F0" w:rsidRDefault="005803F0" w:rsidP="00C15F40">
      <w:r>
        <w:t xml:space="preserve">Similarly, </w:t>
      </w:r>
      <w:proofErr w:type="spellStart"/>
      <w:r w:rsidR="00285866">
        <w:t>undercoverage</w:t>
      </w:r>
      <w:proofErr w:type="spellEnd"/>
      <w:r w:rsidR="00285866">
        <w:t xml:space="preserve"> </w:t>
      </w:r>
      <w:r>
        <w:t xml:space="preserve">bias </w:t>
      </w:r>
      <w:r w:rsidRPr="00B92418">
        <w:t>(due to exclusions)</w:t>
      </w:r>
      <w:r>
        <w:t xml:space="preserve"> can be substantial</w:t>
      </w:r>
      <w:r w:rsidRPr="00B92418">
        <w:t xml:space="preserve"> </w:t>
      </w:r>
      <w:r w:rsidR="00285866">
        <w:t xml:space="preserve">if 1) </w:t>
      </w:r>
      <w:proofErr w:type="spellStart"/>
      <w:r w:rsidR="00285866">
        <w:t>undercoverage</w:t>
      </w:r>
      <w:proofErr w:type="spellEnd"/>
      <w:r>
        <w:t xml:space="preserve"> rate is high, and 2) the difference in competency levels between adults included in the sample and those excluded from the frame is relatively large.</w:t>
      </w:r>
      <w:r w:rsidR="00350A1A">
        <w:t xml:space="preserve"> PIAAC TSG sets the maximum allowable exclusion rate at 5</w:t>
      </w:r>
      <w:r w:rsidR="00D63617">
        <w:t>%</w:t>
      </w:r>
      <w:r w:rsidR="00350A1A">
        <w:t xml:space="preserve"> to guard against high </w:t>
      </w:r>
      <w:proofErr w:type="spellStart"/>
      <w:r w:rsidR="00285866">
        <w:t>undercoverage</w:t>
      </w:r>
      <w:proofErr w:type="spellEnd"/>
      <w:r w:rsidR="00285866">
        <w:t xml:space="preserve"> </w:t>
      </w:r>
      <w:r w:rsidR="00350A1A">
        <w:t>bias in PIAAC estimates.</w:t>
      </w:r>
    </w:p>
    <w:p w:rsidR="00C15F40" w:rsidRDefault="00C15F40" w:rsidP="00C15F40"/>
    <w:p w:rsidR="00CA132B" w:rsidRDefault="00CA132B" w:rsidP="00C15F40">
      <w:r>
        <w:t>Given the relationship</w:t>
      </w:r>
      <w:r w:rsidR="005803F0">
        <w:t>s</w:t>
      </w:r>
      <w:r>
        <w:t xml:space="preserve"> between bias and </w:t>
      </w:r>
      <w:proofErr w:type="spellStart"/>
      <w:r w:rsidR="00285866">
        <w:t>undercoverage</w:t>
      </w:r>
      <w:proofErr w:type="spellEnd"/>
      <w:r w:rsidR="00285866">
        <w:t xml:space="preserve"> </w:t>
      </w:r>
      <w:r w:rsidR="005803F0">
        <w:t xml:space="preserve">and </w:t>
      </w:r>
      <w:r>
        <w:t xml:space="preserve">response rates, </w:t>
      </w:r>
      <w:r w:rsidR="00FE4098">
        <w:t>c</w:t>
      </w:r>
      <w:r w:rsidR="00FE4098" w:rsidRPr="00B92418">
        <w:t>ountries must</w:t>
      </w:r>
      <w:r w:rsidR="005803F0">
        <w:t xml:space="preserve"> keep the exclusion rates low and</w:t>
      </w:r>
      <w:r w:rsidR="00FE4098" w:rsidRPr="00B92418">
        <w:t xml:space="preserve"> implement procedures to </w:t>
      </w:r>
      <w:r w:rsidR="00FE4098">
        <w:t xml:space="preserve">reduce the potential for </w:t>
      </w:r>
      <w:r w:rsidR="00D76C0A" w:rsidRPr="00D76C0A">
        <w:t>NRB</w:t>
      </w:r>
      <w:r w:rsidR="00FE4098">
        <w:t xml:space="preserve"> and </w:t>
      </w:r>
      <w:r w:rsidR="00FE4098" w:rsidRPr="00B92418">
        <w:t>attain high response rates</w:t>
      </w:r>
      <w:r w:rsidR="00FE4098">
        <w:t>.</w:t>
      </w:r>
    </w:p>
    <w:p w:rsidR="00C15F40" w:rsidRPr="00B92418" w:rsidRDefault="00C15F40" w:rsidP="00C15F40"/>
    <w:p w:rsidR="000B463C" w:rsidRPr="00B92418" w:rsidRDefault="000B463C" w:rsidP="00C15F40">
      <w:r w:rsidRPr="00B92418">
        <w:t xml:space="preserve">An alternative model of nonresponse assumes each sampled person has a certain propensity to respond, and </w:t>
      </w:r>
      <w:r w:rsidR="00D76C0A" w:rsidRPr="00D76C0A">
        <w:t>NRB</w:t>
      </w:r>
      <w:r w:rsidRPr="00B92418">
        <w:t xml:space="preserve"> in a characteristic is a function of the covariance between the response propensity and the characteristic: </w:t>
      </w:r>
    </w:p>
    <w:p w:rsidR="00540E4B" w:rsidRDefault="00AF5B2E" w:rsidP="00AF5B2E">
      <w:pPr>
        <w:pStyle w:val="CM19"/>
        <w:spacing w:after="115"/>
        <w:jc w:val="center"/>
        <w:rPr>
          <w:sz w:val="22"/>
          <w:szCs w:val="22"/>
        </w:rPr>
      </w:pPr>
      <w:r w:rsidRPr="00650248">
        <w:rPr>
          <w:position w:val="-28"/>
          <w:sz w:val="22"/>
          <w:szCs w:val="22"/>
        </w:rPr>
        <w:object w:dxaOrig="1600" w:dyaOrig="700">
          <v:shape id="_x0000_i1026" type="#_x0000_t75" style="width:79.5pt;height:34.5pt" o:ole="">
            <v:imagedata r:id="rId16" o:title=""/>
          </v:shape>
          <o:OLEObject Type="Embed" ProgID="Equation.DSMT4" ShapeID="_x0000_i1026" DrawAspect="Content" ObjectID="_1422897836" r:id="rId17"/>
        </w:object>
      </w:r>
      <w:r w:rsidR="00540E4B">
        <w:rPr>
          <w:sz w:val="22"/>
          <w:szCs w:val="22"/>
        </w:rPr>
        <w:t>,</w:t>
      </w:r>
    </w:p>
    <w:p w:rsidR="00CA132B" w:rsidRPr="00AD30E0" w:rsidRDefault="0054006F" w:rsidP="00AD30E0">
      <w:r>
        <w:t xml:space="preserve">where </w:t>
      </w:r>
      <w:proofErr w:type="spellStart"/>
      <w:r>
        <w:t>σ</w:t>
      </w:r>
      <w:r w:rsidR="00540E4B" w:rsidRPr="0054006F">
        <w:rPr>
          <w:i/>
          <w:iCs/>
          <w:vertAlign w:val="subscript"/>
        </w:rPr>
        <w:t>yp</w:t>
      </w:r>
      <w:proofErr w:type="spellEnd"/>
      <w:r w:rsidR="00A8663C">
        <w:t xml:space="preserve"> </w:t>
      </w:r>
      <w:r w:rsidR="000B463C" w:rsidRPr="00B92418">
        <w:t xml:space="preserve">is the covariance between the outcome variable and response propensity, and </w:t>
      </w:r>
      <w:r w:rsidR="000B463C" w:rsidRPr="00B92418">
        <w:rPr>
          <w:i/>
          <w:iCs/>
        </w:rPr>
        <w:t>p</w:t>
      </w:r>
      <w:r w:rsidR="000B463C" w:rsidRPr="00B92418">
        <w:t xml:space="preserve"> is the mean response propensity. </w:t>
      </w:r>
      <w:r w:rsidR="00CA132B" w:rsidRPr="00AD30E0">
        <w:t xml:space="preserve">Based on this model, </w:t>
      </w:r>
      <w:r w:rsidR="00D76C0A" w:rsidRPr="00D76C0A">
        <w:rPr>
          <w:iCs/>
        </w:rPr>
        <w:t>NRB</w:t>
      </w:r>
      <w:r w:rsidR="003D7C7D" w:rsidRPr="00AD30E0">
        <w:t xml:space="preserve"> is present if </w:t>
      </w:r>
      <w:proofErr w:type="spellStart"/>
      <w:r w:rsidR="003D7C7D" w:rsidRPr="00AD30E0">
        <w:t>missingness</w:t>
      </w:r>
      <w:proofErr w:type="spellEnd"/>
      <w:r w:rsidR="003D7C7D" w:rsidRPr="00AD30E0">
        <w:t xml:space="preserve"> is relate</w:t>
      </w:r>
      <w:r w:rsidR="00AD30E0" w:rsidRPr="00AD30E0">
        <w:t xml:space="preserve">d to competency, as measured </w:t>
      </w:r>
      <w:r w:rsidR="003D7C7D" w:rsidRPr="00AD30E0">
        <w:t>PIAAC</w:t>
      </w:r>
      <w:r w:rsidR="00CA132B" w:rsidRPr="00AD30E0">
        <w:t>.</w:t>
      </w:r>
    </w:p>
    <w:p w:rsidR="00AD30E0" w:rsidRPr="00AD30E0" w:rsidRDefault="00AD30E0" w:rsidP="00AD30E0"/>
    <w:p w:rsidR="00153CB0" w:rsidRPr="00B92418" w:rsidRDefault="00CA132B" w:rsidP="00C15F40">
      <w:r>
        <w:t xml:space="preserve">It is well known that </w:t>
      </w:r>
      <w:r w:rsidR="00D76C0A" w:rsidRPr="00D76C0A">
        <w:rPr>
          <w:iCs/>
        </w:rPr>
        <w:t>NRB</w:t>
      </w:r>
      <w:r w:rsidR="003D7C7D" w:rsidRPr="00CA132B">
        <w:rPr>
          <w:i/>
          <w:iCs/>
        </w:rPr>
        <w:t xml:space="preserve"> </w:t>
      </w:r>
      <w:r w:rsidR="003D7C7D" w:rsidRPr="00CA132B">
        <w:t xml:space="preserve">can be reduced to some unknown extent through </w:t>
      </w:r>
      <w:r w:rsidR="00FE4098">
        <w:t xml:space="preserve">sample </w:t>
      </w:r>
      <w:r w:rsidR="003D7C7D" w:rsidRPr="00CA132B">
        <w:t>weighting if competency is correlated with auxiliary variables, and auxiliary variables are correlated with response propensity</w:t>
      </w:r>
      <w:r>
        <w:t>.</w:t>
      </w:r>
      <w:r w:rsidR="00FC1C0E">
        <w:t xml:space="preserve"> Weighting assumes</w:t>
      </w:r>
      <w:r w:rsidR="00FE4098">
        <w:t xml:space="preserve"> r</w:t>
      </w:r>
      <w:r w:rsidR="00153CB0" w:rsidRPr="00B92418">
        <w:t>esponse probabilities are constant within every group</w:t>
      </w:r>
      <w:r w:rsidR="00FE4098" w:rsidRPr="00FE4098">
        <w:t xml:space="preserve"> </w:t>
      </w:r>
      <w:r w:rsidR="00FE4098" w:rsidRPr="00B92418">
        <w:t>created for weight adjustment</w:t>
      </w:r>
      <w:r w:rsidR="00FE4098">
        <w:t>, t</w:t>
      </w:r>
      <w:r w:rsidR="00153CB0" w:rsidRPr="00B92418">
        <w:t>he competency score has zero variance within each group</w:t>
      </w:r>
      <w:r w:rsidR="00FE4098">
        <w:t>, and r</w:t>
      </w:r>
      <w:r w:rsidR="00153CB0" w:rsidRPr="00B92418">
        <w:t>esponse propensity is uncorrelated with competency</w:t>
      </w:r>
      <w:r w:rsidR="00FE4098">
        <w:t>.</w:t>
      </w:r>
      <w:r w:rsidR="004C5A67">
        <w:t xml:space="preserve"> </w:t>
      </w:r>
      <w:r w:rsidR="00D63617">
        <w:t>It is known that</w:t>
      </w:r>
      <w:r w:rsidR="004C5A67" w:rsidRPr="00B92418">
        <w:t xml:space="preserve"> th</w:t>
      </w:r>
      <w:r w:rsidR="004C5A67">
        <w:t xml:space="preserve">ese </w:t>
      </w:r>
      <w:r w:rsidR="004C5A67" w:rsidRPr="00B92418">
        <w:t>assumption</w:t>
      </w:r>
      <w:r w:rsidR="004C5A67">
        <w:t>s</w:t>
      </w:r>
      <w:r w:rsidR="004C5A67" w:rsidRPr="00B92418">
        <w:t xml:space="preserve"> </w:t>
      </w:r>
      <w:r w:rsidR="004C5A67">
        <w:t>are</w:t>
      </w:r>
      <w:r w:rsidR="004C5A67" w:rsidRPr="00B92418">
        <w:t xml:space="preserve"> not correct</w:t>
      </w:r>
      <w:r w:rsidR="00D63617">
        <w:t>,</w:t>
      </w:r>
      <w:r w:rsidR="004C5A67" w:rsidRPr="00B92418">
        <w:t xml:space="preserve"> and</w:t>
      </w:r>
      <w:r w:rsidR="004C5A67">
        <w:t xml:space="preserve"> the impact of weight adjustments</w:t>
      </w:r>
      <w:r w:rsidR="004C5A67" w:rsidRPr="00B92418">
        <w:t xml:space="preserve"> is limited to the number of variables </w:t>
      </w:r>
      <w:r w:rsidR="004C5A67">
        <w:t>(correlated with competency) available</w:t>
      </w:r>
      <w:r w:rsidR="004C5A67" w:rsidRPr="00B92418">
        <w:t xml:space="preserve"> for nonresponse adjustment</w:t>
      </w:r>
      <w:r w:rsidR="004C5A67">
        <w:t>. Also,</w:t>
      </w:r>
      <w:r w:rsidR="00DF1C81">
        <w:t xml:space="preserve"> </w:t>
      </w:r>
      <w:r w:rsidR="004C5A67">
        <w:t>i</w:t>
      </w:r>
      <w:r w:rsidR="00FE4098">
        <w:t xml:space="preserve">t is not possible to </w:t>
      </w:r>
      <w:r w:rsidR="003874B4">
        <w:t>meas</w:t>
      </w:r>
      <w:r w:rsidR="00DF1C81">
        <w:t>ure</w:t>
      </w:r>
      <w:r w:rsidR="00FE4098">
        <w:t xml:space="preserve"> the exact departure from these assumptions since c</w:t>
      </w:r>
      <w:r w:rsidR="00153CB0" w:rsidRPr="00B92418">
        <w:t xml:space="preserve">ompetency levels of </w:t>
      </w:r>
      <w:proofErr w:type="spellStart"/>
      <w:r w:rsidR="00153CB0" w:rsidRPr="00B92418">
        <w:t>nonrespondents</w:t>
      </w:r>
      <w:proofErr w:type="spellEnd"/>
      <w:r w:rsidR="00153CB0" w:rsidRPr="00B92418">
        <w:t xml:space="preserve"> </w:t>
      </w:r>
      <w:r w:rsidR="00FE4098">
        <w:t>are</w:t>
      </w:r>
      <w:r w:rsidR="00153CB0" w:rsidRPr="00B92418">
        <w:t xml:space="preserve"> not known</w:t>
      </w:r>
      <w:r w:rsidR="004C5A67">
        <w:t xml:space="preserve">. </w:t>
      </w:r>
      <w:r w:rsidR="00FE4098">
        <w:t>It is</w:t>
      </w:r>
      <w:r w:rsidR="00D63617">
        <w:t>,</w:t>
      </w:r>
      <w:r w:rsidR="00FE4098">
        <w:t xml:space="preserve"> therefore</w:t>
      </w:r>
      <w:r w:rsidR="00D63617">
        <w:t>,</w:t>
      </w:r>
      <w:r w:rsidR="00FE4098">
        <w:t xml:space="preserve"> necessary to evaluate </w:t>
      </w:r>
      <w:r w:rsidR="00D76C0A" w:rsidRPr="00D76C0A">
        <w:t>NRB</w:t>
      </w:r>
      <w:r w:rsidR="00FE4098">
        <w:t xml:space="preserve"> when response rates </w:t>
      </w:r>
      <w:r w:rsidR="001C4A36">
        <w:t>are low</w:t>
      </w:r>
      <w:r w:rsidR="00FE4098">
        <w:t>.</w:t>
      </w:r>
    </w:p>
    <w:p w:rsidR="00AF5B2E" w:rsidRDefault="00AF5B2E" w:rsidP="00C15F40"/>
    <w:p w:rsidR="009C2AAC" w:rsidRDefault="009C2AAC">
      <w:pPr>
        <w:spacing w:after="200" w:line="276" w:lineRule="auto"/>
        <w:jc w:val="left"/>
        <w:rPr>
          <w:b/>
        </w:rPr>
      </w:pPr>
      <w:r>
        <w:br w:type="page"/>
      </w:r>
    </w:p>
    <w:p w:rsidR="00ED7163" w:rsidRPr="00AF5B2E" w:rsidRDefault="00784BC4" w:rsidP="00784BC4">
      <w:pPr>
        <w:pStyle w:val="Heading2"/>
        <w:jc w:val="center"/>
      </w:pPr>
      <w:bookmarkStart w:id="14" w:name="_Toc255808920"/>
      <w:r>
        <w:lastRenderedPageBreak/>
        <w:t>3. PIAAC DATA QUALITY GOAL</w:t>
      </w:r>
      <w:r>
        <w:br/>
      </w:r>
      <w:r w:rsidR="00AF5B2E" w:rsidRPr="00AF5B2E">
        <w:t xml:space="preserve">REDUCE </w:t>
      </w:r>
      <w:r w:rsidR="00D76C0A" w:rsidRPr="00327F76">
        <w:t>NRB</w:t>
      </w:r>
      <w:r w:rsidR="00AF5B2E" w:rsidRPr="00AF5B2E">
        <w:t xml:space="preserve"> BEFORE, DURING, AND AFTER DATA COLLECTION</w:t>
      </w:r>
      <w:bookmarkEnd w:id="14"/>
    </w:p>
    <w:p w:rsidR="00C35B24" w:rsidRDefault="007E7F4E" w:rsidP="00C15F40">
      <w:r w:rsidRPr="00E971FB">
        <w:t xml:space="preserve">There are several ways to reduce the potential for </w:t>
      </w:r>
      <w:r w:rsidR="00D76C0A" w:rsidRPr="00D76C0A">
        <w:t>NRB</w:t>
      </w:r>
      <w:r w:rsidRPr="00E971FB">
        <w:t xml:space="preserve">. First and foremost is to plan and implement field procedures that obtain a high level of cooperation. Section </w:t>
      </w:r>
      <w:r w:rsidR="003874B4">
        <w:t>3.1</w:t>
      </w:r>
      <w:r w:rsidRPr="00E971FB">
        <w:t xml:space="preserve"> provides a brief overview of steps that countries should take to plan and implement effective survey operation procedures to reduce the potential for bias.</w:t>
      </w:r>
    </w:p>
    <w:p w:rsidR="00C35B24" w:rsidRDefault="00C35B24" w:rsidP="00C15F40"/>
    <w:p w:rsidR="00C35B24" w:rsidRDefault="000109FC" w:rsidP="00C15F40">
      <w:r w:rsidRPr="00E971FB">
        <w:t>Second, i</w:t>
      </w:r>
      <w:r w:rsidR="007E7F4E" w:rsidRPr="00E971FB">
        <w:t xml:space="preserve">t is also critical to monitor the field </w:t>
      </w:r>
      <w:r w:rsidR="00C35B24">
        <w:t>when</w:t>
      </w:r>
      <w:r w:rsidR="00C35B24" w:rsidRPr="00E971FB">
        <w:t xml:space="preserve"> </w:t>
      </w:r>
      <w:r w:rsidR="007E7F4E" w:rsidRPr="00E971FB">
        <w:t>data collection is in progress and monitor the distribution of the sample during data collection to ensure steps are taken to re</w:t>
      </w:r>
      <w:r w:rsidR="00297A79" w:rsidRPr="00E971FB">
        <w:t>d</w:t>
      </w:r>
      <w:r w:rsidR="007E7F4E" w:rsidRPr="00E971FB">
        <w:t>uce the potential for bias as much as possi</w:t>
      </w:r>
      <w:r w:rsidRPr="00E971FB">
        <w:t xml:space="preserve">ble. Section </w:t>
      </w:r>
      <w:r w:rsidR="003874B4">
        <w:t>3.2</w:t>
      </w:r>
      <w:r w:rsidRPr="00E971FB">
        <w:t xml:space="preserve"> contains a brief summa</w:t>
      </w:r>
      <w:r w:rsidR="007E7F4E" w:rsidRPr="00E971FB">
        <w:t>ry of these steps.</w:t>
      </w:r>
    </w:p>
    <w:p w:rsidR="00C35B24" w:rsidRDefault="00C35B24" w:rsidP="00C15F40"/>
    <w:p w:rsidR="007E7F4E" w:rsidRPr="00E971FB" w:rsidRDefault="00297A79" w:rsidP="00C15F40">
      <w:r w:rsidRPr="00E971FB">
        <w:t>Finally, countries should search for auxiliary data that</w:t>
      </w:r>
      <w:r w:rsidR="00E971FB">
        <w:t xml:space="preserve"> can be used to evaluate the po</w:t>
      </w:r>
      <w:r w:rsidRPr="00E971FB">
        <w:t xml:space="preserve">tential for bias and that could be used to reduce the impact </w:t>
      </w:r>
      <w:r w:rsidR="00E968A0">
        <w:t xml:space="preserve">of </w:t>
      </w:r>
      <w:r w:rsidRPr="00E971FB">
        <w:t xml:space="preserve">nonresponse on survey estimates. </w:t>
      </w:r>
      <w:r w:rsidR="00C35B24">
        <w:t xml:space="preserve">Countries </w:t>
      </w:r>
      <w:r w:rsidR="00E971FB">
        <w:t>should evaluate the potential for remaining bias after weighting adjustments are completed if response rate falls below 70</w:t>
      </w:r>
      <w:r w:rsidR="00C35B24">
        <w:t>%</w:t>
      </w:r>
      <w:r w:rsidR="00E971FB">
        <w:t xml:space="preserve">. Section </w:t>
      </w:r>
      <w:r w:rsidR="003874B4">
        <w:t>3.3</w:t>
      </w:r>
      <w:r w:rsidR="00E971FB">
        <w:t xml:space="preserve"> d</w:t>
      </w:r>
      <w:r w:rsidR="00340A71">
        <w:t>e</w:t>
      </w:r>
      <w:r w:rsidR="00E971FB">
        <w:t>scribes the procedur</w:t>
      </w:r>
      <w:r w:rsidR="00340A71">
        <w:t>e</w:t>
      </w:r>
      <w:r w:rsidR="00E971FB">
        <w:t xml:space="preserve">s that need to be followed after the </w:t>
      </w:r>
      <w:r w:rsidR="00340A71">
        <w:t>data collection is comple</w:t>
      </w:r>
      <w:r w:rsidR="00E971FB">
        <w:t xml:space="preserve">ted. </w:t>
      </w:r>
    </w:p>
    <w:p w:rsidR="001F5B13" w:rsidRPr="00B92418" w:rsidRDefault="001F5B13" w:rsidP="00C15F40"/>
    <w:p w:rsidR="00B97419" w:rsidRDefault="00B97419">
      <w:pPr>
        <w:spacing w:after="200" w:line="276" w:lineRule="auto"/>
        <w:jc w:val="left"/>
      </w:pPr>
    </w:p>
    <w:p w:rsidR="003D7C7D" w:rsidRPr="001F5B13" w:rsidRDefault="00523F0C" w:rsidP="00784BC4">
      <w:pPr>
        <w:pStyle w:val="Heading1"/>
      </w:pPr>
      <w:bookmarkStart w:id="15" w:name="_Toc255808921"/>
      <w:r>
        <w:t xml:space="preserve">3.1 </w:t>
      </w:r>
      <w:r w:rsidR="003D7C7D" w:rsidRPr="001F5B13">
        <w:t xml:space="preserve">Reduce </w:t>
      </w:r>
      <w:r w:rsidR="00D76C0A" w:rsidRPr="00D76C0A">
        <w:rPr>
          <w:b w:val="0"/>
        </w:rPr>
        <w:t>NRB</w:t>
      </w:r>
      <w:r w:rsidR="003D7C7D" w:rsidRPr="001F5B13">
        <w:t xml:space="preserve"> Before Data Collection</w:t>
      </w:r>
      <w:bookmarkEnd w:id="15"/>
    </w:p>
    <w:p w:rsidR="001E2303" w:rsidRDefault="001E2303" w:rsidP="00C15F40">
      <w:r w:rsidRPr="00A6426B">
        <w:t xml:space="preserve">No single factor leads to </w:t>
      </w:r>
      <w:r w:rsidR="006B1F14">
        <w:t>obtaining</w:t>
      </w:r>
      <w:r w:rsidR="003E2ACB">
        <w:t xml:space="preserve"> high </w:t>
      </w:r>
      <w:r w:rsidRPr="00A6426B">
        <w:t>response rates</w:t>
      </w:r>
      <w:r w:rsidR="006B1F14">
        <w:t xml:space="preserve"> in any survey, especially large-scale national surveys.</w:t>
      </w:r>
      <w:r w:rsidR="0083575E">
        <w:t xml:space="preserve"> As mentioned above, countries need to focus</w:t>
      </w:r>
      <w:r w:rsidRPr="00A6426B">
        <w:t xml:space="preserve"> on a number of critical factors </w:t>
      </w:r>
      <w:r w:rsidR="0083575E">
        <w:t>that are</w:t>
      </w:r>
      <w:r w:rsidRPr="00A6426B">
        <w:t xml:space="preserve"> key to obtaining </w:t>
      </w:r>
      <w:r w:rsidR="00280B0D">
        <w:t xml:space="preserve">reliable data and </w:t>
      </w:r>
      <w:r w:rsidRPr="00A6426B">
        <w:t>highest response rates possible</w:t>
      </w:r>
      <w:r w:rsidR="0083575E">
        <w:t>.</w:t>
      </w:r>
    </w:p>
    <w:p w:rsidR="00C15F40" w:rsidRPr="00A6426B" w:rsidRDefault="00C15F40" w:rsidP="00C15F40"/>
    <w:p w:rsidR="001E2303" w:rsidRDefault="001E2303" w:rsidP="00C15F40">
      <w:r>
        <w:t>One of the most critical steps in improving response rates is to hire the most qualified staff for operating the survey. First, countries should attempt to h</w:t>
      </w:r>
      <w:r w:rsidRPr="00A6426B">
        <w:t xml:space="preserve">ire </w:t>
      </w:r>
      <w:r w:rsidRPr="001E2303">
        <w:t xml:space="preserve">interviewers </w:t>
      </w:r>
      <w:r w:rsidRPr="00A6426B">
        <w:t xml:space="preserve">with experience, </w:t>
      </w:r>
      <w:r>
        <w:t xml:space="preserve">good people skills, enthusiasm, </w:t>
      </w:r>
      <w:r w:rsidRPr="00A6426B">
        <w:t>perseverance</w:t>
      </w:r>
      <w:r w:rsidR="00C35B24">
        <w:t>,</w:t>
      </w:r>
      <w:r w:rsidRPr="00A6426B">
        <w:t xml:space="preserve"> and language skills necessary</w:t>
      </w:r>
      <w:r>
        <w:t xml:space="preserve"> to conduct PIAAC interviews. Countries should h</w:t>
      </w:r>
      <w:r w:rsidRPr="00A6426B">
        <w:t xml:space="preserve">ire some </w:t>
      </w:r>
      <w:r w:rsidRPr="001E2303">
        <w:t>senior interviewers to travel</w:t>
      </w:r>
      <w:r w:rsidRPr="00A6426B">
        <w:t xml:space="preserve"> to areas with high nonresponse if necessary</w:t>
      </w:r>
      <w:r>
        <w:t>. In addition, countries should h</w:t>
      </w:r>
      <w:r w:rsidRPr="00A6426B">
        <w:t xml:space="preserve">ire </w:t>
      </w:r>
      <w:r w:rsidRPr="001E2303">
        <w:t xml:space="preserve">supervisors </w:t>
      </w:r>
      <w:r w:rsidR="00037783">
        <w:t>with experience and</w:t>
      </w:r>
      <w:r w:rsidRPr="00A6426B">
        <w:t xml:space="preserve"> knowledge to mentor, motivate</w:t>
      </w:r>
      <w:r w:rsidR="00C35B24">
        <w:t>,</w:t>
      </w:r>
      <w:r w:rsidRPr="00A6426B">
        <w:t xml:space="preserve"> and monitor interviewers</w:t>
      </w:r>
      <w:r>
        <w:t xml:space="preserve">. There should be a </w:t>
      </w:r>
      <w:r w:rsidRPr="001E2303">
        <w:t>sufficient number</w:t>
      </w:r>
      <w:r w:rsidRPr="00A6426B">
        <w:t xml:space="preserve"> of interviewers and supervisors to conduct </w:t>
      </w:r>
      <w:r>
        <w:t>the field activities, taking into account the data collection period.</w:t>
      </w:r>
    </w:p>
    <w:p w:rsidR="00C15F40" w:rsidRPr="001E2303" w:rsidRDefault="00C15F40" w:rsidP="00C15F40"/>
    <w:p w:rsidR="001E2303" w:rsidRDefault="00C772A3" w:rsidP="00C15F40">
      <w:r>
        <w:t>A related critical aspe</w:t>
      </w:r>
      <w:r w:rsidR="0040504D">
        <w:t>ct is establishing effective pla</w:t>
      </w:r>
      <w:r>
        <w:t xml:space="preserve">ns for training the staff. </w:t>
      </w:r>
      <w:r w:rsidR="0040504D">
        <w:t xml:space="preserve">The goal is to ensure that </w:t>
      </w:r>
      <w:r w:rsidR="0095628D">
        <w:t xml:space="preserve">all field staff </w:t>
      </w:r>
      <w:r w:rsidR="0040504D" w:rsidRPr="00A6426B">
        <w:t xml:space="preserve">understand PIAAC so well that they can focus on obtaining quality data and high response rates, </w:t>
      </w:r>
      <w:r w:rsidR="0040504D" w:rsidRPr="0040504D">
        <w:t>not</w:t>
      </w:r>
      <w:r w:rsidR="0040504D" w:rsidRPr="00A6426B">
        <w:t xml:space="preserve"> </w:t>
      </w:r>
      <w:r w:rsidR="0040504D">
        <w:t>just</w:t>
      </w:r>
      <w:r w:rsidR="0095628D">
        <w:t xml:space="preserve"> focusing on the</w:t>
      </w:r>
      <w:r w:rsidR="0040504D">
        <w:t xml:space="preserve"> </w:t>
      </w:r>
      <w:r w:rsidR="0040504D" w:rsidRPr="00A6426B">
        <w:t xml:space="preserve">mechanics of </w:t>
      </w:r>
      <w:r w:rsidR="0040504D">
        <w:t>the work.</w:t>
      </w:r>
      <w:r w:rsidR="00903883">
        <w:t xml:space="preserve"> Countries should p</w:t>
      </w:r>
      <w:r w:rsidR="001E2303" w:rsidRPr="00A6426B">
        <w:t>rovide thorough initial training, including importance of PIAAC, presentation of study to respondents, and techniques for convincing reluctant respondents to participate</w:t>
      </w:r>
      <w:r w:rsidR="00903883">
        <w:t>. In addition, countries should plan to p</w:t>
      </w:r>
      <w:r w:rsidR="001E2303" w:rsidRPr="00A6426B">
        <w:t>rovide ongoing training via telephone and email</w:t>
      </w:r>
      <w:r w:rsidR="00903883">
        <w:t>. Countries should t</w:t>
      </w:r>
      <w:r w:rsidR="001E2303" w:rsidRPr="00A6426B">
        <w:t>rain supervisors on initial case assignment and reassignment strategies for potential/actual nonresponse</w:t>
      </w:r>
      <w:r w:rsidR="00903883">
        <w:t>.</w:t>
      </w:r>
      <w:r w:rsidR="001E2303" w:rsidRPr="00A6426B">
        <w:t xml:space="preserve"> </w:t>
      </w:r>
    </w:p>
    <w:p w:rsidR="00C15F40" w:rsidRPr="00A6426B" w:rsidRDefault="00C15F40" w:rsidP="00C15F40"/>
    <w:p w:rsidR="001E2303" w:rsidRDefault="00A6426B" w:rsidP="00C15F40">
      <w:r w:rsidRPr="00A6426B">
        <w:t>Community/</w:t>
      </w:r>
      <w:r w:rsidR="00F53DFE">
        <w:t>respondent o</w:t>
      </w:r>
      <w:r w:rsidRPr="00A6426B">
        <w:t>utreach</w:t>
      </w:r>
      <w:r w:rsidR="00903883">
        <w:t xml:space="preserve"> is another critical </w:t>
      </w:r>
      <w:r w:rsidR="00F53DFE">
        <w:t>component in</w:t>
      </w:r>
      <w:r w:rsidR="00903883">
        <w:t xml:space="preserve"> increasing response rates.</w:t>
      </w:r>
      <w:r w:rsidR="006A24F2">
        <w:t xml:space="preserve"> Countries should plan to d</w:t>
      </w:r>
      <w:r w:rsidR="001E2303" w:rsidRPr="00A6426B">
        <w:t xml:space="preserve">evelop </w:t>
      </w:r>
      <w:r w:rsidR="006A24F2">
        <w:t xml:space="preserve">an </w:t>
      </w:r>
      <w:r w:rsidR="001E2303" w:rsidRPr="00A6426B">
        <w:t>outreach plan</w:t>
      </w:r>
      <w:r w:rsidR="006A24F2">
        <w:t>, d</w:t>
      </w:r>
      <w:r w:rsidR="001E2303" w:rsidRPr="00A6426B">
        <w:t>esign attractive/cohesive set of materials (e.g., letters, brochures, etc.)</w:t>
      </w:r>
      <w:r w:rsidR="006A24F2">
        <w:t>. Countries should make sure to p</w:t>
      </w:r>
      <w:r w:rsidR="001E2303" w:rsidRPr="00A6426B">
        <w:t>roduce sufficient amount of each material</w:t>
      </w:r>
      <w:r w:rsidR="006A24F2">
        <w:t xml:space="preserve">. </w:t>
      </w:r>
      <w:r w:rsidR="00F53DFE">
        <w:t>They</w:t>
      </w:r>
      <w:r w:rsidR="006A24F2">
        <w:t xml:space="preserve"> should o</w:t>
      </w:r>
      <w:r w:rsidR="001E2303" w:rsidRPr="00A6426B">
        <w:t>btain media coverage: ne</w:t>
      </w:r>
      <w:r w:rsidR="006B7C7A">
        <w:t xml:space="preserve">wspaper/journal articles about </w:t>
      </w:r>
      <w:r w:rsidR="001E2303" w:rsidRPr="00A6426B">
        <w:t>PIAAC that</w:t>
      </w:r>
      <w:r w:rsidR="003C30C0">
        <w:t xml:space="preserve"> interviewers can show/give to </w:t>
      </w:r>
      <w:r w:rsidR="001E2303" w:rsidRPr="00A6426B">
        <w:t>respondents</w:t>
      </w:r>
      <w:r w:rsidR="006A24F2">
        <w:t xml:space="preserve">. Various </w:t>
      </w:r>
      <w:r w:rsidR="006A24F2" w:rsidRPr="00A6426B">
        <w:t>endorsements</w:t>
      </w:r>
      <w:r w:rsidR="006A24F2">
        <w:t xml:space="preserve"> s</w:t>
      </w:r>
      <w:r w:rsidR="006B7C7A">
        <w:t>hould be obt</w:t>
      </w:r>
      <w:r w:rsidR="006A24F2">
        <w:t xml:space="preserve">ained from </w:t>
      </w:r>
      <w:r w:rsidR="00C35B24">
        <w:t>well-</w:t>
      </w:r>
      <w:r w:rsidR="006A24F2">
        <w:t>know</w:t>
      </w:r>
      <w:r w:rsidR="00255D44">
        <w:t>n</w:t>
      </w:r>
      <w:r w:rsidR="006A24F2">
        <w:t xml:space="preserve"> and </w:t>
      </w:r>
      <w:r w:rsidR="00C35B24">
        <w:t>well-</w:t>
      </w:r>
      <w:r w:rsidR="006B7C7A">
        <w:t>respected authorities and age</w:t>
      </w:r>
      <w:r w:rsidR="006A24F2">
        <w:t>ncies.</w:t>
      </w:r>
      <w:r w:rsidR="00A8663C">
        <w:t xml:space="preserve"> </w:t>
      </w:r>
    </w:p>
    <w:p w:rsidR="00C15F40" w:rsidRPr="00A6426B" w:rsidRDefault="00C15F40" w:rsidP="00C15F40"/>
    <w:p w:rsidR="0078314D" w:rsidRDefault="006A24F2" w:rsidP="00C15F40">
      <w:r>
        <w:t>I</w:t>
      </w:r>
      <w:r w:rsidR="001E2303" w:rsidRPr="00A6426B">
        <w:t xml:space="preserve">nterviewers/supervisors </w:t>
      </w:r>
      <w:r>
        <w:t xml:space="preserve">should be trained </w:t>
      </w:r>
      <w:r w:rsidR="001E2303" w:rsidRPr="00A6426B">
        <w:t>on effective use of materials</w:t>
      </w:r>
      <w:r>
        <w:t>. In addition, countries should design a website</w:t>
      </w:r>
      <w:r w:rsidR="001E2303" w:rsidRPr="00A6426B">
        <w:t xml:space="preserve"> </w:t>
      </w:r>
      <w:r>
        <w:t xml:space="preserve">that could be used by respondents </w:t>
      </w:r>
      <w:r w:rsidR="001E2303" w:rsidRPr="00A6426B">
        <w:t xml:space="preserve">for reference and to </w:t>
      </w:r>
      <w:r w:rsidR="00C35B24" w:rsidRPr="00A6426B">
        <w:t>legitimise</w:t>
      </w:r>
      <w:r>
        <w:t xml:space="preserve"> the survey.</w:t>
      </w:r>
      <w:r w:rsidR="0078314D">
        <w:t xml:space="preserve"> Countries </w:t>
      </w:r>
      <w:r w:rsidR="00F53DFE">
        <w:t>should</w:t>
      </w:r>
      <w:r w:rsidR="0078314D">
        <w:t xml:space="preserve"> e</w:t>
      </w:r>
      <w:r w:rsidR="001E2303" w:rsidRPr="00A6426B">
        <w:t xml:space="preserve">stablish toll-free telephone number/hotline—to answer questions and </w:t>
      </w:r>
      <w:r w:rsidR="00255D44">
        <w:t xml:space="preserve">concerns raised by </w:t>
      </w:r>
      <w:r w:rsidR="00E3023B">
        <w:t>survey</w:t>
      </w:r>
      <w:r w:rsidR="00255D44">
        <w:t xml:space="preserve"> participants</w:t>
      </w:r>
      <w:r w:rsidR="0078314D">
        <w:t>.</w:t>
      </w:r>
    </w:p>
    <w:p w:rsidR="00C15F40" w:rsidRDefault="00C15F40" w:rsidP="00C15F40"/>
    <w:p w:rsidR="001E2303" w:rsidRDefault="001509D4" w:rsidP="00C15F40">
      <w:r>
        <w:t>The timing of various activities is</w:t>
      </w:r>
      <w:r w:rsidR="0078314D">
        <w:t xml:space="preserve"> also </w:t>
      </w:r>
      <w:r>
        <w:t xml:space="preserve">very </w:t>
      </w:r>
      <w:r w:rsidR="0078314D">
        <w:t>critical</w:t>
      </w:r>
      <w:r>
        <w:t xml:space="preserve">. </w:t>
      </w:r>
      <w:r w:rsidR="0078314D">
        <w:t>I</w:t>
      </w:r>
      <w:r w:rsidR="001E2303" w:rsidRPr="00A6426B">
        <w:t xml:space="preserve">ntroductory materials </w:t>
      </w:r>
      <w:r w:rsidR="0078314D">
        <w:t xml:space="preserve">should be mailed </w:t>
      </w:r>
      <w:r w:rsidR="001E2303" w:rsidRPr="00A6426B">
        <w:t>7-10 days prior to respondent contact</w:t>
      </w:r>
      <w:r w:rsidR="0078314D">
        <w:t>. N</w:t>
      </w:r>
      <w:r w:rsidR="001E2303" w:rsidRPr="00A6426B">
        <w:t xml:space="preserve">onresponse conversion letters </w:t>
      </w:r>
      <w:r w:rsidR="0078314D">
        <w:t xml:space="preserve">should be used </w:t>
      </w:r>
      <w:r w:rsidR="001E2303" w:rsidRPr="00A6426B">
        <w:t xml:space="preserve">for reluctant or </w:t>
      </w:r>
      <w:r w:rsidR="00585F5B" w:rsidRPr="00A6426B">
        <w:t>hard</w:t>
      </w:r>
      <w:r w:rsidR="00585F5B">
        <w:t>-</w:t>
      </w:r>
      <w:r w:rsidR="00585F5B" w:rsidRPr="00A6426B">
        <w:t>to</w:t>
      </w:r>
      <w:r w:rsidR="00585F5B">
        <w:t>-</w:t>
      </w:r>
      <w:r w:rsidR="001E2303" w:rsidRPr="00A6426B">
        <w:t>contact/reach respondents</w:t>
      </w:r>
      <w:r w:rsidR="006F4A53">
        <w:t xml:space="preserve"> in a timely manner</w:t>
      </w:r>
      <w:r w:rsidR="0078314D">
        <w:t>.</w:t>
      </w:r>
    </w:p>
    <w:p w:rsidR="00C15F40" w:rsidRPr="00A6426B" w:rsidRDefault="00C15F40" w:rsidP="00C15F40"/>
    <w:p w:rsidR="003D7C7D" w:rsidRDefault="00A5592F" w:rsidP="00C15F40">
      <w:r>
        <w:t>E</w:t>
      </w:r>
      <w:r w:rsidR="003D7C7D" w:rsidRPr="00B92418">
        <w:t xml:space="preserve">ach country should </w:t>
      </w:r>
      <w:r w:rsidR="00256F38">
        <w:t xml:space="preserve">develop </w:t>
      </w:r>
      <w:r w:rsidR="003D7C7D" w:rsidRPr="00B92418">
        <w:t>a</w:t>
      </w:r>
      <w:r w:rsidR="003C30C0">
        <w:t xml:space="preserve"> non-interview report (NIR</w:t>
      </w:r>
      <w:r w:rsidR="003D7C7D" w:rsidRPr="00B92418">
        <w:t>)</w:t>
      </w:r>
      <w:r w:rsidR="003C30C0" w:rsidRPr="003C30C0">
        <w:t xml:space="preserve"> </w:t>
      </w:r>
      <w:r w:rsidR="003C30C0">
        <w:t>form</w:t>
      </w:r>
      <w:r w:rsidR="003D7C7D" w:rsidRPr="00B92418">
        <w:t xml:space="preserve"> to collect information about </w:t>
      </w:r>
      <w:proofErr w:type="spellStart"/>
      <w:r w:rsidR="003D7C7D" w:rsidRPr="00B92418">
        <w:t>nonrespondents</w:t>
      </w:r>
      <w:proofErr w:type="spellEnd"/>
      <w:r w:rsidR="003D7C7D" w:rsidRPr="00B92418">
        <w:t xml:space="preserve"> (see Standard 10.3.7 in the TSG). The form can be paper and pencil or automated, and it should contain, at minimum, </w:t>
      </w:r>
      <w:r w:rsidR="003D7C7D" w:rsidRPr="00B92418">
        <w:lastRenderedPageBreak/>
        <w:t>demographic data on the non-interviewed person, the strength of the refusal (if applicable), problems encountered, comments, and the li</w:t>
      </w:r>
      <w:r w:rsidR="00037783">
        <w:t>kelihood of conversion. The NIR</w:t>
      </w:r>
      <w:r w:rsidR="003D7C7D" w:rsidRPr="00B92418">
        <w:t xml:space="preserve"> can aid in future interview attempts and possibly provide information for a </w:t>
      </w:r>
      <w:r w:rsidR="00D76C0A" w:rsidRPr="00D76C0A">
        <w:t>NRB</w:t>
      </w:r>
      <w:r w:rsidR="003D7C7D" w:rsidRPr="00B92418">
        <w:t xml:space="preserve"> analysis. </w:t>
      </w:r>
    </w:p>
    <w:p w:rsidR="00C15F40" w:rsidRPr="00B92418" w:rsidRDefault="00C15F40" w:rsidP="00C15F40"/>
    <w:p w:rsidR="005A3261" w:rsidRDefault="003C30C0" w:rsidP="00C15F40">
      <w:r w:rsidRPr="00DF2F8C">
        <w:t>The National Sampling Managers (</w:t>
      </w:r>
      <w:r w:rsidR="00BF129D" w:rsidRPr="00DF2F8C">
        <w:t>N</w:t>
      </w:r>
      <w:r w:rsidR="00BF129D">
        <w:t>S</w:t>
      </w:r>
      <w:r w:rsidR="00BF129D" w:rsidRPr="00DF2F8C">
        <w:t>Ms)</w:t>
      </w:r>
      <w:r w:rsidRPr="00DF2F8C">
        <w:t xml:space="preserve"> should develop </w:t>
      </w:r>
      <w:r w:rsidR="005A3261" w:rsidRPr="00DF2F8C">
        <w:t>plan</w:t>
      </w:r>
      <w:r w:rsidRPr="00DF2F8C">
        <w:t>s</w:t>
      </w:r>
      <w:r w:rsidR="005A3261" w:rsidRPr="00DF2F8C">
        <w:t xml:space="preserve"> for monitoring </w:t>
      </w:r>
      <w:r w:rsidRPr="00DF2F8C">
        <w:t xml:space="preserve">the sample </w:t>
      </w:r>
      <w:r w:rsidR="005A3261" w:rsidRPr="00DF2F8C">
        <w:t>during data collection</w:t>
      </w:r>
      <w:r w:rsidRPr="00DF2F8C">
        <w:t xml:space="preserve"> to </w:t>
      </w:r>
      <w:r w:rsidR="00DD2255">
        <w:t>en</w:t>
      </w:r>
      <w:r w:rsidRPr="00DF2F8C">
        <w:t xml:space="preserve">sure the resulting sample has the lowest </w:t>
      </w:r>
      <w:r w:rsidR="00D76C0A" w:rsidRPr="00D76C0A">
        <w:t>NRB</w:t>
      </w:r>
      <w:r w:rsidRPr="00DF2F8C">
        <w:t xml:space="preserve"> attainable.</w:t>
      </w:r>
      <w:r w:rsidR="00DF2F8C" w:rsidRPr="00DF2F8C">
        <w:t xml:space="preserve"> NSMs should monitor the sample and increase </w:t>
      </w:r>
      <w:r w:rsidR="00DF2F8C" w:rsidRPr="00DF2F8C">
        <w:rPr>
          <w:iCs/>
        </w:rPr>
        <w:t>response rates</w:t>
      </w:r>
      <w:r w:rsidR="00DF2F8C" w:rsidRPr="00DF2F8C">
        <w:t xml:space="preserve"> for groups that have potential to increase </w:t>
      </w:r>
      <w:r w:rsidR="00D76C0A" w:rsidRPr="00D76C0A">
        <w:rPr>
          <w:iCs/>
        </w:rPr>
        <w:t>NRB</w:t>
      </w:r>
      <w:r w:rsidR="00DF2F8C" w:rsidRPr="00DF2F8C">
        <w:t xml:space="preserve"> </w:t>
      </w:r>
      <w:r w:rsidR="00585F5B">
        <w:t>(</w:t>
      </w:r>
      <w:r w:rsidR="00DF2F8C" w:rsidRPr="00DF2F8C">
        <w:t xml:space="preserve">i.e. identify pockets of </w:t>
      </w:r>
      <w:r w:rsidR="00DF2F8C" w:rsidRPr="00DF2F8C">
        <w:rPr>
          <w:iCs/>
        </w:rPr>
        <w:t>nonresponse</w:t>
      </w:r>
      <w:r w:rsidR="00DF2F8C" w:rsidRPr="00DF2F8C">
        <w:t xml:space="preserve"> and use methods to bring in initial </w:t>
      </w:r>
      <w:proofErr w:type="spellStart"/>
      <w:r w:rsidR="00DF2F8C" w:rsidRPr="00DF2F8C">
        <w:rPr>
          <w:iCs/>
        </w:rPr>
        <w:t>nonrespondents</w:t>
      </w:r>
      <w:proofErr w:type="spellEnd"/>
      <w:r w:rsidR="00DF2F8C" w:rsidRPr="00DF2F8C">
        <w:t xml:space="preserve"> that are not like </w:t>
      </w:r>
      <w:r w:rsidR="00DF2F8C" w:rsidRPr="00DF2F8C">
        <w:rPr>
          <w:iCs/>
        </w:rPr>
        <w:t>respondents</w:t>
      </w:r>
      <w:r w:rsidR="002C71EB">
        <w:rPr>
          <w:iCs/>
        </w:rPr>
        <w:t xml:space="preserve"> </w:t>
      </w:r>
      <w:r w:rsidR="00585F5B">
        <w:rPr>
          <w:iCs/>
        </w:rPr>
        <w:t>[</w:t>
      </w:r>
      <w:r w:rsidR="002C71EB">
        <w:rPr>
          <w:iCs/>
        </w:rPr>
        <w:t xml:space="preserve">see </w:t>
      </w:r>
      <w:r w:rsidR="00037783">
        <w:rPr>
          <w:iCs/>
        </w:rPr>
        <w:t>Section 3.2, Figure 1</w:t>
      </w:r>
      <w:r w:rsidR="00585F5B">
        <w:t xml:space="preserve">]). </w:t>
      </w:r>
      <w:r w:rsidR="008E6042">
        <w:t xml:space="preserve">NSMs are encouraged to use the field test process to develop and </w:t>
      </w:r>
      <w:r w:rsidR="00CA288E">
        <w:t xml:space="preserve">test </w:t>
      </w:r>
      <w:r w:rsidR="008E6042">
        <w:t xml:space="preserve">their monitoring programs for the main survey. </w:t>
      </w:r>
    </w:p>
    <w:p w:rsidR="00C15F40" w:rsidRPr="00DF2F8C" w:rsidRDefault="00C15F40" w:rsidP="00C15F40"/>
    <w:p w:rsidR="006C69C8" w:rsidRDefault="00F939A4" w:rsidP="00C15F40">
      <w:r>
        <w:t>A critical task that should be completed prior to the start of data collection is identifying and collecting correlated auxiliary variables that are known with a high degree of accuracy</w:t>
      </w:r>
      <w:r w:rsidR="00285866">
        <w:t xml:space="preserve"> for both respondents and </w:t>
      </w:r>
      <w:proofErr w:type="spellStart"/>
      <w:r w:rsidR="00285866">
        <w:t>nonrespondents</w:t>
      </w:r>
      <w:proofErr w:type="spellEnd"/>
      <w:r>
        <w:t xml:space="preserve">. </w:t>
      </w:r>
      <w:r w:rsidR="00CA0C86">
        <w:t xml:space="preserve">Evaluating and reducing </w:t>
      </w:r>
      <w:r w:rsidR="00D76C0A" w:rsidRPr="00D76C0A">
        <w:t>NRB</w:t>
      </w:r>
      <w:r w:rsidR="00CA0C86">
        <w:t xml:space="preserve"> requires auxiliary variables</w:t>
      </w:r>
      <w:r w:rsidR="006C69C8">
        <w:t>, available for all sampled units,</w:t>
      </w:r>
      <w:r w:rsidR="00BF129D">
        <w:t xml:space="preserve"> </w:t>
      </w:r>
      <w:r w:rsidR="00CA0C86">
        <w:t xml:space="preserve">that are correlated with competency and response propensity. </w:t>
      </w:r>
      <w:r w:rsidR="006C69C8" w:rsidRPr="006C69C8">
        <w:t xml:space="preserve">The correlation with competency could be measured using past adult </w:t>
      </w:r>
      <w:r w:rsidR="006F5701">
        <w:t>compet</w:t>
      </w:r>
      <w:r w:rsidR="007C7A86">
        <w:t>e</w:t>
      </w:r>
      <w:r w:rsidR="006F5701">
        <w:t>ncy</w:t>
      </w:r>
      <w:r w:rsidR="006F5701" w:rsidRPr="006C69C8">
        <w:t xml:space="preserve"> </w:t>
      </w:r>
      <w:r w:rsidR="006C69C8" w:rsidRPr="006C69C8">
        <w:t xml:space="preserve">or similar studies; variables </w:t>
      </w:r>
      <w:r w:rsidR="006F5701" w:rsidRPr="006C69C8">
        <w:t>hypothesi</w:t>
      </w:r>
      <w:r w:rsidR="006F5701">
        <w:t>s</w:t>
      </w:r>
      <w:r w:rsidR="006F5701" w:rsidRPr="006C69C8">
        <w:t xml:space="preserve">ed </w:t>
      </w:r>
      <w:r w:rsidR="006C69C8" w:rsidRPr="006C69C8">
        <w:t xml:space="preserve">to be correlated with literacy should also be included. </w:t>
      </w:r>
      <w:r w:rsidR="002C71EB">
        <w:t>A segmentation analysis (see section 3.2) could be used t</w:t>
      </w:r>
      <w:r w:rsidR="006C69C8" w:rsidRPr="006C69C8">
        <w:t>o determine correlation with response pro</w:t>
      </w:r>
      <w:r w:rsidR="002C71EB">
        <w:t>pensity.</w:t>
      </w:r>
      <w:r w:rsidR="008E6042">
        <w:t xml:space="preserve"> NSMs are encouraged to use the field test data to </w:t>
      </w:r>
      <w:r w:rsidR="009D4B46">
        <w:t>help identify a set of</w:t>
      </w:r>
      <w:r w:rsidR="00BF129D">
        <w:t xml:space="preserve"> candidate</w:t>
      </w:r>
      <w:r w:rsidR="008E6042">
        <w:t xml:space="preserve"> </w:t>
      </w:r>
      <w:r w:rsidR="009D4B46">
        <w:t xml:space="preserve">auxiliary variables </w:t>
      </w:r>
      <w:r w:rsidR="008E6042">
        <w:t xml:space="preserve">for </w:t>
      </w:r>
      <w:r w:rsidR="009D4B46">
        <w:t xml:space="preserve">evaluating and reducing </w:t>
      </w:r>
      <w:r w:rsidR="00D76C0A" w:rsidRPr="00D76C0A">
        <w:t>NRB</w:t>
      </w:r>
      <w:r w:rsidR="009D4B46">
        <w:t>.</w:t>
      </w:r>
      <w:r w:rsidR="00285866">
        <w:t xml:space="preserve"> More discussion can be found in the sampling Plan Part II </w:t>
      </w:r>
      <w:r w:rsidR="006F5701">
        <w:t>forms</w:t>
      </w:r>
      <w:r w:rsidR="00285866">
        <w:t>, specifically form W-1.</w:t>
      </w:r>
    </w:p>
    <w:p w:rsidR="00C15F40" w:rsidRDefault="00C15F40" w:rsidP="00C15F40"/>
    <w:p w:rsidR="007B36EC" w:rsidRDefault="007B36EC" w:rsidP="00C15F40">
      <w:r w:rsidRPr="00B92418">
        <w:t>The Cross-Cultural Survey Guidelines website (</w:t>
      </w:r>
      <w:r w:rsidRPr="00B92418">
        <w:rPr>
          <w:color w:val="0000FF"/>
          <w:u w:val="single"/>
        </w:rPr>
        <w:t>http://ccsg.isr.umich.edu/datacoll.cfm</w:t>
      </w:r>
      <w:r w:rsidRPr="00B92418">
        <w:t>) has additional suggestions for improving response rates</w:t>
      </w:r>
      <w:r w:rsidR="00037783">
        <w:t xml:space="preserve"> and reducing </w:t>
      </w:r>
      <w:r w:rsidR="00D76C0A" w:rsidRPr="00D76C0A">
        <w:t>NRB</w:t>
      </w:r>
      <w:r w:rsidRPr="00B92418">
        <w:t xml:space="preserve">. </w:t>
      </w:r>
    </w:p>
    <w:p w:rsidR="003D7C7D" w:rsidRPr="00B92418" w:rsidRDefault="003D7C7D" w:rsidP="00C15F40"/>
    <w:p w:rsidR="00B97419" w:rsidRDefault="00B97419">
      <w:pPr>
        <w:spacing w:after="200" w:line="276" w:lineRule="auto"/>
        <w:jc w:val="left"/>
      </w:pPr>
    </w:p>
    <w:p w:rsidR="009C0601" w:rsidRPr="00FF5E96" w:rsidRDefault="00523F0C" w:rsidP="00784BC4">
      <w:pPr>
        <w:pStyle w:val="Heading1"/>
      </w:pPr>
      <w:bookmarkStart w:id="16" w:name="_Toc255808922"/>
      <w:r>
        <w:t xml:space="preserve">3.2 </w:t>
      </w:r>
      <w:r w:rsidR="009C0601" w:rsidRPr="00FF5E96">
        <w:t xml:space="preserve">Reduce </w:t>
      </w:r>
      <w:r w:rsidR="00D76C0A" w:rsidRPr="00D76C0A">
        <w:rPr>
          <w:b w:val="0"/>
        </w:rPr>
        <w:t>NRB</w:t>
      </w:r>
      <w:r w:rsidR="009C0601" w:rsidRPr="00FF5E96">
        <w:t xml:space="preserve"> During Data Collection</w:t>
      </w:r>
      <w:bookmarkEnd w:id="16"/>
    </w:p>
    <w:p w:rsidR="001742ED" w:rsidRDefault="00695AEA" w:rsidP="00C15F40">
      <w:r>
        <w:t>National Project Managers (</w:t>
      </w:r>
      <w:r w:rsidR="00E56534">
        <w:t>NPMs</w:t>
      </w:r>
      <w:r>
        <w:t>)</w:t>
      </w:r>
      <w:r w:rsidR="001742ED">
        <w:t xml:space="preserve"> should p</w:t>
      </w:r>
      <w:r w:rsidR="001742ED" w:rsidRPr="00A6426B">
        <w:t>romote close and timely supervision/monitoring</w:t>
      </w:r>
      <w:r w:rsidR="001742ED">
        <w:t xml:space="preserve"> and c</w:t>
      </w:r>
      <w:r w:rsidR="001742ED" w:rsidRPr="00A6426B">
        <w:t>onduct scheduled weekly telephone conference calls with interviewers</w:t>
      </w:r>
      <w:r w:rsidR="001742ED">
        <w:t xml:space="preserve">. </w:t>
      </w:r>
      <w:r>
        <w:t>They</w:t>
      </w:r>
      <w:r w:rsidR="00E56534">
        <w:t xml:space="preserve"> should k</w:t>
      </w:r>
      <w:r w:rsidR="001742ED" w:rsidRPr="00A6426B">
        <w:t xml:space="preserve">eep </w:t>
      </w:r>
      <w:r w:rsidR="00E56534">
        <w:t xml:space="preserve">the </w:t>
      </w:r>
      <w:r w:rsidR="001742ED" w:rsidRPr="00A6426B">
        <w:t>pressure on performanc</w:t>
      </w:r>
      <w:r w:rsidR="001742ED">
        <w:t>e and a</w:t>
      </w:r>
      <w:r w:rsidR="001742ED" w:rsidRPr="00A6426B">
        <w:t>llow for timely feedback</w:t>
      </w:r>
      <w:r w:rsidR="008473DB">
        <w:t>. Countries should u</w:t>
      </w:r>
      <w:r w:rsidR="00E56534">
        <w:t>se Consortiu</w:t>
      </w:r>
      <w:r w:rsidR="001742ED">
        <w:t xml:space="preserve">m forms or </w:t>
      </w:r>
      <w:r w:rsidR="000443B2">
        <w:t>country-</w:t>
      </w:r>
      <w:r w:rsidR="001742ED">
        <w:t>specific</w:t>
      </w:r>
      <w:r w:rsidR="001742ED" w:rsidRPr="004B4391">
        <w:t xml:space="preserve"> automated</w:t>
      </w:r>
      <w:r w:rsidR="001742ED" w:rsidRPr="00A6426B">
        <w:t xml:space="preserve"> reports that allow for regular/frequent monitoring of case completion</w:t>
      </w:r>
      <w:r w:rsidR="001742ED">
        <w:t xml:space="preserve">. </w:t>
      </w:r>
      <w:r w:rsidR="001742ED" w:rsidRPr="00A6426B">
        <w:t xml:space="preserve">Reports must be based on daily interviewer transmission of interview/assessment data </w:t>
      </w:r>
      <w:r w:rsidR="001742ED" w:rsidRPr="004B4391">
        <w:t>and</w:t>
      </w:r>
      <w:r w:rsidR="001742ED" w:rsidRPr="00A6426B">
        <w:t xml:space="preserve"> current contact attempt and disposition code information</w:t>
      </w:r>
      <w:r w:rsidR="000F5ECF">
        <w:t>.</w:t>
      </w:r>
    </w:p>
    <w:p w:rsidR="00C15F40" w:rsidRDefault="00C15F40" w:rsidP="00C15F40"/>
    <w:p w:rsidR="001742ED" w:rsidRDefault="001742ED" w:rsidP="00C15F40">
      <w:r>
        <w:t>It is important that countries s</w:t>
      </w:r>
      <w:r w:rsidRPr="00A6426B">
        <w:t xml:space="preserve">eek and </w:t>
      </w:r>
      <w:r>
        <w:t>be able to i</w:t>
      </w:r>
      <w:r w:rsidRPr="00A6426B">
        <w:t xml:space="preserve">mplement </w:t>
      </w:r>
      <w:r>
        <w:t>new i</w:t>
      </w:r>
      <w:r w:rsidRPr="00A6426B">
        <w:t>deas</w:t>
      </w:r>
      <w:r>
        <w:t xml:space="preserve"> or experiences </w:t>
      </w:r>
      <w:r w:rsidRPr="00A6426B">
        <w:t xml:space="preserve">used successfully by other survey </w:t>
      </w:r>
      <w:r w:rsidR="000443B2" w:rsidRPr="00A6426B">
        <w:t>organi</w:t>
      </w:r>
      <w:r w:rsidR="000443B2">
        <w:t>s</w:t>
      </w:r>
      <w:r w:rsidR="000443B2" w:rsidRPr="00A6426B">
        <w:t>ations</w:t>
      </w:r>
      <w:r>
        <w:t xml:space="preserve">/countries prior to and during </w:t>
      </w:r>
      <w:r w:rsidRPr="00A6426B">
        <w:t>data collection</w:t>
      </w:r>
      <w:r>
        <w:t>. It is always helpful to e</w:t>
      </w:r>
      <w:r w:rsidRPr="00A62797">
        <w:t>nc</w:t>
      </w:r>
      <w:r>
        <w:t xml:space="preserve">ourage interviewers/supervisors </w:t>
      </w:r>
      <w:r w:rsidRPr="00A62797">
        <w:t>to make suggestions for improving response rates throughout</w:t>
      </w:r>
      <w:r w:rsidR="00285866">
        <w:t xml:space="preserve"> the</w:t>
      </w:r>
      <w:r w:rsidRPr="00A62797">
        <w:t xml:space="preserve"> data collection period</w:t>
      </w:r>
      <w:r>
        <w:t>.</w:t>
      </w:r>
    </w:p>
    <w:p w:rsidR="00C15F40" w:rsidRPr="00A62797" w:rsidRDefault="00C15F40" w:rsidP="00C15F40"/>
    <w:p w:rsidR="00BF00CA" w:rsidRPr="00256F38" w:rsidRDefault="00BF00CA" w:rsidP="00C15F40">
      <w:r>
        <w:t xml:space="preserve">Countries should use </w:t>
      </w:r>
      <w:r w:rsidRPr="00A6426B">
        <w:t>OTRS to ask for ad hoc advice</w:t>
      </w:r>
      <w:r>
        <w:t xml:space="preserve"> and u</w:t>
      </w:r>
      <w:r w:rsidRPr="00A6426B">
        <w:t xml:space="preserve">se </w:t>
      </w:r>
      <w:r w:rsidR="000443B2">
        <w:t>quality control</w:t>
      </w:r>
      <w:r w:rsidR="000443B2" w:rsidRPr="00A6426B">
        <w:t xml:space="preserve"> </w:t>
      </w:r>
      <w:r w:rsidRPr="00A6426B">
        <w:t>monitoring calls to discuss national issues, concerns, and solutions dealing with respondent cooperation</w:t>
      </w:r>
      <w:r>
        <w:t xml:space="preserve">. </w:t>
      </w:r>
      <w:r w:rsidR="000443B2">
        <w:t>Countries are encouraged</w:t>
      </w:r>
      <w:r>
        <w:t xml:space="preserve"> to s</w:t>
      </w:r>
      <w:r w:rsidRPr="00A6426B">
        <w:t xml:space="preserve">hare with </w:t>
      </w:r>
      <w:r w:rsidR="00974BE9">
        <w:t xml:space="preserve">the </w:t>
      </w:r>
      <w:r w:rsidRPr="00A6426B">
        <w:t>Consortium novel approaches for obtaining respondent cooperation that can be shared with other countries</w:t>
      </w:r>
      <w:r w:rsidR="00256F38">
        <w:t>.</w:t>
      </w:r>
    </w:p>
    <w:p w:rsidR="00E56534" w:rsidRDefault="00E56534" w:rsidP="00C15F40"/>
    <w:p w:rsidR="000F5ECF" w:rsidRDefault="0046736B" w:rsidP="00C15F40">
      <w:r>
        <w:t xml:space="preserve">The NSMs should </w:t>
      </w:r>
      <w:r w:rsidR="00C90EBA">
        <w:t xml:space="preserve">use the planned monitoring procedures (as described in Section 3.1) to </w:t>
      </w:r>
      <w:r>
        <w:t>monitor r</w:t>
      </w:r>
      <w:r w:rsidRPr="00B92418">
        <w:t>esponse rates a</w:t>
      </w:r>
      <w:r>
        <w:t xml:space="preserve">nd sample yield </w:t>
      </w:r>
      <w:r w:rsidRPr="00B92418">
        <w:t xml:space="preserve">according to key demographics, known to be associated </w:t>
      </w:r>
      <w:r>
        <w:t>with</w:t>
      </w:r>
      <w:r w:rsidRPr="00B92418">
        <w:t xml:space="preserve"> </w:t>
      </w:r>
      <w:r w:rsidR="00B32C8E">
        <w:t>c</w:t>
      </w:r>
      <w:r w:rsidR="00B32C8E" w:rsidRPr="00B92418">
        <w:t>ompetency</w:t>
      </w:r>
      <w:r w:rsidRPr="00B92418">
        <w:t>. This will help countries identify potential shor</w:t>
      </w:r>
      <w:r>
        <w:t xml:space="preserve">tfalls for specific subgroups </w:t>
      </w:r>
      <w:r w:rsidR="00B32C8E">
        <w:t>that</w:t>
      </w:r>
      <w:r w:rsidR="00B32C8E" w:rsidRPr="00B92418">
        <w:t xml:space="preserve"> </w:t>
      </w:r>
      <w:r w:rsidRPr="00B92418">
        <w:t>c</w:t>
      </w:r>
      <w:r>
        <w:t xml:space="preserve">ould result in biased estimates. </w:t>
      </w:r>
      <w:r w:rsidR="00E56534" w:rsidRPr="00AE38CE">
        <w:t xml:space="preserve">The goal is to reach </w:t>
      </w:r>
      <w:r>
        <w:t xml:space="preserve">subgroups or </w:t>
      </w:r>
      <w:r w:rsidR="00E56534" w:rsidRPr="00AE38CE">
        <w:t xml:space="preserve">areas with low response </w:t>
      </w:r>
      <w:r w:rsidR="00E56534">
        <w:t>and use</w:t>
      </w:r>
      <w:r w:rsidR="00E56534" w:rsidRPr="00AE38CE">
        <w:t xml:space="preserve"> various approaches to improve response rates</w:t>
      </w:r>
      <w:r w:rsidR="000F5ECF">
        <w:t xml:space="preserve"> for these subgroups</w:t>
      </w:r>
      <w:r>
        <w:t xml:space="preserve"> (areas)</w:t>
      </w:r>
      <w:r w:rsidR="00E56534" w:rsidRPr="00AE38CE">
        <w:t xml:space="preserve">. The first step </w:t>
      </w:r>
      <w:r w:rsidR="00E56534">
        <w:t>i</w:t>
      </w:r>
      <w:r>
        <w:t xml:space="preserve">s to identify </w:t>
      </w:r>
      <w:r w:rsidR="00E56534" w:rsidRPr="00AE38CE">
        <w:t xml:space="preserve">pockets of potential </w:t>
      </w:r>
      <w:r w:rsidR="00D76C0A" w:rsidRPr="00D76C0A">
        <w:t>NRB</w:t>
      </w:r>
      <w:r w:rsidR="00E56534" w:rsidRPr="00AE38CE">
        <w:t xml:space="preserve"> through</w:t>
      </w:r>
      <w:r w:rsidR="003831D7">
        <w:t xml:space="preserve"> </w:t>
      </w:r>
      <w:r w:rsidR="00102E7E">
        <w:t>modelling</w:t>
      </w:r>
      <w:r w:rsidR="003831D7">
        <w:t>,</w:t>
      </w:r>
      <w:r w:rsidR="00E56534" w:rsidRPr="00AE38CE">
        <w:t xml:space="preserve"> </w:t>
      </w:r>
      <w:r w:rsidR="004B26FD">
        <w:t xml:space="preserve">for example, </w:t>
      </w:r>
      <w:r w:rsidR="00E56534" w:rsidRPr="00AE38CE">
        <w:t xml:space="preserve">segmentation </w:t>
      </w:r>
      <w:r w:rsidR="00102E7E" w:rsidRPr="00AE38CE">
        <w:t>modelling</w:t>
      </w:r>
      <w:r w:rsidR="00E56534" w:rsidRPr="00AE38CE">
        <w:t xml:space="preserve"> with </w:t>
      </w:r>
      <w:r w:rsidR="00E56534">
        <w:t xml:space="preserve">local </w:t>
      </w:r>
      <w:r w:rsidR="00B32C8E">
        <w:t>area-</w:t>
      </w:r>
      <w:r w:rsidR="00E56534" w:rsidRPr="00AE38CE">
        <w:t>level auxiliary variables</w:t>
      </w:r>
      <w:r w:rsidR="00E56534">
        <w:t xml:space="preserve"> (smallest geography for which reliable auxiliary data is available</w:t>
      </w:r>
      <w:r>
        <w:t>, or use registry data when available)</w:t>
      </w:r>
      <w:r w:rsidR="00E56534" w:rsidRPr="00AE38CE">
        <w:t xml:space="preserve">. </w:t>
      </w:r>
      <w:r w:rsidR="00285866">
        <w:t>A typical</w:t>
      </w:r>
      <w:r w:rsidR="00E56534" w:rsidRPr="00AE38CE">
        <w:t xml:space="preserve"> segmentation </w:t>
      </w:r>
      <w:r w:rsidR="00285866" w:rsidRPr="00AE38CE">
        <w:t>modelling</w:t>
      </w:r>
      <w:r w:rsidR="00285866">
        <w:t xml:space="preserve"> approach</w:t>
      </w:r>
      <w:r w:rsidR="00E56534" w:rsidRPr="00AE38CE">
        <w:t xml:space="preserve"> involves a classification tree algorithm that uses a chi-square test of independence to identify auxiliary variables that best define subgroups with differential response rates. </w:t>
      </w:r>
      <w:r w:rsidR="000F5ECF" w:rsidRPr="00B92418">
        <w:t xml:space="preserve">The subgroups with low response rates, or areas containing these subgroups, can then be targeted for followup efforts to address the potential for </w:t>
      </w:r>
      <w:r w:rsidR="00D76C0A" w:rsidRPr="00D76C0A">
        <w:t>NRB</w:t>
      </w:r>
      <w:r w:rsidR="000F5ECF" w:rsidRPr="00B92418">
        <w:t>.</w:t>
      </w:r>
      <w:r w:rsidR="00870820">
        <w:t xml:space="preserve"> </w:t>
      </w:r>
    </w:p>
    <w:p w:rsidR="00C15F40" w:rsidRDefault="00C15F40" w:rsidP="00C15F40"/>
    <w:p w:rsidR="00E56534" w:rsidRDefault="00E56534" w:rsidP="00C15F40">
      <w:r w:rsidRPr="00AE38CE">
        <w:t xml:space="preserve">Figure 1 shows an example of a classification tree </w:t>
      </w:r>
      <w:r w:rsidR="000F5ECF">
        <w:t xml:space="preserve">used </w:t>
      </w:r>
      <w:r w:rsidR="000F5ECF" w:rsidRPr="00AE38CE">
        <w:t>for the West region</w:t>
      </w:r>
      <w:r w:rsidR="000F5ECF">
        <w:t xml:space="preserve"> during a U</w:t>
      </w:r>
      <w:r w:rsidR="00B32C8E">
        <w:t>.</w:t>
      </w:r>
      <w:r w:rsidR="000F5ECF">
        <w:t>S</w:t>
      </w:r>
      <w:r w:rsidR="00B32C8E">
        <w:t>.</w:t>
      </w:r>
      <w:r w:rsidR="000F5ECF">
        <w:t xml:space="preserve"> adult </w:t>
      </w:r>
      <w:r w:rsidR="00B32C8E">
        <w:t>compet</w:t>
      </w:r>
      <w:r w:rsidR="007C7A86">
        <w:t>e</w:t>
      </w:r>
      <w:r w:rsidR="00B32C8E">
        <w:t xml:space="preserve">ncy </w:t>
      </w:r>
      <w:r w:rsidR="000F5ECF">
        <w:t>household survey data collection period</w:t>
      </w:r>
      <w:r w:rsidRPr="00AE38CE">
        <w:t>.</w:t>
      </w:r>
    </w:p>
    <w:p w:rsidR="00027FEE" w:rsidRPr="00B92418" w:rsidRDefault="00027FEE" w:rsidP="00BB2663">
      <w:pPr>
        <w:pStyle w:val="Default"/>
        <w:rPr>
          <w:rFonts w:ascii="Times New Roman" w:hAnsi="Times New Roman" w:cs="Times New Roman"/>
          <w:sz w:val="22"/>
          <w:szCs w:val="22"/>
        </w:rPr>
      </w:pPr>
    </w:p>
    <w:p w:rsidR="00BB2663" w:rsidRPr="00B92418" w:rsidRDefault="00393FBC" w:rsidP="00BB1140">
      <w:pPr>
        <w:pStyle w:val="Default"/>
        <w:jc w:val="center"/>
        <w:rPr>
          <w:rFonts w:ascii="Times New Roman" w:hAnsi="Times New Roman" w:cs="Times New Roman"/>
          <w:sz w:val="22"/>
          <w:szCs w:val="22"/>
        </w:rPr>
      </w:pPr>
      <w:r>
        <w:object w:dxaOrig="10170" w:dyaOrig="9765">
          <v:shape id="_x0000_i1038" type="#_x0000_t75" style="width:5in;height:271.5pt" o:ole="">
            <v:imagedata r:id="rId18" o:title=""/>
          </v:shape>
          <o:OLEObject Type="Embed" ProgID="FlowCharter7.Document" ShapeID="_x0000_i1038" DrawAspect="Content" ObjectID="_1422897837" r:id="rId19"/>
        </w:object>
      </w:r>
    </w:p>
    <w:p w:rsidR="00393FBC" w:rsidRDefault="00BB1140" w:rsidP="00523F0C">
      <w:pPr>
        <w:pStyle w:val="TT-TableTitle"/>
        <w:jc w:val="center"/>
      </w:pPr>
      <w:bookmarkStart w:id="17" w:name="_Toc255551054"/>
      <w:r>
        <w:t xml:space="preserve">Figure </w:t>
      </w:r>
      <w:r w:rsidR="00393FBC">
        <w:t>1</w:t>
      </w:r>
      <w:r w:rsidR="0054006F">
        <w:t>.</w:t>
      </w:r>
      <w:r w:rsidR="00523F0C">
        <w:t xml:space="preserve"> </w:t>
      </w:r>
      <w:r w:rsidR="00712A28">
        <w:t xml:space="preserve">Example </w:t>
      </w:r>
      <w:r w:rsidR="00393FBC">
        <w:t xml:space="preserve">response rates in West </w:t>
      </w:r>
      <w:r w:rsidR="00712A28">
        <w:t>region, USA,</w:t>
      </w:r>
      <w:r w:rsidR="00A8663C">
        <w:t xml:space="preserve"> </w:t>
      </w:r>
      <w:r w:rsidR="00393FBC">
        <w:t>during data collection</w:t>
      </w:r>
      <w:bookmarkEnd w:id="17"/>
    </w:p>
    <w:p w:rsidR="00C15F40" w:rsidRDefault="00C15F40" w:rsidP="00C15F40"/>
    <w:p w:rsidR="00393FBC" w:rsidRPr="00712A28" w:rsidRDefault="00393FBC" w:rsidP="00C15F40">
      <w:r w:rsidRPr="00712A28">
        <w:t xml:space="preserve">From Figure 1, it is evident that during data collection in the West there was a low response rate (50%) in segments with a high minority concentration, a high percentage of the population not speaking English well, located in metropolitan statistical areas (MSAs), and having a low percentage of the population with less than a ninth grade education. To the extent that these variables </w:t>
      </w:r>
      <w:r w:rsidR="00102E7E">
        <w:t>were</w:t>
      </w:r>
      <w:r w:rsidRPr="00712A28">
        <w:t xml:space="preserve"> related to literacy, the low response rate in these areas indicate</w:t>
      </w:r>
      <w:r w:rsidR="00102E7E">
        <w:t>d</w:t>
      </w:r>
      <w:r w:rsidRPr="00712A28">
        <w:t xml:space="preserve"> potential </w:t>
      </w:r>
      <w:r w:rsidR="00712A28">
        <w:t xml:space="preserve">for </w:t>
      </w:r>
      <w:r w:rsidR="00D76C0A" w:rsidRPr="00D76C0A">
        <w:t>NRB</w:t>
      </w:r>
      <w:r w:rsidRPr="00712A28">
        <w:t>.</w:t>
      </w:r>
    </w:p>
    <w:p w:rsidR="00393FBC" w:rsidRPr="00712A28" w:rsidRDefault="00393FBC" w:rsidP="00C15F40"/>
    <w:p w:rsidR="00B97419" w:rsidRDefault="00B97419">
      <w:pPr>
        <w:spacing w:after="200" w:line="276" w:lineRule="auto"/>
        <w:jc w:val="left"/>
      </w:pPr>
    </w:p>
    <w:p w:rsidR="00F206BA" w:rsidRPr="00D85901" w:rsidRDefault="00523F0C" w:rsidP="00784BC4">
      <w:pPr>
        <w:pStyle w:val="Heading1"/>
      </w:pPr>
      <w:bookmarkStart w:id="18" w:name="_Toc255808923"/>
      <w:r>
        <w:t xml:space="preserve">3.3 </w:t>
      </w:r>
      <w:r w:rsidR="00A27378" w:rsidRPr="007E7F4E">
        <w:t xml:space="preserve">Reduce </w:t>
      </w:r>
      <w:r w:rsidR="00D76C0A" w:rsidRPr="00D76C0A">
        <w:rPr>
          <w:b w:val="0"/>
        </w:rPr>
        <w:t>NRB</w:t>
      </w:r>
      <w:r w:rsidR="00A27378" w:rsidRPr="007E7F4E">
        <w:t xml:space="preserve"> After Data Collection</w:t>
      </w:r>
      <w:bookmarkEnd w:id="18"/>
      <w:r w:rsidR="00A27378" w:rsidRPr="007E7F4E">
        <w:t xml:space="preserve"> </w:t>
      </w:r>
    </w:p>
    <w:p w:rsidR="00F46B01" w:rsidRDefault="00F07F2F" w:rsidP="00C15F40">
      <w:r>
        <w:t>As mentioned in S</w:t>
      </w:r>
      <w:r w:rsidR="00AF2BC3" w:rsidRPr="00BD2288">
        <w:t xml:space="preserve">ection </w:t>
      </w:r>
      <w:r>
        <w:t>1</w:t>
      </w:r>
      <w:r w:rsidR="00AF2BC3" w:rsidRPr="00BD2288">
        <w:t xml:space="preserve">, </w:t>
      </w:r>
      <w:r w:rsidR="00F46B01">
        <w:t xml:space="preserve">all countries are required to conduct the basic </w:t>
      </w:r>
      <w:r w:rsidR="00D76C0A" w:rsidRPr="00D76C0A">
        <w:t>NRB</w:t>
      </w:r>
      <w:r w:rsidR="00F46B01">
        <w:t xml:space="preserve"> analysis described in Section </w:t>
      </w:r>
      <w:r>
        <w:t>3.3.1</w:t>
      </w:r>
      <w:r w:rsidR="00F46B01">
        <w:t xml:space="preserve">. </w:t>
      </w:r>
      <w:r w:rsidR="005531CF">
        <w:t>C</w:t>
      </w:r>
      <w:r w:rsidR="00F46B01">
        <w:t xml:space="preserve">ountries will be required to conduct a more extensive </w:t>
      </w:r>
      <w:r w:rsidR="00D76C0A" w:rsidRPr="00D76C0A">
        <w:t>NRB</w:t>
      </w:r>
      <w:r w:rsidR="00F46B01">
        <w:t xml:space="preserve"> analysis for all stages of data collection (screener, BQ/JRA, and assessment) with less than an 80% response rate and for the overall sample if the overall response rate is less than 70%.</w:t>
      </w:r>
      <w:r w:rsidR="00A8663C">
        <w:t xml:space="preserve"> </w:t>
      </w:r>
      <w:r w:rsidR="005531CF">
        <w:t>Figure</w:t>
      </w:r>
      <w:r w:rsidR="00F46B01">
        <w:t xml:space="preserve"> </w:t>
      </w:r>
      <w:r w:rsidR="00DD4EFF">
        <w:t>2</w:t>
      </w:r>
      <w:r w:rsidR="00F46B01">
        <w:t xml:space="preserve"> shows the overall plan for PIAAC </w:t>
      </w:r>
      <w:r w:rsidR="00D76C0A" w:rsidRPr="00D76C0A">
        <w:t>NRB</w:t>
      </w:r>
      <w:r w:rsidR="00F46B01">
        <w:t xml:space="preserve"> analysis.</w:t>
      </w:r>
      <w:r w:rsidR="00A8663C">
        <w:t xml:space="preserve"> </w:t>
      </w:r>
      <w:r w:rsidR="005531CF">
        <w:t>The remainder of this section describe</w:t>
      </w:r>
      <w:r w:rsidR="00BC6FF0">
        <w:t>s</w:t>
      </w:r>
      <w:r w:rsidR="005531CF">
        <w:t xml:space="preserve"> the preliminary plans for various </w:t>
      </w:r>
      <w:r w:rsidR="00BF129D">
        <w:t xml:space="preserve">analyses </w:t>
      </w:r>
      <w:r w:rsidR="005531CF">
        <w:t>mentioned in the figure.</w:t>
      </w:r>
    </w:p>
    <w:p w:rsidR="00F46B01" w:rsidRDefault="00F46B01" w:rsidP="00C15F40"/>
    <w:p w:rsidR="0006095D" w:rsidRDefault="00B97419" w:rsidP="00C15F40">
      <w:r>
        <w:rPr>
          <w:noProof/>
        </w:rPr>
        <w:lastRenderedPageBreak/>
        <w:pict>
          <v:shape id="Object 5" o:spid="_x0000_s1026" type="#_x0000_t75" style="position:absolute;left:0;text-align:left;margin-left:-2.7pt;margin-top:-25.8pt;width:491.4pt;height:337.7pt;z-index:2516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" fillcolor="#09c" strokecolor="white">
            <v:fill color2="#0000a4"/>
            <v:imagedata r:id="rId20" o:title=""/>
            <v:shadow color="#4d4d4d"/>
            <w10:wrap type="square"/>
          </v:shape>
          <o:OLEObject Type="Embed" ProgID="Unknown" ShapeID="Object 5" DrawAspect="Content" ObjectID="_1422897838" r:id="rId21"/>
        </w:pict>
      </w:r>
    </w:p>
    <w:p w:rsidR="000600CA" w:rsidRDefault="00DD4EFF" w:rsidP="00523F0C">
      <w:pPr>
        <w:pStyle w:val="TT-TableTitle"/>
        <w:jc w:val="center"/>
      </w:pPr>
      <w:bookmarkStart w:id="19" w:name="_Toc255551055"/>
      <w:r>
        <w:t xml:space="preserve">Figure 2. Preliminary plans for PIAAC </w:t>
      </w:r>
      <w:r w:rsidR="00D76C0A" w:rsidRPr="00327F76">
        <w:t>NRB</w:t>
      </w:r>
      <w:r>
        <w:t xml:space="preserve"> analysis</w:t>
      </w:r>
      <w:bookmarkEnd w:id="19"/>
    </w:p>
    <w:p w:rsidR="00DD4EFF" w:rsidRPr="00B92418" w:rsidRDefault="00DD4EFF" w:rsidP="00C15F40"/>
    <w:p w:rsidR="000600CA" w:rsidRPr="00523F0C" w:rsidRDefault="00C65FC8" w:rsidP="00784BC4">
      <w:pPr>
        <w:pStyle w:val="Heading2"/>
      </w:pPr>
      <w:bookmarkStart w:id="20" w:name="_Toc255808924"/>
      <w:r w:rsidRPr="00523F0C">
        <w:t>3.3.1</w:t>
      </w:r>
      <w:r w:rsidR="000600CA" w:rsidRPr="00523F0C">
        <w:t xml:space="preserve"> Basic </w:t>
      </w:r>
      <w:r w:rsidR="00D76C0A" w:rsidRPr="00327F76">
        <w:t>NRB</w:t>
      </w:r>
      <w:r w:rsidR="000600CA" w:rsidRPr="00523F0C">
        <w:t xml:space="preserve"> Analysis</w:t>
      </w:r>
      <w:bookmarkEnd w:id="20"/>
      <w:r w:rsidR="000600CA" w:rsidRPr="00523F0C">
        <w:t xml:space="preserve"> </w:t>
      </w:r>
    </w:p>
    <w:p w:rsidR="006A3147" w:rsidRDefault="006A3147" w:rsidP="004F1FD8">
      <w:r w:rsidRPr="009046E5">
        <w:t>The main goal</w:t>
      </w:r>
      <w:r w:rsidR="00BC6FF0">
        <w:t xml:space="preserve"> </w:t>
      </w:r>
      <w:r w:rsidR="00CE576D">
        <w:t xml:space="preserve">is to conduct a comprehensive </w:t>
      </w:r>
      <w:r w:rsidR="00D76C0A" w:rsidRPr="00D76C0A">
        <w:t>NRB</w:t>
      </w:r>
      <w:r w:rsidR="00CE576D">
        <w:t xml:space="preserve"> analysis to help guide the most effective </w:t>
      </w:r>
      <w:r w:rsidR="00D76C0A" w:rsidRPr="00D76C0A">
        <w:t>NRB</w:t>
      </w:r>
      <w:r w:rsidR="00CE576D">
        <w:t xml:space="preserve"> adjustments to the weights. </w:t>
      </w:r>
      <w:r w:rsidRPr="009046E5">
        <w:t>The</w:t>
      </w:r>
      <w:r w:rsidR="00150233" w:rsidRPr="009046E5">
        <w:t xml:space="preserve"> </w:t>
      </w:r>
      <w:r w:rsidR="00CE576D">
        <w:t>b</w:t>
      </w:r>
      <w:r w:rsidRPr="009046E5">
        <w:t xml:space="preserve">asic </w:t>
      </w:r>
      <w:r w:rsidR="00D76C0A" w:rsidRPr="00D76C0A">
        <w:t>NRB</w:t>
      </w:r>
      <w:r w:rsidR="00150233" w:rsidRPr="009046E5">
        <w:t xml:space="preserve"> analysis </w:t>
      </w:r>
      <w:r w:rsidR="00CE576D">
        <w:t>uses</w:t>
      </w:r>
      <w:r w:rsidR="00150233" w:rsidRPr="009046E5">
        <w:t xml:space="preserve"> auxiliary variable estimates for survey respondents and </w:t>
      </w:r>
      <w:proofErr w:type="spellStart"/>
      <w:r w:rsidR="00150233" w:rsidRPr="009046E5">
        <w:t>nonrespondents</w:t>
      </w:r>
      <w:proofErr w:type="spellEnd"/>
      <w:r w:rsidR="00150233" w:rsidRPr="009046E5">
        <w:t xml:space="preserve">. The auxiliary variables may be available on the sampling frame or from a previous data collection stage (e.g. screener data for the BQ/JRA analysis), can come from an external source that can be matched to each sampled unit, or could be observational data on respondents and </w:t>
      </w:r>
      <w:proofErr w:type="spellStart"/>
      <w:r w:rsidR="00150233" w:rsidRPr="009046E5">
        <w:t>nonrespondents</w:t>
      </w:r>
      <w:proofErr w:type="spellEnd"/>
      <w:r w:rsidR="00150233" w:rsidRPr="009046E5">
        <w:t xml:space="preserve"> collected during data collection, assuming the data is of sufficient quality. The auxiliary variables must be available for all eligible units and should be related to </w:t>
      </w:r>
      <w:r w:rsidR="0007110A">
        <w:t>competency</w:t>
      </w:r>
      <w:r w:rsidR="00150233" w:rsidRPr="009046E5">
        <w:t xml:space="preserve">. </w:t>
      </w:r>
    </w:p>
    <w:p w:rsidR="00C15F40" w:rsidRPr="009046E5" w:rsidRDefault="00C15F40" w:rsidP="004F1FD8"/>
    <w:p w:rsidR="006A3147" w:rsidRPr="00CE576D" w:rsidRDefault="00134D8F" w:rsidP="004F1FD8">
      <w:r w:rsidRPr="00CE576D">
        <w:t>An advantage of the basic analysis is that they could</w:t>
      </w:r>
      <w:r w:rsidR="00CE576D">
        <w:t xml:space="preserve"> be performed using data that </w:t>
      </w:r>
      <w:r w:rsidR="00102E7E">
        <w:t>are</w:t>
      </w:r>
      <w:r w:rsidRPr="00CE576D">
        <w:t xml:space="preserve"> readily available for both respondents and </w:t>
      </w:r>
      <w:proofErr w:type="spellStart"/>
      <w:r w:rsidRPr="00CE576D">
        <w:t>nonrespondents</w:t>
      </w:r>
      <w:proofErr w:type="spellEnd"/>
      <w:r w:rsidRPr="00CE576D">
        <w:t xml:space="preserve">. However, they are only beneficial if auxiliary variables </w:t>
      </w:r>
      <w:r w:rsidR="006355D0">
        <w:t xml:space="preserve">are highly </w:t>
      </w:r>
      <w:r w:rsidRPr="00CE576D">
        <w:t xml:space="preserve">correlated with </w:t>
      </w:r>
      <w:r w:rsidR="006355D0">
        <w:t>competency</w:t>
      </w:r>
      <w:r w:rsidRPr="00CE576D">
        <w:t>.</w:t>
      </w:r>
    </w:p>
    <w:p w:rsidR="004646B6" w:rsidRDefault="004646B6" w:rsidP="004F1FD8"/>
    <w:p w:rsidR="00150233" w:rsidRDefault="00150233" w:rsidP="004F1FD8">
      <w:r w:rsidRPr="00CE576D">
        <w:t>The following techniques can be used:</w:t>
      </w:r>
    </w:p>
    <w:p w:rsidR="00C15F40" w:rsidRPr="00CE576D" w:rsidRDefault="00C15F40" w:rsidP="004F1FD8"/>
    <w:p w:rsidR="009046E5" w:rsidRDefault="009046E5" w:rsidP="004F1FD8">
      <w:pPr>
        <w:pStyle w:val="ListParagraph"/>
        <w:numPr>
          <w:ilvl w:val="0"/>
          <w:numId w:val="18"/>
        </w:numPr>
        <w:ind w:left="1080"/>
      </w:pPr>
      <w:r w:rsidRPr="00CE576D">
        <w:t>Use a chi-square test to compare the distribution of auxiliary variables (correlated with competency) for</w:t>
      </w:r>
      <w:r w:rsidR="00294A5F" w:rsidRPr="00CE576D">
        <w:t xml:space="preserve"> respondents and </w:t>
      </w:r>
      <w:proofErr w:type="spellStart"/>
      <w:r w:rsidR="00294A5F" w:rsidRPr="00CE576D">
        <w:t>nonrespondents</w:t>
      </w:r>
      <w:proofErr w:type="spellEnd"/>
      <w:r w:rsidR="00294A5F" w:rsidRPr="00CE576D">
        <w:t>.</w:t>
      </w:r>
      <w:r w:rsidRPr="00CE576D">
        <w:t xml:space="preserve"> </w:t>
      </w:r>
      <w:r w:rsidR="00294A5F" w:rsidRPr="00CE576D">
        <w:t xml:space="preserve">Deviations between the auxiliary survey estimates and higher quality external source estimates may indicate a potential for bias in </w:t>
      </w:r>
      <w:r w:rsidR="00DD4EFF">
        <w:t>the survey estimates of competency levels</w:t>
      </w:r>
      <w:r w:rsidR="00294A5F" w:rsidRPr="00CE576D">
        <w:t>, to the extent that the auxiliary variables are related to the key statistics;</w:t>
      </w:r>
    </w:p>
    <w:p w:rsidR="00243ED5" w:rsidRDefault="009046E5" w:rsidP="00243ED5">
      <w:pPr>
        <w:pStyle w:val="ListParagraph"/>
        <w:numPr>
          <w:ilvl w:val="0"/>
          <w:numId w:val="18"/>
        </w:numPr>
        <w:ind w:left="1080"/>
      </w:pPr>
      <w:r w:rsidRPr="00CE576D">
        <w:t xml:space="preserve">Compare response rates for different subgroups; </w:t>
      </w:r>
    </w:p>
    <w:p w:rsidR="00243ED5" w:rsidRDefault="009046E5" w:rsidP="00243ED5">
      <w:pPr>
        <w:pStyle w:val="ListParagraph"/>
        <w:numPr>
          <w:ilvl w:val="0"/>
          <w:numId w:val="18"/>
        </w:numPr>
        <w:ind w:left="1080"/>
      </w:pPr>
      <w:r w:rsidRPr="00CE576D">
        <w:t xml:space="preserve">Use a classification tree algorithm to identify subgroups with low response rates; and/or </w:t>
      </w:r>
    </w:p>
    <w:p w:rsidR="00243ED5" w:rsidRDefault="009046E5" w:rsidP="00243ED5">
      <w:pPr>
        <w:pStyle w:val="ListParagraph"/>
        <w:numPr>
          <w:ilvl w:val="0"/>
          <w:numId w:val="18"/>
        </w:numPr>
        <w:ind w:left="1080"/>
      </w:pPr>
      <w:r w:rsidRPr="00CE576D">
        <w:t xml:space="preserve">Use logistic regression to model the relationship between response status and the auxiliary variables. </w:t>
      </w:r>
    </w:p>
    <w:p w:rsidR="000600CA" w:rsidRDefault="000600CA" w:rsidP="004F1FD8">
      <w:pPr>
        <w:pStyle w:val="ListParagraph"/>
        <w:ind w:left="0"/>
      </w:pPr>
    </w:p>
    <w:p w:rsidR="00C15F40" w:rsidRPr="00C15F40" w:rsidRDefault="00A27378" w:rsidP="00C15F40">
      <w:pPr>
        <w:pStyle w:val="Heading3"/>
      </w:pPr>
      <w:bookmarkStart w:id="21" w:name="_Toc255550507"/>
      <w:bookmarkStart w:id="22" w:name="_Toc255550904"/>
      <w:bookmarkStart w:id="23" w:name="_Toc255808925"/>
      <w:r w:rsidRPr="00C15F40">
        <w:lastRenderedPageBreak/>
        <w:t>Sample Weighting Adjustments</w:t>
      </w:r>
      <w:bookmarkEnd w:id="21"/>
      <w:bookmarkEnd w:id="22"/>
      <w:bookmarkEnd w:id="23"/>
    </w:p>
    <w:p w:rsidR="00150233" w:rsidRPr="00537569" w:rsidRDefault="00E35C82" w:rsidP="00C15F40">
      <w:pPr>
        <w:pStyle w:val="ListParagraph"/>
        <w:ind w:left="0"/>
      </w:pPr>
      <w:r>
        <w:t xml:space="preserve">At the conclusion of the basic </w:t>
      </w:r>
      <w:r w:rsidR="00D76C0A" w:rsidRPr="00D76C0A">
        <w:t>NRB</w:t>
      </w:r>
      <w:r>
        <w:t xml:space="preserve"> analysis, countries will be asked to put together a list of variables found to be </w:t>
      </w:r>
      <w:r w:rsidRPr="00CE576D">
        <w:t xml:space="preserve">significantly related to </w:t>
      </w:r>
      <w:r>
        <w:t xml:space="preserve">competency and response status. The goal </w:t>
      </w:r>
      <w:r w:rsidRPr="00CE576D">
        <w:t xml:space="preserve">is to use </w:t>
      </w:r>
      <w:r>
        <w:t xml:space="preserve">these </w:t>
      </w:r>
      <w:r w:rsidRPr="00CE576D">
        <w:t xml:space="preserve">variables </w:t>
      </w:r>
      <w:r>
        <w:t xml:space="preserve">in developing </w:t>
      </w:r>
      <w:r w:rsidR="00D76C0A" w:rsidRPr="00D76C0A">
        <w:t>NRB</w:t>
      </w:r>
      <w:r>
        <w:t xml:space="preserve"> adjustments.</w:t>
      </w:r>
      <w:r w:rsidR="00A8663C">
        <w:t xml:space="preserve"> </w:t>
      </w:r>
      <w:r>
        <w:t xml:space="preserve">Such adjustments will reduce </w:t>
      </w:r>
      <w:r w:rsidR="00D76C0A" w:rsidRPr="00D76C0A">
        <w:t>NRB</w:t>
      </w:r>
      <w:r>
        <w:t xml:space="preserve"> to the </w:t>
      </w:r>
      <w:r w:rsidR="003E056C" w:rsidRPr="00537569">
        <w:t xml:space="preserve">extent that the auxiliary variables and the </w:t>
      </w:r>
      <w:r>
        <w:t>competency</w:t>
      </w:r>
      <w:r w:rsidR="003E056C" w:rsidRPr="00537569">
        <w:t xml:space="preserve"> measure</w:t>
      </w:r>
      <w:r>
        <w:t>s</w:t>
      </w:r>
      <w:r w:rsidR="003E056C" w:rsidRPr="00537569">
        <w:t xml:space="preserve"> </w:t>
      </w:r>
      <w:r>
        <w:t>are</w:t>
      </w:r>
      <w:r w:rsidR="003E056C" w:rsidRPr="00537569">
        <w:t xml:space="preserve"> correlated, and the auxiliary variables and response propensity </w:t>
      </w:r>
      <w:r>
        <w:t>are</w:t>
      </w:r>
      <w:r w:rsidR="003E056C" w:rsidRPr="00537569">
        <w:t xml:space="preserve"> correlated</w:t>
      </w:r>
      <w:r w:rsidR="003E056C">
        <w:t xml:space="preserve">. </w:t>
      </w:r>
    </w:p>
    <w:p w:rsidR="00150233" w:rsidRDefault="00150233" w:rsidP="00C15F40">
      <w:pPr>
        <w:pStyle w:val="ListParagraph"/>
      </w:pPr>
    </w:p>
    <w:p w:rsidR="00BF129D" w:rsidRPr="00C15F40" w:rsidRDefault="00BF129D" w:rsidP="001E4E8E">
      <w:pPr>
        <w:pStyle w:val="Heading2"/>
      </w:pPr>
      <w:bookmarkStart w:id="24" w:name="_Toc255808926"/>
      <w:r>
        <w:t xml:space="preserve">3.3.2 </w:t>
      </w:r>
      <w:r w:rsidR="00D76C0A" w:rsidRPr="00327F76">
        <w:t>NRB</w:t>
      </w:r>
      <w:r w:rsidRPr="00C15F40">
        <w:t xml:space="preserve"> Analysis if Response Rate is Less Than 70%</w:t>
      </w:r>
      <w:bookmarkEnd w:id="24"/>
    </w:p>
    <w:p w:rsidR="00C15F40" w:rsidRDefault="00D85901" w:rsidP="00C15F40">
      <w:pPr>
        <w:pStyle w:val="ListParagraph"/>
        <w:ind w:left="0"/>
      </w:pPr>
      <w:r w:rsidRPr="00A72E00">
        <w:t xml:space="preserve">The basic descriptive analysis is a good initial assessment of </w:t>
      </w:r>
      <w:r w:rsidR="00D76C0A" w:rsidRPr="00D76C0A">
        <w:t>NRB</w:t>
      </w:r>
      <w:r w:rsidR="000C0C16">
        <w:t xml:space="preserve"> and</w:t>
      </w:r>
      <w:r w:rsidRPr="00A72E00">
        <w:t xml:space="preserve"> is essential in identifying </w:t>
      </w:r>
      <w:r w:rsidR="00AF3A2F">
        <w:t xml:space="preserve">effective </w:t>
      </w:r>
      <w:r w:rsidRPr="00A72E00">
        <w:t xml:space="preserve">weighting variables. However, it has its limitations. </w:t>
      </w:r>
      <w:r w:rsidR="00DA34FC">
        <w:t>The analysis</w:t>
      </w:r>
      <w:r w:rsidR="00DA34FC" w:rsidRPr="00A72E00">
        <w:t xml:space="preserve"> </w:t>
      </w:r>
      <w:r w:rsidRPr="00A72E00">
        <w:t xml:space="preserve">does not reflect the effect of weighting adjustments on </w:t>
      </w:r>
      <w:r w:rsidR="00D76C0A" w:rsidRPr="00D76C0A">
        <w:t>NRB</w:t>
      </w:r>
      <w:r w:rsidR="000C0C16">
        <w:t>, and the extent of bias remaining after nonresponse adjustment</w:t>
      </w:r>
      <w:r w:rsidR="002A485F">
        <w:t>s</w:t>
      </w:r>
      <w:r w:rsidR="00AF3A2F">
        <w:t xml:space="preserve"> are conducted</w:t>
      </w:r>
      <w:r w:rsidR="000C0C16">
        <w:t>.</w:t>
      </w:r>
    </w:p>
    <w:p w:rsidR="00C15F40" w:rsidRDefault="00C15F40" w:rsidP="00C15F40">
      <w:pPr>
        <w:pStyle w:val="ListParagraph"/>
        <w:ind w:left="0"/>
        <w:rPr>
          <w:color w:val="000000"/>
        </w:rPr>
      </w:pPr>
    </w:p>
    <w:p w:rsidR="00711338" w:rsidRPr="00C15F40" w:rsidRDefault="00AF3A2F" w:rsidP="00C15F40">
      <w:pPr>
        <w:pStyle w:val="ListParagraph"/>
        <w:ind w:left="0"/>
      </w:pPr>
      <w:r>
        <w:rPr>
          <w:color w:val="000000"/>
        </w:rPr>
        <w:t xml:space="preserve">Brief descriptions of some possible analyses are provided below. </w:t>
      </w:r>
      <w:r w:rsidR="00D85901">
        <w:rPr>
          <w:color w:val="000000"/>
        </w:rPr>
        <w:t xml:space="preserve">Note that </w:t>
      </w:r>
      <w:r w:rsidR="00D85901">
        <w:t>m</w:t>
      </w:r>
      <w:r w:rsidR="00D85901" w:rsidRPr="00B92418">
        <w:t xml:space="preserve">ultiple analyses to assess </w:t>
      </w:r>
      <w:r w:rsidR="00D76C0A" w:rsidRPr="00D76C0A">
        <w:rPr>
          <w:iCs/>
        </w:rPr>
        <w:t>NRB</w:t>
      </w:r>
      <w:r w:rsidR="00D85901" w:rsidRPr="00B92418">
        <w:t xml:space="preserve"> </w:t>
      </w:r>
      <w:r>
        <w:t>are</w:t>
      </w:r>
      <w:r w:rsidR="00D85901" w:rsidRPr="00B92418">
        <w:t xml:space="preserve"> necessary </w:t>
      </w:r>
      <w:r w:rsidR="0041736C">
        <w:t>becaus</w:t>
      </w:r>
      <w:r w:rsidR="00D85901" w:rsidRPr="00B92418">
        <w:t>e each analysis has its own limitations</w:t>
      </w:r>
      <w:r w:rsidR="00D85901">
        <w:t xml:space="preserve">. </w:t>
      </w:r>
      <w:r w:rsidR="005F2990">
        <w:t>Together, they will provide an insight into the patterns and potential for bias.</w:t>
      </w:r>
    </w:p>
    <w:p w:rsidR="00C15F40" w:rsidRDefault="00C15F40" w:rsidP="00C15F40">
      <w:pPr>
        <w:rPr>
          <w:b/>
          <w:i/>
        </w:rPr>
      </w:pPr>
    </w:p>
    <w:p w:rsidR="00156100" w:rsidRDefault="0013380C" w:rsidP="004F1FD8">
      <w:r w:rsidRPr="0013380C">
        <w:rPr>
          <w:b/>
          <w:i/>
        </w:rPr>
        <w:t>Comparison of estimates before and after weight adjustments are done -</w:t>
      </w:r>
      <w:r>
        <w:t xml:space="preserve"> </w:t>
      </w:r>
      <w:r w:rsidR="008D36CD">
        <w:t>T</w:t>
      </w:r>
      <w:r w:rsidR="00156100" w:rsidRPr="00B92418">
        <w:t xml:space="preserve">he </w:t>
      </w:r>
      <w:r w:rsidR="00156100">
        <w:t xml:space="preserve">basic </w:t>
      </w:r>
      <w:r w:rsidR="00156100" w:rsidRPr="00B92418">
        <w:t xml:space="preserve">analysis described in section </w:t>
      </w:r>
      <w:r w:rsidR="008D36CD">
        <w:t>3.3.1</w:t>
      </w:r>
      <w:r w:rsidR="00156100" w:rsidRPr="00B92418">
        <w:t xml:space="preserve"> comparing the base-weighted estimates for respondents to the base-weighted full sample estimates can be extended to include a third stage – the respondent estimates using weights adjusted for nonresponse and calibrated to control totals. In other words, estimates from the full sample can be compared to estimates from the respondents before and after weighting adjustments. If the full sample estimates are closer to the final estimates than the base weighted estimates, this indicates bias in the auxiliary variables was reduced through the weighting process.</w:t>
      </w:r>
      <w:r w:rsidR="00A8663C">
        <w:t xml:space="preserve"> </w:t>
      </w:r>
    </w:p>
    <w:p w:rsidR="00C15F40" w:rsidRPr="00B92418" w:rsidRDefault="00C15F40" w:rsidP="004F1FD8"/>
    <w:p w:rsidR="00156100" w:rsidRDefault="0013380C" w:rsidP="004F1FD8">
      <w:r w:rsidRPr="0013380C">
        <w:rPr>
          <w:b/>
          <w:i/>
        </w:rPr>
        <w:t>Comparison of weighted estimates to external totals -</w:t>
      </w:r>
      <w:r>
        <w:t xml:space="preserve"> </w:t>
      </w:r>
      <w:r w:rsidR="00156100" w:rsidRPr="00B92418">
        <w:t xml:space="preserve">Another </w:t>
      </w:r>
      <w:r w:rsidR="00F909AB">
        <w:t xml:space="preserve">extended </w:t>
      </w:r>
      <w:r w:rsidR="00156100" w:rsidRPr="00B92418">
        <w:t xml:space="preserve">analysis is to compare estimates from PIAAC to </w:t>
      </w:r>
      <w:r w:rsidR="002A485F" w:rsidRPr="00B92418">
        <w:t xml:space="preserve">estimates </w:t>
      </w:r>
      <w:r w:rsidR="002A485F">
        <w:t xml:space="preserve">from </w:t>
      </w:r>
      <w:r w:rsidR="00156100" w:rsidRPr="00B92418">
        <w:t xml:space="preserve">external source. The PIAAC estimates should be produced using the final weights that have been adjusted for nonresponse and calibrated to control totals. Care should be taken to choose external source estimates that measure the same characteristic for a similar time period. The external source estimates will also be subject to error, and the variance of these estimates should be taken into account when making this comparison. </w:t>
      </w:r>
    </w:p>
    <w:p w:rsidR="00C15F40" w:rsidRPr="00B92418" w:rsidRDefault="00C15F40" w:rsidP="004F1FD8"/>
    <w:p w:rsidR="0013380C" w:rsidRDefault="0013380C" w:rsidP="004F1FD8">
      <w:r w:rsidRPr="0013380C">
        <w:rPr>
          <w:b/>
          <w:i/>
        </w:rPr>
        <w:t>Correlations between weighting adjustment variables and competency measures -</w:t>
      </w:r>
      <w:r w:rsidRPr="0013380C">
        <w:t xml:space="preserve"> </w:t>
      </w:r>
      <w:r w:rsidR="00156100" w:rsidRPr="0013380C">
        <w:t>The analyses described thus far rely on auxiliary variables and do not directly measure bias</w:t>
      </w:r>
      <w:r w:rsidR="00C523AA" w:rsidRPr="0013380C">
        <w:t xml:space="preserve"> in the </w:t>
      </w:r>
      <w:r w:rsidR="00181675">
        <w:t>compet</w:t>
      </w:r>
      <w:r w:rsidR="00C523AA" w:rsidRPr="0013380C">
        <w:t>ency estimates. As mentioned earlier, b</w:t>
      </w:r>
      <w:r w:rsidR="00156100" w:rsidRPr="0013380C">
        <w:t xml:space="preserve">ias in the auxiliary variables is indicative of bias in the </w:t>
      </w:r>
      <w:r w:rsidR="00102E7E">
        <w:t>competency</w:t>
      </w:r>
      <w:r w:rsidR="00156100" w:rsidRPr="0013380C">
        <w:t xml:space="preserve"> estimates to the extent that the auxiliary variables and </w:t>
      </w:r>
      <w:r w:rsidR="00181675">
        <w:t>competency</w:t>
      </w:r>
      <w:r w:rsidR="00156100" w:rsidRPr="0013380C">
        <w:t xml:space="preserve"> estimates are correlated. Thus, correlations between the auxiliary variables and </w:t>
      </w:r>
      <w:r w:rsidR="00181675">
        <w:t>compet</w:t>
      </w:r>
      <w:r w:rsidR="00181675" w:rsidRPr="0013380C">
        <w:t>ency</w:t>
      </w:r>
      <w:r w:rsidR="00156100" w:rsidRPr="0013380C">
        <w:t xml:space="preserve"> data can be computed to evaluate this </w:t>
      </w:r>
      <w:r w:rsidR="00156100" w:rsidRPr="00531667">
        <w:t xml:space="preserve">relationship. </w:t>
      </w:r>
      <w:r w:rsidRPr="00531667">
        <w:t xml:space="preserve">For variables used in the weighting adjustments, a low correlation with literacy implies that using the variable in the weighting adjustments did little to reduce </w:t>
      </w:r>
      <w:r w:rsidR="00D76C0A" w:rsidRPr="00D76C0A">
        <w:t>NRB</w:t>
      </w:r>
      <w:r w:rsidRPr="00531667">
        <w:t xml:space="preserve">. On the other hand, a high correlation with literacy implies a potentially high reduction in </w:t>
      </w:r>
      <w:r w:rsidR="00D76C0A" w:rsidRPr="00D76C0A">
        <w:t>NRB</w:t>
      </w:r>
      <w:r w:rsidRPr="00531667">
        <w:t xml:space="preserve">. For variables not used in the weighting adjustments, a high correlation with literacy indicates potential bias in the literacy estimates. This can be used to inform weighting decisions for future surveys. </w:t>
      </w:r>
    </w:p>
    <w:p w:rsidR="00C15F40" w:rsidRPr="00531667" w:rsidRDefault="00C15F40" w:rsidP="004F1FD8"/>
    <w:p w:rsidR="00414164" w:rsidRPr="00531667" w:rsidRDefault="00414164" w:rsidP="004F1FD8">
      <w:r w:rsidRPr="00531667">
        <w:t xml:space="preserve">The disadvantage of using correlations to evaluate </w:t>
      </w:r>
      <w:r w:rsidR="00D76C0A" w:rsidRPr="00D76C0A">
        <w:t>NRB</w:t>
      </w:r>
      <w:r w:rsidRPr="00531667">
        <w:t xml:space="preserve"> is that the correlations are based on respondents only and the relationship between </w:t>
      </w:r>
      <w:r w:rsidR="00181675">
        <w:t>compet</w:t>
      </w:r>
      <w:r w:rsidR="00181675" w:rsidRPr="0013380C">
        <w:t>ency</w:t>
      </w:r>
      <w:r w:rsidR="00181675" w:rsidRPr="00531667">
        <w:t xml:space="preserve"> </w:t>
      </w:r>
      <w:r w:rsidRPr="00531667">
        <w:t xml:space="preserve">and the auxiliary variables might be different for </w:t>
      </w:r>
      <w:proofErr w:type="spellStart"/>
      <w:r w:rsidRPr="00531667">
        <w:t>nonrespondents</w:t>
      </w:r>
      <w:proofErr w:type="spellEnd"/>
      <w:r w:rsidRPr="00531667">
        <w:t>. However, this is not as much a concern if the relationship can be confirmed using outside sources.</w:t>
      </w:r>
    </w:p>
    <w:p w:rsidR="0013380C" w:rsidRPr="00531667" w:rsidRDefault="0013380C" w:rsidP="00123AD0">
      <w:pPr>
        <w:pStyle w:val="Default"/>
        <w:spacing w:line="276" w:lineRule="auto"/>
        <w:jc w:val="both"/>
        <w:rPr>
          <w:rFonts w:ascii="Times New Roman" w:hAnsi="Times New Roman" w:cs="Times New Roman"/>
          <w:sz w:val="22"/>
          <w:szCs w:val="22"/>
        </w:rPr>
      </w:pPr>
    </w:p>
    <w:p w:rsidR="00414164" w:rsidRDefault="00414164" w:rsidP="00123AD0">
      <w:pPr>
        <w:pStyle w:val="Default"/>
        <w:spacing w:line="276" w:lineRule="auto"/>
        <w:jc w:val="both"/>
        <w:rPr>
          <w:rFonts w:ascii="Times New Roman" w:hAnsi="Times New Roman" w:cs="Times New Roman"/>
          <w:sz w:val="22"/>
          <w:szCs w:val="22"/>
        </w:rPr>
      </w:pPr>
      <w:r w:rsidRPr="00531667">
        <w:rPr>
          <w:rFonts w:ascii="Times New Roman" w:hAnsi="Times New Roman" w:cs="Times New Roman"/>
          <w:b/>
          <w:i/>
          <w:sz w:val="22"/>
          <w:szCs w:val="22"/>
        </w:rPr>
        <w:t>Comparison of estimates using alternative weighting adjustments</w:t>
      </w:r>
      <w:r w:rsidR="007F4508">
        <w:rPr>
          <w:rFonts w:ascii="Times New Roman" w:hAnsi="Times New Roman" w:cs="Times New Roman"/>
          <w:b/>
          <w:i/>
          <w:sz w:val="22"/>
          <w:szCs w:val="22"/>
        </w:rPr>
        <w:t xml:space="preserve"> </w:t>
      </w:r>
      <w:r w:rsidRPr="00531667">
        <w:rPr>
          <w:rFonts w:ascii="Times New Roman" w:hAnsi="Times New Roman" w:cs="Times New Roman"/>
          <w:b/>
          <w:i/>
          <w:sz w:val="22"/>
          <w:szCs w:val="22"/>
        </w:rPr>
        <w:t xml:space="preserve">- </w:t>
      </w:r>
      <w:r w:rsidRPr="00531667">
        <w:rPr>
          <w:rFonts w:ascii="Times New Roman" w:hAnsi="Times New Roman" w:cs="Times New Roman"/>
          <w:sz w:val="22"/>
          <w:szCs w:val="22"/>
        </w:rPr>
        <w:t>For this evaluation, an auxiliary variable is re-calibrated to known totals, and estimates of the key statistics are compared before and after the re-weighting. Re-weighting can be useful as an evaluation tool when:</w:t>
      </w:r>
    </w:p>
    <w:p w:rsidR="00523F0C" w:rsidRPr="00531667" w:rsidRDefault="00523F0C" w:rsidP="00123AD0">
      <w:pPr>
        <w:pStyle w:val="Default"/>
        <w:spacing w:line="276" w:lineRule="auto"/>
        <w:jc w:val="both"/>
        <w:rPr>
          <w:rFonts w:ascii="Times New Roman" w:hAnsi="Times New Roman" w:cs="Times New Roman"/>
          <w:b/>
          <w:i/>
          <w:sz w:val="22"/>
          <w:szCs w:val="22"/>
        </w:rPr>
      </w:pPr>
    </w:p>
    <w:p w:rsidR="00414164" w:rsidRPr="00531667" w:rsidRDefault="00414164" w:rsidP="004F1FD8">
      <w:pPr>
        <w:pStyle w:val="ListParagraph"/>
        <w:numPr>
          <w:ilvl w:val="0"/>
          <w:numId w:val="18"/>
        </w:numPr>
        <w:ind w:left="1080"/>
      </w:pPr>
      <w:r w:rsidRPr="00531667">
        <w:t>The variable was not used in weighting (because it was of a low quality);</w:t>
      </w:r>
    </w:p>
    <w:p w:rsidR="00414164" w:rsidRPr="00531667" w:rsidRDefault="00414164" w:rsidP="004F1FD8">
      <w:pPr>
        <w:pStyle w:val="ListParagraph"/>
        <w:numPr>
          <w:ilvl w:val="0"/>
          <w:numId w:val="18"/>
        </w:numPr>
        <w:ind w:left="1080"/>
      </w:pPr>
      <w:r w:rsidRPr="00531667">
        <w:t>The variable is correlated with the outcome measure; and</w:t>
      </w:r>
    </w:p>
    <w:p w:rsidR="00414164" w:rsidRDefault="00414164" w:rsidP="004F1FD8">
      <w:pPr>
        <w:pStyle w:val="ListParagraph"/>
        <w:numPr>
          <w:ilvl w:val="0"/>
          <w:numId w:val="18"/>
        </w:numPr>
        <w:ind w:left="1080"/>
      </w:pPr>
      <w:r w:rsidRPr="00531667">
        <w:t>The variable is correlated with response propensity.</w:t>
      </w:r>
    </w:p>
    <w:p w:rsidR="00531667" w:rsidRPr="00531667" w:rsidRDefault="00531667" w:rsidP="00C15F40">
      <w:pPr>
        <w:ind w:left="720"/>
      </w:pPr>
    </w:p>
    <w:p w:rsidR="0013380C" w:rsidRDefault="00414164" w:rsidP="004F1FD8">
      <w:r w:rsidRPr="00531667">
        <w:lastRenderedPageBreak/>
        <w:t xml:space="preserve">Any differences between estimates using the official survey weights and the re-weighted weights reflect </w:t>
      </w:r>
      <w:proofErr w:type="spellStart"/>
      <w:r w:rsidRPr="00531667">
        <w:t>noncoverage</w:t>
      </w:r>
      <w:proofErr w:type="spellEnd"/>
      <w:r w:rsidRPr="00531667">
        <w:t xml:space="preserve"> as well as </w:t>
      </w:r>
      <w:r w:rsidR="00D76C0A" w:rsidRPr="00D76C0A">
        <w:t>NRB</w:t>
      </w:r>
      <w:r w:rsidRPr="00531667">
        <w:t xml:space="preserve">, but if there is not a large change in the estimates, this is further confirmation that </w:t>
      </w:r>
      <w:r w:rsidR="00D76C0A" w:rsidRPr="00D76C0A">
        <w:t>NRB</w:t>
      </w:r>
      <w:r w:rsidRPr="00531667">
        <w:t xml:space="preserve"> may not be a concern. </w:t>
      </w:r>
    </w:p>
    <w:p w:rsidR="00C15F40" w:rsidRDefault="00C15F40" w:rsidP="004F1FD8">
      <w:pPr>
        <w:rPr>
          <w:b/>
          <w:i/>
        </w:rPr>
      </w:pPr>
    </w:p>
    <w:p w:rsidR="00343480" w:rsidRPr="00531667" w:rsidRDefault="00414164" w:rsidP="004F1FD8">
      <w:r w:rsidRPr="00531667">
        <w:rPr>
          <w:b/>
          <w:i/>
        </w:rPr>
        <w:t>Analysis of variables collected during data collection - BQ variables -</w:t>
      </w:r>
      <w:r w:rsidRPr="00531667">
        <w:t xml:space="preserve"> The de</w:t>
      </w:r>
      <w:r w:rsidR="006E17D9" w:rsidRPr="00531667">
        <w:t>scriptive analyses described ear</w:t>
      </w:r>
      <w:r w:rsidRPr="00531667">
        <w:t xml:space="preserve">lier assess the potential for bias in some statistics that may not necessarily be highly related to </w:t>
      </w:r>
      <w:r w:rsidR="00181675">
        <w:t>competency</w:t>
      </w:r>
      <w:r w:rsidRPr="00531667">
        <w:t>. Therefore, the next step of the analysis should be to evaluate bias on the key statistics or closely related variables. For PIAAC, the key statistics are scores measuring competency in the components of the assessments that will b</w:t>
      </w:r>
      <w:r w:rsidR="00531667">
        <w:t>e available later</w:t>
      </w:r>
      <w:r w:rsidRPr="00531667">
        <w:t xml:space="preserve">. However, before literacy scores are available, an analysis can be performed with </w:t>
      </w:r>
      <w:r w:rsidR="00531667">
        <w:t>BQ/JRA</w:t>
      </w:r>
      <w:r w:rsidRPr="00531667">
        <w:t xml:space="preserve"> variables believed to be closely related to literacy, such as</w:t>
      </w:r>
      <w:r w:rsidR="00102E7E">
        <w:t xml:space="preserve"> questions on measuring habits (</w:t>
      </w:r>
      <w:r w:rsidR="007F4508">
        <w:t xml:space="preserve">newspapers </w:t>
      </w:r>
      <w:r w:rsidR="00102E7E">
        <w:t xml:space="preserve">or magazines), for example. </w:t>
      </w:r>
      <w:r w:rsidR="00531667">
        <w:t>Analyses of such varia</w:t>
      </w:r>
      <w:r w:rsidR="00A3127E">
        <w:t>bles may show patterns of bias</w:t>
      </w:r>
      <w:r w:rsidR="00531667">
        <w:t xml:space="preserve"> that cannot be effectively eliminated by the auxilia</w:t>
      </w:r>
      <w:r w:rsidR="00A3127E">
        <w:t>ry variables used in weighting.</w:t>
      </w:r>
    </w:p>
    <w:p w:rsidR="00C15F40" w:rsidRDefault="00C15F40" w:rsidP="004F1FD8">
      <w:pPr>
        <w:rPr>
          <w:b/>
          <w:i/>
        </w:rPr>
      </w:pPr>
    </w:p>
    <w:p w:rsidR="00343480" w:rsidRPr="00531667" w:rsidRDefault="00343480" w:rsidP="004F1FD8">
      <w:r w:rsidRPr="00531667">
        <w:rPr>
          <w:b/>
          <w:i/>
        </w:rPr>
        <w:t xml:space="preserve">Analysis of variables collected during data collection - </w:t>
      </w:r>
      <w:r w:rsidR="00E2280D">
        <w:rPr>
          <w:b/>
          <w:i/>
        </w:rPr>
        <w:t>D</w:t>
      </w:r>
      <w:r w:rsidRPr="00531667">
        <w:rPr>
          <w:b/>
          <w:i/>
        </w:rPr>
        <w:t xml:space="preserve">isposition codes </w:t>
      </w:r>
      <w:r w:rsidR="007F4508">
        <w:rPr>
          <w:b/>
          <w:i/>
        </w:rPr>
        <w:t>-</w:t>
      </w:r>
      <w:r w:rsidRPr="00531667">
        <w:rPr>
          <w:b/>
          <w:i/>
        </w:rPr>
        <w:t xml:space="preserve"> </w:t>
      </w:r>
      <w:r w:rsidR="0015196C" w:rsidRPr="00BF129D">
        <w:t>Disposition</w:t>
      </w:r>
      <w:r w:rsidR="0015196C" w:rsidRPr="00531667">
        <w:rPr>
          <w:i/>
        </w:rPr>
        <w:t xml:space="preserve"> </w:t>
      </w:r>
      <w:r w:rsidR="0015196C" w:rsidRPr="00531667">
        <w:t>codes contain information on reasons for nonresponse. For this analysis, distributions of sampled persons with known characteristics related to outcome</w:t>
      </w:r>
      <w:r w:rsidR="007F4508">
        <w:t xml:space="preserve"> (</w:t>
      </w:r>
      <w:r w:rsidR="00531667">
        <w:t>i.e. the language barrier cases</w:t>
      </w:r>
      <w:r w:rsidR="007F4508">
        <w:t>)</w:t>
      </w:r>
      <w:r w:rsidR="0015196C" w:rsidRPr="00531667">
        <w:t xml:space="preserve"> should be </w:t>
      </w:r>
      <w:r w:rsidR="008A3BFD" w:rsidRPr="00531667">
        <w:t>examined</w:t>
      </w:r>
      <w:r w:rsidR="0015196C" w:rsidRPr="00531667">
        <w:t>. For example, the</w:t>
      </w:r>
      <w:r w:rsidR="008A3BFD" w:rsidRPr="00531667">
        <w:t xml:space="preserve"> demographic distribution of</w:t>
      </w:r>
      <w:r w:rsidR="0015196C" w:rsidRPr="00531667">
        <w:t xml:space="preserve"> language barrier cases can be compared to other eligible persons using auxiliary data, and interview data. </w:t>
      </w:r>
    </w:p>
    <w:p w:rsidR="00C15F40" w:rsidRDefault="00C15F40" w:rsidP="004F1FD8">
      <w:pPr>
        <w:rPr>
          <w:b/>
          <w:i/>
        </w:rPr>
      </w:pPr>
    </w:p>
    <w:p w:rsidR="0013380C" w:rsidRPr="00531667" w:rsidRDefault="00414164" w:rsidP="004F1FD8">
      <w:r w:rsidRPr="00531667">
        <w:rPr>
          <w:b/>
          <w:i/>
        </w:rPr>
        <w:t xml:space="preserve">Analysis of variables collected during data collection - </w:t>
      </w:r>
      <w:r w:rsidR="001865E5">
        <w:rPr>
          <w:b/>
          <w:i/>
        </w:rPr>
        <w:t>NIR</w:t>
      </w:r>
      <w:r w:rsidRPr="00531667">
        <w:rPr>
          <w:b/>
          <w:i/>
        </w:rPr>
        <w:t xml:space="preserve"> -</w:t>
      </w:r>
      <w:r w:rsidRPr="00531667">
        <w:t xml:space="preserve"> The NIR forms identify observable demographic information and reasons for nonresponse that are not captured in the disposition codes. The NIR forms can potentially indicate whether the reasons for nonresponse are related to </w:t>
      </w:r>
      <w:r w:rsidR="00E2280D">
        <w:t>competency</w:t>
      </w:r>
      <w:r w:rsidRPr="00531667">
        <w:t xml:space="preserve"> estimates and suggest ways to improve response rates for future surveys.</w:t>
      </w:r>
    </w:p>
    <w:p w:rsidR="00C15F40" w:rsidRDefault="00C15F40" w:rsidP="004F1FD8">
      <w:pPr>
        <w:rPr>
          <w:b/>
          <w:i/>
        </w:rPr>
      </w:pPr>
    </w:p>
    <w:p w:rsidR="009943C1" w:rsidRPr="00531667" w:rsidRDefault="00E517D8" w:rsidP="004F1FD8">
      <w:r w:rsidRPr="00531667">
        <w:rPr>
          <w:b/>
          <w:i/>
        </w:rPr>
        <w:t xml:space="preserve">Comparison of late or “hard-to-contact” respondents to early respondents </w:t>
      </w:r>
      <w:r w:rsidR="007F4508">
        <w:rPr>
          <w:b/>
          <w:i/>
        </w:rPr>
        <w:t>-</w:t>
      </w:r>
      <w:r w:rsidRPr="00531667">
        <w:t xml:space="preserve"> </w:t>
      </w:r>
      <w:r w:rsidR="009943C1" w:rsidRPr="00531667">
        <w:t xml:space="preserve">This analysis is helpful </w:t>
      </w:r>
      <w:r w:rsidR="0006121E" w:rsidRPr="00531667">
        <w:t>for evaluating</w:t>
      </w:r>
      <w:r w:rsidR="009943C1" w:rsidRPr="00531667">
        <w:t xml:space="preserve"> the potential for </w:t>
      </w:r>
      <w:r w:rsidR="00D76C0A" w:rsidRPr="00D76C0A">
        <w:t>NRB</w:t>
      </w:r>
      <w:r w:rsidR="009943C1" w:rsidRPr="00531667">
        <w:t xml:space="preserve"> for differences that cannot be captured through adjusting for known demographics. </w:t>
      </w:r>
      <w:r w:rsidRPr="00531667">
        <w:t xml:space="preserve">Significant differences between the competency levels of early and late respondents imply that the bias </w:t>
      </w:r>
      <w:r w:rsidR="00102E7E">
        <w:t>could have been</w:t>
      </w:r>
      <w:r w:rsidRPr="00531667">
        <w:t xml:space="preserve"> potentially reduced </w:t>
      </w:r>
      <w:r w:rsidR="00102E7E">
        <w:t>through focused efforts to</w:t>
      </w:r>
      <w:r w:rsidRPr="00531667">
        <w:t xml:space="preserve"> obtain the late respondents. However, to the extent that differences between early and late respondents reflect differences between respondents and </w:t>
      </w:r>
      <w:proofErr w:type="spellStart"/>
      <w:r w:rsidRPr="00531667">
        <w:t>nonrespondents</w:t>
      </w:r>
      <w:proofErr w:type="spellEnd"/>
      <w:r w:rsidRPr="00531667">
        <w:t xml:space="preserve">, the findings indicate that some level of </w:t>
      </w:r>
      <w:r w:rsidR="00D76C0A" w:rsidRPr="00D76C0A">
        <w:t>NRB</w:t>
      </w:r>
      <w:r w:rsidRPr="00531667">
        <w:t xml:space="preserve"> might still be present</w:t>
      </w:r>
      <w:r w:rsidR="005D2132" w:rsidRPr="00531667">
        <w:t xml:space="preserve"> (which de</w:t>
      </w:r>
      <w:r w:rsidR="009943C1" w:rsidRPr="00531667">
        <w:t>pends on the magnitude of nonresponse rate)</w:t>
      </w:r>
      <w:r w:rsidRPr="00531667">
        <w:t xml:space="preserve">. The validity of this assumption, that late respondents are similar to </w:t>
      </w:r>
      <w:proofErr w:type="spellStart"/>
      <w:r w:rsidRPr="00531667">
        <w:t>nonrespondents</w:t>
      </w:r>
      <w:proofErr w:type="spellEnd"/>
      <w:r w:rsidRPr="00531667">
        <w:t>, depends largely on the strategies used in the late data collection effort. For many surveys this may not be a valid assumption, but it seems reasonable for a household survey such as PIAAC where multiple contacts are usually required to gain cooperation.</w:t>
      </w:r>
    </w:p>
    <w:p w:rsidR="00C15F40" w:rsidRDefault="00C15F40" w:rsidP="004F1FD8">
      <w:pPr>
        <w:rPr>
          <w:b/>
          <w:i/>
        </w:rPr>
      </w:pPr>
    </w:p>
    <w:p w:rsidR="00156100" w:rsidRPr="00116C47" w:rsidRDefault="009943C1" w:rsidP="004F1FD8">
      <w:r w:rsidRPr="00531667">
        <w:rPr>
          <w:b/>
          <w:i/>
        </w:rPr>
        <w:t>Calculation of the range of potential bias -</w:t>
      </w:r>
      <w:r w:rsidRPr="00531667">
        <w:t xml:space="preserve"> How can we evaluate the potential for bias remaining after weighting if </w:t>
      </w:r>
      <w:proofErr w:type="spellStart"/>
      <w:r w:rsidRPr="00531667">
        <w:t>nonrespondents</w:t>
      </w:r>
      <w:proofErr w:type="spellEnd"/>
      <w:r w:rsidRPr="00531667">
        <w:t xml:space="preserve"> are very different from respondents within the weighting classes?</w:t>
      </w:r>
      <w:r w:rsidR="00116C47">
        <w:t xml:space="preserve"> T</w:t>
      </w:r>
      <w:r w:rsidR="00156100" w:rsidRPr="00531667">
        <w:t xml:space="preserve">he range of potential bias can be evaluated using </w:t>
      </w:r>
      <w:r w:rsidR="00EC4B2D">
        <w:t>a</w:t>
      </w:r>
      <w:r w:rsidR="00156100" w:rsidRPr="00531667">
        <w:t xml:space="preserve"> deterministic </w:t>
      </w:r>
      <w:r w:rsidR="00D76C0A" w:rsidRPr="00D76C0A">
        <w:t>NRB</w:t>
      </w:r>
      <w:r w:rsidR="00156100" w:rsidRPr="00531667">
        <w:t xml:space="preserve"> formula</w:t>
      </w:r>
      <w:r w:rsidR="00EC4B2D">
        <w:t xml:space="preserve"> that</w:t>
      </w:r>
      <w:r w:rsidR="00156100" w:rsidRPr="00531667">
        <w:t xml:space="preserve"> calculate</w:t>
      </w:r>
      <w:r w:rsidR="00EC4B2D">
        <w:t>s</w:t>
      </w:r>
      <w:r w:rsidR="00156100" w:rsidRPr="00531667">
        <w:t xml:space="preserve"> how different respondent and </w:t>
      </w:r>
      <w:proofErr w:type="spellStart"/>
      <w:r w:rsidR="00156100" w:rsidRPr="00531667">
        <w:t>nonrespondents</w:t>
      </w:r>
      <w:proofErr w:type="spellEnd"/>
      <w:r w:rsidR="00156100" w:rsidRPr="00531667">
        <w:t xml:space="preserve"> </w:t>
      </w:r>
      <w:r w:rsidR="00102E7E">
        <w:t>competency</w:t>
      </w:r>
      <w:r w:rsidR="00156100" w:rsidRPr="00531667">
        <w:t xml:space="preserve"> estimates need to be to bias the overall </w:t>
      </w:r>
      <w:r w:rsidR="00102E7E">
        <w:t>competency</w:t>
      </w:r>
      <w:r w:rsidR="00156100" w:rsidRPr="00531667">
        <w:t xml:space="preserve"> estimate by varying degrees. For example, </w:t>
      </w:r>
      <w:r w:rsidR="00EC4B2D">
        <w:t xml:space="preserve">one can show that </w:t>
      </w:r>
      <w:r w:rsidR="00156100" w:rsidRPr="00531667">
        <w:t>for a response rate of 70% (</w:t>
      </w:r>
      <w:r w:rsidR="00156100" w:rsidRPr="00531667">
        <w:rPr>
          <w:i/>
          <w:iCs/>
        </w:rPr>
        <w:t>W</w:t>
      </w:r>
      <w:r w:rsidR="00156100" w:rsidRPr="00BF129D">
        <w:rPr>
          <w:i/>
          <w:iCs/>
          <w:vertAlign w:val="subscript"/>
        </w:rPr>
        <w:t>R</w:t>
      </w:r>
      <w:r w:rsidR="00156100" w:rsidRPr="00531667">
        <w:t xml:space="preserve"> = 0.7), the mean of respondents and </w:t>
      </w:r>
      <w:proofErr w:type="spellStart"/>
      <w:r w:rsidR="00156100" w:rsidRPr="00531667">
        <w:t>nonrespondents</w:t>
      </w:r>
      <w:proofErr w:type="spellEnd"/>
      <w:r w:rsidR="00156100" w:rsidRPr="00531667">
        <w:t xml:space="preserve"> would have to differ by 50 </w:t>
      </w:r>
      <w:r w:rsidR="00156100" w:rsidRPr="00531667">
        <w:rPr>
          <w:color w:val="000000"/>
        </w:rPr>
        <w:t>points (</w:t>
      </w:r>
      <w:r w:rsidR="00156100" w:rsidRPr="00531667">
        <w:rPr>
          <w:i/>
          <w:iCs/>
          <w:color w:val="000000"/>
        </w:rPr>
        <w:t>Y</w:t>
      </w:r>
      <w:r w:rsidR="00156100" w:rsidRPr="00531667">
        <w:rPr>
          <w:i/>
          <w:iCs/>
          <w:color w:val="000000"/>
          <w:position w:val="-5"/>
          <w:vertAlign w:val="subscript"/>
        </w:rPr>
        <w:t xml:space="preserve">R </w:t>
      </w:r>
      <w:r w:rsidR="00156100" w:rsidRPr="00531667">
        <w:rPr>
          <w:color w:val="000000"/>
        </w:rPr>
        <w:t>-</w:t>
      </w:r>
      <w:r w:rsidR="00156100" w:rsidRPr="00531667">
        <w:rPr>
          <w:i/>
          <w:iCs/>
          <w:color w:val="000000"/>
        </w:rPr>
        <w:t>Y</w:t>
      </w:r>
      <w:r w:rsidR="00156100" w:rsidRPr="00531667">
        <w:rPr>
          <w:i/>
          <w:iCs/>
          <w:color w:val="000000"/>
          <w:position w:val="-5"/>
          <w:vertAlign w:val="subscript"/>
        </w:rPr>
        <w:t>NR</w:t>
      </w:r>
      <w:r w:rsidR="00156100" w:rsidRPr="00531667">
        <w:rPr>
          <w:color w:val="000000"/>
        </w:rPr>
        <w:t xml:space="preserve"> = 50) to bias the overall estimate by 15 points (</w:t>
      </w:r>
      <w:r w:rsidR="00156100" w:rsidRPr="00531667">
        <w:rPr>
          <w:i/>
          <w:iCs/>
          <w:color w:val="000000"/>
        </w:rPr>
        <w:t>Bias</w:t>
      </w:r>
      <w:r w:rsidR="00156100" w:rsidRPr="00531667">
        <w:rPr>
          <w:color w:val="000000"/>
        </w:rPr>
        <w:t xml:space="preserve">( </w:t>
      </w:r>
      <w:r w:rsidR="00156100" w:rsidRPr="00531667">
        <w:rPr>
          <w:i/>
          <w:iCs/>
          <w:color w:val="000000"/>
        </w:rPr>
        <w:t>y</w:t>
      </w:r>
      <w:r w:rsidR="00156100" w:rsidRPr="00531667">
        <w:rPr>
          <w:i/>
          <w:iCs/>
          <w:color w:val="000000"/>
          <w:position w:val="-6"/>
          <w:vertAlign w:val="subscript"/>
        </w:rPr>
        <w:t>R</w:t>
      </w:r>
      <w:r w:rsidR="00156100" w:rsidRPr="00531667">
        <w:rPr>
          <w:color w:val="000000"/>
        </w:rPr>
        <w:t xml:space="preserve">) = 15). </w:t>
      </w:r>
    </w:p>
    <w:p w:rsidR="00C15F40" w:rsidRDefault="00C15F40" w:rsidP="004F1FD8">
      <w:pPr>
        <w:rPr>
          <w:b/>
          <w:i/>
        </w:rPr>
      </w:pPr>
    </w:p>
    <w:p w:rsidR="0010629B" w:rsidRDefault="001C6EE1" w:rsidP="004F1FD8">
      <w:r w:rsidRPr="00531667">
        <w:rPr>
          <w:b/>
          <w:i/>
        </w:rPr>
        <w:t xml:space="preserve">Other analysis under review </w:t>
      </w:r>
      <w:r w:rsidR="001865E5">
        <w:rPr>
          <w:b/>
          <w:i/>
        </w:rPr>
        <w:t>-</w:t>
      </w:r>
      <w:r w:rsidRPr="00531667">
        <w:rPr>
          <w:b/>
          <w:i/>
        </w:rPr>
        <w:t xml:space="preserve"> </w:t>
      </w:r>
      <w:r w:rsidR="00EC4B2D">
        <w:t>The Consortium is</w:t>
      </w:r>
      <w:r w:rsidRPr="00531667">
        <w:t xml:space="preserve"> currently reviewing </w:t>
      </w:r>
      <w:r w:rsidR="00343480" w:rsidRPr="00531667">
        <w:t xml:space="preserve">other </w:t>
      </w:r>
      <w:r w:rsidR="00D76C0A" w:rsidRPr="00D76C0A">
        <w:t>NRB</w:t>
      </w:r>
      <w:r w:rsidR="00343480" w:rsidRPr="00531667">
        <w:t xml:space="preserve"> analysis procedures, such as </w:t>
      </w:r>
      <w:r w:rsidRPr="00531667">
        <w:t>the R indicator (</w:t>
      </w:r>
      <w:r w:rsidR="00102E7E">
        <w:t xml:space="preserve">Schouten, </w:t>
      </w:r>
      <w:proofErr w:type="spellStart"/>
      <w:r w:rsidR="00102E7E">
        <w:t>Cobben</w:t>
      </w:r>
      <w:proofErr w:type="spellEnd"/>
      <w:r w:rsidR="00102E7E">
        <w:t>, and Bethlehem, 2009</w:t>
      </w:r>
      <w:r w:rsidR="00102E7E">
        <w:rPr>
          <w:rStyle w:val="FootnoteReference"/>
        </w:rPr>
        <w:footnoteReference w:id="1"/>
      </w:r>
      <w:r w:rsidRPr="00531667">
        <w:t>)</w:t>
      </w:r>
      <w:r w:rsidR="00343480" w:rsidRPr="00531667">
        <w:t>,</w:t>
      </w:r>
      <w:r w:rsidRPr="00531667">
        <w:t xml:space="preserve"> for </w:t>
      </w:r>
      <w:r w:rsidR="00343480" w:rsidRPr="00531667">
        <w:t xml:space="preserve">possible </w:t>
      </w:r>
      <w:r w:rsidRPr="00531667">
        <w:t xml:space="preserve">inclusion in the </w:t>
      </w:r>
      <w:r w:rsidR="00D76C0A" w:rsidRPr="00D76C0A">
        <w:t>NRB</w:t>
      </w:r>
      <w:r w:rsidRPr="00531667">
        <w:t xml:space="preserve"> plan for PIAAC.</w:t>
      </w:r>
    </w:p>
    <w:p w:rsidR="00EC4B2D" w:rsidRPr="00EC4B2D" w:rsidRDefault="00EC4B2D" w:rsidP="004F1FD8"/>
    <w:p w:rsidR="0010629B" w:rsidRPr="00E43847" w:rsidRDefault="00E43847" w:rsidP="004F1FD8">
      <w:pPr>
        <w:pStyle w:val="CM17"/>
        <w:spacing w:after="247" w:line="276" w:lineRule="auto"/>
        <w:jc w:val="both"/>
        <w:rPr>
          <w:rFonts w:ascii="Times New Roman" w:hAnsi="Times New Roman" w:cs="Times New Roman"/>
          <w:color w:val="000000"/>
          <w:sz w:val="22"/>
          <w:szCs w:val="22"/>
        </w:rPr>
      </w:pPr>
      <w:r w:rsidRPr="00E43847">
        <w:rPr>
          <w:rFonts w:ascii="Times New Roman" w:hAnsi="Times New Roman" w:cs="Times New Roman"/>
          <w:color w:val="000000"/>
          <w:sz w:val="22"/>
          <w:szCs w:val="22"/>
        </w:rPr>
        <w:t xml:space="preserve">The following provides a summary of the steps included in the </w:t>
      </w:r>
      <w:r w:rsidR="00D76C0A" w:rsidRPr="00D76C0A">
        <w:rPr>
          <w:rFonts w:ascii="Times New Roman" w:hAnsi="Times New Roman" w:cs="Times New Roman"/>
          <w:color w:val="000000"/>
          <w:sz w:val="22"/>
          <w:szCs w:val="22"/>
        </w:rPr>
        <w:t>NRB</w:t>
      </w:r>
      <w:r w:rsidRPr="00E43847">
        <w:rPr>
          <w:rFonts w:ascii="Times New Roman" w:hAnsi="Times New Roman" w:cs="Times New Roman"/>
          <w:color w:val="000000"/>
          <w:sz w:val="22"/>
          <w:szCs w:val="22"/>
        </w:rPr>
        <w:t xml:space="preserve"> analysis when response rate falls below 70%</w:t>
      </w:r>
      <w:r w:rsidR="001865E5">
        <w:rPr>
          <w:rFonts w:ascii="Times New Roman" w:hAnsi="Times New Roman" w:cs="Times New Roman"/>
          <w:color w:val="000000"/>
          <w:sz w:val="22"/>
          <w:szCs w:val="22"/>
        </w:rPr>
        <w:t>.</w:t>
      </w:r>
    </w:p>
    <w:p w:rsidR="00687987" w:rsidRPr="00B92418" w:rsidRDefault="00687987" w:rsidP="00DF6D97">
      <w:pPr>
        <w:pStyle w:val="Heading3"/>
      </w:pPr>
      <w:bookmarkStart w:id="25" w:name="_Toc255550509"/>
      <w:bookmarkStart w:id="26" w:name="_Toc255550906"/>
      <w:bookmarkStart w:id="27" w:name="_Toc255808927"/>
      <w:r w:rsidRPr="00B92418">
        <w:t>Step 1 of 3:</w:t>
      </w:r>
      <w:bookmarkEnd w:id="25"/>
      <w:bookmarkEnd w:id="26"/>
      <w:bookmarkEnd w:id="27"/>
      <w:r w:rsidR="00102E7E">
        <w:t xml:space="preserve"> Identify Variables</w:t>
      </w:r>
    </w:p>
    <w:p w:rsidR="00687987" w:rsidRPr="00B92418" w:rsidRDefault="00523F0C" w:rsidP="00523F0C">
      <w:pPr>
        <w:tabs>
          <w:tab w:val="left" w:pos="1440"/>
        </w:tabs>
        <w:ind w:left="720"/>
      </w:pPr>
      <w:r>
        <w:t>1.1</w:t>
      </w:r>
      <w:r>
        <w:tab/>
      </w:r>
      <w:r w:rsidR="00687987" w:rsidRPr="00B92418">
        <w:t xml:space="preserve">Identify </w:t>
      </w:r>
      <w:r w:rsidR="00E43847">
        <w:t xml:space="preserve">auxiliary </w:t>
      </w:r>
      <w:r w:rsidR="00687987" w:rsidRPr="00B92418">
        <w:t>variables from the frame or external sources</w:t>
      </w:r>
      <w:r w:rsidR="001865E5">
        <w:t>.</w:t>
      </w:r>
    </w:p>
    <w:p w:rsidR="00E43847" w:rsidRDefault="00523F0C" w:rsidP="00523F0C">
      <w:pPr>
        <w:tabs>
          <w:tab w:val="left" w:pos="1440"/>
        </w:tabs>
        <w:ind w:left="720"/>
      </w:pPr>
      <w:r>
        <w:t>1.2</w:t>
      </w:r>
      <w:r>
        <w:tab/>
      </w:r>
      <w:r w:rsidR="00687987" w:rsidRPr="00F414B5">
        <w:t xml:space="preserve">Identify informative </w:t>
      </w:r>
      <w:r w:rsidR="00687987" w:rsidRPr="00F414B5">
        <w:rPr>
          <w:i/>
          <w:iCs/>
        </w:rPr>
        <w:t>BQ</w:t>
      </w:r>
      <w:r w:rsidR="00687987" w:rsidRPr="00F414B5">
        <w:t xml:space="preserve"> variables</w:t>
      </w:r>
      <w:r w:rsidR="00F03A9B" w:rsidRPr="00F414B5">
        <w:t xml:space="preserve"> </w:t>
      </w:r>
      <w:r w:rsidR="002501DA" w:rsidRPr="00F414B5">
        <w:t>correlated with competency</w:t>
      </w:r>
      <w:r w:rsidR="001865E5">
        <w:t>.</w:t>
      </w:r>
    </w:p>
    <w:p w:rsidR="00687987" w:rsidRDefault="00523F0C" w:rsidP="00523F0C">
      <w:pPr>
        <w:tabs>
          <w:tab w:val="left" w:pos="1440"/>
        </w:tabs>
        <w:ind w:left="720"/>
      </w:pPr>
      <w:r>
        <w:t>1.3</w:t>
      </w:r>
      <w:r>
        <w:tab/>
      </w:r>
      <w:r w:rsidR="00E43847">
        <w:t>Identify other informative variables collected during data collection</w:t>
      </w:r>
      <w:r w:rsidR="001865E5">
        <w:t>.</w:t>
      </w:r>
    </w:p>
    <w:p w:rsidR="00DF6D97" w:rsidRPr="00F414B5" w:rsidRDefault="00DF6D97" w:rsidP="00DF6D97">
      <w:pPr>
        <w:ind w:left="720"/>
      </w:pPr>
    </w:p>
    <w:p w:rsidR="00687987" w:rsidRPr="00B92418" w:rsidRDefault="00687987" w:rsidP="00DF6D97">
      <w:pPr>
        <w:pStyle w:val="Heading3"/>
      </w:pPr>
      <w:bookmarkStart w:id="28" w:name="_Toc255550510"/>
      <w:bookmarkStart w:id="29" w:name="_Toc255550907"/>
      <w:bookmarkStart w:id="30" w:name="_Toc255808928"/>
      <w:r w:rsidRPr="00B92418">
        <w:lastRenderedPageBreak/>
        <w:t>Step 2 of 3:</w:t>
      </w:r>
      <w:bookmarkEnd w:id="28"/>
      <w:bookmarkEnd w:id="29"/>
      <w:bookmarkEnd w:id="30"/>
      <w:r w:rsidR="00102E7E">
        <w:t xml:space="preserve"> Basic </w:t>
      </w:r>
      <w:r w:rsidR="00D76C0A" w:rsidRPr="00327F76">
        <w:t>NRB</w:t>
      </w:r>
      <w:r w:rsidR="00102E7E">
        <w:t xml:space="preserve"> Analysis</w:t>
      </w:r>
    </w:p>
    <w:p w:rsidR="002501DA" w:rsidRDefault="00523F0C" w:rsidP="00523F0C">
      <w:pPr>
        <w:tabs>
          <w:tab w:val="left" w:pos="1440"/>
        </w:tabs>
        <w:ind w:left="720"/>
      </w:pPr>
      <w:r>
        <w:t>2.1</w:t>
      </w:r>
      <w:r w:rsidR="00F414B5">
        <w:tab/>
      </w:r>
      <w:r w:rsidR="00687987" w:rsidRPr="00B92418">
        <w:t xml:space="preserve">Conduct basic descriptive </w:t>
      </w:r>
      <w:r w:rsidR="002501DA">
        <w:t xml:space="preserve">and model-based </w:t>
      </w:r>
      <w:r w:rsidR="00687987" w:rsidRPr="00B92418">
        <w:t>analysis</w:t>
      </w:r>
      <w:r w:rsidR="001865E5">
        <w:t>.</w:t>
      </w:r>
    </w:p>
    <w:p w:rsidR="00687987" w:rsidRPr="00B92418" w:rsidRDefault="00523F0C" w:rsidP="00523F0C">
      <w:pPr>
        <w:tabs>
          <w:tab w:val="left" w:pos="1440"/>
        </w:tabs>
        <w:ind w:left="720"/>
      </w:pPr>
      <w:r>
        <w:t>2.2</w:t>
      </w:r>
      <w:r w:rsidR="00F414B5">
        <w:tab/>
      </w:r>
      <w:r w:rsidR="001865E5">
        <w:t>Finalise</w:t>
      </w:r>
      <w:r w:rsidR="002501DA">
        <w:t xml:space="preserve"> variables selected for weighting adjustments</w:t>
      </w:r>
      <w:r w:rsidR="001865E5">
        <w:t>.</w:t>
      </w:r>
    </w:p>
    <w:p w:rsidR="00687987" w:rsidRDefault="00523F0C" w:rsidP="00523F0C">
      <w:pPr>
        <w:tabs>
          <w:tab w:val="left" w:pos="1440"/>
        </w:tabs>
        <w:ind w:left="720"/>
      </w:pPr>
      <w:r>
        <w:t>2.3</w:t>
      </w:r>
      <w:r w:rsidR="00F414B5">
        <w:tab/>
      </w:r>
      <w:r w:rsidR="00E43847">
        <w:t>Conduct nonresponse adjustments and c</w:t>
      </w:r>
      <w:r w:rsidR="00687987" w:rsidRPr="00B92418">
        <w:t xml:space="preserve">ompute </w:t>
      </w:r>
      <w:r w:rsidR="00E43847">
        <w:t xml:space="preserve">final </w:t>
      </w:r>
      <w:r w:rsidR="00687987" w:rsidRPr="00B92418">
        <w:t>sampling weights</w:t>
      </w:r>
      <w:r w:rsidR="001865E5">
        <w:t>.</w:t>
      </w:r>
    </w:p>
    <w:p w:rsidR="00DF6D97" w:rsidRPr="00B92418" w:rsidRDefault="00DF6D97" w:rsidP="00DF6D97">
      <w:pPr>
        <w:ind w:left="720"/>
      </w:pPr>
    </w:p>
    <w:p w:rsidR="00687987" w:rsidRPr="00B92418" w:rsidRDefault="00687987" w:rsidP="00DF6D97">
      <w:pPr>
        <w:pStyle w:val="Heading3"/>
      </w:pPr>
      <w:bookmarkStart w:id="31" w:name="_Toc255550511"/>
      <w:bookmarkStart w:id="32" w:name="_Toc255550908"/>
      <w:bookmarkStart w:id="33" w:name="_Toc255808929"/>
      <w:r w:rsidRPr="00B92418">
        <w:t>Step 3 of 3:</w:t>
      </w:r>
      <w:bookmarkEnd w:id="31"/>
      <w:bookmarkEnd w:id="32"/>
      <w:bookmarkEnd w:id="33"/>
      <w:r w:rsidR="00102E7E">
        <w:t xml:space="preserve"> Extended </w:t>
      </w:r>
      <w:r w:rsidR="00D76C0A" w:rsidRPr="00327F76">
        <w:t>NRB</w:t>
      </w:r>
      <w:r w:rsidR="00102E7E">
        <w:t xml:space="preserve"> Analysis</w:t>
      </w:r>
    </w:p>
    <w:p w:rsidR="00687987" w:rsidRPr="00B92418" w:rsidRDefault="00DF6D97" w:rsidP="00523F0C">
      <w:pPr>
        <w:tabs>
          <w:tab w:val="left" w:pos="1440"/>
        </w:tabs>
        <w:ind w:left="720"/>
      </w:pPr>
      <w:r>
        <w:t>3.1</w:t>
      </w:r>
      <w:r>
        <w:tab/>
      </w:r>
      <w:r w:rsidR="00687987" w:rsidRPr="00B92418">
        <w:t xml:space="preserve">Conduct extended descriptive </w:t>
      </w:r>
      <w:r w:rsidR="001C6EE1">
        <w:t xml:space="preserve">and model-based </w:t>
      </w:r>
      <w:r w:rsidR="00687987" w:rsidRPr="00B92418">
        <w:t>analysis using auxiliary data</w:t>
      </w:r>
      <w:r w:rsidR="001865E5">
        <w:t>.</w:t>
      </w:r>
    </w:p>
    <w:p w:rsidR="00687987" w:rsidRPr="00F414B5" w:rsidRDefault="00DF6D97" w:rsidP="00523F0C">
      <w:pPr>
        <w:tabs>
          <w:tab w:val="left" w:pos="1440"/>
        </w:tabs>
        <w:ind w:left="720"/>
      </w:pPr>
      <w:r>
        <w:t>3.2</w:t>
      </w:r>
      <w:r>
        <w:tab/>
      </w:r>
      <w:r w:rsidR="001C6EE1" w:rsidRPr="00F414B5">
        <w:t>Conduct a</w:t>
      </w:r>
      <w:r w:rsidR="00687987" w:rsidRPr="00F414B5">
        <w:t xml:space="preserve">nalysis of informative </w:t>
      </w:r>
      <w:r w:rsidR="00687987" w:rsidRPr="00DF6D97">
        <w:t>BQ</w:t>
      </w:r>
      <w:r w:rsidR="00687987" w:rsidRPr="00F414B5">
        <w:t xml:space="preserve"> variables</w:t>
      </w:r>
      <w:r w:rsidR="001865E5">
        <w:t>.</w:t>
      </w:r>
    </w:p>
    <w:p w:rsidR="00687987" w:rsidRPr="00B92418" w:rsidRDefault="00DF6D97" w:rsidP="00523F0C">
      <w:pPr>
        <w:tabs>
          <w:tab w:val="left" w:pos="1440"/>
        </w:tabs>
        <w:ind w:left="720"/>
      </w:pPr>
      <w:r>
        <w:t>3.3</w:t>
      </w:r>
      <w:r>
        <w:tab/>
      </w:r>
      <w:r w:rsidR="001C6EE1">
        <w:t xml:space="preserve">Conduct </w:t>
      </w:r>
      <w:r w:rsidR="00E43847">
        <w:t xml:space="preserve">analysis </w:t>
      </w:r>
      <w:r w:rsidR="00687987" w:rsidRPr="00B92418">
        <w:t>of disposition codes</w:t>
      </w:r>
      <w:r w:rsidR="001865E5">
        <w:t>.</w:t>
      </w:r>
    </w:p>
    <w:p w:rsidR="007D6C25" w:rsidRPr="00F414B5" w:rsidRDefault="00DF6D97" w:rsidP="00523F0C">
      <w:pPr>
        <w:tabs>
          <w:tab w:val="left" w:pos="1440"/>
        </w:tabs>
        <w:ind w:left="720"/>
      </w:pPr>
      <w:r>
        <w:t>3.4</w:t>
      </w:r>
      <w:r>
        <w:tab/>
      </w:r>
      <w:r w:rsidR="001C6EE1" w:rsidRPr="00F414B5">
        <w:t>Conduct analysis</w:t>
      </w:r>
      <w:r w:rsidR="00687987" w:rsidRPr="00F414B5">
        <w:t xml:space="preserve"> of </w:t>
      </w:r>
      <w:r w:rsidR="001865E5">
        <w:t>NIR</w:t>
      </w:r>
      <w:r w:rsidR="00687987" w:rsidRPr="00F414B5">
        <w:t xml:space="preserve"> (information not available in disposition codes)</w:t>
      </w:r>
      <w:r w:rsidR="007D6C25" w:rsidRPr="00F414B5">
        <w:t>.</w:t>
      </w:r>
    </w:p>
    <w:p w:rsidR="0048569A" w:rsidRPr="00B92418" w:rsidRDefault="0048569A" w:rsidP="00C15F40"/>
    <w:p w:rsidR="00BF129D" w:rsidRDefault="00BF129D" w:rsidP="00BF129D">
      <w:r>
        <w:t xml:space="preserve">Example: The following information and tables are summaries extracted from the </w:t>
      </w:r>
      <w:r w:rsidR="00D76C0A" w:rsidRPr="00D76C0A">
        <w:t>NRB</w:t>
      </w:r>
      <w:r>
        <w:t xml:space="preserve"> analysis conducted for the </w:t>
      </w:r>
      <w:r w:rsidRPr="00B92418">
        <w:t xml:space="preserve">Adult Literacy and </w:t>
      </w:r>
      <w:proofErr w:type="spellStart"/>
      <w:r w:rsidRPr="00B92418">
        <w:t>Lifeskills</w:t>
      </w:r>
      <w:proofErr w:type="spellEnd"/>
      <w:r w:rsidRPr="00B92418">
        <w:t xml:space="preserve"> Survey (ALL) 2003: U.S. </w:t>
      </w:r>
      <w:r w:rsidR="00D76C0A" w:rsidRPr="00D76C0A">
        <w:rPr>
          <w:iCs/>
        </w:rPr>
        <w:t>NRB</w:t>
      </w:r>
      <w:r w:rsidRPr="00B92418">
        <w:t xml:space="preserve"> Analysis </w:t>
      </w:r>
      <w:hyperlink r:id="rId22" w:history="1">
        <w:r w:rsidRPr="00BF129D">
          <w:rPr>
            <w:rStyle w:val="Hyperlink"/>
            <w:color w:val="auto"/>
          </w:rPr>
          <w:t>http://nces</w:t>
        </w:r>
      </w:hyperlink>
      <w:r w:rsidRPr="00BF129D">
        <w:rPr>
          <w:u w:val="single"/>
        </w:rPr>
        <w:t>.ed.gov/pubs2009/2009063.pdf</w:t>
      </w:r>
      <w:r w:rsidRPr="00BF129D">
        <w:t xml:space="preserve">, and other unpublished </w:t>
      </w:r>
      <w:r w:rsidR="00D76C0A" w:rsidRPr="00D76C0A">
        <w:t>NRB</w:t>
      </w:r>
      <w:r w:rsidRPr="00BF129D">
        <w:t xml:space="preserve"> analyses conducted for similar</w:t>
      </w:r>
      <w:r>
        <w:t xml:space="preserve"> adult </w:t>
      </w:r>
      <w:r w:rsidR="001865E5">
        <w:t>compet</w:t>
      </w:r>
      <w:r w:rsidR="007C7A86">
        <w:t>e</w:t>
      </w:r>
      <w:r w:rsidR="001865E5">
        <w:t xml:space="preserve">ncy </w:t>
      </w:r>
      <w:r>
        <w:t xml:space="preserve">household surveys. </w:t>
      </w:r>
    </w:p>
    <w:p w:rsidR="009C314D" w:rsidRDefault="009C314D" w:rsidP="00C15F40"/>
    <w:p w:rsidR="009C314D" w:rsidRPr="00B92418" w:rsidRDefault="009C314D" w:rsidP="00C15F40">
      <w:r>
        <w:t xml:space="preserve">The steps carried out in the following </w:t>
      </w:r>
      <w:r w:rsidR="00D76C0A" w:rsidRPr="00D76C0A">
        <w:t>NRB</w:t>
      </w:r>
      <w:r>
        <w:t xml:space="preserve"> analysis are summarized below.</w:t>
      </w:r>
    </w:p>
    <w:p w:rsidR="00DF6D97" w:rsidRDefault="00DF6D97" w:rsidP="00C15F40">
      <w:pPr>
        <w:rPr>
          <w:b/>
          <w:bCs/>
        </w:rPr>
      </w:pPr>
    </w:p>
    <w:p w:rsidR="00ED7163" w:rsidRPr="00B92418" w:rsidRDefault="00ED7163" w:rsidP="00DF6D97">
      <w:pPr>
        <w:pStyle w:val="Heading3"/>
      </w:pPr>
      <w:bookmarkStart w:id="34" w:name="_Toc255550512"/>
      <w:bookmarkStart w:id="35" w:name="_Toc255550909"/>
      <w:bookmarkStart w:id="36" w:name="_Toc255808930"/>
      <w:r w:rsidRPr="00B92418">
        <w:rPr>
          <w:bCs/>
        </w:rPr>
        <w:t>Step 1 of 3</w:t>
      </w:r>
      <w:r w:rsidR="00E63738">
        <w:t>: Identify</w:t>
      </w:r>
      <w:r w:rsidRPr="00B92418">
        <w:t xml:space="preserve"> variables from the frame or external sources</w:t>
      </w:r>
      <w:bookmarkEnd w:id="34"/>
      <w:bookmarkEnd w:id="35"/>
      <w:bookmarkEnd w:id="36"/>
    </w:p>
    <w:p w:rsidR="00ED7163" w:rsidRPr="00523F0C" w:rsidRDefault="00F414B5" w:rsidP="00BB1140">
      <w:pPr>
        <w:ind w:left="1152" w:hanging="1152"/>
      </w:pPr>
      <w:r w:rsidRPr="00523F0C">
        <w:rPr>
          <w:b/>
        </w:rPr>
        <w:t>Step 1.1</w:t>
      </w:r>
      <w:r w:rsidRPr="00523F0C">
        <w:tab/>
      </w:r>
      <w:r w:rsidR="00E63738" w:rsidRPr="00523F0C">
        <w:t xml:space="preserve">The following variables were extracted </w:t>
      </w:r>
      <w:r w:rsidRPr="00523F0C">
        <w:t xml:space="preserve">from </w:t>
      </w:r>
      <w:r w:rsidR="00ED7163" w:rsidRPr="00523F0C">
        <w:t xml:space="preserve">Census 2000 </w:t>
      </w:r>
      <w:r w:rsidR="001865E5" w:rsidRPr="00523F0C">
        <w:t>county</w:t>
      </w:r>
      <w:r w:rsidR="001865E5">
        <w:t>-</w:t>
      </w:r>
      <w:r w:rsidR="00ED7163" w:rsidRPr="00523F0C">
        <w:t>level data</w:t>
      </w:r>
      <w:r w:rsidRPr="00523F0C">
        <w:t xml:space="preserve">, and </w:t>
      </w:r>
      <w:r w:rsidR="00ED7163" w:rsidRPr="00523F0C">
        <w:t>Census 2000 block group level data</w:t>
      </w:r>
      <w:r w:rsidR="00E63738" w:rsidRPr="00523F0C">
        <w:t xml:space="preserve">. </w:t>
      </w:r>
    </w:p>
    <w:p w:rsidR="00DF6D97" w:rsidRPr="00DF6D97" w:rsidRDefault="00DF6D97" w:rsidP="00DF6D97">
      <w:pPr>
        <w:rPr>
          <w:b/>
        </w:rPr>
      </w:pPr>
    </w:p>
    <w:p w:rsidR="00ED7163" w:rsidRPr="00B92418" w:rsidRDefault="00ED7163" w:rsidP="00102E7E">
      <w:pPr>
        <w:pStyle w:val="N2-2ndBullet"/>
      </w:pPr>
      <w:r w:rsidRPr="00B92418">
        <w:t xml:space="preserve">Census variables available for local areas (where </w:t>
      </w:r>
      <w:r w:rsidR="00E63738">
        <w:t xml:space="preserve">respondents and </w:t>
      </w:r>
      <w:proofErr w:type="spellStart"/>
      <w:r w:rsidRPr="00B92418">
        <w:t>nonrespondents</w:t>
      </w:r>
      <w:proofErr w:type="spellEnd"/>
      <w:r w:rsidRPr="00B92418">
        <w:t xml:space="preserve"> resided)</w:t>
      </w:r>
    </w:p>
    <w:p w:rsidR="00ED7163" w:rsidRPr="00B92418" w:rsidRDefault="00ED7163" w:rsidP="00102E7E">
      <w:pPr>
        <w:pStyle w:val="N2-2ndBullet"/>
      </w:pPr>
      <w:r w:rsidRPr="00B92418">
        <w:t>Urban/rural status</w:t>
      </w:r>
    </w:p>
    <w:p w:rsidR="00ED7163" w:rsidRPr="00B92418" w:rsidRDefault="00ED7163" w:rsidP="00102E7E">
      <w:pPr>
        <w:pStyle w:val="N2-2ndBullet"/>
      </w:pPr>
      <w:r w:rsidRPr="00B92418">
        <w:t>Majority own/rent</w:t>
      </w:r>
    </w:p>
    <w:p w:rsidR="00ED7163" w:rsidRPr="00B92418" w:rsidRDefault="00ED7163" w:rsidP="00102E7E">
      <w:pPr>
        <w:pStyle w:val="N2-2ndBullet"/>
      </w:pPr>
      <w:r w:rsidRPr="00B92418">
        <w:t>Average household size</w:t>
      </w:r>
    </w:p>
    <w:p w:rsidR="00ED7163" w:rsidRPr="00B92418" w:rsidRDefault="00ED7163" w:rsidP="00102E7E">
      <w:pPr>
        <w:pStyle w:val="N2-2ndBullet"/>
      </w:pPr>
      <w:r w:rsidRPr="00B92418">
        <w:t>Percent</w:t>
      </w:r>
      <w:r w:rsidR="001865E5">
        <w:t>age</w:t>
      </w:r>
      <w:r w:rsidRPr="00B92418">
        <w:t xml:space="preserve"> of persons 25 years or older with less than a high school diploma</w:t>
      </w:r>
    </w:p>
    <w:p w:rsidR="00ED7163" w:rsidRPr="00B92418" w:rsidRDefault="00ED7163" w:rsidP="00102E7E">
      <w:pPr>
        <w:pStyle w:val="N2-2ndBullet"/>
      </w:pPr>
      <w:r w:rsidRPr="00B92418">
        <w:t>Percent</w:t>
      </w:r>
      <w:r w:rsidR="001865E5">
        <w:t>age</w:t>
      </w:r>
      <w:r w:rsidRPr="00B92418">
        <w:t xml:space="preserve"> of persons speaking English not well or not at all</w:t>
      </w:r>
    </w:p>
    <w:p w:rsidR="00576B5B" w:rsidRPr="00576B5B" w:rsidRDefault="00ED7163" w:rsidP="00102E7E">
      <w:pPr>
        <w:pStyle w:val="N2-2ndBullet"/>
      </w:pPr>
      <w:r w:rsidRPr="00B92418">
        <w:t>Percent</w:t>
      </w:r>
      <w:r w:rsidR="001865E5">
        <w:t>age</w:t>
      </w:r>
      <w:r w:rsidRPr="00B92418">
        <w:t xml:space="preserve"> below 150% poverty</w:t>
      </w:r>
    </w:p>
    <w:p w:rsidR="00DF6D97" w:rsidRDefault="00DF6D97" w:rsidP="00C15F40">
      <w:pPr>
        <w:rPr>
          <w:b/>
        </w:rPr>
      </w:pPr>
    </w:p>
    <w:p w:rsidR="00ED7163" w:rsidRPr="00523F0C" w:rsidRDefault="00576B5B" w:rsidP="00523F0C">
      <w:pPr>
        <w:ind w:left="1152" w:hanging="1152"/>
      </w:pPr>
      <w:r w:rsidRPr="00E63738">
        <w:rPr>
          <w:b/>
        </w:rPr>
        <w:t>Step 1.2</w:t>
      </w:r>
      <w:r w:rsidRPr="00DF6D97">
        <w:rPr>
          <w:b/>
        </w:rPr>
        <w:tab/>
      </w:r>
      <w:r w:rsidRPr="00523F0C">
        <w:t>The following variables were extracted from the BQ.</w:t>
      </w:r>
    </w:p>
    <w:p w:rsidR="00DF6D97" w:rsidRPr="00DF6D97" w:rsidRDefault="00DF6D97" w:rsidP="00C15F40">
      <w:pPr>
        <w:rPr>
          <w:b/>
        </w:rPr>
      </w:pPr>
    </w:p>
    <w:p w:rsidR="00ED7163" w:rsidRPr="00B92418" w:rsidRDefault="00ED7163" w:rsidP="00102E7E">
      <w:pPr>
        <w:pStyle w:val="N2-2ndBullet"/>
      </w:pPr>
      <w:r w:rsidRPr="00B92418">
        <w:t>Percent</w:t>
      </w:r>
      <w:r w:rsidR="001865E5">
        <w:t>age</w:t>
      </w:r>
      <w:r w:rsidRPr="00B92418">
        <w:t xml:space="preserve"> born in the </w:t>
      </w:r>
      <w:r w:rsidR="001865E5">
        <w:t>United States</w:t>
      </w:r>
    </w:p>
    <w:p w:rsidR="00ED7163" w:rsidRPr="00B92418" w:rsidRDefault="00ED7163" w:rsidP="00102E7E">
      <w:pPr>
        <w:pStyle w:val="N2-2ndBullet"/>
      </w:pPr>
      <w:r w:rsidRPr="00B92418">
        <w:t>Percent</w:t>
      </w:r>
      <w:r w:rsidR="001865E5">
        <w:t>age</w:t>
      </w:r>
      <w:r w:rsidRPr="00B92418">
        <w:t xml:space="preserve"> with high school diploma</w:t>
      </w:r>
    </w:p>
    <w:p w:rsidR="00ED7163" w:rsidRPr="00B92418" w:rsidRDefault="00ED7163" w:rsidP="00102E7E">
      <w:pPr>
        <w:pStyle w:val="N2-2ndBullet"/>
      </w:pPr>
      <w:r w:rsidRPr="00B92418">
        <w:t>Percent</w:t>
      </w:r>
      <w:r w:rsidR="001865E5">
        <w:t>age</w:t>
      </w:r>
      <w:r w:rsidRPr="00B92418">
        <w:t xml:space="preserve"> never receiving remedial help in school</w:t>
      </w:r>
    </w:p>
    <w:p w:rsidR="00ED7163" w:rsidRPr="00B92418" w:rsidRDefault="00ED7163" w:rsidP="00102E7E">
      <w:pPr>
        <w:pStyle w:val="N2-2ndBullet"/>
      </w:pPr>
      <w:r w:rsidRPr="00B92418">
        <w:t>Percent</w:t>
      </w:r>
      <w:r w:rsidR="001865E5">
        <w:t>age</w:t>
      </w:r>
      <w:r w:rsidRPr="00B92418">
        <w:t xml:space="preserve"> agreeing with the statement: I enjoyed math in school</w:t>
      </w:r>
    </w:p>
    <w:p w:rsidR="00ED7163" w:rsidRPr="00B92418" w:rsidRDefault="00ED7163" w:rsidP="00102E7E">
      <w:pPr>
        <w:pStyle w:val="N2-2ndBullet"/>
      </w:pPr>
      <w:r w:rsidRPr="00B92418">
        <w:t>Percent</w:t>
      </w:r>
      <w:r w:rsidR="001865E5">
        <w:t>age</w:t>
      </w:r>
      <w:r w:rsidRPr="00B92418">
        <w:t xml:space="preserve"> speaking English most often at home</w:t>
      </w:r>
    </w:p>
    <w:p w:rsidR="00ED7163" w:rsidRPr="00B92418" w:rsidRDefault="00ED7163" w:rsidP="00102E7E">
      <w:pPr>
        <w:pStyle w:val="N2-2ndBullet"/>
      </w:pPr>
      <w:r w:rsidRPr="00B92418">
        <w:t>Percent</w:t>
      </w:r>
      <w:r w:rsidR="001865E5">
        <w:t>age</w:t>
      </w:r>
      <w:r w:rsidRPr="00B92418">
        <w:t xml:space="preserve"> employed</w:t>
      </w:r>
    </w:p>
    <w:p w:rsidR="00ED7163" w:rsidRDefault="00ED7163" w:rsidP="00102E7E">
      <w:pPr>
        <w:pStyle w:val="N2-2ndBullet"/>
      </w:pPr>
      <w:r w:rsidRPr="00B92418">
        <w:t>Percent</w:t>
      </w:r>
      <w:r w:rsidR="001865E5">
        <w:t>age</w:t>
      </w:r>
      <w:r w:rsidRPr="00B92418">
        <w:t xml:space="preserve"> reading letters, memos</w:t>
      </w:r>
      <w:r w:rsidR="001865E5">
        <w:t>,</w:t>
      </w:r>
      <w:r w:rsidRPr="00B92418">
        <w:t xml:space="preserve"> or emails at least once a week as part of main job</w:t>
      </w:r>
    </w:p>
    <w:p w:rsidR="00102E7E" w:rsidRDefault="00102E7E" w:rsidP="00102E7E">
      <w:pPr>
        <w:pStyle w:val="N2-2ndBullet"/>
      </w:pPr>
    </w:p>
    <w:p w:rsidR="00E63738" w:rsidRPr="00DF6D97" w:rsidRDefault="00E63738" w:rsidP="00BB1140">
      <w:pPr>
        <w:ind w:left="1152" w:hanging="1152"/>
        <w:rPr>
          <w:b/>
        </w:rPr>
      </w:pPr>
      <w:r w:rsidRPr="00E63738">
        <w:rPr>
          <w:b/>
        </w:rPr>
        <w:t>Step 1.3</w:t>
      </w:r>
      <w:r w:rsidRPr="00DF6D97">
        <w:rPr>
          <w:b/>
        </w:rPr>
        <w:tab/>
      </w:r>
      <w:r w:rsidRPr="00523F0C">
        <w:t>Disposition codes and NIR variables were collected after the end of data collection</w:t>
      </w:r>
      <w:r w:rsidR="001865E5">
        <w:t>.</w:t>
      </w:r>
    </w:p>
    <w:p w:rsidR="00DF6D97" w:rsidRDefault="00DF6D97" w:rsidP="00C15F40">
      <w:pPr>
        <w:rPr>
          <w:b/>
          <w:bCs/>
        </w:rPr>
      </w:pPr>
    </w:p>
    <w:p w:rsidR="00F128D7" w:rsidRPr="00BB1140" w:rsidRDefault="00F128D7" w:rsidP="00F128D7">
      <w:pPr>
        <w:pStyle w:val="Heading3"/>
        <w:rPr>
          <w:bCs/>
        </w:rPr>
      </w:pPr>
      <w:bookmarkStart w:id="37" w:name="_Toc255808931"/>
      <w:bookmarkStart w:id="38" w:name="_Toc255551056"/>
      <w:r w:rsidRPr="00BB1140">
        <w:rPr>
          <w:bCs/>
        </w:rPr>
        <w:t xml:space="preserve">Step 2 of 3: Basic </w:t>
      </w:r>
      <w:r w:rsidR="00D76C0A" w:rsidRPr="00327F76">
        <w:rPr>
          <w:bCs/>
        </w:rPr>
        <w:t>NRB</w:t>
      </w:r>
      <w:r w:rsidRPr="00BB1140">
        <w:rPr>
          <w:bCs/>
        </w:rPr>
        <w:t xml:space="preserve"> analysis – Tables 1 through 4 pr</w:t>
      </w:r>
      <w:r>
        <w:rPr>
          <w:bCs/>
        </w:rPr>
        <w:t>o</w:t>
      </w:r>
      <w:r w:rsidRPr="00BB1140">
        <w:rPr>
          <w:bCs/>
        </w:rPr>
        <w:t>vide examples of analysis conducted for ALL.</w:t>
      </w:r>
      <w:bookmarkEnd w:id="37"/>
      <w:r w:rsidRPr="00BB1140">
        <w:rPr>
          <w:bCs/>
        </w:rPr>
        <w:t xml:space="preserve"> </w:t>
      </w:r>
    </w:p>
    <w:p w:rsidR="00F128D7" w:rsidRDefault="00F128D7" w:rsidP="00F128D7">
      <w:r>
        <w:t xml:space="preserve">Table 1 shows the results of chi-square tests conducted for ALL.  The chi-square tests indicated a significant relationship of response status to region, </w:t>
      </w:r>
      <w:r w:rsidR="001865E5">
        <w:t>MSA</w:t>
      </w:r>
      <w:r>
        <w:t xml:space="preserve"> status, the percentage below 150</w:t>
      </w:r>
      <w:r w:rsidR="001865E5">
        <w:t>%</w:t>
      </w:r>
      <w:r>
        <w:t xml:space="preserve"> of poverty, age, sex, and race/ethnicity.  These variables were included in the nonresponse adjustments to reduce the potential </w:t>
      </w:r>
      <w:r w:rsidR="00D76C0A" w:rsidRPr="00D76C0A">
        <w:t>NRB</w:t>
      </w:r>
      <w:r>
        <w:t xml:space="preserve"> to the extent that these auxiliary variables were related to literacy.</w:t>
      </w:r>
    </w:p>
    <w:p w:rsidR="00F128D7" w:rsidRDefault="00F128D7" w:rsidP="00F128D7"/>
    <w:p w:rsidR="00102E7E" w:rsidRDefault="00102E7E">
      <w:pPr>
        <w:spacing w:after="200" w:line="276" w:lineRule="auto"/>
        <w:jc w:val="left"/>
        <w:rPr>
          <w:b/>
          <w:lang w:val="en-US"/>
        </w:rPr>
      </w:pPr>
      <w:r>
        <w:br w:type="page"/>
      </w:r>
    </w:p>
    <w:p w:rsidR="00ED7163" w:rsidRPr="00B92418" w:rsidRDefault="008F21FF" w:rsidP="008F21FF">
      <w:pPr>
        <w:pStyle w:val="TT-TableTitle"/>
      </w:pPr>
      <w:r>
        <w:lastRenderedPageBreak/>
        <w:t>Table 1</w:t>
      </w:r>
      <w:r w:rsidR="0054006F">
        <w:t>.</w:t>
      </w:r>
      <w:r>
        <w:tab/>
      </w:r>
      <w:r w:rsidR="00ED7163" w:rsidRPr="00B92418">
        <w:t xml:space="preserve">Sample distribution of unit respondents vs. </w:t>
      </w:r>
      <w:proofErr w:type="spellStart"/>
      <w:r w:rsidR="00ED7163" w:rsidRPr="00B92418">
        <w:t>eligibles</w:t>
      </w:r>
      <w:proofErr w:type="spellEnd"/>
      <w:r w:rsidR="00ED7163" w:rsidRPr="00B92418">
        <w:t xml:space="preserve"> for the ALL background questionnaire, by key characteristics: 2003</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7"/>
        <w:gridCol w:w="1243"/>
        <w:gridCol w:w="1042"/>
        <w:gridCol w:w="1042"/>
        <w:gridCol w:w="1044"/>
        <w:gridCol w:w="1042"/>
        <w:gridCol w:w="1044"/>
      </w:tblGrid>
      <w:tr w:rsidR="00D62390" w:rsidTr="0054006F">
        <w:trPr>
          <w:trHeight w:val="300"/>
          <w:tblHeader/>
        </w:trPr>
        <w:tc>
          <w:tcPr>
            <w:tcW w:w="1851"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39" w:name="_Toc255550514"/>
            <w:bookmarkStart w:id="40" w:name="_Toc255550911"/>
            <w:bookmarkStart w:id="41" w:name="_Toc255808782"/>
            <w:bookmarkStart w:id="42" w:name="_Toc255808932"/>
            <w:r>
              <w:t>Analysis variable</w:t>
            </w:r>
            <w:bookmarkEnd w:id="39"/>
            <w:bookmarkEnd w:id="40"/>
            <w:bookmarkEnd w:id="41"/>
            <w:bookmarkEnd w:id="42"/>
          </w:p>
        </w:tc>
        <w:tc>
          <w:tcPr>
            <w:tcW w:w="606"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43" w:name="_Toc255550515"/>
            <w:bookmarkStart w:id="44" w:name="_Toc255550912"/>
            <w:bookmarkStart w:id="45" w:name="_Toc255808783"/>
            <w:bookmarkStart w:id="46" w:name="_Toc255808933"/>
            <w:r>
              <w:t>Respondents</w:t>
            </w:r>
            <w:bookmarkEnd w:id="43"/>
            <w:bookmarkEnd w:id="44"/>
            <w:bookmarkEnd w:id="45"/>
            <w:bookmarkEnd w:id="46"/>
          </w:p>
          <w:p w:rsidR="00D62390" w:rsidRDefault="008D7F5E" w:rsidP="0054006F">
            <w:pPr>
              <w:pStyle w:val="TH-TableHeading"/>
            </w:pPr>
            <w:bookmarkStart w:id="47" w:name="_Toc255550516"/>
            <w:bookmarkStart w:id="48" w:name="_Toc255550913"/>
            <w:bookmarkStart w:id="49" w:name="_Toc255808784"/>
            <w:bookmarkStart w:id="50" w:name="_Toc255808934"/>
            <w:r>
              <w:t>p</w:t>
            </w:r>
            <w:r w:rsidR="00D62390">
              <w:t>ercent</w:t>
            </w:r>
            <w:bookmarkEnd w:id="47"/>
            <w:bookmarkEnd w:id="48"/>
            <w:bookmarkEnd w:id="49"/>
            <w:bookmarkEnd w:id="50"/>
          </w:p>
        </w:tc>
        <w:tc>
          <w:tcPr>
            <w:tcW w:w="508"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51" w:name="_Toc255550517"/>
            <w:bookmarkStart w:id="52" w:name="_Toc255550914"/>
            <w:bookmarkStart w:id="53" w:name="_Toc255808785"/>
            <w:bookmarkStart w:id="54" w:name="_Toc255808935"/>
            <w:r>
              <w:t>Standard</w:t>
            </w:r>
            <w:bookmarkEnd w:id="51"/>
            <w:bookmarkEnd w:id="52"/>
            <w:bookmarkEnd w:id="53"/>
            <w:bookmarkEnd w:id="54"/>
          </w:p>
          <w:p w:rsidR="00D62390" w:rsidRDefault="00D62390" w:rsidP="0054006F">
            <w:pPr>
              <w:pStyle w:val="TH-TableHeading"/>
            </w:pPr>
            <w:bookmarkStart w:id="55" w:name="_Toc255550518"/>
            <w:bookmarkStart w:id="56" w:name="_Toc255550915"/>
            <w:bookmarkStart w:id="57" w:name="_Toc255808786"/>
            <w:bookmarkStart w:id="58" w:name="_Toc255808936"/>
            <w:r>
              <w:t>error</w:t>
            </w:r>
            <w:bookmarkEnd w:id="55"/>
            <w:bookmarkEnd w:id="56"/>
            <w:bookmarkEnd w:id="57"/>
            <w:bookmarkEnd w:id="58"/>
          </w:p>
        </w:tc>
        <w:tc>
          <w:tcPr>
            <w:tcW w:w="508"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59" w:name="_Toc255550519"/>
            <w:bookmarkStart w:id="60" w:name="_Toc255550916"/>
            <w:bookmarkStart w:id="61" w:name="_Toc255808787"/>
            <w:bookmarkStart w:id="62" w:name="_Toc255808937"/>
            <w:proofErr w:type="spellStart"/>
            <w:r>
              <w:t>Eligibles</w:t>
            </w:r>
            <w:bookmarkEnd w:id="59"/>
            <w:bookmarkEnd w:id="60"/>
            <w:bookmarkEnd w:id="61"/>
            <w:bookmarkEnd w:id="62"/>
            <w:proofErr w:type="spellEnd"/>
          </w:p>
          <w:p w:rsidR="00D62390" w:rsidRDefault="008D7F5E" w:rsidP="0054006F">
            <w:pPr>
              <w:pStyle w:val="TH-TableHeading"/>
            </w:pPr>
            <w:bookmarkStart w:id="63" w:name="_Toc255550520"/>
            <w:bookmarkStart w:id="64" w:name="_Toc255550917"/>
            <w:bookmarkStart w:id="65" w:name="_Toc255808788"/>
            <w:bookmarkStart w:id="66" w:name="_Toc255808938"/>
            <w:r>
              <w:t>p</w:t>
            </w:r>
            <w:r w:rsidR="00D62390">
              <w:t>ercent</w:t>
            </w:r>
            <w:bookmarkEnd w:id="63"/>
            <w:bookmarkEnd w:id="64"/>
            <w:bookmarkEnd w:id="65"/>
            <w:bookmarkEnd w:id="66"/>
          </w:p>
        </w:tc>
        <w:tc>
          <w:tcPr>
            <w:tcW w:w="509" w:type="pct"/>
            <w:shd w:val="clear" w:color="auto" w:fill="AFBED7"/>
            <w:tcMar>
              <w:top w:w="15" w:type="dxa"/>
              <w:left w:w="15" w:type="dxa"/>
              <w:bottom w:w="0" w:type="dxa"/>
              <w:right w:w="15" w:type="dxa"/>
            </w:tcMar>
            <w:vAlign w:val="bottom"/>
            <w:hideMark/>
          </w:tcPr>
          <w:p w:rsidR="00D62390" w:rsidRDefault="00D62390" w:rsidP="0054006F">
            <w:pPr>
              <w:pStyle w:val="TH-TableHeading"/>
            </w:pPr>
            <w:bookmarkStart w:id="67" w:name="_Toc255550521"/>
            <w:bookmarkStart w:id="68" w:name="_Toc255550918"/>
            <w:bookmarkStart w:id="69" w:name="_Toc255808789"/>
            <w:bookmarkStart w:id="70" w:name="_Toc255808939"/>
            <w:r>
              <w:t>Standard</w:t>
            </w:r>
            <w:bookmarkEnd w:id="67"/>
            <w:bookmarkEnd w:id="68"/>
            <w:bookmarkEnd w:id="69"/>
            <w:bookmarkEnd w:id="70"/>
          </w:p>
          <w:p w:rsidR="00D62390" w:rsidRDefault="00D62390" w:rsidP="0054006F">
            <w:pPr>
              <w:pStyle w:val="TH-TableHeading"/>
            </w:pPr>
            <w:bookmarkStart w:id="71" w:name="_Toc255550522"/>
            <w:bookmarkStart w:id="72" w:name="_Toc255550919"/>
            <w:bookmarkStart w:id="73" w:name="_Toc255808790"/>
            <w:bookmarkStart w:id="74" w:name="_Toc255808940"/>
            <w:r>
              <w:t>error</w:t>
            </w:r>
            <w:bookmarkEnd w:id="71"/>
            <w:bookmarkEnd w:id="72"/>
            <w:bookmarkEnd w:id="73"/>
            <w:bookmarkEnd w:id="74"/>
          </w:p>
        </w:tc>
        <w:tc>
          <w:tcPr>
            <w:tcW w:w="508" w:type="pct"/>
            <w:shd w:val="clear" w:color="auto" w:fill="AFBED7"/>
            <w:tcMar>
              <w:top w:w="15" w:type="dxa"/>
              <w:left w:w="15" w:type="dxa"/>
              <w:bottom w:w="0" w:type="dxa"/>
              <w:right w:w="15" w:type="dxa"/>
            </w:tcMar>
            <w:vAlign w:val="bottom"/>
            <w:hideMark/>
          </w:tcPr>
          <w:p w:rsidR="00D62390" w:rsidRDefault="00D62390" w:rsidP="008D7F5E">
            <w:pPr>
              <w:pStyle w:val="TH-TableHeading"/>
            </w:pPr>
            <w:bookmarkStart w:id="75" w:name="_Toc255550523"/>
            <w:bookmarkStart w:id="76" w:name="_Toc255550920"/>
            <w:bookmarkStart w:id="77" w:name="_Toc255808791"/>
            <w:bookmarkStart w:id="78" w:name="_Toc255808941"/>
            <w:r>
              <w:t xml:space="preserve">Chi-square </w:t>
            </w:r>
            <w:r w:rsidR="008D7F5E">
              <w:t>s</w:t>
            </w:r>
            <w:r>
              <w:t>tatistic</w:t>
            </w:r>
            <w:bookmarkEnd w:id="75"/>
            <w:bookmarkEnd w:id="76"/>
            <w:bookmarkEnd w:id="77"/>
            <w:bookmarkEnd w:id="78"/>
          </w:p>
        </w:tc>
        <w:tc>
          <w:tcPr>
            <w:tcW w:w="509" w:type="pct"/>
            <w:shd w:val="clear" w:color="auto" w:fill="AFBED7"/>
            <w:tcMar>
              <w:top w:w="15" w:type="dxa"/>
              <w:left w:w="15" w:type="dxa"/>
              <w:bottom w:w="0" w:type="dxa"/>
              <w:right w:w="15" w:type="dxa"/>
            </w:tcMar>
            <w:vAlign w:val="bottom"/>
            <w:hideMark/>
          </w:tcPr>
          <w:p w:rsidR="00D62390" w:rsidRDefault="00D62390" w:rsidP="0054006F">
            <w:pPr>
              <w:pStyle w:val="TH-TableHeading"/>
              <w:rPr>
                <w:i/>
                <w:iCs/>
              </w:rPr>
            </w:pPr>
            <w:bookmarkStart w:id="79" w:name="_Toc255550524"/>
            <w:bookmarkStart w:id="80" w:name="_Toc255550921"/>
            <w:bookmarkStart w:id="81" w:name="_Toc255808792"/>
            <w:bookmarkStart w:id="82" w:name="_Toc255808942"/>
            <w:r>
              <w:rPr>
                <w:i/>
                <w:iCs/>
              </w:rPr>
              <w:t xml:space="preserve">p </w:t>
            </w:r>
            <w:r>
              <w:t>value</w:t>
            </w:r>
            <w:bookmarkEnd w:id="79"/>
            <w:bookmarkEnd w:id="80"/>
            <w:bookmarkEnd w:id="81"/>
            <w:bookmarkEnd w:id="82"/>
          </w:p>
        </w:tc>
      </w:tr>
      <w:tr w:rsidR="00D62390" w:rsidTr="0054006F">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Region </w:t>
            </w:r>
          </w:p>
        </w:tc>
        <w:tc>
          <w:tcPr>
            <w:tcW w:w="606" w:type="pct"/>
            <w:shd w:val="clear" w:color="auto" w:fill="auto"/>
            <w:tcMar>
              <w:top w:w="15" w:type="dxa"/>
              <w:left w:w="15" w:type="dxa"/>
              <w:bottom w:w="0" w:type="dxa"/>
              <w:right w:w="15" w:type="dxa"/>
            </w:tcMar>
            <w:hideMark/>
          </w:tcPr>
          <w:p w:rsidR="00D62390" w:rsidRDefault="00D62390" w:rsidP="00A3188D">
            <w:pPr>
              <w:pStyle w:val="TX-TableText"/>
              <w:tabs>
                <w:tab w:val="decimal" w:pos="556"/>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 </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 </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 </w:t>
            </w:r>
          </w:p>
        </w:tc>
        <w:tc>
          <w:tcPr>
            <w:tcW w:w="509" w:type="pct"/>
            <w:shd w:val="clear" w:color="auto" w:fill="auto"/>
            <w:tcMar>
              <w:top w:w="15" w:type="dxa"/>
              <w:left w:w="15" w:type="dxa"/>
              <w:bottom w:w="0" w:type="dxa"/>
              <w:right w:w="15" w:type="dxa"/>
            </w:tcMar>
            <w:hideMark/>
          </w:tcPr>
          <w:p w:rsidR="00D62390" w:rsidRDefault="00D62390" w:rsidP="00A77689">
            <w:pPr>
              <w:pStyle w:val="TX-TableText"/>
            </w:pPr>
            <w:r>
              <w:t> </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Northeast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15.5</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2.5</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18.3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2.36</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31.95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w:t>
            </w:r>
            <w:r w:rsidR="00C62F4D">
              <w:t>.000</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Midwest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22.9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2.54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22.1</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2.24</w:t>
            </w:r>
          </w:p>
        </w:tc>
        <w:tc>
          <w:tcPr>
            <w:tcW w:w="508" w:type="pct"/>
            <w:shd w:val="clear" w:color="auto" w:fill="auto"/>
            <w:tcMar>
              <w:top w:w="15" w:type="dxa"/>
              <w:left w:w="15" w:type="dxa"/>
              <w:bottom w:w="0" w:type="dxa"/>
              <w:right w:w="15" w:type="dxa"/>
            </w:tcMar>
            <w:hideMark/>
          </w:tcPr>
          <w:p w:rsidR="00D62390" w:rsidRPr="00823A31" w:rsidRDefault="00D62390" w:rsidP="00C62F4D">
            <w:pPr>
              <w:pStyle w:val="TX-TableText"/>
              <w:jc w:val="center"/>
            </w:pPr>
            <w:r w:rsidRPr="00823A31">
              <w:t>†</w:t>
            </w:r>
          </w:p>
        </w:tc>
        <w:tc>
          <w:tcPr>
            <w:tcW w:w="509" w:type="pct"/>
            <w:shd w:val="clear" w:color="auto" w:fill="auto"/>
            <w:tcMar>
              <w:top w:w="15" w:type="dxa"/>
              <w:left w:w="15" w:type="dxa"/>
              <w:bottom w:w="0" w:type="dxa"/>
              <w:right w:w="15" w:type="dxa"/>
            </w:tcMar>
            <w:hideMark/>
          </w:tcPr>
          <w:p w:rsidR="00D62390" w:rsidRPr="00823A31" w:rsidRDefault="00D62390" w:rsidP="008B4F52">
            <w:pPr>
              <w:pStyle w:val="TX-TableText"/>
              <w:jc w:val="center"/>
            </w:pPr>
            <w:r w:rsidRPr="00823A31">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South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35</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1.66</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34.9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1.5</w:t>
            </w:r>
            <w:r w:rsidR="008B4F52">
              <w:t>0</w:t>
            </w:r>
          </w:p>
        </w:tc>
        <w:tc>
          <w:tcPr>
            <w:tcW w:w="508" w:type="pct"/>
            <w:shd w:val="clear" w:color="auto" w:fill="auto"/>
            <w:tcMar>
              <w:top w:w="15" w:type="dxa"/>
              <w:left w:w="15" w:type="dxa"/>
              <w:bottom w:w="0" w:type="dxa"/>
              <w:right w:w="15" w:type="dxa"/>
            </w:tcMar>
            <w:hideMark/>
          </w:tcPr>
          <w:p w:rsidR="00D62390" w:rsidRPr="00823A31" w:rsidRDefault="00D62390" w:rsidP="00C62F4D">
            <w:pPr>
              <w:pStyle w:val="TX-TableText"/>
              <w:jc w:val="center"/>
            </w:pPr>
            <w:r w:rsidRPr="00823A31">
              <w:t>†</w:t>
            </w:r>
          </w:p>
        </w:tc>
        <w:tc>
          <w:tcPr>
            <w:tcW w:w="509" w:type="pct"/>
            <w:shd w:val="clear" w:color="auto" w:fill="auto"/>
            <w:tcMar>
              <w:top w:w="15" w:type="dxa"/>
              <w:left w:w="15" w:type="dxa"/>
              <w:bottom w:w="0" w:type="dxa"/>
              <w:right w:w="15" w:type="dxa"/>
            </w:tcMar>
            <w:hideMark/>
          </w:tcPr>
          <w:p w:rsidR="00D62390" w:rsidRPr="00823A31" w:rsidRDefault="00D62390" w:rsidP="008B4F52">
            <w:pPr>
              <w:pStyle w:val="TX-TableText"/>
              <w:jc w:val="center"/>
            </w:pPr>
            <w:r w:rsidRPr="00823A31">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West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26.6</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2.47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24.7</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2.21</w:t>
            </w:r>
          </w:p>
        </w:tc>
        <w:tc>
          <w:tcPr>
            <w:tcW w:w="508" w:type="pct"/>
            <w:shd w:val="clear" w:color="auto" w:fill="auto"/>
            <w:tcMar>
              <w:top w:w="15" w:type="dxa"/>
              <w:left w:w="15" w:type="dxa"/>
              <w:bottom w:w="0" w:type="dxa"/>
              <w:right w:w="15" w:type="dxa"/>
            </w:tcMar>
            <w:hideMark/>
          </w:tcPr>
          <w:p w:rsidR="00D62390" w:rsidRPr="00823A31" w:rsidRDefault="00D62390" w:rsidP="00C62F4D">
            <w:pPr>
              <w:pStyle w:val="TX-TableText"/>
              <w:jc w:val="center"/>
            </w:pPr>
            <w:r w:rsidRPr="00823A31">
              <w:t>†</w:t>
            </w:r>
          </w:p>
        </w:tc>
        <w:tc>
          <w:tcPr>
            <w:tcW w:w="509" w:type="pct"/>
            <w:shd w:val="clear" w:color="auto" w:fill="auto"/>
            <w:tcMar>
              <w:top w:w="15" w:type="dxa"/>
              <w:left w:w="15" w:type="dxa"/>
              <w:bottom w:w="0" w:type="dxa"/>
              <w:right w:w="15" w:type="dxa"/>
            </w:tcMar>
            <w:hideMark/>
          </w:tcPr>
          <w:p w:rsidR="00D62390" w:rsidRPr="00823A31" w:rsidRDefault="00D62390" w:rsidP="008B4F52">
            <w:pPr>
              <w:pStyle w:val="TX-TableText"/>
              <w:jc w:val="center"/>
            </w:pPr>
            <w:r w:rsidRPr="00823A31">
              <w:t>†</w:t>
            </w:r>
          </w:p>
        </w:tc>
      </w:tr>
      <w:tr w:rsidR="00D62390" w:rsidTr="0054006F">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Metropolitan Statistical Area status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Non-Metropolitan</w:t>
            </w:r>
            <w:r w:rsidR="00F128D7">
              <w:t xml:space="preserve"> </w:t>
            </w:r>
            <w:r>
              <w:t xml:space="preserve">Statistical Area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22.7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21.8</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7.26</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0.007</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Metropolitan Statistical Area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77.3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78.2</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54006F">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Locale</w:t>
            </w:r>
            <w:r w:rsidRPr="00EC2126">
              <w:rPr>
                <w:b/>
                <w:vertAlign w:val="superscript"/>
              </w:rPr>
              <w:t>1</w:t>
            </w:r>
            <w:r w:rsidRPr="00EC2126">
              <w:rPr>
                <w:b/>
              </w:rPr>
              <w:t xml:space="preserve">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54006F">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Urban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64.6</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65.3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2.45</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3.78</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0.12</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Suburban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13</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w:t>
            </w:r>
            <w:r w:rsidR="008B4F52">
              <w:t>.00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12.4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1.83</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Rural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22.4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2.11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22.3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2.02</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Majority own/rent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 </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 </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 </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 </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 </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Rent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25.7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2.48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25.2</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1.14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0.287</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Own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74.3</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2.48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74.8</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2.4</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Average household size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less than or equal to 2.2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18.1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1.87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18.6</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1.81</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4.73</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0.081</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2.2 and less than or equal to 2.8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52.9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2.5</w:t>
            </w:r>
            <w:r w:rsidR="008B4F52">
              <w:t>0</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51.5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2.8</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2.8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29.1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2.92</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29.9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3.1</w:t>
            </w:r>
            <w:r w:rsidR="008B4F52">
              <w:t>0</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54006F">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Percent less than high school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 </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less than or equal to 10%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33.1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2.71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33.4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2.73</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2.7</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0.257</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10% and less than or equal to 20%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30.9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1.81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31.4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1.75</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20%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36.1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3.01</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35.2</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3.09</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Percent limited English proficient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54006F">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0%</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29.9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29.9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2.51</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0.06</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0.963</w:t>
            </w:r>
          </w:p>
        </w:tc>
      </w:tr>
      <w:tr w:rsidR="00D62390" w:rsidTr="0054006F">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0% and less than 2%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34.7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3.19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34.6</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3.09</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or equal to 2%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35.4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3.78</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35.5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3.64</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15" w:type="dxa"/>
              <w:bottom w:w="0" w:type="dxa"/>
              <w:right w:w="15" w:type="dxa"/>
            </w:tcMar>
            <w:hideMark/>
          </w:tcPr>
          <w:p w:rsidR="00D62390" w:rsidRPr="00EC2126" w:rsidRDefault="00D62390" w:rsidP="00A77689">
            <w:pPr>
              <w:pStyle w:val="TX-TableText"/>
              <w:rPr>
                <w:b/>
              </w:rPr>
            </w:pPr>
            <w:r w:rsidRPr="00EC2126">
              <w:rPr>
                <w:b/>
              </w:rPr>
              <w:t xml:space="preserve">Percent below 150% of poverty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less than or equal to 10%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30.7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2.65</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31.5</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2.79</w:t>
            </w:r>
          </w:p>
        </w:tc>
        <w:tc>
          <w:tcPr>
            <w:tcW w:w="508" w:type="pct"/>
            <w:shd w:val="clear" w:color="auto" w:fill="auto"/>
            <w:tcMar>
              <w:top w:w="15" w:type="dxa"/>
              <w:left w:w="15" w:type="dxa"/>
              <w:bottom w:w="0" w:type="dxa"/>
              <w:right w:w="15" w:type="dxa"/>
            </w:tcMar>
            <w:hideMark/>
          </w:tcPr>
          <w:p w:rsidR="00D62390" w:rsidRDefault="00D62390" w:rsidP="00C62F4D">
            <w:pPr>
              <w:pStyle w:val="TX-TableText"/>
              <w:tabs>
                <w:tab w:val="decimal" w:pos="440"/>
              </w:tabs>
            </w:pPr>
            <w:r>
              <w:t>8.59</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05"/>
              </w:tabs>
            </w:pPr>
            <w:r>
              <w:t>0.011</w:t>
            </w:r>
          </w:p>
        </w:tc>
      </w:tr>
      <w:tr w:rsidR="00D62390" w:rsidTr="0054006F">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10% and less than or equal to 30%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44.9</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3.27</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45.4</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3.27</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r w:rsidR="00D62390" w:rsidTr="004055FD">
        <w:trPr>
          <w:trHeight w:val="49"/>
        </w:trPr>
        <w:tc>
          <w:tcPr>
            <w:tcW w:w="1851" w:type="pct"/>
            <w:shd w:val="clear" w:color="auto" w:fill="auto"/>
            <w:tcMar>
              <w:top w:w="15" w:type="dxa"/>
              <w:left w:w="270" w:type="dxa"/>
              <w:bottom w:w="0" w:type="dxa"/>
              <w:right w:w="15" w:type="dxa"/>
            </w:tcMar>
            <w:hideMark/>
          </w:tcPr>
          <w:p w:rsidR="00D62390" w:rsidRDefault="00D62390" w:rsidP="00A77689">
            <w:pPr>
              <w:pStyle w:val="TX-TableText"/>
            </w:pPr>
            <w:r>
              <w:t xml:space="preserve">greater than 30% </w:t>
            </w:r>
          </w:p>
        </w:tc>
        <w:tc>
          <w:tcPr>
            <w:tcW w:w="606" w:type="pct"/>
            <w:shd w:val="clear" w:color="auto" w:fill="auto"/>
            <w:tcMar>
              <w:top w:w="15" w:type="dxa"/>
              <w:left w:w="15" w:type="dxa"/>
              <w:bottom w:w="0" w:type="dxa"/>
              <w:right w:w="15" w:type="dxa"/>
            </w:tcMar>
            <w:hideMark/>
          </w:tcPr>
          <w:p w:rsidR="00D62390" w:rsidRDefault="00D62390" w:rsidP="008B4F52">
            <w:pPr>
              <w:pStyle w:val="TX-TableText"/>
              <w:tabs>
                <w:tab w:val="decimal" w:pos="556"/>
              </w:tabs>
            </w:pPr>
            <w:r>
              <w:t>24.4</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372"/>
              </w:tabs>
            </w:pPr>
            <w:r>
              <w:t>2.95</w:t>
            </w:r>
          </w:p>
        </w:tc>
        <w:tc>
          <w:tcPr>
            <w:tcW w:w="508" w:type="pct"/>
            <w:shd w:val="clear" w:color="auto" w:fill="auto"/>
            <w:tcMar>
              <w:top w:w="15" w:type="dxa"/>
              <w:left w:w="15" w:type="dxa"/>
              <w:bottom w:w="0" w:type="dxa"/>
              <w:right w:w="15" w:type="dxa"/>
            </w:tcMar>
            <w:hideMark/>
          </w:tcPr>
          <w:p w:rsidR="00D62390" w:rsidRDefault="00D62390" w:rsidP="008B4F52">
            <w:pPr>
              <w:pStyle w:val="TX-TableText"/>
              <w:tabs>
                <w:tab w:val="decimal" w:pos="468"/>
              </w:tabs>
            </w:pPr>
            <w:r>
              <w:t>23.1</w:t>
            </w:r>
          </w:p>
        </w:tc>
        <w:tc>
          <w:tcPr>
            <w:tcW w:w="509" w:type="pct"/>
            <w:shd w:val="clear" w:color="auto" w:fill="auto"/>
            <w:tcMar>
              <w:top w:w="15" w:type="dxa"/>
              <w:left w:w="15" w:type="dxa"/>
              <w:bottom w:w="0" w:type="dxa"/>
              <w:right w:w="15" w:type="dxa"/>
            </w:tcMar>
            <w:hideMark/>
          </w:tcPr>
          <w:p w:rsidR="00D62390" w:rsidRDefault="00D62390" w:rsidP="008B4F52">
            <w:pPr>
              <w:pStyle w:val="TX-TableText"/>
              <w:tabs>
                <w:tab w:val="decimal" w:pos="384"/>
              </w:tabs>
            </w:pPr>
            <w:r>
              <w:t>2.76</w:t>
            </w:r>
          </w:p>
        </w:tc>
        <w:tc>
          <w:tcPr>
            <w:tcW w:w="508" w:type="pct"/>
            <w:shd w:val="clear" w:color="auto" w:fill="auto"/>
            <w:tcMar>
              <w:top w:w="15" w:type="dxa"/>
              <w:left w:w="15" w:type="dxa"/>
              <w:bottom w:w="0" w:type="dxa"/>
              <w:right w:w="15" w:type="dxa"/>
            </w:tcMar>
            <w:hideMark/>
          </w:tcPr>
          <w:p w:rsidR="00D62390" w:rsidRDefault="00D62390" w:rsidP="00C62F4D">
            <w:pPr>
              <w:pStyle w:val="TX-TableText"/>
              <w:jc w:val="center"/>
            </w:pPr>
            <w:r>
              <w:t>†</w:t>
            </w:r>
          </w:p>
        </w:tc>
        <w:tc>
          <w:tcPr>
            <w:tcW w:w="509" w:type="pct"/>
            <w:shd w:val="clear" w:color="auto" w:fill="auto"/>
            <w:tcMar>
              <w:top w:w="15" w:type="dxa"/>
              <w:left w:w="15" w:type="dxa"/>
              <w:bottom w:w="0" w:type="dxa"/>
              <w:right w:w="15" w:type="dxa"/>
            </w:tcMar>
            <w:hideMark/>
          </w:tcPr>
          <w:p w:rsidR="00D62390" w:rsidRDefault="00D62390" w:rsidP="008B4F52">
            <w:pPr>
              <w:pStyle w:val="TX-TableText"/>
              <w:jc w:val="center"/>
            </w:pPr>
            <w:r>
              <w:t>†</w:t>
            </w:r>
          </w:p>
        </w:tc>
      </w:tr>
    </w:tbl>
    <w:p w:rsidR="004055FD" w:rsidRDefault="004055FD">
      <w:pPr>
        <w:spacing w:after="200" w:line="276" w:lineRule="auto"/>
        <w:jc w:val="left"/>
        <w:rPr>
          <w:b/>
          <w:lang w:val="en-US"/>
        </w:rPr>
      </w:pPr>
      <w:bookmarkStart w:id="83" w:name="_Toc255551057"/>
      <w:r>
        <w:br w:type="page"/>
      </w:r>
    </w:p>
    <w:p w:rsidR="00523F0C" w:rsidRPr="00B92418" w:rsidRDefault="00523F0C" w:rsidP="00523F0C">
      <w:pPr>
        <w:pStyle w:val="TT-TableTitle"/>
      </w:pPr>
      <w:r>
        <w:lastRenderedPageBreak/>
        <w:t>Table 1</w:t>
      </w:r>
      <w:r w:rsidR="0054006F">
        <w:t>.</w:t>
      </w:r>
      <w:r>
        <w:tab/>
      </w:r>
      <w:r w:rsidRPr="00B92418">
        <w:t xml:space="preserve">Sample distribution of unit respondents vs. </w:t>
      </w:r>
      <w:proofErr w:type="spellStart"/>
      <w:r w:rsidRPr="00B92418">
        <w:t>eligibles</w:t>
      </w:r>
      <w:proofErr w:type="spellEnd"/>
      <w:r w:rsidRPr="00B92418">
        <w:t xml:space="preserve"> for the ALL background questionnaire, by key characteristics: 2003</w:t>
      </w:r>
      <w:r>
        <w:t xml:space="preserve"> (Continued)</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8"/>
        <w:gridCol w:w="1260"/>
        <w:gridCol w:w="1260"/>
        <w:gridCol w:w="1259"/>
        <w:gridCol w:w="1259"/>
        <w:gridCol w:w="1259"/>
        <w:gridCol w:w="1259"/>
      </w:tblGrid>
      <w:tr w:rsidR="00C8169D" w:rsidTr="0054006F">
        <w:trPr>
          <w:trHeight w:val="300"/>
          <w:tblHeader/>
        </w:trPr>
        <w:tc>
          <w:tcPr>
            <w:tcW w:w="1315" w:type="pct"/>
            <w:shd w:val="clear" w:color="auto" w:fill="AFBED7"/>
            <w:tcMar>
              <w:top w:w="15" w:type="dxa"/>
              <w:left w:w="15" w:type="dxa"/>
              <w:bottom w:w="0" w:type="dxa"/>
              <w:right w:w="15" w:type="dxa"/>
            </w:tcMar>
            <w:vAlign w:val="bottom"/>
            <w:hideMark/>
          </w:tcPr>
          <w:p w:rsidR="00523F0C" w:rsidRDefault="00523F0C" w:rsidP="0054006F">
            <w:pPr>
              <w:pStyle w:val="TH-TableHeading"/>
            </w:pPr>
            <w:bookmarkStart w:id="84" w:name="_Toc255550525"/>
            <w:bookmarkStart w:id="85" w:name="_Toc255550922"/>
            <w:bookmarkStart w:id="86" w:name="_Toc255808793"/>
            <w:bookmarkStart w:id="87" w:name="_Toc255808943"/>
            <w:r>
              <w:t>Analysis variable</w:t>
            </w:r>
            <w:bookmarkEnd w:id="84"/>
            <w:bookmarkEnd w:id="85"/>
            <w:bookmarkEnd w:id="86"/>
            <w:bookmarkEnd w:id="87"/>
          </w:p>
        </w:tc>
        <w:tc>
          <w:tcPr>
            <w:tcW w:w="614" w:type="pct"/>
            <w:shd w:val="clear" w:color="auto" w:fill="AFBED7"/>
            <w:tcMar>
              <w:top w:w="15" w:type="dxa"/>
              <w:left w:w="15" w:type="dxa"/>
              <w:bottom w:w="0" w:type="dxa"/>
              <w:right w:w="15" w:type="dxa"/>
            </w:tcMar>
            <w:vAlign w:val="bottom"/>
            <w:hideMark/>
          </w:tcPr>
          <w:p w:rsidR="00523F0C" w:rsidRDefault="00523F0C" w:rsidP="0054006F">
            <w:pPr>
              <w:pStyle w:val="TH-TableHeading"/>
            </w:pPr>
            <w:bookmarkStart w:id="88" w:name="_Toc255550526"/>
            <w:bookmarkStart w:id="89" w:name="_Toc255550923"/>
            <w:bookmarkStart w:id="90" w:name="_Toc255808794"/>
            <w:bookmarkStart w:id="91" w:name="_Toc255808944"/>
            <w:r>
              <w:t>Respondents</w:t>
            </w:r>
            <w:bookmarkEnd w:id="88"/>
            <w:bookmarkEnd w:id="89"/>
            <w:bookmarkEnd w:id="90"/>
            <w:bookmarkEnd w:id="91"/>
          </w:p>
          <w:p w:rsidR="00523F0C" w:rsidRDefault="008D7F5E" w:rsidP="0054006F">
            <w:pPr>
              <w:pStyle w:val="TH-TableHeading"/>
            </w:pPr>
            <w:bookmarkStart w:id="92" w:name="_Toc255550527"/>
            <w:bookmarkStart w:id="93" w:name="_Toc255550924"/>
            <w:bookmarkStart w:id="94" w:name="_Toc255808795"/>
            <w:bookmarkStart w:id="95" w:name="_Toc255808945"/>
            <w:r>
              <w:t>p</w:t>
            </w:r>
            <w:r w:rsidR="00523F0C">
              <w:t>ercent</w:t>
            </w:r>
            <w:bookmarkEnd w:id="92"/>
            <w:bookmarkEnd w:id="93"/>
            <w:bookmarkEnd w:id="94"/>
            <w:bookmarkEnd w:id="95"/>
          </w:p>
        </w:tc>
        <w:tc>
          <w:tcPr>
            <w:tcW w:w="614" w:type="pct"/>
            <w:shd w:val="clear" w:color="auto" w:fill="AFBED7"/>
            <w:tcMar>
              <w:top w:w="15" w:type="dxa"/>
              <w:left w:w="15" w:type="dxa"/>
              <w:bottom w:w="0" w:type="dxa"/>
              <w:right w:w="15" w:type="dxa"/>
            </w:tcMar>
            <w:vAlign w:val="bottom"/>
            <w:hideMark/>
          </w:tcPr>
          <w:p w:rsidR="00523F0C" w:rsidRDefault="00523F0C" w:rsidP="0054006F">
            <w:pPr>
              <w:pStyle w:val="TH-TableHeading"/>
            </w:pPr>
            <w:bookmarkStart w:id="96" w:name="_Toc255550528"/>
            <w:bookmarkStart w:id="97" w:name="_Toc255550925"/>
            <w:bookmarkStart w:id="98" w:name="_Toc255808796"/>
            <w:bookmarkStart w:id="99" w:name="_Toc255808946"/>
            <w:r>
              <w:t>Standard</w:t>
            </w:r>
            <w:bookmarkEnd w:id="96"/>
            <w:bookmarkEnd w:id="97"/>
            <w:bookmarkEnd w:id="98"/>
            <w:bookmarkEnd w:id="99"/>
          </w:p>
          <w:p w:rsidR="00523F0C" w:rsidRDefault="00523F0C" w:rsidP="0054006F">
            <w:pPr>
              <w:pStyle w:val="TH-TableHeading"/>
            </w:pPr>
            <w:bookmarkStart w:id="100" w:name="_Toc255550529"/>
            <w:bookmarkStart w:id="101" w:name="_Toc255550926"/>
            <w:bookmarkStart w:id="102" w:name="_Toc255808797"/>
            <w:bookmarkStart w:id="103" w:name="_Toc255808947"/>
            <w:r>
              <w:t>error</w:t>
            </w:r>
            <w:bookmarkEnd w:id="100"/>
            <w:bookmarkEnd w:id="101"/>
            <w:bookmarkEnd w:id="102"/>
            <w:bookmarkEnd w:id="103"/>
          </w:p>
        </w:tc>
        <w:tc>
          <w:tcPr>
            <w:tcW w:w="614" w:type="pct"/>
            <w:shd w:val="clear" w:color="auto" w:fill="AFBED7"/>
            <w:tcMar>
              <w:top w:w="15" w:type="dxa"/>
              <w:left w:w="15" w:type="dxa"/>
              <w:bottom w:w="0" w:type="dxa"/>
              <w:right w:w="15" w:type="dxa"/>
            </w:tcMar>
            <w:vAlign w:val="bottom"/>
            <w:hideMark/>
          </w:tcPr>
          <w:p w:rsidR="00523F0C" w:rsidRDefault="00523F0C" w:rsidP="0054006F">
            <w:pPr>
              <w:pStyle w:val="TH-TableHeading"/>
            </w:pPr>
            <w:bookmarkStart w:id="104" w:name="_Toc255550530"/>
            <w:bookmarkStart w:id="105" w:name="_Toc255550927"/>
            <w:bookmarkStart w:id="106" w:name="_Toc255808798"/>
            <w:bookmarkStart w:id="107" w:name="_Toc255808948"/>
            <w:proofErr w:type="spellStart"/>
            <w:r>
              <w:t>Eligibles</w:t>
            </w:r>
            <w:bookmarkEnd w:id="104"/>
            <w:bookmarkEnd w:id="105"/>
            <w:bookmarkEnd w:id="106"/>
            <w:bookmarkEnd w:id="107"/>
            <w:proofErr w:type="spellEnd"/>
          </w:p>
          <w:p w:rsidR="00523F0C" w:rsidRDefault="008D7F5E" w:rsidP="0054006F">
            <w:pPr>
              <w:pStyle w:val="TH-TableHeading"/>
            </w:pPr>
            <w:bookmarkStart w:id="108" w:name="_Toc255550531"/>
            <w:bookmarkStart w:id="109" w:name="_Toc255550928"/>
            <w:bookmarkStart w:id="110" w:name="_Toc255808799"/>
            <w:bookmarkStart w:id="111" w:name="_Toc255808949"/>
            <w:r>
              <w:t>p</w:t>
            </w:r>
            <w:r w:rsidR="00523F0C">
              <w:t>ercent</w:t>
            </w:r>
            <w:bookmarkEnd w:id="108"/>
            <w:bookmarkEnd w:id="109"/>
            <w:bookmarkEnd w:id="110"/>
            <w:bookmarkEnd w:id="111"/>
          </w:p>
        </w:tc>
        <w:tc>
          <w:tcPr>
            <w:tcW w:w="614" w:type="pct"/>
            <w:shd w:val="clear" w:color="auto" w:fill="AFBED7"/>
            <w:tcMar>
              <w:top w:w="15" w:type="dxa"/>
              <w:left w:w="15" w:type="dxa"/>
              <w:bottom w:w="0" w:type="dxa"/>
              <w:right w:w="15" w:type="dxa"/>
            </w:tcMar>
            <w:vAlign w:val="bottom"/>
            <w:hideMark/>
          </w:tcPr>
          <w:p w:rsidR="00523F0C" w:rsidRDefault="00523F0C" w:rsidP="0054006F">
            <w:pPr>
              <w:pStyle w:val="TH-TableHeading"/>
            </w:pPr>
            <w:bookmarkStart w:id="112" w:name="_Toc255550532"/>
            <w:bookmarkStart w:id="113" w:name="_Toc255550929"/>
            <w:bookmarkStart w:id="114" w:name="_Toc255808800"/>
            <w:bookmarkStart w:id="115" w:name="_Toc255808950"/>
            <w:r>
              <w:t>Standard</w:t>
            </w:r>
            <w:bookmarkEnd w:id="112"/>
            <w:bookmarkEnd w:id="113"/>
            <w:bookmarkEnd w:id="114"/>
            <w:bookmarkEnd w:id="115"/>
          </w:p>
          <w:p w:rsidR="00523F0C" w:rsidRDefault="00523F0C" w:rsidP="0054006F">
            <w:pPr>
              <w:pStyle w:val="TH-TableHeading"/>
            </w:pPr>
            <w:bookmarkStart w:id="116" w:name="_Toc255550533"/>
            <w:bookmarkStart w:id="117" w:name="_Toc255550930"/>
            <w:bookmarkStart w:id="118" w:name="_Toc255808801"/>
            <w:bookmarkStart w:id="119" w:name="_Toc255808951"/>
            <w:r>
              <w:t>error</w:t>
            </w:r>
            <w:bookmarkEnd w:id="116"/>
            <w:bookmarkEnd w:id="117"/>
            <w:bookmarkEnd w:id="118"/>
            <w:bookmarkEnd w:id="119"/>
          </w:p>
        </w:tc>
        <w:tc>
          <w:tcPr>
            <w:tcW w:w="614" w:type="pct"/>
            <w:shd w:val="clear" w:color="auto" w:fill="AFBED7"/>
            <w:tcMar>
              <w:top w:w="15" w:type="dxa"/>
              <w:left w:w="15" w:type="dxa"/>
              <w:bottom w:w="0" w:type="dxa"/>
              <w:right w:w="15" w:type="dxa"/>
            </w:tcMar>
            <w:vAlign w:val="bottom"/>
            <w:hideMark/>
          </w:tcPr>
          <w:p w:rsidR="00523F0C" w:rsidRDefault="00523F0C" w:rsidP="008D7F5E">
            <w:pPr>
              <w:pStyle w:val="TH-TableHeading"/>
            </w:pPr>
            <w:bookmarkStart w:id="120" w:name="_Toc255550534"/>
            <w:bookmarkStart w:id="121" w:name="_Toc255550931"/>
            <w:bookmarkStart w:id="122" w:name="_Toc255808802"/>
            <w:bookmarkStart w:id="123" w:name="_Toc255808952"/>
            <w:r>
              <w:t xml:space="preserve">Chi-square </w:t>
            </w:r>
            <w:r w:rsidR="008D7F5E">
              <w:t>s</w:t>
            </w:r>
            <w:r>
              <w:t>tatistic</w:t>
            </w:r>
            <w:bookmarkEnd w:id="120"/>
            <w:bookmarkEnd w:id="121"/>
            <w:bookmarkEnd w:id="122"/>
            <w:bookmarkEnd w:id="123"/>
          </w:p>
        </w:tc>
        <w:tc>
          <w:tcPr>
            <w:tcW w:w="614" w:type="pct"/>
            <w:shd w:val="clear" w:color="auto" w:fill="AFBED7"/>
            <w:tcMar>
              <w:top w:w="15" w:type="dxa"/>
              <w:left w:w="15" w:type="dxa"/>
              <w:bottom w:w="0" w:type="dxa"/>
              <w:right w:w="15" w:type="dxa"/>
            </w:tcMar>
            <w:vAlign w:val="bottom"/>
            <w:hideMark/>
          </w:tcPr>
          <w:p w:rsidR="00523F0C" w:rsidRDefault="00523F0C" w:rsidP="0054006F">
            <w:pPr>
              <w:pStyle w:val="TH-TableHeading"/>
              <w:rPr>
                <w:i/>
                <w:iCs/>
              </w:rPr>
            </w:pPr>
            <w:bookmarkStart w:id="124" w:name="_Toc255550535"/>
            <w:bookmarkStart w:id="125" w:name="_Toc255550932"/>
            <w:bookmarkStart w:id="126" w:name="_Toc255808803"/>
            <w:bookmarkStart w:id="127" w:name="_Toc255808953"/>
            <w:r>
              <w:rPr>
                <w:i/>
                <w:iCs/>
              </w:rPr>
              <w:t xml:space="preserve">p </w:t>
            </w:r>
            <w:r>
              <w:t>value</w:t>
            </w:r>
            <w:bookmarkEnd w:id="124"/>
            <w:bookmarkEnd w:id="125"/>
            <w:bookmarkEnd w:id="126"/>
            <w:bookmarkEnd w:id="127"/>
          </w:p>
        </w:tc>
      </w:tr>
      <w:tr w:rsidR="00C8169D" w:rsidTr="0054006F">
        <w:trPr>
          <w:trHeight w:val="49"/>
        </w:trPr>
        <w:tc>
          <w:tcPr>
            <w:tcW w:w="1315" w:type="pct"/>
            <w:shd w:val="clear" w:color="auto" w:fill="auto"/>
            <w:tcMar>
              <w:top w:w="15" w:type="dxa"/>
              <w:left w:w="15" w:type="dxa"/>
              <w:bottom w:w="0" w:type="dxa"/>
              <w:right w:w="15" w:type="dxa"/>
            </w:tcMar>
            <w:hideMark/>
          </w:tcPr>
          <w:p w:rsidR="00523F0C" w:rsidRPr="00EC2126" w:rsidRDefault="00523F0C" w:rsidP="00C8169D">
            <w:pPr>
              <w:pStyle w:val="TX-TableText"/>
              <w:rPr>
                <w:b/>
              </w:rPr>
            </w:pPr>
            <w:r w:rsidRPr="00EC2126">
              <w:rPr>
                <w:b/>
              </w:rPr>
              <w:t xml:space="preserve">Age </w:t>
            </w:r>
          </w:p>
        </w:tc>
        <w:tc>
          <w:tcPr>
            <w:tcW w:w="614" w:type="pct"/>
            <w:shd w:val="clear" w:color="auto" w:fill="auto"/>
            <w:tcMar>
              <w:top w:w="15" w:type="dxa"/>
              <w:left w:w="15" w:type="dxa"/>
              <w:bottom w:w="0" w:type="dxa"/>
              <w:right w:w="15" w:type="dxa"/>
            </w:tcMar>
            <w:hideMark/>
          </w:tcPr>
          <w:p w:rsidR="00523F0C" w:rsidRDefault="00523F0C" w:rsidP="00C8169D">
            <w:pPr>
              <w:pStyle w:val="TX-TableText"/>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p>
        </w:tc>
        <w:tc>
          <w:tcPr>
            <w:tcW w:w="614" w:type="pct"/>
            <w:shd w:val="clear" w:color="auto" w:fill="auto"/>
            <w:tcMar>
              <w:top w:w="15" w:type="dxa"/>
              <w:left w:w="15" w:type="dxa"/>
              <w:bottom w:w="0" w:type="dxa"/>
              <w:right w:w="15" w:type="dxa"/>
            </w:tcMar>
            <w:hideMark/>
          </w:tcPr>
          <w:p w:rsidR="00523F0C" w:rsidRDefault="00523F0C" w:rsidP="00C8169D">
            <w:pPr>
              <w:pStyle w:val="TX-TableText"/>
            </w:pPr>
          </w:p>
        </w:tc>
        <w:tc>
          <w:tcPr>
            <w:tcW w:w="614" w:type="pct"/>
            <w:shd w:val="clear" w:color="auto" w:fill="auto"/>
            <w:tcMar>
              <w:top w:w="15" w:type="dxa"/>
              <w:left w:w="15" w:type="dxa"/>
              <w:bottom w:w="0" w:type="dxa"/>
              <w:right w:w="15" w:type="dxa"/>
            </w:tcMar>
            <w:hideMark/>
          </w:tcPr>
          <w:p w:rsidR="00523F0C" w:rsidRDefault="00523F0C" w:rsidP="00C8169D">
            <w:pPr>
              <w:pStyle w:val="TX-TableText"/>
            </w:pPr>
            <w:r>
              <w:t> </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16–25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23.7</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1.38</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22.4</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1.25</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r>
              <w:t>17.92</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0</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26–35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21.2</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0.8</w:t>
            </w:r>
            <w:r w:rsidR="00C62F4D">
              <w:t>0</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20.8</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0.77</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36–45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22.2</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0.84</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22.9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0.79</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46–65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32.9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1.29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33.9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1.16</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4055FD">
        <w:trPr>
          <w:trHeight w:val="49"/>
        </w:trPr>
        <w:tc>
          <w:tcPr>
            <w:tcW w:w="1315" w:type="pct"/>
            <w:shd w:val="clear" w:color="auto" w:fill="auto"/>
            <w:tcMar>
              <w:top w:w="15" w:type="dxa"/>
              <w:left w:w="15" w:type="dxa"/>
              <w:bottom w:w="0" w:type="dxa"/>
              <w:right w:w="15" w:type="dxa"/>
            </w:tcMar>
            <w:hideMark/>
          </w:tcPr>
          <w:p w:rsidR="00523F0C" w:rsidRPr="00EC2126" w:rsidRDefault="00523F0C" w:rsidP="00C8169D">
            <w:pPr>
              <w:pStyle w:val="TX-TableText"/>
              <w:rPr>
                <w:b/>
              </w:rPr>
            </w:pPr>
            <w:r w:rsidRPr="00EC2126">
              <w:rPr>
                <w:b/>
              </w:rPr>
              <w:t xml:space="preserve">Sex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Male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48.1</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1.08</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49.6</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0.99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r>
              <w:t>22.77</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0</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Female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51.9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1.08</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50.4</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0.99</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4055FD">
        <w:trPr>
          <w:trHeight w:val="49"/>
        </w:trPr>
        <w:tc>
          <w:tcPr>
            <w:tcW w:w="1315" w:type="pct"/>
            <w:shd w:val="clear" w:color="auto" w:fill="auto"/>
            <w:tcMar>
              <w:top w:w="15" w:type="dxa"/>
              <w:left w:w="15" w:type="dxa"/>
              <w:bottom w:w="0" w:type="dxa"/>
              <w:right w:w="15" w:type="dxa"/>
            </w:tcMar>
            <w:hideMark/>
          </w:tcPr>
          <w:p w:rsidR="00523F0C" w:rsidRPr="00EC2126" w:rsidRDefault="00523F0C" w:rsidP="00C8169D">
            <w:pPr>
              <w:pStyle w:val="TX-TableText"/>
              <w:rPr>
                <w:b/>
              </w:rPr>
            </w:pPr>
            <w:r w:rsidRPr="00EC2126">
              <w:rPr>
                <w:b/>
              </w:rPr>
              <w:t>Race/ethnicity</w:t>
            </w:r>
            <w:r w:rsidRPr="00EC2126">
              <w:rPr>
                <w:b/>
                <w:vertAlign w:val="superscript"/>
              </w:rPr>
              <w:t>2</w:t>
            </w:r>
            <w:r w:rsidRPr="00EC2126">
              <w:rPr>
                <w:b/>
              </w:rPr>
              <w:t xml:space="preserve">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p>
        </w:tc>
        <w:tc>
          <w:tcPr>
            <w:tcW w:w="614" w:type="pct"/>
            <w:shd w:val="clear" w:color="auto" w:fill="auto"/>
            <w:tcMar>
              <w:top w:w="15" w:type="dxa"/>
              <w:left w:w="15" w:type="dxa"/>
              <w:bottom w:w="0" w:type="dxa"/>
              <w:right w:w="15" w:type="dxa"/>
            </w:tcMar>
            <w:vAlign w:val="bottom"/>
            <w:hideMark/>
          </w:tcPr>
          <w:p w:rsidR="00523F0C" w:rsidRDefault="00523F0C" w:rsidP="00C62F4D">
            <w:pPr>
              <w:pStyle w:val="TX-TableText"/>
              <w:tabs>
                <w:tab w:val="decimal" w:pos="532"/>
              </w:tabs>
            </w:pPr>
          </w:p>
        </w:tc>
        <w:tc>
          <w:tcPr>
            <w:tcW w:w="614" w:type="pct"/>
            <w:shd w:val="clear" w:color="auto" w:fill="auto"/>
            <w:tcMar>
              <w:top w:w="15" w:type="dxa"/>
              <w:left w:w="15" w:type="dxa"/>
              <w:bottom w:w="0" w:type="dxa"/>
              <w:right w:w="15" w:type="dxa"/>
            </w:tcMar>
            <w:vAlign w:val="bottom"/>
            <w:hideMark/>
          </w:tcPr>
          <w:p w:rsidR="00523F0C" w:rsidRDefault="00523F0C" w:rsidP="00C62F4D">
            <w:pPr>
              <w:pStyle w:val="TX-TableText"/>
              <w:tabs>
                <w:tab w:val="decimal" w:pos="459"/>
              </w:tabs>
            </w:pPr>
          </w:p>
        </w:tc>
        <w:tc>
          <w:tcPr>
            <w:tcW w:w="614" w:type="pct"/>
            <w:shd w:val="clear" w:color="auto" w:fill="auto"/>
            <w:tcMar>
              <w:top w:w="15" w:type="dxa"/>
              <w:left w:w="15" w:type="dxa"/>
              <w:bottom w:w="0" w:type="dxa"/>
              <w:right w:w="15" w:type="dxa"/>
            </w:tcMar>
            <w:vAlign w:val="bottom"/>
            <w:hideMark/>
          </w:tcPr>
          <w:p w:rsidR="00523F0C" w:rsidRDefault="00523F0C" w:rsidP="00C62F4D">
            <w:pPr>
              <w:pStyle w:val="TX-TableText"/>
              <w:tabs>
                <w:tab w:val="decimal" w:pos="476"/>
              </w:tabs>
            </w:pPr>
          </w:p>
        </w:tc>
        <w:tc>
          <w:tcPr>
            <w:tcW w:w="614" w:type="pct"/>
            <w:shd w:val="clear" w:color="auto" w:fill="auto"/>
            <w:tcMar>
              <w:top w:w="15" w:type="dxa"/>
              <w:left w:w="15" w:type="dxa"/>
              <w:bottom w:w="0" w:type="dxa"/>
              <w:right w:w="15" w:type="dxa"/>
            </w:tcMar>
            <w:vAlign w:val="bottom"/>
            <w:hideMark/>
          </w:tcPr>
          <w:p w:rsidR="00523F0C" w:rsidRDefault="00523F0C" w:rsidP="00C62F4D">
            <w:pPr>
              <w:pStyle w:val="TX-TableText"/>
              <w:jc w:val="center"/>
            </w:pP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Hispanic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14.3</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1.79</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13.3</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1.61</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76"/>
              </w:tabs>
            </w:pPr>
            <w:r>
              <w:t>19.11</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0</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Black, non-Hispanic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11.1</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1.82</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10.2</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1.62</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r w:rsidR="00C8169D" w:rsidTr="004055FD">
        <w:trPr>
          <w:trHeight w:val="49"/>
        </w:trPr>
        <w:tc>
          <w:tcPr>
            <w:tcW w:w="1315" w:type="pct"/>
            <w:shd w:val="clear" w:color="auto" w:fill="auto"/>
            <w:tcMar>
              <w:top w:w="15" w:type="dxa"/>
              <w:left w:w="270" w:type="dxa"/>
              <w:bottom w:w="0" w:type="dxa"/>
              <w:right w:w="15" w:type="dxa"/>
            </w:tcMar>
            <w:hideMark/>
          </w:tcPr>
          <w:p w:rsidR="00523F0C" w:rsidRDefault="00523F0C" w:rsidP="00C8169D">
            <w:pPr>
              <w:pStyle w:val="TX-TableText"/>
            </w:pPr>
            <w:r>
              <w:t xml:space="preserve">Other, non-Hispanic </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89"/>
              </w:tabs>
            </w:pPr>
            <w:r>
              <w:t>74.6</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25"/>
              </w:tabs>
            </w:pPr>
            <w:r>
              <w:t>2.08</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532"/>
              </w:tabs>
            </w:pPr>
            <w:r>
              <w:t>76.4</w:t>
            </w:r>
          </w:p>
        </w:tc>
        <w:tc>
          <w:tcPr>
            <w:tcW w:w="614" w:type="pct"/>
            <w:shd w:val="clear" w:color="auto" w:fill="auto"/>
            <w:tcMar>
              <w:top w:w="15" w:type="dxa"/>
              <w:left w:w="15" w:type="dxa"/>
              <w:bottom w:w="0" w:type="dxa"/>
              <w:right w:w="15" w:type="dxa"/>
            </w:tcMar>
            <w:hideMark/>
          </w:tcPr>
          <w:p w:rsidR="00523F0C" w:rsidRDefault="00523F0C" w:rsidP="00C62F4D">
            <w:pPr>
              <w:pStyle w:val="TX-TableText"/>
              <w:tabs>
                <w:tab w:val="decimal" w:pos="459"/>
              </w:tabs>
            </w:pPr>
            <w:r>
              <w:t>1.94</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c>
          <w:tcPr>
            <w:tcW w:w="614" w:type="pct"/>
            <w:shd w:val="clear" w:color="auto" w:fill="auto"/>
            <w:tcMar>
              <w:top w:w="15" w:type="dxa"/>
              <w:left w:w="15" w:type="dxa"/>
              <w:bottom w:w="0" w:type="dxa"/>
              <w:right w:w="15" w:type="dxa"/>
            </w:tcMar>
            <w:hideMark/>
          </w:tcPr>
          <w:p w:rsidR="00523F0C" w:rsidRDefault="00523F0C" w:rsidP="00C62F4D">
            <w:pPr>
              <w:pStyle w:val="TX-TableText"/>
              <w:jc w:val="center"/>
            </w:pPr>
            <w:r>
              <w:t>†</w:t>
            </w:r>
          </w:p>
        </w:tc>
      </w:tr>
    </w:tbl>
    <w:p w:rsidR="00D62390" w:rsidRDefault="008F21FF" w:rsidP="00C8169D">
      <w:pPr>
        <w:pStyle w:val="FootnoteText"/>
        <w:spacing w:before="0"/>
      </w:pPr>
      <w:r w:rsidRPr="00EC2126">
        <w:t>† Not applicable.</w:t>
      </w:r>
    </w:p>
    <w:p w:rsidR="00D76C0A" w:rsidRPr="004F1FD8" w:rsidRDefault="00D76C0A" w:rsidP="00D76C0A">
      <w:pPr>
        <w:pStyle w:val="TF-TblFN"/>
        <w:rPr>
          <w:rFonts w:ascii="Times New Roman" w:hAnsi="Times New Roman"/>
        </w:rPr>
      </w:pPr>
      <w:r w:rsidRPr="004F1FD8">
        <w:rPr>
          <w:rFonts w:ascii="Times New Roman" w:hAnsi="Times New Roman"/>
        </w:rPr>
        <w:t xml:space="preserve">SOURCE: U.S. Department of Education, National Center for Education Statistics, Adult Literacy and </w:t>
      </w:r>
      <w:proofErr w:type="spellStart"/>
      <w:r w:rsidRPr="004F1FD8">
        <w:rPr>
          <w:rFonts w:ascii="Times New Roman" w:hAnsi="Times New Roman"/>
        </w:rPr>
        <w:t>Lifeskills</w:t>
      </w:r>
      <w:proofErr w:type="spellEnd"/>
      <w:r w:rsidRPr="004F1FD8">
        <w:rPr>
          <w:rFonts w:ascii="Times New Roman" w:hAnsi="Times New Roman"/>
        </w:rPr>
        <w:t xml:space="preserve"> Survey (ALL), 2003.</w:t>
      </w:r>
    </w:p>
    <w:p w:rsidR="008F21FF" w:rsidRDefault="008F21FF" w:rsidP="00C15F40"/>
    <w:p w:rsidR="00F128D7" w:rsidRDefault="00F128D7" w:rsidP="00F128D7">
      <w:pPr>
        <w:rPr>
          <w:color w:val="000000"/>
          <w:szCs w:val="22"/>
        </w:rPr>
      </w:pPr>
      <w:r>
        <w:rPr>
          <w:szCs w:val="22"/>
        </w:rPr>
        <w:t xml:space="preserve">Table 2 contains estimates of bias and relative bias for the subgroup percentages presented in Table 1.  Bias was calculated using the deterministic </w:t>
      </w:r>
      <w:r w:rsidR="00D76C0A" w:rsidRPr="00D76C0A">
        <w:rPr>
          <w:szCs w:val="22"/>
        </w:rPr>
        <w:t>NRB</w:t>
      </w:r>
      <w:r>
        <w:rPr>
          <w:szCs w:val="22"/>
        </w:rPr>
        <w:t xml:space="preserve"> formula in section 2.  </w:t>
      </w:r>
      <w:r>
        <w:rPr>
          <w:color w:val="000000"/>
          <w:szCs w:val="22"/>
        </w:rPr>
        <w:t xml:space="preserve">A </w:t>
      </w:r>
      <w:r>
        <w:rPr>
          <w:i/>
          <w:iCs/>
          <w:color w:val="000000"/>
          <w:szCs w:val="22"/>
        </w:rPr>
        <w:t xml:space="preserve">t </w:t>
      </w:r>
      <w:r>
        <w:rPr>
          <w:color w:val="000000"/>
          <w:szCs w:val="22"/>
        </w:rPr>
        <w:t xml:space="preserve">test was performed to determine whether the </w:t>
      </w:r>
      <w:r w:rsidR="00D76C0A" w:rsidRPr="00D76C0A">
        <w:rPr>
          <w:color w:val="000000"/>
          <w:szCs w:val="22"/>
        </w:rPr>
        <w:t>NRB</w:t>
      </w:r>
      <w:r>
        <w:rPr>
          <w:color w:val="000000"/>
          <w:szCs w:val="22"/>
        </w:rPr>
        <w:t xml:space="preserve"> was significantly different from zero.  Another measure, the relative bias, was computed as the bias divided by the estimate from the eligible sample. The relative bias is a measure of the size of the bias compared to the eligible sample estimate.  </w:t>
      </w:r>
    </w:p>
    <w:p w:rsidR="00F128D7" w:rsidRDefault="00F128D7" w:rsidP="00F128D7">
      <w:pPr>
        <w:rPr>
          <w:color w:val="000000"/>
          <w:szCs w:val="22"/>
        </w:rPr>
      </w:pPr>
    </w:p>
    <w:p w:rsidR="00F128D7" w:rsidRDefault="00F128D7" w:rsidP="00F128D7">
      <w:r>
        <w:rPr>
          <w:color w:val="000000"/>
          <w:szCs w:val="22"/>
        </w:rPr>
        <w:t xml:space="preserve">The results of the analysis in Table 2 were consistent with the chi-square analysis in Table 1.  It also showed that </w:t>
      </w:r>
      <w:r>
        <w:rPr>
          <w:szCs w:val="22"/>
        </w:rPr>
        <w:t>even though there were statistically significant results as described above, the relative magnitude of the differences was small. The relative bias estimates were all less than 10 percent, except in the Northeast, which was 15 percent.</w:t>
      </w:r>
    </w:p>
    <w:p w:rsidR="00F128D7" w:rsidRDefault="00F128D7" w:rsidP="00C15F40"/>
    <w:p w:rsidR="00ED7163" w:rsidRDefault="0054006F" w:rsidP="008F21FF">
      <w:pPr>
        <w:pStyle w:val="TT-TableTitle"/>
      </w:pPr>
      <w:bookmarkStart w:id="128" w:name="_Toc255551058"/>
      <w:r>
        <w:t>Table 2.</w:t>
      </w:r>
      <w:r w:rsidR="008F21FF">
        <w:tab/>
      </w:r>
      <w:r w:rsidR="00ED7163" w:rsidRPr="00B92418">
        <w:t xml:space="preserve">Estimates of unit </w:t>
      </w:r>
      <w:r w:rsidR="00D76C0A" w:rsidRPr="00327F76">
        <w:t>NRB</w:t>
      </w:r>
      <w:r w:rsidR="00ED7163" w:rsidRPr="00B92418">
        <w:t xml:space="preserve"> for the ALL background</w:t>
      </w:r>
      <w:r w:rsidR="00A8663C">
        <w:t xml:space="preserve"> </w:t>
      </w:r>
      <w:r w:rsidR="00ED7163" w:rsidRPr="00B92418">
        <w:t>questi</w:t>
      </w:r>
      <w:r w:rsidR="008A2582">
        <w:t>onnaire, by key characteristics</w:t>
      </w:r>
      <w:r w:rsidR="00ED7163" w:rsidRPr="00B92418">
        <w:t xml:space="preserve"> </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8"/>
        <w:gridCol w:w="1374"/>
        <w:gridCol w:w="925"/>
        <w:gridCol w:w="982"/>
        <w:gridCol w:w="1007"/>
        <w:gridCol w:w="833"/>
        <w:gridCol w:w="1255"/>
      </w:tblGrid>
      <w:tr w:rsidR="00EC2126" w:rsidTr="00C8169D">
        <w:trPr>
          <w:trHeight w:val="285"/>
          <w:tblHeader/>
        </w:trPr>
        <w:tc>
          <w:tcPr>
            <w:tcW w:w="1891"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129" w:name="_Toc255550536"/>
            <w:bookmarkStart w:id="130" w:name="_Toc255550933"/>
            <w:bookmarkStart w:id="131" w:name="_Toc255808804"/>
            <w:bookmarkStart w:id="132" w:name="_Toc255808954"/>
            <w:r>
              <w:t>2003 Analysis variable</w:t>
            </w:r>
            <w:bookmarkEnd w:id="129"/>
            <w:bookmarkEnd w:id="130"/>
            <w:bookmarkEnd w:id="131"/>
            <w:bookmarkEnd w:id="132"/>
          </w:p>
        </w:tc>
        <w:tc>
          <w:tcPr>
            <w:tcW w:w="670"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133" w:name="_Toc255550537"/>
            <w:bookmarkStart w:id="134" w:name="_Toc255550934"/>
            <w:bookmarkStart w:id="135" w:name="_Toc255808805"/>
            <w:bookmarkStart w:id="136" w:name="_Toc255808955"/>
            <w:r>
              <w:t>Respondents</w:t>
            </w:r>
            <w:bookmarkEnd w:id="133"/>
            <w:bookmarkEnd w:id="134"/>
            <w:bookmarkEnd w:id="135"/>
            <w:bookmarkEnd w:id="136"/>
          </w:p>
          <w:p w:rsidR="00EC2126" w:rsidRDefault="00EC2126" w:rsidP="00523F0C">
            <w:pPr>
              <w:pStyle w:val="TH-TableHeading"/>
            </w:pPr>
            <w:bookmarkStart w:id="137" w:name="_Toc255550538"/>
            <w:bookmarkStart w:id="138" w:name="_Toc255550935"/>
            <w:bookmarkStart w:id="139" w:name="_Toc255808806"/>
            <w:bookmarkStart w:id="140" w:name="_Toc255808956"/>
            <w:r>
              <w:t>percent</w:t>
            </w:r>
            <w:bookmarkEnd w:id="137"/>
            <w:bookmarkEnd w:id="138"/>
            <w:bookmarkEnd w:id="139"/>
            <w:bookmarkEnd w:id="140"/>
          </w:p>
        </w:tc>
        <w:tc>
          <w:tcPr>
            <w:tcW w:w="451"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141" w:name="_Toc255550539"/>
            <w:bookmarkStart w:id="142" w:name="_Toc255550936"/>
            <w:bookmarkStart w:id="143" w:name="_Toc255808807"/>
            <w:bookmarkStart w:id="144" w:name="_Toc255808957"/>
            <w:proofErr w:type="spellStart"/>
            <w:r>
              <w:t>Eligibles</w:t>
            </w:r>
            <w:bookmarkEnd w:id="141"/>
            <w:bookmarkEnd w:id="142"/>
            <w:bookmarkEnd w:id="143"/>
            <w:bookmarkEnd w:id="144"/>
            <w:proofErr w:type="spellEnd"/>
          </w:p>
          <w:p w:rsidR="00EC2126" w:rsidRDefault="00EC2126" w:rsidP="00523F0C">
            <w:pPr>
              <w:pStyle w:val="TH-TableHeading"/>
            </w:pPr>
            <w:bookmarkStart w:id="145" w:name="_Toc255550540"/>
            <w:bookmarkStart w:id="146" w:name="_Toc255550937"/>
            <w:bookmarkStart w:id="147" w:name="_Toc255808808"/>
            <w:bookmarkStart w:id="148" w:name="_Toc255808958"/>
            <w:r>
              <w:t>percent</w:t>
            </w:r>
            <w:bookmarkEnd w:id="145"/>
            <w:bookmarkEnd w:id="146"/>
            <w:bookmarkEnd w:id="147"/>
            <w:bookmarkEnd w:id="148"/>
          </w:p>
        </w:tc>
        <w:tc>
          <w:tcPr>
            <w:tcW w:w="1376" w:type="pct"/>
            <w:gridSpan w:val="3"/>
            <w:shd w:val="clear" w:color="auto" w:fill="AFBED7"/>
            <w:tcMar>
              <w:top w:w="15" w:type="dxa"/>
              <w:left w:w="15" w:type="dxa"/>
              <w:bottom w:w="0" w:type="dxa"/>
              <w:right w:w="15" w:type="dxa"/>
            </w:tcMar>
            <w:hideMark/>
          </w:tcPr>
          <w:p w:rsidR="00EC2126" w:rsidRDefault="00EC2126" w:rsidP="00823A31">
            <w:pPr>
              <w:pStyle w:val="TH-TableHeading"/>
            </w:pPr>
            <w:bookmarkStart w:id="149" w:name="_Toc255550541"/>
            <w:bookmarkStart w:id="150" w:name="_Toc255550938"/>
            <w:bookmarkStart w:id="151" w:name="_Toc255808809"/>
            <w:bookmarkStart w:id="152" w:name="_Toc255808959"/>
            <w:r>
              <w:t>Bias</w:t>
            </w:r>
            <w:bookmarkEnd w:id="149"/>
            <w:bookmarkEnd w:id="150"/>
            <w:bookmarkEnd w:id="151"/>
            <w:bookmarkEnd w:id="152"/>
            <w:r>
              <w:t xml:space="preserve"> </w:t>
            </w:r>
          </w:p>
        </w:tc>
        <w:tc>
          <w:tcPr>
            <w:tcW w:w="612" w:type="pct"/>
            <w:vMerge w:val="restart"/>
            <w:shd w:val="clear" w:color="auto" w:fill="AFBED7"/>
            <w:tcMar>
              <w:top w:w="15" w:type="dxa"/>
              <w:left w:w="15" w:type="dxa"/>
              <w:bottom w:w="0" w:type="dxa"/>
              <w:right w:w="15" w:type="dxa"/>
            </w:tcMar>
            <w:vAlign w:val="bottom"/>
            <w:hideMark/>
          </w:tcPr>
          <w:p w:rsidR="00EC2126" w:rsidRDefault="00EC2126" w:rsidP="00523F0C">
            <w:pPr>
              <w:pStyle w:val="TH-TableHeading"/>
            </w:pPr>
            <w:bookmarkStart w:id="153" w:name="_Toc255550542"/>
            <w:bookmarkStart w:id="154" w:name="_Toc255550939"/>
            <w:bookmarkStart w:id="155" w:name="_Toc255808810"/>
            <w:bookmarkStart w:id="156" w:name="_Toc255808960"/>
            <w:r>
              <w:t>Percent</w:t>
            </w:r>
            <w:bookmarkEnd w:id="153"/>
            <w:bookmarkEnd w:id="154"/>
            <w:bookmarkEnd w:id="155"/>
            <w:bookmarkEnd w:id="156"/>
          </w:p>
          <w:p w:rsidR="00EC2126" w:rsidRDefault="00EC2126" w:rsidP="00523F0C">
            <w:pPr>
              <w:pStyle w:val="TH-TableHeading"/>
            </w:pPr>
            <w:bookmarkStart w:id="157" w:name="_Toc255550543"/>
            <w:bookmarkStart w:id="158" w:name="_Toc255550940"/>
            <w:bookmarkStart w:id="159" w:name="_Toc255808811"/>
            <w:bookmarkStart w:id="160" w:name="_Toc255808961"/>
            <w:r>
              <w:t>relative bias</w:t>
            </w:r>
            <w:bookmarkEnd w:id="157"/>
            <w:bookmarkEnd w:id="158"/>
            <w:bookmarkEnd w:id="159"/>
            <w:bookmarkEnd w:id="160"/>
          </w:p>
        </w:tc>
      </w:tr>
      <w:tr w:rsidR="00EC2126" w:rsidTr="00C8169D">
        <w:trPr>
          <w:trHeight w:val="200"/>
          <w:tblHeader/>
        </w:trPr>
        <w:tc>
          <w:tcPr>
            <w:tcW w:w="1891"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c>
          <w:tcPr>
            <w:tcW w:w="670"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c>
          <w:tcPr>
            <w:tcW w:w="451"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c>
          <w:tcPr>
            <w:tcW w:w="479" w:type="pct"/>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bookmarkStart w:id="161" w:name="_Toc255550544"/>
            <w:bookmarkStart w:id="162" w:name="_Toc255550941"/>
            <w:bookmarkStart w:id="163" w:name="_Toc255808812"/>
            <w:bookmarkStart w:id="164" w:name="_Toc255808962"/>
            <w:r>
              <w:t>Estimate</w:t>
            </w:r>
            <w:bookmarkEnd w:id="161"/>
            <w:bookmarkEnd w:id="162"/>
            <w:bookmarkEnd w:id="163"/>
            <w:bookmarkEnd w:id="164"/>
          </w:p>
        </w:tc>
        <w:tc>
          <w:tcPr>
            <w:tcW w:w="491" w:type="pct"/>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bookmarkStart w:id="165" w:name="_Toc255550545"/>
            <w:bookmarkStart w:id="166" w:name="_Toc255550942"/>
            <w:bookmarkStart w:id="167" w:name="_Toc255808813"/>
            <w:bookmarkStart w:id="168" w:name="_Toc255808963"/>
            <w:r>
              <w:t>Standard</w:t>
            </w:r>
            <w:bookmarkEnd w:id="165"/>
            <w:bookmarkEnd w:id="166"/>
            <w:bookmarkEnd w:id="167"/>
            <w:bookmarkEnd w:id="168"/>
          </w:p>
          <w:p w:rsidR="00EC2126" w:rsidRDefault="00EC2126" w:rsidP="003D4967">
            <w:pPr>
              <w:pStyle w:val="TH-TableHeading"/>
            </w:pPr>
            <w:bookmarkStart w:id="169" w:name="_Toc255550546"/>
            <w:bookmarkStart w:id="170" w:name="_Toc255550943"/>
            <w:bookmarkStart w:id="171" w:name="_Toc255808814"/>
            <w:bookmarkStart w:id="172" w:name="_Toc255808964"/>
            <w:r>
              <w:t>error</w:t>
            </w:r>
            <w:bookmarkEnd w:id="169"/>
            <w:bookmarkEnd w:id="170"/>
            <w:bookmarkEnd w:id="171"/>
            <w:bookmarkEnd w:id="172"/>
          </w:p>
        </w:tc>
        <w:tc>
          <w:tcPr>
            <w:tcW w:w="406" w:type="pct"/>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rPr>
                <w:i/>
                <w:iCs/>
              </w:rPr>
            </w:pPr>
            <w:bookmarkStart w:id="173" w:name="_Toc255550547"/>
            <w:bookmarkStart w:id="174" w:name="_Toc255550944"/>
            <w:bookmarkStart w:id="175" w:name="_Toc255808815"/>
            <w:bookmarkStart w:id="176" w:name="_Toc255808965"/>
            <w:r>
              <w:rPr>
                <w:i/>
                <w:iCs/>
              </w:rPr>
              <w:t xml:space="preserve">p </w:t>
            </w:r>
            <w:r>
              <w:t>value</w:t>
            </w:r>
            <w:bookmarkEnd w:id="173"/>
            <w:bookmarkEnd w:id="174"/>
            <w:bookmarkEnd w:id="175"/>
            <w:bookmarkEnd w:id="176"/>
          </w:p>
        </w:tc>
        <w:tc>
          <w:tcPr>
            <w:tcW w:w="612" w:type="pct"/>
            <w:vMerge/>
            <w:tcBorders>
              <w:bottom w:val="single" w:sz="4" w:space="0" w:color="auto"/>
            </w:tcBorders>
            <w:shd w:val="clear" w:color="auto" w:fill="AFBED7"/>
            <w:tcMar>
              <w:top w:w="15" w:type="dxa"/>
              <w:left w:w="15" w:type="dxa"/>
              <w:bottom w:w="0" w:type="dxa"/>
              <w:right w:w="15" w:type="dxa"/>
            </w:tcMar>
            <w:vAlign w:val="bottom"/>
            <w:hideMark/>
          </w:tcPr>
          <w:p w:rsidR="00EC2126" w:rsidRDefault="00EC2126" w:rsidP="003D4967">
            <w:pPr>
              <w:pStyle w:val="TH-TableHeading"/>
            </w:pPr>
          </w:p>
        </w:tc>
      </w:tr>
      <w:tr w:rsidR="00823A31" w:rsidTr="004055FD">
        <w:trPr>
          <w:trHeight w:val="49"/>
        </w:trPr>
        <w:tc>
          <w:tcPr>
            <w:tcW w:w="1891" w:type="pct"/>
            <w:shd w:val="clear" w:color="auto" w:fill="auto"/>
            <w:tcMar>
              <w:top w:w="15" w:type="dxa"/>
              <w:left w:w="15" w:type="dxa"/>
              <w:bottom w:w="0" w:type="dxa"/>
              <w:right w:w="15" w:type="dxa"/>
            </w:tcMar>
            <w:hideMark/>
          </w:tcPr>
          <w:p w:rsidR="00823A31" w:rsidRPr="003D4967" w:rsidRDefault="00823A31" w:rsidP="00A77689">
            <w:pPr>
              <w:pStyle w:val="TX-TableText"/>
              <w:rPr>
                <w:b/>
              </w:rPr>
            </w:pPr>
            <w:r w:rsidRPr="003D4967">
              <w:rPr>
                <w:b/>
              </w:rPr>
              <w:t xml:space="preserve">Region </w:t>
            </w:r>
          </w:p>
        </w:tc>
        <w:tc>
          <w:tcPr>
            <w:tcW w:w="670" w:type="pct"/>
            <w:shd w:val="clear" w:color="auto" w:fill="auto"/>
            <w:tcMar>
              <w:top w:w="15" w:type="dxa"/>
              <w:left w:w="15" w:type="dxa"/>
              <w:bottom w:w="0" w:type="dxa"/>
              <w:right w:w="15" w:type="dxa"/>
            </w:tcMar>
            <w:hideMark/>
          </w:tcPr>
          <w:p w:rsidR="00823A31" w:rsidRPr="00EC2126" w:rsidRDefault="00823A31" w:rsidP="00C62F4D">
            <w:pPr>
              <w:pStyle w:val="TX-TableText"/>
              <w:tabs>
                <w:tab w:val="decimal" w:pos="588"/>
              </w:tabs>
            </w:pPr>
          </w:p>
        </w:tc>
        <w:tc>
          <w:tcPr>
            <w:tcW w:w="451" w:type="pct"/>
            <w:shd w:val="clear" w:color="auto" w:fill="auto"/>
            <w:tcMar>
              <w:top w:w="15" w:type="dxa"/>
              <w:left w:w="15" w:type="dxa"/>
              <w:bottom w:w="0" w:type="dxa"/>
              <w:right w:w="15" w:type="dxa"/>
            </w:tcMar>
            <w:hideMark/>
          </w:tcPr>
          <w:p w:rsidR="00823A31" w:rsidRPr="00EC2126" w:rsidRDefault="00823A31" w:rsidP="00C62F4D">
            <w:pPr>
              <w:pStyle w:val="TX-TableText"/>
              <w:tabs>
                <w:tab w:val="decimal" w:pos="410"/>
              </w:tabs>
            </w:pPr>
          </w:p>
        </w:tc>
        <w:tc>
          <w:tcPr>
            <w:tcW w:w="479" w:type="pct"/>
            <w:shd w:val="clear" w:color="auto" w:fill="auto"/>
            <w:tcMar>
              <w:top w:w="15" w:type="dxa"/>
              <w:left w:w="15" w:type="dxa"/>
              <w:bottom w:w="0" w:type="dxa"/>
              <w:right w:w="15" w:type="dxa"/>
            </w:tcMar>
            <w:hideMark/>
          </w:tcPr>
          <w:p w:rsidR="00823A31" w:rsidRPr="00EC2126" w:rsidRDefault="00823A31" w:rsidP="00EC2126">
            <w:pPr>
              <w:pStyle w:val="TX-TableText"/>
            </w:pPr>
          </w:p>
        </w:tc>
        <w:tc>
          <w:tcPr>
            <w:tcW w:w="491" w:type="pct"/>
            <w:shd w:val="clear" w:color="auto" w:fill="auto"/>
            <w:tcMar>
              <w:top w:w="15" w:type="dxa"/>
              <w:left w:w="15" w:type="dxa"/>
              <w:bottom w:w="0" w:type="dxa"/>
              <w:right w:w="15" w:type="dxa"/>
            </w:tcMar>
            <w:hideMark/>
          </w:tcPr>
          <w:p w:rsidR="00823A31" w:rsidRPr="00EC2126" w:rsidRDefault="00823A31" w:rsidP="00EC2126">
            <w:pPr>
              <w:pStyle w:val="TX-TableText"/>
            </w:pPr>
          </w:p>
        </w:tc>
        <w:tc>
          <w:tcPr>
            <w:tcW w:w="406" w:type="pct"/>
            <w:shd w:val="clear" w:color="auto" w:fill="auto"/>
            <w:tcMar>
              <w:top w:w="15" w:type="dxa"/>
              <w:left w:w="15" w:type="dxa"/>
              <w:bottom w:w="0" w:type="dxa"/>
              <w:right w:w="15" w:type="dxa"/>
            </w:tcMar>
            <w:hideMark/>
          </w:tcPr>
          <w:p w:rsidR="00823A31" w:rsidRPr="00EC2126" w:rsidRDefault="00823A31" w:rsidP="00EC2126">
            <w:pPr>
              <w:pStyle w:val="TX-TableText"/>
            </w:pPr>
          </w:p>
        </w:tc>
        <w:tc>
          <w:tcPr>
            <w:tcW w:w="612" w:type="pct"/>
            <w:shd w:val="clear" w:color="auto" w:fill="auto"/>
            <w:tcMar>
              <w:top w:w="15" w:type="dxa"/>
              <w:left w:w="15" w:type="dxa"/>
              <w:bottom w:w="0" w:type="dxa"/>
              <w:right w:w="15" w:type="dxa"/>
            </w:tcMar>
            <w:hideMark/>
          </w:tcPr>
          <w:p w:rsidR="00823A31" w:rsidRPr="00EC2126" w:rsidRDefault="00823A31" w:rsidP="00C62F4D">
            <w:pPr>
              <w:pStyle w:val="TX-TableText"/>
              <w:tabs>
                <w:tab w:val="decimal" w:pos="489"/>
              </w:tabs>
            </w:pP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Northeast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15.5</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18.3</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-2.8</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0.53</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w:t>
            </w:r>
            <w:r w:rsidR="00C62F4D">
              <w:t>.000</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-15.3</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Midwest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22.9</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22.1</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0.8</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0.61</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0.187</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3.6</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South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35</w:t>
            </w:r>
            <w:r w:rsidR="00C62F4D">
              <w:t>.0</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34.9</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0.1</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0.49</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0.842</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0.3</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West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26.6</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24.7</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1.8</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0.48</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0.001</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7.3</w:t>
            </w:r>
          </w:p>
        </w:tc>
      </w:tr>
      <w:tr w:rsidR="00823A31" w:rsidTr="004055FD">
        <w:trPr>
          <w:trHeight w:val="49"/>
        </w:trPr>
        <w:tc>
          <w:tcPr>
            <w:tcW w:w="1891" w:type="pct"/>
            <w:shd w:val="clear" w:color="auto" w:fill="auto"/>
            <w:tcMar>
              <w:top w:w="15" w:type="dxa"/>
              <w:left w:w="15" w:type="dxa"/>
              <w:bottom w:w="0" w:type="dxa"/>
              <w:right w:w="15" w:type="dxa"/>
            </w:tcMar>
            <w:hideMark/>
          </w:tcPr>
          <w:p w:rsidR="00823A31" w:rsidRPr="003D4967" w:rsidRDefault="00823A31" w:rsidP="00A77689">
            <w:pPr>
              <w:pStyle w:val="TX-TableText"/>
              <w:rPr>
                <w:b/>
              </w:rPr>
            </w:pPr>
            <w:r w:rsidRPr="003D4967">
              <w:rPr>
                <w:b/>
              </w:rPr>
              <w:t xml:space="preserve">Metropolitan Statistical Area status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Non-Metropolitan Statistical Area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22.7</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21.8</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0.9</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0.34</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0.01</w:t>
            </w:r>
            <w:r w:rsidR="00C62F4D">
              <w:t>0</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4.1</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Metropolitan Statistical Area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77.3</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78.2</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-0.9</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0.34</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0.01</w:t>
            </w:r>
            <w:r w:rsidR="00C62F4D">
              <w:t>0</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-1.2</w:t>
            </w:r>
          </w:p>
        </w:tc>
      </w:tr>
      <w:tr w:rsidR="00823A31" w:rsidTr="004055FD">
        <w:trPr>
          <w:trHeight w:val="49"/>
        </w:trPr>
        <w:tc>
          <w:tcPr>
            <w:tcW w:w="1891" w:type="pct"/>
            <w:shd w:val="clear" w:color="auto" w:fill="auto"/>
            <w:tcMar>
              <w:top w:w="15" w:type="dxa"/>
              <w:left w:w="15" w:type="dxa"/>
              <w:bottom w:w="0" w:type="dxa"/>
              <w:right w:w="15" w:type="dxa"/>
            </w:tcMar>
            <w:hideMark/>
          </w:tcPr>
          <w:p w:rsidR="00823A31" w:rsidRPr="003D4967" w:rsidRDefault="00823A31" w:rsidP="00A77689">
            <w:pPr>
              <w:pStyle w:val="TX-TableText"/>
              <w:rPr>
                <w:b/>
              </w:rPr>
            </w:pPr>
            <w:r w:rsidRPr="003D4967">
              <w:rPr>
                <w:b/>
              </w:rPr>
              <w:t>Locale</w:t>
            </w:r>
            <w:r w:rsidRPr="003D4967">
              <w:rPr>
                <w:b/>
                <w:vertAlign w:val="superscript"/>
              </w:rPr>
              <w:t>1</w:t>
            </w:r>
            <w:r w:rsidRPr="003D4967">
              <w:rPr>
                <w:b/>
              </w:rPr>
              <w:t xml:space="preserve">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Urban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64.6</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65.3</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-0.7</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0.38</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0.074</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-1.1</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Suburban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13</w:t>
            </w:r>
            <w:r w:rsidR="00C62F4D">
              <w:t>.0</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12.4</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0.6</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0.37</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0.108</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4.8</w:t>
            </w:r>
          </w:p>
        </w:tc>
      </w:tr>
      <w:tr w:rsidR="00823A31" w:rsidTr="004055FD">
        <w:trPr>
          <w:trHeight w:val="49"/>
        </w:trPr>
        <w:tc>
          <w:tcPr>
            <w:tcW w:w="1891" w:type="pct"/>
            <w:shd w:val="clear" w:color="auto" w:fill="auto"/>
            <w:tcMar>
              <w:top w:w="15" w:type="dxa"/>
              <w:left w:w="270" w:type="dxa"/>
              <w:bottom w:w="0" w:type="dxa"/>
              <w:right w:w="15" w:type="dxa"/>
            </w:tcMar>
            <w:hideMark/>
          </w:tcPr>
          <w:p w:rsidR="00823A31" w:rsidRPr="003D4967" w:rsidRDefault="00823A31" w:rsidP="00A77689">
            <w:pPr>
              <w:pStyle w:val="TX-TableText"/>
            </w:pPr>
            <w:r w:rsidRPr="003D4967">
              <w:t xml:space="preserve">Rural </w:t>
            </w:r>
          </w:p>
        </w:tc>
        <w:tc>
          <w:tcPr>
            <w:tcW w:w="670"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588"/>
              </w:tabs>
            </w:pPr>
            <w:r w:rsidRPr="00EC2126">
              <w:t>22.4</w:t>
            </w:r>
          </w:p>
        </w:tc>
        <w:tc>
          <w:tcPr>
            <w:tcW w:w="45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10"/>
              </w:tabs>
            </w:pPr>
            <w:r w:rsidRPr="00EC2126">
              <w:t>22.3</w:t>
            </w:r>
          </w:p>
        </w:tc>
        <w:tc>
          <w:tcPr>
            <w:tcW w:w="479"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0.1</w:t>
            </w:r>
          </w:p>
        </w:tc>
        <w:tc>
          <w:tcPr>
            <w:tcW w:w="491"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373"/>
              </w:tabs>
            </w:pPr>
            <w:r w:rsidRPr="00EC2126">
              <w:t>0.31</w:t>
            </w:r>
          </w:p>
        </w:tc>
        <w:tc>
          <w:tcPr>
            <w:tcW w:w="406"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261"/>
              </w:tabs>
            </w:pPr>
            <w:r w:rsidRPr="00EC2126">
              <w:t>0.747</w:t>
            </w:r>
          </w:p>
        </w:tc>
        <w:tc>
          <w:tcPr>
            <w:tcW w:w="612" w:type="pct"/>
            <w:shd w:val="clear" w:color="auto" w:fill="auto"/>
            <w:tcMar>
              <w:top w:w="15" w:type="dxa"/>
              <w:left w:w="15" w:type="dxa"/>
              <w:bottom w:w="0" w:type="dxa"/>
              <w:right w:w="15" w:type="dxa"/>
            </w:tcMar>
            <w:vAlign w:val="center"/>
            <w:hideMark/>
          </w:tcPr>
          <w:p w:rsidR="00823A31" w:rsidRPr="00EC2126" w:rsidRDefault="00823A31" w:rsidP="00C62F4D">
            <w:pPr>
              <w:pStyle w:val="TX-TableText"/>
              <w:tabs>
                <w:tab w:val="decimal" w:pos="489"/>
              </w:tabs>
            </w:pPr>
            <w:r w:rsidRPr="00EC2126">
              <w:t>0.4</w:t>
            </w:r>
          </w:p>
        </w:tc>
      </w:tr>
    </w:tbl>
    <w:p w:rsidR="00D76C0A" w:rsidRDefault="00D76C0A"/>
    <w:p w:rsidR="00D76C0A" w:rsidRDefault="00D76C0A"/>
    <w:p w:rsidR="00B97419" w:rsidRDefault="00B97419">
      <w:pPr>
        <w:spacing w:after="200" w:line="276" w:lineRule="auto"/>
        <w:jc w:val="left"/>
        <w:rPr>
          <w:b/>
          <w:lang w:val="en-US"/>
        </w:rPr>
      </w:pPr>
      <w:r>
        <w:br w:type="page"/>
      </w:r>
    </w:p>
    <w:p w:rsidR="00D76C0A" w:rsidRDefault="00D76C0A" w:rsidP="00D76C0A">
      <w:pPr>
        <w:pStyle w:val="TT-TableTitle"/>
      </w:pPr>
      <w:r>
        <w:lastRenderedPageBreak/>
        <w:t>Table 2.</w:t>
      </w:r>
      <w:r>
        <w:tab/>
      </w:r>
      <w:r w:rsidRPr="00B92418">
        <w:t xml:space="preserve">Estimates of unit </w:t>
      </w:r>
      <w:r w:rsidRPr="00327F76">
        <w:t>NRB</w:t>
      </w:r>
      <w:r w:rsidRPr="00B92418">
        <w:t xml:space="preserve"> for the ALL background</w:t>
      </w:r>
      <w:r>
        <w:t xml:space="preserve"> </w:t>
      </w:r>
      <w:r w:rsidRPr="00B92418">
        <w:t>questionnaire, by key characteristics</w:t>
      </w:r>
      <w:r w:rsidR="008A2582">
        <w:t xml:space="preserve"> (Continued)</w:t>
      </w:r>
      <w:r w:rsidRPr="00B9241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8"/>
        <w:gridCol w:w="1374"/>
        <w:gridCol w:w="925"/>
        <w:gridCol w:w="982"/>
        <w:gridCol w:w="1007"/>
        <w:gridCol w:w="833"/>
        <w:gridCol w:w="1255"/>
      </w:tblGrid>
      <w:tr w:rsidR="00D76C0A" w:rsidTr="00D76C0A">
        <w:trPr>
          <w:trHeight w:val="285"/>
          <w:tblHeader/>
        </w:trPr>
        <w:tc>
          <w:tcPr>
            <w:tcW w:w="1891"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t>2003 Analysis variable</w:t>
            </w:r>
          </w:p>
        </w:tc>
        <w:tc>
          <w:tcPr>
            <w:tcW w:w="670"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t>Respondents</w:t>
            </w:r>
          </w:p>
          <w:p w:rsidR="00D76C0A" w:rsidRDefault="00D76C0A" w:rsidP="00D76C0A">
            <w:pPr>
              <w:pStyle w:val="TH-TableHeading"/>
            </w:pPr>
            <w:r>
              <w:t>percent</w:t>
            </w:r>
          </w:p>
        </w:tc>
        <w:tc>
          <w:tcPr>
            <w:tcW w:w="451"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proofErr w:type="spellStart"/>
            <w:r>
              <w:t>Eligibles</w:t>
            </w:r>
            <w:proofErr w:type="spellEnd"/>
          </w:p>
          <w:p w:rsidR="00D76C0A" w:rsidRDefault="00D76C0A" w:rsidP="00D76C0A">
            <w:pPr>
              <w:pStyle w:val="TH-TableHeading"/>
            </w:pPr>
            <w:r>
              <w:t>percent</w:t>
            </w:r>
          </w:p>
        </w:tc>
        <w:tc>
          <w:tcPr>
            <w:tcW w:w="1376" w:type="pct"/>
            <w:gridSpan w:val="3"/>
            <w:shd w:val="clear" w:color="auto" w:fill="AFBED7"/>
            <w:tcMar>
              <w:top w:w="15" w:type="dxa"/>
              <w:left w:w="15" w:type="dxa"/>
              <w:bottom w:w="0" w:type="dxa"/>
              <w:right w:w="15" w:type="dxa"/>
            </w:tcMar>
            <w:hideMark/>
          </w:tcPr>
          <w:p w:rsidR="00D76C0A" w:rsidRDefault="00D76C0A" w:rsidP="00D76C0A">
            <w:pPr>
              <w:pStyle w:val="TH-TableHeading"/>
            </w:pPr>
            <w:r>
              <w:t xml:space="preserve">Bias </w:t>
            </w:r>
          </w:p>
        </w:tc>
        <w:tc>
          <w:tcPr>
            <w:tcW w:w="612"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t>Percent</w:t>
            </w:r>
          </w:p>
          <w:p w:rsidR="00D76C0A" w:rsidRDefault="00D76C0A" w:rsidP="00D76C0A">
            <w:pPr>
              <w:pStyle w:val="TH-TableHeading"/>
            </w:pPr>
            <w:r>
              <w:t>relative bias</w:t>
            </w:r>
          </w:p>
        </w:tc>
      </w:tr>
      <w:tr w:rsidR="00D76C0A" w:rsidTr="00D76C0A">
        <w:trPr>
          <w:trHeight w:val="200"/>
          <w:tblHeader/>
        </w:trPr>
        <w:tc>
          <w:tcPr>
            <w:tcW w:w="1891"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670"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451"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479" w:type="pct"/>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r>
              <w:t>Estimate</w:t>
            </w:r>
          </w:p>
        </w:tc>
        <w:tc>
          <w:tcPr>
            <w:tcW w:w="491" w:type="pct"/>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r>
              <w:t>Standard</w:t>
            </w:r>
          </w:p>
          <w:p w:rsidR="00D76C0A" w:rsidRDefault="00D76C0A" w:rsidP="00D76C0A">
            <w:pPr>
              <w:pStyle w:val="TH-TableHeading"/>
            </w:pPr>
            <w:r>
              <w:t>error</w:t>
            </w:r>
          </w:p>
        </w:tc>
        <w:tc>
          <w:tcPr>
            <w:tcW w:w="406" w:type="pct"/>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rPr>
                <w:i/>
                <w:iCs/>
              </w:rPr>
            </w:pPr>
            <w:r>
              <w:rPr>
                <w:i/>
                <w:iCs/>
              </w:rPr>
              <w:t xml:space="preserve">p </w:t>
            </w:r>
            <w:r>
              <w:t>value</w:t>
            </w:r>
          </w:p>
        </w:tc>
        <w:tc>
          <w:tcPr>
            <w:tcW w:w="612" w:type="pct"/>
            <w:vMerge/>
            <w:tcBorders>
              <w:bottom w:val="single" w:sz="4" w:space="0" w:color="auto"/>
            </w:tcBorders>
            <w:shd w:val="clear" w:color="auto" w:fill="AFBED7"/>
            <w:tcMar>
              <w:top w:w="15" w:type="dxa"/>
              <w:left w:w="15" w:type="dxa"/>
              <w:bottom w:w="0" w:type="dxa"/>
              <w:right w:w="15" w:type="dxa"/>
            </w:tcMar>
            <w:vAlign w:val="bottom"/>
            <w:hideMark/>
          </w:tcPr>
          <w:p w:rsidR="00D76C0A" w:rsidRDefault="00D76C0A" w:rsidP="00D76C0A">
            <w:pPr>
              <w:pStyle w:val="TH-TableHeading"/>
            </w:pPr>
          </w:p>
        </w:tc>
      </w:tr>
      <w:tr w:rsidR="008A2582" w:rsidTr="008A2582">
        <w:trPr>
          <w:trHeight w:val="49"/>
        </w:trPr>
        <w:tc>
          <w:tcPr>
            <w:tcW w:w="1891" w:type="pct"/>
            <w:shd w:val="clear" w:color="auto" w:fill="auto"/>
            <w:tcMar>
              <w:top w:w="15" w:type="dxa"/>
              <w:left w:w="15" w:type="dxa"/>
              <w:bottom w:w="0" w:type="dxa"/>
              <w:right w:w="15" w:type="dxa"/>
            </w:tcMar>
            <w:hideMark/>
          </w:tcPr>
          <w:p w:rsidR="008A2582" w:rsidRPr="003D4967" w:rsidRDefault="008A2582" w:rsidP="008A2582">
            <w:pPr>
              <w:pStyle w:val="TX-TableText"/>
              <w:rPr>
                <w:b/>
              </w:rPr>
            </w:pPr>
            <w:r w:rsidRPr="003D4967">
              <w:rPr>
                <w:b/>
              </w:rPr>
              <w:t xml:space="preserve">Majority own/rent </w:t>
            </w:r>
          </w:p>
        </w:tc>
        <w:tc>
          <w:tcPr>
            <w:tcW w:w="670"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588"/>
              </w:tabs>
            </w:pPr>
            <w:r w:rsidRPr="00EC2126">
              <w:t> </w:t>
            </w:r>
          </w:p>
        </w:tc>
        <w:tc>
          <w:tcPr>
            <w:tcW w:w="45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10"/>
              </w:tabs>
            </w:pPr>
            <w:r w:rsidRPr="00EC2126">
              <w:t> </w:t>
            </w:r>
          </w:p>
        </w:tc>
        <w:tc>
          <w:tcPr>
            <w:tcW w:w="479"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 </w:t>
            </w:r>
          </w:p>
        </w:tc>
        <w:tc>
          <w:tcPr>
            <w:tcW w:w="49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 </w:t>
            </w:r>
          </w:p>
        </w:tc>
        <w:tc>
          <w:tcPr>
            <w:tcW w:w="406"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261"/>
              </w:tabs>
            </w:pPr>
            <w:r w:rsidRPr="00EC2126">
              <w:t> </w:t>
            </w:r>
          </w:p>
        </w:tc>
        <w:tc>
          <w:tcPr>
            <w:tcW w:w="612"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89"/>
              </w:tabs>
            </w:pPr>
            <w:r w:rsidRPr="00EC2126">
              <w:t> </w:t>
            </w:r>
          </w:p>
        </w:tc>
      </w:tr>
      <w:tr w:rsidR="008A2582" w:rsidTr="008A2582">
        <w:trPr>
          <w:trHeight w:val="49"/>
        </w:trPr>
        <w:tc>
          <w:tcPr>
            <w:tcW w:w="1891" w:type="pct"/>
            <w:shd w:val="clear" w:color="auto" w:fill="auto"/>
            <w:tcMar>
              <w:top w:w="15" w:type="dxa"/>
              <w:left w:w="270" w:type="dxa"/>
              <w:bottom w:w="0" w:type="dxa"/>
              <w:right w:w="15" w:type="dxa"/>
            </w:tcMar>
            <w:hideMark/>
          </w:tcPr>
          <w:p w:rsidR="008A2582" w:rsidRPr="003D4967" w:rsidRDefault="008A2582" w:rsidP="008A2582">
            <w:pPr>
              <w:pStyle w:val="TX-TableText"/>
            </w:pPr>
            <w:r w:rsidRPr="003D4967">
              <w:t xml:space="preserve">Rent </w:t>
            </w:r>
          </w:p>
        </w:tc>
        <w:tc>
          <w:tcPr>
            <w:tcW w:w="670"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588"/>
              </w:tabs>
            </w:pPr>
            <w:r w:rsidRPr="00EC2126">
              <w:t>25.7</w:t>
            </w:r>
          </w:p>
        </w:tc>
        <w:tc>
          <w:tcPr>
            <w:tcW w:w="45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10"/>
              </w:tabs>
            </w:pPr>
            <w:r w:rsidRPr="00EC2126">
              <w:t>25.2</w:t>
            </w:r>
          </w:p>
        </w:tc>
        <w:tc>
          <w:tcPr>
            <w:tcW w:w="479"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0.5</w:t>
            </w:r>
          </w:p>
        </w:tc>
        <w:tc>
          <w:tcPr>
            <w:tcW w:w="49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0.44</w:t>
            </w:r>
          </w:p>
        </w:tc>
        <w:tc>
          <w:tcPr>
            <w:tcW w:w="406"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261"/>
              </w:tabs>
            </w:pPr>
            <w:r w:rsidRPr="00EC2126">
              <w:t>0.298</w:t>
            </w:r>
          </w:p>
        </w:tc>
        <w:tc>
          <w:tcPr>
            <w:tcW w:w="612"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89"/>
              </w:tabs>
            </w:pPr>
            <w:r w:rsidRPr="00EC2126">
              <w:t>2</w:t>
            </w:r>
            <w:r>
              <w:t>.0</w:t>
            </w:r>
          </w:p>
        </w:tc>
      </w:tr>
      <w:tr w:rsidR="008A2582" w:rsidTr="008A2582">
        <w:trPr>
          <w:trHeight w:val="49"/>
        </w:trPr>
        <w:tc>
          <w:tcPr>
            <w:tcW w:w="1891" w:type="pct"/>
            <w:shd w:val="clear" w:color="auto" w:fill="auto"/>
            <w:tcMar>
              <w:top w:w="15" w:type="dxa"/>
              <w:left w:w="270" w:type="dxa"/>
              <w:bottom w:w="0" w:type="dxa"/>
              <w:right w:w="15" w:type="dxa"/>
            </w:tcMar>
            <w:hideMark/>
          </w:tcPr>
          <w:p w:rsidR="008A2582" w:rsidRPr="003D4967" w:rsidRDefault="008A2582" w:rsidP="008A2582">
            <w:pPr>
              <w:pStyle w:val="TX-TableText"/>
            </w:pPr>
            <w:r w:rsidRPr="003D4967">
              <w:t xml:space="preserve">Own </w:t>
            </w:r>
          </w:p>
        </w:tc>
        <w:tc>
          <w:tcPr>
            <w:tcW w:w="670"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588"/>
              </w:tabs>
            </w:pPr>
            <w:r w:rsidRPr="00EC2126">
              <w:t>74.3</w:t>
            </w:r>
          </w:p>
        </w:tc>
        <w:tc>
          <w:tcPr>
            <w:tcW w:w="45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10"/>
              </w:tabs>
            </w:pPr>
            <w:r w:rsidRPr="00EC2126">
              <w:t>74.8</w:t>
            </w:r>
          </w:p>
        </w:tc>
        <w:tc>
          <w:tcPr>
            <w:tcW w:w="479"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-0.5</w:t>
            </w:r>
          </w:p>
        </w:tc>
        <w:tc>
          <w:tcPr>
            <w:tcW w:w="491"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373"/>
              </w:tabs>
            </w:pPr>
            <w:r w:rsidRPr="00EC2126">
              <w:t>0.44</w:t>
            </w:r>
          </w:p>
        </w:tc>
        <w:tc>
          <w:tcPr>
            <w:tcW w:w="406"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261"/>
              </w:tabs>
            </w:pPr>
            <w:r w:rsidRPr="00EC2126">
              <w:t>0.298</w:t>
            </w:r>
          </w:p>
        </w:tc>
        <w:tc>
          <w:tcPr>
            <w:tcW w:w="612" w:type="pct"/>
            <w:shd w:val="clear" w:color="auto" w:fill="auto"/>
            <w:tcMar>
              <w:top w:w="15" w:type="dxa"/>
              <w:left w:w="15" w:type="dxa"/>
              <w:bottom w:w="0" w:type="dxa"/>
              <w:right w:w="15" w:type="dxa"/>
            </w:tcMar>
            <w:vAlign w:val="center"/>
            <w:hideMark/>
          </w:tcPr>
          <w:p w:rsidR="008A2582" w:rsidRPr="00EC2126" w:rsidRDefault="008A2582" w:rsidP="008A2582">
            <w:pPr>
              <w:pStyle w:val="TX-TableText"/>
              <w:tabs>
                <w:tab w:val="decimal" w:pos="489"/>
              </w:tabs>
            </w:pPr>
            <w:r w:rsidRPr="00EC2126">
              <w:t>-0.7</w:t>
            </w:r>
          </w:p>
        </w:tc>
      </w:tr>
      <w:tr w:rsidR="00F128D7" w:rsidTr="00F128D7">
        <w:trPr>
          <w:trHeight w:val="49"/>
        </w:trPr>
        <w:tc>
          <w:tcPr>
            <w:tcW w:w="1891" w:type="pct"/>
            <w:shd w:val="clear" w:color="auto" w:fill="auto"/>
            <w:tcMar>
              <w:top w:w="15" w:type="dxa"/>
              <w:left w:w="15" w:type="dxa"/>
              <w:bottom w:w="0" w:type="dxa"/>
              <w:right w:w="15" w:type="dxa"/>
            </w:tcMar>
            <w:hideMark/>
          </w:tcPr>
          <w:p w:rsidR="00F128D7" w:rsidRPr="003D4967" w:rsidRDefault="00F128D7" w:rsidP="00F128D7">
            <w:pPr>
              <w:pStyle w:val="TX-TableText"/>
              <w:rPr>
                <w:b/>
              </w:rPr>
            </w:pPr>
            <w:r w:rsidRPr="003D4967">
              <w:rPr>
                <w:b/>
              </w:rPr>
              <w:t xml:space="preserve">Average household size </w:t>
            </w:r>
          </w:p>
        </w:tc>
        <w:tc>
          <w:tcPr>
            <w:tcW w:w="670"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171"/>
              </w:tabs>
            </w:pPr>
          </w:p>
        </w:tc>
        <w:tc>
          <w:tcPr>
            <w:tcW w:w="612" w:type="pct"/>
            <w:shd w:val="clear" w:color="auto" w:fill="auto"/>
            <w:tcMar>
              <w:top w:w="15" w:type="dxa"/>
              <w:left w:w="15" w:type="dxa"/>
              <w:bottom w:w="0" w:type="dxa"/>
              <w:right w:w="15" w:type="dxa"/>
            </w:tcMar>
            <w:vAlign w:val="center"/>
            <w:hideMark/>
          </w:tcPr>
          <w:p w:rsidR="00F128D7" w:rsidRPr="00EC2126" w:rsidRDefault="00F128D7" w:rsidP="00F128D7">
            <w:pPr>
              <w:pStyle w:val="TX-TableText"/>
            </w:pP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less than or equal to2.2 </w:t>
            </w:r>
          </w:p>
        </w:tc>
        <w:tc>
          <w:tcPr>
            <w:tcW w:w="670"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588"/>
              </w:tabs>
            </w:pPr>
            <w:r w:rsidRPr="00EC2126">
              <w:t>18.1</w:t>
            </w:r>
          </w:p>
        </w:tc>
        <w:tc>
          <w:tcPr>
            <w:tcW w:w="45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410"/>
              </w:tabs>
            </w:pPr>
            <w:r w:rsidRPr="00EC2126">
              <w:t>18.6</w:t>
            </w:r>
          </w:p>
        </w:tc>
        <w:tc>
          <w:tcPr>
            <w:tcW w:w="479"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r w:rsidRPr="00EC2126">
              <w:t>-0.5</w:t>
            </w:r>
          </w:p>
        </w:tc>
        <w:tc>
          <w:tcPr>
            <w:tcW w:w="491"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373"/>
              </w:tabs>
            </w:pPr>
            <w:r w:rsidRPr="00EC2126">
              <w:t>0.39</w:t>
            </w:r>
          </w:p>
        </w:tc>
        <w:tc>
          <w:tcPr>
            <w:tcW w:w="406"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171"/>
              </w:tabs>
            </w:pPr>
            <w:r w:rsidRPr="00EC2126">
              <w:t>0.215</w:t>
            </w:r>
          </w:p>
        </w:tc>
        <w:tc>
          <w:tcPr>
            <w:tcW w:w="612" w:type="pct"/>
            <w:shd w:val="clear" w:color="auto" w:fill="auto"/>
            <w:tcMar>
              <w:top w:w="15" w:type="dxa"/>
              <w:left w:w="15" w:type="dxa"/>
              <w:bottom w:w="0" w:type="dxa"/>
              <w:right w:w="15" w:type="dxa"/>
            </w:tcMar>
            <w:vAlign w:val="center"/>
            <w:hideMark/>
          </w:tcPr>
          <w:p w:rsidR="00F128D7" w:rsidRPr="00EC2126" w:rsidRDefault="00F128D7" w:rsidP="00F128D7">
            <w:pPr>
              <w:pStyle w:val="TX-TableText"/>
              <w:tabs>
                <w:tab w:val="decimal" w:pos="489"/>
              </w:tabs>
            </w:pPr>
            <w:r w:rsidRPr="00EC2126">
              <w:t>-2.7</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2.2 and less than or equal to 2.8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52.9</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51.5</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1.4</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0.65</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0.044</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2.7</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2.8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29.1</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29.9</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0.6</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0.155</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-3</w:t>
            </w:r>
            <w:r>
              <w:t>.0</w:t>
            </w:r>
          </w:p>
        </w:tc>
      </w:tr>
      <w:tr w:rsidR="00F128D7" w:rsidTr="00F128D7">
        <w:trPr>
          <w:trHeight w:val="49"/>
        </w:trPr>
        <w:tc>
          <w:tcPr>
            <w:tcW w:w="1891" w:type="pct"/>
            <w:shd w:val="clear" w:color="auto" w:fill="auto"/>
            <w:tcMar>
              <w:top w:w="15" w:type="dxa"/>
              <w:left w:w="15" w:type="dxa"/>
              <w:bottom w:w="0" w:type="dxa"/>
              <w:right w:w="15" w:type="dxa"/>
            </w:tcMar>
            <w:hideMark/>
          </w:tcPr>
          <w:p w:rsidR="00F128D7" w:rsidRPr="003D4967" w:rsidRDefault="00F128D7" w:rsidP="00F128D7">
            <w:pPr>
              <w:pStyle w:val="TX-TableText"/>
              <w:rPr>
                <w:b/>
              </w:rPr>
            </w:pPr>
            <w:r w:rsidRPr="003D4967">
              <w:rPr>
                <w:b/>
              </w:rPr>
              <w:t xml:space="preserve">Percent less than high school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less than or equal to10%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33.1</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33.4</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-0.3</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0.53</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0.54</w:t>
            </w:r>
            <w:r>
              <w:t>0</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-0.9</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10% and less than or equal to 20%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30.9</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31.4</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-0.5</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0.48</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0.284</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-1.6</w:t>
            </w:r>
          </w:p>
        </w:tc>
      </w:tr>
      <w:tr w:rsidR="00F128D7" w:rsidTr="00F128D7">
        <w:trPr>
          <w:trHeight w:val="49"/>
        </w:trPr>
        <w:tc>
          <w:tcPr>
            <w:tcW w:w="1891" w:type="pct"/>
            <w:shd w:val="clear" w:color="auto" w:fill="auto"/>
            <w:tcMar>
              <w:top w:w="15" w:type="dxa"/>
              <w:left w:w="270" w:type="dxa"/>
              <w:bottom w:w="0" w:type="dxa"/>
              <w:right w:w="15" w:type="dxa"/>
            </w:tcMar>
            <w:hideMark/>
          </w:tcPr>
          <w:p w:rsidR="00F128D7" w:rsidRPr="003D4967" w:rsidRDefault="00F128D7" w:rsidP="00F128D7">
            <w:pPr>
              <w:pStyle w:val="TX-TableText"/>
            </w:pPr>
            <w:r w:rsidRPr="003D4967">
              <w:t xml:space="preserve">greater than 20% </w:t>
            </w:r>
          </w:p>
        </w:tc>
        <w:tc>
          <w:tcPr>
            <w:tcW w:w="670"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588"/>
              </w:tabs>
            </w:pPr>
            <w:r w:rsidRPr="003D4967">
              <w:t>36.1</w:t>
            </w:r>
          </w:p>
        </w:tc>
        <w:tc>
          <w:tcPr>
            <w:tcW w:w="45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10"/>
              </w:tabs>
            </w:pPr>
            <w:r w:rsidRPr="003D4967">
              <w:t>35.2</w:t>
            </w:r>
          </w:p>
        </w:tc>
        <w:tc>
          <w:tcPr>
            <w:tcW w:w="479"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373"/>
              </w:tabs>
            </w:pPr>
            <w:r w:rsidRPr="003D4967">
              <w:t>0.52</w:t>
            </w:r>
          </w:p>
        </w:tc>
        <w:tc>
          <w:tcPr>
            <w:tcW w:w="406"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171"/>
              </w:tabs>
            </w:pPr>
            <w:r w:rsidRPr="003D4967">
              <w:t>0.112</w:t>
            </w:r>
          </w:p>
        </w:tc>
        <w:tc>
          <w:tcPr>
            <w:tcW w:w="612" w:type="pct"/>
            <w:shd w:val="clear" w:color="auto" w:fill="auto"/>
            <w:tcMar>
              <w:top w:w="15" w:type="dxa"/>
              <w:left w:w="15" w:type="dxa"/>
              <w:bottom w:w="0" w:type="dxa"/>
              <w:right w:w="15" w:type="dxa"/>
            </w:tcMar>
            <w:vAlign w:val="center"/>
            <w:hideMark/>
          </w:tcPr>
          <w:p w:rsidR="00F128D7" w:rsidRPr="003D4967" w:rsidRDefault="00F128D7" w:rsidP="00F128D7">
            <w:pPr>
              <w:pStyle w:val="TX-TableText"/>
              <w:tabs>
                <w:tab w:val="decimal" w:pos="489"/>
              </w:tabs>
            </w:pPr>
            <w:r w:rsidRPr="003D4967">
              <w:t>2.6</w:t>
            </w:r>
          </w:p>
        </w:tc>
      </w:tr>
      <w:tr w:rsidR="00EC2126" w:rsidTr="004055FD">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Percent limited English proficient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0%</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29.9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29.9</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0.56</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0.977</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0% and less than 2%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34.7</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34.6</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0.1</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0.69</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0.841</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0.3</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or equal to 2%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35.4</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35.5</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-0.1</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0.55</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0.826</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-0.3</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Percent below 150% of poverty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less than or equal to10%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30.7</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31.5</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-0.8</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0.52</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0.129</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-2.5</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10% and less than or equal to 30%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44.9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45.4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0.58</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0.379</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-1.1</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greater than 30%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24.4</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23.1</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1.3</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0.38</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0.001</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5.6</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Age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 </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 </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 </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 </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 </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16–25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23.7</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22.4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1.3</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0.35</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0.001</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5.8</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26–35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21.2</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20.8</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0.4</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0.25</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0.106</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1.9</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36–45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22.2</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22.9</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-0.6</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0.36</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0.088</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-2.6</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46–65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32.9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33.9</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0.41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0.016</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-2.9</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rPr>
                <w:b/>
              </w:rPr>
            </w:pPr>
            <w:r w:rsidRPr="003D4967">
              <w:rPr>
                <w:b/>
              </w:rPr>
              <w:t xml:space="preserve">Sex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Male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48.1</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49.6</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-1.5</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w:t>
            </w:r>
            <w:r w:rsidR="00C62F4D">
              <w:t>.000</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-3</w:t>
            </w:r>
            <w:r w:rsidR="00C62F4D">
              <w:t>.0</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Female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51.9</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50.4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1.5</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w:t>
            </w:r>
            <w:r w:rsidR="00C62F4D">
              <w:t>.000</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3</w:t>
            </w:r>
            <w:r w:rsidR="00C62F4D">
              <w:t>.0</w:t>
            </w:r>
          </w:p>
        </w:tc>
      </w:tr>
      <w:tr w:rsidR="00EC2126" w:rsidTr="009C2AAC">
        <w:trPr>
          <w:trHeight w:val="49"/>
        </w:trPr>
        <w:tc>
          <w:tcPr>
            <w:tcW w:w="1891" w:type="pct"/>
            <w:shd w:val="clear" w:color="auto" w:fill="auto"/>
            <w:tcMar>
              <w:top w:w="15" w:type="dxa"/>
              <w:left w:w="15" w:type="dxa"/>
              <w:bottom w:w="0" w:type="dxa"/>
              <w:right w:w="15" w:type="dxa"/>
            </w:tcMar>
            <w:hideMark/>
          </w:tcPr>
          <w:p w:rsidR="00EC2126" w:rsidRPr="003D4967" w:rsidRDefault="00EC2126" w:rsidP="00EC2126">
            <w:pPr>
              <w:pStyle w:val="TX-TableText"/>
            </w:pPr>
            <w:r w:rsidRPr="003D4967">
              <w:rPr>
                <w:b/>
              </w:rPr>
              <w:t>Race</w:t>
            </w:r>
            <w:r w:rsidRPr="003D4967">
              <w:t>/ethnicity</w:t>
            </w:r>
            <w:r w:rsidRPr="003D4967">
              <w:rPr>
                <w:vertAlign w:val="superscript"/>
              </w:rPr>
              <w:t>2</w:t>
            </w:r>
            <w:r w:rsidRPr="003D4967">
              <w:t xml:space="preserve">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Hispanic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14.3</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13.3</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0.29</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0.003</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6.8</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Black, non-Hispanic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11.1</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10.2</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0.9</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0.31</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0.009</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8.8</w:t>
            </w:r>
          </w:p>
        </w:tc>
      </w:tr>
      <w:tr w:rsidR="00EC2126" w:rsidTr="009C2AAC">
        <w:trPr>
          <w:trHeight w:val="49"/>
        </w:trPr>
        <w:tc>
          <w:tcPr>
            <w:tcW w:w="1891" w:type="pct"/>
            <w:shd w:val="clear" w:color="auto" w:fill="auto"/>
            <w:tcMar>
              <w:top w:w="15" w:type="dxa"/>
              <w:left w:w="270" w:type="dxa"/>
              <w:bottom w:w="0" w:type="dxa"/>
              <w:right w:w="15" w:type="dxa"/>
            </w:tcMar>
            <w:hideMark/>
          </w:tcPr>
          <w:p w:rsidR="00EC2126" w:rsidRPr="003D4967" w:rsidRDefault="00EC2126" w:rsidP="00EC2126">
            <w:pPr>
              <w:pStyle w:val="TX-TableText"/>
            </w:pPr>
            <w:r w:rsidRPr="003D4967">
              <w:t xml:space="preserve">Other, non-Hispanic </w:t>
            </w:r>
          </w:p>
        </w:tc>
        <w:tc>
          <w:tcPr>
            <w:tcW w:w="670"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588"/>
              </w:tabs>
            </w:pPr>
            <w:r w:rsidRPr="003D4967">
              <w:t>74.6</w:t>
            </w:r>
          </w:p>
        </w:tc>
        <w:tc>
          <w:tcPr>
            <w:tcW w:w="45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10"/>
              </w:tabs>
            </w:pPr>
            <w:r w:rsidRPr="003D4967">
              <w:t>76.4</w:t>
            </w:r>
          </w:p>
        </w:tc>
        <w:tc>
          <w:tcPr>
            <w:tcW w:w="479"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-1.8</w:t>
            </w:r>
          </w:p>
        </w:tc>
        <w:tc>
          <w:tcPr>
            <w:tcW w:w="491"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373"/>
              </w:tabs>
            </w:pPr>
            <w:r w:rsidRPr="003D4967">
              <w:t>0.32</w:t>
            </w:r>
          </w:p>
        </w:tc>
        <w:tc>
          <w:tcPr>
            <w:tcW w:w="406" w:type="pct"/>
            <w:shd w:val="clear" w:color="auto" w:fill="auto"/>
            <w:tcMar>
              <w:top w:w="15" w:type="dxa"/>
              <w:left w:w="15" w:type="dxa"/>
              <w:bottom w:w="0" w:type="dxa"/>
              <w:right w:w="15" w:type="dxa"/>
            </w:tcMar>
            <w:vAlign w:val="center"/>
            <w:hideMark/>
          </w:tcPr>
          <w:p w:rsidR="00EC2126" w:rsidRPr="003D4967" w:rsidRDefault="00EC2126" w:rsidP="0054006F">
            <w:pPr>
              <w:pStyle w:val="TX-TableText"/>
              <w:jc w:val="center"/>
            </w:pPr>
            <w:r w:rsidRPr="003D4967">
              <w:t>0</w:t>
            </w:r>
            <w:r w:rsidR="00C62F4D">
              <w:t>.000</w:t>
            </w:r>
          </w:p>
        </w:tc>
        <w:tc>
          <w:tcPr>
            <w:tcW w:w="612" w:type="pct"/>
            <w:shd w:val="clear" w:color="auto" w:fill="auto"/>
            <w:tcMar>
              <w:top w:w="15" w:type="dxa"/>
              <w:left w:w="15" w:type="dxa"/>
              <w:bottom w:w="0" w:type="dxa"/>
              <w:right w:w="15" w:type="dxa"/>
            </w:tcMar>
            <w:vAlign w:val="center"/>
            <w:hideMark/>
          </w:tcPr>
          <w:p w:rsidR="00EC2126" w:rsidRPr="003D4967" w:rsidRDefault="00EC2126" w:rsidP="00C62F4D">
            <w:pPr>
              <w:pStyle w:val="TX-TableText"/>
              <w:tabs>
                <w:tab w:val="decimal" w:pos="489"/>
              </w:tabs>
            </w:pPr>
            <w:r w:rsidRPr="003D4967">
              <w:t>-2.4</w:t>
            </w:r>
          </w:p>
        </w:tc>
      </w:tr>
    </w:tbl>
    <w:p w:rsidR="008F21FF" w:rsidRPr="004F1FD8" w:rsidRDefault="008F21FF" w:rsidP="00C8169D">
      <w:pPr>
        <w:pStyle w:val="TF-TblFN"/>
        <w:rPr>
          <w:rFonts w:ascii="Times New Roman" w:hAnsi="Times New Roman"/>
        </w:rPr>
      </w:pPr>
      <w:r w:rsidRPr="004F1FD8">
        <w:rPr>
          <w:rFonts w:ascii="Times New Roman" w:hAnsi="Times New Roman"/>
        </w:rPr>
        <w:t># Rounds to zero</w:t>
      </w:r>
    </w:p>
    <w:p w:rsidR="008F21FF" w:rsidRPr="004F1FD8" w:rsidRDefault="008F21FF" w:rsidP="00C8169D">
      <w:pPr>
        <w:pStyle w:val="TF-TblFN"/>
        <w:rPr>
          <w:rFonts w:ascii="Times New Roman" w:hAnsi="Times New Roman"/>
        </w:rPr>
      </w:pPr>
      <w:r w:rsidRPr="004F1FD8">
        <w:rPr>
          <w:rFonts w:ascii="Times New Roman" w:hAnsi="Times New Roman"/>
          <w:vertAlign w:val="superscript"/>
        </w:rPr>
        <w:t>1</w:t>
      </w:r>
      <w:r w:rsidR="004F1FD8" w:rsidRPr="004F1FD8">
        <w:rPr>
          <w:rFonts w:ascii="Times New Roman" w:hAnsi="Times New Roman"/>
        </w:rPr>
        <w:tab/>
      </w:r>
      <w:r w:rsidRPr="004F1FD8">
        <w:rPr>
          <w:rFonts w:ascii="Times New Roman" w:hAnsi="Times New Roman"/>
        </w:rPr>
        <w:t>This indicator was set to ‘urban’ if the largest percentage in the segment was inside urbanized areas; ‘suburban’ if the largest percentage was inside urban clusters; ‘</w:t>
      </w:r>
      <w:r w:rsidR="008D667B">
        <w:rPr>
          <w:rFonts w:ascii="Times New Roman" w:hAnsi="Times New Roman"/>
        </w:rPr>
        <w:t>r</w:t>
      </w:r>
      <w:r w:rsidR="008D667B" w:rsidRPr="004F1FD8">
        <w:rPr>
          <w:rFonts w:ascii="Times New Roman" w:hAnsi="Times New Roman"/>
        </w:rPr>
        <w:t xml:space="preserve">ural’ </w:t>
      </w:r>
      <w:r w:rsidRPr="004F1FD8">
        <w:rPr>
          <w:rFonts w:ascii="Times New Roman" w:hAnsi="Times New Roman"/>
        </w:rPr>
        <w:t>if the largest percentage was the rural population. The terms ‘</w:t>
      </w:r>
      <w:r w:rsidR="008D667B">
        <w:rPr>
          <w:rFonts w:ascii="Times New Roman" w:hAnsi="Times New Roman"/>
        </w:rPr>
        <w:t>u</w:t>
      </w:r>
      <w:r w:rsidR="008D667B" w:rsidRPr="004F1FD8">
        <w:rPr>
          <w:rFonts w:ascii="Times New Roman" w:hAnsi="Times New Roman"/>
        </w:rPr>
        <w:t xml:space="preserve">rbanized </w:t>
      </w:r>
      <w:r w:rsidRPr="004F1FD8">
        <w:rPr>
          <w:rFonts w:ascii="Times New Roman" w:hAnsi="Times New Roman"/>
        </w:rPr>
        <w:t xml:space="preserve">areas’, ‘urban clusters’, and ‘rural’ are Census </w:t>
      </w:r>
      <w:r w:rsidR="008D667B" w:rsidRPr="004F1FD8">
        <w:rPr>
          <w:rFonts w:ascii="Times New Roman" w:hAnsi="Times New Roman"/>
        </w:rPr>
        <w:t>Bureau</w:t>
      </w:r>
      <w:r w:rsidR="008D667B">
        <w:rPr>
          <w:rFonts w:ascii="Times New Roman" w:hAnsi="Times New Roman"/>
        </w:rPr>
        <w:t>-</w:t>
      </w:r>
      <w:r w:rsidRPr="004F1FD8">
        <w:rPr>
          <w:rFonts w:ascii="Times New Roman" w:hAnsi="Times New Roman"/>
        </w:rPr>
        <w:t>defined terms.</w:t>
      </w:r>
    </w:p>
    <w:p w:rsidR="008F21FF" w:rsidRPr="004F1FD8" w:rsidRDefault="008F21FF" w:rsidP="00C8169D">
      <w:pPr>
        <w:pStyle w:val="TF-TblFN"/>
        <w:rPr>
          <w:rFonts w:ascii="Times New Roman" w:hAnsi="Times New Roman"/>
        </w:rPr>
      </w:pPr>
      <w:r w:rsidRPr="004F1FD8">
        <w:rPr>
          <w:rFonts w:ascii="Times New Roman" w:hAnsi="Times New Roman"/>
          <w:vertAlign w:val="superscript"/>
        </w:rPr>
        <w:t>2</w:t>
      </w:r>
      <w:r w:rsidR="004F1FD8" w:rsidRPr="004F1FD8">
        <w:rPr>
          <w:rFonts w:ascii="Times New Roman" w:hAnsi="Times New Roman"/>
        </w:rPr>
        <w:tab/>
      </w:r>
      <w:r w:rsidRPr="004F1FD8">
        <w:rPr>
          <w:rFonts w:ascii="Times New Roman" w:hAnsi="Times New Roman"/>
        </w:rPr>
        <w:t>All adults of Hispanic origin are classified as Hispanic regardless of race. Those classified as Black are non-Hispanic Black only. Those classified as Other include non-Hispanics of all other races, including White, Asian, American Indian/Alaska Native, or multiracial.</w:t>
      </w:r>
    </w:p>
    <w:p w:rsidR="008F21FF" w:rsidRPr="004F1FD8" w:rsidRDefault="0057321D" w:rsidP="00C8169D">
      <w:pPr>
        <w:pStyle w:val="TF-TblFN"/>
        <w:rPr>
          <w:rFonts w:ascii="Times New Roman" w:hAnsi="Times New Roman"/>
        </w:rPr>
      </w:pPr>
      <w:r>
        <w:rPr>
          <w:rFonts w:ascii="Times New Roman" w:hAnsi="Times New Roman"/>
        </w:rPr>
        <w:tab/>
      </w:r>
      <w:r w:rsidR="008F21FF" w:rsidRPr="004F1FD8">
        <w:rPr>
          <w:rFonts w:ascii="Times New Roman" w:hAnsi="Times New Roman"/>
        </w:rPr>
        <w:t>NOTE: Detail may not sum to totals because of rounding.</w:t>
      </w:r>
    </w:p>
    <w:p w:rsidR="008F21FF" w:rsidRPr="004F1FD8" w:rsidRDefault="0057321D" w:rsidP="00C8169D">
      <w:pPr>
        <w:pStyle w:val="TF-TblFN"/>
        <w:rPr>
          <w:rFonts w:ascii="Times New Roman" w:hAnsi="Times New Roman"/>
        </w:rPr>
      </w:pPr>
      <w:r>
        <w:rPr>
          <w:rFonts w:ascii="Times New Roman" w:hAnsi="Times New Roman"/>
        </w:rPr>
        <w:tab/>
      </w:r>
      <w:r w:rsidR="008F21FF" w:rsidRPr="004F1FD8">
        <w:rPr>
          <w:rFonts w:ascii="Times New Roman" w:hAnsi="Times New Roman"/>
        </w:rPr>
        <w:t xml:space="preserve">SOURCE: U.S. Department of Education, National Center for Education Statistics, Adult Literacy and </w:t>
      </w:r>
      <w:proofErr w:type="spellStart"/>
      <w:r w:rsidR="008F21FF" w:rsidRPr="004F1FD8">
        <w:rPr>
          <w:rFonts w:ascii="Times New Roman" w:hAnsi="Times New Roman"/>
        </w:rPr>
        <w:t>Lifeskills</w:t>
      </w:r>
      <w:proofErr w:type="spellEnd"/>
      <w:r w:rsidR="008F21FF" w:rsidRPr="004F1FD8">
        <w:rPr>
          <w:rFonts w:ascii="Times New Roman" w:hAnsi="Times New Roman"/>
        </w:rPr>
        <w:t xml:space="preserve"> Survey (ALL), 2003.</w:t>
      </w:r>
    </w:p>
    <w:p w:rsidR="00F128D7" w:rsidRPr="004F1FD8" w:rsidRDefault="00F128D7" w:rsidP="00F128D7">
      <w:pPr>
        <w:rPr>
          <w:szCs w:val="22"/>
        </w:rPr>
      </w:pPr>
    </w:p>
    <w:p w:rsidR="00F128D7" w:rsidRPr="00BA0A7A" w:rsidRDefault="00F128D7" w:rsidP="00F128D7">
      <w:pPr>
        <w:rPr>
          <w:szCs w:val="22"/>
        </w:rPr>
      </w:pPr>
      <w:r>
        <w:rPr>
          <w:szCs w:val="22"/>
        </w:rPr>
        <w:t xml:space="preserve">The analyses in Tables 1 and 2 were useful in explaining the relationship of response status to each auxiliary variable individually.  A classification tree algorithm and a logistic regression model were used to evaluate the relationship between response status and multiple auxiliary variables.  The results of the classification tree algorithm are shown in Table 3.  The algorithm was similar to that described in section 2 and used chi-square tests to divide the sample into subgroups that best explain differential response rates.  As Table 3 shows, </w:t>
      </w:r>
      <w:r w:rsidR="008D667B">
        <w:rPr>
          <w:szCs w:val="22"/>
        </w:rPr>
        <w:t>22</w:t>
      </w:r>
      <w:r>
        <w:rPr>
          <w:szCs w:val="22"/>
        </w:rPr>
        <w:t xml:space="preserve"> cells were </w:t>
      </w:r>
      <w:r>
        <w:rPr>
          <w:szCs w:val="22"/>
        </w:rPr>
        <w:lastRenderedPageBreak/>
        <w:t>formed with weighted response rates ranging from 58.7</w:t>
      </w:r>
      <w:r w:rsidR="008D667B">
        <w:rPr>
          <w:szCs w:val="22"/>
        </w:rPr>
        <w:t>%</w:t>
      </w:r>
      <w:r>
        <w:rPr>
          <w:szCs w:val="22"/>
        </w:rPr>
        <w:t xml:space="preserve"> to 97.4</w:t>
      </w:r>
      <w:r w:rsidR="008D667B">
        <w:rPr>
          <w:szCs w:val="22"/>
        </w:rPr>
        <w:t>%</w:t>
      </w:r>
      <w:r>
        <w:rPr>
          <w:szCs w:val="22"/>
        </w:rPr>
        <w:t>.  The subgroups defined by the classification tree algorithm could be used as nonresponse adjustment cells in the weighting adjustment.</w:t>
      </w:r>
    </w:p>
    <w:p w:rsidR="00C8169D" w:rsidRDefault="00C8169D">
      <w:pPr>
        <w:spacing w:after="200" w:line="276" w:lineRule="auto"/>
        <w:jc w:val="left"/>
        <w:rPr>
          <w:b/>
          <w:lang w:val="en-US"/>
        </w:rPr>
      </w:pPr>
    </w:p>
    <w:p w:rsidR="00ED7163" w:rsidRPr="008F21FF" w:rsidRDefault="008F21FF" w:rsidP="008F21FF">
      <w:pPr>
        <w:pStyle w:val="TT-TableTitle"/>
      </w:pPr>
      <w:bookmarkStart w:id="177" w:name="_Toc255551060"/>
      <w:r>
        <w:t>Table 3</w:t>
      </w:r>
      <w:r w:rsidR="0054006F">
        <w:t>.</w:t>
      </w:r>
      <w:r>
        <w:tab/>
      </w:r>
      <w:r w:rsidR="00ED7163" w:rsidRPr="008F21FF">
        <w:t>Weighted response rates for the ALL background questionnaire, by response cell: 2003</w:t>
      </w:r>
      <w:bookmarkEnd w:id="17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1"/>
        <w:gridCol w:w="7729"/>
        <w:gridCol w:w="1534"/>
      </w:tblGrid>
      <w:tr w:rsidR="007D64D5" w:rsidTr="00C8169D">
        <w:trPr>
          <w:trHeight w:val="285"/>
        </w:trPr>
        <w:tc>
          <w:tcPr>
            <w:tcW w:w="483" w:type="pct"/>
            <w:shd w:val="clear" w:color="auto" w:fill="AFBED7"/>
            <w:tcMar>
              <w:top w:w="15" w:type="dxa"/>
              <w:left w:w="15" w:type="dxa"/>
              <w:bottom w:w="0" w:type="dxa"/>
              <w:right w:w="15" w:type="dxa"/>
            </w:tcMar>
            <w:vAlign w:val="bottom"/>
            <w:hideMark/>
          </w:tcPr>
          <w:p w:rsidR="00EC2126" w:rsidRDefault="00EC2126" w:rsidP="008F21FF">
            <w:pPr>
              <w:pStyle w:val="TH-TableHeading"/>
            </w:pPr>
            <w:bookmarkStart w:id="178" w:name="_Toc255550560"/>
            <w:bookmarkStart w:id="179" w:name="_Toc255550957"/>
            <w:bookmarkStart w:id="180" w:name="_Toc255808828"/>
            <w:bookmarkStart w:id="181" w:name="_Toc255808978"/>
            <w:r>
              <w:t>Response</w:t>
            </w:r>
            <w:bookmarkEnd w:id="178"/>
            <w:bookmarkEnd w:id="179"/>
            <w:bookmarkEnd w:id="180"/>
            <w:bookmarkEnd w:id="181"/>
          </w:p>
          <w:p w:rsidR="007D64D5" w:rsidRDefault="007D64D5" w:rsidP="008F21FF">
            <w:pPr>
              <w:pStyle w:val="TH-TableHeading"/>
            </w:pPr>
            <w:bookmarkStart w:id="182" w:name="_Toc255550561"/>
            <w:bookmarkStart w:id="183" w:name="_Toc255550958"/>
            <w:bookmarkStart w:id="184" w:name="_Toc255808829"/>
            <w:bookmarkStart w:id="185" w:name="_Toc255808979"/>
            <w:r>
              <w:t>cell</w:t>
            </w:r>
            <w:bookmarkEnd w:id="182"/>
            <w:bookmarkEnd w:id="183"/>
            <w:bookmarkEnd w:id="184"/>
            <w:bookmarkEnd w:id="185"/>
          </w:p>
        </w:tc>
        <w:tc>
          <w:tcPr>
            <w:tcW w:w="3769" w:type="pct"/>
            <w:shd w:val="clear" w:color="auto" w:fill="AFBED7"/>
            <w:tcMar>
              <w:top w:w="15" w:type="dxa"/>
              <w:left w:w="15" w:type="dxa"/>
              <w:bottom w:w="0" w:type="dxa"/>
              <w:right w:w="15" w:type="dxa"/>
            </w:tcMar>
            <w:vAlign w:val="bottom"/>
            <w:hideMark/>
          </w:tcPr>
          <w:p w:rsidR="007D64D5" w:rsidRDefault="007D64D5" w:rsidP="008F21FF">
            <w:pPr>
              <w:pStyle w:val="TH-TableHeading"/>
            </w:pPr>
            <w:bookmarkStart w:id="186" w:name="_Toc255550562"/>
            <w:bookmarkStart w:id="187" w:name="_Toc255550959"/>
            <w:bookmarkStart w:id="188" w:name="_Toc255808830"/>
            <w:bookmarkStart w:id="189" w:name="_Toc255808980"/>
            <w:r>
              <w:t>Description</w:t>
            </w:r>
            <w:bookmarkEnd w:id="186"/>
            <w:bookmarkEnd w:id="187"/>
            <w:bookmarkEnd w:id="188"/>
            <w:bookmarkEnd w:id="189"/>
          </w:p>
        </w:tc>
        <w:tc>
          <w:tcPr>
            <w:tcW w:w="748" w:type="pct"/>
            <w:shd w:val="clear" w:color="auto" w:fill="AFBED7"/>
            <w:tcMar>
              <w:top w:w="15" w:type="dxa"/>
              <w:left w:w="15" w:type="dxa"/>
              <w:bottom w:w="0" w:type="dxa"/>
              <w:right w:w="15" w:type="dxa"/>
            </w:tcMar>
            <w:vAlign w:val="bottom"/>
            <w:hideMark/>
          </w:tcPr>
          <w:p w:rsidR="00EC2126" w:rsidRDefault="00EC2126" w:rsidP="008F21FF">
            <w:pPr>
              <w:pStyle w:val="TH-TableHeading"/>
            </w:pPr>
            <w:bookmarkStart w:id="190" w:name="_Toc255550563"/>
            <w:bookmarkStart w:id="191" w:name="_Toc255550960"/>
            <w:bookmarkStart w:id="192" w:name="_Toc255808831"/>
            <w:bookmarkStart w:id="193" w:name="_Toc255808981"/>
            <w:r>
              <w:t>Weighted</w:t>
            </w:r>
            <w:bookmarkEnd w:id="190"/>
            <w:bookmarkEnd w:id="191"/>
            <w:bookmarkEnd w:id="192"/>
            <w:bookmarkEnd w:id="193"/>
          </w:p>
          <w:p w:rsidR="007D64D5" w:rsidRDefault="008D7F5E" w:rsidP="00EC2126">
            <w:pPr>
              <w:pStyle w:val="TH-TableHeading"/>
            </w:pPr>
            <w:bookmarkStart w:id="194" w:name="_Toc255550564"/>
            <w:bookmarkStart w:id="195" w:name="_Toc255550961"/>
            <w:bookmarkStart w:id="196" w:name="_Toc255808832"/>
            <w:bookmarkStart w:id="197" w:name="_Toc255808982"/>
            <w:r>
              <w:t>r</w:t>
            </w:r>
            <w:r w:rsidR="007D64D5">
              <w:t>esponse</w:t>
            </w:r>
            <w:r w:rsidR="00EC2126">
              <w:t xml:space="preserve"> </w:t>
            </w:r>
            <w:r w:rsidR="007D64D5">
              <w:t>rate (%)</w:t>
            </w:r>
            <w:bookmarkEnd w:id="194"/>
            <w:bookmarkEnd w:id="195"/>
            <w:bookmarkEnd w:id="196"/>
            <w:bookmarkEnd w:id="197"/>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Overall </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79.7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Northeast, Non–Metropolitan Statistical Area (MSA)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88.9</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Northeast, MSA, Average household size less than or equal to 2.8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68.1</w:t>
            </w:r>
          </w:p>
        </w:tc>
      </w:tr>
      <w:tr w:rsidR="007D64D5" w:rsidTr="00C8169D">
        <w:trPr>
          <w:trHeight w:val="285"/>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3</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Northeast, MSA, Average household size greater than 2.8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58.7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4</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Male, Average household size less than or equal to 2.2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79.8</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5</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Midwest and South, Hispanic or non-Hispanic Black, Male, Average household size greater than 2.2 and less than or equal to 2.8</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91.1</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6</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Male, Average household size greater than 2.8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78</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7</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Female, Age 16-45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94.4</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8</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Hispanic or non-Hispanic Black, Female, Age 46-65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82</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9</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Other, non-Hispanic; Age 16-35; Male; Rent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70</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10</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Other, non-Hispanic; Age 16-35; Male; Own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82.1</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11</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Other, non-Hispanic; Female; Age 16-25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97.4</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12</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Other, non-Hispanic; Female; Age 26-35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90.2</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13</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South; Other, non-Hispanic; Female; Percent limited English proficient less than 2%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86</w:t>
            </w:r>
            <w:r w:rsidR="00C62F4D">
              <w:t>.0</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14</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South; Other, non-Hispanic; Female; Percent limited English proficient greater than or equal to 2%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70.3</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15</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Other, non-Hispanic; Female; Age 36-65; Percent below 150% of poverty less than or equal to 30%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77.3</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16</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South; Other, non-Hispanic; Female; Age 36-65; Percent below 150% of poverty less than or equal to 30%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71.5</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17</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Midwest and South; Other, non-Hispanic; Age 36-65; Percent below 150% of poverty greater than 30%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84.7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18</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Rent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88.6</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19</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16-25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88.7</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20</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26-45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79.6</w:t>
            </w:r>
          </w:p>
        </w:tc>
      </w:tr>
      <w:tr w:rsidR="007D64D5" w:rsidTr="00C8169D">
        <w:trPr>
          <w:trHeight w:val="285"/>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21</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46-65, Urban or Suburban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90.5</w:t>
            </w:r>
          </w:p>
        </w:tc>
      </w:tr>
      <w:tr w:rsidR="007D64D5" w:rsidTr="009C2AAC">
        <w:trPr>
          <w:trHeight w:val="49"/>
        </w:trPr>
        <w:tc>
          <w:tcPr>
            <w:tcW w:w="483" w:type="pct"/>
            <w:shd w:val="clear" w:color="auto" w:fill="auto"/>
            <w:tcMar>
              <w:top w:w="15" w:type="dxa"/>
              <w:left w:w="15" w:type="dxa"/>
              <w:bottom w:w="0" w:type="dxa"/>
              <w:right w:w="15" w:type="dxa"/>
            </w:tcMar>
            <w:vAlign w:val="bottom"/>
            <w:hideMark/>
          </w:tcPr>
          <w:p w:rsidR="007D64D5" w:rsidRDefault="007D64D5" w:rsidP="0054006F">
            <w:pPr>
              <w:pStyle w:val="TX-TableText"/>
              <w:jc w:val="center"/>
            </w:pPr>
            <w:r>
              <w:t>22</w:t>
            </w:r>
          </w:p>
        </w:tc>
        <w:tc>
          <w:tcPr>
            <w:tcW w:w="3769" w:type="pct"/>
            <w:shd w:val="clear" w:color="auto" w:fill="auto"/>
            <w:tcMar>
              <w:top w:w="15" w:type="dxa"/>
              <w:left w:w="15" w:type="dxa"/>
              <w:bottom w:w="0" w:type="dxa"/>
              <w:right w:w="15" w:type="dxa"/>
            </w:tcMar>
            <w:vAlign w:val="bottom"/>
            <w:hideMark/>
          </w:tcPr>
          <w:p w:rsidR="007D64D5" w:rsidRDefault="007D64D5" w:rsidP="00A77689">
            <w:pPr>
              <w:pStyle w:val="TX-TableText"/>
            </w:pPr>
            <w:r>
              <w:t xml:space="preserve">West, Own, Age 46-65, Rural </w:t>
            </w:r>
          </w:p>
        </w:tc>
        <w:tc>
          <w:tcPr>
            <w:tcW w:w="748" w:type="pct"/>
            <w:shd w:val="clear" w:color="auto" w:fill="auto"/>
            <w:tcMar>
              <w:top w:w="15" w:type="dxa"/>
              <w:left w:w="15" w:type="dxa"/>
              <w:bottom w:w="0" w:type="dxa"/>
              <w:right w:w="15" w:type="dxa"/>
            </w:tcMar>
            <w:vAlign w:val="bottom"/>
            <w:hideMark/>
          </w:tcPr>
          <w:p w:rsidR="007D64D5" w:rsidRDefault="007D64D5" w:rsidP="00C62F4D">
            <w:pPr>
              <w:pStyle w:val="TX-TableText"/>
              <w:tabs>
                <w:tab w:val="decimal" w:pos="655"/>
              </w:tabs>
            </w:pPr>
            <w:r>
              <w:t>78.5</w:t>
            </w:r>
          </w:p>
        </w:tc>
      </w:tr>
    </w:tbl>
    <w:p w:rsidR="00F128D7" w:rsidRPr="004F1FD8" w:rsidRDefault="00F128D7" w:rsidP="00F128D7">
      <w:pPr>
        <w:pStyle w:val="TF-TblFN"/>
        <w:rPr>
          <w:rFonts w:ascii="Times New Roman" w:hAnsi="Times New Roman"/>
        </w:rPr>
      </w:pPr>
      <w:r w:rsidRPr="004F1FD8">
        <w:rPr>
          <w:rFonts w:ascii="Times New Roman" w:hAnsi="Times New Roman"/>
        </w:rPr>
        <w:t>NOTE: The response cells were formed using the Chi-square Automated Interaction Detector.</w:t>
      </w:r>
    </w:p>
    <w:p w:rsidR="00F128D7" w:rsidRPr="004F1FD8" w:rsidRDefault="00F128D7" w:rsidP="00F128D7">
      <w:pPr>
        <w:pStyle w:val="TF-TblFN"/>
        <w:rPr>
          <w:rFonts w:ascii="Times New Roman" w:hAnsi="Times New Roman"/>
        </w:rPr>
      </w:pPr>
      <w:r w:rsidRPr="004F1FD8">
        <w:rPr>
          <w:rFonts w:ascii="Times New Roman" w:hAnsi="Times New Roman"/>
        </w:rPr>
        <w:t xml:space="preserve">SOURCE: U.S. Department of Education, National Center for Education Statistics, Adult Literacy and </w:t>
      </w:r>
      <w:proofErr w:type="spellStart"/>
      <w:r w:rsidRPr="004F1FD8">
        <w:rPr>
          <w:rFonts w:ascii="Times New Roman" w:hAnsi="Times New Roman"/>
        </w:rPr>
        <w:t>Lifeskills</w:t>
      </w:r>
      <w:proofErr w:type="spellEnd"/>
      <w:r w:rsidRPr="004F1FD8">
        <w:rPr>
          <w:rFonts w:ascii="Times New Roman" w:hAnsi="Times New Roman"/>
        </w:rPr>
        <w:t xml:space="preserve"> Survey (ALL), 2003.</w:t>
      </w:r>
    </w:p>
    <w:p w:rsidR="00BB1140" w:rsidRPr="00F128D7" w:rsidRDefault="00BB1140">
      <w:pPr>
        <w:spacing w:after="200" w:line="276" w:lineRule="auto"/>
        <w:jc w:val="left"/>
        <w:rPr>
          <w:szCs w:val="22"/>
        </w:rPr>
      </w:pPr>
    </w:p>
    <w:p w:rsidR="00F128D7" w:rsidRDefault="00F128D7" w:rsidP="00C50DAC">
      <w:pPr>
        <w:rPr>
          <w:szCs w:val="22"/>
        </w:rPr>
      </w:pPr>
      <w:r>
        <w:rPr>
          <w:szCs w:val="22"/>
        </w:rPr>
        <w:t xml:space="preserve">Logistic regression models are also useful in identifying significant effects on response propensity. Response status was used as the binary dependent variable and the set of auxiliary variables in Table 1 as the predictors.  An </w:t>
      </w:r>
      <w:r w:rsidR="00243ED5" w:rsidRPr="00243ED5">
        <w:rPr>
          <w:i/>
          <w:szCs w:val="22"/>
        </w:rPr>
        <w:t>F</w:t>
      </w:r>
      <w:r w:rsidRPr="00C50DAC">
        <w:rPr>
          <w:szCs w:val="22"/>
        </w:rPr>
        <w:t xml:space="preserve"> </w:t>
      </w:r>
      <w:r>
        <w:rPr>
          <w:szCs w:val="22"/>
        </w:rPr>
        <w:t xml:space="preserve">test was performed for each </w:t>
      </w:r>
      <w:r w:rsidRPr="00C50DAC">
        <w:rPr>
          <w:szCs w:val="22"/>
        </w:rPr>
        <w:t xml:space="preserve">auxiliary </w:t>
      </w:r>
      <w:r>
        <w:rPr>
          <w:szCs w:val="22"/>
        </w:rPr>
        <w:t>variable to determine if it was significantly related to response propensity, after accounting for the other auxiliary variables.  Results are shown in Table 4.  Average household size, age, race/ethnicity, sex, and region are shown to be potentially valuable variables to include in the nonresponse adjustments.  While this analysis was limited to main effects, interaction terms can also be included.</w:t>
      </w:r>
    </w:p>
    <w:p w:rsidR="00C50DAC" w:rsidRPr="00C50DAC" w:rsidRDefault="00C50DAC" w:rsidP="00C50DAC">
      <w:pPr>
        <w:rPr>
          <w:szCs w:val="22"/>
        </w:rPr>
      </w:pPr>
    </w:p>
    <w:p w:rsidR="00B97419" w:rsidRDefault="00B97419">
      <w:pPr>
        <w:spacing w:after="200" w:line="276" w:lineRule="auto"/>
        <w:jc w:val="left"/>
        <w:rPr>
          <w:b/>
          <w:lang w:val="en-US"/>
        </w:rPr>
      </w:pPr>
      <w:bookmarkStart w:id="198" w:name="_Toc255551061"/>
      <w:r>
        <w:br w:type="page"/>
      </w:r>
    </w:p>
    <w:p w:rsidR="00ED7163" w:rsidRDefault="008F21FF" w:rsidP="008F21FF">
      <w:pPr>
        <w:pStyle w:val="TT-TableTitle"/>
      </w:pPr>
      <w:r>
        <w:lastRenderedPageBreak/>
        <w:t>Table 4</w:t>
      </w:r>
      <w:r w:rsidR="0054006F">
        <w:t>.</w:t>
      </w:r>
      <w:r>
        <w:tab/>
      </w:r>
      <w:r w:rsidR="00ED7163" w:rsidRPr="00B92418">
        <w:t>Multivariate analysis of response indicators: 2003</w:t>
      </w:r>
      <w:bookmarkEnd w:id="198"/>
    </w:p>
    <w:tbl>
      <w:tblPr>
        <w:tblW w:w="5000"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346"/>
        <w:gridCol w:w="1337"/>
        <w:gridCol w:w="1618"/>
        <w:gridCol w:w="1618"/>
        <w:gridCol w:w="1333"/>
      </w:tblGrid>
      <w:tr w:rsidR="008F21FF" w:rsidTr="00F128D7">
        <w:trPr>
          <w:trHeight w:val="293"/>
        </w:trPr>
        <w:tc>
          <w:tcPr>
            <w:tcW w:w="2120" w:type="pct"/>
            <w:vMerge w:val="restart"/>
            <w:shd w:val="clear" w:color="auto" w:fill="AFBED7"/>
            <w:tcMar>
              <w:top w:w="14" w:type="dxa"/>
              <w:left w:w="14" w:type="dxa"/>
              <w:bottom w:w="0" w:type="dxa"/>
              <w:right w:w="14" w:type="dxa"/>
            </w:tcMar>
            <w:vAlign w:val="bottom"/>
            <w:hideMark/>
          </w:tcPr>
          <w:p w:rsidR="008F21FF" w:rsidRDefault="008F21FF" w:rsidP="00C8169D">
            <w:pPr>
              <w:pStyle w:val="TH-TableHeading"/>
            </w:pPr>
            <w:bookmarkStart w:id="199" w:name="_Toc255550565"/>
            <w:bookmarkStart w:id="200" w:name="_Toc255550962"/>
            <w:bookmarkStart w:id="201" w:name="_Toc255808833"/>
            <w:bookmarkStart w:id="202" w:name="_Toc255808983"/>
            <w:r>
              <w:t>Test</w:t>
            </w:r>
            <w:bookmarkEnd w:id="199"/>
            <w:bookmarkEnd w:id="200"/>
            <w:bookmarkEnd w:id="201"/>
            <w:bookmarkEnd w:id="202"/>
          </w:p>
        </w:tc>
        <w:tc>
          <w:tcPr>
            <w:tcW w:w="652" w:type="pct"/>
            <w:vMerge w:val="restart"/>
            <w:shd w:val="clear" w:color="auto" w:fill="AFBED7"/>
            <w:tcMar>
              <w:top w:w="14" w:type="dxa"/>
              <w:left w:w="14" w:type="dxa"/>
              <w:bottom w:w="0" w:type="dxa"/>
              <w:right w:w="14" w:type="dxa"/>
            </w:tcMar>
            <w:vAlign w:val="bottom"/>
            <w:hideMark/>
          </w:tcPr>
          <w:p w:rsidR="008F21FF" w:rsidRDefault="008F21FF" w:rsidP="00C8169D">
            <w:pPr>
              <w:pStyle w:val="TH-TableHeading"/>
              <w:rPr>
                <w:i/>
                <w:iCs/>
              </w:rPr>
            </w:pPr>
            <w:bookmarkStart w:id="203" w:name="_Toc255550566"/>
            <w:bookmarkStart w:id="204" w:name="_Toc255550963"/>
            <w:bookmarkStart w:id="205" w:name="_Toc255808834"/>
            <w:bookmarkStart w:id="206" w:name="_Toc255808984"/>
            <w:r>
              <w:rPr>
                <w:i/>
                <w:iCs/>
              </w:rPr>
              <w:t>F</w:t>
            </w:r>
            <w:r>
              <w:t xml:space="preserve"> statistic</w:t>
            </w:r>
            <w:bookmarkEnd w:id="203"/>
            <w:bookmarkEnd w:id="204"/>
            <w:bookmarkEnd w:id="205"/>
            <w:bookmarkEnd w:id="206"/>
          </w:p>
        </w:tc>
        <w:tc>
          <w:tcPr>
            <w:tcW w:w="1578" w:type="pct"/>
            <w:gridSpan w:val="2"/>
            <w:shd w:val="clear" w:color="auto" w:fill="AFBED7"/>
            <w:tcMar>
              <w:top w:w="14" w:type="dxa"/>
              <w:left w:w="14" w:type="dxa"/>
              <w:bottom w:w="0" w:type="dxa"/>
              <w:right w:w="14" w:type="dxa"/>
            </w:tcMar>
            <w:vAlign w:val="bottom"/>
            <w:hideMark/>
          </w:tcPr>
          <w:p w:rsidR="008F21FF" w:rsidRDefault="008F21FF" w:rsidP="0054006F">
            <w:pPr>
              <w:pStyle w:val="TH-TableHeading"/>
            </w:pPr>
            <w:bookmarkStart w:id="207" w:name="_Toc255550567"/>
            <w:bookmarkStart w:id="208" w:name="_Toc255550964"/>
            <w:bookmarkStart w:id="209" w:name="_Toc255808835"/>
            <w:bookmarkStart w:id="210" w:name="_Toc255808985"/>
            <w:r>
              <w:t xml:space="preserve">Degrees of </w:t>
            </w:r>
            <w:r w:rsidR="0054006F">
              <w:t>f</w:t>
            </w:r>
            <w:r>
              <w:t>reedom</w:t>
            </w:r>
            <w:bookmarkEnd w:id="207"/>
            <w:bookmarkEnd w:id="208"/>
            <w:bookmarkEnd w:id="209"/>
            <w:bookmarkEnd w:id="210"/>
          </w:p>
        </w:tc>
        <w:tc>
          <w:tcPr>
            <w:tcW w:w="651" w:type="pct"/>
            <w:vMerge w:val="restart"/>
            <w:shd w:val="clear" w:color="auto" w:fill="AFBED7"/>
            <w:tcMar>
              <w:top w:w="14" w:type="dxa"/>
              <w:left w:w="14" w:type="dxa"/>
              <w:bottom w:w="0" w:type="dxa"/>
              <w:right w:w="14" w:type="dxa"/>
            </w:tcMar>
            <w:vAlign w:val="bottom"/>
            <w:hideMark/>
          </w:tcPr>
          <w:p w:rsidR="008F21FF" w:rsidRDefault="008F21FF" w:rsidP="00C8169D">
            <w:pPr>
              <w:pStyle w:val="TH-TableHeading"/>
              <w:rPr>
                <w:i/>
                <w:iCs/>
              </w:rPr>
            </w:pPr>
            <w:bookmarkStart w:id="211" w:name="_Toc255550568"/>
            <w:bookmarkStart w:id="212" w:name="_Toc255550965"/>
            <w:bookmarkStart w:id="213" w:name="_Toc255808836"/>
            <w:bookmarkStart w:id="214" w:name="_Toc255808986"/>
            <w:r>
              <w:rPr>
                <w:i/>
                <w:iCs/>
              </w:rPr>
              <w:t>p</w:t>
            </w:r>
            <w:r>
              <w:t xml:space="preserve"> value</w:t>
            </w:r>
            <w:bookmarkEnd w:id="211"/>
            <w:bookmarkEnd w:id="212"/>
            <w:bookmarkEnd w:id="213"/>
            <w:bookmarkEnd w:id="214"/>
          </w:p>
        </w:tc>
      </w:tr>
      <w:tr w:rsidR="008F21FF" w:rsidTr="00F128D7">
        <w:trPr>
          <w:trHeight w:val="50"/>
        </w:trPr>
        <w:tc>
          <w:tcPr>
            <w:tcW w:w="2120" w:type="pct"/>
            <w:vMerge/>
            <w:shd w:val="clear" w:color="auto" w:fill="AFBED7"/>
            <w:tcMar>
              <w:top w:w="14" w:type="dxa"/>
              <w:left w:w="14" w:type="dxa"/>
              <w:bottom w:w="0" w:type="dxa"/>
              <w:right w:w="14" w:type="dxa"/>
            </w:tcMar>
            <w:vAlign w:val="bottom"/>
            <w:hideMark/>
          </w:tcPr>
          <w:p w:rsidR="008F21FF" w:rsidRDefault="008F21FF" w:rsidP="008F21FF">
            <w:pPr>
              <w:pStyle w:val="TH-TableHeading"/>
            </w:pPr>
          </w:p>
        </w:tc>
        <w:tc>
          <w:tcPr>
            <w:tcW w:w="652" w:type="pct"/>
            <w:vMerge/>
            <w:shd w:val="clear" w:color="auto" w:fill="AFBED7"/>
            <w:tcMar>
              <w:top w:w="14" w:type="dxa"/>
              <w:left w:w="14" w:type="dxa"/>
              <w:bottom w:w="0" w:type="dxa"/>
              <w:right w:w="14" w:type="dxa"/>
            </w:tcMar>
            <w:vAlign w:val="bottom"/>
            <w:hideMark/>
          </w:tcPr>
          <w:p w:rsidR="008F21FF" w:rsidRDefault="008F21FF" w:rsidP="008F21FF">
            <w:pPr>
              <w:pStyle w:val="TH-TableHeading"/>
              <w:rPr>
                <w:i/>
                <w:iCs/>
              </w:rPr>
            </w:pPr>
          </w:p>
        </w:tc>
        <w:tc>
          <w:tcPr>
            <w:tcW w:w="789" w:type="pct"/>
            <w:shd w:val="clear" w:color="auto" w:fill="AFBED7"/>
            <w:tcMar>
              <w:top w:w="14" w:type="dxa"/>
              <w:left w:w="14" w:type="dxa"/>
              <w:bottom w:w="0" w:type="dxa"/>
              <w:right w:w="14" w:type="dxa"/>
            </w:tcMar>
            <w:vAlign w:val="bottom"/>
            <w:hideMark/>
          </w:tcPr>
          <w:p w:rsidR="008F21FF" w:rsidRDefault="008F21FF" w:rsidP="00C8169D">
            <w:pPr>
              <w:pStyle w:val="TH-TableHeading"/>
            </w:pPr>
            <w:bookmarkStart w:id="215" w:name="_Toc255550569"/>
            <w:bookmarkStart w:id="216" w:name="_Toc255550966"/>
            <w:bookmarkStart w:id="217" w:name="_Toc255808837"/>
            <w:bookmarkStart w:id="218" w:name="_Toc255808987"/>
            <w:r>
              <w:t>Numerator</w:t>
            </w:r>
            <w:bookmarkEnd w:id="215"/>
            <w:bookmarkEnd w:id="216"/>
            <w:bookmarkEnd w:id="217"/>
            <w:bookmarkEnd w:id="218"/>
          </w:p>
        </w:tc>
        <w:tc>
          <w:tcPr>
            <w:tcW w:w="789" w:type="pct"/>
            <w:shd w:val="clear" w:color="auto" w:fill="AFBED7"/>
            <w:tcMar>
              <w:top w:w="14" w:type="dxa"/>
              <w:left w:w="14" w:type="dxa"/>
              <w:bottom w:w="0" w:type="dxa"/>
              <w:right w:w="14" w:type="dxa"/>
            </w:tcMar>
            <w:vAlign w:val="bottom"/>
            <w:hideMark/>
          </w:tcPr>
          <w:p w:rsidR="008F21FF" w:rsidRDefault="008F21FF" w:rsidP="00C8169D">
            <w:pPr>
              <w:pStyle w:val="TH-TableHeading"/>
            </w:pPr>
            <w:bookmarkStart w:id="219" w:name="_Toc255550570"/>
            <w:bookmarkStart w:id="220" w:name="_Toc255550967"/>
            <w:bookmarkStart w:id="221" w:name="_Toc255808838"/>
            <w:bookmarkStart w:id="222" w:name="_Toc255808988"/>
            <w:r>
              <w:t>Denominator</w:t>
            </w:r>
            <w:bookmarkEnd w:id="219"/>
            <w:bookmarkEnd w:id="220"/>
            <w:bookmarkEnd w:id="221"/>
            <w:bookmarkEnd w:id="222"/>
          </w:p>
        </w:tc>
        <w:tc>
          <w:tcPr>
            <w:tcW w:w="651" w:type="pct"/>
            <w:vMerge/>
            <w:shd w:val="clear" w:color="auto" w:fill="AFBED7"/>
            <w:tcMar>
              <w:top w:w="14" w:type="dxa"/>
              <w:left w:w="14" w:type="dxa"/>
              <w:bottom w:w="0" w:type="dxa"/>
              <w:right w:w="14" w:type="dxa"/>
            </w:tcMar>
            <w:vAlign w:val="bottom"/>
            <w:hideMark/>
          </w:tcPr>
          <w:p w:rsidR="008F21FF" w:rsidRDefault="008F21FF" w:rsidP="008F21FF">
            <w:pPr>
              <w:pStyle w:val="TH-TableHeading"/>
              <w:rPr>
                <w:i/>
                <w:iCs/>
              </w:rPr>
            </w:pP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Overall fit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3.89</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0.016</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Average household size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6.77</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0.004</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Majority own/rent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0.32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0.578</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Percent less than high school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0.44</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0.647</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Percent limited English proficient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2.08</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0.143</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Locale</w:t>
            </w:r>
            <w:r>
              <w:rPr>
                <w:vertAlign w:val="superscript"/>
              </w:rPr>
              <w:t xml:space="preserve">1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0.12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0.887</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Age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4.47</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28</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0.011</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Race/ethnicity</w:t>
            </w:r>
            <w:r>
              <w:rPr>
                <w:vertAlign w:val="superscript"/>
              </w:rPr>
              <w:t>2</w:t>
            </w:r>
            <w:r>
              <w:t xml:space="preserve">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10.79</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w:t>
            </w:r>
            <w:r w:rsidR="00C62F4D">
              <w:t>.000</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Sex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19.43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w:t>
            </w:r>
            <w:r w:rsidR="00C62F4D">
              <w:t>.000</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Metropolitan Statistical Area status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0.03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1</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30</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0.871</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Percent below 150% of poverty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3.22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29</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0.055</w:t>
            </w:r>
          </w:p>
        </w:tc>
      </w:tr>
      <w:tr w:rsidR="008F21FF" w:rsidTr="00F128D7">
        <w:trPr>
          <w:trHeight w:val="50"/>
        </w:trPr>
        <w:tc>
          <w:tcPr>
            <w:tcW w:w="2120" w:type="pct"/>
            <w:shd w:val="clear" w:color="auto" w:fill="auto"/>
            <w:tcMar>
              <w:top w:w="14" w:type="dxa"/>
              <w:left w:w="14" w:type="dxa"/>
              <w:bottom w:w="0" w:type="dxa"/>
              <w:right w:w="14" w:type="dxa"/>
            </w:tcMar>
            <w:hideMark/>
          </w:tcPr>
          <w:p w:rsidR="008F21FF" w:rsidRDefault="008F21FF" w:rsidP="00A77689">
            <w:pPr>
              <w:pStyle w:val="TX-TableText"/>
            </w:pPr>
            <w:r>
              <w:t xml:space="preserve">Region </w:t>
            </w:r>
          </w:p>
        </w:tc>
        <w:tc>
          <w:tcPr>
            <w:tcW w:w="652"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523"/>
              </w:tabs>
            </w:pPr>
            <w:r>
              <w:t>6.65</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3</w:t>
            </w:r>
          </w:p>
        </w:tc>
        <w:tc>
          <w:tcPr>
            <w:tcW w:w="789"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828"/>
              </w:tabs>
            </w:pPr>
            <w:r>
              <w:t>28</w:t>
            </w:r>
          </w:p>
        </w:tc>
        <w:tc>
          <w:tcPr>
            <w:tcW w:w="651" w:type="pct"/>
            <w:shd w:val="clear" w:color="auto" w:fill="auto"/>
            <w:tcMar>
              <w:top w:w="14" w:type="dxa"/>
              <w:left w:w="14" w:type="dxa"/>
              <w:bottom w:w="0" w:type="dxa"/>
              <w:right w:w="14" w:type="dxa"/>
            </w:tcMar>
            <w:vAlign w:val="center"/>
            <w:hideMark/>
          </w:tcPr>
          <w:p w:rsidR="008F21FF" w:rsidRDefault="008F21FF" w:rsidP="00C62F4D">
            <w:pPr>
              <w:pStyle w:val="TX-TableText"/>
              <w:tabs>
                <w:tab w:val="decimal" w:pos="476"/>
              </w:tabs>
            </w:pPr>
            <w:r>
              <w:t>0.002</w:t>
            </w:r>
          </w:p>
        </w:tc>
      </w:tr>
    </w:tbl>
    <w:p w:rsidR="008F21FF" w:rsidRPr="004F1FD8" w:rsidRDefault="008F21FF" w:rsidP="00C8169D">
      <w:pPr>
        <w:pStyle w:val="TF-TblFN"/>
        <w:rPr>
          <w:rFonts w:ascii="Times New Roman" w:hAnsi="Times New Roman"/>
        </w:rPr>
      </w:pPr>
      <w:r w:rsidRPr="004F1FD8">
        <w:rPr>
          <w:rFonts w:ascii="Times New Roman" w:hAnsi="Times New Roman"/>
          <w:vertAlign w:val="superscript"/>
        </w:rPr>
        <w:t>1</w:t>
      </w:r>
      <w:r w:rsidR="004F1FD8">
        <w:rPr>
          <w:rFonts w:ascii="Times New Roman" w:hAnsi="Times New Roman"/>
          <w:vertAlign w:val="superscript"/>
        </w:rPr>
        <w:tab/>
      </w:r>
      <w:r w:rsidRPr="004F1FD8">
        <w:rPr>
          <w:rFonts w:ascii="Times New Roman" w:hAnsi="Times New Roman"/>
        </w:rPr>
        <w:t>This indicator was set to ‘urban’ if the largest percentage in the segment was inside urbanized areas; ‘suburban’ if the largest percentage was inside urban clusters; ‘</w:t>
      </w:r>
      <w:r w:rsidR="008D667B">
        <w:rPr>
          <w:rFonts w:ascii="Times New Roman" w:hAnsi="Times New Roman"/>
        </w:rPr>
        <w:t>r</w:t>
      </w:r>
      <w:r w:rsidR="008D667B" w:rsidRPr="004F1FD8">
        <w:rPr>
          <w:rFonts w:ascii="Times New Roman" w:hAnsi="Times New Roman"/>
        </w:rPr>
        <w:t xml:space="preserve">ural’ </w:t>
      </w:r>
      <w:r w:rsidRPr="004F1FD8">
        <w:rPr>
          <w:rFonts w:ascii="Times New Roman" w:hAnsi="Times New Roman"/>
        </w:rPr>
        <w:t>if the largest percentage was the rural population. The terms ‘</w:t>
      </w:r>
      <w:r w:rsidR="008D667B">
        <w:rPr>
          <w:rFonts w:ascii="Times New Roman" w:hAnsi="Times New Roman"/>
        </w:rPr>
        <w:t>u</w:t>
      </w:r>
      <w:r w:rsidR="008D667B" w:rsidRPr="004F1FD8">
        <w:rPr>
          <w:rFonts w:ascii="Times New Roman" w:hAnsi="Times New Roman"/>
        </w:rPr>
        <w:t xml:space="preserve">rbanized </w:t>
      </w:r>
      <w:r w:rsidRPr="004F1FD8">
        <w:rPr>
          <w:rFonts w:ascii="Times New Roman" w:hAnsi="Times New Roman"/>
        </w:rPr>
        <w:t xml:space="preserve">areas’, ‘urban clusters’, and ‘rural’ are Census </w:t>
      </w:r>
      <w:r w:rsidR="008D667B" w:rsidRPr="004F1FD8">
        <w:rPr>
          <w:rFonts w:ascii="Times New Roman" w:hAnsi="Times New Roman"/>
        </w:rPr>
        <w:t>Bureau</w:t>
      </w:r>
      <w:r w:rsidR="008D667B">
        <w:rPr>
          <w:rFonts w:ascii="Times New Roman" w:hAnsi="Times New Roman"/>
        </w:rPr>
        <w:t>-</w:t>
      </w:r>
      <w:r w:rsidRPr="004F1FD8">
        <w:rPr>
          <w:rFonts w:ascii="Times New Roman" w:hAnsi="Times New Roman"/>
        </w:rPr>
        <w:t>defined</w:t>
      </w:r>
      <w:r w:rsidR="00AD6D3F">
        <w:rPr>
          <w:rFonts w:ascii="Times New Roman" w:hAnsi="Times New Roman"/>
        </w:rPr>
        <w:t xml:space="preserve"> terms</w:t>
      </w:r>
      <w:r w:rsidRPr="004F1FD8">
        <w:rPr>
          <w:rFonts w:ascii="Times New Roman" w:hAnsi="Times New Roman"/>
        </w:rPr>
        <w:t>.</w:t>
      </w:r>
    </w:p>
    <w:p w:rsidR="008F21FF" w:rsidRPr="004F1FD8" w:rsidRDefault="008F21FF" w:rsidP="00C8169D">
      <w:pPr>
        <w:pStyle w:val="TF-TblFN"/>
        <w:rPr>
          <w:rFonts w:ascii="Times New Roman" w:hAnsi="Times New Roman"/>
        </w:rPr>
      </w:pPr>
      <w:r w:rsidRPr="004F1FD8">
        <w:rPr>
          <w:rFonts w:ascii="Times New Roman" w:hAnsi="Times New Roman"/>
          <w:vertAlign w:val="superscript"/>
        </w:rPr>
        <w:t>2</w:t>
      </w:r>
      <w:r w:rsidR="004F1FD8">
        <w:rPr>
          <w:rFonts w:ascii="Times New Roman" w:hAnsi="Times New Roman"/>
          <w:vertAlign w:val="superscript"/>
        </w:rPr>
        <w:tab/>
      </w:r>
      <w:r w:rsidRPr="004F1FD8">
        <w:rPr>
          <w:rFonts w:ascii="Times New Roman" w:hAnsi="Times New Roman"/>
        </w:rPr>
        <w:t>All adults of Hispanic origin are classified as Hispanic regardless of race. Those classified as Black are non-Hispanic Black only. Those classified as Other include non-Hispanics of all other races, including White, Asian, American Indian/Alaska Native, or multiracial.</w:t>
      </w:r>
    </w:p>
    <w:p w:rsidR="008F21FF" w:rsidRPr="004F1FD8" w:rsidRDefault="004F1FD8" w:rsidP="00C8169D">
      <w:pPr>
        <w:pStyle w:val="TF-TblFN"/>
        <w:rPr>
          <w:rFonts w:ascii="Times New Roman" w:hAnsi="Times New Roman"/>
        </w:rPr>
      </w:pPr>
      <w:r>
        <w:rPr>
          <w:rFonts w:ascii="Times New Roman" w:hAnsi="Times New Roman"/>
        </w:rPr>
        <w:tab/>
      </w:r>
      <w:r w:rsidR="008F21FF" w:rsidRPr="004F1FD8">
        <w:rPr>
          <w:rFonts w:ascii="Times New Roman" w:hAnsi="Times New Roman"/>
        </w:rPr>
        <w:t xml:space="preserve">SOURCE: U.S. Department of Education, National Center for Education Statistics, Adult Literacy and </w:t>
      </w:r>
      <w:proofErr w:type="spellStart"/>
      <w:r w:rsidR="008F21FF" w:rsidRPr="004F1FD8">
        <w:rPr>
          <w:rFonts w:ascii="Times New Roman" w:hAnsi="Times New Roman"/>
        </w:rPr>
        <w:t>Lifeskills</w:t>
      </w:r>
      <w:proofErr w:type="spellEnd"/>
      <w:r w:rsidR="008F21FF" w:rsidRPr="004F1FD8">
        <w:rPr>
          <w:rFonts w:ascii="Times New Roman" w:hAnsi="Times New Roman"/>
        </w:rPr>
        <w:t xml:space="preserve"> Survey (ALL), 2003.</w:t>
      </w:r>
    </w:p>
    <w:p w:rsidR="00ED7163" w:rsidRPr="004F1FD8" w:rsidRDefault="00ED7163" w:rsidP="00C15F40"/>
    <w:p w:rsidR="00ED7163" w:rsidRPr="00BB1140" w:rsidRDefault="00ED7163" w:rsidP="00BB1140">
      <w:pPr>
        <w:pStyle w:val="Heading3"/>
        <w:rPr>
          <w:bCs/>
        </w:rPr>
      </w:pPr>
      <w:bookmarkStart w:id="223" w:name="_Toc255550571"/>
      <w:bookmarkStart w:id="224" w:name="_Toc255550968"/>
      <w:bookmarkStart w:id="225" w:name="_Toc255808989"/>
      <w:r w:rsidRPr="00BB1140">
        <w:rPr>
          <w:bCs/>
        </w:rPr>
        <w:t xml:space="preserve">Step 3 of 3: </w:t>
      </w:r>
      <w:r w:rsidR="00E63738" w:rsidRPr="00BB1140">
        <w:rPr>
          <w:bCs/>
        </w:rPr>
        <w:t>E</w:t>
      </w:r>
      <w:r w:rsidRPr="00BB1140">
        <w:rPr>
          <w:bCs/>
        </w:rPr>
        <w:t>xtended analysis</w:t>
      </w:r>
      <w:r w:rsidR="00E63738" w:rsidRPr="00BB1140">
        <w:rPr>
          <w:bCs/>
        </w:rPr>
        <w:t xml:space="preserve"> – Tables 5 through 10 provide examples of extended </w:t>
      </w:r>
      <w:r w:rsidR="00D76C0A" w:rsidRPr="00327F76">
        <w:rPr>
          <w:bCs/>
        </w:rPr>
        <w:t>NRB</w:t>
      </w:r>
      <w:r w:rsidR="00E63738" w:rsidRPr="00BB1140">
        <w:rPr>
          <w:bCs/>
        </w:rPr>
        <w:t xml:space="preserve"> analysis</w:t>
      </w:r>
      <w:r w:rsidR="009C314D">
        <w:rPr>
          <w:bCs/>
        </w:rPr>
        <w:t xml:space="preserve"> as conducted</w:t>
      </w:r>
      <w:r w:rsidR="005A21CD">
        <w:rPr>
          <w:bCs/>
        </w:rPr>
        <w:t xml:space="preserve"> for ALL </w:t>
      </w:r>
      <w:r w:rsidR="00C31D5E">
        <w:rPr>
          <w:bCs/>
        </w:rPr>
        <w:t>and</w:t>
      </w:r>
      <w:r w:rsidR="005A21CD">
        <w:rPr>
          <w:bCs/>
        </w:rPr>
        <w:t xml:space="preserve"> other</w:t>
      </w:r>
      <w:r w:rsidR="009C314D">
        <w:rPr>
          <w:bCs/>
        </w:rPr>
        <w:t xml:space="preserve"> adult </w:t>
      </w:r>
      <w:r w:rsidR="008D667B">
        <w:rPr>
          <w:bCs/>
        </w:rPr>
        <w:t>compet</w:t>
      </w:r>
      <w:r w:rsidR="007C7A86">
        <w:rPr>
          <w:bCs/>
        </w:rPr>
        <w:t>e</w:t>
      </w:r>
      <w:r w:rsidR="008D667B">
        <w:rPr>
          <w:bCs/>
        </w:rPr>
        <w:t xml:space="preserve">ncy </w:t>
      </w:r>
      <w:r w:rsidR="009C314D">
        <w:rPr>
          <w:bCs/>
        </w:rPr>
        <w:t>surveys</w:t>
      </w:r>
      <w:bookmarkEnd w:id="223"/>
      <w:bookmarkEnd w:id="224"/>
      <w:bookmarkEnd w:id="225"/>
    </w:p>
    <w:p w:rsidR="00F128D7" w:rsidRPr="00F128D7" w:rsidRDefault="00F128D7" w:rsidP="00F128D7">
      <w:pPr>
        <w:spacing w:after="200" w:line="276" w:lineRule="auto"/>
        <w:jc w:val="left"/>
        <w:rPr>
          <w:szCs w:val="22"/>
        </w:rPr>
      </w:pPr>
      <w:bookmarkStart w:id="226" w:name="_Toc255551062"/>
      <w:r w:rsidRPr="00F128D7">
        <w:rPr>
          <w:szCs w:val="22"/>
        </w:rPr>
        <w:t xml:space="preserve">Table 5 shows an example of the comparison of estimates before and after weighting adjustments.  The following </w:t>
      </w:r>
      <w:r w:rsidR="00243ED5" w:rsidRPr="00243ED5">
        <w:rPr>
          <w:i/>
          <w:szCs w:val="22"/>
        </w:rPr>
        <w:t>t</w:t>
      </w:r>
      <w:r w:rsidRPr="00F128D7">
        <w:rPr>
          <w:szCs w:val="22"/>
        </w:rPr>
        <w:t xml:space="preserve"> test comparisons were made: </w:t>
      </w:r>
    </w:p>
    <w:p w:rsidR="00F128D7" w:rsidRPr="00F128D7" w:rsidRDefault="00F128D7" w:rsidP="00F128D7">
      <w:pPr>
        <w:pStyle w:val="N2-2ndBullet"/>
      </w:pPr>
      <w:r w:rsidRPr="00F128D7">
        <w:t>Comparison of percentage distributions from BQ base weights for the total eligible sample of persons with the BQ base weights for the BQ respondents only to check for differences due to nonresponse to the BQ</w:t>
      </w:r>
    </w:p>
    <w:p w:rsidR="00F128D7" w:rsidRPr="00F128D7" w:rsidRDefault="00F128D7" w:rsidP="00F128D7">
      <w:pPr>
        <w:pStyle w:val="N2-2ndBullet"/>
      </w:pPr>
      <w:r w:rsidRPr="00F128D7">
        <w:t>Comparison of percentage distributions from BQ base weights for the total eligible sample of persons with that from the BQ nonresponse adjusted weights for respondents to check for differences even after the nonresponse adjustment process to the BQ</w:t>
      </w:r>
    </w:p>
    <w:p w:rsidR="00F128D7" w:rsidRPr="00F128D7" w:rsidRDefault="00F128D7" w:rsidP="00F128D7">
      <w:pPr>
        <w:pStyle w:val="N2-2ndBullet"/>
      </w:pPr>
      <w:r w:rsidRPr="00F128D7">
        <w:t>Comparison of percentage distributions from BQ nonresponse adjusted weights for respondents with that from the BQ raked weights for respondents to check for differences that may have been introduced through the initial raking procedure</w:t>
      </w:r>
    </w:p>
    <w:p w:rsidR="00F128D7" w:rsidRPr="00F128D7" w:rsidRDefault="00F128D7" w:rsidP="00F128D7">
      <w:pPr>
        <w:pStyle w:val="N2-2ndBullet"/>
      </w:pPr>
      <w:r w:rsidRPr="00F128D7">
        <w:t>This analysis showed that, through the nonresponse adjustment, the potential for bias was reduced (</w:t>
      </w:r>
      <w:r w:rsidR="00243ED5" w:rsidRPr="00243ED5">
        <w:rPr>
          <w:i/>
        </w:rPr>
        <w:t>p</w:t>
      </w:r>
      <w:r w:rsidRPr="00F128D7">
        <w:t xml:space="preserve">-values moved from significant to </w:t>
      </w:r>
      <w:proofErr w:type="spellStart"/>
      <w:r w:rsidRPr="00F128D7">
        <w:t>nonsignificant</w:t>
      </w:r>
      <w:proofErr w:type="spellEnd"/>
      <w:r w:rsidRPr="00F128D7">
        <w:t>) in all domains shown below, with the exception of two domains relating to average household size.  These two domains show significant bias created by the nonresponse adjustments.  While the differences in the percentage distributions of these domains remain statistically significant even after the raking adjustment, they are not large enough to be meaningful.</w:t>
      </w:r>
    </w:p>
    <w:p w:rsidR="00F128D7" w:rsidRPr="00D76C0A" w:rsidRDefault="00F128D7" w:rsidP="00D76C0A"/>
    <w:p w:rsidR="00B97419" w:rsidRDefault="00B97419">
      <w:pPr>
        <w:spacing w:after="200" w:line="276" w:lineRule="auto"/>
        <w:jc w:val="left"/>
        <w:rPr>
          <w:b/>
          <w:lang w:val="en-US"/>
        </w:rPr>
      </w:pPr>
      <w:r>
        <w:br w:type="page"/>
      </w:r>
    </w:p>
    <w:p w:rsidR="00ED7163" w:rsidRDefault="00976C53" w:rsidP="00976C53">
      <w:pPr>
        <w:pStyle w:val="TT-TableTitle"/>
      </w:pPr>
      <w:r>
        <w:lastRenderedPageBreak/>
        <w:t>Table 5</w:t>
      </w:r>
      <w:r w:rsidR="0054006F">
        <w:t>.</w:t>
      </w:r>
      <w:r>
        <w:tab/>
      </w:r>
      <w:bookmarkEnd w:id="226"/>
      <w:r w:rsidR="001B0045">
        <w:t>Percent</w:t>
      </w:r>
      <w:r w:rsidR="008D667B">
        <w:t>age</w:t>
      </w:r>
      <w:r w:rsidR="001B0045">
        <w:t xml:space="preserve"> distribution of sample cases at each weighting step</w:t>
      </w:r>
      <w:r w:rsidR="001B0045" w:rsidRPr="000C7B0A">
        <w:t xml:space="preserve"> for the ALL background questionnaire, by key characteristics: 2003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8"/>
        <w:gridCol w:w="1268"/>
        <w:gridCol w:w="954"/>
        <w:gridCol w:w="956"/>
        <w:gridCol w:w="954"/>
        <w:gridCol w:w="954"/>
        <w:gridCol w:w="954"/>
        <w:gridCol w:w="956"/>
      </w:tblGrid>
      <w:tr w:rsidR="00C8169D" w:rsidTr="008D7F5E">
        <w:trPr>
          <w:trHeight w:val="55"/>
          <w:tblHeader/>
          <w:jc w:val="center"/>
        </w:trPr>
        <w:tc>
          <w:tcPr>
            <w:tcW w:w="1589" w:type="pct"/>
            <w:vMerge w:val="restart"/>
            <w:shd w:val="clear" w:color="auto" w:fill="AFBED7"/>
            <w:noWrap/>
            <w:tcMar>
              <w:top w:w="15" w:type="dxa"/>
              <w:left w:w="15" w:type="dxa"/>
              <w:bottom w:w="0" w:type="dxa"/>
              <w:right w:w="15" w:type="dxa"/>
            </w:tcMar>
            <w:vAlign w:val="bottom"/>
            <w:hideMark/>
          </w:tcPr>
          <w:p w:rsidR="00C8169D" w:rsidRDefault="00C8169D" w:rsidP="00C8169D">
            <w:pPr>
              <w:pStyle w:val="TH-TableHeading"/>
            </w:pPr>
            <w:r>
              <w:t> </w:t>
            </w:r>
          </w:p>
        </w:tc>
        <w:tc>
          <w:tcPr>
            <w:tcW w:w="619" w:type="pct"/>
            <w:vMerge w:val="restar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27" w:name="_Toc255550572"/>
            <w:bookmarkStart w:id="228" w:name="_Toc255550969"/>
            <w:bookmarkStart w:id="229" w:name="_Toc255808990"/>
            <w:r>
              <w:t>Total sample %</w:t>
            </w:r>
            <w:bookmarkEnd w:id="227"/>
            <w:bookmarkEnd w:id="228"/>
            <w:bookmarkEnd w:id="229"/>
          </w:p>
        </w:tc>
        <w:tc>
          <w:tcPr>
            <w:tcW w:w="931" w:type="pct"/>
            <w:gridSpan w:val="2"/>
            <w:shd w:val="clear" w:color="auto" w:fill="AFBED7"/>
            <w:tcMar>
              <w:top w:w="15" w:type="dxa"/>
              <w:left w:w="15" w:type="dxa"/>
              <w:bottom w:w="0" w:type="dxa"/>
              <w:right w:w="15" w:type="dxa"/>
            </w:tcMar>
            <w:vAlign w:val="bottom"/>
            <w:hideMark/>
          </w:tcPr>
          <w:p w:rsidR="00C8169D" w:rsidRDefault="00C8169D" w:rsidP="00C8169D">
            <w:pPr>
              <w:pStyle w:val="TH-TableHeading"/>
              <w:rPr>
                <w:i/>
                <w:iCs/>
              </w:rPr>
            </w:pPr>
            <w:bookmarkStart w:id="230" w:name="_Toc255550573"/>
            <w:bookmarkStart w:id="231" w:name="_Toc255550970"/>
            <w:bookmarkStart w:id="232" w:name="_Toc255808991"/>
            <w:r>
              <w:rPr>
                <w:i/>
                <w:iCs/>
              </w:rPr>
              <w:t>BQ</w:t>
            </w:r>
            <w:r>
              <w:t xml:space="preserve"> respondents</w:t>
            </w:r>
            <w:bookmarkEnd w:id="230"/>
            <w:bookmarkEnd w:id="231"/>
            <w:bookmarkEnd w:id="232"/>
            <w:r>
              <w:t xml:space="preserve"> </w:t>
            </w:r>
          </w:p>
        </w:tc>
        <w:tc>
          <w:tcPr>
            <w:tcW w:w="930" w:type="pct"/>
            <w:gridSpan w:val="2"/>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33" w:name="_Toc255550574"/>
            <w:bookmarkStart w:id="234" w:name="_Toc255550971"/>
            <w:bookmarkStart w:id="235" w:name="_Toc255808992"/>
            <w:r w:rsidRPr="00A77689">
              <w:t>Nonresponse</w:t>
            </w:r>
            <w:r>
              <w:t xml:space="preserve"> adjustment</w:t>
            </w:r>
            <w:bookmarkEnd w:id="233"/>
            <w:bookmarkEnd w:id="234"/>
            <w:bookmarkEnd w:id="235"/>
            <w:r>
              <w:t xml:space="preserve"> </w:t>
            </w:r>
          </w:p>
        </w:tc>
        <w:tc>
          <w:tcPr>
            <w:tcW w:w="931" w:type="pct"/>
            <w:gridSpan w:val="2"/>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36" w:name="_Toc255550575"/>
            <w:bookmarkStart w:id="237" w:name="_Toc255550972"/>
            <w:bookmarkStart w:id="238" w:name="_Toc255808993"/>
            <w:r>
              <w:t>Initial raking</w:t>
            </w:r>
            <w:bookmarkEnd w:id="236"/>
            <w:bookmarkEnd w:id="237"/>
            <w:bookmarkEnd w:id="238"/>
            <w:r>
              <w:t xml:space="preserve"> </w:t>
            </w:r>
          </w:p>
        </w:tc>
      </w:tr>
      <w:tr w:rsidR="00C8169D" w:rsidTr="008D7F5E">
        <w:trPr>
          <w:trHeight w:val="55"/>
          <w:tblHeader/>
          <w:jc w:val="center"/>
        </w:trPr>
        <w:tc>
          <w:tcPr>
            <w:tcW w:w="1589" w:type="pct"/>
            <w:vMerge/>
            <w:shd w:val="clear" w:color="auto" w:fill="AFBED7"/>
            <w:noWrap/>
            <w:tcMar>
              <w:top w:w="15" w:type="dxa"/>
              <w:left w:w="15" w:type="dxa"/>
              <w:bottom w:w="0" w:type="dxa"/>
              <w:right w:w="15" w:type="dxa"/>
            </w:tcMar>
            <w:vAlign w:val="bottom"/>
            <w:hideMark/>
          </w:tcPr>
          <w:p w:rsidR="00C8169D" w:rsidRDefault="00C8169D" w:rsidP="00C8169D">
            <w:pPr>
              <w:pStyle w:val="TH-TableHeading"/>
            </w:pPr>
          </w:p>
        </w:tc>
        <w:tc>
          <w:tcPr>
            <w:tcW w:w="619" w:type="pct"/>
            <w:vMerge/>
            <w:shd w:val="clear" w:color="auto" w:fill="AFBED7"/>
            <w:tcMar>
              <w:top w:w="15" w:type="dxa"/>
              <w:left w:w="15" w:type="dxa"/>
              <w:bottom w:w="0" w:type="dxa"/>
              <w:right w:w="15" w:type="dxa"/>
            </w:tcMar>
            <w:vAlign w:val="bottom"/>
            <w:hideMark/>
          </w:tcPr>
          <w:p w:rsidR="00C8169D" w:rsidRDefault="00C8169D" w:rsidP="00C8169D">
            <w:pPr>
              <w:pStyle w:val="TH-TableHeading"/>
            </w:pPr>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39" w:name="_Toc255550576"/>
            <w:bookmarkStart w:id="240" w:name="_Toc255550973"/>
            <w:bookmarkStart w:id="241" w:name="_Toc255808994"/>
            <w:r>
              <w:t>%</w:t>
            </w:r>
            <w:bookmarkEnd w:id="239"/>
            <w:bookmarkEnd w:id="240"/>
            <w:bookmarkEnd w:id="241"/>
          </w:p>
        </w:tc>
        <w:tc>
          <w:tcPr>
            <w:tcW w:w="466" w:type="pct"/>
            <w:shd w:val="clear" w:color="auto" w:fill="AFBED7"/>
            <w:tcMar>
              <w:top w:w="15" w:type="dxa"/>
              <w:left w:w="15" w:type="dxa"/>
              <w:bottom w:w="0" w:type="dxa"/>
              <w:right w:w="15" w:type="dxa"/>
            </w:tcMar>
            <w:vAlign w:val="bottom"/>
            <w:hideMark/>
          </w:tcPr>
          <w:p w:rsidR="00C8169D" w:rsidRDefault="00243ED5" w:rsidP="00C8169D">
            <w:pPr>
              <w:pStyle w:val="TH-TableHeading"/>
            </w:pPr>
            <w:bookmarkStart w:id="242" w:name="_Toc255550577"/>
            <w:bookmarkStart w:id="243" w:name="_Toc255550974"/>
            <w:bookmarkStart w:id="244" w:name="_Toc255808995"/>
            <w:r w:rsidRPr="00243ED5">
              <w:rPr>
                <w:i/>
              </w:rPr>
              <w:t>p</w:t>
            </w:r>
            <w:r w:rsidR="00C8169D">
              <w:t xml:space="preserve"> value</w:t>
            </w:r>
            <w:r w:rsidR="00C8169D">
              <w:rPr>
                <w:vertAlign w:val="superscript"/>
              </w:rPr>
              <w:t>1</w:t>
            </w:r>
            <w:bookmarkEnd w:id="242"/>
            <w:bookmarkEnd w:id="243"/>
            <w:bookmarkEnd w:id="244"/>
            <w:r w:rsidR="00C8169D">
              <w:t xml:space="preserve"> </w:t>
            </w:r>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45" w:name="_Toc255550578"/>
            <w:bookmarkStart w:id="246" w:name="_Toc255550975"/>
            <w:bookmarkStart w:id="247" w:name="_Toc255808996"/>
            <w:r>
              <w:t>%</w:t>
            </w:r>
            <w:bookmarkEnd w:id="245"/>
            <w:bookmarkEnd w:id="246"/>
            <w:bookmarkEnd w:id="247"/>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rPr>
                <w:i/>
                <w:iCs/>
              </w:rPr>
            </w:pPr>
            <w:bookmarkStart w:id="248" w:name="_Toc255550579"/>
            <w:bookmarkStart w:id="249" w:name="_Toc255550976"/>
            <w:bookmarkStart w:id="250" w:name="_Toc255808997"/>
            <w:r>
              <w:rPr>
                <w:i/>
                <w:iCs/>
              </w:rPr>
              <w:t xml:space="preserve">p </w:t>
            </w:r>
            <w:r>
              <w:t>value</w:t>
            </w:r>
            <w:r>
              <w:rPr>
                <w:vertAlign w:val="superscript"/>
              </w:rPr>
              <w:t>1</w:t>
            </w:r>
            <w:bookmarkEnd w:id="248"/>
            <w:bookmarkEnd w:id="249"/>
            <w:bookmarkEnd w:id="250"/>
            <w:r>
              <w:rPr>
                <w:i/>
                <w:iCs/>
              </w:rPr>
              <w:t xml:space="preserve"> </w:t>
            </w:r>
          </w:p>
        </w:tc>
        <w:tc>
          <w:tcPr>
            <w:tcW w:w="465" w:type="pct"/>
            <w:shd w:val="clear" w:color="auto" w:fill="AFBED7"/>
            <w:tcMar>
              <w:top w:w="15" w:type="dxa"/>
              <w:left w:w="15" w:type="dxa"/>
              <w:bottom w:w="0" w:type="dxa"/>
              <w:right w:w="15" w:type="dxa"/>
            </w:tcMar>
            <w:vAlign w:val="bottom"/>
            <w:hideMark/>
          </w:tcPr>
          <w:p w:rsidR="00C8169D" w:rsidRDefault="00C8169D" w:rsidP="00C8169D">
            <w:pPr>
              <w:pStyle w:val="TH-TableHeading"/>
            </w:pPr>
            <w:bookmarkStart w:id="251" w:name="_Toc255550580"/>
            <w:bookmarkStart w:id="252" w:name="_Toc255550977"/>
            <w:bookmarkStart w:id="253" w:name="_Toc255808998"/>
            <w:r>
              <w:t>%</w:t>
            </w:r>
            <w:bookmarkEnd w:id="251"/>
            <w:bookmarkEnd w:id="252"/>
            <w:bookmarkEnd w:id="253"/>
          </w:p>
        </w:tc>
        <w:tc>
          <w:tcPr>
            <w:tcW w:w="466" w:type="pct"/>
            <w:shd w:val="clear" w:color="auto" w:fill="AFBED7"/>
            <w:tcMar>
              <w:top w:w="15" w:type="dxa"/>
              <w:left w:w="15" w:type="dxa"/>
              <w:bottom w:w="0" w:type="dxa"/>
              <w:right w:w="15" w:type="dxa"/>
            </w:tcMar>
            <w:vAlign w:val="bottom"/>
            <w:hideMark/>
          </w:tcPr>
          <w:p w:rsidR="00C8169D" w:rsidRDefault="00C8169D" w:rsidP="00C8169D">
            <w:pPr>
              <w:pStyle w:val="TH-TableHeading"/>
              <w:rPr>
                <w:i/>
                <w:iCs/>
              </w:rPr>
            </w:pPr>
            <w:bookmarkStart w:id="254" w:name="_Toc255550581"/>
            <w:bookmarkStart w:id="255" w:name="_Toc255550978"/>
            <w:bookmarkStart w:id="256" w:name="_Toc255808999"/>
            <w:r>
              <w:rPr>
                <w:i/>
                <w:iCs/>
              </w:rPr>
              <w:t xml:space="preserve">p </w:t>
            </w:r>
            <w:r>
              <w:t>value</w:t>
            </w:r>
            <w:r>
              <w:rPr>
                <w:vertAlign w:val="superscript"/>
              </w:rPr>
              <w:t>2</w:t>
            </w:r>
            <w:bookmarkEnd w:id="254"/>
            <w:bookmarkEnd w:id="255"/>
            <w:bookmarkEnd w:id="256"/>
            <w:r>
              <w:rPr>
                <w:i/>
                <w:iCs/>
              </w:rPr>
              <w:t xml:space="preserve"> </w:t>
            </w:r>
          </w:p>
        </w:tc>
      </w:tr>
      <w:tr w:rsidR="00A77689" w:rsidTr="008D7F5E">
        <w:trPr>
          <w:trHeight w:val="55"/>
          <w:jc w:val="center"/>
        </w:trPr>
        <w:tc>
          <w:tcPr>
            <w:tcW w:w="1589" w:type="pct"/>
            <w:shd w:val="clear" w:color="auto" w:fill="auto"/>
            <w:tcMar>
              <w:top w:w="15" w:type="dxa"/>
              <w:left w:w="15" w:type="dxa"/>
              <w:bottom w:w="0" w:type="dxa"/>
              <w:right w:w="15" w:type="dxa"/>
            </w:tcMar>
            <w:vAlign w:val="bottom"/>
            <w:hideMark/>
          </w:tcPr>
          <w:p w:rsidR="00A77689" w:rsidRPr="00A77689" w:rsidRDefault="00A77689" w:rsidP="00C8169D">
            <w:pPr>
              <w:pStyle w:val="TX-TableText"/>
            </w:pPr>
            <w:r w:rsidRPr="00A77689">
              <w:t xml:space="preserve">Total </w:t>
            </w:r>
          </w:p>
        </w:tc>
        <w:tc>
          <w:tcPr>
            <w:tcW w:w="619"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683"/>
              </w:tabs>
            </w:pPr>
            <w:r w:rsidRPr="00A77689">
              <w:t>100</w:t>
            </w:r>
            <w:r w:rsidR="00C62F4D">
              <w:t>.0</w:t>
            </w:r>
          </w:p>
        </w:tc>
        <w:tc>
          <w:tcPr>
            <w:tcW w:w="465"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442"/>
              </w:tabs>
            </w:pPr>
            <w:r w:rsidRPr="00A77689">
              <w:t>100</w:t>
            </w:r>
            <w:r w:rsidR="00C62F4D">
              <w:t>.0</w:t>
            </w:r>
          </w:p>
        </w:tc>
        <w:tc>
          <w:tcPr>
            <w:tcW w:w="466" w:type="pct"/>
            <w:shd w:val="clear" w:color="auto" w:fill="auto"/>
            <w:tcMar>
              <w:top w:w="15" w:type="dxa"/>
              <w:left w:w="15" w:type="dxa"/>
              <w:bottom w:w="0" w:type="dxa"/>
              <w:right w:w="15" w:type="dxa"/>
            </w:tcMar>
            <w:vAlign w:val="center"/>
            <w:hideMark/>
          </w:tcPr>
          <w:p w:rsidR="00A77689" w:rsidRPr="00A77689" w:rsidRDefault="00A77689" w:rsidP="00C62F4D">
            <w:pPr>
              <w:pStyle w:val="TX-TableText"/>
              <w:jc w:val="center"/>
            </w:pPr>
            <w:r w:rsidRPr="00A77689">
              <w:t>†</w:t>
            </w:r>
          </w:p>
        </w:tc>
        <w:tc>
          <w:tcPr>
            <w:tcW w:w="465"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494"/>
              </w:tabs>
            </w:pPr>
            <w:r w:rsidRPr="00A77689">
              <w:t>100</w:t>
            </w:r>
            <w:r w:rsidR="00C62F4D">
              <w:t>.0</w:t>
            </w:r>
          </w:p>
        </w:tc>
        <w:tc>
          <w:tcPr>
            <w:tcW w:w="465" w:type="pct"/>
            <w:shd w:val="clear" w:color="auto" w:fill="auto"/>
            <w:tcMar>
              <w:top w:w="15" w:type="dxa"/>
              <w:left w:w="15" w:type="dxa"/>
              <w:bottom w:w="0" w:type="dxa"/>
              <w:right w:w="15" w:type="dxa"/>
            </w:tcMar>
            <w:vAlign w:val="center"/>
            <w:hideMark/>
          </w:tcPr>
          <w:p w:rsidR="00A77689" w:rsidRPr="00A77689" w:rsidRDefault="00C62F4D" w:rsidP="00C62F4D">
            <w:pPr>
              <w:pStyle w:val="TX-TableText"/>
              <w:jc w:val="center"/>
            </w:pPr>
            <w:r w:rsidRPr="00A77689">
              <w:t>†</w:t>
            </w:r>
          </w:p>
        </w:tc>
        <w:tc>
          <w:tcPr>
            <w:tcW w:w="465" w:type="pct"/>
            <w:shd w:val="clear" w:color="auto" w:fill="auto"/>
            <w:tcMar>
              <w:top w:w="15" w:type="dxa"/>
              <w:left w:w="15" w:type="dxa"/>
              <w:bottom w:w="0" w:type="dxa"/>
              <w:right w:w="15" w:type="dxa"/>
            </w:tcMar>
            <w:vAlign w:val="center"/>
            <w:hideMark/>
          </w:tcPr>
          <w:p w:rsidR="00A77689" w:rsidRPr="00A77689" w:rsidRDefault="00A77689" w:rsidP="00C62F4D">
            <w:pPr>
              <w:pStyle w:val="TX-TableText"/>
              <w:tabs>
                <w:tab w:val="decimal" w:pos="458"/>
              </w:tabs>
            </w:pPr>
            <w:r w:rsidRPr="00A77689">
              <w:t>100</w:t>
            </w:r>
            <w:r w:rsidR="00C62F4D">
              <w:t>.0</w:t>
            </w:r>
          </w:p>
        </w:tc>
        <w:tc>
          <w:tcPr>
            <w:tcW w:w="466" w:type="pct"/>
            <w:shd w:val="clear" w:color="auto" w:fill="auto"/>
            <w:tcMar>
              <w:top w:w="15" w:type="dxa"/>
              <w:left w:w="15" w:type="dxa"/>
              <w:bottom w:w="0" w:type="dxa"/>
              <w:right w:w="15" w:type="dxa"/>
            </w:tcMar>
            <w:vAlign w:val="center"/>
            <w:hideMark/>
          </w:tcPr>
          <w:p w:rsidR="00A77689" w:rsidRPr="00A77689" w:rsidRDefault="00A77689" w:rsidP="00C62F4D">
            <w:pPr>
              <w:pStyle w:val="TX-TableText"/>
              <w:jc w:val="center"/>
            </w:pPr>
            <w:r w:rsidRPr="00A77689">
              <w:t>†</w:t>
            </w:r>
          </w:p>
        </w:tc>
      </w:tr>
      <w:tr w:rsidR="00A77689" w:rsidTr="008D7F5E">
        <w:trPr>
          <w:trHeight w:val="55"/>
          <w:jc w:val="center"/>
        </w:trPr>
        <w:tc>
          <w:tcPr>
            <w:tcW w:w="1589" w:type="pct"/>
            <w:shd w:val="clear" w:color="auto" w:fill="auto"/>
            <w:tcMar>
              <w:top w:w="15" w:type="dxa"/>
              <w:left w:w="15" w:type="dxa"/>
              <w:bottom w:w="0" w:type="dxa"/>
              <w:right w:w="15" w:type="dxa"/>
            </w:tcMar>
            <w:vAlign w:val="bottom"/>
            <w:hideMark/>
          </w:tcPr>
          <w:p w:rsidR="00A77689" w:rsidRPr="00A77689" w:rsidRDefault="00A77689" w:rsidP="00C8169D">
            <w:pPr>
              <w:pStyle w:val="TX-TableText"/>
              <w:rPr>
                <w:b/>
              </w:rPr>
            </w:pPr>
            <w:r w:rsidRPr="00A77689">
              <w:rPr>
                <w:b/>
              </w:rPr>
              <w:t xml:space="preserve">Region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p>
        </w:tc>
        <w:tc>
          <w:tcPr>
            <w:tcW w:w="465"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215"/>
              </w:tabs>
            </w:pPr>
          </w:p>
        </w:tc>
      </w:tr>
      <w:tr w:rsidR="00A77689" w:rsidTr="008D7F5E">
        <w:trPr>
          <w:trHeight w:val="65"/>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Northeast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18.4</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15.6</w:t>
            </w: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r>
              <w:t>0</w:t>
            </w:r>
            <w:r w:rsidR="00C62F4D">
              <w:t>.000</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18.6</w:t>
            </w:r>
          </w:p>
        </w:tc>
        <w:tc>
          <w:tcPr>
            <w:tcW w:w="465"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51"/>
              </w:tabs>
            </w:pPr>
            <w:r>
              <w:t>0.35</w:t>
            </w:r>
            <w:r w:rsidR="001B0045">
              <w:t>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19</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0.866</w:t>
            </w:r>
          </w:p>
        </w:tc>
      </w:tr>
      <w:tr w:rsidR="00A77689" w:rsidTr="008D7F5E">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Midwest</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22.1</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22.9</w:t>
            </w: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r>
              <w:t>0.18</w:t>
            </w:r>
            <w:r w:rsidR="00C62F4D">
              <w:t>0</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21.9</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0.355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23</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0.728</w:t>
            </w:r>
          </w:p>
        </w:tc>
      </w:tr>
      <w:tr w:rsidR="00A77689" w:rsidTr="008D7F5E">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South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34.9</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35</w:t>
            </w:r>
            <w:r w:rsidR="00C62F4D">
              <w:t>.0</w:t>
            </w:r>
          </w:p>
        </w:tc>
        <w:tc>
          <w:tcPr>
            <w:tcW w:w="466"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198"/>
              </w:tabs>
            </w:pPr>
            <w:r>
              <w:t>0.842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34.9</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0.825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35</w:t>
            </w:r>
            <w:r w:rsidR="00C62F4D">
              <w:t>.0</w:t>
            </w:r>
          </w:p>
        </w:tc>
        <w:tc>
          <w:tcPr>
            <w:tcW w:w="466"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15"/>
              </w:tabs>
            </w:pPr>
            <w:r>
              <w:t>0.716</w:t>
            </w:r>
          </w:p>
        </w:tc>
      </w:tr>
      <w:tr w:rsidR="00A77689" w:rsidTr="008D7F5E">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West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24.7</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26.6</w:t>
            </w:r>
          </w:p>
        </w:tc>
        <w:tc>
          <w:tcPr>
            <w:tcW w:w="466"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198"/>
              </w:tabs>
            </w:pPr>
            <w:r>
              <w:t>0.001</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24.7</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0.895</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23</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0.413</w:t>
            </w:r>
          </w:p>
        </w:tc>
      </w:tr>
      <w:tr w:rsidR="00A77689" w:rsidTr="008D7F5E">
        <w:trPr>
          <w:trHeight w:val="55"/>
          <w:jc w:val="center"/>
        </w:trPr>
        <w:tc>
          <w:tcPr>
            <w:tcW w:w="1589" w:type="pct"/>
            <w:shd w:val="clear" w:color="auto" w:fill="auto"/>
            <w:tcMar>
              <w:top w:w="15" w:type="dxa"/>
              <w:left w:w="15" w:type="dxa"/>
              <w:bottom w:w="0" w:type="dxa"/>
              <w:right w:w="15" w:type="dxa"/>
            </w:tcMar>
            <w:vAlign w:val="bottom"/>
            <w:hideMark/>
          </w:tcPr>
          <w:p w:rsidR="00A77689" w:rsidRPr="00A77689" w:rsidRDefault="00A77689" w:rsidP="00C8169D">
            <w:pPr>
              <w:pStyle w:val="TX-TableText"/>
              <w:rPr>
                <w:b/>
              </w:rPr>
            </w:pPr>
            <w:r w:rsidRPr="00A77689">
              <w:rPr>
                <w:b/>
              </w:rPr>
              <w:t xml:space="preserve">Metropolitan Statistical Area status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p>
        </w:tc>
        <w:tc>
          <w:tcPr>
            <w:tcW w:w="465"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215"/>
              </w:tabs>
            </w:pPr>
          </w:p>
        </w:tc>
      </w:tr>
      <w:tr w:rsidR="00A77689" w:rsidTr="008D7F5E">
        <w:trPr>
          <w:trHeight w:val="65"/>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Non-Metropolitan Statistical Area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21.8</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22.7</w:t>
            </w:r>
          </w:p>
        </w:tc>
        <w:tc>
          <w:tcPr>
            <w:tcW w:w="466" w:type="pct"/>
            <w:shd w:val="clear" w:color="auto" w:fill="auto"/>
            <w:tcMar>
              <w:top w:w="15" w:type="dxa"/>
              <w:left w:w="15" w:type="dxa"/>
              <w:bottom w:w="0" w:type="dxa"/>
              <w:right w:w="15" w:type="dxa"/>
            </w:tcMar>
            <w:vAlign w:val="center"/>
            <w:hideMark/>
          </w:tcPr>
          <w:p w:rsidR="00A77689" w:rsidRDefault="001B0045" w:rsidP="00C62F4D">
            <w:pPr>
              <w:pStyle w:val="TX-TableText"/>
              <w:tabs>
                <w:tab w:val="decimal" w:pos="198"/>
              </w:tabs>
            </w:pPr>
            <w:r>
              <w:t>0.01</w:t>
            </w:r>
            <w:r w:rsidR="00A77689">
              <w:t>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21.9</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0.558</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18</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0.100</w:t>
            </w:r>
          </w:p>
        </w:tc>
      </w:tr>
      <w:tr w:rsidR="00A77689" w:rsidTr="008D7F5E">
        <w:trPr>
          <w:trHeight w:val="60"/>
          <w:jc w:val="center"/>
        </w:trPr>
        <w:tc>
          <w:tcPr>
            <w:tcW w:w="1589" w:type="pct"/>
            <w:shd w:val="clear" w:color="auto" w:fill="auto"/>
            <w:tcMar>
              <w:top w:w="15" w:type="dxa"/>
              <w:left w:w="135" w:type="dxa"/>
              <w:bottom w:w="0" w:type="dxa"/>
              <w:right w:w="15" w:type="dxa"/>
            </w:tcMar>
            <w:vAlign w:val="bottom"/>
            <w:hideMark/>
          </w:tcPr>
          <w:p w:rsidR="00A77689" w:rsidRDefault="00A77689" w:rsidP="00C8169D">
            <w:pPr>
              <w:pStyle w:val="TX-TableText"/>
            </w:pPr>
            <w:r>
              <w:t xml:space="preserve">Metropolitan Statistical Area </w:t>
            </w:r>
          </w:p>
        </w:tc>
        <w:tc>
          <w:tcPr>
            <w:tcW w:w="619"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683"/>
              </w:tabs>
            </w:pPr>
            <w:r>
              <w:t>78.2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42"/>
              </w:tabs>
            </w:pPr>
            <w:r>
              <w:t>77.3</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198"/>
              </w:tabs>
            </w:pPr>
            <w:r>
              <w:t>0.012</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94"/>
              </w:tabs>
            </w:pPr>
            <w:r>
              <w:t>78.1</w:t>
            </w:r>
          </w:p>
        </w:tc>
        <w:tc>
          <w:tcPr>
            <w:tcW w:w="465" w:type="pct"/>
            <w:shd w:val="clear" w:color="auto" w:fill="auto"/>
            <w:tcMar>
              <w:top w:w="15" w:type="dxa"/>
              <w:left w:w="15" w:type="dxa"/>
              <w:bottom w:w="0" w:type="dxa"/>
              <w:right w:w="15" w:type="dxa"/>
            </w:tcMar>
            <w:vAlign w:val="center"/>
            <w:hideMark/>
          </w:tcPr>
          <w:p w:rsidR="00A77689" w:rsidRDefault="001B0045" w:rsidP="001B0045">
            <w:pPr>
              <w:pStyle w:val="TX-TableText"/>
              <w:tabs>
                <w:tab w:val="decimal" w:pos="251"/>
              </w:tabs>
            </w:pPr>
            <w:r>
              <w:t>0.558</w:t>
            </w:r>
          </w:p>
        </w:tc>
        <w:tc>
          <w:tcPr>
            <w:tcW w:w="465" w:type="pct"/>
            <w:shd w:val="clear" w:color="auto" w:fill="auto"/>
            <w:tcMar>
              <w:top w:w="15" w:type="dxa"/>
              <w:left w:w="15" w:type="dxa"/>
              <w:bottom w:w="0" w:type="dxa"/>
              <w:right w:w="15" w:type="dxa"/>
            </w:tcMar>
            <w:vAlign w:val="center"/>
            <w:hideMark/>
          </w:tcPr>
          <w:p w:rsidR="00A77689" w:rsidRDefault="00A77689" w:rsidP="00C62F4D">
            <w:pPr>
              <w:pStyle w:val="TX-TableText"/>
              <w:tabs>
                <w:tab w:val="decimal" w:pos="458"/>
              </w:tabs>
            </w:pPr>
            <w:r>
              <w:t>82</w:t>
            </w:r>
            <w:r w:rsidR="00C62F4D">
              <w:t>.0</w:t>
            </w:r>
          </w:p>
        </w:tc>
        <w:tc>
          <w:tcPr>
            <w:tcW w:w="466" w:type="pct"/>
            <w:shd w:val="clear" w:color="auto" w:fill="auto"/>
            <w:tcMar>
              <w:top w:w="15" w:type="dxa"/>
              <w:left w:w="15" w:type="dxa"/>
              <w:bottom w:w="0" w:type="dxa"/>
              <w:right w:w="15" w:type="dxa"/>
            </w:tcMar>
            <w:vAlign w:val="center"/>
            <w:hideMark/>
          </w:tcPr>
          <w:p w:rsidR="00A77689" w:rsidRDefault="00A77689" w:rsidP="001B0045">
            <w:pPr>
              <w:pStyle w:val="TX-TableText"/>
              <w:tabs>
                <w:tab w:val="decimal" w:pos="215"/>
              </w:tabs>
            </w:pPr>
            <w:r>
              <w:t>0.100</w:t>
            </w:r>
          </w:p>
        </w:tc>
      </w:tr>
      <w:tr w:rsidR="00C8169D" w:rsidTr="008D7F5E">
        <w:tblPrEx>
          <w:jc w:val="left"/>
        </w:tblPrEx>
        <w:trPr>
          <w:trHeight w:val="28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Locale</w:t>
            </w:r>
            <w:r w:rsidRPr="00A77689">
              <w:rPr>
                <w:b/>
                <w:vertAlign w:val="superscript"/>
              </w:rPr>
              <w:t>3</w:t>
            </w:r>
            <w:r w:rsidR="00A8663C">
              <w:rPr>
                <w:b/>
                <w:vertAlign w:val="superscript"/>
              </w:rPr>
              <w:t xml:space="preserve">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Urban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65.3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64.6</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0.0</w:t>
            </w:r>
            <w:r w:rsidR="001B0045">
              <w:t>80</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65.1</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0.448</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68</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0.097</w:t>
            </w:r>
          </w:p>
        </w:tc>
      </w:tr>
      <w:tr w:rsidR="00C8169D" w:rsidTr="008D7F5E">
        <w:tblPrEx>
          <w:jc w:val="left"/>
        </w:tblPrEx>
        <w:trPr>
          <w:trHeight w:val="60"/>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Suburban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12.4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13</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0.10</w:t>
            </w:r>
            <w:r w:rsidR="001B0045">
              <w:t>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12.4</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0.849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11</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0.198</w:t>
            </w:r>
          </w:p>
        </w:tc>
      </w:tr>
      <w:tr w:rsidR="00C8169D" w:rsidTr="008D7F5E">
        <w:tblPrEx>
          <w:jc w:val="left"/>
        </w:tblPrEx>
        <w:trPr>
          <w:trHeight w:val="60"/>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Rural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22.3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22.4</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0.74</w:t>
            </w:r>
            <w:r w:rsidR="001B0045">
              <w:t>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22.5</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0.566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20</w:t>
            </w:r>
            <w:r w:rsidR="00C62F4D">
              <w:t>.0</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0.075</w:t>
            </w:r>
          </w:p>
        </w:tc>
      </w:tr>
      <w:tr w:rsidR="00C8169D" w:rsidTr="008D7F5E">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Majority own/rent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Rent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25.2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25.7</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0.294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25</w:t>
            </w:r>
            <w:r w:rsidR="00C62F4D">
              <w:t>.0</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0.486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26</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0.254</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Own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74.8</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74.3</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0.294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75</w:t>
            </w:r>
            <w:r w:rsidR="00C62F4D">
              <w:t>.0</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0.486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74</w:t>
            </w:r>
            <w:r w:rsidR="00C62F4D">
              <w:t>.0</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0.254</w:t>
            </w:r>
          </w:p>
        </w:tc>
      </w:tr>
      <w:tr w:rsidR="00C8169D" w:rsidTr="008D7F5E">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Average household size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less than or equal to 2.2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18.6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18.1</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0.22</w:t>
            </w:r>
            <w:r w:rsidR="001B0045">
              <w:t>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18.1</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0.213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18.1</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0.946</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2.2 and less than or equal to 2.8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51.5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52.9</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0.05</w:t>
            </w:r>
            <w:r w:rsidR="001B0045">
              <w:t>1</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53.3</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0.003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52.5</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0.257</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2.8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30</w:t>
            </w:r>
            <w:r w:rsidR="00C62F4D">
              <w:t>.0</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29.1</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0.157</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28.7</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0.005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29.4</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0.381</w:t>
            </w:r>
          </w:p>
        </w:tc>
      </w:tr>
      <w:tr w:rsidR="00C8169D" w:rsidTr="008D7F5E">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Percent less than high school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less than or equal to 10%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33.4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33.1</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0.542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33.1</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0.569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32.7</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0.431</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10% and less than or equal to 20%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31.4</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30.9</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0.29</w:t>
            </w:r>
            <w:r w:rsidR="001B0045">
              <w:t>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31.4</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0.887</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31.3</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0.937</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20%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35.2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36.1</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198"/>
              </w:tabs>
            </w:pPr>
            <w:r>
              <w:t>0.123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35.5</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0.349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36</w:t>
            </w:r>
            <w:r w:rsidR="00C62F4D">
              <w:t>.0</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0.524</w:t>
            </w:r>
          </w:p>
        </w:tc>
      </w:tr>
      <w:tr w:rsidR="00C8169D" w:rsidTr="008D7F5E">
        <w:tblPrEx>
          <w:jc w:val="left"/>
        </w:tblPrEx>
        <w:trPr>
          <w:trHeight w:val="55"/>
        </w:trPr>
        <w:tc>
          <w:tcPr>
            <w:tcW w:w="1589" w:type="pct"/>
            <w:shd w:val="clear" w:color="auto" w:fill="auto"/>
            <w:tcMar>
              <w:top w:w="15" w:type="dxa"/>
              <w:left w:w="15" w:type="dxa"/>
              <w:bottom w:w="0" w:type="dxa"/>
              <w:right w:w="15" w:type="dxa"/>
            </w:tcMar>
            <w:vAlign w:val="bottom"/>
            <w:hideMark/>
          </w:tcPr>
          <w:p w:rsidR="00C8169D" w:rsidRPr="00A77689" w:rsidRDefault="00C8169D" w:rsidP="00C8169D">
            <w:pPr>
              <w:pStyle w:val="TX-TableText"/>
              <w:rPr>
                <w:b/>
              </w:rPr>
            </w:pPr>
            <w:r w:rsidRPr="00A77689">
              <w:rPr>
                <w:b/>
              </w:rPr>
              <w:t xml:space="preserve">Percent limited English proficient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C8169D" w:rsidRDefault="00C8169D" w:rsidP="0054006F">
            <w:pPr>
              <w:pStyle w:val="TX-TableText"/>
              <w:jc w:val="center"/>
            </w:pP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0%</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29.9</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29.9</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198"/>
              </w:tabs>
            </w:pPr>
            <w:r>
              <w:t>0.977</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30</w:t>
            </w:r>
            <w:r w:rsidR="00C62F4D">
              <w:t>.0</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0.953</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28.8</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0.088</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0% and less than 2%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34.6</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34.7</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0.840</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35.4</w:t>
            </w:r>
          </w:p>
        </w:tc>
        <w:tc>
          <w:tcPr>
            <w:tcW w:w="465"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251"/>
              </w:tabs>
            </w:pPr>
            <w:r>
              <w:t>0.16</w:t>
            </w:r>
            <w:r w:rsidR="001B0045">
              <w:t>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35.5</w:t>
            </w:r>
          </w:p>
        </w:tc>
        <w:tc>
          <w:tcPr>
            <w:tcW w:w="466" w:type="pct"/>
            <w:shd w:val="clear" w:color="auto" w:fill="auto"/>
            <w:tcMar>
              <w:top w:w="15" w:type="dxa"/>
              <w:left w:w="15" w:type="dxa"/>
              <w:bottom w:w="0" w:type="dxa"/>
              <w:right w:w="15" w:type="dxa"/>
            </w:tcMar>
            <w:vAlign w:val="center"/>
            <w:hideMark/>
          </w:tcPr>
          <w:p w:rsidR="00C8169D" w:rsidRDefault="001B0045" w:rsidP="001B0045">
            <w:pPr>
              <w:pStyle w:val="TX-TableText"/>
              <w:jc w:val="center"/>
            </w:pPr>
            <w:r>
              <w:t>0.756</w:t>
            </w:r>
          </w:p>
        </w:tc>
      </w:tr>
      <w:tr w:rsidR="00C8169D" w:rsidTr="008D7F5E">
        <w:tblPrEx>
          <w:jc w:val="left"/>
        </w:tblPrEx>
        <w:trPr>
          <w:trHeight w:val="65"/>
        </w:trPr>
        <w:tc>
          <w:tcPr>
            <w:tcW w:w="1589" w:type="pct"/>
            <w:shd w:val="clear" w:color="auto" w:fill="auto"/>
            <w:tcMar>
              <w:top w:w="15" w:type="dxa"/>
              <w:left w:w="135" w:type="dxa"/>
              <w:bottom w:w="0" w:type="dxa"/>
              <w:right w:w="15" w:type="dxa"/>
            </w:tcMar>
            <w:vAlign w:val="bottom"/>
            <w:hideMark/>
          </w:tcPr>
          <w:p w:rsidR="00C8169D" w:rsidRDefault="00C8169D" w:rsidP="00C8169D">
            <w:pPr>
              <w:pStyle w:val="TX-TableText"/>
            </w:pPr>
            <w:r>
              <w:t xml:space="preserve">greater than or equal to 2% </w:t>
            </w:r>
          </w:p>
        </w:tc>
        <w:tc>
          <w:tcPr>
            <w:tcW w:w="619"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683"/>
              </w:tabs>
            </w:pPr>
            <w:r>
              <w:t>35.5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42"/>
              </w:tabs>
            </w:pPr>
            <w:r>
              <w:t>35.4</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tabs>
                <w:tab w:val="decimal" w:pos="198"/>
              </w:tabs>
            </w:pPr>
            <w:r>
              <w:t>0.825</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04"/>
              </w:tabs>
            </w:pPr>
            <w:r>
              <w:t>34.7</w:t>
            </w:r>
          </w:p>
        </w:tc>
        <w:tc>
          <w:tcPr>
            <w:tcW w:w="465" w:type="pct"/>
            <w:shd w:val="clear" w:color="auto" w:fill="auto"/>
            <w:tcMar>
              <w:top w:w="15" w:type="dxa"/>
              <w:left w:w="15" w:type="dxa"/>
              <w:bottom w:w="0" w:type="dxa"/>
              <w:right w:w="15" w:type="dxa"/>
            </w:tcMar>
            <w:vAlign w:val="center"/>
            <w:hideMark/>
          </w:tcPr>
          <w:p w:rsidR="00C8169D" w:rsidRDefault="001B0045" w:rsidP="001B0045">
            <w:pPr>
              <w:pStyle w:val="TX-TableText"/>
              <w:tabs>
                <w:tab w:val="decimal" w:pos="251"/>
              </w:tabs>
            </w:pPr>
            <w:r>
              <w:t>0.052</w:t>
            </w:r>
          </w:p>
        </w:tc>
        <w:tc>
          <w:tcPr>
            <w:tcW w:w="465" w:type="pct"/>
            <w:shd w:val="clear" w:color="auto" w:fill="auto"/>
            <w:tcMar>
              <w:top w:w="15" w:type="dxa"/>
              <w:left w:w="15" w:type="dxa"/>
              <w:bottom w:w="0" w:type="dxa"/>
              <w:right w:w="15" w:type="dxa"/>
            </w:tcMar>
            <w:vAlign w:val="center"/>
            <w:hideMark/>
          </w:tcPr>
          <w:p w:rsidR="00C8169D" w:rsidRDefault="00C8169D" w:rsidP="0054006F">
            <w:pPr>
              <w:pStyle w:val="TX-TableText"/>
              <w:tabs>
                <w:tab w:val="decimal" w:pos="458"/>
              </w:tabs>
            </w:pPr>
            <w:r>
              <w:t>35.8</w:t>
            </w:r>
          </w:p>
        </w:tc>
        <w:tc>
          <w:tcPr>
            <w:tcW w:w="466" w:type="pct"/>
            <w:shd w:val="clear" w:color="auto" w:fill="auto"/>
            <w:tcMar>
              <w:top w:w="15" w:type="dxa"/>
              <w:left w:w="15" w:type="dxa"/>
              <w:bottom w:w="0" w:type="dxa"/>
              <w:right w:w="15" w:type="dxa"/>
            </w:tcMar>
            <w:vAlign w:val="center"/>
            <w:hideMark/>
          </w:tcPr>
          <w:p w:rsidR="00C8169D" w:rsidRDefault="00C8169D" w:rsidP="001B0045">
            <w:pPr>
              <w:pStyle w:val="TX-TableText"/>
              <w:jc w:val="center"/>
            </w:pPr>
            <w:r>
              <w:t>0.314</w:t>
            </w:r>
          </w:p>
        </w:tc>
      </w:tr>
    </w:tbl>
    <w:p w:rsidR="00D76C0A" w:rsidRDefault="00D76C0A"/>
    <w:p w:rsidR="00D76C0A" w:rsidRDefault="00D76C0A"/>
    <w:p w:rsidR="00D76C0A" w:rsidRDefault="00D76C0A">
      <w:pPr>
        <w:spacing w:after="200" w:line="276" w:lineRule="auto"/>
        <w:jc w:val="left"/>
        <w:rPr>
          <w:b/>
          <w:lang w:val="en-US"/>
        </w:rPr>
      </w:pPr>
    </w:p>
    <w:p w:rsidR="00B97419" w:rsidRDefault="00B97419">
      <w:pPr>
        <w:spacing w:after="200" w:line="276" w:lineRule="auto"/>
        <w:jc w:val="left"/>
        <w:rPr>
          <w:b/>
          <w:lang w:val="en-US"/>
        </w:rPr>
      </w:pPr>
      <w:r>
        <w:br w:type="page"/>
      </w:r>
    </w:p>
    <w:p w:rsidR="00D76C0A" w:rsidRDefault="00D76C0A" w:rsidP="00D76C0A">
      <w:pPr>
        <w:pStyle w:val="TT-TableTitle"/>
      </w:pPr>
      <w:r>
        <w:lastRenderedPageBreak/>
        <w:t>Table 5.</w:t>
      </w:r>
      <w:r>
        <w:tab/>
        <w:t>Percentage distribution of sample cases at each weighting step</w:t>
      </w:r>
      <w:r w:rsidRPr="000C7B0A">
        <w:t xml:space="preserve"> for the ALL background questionnaire, by key characteristics: 2003</w:t>
      </w:r>
      <w:r>
        <w:t xml:space="preserve"> (Continued)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8"/>
        <w:gridCol w:w="1268"/>
        <w:gridCol w:w="954"/>
        <w:gridCol w:w="956"/>
        <w:gridCol w:w="954"/>
        <w:gridCol w:w="954"/>
        <w:gridCol w:w="954"/>
        <w:gridCol w:w="956"/>
      </w:tblGrid>
      <w:tr w:rsidR="00D76C0A" w:rsidTr="00D76C0A">
        <w:trPr>
          <w:trHeight w:val="55"/>
          <w:tblHeader/>
          <w:jc w:val="center"/>
        </w:trPr>
        <w:tc>
          <w:tcPr>
            <w:tcW w:w="1589" w:type="pct"/>
            <w:vMerge w:val="restart"/>
            <w:shd w:val="clear" w:color="auto" w:fill="AFBED7"/>
            <w:noWrap/>
            <w:tcMar>
              <w:top w:w="15" w:type="dxa"/>
              <w:left w:w="15" w:type="dxa"/>
              <w:bottom w:w="0" w:type="dxa"/>
              <w:right w:w="15" w:type="dxa"/>
            </w:tcMar>
            <w:vAlign w:val="bottom"/>
            <w:hideMark/>
          </w:tcPr>
          <w:p w:rsidR="00D76C0A" w:rsidRDefault="00D76C0A" w:rsidP="00D76C0A">
            <w:pPr>
              <w:pStyle w:val="TH-TableHeading"/>
            </w:pPr>
            <w:r>
              <w:t> </w:t>
            </w:r>
          </w:p>
        </w:tc>
        <w:tc>
          <w:tcPr>
            <w:tcW w:w="619" w:type="pct"/>
            <w:vMerge w:val="restart"/>
            <w:shd w:val="clear" w:color="auto" w:fill="AFBED7"/>
            <w:tcMar>
              <w:top w:w="15" w:type="dxa"/>
              <w:left w:w="15" w:type="dxa"/>
              <w:bottom w:w="0" w:type="dxa"/>
              <w:right w:w="15" w:type="dxa"/>
            </w:tcMar>
            <w:vAlign w:val="bottom"/>
            <w:hideMark/>
          </w:tcPr>
          <w:p w:rsidR="00D76C0A" w:rsidRDefault="00D76C0A" w:rsidP="00D76C0A">
            <w:pPr>
              <w:pStyle w:val="TH-TableHeading"/>
            </w:pPr>
            <w:r>
              <w:t>Total sample %</w:t>
            </w:r>
          </w:p>
        </w:tc>
        <w:tc>
          <w:tcPr>
            <w:tcW w:w="931" w:type="pct"/>
            <w:gridSpan w:val="2"/>
            <w:shd w:val="clear" w:color="auto" w:fill="AFBED7"/>
            <w:tcMar>
              <w:top w:w="15" w:type="dxa"/>
              <w:left w:w="15" w:type="dxa"/>
              <w:bottom w:w="0" w:type="dxa"/>
              <w:right w:w="15" w:type="dxa"/>
            </w:tcMar>
            <w:vAlign w:val="bottom"/>
            <w:hideMark/>
          </w:tcPr>
          <w:p w:rsidR="00D76C0A" w:rsidRDefault="00D76C0A" w:rsidP="00D76C0A">
            <w:pPr>
              <w:pStyle w:val="TH-TableHeading"/>
              <w:rPr>
                <w:i/>
                <w:iCs/>
              </w:rPr>
            </w:pPr>
            <w:r>
              <w:rPr>
                <w:i/>
                <w:iCs/>
              </w:rPr>
              <w:t>BQ</w:t>
            </w:r>
            <w:r>
              <w:t xml:space="preserve"> respondents </w:t>
            </w:r>
          </w:p>
        </w:tc>
        <w:tc>
          <w:tcPr>
            <w:tcW w:w="930" w:type="pct"/>
            <w:gridSpan w:val="2"/>
            <w:shd w:val="clear" w:color="auto" w:fill="AFBED7"/>
            <w:tcMar>
              <w:top w:w="15" w:type="dxa"/>
              <w:left w:w="15" w:type="dxa"/>
              <w:bottom w:w="0" w:type="dxa"/>
              <w:right w:w="15" w:type="dxa"/>
            </w:tcMar>
            <w:vAlign w:val="bottom"/>
            <w:hideMark/>
          </w:tcPr>
          <w:p w:rsidR="00D76C0A" w:rsidRDefault="00D76C0A" w:rsidP="00D76C0A">
            <w:pPr>
              <w:pStyle w:val="TH-TableHeading"/>
            </w:pPr>
            <w:r w:rsidRPr="00A77689">
              <w:t>Nonresponse</w:t>
            </w:r>
            <w:r>
              <w:t xml:space="preserve"> adjustment </w:t>
            </w:r>
          </w:p>
        </w:tc>
        <w:tc>
          <w:tcPr>
            <w:tcW w:w="931" w:type="pct"/>
            <w:gridSpan w:val="2"/>
            <w:shd w:val="clear" w:color="auto" w:fill="AFBED7"/>
            <w:tcMar>
              <w:top w:w="15" w:type="dxa"/>
              <w:left w:w="15" w:type="dxa"/>
              <w:bottom w:w="0" w:type="dxa"/>
              <w:right w:w="15" w:type="dxa"/>
            </w:tcMar>
            <w:vAlign w:val="bottom"/>
            <w:hideMark/>
          </w:tcPr>
          <w:p w:rsidR="00D76C0A" w:rsidRDefault="00D76C0A" w:rsidP="00D76C0A">
            <w:pPr>
              <w:pStyle w:val="TH-TableHeading"/>
            </w:pPr>
            <w:r>
              <w:t xml:space="preserve">Initial raking </w:t>
            </w:r>
          </w:p>
        </w:tc>
      </w:tr>
      <w:tr w:rsidR="00D76C0A" w:rsidTr="00D76C0A">
        <w:trPr>
          <w:trHeight w:val="55"/>
          <w:tblHeader/>
          <w:jc w:val="center"/>
        </w:trPr>
        <w:tc>
          <w:tcPr>
            <w:tcW w:w="1589" w:type="pct"/>
            <w:vMerge/>
            <w:shd w:val="clear" w:color="auto" w:fill="AFBED7"/>
            <w:noWrap/>
            <w:tcMar>
              <w:top w:w="15" w:type="dxa"/>
              <w:left w:w="15" w:type="dxa"/>
              <w:bottom w:w="0" w:type="dxa"/>
              <w:right w:w="15" w:type="dxa"/>
            </w:tcMar>
            <w:vAlign w:val="bottom"/>
            <w:hideMark/>
          </w:tcPr>
          <w:p w:rsidR="00D76C0A" w:rsidRDefault="00D76C0A" w:rsidP="00D76C0A">
            <w:pPr>
              <w:pStyle w:val="TH-TableHeading"/>
            </w:pPr>
          </w:p>
        </w:tc>
        <w:tc>
          <w:tcPr>
            <w:tcW w:w="619" w:type="pct"/>
            <w:vMerge/>
            <w:shd w:val="clear" w:color="auto" w:fill="AFBED7"/>
            <w:tcMar>
              <w:top w:w="15" w:type="dxa"/>
              <w:left w:w="15" w:type="dxa"/>
              <w:bottom w:w="0" w:type="dxa"/>
              <w:right w:w="15" w:type="dxa"/>
            </w:tcMar>
            <w:vAlign w:val="bottom"/>
            <w:hideMark/>
          </w:tcPr>
          <w:p w:rsidR="00D76C0A" w:rsidRDefault="00D76C0A" w:rsidP="00D76C0A">
            <w:pPr>
              <w:pStyle w:val="TH-TableHeading"/>
            </w:pPr>
          </w:p>
        </w:tc>
        <w:tc>
          <w:tcPr>
            <w:tcW w:w="465" w:type="pct"/>
            <w:shd w:val="clear" w:color="auto" w:fill="AFBED7"/>
            <w:tcMar>
              <w:top w:w="15" w:type="dxa"/>
              <w:left w:w="15" w:type="dxa"/>
              <w:bottom w:w="0" w:type="dxa"/>
              <w:right w:w="15" w:type="dxa"/>
            </w:tcMar>
            <w:vAlign w:val="bottom"/>
            <w:hideMark/>
          </w:tcPr>
          <w:p w:rsidR="00D76C0A" w:rsidRDefault="00D76C0A" w:rsidP="00D76C0A">
            <w:pPr>
              <w:pStyle w:val="TH-TableHeading"/>
            </w:pPr>
            <w:r>
              <w:t>%</w:t>
            </w:r>
          </w:p>
        </w:tc>
        <w:tc>
          <w:tcPr>
            <w:tcW w:w="466" w:type="pct"/>
            <w:shd w:val="clear" w:color="auto" w:fill="AFBED7"/>
            <w:tcMar>
              <w:top w:w="15" w:type="dxa"/>
              <w:left w:w="15" w:type="dxa"/>
              <w:bottom w:w="0" w:type="dxa"/>
              <w:right w:w="15" w:type="dxa"/>
            </w:tcMar>
            <w:vAlign w:val="bottom"/>
            <w:hideMark/>
          </w:tcPr>
          <w:p w:rsidR="00D76C0A" w:rsidRDefault="00D76C0A" w:rsidP="00D76C0A">
            <w:pPr>
              <w:pStyle w:val="TH-TableHeading"/>
            </w:pPr>
            <w:r w:rsidRPr="00243ED5">
              <w:rPr>
                <w:i/>
              </w:rPr>
              <w:t>p</w:t>
            </w:r>
            <w:r>
              <w:t xml:space="preserve"> value</w:t>
            </w:r>
            <w:r>
              <w:rPr>
                <w:vertAlign w:val="superscript"/>
              </w:rPr>
              <w:t>1</w:t>
            </w:r>
            <w:r>
              <w:t xml:space="preserve"> </w:t>
            </w:r>
          </w:p>
        </w:tc>
        <w:tc>
          <w:tcPr>
            <w:tcW w:w="465" w:type="pct"/>
            <w:shd w:val="clear" w:color="auto" w:fill="AFBED7"/>
            <w:tcMar>
              <w:top w:w="15" w:type="dxa"/>
              <w:left w:w="15" w:type="dxa"/>
              <w:bottom w:w="0" w:type="dxa"/>
              <w:right w:w="15" w:type="dxa"/>
            </w:tcMar>
            <w:vAlign w:val="bottom"/>
            <w:hideMark/>
          </w:tcPr>
          <w:p w:rsidR="00D76C0A" w:rsidRDefault="00D76C0A" w:rsidP="00D76C0A">
            <w:pPr>
              <w:pStyle w:val="TH-TableHeading"/>
            </w:pPr>
            <w:r>
              <w:t>%</w:t>
            </w:r>
          </w:p>
        </w:tc>
        <w:tc>
          <w:tcPr>
            <w:tcW w:w="465" w:type="pct"/>
            <w:shd w:val="clear" w:color="auto" w:fill="AFBED7"/>
            <w:tcMar>
              <w:top w:w="15" w:type="dxa"/>
              <w:left w:w="15" w:type="dxa"/>
              <w:bottom w:w="0" w:type="dxa"/>
              <w:right w:w="15" w:type="dxa"/>
            </w:tcMar>
            <w:vAlign w:val="bottom"/>
            <w:hideMark/>
          </w:tcPr>
          <w:p w:rsidR="00D76C0A" w:rsidRDefault="00D76C0A" w:rsidP="00D76C0A">
            <w:pPr>
              <w:pStyle w:val="TH-TableHeading"/>
              <w:rPr>
                <w:i/>
                <w:iCs/>
              </w:rPr>
            </w:pPr>
            <w:r>
              <w:rPr>
                <w:i/>
                <w:iCs/>
              </w:rPr>
              <w:t xml:space="preserve">p </w:t>
            </w:r>
            <w:r>
              <w:t>value</w:t>
            </w:r>
            <w:r>
              <w:rPr>
                <w:vertAlign w:val="superscript"/>
              </w:rPr>
              <w:t>1</w:t>
            </w:r>
            <w:r>
              <w:rPr>
                <w:i/>
                <w:iCs/>
              </w:rPr>
              <w:t xml:space="preserve"> </w:t>
            </w:r>
          </w:p>
        </w:tc>
        <w:tc>
          <w:tcPr>
            <w:tcW w:w="465" w:type="pct"/>
            <w:shd w:val="clear" w:color="auto" w:fill="AFBED7"/>
            <w:tcMar>
              <w:top w:w="15" w:type="dxa"/>
              <w:left w:w="15" w:type="dxa"/>
              <w:bottom w:w="0" w:type="dxa"/>
              <w:right w:w="15" w:type="dxa"/>
            </w:tcMar>
            <w:vAlign w:val="bottom"/>
            <w:hideMark/>
          </w:tcPr>
          <w:p w:rsidR="00D76C0A" w:rsidRDefault="00D76C0A" w:rsidP="00D76C0A">
            <w:pPr>
              <w:pStyle w:val="TH-TableHeading"/>
            </w:pPr>
            <w:r>
              <w:t>%</w:t>
            </w:r>
          </w:p>
        </w:tc>
        <w:tc>
          <w:tcPr>
            <w:tcW w:w="466" w:type="pct"/>
            <w:shd w:val="clear" w:color="auto" w:fill="AFBED7"/>
            <w:tcMar>
              <w:top w:w="15" w:type="dxa"/>
              <w:left w:w="15" w:type="dxa"/>
              <w:bottom w:w="0" w:type="dxa"/>
              <w:right w:w="15" w:type="dxa"/>
            </w:tcMar>
            <w:vAlign w:val="bottom"/>
            <w:hideMark/>
          </w:tcPr>
          <w:p w:rsidR="00D76C0A" w:rsidRDefault="00D76C0A" w:rsidP="00D76C0A">
            <w:pPr>
              <w:pStyle w:val="TH-TableHeading"/>
              <w:rPr>
                <w:i/>
                <w:iCs/>
              </w:rPr>
            </w:pPr>
            <w:r>
              <w:rPr>
                <w:i/>
                <w:iCs/>
              </w:rPr>
              <w:t xml:space="preserve">p </w:t>
            </w:r>
            <w:r>
              <w:t>value</w:t>
            </w:r>
            <w:r>
              <w:rPr>
                <w:vertAlign w:val="superscript"/>
              </w:rPr>
              <w:t>2</w:t>
            </w:r>
            <w:r>
              <w:rPr>
                <w:i/>
                <w:iCs/>
              </w:rPr>
              <w:t xml:space="preserve"> </w:t>
            </w:r>
          </w:p>
        </w:tc>
      </w:tr>
      <w:tr w:rsidR="00D76C0A" w:rsidTr="00D76C0A">
        <w:tblPrEx>
          <w:jc w:val="left"/>
        </w:tblPrEx>
        <w:trPr>
          <w:trHeight w:val="55"/>
        </w:trPr>
        <w:tc>
          <w:tcPr>
            <w:tcW w:w="1589" w:type="pct"/>
            <w:shd w:val="clear" w:color="auto" w:fill="auto"/>
            <w:tcMar>
              <w:top w:w="15" w:type="dxa"/>
              <w:left w:w="15" w:type="dxa"/>
              <w:bottom w:w="0" w:type="dxa"/>
              <w:right w:w="15" w:type="dxa"/>
            </w:tcMar>
            <w:vAlign w:val="bottom"/>
            <w:hideMark/>
          </w:tcPr>
          <w:p w:rsidR="00D76C0A" w:rsidRPr="00A77689" w:rsidRDefault="00D76C0A" w:rsidP="00D76C0A">
            <w:pPr>
              <w:pStyle w:val="TX-TableText"/>
              <w:rPr>
                <w:b/>
              </w:rPr>
            </w:pPr>
            <w:r w:rsidRPr="00A77689">
              <w:rPr>
                <w:b/>
              </w:rPr>
              <w:t xml:space="preserve">Percent below 150% of poverty </w:t>
            </w:r>
          </w:p>
        </w:tc>
        <w:tc>
          <w:tcPr>
            <w:tcW w:w="619"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p>
        </w:tc>
      </w:tr>
      <w:tr w:rsidR="00D76C0A" w:rsidTr="00D76C0A">
        <w:tblPrEx>
          <w:jc w:val="left"/>
        </w:tblPrEx>
        <w:trPr>
          <w:trHeight w:val="65"/>
        </w:trPr>
        <w:tc>
          <w:tcPr>
            <w:tcW w:w="1589" w:type="pct"/>
            <w:shd w:val="clear" w:color="auto" w:fill="auto"/>
            <w:tcMar>
              <w:top w:w="15" w:type="dxa"/>
              <w:left w:w="135" w:type="dxa"/>
              <w:bottom w:w="0" w:type="dxa"/>
              <w:right w:w="15" w:type="dxa"/>
            </w:tcMar>
            <w:vAlign w:val="bottom"/>
            <w:hideMark/>
          </w:tcPr>
          <w:p w:rsidR="00D76C0A" w:rsidRDefault="00D76C0A" w:rsidP="00D76C0A">
            <w:pPr>
              <w:pStyle w:val="TX-TableText"/>
            </w:pPr>
            <w:r>
              <w:t xml:space="preserve">less than or equal to 10% </w:t>
            </w:r>
          </w:p>
        </w:tc>
        <w:tc>
          <w:tcPr>
            <w:tcW w:w="619"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r>
              <w:t>31.5</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r>
              <w:t>30.7</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r>
              <w:t>0.137</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r>
              <w:t>31.6</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r>
              <w:t>0.912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r>
              <w:t>32.0</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r>
              <w:t>0.629</w:t>
            </w:r>
          </w:p>
        </w:tc>
      </w:tr>
      <w:tr w:rsidR="00D76C0A" w:rsidTr="00D76C0A">
        <w:tblPrEx>
          <w:jc w:val="left"/>
        </w:tblPrEx>
        <w:trPr>
          <w:trHeight w:val="138"/>
        </w:trPr>
        <w:tc>
          <w:tcPr>
            <w:tcW w:w="1589" w:type="pct"/>
            <w:shd w:val="clear" w:color="auto" w:fill="auto"/>
            <w:tcMar>
              <w:top w:w="15" w:type="dxa"/>
              <w:left w:w="135" w:type="dxa"/>
              <w:bottom w:w="0" w:type="dxa"/>
              <w:right w:w="15" w:type="dxa"/>
            </w:tcMar>
            <w:vAlign w:val="bottom"/>
            <w:hideMark/>
          </w:tcPr>
          <w:p w:rsidR="00D76C0A" w:rsidRDefault="00D76C0A" w:rsidP="00D76C0A">
            <w:pPr>
              <w:pStyle w:val="TX-TableText"/>
            </w:pPr>
            <w:r>
              <w:t xml:space="preserve">greater than 10% and less than or equal to 30% </w:t>
            </w:r>
          </w:p>
        </w:tc>
        <w:tc>
          <w:tcPr>
            <w:tcW w:w="619"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r>
              <w:t>45.4</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r>
              <w:t>44.9</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r>
              <w:t>0.372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r>
              <w:t>45.3</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r>
              <w:t>0.682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r>
              <w:t>45.4</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r>
              <w:t>0.814</w:t>
            </w:r>
          </w:p>
        </w:tc>
      </w:tr>
      <w:tr w:rsidR="00D76C0A" w:rsidTr="00D76C0A">
        <w:tblPrEx>
          <w:jc w:val="left"/>
        </w:tblPrEx>
        <w:trPr>
          <w:trHeight w:val="285"/>
        </w:trPr>
        <w:tc>
          <w:tcPr>
            <w:tcW w:w="1589" w:type="pct"/>
            <w:shd w:val="clear" w:color="auto" w:fill="auto"/>
            <w:tcMar>
              <w:top w:w="15" w:type="dxa"/>
              <w:left w:w="135" w:type="dxa"/>
              <w:bottom w:w="0" w:type="dxa"/>
              <w:right w:w="15" w:type="dxa"/>
            </w:tcMar>
            <w:vAlign w:val="bottom"/>
            <w:hideMark/>
          </w:tcPr>
          <w:p w:rsidR="00D76C0A" w:rsidRDefault="00D76C0A" w:rsidP="00D76C0A">
            <w:pPr>
              <w:pStyle w:val="TX-TableText"/>
            </w:pPr>
            <w:r>
              <w:t xml:space="preserve">greater than 30% </w:t>
            </w:r>
          </w:p>
        </w:tc>
        <w:tc>
          <w:tcPr>
            <w:tcW w:w="619"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683"/>
              </w:tabs>
            </w:pPr>
            <w:r>
              <w:t>23.1</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42"/>
              </w:tabs>
            </w:pPr>
            <w:r>
              <w:t>24.4</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198"/>
              </w:tabs>
            </w:pPr>
            <w:r>
              <w:t>0.002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04"/>
              </w:tabs>
            </w:pPr>
            <w:r>
              <w:t>23.2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251"/>
              </w:tabs>
            </w:pPr>
            <w:r>
              <w:t>0.452</w:t>
            </w:r>
          </w:p>
        </w:tc>
        <w:tc>
          <w:tcPr>
            <w:tcW w:w="465" w:type="pct"/>
            <w:shd w:val="clear" w:color="auto" w:fill="auto"/>
            <w:tcMar>
              <w:top w:w="15" w:type="dxa"/>
              <w:left w:w="15" w:type="dxa"/>
              <w:bottom w:w="0" w:type="dxa"/>
              <w:right w:w="15" w:type="dxa"/>
            </w:tcMar>
            <w:vAlign w:val="center"/>
            <w:hideMark/>
          </w:tcPr>
          <w:p w:rsidR="00D76C0A" w:rsidRDefault="00D76C0A" w:rsidP="00D76C0A">
            <w:pPr>
              <w:pStyle w:val="TX-TableText"/>
              <w:tabs>
                <w:tab w:val="decimal" w:pos="458"/>
              </w:tabs>
            </w:pPr>
            <w:r>
              <w:t>22.7</w:t>
            </w:r>
          </w:p>
        </w:tc>
        <w:tc>
          <w:tcPr>
            <w:tcW w:w="466" w:type="pct"/>
            <w:shd w:val="clear" w:color="auto" w:fill="auto"/>
            <w:tcMar>
              <w:top w:w="15" w:type="dxa"/>
              <w:left w:w="15" w:type="dxa"/>
              <w:bottom w:w="0" w:type="dxa"/>
              <w:right w:w="15" w:type="dxa"/>
            </w:tcMar>
            <w:vAlign w:val="center"/>
            <w:hideMark/>
          </w:tcPr>
          <w:p w:rsidR="00D76C0A" w:rsidRDefault="00D76C0A" w:rsidP="00D76C0A">
            <w:pPr>
              <w:pStyle w:val="TX-TableText"/>
              <w:jc w:val="center"/>
            </w:pPr>
            <w:r>
              <w:t>0.585</w:t>
            </w:r>
          </w:p>
        </w:tc>
      </w:tr>
    </w:tbl>
    <w:p w:rsidR="00976C53" w:rsidRPr="004F1FD8" w:rsidRDefault="00976C53" w:rsidP="00C8169D">
      <w:pPr>
        <w:pStyle w:val="TF-TblFN"/>
        <w:rPr>
          <w:rFonts w:ascii="Times New Roman" w:hAnsi="Times New Roman"/>
        </w:rPr>
      </w:pPr>
      <w:r w:rsidRPr="004F1FD8">
        <w:rPr>
          <w:rFonts w:ascii="Times New Roman" w:hAnsi="Times New Roman"/>
          <w:vertAlign w:val="superscript"/>
        </w:rPr>
        <w:t>1</w:t>
      </w:r>
      <w:r w:rsidR="004F1FD8" w:rsidRPr="004F1FD8">
        <w:rPr>
          <w:rFonts w:ascii="Times New Roman" w:hAnsi="Times New Roman"/>
          <w:vertAlign w:val="superscript"/>
        </w:rPr>
        <w:tab/>
      </w:r>
      <w:r w:rsidRPr="004F1FD8">
        <w:rPr>
          <w:rFonts w:ascii="Times New Roman" w:hAnsi="Times New Roman"/>
        </w:rPr>
        <w:t xml:space="preserve">The </w:t>
      </w:r>
      <w:r w:rsidR="00243ED5" w:rsidRPr="00243ED5">
        <w:rPr>
          <w:rFonts w:ascii="Times New Roman" w:hAnsi="Times New Roman"/>
          <w:i/>
        </w:rPr>
        <w:t>p</w:t>
      </w:r>
      <w:r w:rsidRPr="004F1FD8">
        <w:rPr>
          <w:rFonts w:ascii="Times New Roman" w:hAnsi="Times New Roman"/>
        </w:rPr>
        <w:t xml:space="preserve"> value and SE are for tests of difference between estimated percentage of current step and total sample (BQ base weights). </w:t>
      </w:r>
    </w:p>
    <w:p w:rsidR="00976C53" w:rsidRPr="004F1FD8" w:rsidRDefault="00976C53" w:rsidP="00C8169D">
      <w:pPr>
        <w:pStyle w:val="TF-TblFN"/>
        <w:rPr>
          <w:rFonts w:ascii="Times New Roman" w:hAnsi="Times New Roman"/>
        </w:rPr>
      </w:pPr>
      <w:r w:rsidRPr="004F1FD8">
        <w:rPr>
          <w:rFonts w:ascii="Times New Roman" w:hAnsi="Times New Roman"/>
          <w:vertAlign w:val="superscript"/>
        </w:rPr>
        <w:t>2</w:t>
      </w:r>
      <w:r w:rsidR="004F1FD8" w:rsidRPr="004F1FD8">
        <w:rPr>
          <w:rFonts w:ascii="Times New Roman" w:hAnsi="Times New Roman"/>
        </w:rPr>
        <w:tab/>
      </w:r>
      <w:r w:rsidRPr="004F1FD8">
        <w:rPr>
          <w:rFonts w:ascii="Times New Roman" w:hAnsi="Times New Roman"/>
        </w:rPr>
        <w:t xml:space="preserve">The </w:t>
      </w:r>
      <w:r w:rsidR="00243ED5" w:rsidRPr="00243ED5">
        <w:rPr>
          <w:rFonts w:ascii="Times New Roman" w:hAnsi="Times New Roman"/>
          <w:i/>
        </w:rPr>
        <w:t>p</w:t>
      </w:r>
      <w:r w:rsidRPr="004F1FD8">
        <w:rPr>
          <w:rFonts w:ascii="Times New Roman" w:hAnsi="Times New Roman"/>
        </w:rPr>
        <w:t xml:space="preserve"> value and SE are for tests of difference between estimated percentage of current and previous weighting steps. </w:t>
      </w:r>
    </w:p>
    <w:p w:rsidR="00976C53" w:rsidRDefault="00976C53" w:rsidP="00C8169D">
      <w:pPr>
        <w:pStyle w:val="TF-TblFN"/>
        <w:rPr>
          <w:rFonts w:ascii="Times New Roman" w:hAnsi="Times New Roman"/>
        </w:rPr>
      </w:pPr>
      <w:r w:rsidRPr="004F1FD8">
        <w:rPr>
          <w:rFonts w:ascii="Times New Roman" w:hAnsi="Times New Roman"/>
          <w:vertAlign w:val="superscript"/>
        </w:rPr>
        <w:t>3</w:t>
      </w:r>
      <w:r w:rsidR="004F1FD8" w:rsidRPr="004F1FD8">
        <w:rPr>
          <w:rFonts w:ascii="Times New Roman" w:hAnsi="Times New Roman"/>
          <w:vertAlign w:val="superscript"/>
        </w:rPr>
        <w:tab/>
      </w:r>
      <w:r w:rsidRPr="004F1FD8">
        <w:rPr>
          <w:rFonts w:ascii="Times New Roman" w:hAnsi="Times New Roman"/>
        </w:rPr>
        <w:t>This indicator was set to ‘urban’ if the largest percentage in the segment was inside urbanized areas; ‘suburban’ if the largest percentage was inside urban clusters; ‘</w:t>
      </w:r>
      <w:r w:rsidR="008D667B">
        <w:rPr>
          <w:rFonts w:ascii="Times New Roman" w:hAnsi="Times New Roman"/>
        </w:rPr>
        <w:t>r</w:t>
      </w:r>
      <w:r w:rsidR="008D667B" w:rsidRPr="004F1FD8">
        <w:rPr>
          <w:rFonts w:ascii="Times New Roman" w:hAnsi="Times New Roman"/>
        </w:rPr>
        <w:t xml:space="preserve">ural’ </w:t>
      </w:r>
      <w:r w:rsidRPr="004F1FD8">
        <w:rPr>
          <w:rFonts w:ascii="Times New Roman" w:hAnsi="Times New Roman"/>
        </w:rPr>
        <w:t>if the largest percentage was the rural population. The terms ‘</w:t>
      </w:r>
      <w:r w:rsidR="008D667B">
        <w:rPr>
          <w:rFonts w:ascii="Times New Roman" w:hAnsi="Times New Roman"/>
        </w:rPr>
        <w:t>u</w:t>
      </w:r>
      <w:r w:rsidR="008D667B" w:rsidRPr="004F1FD8">
        <w:rPr>
          <w:rFonts w:ascii="Times New Roman" w:hAnsi="Times New Roman"/>
        </w:rPr>
        <w:t xml:space="preserve">rbanized </w:t>
      </w:r>
      <w:r w:rsidRPr="004F1FD8">
        <w:rPr>
          <w:rFonts w:ascii="Times New Roman" w:hAnsi="Times New Roman"/>
        </w:rPr>
        <w:t xml:space="preserve">areas’, ‘urban clusters’, and ‘rural’ are Census </w:t>
      </w:r>
      <w:r w:rsidR="00AD6D3F" w:rsidRPr="004F1FD8">
        <w:rPr>
          <w:rFonts w:ascii="Times New Roman" w:hAnsi="Times New Roman"/>
        </w:rPr>
        <w:t>Bureau</w:t>
      </w:r>
      <w:r w:rsidR="00AD6D3F">
        <w:rPr>
          <w:rFonts w:ascii="Times New Roman" w:hAnsi="Times New Roman"/>
        </w:rPr>
        <w:t>-</w:t>
      </w:r>
      <w:r w:rsidRPr="004F1FD8">
        <w:rPr>
          <w:rFonts w:ascii="Times New Roman" w:hAnsi="Times New Roman"/>
        </w:rPr>
        <w:t>defined</w:t>
      </w:r>
      <w:r w:rsidR="00AD6D3F">
        <w:rPr>
          <w:rFonts w:ascii="Times New Roman" w:hAnsi="Times New Roman"/>
        </w:rPr>
        <w:t xml:space="preserve"> terms</w:t>
      </w:r>
      <w:r w:rsidRPr="004F1FD8">
        <w:rPr>
          <w:rFonts w:ascii="Times New Roman" w:hAnsi="Times New Roman"/>
        </w:rPr>
        <w:t>.</w:t>
      </w:r>
    </w:p>
    <w:p w:rsidR="00D76C0A" w:rsidRPr="004F1FD8" w:rsidRDefault="00D76C0A" w:rsidP="00D76C0A">
      <w:pPr>
        <w:pStyle w:val="TF-TblFN"/>
        <w:rPr>
          <w:rFonts w:ascii="Times New Roman" w:hAnsi="Times New Roman"/>
        </w:rPr>
      </w:pPr>
      <w:bookmarkStart w:id="257" w:name="_Toc255551064"/>
      <w:r w:rsidRPr="004F1FD8">
        <w:rPr>
          <w:rFonts w:ascii="Times New Roman" w:hAnsi="Times New Roman"/>
        </w:rPr>
        <w:t xml:space="preserve">SOURCE: U.S. Department of Education, National Center for Education Statistics, Adult Literacy and </w:t>
      </w:r>
      <w:proofErr w:type="spellStart"/>
      <w:r w:rsidRPr="004F1FD8">
        <w:rPr>
          <w:rFonts w:ascii="Times New Roman" w:hAnsi="Times New Roman"/>
        </w:rPr>
        <w:t>Lifeskills</w:t>
      </w:r>
      <w:proofErr w:type="spellEnd"/>
      <w:r w:rsidRPr="004F1FD8">
        <w:rPr>
          <w:rFonts w:ascii="Times New Roman" w:hAnsi="Times New Roman"/>
        </w:rPr>
        <w:t xml:space="preserve"> Survey (ALL), 2003.</w:t>
      </w:r>
    </w:p>
    <w:p w:rsidR="008D667B" w:rsidRDefault="008D667B" w:rsidP="00C50DAC">
      <w:pPr>
        <w:rPr>
          <w:szCs w:val="22"/>
        </w:rPr>
      </w:pPr>
    </w:p>
    <w:p w:rsidR="008D667B" w:rsidRDefault="008D667B" w:rsidP="00C50DAC">
      <w:pPr>
        <w:rPr>
          <w:szCs w:val="22"/>
        </w:rPr>
      </w:pPr>
    </w:p>
    <w:p w:rsidR="00C50DAC" w:rsidRPr="00C50DAC" w:rsidRDefault="00C50DAC" w:rsidP="00C50DAC">
      <w:pPr>
        <w:rPr>
          <w:szCs w:val="22"/>
        </w:rPr>
      </w:pPr>
      <w:r w:rsidRPr="00C50DAC">
        <w:rPr>
          <w:szCs w:val="22"/>
        </w:rPr>
        <w:t xml:space="preserve">Table 6 gives an example of correlations between auxiliary variables and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 xml:space="preserve">score measures for an adult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survey.  The percent</w:t>
      </w:r>
      <w:r w:rsidR="008D667B">
        <w:rPr>
          <w:szCs w:val="22"/>
        </w:rPr>
        <w:t>age</w:t>
      </w:r>
      <w:r w:rsidRPr="00C50DAC">
        <w:rPr>
          <w:szCs w:val="22"/>
        </w:rPr>
        <w:t xml:space="preserve"> aged 25+ with less than a high school education was found to be highly correlated with literacy score.  If this variable was also related to response propensity, using it in nonresponse adjustments should reduce the potential </w:t>
      </w:r>
      <w:r w:rsidR="00D76C0A" w:rsidRPr="00D76C0A">
        <w:rPr>
          <w:szCs w:val="22"/>
        </w:rPr>
        <w:t>NRB</w:t>
      </w:r>
      <w:r w:rsidRPr="00C50DAC">
        <w:rPr>
          <w:szCs w:val="22"/>
        </w:rPr>
        <w:t xml:space="preserve"> of literacy estimates.</w:t>
      </w:r>
    </w:p>
    <w:p w:rsidR="00C50DAC" w:rsidRDefault="00C50DAC" w:rsidP="00976C53">
      <w:pPr>
        <w:pStyle w:val="TT-TableTitle"/>
      </w:pPr>
    </w:p>
    <w:p w:rsidR="00B97419" w:rsidRDefault="00B97419">
      <w:pPr>
        <w:spacing w:after="200" w:line="276" w:lineRule="auto"/>
        <w:jc w:val="left"/>
      </w:pPr>
    </w:p>
    <w:p w:rsidR="00ED7163" w:rsidRDefault="00976C53" w:rsidP="00976C53">
      <w:pPr>
        <w:pStyle w:val="TT-TableTitle"/>
      </w:pPr>
      <w:r>
        <w:t>Table 6</w:t>
      </w:r>
      <w:r w:rsidR="0054006F">
        <w:t>.</w:t>
      </w:r>
      <w:r>
        <w:tab/>
      </w:r>
      <w:r w:rsidR="00ED7163" w:rsidRPr="00B92418">
        <w:t>Correlations of demographic variable with the outcome statistic</w:t>
      </w:r>
      <w:bookmarkEnd w:id="2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9"/>
        <w:gridCol w:w="1194"/>
        <w:gridCol w:w="1194"/>
        <w:gridCol w:w="1194"/>
        <w:gridCol w:w="1194"/>
        <w:gridCol w:w="1189"/>
      </w:tblGrid>
      <w:tr w:rsidR="00A3188D" w:rsidTr="009C2AAC">
        <w:trPr>
          <w:trHeight w:val="49"/>
          <w:jc w:val="center"/>
        </w:trPr>
        <w:tc>
          <w:tcPr>
            <w:tcW w:w="2092" w:type="pct"/>
            <w:vMerge w:val="restar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58" w:name="_Toc255550592"/>
            <w:bookmarkStart w:id="259" w:name="_Toc255550989"/>
            <w:bookmarkStart w:id="260" w:name="_Toc255809000"/>
            <w:r>
              <w:t>Variable</w:t>
            </w:r>
            <w:bookmarkEnd w:id="258"/>
            <w:bookmarkEnd w:id="259"/>
            <w:bookmarkEnd w:id="260"/>
          </w:p>
        </w:tc>
        <w:tc>
          <w:tcPr>
            <w:tcW w:w="2908" w:type="pct"/>
            <w:gridSpan w:val="5"/>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61" w:name="_Toc255550593"/>
            <w:bookmarkStart w:id="262" w:name="_Toc255550990"/>
            <w:bookmarkStart w:id="263" w:name="_Toc255809001"/>
            <w:r>
              <w:t>Absolute correlation with outcome statistic</w:t>
            </w:r>
            <w:bookmarkEnd w:id="261"/>
            <w:bookmarkEnd w:id="262"/>
            <w:bookmarkEnd w:id="263"/>
          </w:p>
        </w:tc>
      </w:tr>
      <w:tr w:rsidR="00A3188D" w:rsidTr="009C2AAC">
        <w:trPr>
          <w:trHeight w:val="49"/>
          <w:jc w:val="center"/>
        </w:trPr>
        <w:tc>
          <w:tcPr>
            <w:tcW w:w="2092" w:type="pct"/>
            <w:vMerge/>
            <w:shd w:val="clear" w:color="auto" w:fill="AFBED7"/>
            <w:noWrap/>
            <w:tcMar>
              <w:top w:w="15" w:type="dxa"/>
              <w:left w:w="15" w:type="dxa"/>
              <w:bottom w:w="0" w:type="dxa"/>
              <w:right w:w="15" w:type="dxa"/>
            </w:tcMar>
            <w:vAlign w:val="bottom"/>
            <w:hideMark/>
          </w:tcPr>
          <w:p w:rsidR="00A3188D" w:rsidRDefault="00A3188D" w:rsidP="00976C53">
            <w:pPr>
              <w:pStyle w:val="TH-TableHeading"/>
            </w:pPr>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64" w:name="_Toc255550594"/>
            <w:bookmarkStart w:id="265" w:name="_Toc255550991"/>
            <w:bookmarkStart w:id="266" w:name="_Toc255809002"/>
            <w:r>
              <w:t>&lt;0.1</w:t>
            </w:r>
            <w:bookmarkEnd w:id="264"/>
            <w:bookmarkEnd w:id="265"/>
            <w:bookmarkEnd w:id="266"/>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67" w:name="_Toc255550595"/>
            <w:bookmarkStart w:id="268" w:name="_Toc255550992"/>
            <w:bookmarkStart w:id="269" w:name="_Toc255809003"/>
            <w:r>
              <w:t>0.1-0.2</w:t>
            </w:r>
            <w:bookmarkEnd w:id="267"/>
            <w:bookmarkEnd w:id="268"/>
            <w:bookmarkEnd w:id="269"/>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70" w:name="_Toc255550596"/>
            <w:bookmarkStart w:id="271" w:name="_Toc255550993"/>
            <w:bookmarkStart w:id="272" w:name="_Toc255809004"/>
            <w:r>
              <w:t>0.2-0.3</w:t>
            </w:r>
            <w:bookmarkEnd w:id="270"/>
            <w:bookmarkEnd w:id="271"/>
            <w:bookmarkEnd w:id="272"/>
          </w:p>
        </w:tc>
        <w:tc>
          <w:tcPr>
            <w:tcW w:w="582"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73" w:name="_Toc255550597"/>
            <w:bookmarkStart w:id="274" w:name="_Toc255550994"/>
            <w:bookmarkStart w:id="275" w:name="_Toc255809005"/>
            <w:r>
              <w:t>0.3-0.4</w:t>
            </w:r>
            <w:bookmarkEnd w:id="273"/>
            <w:bookmarkEnd w:id="274"/>
            <w:bookmarkEnd w:id="275"/>
          </w:p>
        </w:tc>
        <w:tc>
          <w:tcPr>
            <w:tcW w:w="580" w:type="pct"/>
            <w:shd w:val="clear" w:color="auto" w:fill="AFBED7"/>
            <w:noWrap/>
            <w:tcMar>
              <w:top w:w="15" w:type="dxa"/>
              <w:left w:w="15" w:type="dxa"/>
              <w:bottom w:w="0" w:type="dxa"/>
              <w:right w:w="15" w:type="dxa"/>
            </w:tcMar>
            <w:vAlign w:val="bottom"/>
            <w:hideMark/>
          </w:tcPr>
          <w:p w:rsidR="00A3188D" w:rsidRDefault="00A3188D" w:rsidP="00976C53">
            <w:pPr>
              <w:pStyle w:val="TH-TableHeading"/>
            </w:pPr>
            <w:bookmarkStart w:id="276" w:name="_Toc255550598"/>
            <w:bookmarkStart w:id="277" w:name="_Toc255550995"/>
            <w:bookmarkStart w:id="278" w:name="_Toc255809006"/>
            <w:r>
              <w:t>&gt;0.4</w:t>
            </w:r>
            <w:bookmarkEnd w:id="276"/>
            <w:bookmarkEnd w:id="277"/>
            <w:bookmarkEnd w:id="278"/>
          </w:p>
        </w:tc>
      </w:tr>
      <w:tr w:rsidR="00976C53" w:rsidTr="00A3188D">
        <w:trPr>
          <w:trHeight w:val="285"/>
          <w:jc w:val="center"/>
        </w:trPr>
        <w:tc>
          <w:tcPr>
            <w:tcW w:w="2092" w:type="pct"/>
            <w:shd w:val="clear" w:color="auto" w:fill="auto"/>
            <w:tcMar>
              <w:top w:w="15" w:type="dxa"/>
              <w:left w:w="15" w:type="dxa"/>
              <w:bottom w:w="0" w:type="dxa"/>
              <w:right w:w="15" w:type="dxa"/>
            </w:tcMar>
            <w:vAlign w:val="bottom"/>
            <w:hideMark/>
          </w:tcPr>
          <w:p w:rsidR="00976C53" w:rsidRDefault="00976C53" w:rsidP="00976C53">
            <w:pPr>
              <w:pStyle w:val="TX-TableText"/>
            </w:pPr>
            <w:r>
              <w:t>Percent aged 25+ with less than high school education</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r>
      <w:tr w:rsidR="00976C53" w:rsidTr="00A3188D">
        <w:trPr>
          <w:trHeight w:val="285"/>
          <w:jc w:val="center"/>
        </w:trPr>
        <w:tc>
          <w:tcPr>
            <w:tcW w:w="2092" w:type="pct"/>
            <w:shd w:val="clear" w:color="auto" w:fill="auto"/>
            <w:tcMar>
              <w:top w:w="15" w:type="dxa"/>
              <w:left w:w="15" w:type="dxa"/>
              <w:bottom w:w="0" w:type="dxa"/>
              <w:right w:w="15" w:type="dxa"/>
            </w:tcMar>
            <w:vAlign w:val="bottom"/>
            <w:hideMark/>
          </w:tcPr>
          <w:p w:rsidR="00976C53" w:rsidRDefault="00976C53" w:rsidP="00976C53">
            <w:pPr>
              <w:pStyle w:val="TX-TableText"/>
            </w:pPr>
            <w:r>
              <w:t>Percent of adults speaking Spanish at home and English not well or not at all</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tcMar>
              <w:top w:w="15" w:type="dxa"/>
              <w:left w:w="15" w:type="dxa"/>
              <w:bottom w:w="0" w:type="dxa"/>
              <w:right w:w="15" w:type="dxa"/>
            </w:tcMar>
            <w:vAlign w:val="bottom"/>
            <w:hideMark/>
          </w:tcPr>
          <w:p w:rsidR="00976C53" w:rsidRDefault="00976C53" w:rsidP="00976C53">
            <w:pPr>
              <w:pStyle w:val="TX-TableText"/>
            </w:pPr>
            <w:r>
              <w:t>Percent below 150% of poverty</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Median Income</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Percent who rent</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Average household size</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Age</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r w:rsidR="00976C53" w:rsidTr="00A3188D">
        <w:trPr>
          <w:trHeight w:val="285"/>
          <w:jc w:val="center"/>
        </w:trPr>
        <w:tc>
          <w:tcPr>
            <w:tcW w:w="2092" w:type="pct"/>
            <w:shd w:val="clear" w:color="auto" w:fill="auto"/>
            <w:noWrap/>
            <w:tcMar>
              <w:top w:w="15" w:type="dxa"/>
              <w:left w:w="15" w:type="dxa"/>
              <w:bottom w:w="0" w:type="dxa"/>
              <w:right w:w="15" w:type="dxa"/>
            </w:tcMar>
            <w:vAlign w:val="bottom"/>
            <w:hideMark/>
          </w:tcPr>
          <w:p w:rsidR="00976C53" w:rsidRDefault="00976C53" w:rsidP="00976C53">
            <w:pPr>
              <w:pStyle w:val="TX-TableText"/>
            </w:pPr>
            <w:r>
              <w:t>Percent minority</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pPr>
            <w:r>
              <w:t>X</w:t>
            </w: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2"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c>
          <w:tcPr>
            <w:tcW w:w="580" w:type="pct"/>
            <w:shd w:val="clear" w:color="auto" w:fill="auto"/>
            <w:noWrap/>
            <w:tcMar>
              <w:top w:w="15" w:type="dxa"/>
              <w:left w:w="15" w:type="dxa"/>
              <w:bottom w:w="0" w:type="dxa"/>
              <w:right w:w="15" w:type="dxa"/>
            </w:tcMar>
            <w:vAlign w:val="center"/>
            <w:hideMark/>
          </w:tcPr>
          <w:p w:rsidR="00976C53" w:rsidRDefault="00976C53" w:rsidP="003D4967">
            <w:pPr>
              <w:pStyle w:val="TX-TableText"/>
              <w:jc w:val="center"/>
              <w:rPr>
                <w:sz w:val="22"/>
                <w:szCs w:val="22"/>
              </w:rPr>
            </w:pPr>
          </w:p>
        </w:tc>
      </w:tr>
    </w:tbl>
    <w:p w:rsidR="00A77689" w:rsidRPr="004F1FD8" w:rsidRDefault="00C50DAC" w:rsidP="00C8169D">
      <w:pPr>
        <w:pStyle w:val="TF-TblFN"/>
        <w:rPr>
          <w:rFonts w:ascii="Times New Roman" w:hAnsi="Times New Roman"/>
        </w:rPr>
      </w:pPr>
      <w:r w:rsidRPr="004F1FD8">
        <w:rPr>
          <w:rFonts w:ascii="Times New Roman" w:hAnsi="Times New Roman"/>
        </w:rPr>
        <w:t xml:space="preserve">SOURCE: U.S. Department of Education, National </w:t>
      </w:r>
      <w:r w:rsidR="008D667B">
        <w:rPr>
          <w:rFonts w:ascii="Times New Roman" w:hAnsi="Times New Roman"/>
        </w:rPr>
        <w:t>C</w:t>
      </w:r>
      <w:r w:rsidR="008D667B" w:rsidRPr="004F1FD8">
        <w:rPr>
          <w:rFonts w:ascii="Times New Roman" w:hAnsi="Times New Roman"/>
        </w:rPr>
        <w:t>ente</w:t>
      </w:r>
      <w:r w:rsidR="008D667B">
        <w:rPr>
          <w:rFonts w:ascii="Times New Roman" w:hAnsi="Times New Roman"/>
        </w:rPr>
        <w:t>r</w:t>
      </w:r>
      <w:r w:rsidR="008D667B" w:rsidRPr="004F1FD8">
        <w:rPr>
          <w:rFonts w:ascii="Times New Roman" w:hAnsi="Times New Roman"/>
        </w:rPr>
        <w:t xml:space="preserve"> </w:t>
      </w:r>
      <w:r w:rsidRPr="004F1FD8">
        <w:rPr>
          <w:rFonts w:ascii="Times New Roman" w:hAnsi="Times New Roman"/>
        </w:rPr>
        <w:t>for Education Statistics, National Assessment of Adult Literacy (NAAL), 2003</w:t>
      </w:r>
      <w:r w:rsidR="003D4967" w:rsidRPr="004F1FD8">
        <w:rPr>
          <w:rFonts w:ascii="Times New Roman" w:hAnsi="Times New Roman"/>
        </w:rPr>
        <w:t>.</w:t>
      </w:r>
    </w:p>
    <w:p w:rsidR="00A3188D" w:rsidRPr="004F1FD8" w:rsidRDefault="00A3188D" w:rsidP="003D4967">
      <w:pPr>
        <w:pStyle w:val="TT-TableTitle"/>
        <w:rPr>
          <w:b w:val="0"/>
        </w:rPr>
      </w:pPr>
    </w:p>
    <w:p w:rsidR="00C50DAC" w:rsidRDefault="00C50DAC" w:rsidP="00C50DAC">
      <w:pPr>
        <w:rPr>
          <w:szCs w:val="22"/>
        </w:rPr>
      </w:pPr>
      <w:bookmarkStart w:id="279" w:name="_Toc255551065"/>
      <w:r w:rsidRPr="00C50DAC">
        <w:rPr>
          <w:szCs w:val="22"/>
        </w:rPr>
        <w:t xml:space="preserve">Table 7 provides an example of the analysis of disposition codes to evaluate </w:t>
      </w:r>
      <w:r w:rsidR="00D76C0A" w:rsidRPr="00D76C0A">
        <w:rPr>
          <w:szCs w:val="22"/>
        </w:rPr>
        <w:t>NRB</w:t>
      </w:r>
      <w:r w:rsidRPr="00C50DAC">
        <w:rPr>
          <w:szCs w:val="22"/>
        </w:rPr>
        <w:t xml:space="preserve"> in an adult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 xml:space="preserve">survey.  The distribution of cases with a BQ disposition code of language problem or mental disability was compared to the distribution of the other </w:t>
      </w:r>
      <w:proofErr w:type="spellStart"/>
      <w:r w:rsidRPr="00C50DAC">
        <w:rPr>
          <w:szCs w:val="22"/>
        </w:rPr>
        <w:t>nonrespondents</w:t>
      </w:r>
      <w:proofErr w:type="spellEnd"/>
      <w:r w:rsidRPr="00C50DAC">
        <w:rPr>
          <w:szCs w:val="22"/>
        </w:rPr>
        <w:t>.  Chi-square tests were processed to determine if there was a relationship between select demographic variables and the disposition code groups (literacy-related or other) for incompletes.  Significant differences in the distribution by region, MSA status, and age were found between the two groups.  These variables were used in the weighting adjustments, which are expected to reduce the potential bias from literacy-related nonresponse.</w:t>
      </w:r>
    </w:p>
    <w:p w:rsidR="00C50DAC" w:rsidRPr="00C50DAC" w:rsidRDefault="00C50DAC" w:rsidP="00C50DAC">
      <w:pPr>
        <w:rPr>
          <w:szCs w:val="22"/>
        </w:rPr>
      </w:pPr>
    </w:p>
    <w:p w:rsidR="00B97419" w:rsidRDefault="00B97419">
      <w:pPr>
        <w:spacing w:after="200" w:line="276" w:lineRule="auto"/>
        <w:jc w:val="left"/>
        <w:rPr>
          <w:b/>
          <w:lang w:val="en-US"/>
        </w:rPr>
      </w:pPr>
      <w:r>
        <w:br w:type="page"/>
      </w:r>
    </w:p>
    <w:p w:rsidR="00ED7163" w:rsidRDefault="003D4967" w:rsidP="003D4967">
      <w:pPr>
        <w:pStyle w:val="TT-TableTitle"/>
      </w:pPr>
      <w:r>
        <w:lastRenderedPageBreak/>
        <w:t>Table 7</w:t>
      </w:r>
      <w:r w:rsidR="0054006F">
        <w:t>.</w:t>
      </w:r>
      <w:r>
        <w:tab/>
      </w:r>
      <w:r w:rsidR="00ED7163" w:rsidRPr="00B92418">
        <w:t xml:space="preserve">Distribution of </w:t>
      </w:r>
      <w:r w:rsidR="00ED7163" w:rsidRPr="00B92418">
        <w:rPr>
          <w:i/>
          <w:iCs/>
        </w:rPr>
        <w:t>BQ</w:t>
      </w:r>
      <w:r w:rsidR="00ED7163" w:rsidRPr="00B92418">
        <w:t xml:space="preserve"> incompletes, by disposition code category</w:t>
      </w:r>
      <w:bookmarkEnd w:id="2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1532"/>
        <w:gridCol w:w="1302"/>
        <w:gridCol w:w="2838"/>
        <w:gridCol w:w="1103"/>
        <w:gridCol w:w="1099"/>
      </w:tblGrid>
      <w:tr w:rsidR="003D4967" w:rsidRPr="0054006F" w:rsidTr="009C2AAC">
        <w:trPr>
          <w:trHeight w:val="49"/>
          <w:jc w:val="center"/>
        </w:trPr>
        <w:tc>
          <w:tcPr>
            <w:tcW w:w="1907" w:type="pct"/>
            <w:gridSpan w:val="2"/>
            <w:shd w:val="clear" w:color="auto" w:fill="AFBED7"/>
            <w:noWrap/>
            <w:tcMar>
              <w:top w:w="15" w:type="dxa"/>
              <w:left w:w="15" w:type="dxa"/>
              <w:bottom w:w="0" w:type="dxa"/>
              <w:right w:w="15" w:type="dxa"/>
            </w:tcMar>
            <w:vAlign w:val="bottom"/>
            <w:hideMark/>
          </w:tcPr>
          <w:p w:rsidR="003D4967" w:rsidRPr="0054006F" w:rsidRDefault="003D4967" w:rsidP="003D4967">
            <w:pPr>
              <w:pStyle w:val="TH-TableHeading"/>
            </w:pPr>
            <w:bookmarkStart w:id="280" w:name="_Toc255550599"/>
            <w:bookmarkStart w:id="281" w:name="_Toc255550996"/>
            <w:bookmarkStart w:id="282" w:name="_Toc255809007"/>
            <w:r w:rsidRPr="0054006F">
              <w:t>Domain</w:t>
            </w:r>
            <w:bookmarkEnd w:id="280"/>
            <w:bookmarkEnd w:id="281"/>
            <w:bookmarkEnd w:id="282"/>
          </w:p>
        </w:tc>
        <w:tc>
          <w:tcPr>
            <w:tcW w:w="2019" w:type="pct"/>
            <w:gridSpan w:val="2"/>
            <w:shd w:val="clear" w:color="auto" w:fill="AFBED7"/>
            <w:noWrap/>
            <w:tcMar>
              <w:top w:w="15" w:type="dxa"/>
              <w:left w:w="15" w:type="dxa"/>
              <w:bottom w:w="0" w:type="dxa"/>
              <w:right w:w="15" w:type="dxa"/>
            </w:tcMar>
            <w:vAlign w:val="bottom"/>
            <w:hideMark/>
          </w:tcPr>
          <w:p w:rsidR="003D4967" w:rsidRPr="0054006F" w:rsidRDefault="003D4967" w:rsidP="003D4967">
            <w:pPr>
              <w:pStyle w:val="TH-TableHeading"/>
            </w:pPr>
            <w:bookmarkStart w:id="283" w:name="_Toc255550600"/>
            <w:bookmarkStart w:id="284" w:name="_Toc255550997"/>
            <w:bookmarkStart w:id="285" w:name="_Toc255809008"/>
            <w:r w:rsidRPr="0054006F">
              <w:t>Literacy-related</w:t>
            </w:r>
            <w:r w:rsidRPr="0054006F">
              <w:rPr>
                <w:vertAlign w:val="superscript"/>
              </w:rPr>
              <w:t>2</w:t>
            </w:r>
            <w:bookmarkEnd w:id="283"/>
            <w:bookmarkEnd w:id="284"/>
            <w:bookmarkEnd w:id="285"/>
          </w:p>
        </w:tc>
        <w:tc>
          <w:tcPr>
            <w:tcW w:w="1074" w:type="pct"/>
            <w:gridSpan w:val="2"/>
            <w:shd w:val="clear" w:color="auto" w:fill="AFBED7"/>
            <w:noWrap/>
            <w:tcMar>
              <w:top w:w="15" w:type="dxa"/>
              <w:left w:w="15" w:type="dxa"/>
              <w:bottom w:w="0" w:type="dxa"/>
              <w:right w:w="15" w:type="dxa"/>
            </w:tcMar>
            <w:vAlign w:val="bottom"/>
            <w:hideMark/>
          </w:tcPr>
          <w:p w:rsidR="003D4967" w:rsidRPr="0054006F" w:rsidRDefault="003D4967" w:rsidP="003D4967">
            <w:pPr>
              <w:pStyle w:val="TH-TableHeading"/>
            </w:pPr>
            <w:bookmarkStart w:id="286" w:name="_Toc255550601"/>
            <w:bookmarkStart w:id="287" w:name="_Toc255550998"/>
            <w:bookmarkStart w:id="288" w:name="_Toc255809009"/>
            <w:r w:rsidRPr="0054006F">
              <w:t>other</w:t>
            </w:r>
            <w:bookmarkEnd w:id="286"/>
            <w:bookmarkEnd w:id="287"/>
            <w:bookmarkEnd w:id="288"/>
          </w:p>
        </w:tc>
      </w:tr>
      <w:tr w:rsidR="003D4967" w:rsidTr="009C2AAC">
        <w:trPr>
          <w:trHeight w:val="49"/>
          <w:jc w:val="center"/>
        </w:trPr>
        <w:tc>
          <w:tcPr>
            <w:tcW w:w="1907" w:type="pct"/>
            <w:gridSpan w:val="2"/>
            <w:shd w:val="clear" w:color="auto" w:fill="auto"/>
            <w:noWrap/>
            <w:tcMar>
              <w:top w:w="15" w:type="dxa"/>
              <w:left w:w="15" w:type="dxa"/>
              <w:bottom w:w="0" w:type="dxa"/>
              <w:right w:w="15" w:type="dxa"/>
            </w:tcMar>
            <w:vAlign w:val="bottom"/>
            <w:hideMark/>
          </w:tcPr>
          <w:p w:rsidR="003D4967" w:rsidRDefault="003D4967" w:rsidP="003D4967">
            <w:pPr>
              <w:pStyle w:val="TX-TableText"/>
            </w:pPr>
            <w:r>
              <w:t>Total incompletes</w:t>
            </w:r>
          </w:p>
        </w:tc>
        <w:tc>
          <w:tcPr>
            <w:tcW w:w="2019" w:type="pct"/>
            <w:gridSpan w:val="2"/>
            <w:shd w:val="clear" w:color="auto" w:fill="auto"/>
            <w:noWrap/>
            <w:tcMar>
              <w:top w:w="15" w:type="dxa"/>
              <w:left w:w="15" w:type="dxa"/>
              <w:bottom w:w="0" w:type="dxa"/>
              <w:right w:w="15" w:type="dxa"/>
            </w:tcMar>
            <w:vAlign w:val="bottom"/>
            <w:hideMark/>
          </w:tcPr>
          <w:p w:rsidR="003D4967" w:rsidRPr="003D4967" w:rsidRDefault="003D4967" w:rsidP="003D4967">
            <w:pPr>
              <w:pStyle w:val="TX-TableText"/>
              <w:jc w:val="center"/>
            </w:pPr>
            <w:r w:rsidRPr="003D4967">
              <w:t>355</w:t>
            </w:r>
          </w:p>
        </w:tc>
        <w:tc>
          <w:tcPr>
            <w:tcW w:w="1074" w:type="pct"/>
            <w:gridSpan w:val="2"/>
            <w:shd w:val="clear" w:color="auto" w:fill="auto"/>
            <w:noWrap/>
            <w:tcMar>
              <w:top w:w="15" w:type="dxa"/>
              <w:left w:w="15" w:type="dxa"/>
              <w:bottom w:w="0" w:type="dxa"/>
              <w:right w:w="15" w:type="dxa"/>
            </w:tcMar>
            <w:vAlign w:val="bottom"/>
            <w:hideMark/>
          </w:tcPr>
          <w:p w:rsidR="003D4967" w:rsidRPr="003D4967" w:rsidRDefault="003D4967" w:rsidP="003D4967">
            <w:pPr>
              <w:pStyle w:val="TX-TableText"/>
              <w:jc w:val="center"/>
            </w:pPr>
            <w:r w:rsidRPr="003D4967">
              <w:t>5,191</w:t>
            </w:r>
          </w:p>
        </w:tc>
      </w:tr>
      <w:tr w:rsidR="00A3188D" w:rsidTr="009C2AAC">
        <w:tblPrEx>
          <w:jc w:val="left"/>
        </w:tblPrEx>
        <w:trPr>
          <w:trHeight w:val="49"/>
        </w:trPr>
        <w:tc>
          <w:tcPr>
            <w:tcW w:w="1160" w:type="pct"/>
            <w:vMerge w:val="restart"/>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289" w:name="_Toc255550602"/>
            <w:bookmarkStart w:id="290" w:name="_Toc255550999"/>
            <w:bookmarkStart w:id="291" w:name="_Toc255809010"/>
            <w:r>
              <w:t>Domain</w:t>
            </w:r>
            <w:bookmarkEnd w:id="289"/>
            <w:bookmarkEnd w:id="290"/>
            <w:bookmarkEnd w:id="291"/>
          </w:p>
        </w:tc>
        <w:tc>
          <w:tcPr>
            <w:tcW w:w="2766" w:type="pct"/>
            <w:gridSpan w:val="3"/>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292" w:name="_Toc255550603"/>
            <w:bookmarkStart w:id="293" w:name="_Toc255551000"/>
            <w:bookmarkStart w:id="294" w:name="_Toc255809011"/>
            <w:r>
              <w:t>Incompletes</w:t>
            </w:r>
            <w:r>
              <w:rPr>
                <w:vertAlign w:val="superscript"/>
              </w:rPr>
              <w:t>1</w:t>
            </w:r>
            <w:bookmarkEnd w:id="292"/>
            <w:bookmarkEnd w:id="293"/>
            <w:bookmarkEnd w:id="294"/>
          </w:p>
        </w:tc>
        <w:tc>
          <w:tcPr>
            <w:tcW w:w="538" w:type="pct"/>
            <w:vMerge w:val="restart"/>
            <w:shd w:val="clear" w:color="auto" w:fill="AFBED7"/>
            <w:noWrap/>
            <w:tcMar>
              <w:top w:w="15" w:type="dxa"/>
              <w:left w:w="15" w:type="dxa"/>
              <w:bottom w:w="0" w:type="dxa"/>
              <w:right w:w="15" w:type="dxa"/>
            </w:tcMar>
            <w:vAlign w:val="bottom"/>
            <w:hideMark/>
          </w:tcPr>
          <w:p w:rsidR="00A3188D" w:rsidRDefault="00A3188D" w:rsidP="00A3188D">
            <w:pPr>
              <w:pStyle w:val="TH-TableHeading"/>
              <w:rPr>
                <w:bCs/>
              </w:rPr>
            </w:pPr>
            <w:bookmarkStart w:id="295" w:name="_Toc255550604"/>
            <w:bookmarkStart w:id="296" w:name="_Toc255551001"/>
            <w:bookmarkStart w:id="297" w:name="_Toc255809012"/>
            <w:r>
              <w:t>Statistic</w:t>
            </w:r>
            <w:bookmarkEnd w:id="295"/>
            <w:bookmarkEnd w:id="296"/>
            <w:bookmarkEnd w:id="297"/>
          </w:p>
        </w:tc>
        <w:tc>
          <w:tcPr>
            <w:tcW w:w="536" w:type="pct"/>
            <w:vMerge w:val="restart"/>
            <w:shd w:val="clear" w:color="auto" w:fill="AFBED7"/>
            <w:noWrap/>
            <w:tcMar>
              <w:top w:w="15" w:type="dxa"/>
              <w:left w:w="15" w:type="dxa"/>
              <w:bottom w:w="0" w:type="dxa"/>
              <w:right w:w="15" w:type="dxa"/>
            </w:tcMar>
            <w:vAlign w:val="bottom"/>
            <w:hideMark/>
          </w:tcPr>
          <w:p w:rsidR="00A3188D" w:rsidRDefault="00243ED5" w:rsidP="00A3188D">
            <w:pPr>
              <w:pStyle w:val="TH-TableHeading"/>
              <w:rPr>
                <w:bCs/>
              </w:rPr>
            </w:pPr>
            <w:bookmarkStart w:id="298" w:name="_Toc255550605"/>
            <w:bookmarkStart w:id="299" w:name="_Toc255551002"/>
            <w:bookmarkStart w:id="300" w:name="_Toc255809013"/>
            <w:r w:rsidRPr="00243ED5">
              <w:rPr>
                <w:i/>
              </w:rPr>
              <w:t xml:space="preserve">p </w:t>
            </w:r>
            <w:r w:rsidR="00A3188D">
              <w:t>value</w:t>
            </w:r>
            <w:bookmarkEnd w:id="298"/>
            <w:bookmarkEnd w:id="299"/>
            <w:bookmarkEnd w:id="300"/>
          </w:p>
        </w:tc>
      </w:tr>
      <w:tr w:rsidR="00A3188D" w:rsidTr="009C2AAC">
        <w:tblPrEx>
          <w:jc w:val="left"/>
        </w:tblPrEx>
        <w:trPr>
          <w:trHeight w:val="49"/>
        </w:trPr>
        <w:tc>
          <w:tcPr>
            <w:tcW w:w="1160" w:type="pct"/>
            <w:vMerge/>
            <w:shd w:val="clear" w:color="auto" w:fill="AFBED7"/>
            <w:vAlign w:val="center"/>
            <w:hideMark/>
          </w:tcPr>
          <w:p w:rsidR="00A3188D" w:rsidRDefault="00A3188D" w:rsidP="00A3188D">
            <w:pPr>
              <w:pStyle w:val="TH-TableHeading"/>
            </w:pPr>
          </w:p>
        </w:tc>
        <w:tc>
          <w:tcPr>
            <w:tcW w:w="1382" w:type="pct"/>
            <w:gridSpan w:val="2"/>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301" w:name="_Toc255550606"/>
            <w:bookmarkStart w:id="302" w:name="_Toc255551003"/>
            <w:bookmarkStart w:id="303" w:name="_Toc255809014"/>
            <w:r>
              <w:t>Literacy- related</w:t>
            </w:r>
            <w:r>
              <w:rPr>
                <w:vertAlign w:val="superscript"/>
              </w:rPr>
              <w:t xml:space="preserve">2 </w:t>
            </w:r>
            <w:r>
              <w:t>percent</w:t>
            </w:r>
            <w:bookmarkEnd w:id="301"/>
            <w:bookmarkEnd w:id="302"/>
            <w:bookmarkEnd w:id="303"/>
          </w:p>
        </w:tc>
        <w:tc>
          <w:tcPr>
            <w:tcW w:w="1384" w:type="pct"/>
            <w:shd w:val="clear" w:color="auto" w:fill="AFBED7"/>
            <w:noWrap/>
            <w:tcMar>
              <w:top w:w="15" w:type="dxa"/>
              <w:left w:w="15" w:type="dxa"/>
              <w:bottom w:w="0" w:type="dxa"/>
              <w:right w:w="15" w:type="dxa"/>
            </w:tcMar>
            <w:vAlign w:val="bottom"/>
            <w:hideMark/>
          </w:tcPr>
          <w:p w:rsidR="00A3188D" w:rsidRDefault="00A3188D" w:rsidP="00A3188D">
            <w:pPr>
              <w:pStyle w:val="TH-TableHeading"/>
            </w:pPr>
            <w:bookmarkStart w:id="304" w:name="_Toc255550607"/>
            <w:bookmarkStart w:id="305" w:name="_Toc255551004"/>
            <w:bookmarkStart w:id="306" w:name="_Toc255809015"/>
            <w:r>
              <w:t>OTHER percent</w:t>
            </w:r>
            <w:bookmarkEnd w:id="304"/>
            <w:bookmarkEnd w:id="305"/>
            <w:bookmarkEnd w:id="306"/>
          </w:p>
        </w:tc>
        <w:tc>
          <w:tcPr>
            <w:tcW w:w="538" w:type="pct"/>
            <w:vMerge/>
            <w:shd w:val="clear" w:color="auto" w:fill="AFBED7"/>
            <w:noWrap/>
            <w:tcMar>
              <w:top w:w="15" w:type="dxa"/>
              <w:left w:w="15" w:type="dxa"/>
              <w:bottom w:w="0" w:type="dxa"/>
              <w:right w:w="15" w:type="dxa"/>
            </w:tcMar>
            <w:vAlign w:val="bottom"/>
            <w:hideMark/>
          </w:tcPr>
          <w:p w:rsidR="00A3188D" w:rsidRDefault="00A3188D" w:rsidP="00A3188D">
            <w:pPr>
              <w:pStyle w:val="TH-TableHeading"/>
            </w:pPr>
          </w:p>
        </w:tc>
        <w:tc>
          <w:tcPr>
            <w:tcW w:w="536" w:type="pct"/>
            <w:vMerge/>
            <w:shd w:val="clear" w:color="auto" w:fill="AFBED7"/>
            <w:noWrap/>
            <w:tcMar>
              <w:top w:w="15" w:type="dxa"/>
              <w:left w:w="15" w:type="dxa"/>
              <w:bottom w:w="0" w:type="dxa"/>
              <w:right w:w="15" w:type="dxa"/>
            </w:tcMar>
            <w:vAlign w:val="bottom"/>
            <w:hideMark/>
          </w:tcPr>
          <w:p w:rsidR="00A3188D" w:rsidRDefault="00A3188D" w:rsidP="00A3188D">
            <w:pPr>
              <w:pStyle w:val="TH-TableHeading"/>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Total incompletes</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100</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100</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 </w:t>
            </w: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Region</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10</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0.006</w:t>
            </w: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Northeast</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16</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17</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 xml:space="preserve">Midwest </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18</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22</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South</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21</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38</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West</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45</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23</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MSA status</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9</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0.002</w:t>
            </w: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Non-MSA</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9</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18</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35" w:type="dxa"/>
              <w:bottom w:w="0" w:type="dxa"/>
              <w:right w:w="15" w:type="dxa"/>
            </w:tcMar>
            <w:vAlign w:val="bottom"/>
            <w:hideMark/>
          </w:tcPr>
          <w:p w:rsidR="00A3188D" w:rsidRPr="003D4967" w:rsidRDefault="00A3188D" w:rsidP="00A3188D">
            <w:pPr>
              <w:pStyle w:val="TX-TableText"/>
            </w:pPr>
            <w:r w:rsidRPr="003D4967">
              <w:t>MSA</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91</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82</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Age</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23</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w:t>
            </w:r>
            <w:r w:rsidR="00FA3DF8">
              <w:t>.000</w:t>
            </w: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16-29</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16</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20</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30-49</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37</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43</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50-69</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23</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27</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70+</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24</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11</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rPr>
                <w:b/>
              </w:rPr>
            </w:pPr>
            <w:r w:rsidRPr="003D4967">
              <w:rPr>
                <w:b/>
              </w:rPr>
              <w:t>Gender</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r w:rsidRPr="003D4967">
              <w:t>3</w:t>
            </w: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r w:rsidRPr="003D4967">
              <w:t>0.067</w:t>
            </w: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Male</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47</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53</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A3188D" w:rsidTr="009C2AAC">
        <w:tblPrEx>
          <w:jc w:val="left"/>
        </w:tblPrEx>
        <w:trPr>
          <w:trHeight w:val="49"/>
        </w:trPr>
        <w:tc>
          <w:tcPr>
            <w:tcW w:w="1160" w:type="pct"/>
            <w:shd w:val="clear" w:color="auto" w:fill="auto"/>
            <w:noWrap/>
            <w:tcMar>
              <w:top w:w="15" w:type="dxa"/>
              <w:left w:w="15" w:type="dxa"/>
              <w:bottom w:w="0" w:type="dxa"/>
              <w:right w:w="15" w:type="dxa"/>
            </w:tcMar>
            <w:vAlign w:val="bottom"/>
            <w:hideMark/>
          </w:tcPr>
          <w:p w:rsidR="00A3188D" w:rsidRPr="003D4967" w:rsidRDefault="00A3188D" w:rsidP="00A3188D">
            <w:pPr>
              <w:pStyle w:val="TX-TableText"/>
              <w:ind w:left="90"/>
            </w:pPr>
            <w:r w:rsidRPr="003D4967">
              <w:t>Female</w:t>
            </w:r>
          </w:p>
        </w:tc>
        <w:tc>
          <w:tcPr>
            <w:tcW w:w="1382" w:type="pct"/>
            <w:gridSpan w:val="2"/>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32"/>
              </w:tabs>
            </w:pPr>
            <w:r w:rsidRPr="003D4967">
              <w:t>53</w:t>
            </w:r>
          </w:p>
        </w:tc>
        <w:tc>
          <w:tcPr>
            <w:tcW w:w="1384"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1346"/>
              </w:tabs>
            </w:pPr>
            <w:r w:rsidRPr="003D4967">
              <w:t>47</w:t>
            </w:r>
          </w:p>
        </w:tc>
        <w:tc>
          <w:tcPr>
            <w:tcW w:w="538"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547"/>
              </w:tabs>
            </w:pPr>
          </w:p>
        </w:tc>
        <w:tc>
          <w:tcPr>
            <w:tcW w:w="536" w:type="pct"/>
            <w:shd w:val="clear" w:color="auto" w:fill="auto"/>
            <w:noWrap/>
            <w:tcMar>
              <w:top w:w="15" w:type="dxa"/>
              <w:left w:w="15" w:type="dxa"/>
              <w:bottom w:w="0" w:type="dxa"/>
              <w:right w:w="15" w:type="dxa"/>
            </w:tcMar>
            <w:vAlign w:val="bottom"/>
            <w:hideMark/>
          </w:tcPr>
          <w:p w:rsidR="00A3188D" w:rsidRPr="003D4967" w:rsidRDefault="00A3188D" w:rsidP="00FA3DF8">
            <w:pPr>
              <w:pStyle w:val="TX-TableText"/>
              <w:tabs>
                <w:tab w:val="decimal" w:pos="347"/>
              </w:tabs>
            </w:pP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rPr>
                <w:b/>
              </w:rPr>
            </w:pPr>
            <w:r w:rsidRPr="003D4967">
              <w:rPr>
                <w:b/>
              </w:rPr>
              <w:t>Race/ethnicity</w:t>
            </w:r>
          </w:p>
        </w:tc>
        <w:tc>
          <w:tcPr>
            <w:tcW w:w="1382" w:type="pct"/>
            <w:gridSpan w:val="2"/>
            <w:shd w:val="clear" w:color="auto" w:fill="auto"/>
            <w:tcMar>
              <w:top w:w="15" w:type="dxa"/>
              <w:left w:w="15" w:type="dxa"/>
              <w:bottom w:w="0" w:type="dxa"/>
              <w:right w:w="15" w:type="dxa"/>
            </w:tcMar>
            <w:vAlign w:val="bottom"/>
            <w:hideMark/>
          </w:tcPr>
          <w:p w:rsidR="009C2AAC" w:rsidRPr="003D4967" w:rsidRDefault="009C2AAC" w:rsidP="009C2AAC">
            <w:pPr>
              <w:pStyle w:val="TX-TableText"/>
              <w:tabs>
                <w:tab w:val="decimal" w:pos="1241"/>
              </w:tabs>
            </w:pP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r w:rsidRPr="003D4967">
              <w:t>2</w:t>
            </w: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348"/>
              </w:tabs>
            </w:pPr>
            <w:r w:rsidRPr="003D4967">
              <w:t>0.244</w:t>
            </w: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ind w:left="90"/>
            </w:pPr>
            <w:r w:rsidRPr="003D4967">
              <w:t>Hispanic</w:t>
            </w:r>
          </w:p>
        </w:tc>
        <w:tc>
          <w:tcPr>
            <w:tcW w:w="1382" w:type="pct"/>
            <w:gridSpan w:val="2"/>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41"/>
              </w:tabs>
            </w:pPr>
            <w:r w:rsidRPr="003D4967">
              <w:t>17</w:t>
            </w: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r w:rsidRPr="003D4967">
              <w:t>11</w:t>
            </w: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pP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ind w:left="90"/>
            </w:pPr>
            <w:r w:rsidRPr="003D4967">
              <w:t>NH Black only</w:t>
            </w:r>
          </w:p>
        </w:tc>
        <w:tc>
          <w:tcPr>
            <w:tcW w:w="1382" w:type="pct"/>
            <w:gridSpan w:val="2"/>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41"/>
              </w:tabs>
            </w:pPr>
            <w:r w:rsidRPr="003D4967">
              <w:t>6</w:t>
            </w: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r w:rsidRPr="003D4967">
              <w:t>9</w:t>
            </w: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pPr>
          </w:p>
        </w:tc>
      </w:tr>
      <w:tr w:rsidR="009C2AAC" w:rsidTr="00C50DAC">
        <w:tblPrEx>
          <w:jc w:val="left"/>
        </w:tblPrEx>
        <w:trPr>
          <w:trHeight w:val="49"/>
        </w:trPr>
        <w:tc>
          <w:tcPr>
            <w:tcW w:w="1160"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ind w:left="90"/>
            </w:pPr>
            <w:r w:rsidRPr="003D4967">
              <w:t>Other</w:t>
            </w:r>
          </w:p>
        </w:tc>
        <w:tc>
          <w:tcPr>
            <w:tcW w:w="1382" w:type="pct"/>
            <w:gridSpan w:val="2"/>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41"/>
              </w:tabs>
            </w:pPr>
            <w:r w:rsidRPr="003D4967">
              <w:t>77</w:t>
            </w:r>
          </w:p>
        </w:tc>
        <w:tc>
          <w:tcPr>
            <w:tcW w:w="1384"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tabs>
                <w:tab w:val="decimal" w:pos="1255"/>
              </w:tabs>
            </w:pPr>
            <w:r w:rsidRPr="003D4967">
              <w:t>79</w:t>
            </w:r>
          </w:p>
        </w:tc>
        <w:tc>
          <w:tcPr>
            <w:tcW w:w="538"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jc w:val="center"/>
            </w:pPr>
          </w:p>
        </w:tc>
        <w:tc>
          <w:tcPr>
            <w:tcW w:w="536" w:type="pct"/>
            <w:shd w:val="clear" w:color="auto" w:fill="auto"/>
            <w:noWrap/>
            <w:tcMar>
              <w:top w:w="15" w:type="dxa"/>
              <w:left w:w="15" w:type="dxa"/>
              <w:bottom w:w="0" w:type="dxa"/>
              <w:right w:w="15" w:type="dxa"/>
            </w:tcMar>
            <w:vAlign w:val="bottom"/>
            <w:hideMark/>
          </w:tcPr>
          <w:p w:rsidR="009C2AAC" w:rsidRPr="003D4967" w:rsidRDefault="009C2AAC" w:rsidP="009C2AAC">
            <w:pPr>
              <w:pStyle w:val="TX-TableText"/>
            </w:pPr>
            <w:r w:rsidRPr="003D4967">
              <w:t> </w:t>
            </w:r>
          </w:p>
        </w:tc>
      </w:tr>
    </w:tbl>
    <w:p w:rsidR="009C2AAC" w:rsidRPr="004F1FD8" w:rsidRDefault="009C2AAC" w:rsidP="009C2AAC">
      <w:pPr>
        <w:pStyle w:val="TF-TblFN"/>
        <w:rPr>
          <w:rFonts w:ascii="Times New Roman" w:hAnsi="Times New Roman"/>
        </w:rPr>
      </w:pPr>
      <w:r w:rsidRPr="004F1FD8">
        <w:rPr>
          <w:rFonts w:ascii="Times New Roman" w:hAnsi="Times New Roman"/>
        </w:rPr>
        <w:t>†</w:t>
      </w:r>
      <w:r w:rsidR="004F1FD8">
        <w:rPr>
          <w:rFonts w:ascii="Times New Roman" w:hAnsi="Times New Roman"/>
        </w:rPr>
        <w:tab/>
      </w:r>
      <w:r w:rsidRPr="004F1FD8">
        <w:rPr>
          <w:rFonts w:ascii="Times New Roman" w:hAnsi="Times New Roman"/>
        </w:rPr>
        <w:t>Not applicable</w:t>
      </w:r>
    </w:p>
    <w:p w:rsidR="009C2AAC" w:rsidRPr="004F1FD8" w:rsidRDefault="009C2AAC" w:rsidP="009C2AAC">
      <w:pPr>
        <w:pStyle w:val="TF-TblFN"/>
        <w:rPr>
          <w:rFonts w:ascii="Times New Roman" w:hAnsi="Times New Roman"/>
        </w:rPr>
      </w:pPr>
      <w:r w:rsidRPr="004F1FD8">
        <w:rPr>
          <w:rFonts w:ascii="Times New Roman" w:hAnsi="Times New Roman"/>
          <w:vertAlign w:val="superscript"/>
        </w:rPr>
        <w:t>1</w:t>
      </w:r>
      <w:r w:rsidR="004F1FD8">
        <w:rPr>
          <w:rFonts w:ascii="Times New Roman" w:hAnsi="Times New Roman"/>
          <w:vertAlign w:val="superscript"/>
        </w:rPr>
        <w:tab/>
      </w:r>
      <w:proofErr w:type="spellStart"/>
      <w:r w:rsidRPr="004F1FD8">
        <w:rPr>
          <w:rFonts w:ascii="Times New Roman" w:hAnsi="Times New Roman"/>
        </w:rPr>
        <w:t>Nonrespondents</w:t>
      </w:r>
      <w:proofErr w:type="spellEnd"/>
    </w:p>
    <w:p w:rsidR="008D7F5E" w:rsidRDefault="009C2AAC" w:rsidP="009C2AAC">
      <w:pPr>
        <w:pStyle w:val="TF-TblFN"/>
        <w:rPr>
          <w:rFonts w:ascii="Times New Roman" w:hAnsi="Times New Roman"/>
        </w:rPr>
      </w:pPr>
      <w:r w:rsidRPr="004F1FD8">
        <w:rPr>
          <w:rFonts w:ascii="Times New Roman" w:hAnsi="Times New Roman"/>
          <w:vertAlign w:val="superscript"/>
        </w:rPr>
        <w:t>2</w:t>
      </w:r>
      <w:r w:rsidR="004F1FD8">
        <w:rPr>
          <w:rFonts w:ascii="Times New Roman" w:hAnsi="Times New Roman"/>
        </w:rPr>
        <w:tab/>
      </w:r>
      <w:r w:rsidRPr="004F1FD8">
        <w:rPr>
          <w:rFonts w:ascii="Times New Roman" w:hAnsi="Times New Roman"/>
        </w:rPr>
        <w:t>Literacy-related reasons for nonresponse at the BQ stage consist of language problems and mental disabilities only</w:t>
      </w:r>
      <w:r w:rsidR="008D7F5E">
        <w:rPr>
          <w:rFonts w:ascii="Times New Roman" w:hAnsi="Times New Roman"/>
        </w:rPr>
        <w:t>.</w:t>
      </w:r>
    </w:p>
    <w:p w:rsidR="009C2AAC" w:rsidRDefault="008D7F5E" w:rsidP="009C2AAC">
      <w:pPr>
        <w:pStyle w:val="TF-TblFN"/>
        <w:rPr>
          <w:rFonts w:ascii="Times New Roman" w:hAnsi="Times New Roman"/>
        </w:rPr>
      </w:pPr>
      <w:r>
        <w:rPr>
          <w:rFonts w:ascii="Times New Roman" w:hAnsi="Times New Roman"/>
        </w:rPr>
        <w:tab/>
        <w:t>SOURCE</w:t>
      </w:r>
      <w:r w:rsidR="009C2AAC" w:rsidRPr="004F1FD8">
        <w:rPr>
          <w:rFonts w:ascii="Times New Roman" w:hAnsi="Times New Roman"/>
        </w:rPr>
        <w:t>: U.S. Department of Education, National Cente</w:t>
      </w:r>
      <w:r w:rsidR="008D667B">
        <w:rPr>
          <w:rFonts w:ascii="Times New Roman" w:hAnsi="Times New Roman"/>
        </w:rPr>
        <w:t>r</w:t>
      </w:r>
      <w:r w:rsidR="009C2AAC" w:rsidRPr="004F1FD8">
        <w:rPr>
          <w:rFonts w:ascii="Times New Roman" w:hAnsi="Times New Roman"/>
        </w:rPr>
        <w:t xml:space="preserve"> for Education Statistics, National Assessment of Adult Literacy (NAAL), 2003</w:t>
      </w:r>
      <w:r w:rsidR="008D667B">
        <w:rPr>
          <w:rFonts w:ascii="Times New Roman" w:hAnsi="Times New Roman"/>
        </w:rPr>
        <w:t>.</w:t>
      </w:r>
    </w:p>
    <w:p w:rsidR="00A3188D" w:rsidRPr="00C50DAC" w:rsidRDefault="00A3188D" w:rsidP="00C50DAC">
      <w:pPr>
        <w:rPr>
          <w:szCs w:val="22"/>
        </w:rPr>
      </w:pPr>
    </w:p>
    <w:p w:rsidR="00C50DAC" w:rsidRDefault="00C50DAC" w:rsidP="00C50DAC">
      <w:pPr>
        <w:rPr>
          <w:szCs w:val="22"/>
        </w:rPr>
      </w:pPr>
      <w:r w:rsidRPr="00C50DAC">
        <w:rPr>
          <w:szCs w:val="22"/>
        </w:rPr>
        <w:t xml:space="preserve">An example of an analysis of NIR data for an adult </w:t>
      </w:r>
      <w:r w:rsidR="008D667B">
        <w:rPr>
          <w:szCs w:val="22"/>
        </w:rPr>
        <w:t>compet</w:t>
      </w:r>
      <w:r w:rsidR="007C7A86">
        <w:rPr>
          <w:szCs w:val="22"/>
        </w:rPr>
        <w:t>e</w:t>
      </w:r>
      <w:r w:rsidR="008D667B">
        <w:rPr>
          <w:szCs w:val="22"/>
        </w:rPr>
        <w:t>ncy</w:t>
      </w:r>
      <w:r w:rsidR="008D667B" w:rsidRPr="00C50DAC">
        <w:rPr>
          <w:szCs w:val="22"/>
        </w:rPr>
        <w:t xml:space="preserve"> </w:t>
      </w:r>
      <w:r w:rsidRPr="00C50DAC">
        <w:rPr>
          <w:szCs w:val="22"/>
        </w:rPr>
        <w:t xml:space="preserve">survey is provided in Table 8.  The table summarizes data collected on the NIR regarding the household race of screener incompletes, as observed or gathered from </w:t>
      </w:r>
      <w:r w:rsidR="007C7A86" w:rsidRPr="00C50DAC">
        <w:rPr>
          <w:szCs w:val="22"/>
        </w:rPr>
        <w:t>neighbour</w:t>
      </w:r>
      <w:r w:rsidRPr="00C50DAC">
        <w:rPr>
          <w:szCs w:val="22"/>
        </w:rPr>
        <w:t xml:space="preserve"> information.  The base-weighted distribution is shown overall and by region.  For households where race was determined, Hispanic households were less common among screener incompletes compared to the population proportion.  This suggests a possible increase in response rates from accommodations made for Spanish speakers, such as bilingual interviewers.</w:t>
      </w:r>
    </w:p>
    <w:p w:rsidR="00C50DAC" w:rsidRPr="00C50DAC" w:rsidRDefault="00C50DAC" w:rsidP="00C50DAC">
      <w:pPr>
        <w:rPr>
          <w:szCs w:val="22"/>
        </w:rPr>
      </w:pPr>
    </w:p>
    <w:p w:rsidR="00B97419" w:rsidRDefault="00B97419">
      <w:pPr>
        <w:spacing w:after="200" w:line="276" w:lineRule="auto"/>
        <w:jc w:val="left"/>
      </w:pPr>
      <w:bookmarkStart w:id="307" w:name="_Toc255551067"/>
    </w:p>
    <w:p w:rsidR="00B97419" w:rsidRDefault="00B97419">
      <w:pPr>
        <w:spacing w:after="200" w:line="276" w:lineRule="auto"/>
        <w:jc w:val="left"/>
        <w:rPr>
          <w:b/>
          <w:lang w:val="en-US"/>
        </w:rPr>
      </w:pPr>
      <w:r>
        <w:br w:type="page"/>
      </w:r>
    </w:p>
    <w:p w:rsidR="00ED7163" w:rsidRDefault="00BB1140" w:rsidP="00BB1140">
      <w:pPr>
        <w:pStyle w:val="TT-TableTitle"/>
      </w:pPr>
      <w:r>
        <w:lastRenderedPageBreak/>
        <w:t>Table 8</w:t>
      </w:r>
      <w:r w:rsidR="008D667B">
        <w:t>.</w:t>
      </w:r>
      <w:r>
        <w:tab/>
      </w:r>
      <w:r w:rsidR="00ED7163" w:rsidRPr="00B92418">
        <w:t>Household race for screener incompletes with NIR data, by region</w:t>
      </w:r>
      <w:bookmarkEnd w:id="3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3"/>
        <w:gridCol w:w="1385"/>
        <w:gridCol w:w="1472"/>
        <w:gridCol w:w="1472"/>
        <w:gridCol w:w="1472"/>
        <w:gridCol w:w="1470"/>
      </w:tblGrid>
      <w:tr w:rsidR="00A3188D" w:rsidTr="009C2AAC">
        <w:trPr>
          <w:trHeight w:val="49"/>
          <w:jc w:val="center"/>
        </w:trPr>
        <w:tc>
          <w:tcPr>
            <w:tcW w:w="1454" w:type="pct"/>
            <w:vMerge w:val="restart"/>
            <w:shd w:val="clear" w:color="auto" w:fill="AFBED7"/>
            <w:noWrap/>
            <w:tcMar>
              <w:top w:w="15" w:type="dxa"/>
              <w:left w:w="15" w:type="dxa"/>
              <w:bottom w:w="0" w:type="dxa"/>
              <w:right w:w="15" w:type="dxa"/>
            </w:tcMar>
            <w:vAlign w:val="bottom"/>
            <w:hideMark/>
          </w:tcPr>
          <w:p w:rsidR="00A3188D" w:rsidRDefault="00A3188D" w:rsidP="000248AC">
            <w:pPr>
              <w:pStyle w:val="TH-TableHeading"/>
            </w:pPr>
            <w:r>
              <w:t> </w:t>
            </w:r>
          </w:p>
          <w:p w:rsidR="00A3188D" w:rsidRDefault="00A3188D" w:rsidP="000248AC">
            <w:pPr>
              <w:pStyle w:val="TH-TableHeading"/>
            </w:pPr>
            <w:bookmarkStart w:id="308" w:name="_Toc255550614"/>
            <w:bookmarkStart w:id="309" w:name="_Toc255551011"/>
            <w:bookmarkStart w:id="310" w:name="_Toc255809022"/>
            <w:r>
              <w:t>Household race</w:t>
            </w:r>
            <w:bookmarkEnd w:id="308"/>
            <w:bookmarkEnd w:id="309"/>
            <w:bookmarkEnd w:id="310"/>
          </w:p>
        </w:tc>
        <w:tc>
          <w:tcPr>
            <w:tcW w:w="675" w:type="pct"/>
            <w:vMerge w:val="restart"/>
            <w:shd w:val="clear" w:color="auto" w:fill="AFBED7"/>
            <w:noWrap/>
            <w:tcMar>
              <w:top w:w="15" w:type="dxa"/>
              <w:left w:w="15" w:type="dxa"/>
              <w:bottom w:w="0" w:type="dxa"/>
              <w:right w:w="15" w:type="dxa"/>
            </w:tcMar>
            <w:vAlign w:val="bottom"/>
            <w:hideMark/>
          </w:tcPr>
          <w:p w:rsidR="00A3188D" w:rsidRDefault="00A3188D" w:rsidP="000248AC">
            <w:pPr>
              <w:pStyle w:val="TH-TableHeading"/>
              <w:rPr>
                <w:sz w:val="22"/>
                <w:szCs w:val="22"/>
              </w:rPr>
            </w:pPr>
            <w:r>
              <w:rPr>
                <w:sz w:val="22"/>
                <w:szCs w:val="22"/>
              </w:rPr>
              <w:t> </w:t>
            </w:r>
          </w:p>
          <w:p w:rsidR="00A3188D" w:rsidRDefault="00A3188D" w:rsidP="000248AC">
            <w:pPr>
              <w:pStyle w:val="TH-TableHeading"/>
              <w:rPr>
                <w:sz w:val="22"/>
                <w:szCs w:val="22"/>
              </w:rPr>
            </w:pPr>
            <w:bookmarkStart w:id="311" w:name="_Toc255550615"/>
            <w:bookmarkStart w:id="312" w:name="_Toc255551012"/>
            <w:bookmarkStart w:id="313" w:name="_Toc255809023"/>
            <w:r>
              <w:t>Overall</w:t>
            </w:r>
            <w:bookmarkEnd w:id="311"/>
            <w:bookmarkEnd w:id="312"/>
            <w:bookmarkEnd w:id="313"/>
          </w:p>
        </w:tc>
        <w:tc>
          <w:tcPr>
            <w:tcW w:w="2871" w:type="pct"/>
            <w:gridSpan w:val="4"/>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314" w:name="_Toc255550616"/>
            <w:bookmarkStart w:id="315" w:name="_Toc255551013"/>
            <w:bookmarkStart w:id="316" w:name="_Toc255809024"/>
            <w:r>
              <w:t>Region</w:t>
            </w:r>
            <w:bookmarkEnd w:id="314"/>
            <w:bookmarkEnd w:id="315"/>
            <w:bookmarkEnd w:id="316"/>
          </w:p>
        </w:tc>
      </w:tr>
      <w:tr w:rsidR="00A3188D" w:rsidTr="009C2AAC">
        <w:trPr>
          <w:trHeight w:val="49"/>
          <w:jc w:val="center"/>
        </w:trPr>
        <w:tc>
          <w:tcPr>
            <w:tcW w:w="1454" w:type="pct"/>
            <w:vMerge/>
            <w:shd w:val="clear" w:color="auto" w:fill="AFBED7"/>
            <w:noWrap/>
            <w:tcMar>
              <w:top w:w="15" w:type="dxa"/>
              <w:left w:w="15" w:type="dxa"/>
              <w:bottom w:w="0" w:type="dxa"/>
              <w:right w:w="15" w:type="dxa"/>
            </w:tcMar>
            <w:vAlign w:val="bottom"/>
            <w:hideMark/>
          </w:tcPr>
          <w:p w:rsidR="00A3188D" w:rsidRDefault="00A3188D" w:rsidP="000248AC">
            <w:pPr>
              <w:pStyle w:val="TH-TableHeading"/>
            </w:pPr>
          </w:p>
        </w:tc>
        <w:tc>
          <w:tcPr>
            <w:tcW w:w="675" w:type="pct"/>
            <w:vMerge/>
            <w:shd w:val="clear" w:color="auto" w:fill="AFBED7"/>
            <w:tcMar>
              <w:top w:w="15" w:type="dxa"/>
              <w:left w:w="15" w:type="dxa"/>
              <w:bottom w:w="0" w:type="dxa"/>
              <w:right w:w="15" w:type="dxa"/>
            </w:tcMar>
            <w:vAlign w:val="bottom"/>
            <w:hideMark/>
          </w:tcPr>
          <w:p w:rsidR="00A3188D" w:rsidRDefault="00A3188D" w:rsidP="000248AC">
            <w:pPr>
              <w:pStyle w:val="TH-TableHeading"/>
            </w:pPr>
          </w:p>
        </w:tc>
        <w:tc>
          <w:tcPr>
            <w:tcW w:w="718"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317" w:name="_Toc255550617"/>
            <w:bookmarkStart w:id="318" w:name="_Toc255551014"/>
            <w:bookmarkStart w:id="319" w:name="_Toc255809025"/>
            <w:r>
              <w:t>Northeast</w:t>
            </w:r>
            <w:bookmarkEnd w:id="317"/>
            <w:bookmarkEnd w:id="318"/>
            <w:bookmarkEnd w:id="319"/>
          </w:p>
        </w:tc>
        <w:tc>
          <w:tcPr>
            <w:tcW w:w="718"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320" w:name="_Toc255550618"/>
            <w:bookmarkStart w:id="321" w:name="_Toc255551015"/>
            <w:bookmarkStart w:id="322" w:name="_Toc255809026"/>
            <w:r>
              <w:t>Midwest</w:t>
            </w:r>
            <w:bookmarkEnd w:id="320"/>
            <w:bookmarkEnd w:id="321"/>
            <w:bookmarkEnd w:id="322"/>
          </w:p>
        </w:tc>
        <w:tc>
          <w:tcPr>
            <w:tcW w:w="718"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323" w:name="_Toc255550619"/>
            <w:bookmarkStart w:id="324" w:name="_Toc255551016"/>
            <w:bookmarkStart w:id="325" w:name="_Toc255809027"/>
            <w:r>
              <w:t>South</w:t>
            </w:r>
            <w:bookmarkEnd w:id="323"/>
            <w:bookmarkEnd w:id="324"/>
            <w:bookmarkEnd w:id="325"/>
          </w:p>
        </w:tc>
        <w:tc>
          <w:tcPr>
            <w:tcW w:w="717" w:type="pct"/>
            <w:shd w:val="clear" w:color="auto" w:fill="AFBED7"/>
            <w:noWrap/>
            <w:tcMar>
              <w:top w:w="15" w:type="dxa"/>
              <w:left w:w="15" w:type="dxa"/>
              <w:bottom w:w="0" w:type="dxa"/>
              <w:right w:w="15" w:type="dxa"/>
            </w:tcMar>
            <w:vAlign w:val="bottom"/>
            <w:hideMark/>
          </w:tcPr>
          <w:p w:rsidR="00A3188D" w:rsidRDefault="00A3188D" w:rsidP="000248AC">
            <w:pPr>
              <w:pStyle w:val="TH-TableHeading"/>
            </w:pPr>
            <w:bookmarkStart w:id="326" w:name="_Toc255550620"/>
            <w:bookmarkStart w:id="327" w:name="_Toc255551017"/>
            <w:bookmarkStart w:id="328" w:name="_Toc255809028"/>
            <w:r>
              <w:t>West</w:t>
            </w:r>
            <w:bookmarkEnd w:id="326"/>
            <w:bookmarkEnd w:id="327"/>
            <w:bookmarkEnd w:id="328"/>
          </w:p>
        </w:tc>
      </w:tr>
      <w:tr w:rsidR="000248AC" w:rsidTr="009C2AAC">
        <w:trPr>
          <w:trHeight w:val="49"/>
          <w:jc w:val="center"/>
        </w:trPr>
        <w:tc>
          <w:tcPr>
            <w:tcW w:w="1454" w:type="pct"/>
            <w:shd w:val="clear" w:color="auto" w:fill="auto"/>
            <w:noWrap/>
            <w:tcMar>
              <w:top w:w="15" w:type="dxa"/>
              <w:left w:w="15" w:type="dxa"/>
              <w:bottom w:w="0" w:type="dxa"/>
              <w:right w:w="15" w:type="dxa"/>
            </w:tcMar>
            <w:vAlign w:val="bottom"/>
            <w:hideMark/>
          </w:tcPr>
          <w:p w:rsidR="000248AC" w:rsidRDefault="000248AC" w:rsidP="000248AC">
            <w:pPr>
              <w:pStyle w:val="TX-TableText"/>
            </w:pPr>
            <w:r>
              <w:t>Total</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4,276</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1"/>
              </w:tabs>
            </w:pPr>
            <w:r>
              <w:t>1,327</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819</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5"/>
              </w:tabs>
            </w:pPr>
            <w:r>
              <w:t>1,571</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7"/>
              </w:tabs>
            </w:pPr>
            <w:r>
              <w:t>559</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ind w:left="-260"/>
            </w:pPr>
            <w:r>
              <w:t>Not ascertained</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2,197</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1"/>
              </w:tabs>
            </w:pPr>
            <w:r>
              <w:t>548</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535</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5"/>
              </w:tabs>
            </w:pPr>
            <w:r>
              <w:t>804</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7"/>
              </w:tabs>
            </w:pPr>
            <w:r>
              <w:t>310</w:t>
            </w:r>
          </w:p>
        </w:tc>
      </w:tr>
      <w:tr w:rsidR="000248AC" w:rsidTr="009C2AAC">
        <w:trPr>
          <w:trHeight w:val="49"/>
          <w:jc w:val="center"/>
        </w:trPr>
        <w:tc>
          <w:tcPr>
            <w:tcW w:w="1454" w:type="pct"/>
            <w:shd w:val="clear" w:color="auto" w:fill="AFBED7"/>
            <w:noWrap/>
            <w:tcMar>
              <w:top w:w="15" w:type="dxa"/>
              <w:left w:w="15" w:type="dxa"/>
              <w:bottom w:w="0" w:type="dxa"/>
              <w:right w:w="15" w:type="dxa"/>
            </w:tcMar>
            <w:vAlign w:val="bottom"/>
            <w:hideMark/>
          </w:tcPr>
          <w:p w:rsidR="000248AC" w:rsidRDefault="000248AC" w:rsidP="000248AC">
            <w:pPr>
              <w:pStyle w:val="TH-TableHeading"/>
            </w:pPr>
            <w:r>
              <w:t> </w:t>
            </w:r>
          </w:p>
        </w:tc>
        <w:tc>
          <w:tcPr>
            <w:tcW w:w="675"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329" w:name="_Toc255550621"/>
            <w:bookmarkStart w:id="330" w:name="_Toc255551018"/>
            <w:bookmarkStart w:id="331" w:name="_Toc255809029"/>
            <w:r>
              <w:t>Percent</w:t>
            </w:r>
            <w:bookmarkEnd w:id="329"/>
            <w:bookmarkEnd w:id="330"/>
            <w:bookmarkEnd w:id="331"/>
          </w:p>
        </w:tc>
        <w:tc>
          <w:tcPr>
            <w:tcW w:w="718"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332" w:name="_Toc255550622"/>
            <w:bookmarkStart w:id="333" w:name="_Toc255551019"/>
            <w:bookmarkStart w:id="334" w:name="_Toc255809030"/>
            <w:r>
              <w:t>Percent</w:t>
            </w:r>
            <w:bookmarkEnd w:id="332"/>
            <w:bookmarkEnd w:id="333"/>
            <w:bookmarkEnd w:id="334"/>
          </w:p>
        </w:tc>
        <w:tc>
          <w:tcPr>
            <w:tcW w:w="718"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335" w:name="_Toc255550623"/>
            <w:bookmarkStart w:id="336" w:name="_Toc255551020"/>
            <w:bookmarkStart w:id="337" w:name="_Toc255809031"/>
            <w:r>
              <w:t>Percent</w:t>
            </w:r>
            <w:bookmarkEnd w:id="335"/>
            <w:bookmarkEnd w:id="336"/>
            <w:bookmarkEnd w:id="337"/>
          </w:p>
        </w:tc>
        <w:tc>
          <w:tcPr>
            <w:tcW w:w="718"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338" w:name="_Toc255550624"/>
            <w:bookmarkStart w:id="339" w:name="_Toc255551021"/>
            <w:bookmarkStart w:id="340" w:name="_Toc255809032"/>
            <w:r>
              <w:t>Percent</w:t>
            </w:r>
            <w:bookmarkEnd w:id="338"/>
            <w:bookmarkEnd w:id="339"/>
            <w:bookmarkEnd w:id="340"/>
          </w:p>
        </w:tc>
        <w:tc>
          <w:tcPr>
            <w:tcW w:w="717" w:type="pct"/>
            <w:shd w:val="clear" w:color="auto" w:fill="AFBED7"/>
            <w:noWrap/>
            <w:tcMar>
              <w:top w:w="15" w:type="dxa"/>
              <w:left w:w="15" w:type="dxa"/>
              <w:bottom w:w="0" w:type="dxa"/>
              <w:right w:w="15" w:type="dxa"/>
            </w:tcMar>
            <w:vAlign w:val="bottom"/>
            <w:hideMark/>
          </w:tcPr>
          <w:p w:rsidR="000248AC" w:rsidRDefault="000248AC" w:rsidP="000248AC">
            <w:pPr>
              <w:pStyle w:val="TH-TableHeading"/>
            </w:pPr>
            <w:bookmarkStart w:id="341" w:name="_Toc255550625"/>
            <w:bookmarkStart w:id="342" w:name="_Toc255551022"/>
            <w:bookmarkStart w:id="343" w:name="_Toc255809033"/>
            <w:r>
              <w:t>Percent</w:t>
            </w:r>
            <w:bookmarkEnd w:id="341"/>
            <w:bookmarkEnd w:id="342"/>
            <w:bookmarkEnd w:id="343"/>
          </w:p>
        </w:tc>
      </w:tr>
      <w:tr w:rsidR="000248AC" w:rsidTr="009C2AAC">
        <w:trPr>
          <w:trHeight w:val="49"/>
          <w:jc w:val="center"/>
        </w:trPr>
        <w:tc>
          <w:tcPr>
            <w:tcW w:w="1454" w:type="pct"/>
            <w:shd w:val="clear" w:color="auto" w:fill="auto"/>
            <w:noWrap/>
            <w:tcMar>
              <w:top w:w="15" w:type="dxa"/>
              <w:left w:w="15" w:type="dxa"/>
              <w:bottom w:w="0" w:type="dxa"/>
              <w:right w:w="15" w:type="dxa"/>
            </w:tcMar>
            <w:vAlign w:val="bottom"/>
            <w:hideMark/>
          </w:tcPr>
          <w:p w:rsidR="000248AC" w:rsidRPr="00A3188D" w:rsidRDefault="000248AC" w:rsidP="000248AC">
            <w:pPr>
              <w:pStyle w:val="TX-TableText"/>
              <w:rPr>
                <w:b/>
              </w:rPr>
            </w:pPr>
            <w:r w:rsidRPr="00A3188D">
              <w:rPr>
                <w:b/>
              </w:rPr>
              <w:t>Total</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100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100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100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100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100</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White</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73</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73</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84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70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67</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Black</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10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6</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7</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15</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7</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Hispanic</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3</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3</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8</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Asian</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1</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2</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9</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NH/PI</w:t>
            </w:r>
            <w:r>
              <w:rPr>
                <w:vertAlign w:val="superscript"/>
              </w:rPr>
              <w:t>1</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1</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AI/AN</w:t>
            </w:r>
            <w:r>
              <w:rPr>
                <w:vertAlign w:val="superscript"/>
              </w:rPr>
              <w:t>2</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Other</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1</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jc w:val="center"/>
            </w:pPr>
            <w:r>
              <w:t>#</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1</w:t>
            </w:r>
          </w:p>
        </w:tc>
      </w:tr>
      <w:tr w:rsidR="000248AC" w:rsidTr="009C2AAC">
        <w:trPr>
          <w:trHeight w:val="49"/>
          <w:jc w:val="center"/>
        </w:trPr>
        <w:tc>
          <w:tcPr>
            <w:tcW w:w="1454" w:type="pct"/>
            <w:shd w:val="clear" w:color="auto" w:fill="auto"/>
            <w:noWrap/>
            <w:tcMar>
              <w:top w:w="15" w:type="dxa"/>
              <w:left w:w="270" w:type="dxa"/>
              <w:bottom w:w="0" w:type="dxa"/>
              <w:right w:w="15" w:type="dxa"/>
            </w:tcMar>
            <w:vAlign w:val="bottom"/>
            <w:hideMark/>
          </w:tcPr>
          <w:p w:rsidR="000248AC" w:rsidRDefault="000248AC" w:rsidP="000248AC">
            <w:pPr>
              <w:pStyle w:val="TX-TableText"/>
            </w:pPr>
            <w:r>
              <w:t>Cannot determine</w:t>
            </w:r>
          </w:p>
        </w:tc>
        <w:tc>
          <w:tcPr>
            <w:tcW w:w="675"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869"/>
              </w:tabs>
            </w:pPr>
            <w:r>
              <w:t>10</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1"/>
              </w:tabs>
            </w:pPr>
            <w:r>
              <w:t>14</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3"/>
              </w:tabs>
            </w:pPr>
            <w:r>
              <w:t>5</w:t>
            </w:r>
          </w:p>
        </w:tc>
        <w:tc>
          <w:tcPr>
            <w:tcW w:w="718"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5"/>
              </w:tabs>
            </w:pPr>
            <w:r>
              <w:t>10</w:t>
            </w:r>
          </w:p>
        </w:tc>
        <w:tc>
          <w:tcPr>
            <w:tcW w:w="717" w:type="pct"/>
            <w:shd w:val="clear" w:color="auto" w:fill="auto"/>
            <w:noWrap/>
            <w:tcMar>
              <w:top w:w="15" w:type="dxa"/>
              <w:left w:w="15" w:type="dxa"/>
              <w:bottom w:w="0" w:type="dxa"/>
              <w:right w:w="15" w:type="dxa"/>
            </w:tcMar>
            <w:vAlign w:val="bottom"/>
            <w:hideMark/>
          </w:tcPr>
          <w:p w:rsidR="000248AC" w:rsidRDefault="000248AC" w:rsidP="00FA3DF8">
            <w:pPr>
              <w:pStyle w:val="TX-TableText"/>
              <w:tabs>
                <w:tab w:val="decimal" w:pos="777"/>
              </w:tabs>
            </w:pPr>
            <w:r>
              <w:t>8</w:t>
            </w:r>
          </w:p>
        </w:tc>
      </w:tr>
    </w:tbl>
    <w:p w:rsidR="00C50DAC" w:rsidRPr="004F1FD8" w:rsidRDefault="008D667B" w:rsidP="00C50DAC">
      <w:pPr>
        <w:pStyle w:val="TF-TblFN"/>
        <w:rPr>
          <w:rFonts w:ascii="Times New Roman" w:hAnsi="Times New Roman"/>
        </w:rPr>
      </w:pPr>
      <w:r>
        <w:rPr>
          <w:rFonts w:ascii="Times New Roman" w:hAnsi="Times New Roman"/>
        </w:rPr>
        <w:t xml:space="preserve">SOURCE: </w:t>
      </w:r>
      <w:r w:rsidR="00C50DAC" w:rsidRPr="004F1FD8">
        <w:rPr>
          <w:rFonts w:ascii="Times New Roman" w:hAnsi="Times New Roman"/>
        </w:rPr>
        <w:t>Department of Education, National Cente</w:t>
      </w:r>
      <w:r>
        <w:rPr>
          <w:rFonts w:ascii="Times New Roman" w:hAnsi="Times New Roman"/>
        </w:rPr>
        <w:t>r</w:t>
      </w:r>
      <w:r w:rsidR="00C50DAC" w:rsidRPr="004F1FD8">
        <w:rPr>
          <w:rFonts w:ascii="Times New Roman" w:hAnsi="Times New Roman"/>
        </w:rPr>
        <w:t xml:space="preserve"> for Education Statistics, National Assessment of Adult Literacy (NAAL), 2003</w:t>
      </w:r>
      <w:r>
        <w:rPr>
          <w:rFonts w:ascii="Times New Roman" w:hAnsi="Times New Roman"/>
        </w:rPr>
        <w:t>.</w:t>
      </w:r>
    </w:p>
    <w:p w:rsidR="000248AC" w:rsidRDefault="000248AC" w:rsidP="00C15F40"/>
    <w:p w:rsidR="00C50DAC" w:rsidRDefault="00C50DAC" w:rsidP="00C15F40">
      <w:r w:rsidRPr="00C50DAC">
        <w:t>Table 9 shows an example of a comparison of literacy estimates for late versus early respondents.  Calculations were done using marginal maximum likelihood (MML) means.  The results indicate a small but significant bias in Statistic 2 if focused followup efforts (as describe in section 2) had not been successful in obtaining responses from respondents at the end of the data collection period (</w:t>
      </w:r>
      <w:r w:rsidR="008D667B">
        <w:t>i.e.</w:t>
      </w:r>
      <w:r w:rsidRPr="00C50DAC">
        <w:t xml:space="preserve"> if data about respondents at the end of the data collection period had been missing).  This suggests some small level of </w:t>
      </w:r>
      <w:r w:rsidR="00D76C0A" w:rsidRPr="00D76C0A">
        <w:t>NRB</w:t>
      </w:r>
      <w:r w:rsidRPr="00C50DAC">
        <w:t xml:space="preserve"> may be present to the extent that </w:t>
      </w:r>
      <w:proofErr w:type="spellStart"/>
      <w:r w:rsidRPr="00C50DAC">
        <w:t>nonrespondents</w:t>
      </w:r>
      <w:proofErr w:type="spellEnd"/>
      <w:r w:rsidRPr="00C50DAC">
        <w:t xml:space="preserve"> are similar to respondents at the end of the data collection period.</w:t>
      </w:r>
    </w:p>
    <w:p w:rsidR="00500F96" w:rsidRDefault="00500F96" w:rsidP="00500F96">
      <w:pPr>
        <w:pStyle w:val="TT-TableTitle"/>
        <w:sectPr w:rsidR="00500F96" w:rsidSect="00B97419">
          <w:headerReference w:type="default" r:id="rId23"/>
          <w:footerReference w:type="default" r:id="rId24"/>
          <w:type w:val="continuous"/>
          <w:pgSz w:w="12240" w:h="15840" w:code="1"/>
          <w:pgMar w:top="1008" w:right="1008" w:bottom="1008" w:left="1008" w:header="432" w:footer="432" w:gutter="0"/>
          <w:pgNumType w:start="4"/>
          <w:cols w:space="720"/>
          <w:docGrid w:linePitch="360"/>
        </w:sectPr>
      </w:pPr>
    </w:p>
    <w:p w:rsidR="000248AC" w:rsidRDefault="00500F96" w:rsidP="00500F96">
      <w:pPr>
        <w:pStyle w:val="TT-TableTitle"/>
      </w:pPr>
      <w:bookmarkStart w:id="344" w:name="_Toc255551068"/>
      <w:r>
        <w:lastRenderedPageBreak/>
        <w:t>Table 9</w:t>
      </w:r>
      <w:r w:rsidR="00051AA0">
        <w:t>.</w:t>
      </w:r>
      <w:r>
        <w:tab/>
      </w:r>
      <w:r w:rsidR="000248AC" w:rsidRPr="00B92418">
        <w:t>Differences between the last 10% and first 90% of respondents, by domain</w:t>
      </w:r>
      <w:bookmarkEnd w:id="3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9"/>
        <w:gridCol w:w="1395"/>
        <w:gridCol w:w="1395"/>
        <w:gridCol w:w="1395"/>
        <w:gridCol w:w="1081"/>
        <w:gridCol w:w="1081"/>
        <w:gridCol w:w="1081"/>
        <w:gridCol w:w="1081"/>
        <w:gridCol w:w="1081"/>
        <w:gridCol w:w="1081"/>
      </w:tblGrid>
      <w:tr w:rsidR="0054006F" w:rsidTr="0054006F">
        <w:trPr>
          <w:trHeight w:val="55"/>
          <w:jc w:val="center"/>
        </w:trPr>
        <w:tc>
          <w:tcPr>
            <w:tcW w:w="893" w:type="pct"/>
            <w:vMerge w:val="restart"/>
            <w:shd w:val="clear" w:color="auto" w:fill="AFBED7"/>
            <w:noWrap/>
            <w:tcMar>
              <w:top w:w="15" w:type="dxa"/>
              <w:left w:w="15" w:type="dxa"/>
              <w:bottom w:w="0" w:type="dxa"/>
              <w:right w:w="15" w:type="dxa"/>
            </w:tcMar>
            <w:vAlign w:val="bottom"/>
            <w:hideMark/>
          </w:tcPr>
          <w:p w:rsidR="0054006F" w:rsidRDefault="0054006F" w:rsidP="00500F96">
            <w:pPr>
              <w:pStyle w:val="TH-TableHeading"/>
            </w:pPr>
            <w:bookmarkStart w:id="345" w:name="_Toc255550630"/>
            <w:bookmarkStart w:id="346" w:name="_Toc255551027"/>
            <w:bookmarkStart w:id="347" w:name="_Toc255809034"/>
            <w:r>
              <w:t>Domain</w:t>
            </w:r>
            <w:bookmarkEnd w:id="345"/>
            <w:bookmarkEnd w:id="346"/>
            <w:bookmarkEnd w:id="347"/>
          </w:p>
        </w:tc>
        <w:tc>
          <w:tcPr>
            <w:tcW w:w="1611" w:type="pct"/>
            <w:gridSpan w:val="3"/>
            <w:shd w:val="clear" w:color="auto" w:fill="AFBED7"/>
            <w:noWrap/>
            <w:tcMar>
              <w:top w:w="15" w:type="dxa"/>
              <w:left w:w="15" w:type="dxa"/>
              <w:bottom w:w="0" w:type="dxa"/>
              <w:right w:w="15" w:type="dxa"/>
            </w:tcMar>
            <w:vAlign w:val="bottom"/>
            <w:hideMark/>
          </w:tcPr>
          <w:p w:rsidR="0054006F" w:rsidRDefault="0054006F" w:rsidP="00500F96">
            <w:pPr>
              <w:pStyle w:val="TH-TableHeading"/>
            </w:pPr>
            <w:bookmarkStart w:id="348" w:name="_Toc255550626"/>
            <w:bookmarkStart w:id="349" w:name="_Toc255551023"/>
            <w:bookmarkStart w:id="350" w:name="_Toc255809035"/>
            <w:r>
              <w:t>Estimate of population proportion</w:t>
            </w:r>
            <w:bookmarkEnd w:id="348"/>
            <w:bookmarkEnd w:id="349"/>
            <w:bookmarkEnd w:id="350"/>
          </w:p>
        </w:tc>
        <w:tc>
          <w:tcPr>
            <w:tcW w:w="832" w:type="pct"/>
            <w:gridSpan w:val="2"/>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51" w:name="_Toc255550627"/>
            <w:bookmarkStart w:id="352" w:name="_Toc255551024"/>
            <w:bookmarkStart w:id="353" w:name="_Toc255809036"/>
            <w:r>
              <w:t>Statistic 1</w:t>
            </w:r>
            <w:bookmarkEnd w:id="351"/>
            <w:bookmarkEnd w:id="352"/>
            <w:bookmarkEnd w:id="353"/>
          </w:p>
        </w:tc>
        <w:tc>
          <w:tcPr>
            <w:tcW w:w="832" w:type="pct"/>
            <w:gridSpan w:val="2"/>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54" w:name="_Toc255550628"/>
            <w:bookmarkStart w:id="355" w:name="_Toc255551025"/>
            <w:bookmarkStart w:id="356" w:name="_Toc255809037"/>
            <w:r>
              <w:t>Statistic 2</w:t>
            </w:r>
            <w:bookmarkEnd w:id="354"/>
            <w:bookmarkEnd w:id="355"/>
            <w:bookmarkEnd w:id="356"/>
          </w:p>
        </w:tc>
        <w:tc>
          <w:tcPr>
            <w:tcW w:w="832" w:type="pct"/>
            <w:gridSpan w:val="2"/>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57" w:name="_Toc255550629"/>
            <w:bookmarkStart w:id="358" w:name="_Toc255551026"/>
            <w:bookmarkStart w:id="359" w:name="_Toc255809038"/>
            <w:r>
              <w:t>Statistic 3</w:t>
            </w:r>
            <w:bookmarkEnd w:id="357"/>
            <w:bookmarkEnd w:id="358"/>
            <w:bookmarkEnd w:id="359"/>
          </w:p>
        </w:tc>
      </w:tr>
      <w:tr w:rsidR="0054006F" w:rsidTr="001F7806">
        <w:trPr>
          <w:trHeight w:val="56"/>
          <w:jc w:val="center"/>
        </w:trPr>
        <w:tc>
          <w:tcPr>
            <w:tcW w:w="893" w:type="pct"/>
            <w:vMerge/>
            <w:shd w:val="clear" w:color="auto" w:fill="AFBED7"/>
            <w:tcMar>
              <w:top w:w="15" w:type="dxa"/>
              <w:left w:w="15" w:type="dxa"/>
              <w:bottom w:w="0" w:type="dxa"/>
              <w:right w:w="15" w:type="dxa"/>
            </w:tcMar>
            <w:vAlign w:val="bottom"/>
            <w:hideMark/>
          </w:tcPr>
          <w:p w:rsidR="0054006F" w:rsidRDefault="0054006F" w:rsidP="00500F96">
            <w:pPr>
              <w:pStyle w:val="TH-TableHeading"/>
            </w:pPr>
          </w:p>
        </w:tc>
        <w:tc>
          <w:tcPr>
            <w:tcW w:w="537"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60" w:name="_Toc255550631"/>
            <w:bookmarkStart w:id="361" w:name="_Toc255551028"/>
            <w:bookmarkStart w:id="362" w:name="_Toc255809039"/>
            <w:r>
              <w:t>Proportion</w:t>
            </w:r>
            <w:bookmarkEnd w:id="360"/>
            <w:bookmarkEnd w:id="361"/>
            <w:bookmarkEnd w:id="362"/>
          </w:p>
          <w:p w:rsidR="0054006F" w:rsidRDefault="0054006F" w:rsidP="00500F96">
            <w:pPr>
              <w:pStyle w:val="TH-TableHeading"/>
            </w:pPr>
            <w:bookmarkStart w:id="363" w:name="_Toc255550632"/>
            <w:bookmarkStart w:id="364" w:name="_Toc255551029"/>
            <w:bookmarkStart w:id="365" w:name="_Toc255809040"/>
            <w:r>
              <w:t>among last 10%</w:t>
            </w:r>
            <w:bookmarkEnd w:id="363"/>
            <w:bookmarkEnd w:id="364"/>
            <w:bookmarkEnd w:id="365"/>
          </w:p>
        </w:tc>
        <w:tc>
          <w:tcPr>
            <w:tcW w:w="537"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66" w:name="_Toc255550633"/>
            <w:bookmarkStart w:id="367" w:name="_Toc255551030"/>
            <w:bookmarkStart w:id="368" w:name="_Toc255809041"/>
            <w:r>
              <w:t>Proportion</w:t>
            </w:r>
            <w:bookmarkEnd w:id="366"/>
            <w:bookmarkEnd w:id="367"/>
            <w:bookmarkEnd w:id="368"/>
          </w:p>
          <w:p w:rsidR="0054006F" w:rsidRDefault="0054006F" w:rsidP="00500F96">
            <w:pPr>
              <w:pStyle w:val="TH-TableHeading"/>
            </w:pPr>
            <w:bookmarkStart w:id="369" w:name="_Toc255550634"/>
            <w:bookmarkStart w:id="370" w:name="_Toc255551031"/>
            <w:bookmarkStart w:id="371" w:name="_Toc255809042"/>
            <w:r>
              <w:t>among first 90%</w:t>
            </w:r>
            <w:bookmarkEnd w:id="369"/>
            <w:bookmarkEnd w:id="370"/>
            <w:bookmarkEnd w:id="371"/>
          </w:p>
        </w:tc>
        <w:tc>
          <w:tcPr>
            <w:tcW w:w="537" w:type="pct"/>
            <w:shd w:val="clear" w:color="auto" w:fill="AFBED7"/>
            <w:tcMar>
              <w:top w:w="15" w:type="dxa"/>
              <w:left w:w="15" w:type="dxa"/>
              <w:bottom w:w="0" w:type="dxa"/>
              <w:right w:w="15" w:type="dxa"/>
            </w:tcMar>
            <w:vAlign w:val="bottom"/>
            <w:hideMark/>
          </w:tcPr>
          <w:p w:rsidR="0054006F" w:rsidRDefault="00243ED5" w:rsidP="00500F96">
            <w:pPr>
              <w:pStyle w:val="TH-TableHeading"/>
            </w:pPr>
            <w:bookmarkStart w:id="372" w:name="_Toc255550635"/>
            <w:bookmarkStart w:id="373" w:name="_Toc255551032"/>
            <w:bookmarkStart w:id="374" w:name="_Toc255809043"/>
            <w:r w:rsidRPr="00243ED5">
              <w:rPr>
                <w:i/>
              </w:rPr>
              <w:t xml:space="preserve">p </w:t>
            </w:r>
            <w:r w:rsidR="0054006F">
              <w:t>value</w:t>
            </w:r>
            <w:bookmarkEnd w:id="372"/>
            <w:bookmarkEnd w:id="373"/>
            <w:bookmarkEnd w:id="374"/>
          </w:p>
        </w:tc>
        <w:tc>
          <w:tcPr>
            <w:tcW w:w="416"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75" w:name="_Toc255550636"/>
            <w:bookmarkStart w:id="376" w:name="_Toc255551033"/>
            <w:bookmarkStart w:id="377" w:name="_Toc255809044"/>
            <w:r>
              <w:t>Relative difference</w:t>
            </w:r>
            <w:bookmarkEnd w:id="375"/>
            <w:bookmarkEnd w:id="376"/>
            <w:bookmarkEnd w:id="377"/>
          </w:p>
        </w:tc>
        <w:tc>
          <w:tcPr>
            <w:tcW w:w="416" w:type="pct"/>
            <w:shd w:val="clear" w:color="auto" w:fill="AFBED7"/>
            <w:tcMar>
              <w:top w:w="15" w:type="dxa"/>
              <w:left w:w="15" w:type="dxa"/>
              <w:bottom w:w="0" w:type="dxa"/>
              <w:right w:w="15" w:type="dxa"/>
            </w:tcMar>
            <w:vAlign w:val="bottom"/>
            <w:hideMark/>
          </w:tcPr>
          <w:p w:rsidR="0054006F" w:rsidRDefault="00AD6D3F" w:rsidP="00500F96">
            <w:pPr>
              <w:pStyle w:val="TH-TableHeading"/>
            </w:pPr>
            <w:bookmarkStart w:id="378" w:name="_Toc255550637"/>
            <w:bookmarkStart w:id="379" w:name="_Toc255551034"/>
            <w:bookmarkStart w:id="380" w:name="_Toc255809045"/>
            <w:r>
              <w:rPr>
                <w:i/>
              </w:rPr>
              <w:t xml:space="preserve">p </w:t>
            </w:r>
            <w:r w:rsidR="0054006F">
              <w:t>value</w:t>
            </w:r>
            <w:bookmarkEnd w:id="378"/>
            <w:bookmarkEnd w:id="379"/>
            <w:bookmarkEnd w:id="380"/>
          </w:p>
        </w:tc>
        <w:tc>
          <w:tcPr>
            <w:tcW w:w="416"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81" w:name="_Toc255550638"/>
            <w:bookmarkStart w:id="382" w:name="_Toc255551035"/>
            <w:bookmarkStart w:id="383" w:name="_Toc255809046"/>
            <w:r>
              <w:t>Relative difference</w:t>
            </w:r>
            <w:bookmarkEnd w:id="381"/>
            <w:bookmarkEnd w:id="382"/>
            <w:bookmarkEnd w:id="383"/>
          </w:p>
        </w:tc>
        <w:tc>
          <w:tcPr>
            <w:tcW w:w="416" w:type="pct"/>
            <w:shd w:val="clear" w:color="auto" w:fill="AFBED7"/>
            <w:tcMar>
              <w:top w:w="15" w:type="dxa"/>
              <w:left w:w="15" w:type="dxa"/>
              <w:bottom w:w="0" w:type="dxa"/>
              <w:right w:w="15" w:type="dxa"/>
            </w:tcMar>
            <w:vAlign w:val="bottom"/>
            <w:hideMark/>
          </w:tcPr>
          <w:p w:rsidR="0054006F" w:rsidRDefault="00243ED5" w:rsidP="00AD6D3F">
            <w:pPr>
              <w:pStyle w:val="TH-TableHeading"/>
            </w:pPr>
            <w:bookmarkStart w:id="384" w:name="_Toc255550639"/>
            <w:bookmarkStart w:id="385" w:name="_Toc255551036"/>
            <w:bookmarkStart w:id="386" w:name="_Toc255809047"/>
            <w:r w:rsidRPr="00243ED5">
              <w:rPr>
                <w:i/>
              </w:rPr>
              <w:t>p</w:t>
            </w:r>
            <w:r w:rsidR="00AD6D3F">
              <w:rPr>
                <w:i/>
              </w:rPr>
              <w:t xml:space="preserve"> </w:t>
            </w:r>
            <w:r w:rsidR="0054006F">
              <w:t>value</w:t>
            </w:r>
            <w:bookmarkEnd w:id="384"/>
            <w:bookmarkEnd w:id="385"/>
            <w:bookmarkEnd w:id="386"/>
          </w:p>
        </w:tc>
        <w:tc>
          <w:tcPr>
            <w:tcW w:w="416" w:type="pct"/>
            <w:shd w:val="clear" w:color="auto" w:fill="AFBED7"/>
            <w:tcMar>
              <w:top w:w="15" w:type="dxa"/>
              <w:left w:w="15" w:type="dxa"/>
              <w:bottom w:w="0" w:type="dxa"/>
              <w:right w:w="15" w:type="dxa"/>
            </w:tcMar>
            <w:vAlign w:val="bottom"/>
            <w:hideMark/>
          </w:tcPr>
          <w:p w:rsidR="0054006F" w:rsidRDefault="0054006F" w:rsidP="00500F96">
            <w:pPr>
              <w:pStyle w:val="TH-TableHeading"/>
            </w:pPr>
            <w:bookmarkStart w:id="387" w:name="_Toc255550640"/>
            <w:bookmarkStart w:id="388" w:name="_Toc255551037"/>
            <w:bookmarkStart w:id="389" w:name="_Toc255809048"/>
            <w:r>
              <w:t>Relative difference</w:t>
            </w:r>
            <w:bookmarkEnd w:id="387"/>
            <w:bookmarkEnd w:id="388"/>
            <w:bookmarkEnd w:id="389"/>
          </w:p>
        </w:tc>
        <w:tc>
          <w:tcPr>
            <w:tcW w:w="416" w:type="pct"/>
            <w:shd w:val="clear" w:color="auto" w:fill="AFBED7"/>
            <w:tcMar>
              <w:top w:w="15" w:type="dxa"/>
              <w:left w:w="15" w:type="dxa"/>
              <w:bottom w:w="0" w:type="dxa"/>
              <w:right w:w="15" w:type="dxa"/>
            </w:tcMar>
            <w:vAlign w:val="bottom"/>
            <w:hideMark/>
          </w:tcPr>
          <w:p w:rsidR="0054006F" w:rsidRDefault="00243ED5" w:rsidP="00500F96">
            <w:pPr>
              <w:pStyle w:val="TH-TableHeading"/>
            </w:pPr>
            <w:bookmarkStart w:id="390" w:name="_Toc255550641"/>
            <w:bookmarkStart w:id="391" w:name="_Toc255551038"/>
            <w:bookmarkStart w:id="392" w:name="_Toc255809049"/>
            <w:r w:rsidRPr="00243ED5">
              <w:rPr>
                <w:i/>
              </w:rPr>
              <w:t xml:space="preserve">p </w:t>
            </w:r>
            <w:r w:rsidR="0054006F">
              <w:t>value</w:t>
            </w:r>
            <w:bookmarkEnd w:id="390"/>
            <w:bookmarkEnd w:id="391"/>
            <w:bookmarkEnd w:id="392"/>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Overall</w:t>
            </w:r>
          </w:p>
        </w:tc>
        <w:tc>
          <w:tcPr>
            <w:tcW w:w="537" w:type="pct"/>
            <w:shd w:val="clear" w:color="auto" w:fill="auto"/>
            <w:noWrap/>
            <w:tcMar>
              <w:top w:w="15" w:type="dxa"/>
              <w:left w:w="15" w:type="dxa"/>
              <w:bottom w:w="0" w:type="dxa"/>
              <w:right w:w="15" w:type="dxa"/>
            </w:tcMar>
            <w:vAlign w:val="bottom"/>
            <w:hideMark/>
          </w:tcPr>
          <w:p w:rsidR="000248AC" w:rsidRPr="000248AC" w:rsidRDefault="00BE0635" w:rsidP="00F14AA3">
            <w:pPr>
              <w:pStyle w:val="TX-TableText"/>
              <w:tabs>
                <w:tab w:val="decimal" w:pos="561"/>
              </w:tabs>
            </w:pPr>
            <w:r>
              <w:t>1.</w:t>
            </w:r>
            <w:r w:rsidR="00FA3DF8">
              <w:t>0</w:t>
            </w:r>
            <w:r w:rsidR="00F14AA3">
              <w:t>0</w:t>
            </w:r>
          </w:p>
        </w:tc>
        <w:tc>
          <w:tcPr>
            <w:tcW w:w="537" w:type="pct"/>
            <w:shd w:val="clear" w:color="auto" w:fill="auto"/>
            <w:noWrap/>
            <w:tcMar>
              <w:top w:w="15" w:type="dxa"/>
              <w:left w:w="15" w:type="dxa"/>
              <w:bottom w:w="0" w:type="dxa"/>
              <w:right w:w="15" w:type="dxa"/>
            </w:tcMar>
            <w:vAlign w:val="bottom"/>
            <w:hideMark/>
          </w:tcPr>
          <w:p w:rsidR="000248AC" w:rsidRPr="000248AC" w:rsidRDefault="00BE0635" w:rsidP="00FA3DF8">
            <w:pPr>
              <w:pStyle w:val="TX-TableText"/>
              <w:tabs>
                <w:tab w:val="decimal" w:pos="651"/>
              </w:tabs>
            </w:pPr>
            <w:r>
              <w:t>1.</w:t>
            </w:r>
            <w:r w:rsidR="00FA3DF8">
              <w:t>0</w:t>
            </w:r>
            <w:r w:rsidR="00F14AA3">
              <w:t>0</w:t>
            </w:r>
          </w:p>
        </w:tc>
        <w:tc>
          <w:tcPr>
            <w:tcW w:w="537" w:type="pct"/>
            <w:shd w:val="clear" w:color="auto" w:fill="auto"/>
            <w:noWrap/>
            <w:tcMar>
              <w:top w:w="15" w:type="dxa"/>
              <w:left w:w="15" w:type="dxa"/>
              <w:bottom w:w="0" w:type="dxa"/>
              <w:right w:w="15" w:type="dxa"/>
            </w:tcMar>
            <w:vAlign w:val="bottom"/>
            <w:hideMark/>
          </w:tcPr>
          <w:p w:rsidR="000248AC" w:rsidRPr="00F14AA3" w:rsidRDefault="000248AC" w:rsidP="00F14AA3">
            <w:pPr>
              <w:pStyle w:val="TX-TableText"/>
              <w:jc w:val="center"/>
            </w:pPr>
            <w:r w:rsidRPr="00F14AA3">
              <w:t>†</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w:t>
            </w:r>
            <w:r w:rsidR="000248AC" w:rsidRPr="000248AC">
              <w:t>8</w:t>
            </w:r>
            <w:r w:rsidR="00FA3DF8">
              <w:t>0</w:t>
            </w:r>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Region</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Northeast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2</w:t>
            </w:r>
            <w:r>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.8</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.8</w:t>
            </w:r>
            <w:r w:rsidR="000248AC" w:rsidRPr="000248AC">
              <w:t>9</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.1</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.7</w:t>
            </w:r>
            <w:r w:rsidR="000248AC" w:rsidRPr="000248AC">
              <w:t>9</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Midwest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.2</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.5</w:t>
            </w:r>
            <w:r w:rsidR="000248AC" w:rsidRPr="000248AC">
              <w:t>8</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8</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South</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.3</w:t>
            </w:r>
            <w:r w:rsidR="000248AC" w:rsidRPr="000248AC">
              <w:t>6</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.3</w:t>
            </w:r>
            <w:r w:rsidR="000248AC" w:rsidRPr="000248AC">
              <w:t>6</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.9</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.6</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.3</w:t>
            </w:r>
            <w:r w:rsidR="000248AC"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.9</w:t>
            </w:r>
            <w:r w:rsidR="000248AC" w:rsidRPr="000248AC">
              <w:t>6</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West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.1</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E0635">
              <w:t>.6</w:t>
            </w:r>
            <w:r w:rsidR="000248AC" w:rsidRPr="000248AC">
              <w:t>1</w:t>
            </w:r>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MSA status</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Non-MSA</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.3</w:t>
            </w:r>
            <w:r w:rsidR="000248AC" w:rsidRPr="000248AC">
              <w:t>8</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6F7A0D">
              <w:t>.3</w:t>
            </w:r>
            <w:r w:rsidR="000248AC" w:rsidRPr="000248AC">
              <w:t>8</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MSA</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.8</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.8</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6F7A0D">
              <w:t>.8</w:t>
            </w:r>
            <w:r w:rsidR="000248AC" w:rsidRPr="000248AC">
              <w:t>8</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Gender</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Male</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.5</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.4</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5</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.2</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6F7A0D">
              <w:t>.9</w:t>
            </w:r>
            <w:r w:rsidR="000248AC" w:rsidRPr="000248AC">
              <w:t>4</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Female</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.4</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.5</w:t>
            </w:r>
            <w:r w:rsidR="000248AC" w:rsidRPr="000248AC">
              <w:t>2</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7</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.8</w:t>
            </w:r>
            <w:r w:rsidR="000248AC" w:rsidRPr="000248AC">
              <w:t>4</w:t>
            </w:r>
          </w:p>
        </w:tc>
      </w:tr>
      <w:tr w:rsidR="000248AC" w:rsidRPr="000248AC" w:rsidTr="001F7806">
        <w:trPr>
          <w:trHeight w:val="4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Race/ethnicity</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Hispanic</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2</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r w:rsidRPr="000248AC">
              <w:t>0.</w:t>
            </w:r>
            <w:r w:rsidR="00F14AA3">
              <w:t>0</w:t>
            </w:r>
            <w:r w:rsidRPr="000248AC">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.3</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F14AA3">
              <w:t>0</w:t>
            </w:r>
            <w:r w:rsidRPr="000248AC">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.5</w:t>
            </w:r>
            <w:r w:rsidR="000248AC" w:rsidRPr="000248AC">
              <w:t>5</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NH Black only</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.5</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.5</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.4</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34358">
              <w:t>0</w:t>
            </w:r>
            <w:r w:rsidRPr="000248AC">
              <w:t>3</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Other</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.7</w:t>
            </w:r>
            <w:r w:rsidR="000248AC" w:rsidRPr="000248AC">
              <w:t>3</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.7</w:t>
            </w:r>
            <w:r w:rsidR="000248AC" w:rsidRPr="000248AC">
              <w:t>7</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4</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w:t>
            </w:r>
            <w:r w:rsidR="000248AC" w:rsidRPr="000248AC">
              <w:t>2</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.5</w:t>
            </w:r>
            <w:r w:rsidR="000248AC" w:rsidRPr="000248AC">
              <w:t>1</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Educational attainment</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Less than high school</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.1</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.3</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.0</w:t>
            </w:r>
            <w:r w:rsidR="000248AC"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F14AA3">
              <w:t>0</w:t>
            </w:r>
            <w:r w:rsidRPr="000248AC">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.3</w:t>
            </w:r>
            <w:r w:rsidR="000248AC" w:rsidRPr="000248AC">
              <w:t>3</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High school or equivalent</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8</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.3</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1</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w:t>
            </w:r>
            <w:r w:rsidR="000248AC" w:rsidRPr="000248AC">
              <w:t>5</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.8</w:t>
            </w:r>
            <w:r w:rsidR="000248AC" w:rsidRPr="000248AC">
              <w:t>2</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More than high school</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.5</w:t>
            </w:r>
            <w:r w:rsidR="000248AC" w:rsidRPr="000248AC">
              <w:t>4</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w:t>
            </w:r>
            <w:r w:rsidR="000248AC" w:rsidRPr="000248AC">
              <w:t>5</w:t>
            </w:r>
            <w:r w:rsidR="00FA3DF8">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9</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.2</w:t>
            </w:r>
            <w:r w:rsidR="000248AC" w:rsidRPr="000248AC">
              <w:t>5</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Age category</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16-29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.6</w:t>
            </w:r>
            <w:r w:rsidR="000248AC" w:rsidRPr="000248AC">
              <w:t>8</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.7</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.2</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.7</w:t>
            </w:r>
            <w:r w:rsidR="000248AC" w:rsidRPr="000248AC">
              <w:t>9</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30-49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.4</w:t>
            </w:r>
            <w:r w:rsidR="000248AC" w:rsidRPr="000248AC">
              <w:t>2</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.3</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6</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.3</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.8</w:t>
            </w:r>
            <w:r w:rsidR="000248AC" w:rsidRPr="000248AC">
              <w:t>7</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50-69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.2</w:t>
            </w:r>
            <w:r w:rsidR="000248AC" w:rsidRPr="000248AC">
              <w:t>5</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.9</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.2</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.8</w:t>
            </w:r>
            <w:r w:rsidR="000248AC"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.9</w:t>
            </w:r>
            <w:r w:rsidR="000248AC" w:rsidRPr="000248AC">
              <w:t>6</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70+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9</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1</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.0</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.5</w:t>
            </w:r>
            <w:r w:rsidR="000248AC" w:rsidRPr="000248AC">
              <w:t>3</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w:t>
            </w:r>
            <w:r w:rsidR="00F14AA3">
              <w:t>0</w:t>
            </w:r>
            <w:r w:rsidR="00BE0635">
              <w:t>.</w:t>
            </w:r>
            <w:r w:rsidRPr="000248AC">
              <w:t>1</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.1</w:t>
            </w:r>
            <w:r w:rsidR="000248AC" w:rsidRPr="000248AC">
              <w:t>1</w:t>
            </w:r>
          </w:p>
        </w:tc>
      </w:tr>
      <w:tr w:rsidR="000248AC" w:rsidRPr="000248AC" w:rsidTr="00A3188D">
        <w:trPr>
          <w:trHeight w:val="65"/>
          <w:jc w:val="center"/>
        </w:trPr>
        <w:tc>
          <w:tcPr>
            <w:tcW w:w="893" w:type="pct"/>
            <w:shd w:val="clear" w:color="auto" w:fill="auto"/>
            <w:noWrap/>
            <w:tcMar>
              <w:top w:w="15" w:type="dxa"/>
              <w:left w:w="15" w:type="dxa"/>
              <w:bottom w:w="0" w:type="dxa"/>
              <w:right w:w="15" w:type="dxa"/>
            </w:tcMar>
            <w:vAlign w:val="bottom"/>
            <w:hideMark/>
          </w:tcPr>
          <w:p w:rsidR="000248AC" w:rsidRPr="00500F96" w:rsidRDefault="000248AC" w:rsidP="000248AC">
            <w:pPr>
              <w:pStyle w:val="TX-TableText"/>
              <w:rPr>
                <w:b/>
              </w:rPr>
            </w:pPr>
            <w:r w:rsidRPr="00500F96">
              <w:rPr>
                <w:b/>
              </w:rPr>
              <w:t>Country of birth</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651"/>
              </w:tabs>
            </w:pP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5"/>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3"/>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US</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8</w:t>
            </w:r>
            <w:r w:rsidR="00FA3DF8">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.8</w:t>
            </w:r>
            <w:r w:rsidR="000248AC" w:rsidRPr="000248AC">
              <w:t>6</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.4</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.3</w:t>
            </w:r>
            <w:r w:rsidR="000248AC" w:rsidRPr="000248AC">
              <w:t>2</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BE0635">
              <w:t>0</w:t>
            </w:r>
            <w:r w:rsidRPr="000248AC">
              <w:t>1</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.2</w:t>
            </w:r>
            <w:r w:rsidR="000248AC" w:rsidRPr="000248AC">
              <w:t>9</w:t>
            </w:r>
          </w:p>
        </w:tc>
      </w:tr>
      <w:tr w:rsidR="000248AC" w:rsidRPr="000248AC" w:rsidTr="00A3188D">
        <w:trPr>
          <w:trHeight w:val="65"/>
          <w:jc w:val="center"/>
        </w:trPr>
        <w:tc>
          <w:tcPr>
            <w:tcW w:w="893" w:type="pct"/>
            <w:shd w:val="clear" w:color="auto" w:fill="auto"/>
            <w:noWrap/>
            <w:tcMar>
              <w:top w:w="15" w:type="dxa"/>
              <w:left w:w="135" w:type="dxa"/>
              <w:bottom w:w="0" w:type="dxa"/>
              <w:right w:w="15" w:type="dxa"/>
            </w:tcMar>
            <w:vAlign w:val="bottom"/>
            <w:hideMark/>
          </w:tcPr>
          <w:p w:rsidR="000248AC" w:rsidRPr="000248AC" w:rsidRDefault="000248AC" w:rsidP="000248AC">
            <w:pPr>
              <w:pStyle w:val="TX-TableText"/>
            </w:pPr>
            <w:r w:rsidRPr="000248AC">
              <w:t>Othe</w:t>
            </w:r>
            <w:r w:rsidR="00500F96">
              <w:t>r</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561"/>
              </w:tabs>
            </w:pPr>
            <w:r>
              <w:t>0</w:t>
            </w:r>
            <w:r w:rsidR="00BE0635">
              <w:t>.</w:t>
            </w:r>
            <w:r w:rsidR="000248AC" w:rsidRPr="000248AC">
              <w:t>2</w:t>
            </w:r>
            <w:r w:rsidR="00FA3DF8">
              <w:t>0</w:t>
            </w:r>
          </w:p>
        </w:tc>
        <w:tc>
          <w:tcPr>
            <w:tcW w:w="537"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651"/>
              </w:tabs>
            </w:pPr>
            <w:r>
              <w:t>0</w:t>
            </w:r>
            <w:r w:rsidR="00BE0635">
              <w:t>.1</w:t>
            </w:r>
            <w:r w:rsidR="000248AC" w:rsidRPr="000248AC">
              <w:t>4</w:t>
            </w:r>
          </w:p>
        </w:tc>
        <w:tc>
          <w:tcPr>
            <w:tcW w:w="537"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561"/>
              </w:tabs>
            </w:pPr>
            <w:r w:rsidRPr="000248AC">
              <w:t>0</w:t>
            </w:r>
            <w:r w:rsidR="00FA3DF8">
              <w:t>.</w:t>
            </w:r>
            <w:r w:rsidR="00F14AA3">
              <w:t>0</w:t>
            </w:r>
            <w:r w:rsidR="00FA3DF8">
              <w:t>0</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5"/>
              </w:tabs>
            </w:pPr>
            <w:r>
              <w:t>0</w:t>
            </w:r>
            <w:r w:rsidR="00BE0635">
              <w:t>.9</w:t>
            </w:r>
            <w:r w:rsidR="000248AC" w:rsidRPr="000248AC">
              <w:t>7</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A3DF8">
            <w:pPr>
              <w:pStyle w:val="TX-TableText"/>
              <w:tabs>
                <w:tab w:val="decimal" w:pos="516"/>
              </w:tabs>
            </w:pPr>
            <w:r w:rsidRPr="000248AC">
              <w:t>-0.</w:t>
            </w:r>
            <w:r w:rsidR="00BE0635">
              <w:t>0</w:t>
            </w:r>
            <w:r w:rsidRPr="000248AC">
              <w:t>5</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14AA3">
            <w:pPr>
              <w:pStyle w:val="TX-TableText"/>
              <w:tabs>
                <w:tab w:val="decimal" w:pos="423"/>
              </w:tabs>
            </w:pPr>
            <w:r>
              <w:t>0</w:t>
            </w:r>
            <w:r w:rsidR="00BE0635">
              <w:t>.0</w:t>
            </w:r>
            <w:r w:rsidR="000248AC" w:rsidRPr="000248AC">
              <w:t>4</w:t>
            </w:r>
          </w:p>
        </w:tc>
        <w:tc>
          <w:tcPr>
            <w:tcW w:w="416" w:type="pct"/>
            <w:shd w:val="clear" w:color="auto" w:fill="auto"/>
            <w:noWrap/>
            <w:tcMar>
              <w:top w:w="15" w:type="dxa"/>
              <w:left w:w="15" w:type="dxa"/>
              <w:bottom w:w="0" w:type="dxa"/>
              <w:right w:w="15" w:type="dxa"/>
            </w:tcMar>
            <w:vAlign w:val="bottom"/>
            <w:hideMark/>
          </w:tcPr>
          <w:p w:rsidR="000248AC" w:rsidRPr="000248AC" w:rsidRDefault="000248AC" w:rsidP="00F14AA3">
            <w:pPr>
              <w:pStyle w:val="TX-TableText"/>
              <w:tabs>
                <w:tab w:val="decimal" w:pos="422"/>
              </w:tabs>
            </w:pPr>
            <w:r w:rsidRPr="000248AC">
              <w:t>0</w:t>
            </w:r>
            <w:r w:rsidR="00FA3DF8">
              <w:t>.0</w:t>
            </w:r>
            <w:r w:rsidR="00F14AA3">
              <w:t>0</w:t>
            </w:r>
          </w:p>
        </w:tc>
        <w:tc>
          <w:tcPr>
            <w:tcW w:w="416" w:type="pct"/>
            <w:shd w:val="clear" w:color="auto" w:fill="auto"/>
            <w:noWrap/>
            <w:tcMar>
              <w:top w:w="15" w:type="dxa"/>
              <w:left w:w="15" w:type="dxa"/>
              <w:bottom w:w="0" w:type="dxa"/>
              <w:right w:w="15" w:type="dxa"/>
            </w:tcMar>
            <w:vAlign w:val="bottom"/>
            <w:hideMark/>
          </w:tcPr>
          <w:p w:rsidR="000248AC" w:rsidRPr="000248AC" w:rsidRDefault="00F14AA3" w:rsidP="00FA3DF8">
            <w:pPr>
              <w:pStyle w:val="TX-TableText"/>
              <w:tabs>
                <w:tab w:val="decimal" w:pos="516"/>
              </w:tabs>
            </w:pPr>
            <w:r>
              <w:t>0</w:t>
            </w:r>
            <w:r w:rsidR="00B34358">
              <w:t>.9</w:t>
            </w:r>
            <w:r w:rsidR="000248AC" w:rsidRPr="000248AC">
              <w:t>7</w:t>
            </w:r>
          </w:p>
        </w:tc>
      </w:tr>
    </w:tbl>
    <w:p w:rsidR="00500F96" w:rsidRPr="004F1FD8" w:rsidRDefault="00500F96" w:rsidP="00A3188D">
      <w:pPr>
        <w:pStyle w:val="TF-TblFN"/>
        <w:jc w:val="left"/>
        <w:rPr>
          <w:rFonts w:ascii="Times New Roman" w:hAnsi="Times New Roman"/>
        </w:rPr>
      </w:pPr>
      <w:r w:rsidRPr="004F1FD8">
        <w:rPr>
          <w:rFonts w:ascii="Times New Roman" w:hAnsi="Times New Roman"/>
        </w:rPr>
        <w:t>†</w:t>
      </w:r>
      <w:r w:rsidR="004F1FD8">
        <w:rPr>
          <w:rFonts w:ascii="Times New Roman" w:hAnsi="Times New Roman"/>
        </w:rPr>
        <w:tab/>
      </w:r>
      <w:r w:rsidRPr="004F1FD8">
        <w:rPr>
          <w:rFonts w:ascii="Times New Roman" w:hAnsi="Times New Roman"/>
        </w:rPr>
        <w:t>Not applicable</w:t>
      </w:r>
    </w:p>
    <w:p w:rsidR="001F7806" w:rsidRPr="004F1FD8" w:rsidRDefault="00823491" w:rsidP="00A3188D">
      <w:pPr>
        <w:pStyle w:val="TF-TblFN"/>
        <w:jc w:val="left"/>
        <w:rPr>
          <w:rFonts w:ascii="Times New Roman" w:hAnsi="Times New Roman"/>
        </w:rPr>
        <w:sectPr w:rsidR="001F7806" w:rsidRPr="004F1FD8" w:rsidSect="001F7806">
          <w:pgSz w:w="15840" w:h="12240" w:orient="landscape"/>
          <w:pgMar w:top="1368" w:right="1440" w:bottom="1368" w:left="1440" w:header="720" w:footer="720" w:gutter="0"/>
          <w:cols w:space="720"/>
          <w:docGrid w:linePitch="360"/>
        </w:sectPr>
      </w:pPr>
      <w:r>
        <w:rPr>
          <w:rFonts w:ascii="Times New Roman" w:hAnsi="Times New Roman"/>
        </w:rPr>
        <w:tab/>
      </w:r>
      <w:r w:rsidR="00051AA0">
        <w:rPr>
          <w:rFonts w:ascii="Times New Roman" w:hAnsi="Times New Roman"/>
        </w:rPr>
        <w:t xml:space="preserve">SOURCE: </w:t>
      </w:r>
      <w:r w:rsidR="001F7806" w:rsidRPr="004F1FD8">
        <w:rPr>
          <w:rFonts w:ascii="Times New Roman" w:hAnsi="Times New Roman"/>
        </w:rPr>
        <w:t>Department of Education, National Cente</w:t>
      </w:r>
      <w:r w:rsidR="00051AA0">
        <w:rPr>
          <w:rFonts w:ascii="Times New Roman" w:hAnsi="Times New Roman"/>
        </w:rPr>
        <w:t>r</w:t>
      </w:r>
      <w:r w:rsidR="001F7806" w:rsidRPr="004F1FD8">
        <w:rPr>
          <w:rFonts w:ascii="Times New Roman" w:hAnsi="Times New Roman"/>
        </w:rPr>
        <w:t xml:space="preserve"> for Education Statistics, National Assessment of Adult Literacy (NAAL), 2003</w:t>
      </w:r>
      <w:r w:rsidR="00051AA0">
        <w:rPr>
          <w:rFonts w:ascii="Times New Roman" w:hAnsi="Times New Roman"/>
        </w:rPr>
        <w:t>.</w:t>
      </w:r>
    </w:p>
    <w:p w:rsidR="001F7806" w:rsidRDefault="001F7806" w:rsidP="001F7806">
      <w:bookmarkStart w:id="393" w:name="_Toc255551069"/>
      <w:r>
        <w:lastRenderedPageBreak/>
        <w:t xml:space="preserve">An example of the calculation of the range of potential bias in literacy estimates is shown in Table 10.  The table shows the difference between respondent and </w:t>
      </w:r>
      <w:proofErr w:type="spellStart"/>
      <w:r>
        <w:t>nonrespondents</w:t>
      </w:r>
      <w:proofErr w:type="spellEnd"/>
      <w:r>
        <w:t xml:space="preserve"> literacy scores that would bias the population estimate by b = 3, 5, 10, or 15 points.  The required difference between respondents and </w:t>
      </w:r>
      <w:proofErr w:type="spellStart"/>
      <w:r>
        <w:t>nonrespondents</w:t>
      </w:r>
      <w:proofErr w:type="spellEnd"/>
      <w:r>
        <w:t xml:space="preserve"> was computed as described earlier in section 3.3.2.  For the overall sample, literacy scores of respondents and </w:t>
      </w:r>
      <w:proofErr w:type="spellStart"/>
      <w:r>
        <w:t>nonrespondents</w:t>
      </w:r>
      <w:proofErr w:type="spellEnd"/>
      <w:r>
        <w:t xml:space="preserve"> would have to differ by about 8 points on average to bias the national estimate by 3 points and would need to differ by 39 points to bias the national estimate by 15 points.</w:t>
      </w:r>
    </w:p>
    <w:p w:rsidR="001F7806" w:rsidRDefault="001F7806" w:rsidP="001F7806"/>
    <w:p w:rsidR="00ED7163" w:rsidRDefault="00BB1140" w:rsidP="00BB1140">
      <w:pPr>
        <w:pStyle w:val="TT-TableTitle"/>
      </w:pPr>
      <w:r>
        <w:t>Table 10</w:t>
      </w:r>
      <w:r w:rsidR="00051AA0">
        <w:t>.</w:t>
      </w:r>
      <w:r>
        <w:tab/>
      </w:r>
      <w:r w:rsidR="00ED7163" w:rsidRPr="00B92418">
        <w:rPr>
          <w:lang w:val="en-GB"/>
        </w:rPr>
        <w:t xml:space="preserve">Average differences between respondents and </w:t>
      </w:r>
      <w:proofErr w:type="spellStart"/>
      <w:r w:rsidR="00ED7163" w:rsidRPr="00B92418">
        <w:rPr>
          <w:lang w:val="en-GB"/>
        </w:rPr>
        <w:t>nonrespondents</w:t>
      </w:r>
      <w:proofErr w:type="spellEnd"/>
      <w:r w:rsidR="00ED7163" w:rsidRPr="00B92418">
        <w:rPr>
          <w:lang w:val="en-GB"/>
        </w:rPr>
        <w:t xml:space="preserve"> needed to achieve various amounts of bias in outcome statistics</w:t>
      </w:r>
      <w:bookmarkEnd w:id="393"/>
      <w:r w:rsidR="00ED7163" w:rsidRPr="00B9241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1950"/>
        <w:gridCol w:w="974"/>
        <w:gridCol w:w="976"/>
        <w:gridCol w:w="974"/>
        <w:gridCol w:w="974"/>
      </w:tblGrid>
      <w:tr w:rsidR="00500F96" w:rsidTr="00A3188D">
        <w:trPr>
          <w:trHeight w:val="128"/>
        </w:trPr>
        <w:tc>
          <w:tcPr>
            <w:tcW w:w="2148" w:type="pct"/>
            <w:vMerge w:val="restart"/>
            <w:shd w:val="clear" w:color="auto" w:fill="AFBED7"/>
            <w:noWrap/>
            <w:tcMar>
              <w:top w:w="15" w:type="dxa"/>
              <w:left w:w="15" w:type="dxa"/>
              <w:bottom w:w="0" w:type="dxa"/>
              <w:right w:w="15" w:type="dxa"/>
            </w:tcMar>
            <w:vAlign w:val="bottom"/>
            <w:hideMark/>
          </w:tcPr>
          <w:p w:rsidR="00500F96" w:rsidRDefault="00500F96" w:rsidP="00500F96">
            <w:pPr>
              <w:pStyle w:val="TH-TableHeading"/>
            </w:pPr>
            <w:bookmarkStart w:id="394" w:name="_Toc255550642"/>
            <w:bookmarkStart w:id="395" w:name="_Toc255551039"/>
            <w:bookmarkStart w:id="396" w:name="_Toc255809050"/>
            <w:r>
              <w:t>Domain</w:t>
            </w:r>
            <w:bookmarkEnd w:id="394"/>
            <w:bookmarkEnd w:id="395"/>
            <w:bookmarkEnd w:id="396"/>
          </w:p>
        </w:tc>
        <w:tc>
          <w:tcPr>
            <w:tcW w:w="951" w:type="pct"/>
            <w:vMerge w:val="restart"/>
            <w:shd w:val="clear" w:color="auto" w:fill="AFBED7"/>
            <w:tcMar>
              <w:top w:w="15" w:type="dxa"/>
              <w:left w:w="15" w:type="dxa"/>
              <w:bottom w:w="0" w:type="dxa"/>
              <w:right w:w="15" w:type="dxa"/>
            </w:tcMar>
            <w:vAlign w:val="bottom"/>
            <w:hideMark/>
          </w:tcPr>
          <w:p w:rsidR="00500F96" w:rsidRDefault="00500F96" w:rsidP="00500F96">
            <w:pPr>
              <w:pStyle w:val="TH-TableHeading"/>
            </w:pPr>
            <w:bookmarkStart w:id="397" w:name="_Toc255550643"/>
            <w:bookmarkStart w:id="398" w:name="_Toc255551040"/>
            <w:bookmarkStart w:id="399" w:name="_Toc255809051"/>
            <w:r>
              <w:t>Percent of population</w:t>
            </w:r>
            <w:r>
              <w:rPr>
                <w:vertAlign w:val="superscript"/>
              </w:rPr>
              <w:t>1</w:t>
            </w:r>
            <w:r>
              <w:t xml:space="preserve"> represented by nonrespondents</w:t>
            </w:r>
            <w:r>
              <w:rPr>
                <w:vertAlign w:val="superscript"/>
              </w:rPr>
              <w:t>2</w:t>
            </w:r>
            <w:bookmarkEnd w:id="397"/>
            <w:bookmarkEnd w:id="398"/>
            <w:bookmarkEnd w:id="399"/>
          </w:p>
        </w:tc>
        <w:tc>
          <w:tcPr>
            <w:tcW w:w="1901" w:type="pct"/>
            <w:gridSpan w:val="4"/>
            <w:shd w:val="clear" w:color="auto" w:fill="AFBED7"/>
            <w:tcMar>
              <w:top w:w="15" w:type="dxa"/>
              <w:left w:w="15" w:type="dxa"/>
              <w:bottom w:w="0" w:type="dxa"/>
              <w:right w:w="15" w:type="dxa"/>
            </w:tcMar>
            <w:vAlign w:val="bottom"/>
            <w:hideMark/>
          </w:tcPr>
          <w:p w:rsidR="00500F96" w:rsidRDefault="00500F96" w:rsidP="00500F96">
            <w:pPr>
              <w:pStyle w:val="TH-TableHeading"/>
            </w:pPr>
            <w:bookmarkStart w:id="400" w:name="_Toc255550644"/>
            <w:bookmarkStart w:id="401" w:name="_Toc255551041"/>
            <w:bookmarkStart w:id="402" w:name="_Toc255809052"/>
            <w:r>
              <w:t xml:space="preserve">Average </w:t>
            </w:r>
            <w:r w:rsidR="008C2C8D">
              <w:t xml:space="preserve">point </w:t>
            </w:r>
            <w:r>
              <w:t xml:space="preserve">difference between respondents and </w:t>
            </w:r>
            <w:proofErr w:type="spellStart"/>
            <w:r>
              <w:t>nonrespondents</w:t>
            </w:r>
            <w:proofErr w:type="spellEnd"/>
            <w:r>
              <w:t xml:space="preserve"> needed to bias estimated scores by</w:t>
            </w:r>
            <w:bookmarkEnd w:id="400"/>
            <w:bookmarkEnd w:id="401"/>
            <w:bookmarkEnd w:id="402"/>
          </w:p>
        </w:tc>
      </w:tr>
      <w:tr w:rsidR="00500F96" w:rsidTr="009E10A4">
        <w:trPr>
          <w:trHeight w:val="65"/>
        </w:trPr>
        <w:tc>
          <w:tcPr>
            <w:tcW w:w="2148" w:type="pct"/>
            <w:vMerge/>
            <w:shd w:val="clear" w:color="auto" w:fill="AFBED7"/>
            <w:vAlign w:val="center"/>
            <w:hideMark/>
          </w:tcPr>
          <w:p w:rsidR="00500F96" w:rsidRDefault="00500F96" w:rsidP="00500F96">
            <w:pPr>
              <w:pStyle w:val="TH-TableHeading"/>
            </w:pPr>
          </w:p>
        </w:tc>
        <w:tc>
          <w:tcPr>
            <w:tcW w:w="951" w:type="pct"/>
            <w:vMerge/>
            <w:shd w:val="clear" w:color="auto" w:fill="AFBED7"/>
            <w:vAlign w:val="center"/>
            <w:hideMark/>
          </w:tcPr>
          <w:p w:rsidR="00500F96" w:rsidRDefault="00500F96" w:rsidP="00500F96">
            <w:pPr>
              <w:pStyle w:val="TH-TableHeading"/>
            </w:pPr>
          </w:p>
        </w:tc>
        <w:tc>
          <w:tcPr>
            <w:tcW w:w="475"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403" w:name="_Toc255550645"/>
            <w:bookmarkStart w:id="404" w:name="_Toc255551042"/>
            <w:bookmarkStart w:id="405" w:name="_Toc255809053"/>
            <w:r>
              <w:t>3</w:t>
            </w:r>
            <w:bookmarkEnd w:id="403"/>
            <w:bookmarkEnd w:id="404"/>
            <w:bookmarkEnd w:id="405"/>
            <w:r>
              <w:t xml:space="preserve"> </w:t>
            </w:r>
          </w:p>
        </w:tc>
        <w:tc>
          <w:tcPr>
            <w:tcW w:w="476"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406" w:name="_Toc255550646"/>
            <w:bookmarkStart w:id="407" w:name="_Toc255551043"/>
            <w:bookmarkStart w:id="408" w:name="_Toc255809054"/>
            <w:r>
              <w:t>5</w:t>
            </w:r>
            <w:bookmarkEnd w:id="406"/>
            <w:bookmarkEnd w:id="407"/>
            <w:bookmarkEnd w:id="408"/>
            <w:r>
              <w:t xml:space="preserve"> </w:t>
            </w:r>
          </w:p>
        </w:tc>
        <w:tc>
          <w:tcPr>
            <w:tcW w:w="475"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409" w:name="_Toc255550647"/>
            <w:bookmarkStart w:id="410" w:name="_Toc255551044"/>
            <w:bookmarkStart w:id="411" w:name="_Toc255809055"/>
            <w:r>
              <w:t>10</w:t>
            </w:r>
            <w:bookmarkEnd w:id="409"/>
            <w:bookmarkEnd w:id="410"/>
            <w:bookmarkEnd w:id="411"/>
            <w:r>
              <w:t xml:space="preserve"> </w:t>
            </w:r>
          </w:p>
        </w:tc>
        <w:tc>
          <w:tcPr>
            <w:tcW w:w="475" w:type="pct"/>
            <w:shd w:val="clear" w:color="auto" w:fill="AFBED7"/>
            <w:noWrap/>
            <w:tcMar>
              <w:top w:w="15" w:type="dxa"/>
              <w:left w:w="15" w:type="dxa"/>
              <w:bottom w:w="0" w:type="dxa"/>
              <w:right w:w="15" w:type="dxa"/>
            </w:tcMar>
            <w:vAlign w:val="bottom"/>
            <w:hideMark/>
          </w:tcPr>
          <w:p w:rsidR="00500F96" w:rsidRDefault="00500F96" w:rsidP="008C2C8D">
            <w:pPr>
              <w:pStyle w:val="TH-TableHeading"/>
            </w:pPr>
            <w:bookmarkStart w:id="412" w:name="_Toc255550648"/>
            <w:bookmarkStart w:id="413" w:name="_Toc255551045"/>
            <w:bookmarkStart w:id="414" w:name="_Toc255809056"/>
            <w:r>
              <w:t>15</w:t>
            </w:r>
            <w:bookmarkEnd w:id="412"/>
            <w:bookmarkEnd w:id="413"/>
            <w:bookmarkEnd w:id="414"/>
            <w:r>
              <w:t xml:space="preserve"> </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Total</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Region</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Northeast</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Midwest</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43</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South</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40</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West</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MSA status</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Non-MSA</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MSA</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Average household size</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2.42</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(2.42,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39</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27</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40</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Percent less than high school</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10.4%</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(10.4%, 20.3%]</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(20.3%, 32%]</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42</w:t>
            </w:r>
          </w:p>
        </w:tc>
      </w:tr>
      <w:tr w:rsidR="00500F96" w:rsidTr="009E10A4">
        <w:trPr>
          <w:trHeight w:val="300"/>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32%</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31</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10</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48</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Percent speaking Spanish but not English</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(0%,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28%</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44</w:t>
            </w:r>
          </w:p>
        </w:tc>
      </w:tr>
      <w:tr w:rsidR="00500F96" w:rsidTr="009E10A4">
        <w:trPr>
          <w:trHeight w:val="5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Percent below 150% of poverty</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10.7%</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35</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(10.7%, 20%]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(20%, 33.3%]</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43</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33.3%</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10</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17</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52</w:t>
            </w:r>
          </w:p>
        </w:tc>
      </w:tr>
      <w:tr w:rsidR="00500F96" w:rsidTr="009E10A4">
        <w:trPr>
          <w:trHeight w:val="65"/>
        </w:trPr>
        <w:tc>
          <w:tcPr>
            <w:tcW w:w="2148" w:type="pct"/>
            <w:shd w:val="clear" w:color="auto" w:fill="auto"/>
            <w:noWrap/>
            <w:tcMar>
              <w:top w:w="15" w:type="dxa"/>
              <w:left w:w="15" w:type="dxa"/>
              <w:bottom w:w="0" w:type="dxa"/>
              <w:right w:w="15" w:type="dxa"/>
            </w:tcMar>
            <w:vAlign w:val="bottom"/>
            <w:hideMark/>
          </w:tcPr>
          <w:p w:rsidR="00500F96" w:rsidRPr="00585B44" w:rsidRDefault="00500F96" w:rsidP="00585B44">
            <w:pPr>
              <w:pStyle w:val="TX-TableText"/>
              <w:rPr>
                <w:b/>
              </w:rPr>
            </w:pPr>
            <w:r w:rsidRPr="00585B44">
              <w:rPr>
                <w:b/>
              </w:rPr>
              <w:t>Median income</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 28,400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28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11</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18</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36</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53</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(28,400, 37,850]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34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44</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(37,850, 52,100]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40</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25</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38</w:t>
            </w:r>
          </w:p>
        </w:tc>
      </w:tr>
      <w:tr w:rsidR="00500F96" w:rsidTr="009E10A4">
        <w:trPr>
          <w:trHeight w:val="65"/>
        </w:trPr>
        <w:tc>
          <w:tcPr>
            <w:tcW w:w="2148" w:type="pct"/>
            <w:shd w:val="clear" w:color="auto" w:fill="auto"/>
            <w:noWrap/>
            <w:tcMar>
              <w:top w:w="15" w:type="dxa"/>
              <w:left w:w="135" w:type="dxa"/>
              <w:bottom w:w="0" w:type="dxa"/>
              <w:right w:w="15" w:type="dxa"/>
            </w:tcMar>
            <w:vAlign w:val="bottom"/>
            <w:hideMark/>
          </w:tcPr>
          <w:p w:rsidR="00500F96" w:rsidRPr="00500F96" w:rsidRDefault="00500F96" w:rsidP="00585B44">
            <w:pPr>
              <w:pStyle w:val="TX-TableText"/>
            </w:pPr>
            <w:r w:rsidRPr="00500F96">
              <w:t>&gt; 52,100</w:t>
            </w:r>
          </w:p>
        </w:tc>
        <w:tc>
          <w:tcPr>
            <w:tcW w:w="951"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1006"/>
              </w:tabs>
            </w:pPr>
            <w:r w:rsidRPr="00500F96">
              <w:t>44</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11</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23</w:t>
            </w:r>
          </w:p>
        </w:tc>
        <w:tc>
          <w:tcPr>
            <w:tcW w:w="475" w:type="pct"/>
            <w:shd w:val="clear" w:color="auto" w:fill="auto"/>
            <w:noWrap/>
            <w:tcMar>
              <w:top w:w="15" w:type="dxa"/>
              <w:left w:w="15" w:type="dxa"/>
              <w:bottom w:w="0" w:type="dxa"/>
              <w:right w:w="15" w:type="dxa"/>
            </w:tcMar>
            <w:vAlign w:val="bottom"/>
            <w:hideMark/>
          </w:tcPr>
          <w:p w:rsidR="00500F96" w:rsidRPr="00500F96" w:rsidRDefault="00500F96" w:rsidP="00FA3DF8">
            <w:pPr>
              <w:pStyle w:val="TX-TableText"/>
              <w:tabs>
                <w:tab w:val="decimal" w:pos="480"/>
              </w:tabs>
            </w:pPr>
            <w:r w:rsidRPr="00500F96">
              <w:t>34</w:t>
            </w:r>
          </w:p>
        </w:tc>
      </w:tr>
    </w:tbl>
    <w:p w:rsidR="001F7806" w:rsidRDefault="001F7806"/>
    <w:p w:rsidR="001F7806" w:rsidRDefault="001F7806"/>
    <w:p w:rsidR="00B97419" w:rsidRDefault="00B97419">
      <w:pPr>
        <w:spacing w:after="200" w:line="276" w:lineRule="auto"/>
        <w:jc w:val="left"/>
        <w:rPr>
          <w:b/>
          <w:lang w:val="en-US"/>
        </w:rPr>
      </w:pPr>
      <w:r>
        <w:br w:type="page"/>
      </w:r>
    </w:p>
    <w:p w:rsidR="001F7806" w:rsidRDefault="001F7806" w:rsidP="001F7806">
      <w:pPr>
        <w:pStyle w:val="TT-TableTitle"/>
      </w:pPr>
      <w:r>
        <w:lastRenderedPageBreak/>
        <w:t>Table 10</w:t>
      </w:r>
      <w:r w:rsidR="00051AA0">
        <w:t>.</w:t>
      </w:r>
      <w:r>
        <w:tab/>
      </w:r>
      <w:r w:rsidRPr="00B92418">
        <w:rPr>
          <w:lang w:val="en-GB"/>
        </w:rPr>
        <w:t xml:space="preserve">Average differences between respondents and </w:t>
      </w:r>
      <w:proofErr w:type="spellStart"/>
      <w:r w:rsidRPr="00B92418">
        <w:rPr>
          <w:lang w:val="en-GB"/>
        </w:rPr>
        <w:t>nonrespondents</w:t>
      </w:r>
      <w:proofErr w:type="spellEnd"/>
      <w:r w:rsidRPr="00B92418">
        <w:rPr>
          <w:lang w:val="en-GB"/>
        </w:rPr>
        <w:t xml:space="preserve"> needed to achieve various amounts of bias in outcome statistics</w:t>
      </w:r>
      <w:r w:rsidRPr="00B92418">
        <w:t xml:space="preserve"> </w:t>
      </w:r>
      <w: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06"/>
        <w:gridCol w:w="1950"/>
        <w:gridCol w:w="974"/>
        <w:gridCol w:w="976"/>
        <w:gridCol w:w="974"/>
        <w:gridCol w:w="974"/>
      </w:tblGrid>
      <w:tr w:rsidR="001F7806" w:rsidTr="00C2650A">
        <w:trPr>
          <w:trHeight w:val="128"/>
        </w:trPr>
        <w:tc>
          <w:tcPr>
            <w:tcW w:w="2148" w:type="pct"/>
            <w:vMerge w:val="restar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415" w:name="_Toc255809057"/>
            <w:r>
              <w:t>Domain</w:t>
            </w:r>
            <w:bookmarkEnd w:id="415"/>
          </w:p>
        </w:tc>
        <w:tc>
          <w:tcPr>
            <w:tcW w:w="951" w:type="pct"/>
            <w:vMerge w:val="restart"/>
            <w:shd w:val="clear" w:color="auto" w:fill="AFBED7"/>
            <w:tcMar>
              <w:top w:w="15" w:type="dxa"/>
              <w:left w:w="15" w:type="dxa"/>
              <w:bottom w:w="0" w:type="dxa"/>
              <w:right w:w="15" w:type="dxa"/>
            </w:tcMar>
            <w:vAlign w:val="bottom"/>
            <w:hideMark/>
          </w:tcPr>
          <w:p w:rsidR="001F7806" w:rsidRDefault="001F7806" w:rsidP="00C2650A">
            <w:pPr>
              <w:pStyle w:val="TH-TableHeading"/>
            </w:pPr>
            <w:bookmarkStart w:id="416" w:name="_Toc255809058"/>
            <w:r>
              <w:t>Percent of population</w:t>
            </w:r>
            <w:r>
              <w:rPr>
                <w:vertAlign w:val="superscript"/>
              </w:rPr>
              <w:t>1</w:t>
            </w:r>
            <w:r>
              <w:t xml:space="preserve"> represented by nonrespondents</w:t>
            </w:r>
            <w:r>
              <w:rPr>
                <w:vertAlign w:val="superscript"/>
              </w:rPr>
              <w:t>2</w:t>
            </w:r>
            <w:bookmarkEnd w:id="416"/>
          </w:p>
        </w:tc>
        <w:tc>
          <w:tcPr>
            <w:tcW w:w="1901" w:type="pct"/>
            <w:gridSpan w:val="4"/>
            <w:shd w:val="clear" w:color="auto" w:fill="AFBED7"/>
            <w:tcMar>
              <w:top w:w="15" w:type="dxa"/>
              <w:left w:w="15" w:type="dxa"/>
              <w:bottom w:w="0" w:type="dxa"/>
              <w:right w:w="15" w:type="dxa"/>
            </w:tcMar>
            <w:vAlign w:val="bottom"/>
            <w:hideMark/>
          </w:tcPr>
          <w:p w:rsidR="001F7806" w:rsidRDefault="001F7806" w:rsidP="00C2650A">
            <w:pPr>
              <w:pStyle w:val="TH-TableHeading"/>
            </w:pPr>
            <w:bookmarkStart w:id="417" w:name="_Toc255809059"/>
            <w:r>
              <w:t xml:space="preserve">Average point difference between respondents and </w:t>
            </w:r>
            <w:proofErr w:type="spellStart"/>
            <w:r>
              <w:t>nonrespondents</w:t>
            </w:r>
            <w:proofErr w:type="spellEnd"/>
            <w:r>
              <w:t xml:space="preserve"> needed to bias estimated scores by</w:t>
            </w:r>
            <w:bookmarkEnd w:id="417"/>
          </w:p>
        </w:tc>
      </w:tr>
      <w:tr w:rsidR="001F7806" w:rsidTr="00C2650A">
        <w:trPr>
          <w:trHeight w:val="65"/>
        </w:trPr>
        <w:tc>
          <w:tcPr>
            <w:tcW w:w="2148" w:type="pct"/>
            <w:vMerge/>
            <w:shd w:val="clear" w:color="auto" w:fill="AFBED7"/>
            <w:vAlign w:val="center"/>
            <w:hideMark/>
          </w:tcPr>
          <w:p w:rsidR="001F7806" w:rsidRDefault="001F7806" w:rsidP="00C2650A">
            <w:pPr>
              <w:pStyle w:val="TH-TableHeading"/>
            </w:pPr>
          </w:p>
        </w:tc>
        <w:tc>
          <w:tcPr>
            <w:tcW w:w="951" w:type="pct"/>
            <w:vMerge/>
            <w:shd w:val="clear" w:color="auto" w:fill="AFBED7"/>
            <w:vAlign w:val="center"/>
            <w:hideMark/>
          </w:tcPr>
          <w:p w:rsidR="001F7806" w:rsidRDefault="001F7806" w:rsidP="00C2650A">
            <w:pPr>
              <w:pStyle w:val="TH-TableHeading"/>
            </w:pPr>
          </w:p>
        </w:tc>
        <w:tc>
          <w:tcPr>
            <w:tcW w:w="475"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418" w:name="_Toc255809060"/>
            <w:r>
              <w:t>3</w:t>
            </w:r>
            <w:bookmarkEnd w:id="418"/>
            <w:r>
              <w:t xml:space="preserve"> </w:t>
            </w:r>
          </w:p>
        </w:tc>
        <w:tc>
          <w:tcPr>
            <w:tcW w:w="476"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419" w:name="_Toc255809061"/>
            <w:r>
              <w:t>5</w:t>
            </w:r>
            <w:bookmarkEnd w:id="419"/>
            <w:r>
              <w:t xml:space="preserve"> </w:t>
            </w:r>
          </w:p>
        </w:tc>
        <w:tc>
          <w:tcPr>
            <w:tcW w:w="475"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420" w:name="_Toc255809062"/>
            <w:r>
              <w:t>10</w:t>
            </w:r>
            <w:bookmarkEnd w:id="420"/>
            <w:r>
              <w:t xml:space="preserve"> </w:t>
            </w:r>
          </w:p>
        </w:tc>
        <w:tc>
          <w:tcPr>
            <w:tcW w:w="475" w:type="pct"/>
            <w:shd w:val="clear" w:color="auto" w:fill="AFBED7"/>
            <w:noWrap/>
            <w:tcMar>
              <w:top w:w="15" w:type="dxa"/>
              <w:left w:w="15" w:type="dxa"/>
              <w:bottom w:w="0" w:type="dxa"/>
              <w:right w:w="15" w:type="dxa"/>
            </w:tcMar>
            <w:vAlign w:val="bottom"/>
            <w:hideMark/>
          </w:tcPr>
          <w:p w:rsidR="001F7806" w:rsidRDefault="001F7806" w:rsidP="00C2650A">
            <w:pPr>
              <w:pStyle w:val="TH-TableHeading"/>
            </w:pPr>
            <w:bookmarkStart w:id="421" w:name="_Toc255809063"/>
            <w:r>
              <w:t>15</w:t>
            </w:r>
            <w:bookmarkEnd w:id="421"/>
            <w:r>
              <w:t xml:space="preserve"> </w:t>
            </w:r>
          </w:p>
        </w:tc>
      </w:tr>
      <w:tr w:rsidR="001F7806" w:rsidTr="001F7806">
        <w:trPr>
          <w:trHeight w:val="65"/>
        </w:trPr>
        <w:tc>
          <w:tcPr>
            <w:tcW w:w="2148" w:type="pct"/>
            <w:shd w:val="clear" w:color="auto" w:fill="auto"/>
            <w:noWrap/>
            <w:tcMar>
              <w:top w:w="15" w:type="dxa"/>
              <w:left w:w="15" w:type="dxa"/>
              <w:bottom w:w="0" w:type="dxa"/>
              <w:right w:w="15" w:type="dxa"/>
            </w:tcMar>
            <w:vAlign w:val="bottom"/>
            <w:hideMark/>
          </w:tcPr>
          <w:p w:rsidR="001F7806" w:rsidRPr="00585B44" w:rsidRDefault="001F7806" w:rsidP="001F7806">
            <w:pPr>
              <w:pStyle w:val="TX-TableText"/>
              <w:rPr>
                <w:b/>
              </w:rPr>
            </w:pPr>
            <w:r w:rsidRPr="00585B44">
              <w:rPr>
                <w:b/>
              </w:rPr>
              <w:t>Percent rent</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 16%</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42</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7</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12</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24</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36</w:t>
            </w: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(16%, 31%]</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37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13</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40</w:t>
            </w: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(31%, 59%]</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37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8</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27</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41</w:t>
            </w:r>
          </w:p>
        </w:tc>
      </w:tr>
      <w:tr w:rsidR="001F7806" w:rsidTr="001F7806">
        <w:trPr>
          <w:trHeight w:val="65"/>
        </w:trPr>
        <w:tc>
          <w:tcPr>
            <w:tcW w:w="2148" w:type="pct"/>
            <w:shd w:val="clear" w:color="auto" w:fill="auto"/>
            <w:noWrap/>
            <w:tcMar>
              <w:top w:w="15" w:type="dxa"/>
              <w:left w:w="135" w:type="dxa"/>
              <w:bottom w:w="0" w:type="dxa"/>
              <w:right w:w="15" w:type="dxa"/>
            </w:tcMar>
            <w:vAlign w:val="bottom"/>
            <w:hideMark/>
          </w:tcPr>
          <w:p w:rsidR="001F7806" w:rsidRPr="00500F96" w:rsidRDefault="001F7806" w:rsidP="001F7806">
            <w:pPr>
              <w:pStyle w:val="TX-TableText"/>
            </w:pPr>
            <w:r w:rsidRPr="00500F96">
              <w:t>&gt; 59%</w:t>
            </w:r>
          </w:p>
        </w:tc>
        <w:tc>
          <w:tcPr>
            <w:tcW w:w="951"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1006"/>
              </w:tabs>
            </w:pPr>
            <w:r w:rsidRPr="00500F96">
              <w:t>35</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9</w:t>
            </w:r>
          </w:p>
        </w:tc>
        <w:tc>
          <w:tcPr>
            <w:tcW w:w="476"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14</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29</w:t>
            </w:r>
          </w:p>
        </w:tc>
        <w:tc>
          <w:tcPr>
            <w:tcW w:w="475" w:type="pct"/>
            <w:shd w:val="clear" w:color="auto" w:fill="auto"/>
            <w:noWrap/>
            <w:tcMar>
              <w:top w:w="15" w:type="dxa"/>
              <w:left w:w="15" w:type="dxa"/>
              <w:bottom w:w="0" w:type="dxa"/>
              <w:right w:w="15" w:type="dxa"/>
            </w:tcMar>
            <w:vAlign w:val="bottom"/>
            <w:hideMark/>
          </w:tcPr>
          <w:p w:rsidR="001F7806" w:rsidRPr="00500F96" w:rsidRDefault="001F7806" w:rsidP="001F7806">
            <w:pPr>
              <w:pStyle w:val="TX-TableText"/>
              <w:tabs>
                <w:tab w:val="decimal" w:pos="480"/>
              </w:tabs>
            </w:pPr>
            <w:r w:rsidRPr="00500F96">
              <w:t>43</w:t>
            </w:r>
          </w:p>
        </w:tc>
      </w:tr>
      <w:tr w:rsidR="003F7D02" w:rsidTr="003F7D02">
        <w:trPr>
          <w:trHeight w:val="65"/>
        </w:trPr>
        <w:tc>
          <w:tcPr>
            <w:tcW w:w="2148" w:type="pct"/>
            <w:shd w:val="clear" w:color="auto" w:fill="auto"/>
            <w:noWrap/>
            <w:tcMar>
              <w:top w:w="15" w:type="dxa"/>
              <w:left w:w="15" w:type="dxa"/>
              <w:bottom w:w="0" w:type="dxa"/>
              <w:right w:w="15" w:type="dxa"/>
            </w:tcMar>
            <w:vAlign w:val="bottom"/>
            <w:hideMark/>
          </w:tcPr>
          <w:p w:rsidR="003F7D02" w:rsidRPr="00585B44" w:rsidRDefault="003F7D02" w:rsidP="003F7D02">
            <w:pPr>
              <w:pStyle w:val="TX-TableText"/>
              <w:rPr>
                <w:b/>
              </w:rPr>
            </w:pPr>
            <w:r w:rsidRPr="00585B44">
              <w:rPr>
                <w:b/>
              </w:rPr>
              <w:t>Low response rate CHAID cells</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p>
        </w:tc>
      </w:tr>
      <w:tr w:rsidR="003F7D02" w:rsidTr="003F7D02">
        <w:trPr>
          <w:trHeight w:val="65"/>
        </w:trPr>
        <w:tc>
          <w:tcPr>
            <w:tcW w:w="2148" w:type="pct"/>
            <w:shd w:val="clear" w:color="auto" w:fill="auto"/>
            <w:noWrap/>
            <w:tcMar>
              <w:top w:w="15" w:type="dxa"/>
              <w:left w:w="135" w:type="dxa"/>
              <w:bottom w:w="0" w:type="dxa"/>
              <w:right w:w="15" w:type="dxa"/>
            </w:tcMar>
            <w:vAlign w:val="bottom"/>
            <w:hideMark/>
          </w:tcPr>
          <w:p w:rsidR="003F7D02" w:rsidRPr="00500F96" w:rsidRDefault="003F7D02" w:rsidP="003F7D02">
            <w:pPr>
              <w:pStyle w:val="TX-TableText"/>
            </w:pPr>
            <w:r w:rsidRPr="00500F96">
              <w:t>Cell 1</w:t>
            </w:r>
            <w:r w:rsidRPr="00500F96">
              <w:rPr>
                <w:vertAlign w:val="superscript"/>
              </w:rPr>
              <w:t>3</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r w:rsidRPr="00500F96">
              <w:t>59</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5</w:t>
            </w: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8</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17</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25</w:t>
            </w:r>
          </w:p>
        </w:tc>
      </w:tr>
      <w:tr w:rsidR="003F7D02" w:rsidTr="003F7D02">
        <w:trPr>
          <w:trHeight w:val="65"/>
        </w:trPr>
        <w:tc>
          <w:tcPr>
            <w:tcW w:w="2148" w:type="pct"/>
            <w:shd w:val="clear" w:color="auto" w:fill="auto"/>
            <w:noWrap/>
            <w:tcMar>
              <w:top w:w="15" w:type="dxa"/>
              <w:left w:w="135" w:type="dxa"/>
              <w:bottom w:w="0" w:type="dxa"/>
              <w:right w:w="15" w:type="dxa"/>
            </w:tcMar>
            <w:vAlign w:val="bottom"/>
            <w:hideMark/>
          </w:tcPr>
          <w:p w:rsidR="003F7D02" w:rsidRPr="00500F96" w:rsidRDefault="003F7D02" w:rsidP="003F7D02">
            <w:pPr>
              <w:pStyle w:val="TX-TableText"/>
            </w:pPr>
            <w:r w:rsidRPr="00500F96">
              <w:t>Cell 2</w:t>
            </w:r>
            <w:r w:rsidRPr="00500F96">
              <w:rPr>
                <w:vertAlign w:val="superscript"/>
              </w:rPr>
              <w:t>4</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r w:rsidRPr="00500F96">
              <w:t>51</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6</w:t>
            </w: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10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20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30</w:t>
            </w:r>
          </w:p>
        </w:tc>
      </w:tr>
      <w:tr w:rsidR="003F7D02" w:rsidTr="003F7D02">
        <w:trPr>
          <w:trHeight w:val="65"/>
        </w:trPr>
        <w:tc>
          <w:tcPr>
            <w:tcW w:w="2148" w:type="pct"/>
            <w:shd w:val="clear" w:color="auto" w:fill="auto"/>
            <w:noWrap/>
            <w:tcMar>
              <w:top w:w="15" w:type="dxa"/>
              <w:left w:w="135" w:type="dxa"/>
              <w:bottom w:w="0" w:type="dxa"/>
              <w:right w:w="15" w:type="dxa"/>
            </w:tcMar>
            <w:vAlign w:val="bottom"/>
            <w:hideMark/>
          </w:tcPr>
          <w:p w:rsidR="003F7D02" w:rsidRPr="00500F96" w:rsidRDefault="003F7D02" w:rsidP="003F7D02">
            <w:pPr>
              <w:pStyle w:val="TX-TableText"/>
            </w:pPr>
            <w:r w:rsidRPr="00500F96">
              <w:t>Cell 3</w:t>
            </w:r>
            <w:r w:rsidRPr="00500F96">
              <w:rPr>
                <w:vertAlign w:val="superscript"/>
              </w:rPr>
              <w:t>5</w:t>
            </w:r>
          </w:p>
        </w:tc>
        <w:tc>
          <w:tcPr>
            <w:tcW w:w="951"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1006"/>
              </w:tabs>
            </w:pPr>
            <w:r w:rsidRPr="00500F96">
              <w:t>50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6</w:t>
            </w:r>
          </w:p>
        </w:tc>
        <w:tc>
          <w:tcPr>
            <w:tcW w:w="476"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10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20</w:t>
            </w:r>
          </w:p>
        </w:tc>
        <w:tc>
          <w:tcPr>
            <w:tcW w:w="475" w:type="pct"/>
            <w:shd w:val="clear" w:color="auto" w:fill="auto"/>
            <w:noWrap/>
            <w:tcMar>
              <w:top w:w="15" w:type="dxa"/>
              <w:left w:w="15" w:type="dxa"/>
              <w:bottom w:w="0" w:type="dxa"/>
              <w:right w:w="15" w:type="dxa"/>
            </w:tcMar>
            <w:vAlign w:val="bottom"/>
            <w:hideMark/>
          </w:tcPr>
          <w:p w:rsidR="003F7D02" w:rsidRPr="00500F96" w:rsidRDefault="003F7D02" w:rsidP="003F7D02">
            <w:pPr>
              <w:pStyle w:val="TX-TableText"/>
              <w:tabs>
                <w:tab w:val="decimal" w:pos="480"/>
              </w:tabs>
            </w:pPr>
            <w:r w:rsidRPr="00500F96">
              <w:t>30</w:t>
            </w:r>
          </w:p>
        </w:tc>
      </w:tr>
    </w:tbl>
    <w:p w:rsidR="009E10A4" w:rsidRPr="004F1FD8" w:rsidRDefault="009E10A4" w:rsidP="009E10A4">
      <w:pPr>
        <w:pStyle w:val="TF-TblFN"/>
        <w:rPr>
          <w:rFonts w:ascii="Times New Roman" w:hAnsi="Times New Roman"/>
        </w:rPr>
      </w:pPr>
      <w:r w:rsidRPr="004F1FD8">
        <w:rPr>
          <w:rFonts w:ascii="Times New Roman" w:hAnsi="Times New Roman"/>
          <w:vertAlign w:val="superscript"/>
        </w:rPr>
        <w:t>1</w:t>
      </w:r>
      <w:r w:rsidR="004F1FD8" w:rsidRPr="004F1FD8">
        <w:rPr>
          <w:rFonts w:ascii="Times New Roman" w:hAnsi="Times New Roman"/>
          <w:vertAlign w:val="superscript"/>
        </w:rPr>
        <w:tab/>
      </w:r>
      <w:r w:rsidRPr="004F1FD8">
        <w:rPr>
          <w:rFonts w:ascii="Times New Roman" w:hAnsi="Times New Roman"/>
        </w:rPr>
        <w:t>The population excludes language problems and mental disabilities.</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2</w:t>
      </w:r>
      <w:r w:rsidR="004F1FD8" w:rsidRPr="004F1FD8">
        <w:rPr>
          <w:rFonts w:ascii="Times New Roman" w:hAnsi="Times New Roman"/>
          <w:vertAlign w:val="superscript"/>
        </w:rPr>
        <w:tab/>
      </w:r>
      <w:proofErr w:type="spellStart"/>
      <w:r w:rsidRPr="004F1FD8">
        <w:rPr>
          <w:rFonts w:ascii="Times New Roman" w:hAnsi="Times New Roman"/>
        </w:rPr>
        <w:t>Nonrespondents</w:t>
      </w:r>
      <w:proofErr w:type="spellEnd"/>
      <w:r w:rsidRPr="004F1FD8">
        <w:rPr>
          <w:rFonts w:ascii="Times New Roman" w:hAnsi="Times New Roman"/>
        </w:rPr>
        <w:t xml:space="preserve"> to the Screener and BQ.</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3</w:t>
      </w:r>
      <w:r w:rsidR="004F1FD8" w:rsidRPr="004F1FD8">
        <w:rPr>
          <w:rFonts w:ascii="Times New Roman" w:hAnsi="Times New Roman"/>
          <w:vertAlign w:val="superscript"/>
        </w:rPr>
        <w:tab/>
      </w:r>
      <w:r w:rsidRPr="004F1FD8">
        <w:rPr>
          <w:rFonts w:ascii="Times New Roman" w:hAnsi="Times New Roman"/>
        </w:rPr>
        <w:t>Median income greater than 52,100, average household size 2.42 or less, Northeast region</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4</w:t>
      </w:r>
      <w:r w:rsidR="004F1FD8" w:rsidRPr="004F1FD8">
        <w:rPr>
          <w:rFonts w:ascii="Times New Roman" w:hAnsi="Times New Roman"/>
        </w:rPr>
        <w:tab/>
      </w:r>
      <w:r w:rsidRPr="004F1FD8">
        <w:rPr>
          <w:rFonts w:ascii="Times New Roman" w:hAnsi="Times New Roman"/>
        </w:rPr>
        <w:t>Median income 37,850 - 52,100, percent less than high school greater than 20.3, Northeast region</w:t>
      </w:r>
    </w:p>
    <w:p w:rsidR="009E10A4" w:rsidRPr="004F1FD8" w:rsidRDefault="009E10A4" w:rsidP="009E10A4">
      <w:pPr>
        <w:pStyle w:val="TF-TblFN"/>
        <w:rPr>
          <w:rFonts w:ascii="Times New Roman" w:hAnsi="Times New Roman"/>
        </w:rPr>
      </w:pPr>
      <w:r w:rsidRPr="004F1FD8">
        <w:rPr>
          <w:rFonts w:ascii="Times New Roman" w:hAnsi="Times New Roman"/>
          <w:vertAlign w:val="superscript"/>
        </w:rPr>
        <w:t>5</w:t>
      </w:r>
      <w:r w:rsidR="004F1FD8" w:rsidRPr="004F1FD8">
        <w:rPr>
          <w:rFonts w:ascii="Times New Roman" w:hAnsi="Times New Roman"/>
        </w:rPr>
        <w:tab/>
      </w:r>
      <w:r w:rsidRPr="004F1FD8">
        <w:rPr>
          <w:rFonts w:ascii="Times New Roman" w:hAnsi="Times New Roman"/>
        </w:rPr>
        <w:t>Median income greater than 52,100, average household size 2.42 - 2.8, South or West region</w:t>
      </w:r>
    </w:p>
    <w:p w:rsidR="00500F96" w:rsidRPr="004F1FD8" w:rsidRDefault="004B3AE3" w:rsidP="009E10A4">
      <w:pPr>
        <w:pStyle w:val="TF-TblFN"/>
        <w:rPr>
          <w:rFonts w:ascii="Times New Roman" w:hAnsi="Times New Roman"/>
        </w:rPr>
      </w:pPr>
      <w:r>
        <w:rPr>
          <w:rFonts w:ascii="Times New Roman" w:hAnsi="Times New Roman"/>
        </w:rPr>
        <w:tab/>
      </w:r>
      <w:r w:rsidR="00051AA0">
        <w:rPr>
          <w:rFonts w:ascii="Times New Roman" w:hAnsi="Times New Roman"/>
        </w:rPr>
        <w:t>SOURCE</w:t>
      </w:r>
      <w:r w:rsidR="009E10A4" w:rsidRPr="004F1FD8">
        <w:rPr>
          <w:rFonts w:ascii="Times New Roman" w:hAnsi="Times New Roman"/>
        </w:rPr>
        <w:t xml:space="preserve">: U.S. Department of Education, National </w:t>
      </w:r>
      <w:r w:rsidR="00051AA0">
        <w:rPr>
          <w:rFonts w:ascii="Times New Roman" w:hAnsi="Times New Roman"/>
        </w:rPr>
        <w:t>Center</w:t>
      </w:r>
      <w:r w:rsidR="00051AA0" w:rsidRPr="004F1FD8">
        <w:rPr>
          <w:rFonts w:ascii="Times New Roman" w:hAnsi="Times New Roman"/>
        </w:rPr>
        <w:t xml:space="preserve"> </w:t>
      </w:r>
      <w:r w:rsidR="009E10A4" w:rsidRPr="004F1FD8">
        <w:rPr>
          <w:rFonts w:ascii="Times New Roman" w:hAnsi="Times New Roman"/>
        </w:rPr>
        <w:t>for Education Statistics, National Assessment of Adult Literacy (NAAL), 2003</w:t>
      </w:r>
      <w:r w:rsidR="00051AA0">
        <w:rPr>
          <w:rFonts w:ascii="Times New Roman" w:hAnsi="Times New Roman"/>
        </w:rPr>
        <w:t>.</w:t>
      </w:r>
    </w:p>
    <w:p w:rsidR="009E10A4" w:rsidRPr="004F1FD8" w:rsidRDefault="009E10A4" w:rsidP="00BB1140">
      <w:pPr>
        <w:pStyle w:val="Heading2"/>
        <w:rPr>
          <w:b w:val="0"/>
        </w:rPr>
      </w:pPr>
    </w:p>
    <w:p w:rsidR="00B97419" w:rsidRDefault="00B97419">
      <w:pPr>
        <w:spacing w:after="200" w:line="276" w:lineRule="auto"/>
        <w:jc w:val="left"/>
      </w:pPr>
    </w:p>
    <w:p w:rsidR="00576B5B" w:rsidRPr="00576B5B" w:rsidRDefault="00D913F5" w:rsidP="00D913F5">
      <w:pPr>
        <w:pStyle w:val="Heading1"/>
        <w:jc w:val="center"/>
      </w:pPr>
      <w:bookmarkStart w:id="422" w:name="_Toc255809064"/>
      <w:r>
        <w:t xml:space="preserve">4. </w:t>
      </w:r>
      <w:r w:rsidR="00576B5B" w:rsidRPr="00576B5B">
        <w:t>Summary</w:t>
      </w:r>
      <w:bookmarkEnd w:id="422"/>
    </w:p>
    <w:p w:rsidR="00E63738" w:rsidRDefault="00CE47A2" w:rsidP="00C15F40">
      <w:r w:rsidRPr="007A5222">
        <w:t xml:space="preserve">This document presented the main goals of PIAAC for reducing </w:t>
      </w:r>
      <w:r w:rsidR="00D76C0A" w:rsidRPr="00D76C0A">
        <w:t>NRB</w:t>
      </w:r>
      <w:r w:rsidRPr="007A5222">
        <w:t xml:space="preserve"> throughout the survey process. A series of procedures for implementation before and during the data collection were described to help increase the response rates</w:t>
      </w:r>
      <w:r w:rsidR="00E63738" w:rsidRPr="007A5222">
        <w:t xml:space="preserve"> with the goal of reducing </w:t>
      </w:r>
      <w:r w:rsidR="00D76C0A" w:rsidRPr="00D76C0A">
        <w:t>NRB</w:t>
      </w:r>
      <w:r w:rsidR="00E63738" w:rsidRPr="007A5222">
        <w:t xml:space="preserve"> to the extent possible. Prel</w:t>
      </w:r>
      <w:r w:rsidR="007A5222">
        <w:t>i</w:t>
      </w:r>
      <w:r w:rsidR="00E63738" w:rsidRPr="007A5222">
        <w:t xml:space="preserve">minary plans are provided to conduct basic </w:t>
      </w:r>
      <w:r w:rsidR="00D76C0A" w:rsidRPr="00D76C0A">
        <w:t>NRB</w:t>
      </w:r>
      <w:r w:rsidR="00E63738" w:rsidRPr="007A5222">
        <w:t xml:space="preserve"> analysis</w:t>
      </w:r>
      <w:r w:rsidR="007A5222">
        <w:t xml:space="preserve"> to allow an eff</w:t>
      </w:r>
      <w:r w:rsidR="00E63738" w:rsidRPr="007A5222">
        <w:t>ective weighting adjustment plan t</w:t>
      </w:r>
      <w:r w:rsidR="007A5222">
        <w:t>hat</w:t>
      </w:r>
      <w:r w:rsidR="00E63738" w:rsidRPr="007A5222">
        <w:t xml:space="preserve"> reduce</w:t>
      </w:r>
      <w:r w:rsidR="007A5222">
        <w:t>s</w:t>
      </w:r>
      <w:r w:rsidR="00E63738" w:rsidRPr="007A5222">
        <w:t xml:space="preserve"> the bias </w:t>
      </w:r>
      <w:r w:rsidR="007A5222">
        <w:t>to the maximum extent</w:t>
      </w:r>
      <w:r w:rsidR="00E63738" w:rsidRPr="007A5222">
        <w:t xml:space="preserve"> possible. Then extended analyses are described with the goal of assessing the bias remaining</w:t>
      </w:r>
      <w:r w:rsidR="007A5222">
        <w:t xml:space="preserve"> in the est</w:t>
      </w:r>
      <w:r w:rsidR="00E63738" w:rsidRPr="007A5222">
        <w:t>imates after nonresponse adjustment is completed.</w:t>
      </w:r>
      <w:r w:rsidR="007A5222" w:rsidRPr="007A5222">
        <w:t xml:space="preserve"> </w:t>
      </w:r>
      <w:r w:rsidR="007A5222">
        <w:t>In addition to assessing the remaining bias in outcome statistics, t</w:t>
      </w:r>
      <w:r w:rsidR="007A5222" w:rsidRPr="007A5222">
        <w:t xml:space="preserve">he results of the </w:t>
      </w:r>
      <w:r w:rsidR="00D76C0A" w:rsidRPr="00D76C0A">
        <w:t>NRB</w:t>
      </w:r>
      <w:r w:rsidR="007A5222" w:rsidRPr="007A5222">
        <w:t xml:space="preserve"> analysis can be used to inform analysts of data limitations, and can also help in future rounds of the survey in defining the target population and improving data collection methods, weighting, and estimation approaches.</w:t>
      </w:r>
    </w:p>
    <w:p w:rsidR="00BB1140" w:rsidRPr="007A5222" w:rsidRDefault="00BB1140" w:rsidP="00C15F40"/>
    <w:p w:rsidR="00E6601E" w:rsidRPr="007A5222" w:rsidRDefault="007A5222" w:rsidP="00C15F40">
      <w:r>
        <w:t xml:space="preserve">The PIAAC </w:t>
      </w:r>
      <w:r w:rsidR="002D7E4B" w:rsidRPr="007A5222">
        <w:t xml:space="preserve">Consortium </w:t>
      </w:r>
      <w:r>
        <w:t>is continuing its</w:t>
      </w:r>
      <w:r w:rsidR="000C7B0A">
        <w:t xml:space="preserve"> </w:t>
      </w:r>
      <w:r>
        <w:t xml:space="preserve">research and evaluation of various </w:t>
      </w:r>
      <w:r w:rsidR="00D76C0A" w:rsidRPr="00D76C0A">
        <w:t>NRB</w:t>
      </w:r>
      <w:r>
        <w:t xml:space="preserve"> analysis methods and </w:t>
      </w:r>
      <w:r w:rsidR="002D7E4B" w:rsidRPr="007A5222">
        <w:t xml:space="preserve">welcomes comments and suggestions </w:t>
      </w:r>
      <w:r w:rsidRPr="007A5222">
        <w:t xml:space="preserve">from participating countries </w:t>
      </w:r>
      <w:r>
        <w:t>on such analyse</w:t>
      </w:r>
      <w:r w:rsidR="002D7E4B" w:rsidRPr="007A5222">
        <w:t>s</w:t>
      </w:r>
      <w:r w:rsidR="00CE47A2" w:rsidRPr="007A5222">
        <w:t>.</w:t>
      </w:r>
    </w:p>
    <w:p w:rsidR="007D0533" w:rsidRPr="00B92418" w:rsidRDefault="007D0533" w:rsidP="00E6601E">
      <w:pPr>
        <w:pStyle w:val="CM4"/>
        <w:jc w:val="both"/>
        <w:rPr>
          <w:rFonts w:ascii="Times New Roman" w:hAnsi="Times New Roman" w:cs="Times New Roman"/>
        </w:rPr>
      </w:pPr>
    </w:p>
    <w:sectPr w:rsidR="007D0533" w:rsidRPr="00B92418" w:rsidSect="00B97419">
      <w:pgSz w:w="12240" w:h="15840"/>
      <w:pgMar w:top="1008" w:right="1008" w:bottom="1008" w:left="1008" w:header="432" w:footer="43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C" wne:kcmSecondary="0031">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6E" w:rsidRPr="005F6334" w:rsidRDefault="00111A6E" w:rsidP="005F6334">
      <w:pPr>
        <w:spacing w:line="240" w:lineRule="auto"/>
      </w:pPr>
      <w:r>
        <w:separator/>
      </w:r>
    </w:p>
  </w:endnote>
  <w:endnote w:type="continuationSeparator" w:id="0">
    <w:p w:rsidR="00111A6E" w:rsidRPr="005F6334" w:rsidRDefault="00111A6E" w:rsidP="005F6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3000000"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aansoft Batang">
    <w:altName w:val="Arial Unicode MS"/>
    <w:charset w:val="80"/>
    <w:family w:val="roman"/>
    <w:pitch w:val="variable"/>
    <w:sig w:usb0="00000000"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31" w:rsidRDefault="00733031" w:rsidP="009C2AA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31" w:rsidRDefault="007330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428151"/>
      <w:docPartObj>
        <w:docPartGallery w:val="Page Numbers (Bottom of Page)"/>
        <w:docPartUnique/>
      </w:docPartObj>
    </w:sdtPr>
    <w:sdtEndPr>
      <w:rPr>
        <w:noProof/>
      </w:rPr>
    </w:sdtEndPr>
    <w:sdtContent>
      <w:p w:rsidR="00774771" w:rsidRDefault="00774771">
        <w:pPr>
          <w:pStyle w:val="Footer"/>
          <w:jc w:val="center"/>
        </w:pPr>
        <w:r>
          <w:fldChar w:fldCharType="begin"/>
        </w:r>
        <w:r>
          <w:instrText xml:space="preserve"> PAGE   \* MERGEFORMAT </w:instrText>
        </w:r>
        <w:r>
          <w:fldChar w:fldCharType="separate"/>
        </w:r>
        <w:r w:rsidR="00B97419">
          <w:rPr>
            <w:noProof/>
          </w:rPr>
          <w:t>24</w:t>
        </w:r>
        <w:r>
          <w:rPr>
            <w:noProof/>
          </w:rPr>
          <w:fldChar w:fldCharType="end"/>
        </w:r>
      </w:p>
    </w:sdtContent>
  </w:sdt>
  <w:p w:rsidR="00733031" w:rsidRPr="00774771" w:rsidRDefault="00733031" w:rsidP="00774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6E" w:rsidRPr="005F6334" w:rsidRDefault="00111A6E" w:rsidP="005F6334">
      <w:pPr>
        <w:spacing w:line="240" w:lineRule="auto"/>
      </w:pPr>
      <w:r>
        <w:separator/>
      </w:r>
    </w:p>
  </w:footnote>
  <w:footnote w:type="continuationSeparator" w:id="0">
    <w:p w:rsidR="00111A6E" w:rsidRPr="005F6334" w:rsidRDefault="00111A6E" w:rsidP="005F6334">
      <w:pPr>
        <w:spacing w:line="240" w:lineRule="auto"/>
      </w:pPr>
      <w:r>
        <w:continuationSeparator/>
      </w:r>
    </w:p>
  </w:footnote>
  <w:footnote w:id="1">
    <w:p w:rsidR="00733031" w:rsidRDefault="00733031">
      <w:pPr>
        <w:pStyle w:val="FootnoteText"/>
      </w:pPr>
      <w:r>
        <w:rPr>
          <w:rStyle w:val="FootnoteReference"/>
        </w:rPr>
        <w:footnoteRef/>
      </w:r>
      <w:r>
        <w:t xml:space="preserve"> Schouten B., </w:t>
      </w:r>
      <w:proofErr w:type="spellStart"/>
      <w:r>
        <w:t>Cobben</w:t>
      </w:r>
      <w:proofErr w:type="spellEnd"/>
      <w:r>
        <w:t xml:space="preserve"> F., and Bethlehem J. Indicators for the representativeness of survey response, Survey Methodology, June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31" w:rsidRDefault="00733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31" w:rsidRDefault="00733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0161C"/>
    <w:multiLevelType w:val="hybridMultilevel"/>
    <w:tmpl w:val="F740DD9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92D58"/>
    <w:multiLevelType w:val="multilevel"/>
    <w:tmpl w:val="EC8E908E"/>
    <w:lvl w:ilvl="0">
      <w:start w:val="1"/>
      <w:numFmt w:val="decimal"/>
      <w:lvlText w:val="%1."/>
      <w:lvlJc w:val="left"/>
      <w:pPr>
        <w:ind w:left="72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E8118AC"/>
    <w:multiLevelType w:val="hybridMultilevel"/>
    <w:tmpl w:val="5998A050"/>
    <w:lvl w:ilvl="0" w:tplc="A79476A2">
      <w:start w:val="1"/>
      <w:numFmt w:val="bullet"/>
      <w:lvlText w:val=""/>
      <w:lvlJc w:val="left"/>
      <w:pPr>
        <w:tabs>
          <w:tab w:val="num" w:pos="720"/>
        </w:tabs>
        <w:ind w:left="720" w:hanging="360"/>
      </w:pPr>
      <w:rPr>
        <w:rFonts w:ascii="Wingdings" w:hAnsi="Wingdings" w:hint="default"/>
      </w:rPr>
    </w:lvl>
    <w:lvl w:ilvl="1" w:tplc="965812A4" w:tentative="1">
      <w:start w:val="1"/>
      <w:numFmt w:val="bullet"/>
      <w:lvlText w:val=""/>
      <w:lvlJc w:val="left"/>
      <w:pPr>
        <w:tabs>
          <w:tab w:val="num" w:pos="1440"/>
        </w:tabs>
        <w:ind w:left="1440" w:hanging="360"/>
      </w:pPr>
      <w:rPr>
        <w:rFonts w:ascii="Wingdings" w:hAnsi="Wingdings" w:hint="default"/>
      </w:rPr>
    </w:lvl>
    <w:lvl w:ilvl="2" w:tplc="61042B9A" w:tentative="1">
      <w:start w:val="1"/>
      <w:numFmt w:val="bullet"/>
      <w:lvlText w:val=""/>
      <w:lvlJc w:val="left"/>
      <w:pPr>
        <w:tabs>
          <w:tab w:val="num" w:pos="2160"/>
        </w:tabs>
        <w:ind w:left="2160" w:hanging="360"/>
      </w:pPr>
      <w:rPr>
        <w:rFonts w:ascii="Wingdings" w:hAnsi="Wingdings" w:hint="default"/>
      </w:rPr>
    </w:lvl>
    <w:lvl w:ilvl="3" w:tplc="36F22B96" w:tentative="1">
      <w:start w:val="1"/>
      <w:numFmt w:val="bullet"/>
      <w:lvlText w:val=""/>
      <w:lvlJc w:val="left"/>
      <w:pPr>
        <w:tabs>
          <w:tab w:val="num" w:pos="2880"/>
        </w:tabs>
        <w:ind w:left="2880" w:hanging="360"/>
      </w:pPr>
      <w:rPr>
        <w:rFonts w:ascii="Wingdings" w:hAnsi="Wingdings" w:hint="default"/>
      </w:rPr>
    </w:lvl>
    <w:lvl w:ilvl="4" w:tplc="6E2608A8" w:tentative="1">
      <w:start w:val="1"/>
      <w:numFmt w:val="bullet"/>
      <w:lvlText w:val=""/>
      <w:lvlJc w:val="left"/>
      <w:pPr>
        <w:tabs>
          <w:tab w:val="num" w:pos="3600"/>
        </w:tabs>
        <w:ind w:left="3600" w:hanging="360"/>
      </w:pPr>
      <w:rPr>
        <w:rFonts w:ascii="Wingdings" w:hAnsi="Wingdings" w:hint="default"/>
      </w:rPr>
    </w:lvl>
    <w:lvl w:ilvl="5" w:tplc="574A1D26" w:tentative="1">
      <w:start w:val="1"/>
      <w:numFmt w:val="bullet"/>
      <w:lvlText w:val=""/>
      <w:lvlJc w:val="left"/>
      <w:pPr>
        <w:tabs>
          <w:tab w:val="num" w:pos="4320"/>
        </w:tabs>
        <w:ind w:left="4320" w:hanging="360"/>
      </w:pPr>
      <w:rPr>
        <w:rFonts w:ascii="Wingdings" w:hAnsi="Wingdings" w:hint="default"/>
      </w:rPr>
    </w:lvl>
    <w:lvl w:ilvl="6" w:tplc="8F10F196" w:tentative="1">
      <w:start w:val="1"/>
      <w:numFmt w:val="bullet"/>
      <w:lvlText w:val=""/>
      <w:lvlJc w:val="left"/>
      <w:pPr>
        <w:tabs>
          <w:tab w:val="num" w:pos="5040"/>
        </w:tabs>
        <w:ind w:left="5040" w:hanging="360"/>
      </w:pPr>
      <w:rPr>
        <w:rFonts w:ascii="Wingdings" w:hAnsi="Wingdings" w:hint="default"/>
      </w:rPr>
    </w:lvl>
    <w:lvl w:ilvl="7" w:tplc="AB00BB30" w:tentative="1">
      <w:start w:val="1"/>
      <w:numFmt w:val="bullet"/>
      <w:lvlText w:val=""/>
      <w:lvlJc w:val="left"/>
      <w:pPr>
        <w:tabs>
          <w:tab w:val="num" w:pos="5760"/>
        </w:tabs>
        <w:ind w:left="5760" w:hanging="360"/>
      </w:pPr>
      <w:rPr>
        <w:rFonts w:ascii="Wingdings" w:hAnsi="Wingdings" w:hint="default"/>
      </w:rPr>
    </w:lvl>
    <w:lvl w:ilvl="8" w:tplc="D18C7EFE" w:tentative="1">
      <w:start w:val="1"/>
      <w:numFmt w:val="bullet"/>
      <w:lvlText w:val=""/>
      <w:lvlJc w:val="left"/>
      <w:pPr>
        <w:tabs>
          <w:tab w:val="num" w:pos="6480"/>
        </w:tabs>
        <w:ind w:left="6480" w:hanging="360"/>
      </w:pPr>
      <w:rPr>
        <w:rFonts w:ascii="Wingdings" w:hAnsi="Wingdings" w:hint="default"/>
      </w:rPr>
    </w:lvl>
  </w:abstractNum>
  <w:abstractNum w:abstractNumId="3">
    <w:nsid w:val="0EEC2CA1"/>
    <w:multiLevelType w:val="hybridMultilevel"/>
    <w:tmpl w:val="962A72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5B1EBA"/>
    <w:multiLevelType w:val="hybridMultilevel"/>
    <w:tmpl w:val="062E4CE0"/>
    <w:lvl w:ilvl="0" w:tplc="A3D220AE">
      <w:start w:val="1"/>
      <w:numFmt w:val="bullet"/>
      <w:lvlText w:val=""/>
      <w:lvlJc w:val="left"/>
      <w:pPr>
        <w:tabs>
          <w:tab w:val="num" w:pos="720"/>
        </w:tabs>
        <w:ind w:left="720" w:hanging="360"/>
      </w:pPr>
      <w:rPr>
        <w:rFonts w:ascii="Wingdings" w:hAnsi="Wingdings" w:hint="default"/>
      </w:rPr>
    </w:lvl>
    <w:lvl w:ilvl="1" w:tplc="01FA5510" w:tentative="1">
      <w:start w:val="1"/>
      <w:numFmt w:val="bullet"/>
      <w:lvlText w:val=""/>
      <w:lvlJc w:val="left"/>
      <w:pPr>
        <w:tabs>
          <w:tab w:val="num" w:pos="1440"/>
        </w:tabs>
        <w:ind w:left="1440" w:hanging="360"/>
      </w:pPr>
      <w:rPr>
        <w:rFonts w:ascii="Wingdings" w:hAnsi="Wingdings" w:hint="default"/>
      </w:rPr>
    </w:lvl>
    <w:lvl w:ilvl="2" w:tplc="CFC8CB4A" w:tentative="1">
      <w:start w:val="1"/>
      <w:numFmt w:val="bullet"/>
      <w:lvlText w:val=""/>
      <w:lvlJc w:val="left"/>
      <w:pPr>
        <w:tabs>
          <w:tab w:val="num" w:pos="2160"/>
        </w:tabs>
        <w:ind w:left="2160" w:hanging="360"/>
      </w:pPr>
      <w:rPr>
        <w:rFonts w:ascii="Wingdings" w:hAnsi="Wingdings" w:hint="default"/>
      </w:rPr>
    </w:lvl>
    <w:lvl w:ilvl="3" w:tplc="81168904" w:tentative="1">
      <w:start w:val="1"/>
      <w:numFmt w:val="bullet"/>
      <w:lvlText w:val=""/>
      <w:lvlJc w:val="left"/>
      <w:pPr>
        <w:tabs>
          <w:tab w:val="num" w:pos="2880"/>
        </w:tabs>
        <w:ind w:left="2880" w:hanging="360"/>
      </w:pPr>
      <w:rPr>
        <w:rFonts w:ascii="Wingdings" w:hAnsi="Wingdings" w:hint="default"/>
      </w:rPr>
    </w:lvl>
    <w:lvl w:ilvl="4" w:tplc="D5D4DECC" w:tentative="1">
      <w:start w:val="1"/>
      <w:numFmt w:val="bullet"/>
      <w:lvlText w:val=""/>
      <w:lvlJc w:val="left"/>
      <w:pPr>
        <w:tabs>
          <w:tab w:val="num" w:pos="3600"/>
        </w:tabs>
        <w:ind w:left="3600" w:hanging="360"/>
      </w:pPr>
      <w:rPr>
        <w:rFonts w:ascii="Wingdings" w:hAnsi="Wingdings" w:hint="default"/>
      </w:rPr>
    </w:lvl>
    <w:lvl w:ilvl="5" w:tplc="FCAE568A" w:tentative="1">
      <w:start w:val="1"/>
      <w:numFmt w:val="bullet"/>
      <w:lvlText w:val=""/>
      <w:lvlJc w:val="left"/>
      <w:pPr>
        <w:tabs>
          <w:tab w:val="num" w:pos="4320"/>
        </w:tabs>
        <w:ind w:left="4320" w:hanging="360"/>
      </w:pPr>
      <w:rPr>
        <w:rFonts w:ascii="Wingdings" w:hAnsi="Wingdings" w:hint="default"/>
      </w:rPr>
    </w:lvl>
    <w:lvl w:ilvl="6" w:tplc="6B88D85E" w:tentative="1">
      <w:start w:val="1"/>
      <w:numFmt w:val="bullet"/>
      <w:lvlText w:val=""/>
      <w:lvlJc w:val="left"/>
      <w:pPr>
        <w:tabs>
          <w:tab w:val="num" w:pos="5040"/>
        </w:tabs>
        <w:ind w:left="5040" w:hanging="360"/>
      </w:pPr>
      <w:rPr>
        <w:rFonts w:ascii="Wingdings" w:hAnsi="Wingdings" w:hint="default"/>
      </w:rPr>
    </w:lvl>
    <w:lvl w:ilvl="7" w:tplc="40C8C49A" w:tentative="1">
      <w:start w:val="1"/>
      <w:numFmt w:val="bullet"/>
      <w:lvlText w:val=""/>
      <w:lvlJc w:val="left"/>
      <w:pPr>
        <w:tabs>
          <w:tab w:val="num" w:pos="5760"/>
        </w:tabs>
        <w:ind w:left="5760" w:hanging="360"/>
      </w:pPr>
      <w:rPr>
        <w:rFonts w:ascii="Wingdings" w:hAnsi="Wingdings" w:hint="default"/>
      </w:rPr>
    </w:lvl>
    <w:lvl w:ilvl="8" w:tplc="F63AB250" w:tentative="1">
      <w:start w:val="1"/>
      <w:numFmt w:val="bullet"/>
      <w:lvlText w:val=""/>
      <w:lvlJc w:val="left"/>
      <w:pPr>
        <w:tabs>
          <w:tab w:val="num" w:pos="6480"/>
        </w:tabs>
        <w:ind w:left="6480" w:hanging="360"/>
      </w:pPr>
      <w:rPr>
        <w:rFonts w:ascii="Wingdings" w:hAnsi="Wingdings" w:hint="default"/>
      </w:rPr>
    </w:lvl>
  </w:abstractNum>
  <w:abstractNum w:abstractNumId="5">
    <w:nsid w:val="10FA0D36"/>
    <w:multiLevelType w:val="hybridMultilevel"/>
    <w:tmpl w:val="2820CD08"/>
    <w:lvl w:ilvl="0" w:tplc="3E8AAA08">
      <w:start w:val="1"/>
      <w:numFmt w:val="bullet"/>
      <w:lvlText w:val=""/>
      <w:lvlJc w:val="left"/>
      <w:pPr>
        <w:tabs>
          <w:tab w:val="num" w:pos="720"/>
        </w:tabs>
        <w:ind w:left="720" w:hanging="360"/>
      </w:pPr>
      <w:rPr>
        <w:rFonts w:ascii="Wingdings" w:hAnsi="Wingdings" w:hint="default"/>
      </w:rPr>
    </w:lvl>
    <w:lvl w:ilvl="1" w:tplc="6D4C8A76" w:tentative="1">
      <w:start w:val="1"/>
      <w:numFmt w:val="bullet"/>
      <w:lvlText w:val=""/>
      <w:lvlJc w:val="left"/>
      <w:pPr>
        <w:tabs>
          <w:tab w:val="num" w:pos="1440"/>
        </w:tabs>
        <w:ind w:left="1440" w:hanging="360"/>
      </w:pPr>
      <w:rPr>
        <w:rFonts w:ascii="Wingdings" w:hAnsi="Wingdings" w:hint="default"/>
      </w:rPr>
    </w:lvl>
    <w:lvl w:ilvl="2" w:tplc="3C2EFCC8" w:tentative="1">
      <w:start w:val="1"/>
      <w:numFmt w:val="bullet"/>
      <w:lvlText w:val=""/>
      <w:lvlJc w:val="left"/>
      <w:pPr>
        <w:tabs>
          <w:tab w:val="num" w:pos="2160"/>
        </w:tabs>
        <w:ind w:left="2160" w:hanging="360"/>
      </w:pPr>
      <w:rPr>
        <w:rFonts w:ascii="Wingdings" w:hAnsi="Wingdings" w:hint="default"/>
      </w:rPr>
    </w:lvl>
    <w:lvl w:ilvl="3" w:tplc="19D8F45C" w:tentative="1">
      <w:start w:val="1"/>
      <w:numFmt w:val="bullet"/>
      <w:lvlText w:val=""/>
      <w:lvlJc w:val="left"/>
      <w:pPr>
        <w:tabs>
          <w:tab w:val="num" w:pos="2880"/>
        </w:tabs>
        <w:ind w:left="2880" w:hanging="360"/>
      </w:pPr>
      <w:rPr>
        <w:rFonts w:ascii="Wingdings" w:hAnsi="Wingdings" w:hint="default"/>
      </w:rPr>
    </w:lvl>
    <w:lvl w:ilvl="4" w:tplc="14101018" w:tentative="1">
      <w:start w:val="1"/>
      <w:numFmt w:val="bullet"/>
      <w:lvlText w:val=""/>
      <w:lvlJc w:val="left"/>
      <w:pPr>
        <w:tabs>
          <w:tab w:val="num" w:pos="3600"/>
        </w:tabs>
        <w:ind w:left="3600" w:hanging="360"/>
      </w:pPr>
      <w:rPr>
        <w:rFonts w:ascii="Wingdings" w:hAnsi="Wingdings" w:hint="default"/>
      </w:rPr>
    </w:lvl>
    <w:lvl w:ilvl="5" w:tplc="D3E8FDDC" w:tentative="1">
      <w:start w:val="1"/>
      <w:numFmt w:val="bullet"/>
      <w:lvlText w:val=""/>
      <w:lvlJc w:val="left"/>
      <w:pPr>
        <w:tabs>
          <w:tab w:val="num" w:pos="4320"/>
        </w:tabs>
        <w:ind w:left="4320" w:hanging="360"/>
      </w:pPr>
      <w:rPr>
        <w:rFonts w:ascii="Wingdings" w:hAnsi="Wingdings" w:hint="default"/>
      </w:rPr>
    </w:lvl>
    <w:lvl w:ilvl="6" w:tplc="653897F2" w:tentative="1">
      <w:start w:val="1"/>
      <w:numFmt w:val="bullet"/>
      <w:lvlText w:val=""/>
      <w:lvlJc w:val="left"/>
      <w:pPr>
        <w:tabs>
          <w:tab w:val="num" w:pos="5040"/>
        </w:tabs>
        <w:ind w:left="5040" w:hanging="360"/>
      </w:pPr>
      <w:rPr>
        <w:rFonts w:ascii="Wingdings" w:hAnsi="Wingdings" w:hint="default"/>
      </w:rPr>
    </w:lvl>
    <w:lvl w:ilvl="7" w:tplc="90D6D6D2" w:tentative="1">
      <w:start w:val="1"/>
      <w:numFmt w:val="bullet"/>
      <w:lvlText w:val=""/>
      <w:lvlJc w:val="left"/>
      <w:pPr>
        <w:tabs>
          <w:tab w:val="num" w:pos="5760"/>
        </w:tabs>
        <w:ind w:left="5760" w:hanging="360"/>
      </w:pPr>
      <w:rPr>
        <w:rFonts w:ascii="Wingdings" w:hAnsi="Wingdings" w:hint="default"/>
      </w:rPr>
    </w:lvl>
    <w:lvl w:ilvl="8" w:tplc="D5DE3B04" w:tentative="1">
      <w:start w:val="1"/>
      <w:numFmt w:val="bullet"/>
      <w:lvlText w:val=""/>
      <w:lvlJc w:val="left"/>
      <w:pPr>
        <w:tabs>
          <w:tab w:val="num" w:pos="6480"/>
        </w:tabs>
        <w:ind w:left="6480" w:hanging="360"/>
      </w:pPr>
      <w:rPr>
        <w:rFonts w:ascii="Wingdings" w:hAnsi="Wingdings" w:hint="default"/>
      </w:rPr>
    </w:lvl>
  </w:abstractNum>
  <w:abstractNum w:abstractNumId="6">
    <w:nsid w:val="11CB3A61"/>
    <w:multiLevelType w:val="hybridMultilevel"/>
    <w:tmpl w:val="D316895A"/>
    <w:lvl w:ilvl="0" w:tplc="A1104E54">
      <w:start w:val="1"/>
      <w:numFmt w:val="bullet"/>
      <w:lvlText w:val=""/>
      <w:lvlJc w:val="left"/>
      <w:pPr>
        <w:tabs>
          <w:tab w:val="num" w:pos="720"/>
        </w:tabs>
        <w:ind w:left="720" w:hanging="360"/>
      </w:pPr>
      <w:rPr>
        <w:rFonts w:ascii="Wingdings" w:hAnsi="Wingdings" w:hint="default"/>
      </w:rPr>
    </w:lvl>
    <w:lvl w:ilvl="1" w:tplc="3BDAA9AE" w:tentative="1">
      <w:start w:val="1"/>
      <w:numFmt w:val="bullet"/>
      <w:lvlText w:val=""/>
      <w:lvlJc w:val="left"/>
      <w:pPr>
        <w:tabs>
          <w:tab w:val="num" w:pos="1440"/>
        </w:tabs>
        <w:ind w:left="1440" w:hanging="360"/>
      </w:pPr>
      <w:rPr>
        <w:rFonts w:ascii="Wingdings" w:hAnsi="Wingdings" w:hint="default"/>
      </w:rPr>
    </w:lvl>
    <w:lvl w:ilvl="2" w:tplc="FBF6A2A4" w:tentative="1">
      <w:start w:val="1"/>
      <w:numFmt w:val="bullet"/>
      <w:lvlText w:val=""/>
      <w:lvlJc w:val="left"/>
      <w:pPr>
        <w:tabs>
          <w:tab w:val="num" w:pos="2160"/>
        </w:tabs>
        <w:ind w:left="2160" w:hanging="360"/>
      </w:pPr>
      <w:rPr>
        <w:rFonts w:ascii="Wingdings" w:hAnsi="Wingdings" w:hint="default"/>
      </w:rPr>
    </w:lvl>
    <w:lvl w:ilvl="3" w:tplc="E940D5C0" w:tentative="1">
      <w:start w:val="1"/>
      <w:numFmt w:val="bullet"/>
      <w:lvlText w:val=""/>
      <w:lvlJc w:val="left"/>
      <w:pPr>
        <w:tabs>
          <w:tab w:val="num" w:pos="2880"/>
        </w:tabs>
        <w:ind w:left="2880" w:hanging="360"/>
      </w:pPr>
      <w:rPr>
        <w:rFonts w:ascii="Wingdings" w:hAnsi="Wingdings" w:hint="default"/>
      </w:rPr>
    </w:lvl>
    <w:lvl w:ilvl="4" w:tplc="B430266E" w:tentative="1">
      <w:start w:val="1"/>
      <w:numFmt w:val="bullet"/>
      <w:lvlText w:val=""/>
      <w:lvlJc w:val="left"/>
      <w:pPr>
        <w:tabs>
          <w:tab w:val="num" w:pos="3600"/>
        </w:tabs>
        <w:ind w:left="3600" w:hanging="360"/>
      </w:pPr>
      <w:rPr>
        <w:rFonts w:ascii="Wingdings" w:hAnsi="Wingdings" w:hint="default"/>
      </w:rPr>
    </w:lvl>
    <w:lvl w:ilvl="5" w:tplc="8CDC5E0E" w:tentative="1">
      <w:start w:val="1"/>
      <w:numFmt w:val="bullet"/>
      <w:lvlText w:val=""/>
      <w:lvlJc w:val="left"/>
      <w:pPr>
        <w:tabs>
          <w:tab w:val="num" w:pos="4320"/>
        </w:tabs>
        <w:ind w:left="4320" w:hanging="360"/>
      </w:pPr>
      <w:rPr>
        <w:rFonts w:ascii="Wingdings" w:hAnsi="Wingdings" w:hint="default"/>
      </w:rPr>
    </w:lvl>
    <w:lvl w:ilvl="6" w:tplc="CEB81554" w:tentative="1">
      <w:start w:val="1"/>
      <w:numFmt w:val="bullet"/>
      <w:lvlText w:val=""/>
      <w:lvlJc w:val="left"/>
      <w:pPr>
        <w:tabs>
          <w:tab w:val="num" w:pos="5040"/>
        </w:tabs>
        <w:ind w:left="5040" w:hanging="360"/>
      </w:pPr>
      <w:rPr>
        <w:rFonts w:ascii="Wingdings" w:hAnsi="Wingdings" w:hint="default"/>
      </w:rPr>
    </w:lvl>
    <w:lvl w:ilvl="7" w:tplc="8DB61F60" w:tentative="1">
      <w:start w:val="1"/>
      <w:numFmt w:val="bullet"/>
      <w:lvlText w:val=""/>
      <w:lvlJc w:val="left"/>
      <w:pPr>
        <w:tabs>
          <w:tab w:val="num" w:pos="5760"/>
        </w:tabs>
        <w:ind w:left="5760" w:hanging="360"/>
      </w:pPr>
      <w:rPr>
        <w:rFonts w:ascii="Wingdings" w:hAnsi="Wingdings" w:hint="default"/>
      </w:rPr>
    </w:lvl>
    <w:lvl w:ilvl="8" w:tplc="25B4BDA2" w:tentative="1">
      <w:start w:val="1"/>
      <w:numFmt w:val="bullet"/>
      <w:lvlText w:val=""/>
      <w:lvlJc w:val="left"/>
      <w:pPr>
        <w:tabs>
          <w:tab w:val="num" w:pos="6480"/>
        </w:tabs>
        <w:ind w:left="6480" w:hanging="360"/>
      </w:pPr>
      <w:rPr>
        <w:rFonts w:ascii="Wingdings" w:hAnsi="Wingdings" w:hint="default"/>
      </w:rPr>
    </w:lvl>
  </w:abstractNum>
  <w:abstractNum w:abstractNumId="7">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733D50"/>
    <w:multiLevelType w:val="hybridMultilevel"/>
    <w:tmpl w:val="DA80E544"/>
    <w:lvl w:ilvl="0" w:tplc="FD3A3C58">
      <w:start w:val="1"/>
      <w:numFmt w:val="bullet"/>
      <w:lvlText w:val=""/>
      <w:lvlJc w:val="left"/>
      <w:pPr>
        <w:tabs>
          <w:tab w:val="num" w:pos="720"/>
        </w:tabs>
        <w:ind w:left="720" w:hanging="360"/>
      </w:pPr>
      <w:rPr>
        <w:rFonts w:ascii="Wingdings" w:hAnsi="Wingdings" w:hint="default"/>
      </w:rPr>
    </w:lvl>
    <w:lvl w:ilvl="1" w:tplc="49BE569A" w:tentative="1">
      <w:start w:val="1"/>
      <w:numFmt w:val="bullet"/>
      <w:lvlText w:val=""/>
      <w:lvlJc w:val="left"/>
      <w:pPr>
        <w:tabs>
          <w:tab w:val="num" w:pos="1440"/>
        </w:tabs>
        <w:ind w:left="1440" w:hanging="360"/>
      </w:pPr>
      <w:rPr>
        <w:rFonts w:ascii="Wingdings" w:hAnsi="Wingdings" w:hint="default"/>
      </w:rPr>
    </w:lvl>
    <w:lvl w:ilvl="2" w:tplc="DA3CDE76" w:tentative="1">
      <w:start w:val="1"/>
      <w:numFmt w:val="bullet"/>
      <w:lvlText w:val=""/>
      <w:lvlJc w:val="left"/>
      <w:pPr>
        <w:tabs>
          <w:tab w:val="num" w:pos="2160"/>
        </w:tabs>
        <w:ind w:left="2160" w:hanging="360"/>
      </w:pPr>
      <w:rPr>
        <w:rFonts w:ascii="Wingdings" w:hAnsi="Wingdings" w:hint="default"/>
      </w:rPr>
    </w:lvl>
    <w:lvl w:ilvl="3" w:tplc="E57C66EC" w:tentative="1">
      <w:start w:val="1"/>
      <w:numFmt w:val="bullet"/>
      <w:lvlText w:val=""/>
      <w:lvlJc w:val="left"/>
      <w:pPr>
        <w:tabs>
          <w:tab w:val="num" w:pos="2880"/>
        </w:tabs>
        <w:ind w:left="2880" w:hanging="360"/>
      </w:pPr>
      <w:rPr>
        <w:rFonts w:ascii="Wingdings" w:hAnsi="Wingdings" w:hint="default"/>
      </w:rPr>
    </w:lvl>
    <w:lvl w:ilvl="4" w:tplc="07D490EA" w:tentative="1">
      <w:start w:val="1"/>
      <w:numFmt w:val="bullet"/>
      <w:lvlText w:val=""/>
      <w:lvlJc w:val="left"/>
      <w:pPr>
        <w:tabs>
          <w:tab w:val="num" w:pos="3600"/>
        </w:tabs>
        <w:ind w:left="3600" w:hanging="360"/>
      </w:pPr>
      <w:rPr>
        <w:rFonts w:ascii="Wingdings" w:hAnsi="Wingdings" w:hint="default"/>
      </w:rPr>
    </w:lvl>
    <w:lvl w:ilvl="5" w:tplc="E3E6A5E8" w:tentative="1">
      <w:start w:val="1"/>
      <w:numFmt w:val="bullet"/>
      <w:lvlText w:val=""/>
      <w:lvlJc w:val="left"/>
      <w:pPr>
        <w:tabs>
          <w:tab w:val="num" w:pos="4320"/>
        </w:tabs>
        <w:ind w:left="4320" w:hanging="360"/>
      </w:pPr>
      <w:rPr>
        <w:rFonts w:ascii="Wingdings" w:hAnsi="Wingdings" w:hint="default"/>
      </w:rPr>
    </w:lvl>
    <w:lvl w:ilvl="6" w:tplc="4366075C" w:tentative="1">
      <w:start w:val="1"/>
      <w:numFmt w:val="bullet"/>
      <w:lvlText w:val=""/>
      <w:lvlJc w:val="left"/>
      <w:pPr>
        <w:tabs>
          <w:tab w:val="num" w:pos="5040"/>
        </w:tabs>
        <w:ind w:left="5040" w:hanging="360"/>
      </w:pPr>
      <w:rPr>
        <w:rFonts w:ascii="Wingdings" w:hAnsi="Wingdings" w:hint="default"/>
      </w:rPr>
    </w:lvl>
    <w:lvl w:ilvl="7" w:tplc="AC7C9FC6" w:tentative="1">
      <w:start w:val="1"/>
      <w:numFmt w:val="bullet"/>
      <w:lvlText w:val=""/>
      <w:lvlJc w:val="left"/>
      <w:pPr>
        <w:tabs>
          <w:tab w:val="num" w:pos="5760"/>
        </w:tabs>
        <w:ind w:left="5760" w:hanging="360"/>
      </w:pPr>
      <w:rPr>
        <w:rFonts w:ascii="Wingdings" w:hAnsi="Wingdings" w:hint="default"/>
      </w:rPr>
    </w:lvl>
    <w:lvl w:ilvl="8" w:tplc="159C726A" w:tentative="1">
      <w:start w:val="1"/>
      <w:numFmt w:val="bullet"/>
      <w:lvlText w:val=""/>
      <w:lvlJc w:val="left"/>
      <w:pPr>
        <w:tabs>
          <w:tab w:val="num" w:pos="6480"/>
        </w:tabs>
        <w:ind w:left="6480" w:hanging="360"/>
      </w:pPr>
      <w:rPr>
        <w:rFonts w:ascii="Wingdings" w:hAnsi="Wingdings" w:hint="default"/>
      </w:rPr>
    </w:lvl>
  </w:abstractNum>
  <w:abstractNum w:abstractNumId="9">
    <w:nsid w:val="210D1D7B"/>
    <w:multiLevelType w:val="hybridMultilevel"/>
    <w:tmpl w:val="C472F368"/>
    <w:lvl w:ilvl="0" w:tplc="18724FE8">
      <w:start w:val="1"/>
      <w:numFmt w:val="bullet"/>
      <w:lvlText w:val=""/>
      <w:lvlJc w:val="left"/>
      <w:pPr>
        <w:tabs>
          <w:tab w:val="num" w:pos="1152"/>
        </w:tabs>
        <w:ind w:left="1152" w:hanging="576"/>
      </w:pPr>
      <w:rPr>
        <w:rFonts w:ascii="Symbol" w:hAnsi="Symbol" w:hint="default"/>
        <w:sz w:val="24"/>
      </w:rPr>
    </w:lvl>
    <w:lvl w:ilvl="1" w:tplc="92D0D0F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F34FF7"/>
    <w:multiLevelType w:val="hybridMultilevel"/>
    <w:tmpl w:val="FC00565A"/>
    <w:lvl w:ilvl="0" w:tplc="21949C98">
      <w:start w:val="1"/>
      <w:numFmt w:val="bullet"/>
      <w:lvlText w:val=""/>
      <w:lvlJc w:val="left"/>
      <w:pPr>
        <w:tabs>
          <w:tab w:val="num" w:pos="720"/>
        </w:tabs>
        <w:ind w:left="720" w:hanging="360"/>
      </w:pPr>
      <w:rPr>
        <w:rFonts w:ascii="Wingdings" w:hAnsi="Wingdings" w:hint="default"/>
      </w:rPr>
    </w:lvl>
    <w:lvl w:ilvl="1" w:tplc="15107C94" w:tentative="1">
      <w:start w:val="1"/>
      <w:numFmt w:val="bullet"/>
      <w:lvlText w:val=""/>
      <w:lvlJc w:val="left"/>
      <w:pPr>
        <w:tabs>
          <w:tab w:val="num" w:pos="1440"/>
        </w:tabs>
        <w:ind w:left="1440" w:hanging="360"/>
      </w:pPr>
      <w:rPr>
        <w:rFonts w:ascii="Wingdings" w:hAnsi="Wingdings" w:hint="default"/>
      </w:rPr>
    </w:lvl>
    <w:lvl w:ilvl="2" w:tplc="BAFCF7FA" w:tentative="1">
      <w:start w:val="1"/>
      <w:numFmt w:val="bullet"/>
      <w:lvlText w:val=""/>
      <w:lvlJc w:val="left"/>
      <w:pPr>
        <w:tabs>
          <w:tab w:val="num" w:pos="2160"/>
        </w:tabs>
        <w:ind w:left="2160" w:hanging="360"/>
      </w:pPr>
      <w:rPr>
        <w:rFonts w:ascii="Wingdings" w:hAnsi="Wingdings" w:hint="default"/>
      </w:rPr>
    </w:lvl>
    <w:lvl w:ilvl="3" w:tplc="D986A86C" w:tentative="1">
      <w:start w:val="1"/>
      <w:numFmt w:val="bullet"/>
      <w:lvlText w:val=""/>
      <w:lvlJc w:val="left"/>
      <w:pPr>
        <w:tabs>
          <w:tab w:val="num" w:pos="2880"/>
        </w:tabs>
        <w:ind w:left="2880" w:hanging="360"/>
      </w:pPr>
      <w:rPr>
        <w:rFonts w:ascii="Wingdings" w:hAnsi="Wingdings" w:hint="default"/>
      </w:rPr>
    </w:lvl>
    <w:lvl w:ilvl="4" w:tplc="D43CB5BA" w:tentative="1">
      <w:start w:val="1"/>
      <w:numFmt w:val="bullet"/>
      <w:lvlText w:val=""/>
      <w:lvlJc w:val="left"/>
      <w:pPr>
        <w:tabs>
          <w:tab w:val="num" w:pos="3600"/>
        </w:tabs>
        <w:ind w:left="3600" w:hanging="360"/>
      </w:pPr>
      <w:rPr>
        <w:rFonts w:ascii="Wingdings" w:hAnsi="Wingdings" w:hint="default"/>
      </w:rPr>
    </w:lvl>
    <w:lvl w:ilvl="5" w:tplc="32927DBE" w:tentative="1">
      <w:start w:val="1"/>
      <w:numFmt w:val="bullet"/>
      <w:lvlText w:val=""/>
      <w:lvlJc w:val="left"/>
      <w:pPr>
        <w:tabs>
          <w:tab w:val="num" w:pos="4320"/>
        </w:tabs>
        <w:ind w:left="4320" w:hanging="360"/>
      </w:pPr>
      <w:rPr>
        <w:rFonts w:ascii="Wingdings" w:hAnsi="Wingdings" w:hint="default"/>
      </w:rPr>
    </w:lvl>
    <w:lvl w:ilvl="6" w:tplc="476EC06A" w:tentative="1">
      <w:start w:val="1"/>
      <w:numFmt w:val="bullet"/>
      <w:lvlText w:val=""/>
      <w:lvlJc w:val="left"/>
      <w:pPr>
        <w:tabs>
          <w:tab w:val="num" w:pos="5040"/>
        </w:tabs>
        <w:ind w:left="5040" w:hanging="360"/>
      </w:pPr>
      <w:rPr>
        <w:rFonts w:ascii="Wingdings" w:hAnsi="Wingdings" w:hint="default"/>
      </w:rPr>
    </w:lvl>
    <w:lvl w:ilvl="7" w:tplc="345E4C7C" w:tentative="1">
      <w:start w:val="1"/>
      <w:numFmt w:val="bullet"/>
      <w:lvlText w:val=""/>
      <w:lvlJc w:val="left"/>
      <w:pPr>
        <w:tabs>
          <w:tab w:val="num" w:pos="5760"/>
        </w:tabs>
        <w:ind w:left="5760" w:hanging="360"/>
      </w:pPr>
      <w:rPr>
        <w:rFonts w:ascii="Wingdings" w:hAnsi="Wingdings" w:hint="default"/>
      </w:rPr>
    </w:lvl>
    <w:lvl w:ilvl="8" w:tplc="AD288D6E" w:tentative="1">
      <w:start w:val="1"/>
      <w:numFmt w:val="bullet"/>
      <w:lvlText w:val=""/>
      <w:lvlJc w:val="left"/>
      <w:pPr>
        <w:tabs>
          <w:tab w:val="num" w:pos="6480"/>
        </w:tabs>
        <w:ind w:left="6480" w:hanging="360"/>
      </w:pPr>
      <w:rPr>
        <w:rFonts w:ascii="Wingdings" w:hAnsi="Wingdings" w:hint="default"/>
      </w:rPr>
    </w:lvl>
  </w:abstractNum>
  <w:abstractNum w:abstractNumId="11">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73D9A"/>
    <w:multiLevelType w:val="hybridMultilevel"/>
    <w:tmpl w:val="F4EC93C8"/>
    <w:lvl w:ilvl="0" w:tplc="4142CEEE">
      <w:start w:val="1"/>
      <w:numFmt w:val="bullet"/>
      <w:pStyle w:val="N3-3rdBullet"/>
      <w:lvlText w:val=""/>
      <w:lvlJc w:val="left"/>
      <w:pPr>
        <w:ind w:left="1008" w:hanging="360"/>
      </w:pPr>
      <w:rPr>
        <w:rFonts w:ascii="Symbol" w:hAnsi="Symbol" w:hint="default"/>
      </w:rPr>
    </w:lvl>
    <w:lvl w:ilvl="1" w:tplc="B086A54C" w:tentative="1">
      <w:start w:val="1"/>
      <w:numFmt w:val="bullet"/>
      <w:lvlText w:val="o"/>
      <w:lvlJc w:val="left"/>
      <w:pPr>
        <w:ind w:left="1728" w:hanging="360"/>
      </w:pPr>
      <w:rPr>
        <w:rFonts w:ascii="Courier New" w:hAnsi="Courier New" w:cs="Courier New" w:hint="default"/>
      </w:rPr>
    </w:lvl>
    <w:lvl w:ilvl="2" w:tplc="964A1CB8" w:tentative="1">
      <w:start w:val="1"/>
      <w:numFmt w:val="bullet"/>
      <w:lvlText w:val=""/>
      <w:lvlJc w:val="left"/>
      <w:pPr>
        <w:ind w:left="2448" w:hanging="360"/>
      </w:pPr>
      <w:rPr>
        <w:rFonts w:ascii="Wingdings" w:hAnsi="Wingdings" w:hint="default"/>
      </w:rPr>
    </w:lvl>
    <w:lvl w:ilvl="3" w:tplc="DAF473D8" w:tentative="1">
      <w:start w:val="1"/>
      <w:numFmt w:val="bullet"/>
      <w:lvlText w:val=""/>
      <w:lvlJc w:val="left"/>
      <w:pPr>
        <w:ind w:left="3168" w:hanging="360"/>
      </w:pPr>
      <w:rPr>
        <w:rFonts w:ascii="Symbol" w:hAnsi="Symbol" w:hint="default"/>
      </w:rPr>
    </w:lvl>
    <w:lvl w:ilvl="4" w:tplc="87926986" w:tentative="1">
      <w:start w:val="1"/>
      <w:numFmt w:val="bullet"/>
      <w:lvlText w:val="o"/>
      <w:lvlJc w:val="left"/>
      <w:pPr>
        <w:ind w:left="3888" w:hanging="360"/>
      </w:pPr>
      <w:rPr>
        <w:rFonts w:ascii="Courier New" w:hAnsi="Courier New" w:cs="Courier New" w:hint="default"/>
      </w:rPr>
    </w:lvl>
    <w:lvl w:ilvl="5" w:tplc="9C285BDC" w:tentative="1">
      <w:start w:val="1"/>
      <w:numFmt w:val="bullet"/>
      <w:lvlText w:val=""/>
      <w:lvlJc w:val="left"/>
      <w:pPr>
        <w:ind w:left="4608" w:hanging="360"/>
      </w:pPr>
      <w:rPr>
        <w:rFonts w:ascii="Wingdings" w:hAnsi="Wingdings" w:hint="default"/>
      </w:rPr>
    </w:lvl>
    <w:lvl w:ilvl="6" w:tplc="FC760284" w:tentative="1">
      <w:start w:val="1"/>
      <w:numFmt w:val="bullet"/>
      <w:lvlText w:val=""/>
      <w:lvlJc w:val="left"/>
      <w:pPr>
        <w:ind w:left="5328" w:hanging="360"/>
      </w:pPr>
      <w:rPr>
        <w:rFonts w:ascii="Symbol" w:hAnsi="Symbol" w:hint="default"/>
      </w:rPr>
    </w:lvl>
    <w:lvl w:ilvl="7" w:tplc="6A34B76C"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43D61ABE"/>
    <w:multiLevelType w:val="hybridMultilevel"/>
    <w:tmpl w:val="6070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1C7E32"/>
    <w:multiLevelType w:val="hybridMultilevel"/>
    <w:tmpl w:val="8AA2ED3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F94319D"/>
    <w:multiLevelType w:val="hybridMultilevel"/>
    <w:tmpl w:val="8F8A29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906AE4"/>
    <w:multiLevelType w:val="hybridMultilevel"/>
    <w:tmpl w:val="0FBC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1F5009"/>
    <w:multiLevelType w:val="hybridMultilevel"/>
    <w:tmpl w:val="63E81D7E"/>
    <w:lvl w:ilvl="0" w:tplc="F75AFB14">
      <w:start w:val="1"/>
      <w:numFmt w:val="bullet"/>
      <w:pStyle w:val="N2-2ndBullet"/>
      <w:lvlText w:val=""/>
      <w:lvlJc w:val="left"/>
      <w:pPr>
        <w:ind w:left="1080" w:hanging="360"/>
      </w:pPr>
      <w:rPr>
        <w:rFonts w:ascii="Symbol" w:hAnsi="Symbol" w:hint="default"/>
      </w:rPr>
    </w:lvl>
    <w:lvl w:ilvl="1" w:tplc="F54AE3DC" w:tentative="1">
      <w:start w:val="1"/>
      <w:numFmt w:val="bullet"/>
      <w:lvlText w:val="o"/>
      <w:lvlJc w:val="left"/>
      <w:pPr>
        <w:ind w:left="1800" w:hanging="360"/>
      </w:pPr>
      <w:rPr>
        <w:rFonts w:ascii="Courier New" w:hAnsi="Courier New" w:cs="Courier New" w:hint="default"/>
      </w:rPr>
    </w:lvl>
    <w:lvl w:ilvl="2" w:tplc="F3EA1B98" w:tentative="1">
      <w:start w:val="1"/>
      <w:numFmt w:val="bullet"/>
      <w:lvlText w:val=""/>
      <w:lvlJc w:val="left"/>
      <w:pPr>
        <w:ind w:left="2520" w:hanging="360"/>
      </w:pPr>
      <w:rPr>
        <w:rFonts w:ascii="Wingdings" w:hAnsi="Wingdings" w:hint="default"/>
      </w:rPr>
    </w:lvl>
    <w:lvl w:ilvl="3" w:tplc="E59A02C6" w:tentative="1">
      <w:start w:val="1"/>
      <w:numFmt w:val="bullet"/>
      <w:lvlText w:val=""/>
      <w:lvlJc w:val="left"/>
      <w:pPr>
        <w:ind w:left="3240" w:hanging="360"/>
      </w:pPr>
      <w:rPr>
        <w:rFonts w:ascii="Symbol" w:hAnsi="Symbol" w:hint="default"/>
      </w:rPr>
    </w:lvl>
    <w:lvl w:ilvl="4" w:tplc="AE58F134" w:tentative="1">
      <w:start w:val="1"/>
      <w:numFmt w:val="bullet"/>
      <w:lvlText w:val="o"/>
      <w:lvlJc w:val="left"/>
      <w:pPr>
        <w:ind w:left="3960" w:hanging="360"/>
      </w:pPr>
      <w:rPr>
        <w:rFonts w:ascii="Courier New" w:hAnsi="Courier New" w:cs="Courier New" w:hint="default"/>
      </w:rPr>
    </w:lvl>
    <w:lvl w:ilvl="5" w:tplc="FE5A4BF6" w:tentative="1">
      <w:start w:val="1"/>
      <w:numFmt w:val="bullet"/>
      <w:lvlText w:val=""/>
      <w:lvlJc w:val="left"/>
      <w:pPr>
        <w:ind w:left="4680" w:hanging="360"/>
      </w:pPr>
      <w:rPr>
        <w:rFonts w:ascii="Wingdings" w:hAnsi="Wingdings" w:hint="default"/>
      </w:rPr>
    </w:lvl>
    <w:lvl w:ilvl="6" w:tplc="80B8B0B4" w:tentative="1">
      <w:start w:val="1"/>
      <w:numFmt w:val="bullet"/>
      <w:lvlText w:val=""/>
      <w:lvlJc w:val="left"/>
      <w:pPr>
        <w:ind w:left="5400" w:hanging="360"/>
      </w:pPr>
      <w:rPr>
        <w:rFonts w:ascii="Symbol" w:hAnsi="Symbol" w:hint="default"/>
      </w:rPr>
    </w:lvl>
    <w:lvl w:ilvl="7" w:tplc="637E6FDE" w:tentative="1">
      <w:start w:val="1"/>
      <w:numFmt w:val="bullet"/>
      <w:lvlText w:val="o"/>
      <w:lvlJc w:val="left"/>
      <w:pPr>
        <w:ind w:left="6120" w:hanging="360"/>
      </w:pPr>
      <w:rPr>
        <w:rFonts w:ascii="Courier New" w:hAnsi="Courier New" w:cs="Courier New" w:hint="default"/>
      </w:rPr>
    </w:lvl>
    <w:lvl w:ilvl="8" w:tplc="FD2292BE" w:tentative="1">
      <w:start w:val="1"/>
      <w:numFmt w:val="bullet"/>
      <w:lvlText w:val=""/>
      <w:lvlJc w:val="left"/>
      <w:pPr>
        <w:ind w:left="6840" w:hanging="360"/>
      </w:pPr>
      <w:rPr>
        <w:rFonts w:ascii="Wingdings" w:hAnsi="Wingdings" w:hint="default"/>
      </w:rPr>
    </w:lvl>
  </w:abstractNum>
  <w:abstractNum w:abstractNumId="18">
    <w:nsid w:val="61B772F7"/>
    <w:multiLevelType w:val="hybridMultilevel"/>
    <w:tmpl w:val="5FA6C582"/>
    <w:lvl w:ilvl="0" w:tplc="A91AC0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5E0EF9"/>
    <w:multiLevelType w:val="hybridMultilevel"/>
    <w:tmpl w:val="38B0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2"/>
  </w:num>
  <w:num w:numId="5">
    <w:abstractNumId w:val="5"/>
  </w:num>
  <w:num w:numId="6">
    <w:abstractNumId w:val="8"/>
  </w:num>
  <w:num w:numId="7">
    <w:abstractNumId w:val="15"/>
  </w:num>
  <w:num w:numId="8">
    <w:abstractNumId w:val="0"/>
  </w:num>
  <w:num w:numId="9">
    <w:abstractNumId w:val="13"/>
  </w:num>
  <w:num w:numId="10">
    <w:abstractNumId w:val="18"/>
  </w:num>
  <w:num w:numId="11">
    <w:abstractNumId w:val="1"/>
  </w:num>
  <w:num w:numId="12">
    <w:abstractNumId w:val="16"/>
  </w:num>
  <w:num w:numId="13">
    <w:abstractNumId w:val="19"/>
  </w:num>
  <w:num w:numId="14">
    <w:abstractNumId w:val="9"/>
  </w:num>
  <w:num w:numId="15">
    <w:abstractNumId w:val="9"/>
  </w:num>
  <w:num w:numId="16">
    <w:abstractNumId w:val="11"/>
  </w:num>
  <w:num w:numId="17">
    <w:abstractNumId w:val="7"/>
  </w:num>
  <w:num w:numId="18">
    <w:abstractNumId w:val="14"/>
  </w:num>
  <w:num w:numId="19">
    <w:abstractNumId w:val="17"/>
  </w:num>
  <w:num w:numId="20">
    <w:abstractNumId w:val="12"/>
  </w:num>
  <w:num w:numId="21">
    <w:abstractNumId w:val="3"/>
  </w:num>
  <w:num w:numId="22">
    <w:abstractNumId w:val="17"/>
  </w:num>
  <w:num w:numId="23">
    <w:abstractNumId w:val="17"/>
  </w:num>
  <w:num w:numId="24">
    <w:abstractNumId w:val="12"/>
  </w:num>
  <w:num w:numId="25">
    <w:abstractNumId w:val="17"/>
  </w:num>
  <w:num w:numId="26">
    <w:abstractNumId w:val="17"/>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65736"/>
    <w:rsid w:val="00000D66"/>
    <w:rsid w:val="000044EF"/>
    <w:rsid w:val="000109FC"/>
    <w:rsid w:val="00024335"/>
    <w:rsid w:val="000248AC"/>
    <w:rsid w:val="00027FEE"/>
    <w:rsid w:val="00037783"/>
    <w:rsid w:val="000443B2"/>
    <w:rsid w:val="00051AA0"/>
    <w:rsid w:val="00057232"/>
    <w:rsid w:val="00057E8E"/>
    <w:rsid w:val="000600CA"/>
    <w:rsid w:val="0006095D"/>
    <w:rsid w:val="0006121E"/>
    <w:rsid w:val="0007110A"/>
    <w:rsid w:val="000733F7"/>
    <w:rsid w:val="00092820"/>
    <w:rsid w:val="00094DE5"/>
    <w:rsid w:val="000A3E51"/>
    <w:rsid w:val="000B463C"/>
    <w:rsid w:val="000C0C16"/>
    <w:rsid w:val="000C7B0A"/>
    <w:rsid w:val="000D59F3"/>
    <w:rsid w:val="000F5ECF"/>
    <w:rsid w:val="000F7985"/>
    <w:rsid w:val="00102E7E"/>
    <w:rsid w:val="00105148"/>
    <w:rsid w:val="0010629B"/>
    <w:rsid w:val="00111A6E"/>
    <w:rsid w:val="00113380"/>
    <w:rsid w:val="00113E6B"/>
    <w:rsid w:val="00116C47"/>
    <w:rsid w:val="00121E56"/>
    <w:rsid w:val="00123AD0"/>
    <w:rsid w:val="00124B57"/>
    <w:rsid w:val="001262A7"/>
    <w:rsid w:val="0013356A"/>
    <w:rsid w:val="0013380C"/>
    <w:rsid w:val="00134D8F"/>
    <w:rsid w:val="00150233"/>
    <w:rsid w:val="001509D4"/>
    <w:rsid w:val="0015196C"/>
    <w:rsid w:val="001533B0"/>
    <w:rsid w:val="00153CB0"/>
    <w:rsid w:val="00156100"/>
    <w:rsid w:val="001562ED"/>
    <w:rsid w:val="00163002"/>
    <w:rsid w:val="001742ED"/>
    <w:rsid w:val="00180A8B"/>
    <w:rsid w:val="00181675"/>
    <w:rsid w:val="001865E5"/>
    <w:rsid w:val="001B0045"/>
    <w:rsid w:val="001C4A36"/>
    <w:rsid w:val="001C6EE1"/>
    <w:rsid w:val="001D170E"/>
    <w:rsid w:val="001E2303"/>
    <w:rsid w:val="001E4304"/>
    <w:rsid w:val="001E4E8E"/>
    <w:rsid w:val="001E529E"/>
    <w:rsid w:val="001F5B13"/>
    <w:rsid w:val="001F7806"/>
    <w:rsid w:val="002324A8"/>
    <w:rsid w:val="00243BDE"/>
    <w:rsid w:val="00243CA1"/>
    <w:rsid w:val="00243ED5"/>
    <w:rsid w:val="002501DA"/>
    <w:rsid w:val="00254E6D"/>
    <w:rsid w:val="00255D44"/>
    <w:rsid w:val="00256E2E"/>
    <w:rsid w:val="00256F38"/>
    <w:rsid w:val="00260373"/>
    <w:rsid w:val="00280B0D"/>
    <w:rsid w:val="00284174"/>
    <w:rsid w:val="00285866"/>
    <w:rsid w:val="00294A5F"/>
    <w:rsid w:val="00297A79"/>
    <w:rsid w:val="002A3F08"/>
    <w:rsid w:val="002A485F"/>
    <w:rsid w:val="002A7FED"/>
    <w:rsid w:val="002B236C"/>
    <w:rsid w:val="002B4B4D"/>
    <w:rsid w:val="002B7480"/>
    <w:rsid w:val="002C71EB"/>
    <w:rsid w:val="002D1175"/>
    <w:rsid w:val="002D6C01"/>
    <w:rsid w:val="002D7E4B"/>
    <w:rsid w:val="00310751"/>
    <w:rsid w:val="00315544"/>
    <w:rsid w:val="00322001"/>
    <w:rsid w:val="003238C8"/>
    <w:rsid w:val="00327330"/>
    <w:rsid w:val="00327F76"/>
    <w:rsid w:val="00340A71"/>
    <w:rsid w:val="00341BBF"/>
    <w:rsid w:val="00343480"/>
    <w:rsid w:val="00350A1A"/>
    <w:rsid w:val="00351D79"/>
    <w:rsid w:val="00365E95"/>
    <w:rsid w:val="003671BF"/>
    <w:rsid w:val="00367A36"/>
    <w:rsid w:val="003831D7"/>
    <w:rsid w:val="003874B4"/>
    <w:rsid w:val="00387D88"/>
    <w:rsid w:val="00393FBC"/>
    <w:rsid w:val="003950B0"/>
    <w:rsid w:val="003A0075"/>
    <w:rsid w:val="003B0AE0"/>
    <w:rsid w:val="003C30C0"/>
    <w:rsid w:val="003D4967"/>
    <w:rsid w:val="003D7C7D"/>
    <w:rsid w:val="003E056C"/>
    <w:rsid w:val="003E2ACB"/>
    <w:rsid w:val="003F0530"/>
    <w:rsid w:val="003F12CB"/>
    <w:rsid w:val="003F7D02"/>
    <w:rsid w:val="0040504D"/>
    <w:rsid w:val="004055FD"/>
    <w:rsid w:val="00414164"/>
    <w:rsid w:val="0041736C"/>
    <w:rsid w:val="00434810"/>
    <w:rsid w:val="00441040"/>
    <w:rsid w:val="00441830"/>
    <w:rsid w:val="00446CB0"/>
    <w:rsid w:val="004646B6"/>
    <w:rsid w:val="0046736B"/>
    <w:rsid w:val="004717C8"/>
    <w:rsid w:val="0048360B"/>
    <w:rsid w:val="0048569A"/>
    <w:rsid w:val="004B26FD"/>
    <w:rsid w:val="004B3AE3"/>
    <w:rsid w:val="004B4391"/>
    <w:rsid w:val="004C5A67"/>
    <w:rsid w:val="004C7247"/>
    <w:rsid w:val="004E2904"/>
    <w:rsid w:val="004F1FD8"/>
    <w:rsid w:val="004F321B"/>
    <w:rsid w:val="00500F96"/>
    <w:rsid w:val="0051754C"/>
    <w:rsid w:val="00523F0C"/>
    <w:rsid w:val="005275B3"/>
    <w:rsid w:val="00527640"/>
    <w:rsid w:val="00531667"/>
    <w:rsid w:val="00537569"/>
    <w:rsid w:val="00537CFB"/>
    <w:rsid w:val="0054006F"/>
    <w:rsid w:val="00540E4B"/>
    <w:rsid w:val="005531CF"/>
    <w:rsid w:val="0056127A"/>
    <w:rsid w:val="0057321D"/>
    <w:rsid w:val="00576B5B"/>
    <w:rsid w:val="005803F0"/>
    <w:rsid w:val="00585B44"/>
    <w:rsid w:val="00585F5B"/>
    <w:rsid w:val="005A1F01"/>
    <w:rsid w:val="005A21CD"/>
    <w:rsid w:val="005A3261"/>
    <w:rsid w:val="005C395D"/>
    <w:rsid w:val="005D2132"/>
    <w:rsid w:val="005D53E7"/>
    <w:rsid w:val="005D6D37"/>
    <w:rsid w:val="005E6062"/>
    <w:rsid w:val="005E7585"/>
    <w:rsid w:val="005F2990"/>
    <w:rsid w:val="005F6334"/>
    <w:rsid w:val="006049C8"/>
    <w:rsid w:val="0060559A"/>
    <w:rsid w:val="00606833"/>
    <w:rsid w:val="006217AA"/>
    <w:rsid w:val="0063292D"/>
    <w:rsid w:val="00635477"/>
    <w:rsid w:val="006355D0"/>
    <w:rsid w:val="00637849"/>
    <w:rsid w:val="00650248"/>
    <w:rsid w:val="00660B93"/>
    <w:rsid w:val="0066632E"/>
    <w:rsid w:val="00687987"/>
    <w:rsid w:val="00695AEA"/>
    <w:rsid w:val="006A24F2"/>
    <w:rsid w:val="006A3147"/>
    <w:rsid w:val="006B1F14"/>
    <w:rsid w:val="006B4A1A"/>
    <w:rsid w:val="006B7C7A"/>
    <w:rsid w:val="006C69C8"/>
    <w:rsid w:val="006E17D9"/>
    <w:rsid w:val="006E672A"/>
    <w:rsid w:val="006F2552"/>
    <w:rsid w:val="006F4A53"/>
    <w:rsid w:val="006F5701"/>
    <w:rsid w:val="006F6255"/>
    <w:rsid w:val="006F75C2"/>
    <w:rsid w:val="006F7A0D"/>
    <w:rsid w:val="00711338"/>
    <w:rsid w:val="00712A28"/>
    <w:rsid w:val="007246A4"/>
    <w:rsid w:val="00733031"/>
    <w:rsid w:val="00734B8B"/>
    <w:rsid w:val="0073724B"/>
    <w:rsid w:val="0074521E"/>
    <w:rsid w:val="00745F2D"/>
    <w:rsid w:val="007526F4"/>
    <w:rsid w:val="00761D7A"/>
    <w:rsid w:val="00764022"/>
    <w:rsid w:val="00767C2D"/>
    <w:rsid w:val="00774771"/>
    <w:rsid w:val="00777214"/>
    <w:rsid w:val="00777B2E"/>
    <w:rsid w:val="0078314D"/>
    <w:rsid w:val="00784BC4"/>
    <w:rsid w:val="007A5222"/>
    <w:rsid w:val="007B36EC"/>
    <w:rsid w:val="007B4D75"/>
    <w:rsid w:val="007C0EB6"/>
    <w:rsid w:val="007C135F"/>
    <w:rsid w:val="007C67E1"/>
    <w:rsid w:val="007C7A86"/>
    <w:rsid w:val="007D0533"/>
    <w:rsid w:val="007D64D5"/>
    <w:rsid w:val="007D6C25"/>
    <w:rsid w:val="007E7F4E"/>
    <w:rsid w:val="007F305E"/>
    <w:rsid w:val="007F3D5E"/>
    <w:rsid w:val="007F4508"/>
    <w:rsid w:val="00816EFC"/>
    <w:rsid w:val="00823491"/>
    <w:rsid w:val="00823A31"/>
    <w:rsid w:val="00835505"/>
    <w:rsid w:val="0083575E"/>
    <w:rsid w:val="008473DB"/>
    <w:rsid w:val="00854E8C"/>
    <w:rsid w:val="00870820"/>
    <w:rsid w:val="00875020"/>
    <w:rsid w:val="008A2582"/>
    <w:rsid w:val="008A3BFD"/>
    <w:rsid w:val="008A40AE"/>
    <w:rsid w:val="008A6724"/>
    <w:rsid w:val="008A7FA1"/>
    <w:rsid w:val="008B4F52"/>
    <w:rsid w:val="008C0979"/>
    <w:rsid w:val="008C2C8D"/>
    <w:rsid w:val="008D36CD"/>
    <w:rsid w:val="008D667B"/>
    <w:rsid w:val="008D7F5E"/>
    <w:rsid w:val="008E6042"/>
    <w:rsid w:val="008F17C4"/>
    <w:rsid w:val="008F21FF"/>
    <w:rsid w:val="00903883"/>
    <w:rsid w:val="00903B71"/>
    <w:rsid w:val="009046E5"/>
    <w:rsid w:val="0090762E"/>
    <w:rsid w:val="0095628D"/>
    <w:rsid w:val="0096200A"/>
    <w:rsid w:val="009625EE"/>
    <w:rsid w:val="00974BE9"/>
    <w:rsid w:val="00976C53"/>
    <w:rsid w:val="009771ED"/>
    <w:rsid w:val="00984FDD"/>
    <w:rsid w:val="009943C1"/>
    <w:rsid w:val="009955AE"/>
    <w:rsid w:val="009B2DAC"/>
    <w:rsid w:val="009C0601"/>
    <w:rsid w:val="009C2AAC"/>
    <w:rsid w:val="009C314D"/>
    <w:rsid w:val="009D4B46"/>
    <w:rsid w:val="009D5B89"/>
    <w:rsid w:val="009D5CDE"/>
    <w:rsid w:val="009E10A4"/>
    <w:rsid w:val="00A02658"/>
    <w:rsid w:val="00A103BC"/>
    <w:rsid w:val="00A139BF"/>
    <w:rsid w:val="00A27128"/>
    <w:rsid w:val="00A27378"/>
    <w:rsid w:val="00A30F99"/>
    <w:rsid w:val="00A3127E"/>
    <w:rsid w:val="00A3188D"/>
    <w:rsid w:val="00A3460B"/>
    <w:rsid w:val="00A5256B"/>
    <w:rsid w:val="00A5592F"/>
    <w:rsid w:val="00A62797"/>
    <w:rsid w:val="00A6426B"/>
    <w:rsid w:val="00A66931"/>
    <w:rsid w:val="00A72856"/>
    <w:rsid w:val="00A72E00"/>
    <w:rsid w:val="00A77689"/>
    <w:rsid w:val="00A843AB"/>
    <w:rsid w:val="00A8663C"/>
    <w:rsid w:val="00A91A63"/>
    <w:rsid w:val="00A92BF3"/>
    <w:rsid w:val="00AA314E"/>
    <w:rsid w:val="00AB4101"/>
    <w:rsid w:val="00AB55BF"/>
    <w:rsid w:val="00AD30E0"/>
    <w:rsid w:val="00AD6D3F"/>
    <w:rsid w:val="00AE03B4"/>
    <w:rsid w:val="00AE38CE"/>
    <w:rsid w:val="00AF2BC3"/>
    <w:rsid w:val="00AF3A2F"/>
    <w:rsid w:val="00AF5B2E"/>
    <w:rsid w:val="00B0778C"/>
    <w:rsid w:val="00B07C4B"/>
    <w:rsid w:val="00B1272E"/>
    <w:rsid w:val="00B151AF"/>
    <w:rsid w:val="00B1524D"/>
    <w:rsid w:val="00B174DB"/>
    <w:rsid w:val="00B32C8E"/>
    <w:rsid w:val="00B34358"/>
    <w:rsid w:val="00B47772"/>
    <w:rsid w:val="00B47907"/>
    <w:rsid w:val="00B52A7F"/>
    <w:rsid w:val="00B54821"/>
    <w:rsid w:val="00B651CA"/>
    <w:rsid w:val="00B92418"/>
    <w:rsid w:val="00B97419"/>
    <w:rsid w:val="00BB1140"/>
    <w:rsid w:val="00BB2663"/>
    <w:rsid w:val="00BC1AAE"/>
    <w:rsid w:val="00BC67D3"/>
    <w:rsid w:val="00BC6FF0"/>
    <w:rsid w:val="00BD0C64"/>
    <w:rsid w:val="00BD2288"/>
    <w:rsid w:val="00BE0635"/>
    <w:rsid w:val="00BF00CA"/>
    <w:rsid w:val="00BF129D"/>
    <w:rsid w:val="00BF2DB7"/>
    <w:rsid w:val="00C00913"/>
    <w:rsid w:val="00C00979"/>
    <w:rsid w:val="00C0331F"/>
    <w:rsid w:val="00C10F35"/>
    <w:rsid w:val="00C15F40"/>
    <w:rsid w:val="00C2650A"/>
    <w:rsid w:val="00C31D5E"/>
    <w:rsid w:val="00C322D2"/>
    <w:rsid w:val="00C35B24"/>
    <w:rsid w:val="00C425F6"/>
    <w:rsid w:val="00C4711F"/>
    <w:rsid w:val="00C50DAC"/>
    <w:rsid w:val="00C523AA"/>
    <w:rsid w:val="00C62C28"/>
    <w:rsid w:val="00C62F4D"/>
    <w:rsid w:val="00C65FC8"/>
    <w:rsid w:val="00C67191"/>
    <w:rsid w:val="00C70692"/>
    <w:rsid w:val="00C72891"/>
    <w:rsid w:val="00C772A3"/>
    <w:rsid w:val="00C8169D"/>
    <w:rsid w:val="00C84071"/>
    <w:rsid w:val="00C84ACC"/>
    <w:rsid w:val="00C90EBA"/>
    <w:rsid w:val="00CA0C86"/>
    <w:rsid w:val="00CA132B"/>
    <w:rsid w:val="00CA288E"/>
    <w:rsid w:val="00CA7244"/>
    <w:rsid w:val="00CE42C2"/>
    <w:rsid w:val="00CE47A2"/>
    <w:rsid w:val="00CE4E77"/>
    <w:rsid w:val="00CE576D"/>
    <w:rsid w:val="00CF05DE"/>
    <w:rsid w:val="00CF0F90"/>
    <w:rsid w:val="00CF3945"/>
    <w:rsid w:val="00D10C99"/>
    <w:rsid w:val="00D21CFC"/>
    <w:rsid w:val="00D2356A"/>
    <w:rsid w:val="00D26736"/>
    <w:rsid w:val="00D26866"/>
    <w:rsid w:val="00D30461"/>
    <w:rsid w:val="00D43822"/>
    <w:rsid w:val="00D552CF"/>
    <w:rsid w:val="00D56FA4"/>
    <w:rsid w:val="00D62390"/>
    <w:rsid w:val="00D63617"/>
    <w:rsid w:val="00D7668B"/>
    <w:rsid w:val="00D76C0A"/>
    <w:rsid w:val="00D848D7"/>
    <w:rsid w:val="00D85901"/>
    <w:rsid w:val="00D85AC0"/>
    <w:rsid w:val="00D913F5"/>
    <w:rsid w:val="00D97B4B"/>
    <w:rsid w:val="00DA34FC"/>
    <w:rsid w:val="00DB7747"/>
    <w:rsid w:val="00DD173E"/>
    <w:rsid w:val="00DD2255"/>
    <w:rsid w:val="00DD3170"/>
    <w:rsid w:val="00DD4EFF"/>
    <w:rsid w:val="00DD71AF"/>
    <w:rsid w:val="00DF1C81"/>
    <w:rsid w:val="00DF2F8C"/>
    <w:rsid w:val="00DF6D97"/>
    <w:rsid w:val="00E050A7"/>
    <w:rsid w:val="00E1656F"/>
    <w:rsid w:val="00E208DD"/>
    <w:rsid w:val="00E2280D"/>
    <w:rsid w:val="00E3023B"/>
    <w:rsid w:val="00E35C82"/>
    <w:rsid w:val="00E40378"/>
    <w:rsid w:val="00E43847"/>
    <w:rsid w:val="00E5000E"/>
    <w:rsid w:val="00E517D8"/>
    <w:rsid w:val="00E56534"/>
    <w:rsid w:val="00E63738"/>
    <w:rsid w:val="00E65736"/>
    <w:rsid w:val="00E6601E"/>
    <w:rsid w:val="00E67D2E"/>
    <w:rsid w:val="00E968A0"/>
    <w:rsid w:val="00E971FB"/>
    <w:rsid w:val="00EC2126"/>
    <w:rsid w:val="00EC4B2D"/>
    <w:rsid w:val="00ED6065"/>
    <w:rsid w:val="00ED7163"/>
    <w:rsid w:val="00F019FE"/>
    <w:rsid w:val="00F03A9B"/>
    <w:rsid w:val="00F07F2F"/>
    <w:rsid w:val="00F128D7"/>
    <w:rsid w:val="00F14AA3"/>
    <w:rsid w:val="00F206BA"/>
    <w:rsid w:val="00F245ED"/>
    <w:rsid w:val="00F2479C"/>
    <w:rsid w:val="00F3776A"/>
    <w:rsid w:val="00F414B5"/>
    <w:rsid w:val="00F44BD2"/>
    <w:rsid w:val="00F46B01"/>
    <w:rsid w:val="00F518CA"/>
    <w:rsid w:val="00F53DFE"/>
    <w:rsid w:val="00F549AB"/>
    <w:rsid w:val="00F909AB"/>
    <w:rsid w:val="00F939A4"/>
    <w:rsid w:val="00F94F1D"/>
    <w:rsid w:val="00FA2117"/>
    <w:rsid w:val="00FA3DF8"/>
    <w:rsid w:val="00FA4261"/>
    <w:rsid w:val="00FA4F0E"/>
    <w:rsid w:val="00FA59F4"/>
    <w:rsid w:val="00FC1C0E"/>
    <w:rsid w:val="00FE3FBF"/>
    <w:rsid w:val="00FE4098"/>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AC"/>
    <w:pPr>
      <w:spacing w:after="0" w:line="240" w:lineRule="atLeast"/>
      <w:jc w:val="both"/>
    </w:pPr>
    <w:rPr>
      <w:rFonts w:ascii="Times New Roman" w:eastAsia="Times New Roman" w:hAnsi="Times New Roman" w:cs="Times New Roman"/>
      <w:szCs w:val="20"/>
      <w:lang w:val="en-GB"/>
    </w:rPr>
  </w:style>
  <w:style w:type="paragraph" w:styleId="Heading1">
    <w:name w:val="heading 1"/>
    <w:aliases w:val="H1-Sec.Head"/>
    <w:basedOn w:val="Normal"/>
    <w:next w:val="P1-StandPara"/>
    <w:link w:val="Heading1Char"/>
    <w:qFormat/>
    <w:rsid w:val="00C50DAC"/>
    <w:pPr>
      <w:tabs>
        <w:tab w:val="left" w:pos="1152"/>
      </w:tabs>
      <w:spacing w:after="240"/>
      <w:jc w:val="left"/>
      <w:outlineLvl w:val="0"/>
    </w:pPr>
    <w:rPr>
      <w:rFonts w:ascii="Times New Roman Bold" w:hAnsi="Times New Roman Bold"/>
      <w:b/>
      <w:caps/>
    </w:rPr>
  </w:style>
  <w:style w:type="paragraph" w:styleId="Heading2">
    <w:name w:val="heading 2"/>
    <w:aliases w:val="H2-Sec. Head"/>
    <w:basedOn w:val="Normal"/>
    <w:next w:val="P1-StandPara"/>
    <w:link w:val="Heading2Char"/>
    <w:qFormat/>
    <w:rsid w:val="00C50DAC"/>
    <w:pPr>
      <w:tabs>
        <w:tab w:val="left" w:pos="1152"/>
      </w:tabs>
      <w:spacing w:after="240"/>
      <w:ind w:left="360" w:hanging="360"/>
      <w:jc w:val="left"/>
      <w:outlineLvl w:val="1"/>
    </w:pPr>
    <w:rPr>
      <w:b/>
    </w:rPr>
  </w:style>
  <w:style w:type="paragraph" w:styleId="Heading3">
    <w:name w:val="heading 3"/>
    <w:aliases w:val="H3-Sec. Head"/>
    <w:basedOn w:val="Normal"/>
    <w:next w:val="P1-StandPara"/>
    <w:link w:val="Heading3Char"/>
    <w:qFormat/>
    <w:rsid w:val="00C50DAC"/>
    <w:pPr>
      <w:keepNext/>
      <w:tabs>
        <w:tab w:val="left" w:pos="1152"/>
      </w:tabs>
      <w:spacing w:after="240"/>
      <w:ind w:left="1152" w:hanging="1152"/>
      <w:jc w:val="left"/>
      <w:outlineLvl w:val="2"/>
    </w:pPr>
    <w:rPr>
      <w:b/>
    </w:rPr>
  </w:style>
  <w:style w:type="paragraph" w:styleId="Heading4">
    <w:name w:val="heading 4"/>
    <w:aliases w:val="H4 Sec.Heading"/>
    <w:basedOn w:val="Normal"/>
    <w:next w:val="P1-StandPara"/>
    <w:link w:val="Heading4Char"/>
    <w:qFormat/>
    <w:rsid w:val="00C50DAC"/>
    <w:pPr>
      <w:tabs>
        <w:tab w:val="left" w:pos="1152"/>
      </w:tabs>
      <w:spacing w:after="240"/>
      <w:jc w:val="left"/>
      <w:outlineLvl w:val="3"/>
    </w:pPr>
    <w:rPr>
      <w:b/>
      <w:i/>
    </w:rPr>
  </w:style>
  <w:style w:type="paragraph" w:styleId="Heading5">
    <w:name w:val="heading 5"/>
    <w:basedOn w:val="Normal"/>
    <w:next w:val="Normal"/>
    <w:link w:val="Heading5Char"/>
    <w:qFormat/>
    <w:rsid w:val="00C50DAC"/>
    <w:pPr>
      <w:keepLines/>
      <w:spacing w:before="360"/>
      <w:jc w:val="center"/>
      <w:outlineLvl w:val="4"/>
    </w:pPr>
  </w:style>
  <w:style w:type="paragraph" w:styleId="Heading6">
    <w:name w:val="heading 6"/>
    <w:basedOn w:val="Normal"/>
    <w:next w:val="Normal"/>
    <w:link w:val="Heading6Char"/>
    <w:qFormat/>
    <w:rsid w:val="00C50DAC"/>
    <w:pPr>
      <w:keepNext/>
      <w:spacing w:before="240"/>
      <w:jc w:val="center"/>
      <w:outlineLvl w:val="5"/>
    </w:pPr>
    <w:rPr>
      <w:b/>
      <w:caps/>
    </w:rPr>
  </w:style>
  <w:style w:type="paragraph" w:styleId="Heading7">
    <w:name w:val="heading 7"/>
    <w:basedOn w:val="Normal"/>
    <w:next w:val="Normal"/>
    <w:link w:val="Heading7Char"/>
    <w:qFormat/>
    <w:rsid w:val="00C50DAC"/>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DAC"/>
    <w:pPr>
      <w:ind w:left="720"/>
      <w:contextualSpacing/>
    </w:pPr>
  </w:style>
  <w:style w:type="paragraph" w:customStyle="1" w:styleId="Default">
    <w:name w:val="Default"/>
    <w:rsid w:val="00C50DAC"/>
    <w:pPr>
      <w:widowControl w:val="0"/>
      <w:autoSpaceDE w:val="0"/>
      <w:autoSpaceDN w:val="0"/>
      <w:adjustRightInd w:val="0"/>
      <w:spacing w:after="0" w:line="240" w:lineRule="auto"/>
    </w:pPr>
    <w:rPr>
      <w:rFonts w:ascii="Britannic Bold" w:eastAsia="Times New Roman" w:hAnsi="Britannic Bold" w:cs="Britannic Bold"/>
      <w:color w:val="000000"/>
      <w:sz w:val="24"/>
      <w:szCs w:val="24"/>
    </w:rPr>
  </w:style>
  <w:style w:type="paragraph" w:customStyle="1" w:styleId="CM4">
    <w:name w:val="CM4"/>
    <w:basedOn w:val="Default"/>
    <w:next w:val="Default"/>
    <w:uiPriority w:val="99"/>
    <w:rsid w:val="000B463C"/>
    <w:pPr>
      <w:spacing w:line="256" w:lineRule="atLeast"/>
    </w:pPr>
    <w:rPr>
      <w:rFonts w:cstheme="minorBidi"/>
      <w:color w:val="auto"/>
    </w:rPr>
  </w:style>
  <w:style w:type="paragraph" w:customStyle="1" w:styleId="CM19">
    <w:name w:val="CM19"/>
    <w:basedOn w:val="Default"/>
    <w:next w:val="Default"/>
    <w:uiPriority w:val="99"/>
    <w:rsid w:val="000B463C"/>
    <w:rPr>
      <w:rFonts w:cstheme="minorBidi"/>
      <w:color w:val="auto"/>
    </w:rPr>
  </w:style>
  <w:style w:type="paragraph" w:customStyle="1" w:styleId="CM20">
    <w:name w:val="CM20"/>
    <w:basedOn w:val="Default"/>
    <w:next w:val="Default"/>
    <w:uiPriority w:val="99"/>
    <w:rsid w:val="000B463C"/>
    <w:rPr>
      <w:rFonts w:cstheme="minorBidi"/>
      <w:color w:val="auto"/>
    </w:rPr>
  </w:style>
  <w:style w:type="paragraph" w:customStyle="1" w:styleId="CM17">
    <w:name w:val="CM17"/>
    <w:basedOn w:val="Default"/>
    <w:next w:val="Default"/>
    <w:uiPriority w:val="99"/>
    <w:rsid w:val="000B463C"/>
    <w:rPr>
      <w:rFonts w:cstheme="minorBidi"/>
      <w:color w:val="auto"/>
    </w:rPr>
  </w:style>
  <w:style w:type="paragraph" w:customStyle="1" w:styleId="CM14">
    <w:name w:val="CM14"/>
    <w:basedOn w:val="Default"/>
    <w:next w:val="Default"/>
    <w:uiPriority w:val="99"/>
    <w:rsid w:val="007D0533"/>
    <w:rPr>
      <w:rFonts w:cstheme="minorBidi"/>
      <w:color w:val="auto"/>
    </w:rPr>
  </w:style>
  <w:style w:type="paragraph" w:customStyle="1" w:styleId="CM13">
    <w:name w:val="CM13"/>
    <w:basedOn w:val="Default"/>
    <w:next w:val="Default"/>
    <w:uiPriority w:val="99"/>
    <w:rsid w:val="007D0533"/>
    <w:pPr>
      <w:spacing w:line="253" w:lineRule="atLeast"/>
    </w:pPr>
    <w:rPr>
      <w:rFonts w:cstheme="minorBidi"/>
      <w:color w:val="auto"/>
    </w:rPr>
  </w:style>
  <w:style w:type="character" w:styleId="Hyperlink">
    <w:name w:val="Hyperlink"/>
    <w:basedOn w:val="DefaultParagraphFont"/>
    <w:uiPriority w:val="99"/>
    <w:rsid w:val="00E6601E"/>
    <w:rPr>
      <w:color w:val="0000FF"/>
      <w:u w:val="single"/>
    </w:rPr>
  </w:style>
  <w:style w:type="paragraph" w:customStyle="1" w:styleId="ASAP1CharChar">
    <w:name w:val="ASAP1 Char Char"/>
    <w:basedOn w:val="Normal"/>
    <w:link w:val="ASAP1CharCharChar1"/>
    <w:rsid w:val="00E6601E"/>
    <w:pPr>
      <w:spacing w:line="240" w:lineRule="auto"/>
      <w:ind w:firstLine="540"/>
    </w:pPr>
    <w:rPr>
      <w:szCs w:val="24"/>
    </w:rPr>
  </w:style>
  <w:style w:type="character" w:customStyle="1" w:styleId="ASAP1CharCharChar1">
    <w:name w:val="ASAP1 Char Char Char1"/>
    <w:basedOn w:val="DefaultParagraphFont"/>
    <w:link w:val="ASAP1CharChar"/>
    <w:rsid w:val="00E6601E"/>
    <w:rPr>
      <w:rFonts w:ascii="Times New Roman" w:eastAsia="Times New Roman" w:hAnsi="Times New Roman" w:cs="Times New Roman"/>
      <w:sz w:val="24"/>
      <w:szCs w:val="24"/>
    </w:rPr>
  </w:style>
  <w:style w:type="paragraph" w:customStyle="1" w:styleId="CM15">
    <w:name w:val="CM15"/>
    <w:basedOn w:val="Default"/>
    <w:next w:val="Default"/>
    <w:uiPriority w:val="99"/>
    <w:rsid w:val="00E40378"/>
    <w:rPr>
      <w:rFonts w:cstheme="minorBidi"/>
      <w:color w:val="auto"/>
    </w:rPr>
  </w:style>
  <w:style w:type="paragraph" w:customStyle="1" w:styleId="C1-CtrBoldHd">
    <w:name w:val="C1-Ctr BoldHd"/>
    <w:rsid w:val="00C50DAC"/>
    <w:pPr>
      <w:keepNext/>
      <w:spacing w:after="480" w:line="240" w:lineRule="atLeast"/>
      <w:jc w:val="center"/>
    </w:pPr>
    <w:rPr>
      <w:rFonts w:ascii="Times New Roman" w:eastAsia="Times New Roman" w:hAnsi="Times New Roman" w:cs="Times New Roman"/>
      <w:b/>
      <w:caps/>
      <w:szCs w:val="20"/>
    </w:rPr>
  </w:style>
  <w:style w:type="paragraph" w:customStyle="1" w:styleId="C2-CtrSglSp">
    <w:name w:val="C2-Ctr Sgl Sp"/>
    <w:rsid w:val="00C50DAC"/>
    <w:pPr>
      <w:keepLines/>
      <w:spacing w:after="0" w:line="240" w:lineRule="atLeast"/>
      <w:jc w:val="center"/>
    </w:pPr>
    <w:rPr>
      <w:rFonts w:ascii="Times New Roman" w:eastAsia="Times New Roman" w:hAnsi="Times New Roman" w:cs="Times New Roman"/>
      <w:szCs w:val="20"/>
    </w:rPr>
  </w:style>
  <w:style w:type="paragraph" w:customStyle="1" w:styleId="C3-CtrSp12">
    <w:name w:val="C3-Ctr Sp&amp;1/2"/>
    <w:basedOn w:val="Normal"/>
    <w:rsid w:val="00C50DAC"/>
    <w:pPr>
      <w:keepLines/>
      <w:spacing w:line="360" w:lineRule="atLeast"/>
      <w:jc w:val="center"/>
    </w:pPr>
    <w:rPr>
      <w:rFonts w:ascii="Arial" w:hAnsi="Arial"/>
      <w:sz w:val="20"/>
    </w:rPr>
  </w:style>
  <w:style w:type="paragraph" w:customStyle="1" w:styleId="CT-ContractInformation">
    <w:name w:val="CT-Contract Information"/>
    <w:basedOn w:val="Normal"/>
    <w:rsid w:val="00C50DAC"/>
    <w:pPr>
      <w:tabs>
        <w:tab w:val="left" w:pos="2232"/>
      </w:tabs>
      <w:spacing w:line="240" w:lineRule="exact"/>
    </w:pPr>
    <w:rPr>
      <w:rFonts w:ascii="Arial" w:hAnsi="Arial"/>
      <w:vanish/>
      <w:sz w:val="20"/>
    </w:rPr>
  </w:style>
  <w:style w:type="paragraph" w:customStyle="1" w:styleId="L1-FlLSp12">
    <w:name w:val="L1-FlL Sp&amp;1/2"/>
    <w:basedOn w:val="Normal"/>
    <w:rsid w:val="00C50DAC"/>
    <w:pPr>
      <w:tabs>
        <w:tab w:val="left" w:pos="1152"/>
      </w:tabs>
      <w:spacing w:line="360" w:lineRule="atLeast"/>
    </w:pPr>
    <w:rPr>
      <w:rFonts w:ascii="Garamond" w:hAnsi="Garamond"/>
      <w:sz w:val="24"/>
    </w:rPr>
  </w:style>
  <w:style w:type="paragraph" w:customStyle="1" w:styleId="E1-Equation">
    <w:name w:val="E1-Equation"/>
    <w:rsid w:val="00C50DAC"/>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C50DAC"/>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unhideWhenUsed/>
    <w:rsid w:val="00C50DAC"/>
    <w:pPr>
      <w:tabs>
        <w:tab w:val="center" w:pos="4680"/>
        <w:tab w:val="right" w:pos="9360"/>
      </w:tabs>
      <w:spacing w:line="240" w:lineRule="auto"/>
    </w:pPr>
  </w:style>
  <w:style w:type="character" w:customStyle="1" w:styleId="FooterChar">
    <w:name w:val="Footer Char"/>
    <w:basedOn w:val="DefaultParagraphFont"/>
    <w:link w:val="Footer"/>
    <w:uiPriority w:val="99"/>
    <w:rsid w:val="00AF5B2E"/>
    <w:rPr>
      <w:rFonts w:ascii="Times New Roman" w:eastAsia="Times New Roman" w:hAnsi="Times New Roman" w:cs="Times New Roman"/>
      <w:szCs w:val="20"/>
      <w:lang w:val="en-GB"/>
    </w:rPr>
  </w:style>
  <w:style w:type="paragraph" w:styleId="FootnoteText">
    <w:name w:val="footnote text"/>
    <w:aliases w:val="F1"/>
    <w:link w:val="FootnoteTextChar"/>
    <w:semiHidden/>
    <w:rsid w:val="00C50DAC"/>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AF5B2E"/>
    <w:rPr>
      <w:rFonts w:ascii="Times New Roman" w:eastAsia="Times New Roman" w:hAnsi="Times New Roman" w:cs="Times New Roman"/>
      <w:sz w:val="16"/>
      <w:szCs w:val="20"/>
    </w:rPr>
  </w:style>
  <w:style w:type="paragraph" w:styleId="Header">
    <w:name w:val="header"/>
    <w:basedOn w:val="Normal"/>
    <w:link w:val="HeaderChar"/>
    <w:unhideWhenUsed/>
    <w:rsid w:val="00C50DAC"/>
    <w:pPr>
      <w:tabs>
        <w:tab w:val="center" w:pos="4680"/>
        <w:tab w:val="right" w:pos="9360"/>
      </w:tabs>
      <w:spacing w:line="240" w:lineRule="auto"/>
    </w:pPr>
  </w:style>
  <w:style w:type="character" w:customStyle="1" w:styleId="HeaderChar">
    <w:name w:val="Header Char"/>
    <w:basedOn w:val="DefaultParagraphFont"/>
    <w:link w:val="Header"/>
    <w:rsid w:val="00AF5B2E"/>
    <w:rPr>
      <w:rFonts w:ascii="Times New Roman" w:eastAsia="Times New Roman" w:hAnsi="Times New Roman" w:cs="Times New Roman"/>
      <w:szCs w:val="20"/>
      <w:lang w:val="en-GB"/>
    </w:rPr>
  </w:style>
  <w:style w:type="character" w:customStyle="1" w:styleId="Heading1Char">
    <w:name w:val="Heading 1 Char"/>
    <w:aliases w:val="H1-Sec.Head Char"/>
    <w:basedOn w:val="DefaultParagraphFont"/>
    <w:link w:val="Heading1"/>
    <w:rsid w:val="00AF5B2E"/>
    <w:rPr>
      <w:rFonts w:ascii="Times New Roman Bold" w:eastAsia="Times New Roman" w:hAnsi="Times New Roman Bold" w:cs="Times New Roman"/>
      <w:b/>
      <w:caps/>
      <w:szCs w:val="20"/>
      <w:lang w:val="en-GB"/>
    </w:rPr>
  </w:style>
  <w:style w:type="paragraph" w:customStyle="1" w:styleId="Header-1">
    <w:name w:val="Header-1"/>
    <w:basedOn w:val="Heading1"/>
    <w:rsid w:val="00C50DAC"/>
    <w:pPr>
      <w:keepNext/>
      <w:tabs>
        <w:tab w:val="clear" w:pos="1152"/>
      </w:tabs>
      <w:spacing w:after="0"/>
      <w:jc w:val="right"/>
    </w:pPr>
    <w:rPr>
      <w:rFonts w:ascii="Arial" w:hAnsi="Arial"/>
      <w:caps w:val="0"/>
      <w:sz w:val="20"/>
    </w:rPr>
  </w:style>
  <w:style w:type="paragraph" w:customStyle="1" w:styleId="Heading0">
    <w:name w:val="Heading 0"/>
    <w:aliases w:val="H0-Chap Head"/>
    <w:basedOn w:val="Heading1"/>
    <w:rsid w:val="00C50DAC"/>
    <w:pPr>
      <w:keepNext/>
      <w:tabs>
        <w:tab w:val="clear" w:pos="1152"/>
      </w:tabs>
      <w:spacing w:after="0"/>
      <w:jc w:val="right"/>
    </w:pPr>
    <w:rPr>
      <w:rFonts w:ascii="Arial" w:hAnsi="Arial"/>
      <w:caps w:val="0"/>
      <w:sz w:val="40"/>
    </w:rPr>
  </w:style>
  <w:style w:type="character" w:customStyle="1" w:styleId="Heading2Char">
    <w:name w:val="Heading 2 Char"/>
    <w:aliases w:val="H2-Sec. Head Char"/>
    <w:basedOn w:val="DefaultParagraphFont"/>
    <w:link w:val="Heading2"/>
    <w:rsid w:val="00AF5B2E"/>
    <w:rPr>
      <w:rFonts w:ascii="Times New Roman" w:eastAsia="Times New Roman" w:hAnsi="Times New Roman" w:cs="Times New Roman"/>
      <w:b/>
      <w:szCs w:val="20"/>
      <w:lang w:val="en-GB"/>
    </w:rPr>
  </w:style>
  <w:style w:type="character" w:customStyle="1" w:styleId="Heading3Char">
    <w:name w:val="Heading 3 Char"/>
    <w:aliases w:val="H3-Sec. Head Char"/>
    <w:basedOn w:val="DefaultParagraphFont"/>
    <w:link w:val="Heading3"/>
    <w:rsid w:val="00AF5B2E"/>
    <w:rPr>
      <w:rFonts w:ascii="Times New Roman" w:eastAsia="Times New Roman" w:hAnsi="Times New Roman" w:cs="Times New Roman"/>
      <w:b/>
      <w:szCs w:val="20"/>
      <w:lang w:val="en-GB"/>
    </w:rPr>
  </w:style>
  <w:style w:type="character" w:customStyle="1" w:styleId="Heading4Char">
    <w:name w:val="Heading 4 Char"/>
    <w:aliases w:val="H4 Sec.Heading Char"/>
    <w:basedOn w:val="DefaultParagraphFont"/>
    <w:link w:val="Heading4"/>
    <w:rsid w:val="00AF5B2E"/>
    <w:rPr>
      <w:rFonts w:ascii="Times New Roman" w:eastAsia="Times New Roman" w:hAnsi="Times New Roman" w:cs="Times New Roman"/>
      <w:b/>
      <w:i/>
      <w:szCs w:val="20"/>
      <w:lang w:val="en-GB"/>
    </w:rPr>
  </w:style>
  <w:style w:type="character" w:customStyle="1" w:styleId="Heading5Char">
    <w:name w:val="Heading 5 Char"/>
    <w:basedOn w:val="DefaultParagraphFont"/>
    <w:link w:val="Heading5"/>
    <w:rsid w:val="00AF5B2E"/>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AF5B2E"/>
    <w:rPr>
      <w:rFonts w:ascii="Times New Roman" w:eastAsia="Times New Roman" w:hAnsi="Times New Roman" w:cs="Times New Roman"/>
      <w:b/>
      <w:caps/>
      <w:szCs w:val="20"/>
      <w:lang w:val="en-GB"/>
    </w:rPr>
  </w:style>
  <w:style w:type="character" w:customStyle="1" w:styleId="Heading7Char">
    <w:name w:val="Heading 7 Char"/>
    <w:basedOn w:val="DefaultParagraphFont"/>
    <w:link w:val="Heading7"/>
    <w:rsid w:val="00AF5B2E"/>
    <w:rPr>
      <w:rFonts w:ascii="Times New Roman" w:eastAsia="Times New Roman" w:hAnsi="Times New Roman" w:cs="Times New Roman"/>
      <w:sz w:val="20"/>
      <w:szCs w:val="20"/>
      <w:lang w:val="en-GB"/>
    </w:rPr>
  </w:style>
  <w:style w:type="paragraph" w:customStyle="1" w:styleId="N0-FlLftBullet">
    <w:name w:val="N0-Fl Lft Bullet"/>
    <w:basedOn w:val="Normal"/>
    <w:rsid w:val="00C50DAC"/>
    <w:pPr>
      <w:tabs>
        <w:tab w:val="left" w:pos="576"/>
      </w:tabs>
      <w:spacing w:after="240"/>
      <w:ind w:left="576" w:hanging="576"/>
    </w:pPr>
  </w:style>
  <w:style w:type="paragraph" w:customStyle="1" w:styleId="N1-1stBullet">
    <w:name w:val="N1-1st Bullet"/>
    <w:basedOn w:val="Normal"/>
    <w:rsid w:val="00C50DAC"/>
    <w:pPr>
      <w:tabs>
        <w:tab w:val="left" w:pos="1152"/>
      </w:tabs>
      <w:spacing w:after="240"/>
      <w:ind w:left="1152" w:hanging="576"/>
    </w:pPr>
  </w:style>
  <w:style w:type="paragraph" w:customStyle="1" w:styleId="N2-2ndBullet">
    <w:name w:val="N2-2nd Bullet"/>
    <w:basedOn w:val="Normal"/>
    <w:rsid w:val="00C50DAC"/>
    <w:pPr>
      <w:numPr>
        <w:numId w:val="23"/>
      </w:numPr>
      <w:tabs>
        <w:tab w:val="left" w:pos="1728"/>
      </w:tabs>
    </w:pPr>
  </w:style>
  <w:style w:type="paragraph" w:customStyle="1" w:styleId="N3-3rdBullet">
    <w:name w:val="N3-3rd Bullet"/>
    <w:basedOn w:val="Normal"/>
    <w:rsid w:val="00C50DAC"/>
    <w:pPr>
      <w:numPr>
        <w:numId w:val="24"/>
      </w:numPr>
      <w:tabs>
        <w:tab w:val="left" w:pos="2304"/>
      </w:tabs>
    </w:pPr>
  </w:style>
  <w:style w:type="paragraph" w:customStyle="1" w:styleId="N4-4thBullet">
    <w:name w:val="N4-4th Bullet"/>
    <w:basedOn w:val="Normal"/>
    <w:rsid w:val="00C50DAC"/>
    <w:pPr>
      <w:tabs>
        <w:tab w:val="left" w:pos="2880"/>
      </w:tabs>
      <w:spacing w:after="240"/>
      <w:ind w:left="2880" w:hanging="576"/>
    </w:pPr>
  </w:style>
  <w:style w:type="paragraph" w:customStyle="1" w:styleId="N5-5thBullet">
    <w:name w:val="N5-5th Bullet"/>
    <w:basedOn w:val="Normal"/>
    <w:rsid w:val="00C50DAC"/>
    <w:pPr>
      <w:tabs>
        <w:tab w:val="left" w:pos="3456"/>
      </w:tabs>
      <w:spacing w:after="240"/>
      <w:ind w:left="3456" w:hanging="576"/>
    </w:pPr>
  </w:style>
  <w:style w:type="paragraph" w:customStyle="1" w:styleId="N6-DateInd">
    <w:name w:val="N6-Date Ind."/>
    <w:basedOn w:val="Normal"/>
    <w:rsid w:val="00C50DAC"/>
    <w:pPr>
      <w:tabs>
        <w:tab w:val="left" w:pos="5400"/>
      </w:tabs>
      <w:ind w:left="5400"/>
    </w:pPr>
  </w:style>
  <w:style w:type="paragraph" w:customStyle="1" w:styleId="N7-3Block">
    <w:name w:val="N7-3&quot; Block"/>
    <w:basedOn w:val="Normal"/>
    <w:rsid w:val="00C50DAC"/>
    <w:pPr>
      <w:tabs>
        <w:tab w:val="left" w:pos="1152"/>
      </w:tabs>
      <w:ind w:left="1152" w:right="1152"/>
    </w:pPr>
  </w:style>
  <w:style w:type="paragraph" w:customStyle="1" w:styleId="N8-QxQBlock">
    <w:name w:val="N8-QxQ Block"/>
    <w:rsid w:val="00C50DAC"/>
    <w:pPr>
      <w:tabs>
        <w:tab w:val="left" w:pos="1152"/>
      </w:tabs>
      <w:spacing w:after="0" w:line="240" w:lineRule="atLeast"/>
      <w:ind w:left="1152" w:hanging="1152"/>
      <w:jc w:val="both"/>
    </w:pPr>
    <w:rPr>
      <w:rFonts w:ascii="Times New Roman" w:eastAsia="Times New Roman" w:hAnsi="Times New Roman" w:cs="Times New Roman"/>
      <w:szCs w:val="20"/>
    </w:rPr>
  </w:style>
  <w:style w:type="paragraph" w:customStyle="1" w:styleId="P1-StandPara">
    <w:name w:val="P1-Stand Para"/>
    <w:rsid w:val="00C50DAC"/>
    <w:pPr>
      <w:spacing w:after="0" w:line="240" w:lineRule="atLeast"/>
      <w:jc w:val="both"/>
    </w:pPr>
    <w:rPr>
      <w:rFonts w:ascii="Times New Roman" w:eastAsia="Times New Roman" w:hAnsi="Times New Roman" w:cs="Times New Roman"/>
      <w:szCs w:val="20"/>
    </w:rPr>
  </w:style>
  <w:style w:type="character" w:styleId="PageNumber">
    <w:name w:val="page number"/>
    <w:basedOn w:val="DefaultParagraphFont"/>
    <w:rsid w:val="00C50DAC"/>
  </w:style>
  <w:style w:type="paragraph" w:customStyle="1" w:styleId="Q1-BestFinQ">
    <w:name w:val="Q1-Best/Fin Q"/>
    <w:rsid w:val="00C50DAC"/>
    <w:pPr>
      <w:tabs>
        <w:tab w:val="left" w:pos="1152"/>
      </w:tabs>
      <w:spacing w:after="0" w:line="240" w:lineRule="atLeast"/>
      <w:ind w:left="1152" w:hanging="1152"/>
      <w:jc w:val="both"/>
    </w:pPr>
    <w:rPr>
      <w:rFonts w:ascii="Times New Roman" w:eastAsia="Times New Roman" w:hAnsi="Times New Roman" w:cs="Times New Roman"/>
      <w:b/>
      <w:szCs w:val="20"/>
    </w:rPr>
  </w:style>
  <w:style w:type="paragraph" w:customStyle="1" w:styleId="R0-FLLftSglBoldItalic">
    <w:name w:val="R0-FL Lft Sgl Bold Italic"/>
    <w:basedOn w:val="Heading1"/>
    <w:rsid w:val="00C50DAC"/>
    <w:pPr>
      <w:keepNext/>
      <w:tabs>
        <w:tab w:val="clear" w:pos="1152"/>
      </w:tabs>
      <w:spacing w:after="0"/>
    </w:pPr>
    <w:rPr>
      <w:rFonts w:ascii="Arial" w:hAnsi="Arial" w:cs="Times New Roman Bold"/>
      <w:b w:val="0"/>
      <w:i/>
      <w:caps w:val="0"/>
      <w:sz w:val="24"/>
    </w:rPr>
  </w:style>
  <w:style w:type="paragraph" w:customStyle="1" w:styleId="R1-ResPara">
    <w:name w:val="R1-Res. Para"/>
    <w:basedOn w:val="Normal"/>
    <w:rsid w:val="00C50DAC"/>
    <w:pPr>
      <w:ind w:left="288"/>
    </w:pPr>
    <w:rPr>
      <w:rFonts w:ascii="Arial" w:hAnsi="Arial"/>
      <w:sz w:val="20"/>
    </w:rPr>
  </w:style>
  <w:style w:type="paragraph" w:customStyle="1" w:styleId="R2-ResBullet">
    <w:name w:val="R2-Res Bullet"/>
    <w:basedOn w:val="Normal"/>
    <w:rsid w:val="00C50DAC"/>
    <w:pPr>
      <w:tabs>
        <w:tab w:val="left" w:pos="720"/>
      </w:tabs>
      <w:ind w:left="720" w:hanging="432"/>
    </w:pPr>
    <w:rPr>
      <w:rFonts w:ascii="Arial" w:hAnsi="Arial"/>
      <w:sz w:val="20"/>
    </w:rPr>
  </w:style>
  <w:style w:type="paragraph" w:customStyle="1" w:styleId="RF-Reference">
    <w:name w:val="RF-Reference"/>
    <w:basedOn w:val="Normal"/>
    <w:rsid w:val="00C50DAC"/>
    <w:pPr>
      <w:spacing w:line="240" w:lineRule="exact"/>
      <w:ind w:left="216" w:hanging="216"/>
    </w:pPr>
    <w:rPr>
      <w:rFonts w:ascii="Arial" w:hAnsi="Arial"/>
      <w:sz w:val="20"/>
    </w:rPr>
  </w:style>
  <w:style w:type="paragraph" w:customStyle="1" w:styleId="RH-SglSpHead">
    <w:name w:val="RH-Sgl Sp Head"/>
    <w:basedOn w:val="Heading1"/>
    <w:next w:val="RL-FlLftSgl"/>
    <w:rsid w:val="00C50DAC"/>
    <w:pPr>
      <w:keepNext/>
      <w:pBdr>
        <w:bottom w:val="single" w:sz="24" w:space="1" w:color="AFBED9"/>
      </w:pBdr>
      <w:tabs>
        <w:tab w:val="clear" w:pos="1152"/>
      </w:tabs>
      <w:spacing w:after="480" w:line="360" w:lineRule="exact"/>
    </w:pPr>
    <w:rPr>
      <w:rFonts w:ascii="Arial" w:hAnsi="Arial"/>
      <w:caps w:val="0"/>
      <w:sz w:val="36"/>
      <w:u w:color="324162"/>
    </w:rPr>
  </w:style>
  <w:style w:type="paragraph" w:customStyle="1" w:styleId="RL-FlLftSgl">
    <w:name w:val="RL-Fl Lft Sgl"/>
    <w:basedOn w:val="Heading1"/>
    <w:rsid w:val="00C50DAC"/>
    <w:pPr>
      <w:keepNext/>
      <w:tabs>
        <w:tab w:val="clear" w:pos="1152"/>
      </w:tabs>
      <w:spacing w:after="0"/>
    </w:pPr>
    <w:rPr>
      <w:rFonts w:ascii="Arial" w:hAnsi="Arial"/>
      <w:caps w:val="0"/>
      <w:sz w:val="24"/>
    </w:rPr>
  </w:style>
  <w:style w:type="paragraph" w:customStyle="1" w:styleId="SH-SglSpHead">
    <w:name w:val="SH-Sgl Sp Head"/>
    <w:rsid w:val="00C50DAC"/>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SL-FlLftSgl">
    <w:name w:val="SL-Fl Lft Sgl"/>
    <w:rsid w:val="00C50DAC"/>
    <w:pPr>
      <w:spacing w:after="0" w:line="240" w:lineRule="atLeast"/>
      <w:jc w:val="both"/>
    </w:pPr>
    <w:rPr>
      <w:rFonts w:ascii="Times New Roman" w:eastAsia="Times New Roman" w:hAnsi="Times New Roman" w:cs="Times New Roman"/>
      <w:szCs w:val="20"/>
    </w:rPr>
  </w:style>
  <w:style w:type="paragraph" w:customStyle="1" w:styleId="SP-SglSpPara">
    <w:name w:val="SP-Sgl Sp Para"/>
    <w:rsid w:val="00C50DAC"/>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SU-FlLftUndln">
    <w:name w:val="SU-Fl Lft Undln"/>
    <w:basedOn w:val="Normal"/>
    <w:rsid w:val="00C50DAC"/>
    <w:pPr>
      <w:keepNext/>
      <w:spacing w:line="240" w:lineRule="exact"/>
    </w:pPr>
    <w:rPr>
      <w:rFonts w:ascii="Arial" w:hAnsi="Arial"/>
      <w:sz w:val="20"/>
      <w:u w:val="single"/>
    </w:rPr>
  </w:style>
  <w:style w:type="paragraph" w:customStyle="1" w:styleId="T0-ChapPgHd">
    <w:name w:val="T0-Chap/Pg Hd"/>
    <w:rsid w:val="00C50DAC"/>
    <w:pPr>
      <w:tabs>
        <w:tab w:val="left" w:pos="8640"/>
      </w:tabs>
      <w:spacing w:after="0" w:line="240" w:lineRule="atLeast"/>
      <w:jc w:val="both"/>
    </w:pPr>
    <w:rPr>
      <w:rFonts w:ascii="Times New Roman" w:eastAsia="Times New Roman" w:hAnsi="Times New Roman" w:cs="Times New Roman"/>
      <w:szCs w:val="20"/>
      <w:u w:val="words"/>
    </w:rPr>
  </w:style>
  <w:style w:type="table" w:styleId="TableGrid">
    <w:name w:val="Table Grid"/>
    <w:basedOn w:val="TableNormal"/>
    <w:uiPriority w:val="59"/>
    <w:rsid w:val="00C50D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WestatStandardFormat">
    <w:name w:val="Table Westat Standard Format"/>
    <w:basedOn w:val="TableNormal"/>
    <w:rsid w:val="00C50DAC"/>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C50DAC"/>
    <w:pPr>
      <w:keepNext/>
      <w:pBdr>
        <w:bottom w:val="single" w:sz="24" w:space="1" w:color="AFBED7"/>
      </w:pBdr>
      <w:tabs>
        <w:tab w:val="clear" w:pos="1152"/>
      </w:tabs>
      <w:spacing w:after="720"/>
      <w:ind w:left="6869"/>
      <w:jc w:val="center"/>
    </w:pPr>
    <w:rPr>
      <w:rFonts w:ascii="Arial" w:hAnsi="Arial"/>
      <w:caps w:val="0"/>
      <w:sz w:val="20"/>
    </w:rPr>
  </w:style>
  <w:style w:type="paragraph" w:customStyle="1" w:styleId="TF-TblFN">
    <w:name w:val="TF-Tbl FN"/>
    <w:basedOn w:val="FootnoteText"/>
    <w:rsid w:val="00C50DAC"/>
    <w:rPr>
      <w:rFonts w:ascii="Franklin Gothic Medium" w:hAnsi="Franklin Gothic Medium"/>
    </w:rPr>
  </w:style>
  <w:style w:type="paragraph" w:customStyle="1" w:styleId="TH-TableHeading">
    <w:name w:val="TH-Table Heading"/>
    <w:basedOn w:val="Heading1"/>
    <w:rsid w:val="00C50DAC"/>
    <w:pPr>
      <w:spacing w:after="0"/>
      <w:jc w:val="center"/>
    </w:pPr>
    <w:rPr>
      <w:caps w:val="0"/>
      <w:sz w:val="20"/>
    </w:rPr>
  </w:style>
  <w:style w:type="paragraph" w:styleId="TOC1">
    <w:name w:val="toc 1"/>
    <w:uiPriority w:val="39"/>
    <w:qFormat/>
    <w:rsid w:val="00C50DAC"/>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uiPriority w:val="39"/>
    <w:qFormat/>
    <w:rsid w:val="00C50DAC"/>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styleId="TOC3">
    <w:name w:val="toc 3"/>
    <w:uiPriority w:val="39"/>
    <w:qFormat/>
    <w:rsid w:val="00C50DAC"/>
    <w:pPr>
      <w:tabs>
        <w:tab w:val="left" w:pos="3024"/>
        <w:tab w:val="right" w:leader="dot" w:pos="8208"/>
        <w:tab w:val="left" w:pos="8640"/>
      </w:tabs>
      <w:spacing w:after="0" w:line="240" w:lineRule="atLeast"/>
      <w:ind w:left="3024" w:hanging="864"/>
    </w:pPr>
    <w:rPr>
      <w:rFonts w:ascii="Times New Roman" w:eastAsia="Times New Roman" w:hAnsi="Times New Roman" w:cs="Times New Roman"/>
      <w:szCs w:val="20"/>
    </w:rPr>
  </w:style>
  <w:style w:type="paragraph" w:styleId="TOC4">
    <w:name w:val="toc 4"/>
    <w:uiPriority w:val="39"/>
    <w:rsid w:val="00C50DAC"/>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C50DAC"/>
    <w:rPr>
      <w:caps w:val="0"/>
    </w:rPr>
  </w:style>
  <w:style w:type="paragraph" w:styleId="TOC6">
    <w:name w:val="toc 6"/>
    <w:uiPriority w:val="39"/>
    <w:rsid w:val="00C50DAC"/>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uiPriority w:val="39"/>
    <w:rsid w:val="00C50DAC"/>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uiPriority w:val="39"/>
    <w:rsid w:val="00C50DAC"/>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uiPriority w:val="39"/>
    <w:rsid w:val="00C50DAC"/>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S-TableShading">
    <w:name w:val="TS - Table Shading"/>
    <w:basedOn w:val="TH-TableHeading"/>
    <w:qFormat/>
    <w:rsid w:val="00AF5B2E"/>
  </w:style>
  <w:style w:type="paragraph" w:customStyle="1" w:styleId="TT-TableTitle">
    <w:name w:val="TT-Table Title"/>
    <w:rsid w:val="00C50DAC"/>
    <w:pPr>
      <w:tabs>
        <w:tab w:val="left" w:pos="1296"/>
      </w:tabs>
      <w:spacing w:after="120" w:line="240" w:lineRule="atLeast"/>
      <w:ind w:left="1152" w:hanging="1152"/>
    </w:pPr>
    <w:rPr>
      <w:rFonts w:ascii="Times New Roman" w:eastAsia="Times New Roman" w:hAnsi="Times New Roman" w:cs="Times New Roman"/>
      <w:b/>
      <w:szCs w:val="20"/>
    </w:rPr>
  </w:style>
  <w:style w:type="paragraph" w:customStyle="1" w:styleId="TX-TableText">
    <w:name w:val="TX-Table Text"/>
    <w:basedOn w:val="Normal"/>
    <w:rsid w:val="00C50DAC"/>
    <w:pPr>
      <w:jc w:val="left"/>
    </w:pPr>
    <w:rPr>
      <w:sz w:val="20"/>
    </w:rPr>
  </w:style>
  <w:style w:type="paragraph" w:styleId="BalloonText">
    <w:name w:val="Balloon Text"/>
    <w:basedOn w:val="Normal"/>
    <w:link w:val="BalloonTextChar"/>
    <w:uiPriority w:val="99"/>
    <w:semiHidden/>
    <w:unhideWhenUsed/>
    <w:rsid w:val="00C50D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21B"/>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C50DAC"/>
    <w:rPr>
      <w:sz w:val="16"/>
      <w:szCs w:val="16"/>
    </w:rPr>
  </w:style>
  <w:style w:type="paragraph" w:styleId="CommentText">
    <w:name w:val="annotation text"/>
    <w:basedOn w:val="Normal"/>
    <w:link w:val="CommentTextChar"/>
    <w:uiPriority w:val="99"/>
    <w:unhideWhenUsed/>
    <w:rsid w:val="00C50DAC"/>
    <w:pPr>
      <w:spacing w:line="240" w:lineRule="auto"/>
    </w:pPr>
    <w:rPr>
      <w:sz w:val="20"/>
    </w:rPr>
  </w:style>
  <w:style w:type="character" w:customStyle="1" w:styleId="CommentTextChar">
    <w:name w:val="Comment Text Char"/>
    <w:basedOn w:val="DefaultParagraphFont"/>
    <w:link w:val="CommentText"/>
    <w:uiPriority w:val="99"/>
    <w:rsid w:val="004F321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0DAC"/>
    <w:rPr>
      <w:b/>
      <w:bCs/>
    </w:rPr>
  </w:style>
  <w:style w:type="character" w:customStyle="1" w:styleId="CommentSubjectChar">
    <w:name w:val="Comment Subject Char"/>
    <w:basedOn w:val="CommentTextChar"/>
    <w:link w:val="CommentSubject"/>
    <w:uiPriority w:val="99"/>
    <w:semiHidden/>
    <w:rsid w:val="004F321B"/>
    <w:rPr>
      <w:rFonts w:ascii="Times New Roman" w:eastAsia="Times New Roman" w:hAnsi="Times New Roman" w:cs="Times New Roman"/>
      <w:b/>
      <w:bCs/>
      <w:sz w:val="20"/>
      <w:szCs w:val="20"/>
      <w:lang w:val="en-GB"/>
    </w:rPr>
  </w:style>
  <w:style w:type="character" w:styleId="FootnoteReference">
    <w:name w:val="footnote reference"/>
    <w:basedOn w:val="DefaultParagraphFont"/>
    <w:uiPriority w:val="99"/>
    <w:semiHidden/>
    <w:rsid w:val="00C50DAC"/>
    <w:rPr>
      <w:vertAlign w:val="superscript"/>
    </w:rPr>
  </w:style>
  <w:style w:type="paragraph" w:customStyle="1" w:styleId="L1-FlLfSp12">
    <w:name w:val="L1-FlLfSp&amp;1/2"/>
    <w:rsid w:val="00C50DAC"/>
    <w:pPr>
      <w:tabs>
        <w:tab w:val="left" w:pos="1152"/>
      </w:tabs>
      <w:spacing w:after="0" w:line="240" w:lineRule="atLeast"/>
      <w:jc w:val="both"/>
    </w:pPr>
    <w:rPr>
      <w:rFonts w:ascii="Times New Roman" w:eastAsia="Times New Roman" w:hAnsi="Times New Roman" w:cs="Times New Roman"/>
      <w:szCs w:val="20"/>
    </w:rPr>
  </w:style>
  <w:style w:type="table" w:customStyle="1" w:styleId="LightList1">
    <w:name w:val="Light List1"/>
    <w:basedOn w:val="TableNormal"/>
    <w:uiPriority w:val="61"/>
    <w:rsid w:val="00C50DA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50DAC"/>
    <w:pPr>
      <w:spacing w:after="0" w:line="240" w:lineRule="auto"/>
    </w:pPr>
  </w:style>
  <w:style w:type="paragraph" w:styleId="NormalWeb">
    <w:name w:val="Normal (Web)"/>
    <w:basedOn w:val="Normal"/>
    <w:uiPriority w:val="99"/>
    <w:semiHidden/>
    <w:unhideWhenUsed/>
    <w:rsid w:val="00C50DAC"/>
    <w:pPr>
      <w:spacing w:line="240" w:lineRule="auto"/>
    </w:pPr>
    <w:rPr>
      <w:sz w:val="24"/>
      <w:szCs w:val="24"/>
    </w:rPr>
  </w:style>
  <w:style w:type="paragraph" w:styleId="PlainText">
    <w:name w:val="Plain Text"/>
    <w:basedOn w:val="Normal"/>
    <w:link w:val="PlainTextChar"/>
    <w:uiPriority w:val="99"/>
    <w:rsid w:val="00C50DAC"/>
    <w:pPr>
      <w:tabs>
        <w:tab w:val="left" w:pos="850"/>
        <w:tab w:val="left" w:pos="1191"/>
        <w:tab w:val="left" w:pos="1531"/>
      </w:tabs>
      <w:spacing w:line="240" w:lineRule="auto"/>
    </w:pPr>
    <w:rPr>
      <w:rFonts w:ascii="Courier New" w:hAnsi="Courier New" w:cs="Courier New"/>
      <w:sz w:val="20"/>
      <w:lang w:eastAsia="zh-CN"/>
    </w:rPr>
  </w:style>
  <w:style w:type="character" w:customStyle="1" w:styleId="PlainTextChar">
    <w:name w:val="Plain Text Char"/>
    <w:basedOn w:val="DefaultParagraphFont"/>
    <w:link w:val="PlainText"/>
    <w:uiPriority w:val="99"/>
    <w:rsid w:val="004F321B"/>
    <w:rPr>
      <w:rFonts w:ascii="Courier New" w:eastAsia="Times New Roman" w:hAnsi="Courier New" w:cs="Courier New"/>
      <w:sz w:val="20"/>
      <w:szCs w:val="20"/>
      <w:lang w:val="en-GB" w:eastAsia="zh-CN"/>
    </w:rPr>
  </w:style>
  <w:style w:type="paragraph" w:customStyle="1" w:styleId="StyleHeading2H2-SecHeadLeft0Hanging025">
    <w:name w:val="Style Heading 2H2-Sec. Head + Left:  0&quot; Hanging:  0.25&quot;"/>
    <w:basedOn w:val="Heading2"/>
    <w:rsid w:val="00C50DAC"/>
    <w:rPr>
      <w:bCs/>
    </w:rPr>
  </w:style>
  <w:style w:type="paragraph" w:styleId="TOCHeading">
    <w:name w:val="TOC Heading"/>
    <w:basedOn w:val="Heading1"/>
    <w:next w:val="Normal"/>
    <w:uiPriority w:val="39"/>
    <w:semiHidden/>
    <w:unhideWhenUsed/>
    <w:qFormat/>
    <w:rsid w:val="00C50DAC"/>
    <w:pPr>
      <w:keepNext/>
      <w:keepLines/>
      <w:tabs>
        <w:tab w:val="clear" w:pos="1152"/>
      </w:tabs>
      <w:spacing w:before="480" w:after="0" w:line="276" w:lineRule="auto"/>
      <w:outlineLvl w:val="9"/>
    </w:pPr>
    <w:rPr>
      <w:rFonts w:asciiTheme="majorHAnsi" w:eastAsiaTheme="majorEastAsia" w:hAnsiTheme="majorHAnsi" w:cstheme="majorBidi"/>
      <w:bCs/>
      <w:caps w:val="0"/>
      <w:color w:val="365F91" w:themeColor="accent1" w:themeShade="BF"/>
      <w:sz w:val="28"/>
      <w:szCs w:val="28"/>
    </w:rPr>
  </w:style>
  <w:style w:type="paragraph" w:customStyle="1" w:styleId="a">
    <w:name w:val="바탕글"/>
    <w:basedOn w:val="Normal"/>
    <w:rsid w:val="00C50DAC"/>
    <w:pPr>
      <w:snapToGrid w:val="0"/>
      <w:spacing w:line="384" w:lineRule="auto"/>
    </w:pPr>
    <w:rPr>
      <w:rFonts w:ascii="Haansoft Batang" w:eastAsia="Haansoft Batang" w:hAnsi="Haansoft Batang" w:cs="Haansoft Batang"/>
      <w:color w:val="000000"/>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37">
      <w:bodyDiv w:val="1"/>
      <w:marLeft w:val="0"/>
      <w:marRight w:val="0"/>
      <w:marTop w:val="0"/>
      <w:marBottom w:val="0"/>
      <w:divBdr>
        <w:top w:val="none" w:sz="0" w:space="0" w:color="auto"/>
        <w:left w:val="none" w:sz="0" w:space="0" w:color="auto"/>
        <w:bottom w:val="none" w:sz="0" w:space="0" w:color="auto"/>
        <w:right w:val="none" w:sz="0" w:space="0" w:color="auto"/>
      </w:divBdr>
    </w:div>
    <w:div w:id="20397601">
      <w:bodyDiv w:val="1"/>
      <w:marLeft w:val="0"/>
      <w:marRight w:val="0"/>
      <w:marTop w:val="0"/>
      <w:marBottom w:val="0"/>
      <w:divBdr>
        <w:top w:val="none" w:sz="0" w:space="0" w:color="auto"/>
        <w:left w:val="none" w:sz="0" w:space="0" w:color="auto"/>
        <w:bottom w:val="none" w:sz="0" w:space="0" w:color="auto"/>
        <w:right w:val="none" w:sz="0" w:space="0" w:color="auto"/>
      </w:divBdr>
    </w:div>
    <w:div w:id="45028726">
      <w:bodyDiv w:val="1"/>
      <w:marLeft w:val="0"/>
      <w:marRight w:val="0"/>
      <w:marTop w:val="0"/>
      <w:marBottom w:val="0"/>
      <w:divBdr>
        <w:top w:val="none" w:sz="0" w:space="0" w:color="auto"/>
        <w:left w:val="none" w:sz="0" w:space="0" w:color="auto"/>
        <w:bottom w:val="none" w:sz="0" w:space="0" w:color="auto"/>
        <w:right w:val="none" w:sz="0" w:space="0" w:color="auto"/>
      </w:divBdr>
      <w:divsChild>
        <w:div w:id="781194510">
          <w:marLeft w:val="547"/>
          <w:marRight w:val="0"/>
          <w:marTop w:val="115"/>
          <w:marBottom w:val="0"/>
          <w:divBdr>
            <w:top w:val="none" w:sz="0" w:space="0" w:color="auto"/>
            <w:left w:val="none" w:sz="0" w:space="0" w:color="auto"/>
            <w:bottom w:val="none" w:sz="0" w:space="0" w:color="auto"/>
            <w:right w:val="none" w:sz="0" w:space="0" w:color="auto"/>
          </w:divBdr>
        </w:div>
        <w:div w:id="1144394907">
          <w:marLeft w:val="547"/>
          <w:marRight w:val="0"/>
          <w:marTop w:val="115"/>
          <w:marBottom w:val="0"/>
          <w:divBdr>
            <w:top w:val="none" w:sz="0" w:space="0" w:color="auto"/>
            <w:left w:val="none" w:sz="0" w:space="0" w:color="auto"/>
            <w:bottom w:val="none" w:sz="0" w:space="0" w:color="auto"/>
            <w:right w:val="none" w:sz="0" w:space="0" w:color="auto"/>
          </w:divBdr>
        </w:div>
      </w:divsChild>
    </w:div>
    <w:div w:id="228686219">
      <w:bodyDiv w:val="1"/>
      <w:marLeft w:val="0"/>
      <w:marRight w:val="0"/>
      <w:marTop w:val="0"/>
      <w:marBottom w:val="0"/>
      <w:divBdr>
        <w:top w:val="none" w:sz="0" w:space="0" w:color="auto"/>
        <w:left w:val="none" w:sz="0" w:space="0" w:color="auto"/>
        <w:bottom w:val="none" w:sz="0" w:space="0" w:color="auto"/>
        <w:right w:val="none" w:sz="0" w:space="0" w:color="auto"/>
      </w:divBdr>
      <w:divsChild>
        <w:div w:id="206575086">
          <w:marLeft w:val="547"/>
          <w:marRight w:val="0"/>
          <w:marTop w:val="115"/>
          <w:marBottom w:val="0"/>
          <w:divBdr>
            <w:top w:val="none" w:sz="0" w:space="0" w:color="auto"/>
            <w:left w:val="none" w:sz="0" w:space="0" w:color="auto"/>
            <w:bottom w:val="none" w:sz="0" w:space="0" w:color="auto"/>
            <w:right w:val="none" w:sz="0" w:space="0" w:color="auto"/>
          </w:divBdr>
        </w:div>
        <w:div w:id="1293050137">
          <w:marLeft w:val="547"/>
          <w:marRight w:val="0"/>
          <w:marTop w:val="115"/>
          <w:marBottom w:val="0"/>
          <w:divBdr>
            <w:top w:val="none" w:sz="0" w:space="0" w:color="auto"/>
            <w:left w:val="none" w:sz="0" w:space="0" w:color="auto"/>
            <w:bottom w:val="none" w:sz="0" w:space="0" w:color="auto"/>
            <w:right w:val="none" w:sz="0" w:space="0" w:color="auto"/>
          </w:divBdr>
        </w:div>
        <w:div w:id="277226353">
          <w:marLeft w:val="547"/>
          <w:marRight w:val="0"/>
          <w:marTop w:val="115"/>
          <w:marBottom w:val="0"/>
          <w:divBdr>
            <w:top w:val="none" w:sz="0" w:space="0" w:color="auto"/>
            <w:left w:val="none" w:sz="0" w:space="0" w:color="auto"/>
            <w:bottom w:val="none" w:sz="0" w:space="0" w:color="auto"/>
            <w:right w:val="none" w:sz="0" w:space="0" w:color="auto"/>
          </w:divBdr>
        </w:div>
        <w:div w:id="1182470774">
          <w:marLeft w:val="547"/>
          <w:marRight w:val="0"/>
          <w:marTop w:val="115"/>
          <w:marBottom w:val="0"/>
          <w:divBdr>
            <w:top w:val="none" w:sz="0" w:space="0" w:color="auto"/>
            <w:left w:val="none" w:sz="0" w:space="0" w:color="auto"/>
            <w:bottom w:val="none" w:sz="0" w:space="0" w:color="auto"/>
            <w:right w:val="none" w:sz="0" w:space="0" w:color="auto"/>
          </w:divBdr>
        </w:div>
        <w:div w:id="902640761">
          <w:marLeft w:val="547"/>
          <w:marRight w:val="0"/>
          <w:marTop w:val="115"/>
          <w:marBottom w:val="0"/>
          <w:divBdr>
            <w:top w:val="none" w:sz="0" w:space="0" w:color="auto"/>
            <w:left w:val="none" w:sz="0" w:space="0" w:color="auto"/>
            <w:bottom w:val="none" w:sz="0" w:space="0" w:color="auto"/>
            <w:right w:val="none" w:sz="0" w:space="0" w:color="auto"/>
          </w:divBdr>
        </w:div>
        <w:div w:id="456801036">
          <w:marLeft w:val="547"/>
          <w:marRight w:val="0"/>
          <w:marTop w:val="115"/>
          <w:marBottom w:val="0"/>
          <w:divBdr>
            <w:top w:val="none" w:sz="0" w:space="0" w:color="auto"/>
            <w:left w:val="none" w:sz="0" w:space="0" w:color="auto"/>
            <w:bottom w:val="none" w:sz="0" w:space="0" w:color="auto"/>
            <w:right w:val="none" w:sz="0" w:space="0" w:color="auto"/>
          </w:divBdr>
        </w:div>
        <w:div w:id="1224177663">
          <w:marLeft w:val="547"/>
          <w:marRight w:val="0"/>
          <w:marTop w:val="115"/>
          <w:marBottom w:val="0"/>
          <w:divBdr>
            <w:top w:val="none" w:sz="0" w:space="0" w:color="auto"/>
            <w:left w:val="none" w:sz="0" w:space="0" w:color="auto"/>
            <w:bottom w:val="none" w:sz="0" w:space="0" w:color="auto"/>
            <w:right w:val="none" w:sz="0" w:space="0" w:color="auto"/>
          </w:divBdr>
        </w:div>
      </w:divsChild>
    </w:div>
    <w:div w:id="234433971">
      <w:bodyDiv w:val="1"/>
      <w:marLeft w:val="0"/>
      <w:marRight w:val="0"/>
      <w:marTop w:val="0"/>
      <w:marBottom w:val="0"/>
      <w:divBdr>
        <w:top w:val="none" w:sz="0" w:space="0" w:color="auto"/>
        <w:left w:val="none" w:sz="0" w:space="0" w:color="auto"/>
        <w:bottom w:val="none" w:sz="0" w:space="0" w:color="auto"/>
        <w:right w:val="none" w:sz="0" w:space="0" w:color="auto"/>
      </w:divBdr>
      <w:divsChild>
        <w:div w:id="963654053">
          <w:marLeft w:val="547"/>
          <w:marRight w:val="0"/>
          <w:marTop w:val="91"/>
          <w:marBottom w:val="0"/>
          <w:divBdr>
            <w:top w:val="none" w:sz="0" w:space="0" w:color="auto"/>
            <w:left w:val="none" w:sz="0" w:space="0" w:color="auto"/>
            <w:bottom w:val="none" w:sz="0" w:space="0" w:color="auto"/>
            <w:right w:val="none" w:sz="0" w:space="0" w:color="auto"/>
          </w:divBdr>
        </w:div>
        <w:div w:id="571354214">
          <w:marLeft w:val="547"/>
          <w:marRight w:val="0"/>
          <w:marTop w:val="91"/>
          <w:marBottom w:val="0"/>
          <w:divBdr>
            <w:top w:val="none" w:sz="0" w:space="0" w:color="auto"/>
            <w:left w:val="none" w:sz="0" w:space="0" w:color="auto"/>
            <w:bottom w:val="none" w:sz="0" w:space="0" w:color="auto"/>
            <w:right w:val="none" w:sz="0" w:space="0" w:color="auto"/>
          </w:divBdr>
        </w:div>
        <w:div w:id="1538621313">
          <w:marLeft w:val="547"/>
          <w:marRight w:val="0"/>
          <w:marTop w:val="91"/>
          <w:marBottom w:val="0"/>
          <w:divBdr>
            <w:top w:val="none" w:sz="0" w:space="0" w:color="auto"/>
            <w:left w:val="none" w:sz="0" w:space="0" w:color="auto"/>
            <w:bottom w:val="none" w:sz="0" w:space="0" w:color="auto"/>
            <w:right w:val="none" w:sz="0" w:space="0" w:color="auto"/>
          </w:divBdr>
        </w:div>
        <w:div w:id="746923299">
          <w:marLeft w:val="547"/>
          <w:marRight w:val="0"/>
          <w:marTop w:val="91"/>
          <w:marBottom w:val="0"/>
          <w:divBdr>
            <w:top w:val="none" w:sz="0" w:space="0" w:color="auto"/>
            <w:left w:val="none" w:sz="0" w:space="0" w:color="auto"/>
            <w:bottom w:val="none" w:sz="0" w:space="0" w:color="auto"/>
            <w:right w:val="none" w:sz="0" w:space="0" w:color="auto"/>
          </w:divBdr>
        </w:div>
        <w:div w:id="1276523591">
          <w:marLeft w:val="547"/>
          <w:marRight w:val="0"/>
          <w:marTop w:val="91"/>
          <w:marBottom w:val="0"/>
          <w:divBdr>
            <w:top w:val="none" w:sz="0" w:space="0" w:color="auto"/>
            <w:left w:val="none" w:sz="0" w:space="0" w:color="auto"/>
            <w:bottom w:val="none" w:sz="0" w:space="0" w:color="auto"/>
            <w:right w:val="none" w:sz="0" w:space="0" w:color="auto"/>
          </w:divBdr>
        </w:div>
        <w:div w:id="511452176">
          <w:marLeft w:val="547"/>
          <w:marRight w:val="0"/>
          <w:marTop w:val="91"/>
          <w:marBottom w:val="0"/>
          <w:divBdr>
            <w:top w:val="none" w:sz="0" w:space="0" w:color="auto"/>
            <w:left w:val="none" w:sz="0" w:space="0" w:color="auto"/>
            <w:bottom w:val="none" w:sz="0" w:space="0" w:color="auto"/>
            <w:right w:val="none" w:sz="0" w:space="0" w:color="auto"/>
          </w:divBdr>
        </w:div>
      </w:divsChild>
    </w:div>
    <w:div w:id="269555161">
      <w:bodyDiv w:val="1"/>
      <w:marLeft w:val="0"/>
      <w:marRight w:val="0"/>
      <w:marTop w:val="0"/>
      <w:marBottom w:val="0"/>
      <w:divBdr>
        <w:top w:val="none" w:sz="0" w:space="0" w:color="auto"/>
        <w:left w:val="none" w:sz="0" w:space="0" w:color="auto"/>
        <w:bottom w:val="none" w:sz="0" w:space="0" w:color="auto"/>
        <w:right w:val="none" w:sz="0" w:space="0" w:color="auto"/>
      </w:divBdr>
      <w:divsChild>
        <w:div w:id="181014480">
          <w:marLeft w:val="547"/>
          <w:marRight w:val="0"/>
          <w:marTop w:val="115"/>
          <w:marBottom w:val="0"/>
          <w:divBdr>
            <w:top w:val="none" w:sz="0" w:space="0" w:color="auto"/>
            <w:left w:val="none" w:sz="0" w:space="0" w:color="auto"/>
            <w:bottom w:val="none" w:sz="0" w:space="0" w:color="auto"/>
            <w:right w:val="none" w:sz="0" w:space="0" w:color="auto"/>
          </w:divBdr>
        </w:div>
        <w:div w:id="632830634">
          <w:marLeft w:val="547"/>
          <w:marRight w:val="0"/>
          <w:marTop w:val="115"/>
          <w:marBottom w:val="0"/>
          <w:divBdr>
            <w:top w:val="none" w:sz="0" w:space="0" w:color="auto"/>
            <w:left w:val="none" w:sz="0" w:space="0" w:color="auto"/>
            <w:bottom w:val="none" w:sz="0" w:space="0" w:color="auto"/>
            <w:right w:val="none" w:sz="0" w:space="0" w:color="auto"/>
          </w:divBdr>
        </w:div>
        <w:div w:id="800803689">
          <w:marLeft w:val="547"/>
          <w:marRight w:val="0"/>
          <w:marTop w:val="115"/>
          <w:marBottom w:val="0"/>
          <w:divBdr>
            <w:top w:val="none" w:sz="0" w:space="0" w:color="auto"/>
            <w:left w:val="none" w:sz="0" w:space="0" w:color="auto"/>
            <w:bottom w:val="none" w:sz="0" w:space="0" w:color="auto"/>
            <w:right w:val="none" w:sz="0" w:space="0" w:color="auto"/>
          </w:divBdr>
        </w:div>
        <w:div w:id="700940265">
          <w:marLeft w:val="547"/>
          <w:marRight w:val="0"/>
          <w:marTop w:val="115"/>
          <w:marBottom w:val="0"/>
          <w:divBdr>
            <w:top w:val="none" w:sz="0" w:space="0" w:color="auto"/>
            <w:left w:val="none" w:sz="0" w:space="0" w:color="auto"/>
            <w:bottom w:val="none" w:sz="0" w:space="0" w:color="auto"/>
            <w:right w:val="none" w:sz="0" w:space="0" w:color="auto"/>
          </w:divBdr>
        </w:div>
        <w:div w:id="697703083">
          <w:marLeft w:val="547"/>
          <w:marRight w:val="0"/>
          <w:marTop w:val="115"/>
          <w:marBottom w:val="0"/>
          <w:divBdr>
            <w:top w:val="none" w:sz="0" w:space="0" w:color="auto"/>
            <w:left w:val="none" w:sz="0" w:space="0" w:color="auto"/>
            <w:bottom w:val="none" w:sz="0" w:space="0" w:color="auto"/>
            <w:right w:val="none" w:sz="0" w:space="0" w:color="auto"/>
          </w:divBdr>
        </w:div>
        <w:div w:id="285625518">
          <w:marLeft w:val="547"/>
          <w:marRight w:val="0"/>
          <w:marTop w:val="115"/>
          <w:marBottom w:val="0"/>
          <w:divBdr>
            <w:top w:val="none" w:sz="0" w:space="0" w:color="auto"/>
            <w:left w:val="none" w:sz="0" w:space="0" w:color="auto"/>
            <w:bottom w:val="none" w:sz="0" w:space="0" w:color="auto"/>
            <w:right w:val="none" w:sz="0" w:space="0" w:color="auto"/>
          </w:divBdr>
        </w:div>
        <w:div w:id="1175222441">
          <w:marLeft w:val="547"/>
          <w:marRight w:val="0"/>
          <w:marTop w:val="115"/>
          <w:marBottom w:val="0"/>
          <w:divBdr>
            <w:top w:val="none" w:sz="0" w:space="0" w:color="auto"/>
            <w:left w:val="none" w:sz="0" w:space="0" w:color="auto"/>
            <w:bottom w:val="none" w:sz="0" w:space="0" w:color="auto"/>
            <w:right w:val="none" w:sz="0" w:space="0" w:color="auto"/>
          </w:divBdr>
        </w:div>
      </w:divsChild>
    </w:div>
    <w:div w:id="296380661">
      <w:bodyDiv w:val="1"/>
      <w:marLeft w:val="0"/>
      <w:marRight w:val="0"/>
      <w:marTop w:val="0"/>
      <w:marBottom w:val="0"/>
      <w:divBdr>
        <w:top w:val="none" w:sz="0" w:space="0" w:color="auto"/>
        <w:left w:val="none" w:sz="0" w:space="0" w:color="auto"/>
        <w:bottom w:val="none" w:sz="0" w:space="0" w:color="auto"/>
        <w:right w:val="none" w:sz="0" w:space="0" w:color="auto"/>
      </w:divBdr>
    </w:div>
    <w:div w:id="307127276">
      <w:bodyDiv w:val="1"/>
      <w:marLeft w:val="0"/>
      <w:marRight w:val="0"/>
      <w:marTop w:val="0"/>
      <w:marBottom w:val="0"/>
      <w:divBdr>
        <w:top w:val="none" w:sz="0" w:space="0" w:color="auto"/>
        <w:left w:val="none" w:sz="0" w:space="0" w:color="auto"/>
        <w:bottom w:val="none" w:sz="0" w:space="0" w:color="auto"/>
        <w:right w:val="none" w:sz="0" w:space="0" w:color="auto"/>
      </w:divBdr>
      <w:divsChild>
        <w:div w:id="1382561119">
          <w:marLeft w:val="547"/>
          <w:marRight w:val="0"/>
          <w:marTop w:val="115"/>
          <w:marBottom w:val="0"/>
          <w:divBdr>
            <w:top w:val="none" w:sz="0" w:space="0" w:color="auto"/>
            <w:left w:val="none" w:sz="0" w:space="0" w:color="auto"/>
            <w:bottom w:val="none" w:sz="0" w:space="0" w:color="auto"/>
            <w:right w:val="none" w:sz="0" w:space="0" w:color="auto"/>
          </w:divBdr>
        </w:div>
        <w:div w:id="39087949">
          <w:marLeft w:val="547"/>
          <w:marRight w:val="0"/>
          <w:marTop w:val="115"/>
          <w:marBottom w:val="0"/>
          <w:divBdr>
            <w:top w:val="none" w:sz="0" w:space="0" w:color="auto"/>
            <w:left w:val="none" w:sz="0" w:space="0" w:color="auto"/>
            <w:bottom w:val="none" w:sz="0" w:space="0" w:color="auto"/>
            <w:right w:val="none" w:sz="0" w:space="0" w:color="auto"/>
          </w:divBdr>
        </w:div>
      </w:divsChild>
    </w:div>
    <w:div w:id="328098680">
      <w:bodyDiv w:val="1"/>
      <w:marLeft w:val="0"/>
      <w:marRight w:val="0"/>
      <w:marTop w:val="0"/>
      <w:marBottom w:val="0"/>
      <w:divBdr>
        <w:top w:val="none" w:sz="0" w:space="0" w:color="auto"/>
        <w:left w:val="none" w:sz="0" w:space="0" w:color="auto"/>
        <w:bottom w:val="none" w:sz="0" w:space="0" w:color="auto"/>
        <w:right w:val="none" w:sz="0" w:space="0" w:color="auto"/>
      </w:divBdr>
      <w:divsChild>
        <w:div w:id="203443953">
          <w:marLeft w:val="547"/>
          <w:marRight w:val="0"/>
          <w:marTop w:val="220"/>
          <w:marBottom w:val="140"/>
          <w:divBdr>
            <w:top w:val="none" w:sz="0" w:space="0" w:color="auto"/>
            <w:left w:val="none" w:sz="0" w:space="0" w:color="auto"/>
            <w:bottom w:val="none" w:sz="0" w:space="0" w:color="auto"/>
            <w:right w:val="none" w:sz="0" w:space="0" w:color="auto"/>
          </w:divBdr>
        </w:div>
        <w:div w:id="392898756">
          <w:marLeft w:val="547"/>
          <w:marRight w:val="0"/>
          <w:marTop w:val="220"/>
          <w:marBottom w:val="140"/>
          <w:divBdr>
            <w:top w:val="none" w:sz="0" w:space="0" w:color="auto"/>
            <w:left w:val="none" w:sz="0" w:space="0" w:color="auto"/>
            <w:bottom w:val="none" w:sz="0" w:space="0" w:color="auto"/>
            <w:right w:val="none" w:sz="0" w:space="0" w:color="auto"/>
          </w:divBdr>
        </w:div>
        <w:div w:id="220482749">
          <w:marLeft w:val="547"/>
          <w:marRight w:val="0"/>
          <w:marTop w:val="220"/>
          <w:marBottom w:val="140"/>
          <w:divBdr>
            <w:top w:val="none" w:sz="0" w:space="0" w:color="auto"/>
            <w:left w:val="none" w:sz="0" w:space="0" w:color="auto"/>
            <w:bottom w:val="none" w:sz="0" w:space="0" w:color="auto"/>
            <w:right w:val="none" w:sz="0" w:space="0" w:color="auto"/>
          </w:divBdr>
        </w:div>
      </w:divsChild>
    </w:div>
    <w:div w:id="371731384">
      <w:bodyDiv w:val="1"/>
      <w:marLeft w:val="0"/>
      <w:marRight w:val="0"/>
      <w:marTop w:val="0"/>
      <w:marBottom w:val="0"/>
      <w:divBdr>
        <w:top w:val="none" w:sz="0" w:space="0" w:color="auto"/>
        <w:left w:val="none" w:sz="0" w:space="0" w:color="auto"/>
        <w:bottom w:val="none" w:sz="0" w:space="0" w:color="auto"/>
        <w:right w:val="none" w:sz="0" w:space="0" w:color="auto"/>
      </w:divBdr>
      <w:divsChild>
        <w:div w:id="155196427">
          <w:marLeft w:val="547"/>
          <w:marRight w:val="0"/>
          <w:marTop w:val="115"/>
          <w:marBottom w:val="0"/>
          <w:divBdr>
            <w:top w:val="none" w:sz="0" w:space="0" w:color="auto"/>
            <w:left w:val="none" w:sz="0" w:space="0" w:color="auto"/>
            <w:bottom w:val="none" w:sz="0" w:space="0" w:color="auto"/>
            <w:right w:val="none" w:sz="0" w:space="0" w:color="auto"/>
          </w:divBdr>
        </w:div>
        <w:div w:id="1856532746">
          <w:marLeft w:val="547"/>
          <w:marRight w:val="0"/>
          <w:marTop w:val="115"/>
          <w:marBottom w:val="0"/>
          <w:divBdr>
            <w:top w:val="none" w:sz="0" w:space="0" w:color="auto"/>
            <w:left w:val="none" w:sz="0" w:space="0" w:color="auto"/>
            <w:bottom w:val="none" w:sz="0" w:space="0" w:color="auto"/>
            <w:right w:val="none" w:sz="0" w:space="0" w:color="auto"/>
          </w:divBdr>
        </w:div>
        <w:div w:id="881477404">
          <w:marLeft w:val="547"/>
          <w:marRight w:val="0"/>
          <w:marTop w:val="115"/>
          <w:marBottom w:val="0"/>
          <w:divBdr>
            <w:top w:val="none" w:sz="0" w:space="0" w:color="auto"/>
            <w:left w:val="none" w:sz="0" w:space="0" w:color="auto"/>
            <w:bottom w:val="none" w:sz="0" w:space="0" w:color="auto"/>
            <w:right w:val="none" w:sz="0" w:space="0" w:color="auto"/>
          </w:divBdr>
        </w:div>
      </w:divsChild>
    </w:div>
    <w:div w:id="380057698">
      <w:bodyDiv w:val="1"/>
      <w:marLeft w:val="0"/>
      <w:marRight w:val="0"/>
      <w:marTop w:val="0"/>
      <w:marBottom w:val="0"/>
      <w:divBdr>
        <w:top w:val="none" w:sz="0" w:space="0" w:color="auto"/>
        <w:left w:val="none" w:sz="0" w:space="0" w:color="auto"/>
        <w:bottom w:val="none" w:sz="0" w:space="0" w:color="auto"/>
        <w:right w:val="none" w:sz="0" w:space="0" w:color="auto"/>
      </w:divBdr>
      <w:divsChild>
        <w:div w:id="1134249590">
          <w:marLeft w:val="547"/>
          <w:marRight w:val="0"/>
          <w:marTop w:val="115"/>
          <w:marBottom w:val="0"/>
          <w:divBdr>
            <w:top w:val="none" w:sz="0" w:space="0" w:color="auto"/>
            <w:left w:val="none" w:sz="0" w:space="0" w:color="auto"/>
            <w:bottom w:val="none" w:sz="0" w:space="0" w:color="auto"/>
            <w:right w:val="none" w:sz="0" w:space="0" w:color="auto"/>
          </w:divBdr>
        </w:div>
        <w:div w:id="829636056">
          <w:marLeft w:val="547"/>
          <w:marRight w:val="0"/>
          <w:marTop w:val="115"/>
          <w:marBottom w:val="0"/>
          <w:divBdr>
            <w:top w:val="none" w:sz="0" w:space="0" w:color="auto"/>
            <w:left w:val="none" w:sz="0" w:space="0" w:color="auto"/>
            <w:bottom w:val="none" w:sz="0" w:space="0" w:color="auto"/>
            <w:right w:val="none" w:sz="0" w:space="0" w:color="auto"/>
          </w:divBdr>
        </w:div>
      </w:divsChild>
    </w:div>
    <w:div w:id="417752661">
      <w:bodyDiv w:val="1"/>
      <w:marLeft w:val="0"/>
      <w:marRight w:val="0"/>
      <w:marTop w:val="0"/>
      <w:marBottom w:val="0"/>
      <w:divBdr>
        <w:top w:val="none" w:sz="0" w:space="0" w:color="auto"/>
        <w:left w:val="none" w:sz="0" w:space="0" w:color="auto"/>
        <w:bottom w:val="none" w:sz="0" w:space="0" w:color="auto"/>
        <w:right w:val="none" w:sz="0" w:space="0" w:color="auto"/>
      </w:divBdr>
      <w:divsChild>
        <w:div w:id="589394344">
          <w:marLeft w:val="547"/>
          <w:marRight w:val="0"/>
          <w:marTop w:val="134"/>
          <w:marBottom w:val="0"/>
          <w:divBdr>
            <w:top w:val="none" w:sz="0" w:space="0" w:color="auto"/>
            <w:left w:val="none" w:sz="0" w:space="0" w:color="auto"/>
            <w:bottom w:val="none" w:sz="0" w:space="0" w:color="auto"/>
            <w:right w:val="none" w:sz="0" w:space="0" w:color="auto"/>
          </w:divBdr>
        </w:div>
        <w:div w:id="1486699732">
          <w:marLeft w:val="547"/>
          <w:marRight w:val="0"/>
          <w:marTop w:val="134"/>
          <w:marBottom w:val="0"/>
          <w:divBdr>
            <w:top w:val="none" w:sz="0" w:space="0" w:color="auto"/>
            <w:left w:val="none" w:sz="0" w:space="0" w:color="auto"/>
            <w:bottom w:val="none" w:sz="0" w:space="0" w:color="auto"/>
            <w:right w:val="none" w:sz="0" w:space="0" w:color="auto"/>
          </w:divBdr>
        </w:div>
      </w:divsChild>
    </w:div>
    <w:div w:id="485433737">
      <w:bodyDiv w:val="1"/>
      <w:marLeft w:val="0"/>
      <w:marRight w:val="0"/>
      <w:marTop w:val="0"/>
      <w:marBottom w:val="0"/>
      <w:divBdr>
        <w:top w:val="none" w:sz="0" w:space="0" w:color="auto"/>
        <w:left w:val="none" w:sz="0" w:space="0" w:color="auto"/>
        <w:bottom w:val="none" w:sz="0" w:space="0" w:color="auto"/>
        <w:right w:val="none" w:sz="0" w:space="0" w:color="auto"/>
      </w:divBdr>
    </w:div>
    <w:div w:id="517353647">
      <w:bodyDiv w:val="1"/>
      <w:marLeft w:val="0"/>
      <w:marRight w:val="0"/>
      <w:marTop w:val="0"/>
      <w:marBottom w:val="0"/>
      <w:divBdr>
        <w:top w:val="none" w:sz="0" w:space="0" w:color="auto"/>
        <w:left w:val="none" w:sz="0" w:space="0" w:color="auto"/>
        <w:bottom w:val="none" w:sz="0" w:space="0" w:color="auto"/>
        <w:right w:val="none" w:sz="0" w:space="0" w:color="auto"/>
      </w:divBdr>
      <w:divsChild>
        <w:div w:id="731584634">
          <w:marLeft w:val="547"/>
          <w:marRight w:val="0"/>
          <w:marTop w:val="134"/>
          <w:marBottom w:val="0"/>
          <w:divBdr>
            <w:top w:val="none" w:sz="0" w:space="0" w:color="auto"/>
            <w:left w:val="none" w:sz="0" w:space="0" w:color="auto"/>
            <w:bottom w:val="none" w:sz="0" w:space="0" w:color="auto"/>
            <w:right w:val="none" w:sz="0" w:space="0" w:color="auto"/>
          </w:divBdr>
        </w:div>
      </w:divsChild>
    </w:div>
    <w:div w:id="546841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253">
          <w:marLeft w:val="547"/>
          <w:marRight w:val="0"/>
          <w:marTop w:val="134"/>
          <w:marBottom w:val="0"/>
          <w:divBdr>
            <w:top w:val="none" w:sz="0" w:space="0" w:color="auto"/>
            <w:left w:val="none" w:sz="0" w:space="0" w:color="auto"/>
            <w:bottom w:val="none" w:sz="0" w:space="0" w:color="auto"/>
            <w:right w:val="none" w:sz="0" w:space="0" w:color="auto"/>
          </w:divBdr>
        </w:div>
        <w:div w:id="1525902478">
          <w:marLeft w:val="547"/>
          <w:marRight w:val="0"/>
          <w:marTop w:val="134"/>
          <w:marBottom w:val="0"/>
          <w:divBdr>
            <w:top w:val="none" w:sz="0" w:space="0" w:color="auto"/>
            <w:left w:val="none" w:sz="0" w:space="0" w:color="auto"/>
            <w:bottom w:val="none" w:sz="0" w:space="0" w:color="auto"/>
            <w:right w:val="none" w:sz="0" w:space="0" w:color="auto"/>
          </w:divBdr>
        </w:div>
        <w:div w:id="1014185728">
          <w:marLeft w:val="1166"/>
          <w:marRight w:val="0"/>
          <w:marTop w:val="134"/>
          <w:marBottom w:val="0"/>
          <w:divBdr>
            <w:top w:val="none" w:sz="0" w:space="0" w:color="auto"/>
            <w:left w:val="none" w:sz="0" w:space="0" w:color="auto"/>
            <w:bottom w:val="none" w:sz="0" w:space="0" w:color="auto"/>
            <w:right w:val="none" w:sz="0" w:space="0" w:color="auto"/>
          </w:divBdr>
        </w:div>
        <w:div w:id="1824808213">
          <w:marLeft w:val="1166"/>
          <w:marRight w:val="0"/>
          <w:marTop w:val="134"/>
          <w:marBottom w:val="0"/>
          <w:divBdr>
            <w:top w:val="none" w:sz="0" w:space="0" w:color="auto"/>
            <w:left w:val="none" w:sz="0" w:space="0" w:color="auto"/>
            <w:bottom w:val="none" w:sz="0" w:space="0" w:color="auto"/>
            <w:right w:val="none" w:sz="0" w:space="0" w:color="auto"/>
          </w:divBdr>
        </w:div>
        <w:div w:id="497156312">
          <w:marLeft w:val="1166"/>
          <w:marRight w:val="0"/>
          <w:marTop w:val="134"/>
          <w:marBottom w:val="0"/>
          <w:divBdr>
            <w:top w:val="none" w:sz="0" w:space="0" w:color="auto"/>
            <w:left w:val="none" w:sz="0" w:space="0" w:color="auto"/>
            <w:bottom w:val="none" w:sz="0" w:space="0" w:color="auto"/>
            <w:right w:val="none" w:sz="0" w:space="0" w:color="auto"/>
          </w:divBdr>
        </w:div>
        <w:div w:id="2033334247">
          <w:marLeft w:val="1166"/>
          <w:marRight w:val="0"/>
          <w:marTop w:val="134"/>
          <w:marBottom w:val="0"/>
          <w:divBdr>
            <w:top w:val="none" w:sz="0" w:space="0" w:color="auto"/>
            <w:left w:val="none" w:sz="0" w:space="0" w:color="auto"/>
            <w:bottom w:val="none" w:sz="0" w:space="0" w:color="auto"/>
            <w:right w:val="none" w:sz="0" w:space="0" w:color="auto"/>
          </w:divBdr>
        </w:div>
      </w:divsChild>
    </w:div>
    <w:div w:id="600525397">
      <w:bodyDiv w:val="1"/>
      <w:marLeft w:val="0"/>
      <w:marRight w:val="0"/>
      <w:marTop w:val="0"/>
      <w:marBottom w:val="0"/>
      <w:divBdr>
        <w:top w:val="none" w:sz="0" w:space="0" w:color="auto"/>
        <w:left w:val="none" w:sz="0" w:space="0" w:color="auto"/>
        <w:bottom w:val="none" w:sz="0" w:space="0" w:color="auto"/>
        <w:right w:val="none" w:sz="0" w:space="0" w:color="auto"/>
      </w:divBdr>
      <w:divsChild>
        <w:div w:id="337199676">
          <w:marLeft w:val="547"/>
          <w:marRight w:val="0"/>
          <w:marTop w:val="115"/>
          <w:marBottom w:val="0"/>
          <w:divBdr>
            <w:top w:val="none" w:sz="0" w:space="0" w:color="auto"/>
            <w:left w:val="none" w:sz="0" w:space="0" w:color="auto"/>
            <w:bottom w:val="none" w:sz="0" w:space="0" w:color="auto"/>
            <w:right w:val="none" w:sz="0" w:space="0" w:color="auto"/>
          </w:divBdr>
        </w:div>
      </w:divsChild>
    </w:div>
    <w:div w:id="603341630">
      <w:bodyDiv w:val="1"/>
      <w:marLeft w:val="0"/>
      <w:marRight w:val="0"/>
      <w:marTop w:val="0"/>
      <w:marBottom w:val="0"/>
      <w:divBdr>
        <w:top w:val="none" w:sz="0" w:space="0" w:color="auto"/>
        <w:left w:val="none" w:sz="0" w:space="0" w:color="auto"/>
        <w:bottom w:val="none" w:sz="0" w:space="0" w:color="auto"/>
        <w:right w:val="none" w:sz="0" w:space="0" w:color="auto"/>
      </w:divBdr>
      <w:divsChild>
        <w:div w:id="828253920">
          <w:marLeft w:val="547"/>
          <w:marRight w:val="0"/>
          <w:marTop w:val="220"/>
          <w:marBottom w:val="120"/>
          <w:divBdr>
            <w:top w:val="none" w:sz="0" w:space="0" w:color="auto"/>
            <w:left w:val="none" w:sz="0" w:space="0" w:color="auto"/>
            <w:bottom w:val="none" w:sz="0" w:space="0" w:color="auto"/>
            <w:right w:val="none" w:sz="0" w:space="0" w:color="auto"/>
          </w:divBdr>
        </w:div>
        <w:div w:id="1959946802">
          <w:marLeft w:val="547"/>
          <w:marRight w:val="0"/>
          <w:marTop w:val="220"/>
          <w:marBottom w:val="120"/>
          <w:divBdr>
            <w:top w:val="none" w:sz="0" w:space="0" w:color="auto"/>
            <w:left w:val="none" w:sz="0" w:space="0" w:color="auto"/>
            <w:bottom w:val="none" w:sz="0" w:space="0" w:color="auto"/>
            <w:right w:val="none" w:sz="0" w:space="0" w:color="auto"/>
          </w:divBdr>
        </w:div>
        <w:div w:id="458573949">
          <w:marLeft w:val="547"/>
          <w:marRight w:val="0"/>
          <w:marTop w:val="220"/>
          <w:marBottom w:val="120"/>
          <w:divBdr>
            <w:top w:val="none" w:sz="0" w:space="0" w:color="auto"/>
            <w:left w:val="none" w:sz="0" w:space="0" w:color="auto"/>
            <w:bottom w:val="none" w:sz="0" w:space="0" w:color="auto"/>
            <w:right w:val="none" w:sz="0" w:space="0" w:color="auto"/>
          </w:divBdr>
        </w:div>
        <w:div w:id="2007853548">
          <w:marLeft w:val="547"/>
          <w:marRight w:val="0"/>
          <w:marTop w:val="220"/>
          <w:marBottom w:val="120"/>
          <w:divBdr>
            <w:top w:val="none" w:sz="0" w:space="0" w:color="auto"/>
            <w:left w:val="none" w:sz="0" w:space="0" w:color="auto"/>
            <w:bottom w:val="none" w:sz="0" w:space="0" w:color="auto"/>
            <w:right w:val="none" w:sz="0" w:space="0" w:color="auto"/>
          </w:divBdr>
        </w:div>
      </w:divsChild>
    </w:div>
    <w:div w:id="672488602">
      <w:bodyDiv w:val="1"/>
      <w:marLeft w:val="0"/>
      <w:marRight w:val="0"/>
      <w:marTop w:val="0"/>
      <w:marBottom w:val="0"/>
      <w:divBdr>
        <w:top w:val="none" w:sz="0" w:space="0" w:color="auto"/>
        <w:left w:val="none" w:sz="0" w:space="0" w:color="auto"/>
        <w:bottom w:val="none" w:sz="0" w:space="0" w:color="auto"/>
        <w:right w:val="none" w:sz="0" w:space="0" w:color="auto"/>
      </w:divBdr>
    </w:div>
    <w:div w:id="682972991">
      <w:bodyDiv w:val="1"/>
      <w:marLeft w:val="0"/>
      <w:marRight w:val="0"/>
      <w:marTop w:val="0"/>
      <w:marBottom w:val="0"/>
      <w:divBdr>
        <w:top w:val="none" w:sz="0" w:space="0" w:color="auto"/>
        <w:left w:val="none" w:sz="0" w:space="0" w:color="auto"/>
        <w:bottom w:val="none" w:sz="0" w:space="0" w:color="auto"/>
        <w:right w:val="none" w:sz="0" w:space="0" w:color="auto"/>
      </w:divBdr>
      <w:divsChild>
        <w:div w:id="1354190828">
          <w:marLeft w:val="547"/>
          <w:marRight w:val="0"/>
          <w:marTop w:val="220"/>
          <w:marBottom w:val="120"/>
          <w:divBdr>
            <w:top w:val="none" w:sz="0" w:space="0" w:color="auto"/>
            <w:left w:val="none" w:sz="0" w:space="0" w:color="auto"/>
            <w:bottom w:val="none" w:sz="0" w:space="0" w:color="auto"/>
            <w:right w:val="none" w:sz="0" w:space="0" w:color="auto"/>
          </w:divBdr>
        </w:div>
      </w:divsChild>
    </w:div>
    <w:div w:id="735591331">
      <w:bodyDiv w:val="1"/>
      <w:marLeft w:val="0"/>
      <w:marRight w:val="0"/>
      <w:marTop w:val="0"/>
      <w:marBottom w:val="0"/>
      <w:divBdr>
        <w:top w:val="none" w:sz="0" w:space="0" w:color="auto"/>
        <w:left w:val="none" w:sz="0" w:space="0" w:color="auto"/>
        <w:bottom w:val="none" w:sz="0" w:space="0" w:color="auto"/>
        <w:right w:val="none" w:sz="0" w:space="0" w:color="auto"/>
      </w:divBdr>
      <w:divsChild>
        <w:div w:id="1159731961">
          <w:marLeft w:val="720"/>
          <w:marRight w:val="0"/>
          <w:marTop w:val="115"/>
          <w:marBottom w:val="0"/>
          <w:divBdr>
            <w:top w:val="none" w:sz="0" w:space="0" w:color="auto"/>
            <w:left w:val="none" w:sz="0" w:space="0" w:color="auto"/>
            <w:bottom w:val="none" w:sz="0" w:space="0" w:color="auto"/>
            <w:right w:val="none" w:sz="0" w:space="0" w:color="auto"/>
          </w:divBdr>
        </w:div>
        <w:div w:id="1576627706">
          <w:marLeft w:val="720"/>
          <w:marRight w:val="0"/>
          <w:marTop w:val="115"/>
          <w:marBottom w:val="0"/>
          <w:divBdr>
            <w:top w:val="none" w:sz="0" w:space="0" w:color="auto"/>
            <w:left w:val="none" w:sz="0" w:space="0" w:color="auto"/>
            <w:bottom w:val="none" w:sz="0" w:space="0" w:color="auto"/>
            <w:right w:val="none" w:sz="0" w:space="0" w:color="auto"/>
          </w:divBdr>
        </w:div>
        <w:div w:id="885799507">
          <w:marLeft w:val="720"/>
          <w:marRight w:val="0"/>
          <w:marTop w:val="115"/>
          <w:marBottom w:val="0"/>
          <w:divBdr>
            <w:top w:val="none" w:sz="0" w:space="0" w:color="auto"/>
            <w:left w:val="none" w:sz="0" w:space="0" w:color="auto"/>
            <w:bottom w:val="none" w:sz="0" w:space="0" w:color="auto"/>
            <w:right w:val="none" w:sz="0" w:space="0" w:color="auto"/>
          </w:divBdr>
        </w:div>
      </w:divsChild>
    </w:div>
    <w:div w:id="811950272">
      <w:bodyDiv w:val="1"/>
      <w:marLeft w:val="0"/>
      <w:marRight w:val="0"/>
      <w:marTop w:val="0"/>
      <w:marBottom w:val="0"/>
      <w:divBdr>
        <w:top w:val="none" w:sz="0" w:space="0" w:color="auto"/>
        <w:left w:val="none" w:sz="0" w:space="0" w:color="auto"/>
        <w:bottom w:val="none" w:sz="0" w:space="0" w:color="auto"/>
        <w:right w:val="none" w:sz="0" w:space="0" w:color="auto"/>
      </w:divBdr>
      <w:divsChild>
        <w:div w:id="913860509">
          <w:marLeft w:val="547"/>
          <w:marRight w:val="0"/>
          <w:marTop w:val="96"/>
          <w:marBottom w:val="0"/>
          <w:divBdr>
            <w:top w:val="none" w:sz="0" w:space="0" w:color="auto"/>
            <w:left w:val="none" w:sz="0" w:space="0" w:color="auto"/>
            <w:bottom w:val="none" w:sz="0" w:space="0" w:color="auto"/>
            <w:right w:val="none" w:sz="0" w:space="0" w:color="auto"/>
          </w:divBdr>
        </w:div>
        <w:div w:id="472214366">
          <w:marLeft w:val="547"/>
          <w:marRight w:val="0"/>
          <w:marTop w:val="96"/>
          <w:marBottom w:val="0"/>
          <w:divBdr>
            <w:top w:val="none" w:sz="0" w:space="0" w:color="auto"/>
            <w:left w:val="none" w:sz="0" w:space="0" w:color="auto"/>
            <w:bottom w:val="none" w:sz="0" w:space="0" w:color="auto"/>
            <w:right w:val="none" w:sz="0" w:space="0" w:color="auto"/>
          </w:divBdr>
        </w:div>
        <w:div w:id="211774665">
          <w:marLeft w:val="547"/>
          <w:marRight w:val="0"/>
          <w:marTop w:val="96"/>
          <w:marBottom w:val="0"/>
          <w:divBdr>
            <w:top w:val="none" w:sz="0" w:space="0" w:color="auto"/>
            <w:left w:val="none" w:sz="0" w:space="0" w:color="auto"/>
            <w:bottom w:val="none" w:sz="0" w:space="0" w:color="auto"/>
            <w:right w:val="none" w:sz="0" w:space="0" w:color="auto"/>
          </w:divBdr>
        </w:div>
        <w:div w:id="1962227343">
          <w:marLeft w:val="547"/>
          <w:marRight w:val="0"/>
          <w:marTop w:val="96"/>
          <w:marBottom w:val="0"/>
          <w:divBdr>
            <w:top w:val="none" w:sz="0" w:space="0" w:color="auto"/>
            <w:left w:val="none" w:sz="0" w:space="0" w:color="auto"/>
            <w:bottom w:val="none" w:sz="0" w:space="0" w:color="auto"/>
            <w:right w:val="none" w:sz="0" w:space="0" w:color="auto"/>
          </w:divBdr>
        </w:div>
      </w:divsChild>
    </w:div>
    <w:div w:id="813257588">
      <w:bodyDiv w:val="1"/>
      <w:marLeft w:val="0"/>
      <w:marRight w:val="0"/>
      <w:marTop w:val="0"/>
      <w:marBottom w:val="0"/>
      <w:divBdr>
        <w:top w:val="none" w:sz="0" w:space="0" w:color="auto"/>
        <w:left w:val="none" w:sz="0" w:space="0" w:color="auto"/>
        <w:bottom w:val="none" w:sz="0" w:space="0" w:color="auto"/>
        <w:right w:val="none" w:sz="0" w:space="0" w:color="auto"/>
      </w:divBdr>
    </w:div>
    <w:div w:id="872570209">
      <w:bodyDiv w:val="1"/>
      <w:marLeft w:val="0"/>
      <w:marRight w:val="0"/>
      <w:marTop w:val="0"/>
      <w:marBottom w:val="0"/>
      <w:divBdr>
        <w:top w:val="none" w:sz="0" w:space="0" w:color="auto"/>
        <w:left w:val="none" w:sz="0" w:space="0" w:color="auto"/>
        <w:bottom w:val="none" w:sz="0" w:space="0" w:color="auto"/>
        <w:right w:val="none" w:sz="0" w:space="0" w:color="auto"/>
      </w:divBdr>
      <w:divsChild>
        <w:div w:id="1402679467">
          <w:marLeft w:val="547"/>
          <w:marRight w:val="0"/>
          <w:marTop w:val="115"/>
          <w:marBottom w:val="0"/>
          <w:divBdr>
            <w:top w:val="none" w:sz="0" w:space="0" w:color="auto"/>
            <w:left w:val="none" w:sz="0" w:space="0" w:color="auto"/>
            <w:bottom w:val="none" w:sz="0" w:space="0" w:color="auto"/>
            <w:right w:val="none" w:sz="0" w:space="0" w:color="auto"/>
          </w:divBdr>
        </w:div>
        <w:div w:id="677779849">
          <w:marLeft w:val="547"/>
          <w:marRight w:val="0"/>
          <w:marTop w:val="115"/>
          <w:marBottom w:val="0"/>
          <w:divBdr>
            <w:top w:val="none" w:sz="0" w:space="0" w:color="auto"/>
            <w:left w:val="none" w:sz="0" w:space="0" w:color="auto"/>
            <w:bottom w:val="none" w:sz="0" w:space="0" w:color="auto"/>
            <w:right w:val="none" w:sz="0" w:space="0" w:color="auto"/>
          </w:divBdr>
        </w:div>
      </w:divsChild>
    </w:div>
    <w:div w:id="876510776">
      <w:bodyDiv w:val="1"/>
      <w:marLeft w:val="0"/>
      <w:marRight w:val="0"/>
      <w:marTop w:val="0"/>
      <w:marBottom w:val="0"/>
      <w:divBdr>
        <w:top w:val="none" w:sz="0" w:space="0" w:color="auto"/>
        <w:left w:val="none" w:sz="0" w:space="0" w:color="auto"/>
        <w:bottom w:val="none" w:sz="0" w:space="0" w:color="auto"/>
        <w:right w:val="none" w:sz="0" w:space="0" w:color="auto"/>
      </w:divBdr>
      <w:divsChild>
        <w:div w:id="1295795531">
          <w:marLeft w:val="547"/>
          <w:marRight w:val="0"/>
          <w:marTop w:val="220"/>
          <w:marBottom w:val="120"/>
          <w:divBdr>
            <w:top w:val="none" w:sz="0" w:space="0" w:color="auto"/>
            <w:left w:val="none" w:sz="0" w:space="0" w:color="auto"/>
            <w:bottom w:val="none" w:sz="0" w:space="0" w:color="auto"/>
            <w:right w:val="none" w:sz="0" w:space="0" w:color="auto"/>
          </w:divBdr>
        </w:div>
        <w:div w:id="1635217334">
          <w:marLeft w:val="547"/>
          <w:marRight w:val="0"/>
          <w:marTop w:val="220"/>
          <w:marBottom w:val="120"/>
          <w:divBdr>
            <w:top w:val="none" w:sz="0" w:space="0" w:color="auto"/>
            <w:left w:val="none" w:sz="0" w:space="0" w:color="auto"/>
            <w:bottom w:val="none" w:sz="0" w:space="0" w:color="auto"/>
            <w:right w:val="none" w:sz="0" w:space="0" w:color="auto"/>
          </w:divBdr>
        </w:div>
        <w:div w:id="1193574199">
          <w:marLeft w:val="547"/>
          <w:marRight w:val="0"/>
          <w:marTop w:val="220"/>
          <w:marBottom w:val="120"/>
          <w:divBdr>
            <w:top w:val="none" w:sz="0" w:space="0" w:color="auto"/>
            <w:left w:val="none" w:sz="0" w:space="0" w:color="auto"/>
            <w:bottom w:val="none" w:sz="0" w:space="0" w:color="auto"/>
            <w:right w:val="none" w:sz="0" w:space="0" w:color="auto"/>
          </w:divBdr>
        </w:div>
        <w:div w:id="4523347">
          <w:marLeft w:val="547"/>
          <w:marRight w:val="0"/>
          <w:marTop w:val="220"/>
          <w:marBottom w:val="120"/>
          <w:divBdr>
            <w:top w:val="none" w:sz="0" w:space="0" w:color="auto"/>
            <w:left w:val="none" w:sz="0" w:space="0" w:color="auto"/>
            <w:bottom w:val="none" w:sz="0" w:space="0" w:color="auto"/>
            <w:right w:val="none" w:sz="0" w:space="0" w:color="auto"/>
          </w:divBdr>
        </w:div>
        <w:div w:id="1012343699">
          <w:marLeft w:val="547"/>
          <w:marRight w:val="0"/>
          <w:marTop w:val="220"/>
          <w:marBottom w:val="120"/>
          <w:divBdr>
            <w:top w:val="none" w:sz="0" w:space="0" w:color="auto"/>
            <w:left w:val="none" w:sz="0" w:space="0" w:color="auto"/>
            <w:bottom w:val="none" w:sz="0" w:space="0" w:color="auto"/>
            <w:right w:val="none" w:sz="0" w:space="0" w:color="auto"/>
          </w:divBdr>
        </w:div>
        <w:div w:id="1466586279">
          <w:marLeft w:val="547"/>
          <w:marRight w:val="0"/>
          <w:marTop w:val="220"/>
          <w:marBottom w:val="120"/>
          <w:divBdr>
            <w:top w:val="none" w:sz="0" w:space="0" w:color="auto"/>
            <w:left w:val="none" w:sz="0" w:space="0" w:color="auto"/>
            <w:bottom w:val="none" w:sz="0" w:space="0" w:color="auto"/>
            <w:right w:val="none" w:sz="0" w:space="0" w:color="auto"/>
          </w:divBdr>
        </w:div>
      </w:divsChild>
    </w:div>
    <w:div w:id="895553847">
      <w:bodyDiv w:val="1"/>
      <w:marLeft w:val="0"/>
      <w:marRight w:val="0"/>
      <w:marTop w:val="0"/>
      <w:marBottom w:val="0"/>
      <w:divBdr>
        <w:top w:val="none" w:sz="0" w:space="0" w:color="auto"/>
        <w:left w:val="none" w:sz="0" w:space="0" w:color="auto"/>
        <w:bottom w:val="none" w:sz="0" w:space="0" w:color="auto"/>
        <w:right w:val="none" w:sz="0" w:space="0" w:color="auto"/>
      </w:divBdr>
      <w:divsChild>
        <w:div w:id="640035020">
          <w:marLeft w:val="547"/>
          <w:marRight w:val="0"/>
          <w:marTop w:val="115"/>
          <w:marBottom w:val="0"/>
          <w:divBdr>
            <w:top w:val="none" w:sz="0" w:space="0" w:color="auto"/>
            <w:left w:val="none" w:sz="0" w:space="0" w:color="auto"/>
            <w:bottom w:val="none" w:sz="0" w:space="0" w:color="auto"/>
            <w:right w:val="none" w:sz="0" w:space="0" w:color="auto"/>
          </w:divBdr>
        </w:div>
        <w:div w:id="1089078347">
          <w:marLeft w:val="547"/>
          <w:marRight w:val="0"/>
          <w:marTop w:val="115"/>
          <w:marBottom w:val="0"/>
          <w:divBdr>
            <w:top w:val="none" w:sz="0" w:space="0" w:color="auto"/>
            <w:left w:val="none" w:sz="0" w:space="0" w:color="auto"/>
            <w:bottom w:val="none" w:sz="0" w:space="0" w:color="auto"/>
            <w:right w:val="none" w:sz="0" w:space="0" w:color="auto"/>
          </w:divBdr>
        </w:div>
        <w:div w:id="1120806729">
          <w:marLeft w:val="547"/>
          <w:marRight w:val="0"/>
          <w:marTop w:val="115"/>
          <w:marBottom w:val="0"/>
          <w:divBdr>
            <w:top w:val="none" w:sz="0" w:space="0" w:color="auto"/>
            <w:left w:val="none" w:sz="0" w:space="0" w:color="auto"/>
            <w:bottom w:val="none" w:sz="0" w:space="0" w:color="auto"/>
            <w:right w:val="none" w:sz="0" w:space="0" w:color="auto"/>
          </w:divBdr>
        </w:div>
      </w:divsChild>
    </w:div>
    <w:div w:id="986544013">
      <w:bodyDiv w:val="1"/>
      <w:marLeft w:val="0"/>
      <w:marRight w:val="0"/>
      <w:marTop w:val="0"/>
      <w:marBottom w:val="0"/>
      <w:divBdr>
        <w:top w:val="none" w:sz="0" w:space="0" w:color="auto"/>
        <w:left w:val="none" w:sz="0" w:space="0" w:color="auto"/>
        <w:bottom w:val="none" w:sz="0" w:space="0" w:color="auto"/>
        <w:right w:val="none" w:sz="0" w:space="0" w:color="auto"/>
      </w:divBdr>
      <w:divsChild>
        <w:div w:id="1357343262">
          <w:marLeft w:val="547"/>
          <w:marRight w:val="0"/>
          <w:marTop w:val="115"/>
          <w:marBottom w:val="0"/>
          <w:divBdr>
            <w:top w:val="none" w:sz="0" w:space="0" w:color="auto"/>
            <w:left w:val="none" w:sz="0" w:space="0" w:color="auto"/>
            <w:bottom w:val="none" w:sz="0" w:space="0" w:color="auto"/>
            <w:right w:val="none" w:sz="0" w:space="0" w:color="auto"/>
          </w:divBdr>
        </w:div>
        <w:div w:id="818152045">
          <w:marLeft w:val="547"/>
          <w:marRight w:val="0"/>
          <w:marTop w:val="115"/>
          <w:marBottom w:val="0"/>
          <w:divBdr>
            <w:top w:val="none" w:sz="0" w:space="0" w:color="auto"/>
            <w:left w:val="none" w:sz="0" w:space="0" w:color="auto"/>
            <w:bottom w:val="none" w:sz="0" w:space="0" w:color="auto"/>
            <w:right w:val="none" w:sz="0" w:space="0" w:color="auto"/>
          </w:divBdr>
        </w:div>
        <w:div w:id="117914735">
          <w:marLeft w:val="547"/>
          <w:marRight w:val="0"/>
          <w:marTop w:val="115"/>
          <w:marBottom w:val="0"/>
          <w:divBdr>
            <w:top w:val="none" w:sz="0" w:space="0" w:color="auto"/>
            <w:left w:val="none" w:sz="0" w:space="0" w:color="auto"/>
            <w:bottom w:val="none" w:sz="0" w:space="0" w:color="auto"/>
            <w:right w:val="none" w:sz="0" w:space="0" w:color="auto"/>
          </w:divBdr>
        </w:div>
        <w:div w:id="2077168527">
          <w:marLeft w:val="547"/>
          <w:marRight w:val="0"/>
          <w:marTop w:val="115"/>
          <w:marBottom w:val="0"/>
          <w:divBdr>
            <w:top w:val="none" w:sz="0" w:space="0" w:color="auto"/>
            <w:left w:val="none" w:sz="0" w:space="0" w:color="auto"/>
            <w:bottom w:val="none" w:sz="0" w:space="0" w:color="auto"/>
            <w:right w:val="none" w:sz="0" w:space="0" w:color="auto"/>
          </w:divBdr>
        </w:div>
        <w:div w:id="1918786191">
          <w:marLeft w:val="547"/>
          <w:marRight w:val="0"/>
          <w:marTop w:val="115"/>
          <w:marBottom w:val="0"/>
          <w:divBdr>
            <w:top w:val="none" w:sz="0" w:space="0" w:color="auto"/>
            <w:left w:val="none" w:sz="0" w:space="0" w:color="auto"/>
            <w:bottom w:val="none" w:sz="0" w:space="0" w:color="auto"/>
            <w:right w:val="none" w:sz="0" w:space="0" w:color="auto"/>
          </w:divBdr>
        </w:div>
        <w:div w:id="1188786209">
          <w:marLeft w:val="547"/>
          <w:marRight w:val="0"/>
          <w:marTop w:val="115"/>
          <w:marBottom w:val="0"/>
          <w:divBdr>
            <w:top w:val="none" w:sz="0" w:space="0" w:color="auto"/>
            <w:left w:val="none" w:sz="0" w:space="0" w:color="auto"/>
            <w:bottom w:val="none" w:sz="0" w:space="0" w:color="auto"/>
            <w:right w:val="none" w:sz="0" w:space="0" w:color="auto"/>
          </w:divBdr>
        </w:div>
        <w:div w:id="1184173839">
          <w:marLeft w:val="547"/>
          <w:marRight w:val="0"/>
          <w:marTop w:val="115"/>
          <w:marBottom w:val="0"/>
          <w:divBdr>
            <w:top w:val="none" w:sz="0" w:space="0" w:color="auto"/>
            <w:left w:val="none" w:sz="0" w:space="0" w:color="auto"/>
            <w:bottom w:val="none" w:sz="0" w:space="0" w:color="auto"/>
            <w:right w:val="none" w:sz="0" w:space="0" w:color="auto"/>
          </w:divBdr>
        </w:div>
      </w:divsChild>
    </w:div>
    <w:div w:id="994719698">
      <w:bodyDiv w:val="1"/>
      <w:marLeft w:val="0"/>
      <w:marRight w:val="0"/>
      <w:marTop w:val="0"/>
      <w:marBottom w:val="0"/>
      <w:divBdr>
        <w:top w:val="none" w:sz="0" w:space="0" w:color="auto"/>
        <w:left w:val="none" w:sz="0" w:space="0" w:color="auto"/>
        <w:bottom w:val="none" w:sz="0" w:space="0" w:color="auto"/>
        <w:right w:val="none" w:sz="0" w:space="0" w:color="auto"/>
      </w:divBdr>
    </w:div>
    <w:div w:id="994725482">
      <w:bodyDiv w:val="1"/>
      <w:marLeft w:val="0"/>
      <w:marRight w:val="0"/>
      <w:marTop w:val="0"/>
      <w:marBottom w:val="0"/>
      <w:divBdr>
        <w:top w:val="none" w:sz="0" w:space="0" w:color="auto"/>
        <w:left w:val="none" w:sz="0" w:space="0" w:color="auto"/>
        <w:bottom w:val="none" w:sz="0" w:space="0" w:color="auto"/>
        <w:right w:val="none" w:sz="0" w:space="0" w:color="auto"/>
      </w:divBdr>
    </w:div>
    <w:div w:id="1025446672">
      <w:bodyDiv w:val="1"/>
      <w:marLeft w:val="0"/>
      <w:marRight w:val="0"/>
      <w:marTop w:val="0"/>
      <w:marBottom w:val="0"/>
      <w:divBdr>
        <w:top w:val="none" w:sz="0" w:space="0" w:color="auto"/>
        <w:left w:val="none" w:sz="0" w:space="0" w:color="auto"/>
        <w:bottom w:val="none" w:sz="0" w:space="0" w:color="auto"/>
        <w:right w:val="none" w:sz="0" w:space="0" w:color="auto"/>
      </w:divBdr>
      <w:divsChild>
        <w:div w:id="703100363">
          <w:marLeft w:val="547"/>
          <w:marRight w:val="0"/>
          <w:marTop w:val="115"/>
          <w:marBottom w:val="0"/>
          <w:divBdr>
            <w:top w:val="none" w:sz="0" w:space="0" w:color="auto"/>
            <w:left w:val="none" w:sz="0" w:space="0" w:color="auto"/>
            <w:bottom w:val="none" w:sz="0" w:space="0" w:color="auto"/>
            <w:right w:val="none" w:sz="0" w:space="0" w:color="auto"/>
          </w:divBdr>
        </w:div>
        <w:div w:id="579171812">
          <w:marLeft w:val="547"/>
          <w:marRight w:val="0"/>
          <w:marTop w:val="115"/>
          <w:marBottom w:val="0"/>
          <w:divBdr>
            <w:top w:val="none" w:sz="0" w:space="0" w:color="auto"/>
            <w:left w:val="none" w:sz="0" w:space="0" w:color="auto"/>
            <w:bottom w:val="none" w:sz="0" w:space="0" w:color="auto"/>
            <w:right w:val="none" w:sz="0" w:space="0" w:color="auto"/>
          </w:divBdr>
        </w:div>
        <w:div w:id="1186407316">
          <w:marLeft w:val="547"/>
          <w:marRight w:val="0"/>
          <w:marTop w:val="115"/>
          <w:marBottom w:val="0"/>
          <w:divBdr>
            <w:top w:val="none" w:sz="0" w:space="0" w:color="auto"/>
            <w:left w:val="none" w:sz="0" w:space="0" w:color="auto"/>
            <w:bottom w:val="none" w:sz="0" w:space="0" w:color="auto"/>
            <w:right w:val="none" w:sz="0" w:space="0" w:color="auto"/>
          </w:divBdr>
        </w:div>
        <w:div w:id="2085106666">
          <w:marLeft w:val="547"/>
          <w:marRight w:val="0"/>
          <w:marTop w:val="115"/>
          <w:marBottom w:val="0"/>
          <w:divBdr>
            <w:top w:val="none" w:sz="0" w:space="0" w:color="auto"/>
            <w:left w:val="none" w:sz="0" w:space="0" w:color="auto"/>
            <w:bottom w:val="none" w:sz="0" w:space="0" w:color="auto"/>
            <w:right w:val="none" w:sz="0" w:space="0" w:color="auto"/>
          </w:divBdr>
        </w:div>
      </w:divsChild>
    </w:div>
    <w:div w:id="1046873446">
      <w:bodyDiv w:val="1"/>
      <w:marLeft w:val="0"/>
      <w:marRight w:val="0"/>
      <w:marTop w:val="0"/>
      <w:marBottom w:val="0"/>
      <w:divBdr>
        <w:top w:val="none" w:sz="0" w:space="0" w:color="auto"/>
        <w:left w:val="none" w:sz="0" w:space="0" w:color="auto"/>
        <w:bottom w:val="none" w:sz="0" w:space="0" w:color="auto"/>
        <w:right w:val="none" w:sz="0" w:space="0" w:color="auto"/>
      </w:divBdr>
      <w:divsChild>
        <w:div w:id="1868563582">
          <w:marLeft w:val="547"/>
          <w:marRight w:val="0"/>
          <w:marTop w:val="134"/>
          <w:marBottom w:val="0"/>
          <w:divBdr>
            <w:top w:val="none" w:sz="0" w:space="0" w:color="auto"/>
            <w:left w:val="none" w:sz="0" w:space="0" w:color="auto"/>
            <w:bottom w:val="none" w:sz="0" w:space="0" w:color="auto"/>
            <w:right w:val="none" w:sz="0" w:space="0" w:color="auto"/>
          </w:divBdr>
        </w:div>
        <w:div w:id="1348482942">
          <w:marLeft w:val="547"/>
          <w:marRight w:val="0"/>
          <w:marTop w:val="134"/>
          <w:marBottom w:val="0"/>
          <w:divBdr>
            <w:top w:val="none" w:sz="0" w:space="0" w:color="auto"/>
            <w:left w:val="none" w:sz="0" w:space="0" w:color="auto"/>
            <w:bottom w:val="none" w:sz="0" w:space="0" w:color="auto"/>
            <w:right w:val="none" w:sz="0" w:space="0" w:color="auto"/>
          </w:divBdr>
        </w:div>
        <w:div w:id="1743721895">
          <w:marLeft w:val="547"/>
          <w:marRight w:val="0"/>
          <w:marTop w:val="134"/>
          <w:marBottom w:val="0"/>
          <w:divBdr>
            <w:top w:val="none" w:sz="0" w:space="0" w:color="auto"/>
            <w:left w:val="none" w:sz="0" w:space="0" w:color="auto"/>
            <w:bottom w:val="none" w:sz="0" w:space="0" w:color="auto"/>
            <w:right w:val="none" w:sz="0" w:space="0" w:color="auto"/>
          </w:divBdr>
        </w:div>
      </w:divsChild>
    </w:div>
    <w:div w:id="1098914620">
      <w:bodyDiv w:val="1"/>
      <w:marLeft w:val="0"/>
      <w:marRight w:val="0"/>
      <w:marTop w:val="0"/>
      <w:marBottom w:val="0"/>
      <w:divBdr>
        <w:top w:val="none" w:sz="0" w:space="0" w:color="auto"/>
        <w:left w:val="none" w:sz="0" w:space="0" w:color="auto"/>
        <w:bottom w:val="none" w:sz="0" w:space="0" w:color="auto"/>
        <w:right w:val="none" w:sz="0" w:space="0" w:color="auto"/>
      </w:divBdr>
      <w:divsChild>
        <w:div w:id="602568805">
          <w:marLeft w:val="547"/>
          <w:marRight w:val="0"/>
          <w:marTop w:val="115"/>
          <w:marBottom w:val="0"/>
          <w:divBdr>
            <w:top w:val="none" w:sz="0" w:space="0" w:color="auto"/>
            <w:left w:val="none" w:sz="0" w:space="0" w:color="auto"/>
            <w:bottom w:val="none" w:sz="0" w:space="0" w:color="auto"/>
            <w:right w:val="none" w:sz="0" w:space="0" w:color="auto"/>
          </w:divBdr>
        </w:div>
        <w:div w:id="1711496973">
          <w:marLeft w:val="547"/>
          <w:marRight w:val="0"/>
          <w:marTop w:val="115"/>
          <w:marBottom w:val="0"/>
          <w:divBdr>
            <w:top w:val="none" w:sz="0" w:space="0" w:color="auto"/>
            <w:left w:val="none" w:sz="0" w:space="0" w:color="auto"/>
            <w:bottom w:val="none" w:sz="0" w:space="0" w:color="auto"/>
            <w:right w:val="none" w:sz="0" w:space="0" w:color="auto"/>
          </w:divBdr>
        </w:div>
        <w:div w:id="736363596">
          <w:marLeft w:val="547"/>
          <w:marRight w:val="0"/>
          <w:marTop w:val="115"/>
          <w:marBottom w:val="0"/>
          <w:divBdr>
            <w:top w:val="none" w:sz="0" w:space="0" w:color="auto"/>
            <w:left w:val="none" w:sz="0" w:space="0" w:color="auto"/>
            <w:bottom w:val="none" w:sz="0" w:space="0" w:color="auto"/>
            <w:right w:val="none" w:sz="0" w:space="0" w:color="auto"/>
          </w:divBdr>
        </w:div>
        <w:div w:id="1901014641">
          <w:marLeft w:val="1166"/>
          <w:marRight w:val="0"/>
          <w:marTop w:val="115"/>
          <w:marBottom w:val="0"/>
          <w:divBdr>
            <w:top w:val="none" w:sz="0" w:space="0" w:color="auto"/>
            <w:left w:val="none" w:sz="0" w:space="0" w:color="auto"/>
            <w:bottom w:val="none" w:sz="0" w:space="0" w:color="auto"/>
            <w:right w:val="none" w:sz="0" w:space="0" w:color="auto"/>
          </w:divBdr>
        </w:div>
      </w:divsChild>
    </w:div>
    <w:div w:id="1128739871">
      <w:bodyDiv w:val="1"/>
      <w:marLeft w:val="0"/>
      <w:marRight w:val="0"/>
      <w:marTop w:val="0"/>
      <w:marBottom w:val="0"/>
      <w:divBdr>
        <w:top w:val="none" w:sz="0" w:space="0" w:color="auto"/>
        <w:left w:val="none" w:sz="0" w:space="0" w:color="auto"/>
        <w:bottom w:val="none" w:sz="0" w:space="0" w:color="auto"/>
        <w:right w:val="none" w:sz="0" w:space="0" w:color="auto"/>
      </w:divBdr>
      <w:divsChild>
        <w:div w:id="1328170396">
          <w:marLeft w:val="547"/>
          <w:marRight w:val="0"/>
          <w:marTop w:val="115"/>
          <w:marBottom w:val="0"/>
          <w:divBdr>
            <w:top w:val="none" w:sz="0" w:space="0" w:color="auto"/>
            <w:left w:val="none" w:sz="0" w:space="0" w:color="auto"/>
            <w:bottom w:val="none" w:sz="0" w:space="0" w:color="auto"/>
            <w:right w:val="none" w:sz="0" w:space="0" w:color="auto"/>
          </w:divBdr>
        </w:div>
        <w:div w:id="29258926">
          <w:marLeft w:val="547"/>
          <w:marRight w:val="0"/>
          <w:marTop w:val="115"/>
          <w:marBottom w:val="0"/>
          <w:divBdr>
            <w:top w:val="none" w:sz="0" w:space="0" w:color="auto"/>
            <w:left w:val="none" w:sz="0" w:space="0" w:color="auto"/>
            <w:bottom w:val="none" w:sz="0" w:space="0" w:color="auto"/>
            <w:right w:val="none" w:sz="0" w:space="0" w:color="auto"/>
          </w:divBdr>
        </w:div>
        <w:div w:id="1604338938">
          <w:marLeft w:val="1166"/>
          <w:marRight w:val="0"/>
          <w:marTop w:val="96"/>
          <w:marBottom w:val="0"/>
          <w:divBdr>
            <w:top w:val="none" w:sz="0" w:space="0" w:color="auto"/>
            <w:left w:val="none" w:sz="0" w:space="0" w:color="auto"/>
            <w:bottom w:val="none" w:sz="0" w:space="0" w:color="auto"/>
            <w:right w:val="none" w:sz="0" w:space="0" w:color="auto"/>
          </w:divBdr>
        </w:div>
      </w:divsChild>
    </w:div>
    <w:div w:id="1141314396">
      <w:bodyDiv w:val="1"/>
      <w:marLeft w:val="0"/>
      <w:marRight w:val="0"/>
      <w:marTop w:val="0"/>
      <w:marBottom w:val="0"/>
      <w:divBdr>
        <w:top w:val="none" w:sz="0" w:space="0" w:color="auto"/>
        <w:left w:val="none" w:sz="0" w:space="0" w:color="auto"/>
        <w:bottom w:val="none" w:sz="0" w:space="0" w:color="auto"/>
        <w:right w:val="none" w:sz="0" w:space="0" w:color="auto"/>
      </w:divBdr>
      <w:divsChild>
        <w:div w:id="720710408">
          <w:marLeft w:val="547"/>
          <w:marRight w:val="0"/>
          <w:marTop w:val="220"/>
          <w:marBottom w:val="120"/>
          <w:divBdr>
            <w:top w:val="none" w:sz="0" w:space="0" w:color="auto"/>
            <w:left w:val="none" w:sz="0" w:space="0" w:color="auto"/>
            <w:bottom w:val="none" w:sz="0" w:space="0" w:color="auto"/>
            <w:right w:val="none" w:sz="0" w:space="0" w:color="auto"/>
          </w:divBdr>
        </w:div>
        <w:div w:id="1609117654">
          <w:marLeft w:val="547"/>
          <w:marRight w:val="0"/>
          <w:marTop w:val="220"/>
          <w:marBottom w:val="120"/>
          <w:divBdr>
            <w:top w:val="none" w:sz="0" w:space="0" w:color="auto"/>
            <w:left w:val="none" w:sz="0" w:space="0" w:color="auto"/>
            <w:bottom w:val="none" w:sz="0" w:space="0" w:color="auto"/>
            <w:right w:val="none" w:sz="0" w:space="0" w:color="auto"/>
          </w:divBdr>
        </w:div>
        <w:div w:id="1022783547">
          <w:marLeft w:val="1166"/>
          <w:marRight w:val="0"/>
          <w:marTop w:val="220"/>
          <w:marBottom w:val="120"/>
          <w:divBdr>
            <w:top w:val="none" w:sz="0" w:space="0" w:color="auto"/>
            <w:left w:val="none" w:sz="0" w:space="0" w:color="auto"/>
            <w:bottom w:val="none" w:sz="0" w:space="0" w:color="auto"/>
            <w:right w:val="none" w:sz="0" w:space="0" w:color="auto"/>
          </w:divBdr>
        </w:div>
        <w:div w:id="571040075">
          <w:marLeft w:val="1166"/>
          <w:marRight w:val="0"/>
          <w:marTop w:val="220"/>
          <w:marBottom w:val="120"/>
          <w:divBdr>
            <w:top w:val="none" w:sz="0" w:space="0" w:color="auto"/>
            <w:left w:val="none" w:sz="0" w:space="0" w:color="auto"/>
            <w:bottom w:val="none" w:sz="0" w:space="0" w:color="auto"/>
            <w:right w:val="none" w:sz="0" w:space="0" w:color="auto"/>
          </w:divBdr>
        </w:div>
        <w:div w:id="356662038">
          <w:marLeft w:val="547"/>
          <w:marRight w:val="0"/>
          <w:marTop w:val="220"/>
          <w:marBottom w:val="120"/>
          <w:divBdr>
            <w:top w:val="none" w:sz="0" w:space="0" w:color="auto"/>
            <w:left w:val="none" w:sz="0" w:space="0" w:color="auto"/>
            <w:bottom w:val="none" w:sz="0" w:space="0" w:color="auto"/>
            <w:right w:val="none" w:sz="0" w:space="0" w:color="auto"/>
          </w:divBdr>
        </w:div>
      </w:divsChild>
    </w:div>
    <w:div w:id="1184132333">
      <w:bodyDiv w:val="1"/>
      <w:marLeft w:val="0"/>
      <w:marRight w:val="0"/>
      <w:marTop w:val="0"/>
      <w:marBottom w:val="0"/>
      <w:divBdr>
        <w:top w:val="none" w:sz="0" w:space="0" w:color="auto"/>
        <w:left w:val="none" w:sz="0" w:space="0" w:color="auto"/>
        <w:bottom w:val="none" w:sz="0" w:space="0" w:color="auto"/>
        <w:right w:val="none" w:sz="0" w:space="0" w:color="auto"/>
      </w:divBdr>
      <w:divsChild>
        <w:div w:id="1484203080">
          <w:marLeft w:val="547"/>
          <w:marRight w:val="0"/>
          <w:marTop w:val="115"/>
          <w:marBottom w:val="0"/>
          <w:divBdr>
            <w:top w:val="none" w:sz="0" w:space="0" w:color="auto"/>
            <w:left w:val="none" w:sz="0" w:space="0" w:color="auto"/>
            <w:bottom w:val="none" w:sz="0" w:space="0" w:color="auto"/>
            <w:right w:val="none" w:sz="0" w:space="0" w:color="auto"/>
          </w:divBdr>
        </w:div>
        <w:div w:id="2105806684">
          <w:marLeft w:val="547"/>
          <w:marRight w:val="0"/>
          <w:marTop w:val="115"/>
          <w:marBottom w:val="0"/>
          <w:divBdr>
            <w:top w:val="none" w:sz="0" w:space="0" w:color="auto"/>
            <w:left w:val="none" w:sz="0" w:space="0" w:color="auto"/>
            <w:bottom w:val="none" w:sz="0" w:space="0" w:color="auto"/>
            <w:right w:val="none" w:sz="0" w:space="0" w:color="auto"/>
          </w:divBdr>
        </w:div>
      </w:divsChild>
    </w:div>
    <w:div w:id="1208494486">
      <w:bodyDiv w:val="1"/>
      <w:marLeft w:val="0"/>
      <w:marRight w:val="0"/>
      <w:marTop w:val="0"/>
      <w:marBottom w:val="0"/>
      <w:divBdr>
        <w:top w:val="none" w:sz="0" w:space="0" w:color="auto"/>
        <w:left w:val="none" w:sz="0" w:space="0" w:color="auto"/>
        <w:bottom w:val="none" w:sz="0" w:space="0" w:color="auto"/>
        <w:right w:val="none" w:sz="0" w:space="0" w:color="auto"/>
      </w:divBdr>
      <w:divsChild>
        <w:div w:id="1586920383">
          <w:marLeft w:val="547"/>
          <w:marRight w:val="0"/>
          <w:marTop w:val="220"/>
          <w:marBottom w:val="120"/>
          <w:divBdr>
            <w:top w:val="none" w:sz="0" w:space="0" w:color="auto"/>
            <w:left w:val="none" w:sz="0" w:space="0" w:color="auto"/>
            <w:bottom w:val="none" w:sz="0" w:space="0" w:color="auto"/>
            <w:right w:val="none" w:sz="0" w:space="0" w:color="auto"/>
          </w:divBdr>
        </w:div>
        <w:div w:id="1914706200">
          <w:marLeft w:val="547"/>
          <w:marRight w:val="0"/>
          <w:marTop w:val="220"/>
          <w:marBottom w:val="120"/>
          <w:divBdr>
            <w:top w:val="none" w:sz="0" w:space="0" w:color="auto"/>
            <w:left w:val="none" w:sz="0" w:space="0" w:color="auto"/>
            <w:bottom w:val="none" w:sz="0" w:space="0" w:color="auto"/>
            <w:right w:val="none" w:sz="0" w:space="0" w:color="auto"/>
          </w:divBdr>
        </w:div>
        <w:div w:id="1215313891">
          <w:marLeft w:val="547"/>
          <w:marRight w:val="0"/>
          <w:marTop w:val="220"/>
          <w:marBottom w:val="120"/>
          <w:divBdr>
            <w:top w:val="none" w:sz="0" w:space="0" w:color="auto"/>
            <w:left w:val="none" w:sz="0" w:space="0" w:color="auto"/>
            <w:bottom w:val="none" w:sz="0" w:space="0" w:color="auto"/>
            <w:right w:val="none" w:sz="0" w:space="0" w:color="auto"/>
          </w:divBdr>
        </w:div>
        <w:div w:id="178550554">
          <w:marLeft w:val="547"/>
          <w:marRight w:val="0"/>
          <w:marTop w:val="220"/>
          <w:marBottom w:val="120"/>
          <w:divBdr>
            <w:top w:val="none" w:sz="0" w:space="0" w:color="auto"/>
            <w:left w:val="none" w:sz="0" w:space="0" w:color="auto"/>
            <w:bottom w:val="none" w:sz="0" w:space="0" w:color="auto"/>
            <w:right w:val="none" w:sz="0" w:space="0" w:color="auto"/>
          </w:divBdr>
        </w:div>
      </w:divsChild>
    </w:div>
    <w:div w:id="1212687706">
      <w:bodyDiv w:val="1"/>
      <w:marLeft w:val="0"/>
      <w:marRight w:val="0"/>
      <w:marTop w:val="0"/>
      <w:marBottom w:val="0"/>
      <w:divBdr>
        <w:top w:val="none" w:sz="0" w:space="0" w:color="auto"/>
        <w:left w:val="none" w:sz="0" w:space="0" w:color="auto"/>
        <w:bottom w:val="none" w:sz="0" w:space="0" w:color="auto"/>
        <w:right w:val="none" w:sz="0" w:space="0" w:color="auto"/>
      </w:divBdr>
      <w:divsChild>
        <w:div w:id="1204748731">
          <w:marLeft w:val="547"/>
          <w:marRight w:val="0"/>
          <w:marTop w:val="115"/>
          <w:marBottom w:val="0"/>
          <w:divBdr>
            <w:top w:val="none" w:sz="0" w:space="0" w:color="auto"/>
            <w:left w:val="none" w:sz="0" w:space="0" w:color="auto"/>
            <w:bottom w:val="none" w:sz="0" w:space="0" w:color="auto"/>
            <w:right w:val="none" w:sz="0" w:space="0" w:color="auto"/>
          </w:divBdr>
        </w:div>
        <w:div w:id="2019503710">
          <w:marLeft w:val="547"/>
          <w:marRight w:val="0"/>
          <w:marTop w:val="115"/>
          <w:marBottom w:val="0"/>
          <w:divBdr>
            <w:top w:val="none" w:sz="0" w:space="0" w:color="auto"/>
            <w:left w:val="none" w:sz="0" w:space="0" w:color="auto"/>
            <w:bottom w:val="none" w:sz="0" w:space="0" w:color="auto"/>
            <w:right w:val="none" w:sz="0" w:space="0" w:color="auto"/>
          </w:divBdr>
        </w:div>
        <w:div w:id="1758675711">
          <w:marLeft w:val="547"/>
          <w:marRight w:val="0"/>
          <w:marTop w:val="115"/>
          <w:marBottom w:val="0"/>
          <w:divBdr>
            <w:top w:val="none" w:sz="0" w:space="0" w:color="auto"/>
            <w:left w:val="none" w:sz="0" w:space="0" w:color="auto"/>
            <w:bottom w:val="none" w:sz="0" w:space="0" w:color="auto"/>
            <w:right w:val="none" w:sz="0" w:space="0" w:color="auto"/>
          </w:divBdr>
        </w:div>
      </w:divsChild>
    </w:div>
    <w:div w:id="1280601345">
      <w:bodyDiv w:val="1"/>
      <w:marLeft w:val="0"/>
      <w:marRight w:val="0"/>
      <w:marTop w:val="0"/>
      <w:marBottom w:val="0"/>
      <w:divBdr>
        <w:top w:val="none" w:sz="0" w:space="0" w:color="auto"/>
        <w:left w:val="none" w:sz="0" w:space="0" w:color="auto"/>
        <w:bottom w:val="none" w:sz="0" w:space="0" w:color="auto"/>
        <w:right w:val="none" w:sz="0" w:space="0" w:color="auto"/>
      </w:divBdr>
      <w:divsChild>
        <w:div w:id="688331203">
          <w:marLeft w:val="547"/>
          <w:marRight w:val="0"/>
          <w:marTop w:val="115"/>
          <w:marBottom w:val="0"/>
          <w:divBdr>
            <w:top w:val="none" w:sz="0" w:space="0" w:color="auto"/>
            <w:left w:val="none" w:sz="0" w:space="0" w:color="auto"/>
            <w:bottom w:val="none" w:sz="0" w:space="0" w:color="auto"/>
            <w:right w:val="none" w:sz="0" w:space="0" w:color="auto"/>
          </w:divBdr>
        </w:div>
        <w:div w:id="1729917258">
          <w:marLeft w:val="547"/>
          <w:marRight w:val="0"/>
          <w:marTop w:val="115"/>
          <w:marBottom w:val="0"/>
          <w:divBdr>
            <w:top w:val="none" w:sz="0" w:space="0" w:color="auto"/>
            <w:left w:val="none" w:sz="0" w:space="0" w:color="auto"/>
            <w:bottom w:val="none" w:sz="0" w:space="0" w:color="auto"/>
            <w:right w:val="none" w:sz="0" w:space="0" w:color="auto"/>
          </w:divBdr>
        </w:div>
      </w:divsChild>
    </w:div>
    <w:div w:id="1431854955">
      <w:bodyDiv w:val="1"/>
      <w:marLeft w:val="0"/>
      <w:marRight w:val="0"/>
      <w:marTop w:val="0"/>
      <w:marBottom w:val="0"/>
      <w:divBdr>
        <w:top w:val="none" w:sz="0" w:space="0" w:color="auto"/>
        <w:left w:val="none" w:sz="0" w:space="0" w:color="auto"/>
        <w:bottom w:val="none" w:sz="0" w:space="0" w:color="auto"/>
        <w:right w:val="none" w:sz="0" w:space="0" w:color="auto"/>
      </w:divBdr>
      <w:divsChild>
        <w:div w:id="1558977762">
          <w:marLeft w:val="547"/>
          <w:marRight w:val="0"/>
          <w:marTop w:val="220"/>
          <w:marBottom w:val="120"/>
          <w:divBdr>
            <w:top w:val="none" w:sz="0" w:space="0" w:color="auto"/>
            <w:left w:val="none" w:sz="0" w:space="0" w:color="auto"/>
            <w:bottom w:val="none" w:sz="0" w:space="0" w:color="auto"/>
            <w:right w:val="none" w:sz="0" w:space="0" w:color="auto"/>
          </w:divBdr>
        </w:div>
        <w:div w:id="217326051">
          <w:marLeft w:val="547"/>
          <w:marRight w:val="0"/>
          <w:marTop w:val="220"/>
          <w:marBottom w:val="120"/>
          <w:divBdr>
            <w:top w:val="none" w:sz="0" w:space="0" w:color="auto"/>
            <w:left w:val="none" w:sz="0" w:space="0" w:color="auto"/>
            <w:bottom w:val="none" w:sz="0" w:space="0" w:color="auto"/>
            <w:right w:val="none" w:sz="0" w:space="0" w:color="auto"/>
          </w:divBdr>
        </w:div>
        <w:div w:id="221213537">
          <w:marLeft w:val="547"/>
          <w:marRight w:val="0"/>
          <w:marTop w:val="220"/>
          <w:marBottom w:val="120"/>
          <w:divBdr>
            <w:top w:val="none" w:sz="0" w:space="0" w:color="auto"/>
            <w:left w:val="none" w:sz="0" w:space="0" w:color="auto"/>
            <w:bottom w:val="none" w:sz="0" w:space="0" w:color="auto"/>
            <w:right w:val="none" w:sz="0" w:space="0" w:color="auto"/>
          </w:divBdr>
        </w:div>
        <w:div w:id="43917383">
          <w:marLeft w:val="547"/>
          <w:marRight w:val="0"/>
          <w:marTop w:val="220"/>
          <w:marBottom w:val="120"/>
          <w:divBdr>
            <w:top w:val="none" w:sz="0" w:space="0" w:color="auto"/>
            <w:left w:val="none" w:sz="0" w:space="0" w:color="auto"/>
            <w:bottom w:val="none" w:sz="0" w:space="0" w:color="auto"/>
            <w:right w:val="none" w:sz="0" w:space="0" w:color="auto"/>
          </w:divBdr>
        </w:div>
      </w:divsChild>
    </w:div>
    <w:div w:id="1575316389">
      <w:bodyDiv w:val="1"/>
      <w:marLeft w:val="0"/>
      <w:marRight w:val="0"/>
      <w:marTop w:val="0"/>
      <w:marBottom w:val="0"/>
      <w:divBdr>
        <w:top w:val="none" w:sz="0" w:space="0" w:color="auto"/>
        <w:left w:val="none" w:sz="0" w:space="0" w:color="auto"/>
        <w:bottom w:val="none" w:sz="0" w:space="0" w:color="auto"/>
        <w:right w:val="none" w:sz="0" w:space="0" w:color="auto"/>
      </w:divBdr>
      <w:divsChild>
        <w:div w:id="1704986810">
          <w:marLeft w:val="547"/>
          <w:marRight w:val="0"/>
          <w:marTop w:val="220"/>
          <w:marBottom w:val="120"/>
          <w:divBdr>
            <w:top w:val="none" w:sz="0" w:space="0" w:color="auto"/>
            <w:left w:val="none" w:sz="0" w:space="0" w:color="auto"/>
            <w:bottom w:val="none" w:sz="0" w:space="0" w:color="auto"/>
            <w:right w:val="none" w:sz="0" w:space="0" w:color="auto"/>
          </w:divBdr>
        </w:div>
      </w:divsChild>
    </w:div>
    <w:div w:id="1631282266">
      <w:bodyDiv w:val="1"/>
      <w:marLeft w:val="0"/>
      <w:marRight w:val="0"/>
      <w:marTop w:val="0"/>
      <w:marBottom w:val="0"/>
      <w:divBdr>
        <w:top w:val="none" w:sz="0" w:space="0" w:color="auto"/>
        <w:left w:val="none" w:sz="0" w:space="0" w:color="auto"/>
        <w:bottom w:val="none" w:sz="0" w:space="0" w:color="auto"/>
        <w:right w:val="none" w:sz="0" w:space="0" w:color="auto"/>
      </w:divBdr>
    </w:div>
    <w:div w:id="1756586709">
      <w:bodyDiv w:val="1"/>
      <w:marLeft w:val="0"/>
      <w:marRight w:val="0"/>
      <w:marTop w:val="0"/>
      <w:marBottom w:val="0"/>
      <w:divBdr>
        <w:top w:val="none" w:sz="0" w:space="0" w:color="auto"/>
        <w:left w:val="none" w:sz="0" w:space="0" w:color="auto"/>
        <w:bottom w:val="none" w:sz="0" w:space="0" w:color="auto"/>
        <w:right w:val="none" w:sz="0" w:space="0" w:color="auto"/>
      </w:divBdr>
    </w:div>
    <w:div w:id="1790314504">
      <w:bodyDiv w:val="1"/>
      <w:marLeft w:val="0"/>
      <w:marRight w:val="0"/>
      <w:marTop w:val="0"/>
      <w:marBottom w:val="0"/>
      <w:divBdr>
        <w:top w:val="none" w:sz="0" w:space="0" w:color="auto"/>
        <w:left w:val="none" w:sz="0" w:space="0" w:color="auto"/>
        <w:bottom w:val="none" w:sz="0" w:space="0" w:color="auto"/>
        <w:right w:val="none" w:sz="0" w:space="0" w:color="auto"/>
      </w:divBdr>
      <w:divsChild>
        <w:div w:id="2001764106">
          <w:marLeft w:val="547"/>
          <w:marRight w:val="0"/>
          <w:marTop w:val="134"/>
          <w:marBottom w:val="0"/>
          <w:divBdr>
            <w:top w:val="none" w:sz="0" w:space="0" w:color="auto"/>
            <w:left w:val="none" w:sz="0" w:space="0" w:color="auto"/>
            <w:bottom w:val="none" w:sz="0" w:space="0" w:color="auto"/>
            <w:right w:val="none" w:sz="0" w:space="0" w:color="auto"/>
          </w:divBdr>
        </w:div>
        <w:div w:id="1247618413">
          <w:marLeft w:val="547"/>
          <w:marRight w:val="0"/>
          <w:marTop w:val="134"/>
          <w:marBottom w:val="0"/>
          <w:divBdr>
            <w:top w:val="none" w:sz="0" w:space="0" w:color="auto"/>
            <w:left w:val="none" w:sz="0" w:space="0" w:color="auto"/>
            <w:bottom w:val="none" w:sz="0" w:space="0" w:color="auto"/>
            <w:right w:val="none" w:sz="0" w:space="0" w:color="auto"/>
          </w:divBdr>
        </w:div>
      </w:divsChild>
    </w:div>
    <w:div w:id="1816605412">
      <w:bodyDiv w:val="1"/>
      <w:marLeft w:val="0"/>
      <w:marRight w:val="0"/>
      <w:marTop w:val="0"/>
      <w:marBottom w:val="0"/>
      <w:divBdr>
        <w:top w:val="none" w:sz="0" w:space="0" w:color="auto"/>
        <w:left w:val="none" w:sz="0" w:space="0" w:color="auto"/>
        <w:bottom w:val="none" w:sz="0" w:space="0" w:color="auto"/>
        <w:right w:val="none" w:sz="0" w:space="0" w:color="auto"/>
      </w:divBdr>
      <w:divsChild>
        <w:div w:id="1507473212">
          <w:marLeft w:val="547"/>
          <w:marRight w:val="0"/>
          <w:marTop w:val="115"/>
          <w:marBottom w:val="0"/>
          <w:divBdr>
            <w:top w:val="none" w:sz="0" w:space="0" w:color="auto"/>
            <w:left w:val="none" w:sz="0" w:space="0" w:color="auto"/>
            <w:bottom w:val="none" w:sz="0" w:space="0" w:color="auto"/>
            <w:right w:val="none" w:sz="0" w:space="0" w:color="auto"/>
          </w:divBdr>
        </w:div>
        <w:div w:id="403452984">
          <w:marLeft w:val="547"/>
          <w:marRight w:val="0"/>
          <w:marTop w:val="115"/>
          <w:marBottom w:val="0"/>
          <w:divBdr>
            <w:top w:val="none" w:sz="0" w:space="0" w:color="auto"/>
            <w:left w:val="none" w:sz="0" w:space="0" w:color="auto"/>
            <w:bottom w:val="none" w:sz="0" w:space="0" w:color="auto"/>
            <w:right w:val="none" w:sz="0" w:space="0" w:color="auto"/>
          </w:divBdr>
        </w:div>
      </w:divsChild>
    </w:div>
    <w:div w:id="1829516569">
      <w:bodyDiv w:val="1"/>
      <w:marLeft w:val="0"/>
      <w:marRight w:val="0"/>
      <w:marTop w:val="0"/>
      <w:marBottom w:val="0"/>
      <w:divBdr>
        <w:top w:val="none" w:sz="0" w:space="0" w:color="auto"/>
        <w:left w:val="none" w:sz="0" w:space="0" w:color="auto"/>
        <w:bottom w:val="none" w:sz="0" w:space="0" w:color="auto"/>
        <w:right w:val="none" w:sz="0" w:space="0" w:color="auto"/>
      </w:divBdr>
    </w:div>
    <w:div w:id="1916235468">
      <w:bodyDiv w:val="1"/>
      <w:marLeft w:val="0"/>
      <w:marRight w:val="0"/>
      <w:marTop w:val="0"/>
      <w:marBottom w:val="0"/>
      <w:divBdr>
        <w:top w:val="none" w:sz="0" w:space="0" w:color="auto"/>
        <w:left w:val="none" w:sz="0" w:space="0" w:color="auto"/>
        <w:bottom w:val="none" w:sz="0" w:space="0" w:color="auto"/>
        <w:right w:val="none" w:sz="0" w:space="0" w:color="auto"/>
      </w:divBdr>
      <w:divsChild>
        <w:div w:id="275866731">
          <w:marLeft w:val="547"/>
          <w:marRight w:val="0"/>
          <w:marTop w:val="115"/>
          <w:marBottom w:val="0"/>
          <w:divBdr>
            <w:top w:val="none" w:sz="0" w:space="0" w:color="auto"/>
            <w:left w:val="none" w:sz="0" w:space="0" w:color="auto"/>
            <w:bottom w:val="none" w:sz="0" w:space="0" w:color="auto"/>
            <w:right w:val="none" w:sz="0" w:space="0" w:color="auto"/>
          </w:divBdr>
        </w:div>
      </w:divsChild>
    </w:div>
    <w:div w:id="1938246062">
      <w:bodyDiv w:val="1"/>
      <w:marLeft w:val="0"/>
      <w:marRight w:val="0"/>
      <w:marTop w:val="0"/>
      <w:marBottom w:val="0"/>
      <w:divBdr>
        <w:top w:val="none" w:sz="0" w:space="0" w:color="auto"/>
        <w:left w:val="none" w:sz="0" w:space="0" w:color="auto"/>
        <w:bottom w:val="none" w:sz="0" w:space="0" w:color="auto"/>
        <w:right w:val="none" w:sz="0" w:space="0" w:color="auto"/>
      </w:divBdr>
      <w:divsChild>
        <w:div w:id="752120369">
          <w:marLeft w:val="547"/>
          <w:marRight w:val="0"/>
          <w:marTop w:val="134"/>
          <w:marBottom w:val="0"/>
          <w:divBdr>
            <w:top w:val="none" w:sz="0" w:space="0" w:color="auto"/>
            <w:left w:val="none" w:sz="0" w:space="0" w:color="auto"/>
            <w:bottom w:val="none" w:sz="0" w:space="0" w:color="auto"/>
            <w:right w:val="none" w:sz="0" w:space="0" w:color="auto"/>
          </w:divBdr>
        </w:div>
        <w:div w:id="1916277448">
          <w:marLeft w:val="547"/>
          <w:marRight w:val="0"/>
          <w:marTop w:val="134"/>
          <w:marBottom w:val="0"/>
          <w:divBdr>
            <w:top w:val="none" w:sz="0" w:space="0" w:color="auto"/>
            <w:left w:val="none" w:sz="0" w:space="0" w:color="auto"/>
            <w:bottom w:val="none" w:sz="0" w:space="0" w:color="auto"/>
            <w:right w:val="none" w:sz="0" w:space="0" w:color="auto"/>
          </w:divBdr>
        </w:div>
        <w:div w:id="293827303">
          <w:marLeft w:val="547"/>
          <w:marRight w:val="0"/>
          <w:marTop w:val="134"/>
          <w:marBottom w:val="0"/>
          <w:divBdr>
            <w:top w:val="none" w:sz="0" w:space="0" w:color="auto"/>
            <w:left w:val="none" w:sz="0" w:space="0" w:color="auto"/>
            <w:bottom w:val="none" w:sz="0" w:space="0" w:color="auto"/>
            <w:right w:val="none" w:sz="0" w:space="0" w:color="auto"/>
          </w:divBdr>
        </w:div>
        <w:div w:id="749814371">
          <w:marLeft w:val="547"/>
          <w:marRight w:val="0"/>
          <w:marTop w:val="134"/>
          <w:marBottom w:val="0"/>
          <w:divBdr>
            <w:top w:val="none" w:sz="0" w:space="0" w:color="auto"/>
            <w:left w:val="none" w:sz="0" w:space="0" w:color="auto"/>
            <w:bottom w:val="none" w:sz="0" w:space="0" w:color="auto"/>
            <w:right w:val="none" w:sz="0" w:space="0" w:color="auto"/>
          </w:divBdr>
        </w:div>
        <w:div w:id="1920560786">
          <w:marLeft w:val="1166"/>
          <w:marRight w:val="0"/>
          <w:marTop w:val="115"/>
          <w:marBottom w:val="0"/>
          <w:divBdr>
            <w:top w:val="none" w:sz="0" w:space="0" w:color="auto"/>
            <w:left w:val="none" w:sz="0" w:space="0" w:color="auto"/>
            <w:bottom w:val="none" w:sz="0" w:space="0" w:color="auto"/>
            <w:right w:val="none" w:sz="0" w:space="0" w:color="auto"/>
          </w:divBdr>
        </w:div>
        <w:div w:id="309211462">
          <w:marLeft w:val="1166"/>
          <w:marRight w:val="0"/>
          <w:marTop w:val="115"/>
          <w:marBottom w:val="0"/>
          <w:divBdr>
            <w:top w:val="none" w:sz="0" w:space="0" w:color="auto"/>
            <w:left w:val="none" w:sz="0" w:space="0" w:color="auto"/>
            <w:bottom w:val="none" w:sz="0" w:space="0" w:color="auto"/>
            <w:right w:val="none" w:sz="0" w:space="0" w:color="auto"/>
          </w:divBdr>
        </w:div>
      </w:divsChild>
    </w:div>
    <w:div w:id="1952124410">
      <w:bodyDiv w:val="1"/>
      <w:marLeft w:val="0"/>
      <w:marRight w:val="0"/>
      <w:marTop w:val="0"/>
      <w:marBottom w:val="0"/>
      <w:divBdr>
        <w:top w:val="none" w:sz="0" w:space="0" w:color="auto"/>
        <w:left w:val="none" w:sz="0" w:space="0" w:color="auto"/>
        <w:bottom w:val="none" w:sz="0" w:space="0" w:color="auto"/>
        <w:right w:val="none" w:sz="0" w:space="0" w:color="auto"/>
      </w:divBdr>
    </w:div>
    <w:div w:id="1968464849">
      <w:bodyDiv w:val="1"/>
      <w:marLeft w:val="0"/>
      <w:marRight w:val="0"/>
      <w:marTop w:val="0"/>
      <w:marBottom w:val="0"/>
      <w:divBdr>
        <w:top w:val="none" w:sz="0" w:space="0" w:color="auto"/>
        <w:left w:val="none" w:sz="0" w:space="0" w:color="auto"/>
        <w:bottom w:val="none" w:sz="0" w:space="0" w:color="auto"/>
        <w:right w:val="none" w:sz="0" w:space="0" w:color="auto"/>
      </w:divBdr>
      <w:divsChild>
        <w:div w:id="595334662">
          <w:marLeft w:val="547"/>
          <w:marRight w:val="0"/>
          <w:marTop w:val="134"/>
          <w:marBottom w:val="0"/>
          <w:divBdr>
            <w:top w:val="none" w:sz="0" w:space="0" w:color="auto"/>
            <w:left w:val="none" w:sz="0" w:space="0" w:color="auto"/>
            <w:bottom w:val="none" w:sz="0" w:space="0" w:color="auto"/>
            <w:right w:val="none" w:sz="0" w:space="0" w:color="auto"/>
          </w:divBdr>
        </w:div>
        <w:div w:id="2016112247">
          <w:marLeft w:val="547"/>
          <w:marRight w:val="0"/>
          <w:marTop w:val="134"/>
          <w:marBottom w:val="0"/>
          <w:divBdr>
            <w:top w:val="none" w:sz="0" w:space="0" w:color="auto"/>
            <w:left w:val="none" w:sz="0" w:space="0" w:color="auto"/>
            <w:bottom w:val="none" w:sz="0" w:space="0" w:color="auto"/>
            <w:right w:val="none" w:sz="0" w:space="0" w:color="auto"/>
          </w:divBdr>
        </w:div>
      </w:divsChild>
    </w:div>
    <w:div w:id="2068339074">
      <w:bodyDiv w:val="1"/>
      <w:marLeft w:val="0"/>
      <w:marRight w:val="0"/>
      <w:marTop w:val="0"/>
      <w:marBottom w:val="0"/>
      <w:divBdr>
        <w:top w:val="none" w:sz="0" w:space="0" w:color="auto"/>
        <w:left w:val="none" w:sz="0" w:space="0" w:color="auto"/>
        <w:bottom w:val="none" w:sz="0" w:space="0" w:color="auto"/>
        <w:right w:val="none" w:sz="0" w:space="0" w:color="auto"/>
      </w:divBdr>
    </w:div>
    <w:div w:id="2093971159">
      <w:bodyDiv w:val="1"/>
      <w:marLeft w:val="0"/>
      <w:marRight w:val="0"/>
      <w:marTop w:val="0"/>
      <w:marBottom w:val="0"/>
      <w:divBdr>
        <w:top w:val="none" w:sz="0" w:space="0" w:color="auto"/>
        <w:left w:val="none" w:sz="0" w:space="0" w:color="auto"/>
        <w:bottom w:val="none" w:sz="0" w:space="0" w:color="auto"/>
        <w:right w:val="none" w:sz="0" w:space="0" w:color="auto"/>
      </w:divBdr>
    </w:div>
    <w:div w:id="2139061334">
      <w:bodyDiv w:val="1"/>
      <w:marLeft w:val="0"/>
      <w:marRight w:val="0"/>
      <w:marTop w:val="0"/>
      <w:marBottom w:val="0"/>
      <w:divBdr>
        <w:top w:val="none" w:sz="0" w:space="0" w:color="auto"/>
        <w:left w:val="none" w:sz="0" w:space="0" w:color="auto"/>
        <w:bottom w:val="none" w:sz="0" w:space="0" w:color="auto"/>
        <w:right w:val="none" w:sz="0" w:space="0" w:color="auto"/>
      </w:divBdr>
      <w:divsChild>
        <w:div w:id="523322232">
          <w:marLeft w:val="547"/>
          <w:marRight w:val="0"/>
          <w:marTop w:val="220"/>
          <w:marBottom w:val="120"/>
          <w:divBdr>
            <w:top w:val="none" w:sz="0" w:space="0" w:color="auto"/>
            <w:left w:val="none" w:sz="0" w:space="0" w:color="auto"/>
            <w:bottom w:val="none" w:sz="0" w:space="0" w:color="auto"/>
            <w:right w:val="none" w:sz="0" w:space="0" w:color="auto"/>
          </w:divBdr>
        </w:div>
        <w:div w:id="1597906907">
          <w:marLeft w:val="547"/>
          <w:marRight w:val="0"/>
          <w:marTop w:val="220"/>
          <w:marBottom w:val="120"/>
          <w:divBdr>
            <w:top w:val="none" w:sz="0" w:space="0" w:color="auto"/>
            <w:left w:val="none" w:sz="0" w:space="0" w:color="auto"/>
            <w:bottom w:val="none" w:sz="0" w:space="0" w:color="auto"/>
            <w:right w:val="none" w:sz="0" w:space="0" w:color="auto"/>
          </w:divBdr>
        </w:div>
        <w:div w:id="474032391">
          <w:marLeft w:val="547"/>
          <w:marRight w:val="0"/>
          <w:marTop w:val="2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yperlink" Target="http://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3B82-155D-4B3D-8C82-0FE539AD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8531</Words>
  <Characters>48631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8570.10.01.11: PIAACReducing Nonresponse Bias and Preliminary Nonresponse Bias Analysis</vt:lpstr>
    </vt:vector>
  </TitlesOfParts>
  <Company>Westat</Company>
  <LinksUpToDate>false</LinksUpToDate>
  <CharactersWithSpaces>57048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8570.10.01.11: PIAACReducing Nonresponse Bias and Preliminary Nonresponse Bias Analysis</dc:title>
  <dc:creator>Leyla Mohadjer</dc:creator>
  <cp:lastModifiedBy>kashka.kubzdela</cp:lastModifiedBy>
  <cp:revision>6</cp:revision>
  <cp:lastPrinted>2013-02-11T15:18:00Z</cp:lastPrinted>
  <dcterms:created xsi:type="dcterms:W3CDTF">2011-04-28T16:00:00Z</dcterms:created>
  <dcterms:modified xsi:type="dcterms:W3CDTF">2013-02-21T01:37:00Z</dcterms:modified>
</cp:coreProperties>
</file>