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B99" w:rsidRPr="006D6EEA" w:rsidRDefault="00CA3B99" w:rsidP="00A3065F">
      <w:pPr>
        <w:widowControl/>
        <w:tabs>
          <w:tab w:val="center" w:pos="4680"/>
        </w:tabs>
        <w:jc w:val="center"/>
        <w:rPr>
          <w:bCs/>
          <w:sz w:val="26"/>
          <w:szCs w:val="26"/>
        </w:rPr>
      </w:pPr>
      <w:r w:rsidRPr="006D6EEA">
        <w:rPr>
          <w:bCs/>
          <w:sz w:val="26"/>
          <w:szCs w:val="26"/>
        </w:rPr>
        <w:t>Supporting Statement for</w:t>
      </w:r>
    </w:p>
    <w:p w:rsidR="00CA3B99" w:rsidRPr="006D6EEA" w:rsidRDefault="00CA3B99" w:rsidP="00A3065F">
      <w:pPr>
        <w:widowControl/>
        <w:tabs>
          <w:tab w:val="center" w:pos="5040"/>
        </w:tabs>
        <w:jc w:val="center"/>
        <w:rPr>
          <w:b/>
          <w:bCs/>
          <w:sz w:val="26"/>
          <w:szCs w:val="26"/>
        </w:rPr>
      </w:pPr>
      <w:r w:rsidRPr="006D6EEA">
        <w:rPr>
          <w:b/>
          <w:bCs/>
          <w:sz w:val="26"/>
          <w:szCs w:val="26"/>
        </w:rPr>
        <w:t xml:space="preserve">FERC-545 (Gas Pipeline Rates: Rate Change Non-Formal), </w:t>
      </w:r>
    </w:p>
    <w:p w:rsidR="00CA3B99" w:rsidRPr="006D6EEA" w:rsidRDefault="00CA3B99" w:rsidP="00A3065F">
      <w:pPr>
        <w:widowControl/>
        <w:tabs>
          <w:tab w:val="center" w:pos="5040"/>
        </w:tabs>
        <w:jc w:val="center"/>
        <w:rPr>
          <w:b/>
          <w:bCs/>
          <w:sz w:val="26"/>
          <w:szCs w:val="26"/>
        </w:rPr>
      </w:pPr>
      <w:r w:rsidRPr="006D6EEA">
        <w:rPr>
          <w:b/>
          <w:sz w:val="26"/>
          <w:szCs w:val="26"/>
        </w:rPr>
        <w:t>FERC-549 (</w:t>
      </w:r>
      <w:r w:rsidRPr="006D6EEA">
        <w:rPr>
          <w:b/>
          <w:bCs/>
          <w:sz w:val="26"/>
          <w:szCs w:val="26"/>
        </w:rPr>
        <w:t xml:space="preserve">Gas Pipeline Rates:  NGPA Title III and NGA Blanket Certificate Transactions), and </w:t>
      </w:r>
    </w:p>
    <w:p w:rsidR="00CA3B99" w:rsidRDefault="00CA3B99" w:rsidP="00A3065F">
      <w:pPr>
        <w:widowControl/>
        <w:tabs>
          <w:tab w:val="center" w:pos="4680"/>
        </w:tabs>
        <w:jc w:val="center"/>
        <w:rPr>
          <w:b/>
          <w:bCs/>
          <w:sz w:val="26"/>
          <w:szCs w:val="26"/>
        </w:rPr>
      </w:pPr>
      <w:r w:rsidRPr="006D6EEA">
        <w:rPr>
          <w:b/>
          <w:bCs/>
          <w:sz w:val="26"/>
          <w:szCs w:val="26"/>
        </w:rPr>
        <w:t>FERC-550 (Oil Pipeline Rates:  Tariff Filings)</w:t>
      </w:r>
      <w:r>
        <w:rPr>
          <w:b/>
          <w:bCs/>
          <w:sz w:val="26"/>
          <w:szCs w:val="26"/>
        </w:rPr>
        <w:t xml:space="preserve">, </w:t>
      </w:r>
    </w:p>
    <w:p w:rsidR="00CA3B99" w:rsidRPr="006D6EEA" w:rsidRDefault="00CA3B99" w:rsidP="00A3065F">
      <w:pPr>
        <w:widowControl/>
        <w:tabs>
          <w:tab w:val="center" w:pos="4680"/>
        </w:tabs>
        <w:jc w:val="center"/>
        <w:rPr>
          <w:b/>
          <w:bCs/>
          <w:sz w:val="26"/>
          <w:szCs w:val="26"/>
        </w:rPr>
      </w:pPr>
      <w:proofErr w:type="gramStart"/>
      <w:r>
        <w:rPr>
          <w:b/>
          <w:bCs/>
          <w:sz w:val="26"/>
          <w:szCs w:val="26"/>
        </w:rPr>
        <w:t>as</w:t>
      </w:r>
      <w:proofErr w:type="gramEnd"/>
      <w:r>
        <w:rPr>
          <w:b/>
          <w:bCs/>
          <w:sz w:val="26"/>
          <w:szCs w:val="26"/>
        </w:rPr>
        <w:t xml:space="preserve"> revised by Dockets RM07-16 and RM01-5</w:t>
      </w:r>
      <w:bookmarkStart w:id="0" w:name="_Ref352062444"/>
      <w:r>
        <w:rPr>
          <w:rStyle w:val="FootnoteReference"/>
          <w:sz w:val="26"/>
          <w:szCs w:val="26"/>
        </w:rPr>
        <w:footnoteReference w:id="1"/>
      </w:r>
      <w:bookmarkEnd w:id="0"/>
      <w:r>
        <w:rPr>
          <w:b/>
          <w:bCs/>
          <w:sz w:val="26"/>
          <w:szCs w:val="26"/>
        </w:rPr>
        <w:t xml:space="preserve">    </w:t>
      </w:r>
    </w:p>
    <w:p w:rsidR="00CA3B99" w:rsidRPr="006D6EEA" w:rsidRDefault="00CA3B99">
      <w:pPr>
        <w:rPr>
          <w:sz w:val="26"/>
          <w:szCs w:val="26"/>
        </w:rPr>
      </w:pPr>
    </w:p>
    <w:p w:rsidR="00CA3B99" w:rsidRPr="006D6EEA" w:rsidRDefault="00CA3B99" w:rsidP="000478BB">
      <w:pPr>
        <w:ind w:firstLine="720"/>
        <w:rPr>
          <w:sz w:val="26"/>
          <w:szCs w:val="26"/>
        </w:rPr>
      </w:pPr>
      <w:r w:rsidRPr="006D6EEA">
        <w:rPr>
          <w:sz w:val="26"/>
          <w:szCs w:val="26"/>
        </w:rPr>
        <w:t xml:space="preserve">The Federal Energy Regulatory Commission (Commission or FERC) requests that the Office of Management and Budget (OMB) review and approve, for a three-year period, changes </w:t>
      </w:r>
      <w:r>
        <w:rPr>
          <w:sz w:val="26"/>
          <w:szCs w:val="26"/>
        </w:rPr>
        <w:t>made in Docket</w:t>
      </w:r>
      <w:r w:rsidRPr="009B7756">
        <w:rPr>
          <w:sz w:val="26"/>
          <w:szCs w:val="26"/>
        </w:rPr>
        <w:t>s RM07-16</w:t>
      </w:r>
      <w:r>
        <w:rPr>
          <w:sz w:val="26"/>
          <w:szCs w:val="26"/>
        </w:rPr>
        <w:t xml:space="preserve"> and</w:t>
      </w:r>
      <w:r w:rsidRPr="009B7756">
        <w:rPr>
          <w:sz w:val="26"/>
          <w:szCs w:val="26"/>
        </w:rPr>
        <w:t xml:space="preserve"> RM01-5-000</w:t>
      </w:r>
      <w:r w:rsidR="00C1495C" w:rsidRPr="00CA411F">
        <w:rPr>
          <w:vertAlign w:val="superscript"/>
        </w:rPr>
        <w:fldChar w:fldCharType="begin"/>
      </w:r>
      <w:r w:rsidR="00C1495C" w:rsidRPr="00CA411F">
        <w:rPr>
          <w:vertAlign w:val="superscript"/>
        </w:rPr>
        <w:instrText xml:space="preserve"> NOTEREF _Ref352062444 \h  \* MERGEFORMAT </w:instrText>
      </w:r>
      <w:r w:rsidR="00C1495C" w:rsidRPr="00CA411F">
        <w:rPr>
          <w:vertAlign w:val="superscript"/>
        </w:rPr>
      </w:r>
      <w:r w:rsidR="00C1495C" w:rsidRPr="00CA411F">
        <w:rPr>
          <w:vertAlign w:val="superscript"/>
        </w:rPr>
        <w:fldChar w:fldCharType="separate"/>
      </w:r>
      <w:r w:rsidRPr="00CA411F">
        <w:rPr>
          <w:vertAlign w:val="superscript"/>
        </w:rPr>
        <w:t>1</w:t>
      </w:r>
      <w:r w:rsidR="00C1495C" w:rsidRPr="00CA411F">
        <w:rPr>
          <w:vertAlign w:val="superscript"/>
        </w:rPr>
        <w:fldChar w:fldCharType="end"/>
      </w:r>
      <w:r>
        <w:rPr>
          <w:sz w:val="26"/>
          <w:szCs w:val="26"/>
        </w:rPr>
        <w:t xml:space="preserve"> </w:t>
      </w:r>
      <w:r w:rsidRPr="006D6EEA">
        <w:rPr>
          <w:sz w:val="26"/>
          <w:szCs w:val="26"/>
        </w:rPr>
        <w:t>to</w:t>
      </w:r>
      <w:r>
        <w:rPr>
          <w:sz w:val="26"/>
          <w:szCs w:val="26"/>
        </w:rPr>
        <w:t xml:space="preserve"> the following</w:t>
      </w:r>
      <w:r w:rsidRPr="006D6EEA">
        <w:rPr>
          <w:sz w:val="26"/>
          <w:szCs w:val="26"/>
        </w:rPr>
        <w:t xml:space="preserve">: </w:t>
      </w:r>
    </w:p>
    <w:p w:rsidR="00CA3B99" w:rsidRPr="006D6EEA" w:rsidRDefault="00CA3B99" w:rsidP="000478BB">
      <w:pPr>
        <w:pStyle w:val="ListParagraph"/>
        <w:numPr>
          <w:ilvl w:val="0"/>
          <w:numId w:val="1"/>
        </w:numPr>
        <w:rPr>
          <w:sz w:val="26"/>
          <w:szCs w:val="26"/>
        </w:rPr>
      </w:pPr>
      <w:r w:rsidRPr="006D6EEA">
        <w:rPr>
          <w:sz w:val="26"/>
          <w:szCs w:val="26"/>
        </w:rPr>
        <w:t xml:space="preserve">FERC-545 (Gas Pipeline Rates: Rate Change Non-Formal), </w:t>
      </w:r>
      <w:r>
        <w:rPr>
          <w:sz w:val="26"/>
          <w:szCs w:val="26"/>
        </w:rPr>
        <w:t>OMB Control No. 1902-0154,</w:t>
      </w:r>
    </w:p>
    <w:p w:rsidR="00CA3B99" w:rsidRPr="006D6EEA" w:rsidRDefault="00CA3B99" w:rsidP="000478BB">
      <w:pPr>
        <w:pStyle w:val="ListParagraph"/>
        <w:numPr>
          <w:ilvl w:val="0"/>
          <w:numId w:val="1"/>
        </w:numPr>
        <w:rPr>
          <w:sz w:val="26"/>
          <w:szCs w:val="26"/>
        </w:rPr>
      </w:pPr>
      <w:r w:rsidRPr="006D6EEA">
        <w:rPr>
          <w:sz w:val="26"/>
          <w:szCs w:val="26"/>
        </w:rPr>
        <w:t xml:space="preserve">FERC-549 (Gas Pipeline Rates:  NGPA Title III and NGA Blanket Certificate Transactions), </w:t>
      </w:r>
      <w:r>
        <w:rPr>
          <w:sz w:val="26"/>
          <w:szCs w:val="26"/>
        </w:rPr>
        <w:t xml:space="preserve">OMB Control No. 1902-0086, </w:t>
      </w:r>
      <w:r w:rsidRPr="006D6EEA">
        <w:rPr>
          <w:sz w:val="26"/>
          <w:szCs w:val="26"/>
        </w:rPr>
        <w:t xml:space="preserve">and </w:t>
      </w:r>
    </w:p>
    <w:p w:rsidR="00CA3B99" w:rsidRPr="006D6EEA" w:rsidRDefault="00CA3B99" w:rsidP="000478BB">
      <w:pPr>
        <w:pStyle w:val="ListParagraph"/>
        <w:numPr>
          <w:ilvl w:val="0"/>
          <w:numId w:val="1"/>
        </w:numPr>
        <w:rPr>
          <w:sz w:val="26"/>
          <w:szCs w:val="26"/>
        </w:rPr>
      </w:pPr>
      <w:r w:rsidRPr="006D6EEA">
        <w:rPr>
          <w:sz w:val="26"/>
          <w:szCs w:val="26"/>
        </w:rPr>
        <w:t>FERC-550 (Oil Pipeline Rates:  Tariff Filings)</w:t>
      </w:r>
      <w:r>
        <w:rPr>
          <w:sz w:val="26"/>
          <w:szCs w:val="26"/>
        </w:rPr>
        <w:t>, OMB Control No. 1902-0089</w:t>
      </w:r>
      <w:r w:rsidRPr="006D6EEA">
        <w:rPr>
          <w:sz w:val="26"/>
          <w:szCs w:val="26"/>
        </w:rPr>
        <w:t xml:space="preserve">.  </w:t>
      </w:r>
    </w:p>
    <w:p w:rsidR="00CA3B99" w:rsidRDefault="00546516" w:rsidP="006D6EEA">
      <w:pPr>
        <w:rPr>
          <w:sz w:val="26"/>
          <w:szCs w:val="26"/>
        </w:rPr>
      </w:pPr>
      <w:r w:rsidRPr="007350DD">
        <w:rPr>
          <w:sz w:val="26"/>
          <w:szCs w:val="26"/>
          <w:highlight w:val="lightGray"/>
        </w:rPr>
        <w:t>The recent issuances in RM07-16 and RM01-</w:t>
      </w:r>
      <w:proofErr w:type="gramStart"/>
      <w:r w:rsidRPr="007350DD">
        <w:rPr>
          <w:sz w:val="26"/>
          <w:szCs w:val="26"/>
          <w:highlight w:val="lightGray"/>
        </w:rPr>
        <w:t>51  affect</w:t>
      </w:r>
      <w:proofErr w:type="gramEnd"/>
      <w:r w:rsidRPr="007350DD">
        <w:rPr>
          <w:sz w:val="26"/>
          <w:szCs w:val="26"/>
          <w:highlight w:val="lightGray"/>
        </w:rPr>
        <w:t xml:space="preserve"> </w:t>
      </w:r>
      <w:r w:rsidR="00784BDA">
        <w:rPr>
          <w:sz w:val="26"/>
          <w:szCs w:val="26"/>
          <w:highlight w:val="lightGray"/>
        </w:rPr>
        <w:t>subsets</w:t>
      </w:r>
      <w:r w:rsidRPr="007350DD">
        <w:rPr>
          <w:sz w:val="26"/>
          <w:szCs w:val="26"/>
          <w:highlight w:val="lightGray"/>
        </w:rPr>
        <w:t xml:space="preserve"> of </w:t>
      </w:r>
      <w:r w:rsidR="00784BDA">
        <w:rPr>
          <w:sz w:val="26"/>
          <w:szCs w:val="26"/>
          <w:highlight w:val="lightGray"/>
        </w:rPr>
        <w:t xml:space="preserve">the </w:t>
      </w:r>
      <w:r w:rsidRPr="007350DD">
        <w:rPr>
          <w:sz w:val="26"/>
          <w:szCs w:val="26"/>
          <w:highlight w:val="lightGray"/>
        </w:rPr>
        <w:t>3 OMB Control Nos.</w:t>
      </w:r>
      <w:r w:rsidR="00784BDA">
        <w:rPr>
          <w:sz w:val="26"/>
          <w:szCs w:val="26"/>
          <w:highlight w:val="lightGray"/>
        </w:rPr>
        <w:t xml:space="preserve">   </w:t>
      </w:r>
      <w:r w:rsidRPr="007350DD">
        <w:rPr>
          <w:sz w:val="26"/>
          <w:szCs w:val="26"/>
          <w:highlight w:val="lightGray"/>
        </w:rPr>
        <w:t xml:space="preserve">FERC is submitting this consolidated supporting statement to OMB </w:t>
      </w:r>
      <w:r w:rsidR="00784BDA">
        <w:rPr>
          <w:sz w:val="26"/>
          <w:szCs w:val="26"/>
          <w:highlight w:val="lightGray"/>
        </w:rPr>
        <w:t xml:space="preserve">with one ICR </w:t>
      </w:r>
      <w:r w:rsidRPr="007350DD">
        <w:rPr>
          <w:sz w:val="26"/>
          <w:szCs w:val="26"/>
          <w:highlight w:val="lightGray"/>
        </w:rPr>
        <w:t xml:space="preserve">for each of the 3 </w:t>
      </w:r>
      <w:r w:rsidR="00784BDA">
        <w:rPr>
          <w:sz w:val="26"/>
          <w:szCs w:val="26"/>
          <w:highlight w:val="lightGray"/>
        </w:rPr>
        <w:t xml:space="preserve">separate </w:t>
      </w:r>
      <w:r w:rsidRPr="007350DD">
        <w:rPr>
          <w:sz w:val="26"/>
          <w:szCs w:val="26"/>
          <w:highlight w:val="lightGray"/>
        </w:rPr>
        <w:t>OMB Control Numbers.</w:t>
      </w:r>
    </w:p>
    <w:p w:rsidR="001C6BCB" w:rsidRPr="006D6EEA" w:rsidRDefault="001C6BCB" w:rsidP="006D6EEA">
      <w:pPr>
        <w:rPr>
          <w:sz w:val="26"/>
          <w:szCs w:val="26"/>
        </w:rPr>
      </w:pPr>
    </w:p>
    <w:p w:rsidR="00CA3B99" w:rsidRPr="00844D5B" w:rsidRDefault="00CA3B99" w:rsidP="00482097">
      <w:pPr>
        <w:ind w:firstLine="720"/>
        <w:rPr>
          <w:sz w:val="26"/>
          <w:szCs w:val="26"/>
        </w:rPr>
      </w:pPr>
      <w:proofErr w:type="gramStart"/>
      <w:r>
        <w:rPr>
          <w:sz w:val="26"/>
          <w:szCs w:val="26"/>
        </w:rPr>
        <w:t xml:space="preserve">In this order in </w:t>
      </w:r>
      <w:r w:rsidRPr="006D6EEA">
        <w:rPr>
          <w:sz w:val="26"/>
          <w:szCs w:val="26"/>
        </w:rPr>
        <w:t>Docket</w:t>
      </w:r>
      <w:r>
        <w:rPr>
          <w:sz w:val="26"/>
          <w:szCs w:val="26"/>
        </w:rPr>
        <w:t xml:space="preserve"> No</w:t>
      </w:r>
      <w:r w:rsidRPr="006D6EEA">
        <w:rPr>
          <w:sz w:val="26"/>
          <w:szCs w:val="26"/>
        </w:rPr>
        <w:t>s</w:t>
      </w:r>
      <w:r>
        <w:rPr>
          <w:sz w:val="26"/>
          <w:szCs w:val="26"/>
        </w:rPr>
        <w:t>.</w:t>
      </w:r>
      <w:proofErr w:type="gramEnd"/>
      <w:r w:rsidRPr="006D6EEA">
        <w:rPr>
          <w:sz w:val="26"/>
          <w:szCs w:val="26"/>
        </w:rPr>
        <w:t xml:space="preserve"> RM07-16, RM01-5</w:t>
      </w:r>
      <w:r w:rsidR="00C1495C" w:rsidRPr="00CA411F">
        <w:rPr>
          <w:vertAlign w:val="superscript"/>
        </w:rPr>
        <w:fldChar w:fldCharType="begin"/>
      </w:r>
      <w:r w:rsidR="00C1495C" w:rsidRPr="00CA411F">
        <w:rPr>
          <w:vertAlign w:val="superscript"/>
        </w:rPr>
        <w:instrText xml:space="preserve"> NOTEREF _Ref352062444 \h  \* MERGEFORMAT </w:instrText>
      </w:r>
      <w:r w:rsidR="00C1495C" w:rsidRPr="00CA411F">
        <w:rPr>
          <w:vertAlign w:val="superscript"/>
        </w:rPr>
      </w:r>
      <w:r w:rsidR="00C1495C" w:rsidRPr="00CA411F">
        <w:rPr>
          <w:vertAlign w:val="superscript"/>
        </w:rPr>
        <w:fldChar w:fldCharType="separate"/>
      </w:r>
      <w:r w:rsidRPr="00CA411F">
        <w:rPr>
          <w:vertAlign w:val="superscript"/>
        </w:rPr>
        <w:t>1</w:t>
      </w:r>
      <w:r w:rsidR="00C1495C" w:rsidRPr="00CA411F">
        <w:rPr>
          <w:vertAlign w:val="superscript"/>
        </w:rPr>
        <w:fldChar w:fldCharType="end"/>
      </w:r>
      <w:r w:rsidRPr="006D6EEA">
        <w:rPr>
          <w:sz w:val="26"/>
          <w:szCs w:val="26"/>
        </w:rPr>
        <w:t>, and RM12-3</w:t>
      </w:r>
      <w:r>
        <w:rPr>
          <w:sz w:val="26"/>
          <w:szCs w:val="26"/>
        </w:rPr>
        <w:t>, FERC</w:t>
      </w:r>
      <w:r w:rsidRPr="006D6EEA">
        <w:rPr>
          <w:sz w:val="26"/>
          <w:szCs w:val="26"/>
        </w:rPr>
        <w:t xml:space="preserve"> is revising the compan</w:t>
      </w:r>
      <w:r>
        <w:rPr>
          <w:sz w:val="26"/>
          <w:szCs w:val="26"/>
        </w:rPr>
        <w:t xml:space="preserve">ies’ front-end </w:t>
      </w:r>
      <w:r w:rsidRPr="004D3635">
        <w:rPr>
          <w:sz w:val="26"/>
          <w:szCs w:val="26"/>
        </w:rPr>
        <w:t>registration process with respect to the filing of electronic tariffs (</w:t>
      </w:r>
      <w:proofErr w:type="spellStart"/>
      <w:r w:rsidRPr="004D3635">
        <w:rPr>
          <w:sz w:val="26"/>
          <w:szCs w:val="26"/>
        </w:rPr>
        <w:t>eTariff</w:t>
      </w:r>
      <w:proofErr w:type="spellEnd"/>
      <w:r w:rsidRPr="004D3635">
        <w:rPr>
          <w:sz w:val="26"/>
          <w:szCs w:val="26"/>
        </w:rPr>
        <w:t>)</w:t>
      </w:r>
      <w:r w:rsidR="00035823">
        <w:rPr>
          <w:sz w:val="26"/>
          <w:szCs w:val="26"/>
        </w:rPr>
        <w:t>.  We expect the approach to be expanded later</w:t>
      </w:r>
      <w:r w:rsidRPr="004D3635">
        <w:rPr>
          <w:sz w:val="26"/>
          <w:szCs w:val="26"/>
        </w:rPr>
        <w:t xml:space="preserve"> to future filings requiring a company registration account.</w:t>
      </w:r>
      <w:r w:rsidR="00035823">
        <w:rPr>
          <w:sz w:val="26"/>
          <w:szCs w:val="26"/>
        </w:rPr>
        <w:t xml:space="preserve">  If those actions trigger the PRA, separate submittals will be made to OMB</w:t>
      </w:r>
      <w:r w:rsidR="00C13CF6">
        <w:rPr>
          <w:sz w:val="26"/>
          <w:szCs w:val="26"/>
        </w:rPr>
        <w:t xml:space="preserve"> at that time</w:t>
      </w:r>
      <w:r w:rsidR="00035823">
        <w:rPr>
          <w:sz w:val="26"/>
          <w:szCs w:val="26"/>
        </w:rPr>
        <w:t>.</w:t>
      </w:r>
      <w:r w:rsidRPr="004D3635">
        <w:rPr>
          <w:sz w:val="26"/>
          <w:szCs w:val="26"/>
        </w:rPr>
        <w:t xml:space="preserve"> </w:t>
      </w:r>
      <w:r w:rsidR="001146C0">
        <w:rPr>
          <w:sz w:val="26"/>
          <w:szCs w:val="26"/>
        </w:rPr>
        <w:t xml:space="preserve"> </w:t>
      </w:r>
      <w:r w:rsidRPr="004D3635">
        <w:rPr>
          <w:sz w:val="26"/>
          <w:szCs w:val="26"/>
        </w:rPr>
        <w:t xml:space="preserve">These procedures are expected to take effect </w:t>
      </w:r>
      <w:r w:rsidR="00AC64A6" w:rsidRPr="00CA411F">
        <w:rPr>
          <w:sz w:val="26"/>
          <w:szCs w:val="26"/>
        </w:rPr>
        <w:t>no sooner than 7/1</w:t>
      </w:r>
      <w:r w:rsidR="00C13CF6">
        <w:rPr>
          <w:sz w:val="26"/>
          <w:szCs w:val="26"/>
        </w:rPr>
        <w:t>2</w:t>
      </w:r>
      <w:r w:rsidRPr="004D3635">
        <w:rPr>
          <w:sz w:val="26"/>
          <w:szCs w:val="26"/>
        </w:rPr>
        <w:t>/2013.  These changes are being made for the tariff and rate filings that are submitted by interstate and intrastate natural gas pipelines and oil pipelines, similar to the company registration</w:t>
      </w:r>
      <w:r>
        <w:rPr>
          <w:sz w:val="26"/>
          <w:szCs w:val="26"/>
        </w:rPr>
        <w:t xml:space="preserve"> requirements established for electric utilities in Docket No. </w:t>
      </w:r>
      <w:proofErr w:type="gramStart"/>
      <w:r>
        <w:rPr>
          <w:sz w:val="26"/>
          <w:szCs w:val="26"/>
        </w:rPr>
        <w:t>RM12-3</w:t>
      </w:r>
      <w:r w:rsidRPr="00844D5B">
        <w:rPr>
          <w:sz w:val="26"/>
          <w:szCs w:val="26"/>
        </w:rPr>
        <w:t>.</w:t>
      </w:r>
      <w:bookmarkStart w:id="1" w:name="_Ref353283425"/>
      <w:proofErr w:type="gramEnd"/>
      <w:r w:rsidRPr="00844D5B">
        <w:rPr>
          <w:rStyle w:val="FootnoteReference"/>
          <w:sz w:val="26"/>
          <w:szCs w:val="26"/>
        </w:rPr>
        <w:footnoteReference w:id="2"/>
      </w:r>
      <w:bookmarkEnd w:id="1"/>
      <w:r w:rsidRPr="00844D5B">
        <w:rPr>
          <w:vertAlign w:val="superscript"/>
        </w:rPr>
        <w:t xml:space="preserve"> </w:t>
      </w:r>
      <w:r w:rsidRPr="00844D5B">
        <w:t xml:space="preserve">  </w:t>
      </w:r>
      <w:r w:rsidRPr="006A51AB">
        <w:rPr>
          <w:sz w:val="26"/>
          <w:szCs w:val="26"/>
          <w:highlight w:val="lightGray"/>
        </w:rPr>
        <w:t>Only the front-end administrative process of preparing to make a</w:t>
      </w:r>
      <w:r w:rsidR="003D6D32">
        <w:rPr>
          <w:sz w:val="26"/>
          <w:szCs w:val="26"/>
          <w:highlight w:val="lightGray"/>
        </w:rPr>
        <w:t xml:space="preserve">n </w:t>
      </w:r>
      <w:proofErr w:type="spellStart"/>
      <w:r w:rsidR="003D6D32">
        <w:rPr>
          <w:sz w:val="26"/>
          <w:szCs w:val="26"/>
          <w:highlight w:val="lightGray"/>
        </w:rPr>
        <w:t>eTariff</w:t>
      </w:r>
      <w:proofErr w:type="spellEnd"/>
      <w:r w:rsidR="003D6D32">
        <w:rPr>
          <w:sz w:val="26"/>
          <w:szCs w:val="26"/>
          <w:highlight w:val="lightGray"/>
        </w:rPr>
        <w:t xml:space="preserve"> </w:t>
      </w:r>
      <w:r w:rsidRPr="006A51AB">
        <w:rPr>
          <w:sz w:val="26"/>
          <w:szCs w:val="26"/>
          <w:highlight w:val="lightGray"/>
        </w:rPr>
        <w:t>filing is changing</w:t>
      </w:r>
      <w:r>
        <w:rPr>
          <w:sz w:val="26"/>
          <w:szCs w:val="26"/>
          <w:highlight w:val="lightGray"/>
        </w:rPr>
        <w:t xml:space="preserve"> (e.g., establishing the Company Identifier and identifying agents)</w:t>
      </w:r>
      <w:r w:rsidRPr="006A51AB">
        <w:rPr>
          <w:sz w:val="26"/>
          <w:szCs w:val="26"/>
          <w:highlight w:val="lightGray"/>
        </w:rPr>
        <w:t>; other components of the filing requirements are not affected by this order and are not changing.</w:t>
      </w:r>
      <w:r w:rsidR="0041662C">
        <w:rPr>
          <w:sz w:val="26"/>
          <w:szCs w:val="26"/>
        </w:rPr>
        <w:t xml:space="preserve">  </w:t>
      </w:r>
    </w:p>
    <w:p w:rsidR="00CA3B99" w:rsidRDefault="00CA3B99" w:rsidP="006D6EEA">
      <w:pPr>
        <w:rPr>
          <w:sz w:val="26"/>
          <w:szCs w:val="26"/>
        </w:rPr>
      </w:pPr>
    </w:p>
    <w:p w:rsidR="00CA3B99" w:rsidRDefault="00CA3B99" w:rsidP="00A54BF1">
      <w:pPr>
        <w:ind w:firstLine="720"/>
        <w:rPr>
          <w:sz w:val="26"/>
          <w:szCs w:val="26"/>
        </w:rPr>
      </w:pPr>
    </w:p>
    <w:p w:rsidR="00CA3B99" w:rsidRDefault="00CA3B99" w:rsidP="006A51AB">
      <w:pPr>
        <w:rPr>
          <w:sz w:val="26"/>
          <w:szCs w:val="26"/>
        </w:rPr>
      </w:pPr>
      <w:r w:rsidRPr="007202AB">
        <w:rPr>
          <w:sz w:val="26"/>
          <w:szCs w:val="26"/>
        </w:rPr>
        <w:tab/>
      </w:r>
      <w:r>
        <w:rPr>
          <w:sz w:val="26"/>
          <w:szCs w:val="26"/>
        </w:rPr>
        <w:t>The</w:t>
      </w:r>
      <w:r w:rsidRPr="007202AB">
        <w:rPr>
          <w:sz w:val="26"/>
          <w:szCs w:val="26"/>
        </w:rPr>
        <w:t xml:space="preserve"> Commission is revising the company </w:t>
      </w:r>
      <w:r w:rsidR="001C6BCB">
        <w:rPr>
          <w:sz w:val="26"/>
          <w:szCs w:val="26"/>
        </w:rPr>
        <w:t xml:space="preserve">and agent </w:t>
      </w:r>
      <w:r w:rsidRPr="007202AB">
        <w:rPr>
          <w:sz w:val="26"/>
          <w:szCs w:val="26"/>
        </w:rPr>
        <w:t xml:space="preserve">registration process for interstate and intrastate natural gas pipelines and </w:t>
      </w:r>
      <w:r w:rsidRPr="004D3635">
        <w:rPr>
          <w:sz w:val="26"/>
          <w:szCs w:val="26"/>
        </w:rPr>
        <w:t>oil pipelines with respect to the filing of electronic tariffs (</w:t>
      </w:r>
      <w:proofErr w:type="spellStart"/>
      <w:r w:rsidRPr="004D3635">
        <w:rPr>
          <w:sz w:val="26"/>
          <w:szCs w:val="26"/>
        </w:rPr>
        <w:t>eTariff</w:t>
      </w:r>
      <w:proofErr w:type="spellEnd"/>
      <w:r w:rsidRPr="004D3635">
        <w:rPr>
          <w:sz w:val="26"/>
          <w:szCs w:val="26"/>
        </w:rPr>
        <w:t>)</w:t>
      </w:r>
      <w:r w:rsidR="00CD55E1">
        <w:rPr>
          <w:sz w:val="26"/>
          <w:szCs w:val="26"/>
        </w:rPr>
        <w:t>.</w:t>
      </w:r>
      <w:r w:rsidRPr="00644F14">
        <w:rPr>
          <w:sz w:val="26"/>
          <w:szCs w:val="26"/>
        </w:rPr>
        <w:t xml:space="preserve"> These procedures are expected to take effect </w:t>
      </w:r>
      <w:r w:rsidR="009E206A">
        <w:rPr>
          <w:sz w:val="26"/>
          <w:szCs w:val="26"/>
        </w:rPr>
        <w:t>beginning 8/5</w:t>
      </w:r>
      <w:r w:rsidRPr="004D3635">
        <w:rPr>
          <w:sz w:val="26"/>
          <w:szCs w:val="26"/>
        </w:rPr>
        <w:t>/2013.</w:t>
      </w:r>
      <w:bookmarkStart w:id="3" w:name="_Ref355880137"/>
      <w:r w:rsidR="004C7DF8">
        <w:rPr>
          <w:rStyle w:val="FootnoteReference"/>
          <w:sz w:val="26"/>
          <w:szCs w:val="26"/>
        </w:rPr>
        <w:footnoteReference w:id="3"/>
      </w:r>
      <w:bookmarkEnd w:id="3"/>
      <w:r w:rsidRPr="004D3635">
        <w:rPr>
          <w:sz w:val="26"/>
          <w:szCs w:val="26"/>
        </w:rPr>
        <w:t xml:space="preserve">  To improve security and the filing process, the Commission is adopting a revised method of authenticating filings requiring the use of a company registration number. </w:t>
      </w:r>
      <w:r w:rsidRPr="00644F14">
        <w:rPr>
          <w:sz w:val="26"/>
          <w:szCs w:val="26"/>
        </w:rPr>
        <w:t xml:space="preserve"> Under this system, the fi</w:t>
      </w:r>
      <w:r w:rsidRPr="007202AB">
        <w:rPr>
          <w:sz w:val="26"/>
          <w:szCs w:val="26"/>
        </w:rPr>
        <w:t xml:space="preserve">ler will maintain a list of </w:t>
      </w:r>
      <w:proofErr w:type="spellStart"/>
      <w:r w:rsidRPr="007202AB">
        <w:rPr>
          <w:sz w:val="26"/>
          <w:szCs w:val="26"/>
        </w:rPr>
        <w:t>eRegistered</w:t>
      </w:r>
      <w:proofErr w:type="spellEnd"/>
      <w:r w:rsidRPr="007202AB">
        <w:rPr>
          <w:sz w:val="26"/>
          <w:szCs w:val="26"/>
        </w:rPr>
        <w:t xml:space="preserve"> agents which it has authorized to submit filings on its behalf. </w:t>
      </w:r>
      <w:r>
        <w:rPr>
          <w:sz w:val="26"/>
          <w:szCs w:val="26"/>
        </w:rPr>
        <w:t xml:space="preserve"> </w:t>
      </w:r>
      <w:r w:rsidRPr="007202AB">
        <w:rPr>
          <w:sz w:val="26"/>
          <w:szCs w:val="26"/>
        </w:rPr>
        <w:t xml:space="preserve">A filer can designate multiple individuals as its agents. The agent will use its </w:t>
      </w:r>
      <w:proofErr w:type="spellStart"/>
      <w:r w:rsidRPr="007202AB">
        <w:rPr>
          <w:sz w:val="26"/>
          <w:szCs w:val="26"/>
        </w:rPr>
        <w:t>eRegistration</w:t>
      </w:r>
      <w:proofErr w:type="spellEnd"/>
      <w:r w:rsidRPr="007202AB">
        <w:rPr>
          <w:sz w:val="26"/>
          <w:szCs w:val="26"/>
        </w:rPr>
        <w:t xml:space="preserve"> account to log onto FERC Online</w:t>
      </w:r>
      <w:r w:rsidRPr="007B4357">
        <w:rPr>
          <w:sz w:val="26"/>
          <w:szCs w:val="26"/>
        </w:rPr>
        <w:t xml:space="preserve">.  </w:t>
      </w:r>
    </w:p>
    <w:p w:rsidR="00CA3B99" w:rsidRDefault="00CA3B99" w:rsidP="006C749F">
      <w:pPr>
        <w:rPr>
          <w:sz w:val="26"/>
          <w:szCs w:val="26"/>
        </w:rPr>
      </w:pPr>
    </w:p>
    <w:p w:rsidR="00CA3B99" w:rsidRDefault="00CA3B99" w:rsidP="006C749F">
      <w:pPr>
        <w:rPr>
          <w:sz w:val="26"/>
          <w:szCs w:val="26"/>
        </w:rPr>
      </w:pPr>
      <w:r>
        <w:rPr>
          <w:sz w:val="26"/>
          <w:szCs w:val="26"/>
        </w:rPr>
        <w:tab/>
        <w:t>General information about the filing requirements that are not modified by the order</w:t>
      </w:r>
      <w:r w:rsidR="00C1495C" w:rsidRPr="00CA411F">
        <w:rPr>
          <w:vertAlign w:val="superscript"/>
        </w:rPr>
        <w:fldChar w:fldCharType="begin"/>
      </w:r>
      <w:r w:rsidR="00C1495C" w:rsidRPr="00CA411F">
        <w:rPr>
          <w:vertAlign w:val="superscript"/>
        </w:rPr>
        <w:instrText xml:space="preserve"> NOTEREF _Ref352062444 \h  \* MERGEFORMAT </w:instrText>
      </w:r>
      <w:r w:rsidR="00C1495C" w:rsidRPr="00CA411F">
        <w:rPr>
          <w:vertAlign w:val="superscript"/>
        </w:rPr>
      </w:r>
      <w:r w:rsidR="00C1495C" w:rsidRPr="00CA411F">
        <w:rPr>
          <w:vertAlign w:val="superscript"/>
        </w:rPr>
        <w:fldChar w:fldCharType="separate"/>
      </w:r>
      <w:r w:rsidRPr="00CA411F">
        <w:rPr>
          <w:vertAlign w:val="superscript"/>
        </w:rPr>
        <w:t>1</w:t>
      </w:r>
      <w:r w:rsidR="00C1495C" w:rsidRPr="00CA411F">
        <w:rPr>
          <w:vertAlign w:val="superscript"/>
        </w:rPr>
        <w:fldChar w:fldCharType="end"/>
      </w:r>
      <w:r w:rsidRPr="007202AB">
        <w:rPr>
          <w:sz w:val="26"/>
          <w:szCs w:val="26"/>
          <w:vertAlign w:val="superscript"/>
        </w:rPr>
        <w:t xml:space="preserve"> </w:t>
      </w:r>
      <w:r>
        <w:rPr>
          <w:sz w:val="26"/>
          <w:szCs w:val="26"/>
        </w:rPr>
        <w:t>is also provided in this supporting statement for background, under Questions 1 and 2.</w:t>
      </w:r>
    </w:p>
    <w:p w:rsidR="00CA3B99" w:rsidRDefault="00CA3B99" w:rsidP="006C749F">
      <w:pPr>
        <w:rPr>
          <w:sz w:val="26"/>
          <w:szCs w:val="26"/>
        </w:rPr>
      </w:pPr>
    </w:p>
    <w:p w:rsidR="00CA3B99" w:rsidRPr="006C749F" w:rsidRDefault="00CA3B99" w:rsidP="00636AAB">
      <w:pPr>
        <w:rPr>
          <w:b/>
          <w:sz w:val="26"/>
          <w:szCs w:val="26"/>
        </w:rPr>
      </w:pPr>
      <w:r w:rsidRPr="006C749F">
        <w:rPr>
          <w:b/>
          <w:sz w:val="26"/>
          <w:szCs w:val="26"/>
        </w:rPr>
        <w:t xml:space="preserve">A.  </w:t>
      </w:r>
      <w:r w:rsidRPr="006C749F">
        <w:rPr>
          <w:b/>
          <w:sz w:val="26"/>
          <w:szCs w:val="26"/>
        </w:rPr>
        <w:tab/>
        <w:t>Justification</w:t>
      </w:r>
    </w:p>
    <w:p w:rsidR="00CA3B99" w:rsidRPr="006C749F" w:rsidRDefault="00CA3B99" w:rsidP="00636AAB">
      <w:pPr>
        <w:rPr>
          <w:b/>
          <w:sz w:val="26"/>
          <w:szCs w:val="26"/>
        </w:rPr>
      </w:pPr>
    </w:p>
    <w:p w:rsidR="00CA3B99" w:rsidRPr="007202AB" w:rsidRDefault="00CA3B99" w:rsidP="00636AAB">
      <w:pPr>
        <w:pStyle w:val="ListParagraph"/>
        <w:numPr>
          <w:ilvl w:val="0"/>
          <w:numId w:val="2"/>
        </w:numPr>
        <w:rPr>
          <w:b/>
          <w:sz w:val="26"/>
          <w:szCs w:val="26"/>
        </w:rPr>
      </w:pPr>
      <w:r w:rsidRPr="006C749F">
        <w:rPr>
          <w:b/>
          <w:sz w:val="26"/>
          <w:szCs w:val="26"/>
        </w:rPr>
        <w:t xml:space="preserve">CIRCUMSTANCES THAT MAKE THE COLLECTION OF INFORMATION NECESSARY </w:t>
      </w:r>
    </w:p>
    <w:p w:rsidR="00CA3B99" w:rsidRDefault="00CA3B99" w:rsidP="006C749F">
      <w:pPr>
        <w:rPr>
          <w:sz w:val="26"/>
          <w:szCs w:val="26"/>
        </w:rPr>
      </w:pPr>
    </w:p>
    <w:p w:rsidR="00CA3B99" w:rsidRPr="006C749F" w:rsidRDefault="00CA3B99" w:rsidP="006C749F">
      <w:pPr>
        <w:rPr>
          <w:sz w:val="26"/>
          <w:szCs w:val="26"/>
        </w:rPr>
      </w:pPr>
      <w:proofErr w:type="gramStart"/>
      <w:r>
        <w:rPr>
          <w:b/>
          <w:sz w:val="26"/>
          <w:szCs w:val="26"/>
        </w:rPr>
        <w:t>FERC-550.</w:t>
      </w:r>
      <w:proofErr w:type="gramEnd"/>
      <w:r>
        <w:rPr>
          <w:b/>
          <w:sz w:val="26"/>
          <w:szCs w:val="26"/>
        </w:rPr>
        <w:t xml:space="preserve">  </w:t>
      </w:r>
      <w:r w:rsidRPr="006035D4">
        <w:rPr>
          <w:sz w:val="26"/>
          <w:szCs w:val="26"/>
        </w:rPr>
        <w:t>FERC-550 is required to implement the sections of the Interstate Commerce Act (ICA) (</w:t>
      </w:r>
      <w:r w:rsidRPr="00BA5BD0">
        <w:rPr>
          <w:szCs w:val="26"/>
        </w:rPr>
        <w:t xml:space="preserve">49 USC §§ 1, </w:t>
      </w:r>
      <w:r w:rsidRPr="00BA5BD0">
        <w:rPr>
          <w:i/>
          <w:szCs w:val="26"/>
        </w:rPr>
        <w:t>et seq.</w:t>
      </w:r>
      <w:r>
        <w:rPr>
          <w:i/>
          <w:szCs w:val="26"/>
        </w:rPr>
        <w:t xml:space="preserve">, </w:t>
      </w:r>
      <w:r>
        <w:rPr>
          <w:szCs w:val="26"/>
        </w:rPr>
        <w:t>49 App. USC 1-85</w:t>
      </w:r>
      <w:r w:rsidRPr="006035D4">
        <w:rPr>
          <w:sz w:val="26"/>
          <w:szCs w:val="26"/>
        </w:rPr>
        <w:t>).</w:t>
      </w:r>
      <w:r>
        <w:rPr>
          <w:sz w:val="26"/>
          <w:szCs w:val="26"/>
        </w:rPr>
        <w:t xml:space="preserve">  </w:t>
      </w:r>
      <w:r w:rsidRPr="006C749F">
        <w:rPr>
          <w:sz w:val="26"/>
          <w:szCs w:val="26"/>
        </w:rPr>
        <w:t>The Commission's regulatory jurisdiction over oil pipelines includes:</w:t>
      </w:r>
    </w:p>
    <w:p w:rsidR="00CA3B99" w:rsidRPr="006C749F" w:rsidRDefault="00CA3B99" w:rsidP="006C749F">
      <w:pPr>
        <w:pStyle w:val="ListParagraph"/>
        <w:numPr>
          <w:ilvl w:val="0"/>
          <w:numId w:val="3"/>
        </w:numPr>
        <w:rPr>
          <w:sz w:val="26"/>
          <w:szCs w:val="26"/>
        </w:rPr>
      </w:pPr>
      <w:r w:rsidRPr="006C749F">
        <w:rPr>
          <w:sz w:val="26"/>
          <w:szCs w:val="26"/>
        </w:rPr>
        <w:t xml:space="preserve">regulation of rates and practices of oil pipeline companies engaged in interstate transportation; </w:t>
      </w:r>
    </w:p>
    <w:p w:rsidR="00CA3B99" w:rsidRPr="006C749F" w:rsidRDefault="00CA3B99" w:rsidP="006C749F">
      <w:pPr>
        <w:pStyle w:val="ListParagraph"/>
        <w:numPr>
          <w:ilvl w:val="0"/>
          <w:numId w:val="3"/>
        </w:numPr>
        <w:rPr>
          <w:sz w:val="26"/>
          <w:szCs w:val="26"/>
        </w:rPr>
      </w:pPr>
      <w:r w:rsidRPr="006C749F">
        <w:rPr>
          <w:sz w:val="26"/>
          <w:szCs w:val="26"/>
        </w:rPr>
        <w:t xml:space="preserve">establishment of equal service conditions to provide shippers with equal access to pipeline transportation; </w:t>
      </w:r>
    </w:p>
    <w:p w:rsidR="00CA3B99" w:rsidRDefault="00CA3B99" w:rsidP="006C749F">
      <w:pPr>
        <w:pStyle w:val="ListParagraph"/>
        <w:numPr>
          <w:ilvl w:val="0"/>
          <w:numId w:val="3"/>
        </w:numPr>
        <w:rPr>
          <w:sz w:val="26"/>
          <w:szCs w:val="26"/>
        </w:rPr>
      </w:pPr>
      <w:r w:rsidRPr="006C749F">
        <w:rPr>
          <w:sz w:val="26"/>
          <w:szCs w:val="26"/>
        </w:rPr>
        <w:t>establishment of reasonable rates for transporting petroleum and petroleum products by pipeline</w:t>
      </w:r>
      <w:r>
        <w:rPr>
          <w:sz w:val="26"/>
          <w:szCs w:val="26"/>
        </w:rPr>
        <w:t>; and</w:t>
      </w:r>
    </w:p>
    <w:p w:rsidR="00CA3B99" w:rsidRPr="006C749F" w:rsidRDefault="00CA3B99" w:rsidP="006C749F">
      <w:pPr>
        <w:pStyle w:val="ListParagraph"/>
        <w:numPr>
          <w:ilvl w:val="0"/>
          <w:numId w:val="3"/>
        </w:numPr>
        <w:rPr>
          <w:sz w:val="26"/>
          <w:szCs w:val="26"/>
        </w:rPr>
      </w:pPr>
      <w:r>
        <w:rPr>
          <w:sz w:val="26"/>
          <w:szCs w:val="26"/>
        </w:rPr>
        <w:t>Reports related thereto.</w:t>
      </w:r>
      <w:r w:rsidRPr="006C749F">
        <w:rPr>
          <w:sz w:val="26"/>
          <w:szCs w:val="26"/>
        </w:rPr>
        <w:t xml:space="preserve"> </w:t>
      </w:r>
    </w:p>
    <w:p w:rsidR="00CA3B99" w:rsidRPr="006C749F" w:rsidRDefault="00CA3B99" w:rsidP="006C749F">
      <w:pPr>
        <w:rPr>
          <w:sz w:val="26"/>
          <w:szCs w:val="26"/>
        </w:rPr>
      </w:pPr>
    </w:p>
    <w:p w:rsidR="00CA3B99" w:rsidRDefault="00CA3B99" w:rsidP="006C749F">
      <w:pPr>
        <w:rPr>
          <w:sz w:val="26"/>
          <w:szCs w:val="26"/>
        </w:rPr>
      </w:pPr>
      <w:r w:rsidRPr="006C749F">
        <w:rPr>
          <w:sz w:val="26"/>
          <w:szCs w:val="26"/>
        </w:rPr>
        <w:tab/>
        <w:t>The filing requirements for oil pipeline tariffs and rates</w:t>
      </w:r>
      <w:r>
        <w:rPr>
          <w:sz w:val="26"/>
          <w:szCs w:val="26"/>
        </w:rPr>
        <w:t>,</w:t>
      </w:r>
      <w:r w:rsidRPr="006C749F">
        <w:rPr>
          <w:sz w:val="26"/>
          <w:szCs w:val="26"/>
        </w:rPr>
        <w:t xml:space="preserve"> put in place by the FERC-550</w:t>
      </w:r>
      <w:r>
        <w:rPr>
          <w:sz w:val="26"/>
          <w:szCs w:val="26"/>
        </w:rPr>
        <w:t>,</w:t>
      </w:r>
      <w:r w:rsidRPr="006C749F">
        <w:rPr>
          <w:sz w:val="26"/>
          <w:szCs w:val="26"/>
        </w:rPr>
        <w:t xml:space="preserve"> provide the Commission with the information it needs to analyze the rates, practices, and service conditions of oil pipelines.  </w:t>
      </w:r>
    </w:p>
    <w:p w:rsidR="00CA3B99" w:rsidRDefault="00CA3B99" w:rsidP="006C749F">
      <w:pPr>
        <w:rPr>
          <w:sz w:val="26"/>
          <w:szCs w:val="26"/>
        </w:rPr>
      </w:pPr>
      <w:r w:rsidRPr="006C749F">
        <w:rPr>
          <w:sz w:val="26"/>
          <w:szCs w:val="26"/>
        </w:rPr>
        <w:lastRenderedPageBreak/>
        <w:t xml:space="preserve">  </w:t>
      </w:r>
    </w:p>
    <w:p w:rsidR="00CA3B99" w:rsidRPr="006C749F" w:rsidRDefault="00CA3B99" w:rsidP="006C749F">
      <w:pPr>
        <w:rPr>
          <w:sz w:val="26"/>
          <w:szCs w:val="26"/>
        </w:rPr>
      </w:pPr>
      <w:proofErr w:type="gramStart"/>
      <w:r w:rsidRPr="006C749F">
        <w:rPr>
          <w:b/>
          <w:sz w:val="26"/>
          <w:szCs w:val="26"/>
        </w:rPr>
        <w:t>FERC-545</w:t>
      </w:r>
      <w:r>
        <w:rPr>
          <w:sz w:val="26"/>
          <w:szCs w:val="26"/>
        </w:rPr>
        <w:t>.</w:t>
      </w:r>
      <w:proofErr w:type="gramEnd"/>
      <w:r>
        <w:rPr>
          <w:sz w:val="26"/>
          <w:szCs w:val="26"/>
        </w:rPr>
        <w:t xml:space="preserve">  FERC-545 </w:t>
      </w:r>
      <w:r w:rsidRPr="006C749F">
        <w:rPr>
          <w:sz w:val="26"/>
          <w:szCs w:val="26"/>
        </w:rPr>
        <w:t xml:space="preserve">is required to implement sections 4, 5, and 16 of the Natural Gas Act (NGA), (15 USC 717c   717o, PL 75 688, 52 Stat. 822 and 830).  NGA Sections 4, 5, and 6 authorize the Commission to inquire into rate structures and methodologies and to set rates at a just and reasonable level.  Specifically, a natural gas company must obtain Commission authorization for all rates and charges made, demanded, or received in connection with the transportation or sale of natural gas in interstate commerce.  Under the NGA, a natural gas company’s rates must be just and reasonable and not unduly discriminatory or preferential.  The Commission may act under different sections of the NGA to effect a change in a natural gas company’s rates.  When the Commission reviews rate increases that a natural gas company has proposed, it is subject to the requirement of section 4(e) of the NGA.  Under section 4(e), the natural gas company bears the burden of proving that its proposed rates are just and reasonable.  On the other hand, when the Commission seeks to impose its own rate determination, it must do so in compliance with section 5(a) of the NGA.  Under section 5, the Commission must first establish that its alternative rate proposal is both just and reasonable.  </w:t>
      </w:r>
    </w:p>
    <w:p w:rsidR="00CA3B99" w:rsidRPr="006C749F" w:rsidRDefault="00CA3B99" w:rsidP="006C749F">
      <w:pPr>
        <w:rPr>
          <w:sz w:val="26"/>
          <w:szCs w:val="26"/>
        </w:rPr>
      </w:pPr>
    </w:p>
    <w:p w:rsidR="00CA3B99" w:rsidRPr="006C749F" w:rsidRDefault="00CA3B99" w:rsidP="00482097">
      <w:pPr>
        <w:ind w:firstLine="720"/>
        <w:rPr>
          <w:sz w:val="26"/>
          <w:szCs w:val="26"/>
        </w:rPr>
      </w:pPr>
      <w:r w:rsidRPr="006C749F">
        <w:rPr>
          <w:sz w:val="26"/>
          <w:szCs w:val="26"/>
        </w:rPr>
        <w:t>Section 16 of the NGA states that the Commission “shall have the power to perform any and all acts, and to prescribe, issue, make, amend, and rescind such orders, rules, and regulations as it may find necessary or appropriate to carry out provisions of [the NGA].”  In other words, section 16 of the NGA grants the Commission the power to define accounting, technical and trade terms, prescribe forms, statements, declarations or reports and to prescribe rules and regulations.</w:t>
      </w:r>
    </w:p>
    <w:p w:rsidR="00CA3B99" w:rsidRPr="006C749F" w:rsidRDefault="00CA3B99" w:rsidP="006C749F">
      <w:pPr>
        <w:rPr>
          <w:sz w:val="26"/>
          <w:szCs w:val="26"/>
        </w:rPr>
      </w:pPr>
    </w:p>
    <w:p w:rsidR="00CA3B99" w:rsidRPr="006C749F" w:rsidRDefault="00CA3B99" w:rsidP="00482097">
      <w:pPr>
        <w:ind w:firstLine="720"/>
        <w:rPr>
          <w:sz w:val="26"/>
          <w:szCs w:val="26"/>
        </w:rPr>
      </w:pPr>
      <w:r w:rsidRPr="006C749F">
        <w:rPr>
          <w:sz w:val="26"/>
          <w:szCs w:val="26"/>
        </w:rPr>
        <w:t xml:space="preserve">Pipelines adjust their tariffs to meet market and customer needs.  Commission review of these proposed changes is required to ensure rates remain just and reasonable and that services are not provided in an unduly or preferential manner.  The Commission’s regulation in 18 C.F.R. Part 154 </w:t>
      </w:r>
      <w:r w:rsidR="008606EE" w:rsidRPr="006C749F">
        <w:rPr>
          <w:sz w:val="26"/>
          <w:szCs w:val="26"/>
        </w:rPr>
        <w:t>specifies</w:t>
      </w:r>
      <w:r w:rsidRPr="006C749F">
        <w:rPr>
          <w:sz w:val="26"/>
          <w:szCs w:val="26"/>
        </w:rPr>
        <w:t xml:space="preserve"> what changes are allowed and the procedures for requesting Commission approval.  </w:t>
      </w:r>
    </w:p>
    <w:p w:rsidR="00CA3B99" w:rsidRDefault="00CA3B99">
      <w:pPr>
        <w:ind w:firstLine="720"/>
        <w:rPr>
          <w:sz w:val="26"/>
          <w:szCs w:val="26"/>
        </w:rPr>
      </w:pPr>
    </w:p>
    <w:p w:rsidR="00CA3B99" w:rsidRDefault="00CA3B99" w:rsidP="00482097">
      <w:pPr>
        <w:ind w:firstLine="720"/>
        <w:rPr>
          <w:sz w:val="26"/>
          <w:szCs w:val="26"/>
        </w:rPr>
      </w:pPr>
      <w:r w:rsidRPr="006C749F">
        <w:rPr>
          <w:sz w:val="26"/>
          <w:szCs w:val="26"/>
        </w:rPr>
        <w:t>The Commission uses the FERC-545 information to examine service and tariff provisions related to natural gas transportation and storage services.  The following information is the subject of the FERC-545:  (1) tariff filings and any related compliance filings; (2) rate case filings and any related compliance filings; (3) informational reports; (4) negotiated rates (5) non-conforming agreement filings and (6) NAESB Activity (tariff portion only)</w:t>
      </w:r>
      <w:r>
        <w:rPr>
          <w:sz w:val="26"/>
          <w:szCs w:val="26"/>
        </w:rPr>
        <w:t>.</w:t>
      </w:r>
    </w:p>
    <w:p w:rsidR="00CA3B99" w:rsidRPr="00DE1F52" w:rsidRDefault="00CA3B99" w:rsidP="00DE1F52">
      <w:pPr>
        <w:rPr>
          <w:sz w:val="26"/>
          <w:szCs w:val="26"/>
        </w:rPr>
      </w:pPr>
    </w:p>
    <w:p w:rsidR="00CA3B99" w:rsidRPr="00DE1F52" w:rsidRDefault="00CA3B99" w:rsidP="00DE1F52">
      <w:pPr>
        <w:rPr>
          <w:sz w:val="26"/>
          <w:szCs w:val="26"/>
        </w:rPr>
      </w:pPr>
      <w:proofErr w:type="gramStart"/>
      <w:r w:rsidRPr="00DE1F52">
        <w:rPr>
          <w:b/>
          <w:sz w:val="26"/>
          <w:szCs w:val="26"/>
        </w:rPr>
        <w:t>FERC-549.</w:t>
      </w:r>
      <w:proofErr w:type="gramEnd"/>
      <w:r>
        <w:rPr>
          <w:sz w:val="26"/>
          <w:szCs w:val="26"/>
        </w:rPr>
        <w:t xml:space="preserve">  </w:t>
      </w:r>
      <w:r w:rsidRPr="00DE1F52">
        <w:rPr>
          <w:sz w:val="26"/>
          <w:szCs w:val="26"/>
        </w:rPr>
        <w:t>FERC-549 is required to implement the statutory provisions governed by Sections 311 and 312 of the Natural Gas Policy Act (NGPA) (15 USC 3371-3372) and Section 7 of the Natural Gas Act (NGA) (15 U.S.C. 717f).  The reporting requirements for implementing these provisions are contained in 18 Code of Federal regulations (CFR) Part 284.</w:t>
      </w:r>
    </w:p>
    <w:p w:rsidR="004C7DF8" w:rsidRDefault="004C7DF8" w:rsidP="00DE1F52">
      <w:pPr>
        <w:rPr>
          <w:sz w:val="26"/>
          <w:szCs w:val="26"/>
        </w:rPr>
      </w:pPr>
    </w:p>
    <w:p w:rsidR="00CA3B99" w:rsidRPr="00DE1F52" w:rsidRDefault="004C7DF8" w:rsidP="00DE1F52">
      <w:pPr>
        <w:rPr>
          <w:sz w:val="26"/>
          <w:szCs w:val="26"/>
        </w:rPr>
      </w:pPr>
      <w:proofErr w:type="gramStart"/>
      <w:r w:rsidRPr="004C7DF8">
        <w:rPr>
          <w:sz w:val="26"/>
          <w:szCs w:val="26"/>
        </w:rPr>
        <w:t>Transportation by Interstate Pipelines.</w:t>
      </w:r>
      <w:proofErr w:type="gramEnd"/>
      <w:r w:rsidRPr="004C7DF8">
        <w:rPr>
          <w:sz w:val="26"/>
          <w:szCs w:val="26"/>
        </w:rPr>
        <w:t xml:space="preserve">  In 18 CFR 284.102(e), the Commission requires interstate pipelines to obtain proper certification in order to ship natural gas on behalf of </w:t>
      </w:r>
      <w:r w:rsidRPr="004C7DF8">
        <w:rPr>
          <w:sz w:val="26"/>
          <w:szCs w:val="26"/>
        </w:rPr>
        <w:lastRenderedPageBreak/>
        <w:t xml:space="preserve">intrastate pipelines and local distribution companies (LDC).  This certification consists of a letter from the intrastate pipeline or LDC authorizing the interstate pipeline to ship gas on its behalf.  In addition, interstate pipelines must obtain from its shippers certifications including sufficient information to verify that their services qualify under this section.   </w:t>
      </w:r>
    </w:p>
    <w:p w:rsidR="004C7DF8" w:rsidRDefault="004C7DF8" w:rsidP="00DE1F52">
      <w:pPr>
        <w:rPr>
          <w:sz w:val="26"/>
          <w:szCs w:val="26"/>
        </w:rPr>
      </w:pPr>
    </w:p>
    <w:p w:rsidR="00CA3B99" w:rsidRPr="00DE1F52" w:rsidRDefault="00CA3B99" w:rsidP="00DE1F52">
      <w:pPr>
        <w:rPr>
          <w:sz w:val="26"/>
          <w:szCs w:val="26"/>
        </w:rPr>
      </w:pPr>
      <w:proofErr w:type="gramStart"/>
      <w:r w:rsidRPr="00DE1F52">
        <w:rPr>
          <w:sz w:val="26"/>
          <w:szCs w:val="26"/>
        </w:rPr>
        <w:t>Rates and Charges for Intrastate Pipelines</w:t>
      </w:r>
      <w:r>
        <w:rPr>
          <w:sz w:val="26"/>
          <w:szCs w:val="26"/>
        </w:rPr>
        <w:t>.</w:t>
      </w:r>
      <w:proofErr w:type="gramEnd"/>
      <w:r>
        <w:rPr>
          <w:sz w:val="26"/>
          <w:szCs w:val="26"/>
        </w:rPr>
        <w:t xml:space="preserve">  </w:t>
      </w:r>
      <w:r w:rsidRPr="00DE1F52">
        <w:rPr>
          <w:sz w:val="26"/>
          <w:szCs w:val="26"/>
        </w:rPr>
        <w:t xml:space="preserve">18 CFR 284.123(b) provides that intrastate gas pipeline companies </w:t>
      </w:r>
      <w:r>
        <w:rPr>
          <w:sz w:val="26"/>
          <w:szCs w:val="26"/>
        </w:rPr>
        <w:t xml:space="preserve">and local distribution companies not subject to Commission jurisdiction pursuant to section 1(c) of the NGA with blanket transportation authority pursuant to 18 CFR 284.224 </w:t>
      </w:r>
      <w:r w:rsidRPr="00DE1F52">
        <w:rPr>
          <w:sz w:val="26"/>
          <w:szCs w:val="26"/>
        </w:rPr>
        <w:t>file for Commission approval of rates for services performed in the interstate transportation of gas.  An intrastate gas pipeline company may elect to use rates contained in one of its then effective transportation rate schedules on file with an appropriate state regulatory agency for intrastate service comparable to the interstate service OR file proposed rates and supporting information showing the rates are cost based and are fair and equitable.  150 days after the application is filed the rate is deemed to be fair and equitable unless the Commission either extends the time for action, institutes a proceeding</w:t>
      </w:r>
      <w:r w:rsidR="008A0CFE">
        <w:rPr>
          <w:sz w:val="26"/>
          <w:szCs w:val="26"/>
        </w:rPr>
        <w:t>,</w:t>
      </w:r>
      <w:r w:rsidRPr="00DE1F52">
        <w:rPr>
          <w:sz w:val="26"/>
          <w:szCs w:val="26"/>
        </w:rPr>
        <w:t xml:space="preserve"> or issues an order providing for rates it deems to be fair and equitable.</w:t>
      </w:r>
    </w:p>
    <w:p w:rsidR="00CA3B99" w:rsidRPr="00DE1F52" w:rsidRDefault="00CA3B99" w:rsidP="00DE1F52">
      <w:pPr>
        <w:rPr>
          <w:sz w:val="26"/>
          <w:szCs w:val="26"/>
        </w:rPr>
      </w:pPr>
      <w:r w:rsidRPr="00DE1F52">
        <w:rPr>
          <w:sz w:val="26"/>
          <w:szCs w:val="26"/>
        </w:rPr>
        <w:t xml:space="preserve"> </w:t>
      </w:r>
      <w:r w:rsidRPr="00DE1F52">
        <w:rPr>
          <w:sz w:val="26"/>
          <w:szCs w:val="26"/>
        </w:rPr>
        <w:tab/>
      </w:r>
    </w:p>
    <w:p w:rsidR="00CA3B99" w:rsidRDefault="00CA3B99" w:rsidP="00DE1F52">
      <w:pPr>
        <w:rPr>
          <w:sz w:val="26"/>
          <w:szCs w:val="26"/>
        </w:rPr>
      </w:pPr>
      <w:r w:rsidRPr="00DE1F52">
        <w:rPr>
          <w:sz w:val="26"/>
          <w:szCs w:val="26"/>
        </w:rPr>
        <w:t>18 CFR 284.123(e) requires that within 30 days of commencement of new service any intrastate pipeline engaging in the transportation of gas in interstate commerce must file a statement that includes the interstate rates and a description of how the pipeline will engage in the transportation services, including operating conditions.  If an intrastate gas pipeline company changes its operations or rates it must amend the statement on file with the Commission.  Such amendment is to be filed not later than 30 days after commencement of the change in operations or change in rate election.</w:t>
      </w:r>
    </w:p>
    <w:p w:rsidR="004C6A8D" w:rsidRPr="00DE1F52" w:rsidRDefault="004C6A8D" w:rsidP="00DE1F52">
      <w:pPr>
        <w:rPr>
          <w:sz w:val="26"/>
          <w:szCs w:val="26"/>
        </w:rPr>
      </w:pPr>
    </w:p>
    <w:p w:rsidR="00CA3B99" w:rsidRDefault="00CA3B99" w:rsidP="00DE1F52">
      <w:pPr>
        <w:rPr>
          <w:sz w:val="26"/>
          <w:szCs w:val="26"/>
        </w:rPr>
      </w:pPr>
      <w:proofErr w:type="gramStart"/>
      <w:r w:rsidRPr="00DE1F52">
        <w:rPr>
          <w:sz w:val="26"/>
          <w:szCs w:val="26"/>
        </w:rPr>
        <w:t>Market-Based Rates for Storage</w:t>
      </w:r>
      <w:r>
        <w:rPr>
          <w:sz w:val="26"/>
          <w:szCs w:val="26"/>
        </w:rPr>
        <w:t>.</w:t>
      </w:r>
      <w:proofErr w:type="gramEnd"/>
      <w:r>
        <w:rPr>
          <w:sz w:val="26"/>
          <w:szCs w:val="26"/>
        </w:rPr>
        <w:t xml:space="preserve">  </w:t>
      </w:r>
      <w:r w:rsidRPr="00DE1F52">
        <w:rPr>
          <w:sz w:val="26"/>
          <w:szCs w:val="26"/>
        </w:rPr>
        <w:t>In 2006</w:t>
      </w:r>
      <w:r>
        <w:rPr>
          <w:sz w:val="26"/>
          <w:szCs w:val="26"/>
        </w:rPr>
        <w:t>,</w:t>
      </w:r>
      <w:r w:rsidRPr="00DE1F52">
        <w:rPr>
          <w:sz w:val="26"/>
          <w:szCs w:val="26"/>
        </w:rPr>
        <w:t xml:space="preserve"> the Commission establish</w:t>
      </w:r>
      <w:r>
        <w:rPr>
          <w:sz w:val="26"/>
          <w:szCs w:val="26"/>
        </w:rPr>
        <w:t>ed</w:t>
      </w:r>
      <w:r w:rsidRPr="00DE1F52">
        <w:rPr>
          <w:sz w:val="26"/>
          <w:szCs w:val="26"/>
        </w:rPr>
        <w:t xml:space="preserve"> criteria for obtaining market-based rates for storage services offered </w:t>
      </w:r>
      <w:proofErr w:type="gramStart"/>
      <w:r w:rsidRPr="00DE1F52">
        <w:rPr>
          <w:sz w:val="26"/>
          <w:szCs w:val="26"/>
        </w:rPr>
        <w:t>under</w:t>
      </w:r>
      <w:proofErr w:type="gramEnd"/>
      <w:r w:rsidRPr="00DE1F52">
        <w:rPr>
          <w:sz w:val="26"/>
          <w:szCs w:val="26"/>
        </w:rPr>
        <w:t xml:space="preserve"> 18 CFR 284.501-505.</w:t>
      </w:r>
      <w:r>
        <w:rPr>
          <w:rStyle w:val="FootnoteReference"/>
          <w:sz w:val="26"/>
          <w:szCs w:val="26"/>
        </w:rPr>
        <w:footnoteReference w:id="4"/>
      </w:r>
      <w:r w:rsidRPr="00DE1F52">
        <w:rPr>
          <w:sz w:val="26"/>
          <w:szCs w:val="26"/>
        </w:rPr>
        <w:t xml:space="preserve">  First, the Commission modified its market-power analysis to better reflect the competitive alternatives to storage.  Second, pursuant to the Energy Policy Act of 2005, the Commission promulgated rules to implement section 4(f) of the Natural Gas Act, to permit underground natural gas storage service providers that are unable to show that they lack market power to negotiate market-based rates in circumstances where market-based rates are in the public interest and necessary to encourage the construction of the storage capacity in the area needing storage services, and where customers are adequately protected.  These revisions </w:t>
      </w:r>
      <w:r>
        <w:rPr>
          <w:sz w:val="26"/>
          <w:szCs w:val="26"/>
        </w:rPr>
        <w:t>we</w:t>
      </w:r>
      <w:r w:rsidRPr="00DE1F52">
        <w:rPr>
          <w:sz w:val="26"/>
          <w:szCs w:val="26"/>
        </w:rPr>
        <w:t>re intended to facilitate the development of new natural gas storage capacity while protecting customers.</w:t>
      </w:r>
    </w:p>
    <w:p w:rsidR="00CA3B99" w:rsidRDefault="00CA3B99" w:rsidP="00DE1F52">
      <w:pPr>
        <w:rPr>
          <w:sz w:val="26"/>
          <w:szCs w:val="26"/>
        </w:rPr>
      </w:pPr>
    </w:p>
    <w:p w:rsidR="00CA3B99" w:rsidRPr="00DE1F52" w:rsidRDefault="00CA3B99" w:rsidP="00CC5DBC">
      <w:pPr>
        <w:ind w:firstLine="720"/>
        <w:rPr>
          <w:sz w:val="26"/>
          <w:szCs w:val="26"/>
        </w:rPr>
      </w:pPr>
      <w:r w:rsidRPr="00636AAB">
        <w:rPr>
          <w:sz w:val="26"/>
          <w:szCs w:val="26"/>
        </w:rPr>
        <w:t xml:space="preserve">Failure to have this information available would mean the Commission is unable to perform its regulatory functions and to monitor and evaluate transactions and operations of </w:t>
      </w:r>
      <w:r w:rsidRPr="00636AAB">
        <w:rPr>
          <w:sz w:val="26"/>
          <w:szCs w:val="26"/>
        </w:rPr>
        <w:lastRenderedPageBreak/>
        <w:t>interstate pipelines and blanket marketing certificate holders.</w:t>
      </w:r>
    </w:p>
    <w:p w:rsidR="00CA3B99" w:rsidRDefault="00CA3B99" w:rsidP="00226A35">
      <w:pPr>
        <w:rPr>
          <w:sz w:val="26"/>
          <w:szCs w:val="26"/>
        </w:rPr>
      </w:pPr>
    </w:p>
    <w:p w:rsidR="00CA3B99" w:rsidRPr="00226A35" w:rsidRDefault="00CA3B99" w:rsidP="00226A35">
      <w:pPr>
        <w:pStyle w:val="ListParagraph"/>
        <w:numPr>
          <w:ilvl w:val="0"/>
          <w:numId w:val="8"/>
        </w:numPr>
        <w:rPr>
          <w:b/>
          <w:sz w:val="26"/>
          <w:szCs w:val="26"/>
        </w:rPr>
      </w:pPr>
      <w:r w:rsidRPr="00226A35">
        <w:rPr>
          <w:b/>
          <w:sz w:val="26"/>
          <w:szCs w:val="26"/>
        </w:rPr>
        <w:t>HOW, BY WHOM, AND FOR WHAT PURPOSE THE INFORMATION IS TO BE USED AND THE CONSEQUENCES OF NOT COLLECTING THE INFORMATION</w:t>
      </w:r>
    </w:p>
    <w:p w:rsidR="00CA3B99" w:rsidRPr="00226A35" w:rsidRDefault="00CA3B99" w:rsidP="00226A35">
      <w:pPr>
        <w:rPr>
          <w:sz w:val="26"/>
          <w:szCs w:val="26"/>
        </w:rPr>
      </w:pPr>
    </w:p>
    <w:p w:rsidR="00CA3B99" w:rsidRDefault="00CA3B99" w:rsidP="00226A35">
      <w:pPr>
        <w:rPr>
          <w:sz w:val="26"/>
          <w:szCs w:val="26"/>
        </w:rPr>
      </w:pPr>
      <w:proofErr w:type="gramStart"/>
      <w:r w:rsidRPr="00226A35">
        <w:rPr>
          <w:b/>
          <w:sz w:val="26"/>
          <w:szCs w:val="26"/>
        </w:rPr>
        <w:t>FERC-550.</w:t>
      </w:r>
      <w:proofErr w:type="gramEnd"/>
      <w:r>
        <w:rPr>
          <w:sz w:val="26"/>
          <w:szCs w:val="26"/>
        </w:rPr>
        <w:t xml:space="preserve">  </w:t>
      </w:r>
      <w:r w:rsidRPr="00226A35">
        <w:rPr>
          <w:sz w:val="26"/>
          <w:szCs w:val="26"/>
        </w:rPr>
        <w:t xml:space="preserve">The Commission uses information provided through the FERC-550 collection to analyze proposed tariffs, rates, fares, and charges of oil pipelines and other carriers in connection with the transportation of crude oil and petroleum products.  The Commission uses this information to determine whether the proposed tariffs and rates are just and reasonable.  If the FERC-550 information were not collected, the Commission could not determine whether the proposed rates of oil pipelines are just and reasonable.  </w:t>
      </w:r>
    </w:p>
    <w:p w:rsidR="00CA3B99" w:rsidRDefault="00CA3B99" w:rsidP="00210F7B">
      <w:pPr>
        <w:rPr>
          <w:sz w:val="26"/>
          <w:szCs w:val="26"/>
        </w:rPr>
      </w:pPr>
    </w:p>
    <w:p w:rsidR="00CA3B99" w:rsidRDefault="00CA3B99" w:rsidP="00210F7B">
      <w:pPr>
        <w:widowControl/>
        <w:rPr>
          <w:sz w:val="26"/>
          <w:szCs w:val="26"/>
        </w:rPr>
      </w:pPr>
      <w:proofErr w:type="gramStart"/>
      <w:r>
        <w:rPr>
          <w:b/>
          <w:sz w:val="26"/>
          <w:szCs w:val="26"/>
        </w:rPr>
        <w:t>FERC-545.</w:t>
      </w:r>
      <w:proofErr w:type="gramEnd"/>
      <w:r>
        <w:rPr>
          <w:b/>
          <w:sz w:val="26"/>
          <w:szCs w:val="26"/>
        </w:rPr>
        <w:t xml:space="preserve">  </w:t>
      </w:r>
      <w:r>
        <w:rPr>
          <w:sz w:val="26"/>
          <w:szCs w:val="26"/>
        </w:rPr>
        <w:t>The Commission reviews the FERC-545 materials to determine whether proposed transportation and sales rates and terms and conditions of service are just and reasonable.  The Commission uses the FERC-545 information to monitor rates and terms and conditions of service related to jurisdictional transportation, natural gas storage, and unbundled sales activities of jurisdictional companies.  In addition to fulfilling the Commission’s obligations under the NGA, the FERC-545 enables the Commission to monitor the activities and evaluate transactions of the natural gas industry to ensure competitiveness and improved efficiency of the industry’s operations.  In summary, the Commission uses the FERC-545 information to (1) ensure adequate customer protections under section 4 of the NGA; (2) review rate</w:t>
      </w:r>
      <w:r w:rsidR="00B32011">
        <w:rPr>
          <w:sz w:val="26"/>
          <w:szCs w:val="26"/>
        </w:rPr>
        <w:t>s</w:t>
      </w:r>
      <w:r>
        <w:rPr>
          <w:sz w:val="26"/>
          <w:szCs w:val="26"/>
        </w:rPr>
        <w:t xml:space="preserve"> and terms and conditions of service changes by natural gas companies for the transportation of gas and natural gas storage; (3) provide general industry oversight; and (4) supplement documentation during its audits process.</w:t>
      </w:r>
    </w:p>
    <w:p w:rsidR="00CA3B99" w:rsidRDefault="00CA3B99" w:rsidP="00210F7B">
      <w:pPr>
        <w:widowControl/>
        <w:rPr>
          <w:sz w:val="26"/>
          <w:szCs w:val="26"/>
        </w:rPr>
      </w:pPr>
    </w:p>
    <w:p w:rsidR="00CA3B99" w:rsidRPr="00FF32D1" w:rsidRDefault="00CA3B99" w:rsidP="00FF32D1">
      <w:pPr>
        <w:widowControl/>
        <w:rPr>
          <w:sz w:val="26"/>
          <w:szCs w:val="26"/>
        </w:rPr>
      </w:pPr>
      <w:proofErr w:type="gramStart"/>
      <w:r>
        <w:rPr>
          <w:b/>
          <w:sz w:val="26"/>
          <w:szCs w:val="26"/>
        </w:rPr>
        <w:t>FERC-549.</w:t>
      </w:r>
      <w:proofErr w:type="gramEnd"/>
      <w:r>
        <w:rPr>
          <w:b/>
          <w:sz w:val="26"/>
          <w:szCs w:val="26"/>
        </w:rPr>
        <w:t xml:space="preserve">  </w:t>
      </w:r>
      <w:r w:rsidRPr="00FF32D1">
        <w:rPr>
          <w:sz w:val="26"/>
          <w:szCs w:val="26"/>
        </w:rPr>
        <w:t xml:space="preserve">The Commission uses the data to examine service and tariff provisions for the transportation and/or sale of natural gas in interstate commerce filed in compliance with Commission orders.  Specifically, the Commission uses the data to ensure compliance with Sections 311 and 312 of the NGPA, Section 7 of the NGA and Part 284 of the Commission’s regulations.  The information collected or maintained is used by the Commission to monitor jurisdictional transportation activities and the unbundled sales of intrastate and </w:t>
      </w:r>
      <w:proofErr w:type="spellStart"/>
      <w:r w:rsidRPr="00FF32D1">
        <w:rPr>
          <w:sz w:val="26"/>
          <w:szCs w:val="26"/>
        </w:rPr>
        <w:t>Hinshaw</w:t>
      </w:r>
      <w:proofErr w:type="spellEnd"/>
      <w:r w:rsidRPr="00FF32D1">
        <w:rPr>
          <w:sz w:val="26"/>
          <w:szCs w:val="26"/>
        </w:rPr>
        <w:t xml:space="preserve"> pipelines and to ensure the integrity of the gas sales market that remains subject to the Commission’s jurisdiction.</w:t>
      </w:r>
    </w:p>
    <w:p w:rsidR="00CA3B99" w:rsidRPr="00FF32D1" w:rsidRDefault="00CA3B99" w:rsidP="00FF32D1">
      <w:pPr>
        <w:widowControl/>
        <w:ind w:firstLine="720"/>
        <w:rPr>
          <w:sz w:val="26"/>
          <w:szCs w:val="26"/>
        </w:rPr>
      </w:pPr>
    </w:p>
    <w:p w:rsidR="00CA3B99" w:rsidRPr="00FF32D1" w:rsidRDefault="00CA3B99" w:rsidP="00482097">
      <w:pPr>
        <w:widowControl/>
        <w:ind w:firstLine="720"/>
        <w:rPr>
          <w:sz w:val="26"/>
          <w:szCs w:val="26"/>
        </w:rPr>
      </w:pPr>
      <w:r w:rsidRPr="00FF32D1">
        <w:rPr>
          <w:sz w:val="26"/>
          <w:szCs w:val="26"/>
        </w:rPr>
        <w:t xml:space="preserve">Failure to collect this information would prohibit the Commission from monitoring and properly evaluating pipeline transactions and meeting statutory obligations under both the NGPA and the NGA. </w:t>
      </w:r>
    </w:p>
    <w:p w:rsidR="00CA3B99" w:rsidRPr="00007AD7" w:rsidRDefault="00CA3B99" w:rsidP="00210F7B">
      <w:pPr>
        <w:widowControl/>
        <w:rPr>
          <w:sz w:val="26"/>
          <w:szCs w:val="26"/>
        </w:rPr>
      </w:pPr>
    </w:p>
    <w:p w:rsidR="00CA3B99" w:rsidRPr="00FF32D1" w:rsidRDefault="00CA3B99" w:rsidP="00FF32D1">
      <w:pPr>
        <w:widowControl/>
        <w:tabs>
          <w:tab w:val="left" w:pos="-1440"/>
        </w:tabs>
        <w:ind w:left="720" w:hanging="720"/>
        <w:rPr>
          <w:b/>
          <w:bCs/>
          <w:sz w:val="26"/>
          <w:szCs w:val="26"/>
        </w:rPr>
      </w:pPr>
      <w:r w:rsidRPr="00FF32D1">
        <w:rPr>
          <w:sz w:val="26"/>
          <w:szCs w:val="26"/>
        </w:rPr>
        <w:t>3.</w:t>
      </w:r>
      <w:r w:rsidRPr="00FF32D1">
        <w:rPr>
          <w:sz w:val="26"/>
          <w:szCs w:val="26"/>
        </w:rPr>
        <w:tab/>
      </w:r>
      <w:r w:rsidRPr="00FF32D1">
        <w:rPr>
          <w:b/>
          <w:bCs/>
          <w:sz w:val="26"/>
          <w:szCs w:val="26"/>
        </w:rPr>
        <w:t>DESCRIBE ANY CONSIDERATION OF THE USE OF IMPROVED TECHNOLOGY TO REDUCE BURDEN AND TECHNICAL OR LEGAL OBSTACLES TO REDUCING BURDEN.</w:t>
      </w:r>
    </w:p>
    <w:p w:rsidR="00CA3B99" w:rsidRPr="00FF32D1" w:rsidRDefault="00CA3B99" w:rsidP="00FF32D1">
      <w:pPr>
        <w:widowControl/>
        <w:rPr>
          <w:b/>
          <w:bCs/>
          <w:sz w:val="26"/>
          <w:szCs w:val="26"/>
        </w:rPr>
      </w:pPr>
    </w:p>
    <w:p w:rsidR="00CA3B99" w:rsidRDefault="00CA3B99" w:rsidP="00FF32D1">
      <w:pPr>
        <w:widowControl/>
        <w:rPr>
          <w:sz w:val="26"/>
          <w:szCs w:val="26"/>
        </w:rPr>
      </w:pPr>
      <w:proofErr w:type="gramStart"/>
      <w:r>
        <w:rPr>
          <w:b/>
          <w:sz w:val="26"/>
          <w:szCs w:val="26"/>
        </w:rPr>
        <w:lastRenderedPageBreak/>
        <w:t>FERC-550, FERC-545, and FERC-549.</w:t>
      </w:r>
      <w:proofErr w:type="gramEnd"/>
      <w:r>
        <w:rPr>
          <w:b/>
          <w:sz w:val="26"/>
          <w:szCs w:val="26"/>
        </w:rPr>
        <w:t xml:space="preserve">  </w:t>
      </w:r>
      <w:r w:rsidRPr="00FF32D1">
        <w:rPr>
          <w:sz w:val="26"/>
          <w:szCs w:val="26"/>
        </w:rPr>
        <w:t xml:space="preserve">The Commission </w:t>
      </w:r>
      <w:r>
        <w:rPr>
          <w:sz w:val="26"/>
          <w:szCs w:val="26"/>
        </w:rPr>
        <w:t>earlier implemented</w:t>
      </w:r>
      <w:r w:rsidRPr="00FF32D1">
        <w:rPr>
          <w:sz w:val="26"/>
          <w:szCs w:val="26"/>
        </w:rPr>
        <w:t xml:space="preserve"> the capability for electronic filing of all </w:t>
      </w:r>
      <w:r>
        <w:rPr>
          <w:sz w:val="26"/>
          <w:szCs w:val="26"/>
        </w:rPr>
        <w:t xml:space="preserve">tariff </w:t>
      </w:r>
      <w:r w:rsidRPr="00FF32D1">
        <w:rPr>
          <w:sz w:val="26"/>
          <w:szCs w:val="26"/>
        </w:rPr>
        <w:t>submissions</w:t>
      </w:r>
      <w:r>
        <w:rPr>
          <w:sz w:val="26"/>
          <w:szCs w:val="26"/>
        </w:rPr>
        <w:t xml:space="preserve">.  </w:t>
      </w:r>
      <w:r w:rsidRPr="00FF32D1">
        <w:rPr>
          <w:sz w:val="26"/>
          <w:szCs w:val="26"/>
        </w:rPr>
        <w:t>This change</w:t>
      </w:r>
      <w:r>
        <w:rPr>
          <w:sz w:val="26"/>
          <w:szCs w:val="26"/>
        </w:rPr>
        <w:t xml:space="preserve"> described in the order and notices</w:t>
      </w:r>
      <w:r w:rsidR="00C1495C" w:rsidRPr="00CA411F">
        <w:rPr>
          <w:vertAlign w:val="superscript"/>
        </w:rPr>
        <w:fldChar w:fldCharType="begin"/>
      </w:r>
      <w:r w:rsidR="00C1495C" w:rsidRPr="00CA411F">
        <w:rPr>
          <w:vertAlign w:val="superscript"/>
        </w:rPr>
        <w:instrText xml:space="preserve"> NOTEREF _Ref352062444 \h  \* MERGEFORMAT </w:instrText>
      </w:r>
      <w:r w:rsidR="00C1495C" w:rsidRPr="00CA411F">
        <w:rPr>
          <w:vertAlign w:val="superscript"/>
        </w:rPr>
      </w:r>
      <w:r w:rsidR="00C1495C" w:rsidRPr="00CA411F">
        <w:rPr>
          <w:vertAlign w:val="superscript"/>
        </w:rPr>
        <w:fldChar w:fldCharType="separate"/>
      </w:r>
      <w:r w:rsidRPr="00CA411F">
        <w:rPr>
          <w:vertAlign w:val="superscript"/>
        </w:rPr>
        <w:t>1</w:t>
      </w:r>
      <w:r w:rsidR="00C1495C" w:rsidRPr="00CA411F">
        <w:rPr>
          <w:vertAlign w:val="superscript"/>
        </w:rPr>
        <w:fldChar w:fldCharType="end"/>
      </w:r>
      <w:r w:rsidRPr="00FF32D1">
        <w:rPr>
          <w:sz w:val="26"/>
          <w:szCs w:val="26"/>
          <w:vertAlign w:val="superscript"/>
        </w:rPr>
        <w:t xml:space="preserve"> </w:t>
      </w:r>
      <w:r>
        <w:rPr>
          <w:sz w:val="26"/>
          <w:szCs w:val="26"/>
        </w:rPr>
        <w:t>will improve the security of submitting those electronic filings and improve the pipelines’ process of appointing and modifying agents with the authority to make a filing on the pipeline’s behalf</w:t>
      </w:r>
      <w:r w:rsidRPr="00FF32D1">
        <w:rPr>
          <w:sz w:val="26"/>
          <w:szCs w:val="26"/>
        </w:rPr>
        <w:t xml:space="preserve">.  </w:t>
      </w:r>
      <w:r w:rsidRPr="0046224D">
        <w:rPr>
          <w:sz w:val="26"/>
          <w:szCs w:val="26"/>
        </w:rPr>
        <w:t>This process provides filing companies with greater control over the agents eligible to make specific types of filings on their behalf and eliminates the need that exists under the current Company Registration system to share the company registration password among employees.</w:t>
      </w:r>
    </w:p>
    <w:p w:rsidR="00CA3B99" w:rsidRDefault="00CA3B99" w:rsidP="00FF32D1">
      <w:pPr>
        <w:widowControl/>
        <w:rPr>
          <w:sz w:val="26"/>
          <w:szCs w:val="26"/>
        </w:rPr>
      </w:pPr>
    </w:p>
    <w:p w:rsidR="00CA3B99" w:rsidRPr="00FF32D1" w:rsidRDefault="00CA3B99" w:rsidP="00686720">
      <w:pPr>
        <w:widowControl/>
        <w:ind w:firstLine="720"/>
        <w:rPr>
          <w:sz w:val="26"/>
          <w:szCs w:val="26"/>
        </w:rPr>
      </w:pPr>
      <w:r>
        <w:rPr>
          <w:sz w:val="26"/>
          <w:szCs w:val="26"/>
        </w:rPr>
        <w:t xml:space="preserve">For this proposal, the Commission developed a web site based Transition application that will permit companies that already have a Company Identifier to quickly transition to the new security system and assigning of agents without </w:t>
      </w:r>
      <w:r w:rsidRPr="004D3635">
        <w:rPr>
          <w:sz w:val="26"/>
          <w:szCs w:val="26"/>
        </w:rPr>
        <w:t xml:space="preserve">having to enter or re-enter any data, and receive confirmation of the effectiveness of the update within minutes. </w:t>
      </w:r>
      <w:r w:rsidR="00FF40CD">
        <w:rPr>
          <w:sz w:val="26"/>
          <w:szCs w:val="26"/>
        </w:rPr>
        <w:t xml:space="preserve"> </w:t>
      </w:r>
      <w:r w:rsidR="007D6309" w:rsidRPr="00644F14">
        <w:rPr>
          <w:sz w:val="26"/>
          <w:szCs w:val="26"/>
        </w:rPr>
        <w:t>Details are available in the instructional video and staff</w:t>
      </w:r>
      <w:r w:rsidR="007D6309" w:rsidRPr="008B5831">
        <w:rPr>
          <w:sz w:val="26"/>
          <w:szCs w:val="26"/>
        </w:rPr>
        <w:t xml:space="preserve"> presentation. </w:t>
      </w:r>
      <w:r w:rsidR="007D6309" w:rsidRPr="00CA411F">
        <w:rPr>
          <w:sz w:val="26"/>
          <w:szCs w:val="26"/>
          <w:vertAlign w:val="superscript"/>
        </w:rPr>
        <w:fldChar w:fldCharType="begin"/>
      </w:r>
      <w:r w:rsidR="007D6309" w:rsidRPr="00CA411F">
        <w:rPr>
          <w:sz w:val="26"/>
          <w:szCs w:val="26"/>
          <w:vertAlign w:val="superscript"/>
        </w:rPr>
        <w:instrText xml:space="preserve"> NOTEREF _Ref354577685 \h </w:instrText>
      </w:r>
      <w:r w:rsidR="007D6309" w:rsidRPr="004D3635">
        <w:rPr>
          <w:sz w:val="26"/>
          <w:szCs w:val="26"/>
          <w:vertAlign w:val="superscript"/>
        </w:rPr>
        <w:instrText xml:space="preserve"> \* MERGEFORMAT </w:instrText>
      </w:r>
      <w:r w:rsidR="007D6309" w:rsidRPr="00CA411F">
        <w:rPr>
          <w:sz w:val="26"/>
          <w:szCs w:val="26"/>
          <w:vertAlign w:val="superscript"/>
        </w:rPr>
      </w:r>
      <w:r w:rsidR="007D6309" w:rsidRPr="00CA411F">
        <w:rPr>
          <w:sz w:val="26"/>
          <w:szCs w:val="26"/>
          <w:vertAlign w:val="superscript"/>
        </w:rPr>
        <w:fldChar w:fldCharType="separate"/>
      </w:r>
      <w:r w:rsidR="007D6309" w:rsidRPr="00CA411F">
        <w:rPr>
          <w:sz w:val="26"/>
          <w:szCs w:val="26"/>
          <w:vertAlign w:val="superscript"/>
        </w:rPr>
        <w:t>3</w:t>
      </w:r>
      <w:r w:rsidR="007D6309" w:rsidRPr="00CA411F">
        <w:rPr>
          <w:sz w:val="26"/>
          <w:szCs w:val="26"/>
          <w:vertAlign w:val="superscript"/>
        </w:rPr>
        <w:fldChar w:fldCharType="end"/>
      </w:r>
      <w:r w:rsidRPr="00CA411F">
        <w:rPr>
          <w:sz w:val="26"/>
          <w:szCs w:val="26"/>
          <w:vertAlign w:val="superscript"/>
        </w:rPr>
        <w:t xml:space="preserve"> </w:t>
      </w:r>
    </w:p>
    <w:p w:rsidR="003960B0" w:rsidRDefault="003960B0" w:rsidP="00544199">
      <w:pPr>
        <w:widowControl/>
        <w:tabs>
          <w:tab w:val="left" w:pos="720"/>
        </w:tabs>
        <w:ind w:left="720" w:hanging="720"/>
        <w:rPr>
          <w:b/>
          <w:sz w:val="26"/>
          <w:szCs w:val="26"/>
        </w:rPr>
      </w:pPr>
    </w:p>
    <w:p w:rsidR="00CA3B99" w:rsidRPr="00544199" w:rsidRDefault="00CA3B99" w:rsidP="00544199">
      <w:pPr>
        <w:widowControl/>
        <w:tabs>
          <w:tab w:val="left" w:pos="720"/>
        </w:tabs>
        <w:ind w:left="720" w:hanging="720"/>
        <w:rPr>
          <w:b/>
          <w:sz w:val="26"/>
          <w:szCs w:val="26"/>
        </w:rPr>
      </w:pPr>
      <w:r w:rsidRPr="00544199">
        <w:rPr>
          <w:b/>
          <w:sz w:val="26"/>
          <w:szCs w:val="26"/>
        </w:rPr>
        <w:t>4.</w:t>
      </w:r>
      <w:r w:rsidRPr="00544199">
        <w:rPr>
          <w:b/>
          <w:sz w:val="26"/>
          <w:szCs w:val="26"/>
        </w:rPr>
        <w:tab/>
        <w:t>DESCRIBE EFFORTS TO IDENTIFY DUPLICATION AND SHOW SPECIFICALLY WHY ANY SIMILAR INFORMATION ALREADY AVAILABLE CANNOT BE USED OR MODIFIED FOR USE FOR THE PURPOSE(S) DESCRIBED IN INSTRUCTION NO. 2</w:t>
      </w:r>
    </w:p>
    <w:p w:rsidR="00CA3B99" w:rsidRPr="00544199" w:rsidRDefault="00CA3B99" w:rsidP="00544199">
      <w:pPr>
        <w:widowControl/>
        <w:ind w:firstLine="720"/>
        <w:rPr>
          <w:sz w:val="26"/>
          <w:szCs w:val="26"/>
        </w:rPr>
      </w:pPr>
    </w:p>
    <w:p w:rsidR="00CA3B99" w:rsidRPr="00544199" w:rsidRDefault="00CA3B99" w:rsidP="00544199">
      <w:pPr>
        <w:widowControl/>
        <w:rPr>
          <w:sz w:val="26"/>
          <w:szCs w:val="26"/>
        </w:rPr>
      </w:pPr>
      <w:proofErr w:type="gramStart"/>
      <w:r>
        <w:rPr>
          <w:b/>
          <w:sz w:val="26"/>
          <w:szCs w:val="26"/>
        </w:rPr>
        <w:t>FERC-550, FERC-545, and FERC-549.</w:t>
      </w:r>
      <w:proofErr w:type="gramEnd"/>
      <w:r>
        <w:rPr>
          <w:b/>
          <w:sz w:val="26"/>
          <w:szCs w:val="26"/>
        </w:rPr>
        <w:t xml:space="preserve">  </w:t>
      </w:r>
      <w:r w:rsidRPr="00544199">
        <w:rPr>
          <w:sz w:val="26"/>
          <w:szCs w:val="26"/>
        </w:rPr>
        <w:t>The Commission issued an order</w:t>
      </w:r>
      <w:r w:rsidR="00C1495C" w:rsidRPr="004C6A8D">
        <w:rPr>
          <w:vertAlign w:val="superscript"/>
        </w:rPr>
        <w:fldChar w:fldCharType="begin"/>
      </w:r>
      <w:r w:rsidR="00C1495C" w:rsidRPr="004C6A8D">
        <w:rPr>
          <w:vertAlign w:val="superscript"/>
        </w:rPr>
        <w:instrText xml:space="preserve"> NOTEREF _Ref353283425 \h  \* MERGEFORMAT </w:instrText>
      </w:r>
      <w:r w:rsidR="00C1495C" w:rsidRPr="004C6A8D">
        <w:rPr>
          <w:vertAlign w:val="superscript"/>
        </w:rPr>
      </w:r>
      <w:r w:rsidR="00C1495C" w:rsidRPr="004C6A8D">
        <w:rPr>
          <w:vertAlign w:val="superscript"/>
        </w:rPr>
        <w:fldChar w:fldCharType="separate"/>
      </w:r>
      <w:r w:rsidRPr="004C6A8D">
        <w:rPr>
          <w:vertAlign w:val="superscript"/>
        </w:rPr>
        <w:t>2</w:t>
      </w:r>
      <w:r w:rsidR="00C1495C" w:rsidRPr="004C6A8D">
        <w:rPr>
          <w:vertAlign w:val="superscript"/>
        </w:rPr>
        <w:fldChar w:fldCharType="end"/>
      </w:r>
      <w:r w:rsidRPr="004C6A8D">
        <w:rPr>
          <w:sz w:val="26"/>
          <w:szCs w:val="26"/>
          <w:vertAlign w:val="superscript"/>
        </w:rPr>
        <w:t xml:space="preserve"> </w:t>
      </w:r>
      <w:r w:rsidRPr="00544199">
        <w:rPr>
          <w:sz w:val="26"/>
          <w:szCs w:val="26"/>
        </w:rPr>
        <w:t>earlier requiring electric utilities to implement this new front-end administrative process; th</w:t>
      </w:r>
      <w:r>
        <w:rPr>
          <w:sz w:val="26"/>
          <w:szCs w:val="26"/>
        </w:rPr>
        <w:t xml:space="preserve">ese </w:t>
      </w:r>
      <w:r w:rsidRPr="00544199">
        <w:rPr>
          <w:sz w:val="26"/>
          <w:szCs w:val="26"/>
        </w:rPr>
        <w:t xml:space="preserve">notices </w:t>
      </w:r>
      <w:r w:rsidR="00C1495C" w:rsidRPr="004C6A8D">
        <w:rPr>
          <w:vertAlign w:val="superscript"/>
        </w:rPr>
        <w:fldChar w:fldCharType="begin"/>
      </w:r>
      <w:r w:rsidR="00C1495C" w:rsidRPr="004C6A8D">
        <w:rPr>
          <w:vertAlign w:val="superscript"/>
        </w:rPr>
        <w:instrText xml:space="preserve"> NOTEREF _Ref352062444 \h  \* MERGEFORMAT </w:instrText>
      </w:r>
      <w:r w:rsidR="00C1495C" w:rsidRPr="004C6A8D">
        <w:rPr>
          <w:vertAlign w:val="superscript"/>
        </w:rPr>
      </w:r>
      <w:r w:rsidR="00C1495C" w:rsidRPr="004C6A8D">
        <w:rPr>
          <w:vertAlign w:val="superscript"/>
        </w:rPr>
        <w:fldChar w:fldCharType="separate"/>
      </w:r>
      <w:r w:rsidRPr="004C6A8D">
        <w:rPr>
          <w:vertAlign w:val="superscript"/>
        </w:rPr>
        <w:t>1</w:t>
      </w:r>
      <w:r w:rsidR="00C1495C" w:rsidRPr="004C6A8D">
        <w:rPr>
          <w:vertAlign w:val="superscript"/>
        </w:rPr>
        <w:fldChar w:fldCharType="end"/>
      </w:r>
      <w:r w:rsidRPr="004C6A8D">
        <w:rPr>
          <w:sz w:val="26"/>
          <w:szCs w:val="26"/>
          <w:vertAlign w:val="superscript"/>
        </w:rPr>
        <w:t xml:space="preserve"> </w:t>
      </w:r>
      <w:r w:rsidRPr="00544199">
        <w:rPr>
          <w:sz w:val="26"/>
          <w:szCs w:val="26"/>
        </w:rPr>
        <w:t xml:space="preserve">are implementing that </w:t>
      </w:r>
      <w:r>
        <w:rPr>
          <w:sz w:val="26"/>
          <w:szCs w:val="26"/>
        </w:rPr>
        <w:t>front-end administrative process</w:t>
      </w:r>
      <w:r w:rsidRPr="00544199">
        <w:rPr>
          <w:sz w:val="26"/>
          <w:szCs w:val="26"/>
        </w:rPr>
        <w:t xml:space="preserve"> for</w:t>
      </w:r>
      <w:r>
        <w:rPr>
          <w:sz w:val="26"/>
          <w:szCs w:val="26"/>
        </w:rPr>
        <w:t xml:space="preserve"> interstate and intrastate natural gas and oil pipelines.  Similar data are not available elsewhere.</w:t>
      </w:r>
    </w:p>
    <w:p w:rsidR="00CA3B99" w:rsidRPr="00544199" w:rsidRDefault="00CA3B99" w:rsidP="00544199">
      <w:pPr>
        <w:widowControl/>
        <w:rPr>
          <w:sz w:val="26"/>
          <w:szCs w:val="26"/>
        </w:rPr>
      </w:pPr>
    </w:p>
    <w:p w:rsidR="00CA3B99" w:rsidRPr="00544199" w:rsidRDefault="00CA3B99" w:rsidP="004C6A8D">
      <w:pPr>
        <w:widowControl/>
        <w:tabs>
          <w:tab w:val="left" w:pos="720"/>
          <w:tab w:val="left" w:pos="4050"/>
        </w:tabs>
        <w:ind w:left="720" w:hanging="720"/>
        <w:rPr>
          <w:sz w:val="26"/>
          <w:szCs w:val="26"/>
        </w:rPr>
      </w:pPr>
      <w:r w:rsidRPr="00544199">
        <w:rPr>
          <w:b/>
          <w:sz w:val="26"/>
          <w:szCs w:val="26"/>
        </w:rPr>
        <w:t>5.</w:t>
      </w:r>
      <w:r w:rsidRPr="00544199">
        <w:rPr>
          <w:sz w:val="26"/>
          <w:szCs w:val="26"/>
        </w:rPr>
        <w:t xml:space="preserve"> </w:t>
      </w:r>
      <w:r w:rsidRPr="00544199">
        <w:rPr>
          <w:sz w:val="26"/>
          <w:szCs w:val="26"/>
        </w:rPr>
        <w:tab/>
      </w:r>
      <w:r w:rsidRPr="00544199">
        <w:rPr>
          <w:b/>
          <w:sz w:val="26"/>
          <w:szCs w:val="26"/>
        </w:rPr>
        <w:t>METHODS USED TO MINIMIZE BURDEN IN COLLECTION OF INFORMATION INVOLVING SMALL ENTITIES</w:t>
      </w:r>
      <w:r w:rsidRPr="00544199">
        <w:rPr>
          <w:sz w:val="26"/>
          <w:szCs w:val="26"/>
        </w:rPr>
        <w:t xml:space="preserve"> </w:t>
      </w:r>
    </w:p>
    <w:p w:rsidR="00CA3B99" w:rsidRPr="00544199" w:rsidRDefault="00CA3B99" w:rsidP="00544199">
      <w:pPr>
        <w:widowControl/>
        <w:ind w:firstLine="720"/>
        <w:rPr>
          <w:sz w:val="26"/>
          <w:szCs w:val="26"/>
        </w:rPr>
      </w:pPr>
    </w:p>
    <w:p w:rsidR="00CA3B99" w:rsidRDefault="00CA3B99" w:rsidP="00544199">
      <w:pPr>
        <w:widowControl/>
        <w:rPr>
          <w:sz w:val="26"/>
          <w:szCs w:val="26"/>
        </w:rPr>
      </w:pPr>
      <w:proofErr w:type="gramStart"/>
      <w:r>
        <w:rPr>
          <w:b/>
          <w:sz w:val="26"/>
          <w:szCs w:val="26"/>
        </w:rPr>
        <w:t>FERC-550, FERC-545, and FERC-549.</w:t>
      </w:r>
      <w:proofErr w:type="gramEnd"/>
      <w:r>
        <w:rPr>
          <w:b/>
          <w:sz w:val="26"/>
          <w:szCs w:val="26"/>
        </w:rPr>
        <w:t xml:space="preserve">  </w:t>
      </w:r>
      <w:r>
        <w:rPr>
          <w:sz w:val="26"/>
          <w:szCs w:val="26"/>
        </w:rPr>
        <w:t xml:space="preserve">The burden imposed by the new front-end administrative process is minimal and being imposed on gas and oil pipelines filing tariffs and rates with FERC.  The Commission developed a web site based Transition application that will permit companies that already have a Company Identifier to quickly transition to the new security system and assigning of agents without having to enter or re-enter any data, and receive confirmation of the effectiveness of the update within minutes.  </w:t>
      </w:r>
    </w:p>
    <w:p w:rsidR="00CA3B99" w:rsidRDefault="00CA3B99" w:rsidP="00544199">
      <w:pPr>
        <w:widowControl/>
        <w:rPr>
          <w:sz w:val="26"/>
          <w:szCs w:val="26"/>
        </w:rPr>
      </w:pPr>
    </w:p>
    <w:p w:rsidR="00CA3B99" w:rsidRPr="00544199" w:rsidRDefault="00CA3B99" w:rsidP="00544199">
      <w:pPr>
        <w:pStyle w:val="ListParagraph"/>
        <w:widowControl/>
        <w:numPr>
          <w:ilvl w:val="0"/>
          <w:numId w:val="11"/>
        </w:numPr>
        <w:ind w:left="360"/>
        <w:rPr>
          <w:b/>
          <w:sz w:val="26"/>
          <w:szCs w:val="26"/>
        </w:rPr>
      </w:pPr>
      <w:r w:rsidRPr="00544199">
        <w:rPr>
          <w:b/>
          <w:sz w:val="26"/>
          <w:szCs w:val="26"/>
        </w:rPr>
        <w:t>CONSEQUENCE TO FEDERAL PROGRAM IF COLLECTION WERE CONDUCTED LESS FREQUENTLY</w:t>
      </w:r>
    </w:p>
    <w:p w:rsidR="00CA3B99" w:rsidRPr="00544199" w:rsidRDefault="00CA3B99" w:rsidP="00544199">
      <w:pPr>
        <w:widowControl/>
        <w:rPr>
          <w:b/>
          <w:sz w:val="26"/>
          <w:szCs w:val="26"/>
        </w:rPr>
      </w:pPr>
    </w:p>
    <w:p w:rsidR="00CA3B99" w:rsidRPr="00544199" w:rsidRDefault="00CA3B99" w:rsidP="00544199">
      <w:pPr>
        <w:widowControl/>
        <w:tabs>
          <w:tab w:val="left" w:pos="0"/>
        </w:tabs>
        <w:rPr>
          <w:b/>
          <w:sz w:val="26"/>
          <w:szCs w:val="26"/>
        </w:rPr>
      </w:pPr>
      <w:proofErr w:type="gramStart"/>
      <w:r>
        <w:rPr>
          <w:b/>
          <w:sz w:val="26"/>
          <w:szCs w:val="26"/>
        </w:rPr>
        <w:t>FERC-550, FERC-545, and FERC-549.</w:t>
      </w:r>
      <w:proofErr w:type="gramEnd"/>
      <w:r>
        <w:rPr>
          <w:b/>
          <w:sz w:val="26"/>
          <w:szCs w:val="26"/>
        </w:rPr>
        <w:t xml:space="preserve">  </w:t>
      </w:r>
      <w:r>
        <w:rPr>
          <w:sz w:val="26"/>
          <w:szCs w:val="26"/>
        </w:rPr>
        <w:t>The pipelines are required to perform the front–end process once.  Thereafter changes are only required if the pipeline chooses to establish or modify its agent(s).</w:t>
      </w:r>
    </w:p>
    <w:p w:rsidR="00CA3B99" w:rsidRPr="00544199" w:rsidRDefault="00CA3B99" w:rsidP="00544199">
      <w:pPr>
        <w:widowControl/>
        <w:rPr>
          <w:sz w:val="26"/>
          <w:szCs w:val="26"/>
        </w:rPr>
      </w:pPr>
    </w:p>
    <w:p w:rsidR="00CA3B99" w:rsidRPr="00544199" w:rsidRDefault="00CA3B99" w:rsidP="00544199">
      <w:pPr>
        <w:widowControl/>
        <w:tabs>
          <w:tab w:val="left" w:pos="720"/>
        </w:tabs>
        <w:ind w:left="720" w:hanging="720"/>
        <w:rPr>
          <w:b/>
          <w:sz w:val="26"/>
          <w:szCs w:val="26"/>
        </w:rPr>
      </w:pPr>
      <w:r w:rsidRPr="00544199">
        <w:rPr>
          <w:b/>
          <w:sz w:val="26"/>
          <w:szCs w:val="26"/>
        </w:rPr>
        <w:lastRenderedPageBreak/>
        <w:t>7</w:t>
      </w:r>
      <w:r w:rsidRPr="00544199">
        <w:rPr>
          <w:sz w:val="26"/>
          <w:szCs w:val="26"/>
        </w:rPr>
        <w:t>.</w:t>
      </w:r>
      <w:r w:rsidRPr="00544199">
        <w:rPr>
          <w:sz w:val="26"/>
          <w:szCs w:val="26"/>
        </w:rPr>
        <w:tab/>
      </w:r>
      <w:r w:rsidRPr="00544199">
        <w:rPr>
          <w:b/>
          <w:sz w:val="26"/>
          <w:szCs w:val="26"/>
        </w:rPr>
        <w:t>EXPLAIN ANY SPECIAL CIRCUMSTANCES RELATING TO THE INFORMATION COLLECTION</w:t>
      </w:r>
    </w:p>
    <w:p w:rsidR="00CA3B99" w:rsidRPr="00544199" w:rsidRDefault="00CA3B99" w:rsidP="00544199">
      <w:pPr>
        <w:widowControl/>
        <w:tabs>
          <w:tab w:val="left" w:pos="0"/>
        </w:tabs>
        <w:rPr>
          <w:sz w:val="26"/>
          <w:szCs w:val="26"/>
        </w:rPr>
      </w:pPr>
    </w:p>
    <w:p w:rsidR="00CA3B99" w:rsidRPr="00544199" w:rsidRDefault="00CA3B99" w:rsidP="00544199">
      <w:pPr>
        <w:widowControl/>
        <w:tabs>
          <w:tab w:val="left" w:pos="0"/>
        </w:tabs>
        <w:rPr>
          <w:sz w:val="26"/>
          <w:szCs w:val="26"/>
        </w:rPr>
      </w:pPr>
      <w:r>
        <w:rPr>
          <w:sz w:val="26"/>
          <w:szCs w:val="26"/>
        </w:rPr>
        <w:tab/>
      </w:r>
      <w:r w:rsidRPr="00544199">
        <w:rPr>
          <w:sz w:val="26"/>
          <w:szCs w:val="26"/>
        </w:rPr>
        <w:t xml:space="preserve">The </w:t>
      </w:r>
      <w:r>
        <w:rPr>
          <w:b/>
          <w:sz w:val="26"/>
          <w:szCs w:val="26"/>
        </w:rPr>
        <w:t>FERC-550, FERC-545, and FERC-549</w:t>
      </w:r>
      <w:r>
        <w:rPr>
          <w:sz w:val="26"/>
          <w:szCs w:val="26"/>
        </w:rPr>
        <w:t xml:space="preserve"> present</w:t>
      </w:r>
      <w:r w:rsidRPr="00544199">
        <w:rPr>
          <w:sz w:val="26"/>
          <w:szCs w:val="26"/>
        </w:rPr>
        <w:t xml:space="preserve"> no special circumstances.</w:t>
      </w:r>
    </w:p>
    <w:p w:rsidR="00CA3B99" w:rsidRPr="00544199" w:rsidRDefault="00CA3B99" w:rsidP="00544199">
      <w:pPr>
        <w:widowControl/>
        <w:rPr>
          <w:sz w:val="26"/>
          <w:szCs w:val="26"/>
        </w:rPr>
      </w:pPr>
    </w:p>
    <w:p w:rsidR="00CA3B99" w:rsidRPr="003A636B" w:rsidRDefault="00CA3B99" w:rsidP="003A636B">
      <w:pPr>
        <w:widowControl/>
        <w:ind w:left="720" w:hanging="720"/>
        <w:rPr>
          <w:b/>
          <w:sz w:val="26"/>
          <w:szCs w:val="26"/>
        </w:rPr>
      </w:pPr>
      <w:r w:rsidRPr="003A636B">
        <w:rPr>
          <w:b/>
          <w:sz w:val="26"/>
          <w:szCs w:val="26"/>
        </w:rPr>
        <w:t>8.</w:t>
      </w:r>
      <w:r>
        <w:rPr>
          <w:b/>
          <w:sz w:val="26"/>
          <w:szCs w:val="26"/>
        </w:rPr>
        <w:t xml:space="preserve">   </w:t>
      </w:r>
      <w:r>
        <w:rPr>
          <w:b/>
          <w:sz w:val="26"/>
          <w:szCs w:val="26"/>
        </w:rPr>
        <w:tab/>
      </w:r>
      <w:r w:rsidRPr="003A636B">
        <w:rPr>
          <w:b/>
          <w:sz w:val="26"/>
          <w:szCs w:val="26"/>
        </w:rPr>
        <w:t>DESCRIBE EFFORTS TO CONSULT OUTSIDE THE AGENCY:   SUMMARIZE PUBLIC COMMENTS AND THE AGENCY’S RESPONSE TO THESE COMMENTS</w:t>
      </w:r>
    </w:p>
    <w:p w:rsidR="00CA3B99" w:rsidRPr="003A636B" w:rsidRDefault="00CA3B99" w:rsidP="003A636B">
      <w:pPr>
        <w:ind w:left="720" w:hanging="720"/>
      </w:pPr>
    </w:p>
    <w:p w:rsidR="004C7DF8" w:rsidRDefault="00CA3B99" w:rsidP="003A636B">
      <w:pPr>
        <w:pStyle w:val="FootnoteText"/>
        <w:rPr>
          <w:sz w:val="26"/>
          <w:szCs w:val="26"/>
        </w:rPr>
      </w:pPr>
      <w:proofErr w:type="gramStart"/>
      <w:r>
        <w:rPr>
          <w:b/>
          <w:sz w:val="26"/>
          <w:szCs w:val="26"/>
        </w:rPr>
        <w:t>FERC-550, FERC-545, and FERC-549</w:t>
      </w:r>
      <w:r w:rsidRPr="003A636B">
        <w:rPr>
          <w:b/>
          <w:sz w:val="26"/>
          <w:szCs w:val="26"/>
        </w:rPr>
        <w:t>.</w:t>
      </w:r>
      <w:proofErr w:type="gramEnd"/>
      <w:r w:rsidRPr="003A636B">
        <w:rPr>
          <w:b/>
          <w:sz w:val="26"/>
          <w:szCs w:val="26"/>
        </w:rPr>
        <w:t xml:space="preserve">  </w:t>
      </w:r>
      <w:r w:rsidR="00FF40CD">
        <w:rPr>
          <w:sz w:val="26"/>
          <w:szCs w:val="26"/>
        </w:rPr>
        <w:t>The Commission issued a</w:t>
      </w:r>
      <w:r w:rsidRPr="003A636B">
        <w:rPr>
          <w:sz w:val="26"/>
          <w:szCs w:val="26"/>
        </w:rPr>
        <w:t xml:space="preserve"> Notice of “Information Collection Activiti</w:t>
      </w:r>
      <w:r w:rsidRPr="004C6A8D">
        <w:rPr>
          <w:sz w:val="26"/>
          <w:szCs w:val="26"/>
        </w:rPr>
        <w:t>es and Request for Comments”</w:t>
      </w:r>
      <w:r w:rsidR="004C7DF8">
        <w:rPr>
          <w:rStyle w:val="FootnoteReference"/>
          <w:sz w:val="26"/>
          <w:szCs w:val="26"/>
        </w:rPr>
        <w:footnoteReference w:id="5"/>
      </w:r>
      <w:r w:rsidR="004C7DF8">
        <w:rPr>
          <w:sz w:val="26"/>
          <w:szCs w:val="26"/>
        </w:rPr>
        <w:t xml:space="preserve"> </w:t>
      </w:r>
      <w:r w:rsidRPr="004C6A8D">
        <w:rPr>
          <w:sz w:val="26"/>
          <w:szCs w:val="26"/>
        </w:rPr>
        <w:t>on 2/8/2013, with comments on Paperwork Reduction Act issues due by 4/15/2013.  The Commission received no public comments.</w:t>
      </w:r>
      <w:r w:rsidR="00C13CF6">
        <w:rPr>
          <w:sz w:val="26"/>
          <w:szCs w:val="26"/>
        </w:rPr>
        <w:t xml:space="preserve">  </w:t>
      </w:r>
      <w:r w:rsidR="00FF40CD">
        <w:rPr>
          <w:sz w:val="26"/>
          <w:szCs w:val="26"/>
        </w:rPr>
        <w:t>The Commission issued a</w:t>
      </w:r>
      <w:r w:rsidR="00C13CF6">
        <w:rPr>
          <w:sz w:val="26"/>
          <w:szCs w:val="26"/>
        </w:rPr>
        <w:t xml:space="preserve"> 30-day Notice on 4/25/2013</w:t>
      </w:r>
      <w:r w:rsidR="004C7DF8">
        <w:rPr>
          <w:rStyle w:val="FootnoteReference"/>
          <w:sz w:val="26"/>
          <w:szCs w:val="26"/>
        </w:rPr>
        <w:footnoteReference w:id="6"/>
      </w:r>
      <w:r w:rsidR="00C13CF6">
        <w:rPr>
          <w:sz w:val="26"/>
          <w:szCs w:val="26"/>
        </w:rPr>
        <w:t xml:space="preserve">. </w:t>
      </w:r>
    </w:p>
    <w:p w:rsidR="004C7DF8" w:rsidRDefault="004C7DF8" w:rsidP="003A636B">
      <w:pPr>
        <w:pStyle w:val="FootnoteText"/>
        <w:rPr>
          <w:sz w:val="26"/>
          <w:szCs w:val="26"/>
        </w:rPr>
      </w:pPr>
    </w:p>
    <w:p w:rsidR="00CA3B99" w:rsidRDefault="004C7DF8" w:rsidP="004C7DF8">
      <w:pPr>
        <w:pStyle w:val="FootnoteText"/>
        <w:ind w:firstLine="720"/>
        <w:rPr>
          <w:sz w:val="26"/>
          <w:szCs w:val="26"/>
        </w:rPr>
      </w:pPr>
      <w:r w:rsidRPr="004C7DF8">
        <w:rPr>
          <w:sz w:val="26"/>
          <w:szCs w:val="26"/>
        </w:rPr>
        <w:t xml:space="preserve">At the </w:t>
      </w:r>
      <w:r w:rsidR="00763EDA">
        <w:rPr>
          <w:sz w:val="26"/>
          <w:szCs w:val="26"/>
        </w:rPr>
        <w:t xml:space="preserve">technical </w:t>
      </w:r>
      <w:r w:rsidRPr="004C7DF8">
        <w:rPr>
          <w:sz w:val="26"/>
          <w:szCs w:val="26"/>
        </w:rPr>
        <w:t>conference on April 16, 2013, Commission staff made a presentation on the proposed changes.  The Staff presentation and instructional video are available on the Commission’s website; the staff presentation is included in ROCIS under Supplemental Documents.</w:t>
      </w:r>
      <w:r w:rsidRPr="004C7DF8">
        <w:rPr>
          <w:sz w:val="26"/>
          <w:szCs w:val="26"/>
          <w:vertAlign w:val="superscript"/>
        </w:rPr>
        <w:fldChar w:fldCharType="begin"/>
      </w:r>
      <w:r w:rsidRPr="004C7DF8">
        <w:rPr>
          <w:sz w:val="26"/>
          <w:szCs w:val="26"/>
          <w:vertAlign w:val="superscript"/>
        </w:rPr>
        <w:instrText xml:space="preserve"> NOTEREF _Ref355880137 \h </w:instrText>
      </w:r>
      <w:r>
        <w:rPr>
          <w:sz w:val="26"/>
          <w:szCs w:val="26"/>
          <w:vertAlign w:val="superscript"/>
        </w:rPr>
        <w:instrText xml:space="preserve"> \* MERGEFORMAT </w:instrText>
      </w:r>
      <w:r w:rsidRPr="004C7DF8">
        <w:rPr>
          <w:sz w:val="26"/>
          <w:szCs w:val="26"/>
          <w:vertAlign w:val="superscript"/>
        </w:rPr>
      </w:r>
      <w:r w:rsidRPr="004C7DF8">
        <w:rPr>
          <w:sz w:val="26"/>
          <w:szCs w:val="26"/>
          <w:vertAlign w:val="superscript"/>
        </w:rPr>
        <w:fldChar w:fldCharType="separate"/>
      </w:r>
      <w:r w:rsidRPr="004C7DF8">
        <w:rPr>
          <w:sz w:val="26"/>
          <w:szCs w:val="26"/>
          <w:vertAlign w:val="superscript"/>
        </w:rPr>
        <w:t>3</w:t>
      </w:r>
      <w:r w:rsidRPr="004C7DF8">
        <w:rPr>
          <w:sz w:val="26"/>
          <w:szCs w:val="26"/>
          <w:vertAlign w:val="superscript"/>
        </w:rPr>
        <w:fldChar w:fldCharType="end"/>
      </w:r>
    </w:p>
    <w:p w:rsidR="00CA3B99" w:rsidRDefault="00CA3B99" w:rsidP="00544199">
      <w:pPr>
        <w:widowControl/>
        <w:tabs>
          <w:tab w:val="left" w:pos="-1440"/>
        </w:tabs>
        <w:ind w:left="720" w:hanging="720"/>
        <w:rPr>
          <w:sz w:val="26"/>
          <w:szCs w:val="26"/>
        </w:rPr>
      </w:pPr>
    </w:p>
    <w:p w:rsidR="00CA3B99" w:rsidRPr="003A636B" w:rsidRDefault="00CA3B99" w:rsidP="003A636B">
      <w:pPr>
        <w:widowControl/>
        <w:ind w:left="720" w:hanging="720"/>
        <w:rPr>
          <w:b/>
          <w:sz w:val="26"/>
          <w:szCs w:val="26"/>
        </w:rPr>
      </w:pPr>
      <w:r w:rsidRPr="003A636B">
        <w:rPr>
          <w:b/>
          <w:sz w:val="26"/>
          <w:szCs w:val="26"/>
        </w:rPr>
        <w:t>9.</w:t>
      </w:r>
      <w:r w:rsidRPr="003A636B">
        <w:rPr>
          <w:sz w:val="26"/>
          <w:szCs w:val="26"/>
        </w:rPr>
        <w:t xml:space="preserve"> </w:t>
      </w:r>
      <w:r w:rsidRPr="003A636B">
        <w:rPr>
          <w:sz w:val="26"/>
          <w:szCs w:val="26"/>
        </w:rPr>
        <w:tab/>
      </w:r>
      <w:r w:rsidRPr="003A636B">
        <w:rPr>
          <w:b/>
          <w:sz w:val="26"/>
          <w:szCs w:val="26"/>
        </w:rPr>
        <w:t>EXPLAIN ANY PAYMENT OR GIFTS TO RESPONDENTS</w:t>
      </w:r>
    </w:p>
    <w:p w:rsidR="00CA3B99" w:rsidRPr="003A636B" w:rsidRDefault="00CA3B99" w:rsidP="003A636B">
      <w:pPr>
        <w:widowControl/>
        <w:ind w:firstLine="720"/>
        <w:rPr>
          <w:sz w:val="26"/>
          <w:szCs w:val="26"/>
        </w:rPr>
      </w:pPr>
    </w:p>
    <w:p w:rsidR="00CA3B99" w:rsidRPr="003A636B" w:rsidRDefault="00CA3B99" w:rsidP="003A636B">
      <w:pPr>
        <w:widowControl/>
        <w:rPr>
          <w:sz w:val="26"/>
          <w:szCs w:val="26"/>
        </w:rPr>
      </w:pPr>
      <w:proofErr w:type="gramStart"/>
      <w:r>
        <w:rPr>
          <w:b/>
          <w:sz w:val="26"/>
          <w:szCs w:val="26"/>
        </w:rPr>
        <w:t>FERC-550, FERC-545, and FERC-549.</w:t>
      </w:r>
      <w:proofErr w:type="gramEnd"/>
      <w:r>
        <w:rPr>
          <w:b/>
          <w:sz w:val="26"/>
          <w:szCs w:val="26"/>
        </w:rPr>
        <w:t xml:space="preserve">  </w:t>
      </w:r>
      <w:r w:rsidRPr="003A636B">
        <w:rPr>
          <w:sz w:val="26"/>
          <w:szCs w:val="26"/>
        </w:rPr>
        <w:t>There are no payments or gifts to respondents.</w:t>
      </w:r>
    </w:p>
    <w:p w:rsidR="00CA3B99" w:rsidRPr="003A636B" w:rsidRDefault="00CA3B99" w:rsidP="003A636B">
      <w:pPr>
        <w:widowControl/>
        <w:ind w:firstLine="720"/>
        <w:rPr>
          <w:sz w:val="26"/>
          <w:szCs w:val="26"/>
        </w:rPr>
      </w:pPr>
    </w:p>
    <w:p w:rsidR="00CA3B99" w:rsidRPr="003A636B" w:rsidRDefault="00CA3B99" w:rsidP="003A636B">
      <w:pPr>
        <w:widowControl/>
        <w:tabs>
          <w:tab w:val="left" w:pos="720"/>
        </w:tabs>
        <w:ind w:left="720" w:hanging="720"/>
        <w:rPr>
          <w:b/>
          <w:sz w:val="26"/>
          <w:szCs w:val="26"/>
        </w:rPr>
      </w:pPr>
      <w:r w:rsidRPr="003A636B">
        <w:rPr>
          <w:b/>
          <w:sz w:val="26"/>
          <w:szCs w:val="26"/>
        </w:rPr>
        <w:t>10.</w:t>
      </w:r>
      <w:r w:rsidRPr="003A636B">
        <w:rPr>
          <w:b/>
          <w:sz w:val="26"/>
          <w:szCs w:val="26"/>
        </w:rPr>
        <w:tab/>
        <w:t>DESCRIBE ANY ASSURANCE OF CONFIDENTIALITY PROVIDED TO RESPONDENTS</w:t>
      </w:r>
    </w:p>
    <w:p w:rsidR="00CA3B99" w:rsidRPr="003A636B" w:rsidRDefault="00CA3B99" w:rsidP="003A636B">
      <w:pPr>
        <w:widowControl/>
        <w:rPr>
          <w:sz w:val="26"/>
          <w:szCs w:val="26"/>
        </w:rPr>
      </w:pPr>
    </w:p>
    <w:p w:rsidR="00CA3B99" w:rsidRPr="003A636B" w:rsidRDefault="00CA3B99" w:rsidP="003A636B">
      <w:pPr>
        <w:widowControl/>
        <w:rPr>
          <w:sz w:val="26"/>
          <w:szCs w:val="26"/>
        </w:rPr>
      </w:pPr>
      <w:proofErr w:type="gramStart"/>
      <w:r>
        <w:rPr>
          <w:b/>
          <w:sz w:val="26"/>
          <w:szCs w:val="26"/>
        </w:rPr>
        <w:t>FERC-550, FERC-545, and FERC-549.</w:t>
      </w:r>
      <w:proofErr w:type="gramEnd"/>
      <w:r>
        <w:rPr>
          <w:b/>
          <w:sz w:val="26"/>
          <w:szCs w:val="26"/>
        </w:rPr>
        <w:t xml:space="preserve">  </w:t>
      </w:r>
      <w:r w:rsidRPr="003A636B">
        <w:rPr>
          <w:sz w:val="26"/>
          <w:szCs w:val="26"/>
        </w:rPr>
        <w:t xml:space="preserve">The data </w:t>
      </w:r>
      <w:r>
        <w:rPr>
          <w:sz w:val="26"/>
          <w:szCs w:val="26"/>
        </w:rPr>
        <w:t>are public, and the pipelines are so informed through the Commission’s instruction manual.</w:t>
      </w:r>
      <w:r w:rsidRPr="003A636B">
        <w:rPr>
          <w:sz w:val="26"/>
          <w:szCs w:val="26"/>
        </w:rPr>
        <w:t xml:space="preserve">  </w:t>
      </w:r>
      <w:r>
        <w:rPr>
          <w:sz w:val="26"/>
          <w:szCs w:val="26"/>
        </w:rPr>
        <w:t>In general, for all submittals to the Commission, filers may submit</w:t>
      </w:r>
      <w:r w:rsidRPr="003A636B">
        <w:rPr>
          <w:sz w:val="26"/>
          <w:szCs w:val="26"/>
        </w:rPr>
        <w:t xml:space="preserve"> specific requests for confidential treatment to the extent permitted by law</w:t>
      </w:r>
      <w:r>
        <w:rPr>
          <w:sz w:val="26"/>
          <w:szCs w:val="26"/>
        </w:rPr>
        <w:t xml:space="preserve">; details are available in </w:t>
      </w:r>
      <w:r w:rsidRPr="003A636B">
        <w:rPr>
          <w:sz w:val="26"/>
          <w:szCs w:val="26"/>
        </w:rPr>
        <w:t>18 C.F.R. Section 388.112.</w:t>
      </w:r>
    </w:p>
    <w:p w:rsidR="00CA3B99" w:rsidRPr="003A636B" w:rsidRDefault="00CA3B99" w:rsidP="003A636B">
      <w:pPr>
        <w:widowControl/>
        <w:ind w:firstLine="720"/>
        <w:rPr>
          <w:sz w:val="26"/>
          <w:szCs w:val="26"/>
        </w:rPr>
      </w:pPr>
    </w:p>
    <w:p w:rsidR="00CA3B99" w:rsidRPr="003A636B" w:rsidRDefault="00CA3B99" w:rsidP="003A636B">
      <w:pPr>
        <w:widowControl/>
        <w:tabs>
          <w:tab w:val="left" w:pos="720"/>
        </w:tabs>
        <w:ind w:left="720" w:hanging="720"/>
        <w:rPr>
          <w:b/>
          <w:sz w:val="26"/>
          <w:szCs w:val="26"/>
        </w:rPr>
      </w:pPr>
      <w:r w:rsidRPr="003A636B">
        <w:rPr>
          <w:b/>
          <w:sz w:val="26"/>
          <w:szCs w:val="26"/>
        </w:rPr>
        <w:t>11.</w:t>
      </w:r>
      <w:r w:rsidRPr="003A636B">
        <w:rPr>
          <w:b/>
          <w:sz w:val="26"/>
          <w:szCs w:val="26"/>
        </w:rPr>
        <w:tab/>
        <w:t>PROVIDE ADDITIONAL JUSTIFICATION FOR ANY QUESTIONS OF A SENSITIVE NATURE</w:t>
      </w:r>
    </w:p>
    <w:p w:rsidR="00CA3B99" w:rsidRPr="003A636B" w:rsidRDefault="00CA3B99" w:rsidP="003A636B">
      <w:pPr>
        <w:widowControl/>
        <w:ind w:firstLine="720"/>
        <w:rPr>
          <w:sz w:val="26"/>
          <w:szCs w:val="26"/>
        </w:rPr>
      </w:pPr>
    </w:p>
    <w:p w:rsidR="00CA3B99" w:rsidRPr="003A636B" w:rsidRDefault="00CA3B99" w:rsidP="003A636B">
      <w:pPr>
        <w:widowControl/>
        <w:tabs>
          <w:tab w:val="left" w:pos="720"/>
        </w:tabs>
        <w:rPr>
          <w:sz w:val="26"/>
          <w:szCs w:val="26"/>
        </w:rPr>
      </w:pPr>
      <w:proofErr w:type="gramStart"/>
      <w:r>
        <w:rPr>
          <w:b/>
          <w:sz w:val="26"/>
          <w:szCs w:val="26"/>
        </w:rPr>
        <w:t>FERC-550, FERC-545, and FERC-549.</w:t>
      </w:r>
      <w:proofErr w:type="gramEnd"/>
      <w:r>
        <w:rPr>
          <w:b/>
          <w:sz w:val="26"/>
          <w:szCs w:val="26"/>
        </w:rPr>
        <w:t xml:space="preserve">  </w:t>
      </w:r>
      <w:r w:rsidRPr="003A636B">
        <w:rPr>
          <w:sz w:val="26"/>
          <w:szCs w:val="26"/>
        </w:rPr>
        <w:t>Th</w:t>
      </w:r>
      <w:r>
        <w:rPr>
          <w:sz w:val="26"/>
          <w:szCs w:val="26"/>
        </w:rPr>
        <w:t>ese</w:t>
      </w:r>
      <w:r w:rsidRPr="003A636B">
        <w:rPr>
          <w:sz w:val="26"/>
          <w:szCs w:val="26"/>
        </w:rPr>
        <w:t xml:space="preserve"> collection</w:t>
      </w:r>
      <w:r>
        <w:rPr>
          <w:sz w:val="26"/>
          <w:szCs w:val="26"/>
        </w:rPr>
        <w:t>s</w:t>
      </w:r>
      <w:r w:rsidRPr="003A636B">
        <w:rPr>
          <w:sz w:val="26"/>
          <w:szCs w:val="26"/>
        </w:rPr>
        <w:t xml:space="preserve"> do not include any questions of a sensitive nature.</w:t>
      </w:r>
    </w:p>
    <w:p w:rsidR="00CA3B99" w:rsidRPr="003A636B" w:rsidRDefault="00CA3B99" w:rsidP="003A636B">
      <w:pPr>
        <w:widowControl/>
        <w:tabs>
          <w:tab w:val="left" w:pos="720"/>
        </w:tabs>
        <w:ind w:firstLine="720"/>
        <w:rPr>
          <w:sz w:val="26"/>
          <w:szCs w:val="26"/>
        </w:rPr>
      </w:pPr>
    </w:p>
    <w:p w:rsidR="00CA3B99" w:rsidRDefault="00CA3B99" w:rsidP="003A636B">
      <w:pPr>
        <w:widowControl/>
        <w:tabs>
          <w:tab w:val="left" w:pos="720"/>
        </w:tabs>
        <w:ind w:left="720" w:hanging="720"/>
        <w:rPr>
          <w:b/>
          <w:sz w:val="26"/>
          <w:szCs w:val="26"/>
        </w:rPr>
      </w:pPr>
      <w:r w:rsidRPr="003A636B">
        <w:rPr>
          <w:b/>
          <w:sz w:val="26"/>
          <w:szCs w:val="26"/>
        </w:rPr>
        <w:t>12.</w:t>
      </w:r>
      <w:r w:rsidRPr="003A636B">
        <w:rPr>
          <w:b/>
          <w:sz w:val="26"/>
          <w:szCs w:val="26"/>
        </w:rPr>
        <w:tab/>
        <w:t>ESTIMATED BURDEN OF COLLECTION OF INFORMATION</w:t>
      </w:r>
    </w:p>
    <w:p w:rsidR="00686720" w:rsidRPr="003A636B" w:rsidRDefault="00686720" w:rsidP="003A636B">
      <w:pPr>
        <w:widowControl/>
        <w:tabs>
          <w:tab w:val="left" w:pos="720"/>
        </w:tabs>
        <w:ind w:left="720" w:hanging="720"/>
        <w:rPr>
          <w:b/>
          <w:sz w:val="26"/>
          <w:szCs w:val="26"/>
        </w:rPr>
      </w:pPr>
    </w:p>
    <w:p w:rsidR="00CA3B99" w:rsidRDefault="00CA3B99" w:rsidP="005128B1">
      <w:pPr>
        <w:rPr>
          <w:sz w:val="26"/>
        </w:rPr>
      </w:pPr>
      <w:proofErr w:type="gramStart"/>
      <w:r>
        <w:rPr>
          <w:b/>
          <w:sz w:val="26"/>
          <w:szCs w:val="26"/>
        </w:rPr>
        <w:t>FERC-550, FERC-545, and FERC-549.</w:t>
      </w:r>
      <w:proofErr w:type="gramEnd"/>
      <w:r>
        <w:rPr>
          <w:b/>
          <w:sz w:val="26"/>
          <w:szCs w:val="26"/>
        </w:rPr>
        <w:t xml:space="preserve">  </w:t>
      </w:r>
      <w:r w:rsidRPr="005128B1">
        <w:rPr>
          <w:sz w:val="26"/>
        </w:rPr>
        <w:t xml:space="preserve">The Commission projects the average annual burden </w:t>
      </w:r>
      <w:r w:rsidRPr="005128B1">
        <w:rPr>
          <w:sz w:val="26"/>
        </w:rPr>
        <w:lastRenderedPageBreak/>
        <w:t xml:space="preserve">and cost of compliance with the </w:t>
      </w:r>
      <w:r w:rsidRPr="00D31617">
        <w:rPr>
          <w:i/>
          <w:sz w:val="26"/>
        </w:rPr>
        <w:t xml:space="preserve">new requirements </w:t>
      </w:r>
      <w:r>
        <w:rPr>
          <w:sz w:val="26"/>
        </w:rPr>
        <w:t>in the notice</w:t>
      </w:r>
      <w:r w:rsidR="00C1495C" w:rsidRPr="004C6A8D">
        <w:rPr>
          <w:vertAlign w:val="superscript"/>
        </w:rPr>
        <w:fldChar w:fldCharType="begin"/>
      </w:r>
      <w:r w:rsidR="00C1495C" w:rsidRPr="004C6A8D">
        <w:rPr>
          <w:vertAlign w:val="superscript"/>
        </w:rPr>
        <w:instrText xml:space="preserve"> NOTEREF _Ref352062444 \h  \* MERGEFORMAT </w:instrText>
      </w:r>
      <w:r w:rsidR="00C1495C" w:rsidRPr="004C6A8D">
        <w:rPr>
          <w:vertAlign w:val="superscript"/>
        </w:rPr>
      </w:r>
      <w:r w:rsidR="00C1495C" w:rsidRPr="004C6A8D">
        <w:rPr>
          <w:vertAlign w:val="superscript"/>
        </w:rPr>
        <w:fldChar w:fldCharType="separate"/>
      </w:r>
      <w:r w:rsidRPr="004C6A8D">
        <w:rPr>
          <w:vertAlign w:val="superscript"/>
        </w:rPr>
        <w:t>1</w:t>
      </w:r>
      <w:r w:rsidR="00C1495C" w:rsidRPr="004C6A8D">
        <w:rPr>
          <w:vertAlign w:val="superscript"/>
        </w:rPr>
        <w:fldChar w:fldCharType="end"/>
      </w:r>
      <w:r w:rsidRPr="0046224D">
        <w:rPr>
          <w:sz w:val="26"/>
          <w:vertAlign w:val="superscript"/>
        </w:rPr>
        <w:t xml:space="preserve"> </w:t>
      </w:r>
      <w:r w:rsidRPr="005128B1">
        <w:rPr>
          <w:sz w:val="26"/>
        </w:rPr>
        <w:t>to be:</w:t>
      </w:r>
    </w:p>
    <w:p w:rsidR="00CA3B99" w:rsidRPr="005128B1" w:rsidRDefault="00CA3B99" w:rsidP="005128B1">
      <w:pPr>
        <w:rPr>
          <w:sz w:val="26"/>
        </w:rPr>
      </w:pPr>
    </w:p>
    <w:tbl>
      <w:tblPr>
        <w:tblW w:w="885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0"/>
        <w:gridCol w:w="1770"/>
        <w:gridCol w:w="1920"/>
        <w:gridCol w:w="990"/>
        <w:gridCol w:w="1620"/>
      </w:tblGrid>
      <w:tr w:rsidR="00CA3B99" w:rsidRPr="005128B1" w:rsidTr="0046224D">
        <w:trPr>
          <w:trHeight w:val="499"/>
          <w:tblHeader/>
        </w:trPr>
        <w:tc>
          <w:tcPr>
            <w:tcW w:w="2550" w:type="dxa"/>
            <w:vAlign w:val="bottom"/>
          </w:tcPr>
          <w:p w:rsidR="00CA3B99" w:rsidRPr="005128B1" w:rsidRDefault="00CA3B99" w:rsidP="00FF40CD">
            <w:pPr>
              <w:keepNext/>
              <w:rPr>
                <w:b/>
                <w:color w:val="000000"/>
                <w:sz w:val="26"/>
                <w:szCs w:val="20"/>
              </w:rPr>
            </w:pPr>
            <w:r w:rsidRPr="005128B1">
              <w:rPr>
                <w:b/>
                <w:color w:val="000000"/>
                <w:sz w:val="26"/>
                <w:szCs w:val="20"/>
              </w:rPr>
              <w:t>Data Collection</w:t>
            </w:r>
            <w:r w:rsidR="003327A4">
              <w:rPr>
                <w:b/>
                <w:color w:val="000000"/>
                <w:sz w:val="26"/>
                <w:szCs w:val="20"/>
              </w:rPr>
              <w:t>, revised by RM07-16 and RM01-5</w:t>
            </w:r>
            <w:r w:rsidR="003327A4" w:rsidRPr="006471A0">
              <w:rPr>
                <w:b/>
                <w:color w:val="000000"/>
                <w:sz w:val="26"/>
                <w:szCs w:val="20"/>
                <w:vertAlign w:val="superscript"/>
              </w:rPr>
              <w:fldChar w:fldCharType="begin"/>
            </w:r>
            <w:r w:rsidR="003327A4" w:rsidRPr="006471A0">
              <w:rPr>
                <w:b/>
                <w:color w:val="000000"/>
                <w:sz w:val="26"/>
                <w:szCs w:val="20"/>
                <w:vertAlign w:val="superscript"/>
              </w:rPr>
              <w:instrText xml:space="preserve"> NOTEREF _Ref352062444 \h </w:instrText>
            </w:r>
            <w:r w:rsidR="003327A4">
              <w:rPr>
                <w:b/>
                <w:color w:val="000000"/>
                <w:sz w:val="26"/>
                <w:szCs w:val="20"/>
                <w:vertAlign w:val="superscript"/>
              </w:rPr>
              <w:instrText xml:space="preserve"> \* MERGEFORMAT </w:instrText>
            </w:r>
            <w:r w:rsidR="003327A4" w:rsidRPr="006471A0">
              <w:rPr>
                <w:b/>
                <w:color w:val="000000"/>
                <w:sz w:val="26"/>
                <w:szCs w:val="20"/>
                <w:vertAlign w:val="superscript"/>
              </w:rPr>
            </w:r>
            <w:r w:rsidR="003327A4" w:rsidRPr="006471A0">
              <w:rPr>
                <w:b/>
                <w:color w:val="000000"/>
                <w:sz w:val="26"/>
                <w:szCs w:val="20"/>
                <w:vertAlign w:val="superscript"/>
              </w:rPr>
              <w:fldChar w:fldCharType="separate"/>
            </w:r>
            <w:r w:rsidR="003327A4" w:rsidRPr="006471A0">
              <w:rPr>
                <w:b/>
                <w:color w:val="000000"/>
                <w:sz w:val="26"/>
                <w:szCs w:val="20"/>
                <w:vertAlign w:val="superscript"/>
              </w:rPr>
              <w:t>1</w:t>
            </w:r>
            <w:r w:rsidR="003327A4" w:rsidRPr="006471A0">
              <w:rPr>
                <w:b/>
                <w:color w:val="000000"/>
                <w:sz w:val="26"/>
                <w:szCs w:val="20"/>
                <w:vertAlign w:val="superscript"/>
              </w:rPr>
              <w:fldChar w:fldCharType="end"/>
            </w:r>
          </w:p>
        </w:tc>
        <w:tc>
          <w:tcPr>
            <w:tcW w:w="1770" w:type="dxa"/>
            <w:vAlign w:val="bottom"/>
          </w:tcPr>
          <w:p w:rsidR="00CA3B99" w:rsidRPr="005128B1" w:rsidRDefault="00CA3B99" w:rsidP="005128B1">
            <w:pPr>
              <w:keepNext/>
              <w:rPr>
                <w:b/>
                <w:color w:val="000000"/>
                <w:sz w:val="26"/>
                <w:szCs w:val="20"/>
              </w:rPr>
            </w:pPr>
            <w:r w:rsidRPr="005128B1">
              <w:rPr>
                <w:b/>
                <w:color w:val="000000"/>
                <w:sz w:val="26"/>
                <w:szCs w:val="20"/>
              </w:rPr>
              <w:t>Number of Respondents</w:t>
            </w:r>
            <w:r>
              <w:rPr>
                <w:rStyle w:val="FootnoteReference"/>
                <w:b/>
                <w:color w:val="000000"/>
                <w:sz w:val="26"/>
                <w:szCs w:val="20"/>
              </w:rPr>
              <w:footnoteReference w:id="7"/>
            </w:r>
          </w:p>
        </w:tc>
        <w:tc>
          <w:tcPr>
            <w:tcW w:w="1920" w:type="dxa"/>
            <w:vAlign w:val="bottom"/>
          </w:tcPr>
          <w:p w:rsidR="00CA3B99" w:rsidRPr="005128B1" w:rsidRDefault="00CA3B99" w:rsidP="005128B1">
            <w:pPr>
              <w:keepNext/>
              <w:rPr>
                <w:b/>
                <w:color w:val="000000"/>
                <w:sz w:val="26"/>
                <w:szCs w:val="20"/>
              </w:rPr>
            </w:pPr>
            <w:r w:rsidRPr="005128B1">
              <w:rPr>
                <w:b/>
                <w:color w:val="000000"/>
                <w:sz w:val="26"/>
                <w:szCs w:val="20"/>
              </w:rPr>
              <w:t>Hours Per Response (1 Response Per Respondent)</w:t>
            </w:r>
          </w:p>
        </w:tc>
        <w:tc>
          <w:tcPr>
            <w:tcW w:w="990" w:type="dxa"/>
            <w:vAlign w:val="bottom"/>
          </w:tcPr>
          <w:p w:rsidR="00CA3B99" w:rsidRPr="005128B1" w:rsidRDefault="00CA3B99" w:rsidP="005128B1">
            <w:pPr>
              <w:keepNext/>
              <w:rPr>
                <w:b/>
                <w:color w:val="000000"/>
                <w:sz w:val="26"/>
                <w:szCs w:val="20"/>
              </w:rPr>
            </w:pPr>
            <w:r w:rsidRPr="005128B1">
              <w:rPr>
                <w:b/>
                <w:color w:val="000000"/>
                <w:sz w:val="26"/>
                <w:szCs w:val="20"/>
              </w:rPr>
              <w:t>Total Hours</w:t>
            </w:r>
          </w:p>
        </w:tc>
        <w:tc>
          <w:tcPr>
            <w:tcW w:w="1620" w:type="dxa"/>
            <w:vAlign w:val="bottom"/>
          </w:tcPr>
          <w:p w:rsidR="00CA3B99" w:rsidRPr="005128B1" w:rsidRDefault="00CA3B99" w:rsidP="005128B1">
            <w:pPr>
              <w:keepNext/>
              <w:rPr>
                <w:b/>
                <w:color w:val="000000"/>
                <w:sz w:val="26"/>
                <w:szCs w:val="20"/>
              </w:rPr>
            </w:pPr>
            <w:r w:rsidRPr="005128B1">
              <w:rPr>
                <w:b/>
                <w:color w:val="000000"/>
                <w:sz w:val="26"/>
                <w:szCs w:val="20"/>
              </w:rPr>
              <w:t>Total Cost</w:t>
            </w:r>
            <w:r>
              <w:rPr>
                <w:rStyle w:val="FootnoteReference"/>
                <w:b/>
                <w:color w:val="000000"/>
                <w:sz w:val="26"/>
                <w:szCs w:val="20"/>
              </w:rPr>
              <w:footnoteReference w:id="8"/>
            </w:r>
          </w:p>
        </w:tc>
      </w:tr>
      <w:tr w:rsidR="00CA3B99" w:rsidRPr="005128B1" w:rsidTr="0046224D">
        <w:trPr>
          <w:trHeight w:val="250"/>
        </w:trPr>
        <w:tc>
          <w:tcPr>
            <w:tcW w:w="2550" w:type="dxa"/>
          </w:tcPr>
          <w:p w:rsidR="00CA3B99" w:rsidRPr="005128B1" w:rsidRDefault="00CA3B99" w:rsidP="005128B1">
            <w:pPr>
              <w:rPr>
                <w:color w:val="000000"/>
                <w:sz w:val="26"/>
                <w:szCs w:val="20"/>
              </w:rPr>
            </w:pPr>
            <w:r w:rsidRPr="005128B1">
              <w:rPr>
                <w:color w:val="000000"/>
                <w:sz w:val="26"/>
                <w:szCs w:val="20"/>
              </w:rPr>
              <w:t>FERC -545-- NGA Pipelines</w:t>
            </w:r>
          </w:p>
        </w:tc>
        <w:tc>
          <w:tcPr>
            <w:tcW w:w="1770" w:type="dxa"/>
            <w:vAlign w:val="bottom"/>
          </w:tcPr>
          <w:p w:rsidR="00CA3B99" w:rsidRPr="005128B1" w:rsidRDefault="00CA3B99" w:rsidP="0046224D">
            <w:pPr>
              <w:jc w:val="right"/>
              <w:rPr>
                <w:color w:val="000000"/>
                <w:sz w:val="26"/>
                <w:szCs w:val="20"/>
              </w:rPr>
            </w:pPr>
            <w:r>
              <w:rPr>
                <w:color w:val="000000"/>
                <w:sz w:val="26"/>
                <w:szCs w:val="20"/>
              </w:rPr>
              <w:t>169</w:t>
            </w:r>
          </w:p>
        </w:tc>
        <w:tc>
          <w:tcPr>
            <w:tcW w:w="1920" w:type="dxa"/>
            <w:vAlign w:val="bottom"/>
          </w:tcPr>
          <w:p w:rsidR="00CA3B99" w:rsidRPr="005128B1" w:rsidRDefault="00CA3B99" w:rsidP="0046224D">
            <w:pPr>
              <w:jc w:val="right"/>
              <w:rPr>
                <w:color w:val="000000"/>
                <w:sz w:val="26"/>
                <w:szCs w:val="20"/>
              </w:rPr>
            </w:pPr>
            <w:r w:rsidRPr="005128B1">
              <w:rPr>
                <w:color w:val="000000"/>
                <w:sz w:val="26"/>
                <w:szCs w:val="20"/>
              </w:rPr>
              <w:t>1</w:t>
            </w:r>
          </w:p>
        </w:tc>
        <w:tc>
          <w:tcPr>
            <w:tcW w:w="990" w:type="dxa"/>
            <w:vAlign w:val="bottom"/>
          </w:tcPr>
          <w:p w:rsidR="00CA3B99" w:rsidRPr="005128B1" w:rsidRDefault="00CA3B99" w:rsidP="0046224D">
            <w:pPr>
              <w:jc w:val="right"/>
              <w:rPr>
                <w:color w:val="000000"/>
                <w:sz w:val="26"/>
                <w:szCs w:val="20"/>
              </w:rPr>
            </w:pPr>
            <w:r w:rsidRPr="005128B1">
              <w:rPr>
                <w:color w:val="000000"/>
                <w:sz w:val="26"/>
                <w:szCs w:val="20"/>
              </w:rPr>
              <w:t>16</w:t>
            </w:r>
            <w:r>
              <w:rPr>
                <w:color w:val="000000"/>
                <w:sz w:val="26"/>
                <w:szCs w:val="20"/>
              </w:rPr>
              <w:t>9</w:t>
            </w:r>
          </w:p>
        </w:tc>
        <w:tc>
          <w:tcPr>
            <w:tcW w:w="1620" w:type="dxa"/>
            <w:vAlign w:val="bottom"/>
          </w:tcPr>
          <w:p w:rsidR="00CA3B99" w:rsidRPr="005128B1" w:rsidRDefault="00CA3B99" w:rsidP="004C6A8D">
            <w:pPr>
              <w:jc w:val="right"/>
              <w:rPr>
                <w:color w:val="000000"/>
                <w:sz w:val="26"/>
                <w:szCs w:val="20"/>
              </w:rPr>
            </w:pPr>
            <w:r w:rsidRPr="005128B1">
              <w:rPr>
                <w:color w:val="000000"/>
                <w:sz w:val="26"/>
                <w:szCs w:val="20"/>
              </w:rPr>
              <w:t>$</w:t>
            </w:r>
            <w:r w:rsidR="004C6A8D">
              <w:rPr>
                <w:color w:val="000000"/>
                <w:sz w:val="26"/>
                <w:szCs w:val="20"/>
              </w:rPr>
              <w:t>6,082</w:t>
            </w:r>
          </w:p>
        </w:tc>
      </w:tr>
      <w:tr w:rsidR="00CA3B99" w:rsidRPr="005128B1" w:rsidTr="0046224D">
        <w:trPr>
          <w:trHeight w:val="250"/>
        </w:trPr>
        <w:tc>
          <w:tcPr>
            <w:tcW w:w="2550" w:type="dxa"/>
          </w:tcPr>
          <w:p w:rsidR="00CA3B99" w:rsidRPr="005128B1" w:rsidRDefault="00CA3B99" w:rsidP="005128B1">
            <w:pPr>
              <w:rPr>
                <w:color w:val="000000"/>
                <w:sz w:val="26"/>
                <w:szCs w:val="20"/>
              </w:rPr>
            </w:pPr>
            <w:r w:rsidRPr="005128B1">
              <w:rPr>
                <w:sz w:val="26"/>
              </w:rPr>
              <w:t>FERC-549 -- NGPA Pipelines</w:t>
            </w:r>
          </w:p>
        </w:tc>
        <w:tc>
          <w:tcPr>
            <w:tcW w:w="1770" w:type="dxa"/>
            <w:vAlign w:val="bottom"/>
          </w:tcPr>
          <w:p w:rsidR="00CA3B99" w:rsidRPr="005128B1" w:rsidRDefault="00CA3B99" w:rsidP="0046224D">
            <w:pPr>
              <w:jc w:val="right"/>
              <w:rPr>
                <w:color w:val="000000"/>
                <w:sz w:val="26"/>
                <w:szCs w:val="20"/>
              </w:rPr>
            </w:pPr>
            <w:r>
              <w:rPr>
                <w:color w:val="000000"/>
                <w:sz w:val="26"/>
                <w:szCs w:val="20"/>
              </w:rPr>
              <w:t>107</w:t>
            </w:r>
          </w:p>
        </w:tc>
        <w:tc>
          <w:tcPr>
            <w:tcW w:w="1920" w:type="dxa"/>
            <w:vAlign w:val="bottom"/>
          </w:tcPr>
          <w:p w:rsidR="00CA3B99" w:rsidRPr="005128B1" w:rsidRDefault="00CA3B99" w:rsidP="0046224D">
            <w:pPr>
              <w:jc w:val="right"/>
              <w:rPr>
                <w:color w:val="000000"/>
                <w:sz w:val="26"/>
                <w:szCs w:val="20"/>
              </w:rPr>
            </w:pPr>
            <w:r w:rsidRPr="005128B1">
              <w:rPr>
                <w:color w:val="000000"/>
                <w:sz w:val="26"/>
                <w:szCs w:val="20"/>
              </w:rPr>
              <w:t>1</w:t>
            </w:r>
          </w:p>
        </w:tc>
        <w:tc>
          <w:tcPr>
            <w:tcW w:w="990" w:type="dxa"/>
            <w:vAlign w:val="bottom"/>
          </w:tcPr>
          <w:p w:rsidR="00CA3B99" w:rsidRPr="005128B1" w:rsidRDefault="00CA3B99" w:rsidP="0046224D">
            <w:pPr>
              <w:jc w:val="right"/>
              <w:rPr>
                <w:color w:val="000000"/>
                <w:sz w:val="26"/>
                <w:szCs w:val="20"/>
              </w:rPr>
            </w:pPr>
            <w:r>
              <w:rPr>
                <w:color w:val="000000"/>
                <w:sz w:val="26"/>
                <w:szCs w:val="20"/>
              </w:rPr>
              <w:t>107</w:t>
            </w:r>
          </w:p>
        </w:tc>
        <w:tc>
          <w:tcPr>
            <w:tcW w:w="1620" w:type="dxa"/>
            <w:vAlign w:val="bottom"/>
          </w:tcPr>
          <w:p w:rsidR="00CA3B99" w:rsidRPr="005128B1" w:rsidRDefault="00CA3B99" w:rsidP="0046224D">
            <w:pPr>
              <w:jc w:val="right"/>
              <w:rPr>
                <w:color w:val="000000"/>
                <w:sz w:val="26"/>
                <w:szCs w:val="20"/>
              </w:rPr>
            </w:pPr>
            <w:r w:rsidRPr="005128B1">
              <w:rPr>
                <w:color w:val="000000"/>
                <w:sz w:val="26"/>
                <w:szCs w:val="20"/>
              </w:rPr>
              <w:t>$</w:t>
            </w:r>
            <w:r>
              <w:rPr>
                <w:color w:val="000000"/>
                <w:sz w:val="26"/>
                <w:szCs w:val="20"/>
              </w:rPr>
              <w:t>3,851</w:t>
            </w:r>
          </w:p>
        </w:tc>
      </w:tr>
      <w:tr w:rsidR="00CA3B99" w:rsidRPr="005128B1" w:rsidTr="0046224D">
        <w:trPr>
          <w:trHeight w:val="250"/>
        </w:trPr>
        <w:tc>
          <w:tcPr>
            <w:tcW w:w="2550" w:type="dxa"/>
          </w:tcPr>
          <w:p w:rsidR="00CA3B99" w:rsidRPr="005128B1" w:rsidRDefault="00CA3B99" w:rsidP="005128B1">
            <w:pPr>
              <w:keepNext/>
              <w:rPr>
                <w:color w:val="000000"/>
                <w:sz w:val="26"/>
                <w:szCs w:val="20"/>
              </w:rPr>
            </w:pPr>
            <w:r w:rsidRPr="005128B1">
              <w:rPr>
                <w:color w:val="000000"/>
                <w:sz w:val="26"/>
                <w:szCs w:val="20"/>
              </w:rPr>
              <w:t>FERC -550 -- Oil Pipelines</w:t>
            </w:r>
          </w:p>
        </w:tc>
        <w:tc>
          <w:tcPr>
            <w:tcW w:w="1770" w:type="dxa"/>
            <w:vAlign w:val="bottom"/>
          </w:tcPr>
          <w:p w:rsidR="00CA3B99" w:rsidRPr="005128B1" w:rsidRDefault="00CA3B99" w:rsidP="0046224D">
            <w:pPr>
              <w:jc w:val="right"/>
              <w:rPr>
                <w:color w:val="000000"/>
                <w:sz w:val="26"/>
                <w:szCs w:val="20"/>
              </w:rPr>
            </w:pPr>
            <w:r>
              <w:rPr>
                <w:color w:val="000000"/>
                <w:sz w:val="26"/>
                <w:szCs w:val="20"/>
              </w:rPr>
              <w:t>193</w:t>
            </w:r>
          </w:p>
        </w:tc>
        <w:tc>
          <w:tcPr>
            <w:tcW w:w="1920" w:type="dxa"/>
            <w:vAlign w:val="bottom"/>
          </w:tcPr>
          <w:p w:rsidR="00CA3B99" w:rsidRPr="005128B1" w:rsidRDefault="00CA3B99" w:rsidP="0046224D">
            <w:pPr>
              <w:jc w:val="right"/>
              <w:rPr>
                <w:color w:val="000000"/>
                <w:sz w:val="26"/>
                <w:szCs w:val="20"/>
              </w:rPr>
            </w:pPr>
            <w:r w:rsidRPr="005128B1">
              <w:rPr>
                <w:color w:val="000000"/>
                <w:sz w:val="26"/>
                <w:szCs w:val="20"/>
              </w:rPr>
              <w:t>1</w:t>
            </w:r>
          </w:p>
        </w:tc>
        <w:tc>
          <w:tcPr>
            <w:tcW w:w="990" w:type="dxa"/>
            <w:vAlign w:val="bottom"/>
          </w:tcPr>
          <w:p w:rsidR="00CA3B99" w:rsidRPr="005128B1" w:rsidRDefault="00CA3B99" w:rsidP="0046224D">
            <w:pPr>
              <w:jc w:val="right"/>
              <w:rPr>
                <w:color w:val="000000"/>
                <w:sz w:val="26"/>
                <w:szCs w:val="20"/>
              </w:rPr>
            </w:pPr>
            <w:r>
              <w:rPr>
                <w:color w:val="000000"/>
                <w:sz w:val="26"/>
                <w:szCs w:val="20"/>
              </w:rPr>
              <w:t>193</w:t>
            </w:r>
          </w:p>
        </w:tc>
        <w:tc>
          <w:tcPr>
            <w:tcW w:w="1620" w:type="dxa"/>
            <w:vAlign w:val="bottom"/>
          </w:tcPr>
          <w:p w:rsidR="00CA3B99" w:rsidRPr="005128B1" w:rsidRDefault="00CA3B99" w:rsidP="0046224D">
            <w:pPr>
              <w:jc w:val="right"/>
              <w:rPr>
                <w:color w:val="000000"/>
                <w:sz w:val="26"/>
                <w:szCs w:val="20"/>
              </w:rPr>
            </w:pPr>
            <w:r w:rsidRPr="005128B1">
              <w:rPr>
                <w:color w:val="000000"/>
                <w:sz w:val="26"/>
                <w:szCs w:val="20"/>
              </w:rPr>
              <w:t>$</w:t>
            </w:r>
            <w:r>
              <w:rPr>
                <w:color w:val="000000"/>
                <w:sz w:val="26"/>
                <w:szCs w:val="20"/>
              </w:rPr>
              <w:t>6,946</w:t>
            </w:r>
          </w:p>
        </w:tc>
      </w:tr>
    </w:tbl>
    <w:p w:rsidR="00CA3B99" w:rsidRPr="005128B1" w:rsidRDefault="00CA3B99" w:rsidP="005128B1">
      <w:pPr>
        <w:rPr>
          <w:sz w:val="26"/>
        </w:rPr>
      </w:pPr>
    </w:p>
    <w:p w:rsidR="00CA3B99" w:rsidRDefault="00CA3B99" w:rsidP="00460B6C">
      <w:pPr>
        <w:ind w:firstLine="720"/>
        <w:rPr>
          <w:sz w:val="26"/>
        </w:rPr>
      </w:pPr>
      <w:r w:rsidRPr="005128B1">
        <w:rPr>
          <w:sz w:val="26"/>
        </w:rPr>
        <w:t xml:space="preserve">We estimate that </w:t>
      </w:r>
      <w:r>
        <w:rPr>
          <w:sz w:val="26"/>
        </w:rPr>
        <w:t>each pipeline</w:t>
      </w:r>
      <w:r w:rsidRPr="005128B1">
        <w:rPr>
          <w:sz w:val="26"/>
        </w:rPr>
        <w:t xml:space="preserve"> will have the initial implementation burden of one hour and may annually review or make revisions to their list of designated agents. The total </w:t>
      </w:r>
      <w:r w:rsidR="003327A4">
        <w:rPr>
          <w:sz w:val="26"/>
        </w:rPr>
        <w:t xml:space="preserve">new </w:t>
      </w:r>
      <w:r w:rsidRPr="005128B1">
        <w:rPr>
          <w:sz w:val="26"/>
        </w:rPr>
        <w:t xml:space="preserve">annual </w:t>
      </w:r>
      <w:r>
        <w:rPr>
          <w:sz w:val="26"/>
        </w:rPr>
        <w:t xml:space="preserve">burden and </w:t>
      </w:r>
      <w:r w:rsidRPr="005128B1">
        <w:rPr>
          <w:sz w:val="26"/>
        </w:rPr>
        <w:t xml:space="preserve">cost for all </w:t>
      </w:r>
      <w:r>
        <w:rPr>
          <w:sz w:val="26"/>
        </w:rPr>
        <w:t xml:space="preserve">of the 469 </w:t>
      </w:r>
      <w:r w:rsidRPr="005128B1">
        <w:rPr>
          <w:sz w:val="26"/>
        </w:rPr>
        <w:t xml:space="preserve">respondents </w:t>
      </w:r>
      <w:r>
        <w:rPr>
          <w:sz w:val="26"/>
        </w:rPr>
        <w:t xml:space="preserve">(for </w:t>
      </w:r>
      <w:r w:rsidRPr="0046224D">
        <w:rPr>
          <w:color w:val="000000"/>
          <w:sz w:val="26"/>
          <w:szCs w:val="20"/>
        </w:rPr>
        <w:t>FERC-545, -549, and -550</w:t>
      </w:r>
      <w:r>
        <w:rPr>
          <w:color w:val="000000"/>
          <w:sz w:val="26"/>
          <w:szCs w:val="20"/>
        </w:rPr>
        <w:t xml:space="preserve">) for this requirement </w:t>
      </w:r>
      <w:r>
        <w:rPr>
          <w:sz w:val="26"/>
        </w:rPr>
        <w:t>are</w:t>
      </w:r>
      <w:r w:rsidRPr="005128B1">
        <w:rPr>
          <w:sz w:val="26"/>
        </w:rPr>
        <w:t xml:space="preserve">: </w:t>
      </w:r>
      <w:r>
        <w:rPr>
          <w:sz w:val="26"/>
        </w:rPr>
        <w:t xml:space="preserve">469 hours or </w:t>
      </w:r>
      <w:r w:rsidRPr="005128B1">
        <w:rPr>
          <w:sz w:val="26"/>
        </w:rPr>
        <w:t>$</w:t>
      </w:r>
      <w:r>
        <w:rPr>
          <w:sz w:val="26"/>
        </w:rPr>
        <w:t>16,</w:t>
      </w:r>
      <w:r w:rsidR="004C6A8D">
        <w:rPr>
          <w:sz w:val="26"/>
        </w:rPr>
        <w:t>879</w:t>
      </w:r>
      <w:r w:rsidRPr="005128B1">
        <w:rPr>
          <w:sz w:val="26"/>
        </w:rPr>
        <w:t xml:space="preserve">. </w:t>
      </w:r>
      <w:r>
        <w:rPr>
          <w:sz w:val="26"/>
        </w:rPr>
        <w:t xml:space="preserve"> </w:t>
      </w:r>
    </w:p>
    <w:p w:rsidR="003327A4" w:rsidRDefault="00DE0195" w:rsidP="00FA193E">
      <w:pPr>
        <w:tabs>
          <w:tab w:val="num" w:pos="0"/>
        </w:tabs>
        <w:spacing w:before="100" w:beforeAutospacing="1" w:after="240"/>
        <w:rPr>
          <w:bCs/>
          <w:sz w:val="26"/>
          <w:szCs w:val="26"/>
        </w:rPr>
      </w:pPr>
      <w:r>
        <w:rPr>
          <w:bCs/>
          <w:sz w:val="26"/>
          <w:szCs w:val="26"/>
        </w:rPr>
        <w:tab/>
      </w:r>
      <w:r w:rsidR="00A231F3">
        <w:rPr>
          <w:bCs/>
          <w:sz w:val="26"/>
          <w:szCs w:val="26"/>
        </w:rPr>
        <w:t>FERC is not adjusting t</w:t>
      </w:r>
      <w:r w:rsidR="003327A4" w:rsidRPr="006471A0">
        <w:rPr>
          <w:bCs/>
          <w:sz w:val="26"/>
          <w:szCs w:val="26"/>
        </w:rPr>
        <w:t xml:space="preserve">he </w:t>
      </w:r>
      <w:r w:rsidR="003327A4">
        <w:rPr>
          <w:bCs/>
          <w:sz w:val="26"/>
          <w:szCs w:val="26"/>
        </w:rPr>
        <w:t xml:space="preserve">current estimates for the existing requirements </w:t>
      </w:r>
      <w:r>
        <w:rPr>
          <w:bCs/>
          <w:sz w:val="26"/>
          <w:szCs w:val="26"/>
        </w:rPr>
        <w:t xml:space="preserve">(e.g., </w:t>
      </w:r>
      <w:r w:rsidR="003327A4">
        <w:rPr>
          <w:bCs/>
          <w:sz w:val="26"/>
          <w:szCs w:val="26"/>
        </w:rPr>
        <w:t xml:space="preserve">no. of respondents, </w:t>
      </w:r>
      <w:r>
        <w:rPr>
          <w:bCs/>
          <w:sz w:val="26"/>
          <w:szCs w:val="26"/>
        </w:rPr>
        <w:t>burden</w:t>
      </w:r>
      <w:r w:rsidR="00686720">
        <w:rPr>
          <w:bCs/>
          <w:sz w:val="26"/>
          <w:szCs w:val="26"/>
        </w:rPr>
        <w:t>) at</w:t>
      </w:r>
      <w:r w:rsidR="003327A4">
        <w:rPr>
          <w:bCs/>
          <w:sz w:val="26"/>
          <w:szCs w:val="26"/>
        </w:rPr>
        <w:t xml:space="preserve"> this time</w:t>
      </w:r>
      <w:r w:rsidR="00A231F3">
        <w:rPr>
          <w:bCs/>
          <w:sz w:val="26"/>
          <w:szCs w:val="26"/>
        </w:rPr>
        <w:t>.</w:t>
      </w:r>
      <w:r w:rsidR="003327A4">
        <w:rPr>
          <w:bCs/>
          <w:sz w:val="26"/>
          <w:szCs w:val="26"/>
        </w:rPr>
        <w:t xml:space="preserve"> </w:t>
      </w:r>
      <w:r w:rsidR="00A231F3">
        <w:rPr>
          <w:bCs/>
          <w:sz w:val="26"/>
          <w:szCs w:val="26"/>
        </w:rPr>
        <w:t xml:space="preserve">FERC is </w:t>
      </w:r>
      <w:r w:rsidR="003327A4">
        <w:rPr>
          <w:bCs/>
          <w:sz w:val="26"/>
          <w:szCs w:val="26"/>
        </w:rPr>
        <w:t xml:space="preserve">only </w:t>
      </w:r>
      <w:r w:rsidR="00A231F3">
        <w:rPr>
          <w:bCs/>
          <w:sz w:val="26"/>
          <w:szCs w:val="26"/>
        </w:rPr>
        <w:t xml:space="preserve">modifying the estimates due to </w:t>
      </w:r>
      <w:r w:rsidR="003327A4">
        <w:rPr>
          <w:bCs/>
          <w:sz w:val="26"/>
          <w:szCs w:val="26"/>
        </w:rPr>
        <w:t>the annual program increase caused by the new notice</w:t>
      </w:r>
      <w:r w:rsidR="003327A4" w:rsidRPr="006471A0">
        <w:rPr>
          <w:bCs/>
          <w:sz w:val="26"/>
          <w:szCs w:val="26"/>
          <w:vertAlign w:val="superscript"/>
        </w:rPr>
        <w:fldChar w:fldCharType="begin"/>
      </w:r>
      <w:r w:rsidR="003327A4" w:rsidRPr="006471A0">
        <w:rPr>
          <w:bCs/>
          <w:sz w:val="26"/>
          <w:szCs w:val="26"/>
          <w:vertAlign w:val="superscript"/>
        </w:rPr>
        <w:instrText xml:space="preserve"> NOTEREF _Ref352062444 \h </w:instrText>
      </w:r>
      <w:r w:rsidR="003327A4">
        <w:rPr>
          <w:bCs/>
          <w:sz w:val="26"/>
          <w:szCs w:val="26"/>
          <w:vertAlign w:val="superscript"/>
        </w:rPr>
        <w:instrText xml:space="preserve"> \* MERGEFORMAT </w:instrText>
      </w:r>
      <w:r w:rsidR="003327A4" w:rsidRPr="006471A0">
        <w:rPr>
          <w:bCs/>
          <w:sz w:val="26"/>
          <w:szCs w:val="26"/>
          <w:vertAlign w:val="superscript"/>
        </w:rPr>
      </w:r>
      <w:r w:rsidR="003327A4" w:rsidRPr="006471A0">
        <w:rPr>
          <w:bCs/>
          <w:sz w:val="26"/>
          <w:szCs w:val="26"/>
          <w:vertAlign w:val="superscript"/>
        </w:rPr>
        <w:fldChar w:fldCharType="separate"/>
      </w:r>
      <w:r w:rsidR="003327A4" w:rsidRPr="006471A0">
        <w:rPr>
          <w:bCs/>
          <w:sz w:val="26"/>
          <w:szCs w:val="26"/>
          <w:vertAlign w:val="superscript"/>
        </w:rPr>
        <w:t>1</w:t>
      </w:r>
      <w:r w:rsidR="003327A4" w:rsidRPr="006471A0">
        <w:rPr>
          <w:bCs/>
          <w:sz w:val="26"/>
          <w:szCs w:val="26"/>
          <w:vertAlign w:val="superscript"/>
        </w:rPr>
        <w:fldChar w:fldCharType="end"/>
      </w:r>
      <w:r w:rsidR="003327A4">
        <w:rPr>
          <w:bCs/>
          <w:sz w:val="26"/>
          <w:szCs w:val="26"/>
        </w:rPr>
        <w:t>.</w:t>
      </w:r>
    </w:p>
    <w:p w:rsidR="00507B6D" w:rsidRDefault="00507B6D" w:rsidP="00507B6D">
      <w:pPr>
        <w:rPr>
          <w:b/>
          <w:sz w:val="26"/>
          <w:szCs w:val="26"/>
        </w:rPr>
      </w:pPr>
    </w:p>
    <w:p w:rsidR="00507B6D" w:rsidRPr="00507B6D" w:rsidRDefault="00507B6D" w:rsidP="00507B6D">
      <w:pPr>
        <w:rPr>
          <w:sz w:val="26"/>
          <w:szCs w:val="26"/>
        </w:rPr>
      </w:pPr>
      <w:proofErr w:type="gramStart"/>
      <w:r w:rsidRPr="00A67C3C">
        <w:rPr>
          <w:b/>
          <w:sz w:val="26"/>
          <w:szCs w:val="26"/>
        </w:rPr>
        <w:t>FERC-550, FERC-545, and FERC-549.</w:t>
      </w:r>
      <w:proofErr w:type="gramEnd"/>
      <w:r w:rsidRPr="00A67C3C">
        <w:rPr>
          <w:b/>
          <w:sz w:val="26"/>
          <w:szCs w:val="26"/>
        </w:rPr>
        <w:t xml:space="preserve">  </w:t>
      </w:r>
      <w:r w:rsidRPr="00A67C3C">
        <w:rPr>
          <w:sz w:val="26"/>
          <w:szCs w:val="26"/>
        </w:rPr>
        <w:t xml:space="preserve">The current </w:t>
      </w:r>
      <w:r>
        <w:rPr>
          <w:sz w:val="26"/>
          <w:szCs w:val="26"/>
        </w:rPr>
        <w:t>OMB-approved annual estimates</w:t>
      </w:r>
      <w:r w:rsidRPr="00A67C3C">
        <w:rPr>
          <w:sz w:val="26"/>
          <w:szCs w:val="26"/>
        </w:rPr>
        <w:t xml:space="preserve"> </w:t>
      </w:r>
      <w:r>
        <w:rPr>
          <w:sz w:val="26"/>
          <w:szCs w:val="26"/>
        </w:rPr>
        <w:t xml:space="preserve">in ROCIS and reginfo.gov </w:t>
      </w:r>
      <w:r w:rsidRPr="00A67C3C">
        <w:rPr>
          <w:sz w:val="26"/>
          <w:szCs w:val="26"/>
        </w:rPr>
        <w:t>follow.</w:t>
      </w:r>
    </w:p>
    <w:tbl>
      <w:tblPr>
        <w:tblW w:w="858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0"/>
        <w:gridCol w:w="1770"/>
        <w:gridCol w:w="1920"/>
        <w:gridCol w:w="2340"/>
      </w:tblGrid>
      <w:tr w:rsidR="00507B6D" w:rsidRPr="00507B6D" w:rsidTr="007556AE">
        <w:trPr>
          <w:trHeight w:val="499"/>
          <w:tblHeader/>
        </w:trPr>
        <w:tc>
          <w:tcPr>
            <w:tcW w:w="2550" w:type="dxa"/>
            <w:vAlign w:val="bottom"/>
          </w:tcPr>
          <w:p w:rsidR="00507B6D" w:rsidRPr="00507B6D" w:rsidRDefault="00507B6D" w:rsidP="00507B6D">
            <w:pPr>
              <w:keepNext/>
              <w:rPr>
                <w:b/>
                <w:color w:val="000000"/>
                <w:sz w:val="26"/>
                <w:szCs w:val="20"/>
              </w:rPr>
            </w:pPr>
            <w:r w:rsidRPr="00507B6D">
              <w:rPr>
                <w:b/>
                <w:color w:val="000000"/>
                <w:sz w:val="26"/>
                <w:szCs w:val="20"/>
              </w:rPr>
              <w:t>Data Collection</w:t>
            </w:r>
          </w:p>
        </w:tc>
        <w:tc>
          <w:tcPr>
            <w:tcW w:w="1770" w:type="dxa"/>
            <w:vAlign w:val="bottom"/>
          </w:tcPr>
          <w:p w:rsidR="00507B6D" w:rsidRPr="00507B6D" w:rsidRDefault="005B0DA6" w:rsidP="00507B6D">
            <w:pPr>
              <w:keepNext/>
              <w:rPr>
                <w:b/>
                <w:color w:val="000000"/>
                <w:sz w:val="26"/>
                <w:szCs w:val="20"/>
              </w:rPr>
            </w:pPr>
            <w:r>
              <w:rPr>
                <w:b/>
                <w:color w:val="000000"/>
                <w:sz w:val="26"/>
                <w:szCs w:val="20"/>
              </w:rPr>
              <w:t xml:space="preserve">Annual </w:t>
            </w:r>
            <w:r w:rsidR="00507B6D" w:rsidRPr="00507B6D">
              <w:rPr>
                <w:b/>
                <w:color w:val="000000"/>
                <w:sz w:val="26"/>
                <w:szCs w:val="20"/>
              </w:rPr>
              <w:t>Number of Respon</w:t>
            </w:r>
            <w:r w:rsidR="00507B6D">
              <w:rPr>
                <w:b/>
                <w:color w:val="000000"/>
                <w:sz w:val="26"/>
                <w:szCs w:val="20"/>
              </w:rPr>
              <w:t>ses</w:t>
            </w:r>
          </w:p>
        </w:tc>
        <w:tc>
          <w:tcPr>
            <w:tcW w:w="1920" w:type="dxa"/>
            <w:vAlign w:val="bottom"/>
          </w:tcPr>
          <w:p w:rsidR="00507B6D" w:rsidRPr="00507B6D" w:rsidRDefault="005B0DA6" w:rsidP="00507B6D">
            <w:pPr>
              <w:keepNext/>
              <w:rPr>
                <w:b/>
                <w:color w:val="000000"/>
                <w:sz w:val="26"/>
                <w:szCs w:val="20"/>
              </w:rPr>
            </w:pPr>
            <w:r>
              <w:rPr>
                <w:b/>
                <w:color w:val="000000"/>
                <w:sz w:val="26"/>
                <w:szCs w:val="20"/>
              </w:rPr>
              <w:t xml:space="preserve">Annual </w:t>
            </w:r>
            <w:r w:rsidR="00507B6D" w:rsidRPr="00507B6D">
              <w:rPr>
                <w:b/>
                <w:color w:val="000000"/>
                <w:sz w:val="26"/>
                <w:szCs w:val="20"/>
              </w:rPr>
              <w:t xml:space="preserve">Total </w:t>
            </w:r>
            <w:r>
              <w:rPr>
                <w:b/>
                <w:color w:val="000000"/>
                <w:sz w:val="26"/>
                <w:szCs w:val="20"/>
              </w:rPr>
              <w:t xml:space="preserve">Burden </w:t>
            </w:r>
            <w:r w:rsidR="00507B6D" w:rsidRPr="00507B6D">
              <w:rPr>
                <w:b/>
                <w:color w:val="000000"/>
                <w:sz w:val="26"/>
                <w:szCs w:val="20"/>
              </w:rPr>
              <w:t>Hours</w:t>
            </w:r>
          </w:p>
        </w:tc>
        <w:tc>
          <w:tcPr>
            <w:tcW w:w="2340" w:type="dxa"/>
            <w:vAlign w:val="bottom"/>
          </w:tcPr>
          <w:p w:rsidR="00507B6D" w:rsidRPr="00507B6D" w:rsidRDefault="005B0DA6" w:rsidP="00507B6D">
            <w:pPr>
              <w:keepNext/>
              <w:rPr>
                <w:b/>
                <w:color w:val="000000"/>
                <w:sz w:val="26"/>
                <w:szCs w:val="20"/>
              </w:rPr>
            </w:pPr>
            <w:r>
              <w:rPr>
                <w:b/>
                <w:color w:val="000000"/>
                <w:sz w:val="26"/>
                <w:szCs w:val="20"/>
              </w:rPr>
              <w:t xml:space="preserve">Annual </w:t>
            </w:r>
            <w:r w:rsidR="00507B6D" w:rsidRPr="00507B6D">
              <w:rPr>
                <w:b/>
                <w:color w:val="000000"/>
                <w:sz w:val="26"/>
                <w:szCs w:val="20"/>
              </w:rPr>
              <w:t xml:space="preserve">Total </w:t>
            </w:r>
            <w:r>
              <w:rPr>
                <w:b/>
                <w:color w:val="000000"/>
                <w:sz w:val="26"/>
                <w:szCs w:val="20"/>
              </w:rPr>
              <w:t xml:space="preserve">Burden Hour </w:t>
            </w:r>
            <w:r w:rsidR="00507B6D" w:rsidRPr="00507B6D">
              <w:rPr>
                <w:b/>
                <w:color w:val="000000"/>
                <w:sz w:val="26"/>
                <w:szCs w:val="20"/>
              </w:rPr>
              <w:t>Cost</w:t>
            </w:r>
            <w:r>
              <w:rPr>
                <w:b/>
                <w:color w:val="000000"/>
                <w:sz w:val="26"/>
                <w:szCs w:val="20"/>
              </w:rPr>
              <w:t xml:space="preserve"> for Industry</w:t>
            </w:r>
          </w:p>
        </w:tc>
      </w:tr>
      <w:tr w:rsidR="00507B6D" w:rsidRPr="00507B6D" w:rsidTr="007556AE">
        <w:trPr>
          <w:trHeight w:val="250"/>
        </w:trPr>
        <w:tc>
          <w:tcPr>
            <w:tcW w:w="2550" w:type="dxa"/>
          </w:tcPr>
          <w:p w:rsidR="00507B6D" w:rsidRPr="00507B6D" w:rsidRDefault="00507B6D" w:rsidP="00507B6D">
            <w:pPr>
              <w:rPr>
                <w:color w:val="000000"/>
                <w:sz w:val="26"/>
                <w:szCs w:val="20"/>
              </w:rPr>
            </w:pPr>
            <w:r w:rsidRPr="00507B6D">
              <w:rPr>
                <w:color w:val="000000"/>
                <w:sz w:val="26"/>
                <w:szCs w:val="20"/>
              </w:rPr>
              <w:t>FERC -545</w:t>
            </w:r>
            <w:r>
              <w:rPr>
                <w:color w:val="000000"/>
                <w:sz w:val="26"/>
                <w:szCs w:val="20"/>
              </w:rPr>
              <w:t xml:space="preserve">, </w:t>
            </w:r>
            <w:r w:rsidRPr="00507B6D">
              <w:rPr>
                <w:color w:val="000000"/>
                <w:sz w:val="26"/>
                <w:szCs w:val="20"/>
              </w:rPr>
              <w:t>Gas Pipeline Rates: Rate Change (Non-formal)</w:t>
            </w:r>
            <w:r w:rsidR="005B0DA6">
              <w:rPr>
                <w:rStyle w:val="FootnoteReference"/>
                <w:color w:val="000000"/>
                <w:sz w:val="26"/>
                <w:szCs w:val="20"/>
              </w:rPr>
              <w:footnoteReference w:id="9"/>
            </w:r>
          </w:p>
        </w:tc>
        <w:tc>
          <w:tcPr>
            <w:tcW w:w="1770" w:type="dxa"/>
            <w:vAlign w:val="bottom"/>
          </w:tcPr>
          <w:p w:rsidR="00507B6D" w:rsidRPr="00507B6D" w:rsidRDefault="00507B6D" w:rsidP="00507B6D">
            <w:pPr>
              <w:jc w:val="right"/>
              <w:rPr>
                <w:color w:val="000000"/>
                <w:sz w:val="26"/>
                <w:szCs w:val="20"/>
              </w:rPr>
            </w:pPr>
            <w:r w:rsidRPr="00507B6D">
              <w:rPr>
                <w:color w:val="000000"/>
                <w:sz w:val="26"/>
                <w:szCs w:val="20"/>
              </w:rPr>
              <w:t>1,982</w:t>
            </w:r>
          </w:p>
        </w:tc>
        <w:tc>
          <w:tcPr>
            <w:tcW w:w="1920" w:type="dxa"/>
            <w:vAlign w:val="bottom"/>
          </w:tcPr>
          <w:p w:rsidR="00507B6D" w:rsidRPr="00507B6D" w:rsidRDefault="00507B6D" w:rsidP="00507B6D">
            <w:pPr>
              <w:jc w:val="right"/>
              <w:rPr>
                <w:color w:val="000000"/>
                <w:sz w:val="26"/>
                <w:szCs w:val="20"/>
              </w:rPr>
            </w:pPr>
            <w:r w:rsidRPr="00507B6D">
              <w:rPr>
                <w:color w:val="000000"/>
                <w:sz w:val="26"/>
                <w:szCs w:val="20"/>
              </w:rPr>
              <w:t>280,276</w:t>
            </w:r>
          </w:p>
        </w:tc>
        <w:tc>
          <w:tcPr>
            <w:tcW w:w="2340" w:type="dxa"/>
            <w:vAlign w:val="bottom"/>
          </w:tcPr>
          <w:p w:rsidR="00507B6D" w:rsidRPr="00507B6D" w:rsidRDefault="005B0DA6" w:rsidP="00507B6D">
            <w:pPr>
              <w:jc w:val="right"/>
              <w:rPr>
                <w:color w:val="000000"/>
                <w:sz w:val="26"/>
                <w:szCs w:val="20"/>
              </w:rPr>
            </w:pPr>
            <w:r w:rsidRPr="005B0DA6">
              <w:rPr>
                <w:color w:val="000000"/>
                <w:sz w:val="26"/>
                <w:szCs w:val="20"/>
              </w:rPr>
              <w:t>$19,341,847</w:t>
            </w:r>
          </w:p>
        </w:tc>
      </w:tr>
      <w:tr w:rsidR="00507B6D" w:rsidRPr="00507B6D" w:rsidTr="007556AE">
        <w:trPr>
          <w:trHeight w:val="250"/>
        </w:trPr>
        <w:tc>
          <w:tcPr>
            <w:tcW w:w="2550" w:type="dxa"/>
          </w:tcPr>
          <w:p w:rsidR="00507B6D" w:rsidRPr="00507B6D" w:rsidRDefault="00507B6D" w:rsidP="00507B6D">
            <w:pPr>
              <w:rPr>
                <w:color w:val="000000"/>
                <w:sz w:val="26"/>
                <w:szCs w:val="20"/>
              </w:rPr>
            </w:pPr>
            <w:r w:rsidRPr="00507B6D">
              <w:rPr>
                <w:sz w:val="26"/>
              </w:rPr>
              <w:t>FERC-549</w:t>
            </w:r>
            <w:r w:rsidR="00CE1591">
              <w:rPr>
                <w:sz w:val="26"/>
              </w:rPr>
              <w:t xml:space="preserve">, </w:t>
            </w:r>
            <w:r w:rsidRPr="00507B6D">
              <w:rPr>
                <w:sz w:val="26"/>
              </w:rPr>
              <w:t xml:space="preserve"> </w:t>
            </w:r>
            <w:r w:rsidR="00CE1591" w:rsidRPr="00CE1591">
              <w:rPr>
                <w:sz w:val="26"/>
              </w:rPr>
              <w:t xml:space="preserve">NGPA Title III Transactions and NGA Blanket </w:t>
            </w:r>
            <w:r w:rsidR="00CE1591" w:rsidRPr="00CE1591">
              <w:rPr>
                <w:sz w:val="26"/>
              </w:rPr>
              <w:lastRenderedPageBreak/>
              <w:t>Certificate Transactions</w:t>
            </w:r>
            <w:r w:rsidR="00CE1591">
              <w:rPr>
                <w:rStyle w:val="FootnoteReference"/>
                <w:sz w:val="26"/>
              </w:rPr>
              <w:footnoteReference w:id="10"/>
            </w:r>
          </w:p>
        </w:tc>
        <w:tc>
          <w:tcPr>
            <w:tcW w:w="1770" w:type="dxa"/>
            <w:vAlign w:val="bottom"/>
          </w:tcPr>
          <w:p w:rsidR="00507B6D" w:rsidRPr="00507B6D" w:rsidRDefault="005B0DA6" w:rsidP="00507B6D">
            <w:pPr>
              <w:jc w:val="right"/>
              <w:rPr>
                <w:color w:val="000000"/>
                <w:sz w:val="26"/>
                <w:szCs w:val="20"/>
              </w:rPr>
            </w:pPr>
            <w:r w:rsidRPr="005B0DA6">
              <w:rPr>
                <w:color w:val="000000"/>
                <w:sz w:val="26"/>
                <w:szCs w:val="20"/>
              </w:rPr>
              <w:lastRenderedPageBreak/>
              <w:t>441</w:t>
            </w:r>
          </w:p>
        </w:tc>
        <w:tc>
          <w:tcPr>
            <w:tcW w:w="1920" w:type="dxa"/>
            <w:vAlign w:val="bottom"/>
          </w:tcPr>
          <w:p w:rsidR="00507B6D" w:rsidRPr="00507B6D" w:rsidRDefault="005B0DA6" w:rsidP="00507B6D">
            <w:pPr>
              <w:jc w:val="right"/>
              <w:rPr>
                <w:color w:val="000000"/>
                <w:sz w:val="26"/>
                <w:szCs w:val="20"/>
              </w:rPr>
            </w:pPr>
            <w:r w:rsidRPr="005B0DA6">
              <w:rPr>
                <w:color w:val="000000"/>
                <w:sz w:val="26"/>
                <w:szCs w:val="20"/>
              </w:rPr>
              <w:t>2,176</w:t>
            </w:r>
          </w:p>
        </w:tc>
        <w:tc>
          <w:tcPr>
            <w:tcW w:w="2340" w:type="dxa"/>
            <w:vAlign w:val="bottom"/>
          </w:tcPr>
          <w:p w:rsidR="00507B6D" w:rsidRPr="00507B6D" w:rsidRDefault="005B0DA6" w:rsidP="00507B6D">
            <w:pPr>
              <w:jc w:val="right"/>
              <w:rPr>
                <w:color w:val="000000"/>
                <w:sz w:val="26"/>
                <w:szCs w:val="20"/>
              </w:rPr>
            </w:pPr>
            <w:r w:rsidRPr="005B0DA6">
              <w:rPr>
                <w:color w:val="000000"/>
                <w:sz w:val="26"/>
                <w:szCs w:val="20"/>
              </w:rPr>
              <w:t>$126,208</w:t>
            </w:r>
          </w:p>
        </w:tc>
      </w:tr>
      <w:tr w:rsidR="00507B6D" w:rsidRPr="00507B6D" w:rsidTr="007556AE">
        <w:trPr>
          <w:trHeight w:val="250"/>
        </w:trPr>
        <w:tc>
          <w:tcPr>
            <w:tcW w:w="2550" w:type="dxa"/>
          </w:tcPr>
          <w:p w:rsidR="00507B6D" w:rsidRPr="00507B6D" w:rsidRDefault="00507B6D" w:rsidP="00507B6D">
            <w:pPr>
              <w:keepNext/>
              <w:rPr>
                <w:color w:val="000000"/>
                <w:sz w:val="26"/>
                <w:szCs w:val="20"/>
              </w:rPr>
            </w:pPr>
            <w:r w:rsidRPr="00507B6D">
              <w:rPr>
                <w:color w:val="000000"/>
                <w:sz w:val="26"/>
                <w:szCs w:val="20"/>
              </w:rPr>
              <w:lastRenderedPageBreak/>
              <w:t>FERC</w:t>
            </w:r>
            <w:r>
              <w:rPr>
                <w:color w:val="000000"/>
                <w:sz w:val="26"/>
                <w:szCs w:val="20"/>
              </w:rPr>
              <w:t xml:space="preserve"> -550</w:t>
            </w:r>
            <w:r w:rsidR="00CE1591">
              <w:rPr>
                <w:color w:val="000000"/>
                <w:sz w:val="26"/>
                <w:szCs w:val="20"/>
              </w:rPr>
              <w:t xml:space="preserve">, </w:t>
            </w:r>
            <w:r w:rsidR="00CE1591" w:rsidRPr="00CE1591">
              <w:rPr>
                <w:color w:val="000000"/>
                <w:sz w:val="26"/>
                <w:szCs w:val="20"/>
              </w:rPr>
              <w:t>Oil Pipeline Rates:  Tariff Filings</w:t>
            </w:r>
          </w:p>
        </w:tc>
        <w:tc>
          <w:tcPr>
            <w:tcW w:w="1770" w:type="dxa"/>
            <w:vAlign w:val="bottom"/>
          </w:tcPr>
          <w:p w:rsidR="00507B6D" w:rsidRPr="00507B6D" w:rsidRDefault="00CE1591" w:rsidP="00507B6D">
            <w:pPr>
              <w:jc w:val="right"/>
              <w:rPr>
                <w:color w:val="000000"/>
                <w:sz w:val="26"/>
                <w:szCs w:val="20"/>
              </w:rPr>
            </w:pPr>
            <w:r w:rsidRPr="00CE1591">
              <w:rPr>
                <w:color w:val="000000"/>
                <w:sz w:val="26"/>
                <w:szCs w:val="20"/>
              </w:rPr>
              <w:t>512</w:t>
            </w:r>
          </w:p>
        </w:tc>
        <w:tc>
          <w:tcPr>
            <w:tcW w:w="1920" w:type="dxa"/>
            <w:vAlign w:val="bottom"/>
          </w:tcPr>
          <w:p w:rsidR="00507B6D" w:rsidRPr="00507B6D" w:rsidRDefault="00CE1591" w:rsidP="00507B6D">
            <w:pPr>
              <w:jc w:val="right"/>
              <w:rPr>
                <w:color w:val="000000"/>
                <w:sz w:val="26"/>
                <w:szCs w:val="20"/>
              </w:rPr>
            </w:pPr>
            <w:r w:rsidRPr="00CE1591">
              <w:rPr>
                <w:color w:val="000000"/>
                <w:sz w:val="26"/>
                <w:szCs w:val="20"/>
              </w:rPr>
              <w:t>5,632</w:t>
            </w:r>
          </w:p>
        </w:tc>
        <w:tc>
          <w:tcPr>
            <w:tcW w:w="2340" w:type="dxa"/>
            <w:vAlign w:val="bottom"/>
          </w:tcPr>
          <w:p w:rsidR="00507B6D" w:rsidRPr="00507B6D" w:rsidRDefault="00CE1591" w:rsidP="00507B6D">
            <w:pPr>
              <w:jc w:val="right"/>
              <w:rPr>
                <w:color w:val="000000"/>
                <w:sz w:val="26"/>
                <w:szCs w:val="20"/>
              </w:rPr>
            </w:pPr>
            <w:r w:rsidRPr="00CE1591">
              <w:rPr>
                <w:color w:val="000000"/>
                <w:sz w:val="26"/>
                <w:szCs w:val="20"/>
              </w:rPr>
              <w:t>$385,500</w:t>
            </w:r>
          </w:p>
        </w:tc>
      </w:tr>
    </w:tbl>
    <w:p w:rsidR="00507B6D" w:rsidRDefault="00507B6D" w:rsidP="00507B6D">
      <w:pPr>
        <w:rPr>
          <w:b/>
          <w:sz w:val="26"/>
          <w:szCs w:val="26"/>
        </w:rPr>
      </w:pPr>
    </w:p>
    <w:p w:rsidR="00CA3B99" w:rsidRPr="00231159" w:rsidRDefault="00CA3B99" w:rsidP="007556AE">
      <w:pPr>
        <w:ind w:left="720" w:hanging="720"/>
        <w:rPr>
          <w:b/>
          <w:sz w:val="26"/>
          <w:szCs w:val="26"/>
        </w:rPr>
      </w:pPr>
      <w:r>
        <w:rPr>
          <w:b/>
          <w:sz w:val="26"/>
          <w:szCs w:val="26"/>
        </w:rPr>
        <w:t>13.</w:t>
      </w:r>
      <w:r>
        <w:rPr>
          <w:b/>
          <w:sz w:val="26"/>
          <w:szCs w:val="26"/>
        </w:rPr>
        <w:tab/>
      </w:r>
      <w:r w:rsidRPr="00231159">
        <w:rPr>
          <w:b/>
          <w:sz w:val="26"/>
          <w:szCs w:val="26"/>
        </w:rPr>
        <w:t>ESTIMATE OF TOTAL ANNUAL COST OF BURDEN TO RESPONDENTS</w:t>
      </w:r>
    </w:p>
    <w:p w:rsidR="00CA3B99" w:rsidRPr="00231159" w:rsidRDefault="00CA3B99" w:rsidP="00231159">
      <w:pPr>
        <w:rPr>
          <w:b/>
          <w:sz w:val="26"/>
          <w:szCs w:val="26"/>
        </w:rPr>
      </w:pPr>
      <w:r w:rsidRPr="00231159">
        <w:rPr>
          <w:b/>
          <w:sz w:val="26"/>
          <w:szCs w:val="26"/>
        </w:rPr>
        <w:t xml:space="preserve">   </w:t>
      </w:r>
    </w:p>
    <w:p w:rsidR="00CA3B99" w:rsidRPr="00231159" w:rsidRDefault="00CA3B99" w:rsidP="00231159">
      <w:pPr>
        <w:rPr>
          <w:sz w:val="26"/>
          <w:szCs w:val="26"/>
        </w:rPr>
      </w:pPr>
      <w:proofErr w:type="gramStart"/>
      <w:r>
        <w:rPr>
          <w:b/>
          <w:sz w:val="26"/>
          <w:szCs w:val="26"/>
        </w:rPr>
        <w:t>FERC-550, FERC-545, and FERC-549.</w:t>
      </w:r>
      <w:proofErr w:type="gramEnd"/>
      <w:r>
        <w:rPr>
          <w:b/>
          <w:sz w:val="26"/>
          <w:szCs w:val="26"/>
        </w:rPr>
        <w:t xml:space="preserve">  </w:t>
      </w:r>
      <w:r w:rsidRPr="00231159">
        <w:rPr>
          <w:sz w:val="26"/>
          <w:szCs w:val="26"/>
        </w:rPr>
        <w:t xml:space="preserve">There are no capital or start-up costs </w:t>
      </w:r>
      <w:r>
        <w:rPr>
          <w:sz w:val="26"/>
          <w:szCs w:val="26"/>
        </w:rPr>
        <w:t xml:space="preserve">for the new requirement that are </w:t>
      </w:r>
      <w:r w:rsidRPr="00231159">
        <w:rPr>
          <w:sz w:val="26"/>
          <w:szCs w:val="26"/>
        </w:rPr>
        <w:t>not associated with the burden hours.</w:t>
      </w:r>
      <w:r>
        <w:rPr>
          <w:sz w:val="26"/>
          <w:szCs w:val="26"/>
        </w:rPr>
        <w:t xml:space="preserve">  All of the costs are related to burden hours and are detailed in #12, above.</w:t>
      </w:r>
    </w:p>
    <w:p w:rsidR="00CA3B99" w:rsidRPr="00231159" w:rsidRDefault="00CA3B99" w:rsidP="00231159">
      <w:pPr>
        <w:widowControl/>
        <w:tabs>
          <w:tab w:val="left" w:pos="-1440"/>
        </w:tabs>
        <w:rPr>
          <w:sz w:val="26"/>
          <w:szCs w:val="26"/>
        </w:rPr>
      </w:pPr>
    </w:p>
    <w:p w:rsidR="00CA3B99" w:rsidRPr="005518EB" w:rsidRDefault="00CA3B99" w:rsidP="00231159">
      <w:pPr>
        <w:widowControl/>
        <w:tabs>
          <w:tab w:val="num" w:pos="720"/>
        </w:tabs>
        <w:ind w:left="720" w:hanging="720"/>
        <w:rPr>
          <w:sz w:val="26"/>
          <w:szCs w:val="26"/>
        </w:rPr>
      </w:pPr>
      <w:r w:rsidRPr="005518EB">
        <w:rPr>
          <w:b/>
          <w:sz w:val="26"/>
          <w:szCs w:val="26"/>
        </w:rPr>
        <w:t>14.</w:t>
      </w:r>
      <w:r w:rsidRPr="005518EB">
        <w:rPr>
          <w:sz w:val="26"/>
          <w:szCs w:val="26"/>
        </w:rPr>
        <w:tab/>
      </w:r>
      <w:r w:rsidRPr="005518EB">
        <w:rPr>
          <w:b/>
          <w:sz w:val="26"/>
          <w:szCs w:val="26"/>
        </w:rPr>
        <w:t>ESTIMATED ANNUALIZED COST TO FEDERAL GOVERNMENT</w:t>
      </w:r>
    </w:p>
    <w:p w:rsidR="00CA3B99" w:rsidRPr="005518EB" w:rsidRDefault="00CA3B99" w:rsidP="00231159">
      <w:pPr>
        <w:widowControl/>
        <w:ind w:left="360" w:firstLine="720"/>
        <w:rPr>
          <w:sz w:val="26"/>
          <w:szCs w:val="26"/>
        </w:rPr>
      </w:pPr>
    </w:p>
    <w:p w:rsidR="00CA3B99" w:rsidRDefault="00CA3B99" w:rsidP="00482097">
      <w:pPr>
        <w:widowControl/>
        <w:rPr>
          <w:vertAlign w:val="superscript"/>
        </w:rPr>
      </w:pPr>
      <w:proofErr w:type="gramStart"/>
      <w:r w:rsidRPr="005518EB">
        <w:rPr>
          <w:b/>
          <w:sz w:val="26"/>
          <w:szCs w:val="26"/>
        </w:rPr>
        <w:t>Consolidated for FERC-550, FERC-545, and FERC-549.</w:t>
      </w:r>
      <w:proofErr w:type="gramEnd"/>
      <w:r w:rsidRPr="005518EB">
        <w:rPr>
          <w:b/>
          <w:sz w:val="26"/>
          <w:szCs w:val="26"/>
        </w:rPr>
        <w:t xml:space="preserve">  </w:t>
      </w:r>
      <w:r w:rsidRPr="005518EB">
        <w:rPr>
          <w:sz w:val="26"/>
          <w:szCs w:val="26"/>
        </w:rPr>
        <w:t xml:space="preserve">The following </w:t>
      </w:r>
      <w:r w:rsidR="005518EB" w:rsidRPr="005518EB">
        <w:rPr>
          <w:sz w:val="26"/>
          <w:szCs w:val="26"/>
        </w:rPr>
        <w:t xml:space="preserve">consolidated </w:t>
      </w:r>
      <w:r w:rsidRPr="005518EB">
        <w:rPr>
          <w:sz w:val="26"/>
          <w:szCs w:val="26"/>
        </w:rPr>
        <w:t>federal cost relate</w:t>
      </w:r>
      <w:r w:rsidR="00A231F3">
        <w:rPr>
          <w:sz w:val="26"/>
          <w:szCs w:val="26"/>
        </w:rPr>
        <w:t>s</w:t>
      </w:r>
      <w:r w:rsidRPr="005518EB">
        <w:rPr>
          <w:sz w:val="26"/>
          <w:szCs w:val="26"/>
        </w:rPr>
        <w:t xml:space="preserve"> only to the new requirements imposed by the Notice.</w:t>
      </w:r>
      <w:r w:rsidR="00C1495C" w:rsidRPr="005518EB">
        <w:rPr>
          <w:vertAlign w:val="superscript"/>
        </w:rPr>
        <w:fldChar w:fldCharType="begin"/>
      </w:r>
      <w:r w:rsidR="00C1495C" w:rsidRPr="005518EB">
        <w:rPr>
          <w:vertAlign w:val="superscript"/>
        </w:rPr>
        <w:instrText xml:space="preserve"> NOTEREF _Ref352062444 \h  \* MERGEFORMAT </w:instrText>
      </w:r>
      <w:r w:rsidR="00C1495C" w:rsidRPr="005518EB">
        <w:rPr>
          <w:vertAlign w:val="superscript"/>
        </w:rPr>
      </w:r>
      <w:r w:rsidR="00C1495C" w:rsidRPr="005518EB">
        <w:rPr>
          <w:vertAlign w:val="superscript"/>
        </w:rPr>
        <w:fldChar w:fldCharType="separate"/>
      </w:r>
      <w:r w:rsidRPr="005518EB">
        <w:rPr>
          <w:vertAlign w:val="superscript"/>
        </w:rPr>
        <w:t>1</w:t>
      </w:r>
      <w:r w:rsidR="00C1495C" w:rsidRPr="005518EB">
        <w:rPr>
          <w:vertAlign w:val="superscript"/>
        </w:rPr>
        <w:fldChar w:fldCharType="end"/>
      </w:r>
    </w:p>
    <w:p w:rsidR="00686720" w:rsidRPr="005518EB" w:rsidRDefault="00686720" w:rsidP="00482097">
      <w:pPr>
        <w:widowControl/>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192"/>
        <w:gridCol w:w="3184"/>
      </w:tblGrid>
      <w:tr w:rsidR="00CA3B99" w:rsidRPr="005518EB" w:rsidTr="005518EB">
        <w:tc>
          <w:tcPr>
            <w:tcW w:w="3200" w:type="dxa"/>
            <w:shd w:val="clear" w:color="auto" w:fill="CCCCCC"/>
          </w:tcPr>
          <w:p w:rsidR="00CA3B99" w:rsidRPr="005518EB" w:rsidRDefault="00CA3B99" w:rsidP="00231159">
            <w:pPr>
              <w:widowControl/>
              <w:rPr>
                <w:sz w:val="26"/>
                <w:szCs w:val="26"/>
              </w:rPr>
            </w:pPr>
          </w:p>
        </w:tc>
        <w:tc>
          <w:tcPr>
            <w:tcW w:w="3192" w:type="dxa"/>
            <w:shd w:val="clear" w:color="auto" w:fill="CCCCCC"/>
            <w:vAlign w:val="bottom"/>
          </w:tcPr>
          <w:p w:rsidR="00CA3B99" w:rsidRPr="005518EB" w:rsidRDefault="00CA3B99" w:rsidP="007556AE">
            <w:pPr>
              <w:widowControl/>
              <w:jc w:val="center"/>
              <w:rPr>
                <w:b/>
                <w:sz w:val="26"/>
                <w:szCs w:val="26"/>
              </w:rPr>
            </w:pPr>
            <w:r w:rsidRPr="005518EB">
              <w:rPr>
                <w:b/>
                <w:sz w:val="26"/>
                <w:szCs w:val="26"/>
              </w:rPr>
              <w:t xml:space="preserve">Number of </w:t>
            </w:r>
            <w:r w:rsidR="007556AE">
              <w:rPr>
                <w:b/>
                <w:sz w:val="26"/>
                <w:szCs w:val="26"/>
              </w:rPr>
              <w:t>Hours</w:t>
            </w:r>
          </w:p>
        </w:tc>
        <w:tc>
          <w:tcPr>
            <w:tcW w:w="3184" w:type="dxa"/>
            <w:shd w:val="clear" w:color="auto" w:fill="CCCCCC"/>
            <w:vAlign w:val="bottom"/>
          </w:tcPr>
          <w:p w:rsidR="00CA3B99" w:rsidRPr="005518EB" w:rsidRDefault="00CA3B99" w:rsidP="00231159">
            <w:pPr>
              <w:widowControl/>
              <w:jc w:val="center"/>
              <w:rPr>
                <w:b/>
                <w:sz w:val="26"/>
                <w:szCs w:val="26"/>
              </w:rPr>
            </w:pPr>
            <w:r w:rsidRPr="005518EB">
              <w:rPr>
                <w:b/>
                <w:sz w:val="26"/>
                <w:szCs w:val="26"/>
              </w:rPr>
              <w:t>Estimated Annual Federal Cost ($)</w:t>
            </w:r>
            <w:r w:rsidRPr="005518EB">
              <w:rPr>
                <w:sz w:val="26"/>
                <w:szCs w:val="26"/>
                <w:vertAlign w:val="superscript"/>
              </w:rPr>
              <w:footnoteReference w:id="11"/>
            </w:r>
            <w:r w:rsidR="00C304F7">
              <w:rPr>
                <w:b/>
                <w:sz w:val="26"/>
                <w:szCs w:val="26"/>
              </w:rPr>
              <w:t xml:space="preserve"> [rounded]</w:t>
            </w:r>
          </w:p>
        </w:tc>
      </w:tr>
      <w:tr w:rsidR="00CA3B99" w:rsidRPr="005518EB" w:rsidTr="005518EB">
        <w:tc>
          <w:tcPr>
            <w:tcW w:w="3200" w:type="dxa"/>
          </w:tcPr>
          <w:p w:rsidR="00CA3B99" w:rsidRPr="005518EB" w:rsidRDefault="00B32011" w:rsidP="00231159">
            <w:pPr>
              <w:widowControl/>
              <w:rPr>
                <w:sz w:val="26"/>
                <w:szCs w:val="26"/>
              </w:rPr>
            </w:pPr>
            <w:r w:rsidRPr="00B32011">
              <w:rPr>
                <w:sz w:val="26"/>
                <w:szCs w:val="26"/>
              </w:rPr>
              <w:t>PRA Administration Cost</w:t>
            </w:r>
            <w:r w:rsidRPr="00B32011" w:rsidDel="00B32011">
              <w:rPr>
                <w:sz w:val="26"/>
                <w:szCs w:val="26"/>
              </w:rPr>
              <w:t xml:space="preserve"> </w:t>
            </w:r>
            <w:r w:rsidR="00CA3B99" w:rsidRPr="005518EB">
              <w:rPr>
                <w:b/>
                <w:sz w:val="26"/>
                <w:szCs w:val="26"/>
                <w:vertAlign w:val="superscript"/>
              </w:rPr>
              <w:footnoteReference w:id="12"/>
            </w:r>
          </w:p>
        </w:tc>
        <w:tc>
          <w:tcPr>
            <w:tcW w:w="3192" w:type="dxa"/>
            <w:shd w:val="clear" w:color="auto" w:fill="FFFFFF"/>
            <w:vAlign w:val="center"/>
          </w:tcPr>
          <w:p w:rsidR="00CA3B99" w:rsidRPr="005518EB" w:rsidRDefault="00CA3B99" w:rsidP="00231159">
            <w:pPr>
              <w:widowControl/>
              <w:jc w:val="right"/>
              <w:rPr>
                <w:sz w:val="26"/>
                <w:szCs w:val="26"/>
              </w:rPr>
            </w:pPr>
            <w:r w:rsidRPr="005518EB">
              <w:rPr>
                <w:sz w:val="26"/>
                <w:szCs w:val="26"/>
              </w:rPr>
              <w:t>-</w:t>
            </w:r>
          </w:p>
        </w:tc>
        <w:tc>
          <w:tcPr>
            <w:tcW w:w="3184" w:type="dxa"/>
            <w:vAlign w:val="center"/>
          </w:tcPr>
          <w:p w:rsidR="00CA3B99" w:rsidRPr="005518EB" w:rsidRDefault="00CA3B99" w:rsidP="00231159">
            <w:pPr>
              <w:widowControl/>
              <w:jc w:val="right"/>
              <w:rPr>
                <w:sz w:val="26"/>
                <w:szCs w:val="26"/>
              </w:rPr>
            </w:pPr>
            <w:r w:rsidRPr="005518EB">
              <w:rPr>
                <w:sz w:val="26"/>
                <w:szCs w:val="26"/>
              </w:rPr>
              <w:t>$2,250</w:t>
            </w:r>
          </w:p>
        </w:tc>
      </w:tr>
      <w:tr w:rsidR="00CA3B99" w:rsidRPr="005518EB" w:rsidTr="005518EB">
        <w:tc>
          <w:tcPr>
            <w:tcW w:w="3200" w:type="dxa"/>
          </w:tcPr>
          <w:p w:rsidR="00CA3B99" w:rsidRPr="005518EB" w:rsidRDefault="00CA3B99" w:rsidP="00231159">
            <w:pPr>
              <w:widowControl/>
              <w:rPr>
                <w:sz w:val="26"/>
                <w:szCs w:val="26"/>
              </w:rPr>
            </w:pPr>
            <w:r w:rsidRPr="005518EB">
              <w:rPr>
                <w:sz w:val="26"/>
                <w:szCs w:val="26"/>
              </w:rPr>
              <w:t>Data Processing, Analysis, and Respondent Support</w:t>
            </w:r>
          </w:p>
        </w:tc>
        <w:tc>
          <w:tcPr>
            <w:tcW w:w="3192" w:type="dxa"/>
            <w:vAlign w:val="center"/>
          </w:tcPr>
          <w:p w:rsidR="00CA3B99" w:rsidRPr="005518EB" w:rsidRDefault="00C304F7" w:rsidP="00C304F7">
            <w:pPr>
              <w:widowControl/>
              <w:jc w:val="right"/>
              <w:rPr>
                <w:sz w:val="26"/>
                <w:szCs w:val="26"/>
              </w:rPr>
            </w:pPr>
            <w:bookmarkStart w:id="4" w:name="_Ref354412055"/>
            <w:r w:rsidRPr="005518EB">
              <w:rPr>
                <w:sz w:val="26"/>
                <w:szCs w:val="26"/>
              </w:rPr>
              <w:t>1</w:t>
            </w:r>
            <w:r>
              <w:rPr>
                <w:sz w:val="26"/>
                <w:szCs w:val="26"/>
              </w:rPr>
              <w:t>31.25</w:t>
            </w:r>
            <w:r w:rsidRPr="005518EB">
              <w:rPr>
                <w:sz w:val="26"/>
                <w:szCs w:val="26"/>
              </w:rPr>
              <w:t xml:space="preserve"> </w:t>
            </w:r>
            <w:r w:rsidR="00576BF0" w:rsidRPr="005518EB">
              <w:rPr>
                <w:sz w:val="26"/>
                <w:szCs w:val="26"/>
              </w:rPr>
              <w:t>hours averaged for Years 1-3</w:t>
            </w:r>
            <w:r w:rsidR="00576BF0" w:rsidRPr="005518EB">
              <w:rPr>
                <w:rStyle w:val="FootnoteReference"/>
                <w:sz w:val="26"/>
                <w:szCs w:val="26"/>
              </w:rPr>
              <w:footnoteReference w:id="13"/>
            </w:r>
            <w:bookmarkEnd w:id="4"/>
          </w:p>
        </w:tc>
        <w:tc>
          <w:tcPr>
            <w:tcW w:w="3184" w:type="dxa"/>
            <w:vAlign w:val="center"/>
          </w:tcPr>
          <w:p w:rsidR="00CA3B99" w:rsidRPr="005518EB" w:rsidRDefault="00576BF0" w:rsidP="00772F44">
            <w:pPr>
              <w:widowControl/>
              <w:jc w:val="right"/>
              <w:rPr>
                <w:sz w:val="26"/>
                <w:szCs w:val="26"/>
              </w:rPr>
            </w:pPr>
            <w:r w:rsidRPr="005518EB">
              <w:rPr>
                <w:sz w:val="26"/>
                <w:szCs w:val="26"/>
              </w:rPr>
              <w:t>$</w:t>
            </w:r>
            <w:r w:rsidR="00C304F7">
              <w:rPr>
                <w:sz w:val="26"/>
                <w:szCs w:val="26"/>
              </w:rPr>
              <w:t>9,188</w:t>
            </w:r>
            <w:r w:rsidRPr="005518EB">
              <w:rPr>
                <w:sz w:val="26"/>
                <w:szCs w:val="26"/>
              </w:rPr>
              <w:t xml:space="preserve"> averaged </w:t>
            </w:r>
            <w:r w:rsidR="005518EB">
              <w:rPr>
                <w:sz w:val="26"/>
                <w:szCs w:val="26"/>
              </w:rPr>
              <w:t>o</w:t>
            </w:r>
            <w:r w:rsidR="005518EB" w:rsidRPr="005518EB">
              <w:rPr>
                <w:sz w:val="26"/>
                <w:szCs w:val="26"/>
              </w:rPr>
              <w:t xml:space="preserve">ver </w:t>
            </w:r>
            <w:r w:rsidRPr="005518EB">
              <w:rPr>
                <w:sz w:val="26"/>
                <w:szCs w:val="26"/>
              </w:rPr>
              <w:t>Years 1-3</w:t>
            </w:r>
          </w:p>
        </w:tc>
      </w:tr>
      <w:tr w:rsidR="00CA3B99" w:rsidRPr="005518EB" w:rsidTr="005518EB">
        <w:tc>
          <w:tcPr>
            <w:tcW w:w="3200" w:type="dxa"/>
          </w:tcPr>
          <w:p w:rsidR="00CA3B99" w:rsidRPr="005518EB" w:rsidRDefault="00CA3B99" w:rsidP="00231159">
            <w:pPr>
              <w:widowControl/>
              <w:rPr>
                <w:b/>
                <w:sz w:val="26"/>
                <w:szCs w:val="26"/>
              </w:rPr>
            </w:pPr>
            <w:r w:rsidRPr="005518EB">
              <w:rPr>
                <w:b/>
                <w:sz w:val="26"/>
                <w:szCs w:val="26"/>
              </w:rPr>
              <w:t>FERC Total</w:t>
            </w:r>
          </w:p>
        </w:tc>
        <w:tc>
          <w:tcPr>
            <w:tcW w:w="3192" w:type="dxa"/>
            <w:vAlign w:val="center"/>
          </w:tcPr>
          <w:p w:rsidR="00CA3B99" w:rsidRPr="005518EB" w:rsidRDefault="00CA3B99" w:rsidP="00231159">
            <w:pPr>
              <w:widowControl/>
              <w:jc w:val="right"/>
              <w:rPr>
                <w:sz w:val="26"/>
                <w:szCs w:val="26"/>
              </w:rPr>
            </w:pPr>
          </w:p>
        </w:tc>
        <w:tc>
          <w:tcPr>
            <w:tcW w:w="3184" w:type="dxa"/>
            <w:vAlign w:val="center"/>
          </w:tcPr>
          <w:p w:rsidR="00CA3B99" w:rsidRPr="005518EB" w:rsidRDefault="00C304F7" w:rsidP="00C304F7">
            <w:pPr>
              <w:widowControl/>
              <w:jc w:val="right"/>
              <w:rPr>
                <w:sz w:val="26"/>
                <w:szCs w:val="26"/>
              </w:rPr>
            </w:pPr>
            <w:r>
              <w:rPr>
                <w:sz w:val="26"/>
                <w:szCs w:val="26"/>
              </w:rPr>
              <w:t>$11,438</w:t>
            </w:r>
          </w:p>
        </w:tc>
      </w:tr>
    </w:tbl>
    <w:p w:rsidR="00C905F0" w:rsidRDefault="00C905F0" w:rsidP="00231159">
      <w:pPr>
        <w:widowControl/>
        <w:tabs>
          <w:tab w:val="left" w:pos="-1440"/>
        </w:tabs>
        <w:rPr>
          <w:sz w:val="26"/>
          <w:szCs w:val="26"/>
        </w:rPr>
      </w:pPr>
    </w:p>
    <w:p w:rsidR="00C905F0" w:rsidRPr="008B44B7" w:rsidRDefault="00C905F0" w:rsidP="00C905F0">
      <w:pPr>
        <w:widowControl/>
        <w:tabs>
          <w:tab w:val="left" w:pos="0"/>
        </w:tabs>
        <w:rPr>
          <w:sz w:val="26"/>
          <w:szCs w:val="26"/>
        </w:rPr>
      </w:pPr>
      <w:r w:rsidRPr="00C905F0">
        <w:rPr>
          <w:sz w:val="26"/>
          <w:szCs w:val="26"/>
        </w:rPr>
        <w:t xml:space="preserve">For the 3 ICRs, the additional </w:t>
      </w:r>
      <w:r w:rsidR="007B6728">
        <w:rPr>
          <w:sz w:val="26"/>
          <w:szCs w:val="26"/>
        </w:rPr>
        <w:t xml:space="preserve">annual </w:t>
      </w:r>
      <w:r w:rsidRPr="00C905F0">
        <w:rPr>
          <w:sz w:val="26"/>
          <w:szCs w:val="26"/>
        </w:rPr>
        <w:t xml:space="preserve">federal cost is being divided on a weighted basis </w:t>
      </w:r>
      <w:r>
        <w:rPr>
          <w:sz w:val="26"/>
          <w:szCs w:val="26"/>
        </w:rPr>
        <w:t xml:space="preserve">(and </w:t>
      </w:r>
      <w:r w:rsidRPr="008B44B7">
        <w:rPr>
          <w:sz w:val="26"/>
          <w:szCs w:val="26"/>
        </w:rPr>
        <w:t xml:space="preserve">rounded) for the total of 469 additional annual responses:  </w:t>
      </w:r>
    </w:p>
    <w:p w:rsidR="00C905F0" w:rsidRPr="008B44B7" w:rsidRDefault="00C905F0" w:rsidP="00C905F0">
      <w:pPr>
        <w:widowControl/>
        <w:tabs>
          <w:tab w:val="left" w:pos="0"/>
        </w:tabs>
        <w:rPr>
          <w:sz w:val="26"/>
          <w:szCs w:val="26"/>
        </w:rPr>
      </w:pPr>
    </w:p>
    <w:p w:rsidR="00C905F0" w:rsidRPr="008B44B7" w:rsidRDefault="00C905F0" w:rsidP="00C905F0">
      <w:pPr>
        <w:widowControl/>
        <w:tabs>
          <w:tab w:val="left" w:pos="720"/>
        </w:tabs>
        <w:ind w:left="720" w:hanging="720"/>
        <w:rPr>
          <w:sz w:val="26"/>
          <w:szCs w:val="26"/>
        </w:rPr>
      </w:pPr>
      <w:r w:rsidRPr="008B44B7">
        <w:rPr>
          <w:sz w:val="26"/>
          <w:szCs w:val="26"/>
        </w:rPr>
        <w:t>•</w:t>
      </w:r>
      <w:r w:rsidRPr="008B44B7">
        <w:rPr>
          <w:sz w:val="26"/>
          <w:szCs w:val="26"/>
        </w:rPr>
        <w:tab/>
        <w:t>FERC-545—</w:t>
      </w:r>
      <w:r w:rsidR="00787361" w:rsidRPr="008B44B7">
        <w:rPr>
          <w:sz w:val="26"/>
          <w:szCs w:val="26"/>
        </w:rPr>
        <w:t>(</w:t>
      </w:r>
      <w:r w:rsidRPr="008B44B7">
        <w:rPr>
          <w:sz w:val="26"/>
          <w:szCs w:val="26"/>
        </w:rPr>
        <w:t>169/469</w:t>
      </w:r>
      <w:r w:rsidR="00787361" w:rsidRPr="008B44B7">
        <w:rPr>
          <w:sz w:val="26"/>
          <w:szCs w:val="26"/>
        </w:rPr>
        <w:t>)</w:t>
      </w:r>
      <w:r w:rsidRPr="008B44B7">
        <w:rPr>
          <w:sz w:val="26"/>
          <w:szCs w:val="26"/>
        </w:rPr>
        <w:t>*$11,438=$4,</w:t>
      </w:r>
      <w:r w:rsidR="007556AE" w:rsidRPr="008B44B7">
        <w:rPr>
          <w:sz w:val="26"/>
          <w:szCs w:val="26"/>
        </w:rPr>
        <w:t>122</w:t>
      </w:r>
      <w:r w:rsidRPr="008B44B7">
        <w:rPr>
          <w:sz w:val="26"/>
          <w:szCs w:val="26"/>
        </w:rPr>
        <w:t xml:space="preserve"> in additional cost</w:t>
      </w:r>
    </w:p>
    <w:p w:rsidR="00C905F0" w:rsidRPr="008B44B7" w:rsidRDefault="00C905F0" w:rsidP="00C905F0">
      <w:pPr>
        <w:widowControl/>
        <w:tabs>
          <w:tab w:val="left" w:pos="720"/>
        </w:tabs>
        <w:ind w:left="720" w:hanging="720"/>
        <w:rPr>
          <w:sz w:val="26"/>
          <w:szCs w:val="26"/>
        </w:rPr>
      </w:pPr>
      <w:r w:rsidRPr="008B44B7">
        <w:rPr>
          <w:sz w:val="26"/>
          <w:szCs w:val="26"/>
        </w:rPr>
        <w:t>•</w:t>
      </w:r>
      <w:r w:rsidRPr="008B44B7">
        <w:rPr>
          <w:sz w:val="26"/>
          <w:szCs w:val="26"/>
        </w:rPr>
        <w:tab/>
        <w:t>FERC-549—</w:t>
      </w:r>
      <w:r w:rsidR="007556AE" w:rsidRPr="008B44B7">
        <w:rPr>
          <w:sz w:val="26"/>
          <w:szCs w:val="26"/>
        </w:rPr>
        <w:t>(</w:t>
      </w:r>
      <w:r w:rsidRPr="008B44B7">
        <w:rPr>
          <w:sz w:val="26"/>
          <w:szCs w:val="26"/>
        </w:rPr>
        <w:t>107/469</w:t>
      </w:r>
      <w:r w:rsidR="007556AE" w:rsidRPr="008B44B7">
        <w:rPr>
          <w:sz w:val="26"/>
          <w:szCs w:val="26"/>
        </w:rPr>
        <w:t>)</w:t>
      </w:r>
      <w:r w:rsidRPr="008B44B7">
        <w:rPr>
          <w:sz w:val="26"/>
          <w:szCs w:val="26"/>
        </w:rPr>
        <w:t xml:space="preserve"> *$11,438=$2,6</w:t>
      </w:r>
      <w:r w:rsidR="007556AE" w:rsidRPr="008B44B7">
        <w:rPr>
          <w:sz w:val="26"/>
          <w:szCs w:val="26"/>
        </w:rPr>
        <w:t xml:space="preserve">10 </w:t>
      </w:r>
      <w:r w:rsidRPr="008B44B7">
        <w:rPr>
          <w:sz w:val="26"/>
          <w:szCs w:val="26"/>
        </w:rPr>
        <w:t>in additional cost</w:t>
      </w:r>
    </w:p>
    <w:p w:rsidR="00C905F0" w:rsidRDefault="00C905F0" w:rsidP="00C905F0">
      <w:pPr>
        <w:widowControl/>
        <w:tabs>
          <w:tab w:val="left" w:pos="720"/>
        </w:tabs>
        <w:ind w:left="720" w:hanging="720"/>
        <w:rPr>
          <w:sz w:val="26"/>
          <w:szCs w:val="26"/>
        </w:rPr>
      </w:pPr>
      <w:r w:rsidRPr="008B44B7">
        <w:rPr>
          <w:sz w:val="26"/>
          <w:szCs w:val="26"/>
        </w:rPr>
        <w:t>•</w:t>
      </w:r>
      <w:r w:rsidRPr="008B44B7">
        <w:rPr>
          <w:sz w:val="26"/>
          <w:szCs w:val="26"/>
        </w:rPr>
        <w:tab/>
        <w:t>FERC-550—</w:t>
      </w:r>
      <w:r w:rsidR="007556AE" w:rsidRPr="008B44B7">
        <w:rPr>
          <w:sz w:val="26"/>
          <w:szCs w:val="26"/>
        </w:rPr>
        <w:t>(</w:t>
      </w:r>
      <w:r w:rsidRPr="008B44B7">
        <w:rPr>
          <w:sz w:val="26"/>
          <w:szCs w:val="26"/>
        </w:rPr>
        <w:t>193/469</w:t>
      </w:r>
      <w:r w:rsidR="007556AE" w:rsidRPr="008B44B7">
        <w:rPr>
          <w:sz w:val="26"/>
          <w:szCs w:val="26"/>
        </w:rPr>
        <w:t>)</w:t>
      </w:r>
      <w:r w:rsidRPr="008B44B7">
        <w:rPr>
          <w:sz w:val="26"/>
          <w:szCs w:val="26"/>
        </w:rPr>
        <w:t>*$11,438=$4,70</w:t>
      </w:r>
      <w:r w:rsidR="007556AE" w:rsidRPr="008B44B7">
        <w:rPr>
          <w:sz w:val="26"/>
          <w:szCs w:val="26"/>
        </w:rPr>
        <w:t>7</w:t>
      </w:r>
      <w:r w:rsidRPr="008B44B7">
        <w:rPr>
          <w:sz w:val="26"/>
          <w:szCs w:val="26"/>
        </w:rPr>
        <w:t xml:space="preserve"> in additional cost</w:t>
      </w:r>
    </w:p>
    <w:p w:rsidR="00C905F0" w:rsidRDefault="00C905F0" w:rsidP="00C905F0">
      <w:pPr>
        <w:widowControl/>
        <w:tabs>
          <w:tab w:val="left" w:pos="720"/>
        </w:tabs>
        <w:ind w:left="720" w:hanging="720"/>
        <w:rPr>
          <w:sz w:val="26"/>
          <w:szCs w:val="26"/>
        </w:rPr>
      </w:pPr>
    </w:p>
    <w:p w:rsidR="00CE4844" w:rsidRDefault="00CE4844" w:rsidP="00CE4844">
      <w:pPr>
        <w:rPr>
          <w:sz w:val="26"/>
          <w:szCs w:val="26"/>
        </w:rPr>
      </w:pPr>
      <w:proofErr w:type="gramStart"/>
      <w:r w:rsidRPr="00A67C3C">
        <w:rPr>
          <w:b/>
          <w:sz w:val="26"/>
          <w:szCs w:val="26"/>
        </w:rPr>
        <w:t>FERC-550, FERC-545, and FERC-549.</w:t>
      </w:r>
      <w:proofErr w:type="gramEnd"/>
      <w:r w:rsidRPr="00A67C3C">
        <w:rPr>
          <w:b/>
          <w:sz w:val="26"/>
          <w:szCs w:val="26"/>
        </w:rPr>
        <w:t xml:space="preserve">  </w:t>
      </w:r>
      <w:r w:rsidRPr="00A67C3C">
        <w:rPr>
          <w:sz w:val="26"/>
          <w:szCs w:val="26"/>
        </w:rPr>
        <w:t xml:space="preserve">The current </w:t>
      </w:r>
      <w:r>
        <w:rPr>
          <w:sz w:val="26"/>
          <w:szCs w:val="26"/>
        </w:rPr>
        <w:t>OMB-approved annual estimates</w:t>
      </w:r>
      <w:r w:rsidRPr="00A67C3C">
        <w:rPr>
          <w:sz w:val="26"/>
          <w:szCs w:val="26"/>
        </w:rPr>
        <w:t xml:space="preserve"> </w:t>
      </w:r>
      <w:r>
        <w:rPr>
          <w:sz w:val="26"/>
          <w:szCs w:val="26"/>
        </w:rPr>
        <w:t xml:space="preserve">for federal cost </w:t>
      </w:r>
      <w:r w:rsidR="00A03B9E">
        <w:rPr>
          <w:sz w:val="26"/>
          <w:szCs w:val="26"/>
        </w:rPr>
        <w:t xml:space="preserve">that are displayed </w:t>
      </w:r>
      <w:r>
        <w:rPr>
          <w:sz w:val="26"/>
          <w:szCs w:val="26"/>
        </w:rPr>
        <w:t xml:space="preserve">in ROCIS </w:t>
      </w:r>
      <w:r w:rsidR="00A03B9E">
        <w:rPr>
          <w:sz w:val="26"/>
          <w:szCs w:val="26"/>
        </w:rPr>
        <w:t xml:space="preserve">metadata </w:t>
      </w:r>
      <w:r>
        <w:rPr>
          <w:sz w:val="26"/>
          <w:szCs w:val="26"/>
        </w:rPr>
        <w:t xml:space="preserve">and reginfo.gov </w:t>
      </w:r>
      <w:r w:rsidR="00A03B9E">
        <w:rPr>
          <w:sz w:val="26"/>
          <w:szCs w:val="26"/>
        </w:rPr>
        <w:t>are:</w:t>
      </w:r>
    </w:p>
    <w:p w:rsidR="00686720" w:rsidRDefault="00686720" w:rsidP="00CE4844">
      <w:pPr>
        <w:rPr>
          <w:sz w:val="26"/>
          <w:szCs w:val="26"/>
        </w:rPr>
      </w:pPr>
    </w:p>
    <w:p w:rsidR="00CE4844" w:rsidRDefault="00CE4844" w:rsidP="002471A5">
      <w:pPr>
        <w:pStyle w:val="ListParagraph"/>
        <w:numPr>
          <w:ilvl w:val="0"/>
          <w:numId w:val="16"/>
        </w:numPr>
        <w:rPr>
          <w:sz w:val="26"/>
          <w:szCs w:val="26"/>
        </w:rPr>
      </w:pPr>
      <w:r>
        <w:rPr>
          <w:sz w:val="26"/>
          <w:szCs w:val="26"/>
        </w:rPr>
        <w:t>FERC-545</w:t>
      </w:r>
      <w:r w:rsidR="00A03B9E">
        <w:rPr>
          <w:sz w:val="26"/>
          <w:szCs w:val="26"/>
        </w:rPr>
        <w:t xml:space="preserve">, </w:t>
      </w:r>
      <w:r w:rsidR="00A03B9E" w:rsidRPr="00A03B9E">
        <w:rPr>
          <w:sz w:val="26"/>
          <w:szCs w:val="26"/>
        </w:rPr>
        <w:t>$2,872,388</w:t>
      </w:r>
    </w:p>
    <w:p w:rsidR="00CE4844" w:rsidRDefault="00CE4844" w:rsidP="002471A5">
      <w:pPr>
        <w:pStyle w:val="ListParagraph"/>
        <w:numPr>
          <w:ilvl w:val="0"/>
          <w:numId w:val="16"/>
        </w:numPr>
        <w:rPr>
          <w:sz w:val="26"/>
          <w:szCs w:val="26"/>
        </w:rPr>
      </w:pPr>
      <w:r>
        <w:rPr>
          <w:sz w:val="26"/>
          <w:szCs w:val="26"/>
        </w:rPr>
        <w:t>FERC-549</w:t>
      </w:r>
      <w:r w:rsidR="00A03B9E">
        <w:rPr>
          <w:sz w:val="26"/>
          <w:szCs w:val="26"/>
        </w:rPr>
        <w:t xml:space="preserve">, </w:t>
      </w:r>
      <w:r w:rsidR="00A03B9E" w:rsidRPr="00A03B9E">
        <w:rPr>
          <w:sz w:val="26"/>
          <w:szCs w:val="26"/>
        </w:rPr>
        <w:t>$1,396,821</w:t>
      </w:r>
    </w:p>
    <w:p w:rsidR="00CE4844" w:rsidRPr="002471A5" w:rsidRDefault="00CE4844" w:rsidP="002471A5">
      <w:pPr>
        <w:pStyle w:val="ListParagraph"/>
        <w:numPr>
          <w:ilvl w:val="0"/>
          <w:numId w:val="16"/>
        </w:numPr>
        <w:rPr>
          <w:sz w:val="26"/>
          <w:szCs w:val="26"/>
        </w:rPr>
      </w:pPr>
      <w:r>
        <w:rPr>
          <w:sz w:val="26"/>
          <w:szCs w:val="26"/>
        </w:rPr>
        <w:t>FERC-550</w:t>
      </w:r>
      <w:r w:rsidR="00A03B9E">
        <w:rPr>
          <w:sz w:val="26"/>
          <w:szCs w:val="26"/>
        </w:rPr>
        <w:t xml:space="preserve">, </w:t>
      </w:r>
      <w:r w:rsidR="00A03B9E" w:rsidRPr="00A03B9E">
        <w:rPr>
          <w:sz w:val="26"/>
          <w:szCs w:val="26"/>
        </w:rPr>
        <w:t>$855,807</w:t>
      </w:r>
    </w:p>
    <w:p w:rsidR="00CE4844" w:rsidRDefault="00CE4844" w:rsidP="00C905F0">
      <w:pPr>
        <w:widowControl/>
        <w:tabs>
          <w:tab w:val="left" w:pos="720"/>
        </w:tabs>
        <w:ind w:left="720" w:hanging="720"/>
        <w:rPr>
          <w:sz w:val="26"/>
          <w:szCs w:val="26"/>
        </w:rPr>
      </w:pPr>
    </w:p>
    <w:p w:rsidR="00CA3B99" w:rsidRDefault="00CA3B99" w:rsidP="00C905F0">
      <w:pPr>
        <w:widowControl/>
        <w:tabs>
          <w:tab w:val="left" w:pos="720"/>
        </w:tabs>
        <w:ind w:left="720" w:hanging="720"/>
        <w:rPr>
          <w:b/>
          <w:sz w:val="26"/>
          <w:szCs w:val="26"/>
        </w:rPr>
      </w:pPr>
      <w:r w:rsidRPr="005518EB">
        <w:rPr>
          <w:b/>
          <w:sz w:val="26"/>
          <w:szCs w:val="26"/>
        </w:rPr>
        <w:t>15.</w:t>
      </w:r>
      <w:r w:rsidRPr="005518EB">
        <w:rPr>
          <w:b/>
          <w:sz w:val="26"/>
          <w:szCs w:val="26"/>
        </w:rPr>
        <w:tab/>
        <w:t>REASONS FOR CHANGES IN BURDEN INCLUDING THE NEED FOR ANY INCREASE</w:t>
      </w:r>
    </w:p>
    <w:p w:rsidR="00CA3B99" w:rsidRPr="00231159" w:rsidRDefault="00CA3B99" w:rsidP="00231159">
      <w:pPr>
        <w:widowControl/>
        <w:tabs>
          <w:tab w:val="left" w:pos="720"/>
        </w:tabs>
        <w:ind w:left="720" w:hanging="720"/>
        <w:rPr>
          <w:b/>
          <w:sz w:val="26"/>
          <w:szCs w:val="26"/>
        </w:rPr>
      </w:pPr>
    </w:p>
    <w:p w:rsidR="00CA3B99" w:rsidRDefault="00CA3B99" w:rsidP="00231159">
      <w:pPr>
        <w:rPr>
          <w:sz w:val="26"/>
          <w:szCs w:val="26"/>
        </w:rPr>
      </w:pPr>
      <w:r>
        <w:rPr>
          <w:b/>
          <w:sz w:val="26"/>
          <w:szCs w:val="26"/>
        </w:rPr>
        <w:t>FERC-545, FERC-549, and FERC-550</w:t>
      </w:r>
      <w:r w:rsidR="00DC221C">
        <w:rPr>
          <w:b/>
          <w:sz w:val="26"/>
          <w:szCs w:val="26"/>
        </w:rPr>
        <w:t>, Program Changes due to RM07-16 and RM01-5, order issued 2/7/2013</w:t>
      </w:r>
      <w:r>
        <w:rPr>
          <w:b/>
          <w:sz w:val="26"/>
          <w:szCs w:val="26"/>
        </w:rPr>
        <w:t xml:space="preserve">.  </w:t>
      </w:r>
      <w:r w:rsidRPr="007202AB">
        <w:rPr>
          <w:sz w:val="26"/>
          <w:szCs w:val="26"/>
        </w:rPr>
        <w:t>To improve security and the filing process,</w:t>
      </w:r>
      <w:r>
        <w:rPr>
          <w:sz w:val="26"/>
          <w:szCs w:val="26"/>
        </w:rPr>
        <w:t xml:space="preserve"> t</w:t>
      </w:r>
      <w:r w:rsidRPr="007202AB">
        <w:rPr>
          <w:sz w:val="26"/>
          <w:szCs w:val="26"/>
        </w:rPr>
        <w:t xml:space="preserve">he Commission is revising the company </w:t>
      </w:r>
      <w:r w:rsidR="00423736">
        <w:rPr>
          <w:sz w:val="26"/>
          <w:szCs w:val="26"/>
        </w:rPr>
        <w:t xml:space="preserve">front-end </w:t>
      </w:r>
      <w:r w:rsidRPr="007202AB">
        <w:rPr>
          <w:sz w:val="26"/>
          <w:szCs w:val="26"/>
        </w:rPr>
        <w:t>registration process for interstate and intrastate natural gas pipelines and oil pipelines with respect to the filing of electronic tariffs (</w:t>
      </w:r>
      <w:proofErr w:type="spellStart"/>
      <w:r w:rsidRPr="007202AB">
        <w:rPr>
          <w:sz w:val="26"/>
          <w:szCs w:val="26"/>
        </w:rPr>
        <w:t>eTariff</w:t>
      </w:r>
      <w:proofErr w:type="spellEnd"/>
      <w:r w:rsidRPr="007202AB">
        <w:rPr>
          <w:sz w:val="26"/>
          <w:szCs w:val="26"/>
        </w:rPr>
        <w:t xml:space="preserve">). </w:t>
      </w:r>
      <w:r w:rsidR="00686720">
        <w:rPr>
          <w:sz w:val="26"/>
          <w:szCs w:val="26"/>
        </w:rPr>
        <w:t xml:space="preserve"> </w:t>
      </w:r>
      <w:r w:rsidRPr="007202AB">
        <w:rPr>
          <w:sz w:val="26"/>
          <w:szCs w:val="26"/>
        </w:rPr>
        <w:t xml:space="preserve">These procedures are expected to take effect </w:t>
      </w:r>
      <w:r w:rsidR="00D3620D">
        <w:rPr>
          <w:sz w:val="26"/>
          <w:szCs w:val="26"/>
        </w:rPr>
        <w:t>no sooner than 7/1</w:t>
      </w:r>
      <w:r w:rsidR="00423736">
        <w:rPr>
          <w:sz w:val="26"/>
          <w:szCs w:val="26"/>
        </w:rPr>
        <w:t>2</w:t>
      </w:r>
      <w:r w:rsidR="00D3620D">
        <w:rPr>
          <w:sz w:val="26"/>
          <w:szCs w:val="26"/>
        </w:rPr>
        <w:t>/</w:t>
      </w:r>
      <w:r w:rsidRPr="007202AB">
        <w:rPr>
          <w:sz w:val="26"/>
          <w:szCs w:val="26"/>
        </w:rPr>
        <w:t>2013.</w:t>
      </w:r>
      <w:r>
        <w:rPr>
          <w:sz w:val="26"/>
          <w:szCs w:val="26"/>
        </w:rPr>
        <w:t xml:space="preserve">  The additional estimated burden per pipeline is 1 hour/year.</w:t>
      </w:r>
    </w:p>
    <w:p w:rsidR="00CA3B99" w:rsidRDefault="00CA3B99" w:rsidP="00231159">
      <w:pPr>
        <w:rPr>
          <w:sz w:val="26"/>
          <w:szCs w:val="26"/>
        </w:rPr>
      </w:pPr>
    </w:p>
    <w:p w:rsidR="00DC221C" w:rsidRPr="0061357D" w:rsidRDefault="00DC221C" w:rsidP="006471A0">
      <w:pPr>
        <w:rPr>
          <w:b/>
          <w:sz w:val="26"/>
          <w:szCs w:val="26"/>
        </w:rPr>
      </w:pPr>
      <w:r w:rsidRPr="006471A0">
        <w:rPr>
          <w:bCs/>
          <w:sz w:val="26"/>
          <w:szCs w:val="26"/>
        </w:rPr>
        <w:t>Summary table of changes to burden hours, with current approved inventory</w:t>
      </w:r>
      <w:r w:rsidR="0061357D" w:rsidRPr="006471A0">
        <w:rPr>
          <w:bCs/>
          <w:sz w:val="26"/>
          <w:szCs w:val="26"/>
        </w:rPr>
        <w:t>,</w:t>
      </w:r>
      <w:r w:rsidRPr="006471A0">
        <w:rPr>
          <w:bCs/>
          <w:sz w:val="26"/>
          <w:szCs w:val="26"/>
        </w:rPr>
        <w:t xml:space="preserve"> as listed in ROCIS</w:t>
      </w:r>
      <w:r w:rsidR="00940B52">
        <w:rPr>
          <w:bCs/>
          <w:sz w:val="26"/>
          <w:szCs w:val="26"/>
        </w:rPr>
        <w:t xml:space="preserve"> and reginfo.gov</w:t>
      </w:r>
      <w:r w:rsidRPr="006471A0">
        <w:rPr>
          <w:bCs/>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92"/>
        <w:gridCol w:w="2634"/>
      </w:tblGrid>
      <w:tr w:rsidR="00DC221C" w:rsidRPr="006471A0" w:rsidTr="006471A0">
        <w:tc>
          <w:tcPr>
            <w:tcW w:w="3192" w:type="dxa"/>
            <w:shd w:val="clear" w:color="auto" w:fill="D9D9D9"/>
          </w:tcPr>
          <w:p w:rsidR="00DC221C" w:rsidRPr="00DC221C" w:rsidRDefault="00DC221C" w:rsidP="00DE0195">
            <w:pPr>
              <w:tabs>
                <w:tab w:val="num" w:pos="0"/>
              </w:tabs>
              <w:spacing w:before="100" w:beforeAutospacing="1"/>
              <w:rPr>
                <w:b/>
                <w:bCs/>
                <w:sz w:val="26"/>
                <w:szCs w:val="26"/>
              </w:rPr>
            </w:pPr>
          </w:p>
        </w:tc>
        <w:tc>
          <w:tcPr>
            <w:tcW w:w="3192" w:type="dxa"/>
            <w:shd w:val="clear" w:color="auto" w:fill="D9D9D9"/>
            <w:vAlign w:val="bottom"/>
          </w:tcPr>
          <w:p w:rsidR="00DC221C" w:rsidRPr="002846C9" w:rsidRDefault="00DC221C" w:rsidP="00DC221C">
            <w:pPr>
              <w:tabs>
                <w:tab w:val="num" w:pos="0"/>
              </w:tabs>
              <w:spacing w:before="100" w:beforeAutospacing="1"/>
              <w:jc w:val="center"/>
              <w:rPr>
                <w:b/>
                <w:bCs/>
                <w:sz w:val="26"/>
                <w:szCs w:val="26"/>
              </w:rPr>
            </w:pPr>
            <w:r w:rsidRPr="004735BF">
              <w:rPr>
                <w:b/>
                <w:bCs/>
                <w:sz w:val="26"/>
                <w:szCs w:val="26"/>
              </w:rPr>
              <w:t>Burden Hours</w:t>
            </w:r>
          </w:p>
        </w:tc>
        <w:tc>
          <w:tcPr>
            <w:tcW w:w="2634" w:type="dxa"/>
            <w:shd w:val="clear" w:color="auto" w:fill="D9D9D9"/>
          </w:tcPr>
          <w:p w:rsidR="00DC221C" w:rsidRPr="006471A0" w:rsidRDefault="00DC221C" w:rsidP="00DC221C">
            <w:pPr>
              <w:tabs>
                <w:tab w:val="num" w:pos="0"/>
              </w:tabs>
              <w:spacing w:before="100" w:beforeAutospacing="1"/>
              <w:jc w:val="center"/>
              <w:rPr>
                <w:b/>
                <w:bCs/>
                <w:sz w:val="26"/>
                <w:szCs w:val="26"/>
              </w:rPr>
            </w:pPr>
            <w:r w:rsidRPr="006471A0">
              <w:rPr>
                <w:b/>
                <w:bCs/>
                <w:sz w:val="26"/>
                <w:szCs w:val="26"/>
              </w:rPr>
              <w:t>Number of Responses</w:t>
            </w:r>
          </w:p>
        </w:tc>
      </w:tr>
      <w:tr w:rsidR="00DC221C" w:rsidRPr="006471A0" w:rsidTr="006471A0">
        <w:tc>
          <w:tcPr>
            <w:tcW w:w="9018" w:type="dxa"/>
            <w:gridSpan w:val="3"/>
            <w:shd w:val="pct5" w:color="auto" w:fill="auto"/>
            <w:vAlign w:val="bottom"/>
          </w:tcPr>
          <w:p w:rsidR="00DC221C" w:rsidRPr="006471A0" w:rsidRDefault="00DC221C" w:rsidP="00DC221C">
            <w:pPr>
              <w:tabs>
                <w:tab w:val="num" w:pos="0"/>
              </w:tabs>
              <w:spacing w:before="100" w:beforeAutospacing="1"/>
              <w:jc w:val="center"/>
              <w:rPr>
                <w:bCs/>
                <w:sz w:val="26"/>
                <w:szCs w:val="26"/>
              </w:rPr>
            </w:pPr>
            <w:r w:rsidRPr="006471A0">
              <w:rPr>
                <w:b/>
                <w:bCs/>
                <w:sz w:val="26"/>
                <w:szCs w:val="26"/>
              </w:rPr>
              <w:t>FERC-545</w:t>
            </w:r>
          </w:p>
        </w:tc>
      </w:tr>
      <w:tr w:rsidR="00DC221C" w:rsidRPr="006471A0" w:rsidTr="006471A0">
        <w:tc>
          <w:tcPr>
            <w:tcW w:w="3192" w:type="dxa"/>
          </w:tcPr>
          <w:p w:rsidR="00DC221C" w:rsidRPr="006471A0" w:rsidRDefault="00DC221C" w:rsidP="00DC221C">
            <w:pPr>
              <w:tabs>
                <w:tab w:val="num" w:pos="0"/>
              </w:tabs>
              <w:spacing w:before="100" w:beforeAutospacing="1"/>
              <w:rPr>
                <w:bCs/>
                <w:sz w:val="26"/>
                <w:szCs w:val="26"/>
              </w:rPr>
            </w:pPr>
            <w:r w:rsidRPr="006471A0">
              <w:rPr>
                <w:bCs/>
                <w:sz w:val="26"/>
                <w:szCs w:val="26"/>
              </w:rPr>
              <w:t>Current Inventory</w:t>
            </w:r>
          </w:p>
        </w:tc>
        <w:tc>
          <w:tcPr>
            <w:tcW w:w="3192" w:type="dxa"/>
            <w:vAlign w:val="bottom"/>
          </w:tcPr>
          <w:p w:rsidR="00DC221C" w:rsidRPr="002846C9" w:rsidRDefault="00DC221C" w:rsidP="00DC221C">
            <w:pPr>
              <w:tabs>
                <w:tab w:val="num" w:pos="0"/>
              </w:tabs>
              <w:spacing w:before="100" w:beforeAutospacing="1"/>
              <w:jc w:val="right"/>
              <w:rPr>
                <w:bCs/>
                <w:sz w:val="26"/>
                <w:szCs w:val="26"/>
              </w:rPr>
            </w:pPr>
            <w:r w:rsidRPr="004735BF">
              <w:rPr>
                <w:bCs/>
                <w:sz w:val="26"/>
                <w:szCs w:val="26"/>
              </w:rPr>
              <w:t>280,276</w:t>
            </w:r>
          </w:p>
        </w:tc>
        <w:tc>
          <w:tcPr>
            <w:tcW w:w="2634" w:type="dxa"/>
            <w:vAlign w:val="bottom"/>
          </w:tcPr>
          <w:p w:rsidR="00DC221C" w:rsidRPr="006471A0" w:rsidRDefault="00DC221C" w:rsidP="00DC221C">
            <w:pPr>
              <w:tabs>
                <w:tab w:val="num" w:pos="0"/>
              </w:tabs>
              <w:spacing w:before="100" w:beforeAutospacing="1"/>
              <w:jc w:val="right"/>
              <w:rPr>
                <w:bCs/>
                <w:sz w:val="26"/>
                <w:szCs w:val="26"/>
              </w:rPr>
            </w:pPr>
            <w:r w:rsidRPr="006471A0">
              <w:rPr>
                <w:bCs/>
                <w:sz w:val="26"/>
                <w:szCs w:val="26"/>
              </w:rPr>
              <w:t>1,982</w:t>
            </w:r>
          </w:p>
        </w:tc>
      </w:tr>
      <w:tr w:rsidR="00DC221C" w:rsidRPr="006471A0" w:rsidTr="006471A0">
        <w:tc>
          <w:tcPr>
            <w:tcW w:w="3192" w:type="dxa"/>
          </w:tcPr>
          <w:p w:rsidR="00DC221C" w:rsidRPr="002846C9" w:rsidRDefault="00DC221C" w:rsidP="00DC221C">
            <w:pPr>
              <w:tabs>
                <w:tab w:val="num" w:pos="0"/>
              </w:tabs>
              <w:spacing w:before="100" w:beforeAutospacing="1"/>
              <w:rPr>
                <w:bCs/>
                <w:sz w:val="26"/>
                <w:szCs w:val="26"/>
              </w:rPr>
            </w:pPr>
            <w:r w:rsidRPr="006471A0">
              <w:rPr>
                <w:bCs/>
                <w:sz w:val="26"/>
                <w:szCs w:val="26"/>
              </w:rPr>
              <w:t>Program Increase</w:t>
            </w:r>
            <w:r w:rsidRPr="004735BF">
              <w:rPr>
                <w:bCs/>
                <w:sz w:val="26"/>
                <w:szCs w:val="26"/>
              </w:rPr>
              <w:t xml:space="preserve"> (from Notice in RM07-16 and RM01-5-000</w:t>
            </w:r>
            <w:r w:rsidRPr="002846C9">
              <w:rPr>
                <w:vertAlign w:val="superscript"/>
              </w:rPr>
              <w:fldChar w:fldCharType="begin"/>
            </w:r>
            <w:r w:rsidRPr="006471A0">
              <w:rPr>
                <w:vertAlign w:val="superscript"/>
              </w:rPr>
              <w:instrText xml:space="preserve"> NOTEREF _Ref352062444 \h  \* MERGEFORMAT </w:instrText>
            </w:r>
            <w:r w:rsidRPr="002846C9">
              <w:rPr>
                <w:vertAlign w:val="superscript"/>
              </w:rPr>
            </w:r>
            <w:r w:rsidRPr="002846C9">
              <w:rPr>
                <w:vertAlign w:val="superscript"/>
              </w:rPr>
              <w:fldChar w:fldCharType="separate"/>
            </w:r>
            <w:r w:rsidRPr="002846C9">
              <w:rPr>
                <w:vertAlign w:val="superscript"/>
              </w:rPr>
              <w:t>1</w:t>
            </w:r>
            <w:r w:rsidRPr="002846C9">
              <w:rPr>
                <w:vertAlign w:val="superscript"/>
              </w:rPr>
              <w:fldChar w:fldCharType="end"/>
            </w:r>
            <w:r w:rsidRPr="004735BF">
              <w:rPr>
                <w:bCs/>
                <w:sz w:val="26"/>
                <w:szCs w:val="26"/>
              </w:rPr>
              <w:t>)</w:t>
            </w:r>
          </w:p>
        </w:tc>
        <w:tc>
          <w:tcPr>
            <w:tcW w:w="3192" w:type="dxa"/>
            <w:vAlign w:val="bottom"/>
          </w:tcPr>
          <w:p w:rsidR="00DC221C" w:rsidRPr="006471A0" w:rsidRDefault="00DC221C" w:rsidP="00DC221C">
            <w:pPr>
              <w:tabs>
                <w:tab w:val="num" w:pos="0"/>
              </w:tabs>
              <w:spacing w:before="100" w:beforeAutospacing="1"/>
              <w:jc w:val="right"/>
              <w:rPr>
                <w:bCs/>
                <w:sz w:val="26"/>
                <w:szCs w:val="26"/>
              </w:rPr>
            </w:pPr>
            <w:r w:rsidRPr="006471A0">
              <w:rPr>
                <w:bCs/>
                <w:sz w:val="26"/>
                <w:szCs w:val="26"/>
              </w:rPr>
              <w:t>+169</w:t>
            </w:r>
          </w:p>
        </w:tc>
        <w:tc>
          <w:tcPr>
            <w:tcW w:w="2634" w:type="dxa"/>
            <w:vAlign w:val="bottom"/>
          </w:tcPr>
          <w:p w:rsidR="00DC221C" w:rsidRPr="006471A0" w:rsidRDefault="00DC221C" w:rsidP="00DC221C">
            <w:pPr>
              <w:tabs>
                <w:tab w:val="num" w:pos="0"/>
              </w:tabs>
              <w:spacing w:before="100" w:beforeAutospacing="1"/>
              <w:jc w:val="right"/>
              <w:rPr>
                <w:bCs/>
                <w:sz w:val="26"/>
                <w:szCs w:val="26"/>
              </w:rPr>
            </w:pPr>
            <w:r w:rsidRPr="006471A0">
              <w:rPr>
                <w:bCs/>
                <w:sz w:val="26"/>
                <w:szCs w:val="26"/>
              </w:rPr>
              <w:t>+169</w:t>
            </w:r>
          </w:p>
        </w:tc>
      </w:tr>
      <w:tr w:rsidR="00DC221C" w:rsidRPr="006471A0" w:rsidTr="006471A0">
        <w:tc>
          <w:tcPr>
            <w:tcW w:w="3192" w:type="dxa"/>
          </w:tcPr>
          <w:p w:rsidR="00DC221C" w:rsidRPr="006471A0" w:rsidRDefault="00DC221C" w:rsidP="00DC221C">
            <w:pPr>
              <w:tabs>
                <w:tab w:val="num" w:pos="0"/>
              </w:tabs>
              <w:spacing w:before="100" w:beforeAutospacing="1"/>
              <w:rPr>
                <w:b/>
                <w:bCs/>
                <w:sz w:val="26"/>
                <w:szCs w:val="26"/>
              </w:rPr>
            </w:pPr>
            <w:r w:rsidRPr="006471A0">
              <w:rPr>
                <w:b/>
                <w:bCs/>
                <w:sz w:val="26"/>
                <w:szCs w:val="26"/>
              </w:rPr>
              <w:t>Net New Inventory</w:t>
            </w:r>
          </w:p>
        </w:tc>
        <w:tc>
          <w:tcPr>
            <w:tcW w:w="3192" w:type="dxa"/>
            <w:vAlign w:val="bottom"/>
          </w:tcPr>
          <w:p w:rsidR="00DC221C" w:rsidRPr="006471A0" w:rsidRDefault="00DC221C" w:rsidP="00DC221C">
            <w:pPr>
              <w:tabs>
                <w:tab w:val="num" w:pos="0"/>
              </w:tabs>
              <w:spacing w:before="100" w:beforeAutospacing="1"/>
              <w:jc w:val="right"/>
              <w:rPr>
                <w:bCs/>
                <w:sz w:val="26"/>
                <w:szCs w:val="26"/>
              </w:rPr>
            </w:pPr>
            <w:r w:rsidRPr="006471A0">
              <w:rPr>
                <w:bCs/>
                <w:sz w:val="26"/>
                <w:szCs w:val="26"/>
              </w:rPr>
              <w:t>280,445</w:t>
            </w:r>
          </w:p>
        </w:tc>
        <w:tc>
          <w:tcPr>
            <w:tcW w:w="2634" w:type="dxa"/>
            <w:vAlign w:val="bottom"/>
          </w:tcPr>
          <w:p w:rsidR="00DC221C" w:rsidRPr="006471A0" w:rsidRDefault="00DC221C" w:rsidP="00DC221C">
            <w:pPr>
              <w:tabs>
                <w:tab w:val="num" w:pos="0"/>
              </w:tabs>
              <w:spacing w:before="100" w:beforeAutospacing="1"/>
              <w:jc w:val="right"/>
              <w:rPr>
                <w:bCs/>
                <w:sz w:val="26"/>
                <w:szCs w:val="26"/>
              </w:rPr>
            </w:pPr>
            <w:r w:rsidRPr="006471A0">
              <w:rPr>
                <w:bCs/>
                <w:sz w:val="26"/>
                <w:szCs w:val="26"/>
              </w:rPr>
              <w:t>2,151</w:t>
            </w:r>
          </w:p>
        </w:tc>
      </w:tr>
      <w:tr w:rsidR="00DC221C" w:rsidRPr="006471A0" w:rsidTr="006471A0">
        <w:tc>
          <w:tcPr>
            <w:tcW w:w="9018" w:type="dxa"/>
            <w:gridSpan w:val="3"/>
            <w:shd w:val="pct5" w:color="auto" w:fill="auto"/>
            <w:vAlign w:val="bottom"/>
          </w:tcPr>
          <w:p w:rsidR="00DC221C" w:rsidRPr="006471A0" w:rsidRDefault="00DC221C" w:rsidP="00DC221C">
            <w:pPr>
              <w:tabs>
                <w:tab w:val="num" w:pos="0"/>
              </w:tabs>
              <w:spacing w:before="100" w:beforeAutospacing="1"/>
              <w:jc w:val="center"/>
              <w:rPr>
                <w:b/>
                <w:bCs/>
                <w:sz w:val="26"/>
                <w:szCs w:val="26"/>
              </w:rPr>
            </w:pPr>
            <w:r w:rsidRPr="006471A0">
              <w:rPr>
                <w:b/>
                <w:bCs/>
                <w:sz w:val="26"/>
                <w:szCs w:val="26"/>
              </w:rPr>
              <w:t>FERC-549</w:t>
            </w:r>
          </w:p>
        </w:tc>
      </w:tr>
      <w:tr w:rsidR="00DC221C" w:rsidRPr="006471A0" w:rsidTr="006471A0">
        <w:tc>
          <w:tcPr>
            <w:tcW w:w="3192" w:type="dxa"/>
          </w:tcPr>
          <w:p w:rsidR="00DC221C" w:rsidRPr="006471A0" w:rsidRDefault="00DC221C" w:rsidP="00DC221C">
            <w:pPr>
              <w:tabs>
                <w:tab w:val="num" w:pos="0"/>
              </w:tabs>
              <w:spacing w:before="100" w:beforeAutospacing="1"/>
              <w:rPr>
                <w:bCs/>
                <w:sz w:val="26"/>
                <w:szCs w:val="26"/>
              </w:rPr>
            </w:pPr>
            <w:r w:rsidRPr="006471A0">
              <w:rPr>
                <w:bCs/>
                <w:sz w:val="26"/>
                <w:szCs w:val="26"/>
              </w:rPr>
              <w:t>Current Inventory</w:t>
            </w:r>
          </w:p>
        </w:tc>
        <w:tc>
          <w:tcPr>
            <w:tcW w:w="3192" w:type="dxa"/>
            <w:vAlign w:val="bottom"/>
          </w:tcPr>
          <w:p w:rsidR="00DC221C" w:rsidRPr="002846C9" w:rsidRDefault="00DC221C" w:rsidP="00DC221C">
            <w:pPr>
              <w:tabs>
                <w:tab w:val="num" w:pos="0"/>
              </w:tabs>
              <w:spacing w:before="100" w:beforeAutospacing="1"/>
              <w:jc w:val="right"/>
              <w:rPr>
                <w:bCs/>
                <w:sz w:val="26"/>
                <w:szCs w:val="26"/>
              </w:rPr>
            </w:pPr>
            <w:r w:rsidRPr="004735BF">
              <w:rPr>
                <w:bCs/>
                <w:sz w:val="26"/>
                <w:szCs w:val="26"/>
              </w:rPr>
              <w:t>2,176</w:t>
            </w:r>
          </w:p>
        </w:tc>
        <w:tc>
          <w:tcPr>
            <w:tcW w:w="2634" w:type="dxa"/>
            <w:vAlign w:val="bottom"/>
          </w:tcPr>
          <w:p w:rsidR="00DC221C" w:rsidRPr="006471A0" w:rsidRDefault="00DC221C" w:rsidP="00DC221C">
            <w:pPr>
              <w:tabs>
                <w:tab w:val="num" w:pos="0"/>
              </w:tabs>
              <w:spacing w:before="100" w:beforeAutospacing="1"/>
              <w:jc w:val="right"/>
              <w:rPr>
                <w:bCs/>
                <w:sz w:val="26"/>
                <w:szCs w:val="26"/>
              </w:rPr>
            </w:pPr>
            <w:r w:rsidRPr="006471A0">
              <w:rPr>
                <w:bCs/>
                <w:sz w:val="26"/>
                <w:szCs w:val="26"/>
              </w:rPr>
              <w:t>441</w:t>
            </w:r>
          </w:p>
        </w:tc>
      </w:tr>
      <w:tr w:rsidR="00DC221C" w:rsidRPr="006471A0" w:rsidTr="006471A0">
        <w:tc>
          <w:tcPr>
            <w:tcW w:w="3192" w:type="dxa"/>
          </w:tcPr>
          <w:p w:rsidR="00DC221C" w:rsidRPr="002846C9" w:rsidRDefault="00DC221C" w:rsidP="00DC221C">
            <w:pPr>
              <w:tabs>
                <w:tab w:val="num" w:pos="0"/>
              </w:tabs>
              <w:spacing w:before="100" w:beforeAutospacing="1"/>
              <w:rPr>
                <w:bCs/>
                <w:sz w:val="26"/>
                <w:szCs w:val="26"/>
              </w:rPr>
            </w:pPr>
            <w:r w:rsidRPr="006471A0">
              <w:rPr>
                <w:bCs/>
                <w:sz w:val="26"/>
                <w:szCs w:val="26"/>
              </w:rPr>
              <w:t>Program Increase</w:t>
            </w:r>
            <w:r w:rsidRPr="004735BF">
              <w:rPr>
                <w:bCs/>
                <w:sz w:val="26"/>
                <w:szCs w:val="26"/>
              </w:rPr>
              <w:t xml:space="preserve"> (from Notice in RM07-16 and RM01-5-000</w:t>
            </w:r>
            <w:r w:rsidRPr="002846C9">
              <w:rPr>
                <w:vertAlign w:val="superscript"/>
              </w:rPr>
              <w:fldChar w:fldCharType="begin"/>
            </w:r>
            <w:r w:rsidRPr="006471A0">
              <w:rPr>
                <w:vertAlign w:val="superscript"/>
              </w:rPr>
              <w:instrText xml:space="preserve"> NOTEREF _Ref352062444 \h  \* MERGEFORMAT </w:instrText>
            </w:r>
            <w:r w:rsidRPr="002846C9">
              <w:rPr>
                <w:vertAlign w:val="superscript"/>
              </w:rPr>
            </w:r>
            <w:r w:rsidRPr="002846C9">
              <w:rPr>
                <w:vertAlign w:val="superscript"/>
              </w:rPr>
              <w:fldChar w:fldCharType="separate"/>
            </w:r>
            <w:r w:rsidRPr="002846C9">
              <w:rPr>
                <w:vertAlign w:val="superscript"/>
              </w:rPr>
              <w:t>1</w:t>
            </w:r>
            <w:r w:rsidRPr="002846C9">
              <w:rPr>
                <w:vertAlign w:val="superscript"/>
              </w:rPr>
              <w:fldChar w:fldCharType="end"/>
            </w:r>
            <w:r w:rsidRPr="004735BF">
              <w:rPr>
                <w:bCs/>
                <w:sz w:val="26"/>
                <w:szCs w:val="26"/>
              </w:rPr>
              <w:t>)</w:t>
            </w:r>
          </w:p>
        </w:tc>
        <w:tc>
          <w:tcPr>
            <w:tcW w:w="3192" w:type="dxa"/>
            <w:vAlign w:val="bottom"/>
          </w:tcPr>
          <w:p w:rsidR="00DC221C" w:rsidRPr="006471A0" w:rsidRDefault="00DC221C" w:rsidP="00DC221C">
            <w:pPr>
              <w:tabs>
                <w:tab w:val="num" w:pos="0"/>
              </w:tabs>
              <w:spacing w:before="100" w:beforeAutospacing="1"/>
              <w:jc w:val="right"/>
              <w:rPr>
                <w:bCs/>
                <w:sz w:val="26"/>
                <w:szCs w:val="26"/>
              </w:rPr>
            </w:pPr>
            <w:r w:rsidRPr="006471A0">
              <w:rPr>
                <w:bCs/>
                <w:sz w:val="26"/>
                <w:szCs w:val="26"/>
              </w:rPr>
              <w:t>+107</w:t>
            </w:r>
          </w:p>
        </w:tc>
        <w:tc>
          <w:tcPr>
            <w:tcW w:w="2634" w:type="dxa"/>
            <w:vAlign w:val="bottom"/>
          </w:tcPr>
          <w:p w:rsidR="00DC221C" w:rsidRPr="006471A0" w:rsidRDefault="00DC221C" w:rsidP="00DC221C">
            <w:pPr>
              <w:tabs>
                <w:tab w:val="num" w:pos="0"/>
              </w:tabs>
              <w:spacing w:before="100" w:beforeAutospacing="1"/>
              <w:jc w:val="right"/>
              <w:rPr>
                <w:bCs/>
                <w:sz w:val="26"/>
                <w:szCs w:val="26"/>
              </w:rPr>
            </w:pPr>
            <w:r w:rsidRPr="006471A0">
              <w:rPr>
                <w:bCs/>
                <w:sz w:val="26"/>
                <w:szCs w:val="26"/>
              </w:rPr>
              <w:t>+107</w:t>
            </w:r>
          </w:p>
        </w:tc>
      </w:tr>
      <w:tr w:rsidR="00DC221C" w:rsidRPr="006471A0" w:rsidTr="006471A0">
        <w:tc>
          <w:tcPr>
            <w:tcW w:w="3192" w:type="dxa"/>
          </w:tcPr>
          <w:p w:rsidR="00DC221C" w:rsidRPr="006471A0" w:rsidRDefault="00DC221C" w:rsidP="00DC221C">
            <w:pPr>
              <w:tabs>
                <w:tab w:val="num" w:pos="0"/>
              </w:tabs>
              <w:spacing w:before="100" w:beforeAutospacing="1"/>
              <w:rPr>
                <w:b/>
                <w:bCs/>
                <w:sz w:val="26"/>
                <w:szCs w:val="26"/>
              </w:rPr>
            </w:pPr>
            <w:r w:rsidRPr="006471A0">
              <w:rPr>
                <w:b/>
                <w:bCs/>
                <w:sz w:val="26"/>
                <w:szCs w:val="26"/>
              </w:rPr>
              <w:t>Net New Inventory</w:t>
            </w:r>
          </w:p>
        </w:tc>
        <w:tc>
          <w:tcPr>
            <w:tcW w:w="3192" w:type="dxa"/>
            <w:vAlign w:val="bottom"/>
          </w:tcPr>
          <w:p w:rsidR="00DC221C" w:rsidRPr="006471A0" w:rsidRDefault="00DC221C" w:rsidP="00DC221C">
            <w:pPr>
              <w:jc w:val="right"/>
            </w:pPr>
            <w:r w:rsidRPr="006471A0">
              <w:t>2,283</w:t>
            </w:r>
          </w:p>
        </w:tc>
        <w:tc>
          <w:tcPr>
            <w:tcW w:w="2634" w:type="dxa"/>
            <w:vAlign w:val="bottom"/>
          </w:tcPr>
          <w:p w:rsidR="00DC221C" w:rsidRPr="006471A0" w:rsidRDefault="00DC221C" w:rsidP="00DC221C">
            <w:pPr>
              <w:jc w:val="right"/>
            </w:pPr>
            <w:r w:rsidRPr="006471A0">
              <w:t>548</w:t>
            </w:r>
          </w:p>
        </w:tc>
      </w:tr>
      <w:tr w:rsidR="00DC221C" w:rsidRPr="006471A0" w:rsidTr="006471A0">
        <w:tc>
          <w:tcPr>
            <w:tcW w:w="9018" w:type="dxa"/>
            <w:gridSpan w:val="3"/>
            <w:shd w:val="pct5" w:color="auto" w:fill="auto"/>
            <w:vAlign w:val="bottom"/>
          </w:tcPr>
          <w:p w:rsidR="00DC221C" w:rsidRPr="006471A0" w:rsidRDefault="00DC221C" w:rsidP="00DC221C">
            <w:pPr>
              <w:tabs>
                <w:tab w:val="num" w:pos="0"/>
              </w:tabs>
              <w:spacing w:before="100" w:beforeAutospacing="1"/>
              <w:jc w:val="center"/>
              <w:rPr>
                <w:b/>
                <w:bCs/>
                <w:sz w:val="26"/>
                <w:szCs w:val="26"/>
              </w:rPr>
            </w:pPr>
            <w:r w:rsidRPr="006471A0">
              <w:rPr>
                <w:b/>
                <w:bCs/>
                <w:sz w:val="26"/>
                <w:szCs w:val="26"/>
              </w:rPr>
              <w:t>FERC-550</w:t>
            </w:r>
          </w:p>
        </w:tc>
      </w:tr>
      <w:tr w:rsidR="00DC221C" w:rsidRPr="006471A0" w:rsidTr="006471A0">
        <w:tc>
          <w:tcPr>
            <w:tcW w:w="3192" w:type="dxa"/>
          </w:tcPr>
          <w:p w:rsidR="00DC221C" w:rsidRPr="006471A0" w:rsidRDefault="00DC221C" w:rsidP="00DC221C">
            <w:pPr>
              <w:tabs>
                <w:tab w:val="num" w:pos="0"/>
              </w:tabs>
              <w:spacing w:before="100" w:beforeAutospacing="1"/>
              <w:rPr>
                <w:bCs/>
                <w:sz w:val="26"/>
                <w:szCs w:val="26"/>
              </w:rPr>
            </w:pPr>
            <w:r w:rsidRPr="006471A0">
              <w:rPr>
                <w:bCs/>
                <w:sz w:val="26"/>
                <w:szCs w:val="26"/>
              </w:rPr>
              <w:t>Current Inventory</w:t>
            </w:r>
          </w:p>
        </w:tc>
        <w:tc>
          <w:tcPr>
            <w:tcW w:w="3192" w:type="dxa"/>
            <w:vAlign w:val="bottom"/>
          </w:tcPr>
          <w:p w:rsidR="00DC221C" w:rsidRPr="002846C9" w:rsidRDefault="00DC221C" w:rsidP="00DC221C">
            <w:pPr>
              <w:tabs>
                <w:tab w:val="num" w:pos="0"/>
              </w:tabs>
              <w:spacing w:before="100" w:beforeAutospacing="1"/>
              <w:jc w:val="right"/>
              <w:rPr>
                <w:bCs/>
                <w:sz w:val="26"/>
                <w:szCs w:val="26"/>
              </w:rPr>
            </w:pPr>
            <w:r w:rsidRPr="004735BF">
              <w:rPr>
                <w:bCs/>
                <w:sz w:val="26"/>
                <w:szCs w:val="26"/>
              </w:rPr>
              <w:t>5,632</w:t>
            </w:r>
          </w:p>
        </w:tc>
        <w:tc>
          <w:tcPr>
            <w:tcW w:w="2634" w:type="dxa"/>
            <w:vAlign w:val="bottom"/>
          </w:tcPr>
          <w:p w:rsidR="00DC221C" w:rsidRPr="006471A0" w:rsidRDefault="00DC221C" w:rsidP="00DC221C">
            <w:pPr>
              <w:tabs>
                <w:tab w:val="num" w:pos="0"/>
              </w:tabs>
              <w:spacing w:before="100" w:beforeAutospacing="1"/>
              <w:jc w:val="right"/>
              <w:rPr>
                <w:bCs/>
                <w:sz w:val="26"/>
                <w:szCs w:val="26"/>
              </w:rPr>
            </w:pPr>
            <w:r w:rsidRPr="006471A0">
              <w:rPr>
                <w:bCs/>
                <w:sz w:val="26"/>
                <w:szCs w:val="26"/>
              </w:rPr>
              <w:t>512</w:t>
            </w:r>
          </w:p>
        </w:tc>
      </w:tr>
      <w:tr w:rsidR="00DC221C" w:rsidRPr="006471A0" w:rsidTr="006471A0">
        <w:tc>
          <w:tcPr>
            <w:tcW w:w="3192" w:type="dxa"/>
          </w:tcPr>
          <w:p w:rsidR="00DC221C" w:rsidRPr="002846C9" w:rsidRDefault="00DC221C" w:rsidP="00DC221C">
            <w:pPr>
              <w:tabs>
                <w:tab w:val="num" w:pos="0"/>
              </w:tabs>
              <w:spacing w:before="100" w:beforeAutospacing="1"/>
              <w:rPr>
                <w:bCs/>
                <w:sz w:val="26"/>
                <w:szCs w:val="26"/>
              </w:rPr>
            </w:pPr>
            <w:r w:rsidRPr="006471A0">
              <w:rPr>
                <w:bCs/>
                <w:sz w:val="26"/>
                <w:szCs w:val="26"/>
              </w:rPr>
              <w:t>Program Increase</w:t>
            </w:r>
            <w:r w:rsidRPr="004735BF">
              <w:rPr>
                <w:bCs/>
                <w:sz w:val="26"/>
                <w:szCs w:val="26"/>
              </w:rPr>
              <w:t xml:space="preserve"> (from Notice in RM07-16 and RM01-5-000</w:t>
            </w:r>
            <w:r w:rsidRPr="002846C9">
              <w:rPr>
                <w:vertAlign w:val="superscript"/>
              </w:rPr>
              <w:fldChar w:fldCharType="begin"/>
            </w:r>
            <w:r w:rsidRPr="006471A0">
              <w:rPr>
                <w:vertAlign w:val="superscript"/>
              </w:rPr>
              <w:instrText xml:space="preserve"> NOTEREF _Ref352062444 \h  \* MERGEFORMAT </w:instrText>
            </w:r>
            <w:r w:rsidRPr="002846C9">
              <w:rPr>
                <w:vertAlign w:val="superscript"/>
              </w:rPr>
            </w:r>
            <w:r w:rsidRPr="002846C9">
              <w:rPr>
                <w:vertAlign w:val="superscript"/>
              </w:rPr>
              <w:fldChar w:fldCharType="separate"/>
            </w:r>
            <w:r w:rsidRPr="002846C9">
              <w:rPr>
                <w:vertAlign w:val="superscript"/>
              </w:rPr>
              <w:t>1</w:t>
            </w:r>
            <w:r w:rsidRPr="002846C9">
              <w:rPr>
                <w:vertAlign w:val="superscript"/>
              </w:rPr>
              <w:fldChar w:fldCharType="end"/>
            </w:r>
            <w:r w:rsidRPr="004735BF">
              <w:rPr>
                <w:bCs/>
                <w:sz w:val="26"/>
                <w:szCs w:val="26"/>
              </w:rPr>
              <w:t>)</w:t>
            </w:r>
          </w:p>
        </w:tc>
        <w:tc>
          <w:tcPr>
            <w:tcW w:w="3192" w:type="dxa"/>
            <w:vAlign w:val="bottom"/>
          </w:tcPr>
          <w:p w:rsidR="00DC221C" w:rsidRPr="006471A0" w:rsidRDefault="00DC221C" w:rsidP="00DC221C">
            <w:pPr>
              <w:tabs>
                <w:tab w:val="num" w:pos="0"/>
              </w:tabs>
              <w:spacing w:before="100" w:beforeAutospacing="1"/>
              <w:jc w:val="right"/>
              <w:rPr>
                <w:bCs/>
                <w:sz w:val="26"/>
                <w:szCs w:val="26"/>
              </w:rPr>
            </w:pPr>
            <w:r w:rsidRPr="006471A0">
              <w:rPr>
                <w:bCs/>
                <w:sz w:val="26"/>
                <w:szCs w:val="26"/>
              </w:rPr>
              <w:t>+193</w:t>
            </w:r>
          </w:p>
        </w:tc>
        <w:tc>
          <w:tcPr>
            <w:tcW w:w="2634" w:type="dxa"/>
            <w:vAlign w:val="bottom"/>
          </w:tcPr>
          <w:p w:rsidR="00DC221C" w:rsidRPr="006471A0" w:rsidRDefault="00DC221C" w:rsidP="00DC221C">
            <w:pPr>
              <w:tabs>
                <w:tab w:val="num" w:pos="0"/>
              </w:tabs>
              <w:spacing w:before="100" w:beforeAutospacing="1"/>
              <w:jc w:val="right"/>
              <w:rPr>
                <w:bCs/>
                <w:sz w:val="26"/>
                <w:szCs w:val="26"/>
              </w:rPr>
            </w:pPr>
            <w:r w:rsidRPr="006471A0">
              <w:rPr>
                <w:bCs/>
                <w:sz w:val="26"/>
                <w:szCs w:val="26"/>
              </w:rPr>
              <w:t>+193</w:t>
            </w:r>
          </w:p>
        </w:tc>
      </w:tr>
      <w:tr w:rsidR="00DC221C" w:rsidRPr="00DC221C" w:rsidTr="006471A0">
        <w:tc>
          <w:tcPr>
            <w:tcW w:w="3192" w:type="dxa"/>
          </w:tcPr>
          <w:p w:rsidR="00DC221C" w:rsidRPr="006471A0" w:rsidRDefault="00DC221C" w:rsidP="00DC221C">
            <w:pPr>
              <w:tabs>
                <w:tab w:val="num" w:pos="0"/>
              </w:tabs>
              <w:spacing w:before="100" w:beforeAutospacing="1"/>
              <w:rPr>
                <w:b/>
                <w:bCs/>
                <w:sz w:val="26"/>
                <w:szCs w:val="26"/>
              </w:rPr>
            </w:pPr>
            <w:r w:rsidRPr="006471A0">
              <w:rPr>
                <w:b/>
                <w:bCs/>
                <w:sz w:val="26"/>
                <w:szCs w:val="26"/>
              </w:rPr>
              <w:t>Net New Inventory</w:t>
            </w:r>
          </w:p>
        </w:tc>
        <w:tc>
          <w:tcPr>
            <w:tcW w:w="3192" w:type="dxa"/>
            <w:vAlign w:val="bottom"/>
          </w:tcPr>
          <w:p w:rsidR="00DC221C" w:rsidRPr="006471A0" w:rsidRDefault="00DC221C" w:rsidP="00DC221C">
            <w:pPr>
              <w:jc w:val="right"/>
            </w:pPr>
            <w:r w:rsidRPr="006471A0">
              <w:t>5,825</w:t>
            </w:r>
          </w:p>
        </w:tc>
        <w:tc>
          <w:tcPr>
            <w:tcW w:w="2634" w:type="dxa"/>
            <w:vAlign w:val="bottom"/>
          </w:tcPr>
          <w:p w:rsidR="00DC221C" w:rsidRPr="006471A0" w:rsidRDefault="00DC221C" w:rsidP="00DC221C">
            <w:pPr>
              <w:jc w:val="right"/>
            </w:pPr>
            <w:r w:rsidRPr="006471A0">
              <w:t>705</w:t>
            </w:r>
          </w:p>
        </w:tc>
      </w:tr>
    </w:tbl>
    <w:p w:rsidR="00DC221C" w:rsidRDefault="00DC221C">
      <w:pPr>
        <w:rPr>
          <w:sz w:val="26"/>
          <w:szCs w:val="26"/>
        </w:rPr>
      </w:pPr>
    </w:p>
    <w:p w:rsidR="00DC221C" w:rsidRDefault="00DC221C">
      <w:pPr>
        <w:rPr>
          <w:sz w:val="26"/>
          <w:szCs w:val="26"/>
        </w:rPr>
      </w:pPr>
    </w:p>
    <w:p w:rsidR="00CA3B99" w:rsidRPr="00DA6CEC" w:rsidRDefault="00CA3B99" w:rsidP="00541D01">
      <w:pPr>
        <w:widowControl/>
        <w:numPr>
          <w:ilvl w:val="0"/>
          <w:numId w:val="12"/>
        </w:numPr>
        <w:tabs>
          <w:tab w:val="clear" w:pos="1080"/>
          <w:tab w:val="num" w:pos="720"/>
        </w:tabs>
        <w:ind w:left="720" w:hanging="720"/>
        <w:rPr>
          <w:b/>
          <w:sz w:val="26"/>
          <w:szCs w:val="26"/>
        </w:rPr>
      </w:pPr>
      <w:r w:rsidRPr="00DA6CEC">
        <w:rPr>
          <w:b/>
          <w:sz w:val="26"/>
          <w:szCs w:val="26"/>
        </w:rPr>
        <w:t>TIME SCHEDULE FOR PUBLICATION OF DATA</w:t>
      </w:r>
    </w:p>
    <w:p w:rsidR="00CA3B99" w:rsidRPr="00DA6CEC" w:rsidRDefault="00CA3B99" w:rsidP="00541D01">
      <w:pPr>
        <w:widowControl/>
        <w:ind w:left="720"/>
        <w:rPr>
          <w:b/>
          <w:sz w:val="26"/>
          <w:szCs w:val="26"/>
        </w:rPr>
      </w:pPr>
    </w:p>
    <w:p w:rsidR="00CA3B99" w:rsidRPr="00DA6CEC" w:rsidRDefault="00CA3B99" w:rsidP="00541D01">
      <w:pPr>
        <w:widowControl/>
        <w:rPr>
          <w:sz w:val="26"/>
          <w:szCs w:val="26"/>
        </w:rPr>
      </w:pPr>
      <w:proofErr w:type="gramStart"/>
      <w:r>
        <w:rPr>
          <w:b/>
          <w:sz w:val="26"/>
          <w:szCs w:val="26"/>
        </w:rPr>
        <w:t>FERC-545, FERC-549, and FERC-550.</w:t>
      </w:r>
      <w:proofErr w:type="gramEnd"/>
      <w:r>
        <w:rPr>
          <w:b/>
          <w:sz w:val="26"/>
          <w:szCs w:val="26"/>
        </w:rPr>
        <w:t xml:space="preserve">  </w:t>
      </w:r>
      <w:r w:rsidRPr="00DA6CEC">
        <w:rPr>
          <w:sz w:val="26"/>
          <w:szCs w:val="26"/>
        </w:rPr>
        <w:t>There are no publications of the information.</w:t>
      </w:r>
    </w:p>
    <w:p w:rsidR="00CA3B99" w:rsidRPr="00DA6CEC" w:rsidRDefault="00CA3B99" w:rsidP="00541D01">
      <w:pPr>
        <w:widowControl/>
        <w:ind w:firstLine="720"/>
        <w:rPr>
          <w:sz w:val="26"/>
          <w:szCs w:val="26"/>
        </w:rPr>
      </w:pPr>
    </w:p>
    <w:p w:rsidR="00CA3B99" w:rsidRPr="00DA6CEC" w:rsidRDefault="00CA3B99" w:rsidP="00541D01">
      <w:pPr>
        <w:widowControl/>
        <w:tabs>
          <w:tab w:val="left" w:pos="720"/>
        </w:tabs>
        <w:rPr>
          <w:b/>
          <w:sz w:val="26"/>
          <w:szCs w:val="26"/>
        </w:rPr>
      </w:pPr>
      <w:r w:rsidRPr="00DA6CEC">
        <w:rPr>
          <w:b/>
          <w:sz w:val="26"/>
          <w:szCs w:val="26"/>
        </w:rPr>
        <w:t>17.</w:t>
      </w:r>
      <w:r w:rsidRPr="00DA6CEC">
        <w:rPr>
          <w:sz w:val="26"/>
          <w:szCs w:val="26"/>
        </w:rPr>
        <w:tab/>
      </w:r>
      <w:r w:rsidRPr="00DA6CEC">
        <w:rPr>
          <w:b/>
          <w:sz w:val="26"/>
          <w:szCs w:val="26"/>
        </w:rPr>
        <w:t>DISPLAY OF EXPIRATION DATE</w:t>
      </w:r>
    </w:p>
    <w:p w:rsidR="00CA3B99" w:rsidRPr="00DA6CEC" w:rsidRDefault="00CA3B99" w:rsidP="00541D01">
      <w:pPr>
        <w:widowControl/>
        <w:rPr>
          <w:sz w:val="26"/>
          <w:szCs w:val="26"/>
        </w:rPr>
      </w:pPr>
    </w:p>
    <w:p w:rsidR="00CA3B99" w:rsidRDefault="00CA3B99" w:rsidP="00496ED3">
      <w:pPr>
        <w:widowControl/>
        <w:rPr>
          <w:sz w:val="26"/>
          <w:szCs w:val="26"/>
        </w:rPr>
      </w:pPr>
      <w:proofErr w:type="gramStart"/>
      <w:r>
        <w:rPr>
          <w:b/>
          <w:sz w:val="26"/>
          <w:szCs w:val="26"/>
        </w:rPr>
        <w:t>FERC-545, FERC-549, and FERC-550.</w:t>
      </w:r>
      <w:proofErr w:type="gramEnd"/>
      <w:r>
        <w:rPr>
          <w:b/>
          <w:sz w:val="26"/>
          <w:szCs w:val="26"/>
        </w:rPr>
        <w:t xml:space="preserve">  </w:t>
      </w:r>
      <w:r>
        <w:rPr>
          <w:sz w:val="26"/>
          <w:szCs w:val="26"/>
        </w:rPr>
        <w:t xml:space="preserve">The expiration dates are displayed on the Office of the Secretary of the Commission’s </w:t>
      </w:r>
      <w:r w:rsidRPr="00CA411F">
        <w:rPr>
          <w:i/>
          <w:sz w:val="26"/>
          <w:szCs w:val="26"/>
        </w:rPr>
        <w:t>Implementation Guide for Electronic Filing of Parts 35, 154, 284, 300, and 341 Tariff Filings</w:t>
      </w:r>
      <w:r>
        <w:rPr>
          <w:sz w:val="26"/>
          <w:szCs w:val="26"/>
        </w:rPr>
        <w:t xml:space="preserve"> for electronic filing.</w:t>
      </w:r>
      <w:r w:rsidR="00D3620D">
        <w:rPr>
          <w:sz w:val="26"/>
          <w:szCs w:val="26"/>
        </w:rPr>
        <w:t xml:space="preserve">  See </w:t>
      </w:r>
      <w:hyperlink r:id="rId9" w:history="1">
        <w:r w:rsidR="00D3620D" w:rsidRPr="008E45C5">
          <w:rPr>
            <w:rStyle w:val="Hyperlink"/>
            <w:sz w:val="26"/>
            <w:szCs w:val="26"/>
          </w:rPr>
          <w:t>http://www.ferc.gov/docs-filing/etariff/implementation-guide.pdf</w:t>
        </w:r>
      </w:hyperlink>
      <w:r w:rsidR="00D3620D">
        <w:rPr>
          <w:sz w:val="26"/>
          <w:szCs w:val="26"/>
        </w:rPr>
        <w:t xml:space="preserve">; the </w:t>
      </w:r>
      <w:r w:rsidR="002471A5">
        <w:rPr>
          <w:sz w:val="26"/>
          <w:szCs w:val="26"/>
        </w:rPr>
        <w:t>C</w:t>
      </w:r>
      <w:r w:rsidR="00B7269C">
        <w:rPr>
          <w:sz w:val="26"/>
          <w:szCs w:val="26"/>
        </w:rPr>
        <w:t xml:space="preserve">ommission will update the </w:t>
      </w:r>
      <w:r w:rsidR="00D3620D">
        <w:rPr>
          <w:sz w:val="26"/>
          <w:szCs w:val="26"/>
        </w:rPr>
        <w:t>expiration dates on the guide</w:t>
      </w:r>
      <w:r w:rsidR="00C74A22">
        <w:rPr>
          <w:sz w:val="26"/>
          <w:szCs w:val="26"/>
        </w:rPr>
        <w:t xml:space="preserve"> </w:t>
      </w:r>
      <w:r w:rsidR="00D3620D">
        <w:rPr>
          <w:sz w:val="26"/>
          <w:szCs w:val="26"/>
        </w:rPr>
        <w:t xml:space="preserve">when OMB </w:t>
      </w:r>
      <w:r w:rsidR="00B7269C">
        <w:rPr>
          <w:sz w:val="26"/>
          <w:szCs w:val="26"/>
        </w:rPr>
        <w:t xml:space="preserve">issues </w:t>
      </w:r>
      <w:r w:rsidR="00D3620D">
        <w:rPr>
          <w:sz w:val="26"/>
          <w:szCs w:val="26"/>
        </w:rPr>
        <w:t>decisions.</w:t>
      </w:r>
    </w:p>
    <w:p w:rsidR="00C74A22" w:rsidRDefault="00C74A22" w:rsidP="00496ED3">
      <w:pPr>
        <w:widowControl/>
        <w:rPr>
          <w:sz w:val="26"/>
          <w:szCs w:val="26"/>
        </w:rPr>
      </w:pPr>
    </w:p>
    <w:p w:rsidR="00C74A22" w:rsidRDefault="007350DD" w:rsidP="00F969B0">
      <w:pPr>
        <w:widowControl/>
        <w:ind w:firstLine="720"/>
        <w:rPr>
          <w:sz w:val="26"/>
          <w:szCs w:val="26"/>
        </w:rPr>
      </w:pPr>
      <w:r>
        <w:rPr>
          <w:sz w:val="26"/>
          <w:szCs w:val="26"/>
        </w:rPr>
        <w:t>T</w:t>
      </w:r>
      <w:r w:rsidR="00C74A22">
        <w:rPr>
          <w:sz w:val="26"/>
          <w:szCs w:val="26"/>
        </w:rPr>
        <w:t>he expiration dates will be posted in the CID Instruction Manual (rather than on the first public input screen)</w:t>
      </w:r>
      <w:r w:rsidR="00042050">
        <w:rPr>
          <w:sz w:val="26"/>
          <w:szCs w:val="26"/>
        </w:rPr>
        <w:t xml:space="preserve">.  The manual is </w:t>
      </w:r>
      <w:r w:rsidR="00C74A22">
        <w:rPr>
          <w:sz w:val="26"/>
          <w:szCs w:val="26"/>
        </w:rPr>
        <w:t>included in ROCIS and reginfo.gov under Supplementary Documents</w:t>
      </w:r>
      <w:r w:rsidR="005C023B">
        <w:rPr>
          <w:sz w:val="26"/>
          <w:szCs w:val="26"/>
        </w:rPr>
        <w:t xml:space="preserve"> and will be posted on ferc.gov</w:t>
      </w:r>
      <w:r w:rsidR="00C74A22">
        <w:rPr>
          <w:sz w:val="26"/>
          <w:szCs w:val="26"/>
        </w:rPr>
        <w:t>.</w:t>
      </w:r>
    </w:p>
    <w:p w:rsidR="00C74A22" w:rsidRPr="00042050" w:rsidRDefault="00C74A22" w:rsidP="00496ED3">
      <w:pPr>
        <w:widowControl/>
        <w:rPr>
          <w:sz w:val="26"/>
          <w:szCs w:val="26"/>
        </w:rPr>
      </w:pPr>
    </w:p>
    <w:p w:rsidR="00C74A22" w:rsidRPr="00F969B0" w:rsidRDefault="00C74A22" w:rsidP="00C74A22">
      <w:pPr>
        <w:widowControl/>
        <w:autoSpaceDE/>
        <w:autoSpaceDN/>
        <w:adjustRightInd/>
        <w:rPr>
          <w:rFonts w:eastAsia="Calibri"/>
          <w:sz w:val="26"/>
          <w:szCs w:val="26"/>
        </w:rPr>
      </w:pPr>
      <w:r w:rsidRPr="00F969B0">
        <w:rPr>
          <w:rFonts w:eastAsia="Calibri"/>
          <w:b/>
          <w:sz w:val="26"/>
          <w:szCs w:val="26"/>
        </w:rPr>
        <w:t xml:space="preserve">Making changes to the public input screen.  </w:t>
      </w:r>
      <w:r w:rsidRPr="00F969B0">
        <w:rPr>
          <w:rFonts w:eastAsia="Calibri"/>
          <w:sz w:val="26"/>
          <w:szCs w:val="26"/>
        </w:rPr>
        <w:t xml:space="preserve">The following gives an overview of the steps (for federal and contractor resources) which are required to make changes, additions, and deletions to the first public input screen for CID. These steps are required to maintain system integrity, even if the change is only to one OMB expiration date on </w:t>
      </w:r>
      <w:r w:rsidR="005C023B">
        <w:rPr>
          <w:rFonts w:eastAsia="Calibri"/>
          <w:sz w:val="26"/>
          <w:szCs w:val="26"/>
        </w:rPr>
        <w:t>a</w:t>
      </w:r>
      <w:r w:rsidRPr="00F969B0">
        <w:rPr>
          <w:rFonts w:eastAsia="Calibri"/>
          <w:sz w:val="26"/>
          <w:szCs w:val="26"/>
        </w:rPr>
        <w:t xml:space="preserve"> system screen.  The steps include:</w:t>
      </w:r>
    </w:p>
    <w:p w:rsidR="00C74A22" w:rsidRPr="00F969B0" w:rsidRDefault="00C74A22" w:rsidP="00C74A22">
      <w:pPr>
        <w:widowControl/>
        <w:autoSpaceDE/>
        <w:autoSpaceDN/>
        <w:adjustRightInd/>
        <w:ind w:left="360"/>
        <w:rPr>
          <w:rFonts w:eastAsia="Calibri"/>
          <w:sz w:val="26"/>
          <w:szCs w:val="26"/>
        </w:rPr>
      </w:pPr>
    </w:p>
    <w:p w:rsidR="00C74A22" w:rsidRPr="00F969B0" w:rsidRDefault="00C74A22" w:rsidP="00C74A22">
      <w:pPr>
        <w:widowControl/>
        <w:numPr>
          <w:ilvl w:val="0"/>
          <w:numId w:val="17"/>
        </w:numPr>
        <w:autoSpaceDE/>
        <w:autoSpaceDN/>
        <w:adjustRightInd/>
        <w:spacing w:after="200" w:line="276" w:lineRule="auto"/>
        <w:contextualSpacing/>
        <w:rPr>
          <w:rFonts w:eastAsia="Calibri"/>
          <w:sz w:val="26"/>
          <w:szCs w:val="26"/>
        </w:rPr>
      </w:pPr>
      <w:r w:rsidRPr="00F969B0">
        <w:rPr>
          <w:rFonts w:eastAsia="Calibri"/>
          <w:sz w:val="26"/>
          <w:szCs w:val="26"/>
        </w:rPr>
        <w:t>document changes, screens, and pages where changes are needed</w:t>
      </w:r>
    </w:p>
    <w:p w:rsidR="00C74A22" w:rsidRPr="00F969B0" w:rsidRDefault="00C74A22" w:rsidP="00C74A22">
      <w:pPr>
        <w:widowControl/>
        <w:numPr>
          <w:ilvl w:val="0"/>
          <w:numId w:val="17"/>
        </w:numPr>
        <w:autoSpaceDE/>
        <w:autoSpaceDN/>
        <w:adjustRightInd/>
        <w:spacing w:after="200" w:line="276" w:lineRule="auto"/>
        <w:contextualSpacing/>
        <w:rPr>
          <w:rFonts w:eastAsia="Calibri"/>
          <w:sz w:val="26"/>
          <w:szCs w:val="26"/>
        </w:rPr>
      </w:pPr>
      <w:r w:rsidRPr="00F969B0">
        <w:rPr>
          <w:rFonts w:eastAsia="Calibri"/>
          <w:sz w:val="26"/>
          <w:szCs w:val="26"/>
        </w:rPr>
        <w:t>get FERC approval</w:t>
      </w:r>
    </w:p>
    <w:p w:rsidR="00C74A22" w:rsidRPr="00F969B0" w:rsidRDefault="00C74A22" w:rsidP="00C74A22">
      <w:pPr>
        <w:widowControl/>
        <w:numPr>
          <w:ilvl w:val="0"/>
          <w:numId w:val="17"/>
        </w:numPr>
        <w:autoSpaceDE/>
        <w:autoSpaceDN/>
        <w:adjustRightInd/>
        <w:spacing w:after="200" w:line="276" w:lineRule="auto"/>
        <w:contextualSpacing/>
        <w:rPr>
          <w:rFonts w:eastAsia="Calibri"/>
          <w:sz w:val="26"/>
          <w:szCs w:val="26"/>
        </w:rPr>
      </w:pPr>
      <w:r w:rsidRPr="00F969B0">
        <w:rPr>
          <w:rFonts w:eastAsia="Calibri"/>
          <w:sz w:val="26"/>
          <w:szCs w:val="26"/>
        </w:rPr>
        <w:t>issue work request to IT contractor</w:t>
      </w:r>
    </w:p>
    <w:p w:rsidR="00C74A22" w:rsidRPr="00F969B0" w:rsidRDefault="00C74A22" w:rsidP="00C74A22">
      <w:pPr>
        <w:widowControl/>
        <w:numPr>
          <w:ilvl w:val="0"/>
          <w:numId w:val="17"/>
        </w:numPr>
        <w:autoSpaceDE/>
        <w:autoSpaceDN/>
        <w:adjustRightInd/>
        <w:spacing w:after="200" w:line="276" w:lineRule="auto"/>
        <w:contextualSpacing/>
        <w:rPr>
          <w:rFonts w:eastAsia="Calibri"/>
          <w:sz w:val="26"/>
          <w:szCs w:val="26"/>
        </w:rPr>
      </w:pPr>
      <w:r w:rsidRPr="00F969B0">
        <w:rPr>
          <w:rFonts w:eastAsia="Calibri"/>
          <w:sz w:val="26"/>
          <w:szCs w:val="26"/>
        </w:rPr>
        <w:t>program, test, and re-compile</w:t>
      </w:r>
    </w:p>
    <w:p w:rsidR="00C74A22" w:rsidRPr="00F969B0" w:rsidRDefault="00C74A22" w:rsidP="00C74A22">
      <w:pPr>
        <w:widowControl/>
        <w:numPr>
          <w:ilvl w:val="0"/>
          <w:numId w:val="17"/>
        </w:numPr>
        <w:autoSpaceDE/>
        <w:autoSpaceDN/>
        <w:adjustRightInd/>
        <w:spacing w:after="200" w:line="276" w:lineRule="auto"/>
        <w:contextualSpacing/>
        <w:rPr>
          <w:rFonts w:eastAsia="Calibri"/>
          <w:sz w:val="26"/>
          <w:szCs w:val="26"/>
        </w:rPr>
      </w:pPr>
      <w:r w:rsidRPr="00F969B0">
        <w:rPr>
          <w:rFonts w:eastAsia="Calibri"/>
          <w:sz w:val="26"/>
          <w:szCs w:val="26"/>
        </w:rPr>
        <w:t>document the changes made to the program and system</w:t>
      </w:r>
    </w:p>
    <w:p w:rsidR="00C74A22" w:rsidRPr="00F969B0" w:rsidRDefault="00C74A22" w:rsidP="00C74A22">
      <w:pPr>
        <w:widowControl/>
        <w:numPr>
          <w:ilvl w:val="0"/>
          <w:numId w:val="17"/>
        </w:numPr>
        <w:autoSpaceDE/>
        <w:autoSpaceDN/>
        <w:adjustRightInd/>
        <w:spacing w:after="200" w:line="276" w:lineRule="auto"/>
        <w:contextualSpacing/>
        <w:rPr>
          <w:rFonts w:eastAsia="Calibri"/>
          <w:sz w:val="26"/>
          <w:szCs w:val="26"/>
        </w:rPr>
      </w:pPr>
      <w:r w:rsidRPr="00F969B0">
        <w:rPr>
          <w:rFonts w:eastAsia="Calibri"/>
          <w:sz w:val="26"/>
          <w:szCs w:val="26"/>
        </w:rPr>
        <w:t>post revised program, screens, etc. to web</w:t>
      </w:r>
    </w:p>
    <w:p w:rsidR="00C74A22" w:rsidRPr="00F969B0" w:rsidRDefault="00C74A22" w:rsidP="00C74A22">
      <w:pPr>
        <w:widowControl/>
        <w:autoSpaceDE/>
        <w:autoSpaceDN/>
        <w:adjustRightInd/>
        <w:rPr>
          <w:rFonts w:eastAsia="Calibri"/>
          <w:sz w:val="26"/>
          <w:szCs w:val="26"/>
        </w:rPr>
      </w:pPr>
    </w:p>
    <w:p w:rsidR="00C74A22" w:rsidRPr="00F969B0" w:rsidRDefault="00C74A22" w:rsidP="00F969B0">
      <w:pPr>
        <w:widowControl/>
        <w:autoSpaceDE/>
        <w:autoSpaceDN/>
        <w:adjustRightInd/>
        <w:ind w:firstLine="360"/>
        <w:rPr>
          <w:rFonts w:eastAsia="Calibri"/>
          <w:sz w:val="26"/>
          <w:szCs w:val="26"/>
        </w:rPr>
      </w:pPr>
      <w:r w:rsidRPr="00F969B0">
        <w:rPr>
          <w:rFonts w:eastAsia="Calibri"/>
          <w:sz w:val="26"/>
          <w:szCs w:val="26"/>
        </w:rPr>
        <w:t>To change or add an OMB expiration date on the public input screen, ballpark estim</w:t>
      </w:r>
      <w:r w:rsidR="001C6BCB" w:rsidRPr="001C6BCB">
        <w:rPr>
          <w:rFonts w:eastAsia="Calibri"/>
          <w:sz w:val="26"/>
          <w:szCs w:val="26"/>
        </w:rPr>
        <w:t xml:space="preserve">ates of the associated </w:t>
      </w:r>
      <w:r w:rsidRPr="00F969B0">
        <w:rPr>
          <w:rFonts w:eastAsia="Calibri"/>
          <w:sz w:val="26"/>
          <w:szCs w:val="26"/>
        </w:rPr>
        <w:t>cost</w:t>
      </w:r>
      <w:bookmarkStart w:id="5" w:name="_Ref362249268"/>
      <w:r w:rsidRPr="00F969B0">
        <w:rPr>
          <w:rFonts w:eastAsia="Calibri"/>
          <w:sz w:val="26"/>
          <w:szCs w:val="26"/>
          <w:vertAlign w:val="superscript"/>
        </w:rPr>
        <w:footnoteReference w:id="14"/>
      </w:r>
      <w:bookmarkEnd w:id="5"/>
      <w:r w:rsidRPr="00F969B0">
        <w:rPr>
          <w:rFonts w:eastAsia="Calibri"/>
          <w:sz w:val="26"/>
          <w:szCs w:val="26"/>
        </w:rPr>
        <w:t xml:space="preserve"> follow:</w:t>
      </w:r>
    </w:p>
    <w:p w:rsidR="00C74A22" w:rsidRPr="00F969B0" w:rsidRDefault="00C74A22" w:rsidP="00C74A22">
      <w:pPr>
        <w:widowControl/>
        <w:autoSpaceDE/>
        <w:autoSpaceDN/>
        <w:adjustRightInd/>
        <w:rPr>
          <w:rFonts w:eastAsia="Calibri"/>
          <w:sz w:val="26"/>
          <w:szCs w:val="26"/>
        </w:rPr>
      </w:pPr>
    </w:p>
    <w:p w:rsidR="001C6BCB" w:rsidRDefault="00C74A22" w:rsidP="00F969B0">
      <w:pPr>
        <w:widowControl/>
        <w:numPr>
          <w:ilvl w:val="0"/>
          <w:numId w:val="18"/>
        </w:numPr>
        <w:autoSpaceDE/>
        <w:autoSpaceDN/>
        <w:adjustRightInd/>
        <w:spacing w:after="200" w:line="276" w:lineRule="auto"/>
        <w:contextualSpacing/>
        <w:rPr>
          <w:rFonts w:eastAsia="Calibri"/>
          <w:sz w:val="26"/>
          <w:szCs w:val="26"/>
        </w:rPr>
      </w:pPr>
      <w:r w:rsidRPr="00F969B0">
        <w:rPr>
          <w:rFonts w:eastAsia="Calibri"/>
          <w:sz w:val="26"/>
          <w:szCs w:val="26"/>
        </w:rPr>
        <w:t>for the first system</w:t>
      </w:r>
      <w:r w:rsidR="001C6BCB" w:rsidRPr="001C6BCB">
        <w:rPr>
          <w:rFonts w:eastAsia="Calibri"/>
          <w:sz w:val="26"/>
          <w:szCs w:val="26"/>
        </w:rPr>
        <w:t xml:space="preserve">, </w:t>
      </w:r>
      <w:r w:rsidRPr="00F969B0">
        <w:rPr>
          <w:rFonts w:eastAsia="Calibri"/>
          <w:sz w:val="26"/>
          <w:szCs w:val="26"/>
        </w:rPr>
        <w:t>a total estimated cost of $2,140</w:t>
      </w:r>
      <w:r w:rsidR="001C6BCB" w:rsidRPr="001C6BCB">
        <w:rPr>
          <w:rFonts w:eastAsia="Calibri"/>
          <w:sz w:val="26"/>
          <w:szCs w:val="26"/>
        </w:rPr>
        <w:t xml:space="preserve"> (including federal and contractor costs)</w:t>
      </w:r>
    </w:p>
    <w:p w:rsidR="00C74A22" w:rsidRPr="00F969B0" w:rsidRDefault="00C74A22" w:rsidP="00F969B0">
      <w:pPr>
        <w:widowControl/>
        <w:numPr>
          <w:ilvl w:val="0"/>
          <w:numId w:val="18"/>
        </w:numPr>
        <w:autoSpaceDE/>
        <w:autoSpaceDN/>
        <w:adjustRightInd/>
        <w:spacing w:after="200" w:line="276" w:lineRule="auto"/>
        <w:contextualSpacing/>
        <w:rPr>
          <w:rFonts w:eastAsia="Calibri"/>
          <w:sz w:val="26"/>
          <w:szCs w:val="26"/>
        </w:rPr>
      </w:pPr>
      <w:proofErr w:type="gramStart"/>
      <w:r w:rsidRPr="00F969B0">
        <w:rPr>
          <w:rFonts w:eastAsia="Calibri"/>
          <w:sz w:val="26"/>
          <w:szCs w:val="26"/>
        </w:rPr>
        <w:t>for</w:t>
      </w:r>
      <w:proofErr w:type="gramEnd"/>
      <w:r w:rsidRPr="00F969B0">
        <w:rPr>
          <w:rFonts w:eastAsia="Calibri"/>
          <w:sz w:val="26"/>
          <w:szCs w:val="26"/>
        </w:rPr>
        <w:t xml:space="preserve"> other systems needing that same change</w:t>
      </w:r>
      <w:r w:rsidR="001C6BCB" w:rsidRPr="001C6BCB">
        <w:rPr>
          <w:rFonts w:eastAsia="Calibri"/>
          <w:sz w:val="26"/>
          <w:szCs w:val="26"/>
        </w:rPr>
        <w:t>,</w:t>
      </w:r>
      <w:r w:rsidRPr="00F969B0">
        <w:rPr>
          <w:rFonts w:eastAsia="Calibri"/>
          <w:sz w:val="26"/>
          <w:szCs w:val="26"/>
        </w:rPr>
        <w:t xml:space="preserve"> a total estimated cost of $1,070</w:t>
      </w:r>
      <w:r w:rsidR="001C6BCB" w:rsidRPr="001C6BCB">
        <w:rPr>
          <w:rFonts w:eastAsia="Calibri"/>
          <w:sz w:val="26"/>
          <w:szCs w:val="26"/>
        </w:rPr>
        <w:t xml:space="preserve"> (including federal and contractor costs).</w:t>
      </w:r>
    </w:p>
    <w:p w:rsidR="00C74A22" w:rsidRPr="00F969B0" w:rsidRDefault="00C74A22" w:rsidP="00C74A22">
      <w:pPr>
        <w:widowControl/>
        <w:autoSpaceDE/>
        <w:autoSpaceDN/>
        <w:adjustRightInd/>
        <w:rPr>
          <w:rFonts w:eastAsia="Calibri"/>
          <w:sz w:val="26"/>
          <w:szCs w:val="26"/>
        </w:rPr>
      </w:pPr>
    </w:p>
    <w:p w:rsidR="00C74A22" w:rsidRPr="00F969B0" w:rsidRDefault="00C74A22" w:rsidP="00C74A22">
      <w:pPr>
        <w:widowControl/>
        <w:autoSpaceDE/>
        <w:autoSpaceDN/>
        <w:adjustRightInd/>
        <w:rPr>
          <w:rFonts w:eastAsia="Calibri"/>
          <w:sz w:val="26"/>
          <w:szCs w:val="26"/>
        </w:rPr>
      </w:pPr>
      <w:r w:rsidRPr="00F969B0">
        <w:rPr>
          <w:rFonts w:eastAsia="Calibri"/>
          <w:sz w:val="26"/>
          <w:szCs w:val="26"/>
        </w:rPr>
        <w:t xml:space="preserve">That cost would be incurred each time an OMB expiration date </w:t>
      </w:r>
      <w:r w:rsidR="001C6BCB">
        <w:rPr>
          <w:rFonts w:eastAsia="Calibri"/>
          <w:sz w:val="26"/>
          <w:szCs w:val="26"/>
        </w:rPr>
        <w:t xml:space="preserve">for the information collection </w:t>
      </w:r>
      <w:r w:rsidRPr="00F969B0">
        <w:rPr>
          <w:rFonts w:eastAsia="Calibri"/>
          <w:sz w:val="26"/>
          <w:szCs w:val="26"/>
        </w:rPr>
        <w:t xml:space="preserve">needs to be updated, regardless of whether the changes affect the CID component of the information collection.  </w:t>
      </w:r>
    </w:p>
    <w:p w:rsidR="00C74A22" w:rsidRPr="00F969B0" w:rsidRDefault="00C74A22" w:rsidP="00C74A22">
      <w:pPr>
        <w:widowControl/>
        <w:autoSpaceDE/>
        <w:autoSpaceDN/>
        <w:adjustRightInd/>
        <w:rPr>
          <w:rFonts w:eastAsia="Calibri"/>
          <w:sz w:val="26"/>
          <w:szCs w:val="26"/>
        </w:rPr>
      </w:pPr>
    </w:p>
    <w:p w:rsidR="00C74A22" w:rsidRPr="00F969B0" w:rsidRDefault="00C74A22" w:rsidP="00C74A22">
      <w:pPr>
        <w:widowControl/>
        <w:autoSpaceDE/>
        <w:autoSpaceDN/>
        <w:adjustRightInd/>
        <w:rPr>
          <w:rFonts w:eastAsia="Calibri"/>
          <w:sz w:val="26"/>
          <w:szCs w:val="26"/>
        </w:rPr>
      </w:pPr>
      <w:r w:rsidRPr="00F969B0">
        <w:rPr>
          <w:rFonts w:eastAsia="Calibri"/>
          <w:b/>
          <w:sz w:val="26"/>
          <w:szCs w:val="26"/>
        </w:rPr>
        <w:t xml:space="preserve">Making changes to the Instruction Manual.  </w:t>
      </w:r>
      <w:r w:rsidRPr="00F969B0">
        <w:rPr>
          <w:rFonts w:eastAsia="Calibri"/>
          <w:sz w:val="26"/>
          <w:szCs w:val="26"/>
        </w:rPr>
        <w:t xml:space="preserve">In contrast, it is estimated to take </w:t>
      </w:r>
      <w:r w:rsidR="0011355E">
        <w:rPr>
          <w:rFonts w:eastAsia="Calibri"/>
          <w:sz w:val="26"/>
          <w:szCs w:val="26"/>
        </w:rPr>
        <w:t xml:space="preserve">a total of </w:t>
      </w:r>
      <w:r w:rsidRPr="00F969B0">
        <w:rPr>
          <w:rFonts w:eastAsia="Calibri"/>
          <w:sz w:val="26"/>
          <w:szCs w:val="26"/>
        </w:rPr>
        <w:t>1-2 hours of federal and contractor effort (an estimated total cost of $170)</w:t>
      </w:r>
      <w:r w:rsidR="001C6BCB" w:rsidRPr="00F969B0">
        <w:rPr>
          <w:rFonts w:eastAsia="Calibri"/>
          <w:sz w:val="26"/>
          <w:szCs w:val="26"/>
          <w:vertAlign w:val="superscript"/>
        </w:rPr>
        <w:fldChar w:fldCharType="begin"/>
      </w:r>
      <w:r w:rsidR="001C6BCB" w:rsidRPr="00F969B0">
        <w:rPr>
          <w:rFonts w:eastAsia="Calibri"/>
          <w:sz w:val="26"/>
          <w:szCs w:val="26"/>
          <w:vertAlign w:val="superscript"/>
        </w:rPr>
        <w:instrText xml:space="preserve"> NOTEREF _Ref362249268 \h </w:instrText>
      </w:r>
      <w:r w:rsidR="001C6BCB">
        <w:rPr>
          <w:rFonts w:eastAsia="Calibri"/>
          <w:sz w:val="26"/>
          <w:szCs w:val="26"/>
          <w:vertAlign w:val="superscript"/>
        </w:rPr>
        <w:instrText xml:space="preserve"> \* MERGEFORMAT </w:instrText>
      </w:r>
      <w:r w:rsidR="001C6BCB" w:rsidRPr="00F969B0">
        <w:rPr>
          <w:rFonts w:eastAsia="Calibri"/>
          <w:sz w:val="26"/>
          <w:szCs w:val="26"/>
          <w:vertAlign w:val="superscript"/>
        </w:rPr>
      </w:r>
      <w:r w:rsidR="001C6BCB" w:rsidRPr="00F969B0">
        <w:rPr>
          <w:rFonts w:eastAsia="Calibri"/>
          <w:sz w:val="26"/>
          <w:szCs w:val="26"/>
          <w:vertAlign w:val="superscript"/>
        </w:rPr>
        <w:fldChar w:fldCharType="separate"/>
      </w:r>
      <w:r w:rsidR="001C6BCB" w:rsidRPr="00F969B0">
        <w:rPr>
          <w:rFonts w:eastAsia="Calibri"/>
          <w:sz w:val="26"/>
          <w:szCs w:val="26"/>
          <w:vertAlign w:val="superscript"/>
        </w:rPr>
        <w:t>14</w:t>
      </w:r>
      <w:r w:rsidR="001C6BCB" w:rsidRPr="00F969B0">
        <w:rPr>
          <w:rFonts w:eastAsia="Calibri"/>
          <w:sz w:val="26"/>
          <w:szCs w:val="26"/>
          <w:vertAlign w:val="superscript"/>
        </w:rPr>
        <w:fldChar w:fldCharType="end"/>
      </w:r>
      <w:r w:rsidRPr="00F969B0">
        <w:rPr>
          <w:rFonts w:eastAsia="Calibri"/>
          <w:sz w:val="26"/>
          <w:szCs w:val="26"/>
        </w:rPr>
        <w:t xml:space="preserve"> to update the Instruction manual when an OMB expiration date changes.   </w:t>
      </w:r>
    </w:p>
    <w:p w:rsidR="00C74A22" w:rsidRPr="00F969B0" w:rsidRDefault="00C74A22" w:rsidP="00C74A22">
      <w:pPr>
        <w:widowControl/>
        <w:autoSpaceDE/>
        <w:autoSpaceDN/>
        <w:adjustRightInd/>
        <w:rPr>
          <w:rFonts w:eastAsia="Calibri"/>
          <w:sz w:val="26"/>
          <w:szCs w:val="26"/>
        </w:rPr>
      </w:pPr>
    </w:p>
    <w:p w:rsidR="00C74A22" w:rsidRPr="00F969B0" w:rsidRDefault="00C74A22" w:rsidP="00C74A22">
      <w:pPr>
        <w:widowControl/>
        <w:autoSpaceDE/>
        <w:autoSpaceDN/>
        <w:adjustRightInd/>
        <w:rPr>
          <w:rFonts w:eastAsia="Calibri"/>
          <w:sz w:val="26"/>
          <w:szCs w:val="26"/>
        </w:rPr>
      </w:pPr>
      <w:proofErr w:type="gramStart"/>
      <w:r w:rsidRPr="00F969B0">
        <w:rPr>
          <w:rFonts w:eastAsia="Calibri"/>
          <w:b/>
          <w:sz w:val="26"/>
          <w:szCs w:val="26"/>
        </w:rPr>
        <w:t>Summary.</w:t>
      </w:r>
      <w:proofErr w:type="gramEnd"/>
      <w:r w:rsidRPr="00F969B0">
        <w:rPr>
          <w:rFonts w:eastAsia="Calibri"/>
          <w:b/>
          <w:sz w:val="26"/>
          <w:szCs w:val="26"/>
        </w:rPr>
        <w:t xml:space="preserve">  </w:t>
      </w:r>
      <w:r w:rsidRPr="00F969B0">
        <w:rPr>
          <w:rFonts w:eastAsia="Calibri"/>
          <w:sz w:val="26"/>
          <w:szCs w:val="26"/>
        </w:rPr>
        <w:t xml:space="preserve">CID requirements are a very small component of </w:t>
      </w:r>
      <w:proofErr w:type="spellStart"/>
      <w:r w:rsidRPr="00F969B0">
        <w:rPr>
          <w:rFonts w:eastAsia="Calibri"/>
          <w:sz w:val="26"/>
          <w:szCs w:val="26"/>
        </w:rPr>
        <w:t>eTariff</w:t>
      </w:r>
      <w:proofErr w:type="spellEnd"/>
      <w:r w:rsidRPr="00F969B0">
        <w:rPr>
          <w:rFonts w:eastAsia="Calibri"/>
          <w:sz w:val="26"/>
          <w:szCs w:val="26"/>
        </w:rPr>
        <w:t xml:space="preserve"> and EQR information collections.  Other components of those collections (unrelated to and not affecting CID) may have multiple rulemakings during a year and corresponding changes to the OMB expiration date (rather than just a renewal and update of the OMB expiration date once every three years).  The effort and cost would need to be incurred each time components of those larger rulemakings change, triggering a change to the OMB expiration date, even if the change doesn’t affect CID.  </w:t>
      </w:r>
    </w:p>
    <w:p w:rsidR="00C74A22" w:rsidRPr="00F969B0" w:rsidRDefault="00C74A22" w:rsidP="00C74A22">
      <w:pPr>
        <w:widowControl/>
        <w:autoSpaceDE/>
        <w:autoSpaceDN/>
        <w:adjustRightInd/>
        <w:rPr>
          <w:rFonts w:eastAsia="Calibri"/>
          <w:sz w:val="26"/>
          <w:szCs w:val="26"/>
        </w:rPr>
      </w:pPr>
    </w:p>
    <w:p w:rsidR="00C74A22" w:rsidRPr="00F969B0" w:rsidRDefault="00C74A22" w:rsidP="00C74A22">
      <w:pPr>
        <w:widowControl/>
        <w:autoSpaceDE/>
        <w:autoSpaceDN/>
        <w:adjustRightInd/>
        <w:rPr>
          <w:rFonts w:eastAsia="Calibri"/>
          <w:sz w:val="26"/>
          <w:szCs w:val="26"/>
        </w:rPr>
      </w:pPr>
      <w:r w:rsidRPr="00F969B0">
        <w:rPr>
          <w:rFonts w:eastAsia="Calibri"/>
          <w:sz w:val="26"/>
          <w:szCs w:val="26"/>
        </w:rPr>
        <w:t>In addition, the approach of updating the change (e.g., OMB expiration date) on the public input screen is at least 12 times the cost and takes much longer than the approach of updating the Instruction Manual.</w:t>
      </w:r>
    </w:p>
    <w:p w:rsidR="00C74A22" w:rsidRPr="00F969B0" w:rsidRDefault="00C74A22" w:rsidP="00C74A22">
      <w:pPr>
        <w:widowControl/>
        <w:autoSpaceDE/>
        <w:autoSpaceDN/>
        <w:adjustRightInd/>
        <w:rPr>
          <w:rFonts w:eastAsia="Calibri"/>
          <w:sz w:val="26"/>
          <w:szCs w:val="26"/>
        </w:rPr>
      </w:pPr>
    </w:p>
    <w:p w:rsidR="00C74A22" w:rsidRPr="00F969B0" w:rsidRDefault="00C74A22" w:rsidP="00C74A22">
      <w:pPr>
        <w:widowControl/>
        <w:autoSpaceDE/>
        <w:autoSpaceDN/>
        <w:adjustRightInd/>
        <w:rPr>
          <w:rFonts w:eastAsia="Calibri"/>
          <w:sz w:val="26"/>
          <w:szCs w:val="26"/>
        </w:rPr>
      </w:pPr>
      <w:r w:rsidRPr="00F969B0">
        <w:rPr>
          <w:rFonts w:eastAsia="Calibri"/>
          <w:sz w:val="26"/>
          <w:szCs w:val="26"/>
        </w:rPr>
        <w:t xml:space="preserve">Therefore to provide public information </w:t>
      </w:r>
      <w:r w:rsidR="0011355E" w:rsidRPr="00AA4503">
        <w:rPr>
          <w:rFonts w:eastAsia="Calibri"/>
          <w:sz w:val="26"/>
          <w:szCs w:val="26"/>
        </w:rPr>
        <w:t xml:space="preserve">more timely </w:t>
      </w:r>
      <w:r w:rsidR="0011355E">
        <w:rPr>
          <w:rFonts w:eastAsia="Calibri"/>
          <w:sz w:val="26"/>
          <w:szCs w:val="26"/>
        </w:rPr>
        <w:t xml:space="preserve">and </w:t>
      </w:r>
      <w:r w:rsidRPr="00F969B0">
        <w:rPr>
          <w:rFonts w:eastAsia="Calibri"/>
          <w:sz w:val="26"/>
          <w:szCs w:val="26"/>
        </w:rPr>
        <w:t xml:space="preserve">more efficiently, FERC is posting detailed information, which is required by the Paperwork Reduction Act and OMB’s implementing regulations at 5CFR1320 (e.g., the FERC information collection nos., OMB Control Nos., and OMB expiration dates), in the Instruction Manual for the CID process.  That manual </w:t>
      </w:r>
      <w:r w:rsidR="00D27378">
        <w:rPr>
          <w:rFonts w:eastAsia="Calibri"/>
          <w:sz w:val="26"/>
          <w:szCs w:val="26"/>
        </w:rPr>
        <w:t>will be</w:t>
      </w:r>
      <w:r w:rsidRPr="00F969B0">
        <w:rPr>
          <w:rFonts w:eastAsia="Calibri"/>
          <w:sz w:val="26"/>
          <w:szCs w:val="26"/>
        </w:rPr>
        <w:t xml:space="preserve"> posted on the ferc.gov site.  The manual will be updated as necessary</w:t>
      </w:r>
      <w:r w:rsidR="00D27378" w:rsidRPr="007841D9">
        <w:rPr>
          <w:rFonts w:eastAsia="Calibri"/>
          <w:sz w:val="26"/>
          <w:szCs w:val="26"/>
        </w:rPr>
        <w:t xml:space="preserve"> to reflect </w:t>
      </w:r>
      <w:r w:rsidRPr="00F969B0">
        <w:rPr>
          <w:rFonts w:eastAsia="Calibri"/>
          <w:sz w:val="26"/>
          <w:szCs w:val="26"/>
        </w:rPr>
        <w:t>OMB Control Nos. and OMB expiration dates.</w:t>
      </w:r>
    </w:p>
    <w:p w:rsidR="00C74A22" w:rsidRPr="00DA6CEC" w:rsidRDefault="00C74A22" w:rsidP="00496ED3">
      <w:pPr>
        <w:widowControl/>
        <w:rPr>
          <w:sz w:val="26"/>
          <w:szCs w:val="26"/>
        </w:rPr>
      </w:pPr>
    </w:p>
    <w:p w:rsidR="00CA3B99" w:rsidRPr="00DA6CEC" w:rsidRDefault="00CA3B99" w:rsidP="00541D01">
      <w:pPr>
        <w:widowControl/>
        <w:rPr>
          <w:sz w:val="26"/>
          <w:szCs w:val="26"/>
        </w:rPr>
      </w:pPr>
    </w:p>
    <w:p w:rsidR="00CA3B99" w:rsidRPr="00DA6CEC" w:rsidRDefault="00CA3B99" w:rsidP="00541D01">
      <w:pPr>
        <w:widowControl/>
        <w:numPr>
          <w:ilvl w:val="0"/>
          <w:numId w:val="13"/>
        </w:numPr>
        <w:tabs>
          <w:tab w:val="clear" w:pos="1080"/>
          <w:tab w:val="num" w:pos="720"/>
        </w:tabs>
        <w:ind w:left="720" w:hanging="720"/>
        <w:rPr>
          <w:b/>
          <w:sz w:val="26"/>
          <w:szCs w:val="26"/>
        </w:rPr>
      </w:pPr>
      <w:r w:rsidRPr="00DA6CEC">
        <w:rPr>
          <w:b/>
          <w:sz w:val="26"/>
          <w:szCs w:val="26"/>
        </w:rPr>
        <w:t xml:space="preserve"> EXCEPTIONS TO THE CERTIFICATION STATEMENT</w:t>
      </w:r>
    </w:p>
    <w:p w:rsidR="00CA3B99" w:rsidRPr="00DA6CEC" w:rsidRDefault="00CA3B99" w:rsidP="00541D01">
      <w:pPr>
        <w:widowControl/>
        <w:ind w:firstLine="720"/>
        <w:rPr>
          <w:sz w:val="26"/>
          <w:szCs w:val="26"/>
        </w:rPr>
      </w:pPr>
    </w:p>
    <w:p w:rsidR="00CA3B99" w:rsidRPr="00DA6CEC" w:rsidRDefault="00CA3B99" w:rsidP="00541D01">
      <w:pPr>
        <w:widowControl/>
        <w:rPr>
          <w:sz w:val="26"/>
          <w:szCs w:val="26"/>
        </w:rPr>
      </w:pPr>
      <w:proofErr w:type="gramStart"/>
      <w:r>
        <w:rPr>
          <w:b/>
          <w:sz w:val="26"/>
          <w:szCs w:val="26"/>
        </w:rPr>
        <w:t>FERC-545, FERC-549, and FERC-550.</w:t>
      </w:r>
      <w:proofErr w:type="gramEnd"/>
      <w:r>
        <w:rPr>
          <w:b/>
          <w:sz w:val="26"/>
          <w:szCs w:val="26"/>
        </w:rPr>
        <w:t xml:space="preserve">  </w:t>
      </w:r>
      <w:r w:rsidRPr="00DA6CEC">
        <w:rPr>
          <w:sz w:val="26"/>
          <w:szCs w:val="26"/>
        </w:rPr>
        <w:t>Th</w:t>
      </w:r>
      <w:r>
        <w:rPr>
          <w:sz w:val="26"/>
          <w:szCs w:val="26"/>
        </w:rPr>
        <w:t>ese</w:t>
      </w:r>
      <w:r w:rsidRPr="00DA6CEC">
        <w:rPr>
          <w:sz w:val="26"/>
          <w:szCs w:val="26"/>
        </w:rPr>
        <w:t xml:space="preserve"> information collection</w:t>
      </w:r>
      <w:r>
        <w:rPr>
          <w:sz w:val="26"/>
          <w:szCs w:val="26"/>
        </w:rPr>
        <w:t>s do</w:t>
      </w:r>
      <w:r w:rsidRPr="00DA6CEC">
        <w:rPr>
          <w:sz w:val="26"/>
          <w:szCs w:val="26"/>
        </w:rPr>
        <w:t xml:space="preserve"> not employ statistical met</w:t>
      </w:r>
      <w:r>
        <w:rPr>
          <w:sz w:val="26"/>
          <w:szCs w:val="26"/>
        </w:rPr>
        <w:t>hods.</w:t>
      </w:r>
    </w:p>
    <w:p w:rsidR="00CA3B99" w:rsidRPr="00231159" w:rsidRDefault="00CA3B99">
      <w:pPr>
        <w:rPr>
          <w:sz w:val="26"/>
          <w:szCs w:val="26"/>
        </w:rPr>
      </w:pPr>
    </w:p>
    <w:sectPr w:rsidR="00CA3B99" w:rsidRPr="00231159" w:rsidSect="00763EDA">
      <w:head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720" w:rsidRDefault="00686720" w:rsidP="00A3065F">
      <w:r>
        <w:separator/>
      </w:r>
    </w:p>
  </w:endnote>
  <w:endnote w:type="continuationSeparator" w:id="0">
    <w:p w:rsidR="00686720" w:rsidRDefault="00686720" w:rsidP="00A3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720" w:rsidRDefault="00686720" w:rsidP="00A3065F">
      <w:r>
        <w:separator/>
      </w:r>
    </w:p>
  </w:footnote>
  <w:footnote w:type="continuationSeparator" w:id="0">
    <w:p w:rsidR="00686720" w:rsidRDefault="00686720" w:rsidP="00A3065F">
      <w:r>
        <w:continuationSeparator/>
      </w:r>
    </w:p>
  </w:footnote>
  <w:footnote w:id="1">
    <w:p w:rsidR="00686720" w:rsidRPr="00CD2A0C" w:rsidRDefault="00686720" w:rsidP="0096442B">
      <w:pPr>
        <w:pStyle w:val="FootnoteText"/>
        <w:rPr>
          <w:sz w:val="22"/>
          <w:szCs w:val="22"/>
        </w:rPr>
      </w:pPr>
      <w:r>
        <w:rPr>
          <w:rStyle w:val="FootnoteReference"/>
        </w:rPr>
        <w:footnoteRef/>
      </w:r>
      <w:r>
        <w:t xml:space="preserve"> </w:t>
      </w:r>
      <w:r w:rsidRPr="00CD2A0C">
        <w:rPr>
          <w:sz w:val="22"/>
          <w:szCs w:val="22"/>
        </w:rPr>
        <w:t>The Commission issued a</w:t>
      </w:r>
      <w:r>
        <w:rPr>
          <w:sz w:val="22"/>
          <w:szCs w:val="22"/>
        </w:rPr>
        <w:t>n</w:t>
      </w:r>
      <w:r w:rsidRPr="00CD2A0C">
        <w:rPr>
          <w:sz w:val="22"/>
          <w:szCs w:val="22"/>
        </w:rPr>
        <w:t xml:space="preserve"> order on </w:t>
      </w:r>
      <w:r>
        <w:rPr>
          <w:sz w:val="22"/>
          <w:szCs w:val="22"/>
        </w:rPr>
        <w:t>2/7/</w:t>
      </w:r>
      <w:r w:rsidRPr="00CD2A0C">
        <w:rPr>
          <w:sz w:val="22"/>
          <w:szCs w:val="22"/>
        </w:rPr>
        <w:t xml:space="preserve">2013, on “Revisions to Company Registration and Establishing Technical Conference,” available at </w:t>
      </w:r>
      <w:hyperlink r:id="rId1" w:history="1">
        <w:r w:rsidRPr="00CD2A0C">
          <w:rPr>
            <w:color w:val="0000FF"/>
            <w:sz w:val="22"/>
            <w:szCs w:val="22"/>
            <w:u w:val="single"/>
          </w:rPr>
          <w:t>http://elibrary.ferc.gov/idmws/common/opennat.asp?fileID=13174100</w:t>
        </w:r>
      </w:hyperlink>
      <w:r w:rsidRPr="00CD2A0C">
        <w:rPr>
          <w:sz w:val="22"/>
          <w:szCs w:val="22"/>
        </w:rPr>
        <w:t xml:space="preserve">, with </w:t>
      </w:r>
      <w:r>
        <w:rPr>
          <w:sz w:val="22"/>
          <w:szCs w:val="22"/>
        </w:rPr>
        <w:t>information</w:t>
      </w:r>
      <w:r w:rsidRPr="00CD2A0C">
        <w:rPr>
          <w:sz w:val="22"/>
          <w:szCs w:val="22"/>
        </w:rPr>
        <w:t xml:space="preserve"> on the requirements.  On </w:t>
      </w:r>
      <w:r>
        <w:rPr>
          <w:sz w:val="22"/>
          <w:szCs w:val="22"/>
        </w:rPr>
        <w:t>3/8/</w:t>
      </w:r>
      <w:r w:rsidRPr="00CD2A0C">
        <w:rPr>
          <w:sz w:val="22"/>
          <w:szCs w:val="22"/>
        </w:rPr>
        <w:t xml:space="preserve">2013, the Commission issued a Notice of Technical Conference </w:t>
      </w:r>
      <w:r>
        <w:rPr>
          <w:sz w:val="22"/>
          <w:szCs w:val="22"/>
        </w:rPr>
        <w:t>(</w:t>
      </w:r>
      <w:r w:rsidRPr="00CD2A0C">
        <w:rPr>
          <w:sz w:val="22"/>
          <w:szCs w:val="22"/>
        </w:rPr>
        <w:t xml:space="preserve">at </w:t>
      </w:r>
      <w:hyperlink r:id="rId2" w:history="1">
        <w:r w:rsidRPr="00CD2A0C">
          <w:rPr>
            <w:color w:val="0000FF"/>
            <w:sz w:val="22"/>
            <w:szCs w:val="22"/>
            <w:u w:val="single"/>
          </w:rPr>
          <w:t>http://elibrary.ferc.gov/idmws/common/opennat.asp?fileID=13199806</w:t>
        </w:r>
      </w:hyperlink>
      <w:r w:rsidRPr="003A1465">
        <w:rPr>
          <w:sz w:val="22"/>
          <w:szCs w:val="22"/>
        </w:rPr>
        <w:t>), with a supplemental notice issued on 4/12/13</w:t>
      </w:r>
      <w:r w:rsidRPr="003A1465">
        <w:rPr>
          <w:color w:val="0000FF"/>
          <w:sz w:val="22"/>
          <w:szCs w:val="22"/>
        </w:rPr>
        <w:t xml:space="preserve"> </w:t>
      </w:r>
      <w:r w:rsidRPr="003A1465">
        <w:rPr>
          <w:sz w:val="22"/>
          <w:szCs w:val="22"/>
        </w:rPr>
        <w:t>(</w:t>
      </w:r>
      <w:proofErr w:type="gramStart"/>
      <w:r w:rsidRPr="003A1465">
        <w:rPr>
          <w:sz w:val="22"/>
          <w:szCs w:val="22"/>
        </w:rPr>
        <w:t xml:space="preserve">at  </w:t>
      </w:r>
      <w:proofErr w:type="gramEnd"/>
      <w:r>
        <w:fldChar w:fldCharType="begin"/>
      </w:r>
      <w:r>
        <w:instrText xml:space="preserve"> HYPERLINK "http://elibrary.ferc.gov/idmws/common/opennat.asp?fileID=13232905" </w:instrText>
      </w:r>
      <w:r>
        <w:fldChar w:fldCharType="separate"/>
      </w:r>
      <w:r w:rsidRPr="00AF6EDD">
        <w:rPr>
          <w:rStyle w:val="Hyperlink"/>
          <w:sz w:val="22"/>
          <w:szCs w:val="22"/>
        </w:rPr>
        <w:t>http://elibrary.ferc.gov/idmws/common/opennat.asp?fileID=13232905</w:t>
      </w:r>
      <w:r>
        <w:rPr>
          <w:rStyle w:val="Hyperlink"/>
          <w:sz w:val="22"/>
          <w:szCs w:val="22"/>
        </w:rPr>
        <w:fldChar w:fldCharType="end"/>
      </w:r>
      <w:r>
        <w:rPr>
          <w:sz w:val="22"/>
          <w:szCs w:val="22"/>
        </w:rPr>
        <w:t xml:space="preserve"> ).  The Tech. Conference was held on 4/16/2013.</w:t>
      </w:r>
    </w:p>
    <w:p w:rsidR="00686720" w:rsidRDefault="00686720" w:rsidP="0096442B">
      <w:pPr>
        <w:pStyle w:val="FootnoteText"/>
      </w:pPr>
      <w:r>
        <w:rPr>
          <w:sz w:val="22"/>
          <w:szCs w:val="22"/>
        </w:rPr>
        <w:t xml:space="preserve">A Notice of “Information Collection Activities and Request for Comments” (at </w:t>
      </w:r>
      <w:hyperlink r:id="rId3" w:history="1">
        <w:r w:rsidRPr="005976F5">
          <w:rPr>
            <w:rStyle w:val="Hyperlink"/>
            <w:sz w:val="22"/>
            <w:szCs w:val="22"/>
          </w:rPr>
          <w:t>http://elibrary.ferc.gov/idmws/common/opennat.asp?fileID=13174410</w:t>
        </w:r>
      </w:hyperlink>
      <w:r>
        <w:rPr>
          <w:sz w:val="22"/>
          <w:szCs w:val="22"/>
        </w:rPr>
        <w:t xml:space="preserve">; 78FR10614, 2/14/2013) was issued on 2/8/2013, requesting comments on issues related to the Paperwork Reduction Act.  Comments were due by 4/15/2013; no public comments were received.  A 30-day notice was issued on 4/25/13 (at </w:t>
      </w:r>
      <w:hyperlink r:id="rId4" w:history="1">
        <w:r w:rsidRPr="00AF6EDD">
          <w:rPr>
            <w:rStyle w:val="Hyperlink"/>
            <w:sz w:val="22"/>
            <w:szCs w:val="22"/>
          </w:rPr>
          <w:t>http://elibrary.ferc.gov/idmws/common/opennat.asp?fileID=13242489</w:t>
        </w:r>
      </w:hyperlink>
      <w:r>
        <w:rPr>
          <w:sz w:val="22"/>
          <w:szCs w:val="22"/>
        </w:rPr>
        <w:t xml:space="preserve"> ).</w:t>
      </w:r>
    </w:p>
  </w:footnote>
  <w:footnote w:id="2">
    <w:p w:rsidR="00686720" w:rsidRDefault="00686720" w:rsidP="00CD2A0C">
      <w:r w:rsidRPr="00CA411F">
        <w:rPr>
          <w:rStyle w:val="FootnoteReference"/>
          <w:sz w:val="20"/>
          <w:szCs w:val="20"/>
        </w:rPr>
        <w:footnoteRef/>
      </w:r>
      <w:r w:rsidRPr="00662292">
        <w:t xml:space="preserve"> </w:t>
      </w:r>
      <w:r w:rsidRPr="00CD2A0C">
        <w:rPr>
          <w:sz w:val="22"/>
          <w:szCs w:val="22"/>
        </w:rPr>
        <w:t>FERC-920 (OMB No. 1902-</w:t>
      </w:r>
      <w:r w:rsidRPr="007B3C95">
        <w:rPr>
          <w:sz w:val="22"/>
          <w:szCs w:val="22"/>
        </w:rPr>
        <w:t>0255) was modified in Order 770 in Docket RM12-3 (EQR System Refresh, Electric Quarterly Report (EQR</w:t>
      </w:r>
      <w:r w:rsidRPr="006035D4">
        <w:rPr>
          <w:sz w:val="22"/>
          <w:szCs w:val="22"/>
        </w:rPr>
        <w:t xml:space="preserve">)).  </w:t>
      </w:r>
      <w:r w:rsidRPr="006035D4">
        <w:rPr>
          <w:sz w:val="22"/>
          <w:szCs w:val="22"/>
        </w:rPr>
        <w:t xml:space="preserve">The corresponding ICR #201302-1902-003 was </w:t>
      </w:r>
      <w:bookmarkStart w:id="2" w:name="_GoBack"/>
      <w:bookmarkEnd w:id="2"/>
      <w:r w:rsidR="003B1D79">
        <w:rPr>
          <w:sz w:val="22"/>
          <w:szCs w:val="22"/>
        </w:rPr>
        <w:t>approved by OMB on 5/14/2013</w:t>
      </w:r>
      <w:r w:rsidR="00546516">
        <w:rPr>
          <w:sz w:val="22"/>
          <w:szCs w:val="22"/>
        </w:rPr>
        <w:t>.</w:t>
      </w:r>
    </w:p>
  </w:footnote>
  <w:footnote w:id="3">
    <w:p w:rsidR="00686720" w:rsidRPr="00AC0CB9" w:rsidRDefault="00686720">
      <w:pPr>
        <w:pStyle w:val="FootnoteText"/>
        <w:rPr>
          <w:sz w:val="22"/>
          <w:szCs w:val="22"/>
        </w:rPr>
      </w:pPr>
      <w:r w:rsidRPr="00AC0CB9">
        <w:rPr>
          <w:rStyle w:val="FootnoteReference"/>
          <w:sz w:val="22"/>
          <w:szCs w:val="22"/>
        </w:rPr>
        <w:footnoteRef/>
      </w:r>
      <w:r w:rsidRPr="00AC0CB9">
        <w:rPr>
          <w:sz w:val="22"/>
          <w:szCs w:val="22"/>
        </w:rPr>
        <w:t xml:space="preserve"> A general description of the procedures can be found in the Commission’s order titled “Revisions </w:t>
      </w:r>
      <w:proofErr w:type="gramStart"/>
      <w:r w:rsidRPr="00AC0CB9">
        <w:rPr>
          <w:sz w:val="22"/>
          <w:szCs w:val="22"/>
        </w:rPr>
        <w:t>To</w:t>
      </w:r>
      <w:proofErr w:type="gramEnd"/>
      <w:r w:rsidRPr="00AC0CB9">
        <w:rPr>
          <w:sz w:val="22"/>
          <w:szCs w:val="22"/>
        </w:rPr>
        <w:t xml:space="preserve"> Company Registration and Establishing Technical Conference” issued 2/7/2013 in Docket Nos. RM07-16-000 and RM01-5-000, 142 FERC ¶ 61,097 (2013) (http://elibrary.ferc.gov/idmws/common/OpenNat.asp?fileID=13174100) and in Revisions to Electric Quarterly Report Filing Process, Order No. 770, 77 Fed. </w:t>
      </w:r>
      <w:proofErr w:type="gramStart"/>
      <w:r w:rsidRPr="00AC0CB9">
        <w:rPr>
          <w:sz w:val="22"/>
          <w:szCs w:val="22"/>
        </w:rPr>
        <w:t>Reg. 71,288 (Nov. 30, 2012), FERC Stats.</w:t>
      </w:r>
      <w:proofErr w:type="gramEnd"/>
      <w:r w:rsidRPr="00AC0CB9">
        <w:rPr>
          <w:sz w:val="22"/>
          <w:szCs w:val="22"/>
        </w:rPr>
        <w:t xml:space="preserve"> </w:t>
      </w:r>
      <w:proofErr w:type="gramStart"/>
      <w:r w:rsidRPr="00AC0CB9">
        <w:rPr>
          <w:sz w:val="22"/>
          <w:szCs w:val="22"/>
        </w:rPr>
        <w:t>&amp; Regs.</w:t>
      </w:r>
      <w:proofErr w:type="gramEnd"/>
      <w:r w:rsidRPr="00AC0CB9">
        <w:rPr>
          <w:sz w:val="22"/>
          <w:szCs w:val="22"/>
        </w:rPr>
        <w:t xml:space="preserve"> ¶ 31,338, at PP 30, and 33-36 (2012) (Docket No. </w:t>
      </w:r>
      <w:proofErr w:type="gramStart"/>
      <w:r w:rsidRPr="00AC0CB9">
        <w:rPr>
          <w:sz w:val="22"/>
          <w:szCs w:val="22"/>
        </w:rPr>
        <w:t>RM12-3-000) (OMB Control No. 1902-0255).</w:t>
      </w:r>
      <w:proofErr w:type="gramEnd"/>
      <w:r w:rsidRPr="00AC0CB9">
        <w:rPr>
          <w:sz w:val="22"/>
          <w:szCs w:val="22"/>
        </w:rPr>
        <w:t xml:space="preserve">   At the conference on April 16, 2013, Commission staff made a presentation on the proposed changes.  The Staff presentation and instructional video are available on the Commission’s website; the staff presentation is included in ROCIS under Supplemental Documents. See http://www.ferc.gov/EventCalendar/Files/20130412144329-CompanyRegistrationPresentation.pdf for the Staff presentation, and http://www.ferc.gov/docs-filing/etariff/company-reg/company-reg-04-16-13.htm for the instructional video.  </w:t>
      </w:r>
    </w:p>
  </w:footnote>
  <w:footnote w:id="4">
    <w:p w:rsidR="00686720" w:rsidRPr="00AC0CB9" w:rsidRDefault="00686720">
      <w:pPr>
        <w:pStyle w:val="FootnoteText"/>
        <w:rPr>
          <w:sz w:val="22"/>
          <w:szCs w:val="22"/>
        </w:rPr>
      </w:pPr>
      <w:r w:rsidRPr="00AC0CB9">
        <w:rPr>
          <w:rStyle w:val="FootnoteReference"/>
          <w:sz w:val="22"/>
          <w:szCs w:val="22"/>
        </w:rPr>
        <w:footnoteRef/>
      </w:r>
      <w:r w:rsidRPr="00AC0CB9">
        <w:rPr>
          <w:sz w:val="22"/>
          <w:szCs w:val="22"/>
        </w:rPr>
        <w:t xml:space="preserve"> A storage service provider may apply for market-based rates by filing appropriate supporting data when it files it for either (1) a certificate application (covered separately under FERC-546 and not affected by this clearance package), (2) as part of its request for NGPA section 311 rate authorization (FERC-549), or (3) in a request for declaratory order for authority to charge market-based rates (FERC-545).  </w:t>
      </w:r>
    </w:p>
  </w:footnote>
  <w:footnote w:id="5">
    <w:p w:rsidR="00686720" w:rsidRPr="00AC0CB9" w:rsidRDefault="00686720">
      <w:pPr>
        <w:pStyle w:val="FootnoteText"/>
        <w:rPr>
          <w:sz w:val="22"/>
          <w:szCs w:val="22"/>
        </w:rPr>
      </w:pPr>
      <w:r w:rsidRPr="00AC0CB9">
        <w:rPr>
          <w:rStyle w:val="FootnoteReference"/>
          <w:sz w:val="22"/>
          <w:szCs w:val="22"/>
        </w:rPr>
        <w:footnoteRef/>
      </w:r>
      <w:r w:rsidRPr="00AC0CB9">
        <w:rPr>
          <w:sz w:val="22"/>
          <w:szCs w:val="22"/>
        </w:rPr>
        <w:t xml:space="preserve"> http://elibrary.ferc.gov/idmws/common/opennat.asp?fileID=13174410; 78FR10614, 2/14/2013</w:t>
      </w:r>
    </w:p>
  </w:footnote>
  <w:footnote w:id="6">
    <w:p w:rsidR="00686720" w:rsidRDefault="00686720">
      <w:pPr>
        <w:pStyle w:val="FootnoteText"/>
      </w:pPr>
      <w:r w:rsidRPr="00AC0CB9">
        <w:rPr>
          <w:rStyle w:val="FootnoteReference"/>
          <w:sz w:val="22"/>
          <w:szCs w:val="22"/>
        </w:rPr>
        <w:footnoteRef/>
      </w:r>
      <w:r w:rsidRPr="00AC0CB9">
        <w:rPr>
          <w:sz w:val="22"/>
          <w:szCs w:val="22"/>
        </w:rPr>
        <w:t xml:space="preserve"> http://elibrary.ferc.gov/idmws/common/opennat.asp?fileID=13242489</w:t>
      </w:r>
    </w:p>
  </w:footnote>
  <w:footnote w:id="7">
    <w:p w:rsidR="00686720" w:rsidRPr="00AC0CB9" w:rsidRDefault="00686720">
      <w:pPr>
        <w:pStyle w:val="FootnoteText"/>
        <w:rPr>
          <w:sz w:val="22"/>
          <w:szCs w:val="22"/>
        </w:rPr>
      </w:pPr>
      <w:r w:rsidRPr="00AC0CB9">
        <w:rPr>
          <w:rStyle w:val="FootnoteReference"/>
          <w:sz w:val="22"/>
          <w:szCs w:val="22"/>
        </w:rPr>
        <w:footnoteRef/>
      </w:r>
      <w:r w:rsidRPr="00AC0CB9">
        <w:rPr>
          <w:sz w:val="22"/>
          <w:szCs w:val="22"/>
        </w:rPr>
        <w:t xml:space="preserve"> </w:t>
      </w:r>
      <w:proofErr w:type="gramStart"/>
      <w:r w:rsidRPr="00AC0CB9">
        <w:rPr>
          <w:sz w:val="22"/>
          <w:szCs w:val="22"/>
        </w:rPr>
        <w:t>As of April 5, 2013.</w:t>
      </w:r>
      <w:proofErr w:type="gramEnd"/>
    </w:p>
  </w:footnote>
  <w:footnote w:id="8">
    <w:p w:rsidR="00686720" w:rsidRDefault="00686720">
      <w:pPr>
        <w:pStyle w:val="FootnoteText"/>
      </w:pPr>
      <w:r w:rsidRPr="00AC0CB9">
        <w:rPr>
          <w:rStyle w:val="FootnoteReference"/>
          <w:sz w:val="22"/>
          <w:szCs w:val="22"/>
        </w:rPr>
        <w:footnoteRef/>
      </w:r>
      <w:r w:rsidRPr="00AC0CB9">
        <w:rPr>
          <w:sz w:val="22"/>
          <w:szCs w:val="22"/>
        </w:rPr>
        <w:t xml:space="preserve"> The Commission calculated the hourly average cost ($35.99/hour for salary plus benefits) using Bureau of Labor Statistics (BLS), Occupational Employment Statistics data for May 2011 (for NAICS 221100 - Electric Power Generation, Transmission and Distribution, at </w:t>
      </w:r>
      <w:hyperlink r:id="rId5" w:anchor="00-0000" w:history="1">
        <w:r w:rsidRPr="00AC0CB9">
          <w:rPr>
            <w:rStyle w:val="Hyperlink"/>
            <w:sz w:val="22"/>
            <w:szCs w:val="22"/>
          </w:rPr>
          <w:t>http://bls.gov/oes/current/naics4_221100.htm#00-0000</w:t>
        </w:r>
      </w:hyperlink>
      <w:r w:rsidRPr="00AC0CB9">
        <w:rPr>
          <w:sz w:val="22"/>
          <w:szCs w:val="22"/>
        </w:rPr>
        <w:t>) for the support staff.</w:t>
      </w:r>
      <w:r w:rsidRPr="002353A1">
        <w:rPr>
          <w:sz w:val="26"/>
          <w:szCs w:val="26"/>
        </w:rPr>
        <w:t xml:space="preserve"> </w:t>
      </w:r>
    </w:p>
  </w:footnote>
  <w:footnote w:id="9">
    <w:p w:rsidR="00686720" w:rsidRPr="00AC0CB9" w:rsidRDefault="00686720">
      <w:pPr>
        <w:pStyle w:val="FootnoteText"/>
        <w:rPr>
          <w:sz w:val="22"/>
          <w:szCs w:val="22"/>
        </w:rPr>
      </w:pPr>
      <w:r w:rsidRPr="00AC0CB9">
        <w:rPr>
          <w:rStyle w:val="FootnoteReference"/>
          <w:sz w:val="22"/>
          <w:szCs w:val="22"/>
        </w:rPr>
        <w:footnoteRef/>
      </w:r>
      <w:r w:rsidRPr="00AC0CB9">
        <w:rPr>
          <w:sz w:val="22"/>
          <w:szCs w:val="22"/>
        </w:rPr>
        <w:t xml:space="preserve"> FERC-545 includes items such as: Standard Rate Case Issues (e.g., Compliance, Cost of Service, </w:t>
      </w:r>
      <w:proofErr w:type="gramStart"/>
      <w:r w:rsidRPr="00AC0CB9">
        <w:rPr>
          <w:sz w:val="22"/>
          <w:szCs w:val="22"/>
        </w:rPr>
        <w:t>Settlement</w:t>
      </w:r>
      <w:proofErr w:type="gramEnd"/>
      <w:r w:rsidRPr="00AC0CB9">
        <w:rPr>
          <w:sz w:val="22"/>
          <w:szCs w:val="22"/>
        </w:rPr>
        <w:t xml:space="preserve">); Reports (e.g., Annual, Reconciliation); Negotiated Rates; Non-Conforming Agreements; and NAESB Business Practice Standards Version 2 Tariff Filing. </w:t>
      </w:r>
    </w:p>
  </w:footnote>
  <w:footnote w:id="10">
    <w:p w:rsidR="00686720" w:rsidRPr="00AC0CB9" w:rsidRDefault="00686720">
      <w:pPr>
        <w:pStyle w:val="FootnoteText"/>
        <w:rPr>
          <w:sz w:val="22"/>
          <w:szCs w:val="22"/>
        </w:rPr>
      </w:pPr>
      <w:r w:rsidRPr="00AC0CB9">
        <w:rPr>
          <w:rStyle w:val="FootnoteReference"/>
          <w:sz w:val="22"/>
          <w:szCs w:val="22"/>
        </w:rPr>
        <w:footnoteRef/>
      </w:r>
      <w:r w:rsidRPr="00AC0CB9">
        <w:rPr>
          <w:sz w:val="22"/>
          <w:szCs w:val="22"/>
        </w:rPr>
        <w:t xml:space="preserve"> FERC-549 includes Transportation by Interstate Pipelines (18 CFR 284.102(e)); Rates and Charges for Intrastate Pipelines (18 CFR 284.123(b), (e)); Code of Conduct (18 CFR 284.288 &amp; 284.403); and Market Based Rates (18 CFR 284.501-505)</w:t>
      </w:r>
    </w:p>
  </w:footnote>
  <w:footnote w:id="11">
    <w:p w:rsidR="00686720" w:rsidRPr="00AC0CB9" w:rsidRDefault="00686720" w:rsidP="00231159">
      <w:pPr>
        <w:pStyle w:val="FootnoteText"/>
        <w:rPr>
          <w:sz w:val="22"/>
          <w:szCs w:val="22"/>
        </w:rPr>
      </w:pPr>
      <w:r w:rsidRPr="00AC0CB9">
        <w:rPr>
          <w:rStyle w:val="FootnoteReference"/>
          <w:sz w:val="22"/>
          <w:szCs w:val="22"/>
        </w:rPr>
        <w:footnoteRef/>
      </w:r>
      <w:r w:rsidRPr="00AC0CB9">
        <w:rPr>
          <w:sz w:val="22"/>
          <w:szCs w:val="22"/>
        </w:rPr>
        <w:t xml:space="preserve"> Based on </w:t>
      </w:r>
      <w:proofErr w:type="gramStart"/>
      <w:r w:rsidRPr="00AC0CB9">
        <w:rPr>
          <w:sz w:val="22"/>
          <w:szCs w:val="22"/>
        </w:rPr>
        <w:t>2013  cost</w:t>
      </w:r>
      <w:proofErr w:type="gramEnd"/>
      <w:r w:rsidRPr="00AC0CB9">
        <w:rPr>
          <w:sz w:val="22"/>
          <w:szCs w:val="22"/>
        </w:rPr>
        <w:t xml:space="preserve"> per FTE of $145,818 for 1 year or 2,080 hours, rounded to $70/hour.</w:t>
      </w:r>
    </w:p>
  </w:footnote>
  <w:footnote w:id="12">
    <w:p w:rsidR="00686720" w:rsidRPr="00AC0CB9" w:rsidRDefault="00686720" w:rsidP="00231159">
      <w:pPr>
        <w:pStyle w:val="FootnoteText"/>
        <w:rPr>
          <w:sz w:val="22"/>
          <w:szCs w:val="22"/>
        </w:rPr>
      </w:pPr>
      <w:r w:rsidRPr="00AC0CB9">
        <w:rPr>
          <w:rStyle w:val="FootnoteReference"/>
          <w:sz w:val="22"/>
          <w:szCs w:val="22"/>
        </w:rPr>
        <w:footnoteRef/>
      </w:r>
      <w:r w:rsidRPr="00AC0CB9">
        <w:rPr>
          <w:sz w:val="22"/>
          <w:szCs w:val="22"/>
        </w:rPr>
        <w:t xml:space="preserve"> For the PRA Administration Cost</w:t>
      </w:r>
      <w:r w:rsidRPr="00AC0CB9" w:rsidDel="00B32011">
        <w:rPr>
          <w:sz w:val="22"/>
          <w:szCs w:val="22"/>
        </w:rPr>
        <w:t xml:space="preserve"> </w:t>
      </w:r>
      <w:r w:rsidRPr="00AC0CB9">
        <w:rPr>
          <w:sz w:val="22"/>
          <w:szCs w:val="22"/>
        </w:rPr>
        <w:t>the Commission bases this cost upon an average of 24 hours per clearance.</w:t>
      </w:r>
    </w:p>
  </w:footnote>
  <w:footnote w:id="13">
    <w:p w:rsidR="00686720" w:rsidRDefault="00686720">
      <w:pPr>
        <w:pStyle w:val="FootnoteText"/>
      </w:pPr>
      <w:r w:rsidRPr="00AC0CB9">
        <w:rPr>
          <w:rStyle w:val="FootnoteReference"/>
          <w:sz w:val="22"/>
          <w:szCs w:val="22"/>
        </w:rPr>
        <w:footnoteRef/>
      </w:r>
      <w:r w:rsidRPr="00AC0CB9">
        <w:rPr>
          <w:sz w:val="22"/>
          <w:szCs w:val="22"/>
        </w:rPr>
        <w:t xml:space="preserve"> We anticipate providing approximately 5 hrs. </w:t>
      </w:r>
      <w:proofErr w:type="gramStart"/>
      <w:r w:rsidRPr="00AC0CB9">
        <w:rPr>
          <w:sz w:val="22"/>
          <w:szCs w:val="22"/>
        </w:rPr>
        <w:t>per</w:t>
      </w:r>
      <w:proofErr w:type="gramEnd"/>
      <w:r w:rsidRPr="00AC0CB9">
        <w:rPr>
          <w:sz w:val="22"/>
          <w:szCs w:val="22"/>
        </w:rPr>
        <w:t xml:space="preserve"> day of support for the first three months of implementation (for a total of 325 hours) plus an ongoing effort of 25 hours per year.  (The ongoing effort for the last 9 months of Year 1 would be an additional 18.75 hours.).  The total in Year 1 would be 343.75 </w:t>
      </w:r>
      <w:proofErr w:type="gramStart"/>
      <w:r w:rsidRPr="00AC0CB9">
        <w:rPr>
          <w:sz w:val="22"/>
          <w:szCs w:val="22"/>
        </w:rPr>
        <w:t>hours  (</w:t>
      </w:r>
      <w:proofErr w:type="gramEnd"/>
      <w:r w:rsidRPr="00AC0CB9">
        <w:rPr>
          <w:sz w:val="22"/>
          <w:szCs w:val="22"/>
        </w:rPr>
        <w:t>$24,062, rounded), with a total of 25 hours ($1,752) in each subsequent year.  The average over Years 1-3 would be 131.25 hours and $9,187.50 per year.</w:t>
      </w:r>
    </w:p>
  </w:footnote>
  <w:footnote w:id="14">
    <w:p w:rsidR="00C74A22" w:rsidRPr="00F9653B" w:rsidRDefault="00C74A22" w:rsidP="00C74A22">
      <w:pPr>
        <w:pStyle w:val="FootnoteText"/>
        <w:rPr>
          <w:sz w:val="24"/>
          <w:szCs w:val="24"/>
        </w:rPr>
      </w:pPr>
      <w:r w:rsidRPr="00F9653B">
        <w:rPr>
          <w:rStyle w:val="FootnoteReference"/>
          <w:sz w:val="24"/>
          <w:szCs w:val="24"/>
        </w:rPr>
        <w:footnoteRef/>
      </w:r>
      <w:r w:rsidRPr="00F9653B">
        <w:rPr>
          <w:sz w:val="24"/>
          <w:szCs w:val="24"/>
        </w:rPr>
        <w:t xml:space="preserve"> Note that the </w:t>
      </w:r>
      <w:r>
        <w:rPr>
          <w:sz w:val="24"/>
          <w:szCs w:val="24"/>
        </w:rPr>
        <w:t xml:space="preserve">estimated </w:t>
      </w:r>
      <w:r w:rsidRPr="00F9653B">
        <w:rPr>
          <w:sz w:val="24"/>
          <w:szCs w:val="24"/>
        </w:rPr>
        <w:t>cost</w:t>
      </w:r>
      <w:r>
        <w:rPr>
          <w:sz w:val="24"/>
          <w:szCs w:val="24"/>
        </w:rPr>
        <w:t>s that are provided</w:t>
      </w:r>
      <w:r w:rsidRPr="00F9653B">
        <w:rPr>
          <w:sz w:val="24"/>
          <w:szCs w:val="24"/>
        </w:rPr>
        <w:t xml:space="preserve"> </w:t>
      </w:r>
      <w:r>
        <w:rPr>
          <w:sz w:val="24"/>
          <w:szCs w:val="24"/>
        </w:rPr>
        <w:t>are</w:t>
      </w:r>
      <w:r w:rsidRPr="00F9653B">
        <w:rPr>
          <w:sz w:val="24"/>
          <w:szCs w:val="24"/>
        </w:rPr>
        <w:t xml:space="preserve"> part of the existing FERC budget</w:t>
      </w:r>
      <w:r>
        <w:rPr>
          <w:sz w:val="24"/>
          <w:szCs w:val="24"/>
        </w:rPr>
        <w:t xml:space="preserve"> and resources</w:t>
      </w:r>
      <w:r w:rsidRPr="00F9653B">
        <w:rPr>
          <w:sz w:val="24"/>
          <w:szCs w:val="24"/>
        </w:rPr>
        <w:t xml:space="preserve"> </w:t>
      </w:r>
      <w:r>
        <w:rPr>
          <w:sz w:val="24"/>
          <w:szCs w:val="24"/>
        </w:rPr>
        <w:t>(</w:t>
      </w:r>
      <w:r w:rsidRPr="00F9653B">
        <w:rPr>
          <w:sz w:val="24"/>
          <w:szCs w:val="24"/>
        </w:rPr>
        <w:t>and are not additional resources that would be requested</w:t>
      </w:r>
      <w:r>
        <w:rPr>
          <w:sz w:val="24"/>
          <w:szCs w:val="24"/>
        </w:rPr>
        <w:t>)</w:t>
      </w:r>
      <w:r w:rsidRPr="00F9653B">
        <w:rPr>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720" w:rsidRDefault="00686720">
    <w:pPr>
      <w:pStyle w:val="Header"/>
    </w:pPr>
    <w:r>
      <w:t>FERC-545 (OMB No. 1902-0154), FERC-549 (1902-0086), FERC-550 (1902-0089)</w:t>
    </w:r>
  </w:p>
  <w:p w:rsidR="00686720" w:rsidRDefault="00686720">
    <w:pPr>
      <w:pStyle w:val="Header"/>
    </w:pPr>
    <w:r>
      <w:t>Dockets RM07-</w:t>
    </w:r>
    <w:r w:rsidRPr="006A51AB">
      <w:t>16 and RM01-5-000 (Order issued 2/7/2013)</w:t>
    </w:r>
  </w:p>
  <w:p w:rsidR="00686720" w:rsidRDefault="00974B84">
    <w:pPr>
      <w:pStyle w:val="Header"/>
    </w:pPr>
    <w:r>
      <w:t>(Updated 7/22/2013)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5558"/>
    <w:multiLevelType w:val="hybridMultilevel"/>
    <w:tmpl w:val="01B282E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ACC77E8"/>
    <w:multiLevelType w:val="hybridMultilevel"/>
    <w:tmpl w:val="9F1C93B0"/>
    <w:lvl w:ilvl="0" w:tplc="8FE84B46">
      <w:start w:val="2"/>
      <w:numFmt w:val="decimal"/>
      <w:lvlText w:val="%1."/>
      <w:lvlJc w:val="left"/>
      <w:pPr>
        <w:ind w:left="360"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2">
    <w:nsid w:val="0DC0412F"/>
    <w:multiLevelType w:val="hybridMultilevel"/>
    <w:tmpl w:val="CEAAD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00A24"/>
    <w:multiLevelType w:val="hybridMultilevel"/>
    <w:tmpl w:val="74289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2E00FE"/>
    <w:multiLevelType w:val="hybridMultilevel"/>
    <w:tmpl w:val="8B442898"/>
    <w:lvl w:ilvl="0" w:tplc="1C8C7F74">
      <w:start w:val="6"/>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7E677A6"/>
    <w:multiLevelType w:val="multilevel"/>
    <w:tmpl w:val="5F18A60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8D601BA"/>
    <w:multiLevelType w:val="hybridMultilevel"/>
    <w:tmpl w:val="6F6CE4EA"/>
    <w:lvl w:ilvl="0" w:tplc="F594DBE4">
      <w:start w:val="1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20BB4E83"/>
    <w:multiLevelType w:val="hybridMultilevel"/>
    <w:tmpl w:val="BFBAE6CA"/>
    <w:lvl w:ilvl="0" w:tplc="F4E6BEB6">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204DF4"/>
    <w:multiLevelType w:val="hybridMultilevel"/>
    <w:tmpl w:val="8794AC5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3471095E"/>
    <w:multiLevelType w:val="hybridMultilevel"/>
    <w:tmpl w:val="20D03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5956E2"/>
    <w:multiLevelType w:val="hybridMultilevel"/>
    <w:tmpl w:val="E09ECAD4"/>
    <w:lvl w:ilvl="0" w:tplc="0409000F">
      <w:start w:val="1"/>
      <w:numFmt w:val="decimal"/>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1">
    <w:nsid w:val="48F803E2"/>
    <w:multiLevelType w:val="hybridMultilevel"/>
    <w:tmpl w:val="0BE239CA"/>
    <w:lvl w:ilvl="0" w:tplc="D3700D42">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49D42070"/>
    <w:multiLevelType w:val="hybridMultilevel"/>
    <w:tmpl w:val="4010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D6583F"/>
    <w:multiLevelType w:val="hybridMultilevel"/>
    <w:tmpl w:val="6110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E7312B"/>
    <w:multiLevelType w:val="hybridMultilevel"/>
    <w:tmpl w:val="2C68D9A6"/>
    <w:lvl w:ilvl="0" w:tplc="042ECDC8">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5F405595"/>
    <w:multiLevelType w:val="hybridMultilevel"/>
    <w:tmpl w:val="E438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E52BE2"/>
    <w:multiLevelType w:val="hybridMultilevel"/>
    <w:tmpl w:val="84F64D8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7EEF6CCD"/>
    <w:multiLevelType w:val="hybridMultilevel"/>
    <w:tmpl w:val="7AF8DA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5"/>
  </w:num>
  <w:num w:numId="3">
    <w:abstractNumId w:val="12"/>
  </w:num>
  <w:num w:numId="4">
    <w:abstractNumId w:val="7"/>
  </w:num>
  <w:num w:numId="5">
    <w:abstractNumId w:val="17"/>
  </w:num>
  <w:num w:numId="6">
    <w:abstractNumId w:val="0"/>
  </w:num>
  <w:num w:numId="7">
    <w:abstractNumId w:val="16"/>
  </w:num>
  <w:num w:numId="8">
    <w:abstractNumId w:val="1"/>
  </w:num>
  <w:num w:numId="9">
    <w:abstractNumId w:val="14"/>
  </w:num>
  <w:num w:numId="10">
    <w:abstractNumId w:val="10"/>
  </w:num>
  <w:num w:numId="11">
    <w:abstractNumId w:val="4"/>
  </w:num>
  <w:num w:numId="12">
    <w:abstractNumId w:val="6"/>
  </w:num>
  <w:num w:numId="13">
    <w:abstractNumId w:val="11"/>
  </w:num>
  <w:num w:numId="14">
    <w:abstractNumId w:val="15"/>
  </w:num>
  <w:num w:numId="15">
    <w:abstractNumId w:val="3"/>
  </w:num>
  <w:num w:numId="16">
    <w:abstractNumId w:val="13"/>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65F"/>
    <w:rsid w:val="00000B06"/>
    <w:rsid w:val="00007AD7"/>
    <w:rsid w:val="00035823"/>
    <w:rsid w:val="00041522"/>
    <w:rsid w:val="00042050"/>
    <w:rsid w:val="000478BB"/>
    <w:rsid w:val="00051475"/>
    <w:rsid w:val="00073BF9"/>
    <w:rsid w:val="000B714E"/>
    <w:rsid w:val="000E0A76"/>
    <w:rsid w:val="0010590F"/>
    <w:rsid w:val="0011355E"/>
    <w:rsid w:val="001146C0"/>
    <w:rsid w:val="00134976"/>
    <w:rsid w:val="00151340"/>
    <w:rsid w:val="00181FB4"/>
    <w:rsid w:val="001837BB"/>
    <w:rsid w:val="001C1257"/>
    <w:rsid w:val="001C4F47"/>
    <w:rsid w:val="001C6BCB"/>
    <w:rsid w:val="001F112B"/>
    <w:rsid w:val="001F6CBF"/>
    <w:rsid w:val="00203C2B"/>
    <w:rsid w:val="00210F7B"/>
    <w:rsid w:val="0022416B"/>
    <w:rsid w:val="00226A35"/>
    <w:rsid w:val="00231159"/>
    <w:rsid w:val="002331D2"/>
    <w:rsid w:val="00234939"/>
    <w:rsid w:val="002353A1"/>
    <w:rsid w:val="002471A5"/>
    <w:rsid w:val="002846C9"/>
    <w:rsid w:val="0029066C"/>
    <w:rsid w:val="0029327F"/>
    <w:rsid w:val="00295007"/>
    <w:rsid w:val="002A1575"/>
    <w:rsid w:val="002B4453"/>
    <w:rsid w:val="002F6207"/>
    <w:rsid w:val="003327A4"/>
    <w:rsid w:val="0034344F"/>
    <w:rsid w:val="00353A87"/>
    <w:rsid w:val="003575E9"/>
    <w:rsid w:val="003960B0"/>
    <w:rsid w:val="003A1465"/>
    <w:rsid w:val="003A3B53"/>
    <w:rsid w:val="003A636B"/>
    <w:rsid w:val="003B1D79"/>
    <w:rsid w:val="003D4FFA"/>
    <w:rsid w:val="003D6D32"/>
    <w:rsid w:val="00414E21"/>
    <w:rsid w:val="0041662C"/>
    <w:rsid w:val="0042127D"/>
    <w:rsid w:val="00423736"/>
    <w:rsid w:val="004340AA"/>
    <w:rsid w:val="00435FEF"/>
    <w:rsid w:val="00460B6C"/>
    <w:rsid w:val="0046224D"/>
    <w:rsid w:val="00462D1B"/>
    <w:rsid w:val="004735BF"/>
    <w:rsid w:val="00482097"/>
    <w:rsid w:val="00490E01"/>
    <w:rsid w:val="00494B73"/>
    <w:rsid w:val="00496ED3"/>
    <w:rsid w:val="004C5F48"/>
    <w:rsid w:val="004C6A8D"/>
    <w:rsid w:val="004C7DF8"/>
    <w:rsid w:val="004D3635"/>
    <w:rsid w:val="004D6EFC"/>
    <w:rsid w:val="00507B6D"/>
    <w:rsid w:val="00510A94"/>
    <w:rsid w:val="005128B1"/>
    <w:rsid w:val="0053295A"/>
    <w:rsid w:val="00541D01"/>
    <w:rsid w:val="00544199"/>
    <w:rsid w:val="00546516"/>
    <w:rsid w:val="005518EB"/>
    <w:rsid w:val="00562427"/>
    <w:rsid w:val="0057353F"/>
    <w:rsid w:val="00576BF0"/>
    <w:rsid w:val="00582D01"/>
    <w:rsid w:val="00592524"/>
    <w:rsid w:val="005976F5"/>
    <w:rsid w:val="005A11F9"/>
    <w:rsid w:val="005B0DA6"/>
    <w:rsid w:val="005C023B"/>
    <w:rsid w:val="005C48FF"/>
    <w:rsid w:val="005D3223"/>
    <w:rsid w:val="005F34A7"/>
    <w:rsid w:val="006035D4"/>
    <w:rsid w:val="00604912"/>
    <w:rsid w:val="00612555"/>
    <w:rsid w:val="0061357D"/>
    <w:rsid w:val="00617C5A"/>
    <w:rsid w:val="00622F18"/>
    <w:rsid w:val="0063070B"/>
    <w:rsid w:val="00633998"/>
    <w:rsid w:val="00636AAB"/>
    <w:rsid w:val="00644F14"/>
    <w:rsid w:val="006471A0"/>
    <w:rsid w:val="00662292"/>
    <w:rsid w:val="0067702E"/>
    <w:rsid w:val="00686720"/>
    <w:rsid w:val="006A51AB"/>
    <w:rsid w:val="006C749F"/>
    <w:rsid w:val="006D6EEA"/>
    <w:rsid w:val="006D76F7"/>
    <w:rsid w:val="006E5463"/>
    <w:rsid w:val="006E6B36"/>
    <w:rsid w:val="007202AB"/>
    <w:rsid w:val="00725D6D"/>
    <w:rsid w:val="007350DD"/>
    <w:rsid w:val="00736B4D"/>
    <w:rsid w:val="00750AB1"/>
    <w:rsid w:val="007556AE"/>
    <w:rsid w:val="00763EDA"/>
    <w:rsid w:val="007717C2"/>
    <w:rsid w:val="00772F44"/>
    <w:rsid w:val="007841D9"/>
    <w:rsid w:val="00784BDA"/>
    <w:rsid w:val="00787361"/>
    <w:rsid w:val="00792A79"/>
    <w:rsid w:val="007B3C95"/>
    <w:rsid w:val="007B4357"/>
    <w:rsid w:val="007B6728"/>
    <w:rsid w:val="007D6309"/>
    <w:rsid w:val="007E393F"/>
    <w:rsid w:val="0081242C"/>
    <w:rsid w:val="00822150"/>
    <w:rsid w:val="008258CC"/>
    <w:rsid w:val="008327D4"/>
    <w:rsid w:val="00844D5B"/>
    <w:rsid w:val="00846FA5"/>
    <w:rsid w:val="00847625"/>
    <w:rsid w:val="008606EE"/>
    <w:rsid w:val="00874151"/>
    <w:rsid w:val="008A0CFE"/>
    <w:rsid w:val="008A56FE"/>
    <w:rsid w:val="008B2B78"/>
    <w:rsid w:val="008B44B7"/>
    <w:rsid w:val="008B5831"/>
    <w:rsid w:val="008C6A53"/>
    <w:rsid w:val="008F60F9"/>
    <w:rsid w:val="00901B01"/>
    <w:rsid w:val="00930896"/>
    <w:rsid w:val="00933179"/>
    <w:rsid w:val="00940B52"/>
    <w:rsid w:val="0096442B"/>
    <w:rsid w:val="00970939"/>
    <w:rsid w:val="00974B84"/>
    <w:rsid w:val="009834C2"/>
    <w:rsid w:val="009B7756"/>
    <w:rsid w:val="009C3D8F"/>
    <w:rsid w:val="009C75D6"/>
    <w:rsid w:val="009E1EA4"/>
    <w:rsid w:val="009E206A"/>
    <w:rsid w:val="009F522B"/>
    <w:rsid w:val="009F5E7F"/>
    <w:rsid w:val="00A0252A"/>
    <w:rsid w:val="00A03B9E"/>
    <w:rsid w:val="00A14408"/>
    <w:rsid w:val="00A231F3"/>
    <w:rsid w:val="00A25DEF"/>
    <w:rsid w:val="00A3065F"/>
    <w:rsid w:val="00A34E65"/>
    <w:rsid w:val="00A50725"/>
    <w:rsid w:val="00A54BF1"/>
    <w:rsid w:val="00AA0329"/>
    <w:rsid w:val="00AC0CB9"/>
    <w:rsid w:val="00AC64A6"/>
    <w:rsid w:val="00AC77C0"/>
    <w:rsid w:val="00AD59DF"/>
    <w:rsid w:val="00AF454D"/>
    <w:rsid w:val="00B04D6E"/>
    <w:rsid w:val="00B32011"/>
    <w:rsid w:val="00B35BD3"/>
    <w:rsid w:val="00B52642"/>
    <w:rsid w:val="00B7269C"/>
    <w:rsid w:val="00BA5BD0"/>
    <w:rsid w:val="00BD0BA9"/>
    <w:rsid w:val="00C11C42"/>
    <w:rsid w:val="00C13CF6"/>
    <w:rsid w:val="00C1495C"/>
    <w:rsid w:val="00C304F7"/>
    <w:rsid w:val="00C64138"/>
    <w:rsid w:val="00C66775"/>
    <w:rsid w:val="00C74A22"/>
    <w:rsid w:val="00C905F0"/>
    <w:rsid w:val="00CA3B99"/>
    <w:rsid w:val="00CA411F"/>
    <w:rsid w:val="00CB3BD9"/>
    <w:rsid w:val="00CC5DBC"/>
    <w:rsid w:val="00CD2A0C"/>
    <w:rsid w:val="00CD4249"/>
    <w:rsid w:val="00CD55E1"/>
    <w:rsid w:val="00CD5764"/>
    <w:rsid w:val="00CD6DB6"/>
    <w:rsid w:val="00CE1591"/>
    <w:rsid w:val="00CE4844"/>
    <w:rsid w:val="00CE65A8"/>
    <w:rsid w:val="00CF1035"/>
    <w:rsid w:val="00D1788B"/>
    <w:rsid w:val="00D26B45"/>
    <w:rsid w:val="00D27378"/>
    <w:rsid w:val="00D31617"/>
    <w:rsid w:val="00D3620D"/>
    <w:rsid w:val="00D6282F"/>
    <w:rsid w:val="00D635AC"/>
    <w:rsid w:val="00D74F1A"/>
    <w:rsid w:val="00D777BB"/>
    <w:rsid w:val="00DA6CEC"/>
    <w:rsid w:val="00DB29CB"/>
    <w:rsid w:val="00DB3695"/>
    <w:rsid w:val="00DC221C"/>
    <w:rsid w:val="00DC2818"/>
    <w:rsid w:val="00DC726E"/>
    <w:rsid w:val="00DD4BE1"/>
    <w:rsid w:val="00DD7E58"/>
    <w:rsid w:val="00DE0195"/>
    <w:rsid w:val="00DE1F52"/>
    <w:rsid w:val="00DE6212"/>
    <w:rsid w:val="00E155D6"/>
    <w:rsid w:val="00E21F05"/>
    <w:rsid w:val="00E73619"/>
    <w:rsid w:val="00E83778"/>
    <w:rsid w:val="00ED071D"/>
    <w:rsid w:val="00EE50BE"/>
    <w:rsid w:val="00EF3AD3"/>
    <w:rsid w:val="00F24759"/>
    <w:rsid w:val="00F32345"/>
    <w:rsid w:val="00F45909"/>
    <w:rsid w:val="00F7769D"/>
    <w:rsid w:val="00F90220"/>
    <w:rsid w:val="00F969B0"/>
    <w:rsid w:val="00FA119F"/>
    <w:rsid w:val="00FA193E"/>
    <w:rsid w:val="00FB5622"/>
    <w:rsid w:val="00FB7EA8"/>
    <w:rsid w:val="00FC39FD"/>
    <w:rsid w:val="00FD3D6A"/>
    <w:rsid w:val="00FF32D1"/>
    <w:rsid w:val="00FF40CD"/>
    <w:rsid w:val="00FF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844"/>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65F"/>
    <w:pPr>
      <w:tabs>
        <w:tab w:val="center" w:pos="4680"/>
        <w:tab w:val="right" w:pos="9360"/>
      </w:tabs>
    </w:pPr>
  </w:style>
  <w:style w:type="character" w:customStyle="1" w:styleId="HeaderChar">
    <w:name w:val="Header Char"/>
    <w:basedOn w:val="DefaultParagraphFont"/>
    <w:link w:val="Header"/>
    <w:uiPriority w:val="99"/>
    <w:locked/>
    <w:rsid w:val="00A3065F"/>
    <w:rPr>
      <w:rFonts w:ascii="Times New Roman" w:hAnsi="Times New Roman" w:cs="Times New Roman"/>
      <w:sz w:val="24"/>
      <w:szCs w:val="24"/>
    </w:rPr>
  </w:style>
  <w:style w:type="paragraph" w:styleId="Footer">
    <w:name w:val="footer"/>
    <w:basedOn w:val="Normal"/>
    <w:link w:val="FooterChar"/>
    <w:uiPriority w:val="99"/>
    <w:rsid w:val="00A3065F"/>
    <w:pPr>
      <w:tabs>
        <w:tab w:val="center" w:pos="4680"/>
        <w:tab w:val="right" w:pos="9360"/>
      </w:tabs>
    </w:pPr>
  </w:style>
  <w:style w:type="character" w:customStyle="1" w:styleId="FooterChar">
    <w:name w:val="Footer Char"/>
    <w:basedOn w:val="DefaultParagraphFont"/>
    <w:link w:val="Footer"/>
    <w:uiPriority w:val="99"/>
    <w:locked/>
    <w:rsid w:val="00A3065F"/>
    <w:rPr>
      <w:rFonts w:ascii="Times New Roman" w:hAnsi="Times New Roman" w:cs="Times New Roman"/>
      <w:sz w:val="24"/>
      <w:szCs w:val="24"/>
    </w:rPr>
  </w:style>
  <w:style w:type="paragraph" w:styleId="BalloonText">
    <w:name w:val="Balloon Text"/>
    <w:basedOn w:val="Normal"/>
    <w:link w:val="BalloonTextChar"/>
    <w:uiPriority w:val="99"/>
    <w:semiHidden/>
    <w:rsid w:val="00A306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65F"/>
    <w:rPr>
      <w:rFonts w:ascii="Tahoma" w:hAnsi="Tahoma" w:cs="Tahoma"/>
      <w:sz w:val="16"/>
      <w:szCs w:val="16"/>
    </w:rPr>
  </w:style>
  <w:style w:type="paragraph" w:styleId="ListParagraph">
    <w:name w:val="List Paragraph"/>
    <w:basedOn w:val="Normal"/>
    <w:uiPriority w:val="99"/>
    <w:qFormat/>
    <w:rsid w:val="000478BB"/>
    <w:pPr>
      <w:ind w:left="720"/>
      <w:contextualSpacing/>
    </w:pPr>
  </w:style>
  <w:style w:type="paragraph" w:styleId="FootnoteText">
    <w:name w:val="footnote text"/>
    <w:basedOn w:val="Normal"/>
    <w:link w:val="FootnoteTextChar"/>
    <w:uiPriority w:val="99"/>
    <w:rsid w:val="006D6EEA"/>
    <w:rPr>
      <w:sz w:val="20"/>
      <w:szCs w:val="20"/>
    </w:rPr>
  </w:style>
  <w:style w:type="character" w:customStyle="1" w:styleId="FootnoteTextChar">
    <w:name w:val="Footnote Text Char"/>
    <w:basedOn w:val="DefaultParagraphFont"/>
    <w:link w:val="FootnoteText"/>
    <w:uiPriority w:val="99"/>
    <w:locked/>
    <w:rsid w:val="006D6EEA"/>
    <w:rPr>
      <w:rFonts w:ascii="Times New Roman" w:hAnsi="Times New Roman" w:cs="Times New Roman"/>
      <w:sz w:val="20"/>
      <w:szCs w:val="20"/>
    </w:rPr>
  </w:style>
  <w:style w:type="character" w:styleId="FootnoteReference">
    <w:name w:val="footnote reference"/>
    <w:basedOn w:val="DefaultParagraphFont"/>
    <w:uiPriority w:val="99"/>
    <w:semiHidden/>
    <w:rsid w:val="006D6EEA"/>
    <w:rPr>
      <w:rFonts w:cs="Times New Roman"/>
      <w:vertAlign w:val="superscript"/>
    </w:rPr>
  </w:style>
  <w:style w:type="character" w:styleId="Hyperlink">
    <w:name w:val="Hyperlink"/>
    <w:basedOn w:val="DefaultParagraphFont"/>
    <w:uiPriority w:val="99"/>
    <w:rsid w:val="0063070B"/>
    <w:rPr>
      <w:rFonts w:cs="Times New Roman"/>
      <w:color w:val="0000FF"/>
      <w:u w:val="single"/>
    </w:rPr>
  </w:style>
  <w:style w:type="character" w:styleId="CommentReference">
    <w:name w:val="annotation reference"/>
    <w:basedOn w:val="DefaultParagraphFont"/>
    <w:uiPriority w:val="99"/>
    <w:semiHidden/>
    <w:rsid w:val="00544199"/>
    <w:rPr>
      <w:rFonts w:cs="Times New Roman"/>
      <w:sz w:val="16"/>
      <w:szCs w:val="16"/>
    </w:rPr>
  </w:style>
  <w:style w:type="paragraph" w:styleId="CommentText">
    <w:name w:val="annotation text"/>
    <w:basedOn w:val="Normal"/>
    <w:link w:val="CommentTextChar"/>
    <w:uiPriority w:val="99"/>
    <w:semiHidden/>
    <w:rsid w:val="00544199"/>
    <w:rPr>
      <w:sz w:val="20"/>
      <w:szCs w:val="20"/>
    </w:rPr>
  </w:style>
  <w:style w:type="character" w:customStyle="1" w:styleId="CommentTextChar">
    <w:name w:val="Comment Text Char"/>
    <w:basedOn w:val="DefaultParagraphFont"/>
    <w:link w:val="CommentText"/>
    <w:uiPriority w:val="99"/>
    <w:semiHidden/>
    <w:locked/>
    <w:rsid w:val="005441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44199"/>
    <w:rPr>
      <w:b/>
      <w:bCs/>
    </w:rPr>
  </w:style>
  <w:style w:type="character" w:customStyle="1" w:styleId="CommentSubjectChar">
    <w:name w:val="Comment Subject Char"/>
    <w:basedOn w:val="CommentTextChar"/>
    <w:link w:val="CommentSubject"/>
    <w:uiPriority w:val="99"/>
    <w:semiHidden/>
    <w:locked/>
    <w:rsid w:val="00544199"/>
    <w:rPr>
      <w:rFonts w:ascii="Times New Roman" w:hAnsi="Times New Roman" w:cs="Times New Roman"/>
      <w:b/>
      <w:bCs/>
      <w:sz w:val="20"/>
      <w:szCs w:val="20"/>
    </w:rPr>
  </w:style>
  <w:style w:type="character" w:styleId="FollowedHyperlink">
    <w:name w:val="FollowedHyperlink"/>
    <w:basedOn w:val="DefaultParagraphFont"/>
    <w:uiPriority w:val="99"/>
    <w:semiHidden/>
    <w:rsid w:val="005128B1"/>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844"/>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65F"/>
    <w:pPr>
      <w:tabs>
        <w:tab w:val="center" w:pos="4680"/>
        <w:tab w:val="right" w:pos="9360"/>
      </w:tabs>
    </w:pPr>
  </w:style>
  <w:style w:type="character" w:customStyle="1" w:styleId="HeaderChar">
    <w:name w:val="Header Char"/>
    <w:basedOn w:val="DefaultParagraphFont"/>
    <w:link w:val="Header"/>
    <w:uiPriority w:val="99"/>
    <w:locked/>
    <w:rsid w:val="00A3065F"/>
    <w:rPr>
      <w:rFonts w:ascii="Times New Roman" w:hAnsi="Times New Roman" w:cs="Times New Roman"/>
      <w:sz w:val="24"/>
      <w:szCs w:val="24"/>
    </w:rPr>
  </w:style>
  <w:style w:type="paragraph" w:styleId="Footer">
    <w:name w:val="footer"/>
    <w:basedOn w:val="Normal"/>
    <w:link w:val="FooterChar"/>
    <w:uiPriority w:val="99"/>
    <w:rsid w:val="00A3065F"/>
    <w:pPr>
      <w:tabs>
        <w:tab w:val="center" w:pos="4680"/>
        <w:tab w:val="right" w:pos="9360"/>
      </w:tabs>
    </w:pPr>
  </w:style>
  <w:style w:type="character" w:customStyle="1" w:styleId="FooterChar">
    <w:name w:val="Footer Char"/>
    <w:basedOn w:val="DefaultParagraphFont"/>
    <w:link w:val="Footer"/>
    <w:uiPriority w:val="99"/>
    <w:locked/>
    <w:rsid w:val="00A3065F"/>
    <w:rPr>
      <w:rFonts w:ascii="Times New Roman" w:hAnsi="Times New Roman" w:cs="Times New Roman"/>
      <w:sz w:val="24"/>
      <w:szCs w:val="24"/>
    </w:rPr>
  </w:style>
  <w:style w:type="paragraph" w:styleId="BalloonText">
    <w:name w:val="Balloon Text"/>
    <w:basedOn w:val="Normal"/>
    <w:link w:val="BalloonTextChar"/>
    <w:uiPriority w:val="99"/>
    <w:semiHidden/>
    <w:rsid w:val="00A306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65F"/>
    <w:rPr>
      <w:rFonts w:ascii="Tahoma" w:hAnsi="Tahoma" w:cs="Tahoma"/>
      <w:sz w:val="16"/>
      <w:szCs w:val="16"/>
    </w:rPr>
  </w:style>
  <w:style w:type="paragraph" w:styleId="ListParagraph">
    <w:name w:val="List Paragraph"/>
    <w:basedOn w:val="Normal"/>
    <w:uiPriority w:val="99"/>
    <w:qFormat/>
    <w:rsid w:val="000478BB"/>
    <w:pPr>
      <w:ind w:left="720"/>
      <w:contextualSpacing/>
    </w:pPr>
  </w:style>
  <w:style w:type="paragraph" w:styleId="FootnoteText">
    <w:name w:val="footnote text"/>
    <w:basedOn w:val="Normal"/>
    <w:link w:val="FootnoteTextChar"/>
    <w:uiPriority w:val="99"/>
    <w:rsid w:val="006D6EEA"/>
    <w:rPr>
      <w:sz w:val="20"/>
      <w:szCs w:val="20"/>
    </w:rPr>
  </w:style>
  <w:style w:type="character" w:customStyle="1" w:styleId="FootnoteTextChar">
    <w:name w:val="Footnote Text Char"/>
    <w:basedOn w:val="DefaultParagraphFont"/>
    <w:link w:val="FootnoteText"/>
    <w:uiPriority w:val="99"/>
    <w:locked/>
    <w:rsid w:val="006D6EEA"/>
    <w:rPr>
      <w:rFonts w:ascii="Times New Roman" w:hAnsi="Times New Roman" w:cs="Times New Roman"/>
      <w:sz w:val="20"/>
      <w:szCs w:val="20"/>
    </w:rPr>
  </w:style>
  <w:style w:type="character" w:styleId="FootnoteReference">
    <w:name w:val="footnote reference"/>
    <w:basedOn w:val="DefaultParagraphFont"/>
    <w:uiPriority w:val="99"/>
    <w:semiHidden/>
    <w:rsid w:val="006D6EEA"/>
    <w:rPr>
      <w:rFonts w:cs="Times New Roman"/>
      <w:vertAlign w:val="superscript"/>
    </w:rPr>
  </w:style>
  <w:style w:type="character" w:styleId="Hyperlink">
    <w:name w:val="Hyperlink"/>
    <w:basedOn w:val="DefaultParagraphFont"/>
    <w:uiPriority w:val="99"/>
    <w:rsid w:val="0063070B"/>
    <w:rPr>
      <w:rFonts w:cs="Times New Roman"/>
      <w:color w:val="0000FF"/>
      <w:u w:val="single"/>
    </w:rPr>
  </w:style>
  <w:style w:type="character" w:styleId="CommentReference">
    <w:name w:val="annotation reference"/>
    <w:basedOn w:val="DefaultParagraphFont"/>
    <w:uiPriority w:val="99"/>
    <w:semiHidden/>
    <w:rsid w:val="00544199"/>
    <w:rPr>
      <w:rFonts w:cs="Times New Roman"/>
      <w:sz w:val="16"/>
      <w:szCs w:val="16"/>
    </w:rPr>
  </w:style>
  <w:style w:type="paragraph" w:styleId="CommentText">
    <w:name w:val="annotation text"/>
    <w:basedOn w:val="Normal"/>
    <w:link w:val="CommentTextChar"/>
    <w:uiPriority w:val="99"/>
    <w:semiHidden/>
    <w:rsid w:val="00544199"/>
    <w:rPr>
      <w:sz w:val="20"/>
      <w:szCs w:val="20"/>
    </w:rPr>
  </w:style>
  <w:style w:type="character" w:customStyle="1" w:styleId="CommentTextChar">
    <w:name w:val="Comment Text Char"/>
    <w:basedOn w:val="DefaultParagraphFont"/>
    <w:link w:val="CommentText"/>
    <w:uiPriority w:val="99"/>
    <w:semiHidden/>
    <w:locked/>
    <w:rsid w:val="005441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44199"/>
    <w:rPr>
      <w:b/>
      <w:bCs/>
    </w:rPr>
  </w:style>
  <w:style w:type="character" w:customStyle="1" w:styleId="CommentSubjectChar">
    <w:name w:val="Comment Subject Char"/>
    <w:basedOn w:val="CommentTextChar"/>
    <w:link w:val="CommentSubject"/>
    <w:uiPriority w:val="99"/>
    <w:semiHidden/>
    <w:locked/>
    <w:rsid w:val="00544199"/>
    <w:rPr>
      <w:rFonts w:ascii="Times New Roman" w:hAnsi="Times New Roman" w:cs="Times New Roman"/>
      <w:b/>
      <w:bCs/>
      <w:sz w:val="20"/>
      <w:szCs w:val="20"/>
    </w:rPr>
  </w:style>
  <w:style w:type="character" w:styleId="FollowedHyperlink">
    <w:name w:val="FollowedHyperlink"/>
    <w:basedOn w:val="DefaultParagraphFont"/>
    <w:uiPriority w:val="99"/>
    <w:semiHidden/>
    <w:rsid w:val="005128B1"/>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314986">
      <w:marLeft w:val="0"/>
      <w:marRight w:val="0"/>
      <w:marTop w:val="0"/>
      <w:marBottom w:val="0"/>
      <w:divBdr>
        <w:top w:val="none" w:sz="0" w:space="0" w:color="auto"/>
        <w:left w:val="none" w:sz="0" w:space="0" w:color="auto"/>
        <w:bottom w:val="none" w:sz="0" w:space="0" w:color="auto"/>
        <w:right w:val="none" w:sz="0" w:space="0" w:color="auto"/>
      </w:divBdr>
    </w:div>
    <w:div w:id="841314987">
      <w:marLeft w:val="0"/>
      <w:marRight w:val="0"/>
      <w:marTop w:val="0"/>
      <w:marBottom w:val="0"/>
      <w:divBdr>
        <w:top w:val="none" w:sz="0" w:space="0" w:color="auto"/>
        <w:left w:val="none" w:sz="0" w:space="0" w:color="auto"/>
        <w:bottom w:val="none" w:sz="0" w:space="0" w:color="auto"/>
        <w:right w:val="none" w:sz="0" w:space="0" w:color="auto"/>
      </w:divBdr>
    </w:div>
    <w:div w:id="8413149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erc.gov/docs-filing/etariff/implementation-guide.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library.ferc.gov/idmws/common/opennat.asp?fileID=13174410" TargetMode="External"/><Relationship Id="rId2" Type="http://schemas.openxmlformats.org/officeDocument/2006/relationships/hyperlink" Target="http://elibrary.ferc.gov/idmws/common/opennat.asp?fileID=13199806" TargetMode="External"/><Relationship Id="rId1" Type="http://schemas.openxmlformats.org/officeDocument/2006/relationships/hyperlink" Target="http://elibrary.ferc.gov/idmws/common/opennat.asp?fileID=13174100" TargetMode="External"/><Relationship Id="rId5" Type="http://schemas.openxmlformats.org/officeDocument/2006/relationships/hyperlink" Target="http://bls.gov/oes/current/naics4_221100.htm" TargetMode="External"/><Relationship Id="rId4" Type="http://schemas.openxmlformats.org/officeDocument/2006/relationships/hyperlink" Target="http://elibrary.ferc.gov/idmws/common/opennat.asp?fileID=13242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FDFA9-BE20-427E-9D5F-21119E2E9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3613</Words>
  <Characters>21351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Federal Energy Regulatory Commission</Company>
  <LinksUpToDate>false</LinksUpToDate>
  <CharactersWithSpaces>24915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Ellen Brown</dc:creator>
  <cp:lastModifiedBy>Ellen Brown</cp:lastModifiedBy>
  <cp:revision>2</cp:revision>
  <cp:lastPrinted>2013-04-09T20:44:00Z</cp:lastPrinted>
  <dcterms:created xsi:type="dcterms:W3CDTF">2013-08-02T20:24:00Z</dcterms:created>
  <dcterms:modified xsi:type="dcterms:W3CDTF">2013-08-02T20:24:00Z</dcterms:modified>
</cp:coreProperties>
</file>