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Pr="0030604F" w:rsidRDefault="00BD1BF2" w:rsidP="0030604F">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BD1BF2" w:rsidRPr="004404C1" w:rsidRDefault="00BD1BF2">
      <w:pPr>
        <w:pStyle w:val="NormalWeb"/>
        <w:rPr>
          <w:rFonts w:ascii="Times New Roman" w:hAnsi="Times New Roman" w:cs="Times New Roman"/>
        </w:rPr>
      </w:pPr>
      <w:r w:rsidRPr="004404C1">
        <w:rPr>
          <w:rFonts w:ascii="Times New Roman" w:hAnsi="Times New Roman" w:cs="Times New Roman"/>
          <w:u w:val="single"/>
        </w:rPr>
        <w:t>Introduction</w:t>
      </w:r>
      <w:r w:rsidRPr="004404C1">
        <w:rPr>
          <w:rFonts w:ascii="Times New Roman" w:hAnsi="Times New Roman" w:cs="Times New Roman"/>
        </w:rPr>
        <w:t xml:space="preserve">: </w:t>
      </w:r>
      <w:r w:rsidR="00FB6FDA">
        <w:rPr>
          <w:rFonts w:ascii="Times New Roman" w:hAnsi="Times New Roman" w:cs="Times New Roman"/>
        </w:rPr>
        <w:t xml:space="preserve"> </w:t>
      </w:r>
      <w:r w:rsidR="00B906F1">
        <w:rPr>
          <w:rFonts w:ascii="Times New Roman" w:hAnsi="Times New Roman" w:cs="Times New Roman"/>
        </w:rPr>
        <w:t xml:space="preserve">The </w:t>
      </w:r>
      <w:r w:rsidR="00FB6FDA">
        <w:rPr>
          <w:rFonts w:ascii="Times New Roman" w:hAnsi="Times New Roman" w:cs="Times New Roman"/>
        </w:rPr>
        <w:t>National Tunnel Inspection Standards</w:t>
      </w:r>
      <w:r w:rsidRPr="00790EB3">
        <w:rPr>
          <w:rFonts w:ascii="Times New Roman" w:hAnsi="Times New Roman" w:cs="Times New Roman"/>
        </w:rPr>
        <w:t>.</w:t>
      </w:r>
      <w:r w:rsidRPr="004404C1">
        <w:rPr>
          <w:rFonts w:ascii="Times New Roman" w:hAnsi="Times New Roman" w:cs="Times New Roman"/>
        </w:rPr>
        <w:t xml:space="preserve"> </w:t>
      </w:r>
    </w:p>
    <w:p w:rsidR="00BD1BF2" w:rsidRPr="004404C1" w:rsidRDefault="00BD1BF2">
      <w:pPr>
        <w:pStyle w:val="NormalWeb"/>
        <w:rPr>
          <w:rFonts w:ascii="Times New Roman" w:hAnsi="Times New Roman" w:cs="Times New Roman"/>
        </w:rPr>
      </w:pPr>
      <w:r w:rsidRPr="004404C1">
        <w:rPr>
          <w:rFonts w:ascii="Times New Roman" w:hAnsi="Times New Roman" w:cs="Times New Roman"/>
          <w:u w:val="single"/>
        </w:rPr>
        <w:t xml:space="preserve">Part A. </w:t>
      </w:r>
      <w:r w:rsidR="004E2EC1">
        <w:rPr>
          <w:rFonts w:ascii="Times New Roman" w:hAnsi="Times New Roman" w:cs="Times New Roman"/>
          <w:u w:val="single"/>
        </w:rPr>
        <w:t xml:space="preserve"> </w:t>
      </w:r>
      <w:proofErr w:type="gramStart"/>
      <w:r w:rsidRPr="004404C1">
        <w:rPr>
          <w:rFonts w:ascii="Times New Roman" w:hAnsi="Times New Roman" w:cs="Times New Roman"/>
          <w:u w:val="single"/>
        </w:rPr>
        <w:t>Justification</w:t>
      </w:r>
      <w:r w:rsidRPr="004404C1">
        <w:rPr>
          <w:rFonts w:ascii="Times New Roman" w:hAnsi="Times New Roman" w:cs="Times New Roman"/>
        </w:rPr>
        <w:t>.</w:t>
      </w:r>
      <w:proofErr w:type="gramEnd"/>
    </w:p>
    <w:p w:rsidR="005669DB" w:rsidRDefault="00BD1BF2" w:rsidP="005669DB">
      <w:pPr>
        <w:pStyle w:val="NormalWeb"/>
        <w:rPr>
          <w:rFonts w:ascii="Times New Roman" w:hAnsi="Times New Roman" w:cs="Times New Roman"/>
          <w:u w:val="single"/>
        </w:rPr>
      </w:pPr>
      <w:r w:rsidRPr="004404C1">
        <w:rPr>
          <w:rFonts w:ascii="Times New Roman" w:hAnsi="Times New Roman" w:cs="Times New Roman"/>
        </w:rPr>
        <w:t xml:space="preserve">1. </w:t>
      </w:r>
      <w:r w:rsidRPr="004404C1">
        <w:rPr>
          <w:rFonts w:ascii="Times New Roman" w:hAnsi="Times New Roman" w:cs="Times New Roman"/>
          <w:u w:val="single"/>
        </w:rPr>
        <w:t>Circumstances that make collection of information necessary</w:t>
      </w:r>
      <w:r w:rsidR="004E2EC1">
        <w:rPr>
          <w:rFonts w:ascii="Times New Roman" w:hAnsi="Times New Roman" w:cs="Times New Roman"/>
          <w:u w:val="single"/>
        </w:rPr>
        <w:t>:</w:t>
      </w:r>
    </w:p>
    <w:p w:rsidR="00FB6FDA" w:rsidRPr="004404C1" w:rsidRDefault="00FB6FDA" w:rsidP="005669DB">
      <w:pPr>
        <w:pStyle w:val="NormalWeb"/>
        <w:rPr>
          <w:rFonts w:ascii="Times New Roman" w:hAnsi="Times New Roman" w:cs="Times New Roman"/>
        </w:rPr>
      </w:pPr>
      <w:r>
        <w:rPr>
          <w:rFonts w:ascii="Times New Roman" w:hAnsi="Times New Roman" w:cs="Times New Roman"/>
        </w:rPr>
        <w:t xml:space="preserve">The collection of information contained in the National Tunnel Inspection Standards rulemaking is necessary to satisfy the requirements of title 23, United States Code, section 144.  </w:t>
      </w:r>
    </w:p>
    <w:p w:rsidR="00CC5E38" w:rsidRDefault="00CC5E38" w:rsidP="00CC5E38">
      <w:pPr>
        <w:pStyle w:val="NormalWeb"/>
        <w:rPr>
          <w:rFonts w:ascii="Times New Roman" w:hAnsi="Times New Roman"/>
          <w:color w:val="000000" w:themeColor="text1"/>
        </w:rPr>
      </w:pPr>
      <w:r>
        <w:rPr>
          <w:rFonts w:ascii="Times New Roman" w:hAnsi="Times New Roman"/>
          <w:color w:val="000000" w:themeColor="text1"/>
        </w:rPr>
        <w:t>On July 6, 2012, the President signed the Moving Ahead with Progress for the 21</w:t>
      </w:r>
      <w:r w:rsidRPr="00E82CA6">
        <w:rPr>
          <w:rFonts w:ascii="Times New Roman" w:hAnsi="Times New Roman"/>
          <w:color w:val="000000" w:themeColor="text1"/>
          <w:vertAlign w:val="superscript"/>
        </w:rPr>
        <w:t>st</w:t>
      </w:r>
      <w:r>
        <w:rPr>
          <w:rFonts w:ascii="Times New Roman" w:hAnsi="Times New Roman"/>
          <w:color w:val="000000" w:themeColor="text1"/>
        </w:rPr>
        <w:t xml:space="preserve"> Century Act (MAP-21) which requires the Secretary to establish National Tunnel Inspection Standards (NTIS) for tunnel inspections</w:t>
      </w:r>
      <w:r w:rsidR="008202B9">
        <w:rPr>
          <w:rFonts w:ascii="Times New Roman" w:hAnsi="Times New Roman"/>
          <w:color w:val="000000" w:themeColor="text1"/>
        </w:rPr>
        <w:t>,</w:t>
      </w:r>
      <w:r w:rsidR="0080295C">
        <w:rPr>
          <w:rFonts w:ascii="Times New Roman" w:hAnsi="Times New Roman"/>
          <w:color w:val="000000" w:themeColor="text1"/>
        </w:rPr>
        <w:t xml:space="preserve"> a National Tunnel Inventory (NTI) to maintain inventory and inspection data</w:t>
      </w:r>
      <w:r w:rsidR="001106BF">
        <w:rPr>
          <w:rFonts w:ascii="Times New Roman" w:hAnsi="Times New Roman"/>
          <w:color w:val="000000" w:themeColor="text1"/>
        </w:rPr>
        <w:t>,</w:t>
      </w:r>
      <w:r w:rsidR="008202B9">
        <w:rPr>
          <w:rFonts w:ascii="Times New Roman" w:hAnsi="Times New Roman"/>
          <w:color w:val="000000" w:themeColor="text1"/>
        </w:rPr>
        <w:t xml:space="preserve"> and to annually submit to Congress a report on the inventory</w:t>
      </w:r>
      <w:r>
        <w:rPr>
          <w:rFonts w:ascii="Times New Roman" w:hAnsi="Times New Roman"/>
          <w:color w:val="000000" w:themeColor="text1"/>
        </w:rPr>
        <w:t xml:space="preserve">.  As a result, FHWA is </w:t>
      </w:r>
      <w:r w:rsidR="0080295C">
        <w:rPr>
          <w:rFonts w:ascii="Times New Roman" w:hAnsi="Times New Roman"/>
          <w:color w:val="000000" w:themeColor="text1"/>
        </w:rPr>
        <w:t>proposing the</w:t>
      </w:r>
      <w:r>
        <w:rPr>
          <w:rFonts w:ascii="Times New Roman" w:hAnsi="Times New Roman"/>
          <w:color w:val="000000" w:themeColor="text1"/>
        </w:rPr>
        <w:t xml:space="preserve"> NTIS </w:t>
      </w:r>
      <w:r w:rsidR="0080295C">
        <w:rPr>
          <w:rFonts w:ascii="Times New Roman" w:hAnsi="Times New Roman"/>
          <w:color w:val="000000" w:themeColor="text1"/>
        </w:rPr>
        <w:t>which</w:t>
      </w:r>
      <w:r>
        <w:rPr>
          <w:rFonts w:ascii="Times New Roman" w:hAnsi="Times New Roman"/>
          <w:color w:val="000000" w:themeColor="text1"/>
        </w:rPr>
        <w:t xml:space="preserve"> incorporates the provisions required by MAP-21</w:t>
      </w:r>
      <w:r w:rsidR="0080295C">
        <w:rPr>
          <w:rFonts w:ascii="Times New Roman" w:hAnsi="Times New Roman"/>
          <w:color w:val="000000" w:themeColor="text1"/>
        </w:rPr>
        <w:t xml:space="preserve"> for</w:t>
      </w:r>
      <w:r w:rsidRPr="00C7792E">
        <w:rPr>
          <w:rFonts w:ascii="Times New Roman" w:hAnsi="Times New Roman"/>
          <w:color w:val="000000" w:themeColor="text1"/>
        </w:rPr>
        <w:t xml:space="preserve"> tunnel owners</w:t>
      </w:r>
      <w:r>
        <w:rPr>
          <w:rFonts w:ascii="Times New Roman" w:hAnsi="Times New Roman"/>
          <w:color w:val="000000" w:themeColor="text1"/>
        </w:rPr>
        <w:t>, including:</w:t>
      </w:r>
      <w:r w:rsidRPr="00C7792E">
        <w:rPr>
          <w:rFonts w:ascii="Times New Roman" w:hAnsi="Times New Roman"/>
          <w:color w:val="000000" w:themeColor="text1"/>
        </w:rPr>
        <w:t xml:space="preserve"> </w:t>
      </w:r>
      <w:r>
        <w:rPr>
          <w:rFonts w:ascii="Times New Roman" w:hAnsi="Times New Roman"/>
          <w:color w:val="000000" w:themeColor="text1"/>
        </w:rPr>
        <w:t xml:space="preserve"> </w:t>
      </w:r>
      <w:r w:rsidRPr="00C7792E">
        <w:rPr>
          <w:rFonts w:ascii="Times New Roman" w:hAnsi="Times New Roman"/>
          <w:color w:val="000000" w:themeColor="text1"/>
        </w:rPr>
        <w:t>establish</w:t>
      </w:r>
      <w:r>
        <w:rPr>
          <w:rFonts w:ascii="Times New Roman" w:hAnsi="Times New Roman"/>
          <w:color w:val="000000" w:themeColor="text1"/>
        </w:rPr>
        <w:t>ment of</w:t>
      </w:r>
      <w:r w:rsidRPr="00C7792E">
        <w:rPr>
          <w:rFonts w:ascii="Times New Roman" w:hAnsi="Times New Roman"/>
          <w:color w:val="000000" w:themeColor="text1"/>
        </w:rPr>
        <w:t xml:space="preserve"> a program for the inspection of highway tunnels, maint</w:t>
      </w:r>
      <w:r>
        <w:rPr>
          <w:rFonts w:ascii="Times New Roman" w:hAnsi="Times New Roman"/>
          <w:color w:val="000000" w:themeColor="text1"/>
        </w:rPr>
        <w:t>enance of</w:t>
      </w:r>
      <w:r w:rsidRPr="00C7792E">
        <w:rPr>
          <w:rFonts w:ascii="Times New Roman" w:hAnsi="Times New Roman"/>
          <w:color w:val="000000" w:themeColor="text1"/>
        </w:rPr>
        <w:t xml:space="preserve"> a tunnel inventory, report</w:t>
      </w:r>
      <w:r>
        <w:rPr>
          <w:rFonts w:ascii="Times New Roman" w:hAnsi="Times New Roman"/>
          <w:color w:val="000000" w:themeColor="text1"/>
        </w:rPr>
        <w:t>ing</w:t>
      </w:r>
      <w:r w:rsidRPr="00C7792E">
        <w:rPr>
          <w:rFonts w:ascii="Times New Roman" w:hAnsi="Times New Roman"/>
          <w:color w:val="000000" w:themeColor="text1"/>
        </w:rPr>
        <w:t xml:space="preserve"> </w:t>
      </w:r>
      <w:r>
        <w:rPr>
          <w:rFonts w:ascii="Times New Roman" w:hAnsi="Times New Roman"/>
          <w:color w:val="000000" w:themeColor="text1"/>
        </w:rPr>
        <w:t xml:space="preserve">of </w:t>
      </w:r>
      <w:r w:rsidRPr="00C7792E">
        <w:rPr>
          <w:rFonts w:ascii="Times New Roman" w:hAnsi="Times New Roman"/>
          <w:color w:val="000000" w:themeColor="text1"/>
        </w:rPr>
        <w:t>the inspection findings to FHWA</w:t>
      </w:r>
      <w:r>
        <w:rPr>
          <w:rFonts w:ascii="Times New Roman" w:hAnsi="Times New Roman"/>
          <w:color w:val="000000" w:themeColor="text1"/>
        </w:rPr>
        <w:t>,</w:t>
      </w:r>
      <w:r w:rsidRPr="00C7792E">
        <w:rPr>
          <w:rFonts w:ascii="Times New Roman" w:hAnsi="Times New Roman"/>
          <w:color w:val="000000" w:themeColor="text1"/>
        </w:rPr>
        <w:t xml:space="preserve"> and correct</w:t>
      </w:r>
      <w:r>
        <w:rPr>
          <w:rFonts w:ascii="Times New Roman" w:hAnsi="Times New Roman"/>
          <w:color w:val="000000" w:themeColor="text1"/>
        </w:rPr>
        <w:t>ion</w:t>
      </w:r>
      <w:r w:rsidRPr="00C7792E">
        <w:rPr>
          <w:rFonts w:ascii="Times New Roman" w:hAnsi="Times New Roman"/>
          <w:color w:val="000000" w:themeColor="text1"/>
        </w:rPr>
        <w:t xml:space="preserve"> </w:t>
      </w:r>
      <w:r>
        <w:rPr>
          <w:rFonts w:ascii="Times New Roman" w:hAnsi="Times New Roman"/>
          <w:color w:val="000000" w:themeColor="text1"/>
        </w:rPr>
        <w:t xml:space="preserve">of </w:t>
      </w:r>
      <w:r w:rsidRPr="00C7792E">
        <w:rPr>
          <w:rFonts w:ascii="Times New Roman" w:hAnsi="Times New Roman"/>
          <w:color w:val="000000" w:themeColor="text1"/>
        </w:rPr>
        <w:t xml:space="preserve">any critical findings </w:t>
      </w:r>
      <w:r>
        <w:rPr>
          <w:rFonts w:ascii="Times New Roman" w:hAnsi="Times New Roman"/>
          <w:color w:val="000000" w:themeColor="text1"/>
        </w:rPr>
        <w:t>identified</w:t>
      </w:r>
      <w:r w:rsidRPr="00C7792E">
        <w:rPr>
          <w:rFonts w:ascii="Times New Roman" w:hAnsi="Times New Roman"/>
          <w:color w:val="000000" w:themeColor="text1"/>
        </w:rPr>
        <w:t xml:space="preserve"> during these inspections. </w:t>
      </w:r>
      <w:r>
        <w:rPr>
          <w:rFonts w:ascii="Times New Roman" w:hAnsi="Times New Roman"/>
          <w:color w:val="000000" w:themeColor="text1"/>
        </w:rPr>
        <w:t xml:space="preserve"> The FHWA previously proposed the NTIS in a notice of proposed rulemaking (NPRM) published in the Federal Register on July 22, 2010</w:t>
      </w:r>
      <w:r w:rsidR="001106BF">
        <w:rPr>
          <w:rFonts w:ascii="Times New Roman" w:hAnsi="Times New Roman"/>
          <w:color w:val="000000" w:themeColor="text1"/>
        </w:rPr>
        <w:t xml:space="preserve"> at 75 FR 42643</w:t>
      </w:r>
      <w:r>
        <w:rPr>
          <w:rFonts w:ascii="Times New Roman" w:hAnsi="Times New Roman"/>
          <w:color w:val="000000" w:themeColor="text1"/>
        </w:rPr>
        <w:t xml:space="preserve">.  </w:t>
      </w:r>
      <w:r w:rsidR="00011662">
        <w:rPr>
          <w:rFonts w:ascii="Times New Roman" w:hAnsi="Times New Roman"/>
          <w:color w:val="000000" w:themeColor="text1"/>
        </w:rPr>
        <w:t xml:space="preserve">However, </w:t>
      </w:r>
      <w:r w:rsidR="00307250">
        <w:rPr>
          <w:rFonts w:ascii="Times New Roman" w:hAnsi="Times New Roman"/>
          <w:color w:val="000000" w:themeColor="text1"/>
        </w:rPr>
        <w:t>MAP-21 requires that NTIS contain a number of provisions that were not included in the proposal set forth in the earlier NPRM</w:t>
      </w:r>
      <w:r w:rsidR="00011662">
        <w:rPr>
          <w:rFonts w:ascii="Times New Roman" w:hAnsi="Times New Roman"/>
          <w:color w:val="000000" w:themeColor="text1"/>
        </w:rPr>
        <w:t xml:space="preserve"> necessitating a supplemental notice of proposed rulemaking (SNPRM)</w:t>
      </w:r>
      <w:r w:rsidR="00307250">
        <w:rPr>
          <w:rFonts w:ascii="Times New Roman" w:hAnsi="Times New Roman"/>
          <w:color w:val="000000" w:themeColor="text1"/>
        </w:rPr>
        <w:t xml:space="preserve">.  </w:t>
      </w:r>
    </w:p>
    <w:p w:rsidR="00CC5E38" w:rsidRDefault="00CC5E38" w:rsidP="00CC5E38">
      <w:pPr>
        <w:pStyle w:val="NormalWeb"/>
        <w:rPr>
          <w:rFonts w:ascii="Times New Roman" w:hAnsi="Times New Roman"/>
          <w:color w:val="000000" w:themeColor="text1"/>
        </w:rPr>
      </w:pPr>
      <w:r>
        <w:rPr>
          <w:rFonts w:ascii="Times New Roman" w:hAnsi="Times New Roman"/>
          <w:color w:val="000000" w:themeColor="text1"/>
        </w:rPr>
        <w:t>Routine and thorough inspections of our Nation’s tunnels are necessary to maintain safe tunnel operation and prevent structural, geotechnical, and functional failures.  In addition, data on the condition and operation of our Nation’s tunnels is necessary in order for tunnel owners to make informed investment decisions as part of an asset management program for maintenance and repair of their tunnels.  Recognizing that the safety and security of our Nation’s tunnels are of paramount importance, Congress declared in MAP-21 that it is in the vital interest of the United States to inventory, inspect, and improve the condition of the nation’s highway tunnels.  As a result of this declaration and the authority established by MAP-21 in 23 U.S.C</w:t>
      </w:r>
      <w:r w:rsidR="00BA745B">
        <w:rPr>
          <w:rFonts w:ascii="Times New Roman" w:hAnsi="Times New Roman"/>
          <w:color w:val="000000" w:themeColor="text1"/>
        </w:rPr>
        <w:t>.</w:t>
      </w:r>
      <w:r>
        <w:rPr>
          <w:rFonts w:ascii="Times New Roman" w:hAnsi="Times New Roman"/>
          <w:color w:val="000000" w:themeColor="text1"/>
        </w:rPr>
        <w:t xml:space="preserve"> 144, FHWA is proposing the NTIS.  </w:t>
      </w:r>
    </w:p>
    <w:p w:rsidR="005669DB" w:rsidRPr="004404C1" w:rsidRDefault="005669DB" w:rsidP="005669DB">
      <w:pPr>
        <w:pStyle w:val="NormalWeb"/>
        <w:rPr>
          <w:rFonts w:ascii="Times New Roman" w:hAnsi="Times New Roman" w:cs="Times New Roman"/>
        </w:rPr>
      </w:pPr>
      <w:r w:rsidRPr="004404C1">
        <w:rPr>
          <w:rFonts w:ascii="Times New Roman" w:hAnsi="Times New Roman" w:cs="Times New Roman"/>
        </w:rPr>
        <w:t xml:space="preserve">The </w:t>
      </w:r>
      <w:r w:rsidR="00011662">
        <w:rPr>
          <w:rFonts w:ascii="Times New Roman" w:hAnsi="Times New Roman" w:cs="Times New Roman"/>
        </w:rPr>
        <w:t>National Transportation Safety Board (</w:t>
      </w:r>
      <w:r w:rsidRPr="004404C1">
        <w:rPr>
          <w:rFonts w:ascii="Times New Roman" w:hAnsi="Times New Roman" w:cs="Times New Roman"/>
        </w:rPr>
        <w:t>NTSB</w:t>
      </w:r>
      <w:r w:rsidR="00011662">
        <w:rPr>
          <w:rFonts w:ascii="Times New Roman" w:hAnsi="Times New Roman" w:cs="Times New Roman"/>
        </w:rPr>
        <w:t>)</w:t>
      </w:r>
      <w:r w:rsidRPr="004404C1">
        <w:rPr>
          <w:rFonts w:ascii="Times New Roman" w:hAnsi="Times New Roman" w:cs="Times New Roman"/>
        </w:rPr>
        <w:t xml:space="preserve"> </w:t>
      </w:r>
      <w:r w:rsidR="00011662" w:rsidRPr="004404C1">
        <w:rPr>
          <w:rFonts w:ascii="Times New Roman" w:hAnsi="Times New Roman" w:cs="Times New Roman"/>
        </w:rPr>
        <w:t>ha</w:t>
      </w:r>
      <w:r w:rsidR="00011662">
        <w:rPr>
          <w:rFonts w:ascii="Times New Roman" w:hAnsi="Times New Roman" w:cs="Times New Roman"/>
        </w:rPr>
        <w:t>d</w:t>
      </w:r>
      <w:r w:rsidR="00011662" w:rsidRPr="004404C1">
        <w:rPr>
          <w:rFonts w:ascii="Times New Roman" w:hAnsi="Times New Roman" w:cs="Times New Roman"/>
        </w:rPr>
        <w:t xml:space="preserve"> </w:t>
      </w:r>
      <w:r w:rsidR="00011662">
        <w:rPr>
          <w:rFonts w:ascii="Times New Roman" w:hAnsi="Times New Roman" w:cs="Times New Roman"/>
        </w:rPr>
        <w:t xml:space="preserve">previously </w:t>
      </w:r>
      <w:r w:rsidRPr="004404C1">
        <w:rPr>
          <w:rFonts w:ascii="Times New Roman" w:hAnsi="Times New Roman" w:cs="Times New Roman"/>
        </w:rPr>
        <w:t>suggested that the FHWA seek legis</w:t>
      </w:r>
      <w:r w:rsidR="00780DB6">
        <w:rPr>
          <w:rFonts w:ascii="Times New Roman" w:hAnsi="Times New Roman" w:cs="Times New Roman"/>
        </w:rPr>
        <w:t xml:space="preserve">lative authority to establish a </w:t>
      </w:r>
      <w:r w:rsidRPr="004404C1">
        <w:rPr>
          <w:rFonts w:ascii="Times New Roman" w:hAnsi="Times New Roman" w:cs="Times New Roman"/>
        </w:rPr>
        <w:t>mandatory tunnel inspection program similar to the National Bridge Inspections Standards (NBIS) that would identify critical inspection elements and specify an appropriate inspection frequency. Additionally, the DOT Inspector General (IG), in testimony before Congress in October 2007, highlighted the need for a tunnel inspection and reporting system to ensure the safety of the Nation's t</w:t>
      </w:r>
      <w:r w:rsidR="00780DB6">
        <w:rPr>
          <w:rFonts w:ascii="Times New Roman" w:hAnsi="Times New Roman" w:cs="Times New Roman"/>
        </w:rPr>
        <w:t>unnels, stating that the FHWA “</w:t>
      </w:r>
      <w:r w:rsidRPr="004404C1">
        <w:rPr>
          <w:rFonts w:ascii="Times New Roman" w:hAnsi="Times New Roman" w:cs="Times New Roman"/>
        </w:rPr>
        <w:t>should develop and implement a system to ensure that States inspect an</w:t>
      </w:r>
      <w:r w:rsidR="00780DB6">
        <w:rPr>
          <w:rFonts w:ascii="Times New Roman" w:hAnsi="Times New Roman" w:cs="Times New Roman"/>
        </w:rPr>
        <w:t>d report on tunnel conditions.”</w:t>
      </w:r>
      <w:r w:rsidRPr="004404C1">
        <w:rPr>
          <w:rFonts w:ascii="Times New Roman" w:hAnsi="Times New Roman" w:cs="Times New Roman"/>
        </w:rPr>
        <w:t xml:space="preserve"> Add</w:t>
      </w:r>
      <w:r w:rsidR="00780DB6">
        <w:rPr>
          <w:rFonts w:ascii="Times New Roman" w:hAnsi="Times New Roman" w:cs="Times New Roman"/>
        </w:rPr>
        <w:t>itionally, the IG stated that “</w:t>
      </w:r>
      <w:r w:rsidRPr="004404C1">
        <w:rPr>
          <w:rFonts w:ascii="Times New Roman" w:hAnsi="Times New Roman" w:cs="Times New Roman"/>
        </w:rPr>
        <w:t xml:space="preserve">FHWA should move aggressively on this rulemaking and establish rigorous inspection </w:t>
      </w:r>
      <w:r w:rsidR="00780DB6">
        <w:rPr>
          <w:rFonts w:ascii="Times New Roman" w:hAnsi="Times New Roman" w:cs="Times New Roman"/>
        </w:rPr>
        <w:t>standards as soon as possible.”</w:t>
      </w:r>
    </w:p>
    <w:p w:rsidR="005669DB" w:rsidRDefault="005669DB" w:rsidP="005669DB">
      <w:r w:rsidRPr="004404C1">
        <w:t xml:space="preserve">In order to be responsive to </w:t>
      </w:r>
      <w:r w:rsidR="00011662">
        <w:t xml:space="preserve">the requirements of MAP-21 and the </w:t>
      </w:r>
      <w:r w:rsidRPr="004404C1">
        <w:t>recommendations from the NTSB and OIG, and to ensure publ</w:t>
      </w:r>
      <w:r w:rsidR="00B906F1">
        <w:t>ic safety in</w:t>
      </w:r>
      <w:r w:rsidRPr="004404C1">
        <w:t xml:space="preserve"> tunnels</w:t>
      </w:r>
      <w:r w:rsidR="00B906F1">
        <w:t xml:space="preserve"> on public roads,</w:t>
      </w:r>
      <w:r w:rsidRPr="004404C1">
        <w:t xml:space="preserve"> </w:t>
      </w:r>
      <w:r w:rsidR="00B906F1">
        <w:t>e</w:t>
      </w:r>
      <w:r w:rsidRPr="004404C1">
        <w:t>stablishing u</w:t>
      </w:r>
      <w:r w:rsidR="00B906F1">
        <w:t>niform national tunnel inspection standards</w:t>
      </w:r>
      <w:r w:rsidRPr="004404C1">
        <w:t xml:space="preserve"> </w:t>
      </w:r>
      <w:r w:rsidR="00BA745B">
        <w:t xml:space="preserve">in regulation </w:t>
      </w:r>
      <w:r w:rsidRPr="004404C1">
        <w:t xml:space="preserve">is necessary. </w:t>
      </w:r>
      <w:r w:rsidR="00B906F1">
        <w:t xml:space="preserve"> </w:t>
      </w:r>
      <w:r w:rsidRPr="004404C1">
        <w:t>Lack of mandatory standards also introduces the likelihood of non-uniformity in practices across the nation. As</w:t>
      </w:r>
      <w:r w:rsidR="00780DB6">
        <w:t xml:space="preserve"> </w:t>
      </w:r>
      <w:r w:rsidRPr="004404C1">
        <w:t xml:space="preserve">evidenced by recent scrutiny of the bridge inspection program by </w:t>
      </w:r>
      <w:r w:rsidR="00780DB6">
        <w:t xml:space="preserve">Congress, the public, </w:t>
      </w:r>
      <w:r w:rsidRPr="004404C1">
        <w:t>media, and others, there is a strong desire to have some degree of national uniformity and consistency to ensure public trust and confidence in our highway system.</w:t>
      </w:r>
    </w:p>
    <w:p w:rsidR="005B6B53" w:rsidRDefault="005B6B53" w:rsidP="005669DB"/>
    <w:p w:rsidR="005B6B53" w:rsidRDefault="005B6B53" w:rsidP="005669DB">
      <w:r w:rsidRPr="005B6B53">
        <w:lastRenderedPageBreak/>
        <w:t>The data obtained through this informa</w:t>
      </w:r>
      <w:r>
        <w:t>tion collection will support the USDOT strategic goal of</w:t>
      </w:r>
      <w:r w:rsidRPr="005B6B53">
        <w:t xml:space="preserve"> Safety</w:t>
      </w:r>
      <w:r>
        <w:t>.</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2. </w:t>
      </w:r>
      <w:r w:rsidRPr="004404C1">
        <w:rPr>
          <w:rFonts w:ascii="Times New Roman" w:hAnsi="Times New Roman" w:cs="Times New Roman"/>
          <w:u w:val="single"/>
        </w:rPr>
        <w:t>How, by whom, and for what purpose is the information used</w:t>
      </w:r>
      <w:r w:rsidRPr="004404C1">
        <w:rPr>
          <w:rFonts w:ascii="Times New Roman" w:hAnsi="Times New Roman" w:cs="Times New Roman"/>
        </w:rPr>
        <w:t>:</w:t>
      </w:r>
    </w:p>
    <w:p w:rsidR="004404C1" w:rsidRDefault="004404C1" w:rsidP="004404C1">
      <w:r w:rsidRPr="004404C1">
        <w:t xml:space="preserve">State </w:t>
      </w:r>
      <w:r w:rsidR="00011662">
        <w:t>Departments of Transportation will be responsible for</w:t>
      </w:r>
      <w:r w:rsidR="00011662" w:rsidRPr="004404C1">
        <w:t xml:space="preserve"> </w:t>
      </w:r>
      <w:r w:rsidR="00011662">
        <w:t>inspecting</w:t>
      </w:r>
      <w:r w:rsidR="00011662" w:rsidRPr="004404C1">
        <w:t xml:space="preserve"> </w:t>
      </w:r>
      <w:r w:rsidRPr="004404C1">
        <w:t>and report</w:t>
      </w:r>
      <w:r w:rsidR="00011662">
        <w:t>ing</w:t>
      </w:r>
      <w:r w:rsidRPr="004404C1">
        <w:t xml:space="preserve"> to FHWA </w:t>
      </w:r>
      <w:r w:rsidR="00011662">
        <w:t xml:space="preserve">on </w:t>
      </w:r>
      <w:r w:rsidRPr="004404C1">
        <w:t>the condition of the</w:t>
      </w:r>
      <w:r w:rsidR="00011662">
        <w:t xml:space="preserve"> </w:t>
      </w:r>
      <w:r w:rsidRPr="004404C1">
        <w:t xml:space="preserve">tunnels </w:t>
      </w:r>
      <w:r w:rsidR="00011662">
        <w:t>in their State.  In addition,</w:t>
      </w:r>
      <w:r w:rsidR="003B41C4">
        <w:t xml:space="preserve"> Federal agencies and tribal governments that own tunnels must inspect </w:t>
      </w:r>
      <w:r w:rsidR="00B906F1">
        <w:t xml:space="preserve">those </w:t>
      </w:r>
      <w:r w:rsidR="003B41C4">
        <w:t xml:space="preserve">tunnels and report </w:t>
      </w:r>
      <w:r w:rsidR="00E47562">
        <w:t>the findings to FHWA</w:t>
      </w:r>
      <w:r w:rsidRPr="004404C1">
        <w:t xml:space="preserve">. This will allow FHWA to be informed on the condition of tunnels in the </w:t>
      </w:r>
      <w:r w:rsidR="001106BF">
        <w:t>N</w:t>
      </w:r>
      <w:r w:rsidRPr="004404C1">
        <w:t xml:space="preserve">ation </w:t>
      </w:r>
      <w:r w:rsidR="00DE17B6">
        <w:t xml:space="preserve">as required by MAP-21 </w:t>
      </w:r>
      <w:r w:rsidRPr="004404C1">
        <w:t>and respond to Congress</w:t>
      </w:r>
      <w:r w:rsidR="00DE17B6">
        <w:t>ional</w:t>
      </w:r>
      <w:r w:rsidRPr="004404C1">
        <w:t xml:space="preserve"> requests for this type of data.</w:t>
      </w:r>
    </w:p>
    <w:p w:rsidR="009A7345" w:rsidRPr="004404C1" w:rsidRDefault="009A7345" w:rsidP="009A7345"/>
    <w:p w:rsidR="005669DB" w:rsidRPr="004404C1" w:rsidRDefault="005669DB" w:rsidP="005669DB">
      <w:r w:rsidRPr="004404C1">
        <w:t xml:space="preserve">The information collected will be used to create a National </w:t>
      </w:r>
      <w:r w:rsidR="008202B9">
        <w:t xml:space="preserve">Tunnel </w:t>
      </w:r>
      <w:r w:rsidRPr="004404C1">
        <w:t>Inventory</w:t>
      </w:r>
      <w:r w:rsidR="004404C1">
        <w:t xml:space="preserve"> </w:t>
      </w:r>
      <w:r w:rsidRPr="004404C1">
        <w:t xml:space="preserve">(NTI) that will lead to a more accurate assessment of the number and condition of tunnels in the </w:t>
      </w:r>
      <w:r w:rsidR="001106BF">
        <w:t>N</w:t>
      </w:r>
      <w:r w:rsidRPr="004404C1">
        <w:t>ation.</w:t>
      </w:r>
      <w:r w:rsidR="00073A6A">
        <w:t xml:space="preserve">  It is necessary to collect data on the condition and operation of our Nation’s tunnels in order for owners to make informed investment decisions as part of a systematic integrated transportation asset management approach.  Without such an approach, ensuring an accountable and sustainable practice of maintenance, preservation, rehabilitation, or replacement across an inventory of tunnels is a significant challenge.  Data-driven asset management provides tunnel owners with a proven framework to demonstrate long-term accountability and accomplishment.  To meet the needs of this management approach, the data collected needs to be robust enough to support these investment decisions within a State and consistent enough across the Nation to identify trends in performance and demonstrate the linkages between Federal transportation expenditures and transportation agency programmatic results.  </w:t>
      </w:r>
    </w:p>
    <w:p w:rsidR="004404C1" w:rsidRPr="00780DB6" w:rsidRDefault="00BD1BF2" w:rsidP="00780DB6">
      <w:pPr>
        <w:pStyle w:val="NormalWeb"/>
        <w:rPr>
          <w:rFonts w:ascii="Times New Roman" w:hAnsi="Times New Roman" w:cs="Times New Roman"/>
        </w:rPr>
      </w:pPr>
      <w:r w:rsidRPr="004404C1">
        <w:rPr>
          <w:rFonts w:ascii="Times New Roman" w:hAnsi="Times New Roman" w:cs="Times New Roman"/>
        </w:rPr>
        <w:t xml:space="preserve">3. </w:t>
      </w:r>
      <w:r w:rsidRPr="004404C1">
        <w:rPr>
          <w:rFonts w:ascii="Times New Roman" w:hAnsi="Times New Roman" w:cs="Times New Roman"/>
          <w:u w:val="single"/>
        </w:rPr>
        <w:t>Extent of automated information collection</w:t>
      </w:r>
      <w:r w:rsidRPr="004404C1">
        <w:rPr>
          <w:rFonts w:ascii="Times New Roman" w:hAnsi="Times New Roman" w:cs="Times New Roman"/>
        </w:rPr>
        <w:t>:</w:t>
      </w:r>
    </w:p>
    <w:p w:rsidR="004404C1" w:rsidRPr="004404C1" w:rsidRDefault="004404C1">
      <w:pPr>
        <w:rPr>
          <w:color w:val="FF0000"/>
        </w:rPr>
      </w:pPr>
      <w:r w:rsidRPr="004404C1">
        <w:t>The FHWA intends to collect and store the data electronically.</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4. </w:t>
      </w:r>
      <w:r w:rsidRPr="004404C1">
        <w:rPr>
          <w:rFonts w:ascii="Times New Roman" w:hAnsi="Times New Roman" w:cs="Times New Roman"/>
          <w:u w:val="single"/>
        </w:rPr>
        <w:t>Efforts to identify duplication</w:t>
      </w:r>
      <w:r w:rsidRPr="004404C1">
        <w:rPr>
          <w:rFonts w:ascii="Times New Roman" w:hAnsi="Times New Roman" w:cs="Times New Roman"/>
        </w:rPr>
        <w:t>:</w:t>
      </w:r>
    </w:p>
    <w:p w:rsidR="00BD1BF2" w:rsidRPr="004404C1" w:rsidRDefault="008C7D0D">
      <w:r w:rsidRPr="004404C1">
        <w:t xml:space="preserve">No other similar information is available. This is the first time </w:t>
      </w:r>
      <w:r w:rsidR="001106BF">
        <w:t>tunnel owners</w:t>
      </w:r>
      <w:r w:rsidRPr="004404C1">
        <w:t xml:space="preserve"> </w:t>
      </w:r>
      <w:r w:rsidR="004404C1">
        <w:t>will be</w:t>
      </w:r>
      <w:r w:rsidRPr="004404C1">
        <w:t xml:space="preserve"> required to collect and report tunnel inventory data </w:t>
      </w:r>
      <w:r w:rsidR="000D6073">
        <w:t xml:space="preserve">and inspection </w:t>
      </w:r>
      <w:r w:rsidR="008202B9">
        <w:t xml:space="preserve">findings </w:t>
      </w:r>
      <w:r w:rsidRPr="004404C1">
        <w:t>in accordance with the new National Tunnel Inspection Standards.</w:t>
      </w:r>
      <w:r w:rsidR="00BD1BF2" w:rsidRPr="004404C1">
        <w:t xml:space="preserve">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5. </w:t>
      </w:r>
      <w:r w:rsidRPr="004404C1">
        <w:rPr>
          <w:rFonts w:ascii="Times New Roman" w:hAnsi="Times New Roman" w:cs="Times New Roman"/>
          <w:u w:val="single"/>
        </w:rPr>
        <w:t>Efforts to minimize the burden on small businesses</w:t>
      </w:r>
      <w:r w:rsidRPr="004404C1">
        <w:rPr>
          <w:rFonts w:ascii="Times New Roman" w:hAnsi="Times New Roman" w:cs="Times New Roman"/>
        </w:rPr>
        <w:t>:</w:t>
      </w:r>
    </w:p>
    <w:p w:rsidR="004404C1" w:rsidRDefault="00780DB6" w:rsidP="00780DB6">
      <w:r w:rsidRPr="00780DB6">
        <w:t>Not applicable.  No small businesses will be involved in this information collection</w:t>
      </w:r>
      <w:r w:rsidR="00BD1BF2" w:rsidRPr="004404C1">
        <w:t xml:space="preserve"> </w:t>
      </w:r>
    </w:p>
    <w:p w:rsidR="00BD1BF2" w:rsidRDefault="00BD1BF2">
      <w:pPr>
        <w:pStyle w:val="NormalWeb"/>
        <w:rPr>
          <w:rFonts w:ascii="Times New Roman" w:hAnsi="Times New Roman" w:cs="Times New Roman"/>
        </w:rPr>
      </w:pPr>
      <w:r w:rsidRPr="004404C1">
        <w:rPr>
          <w:rFonts w:ascii="Times New Roman" w:hAnsi="Times New Roman" w:cs="Times New Roman"/>
        </w:rPr>
        <w:t xml:space="preserve">6. </w:t>
      </w:r>
      <w:r w:rsidRPr="004404C1">
        <w:rPr>
          <w:rFonts w:ascii="Times New Roman" w:hAnsi="Times New Roman" w:cs="Times New Roman"/>
          <w:u w:val="single"/>
        </w:rPr>
        <w:t>Impact of less frequent collection of information</w:t>
      </w:r>
      <w:r w:rsidRPr="004404C1">
        <w:rPr>
          <w:rFonts w:ascii="Times New Roman" w:hAnsi="Times New Roman" w:cs="Times New Roman"/>
        </w:rPr>
        <w:t>:</w:t>
      </w:r>
    </w:p>
    <w:p w:rsidR="00644F55" w:rsidRDefault="00644F55" w:rsidP="00B906F1">
      <w:pPr>
        <w:pStyle w:val="NormalWeb"/>
        <w:tabs>
          <w:tab w:val="left" w:pos="6210"/>
        </w:tabs>
        <w:rPr>
          <w:rFonts w:ascii="Times New Roman" w:hAnsi="Times New Roman" w:cs="Times New Roman"/>
        </w:rPr>
      </w:pPr>
      <w:r>
        <w:rPr>
          <w:rFonts w:ascii="Times New Roman" w:hAnsi="Times New Roman" w:cs="Times New Roman"/>
        </w:rPr>
        <w:t xml:space="preserve">Less frequent collection of information could </w:t>
      </w:r>
      <w:r w:rsidR="00DE17B6">
        <w:rPr>
          <w:rFonts w:ascii="Times New Roman" w:hAnsi="Times New Roman" w:cs="Times New Roman"/>
        </w:rPr>
        <w:t xml:space="preserve">compromise safety and result in </w:t>
      </w:r>
      <w:r>
        <w:rPr>
          <w:rFonts w:ascii="Times New Roman" w:hAnsi="Times New Roman" w:cs="Times New Roman"/>
        </w:rPr>
        <w:t xml:space="preserve">dated information.  In order to </w:t>
      </w:r>
      <w:r w:rsidR="00DE17B6">
        <w:rPr>
          <w:rFonts w:ascii="Times New Roman" w:hAnsi="Times New Roman" w:cs="Times New Roman"/>
        </w:rPr>
        <w:t xml:space="preserve">ensure safety and </w:t>
      </w:r>
      <w:r>
        <w:rPr>
          <w:rFonts w:ascii="Times New Roman" w:hAnsi="Times New Roman" w:cs="Times New Roman"/>
        </w:rPr>
        <w:t xml:space="preserve">provide accurate information </w:t>
      </w:r>
      <w:r w:rsidR="00BA0FF8">
        <w:rPr>
          <w:rFonts w:ascii="Times New Roman" w:hAnsi="Times New Roman" w:cs="Times New Roman"/>
        </w:rPr>
        <w:t xml:space="preserve">in the annual report </w:t>
      </w:r>
      <w:r>
        <w:rPr>
          <w:rFonts w:ascii="Times New Roman" w:hAnsi="Times New Roman" w:cs="Times New Roman"/>
        </w:rPr>
        <w:t xml:space="preserve">to Congress and all our partners, the frequency </w:t>
      </w:r>
      <w:r w:rsidR="00411EF1">
        <w:rPr>
          <w:rFonts w:ascii="Times New Roman" w:hAnsi="Times New Roman" w:cs="Times New Roman"/>
        </w:rPr>
        <w:t xml:space="preserve">of routine inspection reports </w:t>
      </w:r>
      <w:r>
        <w:rPr>
          <w:rFonts w:ascii="Times New Roman" w:hAnsi="Times New Roman" w:cs="Times New Roman"/>
        </w:rPr>
        <w:t xml:space="preserve">should not be </w:t>
      </w:r>
      <w:r w:rsidR="00FB6FDA">
        <w:rPr>
          <w:rFonts w:ascii="Times New Roman" w:hAnsi="Times New Roman" w:cs="Times New Roman"/>
        </w:rPr>
        <w:t xml:space="preserve">less </w:t>
      </w:r>
      <w:r>
        <w:rPr>
          <w:rFonts w:ascii="Times New Roman" w:hAnsi="Times New Roman" w:cs="Times New Roman"/>
        </w:rPr>
        <w:t>than</w:t>
      </w:r>
      <w:r w:rsidR="00B906F1">
        <w:rPr>
          <w:rFonts w:ascii="Times New Roman" w:hAnsi="Times New Roman" w:cs="Times New Roman"/>
        </w:rPr>
        <w:t xml:space="preserve"> </w:t>
      </w:r>
      <w:r w:rsidR="000D6073">
        <w:rPr>
          <w:rFonts w:ascii="Times New Roman" w:hAnsi="Times New Roman" w:cs="Times New Roman"/>
        </w:rPr>
        <w:t>every 24 months</w:t>
      </w:r>
      <w:r>
        <w:rPr>
          <w:rFonts w:ascii="Times New Roman" w:hAnsi="Times New Roman" w:cs="Times New Roman"/>
        </w:rPr>
        <w:t xml:space="preserve">. </w:t>
      </w:r>
    </w:p>
    <w:p w:rsidR="004404C1" w:rsidRPr="004404C1" w:rsidRDefault="00BD1BF2" w:rsidP="00780DB6">
      <w:pPr>
        <w:pStyle w:val="NormalWeb"/>
        <w:rPr>
          <w:rFonts w:ascii="Times New Roman" w:hAnsi="Times New Roman" w:cs="Times New Roman"/>
        </w:rPr>
      </w:pPr>
      <w:r w:rsidRPr="004404C1">
        <w:rPr>
          <w:rFonts w:ascii="Times New Roman" w:hAnsi="Times New Roman" w:cs="Times New Roman"/>
        </w:rPr>
        <w:t xml:space="preserve">7. </w:t>
      </w:r>
      <w:r w:rsidRPr="004404C1">
        <w:rPr>
          <w:rFonts w:ascii="Times New Roman" w:hAnsi="Times New Roman" w:cs="Times New Roman"/>
          <w:u w:val="single"/>
        </w:rPr>
        <w:t>Special circumstances</w:t>
      </w:r>
      <w:r w:rsidRPr="004404C1">
        <w:rPr>
          <w:rFonts w:ascii="Times New Roman" w:hAnsi="Times New Roman" w:cs="Times New Roman"/>
        </w:rPr>
        <w:t>:</w:t>
      </w:r>
    </w:p>
    <w:p w:rsidR="00780DB6" w:rsidRDefault="00780DB6">
      <w:pPr>
        <w:pStyle w:val="NormalWeb"/>
        <w:rPr>
          <w:rFonts w:ascii="Times New Roman" w:eastAsia="Times New Roman" w:hAnsi="Times New Roman" w:cs="Times New Roman"/>
        </w:rPr>
      </w:pPr>
      <w:r w:rsidRPr="00780DB6">
        <w:rPr>
          <w:rFonts w:ascii="Times New Roman" w:eastAsia="Times New Roman" w:hAnsi="Times New Roman" w:cs="Times New Roman"/>
        </w:rPr>
        <w:t>There are no special circumstance</w:t>
      </w:r>
      <w:r>
        <w:rPr>
          <w:rFonts w:ascii="Times New Roman" w:eastAsia="Times New Roman" w:hAnsi="Times New Roman" w:cs="Times New Roman"/>
        </w:rPr>
        <w:t xml:space="preserve">s associated with this </w:t>
      </w:r>
      <w:r w:rsidRPr="00780DB6">
        <w:rPr>
          <w:rFonts w:ascii="Times New Roman" w:eastAsia="Times New Roman" w:hAnsi="Times New Roman" w:cs="Times New Roman"/>
        </w:rPr>
        <w:t xml:space="preserve">information collection. </w:t>
      </w:r>
    </w:p>
    <w:p w:rsidR="0030604F" w:rsidRDefault="0030604F">
      <w:pPr>
        <w:pStyle w:val="NormalWeb"/>
        <w:rPr>
          <w:rFonts w:ascii="Times New Roman" w:hAnsi="Times New Roman" w:cs="Times New Roman"/>
        </w:rPr>
      </w:pPr>
    </w:p>
    <w:p w:rsidR="0030604F" w:rsidRDefault="0030604F">
      <w:pPr>
        <w:pStyle w:val="NormalWeb"/>
        <w:rPr>
          <w:rFonts w:ascii="Times New Roman" w:hAnsi="Times New Roman" w:cs="Times New Roman"/>
        </w:rPr>
      </w:pPr>
    </w:p>
    <w:p w:rsidR="00BD1BF2" w:rsidRPr="000C3090" w:rsidRDefault="00BD1BF2">
      <w:pPr>
        <w:pStyle w:val="NormalWeb"/>
        <w:rPr>
          <w:rFonts w:ascii="Times New Roman" w:hAnsi="Times New Roman" w:cs="Times New Roman"/>
        </w:rPr>
      </w:pPr>
      <w:r w:rsidRPr="000C3090">
        <w:rPr>
          <w:rFonts w:ascii="Times New Roman" w:hAnsi="Times New Roman" w:cs="Times New Roman"/>
        </w:rPr>
        <w:lastRenderedPageBreak/>
        <w:t xml:space="preserve">8. </w:t>
      </w:r>
      <w:r w:rsidRPr="000C3090">
        <w:rPr>
          <w:rFonts w:ascii="Times New Roman" w:hAnsi="Times New Roman" w:cs="Times New Roman"/>
          <w:u w:val="single"/>
        </w:rPr>
        <w:t>Compliance with 5 CFR 1320.8</w:t>
      </w:r>
      <w:r w:rsidRPr="000C3090">
        <w:rPr>
          <w:rFonts w:ascii="Times New Roman" w:hAnsi="Times New Roman" w:cs="Times New Roman"/>
        </w:rPr>
        <w:t>:</w:t>
      </w:r>
    </w:p>
    <w:p w:rsidR="00362E10" w:rsidRPr="000C3090" w:rsidRDefault="000C3090" w:rsidP="004417FC">
      <w:pPr>
        <w:pStyle w:val="NormalWeb"/>
      </w:pPr>
      <w:r w:rsidRPr="000C3090">
        <w:rPr>
          <w:rFonts w:ascii="Times New Roman" w:hAnsi="Times New Roman" w:cs="Times New Roman"/>
        </w:rPr>
        <w:t>The information collection request (ICR) associated with the supplemental notice of proposed rulemaking (SNPRM) will be published in the SNPRM document itself, consistent with 5 CFR 1320.8(d</w:t>
      </w:r>
      <w:proofErr w:type="gramStart"/>
      <w:r w:rsidRPr="000C3090">
        <w:rPr>
          <w:rFonts w:ascii="Times New Roman" w:hAnsi="Times New Roman" w:cs="Times New Roman"/>
        </w:rPr>
        <w:t>)(</w:t>
      </w:r>
      <w:proofErr w:type="gramEnd"/>
      <w:r w:rsidRPr="000C3090">
        <w:rPr>
          <w:rFonts w:ascii="Times New Roman" w:hAnsi="Times New Roman" w:cs="Times New Roman"/>
        </w:rPr>
        <w:t xml:space="preserve">3).  Since that SNPRM is forthcoming, there is no Federal Register citation available for it at this time.  </w:t>
      </w:r>
      <w:bookmarkStart w:id="0" w:name="_GoBack"/>
      <w:bookmarkEnd w:id="0"/>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9. </w:t>
      </w:r>
      <w:r w:rsidRPr="004404C1">
        <w:rPr>
          <w:rFonts w:ascii="Times New Roman" w:hAnsi="Times New Roman" w:cs="Times New Roman"/>
          <w:u w:val="single"/>
        </w:rPr>
        <w:t>Payments or gifts to respondents</w:t>
      </w:r>
      <w:r w:rsidRPr="004404C1">
        <w:rPr>
          <w:rFonts w:ascii="Times New Roman" w:hAnsi="Times New Roman" w:cs="Times New Roman"/>
        </w:rPr>
        <w:t>:</w:t>
      </w:r>
    </w:p>
    <w:p w:rsidR="003C79F2" w:rsidRPr="004404C1" w:rsidRDefault="00780DB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There are no payments or special gifts associated with this collection.</w:t>
      </w:r>
    </w:p>
    <w:p w:rsidR="002D2BCD" w:rsidRDefault="00BD1BF2" w:rsidP="00780DB6">
      <w:pPr>
        <w:pStyle w:val="NormalWeb"/>
        <w:rPr>
          <w:rFonts w:ascii="Times New Roman" w:hAnsi="Times New Roman" w:cs="Times New Roman"/>
        </w:rPr>
      </w:pPr>
      <w:r w:rsidRPr="004404C1">
        <w:rPr>
          <w:rFonts w:ascii="Times New Roman" w:hAnsi="Times New Roman" w:cs="Times New Roman"/>
        </w:rPr>
        <w:t xml:space="preserve">10. </w:t>
      </w:r>
      <w:r w:rsidRPr="004404C1">
        <w:rPr>
          <w:rFonts w:ascii="Times New Roman" w:hAnsi="Times New Roman" w:cs="Times New Roman"/>
          <w:u w:val="single"/>
        </w:rPr>
        <w:t>Assurance of confidentiality</w:t>
      </w:r>
      <w:r w:rsidRPr="004404C1">
        <w:rPr>
          <w:rFonts w:ascii="Times New Roman" w:hAnsi="Times New Roman" w:cs="Times New Roman"/>
        </w:rPr>
        <w:t>:</w:t>
      </w:r>
    </w:p>
    <w:p w:rsidR="002D2BCD" w:rsidRPr="00B906F1" w:rsidRDefault="00780DB6" w:rsidP="00B906F1">
      <w:pPr>
        <w:pStyle w:val="BodyText"/>
        <w:rPr>
          <w:rFonts w:ascii="Times New Roman" w:hAnsi="Times New Roman" w:cs="Times New Roman"/>
          <w:color w:val="auto"/>
          <w:sz w:val="24"/>
          <w:szCs w:val="24"/>
        </w:rPr>
      </w:pPr>
      <w:r>
        <w:rPr>
          <w:rFonts w:ascii="Times New Roman" w:hAnsi="Times New Roman" w:cs="Times New Roman"/>
          <w:color w:val="auto"/>
          <w:sz w:val="24"/>
          <w:szCs w:val="24"/>
        </w:rPr>
        <w:t>FHWA is not assuring confidentiality with this collection.</w:t>
      </w:r>
    </w:p>
    <w:p w:rsidR="002D2BCD" w:rsidRDefault="00BD1BF2" w:rsidP="00780DB6">
      <w:pPr>
        <w:pStyle w:val="NormalWeb"/>
        <w:rPr>
          <w:rFonts w:ascii="Times New Roman" w:hAnsi="Times New Roman" w:cs="Times New Roman"/>
        </w:rPr>
      </w:pPr>
      <w:r w:rsidRPr="004404C1">
        <w:rPr>
          <w:rFonts w:ascii="Times New Roman" w:hAnsi="Times New Roman" w:cs="Times New Roman"/>
        </w:rPr>
        <w:t xml:space="preserve">11. </w:t>
      </w:r>
      <w:r w:rsidRPr="004404C1">
        <w:rPr>
          <w:rFonts w:ascii="Times New Roman" w:hAnsi="Times New Roman" w:cs="Times New Roman"/>
          <w:u w:val="single"/>
        </w:rPr>
        <w:t>Justification for collection of sensitive information</w:t>
      </w:r>
      <w:r w:rsidRPr="004404C1">
        <w:rPr>
          <w:rFonts w:ascii="Times New Roman" w:hAnsi="Times New Roman" w:cs="Times New Roman"/>
        </w:rPr>
        <w:t>:</w:t>
      </w:r>
    </w:p>
    <w:p w:rsidR="00780DB6" w:rsidRDefault="00780DB6">
      <w:pPr>
        <w:pStyle w:val="NormalWeb"/>
        <w:rPr>
          <w:rFonts w:ascii="Times New Roman" w:eastAsia="Times New Roman" w:hAnsi="Times New Roman" w:cs="Times New Roman"/>
        </w:rPr>
      </w:pPr>
      <w:r w:rsidRPr="00780DB6">
        <w:rPr>
          <w:rFonts w:ascii="Times New Roman" w:eastAsia="Times New Roman" w:hAnsi="Times New Roman" w:cs="Times New Roman"/>
        </w:rPr>
        <w:t>No questions will be asked that are of a personal or sensitive nature.</w:t>
      </w:r>
    </w:p>
    <w:p w:rsidR="00E47562" w:rsidRPr="0030604F" w:rsidRDefault="00BD1BF2" w:rsidP="0030604F">
      <w:pPr>
        <w:pStyle w:val="NormalWeb"/>
        <w:rPr>
          <w:rFonts w:ascii="Times New Roman" w:hAnsi="Times New Roman" w:cs="Times New Roman"/>
        </w:rPr>
      </w:pPr>
      <w:r w:rsidRPr="004404C1">
        <w:rPr>
          <w:rFonts w:ascii="Times New Roman" w:hAnsi="Times New Roman" w:cs="Times New Roman"/>
        </w:rPr>
        <w:t xml:space="preserve">12. </w:t>
      </w:r>
      <w:r w:rsidRPr="004404C1">
        <w:rPr>
          <w:rFonts w:ascii="Times New Roman" w:hAnsi="Times New Roman" w:cs="Times New Roman"/>
          <w:u w:val="single"/>
        </w:rPr>
        <w:t>Estimate of burden hours for information requested</w:t>
      </w:r>
      <w:r w:rsidRPr="004404C1">
        <w:rPr>
          <w:rFonts w:ascii="Times New Roman" w:hAnsi="Times New Roman" w:cs="Times New Roman"/>
        </w:rPr>
        <w:t>:</w:t>
      </w:r>
    </w:p>
    <w:p w:rsidR="00E47562" w:rsidRPr="0077639E" w:rsidRDefault="00E47562" w:rsidP="00E47562">
      <w:pPr>
        <w:pStyle w:val="ListParagraph"/>
        <w:numPr>
          <w:ilvl w:val="0"/>
          <w:numId w:val="1"/>
        </w:numPr>
        <w:rPr>
          <w:u w:val="single"/>
        </w:rPr>
      </w:pPr>
      <w:r w:rsidRPr="0077639E">
        <w:rPr>
          <w:u w:val="single"/>
        </w:rPr>
        <w:t xml:space="preserve">Estimated </w:t>
      </w:r>
      <w:r w:rsidR="00B906F1" w:rsidRPr="0077639E">
        <w:rPr>
          <w:u w:val="single"/>
        </w:rPr>
        <w:t xml:space="preserve">Burden for </w:t>
      </w:r>
      <w:r w:rsidRPr="0077639E">
        <w:rPr>
          <w:u w:val="single"/>
        </w:rPr>
        <w:t xml:space="preserve">Preliminary National Tunnel Inventory </w:t>
      </w:r>
    </w:p>
    <w:p w:rsidR="00CB08EF" w:rsidRDefault="00CB08EF" w:rsidP="00CB08EF">
      <w:pPr>
        <w:widowControl w:val="0"/>
        <w:tabs>
          <w:tab w:val="left" w:pos="204"/>
        </w:tabs>
        <w:autoSpaceDE w:val="0"/>
        <w:autoSpaceDN w:val="0"/>
        <w:adjustRightInd w:val="0"/>
      </w:pPr>
    </w:p>
    <w:p w:rsidR="00CB08EF" w:rsidRPr="004404C1" w:rsidRDefault="00CB08EF" w:rsidP="00CB08EF">
      <w:r w:rsidRPr="00CB08EF">
        <w:rPr>
          <w:bCs/>
          <w:i/>
          <w:iCs/>
        </w:rPr>
        <w:t>Respondents</w:t>
      </w:r>
      <w:r w:rsidRPr="00CB08EF">
        <w:rPr>
          <w:i/>
          <w:iCs/>
        </w:rPr>
        <w:t xml:space="preserve">: </w:t>
      </w:r>
      <w:r w:rsidRPr="004404C1">
        <w:t xml:space="preserve">50 States, District of Columbia, and Puerto Rico </w:t>
      </w:r>
      <w:r>
        <w:t xml:space="preserve">and any Federal agencies and tribal governments that own tunnels </w:t>
      </w:r>
      <w:r w:rsidRPr="004404C1">
        <w:t>(</w:t>
      </w:r>
      <w:r>
        <w:t xml:space="preserve">approximately </w:t>
      </w:r>
      <w:r w:rsidRPr="004404C1">
        <w:t xml:space="preserve">52 </w:t>
      </w:r>
      <w:proofErr w:type="gramStart"/>
      <w:r w:rsidRPr="004404C1">
        <w:t>total</w:t>
      </w:r>
      <w:proofErr w:type="gramEnd"/>
      <w:r w:rsidRPr="004404C1">
        <w:t>).</w:t>
      </w:r>
    </w:p>
    <w:p w:rsidR="00CB08EF" w:rsidRDefault="00CB08EF" w:rsidP="00CB08EF">
      <w:pPr>
        <w:widowControl w:val="0"/>
        <w:tabs>
          <w:tab w:val="left" w:pos="187"/>
        </w:tabs>
        <w:autoSpaceDE w:val="0"/>
        <w:autoSpaceDN w:val="0"/>
        <w:adjustRightInd w:val="0"/>
      </w:pPr>
      <w:r w:rsidRPr="00CB08EF">
        <w:rPr>
          <w:bCs/>
          <w:i/>
          <w:iCs/>
        </w:rPr>
        <w:t>Frequency</w:t>
      </w:r>
      <w:r w:rsidRPr="00CB08EF">
        <w:rPr>
          <w:i/>
          <w:iCs/>
        </w:rPr>
        <w:t xml:space="preserve">: </w:t>
      </w:r>
      <w:r>
        <w:t xml:space="preserve">Once within 120 days of the effective date of the rule.   </w:t>
      </w:r>
    </w:p>
    <w:p w:rsidR="00411EF1" w:rsidRDefault="00CB08EF" w:rsidP="00411EF1">
      <w:pPr>
        <w:widowControl w:val="0"/>
        <w:tabs>
          <w:tab w:val="left" w:pos="187"/>
        </w:tabs>
        <w:autoSpaceDE w:val="0"/>
        <w:autoSpaceDN w:val="0"/>
        <w:adjustRightInd w:val="0"/>
      </w:pPr>
      <w:proofErr w:type="gramStart"/>
      <w:r w:rsidRPr="00CB08EF">
        <w:rPr>
          <w:bCs/>
          <w:i/>
          <w:iCs/>
        </w:rPr>
        <w:t xml:space="preserve">Estimated Average </w:t>
      </w:r>
      <w:r>
        <w:rPr>
          <w:bCs/>
          <w:i/>
          <w:iCs/>
        </w:rPr>
        <w:t xml:space="preserve">Annual </w:t>
      </w:r>
      <w:r w:rsidR="0077639E">
        <w:rPr>
          <w:bCs/>
          <w:i/>
          <w:iCs/>
        </w:rPr>
        <w:t>Burde</w:t>
      </w:r>
      <w:r w:rsidR="00C52683">
        <w:rPr>
          <w:bCs/>
          <w:i/>
          <w:iCs/>
        </w:rPr>
        <w:t>n</w:t>
      </w:r>
      <w:r w:rsidRPr="00CB08EF">
        <w:rPr>
          <w:i/>
          <w:iCs/>
        </w:rPr>
        <w:t>:</w:t>
      </w:r>
      <w:r w:rsidRPr="00CB08EF">
        <w:rPr>
          <w:b/>
          <w:iCs/>
        </w:rPr>
        <w:t xml:space="preserve"> </w:t>
      </w:r>
      <w:r w:rsidRPr="00CB08EF">
        <w:t xml:space="preserve">Approximately </w:t>
      </w:r>
      <w:r w:rsidR="0077639E">
        <w:t>2,808 hours</w:t>
      </w:r>
      <w:r w:rsidRPr="00CB08EF">
        <w:t>.</w:t>
      </w:r>
      <w:proofErr w:type="gramEnd"/>
    </w:p>
    <w:p w:rsidR="00411EF1" w:rsidRDefault="00411EF1" w:rsidP="00411EF1">
      <w:pPr>
        <w:widowControl w:val="0"/>
        <w:tabs>
          <w:tab w:val="left" w:pos="187"/>
        </w:tabs>
        <w:autoSpaceDE w:val="0"/>
        <w:autoSpaceDN w:val="0"/>
        <w:adjustRightInd w:val="0"/>
      </w:pPr>
    </w:p>
    <w:p w:rsidR="0077639E" w:rsidRDefault="00411EF1" w:rsidP="00411EF1">
      <w:pPr>
        <w:widowControl w:val="0"/>
        <w:tabs>
          <w:tab w:val="left" w:pos="187"/>
        </w:tabs>
        <w:autoSpaceDE w:val="0"/>
        <w:autoSpaceDN w:val="0"/>
        <w:adjustRightInd w:val="0"/>
      </w:pPr>
      <w:r>
        <w:t xml:space="preserve">The estimated burden on </w:t>
      </w:r>
      <w:r w:rsidR="008A4A67">
        <w:t>tunnel owners</w:t>
      </w:r>
      <w:r>
        <w:t xml:space="preserve"> to collect, manage, and report this data is assumed to be 8 hours per tunnel for a total estimate of 2,808 hours for all 350 estimated tunnels in the Nation.  This represents an average of 54 hours per responder.  </w:t>
      </w:r>
      <w:r w:rsidR="0077639E">
        <w:t xml:space="preserve">With the average time of </w:t>
      </w:r>
      <w:r w:rsidR="00C52683">
        <w:t>54</w:t>
      </w:r>
      <w:r w:rsidR="0077639E">
        <w:t xml:space="preserve"> hours </w:t>
      </w:r>
      <w:r>
        <w:t xml:space="preserve">per responder </w:t>
      </w:r>
      <w:r w:rsidR="0077639E">
        <w:t>to collect, manage and report preliminary inventory data, it is estimated that the burden hours will total 2,808 hours per year (52 responses x 54.00 hours per res</w:t>
      </w:r>
      <w:r>
        <w:t>ponder</w:t>
      </w:r>
      <w:r w:rsidR="0077639E">
        <w:t xml:space="preserve"> = 2,808 hours).</w:t>
      </w:r>
    </w:p>
    <w:p w:rsidR="0077639E" w:rsidRDefault="0077639E" w:rsidP="0077639E"/>
    <w:tbl>
      <w:tblPr>
        <w:tblW w:w="9532" w:type="dxa"/>
        <w:tblInd w:w="96" w:type="dxa"/>
        <w:tblCellMar>
          <w:left w:w="0" w:type="dxa"/>
          <w:right w:w="0" w:type="dxa"/>
        </w:tblCellMar>
        <w:tblLook w:val="04A0" w:firstRow="1" w:lastRow="0" w:firstColumn="1" w:lastColumn="0" w:noHBand="0" w:noVBand="1"/>
      </w:tblPr>
      <w:tblGrid>
        <w:gridCol w:w="1812"/>
        <w:gridCol w:w="390"/>
        <w:gridCol w:w="1176"/>
        <w:gridCol w:w="6184"/>
      </w:tblGrid>
      <w:tr w:rsidR="0077639E" w:rsidTr="008C628B">
        <w:trPr>
          <w:trHeight w:val="645"/>
        </w:trPr>
        <w:tc>
          <w:tcPr>
            <w:tcW w:w="1812" w:type="dxa"/>
            <w:noWrap/>
            <w:tcMar>
              <w:top w:w="0" w:type="dxa"/>
              <w:left w:w="108" w:type="dxa"/>
              <w:bottom w:w="0" w:type="dxa"/>
              <w:right w:w="108" w:type="dxa"/>
            </w:tcMar>
            <w:hideMark/>
          </w:tcPr>
          <w:p w:rsidR="0077639E" w:rsidRPr="00C52683" w:rsidRDefault="0077639E" w:rsidP="008C628B">
            <w:pPr>
              <w:autoSpaceDN w:val="0"/>
              <w:rPr>
                <w:rFonts w:eastAsiaTheme="minorHAnsi"/>
                <w:b/>
                <w:bCs/>
              </w:rPr>
            </w:pPr>
            <w:r w:rsidRPr="00C52683">
              <w:rPr>
                <w:b/>
                <w:bCs/>
              </w:rPr>
              <w:t>Responses =</w:t>
            </w:r>
          </w:p>
        </w:tc>
        <w:tc>
          <w:tcPr>
            <w:tcW w:w="360" w:type="dxa"/>
            <w:noWrap/>
            <w:tcMar>
              <w:top w:w="0" w:type="dxa"/>
              <w:left w:w="108" w:type="dxa"/>
              <w:bottom w:w="0" w:type="dxa"/>
              <w:right w:w="108" w:type="dxa"/>
            </w:tcMar>
          </w:tcPr>
          <w:p w:rsidR="0077639E" w:rsidRPr="00C52683" w:rsidRDefault="0077639E" w:rsidP="008C628B">
            <w:pPr>
              <w:autoSpaceDN w:val="0"/>
              <w:rPr>
                <w:rFonts w:eastAsiaTheme="minorHAnsi"/>
                <w:b/>
              </w:rPr>
            </w:pPr>
          </w:p>
        </w:tc>
        <w:tc>
          <w:tcPr>
            <w:tcW w:w="1176" w:type="dxa"/>
            <w:noWrap/>
            <w:tcMar>
              <w:top w:w="0" w:type="dxa"/>
              <w:left w:w="108" w:type="dxa"/>
              <w:bottom w:w="0" w:type="dxa"/>
              <w:right w:w="108" w:type="dxa"/>
            </w:tcMar>
            <w:hideMark/>
          </w:tcPr>
          <w:p w:rsidR="0077639E" w:rsidRPr="00C52683" w:rsidRDefault="0077639E" w:rsidP="008C628B">
            <w:pPr>
              <w:autoSpaceDN w:val="0"/>
              <w:jc w:val="right"/>
              <w:rPr>
                <w:rFonts w:eastAsiaTheme="minorHAnsi"/>
                <w:b/>
                <w:bCs/>
              </w:rPr>
            </w:pPr>
            <w:r w:rsidRPr="00C52683">
              <w:rPr>
                <w:b/>
                <w:bCs/>
              </w:rPr>
              <w:t>52</w:t>
            </w:r>
          </w:p>
        </w:tc>
        <w:tc>
          <w:tcPr>
            <w:tcW w:w="6184" w:type="dxa"/>
            <w:tcMar>
              <w:top w:w="0" w:type="dxa"/>
              <w:left w:w="108" w:type="dxa"/>
              <w:bottom w:w="0" w:type="dxa"/>
              <w:right w:w="108" w:type="dxa"/>
            </w:tcMar>
            <w:hideMark/>
          </w:tcPr>
          <w:p w:rsidR="0077639E" w:rsidRPr="00C52683" w:rsidRDefault="0077639E" w:rsidP="008C628B">
            <w:pPr>
              <w:rPr>
                <w:b/>
              </w:rPr>
            </w:pPr>
          </w:p>
        </w:tc>
      </w:tr>
      <w:tr w:rsidR="0077639E" w:rsidTr="008C628B">
        <w:trPr>
          <w:trHeight w:val="255"/>
        </w:trPr>
        <w:tc>
          <w:tcPr>
            <w:tcW w:w="1812" w:type="dxa"/>
            <w:noWrap/>
            <w:tcMar>
              <w:top w:w="0" w:type="dxa"/>
              <w:left w:w="108" w:type="dxa"/>
              <w:bottom w:w="0" w:type="dxa"/>
              <w:right w:w="108" w:type="dxa"/>
            </w:tcMar>
            <w:vAlign w:val="bottom"/>
          </w:tcPr>
          <w:p w:rsidR="0077639E" w:rsidRPr="00C52683" w:rsidRDefault="0077639E" w:rsidP="008C628B">
            <w:pPr>
              <w:autoSpaceDN w:val="0"/>
              <w:rPr>
                <w:rFonts w:eastAsiaTheme="minorHAnsi"/>
              </w:rPr>
            </w:pPr>
          </w:p>
        </w:tc>
        <w:tc>
          <w:tcPr>
            <w:tcW w:w="360" w:type="dxa"/>
            <w:noWrap/>
            <w:tcMar>
              <w:top w:w="0" w:type="dxa"/>
              <w:left w:w="108" w:type="dxa"/>
              <w:bottom w:w="0" w:type="dxa"/>
              <w:right w:w="108" w:type="dxa"/>
            </w:tcMar>
            <w:vAlign w:val="bottom"/>
            <w:hideMark/>
          </w:tcPr>
          <w:p w:rsidR="0077639E" w:rsidRPr="00C52683" w:rsidRDefault="0077639E" w:rsidP="008C628B">
            <w:pPr>
              <w:autoSpaceDN w:val="0"/>
              <w:jc w:val="center"/>
              <w:rPr>
                <w:rFonts w:eastAsiaTheme="minorHAnsi"/>
                <w:b/>
              </w:rPr>
            </w:pPr>
            <w:r w:rsidRPr="00C52683">
              <w:rPr>
                <w:b/>
              </w:rPr>
              <w:t>X</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77639E" w:rsidRPr="00C52683" w:rsidRDefault="0077639E" w:rsidP="008C628B">
            <w:pPr>
              <w:autoSpaceDN w:val="0"/>
              <w:jc w:val="right"/>
              <w:rPr>
                <w:rFonts w:eastAsiaTheme="minorHAnsi"/>
                <w:b/>
              </w:rPr>
            </w:pPr>
            <w:r w:rsidRPr="00C52683">
              <w:rPr>
                <w:b/>
              </w:rPr>
              <w:t xml:space="preserve">54 </w:t>
            </w:r>
            <w:proofErr w:type="spellStart"/>
            <w:r w:rsidRPr="00C52683">
              <w:rPr>
                <w:b/>
              </w:rPr>
              <w:t>hrs</w:t>
            </w:r>
            <w:proofErr w:type="spellEnd"/>
          </w:p>
        </w:tc>
        <w:tc>
          <w:tcPr>
            <w:tcW w:w="6184" w:type="dxa"/>
            <w:noWrap/>
            <w:tcMar>
              <w:top w:w="0" w:type="dxa"/>
              <w:left w:w="108" w:type="dxa"/>
              <w:bottom w:w="0" w:type="dxa"/>
              <w:right w:w="108" w:type="dxa"/>
            </w:tcMar>
            <w:vAlign w:val="bottom"/>
          </w:tcPr>
          <w:p w:rsidR="0077639E" w:rsidRPr="00C52683" w:rsidRDefault="0077639E" w:rsidP="008C628B">
            <w:pPr>
              <w:autoSpaceDN w:val="0"/>
              <w:rPr>
                <w:rFonts w:eastAsiaTheme="minorHAnsi"/>
                <w:b/>
              </w:rPr>
            </w:pPr>
          </w:p>
        </w:tc>
      </w:tr>
      <w:tr w:rsidR="0077639E" w:rsidTr="00FE768A">
        <w:trPr>
          <w:trHeight w:val="178"/>
        </w:trPr>
        <w:tc>
          <w:tcPr>
            <w:tcW w:w="1812" w:type="dxa"/>
            <w:noWrap/>
            <w:tcMar>
              <w:top w:w="0" w:type="dxa"/>
              <w:left w:w="108" w:type="dxa"/>
              <w:bottom w:w="0" w:type="dxa"/>
              <w:right w:w="108" w:type="dxa"/>
            </w:tcMar>
            <w:vAlign w:val="bottom"/>
          </w:tcPr>
          <w:p w:rsidR="0077639E" w:rsidRPr="00C52683" w:rsidRDefault="0077639E" w:rsidP="008C628B">
            <w:pPr>
              <w:autoSpaceDN w:val="0"/>
              <w:rPr>
                <w:rFonts w:eastAsiaTheme="minorHAnsi"/>
              </w:rPr>
            </w:pPr>
          </w:p>
        </w:tc>
        <w:tc>
          <w:tcPr>
            <w:tcW w:w="360" w:type="dxa"/>
            <w:noWrap/>
            <w:tcMar>
              <w:top w:w="0" w:type="dxa"/>
              <w:left w:w="108" w:type="dxa"/>
              <w:bottom w:w="0" w:type="dxa"/>
              <w:right w:w="108" w:type="dxa"/>
            </w:tcMar>
            <w:vAlign w:val="bottom"/>
          </w:tcPr>
          <w:p w:rsidR="0077639E" w:rsidRPr="00C52683" w:rsidRDefault="0077639E" w:rsidP="008C628B">
            <w:pPr>
              <w:autoSpaceDN w:val="0"/>
              <w:rPr>
                <w:rFonts w:eastAsiaTheme="minorHAnsi"/>
                <w:b/>
              </w:rPr>
            </w:pPr>
          </w:p>
        </w:tc>
        <w:tc>
          <w:tcPr>
            <w:tcW w:w="1176" w:type="dxa"/>
            <w:noWrap/>
            <w:tcMar>
              <w:top w:w="0" w:type="dxa"/>
              <w:left w:w="108" w:type="dxa"/>
              <w:bottom w:w="0" w:type="dxa"/>
              <w:right w:w="108" w:type="dxa"/>
            </w:tcMar>
            <w:vAlign w:val="bottom"/>
            <w:hideMark/>
          </w:tcPr>
          <w:p w:rsidR="0077639E" w:rsidRPr="00C52683" w:rsidRDefault="0077639E" w:rsidP="008C628B">
            <w:pPr>
              <w:autoSpaceDN w:val="0"/>
              <w:jc w:val="right"/>
              <w:rPr>
                <w:rFonts w:eastAsiaTheme="minorHAnsi"/>
                <w:b/>
              </w:rPr>
            </w:pPr>
            <w:r w:rsidRPr="00C52683">
              <w:rPr>
                <w:b/>
              </w:rPr>
              <w:t>2,808</w:t>
            </w:r>
          </w:p>
        </w:tc>
        <w:tc>
          <w:tcPr>
            <w:tcW w:w="6184" w:type="dxa"/>
            <w:noWrap/>
            <w:tcMar>
              <w:top w:w="0" w:type="dxa"/>
              <w:left w:w="108" w:type="dxa"/>
              <w:bottom w:w="0" w:type="dxa"/>
              <w:right w:w="108" w:type="dxa"/>
            </w:tcMar>
            <w:vAlign w:val="bottom"/>
          </w:tcPr>
          <w:p w:rsidR="0077639E" w:rsidRPr="00C52683" w:rsidRDefault="0077639E" w:rsidP="008C628B">
            <w:pPr>
              <w:autoSpaceDN w:val="0"/>
              <w:rPr>
                <w:rFonts w:eastAsiaTheme="minorHAnsi"/>
                <w:b/>
              </w:rPr>
            </w:pPr>
          </w:p>
        </w:tc>
      </w:tr>
      <w:tr w:rsidR="0077639E" w:rsidTr="008C628B">
        <w:trPr>
          <w:trHeight w:val="255"/>
        </w:trPr>
        <w:tc>
          <w:tcPr>
            <w:tcW w:w="1812" w:type="dxa"/>
            <w:noWrap/>
            <w:tcMar>
              <w:top w:w="0" w:type="dxa"/>
              <w:left w:w="108" w:type="dxa"/>
              <w:bottom w:w="0" w:type="dxa"/>
              <w:right w:w="108" w:type="dxa"/>
            </w:tcMar>
            <w:vAlign w:val="bottom"/>
            <w:hideMark/>
          </w:tcPr>
          <w:p w:rsidR="0077639E" w:rsidRPr="00C52683" w:rsidRDefault="00C52683" w:rsidP="008C628B">
            <w:pPr>
              <w:autoSpaceDN w:val="0"/>
              <w:rPr>
                <w:rFonts w:eastAsiaTheme="minorHAnsi"/>
                <w:b/>
                <w:bCs/>
              </w:rPr>
            </w:pPr>
            <w:r>
              <w:rPr>
                <w:b/>
                <w:bCs/>
              </w:rPr>
              <w:t xml:space="preserve">Burden Hours </w:t>
            </w:r>
            <w:r w:rsidR="0077639E" w:rsidRPr="00C52683">
              <w:rPr>
                <w:b/>
                <w:bCs/>
              </w:rPr>
              <w:t xml:space="preserve">= </w:t>
            </w:r>
          </w:p>
        </w:tc>
        <w:tc>
          <w:tcPr>
            <w:tcW w:w="360" w:type="dxa"/>
            <w:noWrap/>
            <w:tcMar>
              <w:top w:w="0" w:type="dxa"/>
              <w:left w:w="108" w:type="dxa"/>
              <w:bottom w:w="0" w:type="dxa"/>
              <w:right w:w="108" w:type="dxa"/>
            </w:tcMar>
            <w:vAlign w:val="bottom"/>
          </w:tcPr>
          <w:p w:rsidR="0077639E" w:rsidRPr="00C52683" w:rsidRDefault="0077639E" w:rsidP="008C628B">
            <w:pPr>
              <w:autoSpaceDN w:val="0"/>
              <w:rPr>
                <w:rFonts w:eastAsiaTheme="minorHAnsi"/>
              </w:rPr>
            </w:pPr>
          </w:p>
        </w:tc>
        <w:tc>
          <w:tcPr>
            <w:tcW w:w="1176" w:type="dxa"/>
            <w:noWrap/>
            <w:tcMar>
              <w:top w:w="0" w:type="dxa"/>
              <w:left w:w="108" w:type="dxa"/>
              <w:bottom w:w="0" w:type="dxa"/>
              <w:right w:w="108" w:type="dxa"/>
            </w:tcMar>
            <w:vAlign w:val="bottom"/>
            <w:hideMark/>
          </w:tcPr>
          <w:p w:rsidR="0077639E" w:rsidRPr="00C52683" w:rsidRDefault="0077639E" w:rsidP="008C628B">
            <w:pPr>
              <w:autoSpaceDN w:val="0"/>
              <w:jc w:val="right"/>
              <w:rPr>
                <w:rFonts w:eastAsiaTheme="minorHAnsi"/>
                <w:b/>
                <w:bCs/>
              </w:rPr>
            </w:pPr>
            <w:r w:rsidRPr="00C52683">
              <w:rPr>
                <w:b/>
                <w:bCs/>
              </w:rPr>
              <w:t>2,808</w:t>
            </w:r>
          </w:p>
        </w:tc>
        <w:tc>
          <w:tcPr>
            <w:tcW w:w="6184" w:type="dxa"/>
            <w:noWrap/>
            <w:tcMar>
              <w:top w:w="0" w:type="dxa"/>
              <w:left w:w="108" w:type="dxa"/>
              <w:bottom w:w="0" w:type="dxa"/>
              <w:right w:w="108" w:type="dxa"/>
            </w:tcMar>
            <w:vAlign w:val="bottom"/>
          </w:tcPr>
          <w:p w:rsidR="0077639E" w:rsidRPr="00C52683" w:rsidRDefault="0077639E" w:rsidP="008C628B">
            <w:pPr>
              <w:autoSpaceDN w:val="0"/>
              <w:rPr>
                <w:rFonts w:eastAsiaTheme="minorHAnsi"/>
              </w:rPr>
            </w:pPr>
          </w:p>
        </w:tc>
      </w:tr>
    </w:tbl>
    <w:p w:rsidR="0077639E" w:rsidRDefault="0077639E" w:rsidP="00E47562"/>
    <w:p w:rsidR="00E47562" w:rsidRPr="00C52683" w:rsidRDefault="00E47562" w:rsidP="00E47562">
      <w:pPr>
        <w:pStyle w:val="ListParagraph"/>
        <w:numPr>
          <w:ilvl w:val="0"/>
          <w:numId w:val="1"/>
        </w:numPr>
        <w:rPr>
          <w:u w:val="single"/>
        </w:rPr>
      </w:pPr>
      <w:r w:rsidRPr="00C52683">
        <w:rPr>
          <w:u w:val="single"/>
        </w:rPr>
        <w:t xml:space="preserve">Estimated </w:t>
      </w:r>
      <w:r w:rsidR="00B906F1" w:rsidRPr="00C52683">
        <w:rPr>
          <w:u w:val="single"/>
        </w:rPr>
        <w:t xml:space="preserve">Burden for Routine Inspection Reporting </w:t>
      </w:r>
    </w:p>
    <w:p w:rsidR="00CB08EF" w:rsidRDefault="00CB08EF" w:rsidP="00CB08EF"/>
    <w:p w:rsidR="00CB08EF" w:rsidRPr="004404C1" w:rsidRDefault="00CB08EF" w:rsidP="00CB08EF">
      <w:r w:rsidRPr="00CB08EF">
        <w:rPr>
          <w:i/>
        </w:rPr>
        <w:t>Respondents:</w:t>
      </w:r>
      <w:r w:rsidRPr="004404C1">
        <w:t xml:space="preserve"> 50 States, District of Columbia, and Puerto Rico </w:t>
      </w:r>
      <w:r>
        <w:t xml:space="preserve">and any Federal agencies and tribal governments that own tunnels </w:t>
      </w:r>
      <w:r w:rsidRPr="004404C1">
        <w:t>(</w:t>
      </w:r>
      <w:r>
        <w:t xml:space="preserve">approximately </w:t>
      </w:r>
      <w:r w:rsidRPr="004404C1">
        <w:t xml:space="preserve">52 </w:t>
      </w:r>
      <w:proofErr w:type="gramStart"/>
      <w:r w:rsidRPr="004404C1">
        <w:t>total</w:t>
      </w:r>
      <w:proofErr w:type="gramEnd"/>
      <w:r w:rsidRPr="004404C1">
        <w:t>).</w:t>
      </w:r>
    </w:p>
    <w:p w:rsidR="00CB08EF" w:rsidRPr="004404C1" w:rsidRDefault="00CB08EF" w:rsidP="00CB08EF">
      <w:r w:rsidRPr="00CB08EF">
        <w:rPr>
          <w:i/>
        </w:rPr>
        <w:t>Frequency:</w:t>
      </w:r>
      <w:r w:rsidRPr="004404C1">
        <w:t xml:space="preserve"> </w:t>
      </w:r>
      <w:r>
        <w:t>Once every 24 months</w:t>
      </w:r>
      <w:r w:rsidRPr="004404C1">
        <w:t>.</w:t>
      </w:r>
    </w:p>
    <w:p w:rsidR="00CB08EF" w:rsidRDefault="00CB08EF" w:rsidP="00CB08EF">
      <w:proofErr w:type="gramStart"/>
      <w:r w:rsidRPr="00CB08EF">
        <w:rPr>
          <w:i/>
        </w:rPr>
        <w:t>Estimated Average Annual Burde</w:t>
      </w:r>
      <w:r w:rsidR="00921189">
        <w:rPr>
          <w:i/>
        </w:rPr>
        <w:t>n</w:t>
      </w:r>
      <w:r w:rsidRPr="004404C1">
        <w:t xml:space="preserve">: </w:t>
      </w:r>
      <w:r w:rsidR="0077639E">
        <w:t xml:space="preserve">Approximately </w:t>
      </w:r>
      <w:r w:rsidR="00921189">
        <w:t>9,080 hours.</w:t>
      </w:r>
      <w:proofErr w:type="gramEnd"/>
      <w:r w:rsidR="00921189">
        <w:t xml:space="preserve"> </w:t>
      </w:r>
    </w:p>
    <w:p w:rsidR="00CB08EF" w:rsidRDefault="00CB08EF" w:rsidP="00CB08EF"/>
    <w:p w:rsidR="00E47562" w:rsidRDefault="00E47562" w:rsidP="00E47562">
      <w:r>
        <w:lastRenderedPageBreak/>
        <w:t xml:space="preserve">The number of responses per year is based on the total number of tunnels in the United States of 350, with approximately one half being inspected each year based on the standard 24 month inspection frequency.  The annual responses are estimated at 175 for routine inspections.  </w:t>
      </w:r>
    </w:p>
    <w:p w:rsidR="00E47562" w:rsidRDefault="00E47562" w:rsidP="00E47562"/>
    <w:p w:rsidR="00E47562" w:rsidRDefault="00E47562" w:rsidP="00E47562">
      <w:r>
        <w:t>With the average time of 40 hours to collect, manage and report routine inspection data, and an additional 2,080 hours to follow up on critical findings, it is estimated that the burden hours will total 9,080 hours per year (7,000 hours (175 responses x 40.00 hours per response) + 2,080 hours (for follow-up on critical findings) = 9,080 burden hours).</w:t>
      </w:r>
    </w:p>
    <w:p w:rsidR="00E47562" w:rsidRPr="00C52683" w:rsidRDefault="00E47562" w:rsidP="00E47562"/>
    <w:tbl>
      <w:tblPr>
        <w:tblW w:w="9532" w:type="dxa"/>
        <w:tblInd w:w="96" w:type="dxa"/>
        <w:tblCellMar>
          <w:left w:w="0" w:type="dxa"/>
          <w:right w:w="0" w:type="dxa"/>
        </w:tblCellMar>
        <w:tblLook w:val="04A0" w:firstRow="1" w:lastRow="0" w:firstColumn="1" w:lastColumn="0" w:noHBand="0" w:noVBand="1"/>
      </w:tblPr>
      <w:tblGrid>
        <w:gridCol w:w="1812"/>
        <w:gridCol w:w="390"/>
        <w:gridCol w:w="1176"/>
        <w:gridCol w:w="6184"/>
      </w:tblGrid>
      <w:tr w:rsidR="00E47562" w:rsidRPr="00C52683" w:rsidTr="00E47562">
        <w:trPr>
          <w:trHeight w:val="645"/>
        </w:trPr>
        <w:tc>
          <w:tcPr>
            <w:tcW w:w="1812" w:type="dxa"/>
            <w:noWrap/>
            <w:tcMar>
              <w:top w:w="0" w:type="dxa"/>
              <w:left w:w="108" w:type="dxa"/>
              <w:bottom w:w="0" w:type="dxa"/>
              <w:right w:w="108" w:type="dxa"/>
            </w:tcMar>
            <w:hideMark/>
          </w:tcPr>
          <w:p w:rsidR="00E47562" w:rsidRPr="00C52683" w:rsidRDefault="00E47562">
            <w:pPr>
              <w:autoSpaceDN w:val="0"/>
              <w:rPr>
                <w:rFonts w:eastAsiaTheme="minorHAnsi"/>
                <w:b/>
                <w:bCs/>
              </w:rPr>
            </w:pPr>
            <w:r w:rsidRPr="00C52683">
              <w:rPr>
                <w:b/>
                <w:bCs/>
              </w:rPr>
              <w:t>Responses =</w:t>
            </w:r>
          </w:p>
        </w:tc>
        <w:tc>
          <w:tcPr>
            <w:tcW w:w="360" w:type="dxa"/>
            <w:noWrap/>
            <w:tcMar>
              <w:top w:w="0" w:type="dxa"/>
              <w:left w:w="108" w:type="dxa"/>
              <w:bottom w:w="0" w:type="dxa"/>
              <w:right w:w="108" w:type="dxa"/>
            </w:tcMar>
          </w:tcPr>
          <w:p w:rsidR="00E47562" w:rsidRPr="00C52683" w:rsidRDefault="00E47562">
            <w:pPr>
              <w:autoSpaceDN w:val="0"/>
              <w:rPr>
                <w:rFonts w:eastAsiaTheme="minorHAnsi"/>
              </w:rPr>
            </w:pPr>
          </w:p>
        </w:tc>
        <w:tc>
          <w:tcPr>
            <w:tcW w:w="1176" w:type="dxa"/>
            <w:noWrap/>
            <w:tcMar>
              <w:top w:w="0" w:type="dxa"/>
              <w:left w:w="108" w:type="dxa"/>
              <w:bottom w:w="0" w:type="dxa"/>
              <w:right w:w="108" w:type="dxa"/>
            </w:tcMar>
            <w:hideMark/>
          </w:tcPr>
          <w:p w:rsidR="00E47562" w:rsidRPr="00C52683" w:rsidRDefault="00E47562">
            <w:pPr>
              <w:autoSpaceDN w:val="0"/>
              <w:jc w:val="right"/>
              <w:rPr>
                <w:rFonts w:eastAsiaTheme="minorHAnsi"/>
                <w:b/>
                <w:bCs/>
              </w:rPr>
            </w:pPr>
            <w:r w:rsidRPr="00C52683">
              <w:rPr>
                <w:b/>
                <w:bCs/>
              </w:rPr>
              <w:t>175</w:t>
            </w:r>
          </w:p>
        </w:tc>
        <w:tc>
          <w:tcPr>
            <w:tcW w:w="6184" w:type="dxa"/>
            <w:tcMar>
              <w:top w:w="0" w:type="dxa"/>
              <w:left w:w="108" w:type="dxa"/>
              <w:bottom w:w="0" w:type="dxa"/>
              <w:right w:w="108" w:type="dxa"/>
            </w:tcMar>
            <w:hideMark/>
          </w:tcPr>
          <w:p w:rsidR="00E47562" w:rsidRPr="00C52683" w:rsidRDefault="00E47562">
            <w:pPr>
              <w:rPr>
                <w:b/>
              </w:rPr>
            </w:pPr>
          </w:p>
        </w:tc>
      </w:tr>
      <w:tr w:rsidR="00E47562" w:rsidRPr="00C52683" w:rsidTr="00E47562">
        <w:trPr>
          <w:trHeight w:val="255"/>
        </w:trPr>
        <w:tc>
          <w:tcPr>
            <w:tcW w:w="1812" w:type="dxa"/>
            <w:noWrap/>
            <w:tcMar>
              <w:top w:w="0" w:type="dxa"/>
              <w:left w:w="108" w:type="dxa"/>
              <w:bottom w:w="0" w:type="dxa"/>
              <w:right w:w="108" w:type="dxa"/>
            </w:tcMar>
            <w:vAlign w:val="bottom"/>
          </w:tcPr>
          <w:p w:rsidR="00E47562" w:rsidRPr="00C52683" w:rsidRDefault="00E47562">
            <w:pPr>
              <w:autoSpaceDN w:val="0"/>
              <w:rPr>
                <w:rFonts w:eastAsiaTheme="minorHAnsi"/>
              </w:rPr>
            </w:pPr>
          </w:p>
        </w:tc>
        <w:tc>
          <w:tcPr>
            <w:tcW w:w="360" w:type="dxa"/>
            <w:noWrap/>
            <w:tcMar>
              <w:top w:w="0" w:type="dxa"/>
              <w:left w:w="108" w:type="dxa"/>
              <w:bottom w:w="0" w:type="dxa"/>
              <w:right w:w="108" w:type="dxa"/>
            </w:tcMar>
            <w:vAlign w:val="bottom"/>
            <w:hideMark/>
          </w:tcPr>
          <w:p w:rsidR="00E47562" w:rsidRPr="00C52683" w:rsidRDefault="00E47562">
            <w:pPr>
              <w:autoSpaceDN w:val="0"/>
              <w:jc w:val="center"/>
              <w:rPr>
                <w:rFonts w:eastAsiaTheme="minorHAnsi"/>
              </w:rPr>
            </w:pPr>
            <w:r w:rsidRPr="00C52683">
              <w:t>X</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E47562" w:rsidRPr="00C52683" w:rsidRDefault="00E47562">
            <w:pPr>
              <w:autoSpaceDN w:val="0"/>
              <w:jc w:val="right"/>
              <w:rPr>
                <w:rFonts w:eastAsiaTheme="minorHAnsi"/>
                <w:b/>
              </w:rPr>
            </w:pPr>
            <w:r w:rsidRPr="00C52683">
              <w:rPr>
                <w:b/>
              </w:rPr>
              <w:t xml:space="preserve">40 </w:t>
            </w:r>
            <w:proofErr w:type="spellStart"/>
            <w:r w:rsidRPr="00C52683">
              <w:rPr>
                <w:b/>
              </w:rPr>
              <w:t>hrs</w:t>
            </w:r>
            <w:proofErr w:type="spellEnd"/>
          </w:p>
        </w:tc>
        <w:tc>
          <w:tcPr>
            <w:tcW w:w="6184" w:type="dxa"/>
            <w:noWrap/>
            <w:tcMar>
              <w:top w:w="0" w:type="dxa"/>
              <w:left w:w="108" w:type="dxa"/>
              <w:bottom w:w="0" w:type="dxa"/>
              <w:right w:w="108" w:type="dxa"/>
            </w:tcMar>
            <w:vAlign w:val="bottom"/>
          </w:tcPr>
          <w:p w:rsidR="00E47562" w:rsidRPr="00C52683" w:rsidRDefault="00E47562">
            <w:pPr>
              <w:autoSpaceDN w:val="0"/>
              <w:rPr>
                <w:rFonts w:eastAsiaTheme="minorHAnsi"/>
                <w:b/>
              </w:rPr>
            </w:pPr>
          </w:p>
        </w:tc>
      </w:tr>
      <w:tr w:rsidR="00E47562" w:rsidRPr="00C52683" w:rsidTr="00E47562">
        <w:trPr>
          <w:trHeight w:val="255"/>
        </w:trPr>
        <w:tc>
          <w:tcPr>
            <w:tcW w:w="1812" w:type="dxa"/>
            <w:noWrap/>
            <w:tcMar>
              <w:top w:w="0" w:type="dxa"/>
              <w:left w:w="108" w:type="dxa"/>
              <w:bottom w:w="0" w:type="dxa"/>
              <w:right w:w="108" w:type="dxa"/>
            </w:tcMar>
            <w:vAlign w:val="bottom"/>
          </w:tcPr>
          <w:p w:rsidR="00E47562" w:rsidRPr="00C52683" w:rsidRDefault="00E47562">
            <w:pPr>
              <w:autoSpaceDN w:val="0"/>
              <w:rPr>
                <w:rFonts w:eastAsiaTheme="minorHAnsi"/>
              </w:rPr>
            </w:pPr>
          </w:p>
        </w:tc>
        <w:tc>
          <w:tcPr>
            <w:tcW w:w="360" w:type="dxa"/>
            <w:noWrap/>
            <w:tcMar>
              <w:top w:w="0" w:type="dxa"/>
              <w:left w:w="108" w:type="dxa"/>
              <w:bottom w:w="0" w:type="dxa"/>
              <w:right w:w="108" w:type="dxa"/>
            </w:tcMar>
            <w:vAlign w:val="bottom"/>
          </w:tcPr>
          <w:p w:rsidR="00E47562" w:rsidRPr="00C52683" w:rsidRDefault="00E47562">
            <w:pPr>
              <w:autoSpaceDN w:val="0"/>
              <w:rPr>
                <w:rFonts w:eastAsiaTheme="minorHAnsi"/>
              </w:rPr>
            </w:pPr>
          </w:p>
        </w:tc>
        <w:tc>
          <w:tcPr>
            <w:tcW w:w="1176" w:type="dxa"/>
            <w:noWrap/>
            <w:tcMar>
              <w:top w:w="0" w:type="dxa"/>
              <w:left w:w="108" w:type="dxa"/>
              <w:bottom w:w="0" w:type="dxa"/>
              <w:right w:w="108" w:type="dxa"/>
            </w:tcMar>
            <w:vAlign w:val="bottom"/>
            <w:hideMark/>
          </w:tcPr>
          <w:p w:rsidR="00E47562" w:rsidRPr="00C52683" w:rsidRDefault="00E47562">
            <w:pPr>
              <w:autoSpaceDN w:val="0"/>
              <w:jc w:val="right"/>
              <w:rPr>
                <w:rFonts w:eastAsiaTheme="minorHAnsi"/>
                <w:b/>
              </w:rPr>
            </w:pPr>
            <w:r w:rsidRPr="00C52683">
              <w:rPr>
                <w:b/>
              </w:rPr>
              <w:t>7,000</w:t>
            </w:r>
          </w:p>
        </w:tc>
        <w:tc>
          <w:tcPr>
            <w:tcW w:w="6184" w:type="dxa"/>
            <w:noWrap/>
            <w:tcMar>
              <w:top w:w="0" w:type="dxa"/>
              <w:left w:w="108" w:type="dxa"/>
              <w:bottom w:w="0" w:type="dxa"/>
              <w:right w:w="108" w:type="dxa"/>
            </w:tcMar>
            <w:vAlign w:val="bottom"/>
          </w:tcPr>
          <w:p w:rsidR="00E47562" w:rsidRPr="00C52683" w:rsidRDefault="00E47562">
            <w:pPr>
              <w:autoSpaceDN w:val="0"/>
              <w:rPr>
                <w:rFonts w:eastAsiaTheme="minorHAnsi"/>
                <w:b/>
              </w:rPr>
            </w:pPr>
          </w:p>
        </w:tc>
      </w:tr>
      <w:tr w:rsidR="00E47562" w:rsidRPr="00C52683" w:rsidTr="00E47562">
        <w:trPr>
          <w:trHeight w:val="315"/>
        </w:trPr>
        <w:tc>
          <w:tcPr>
            <w:tcW w:w="1812" w:type="dxa"/>
            <w:noWrap/>
            <w:tcMar>
              <w:top w:w="0" w:type="dxa"/>
              <w:left w:w="108" w:type="dxa"/>
              <w:bottom w:w="0" w:type="dxa"/>
              <w:right w:w="108" w:type="dxa"/>
            </w:tcMar>
            <w:vAlign w:val="bottom"/>
          </w:tcPr>
          <w:p w:rsidR="00E47562" w:rsidRPr="00C52683" w:rsidRDefault="00E47562">
            <w:pPr>
              <w:autoSpaceDN w:val="0"/>
              <w:rPr>
                <w:rFonts w:eastAsiaTheme="minorHAnsi"/>
              </w:rPr>
            </w:pPr>
          </w:p>
        </w:tc>
        <w:tc>
          <w:tcPr>
            <w:tcW w:w="360" w:type="dxa"/>
            <w:noWrap/>
            <w:tcMar>
              <w:top w:w="0" w:type="dxa"/>
              <w:left w:w="108" w:type="dxa"/>
              <w:bottom w:w="0" w:type="dxa"/>
              <w:right w:w="108" w:type="dxa"/>
            </w:tcMar>
            <w:vAlign w:val="bottom"/>
            <w:hideMark/>
          </w:tcPr>
          <w:p w:rsidR="00E47562" w:rsidRPr="00C52683" w:rsidRDefault="00E47562">
            <w:pPr>
              <w:autoSpaceDN w:val="0"/>
              <w:jc w:val="center"/>
              <w:rPr>
                <w:rFonts w:eastAsiaTheme="minorHAnsi"/>
              </w:rPr>
            </w:pPr>
            <w:r w:rsidRPr="00C52683">
              <w:t>+</w:t>
            </w:r>
          </w:p>
        </w:tc>
        <w:tc>
          <w:tcPr>
            <w:tcW w:w="1176" w:type="dxa"/>
            <w:tcBorders>
              <w:top w:val="nil"/>
              <w:left w:val="nil"/>
              <w:bottom w:val="single" w:sz="8" w:space="0" w:color="auto"/>
              <w:right w:val="nil"/>
            </w:tcBorders>
            <w:noWrap/>
            <w:tcMar>
              <w:top w:w="0" w:type="dxa"/>
              <w:left w:w="108" w:type="dxa"/>
              <w:bottom w:w="0" w:type="dxa"/>
              <w:right w:w="108" w:type="dxa"/>
            </w:tcMar>
            <w:vAlign w:val="bottom"/>
            <w:hideMark/>
          </w:tcPr>
          <w:p w:rsidR="00E47562" w:rsidRPr="00C52683" w:rsidRDefault="00E47562">
            <w:pPr>
              <w:autoSpaceDN w:val="0"/>
              <w:jc w:val="right"/>
              <w:rPr>
                <w:rFonts w:eastAsiaTheme="minorHAnsi"/>
                <w:b/>
              </w:rPr>
            </w:pPr>
            <w:r w:rsidRPr="00C52683">
              <w:rPr>
                <w:b/>
              </w:rPr>
              <w:t>2,080</w:t>
            </w:r>
          </w:p>
        </w:tc>
        <w:tc>
          <w:tcPr>
            <w:tcW w:w="6184" w:type="dxa"/>
            <w:noWrap/>
            <w:tcMar>
              <w:top w:w="0" w:type="dxa"/>
              <w:left w:w="108" w:type="dxa"/>
              <w:bottom w:w="0" w:type="dxa"/>
              <w:right w:w="108" w:type="dxa"/>
            </w:tcMar>
            <w:vAlign w:val="bottom"/>
            <w:hideMark/>
          </w:tcPr>
          <w:p w:rsidR="00E47562" w:rsidRPr="00C52683" w:rsidRDefault="00E47562">
            <w:pPr>
              <w:autoSpaceDN w:val="0"/>
              <w:rPr>
                <w:rFonts w:eastAsiaTheme="minorHAnsi"/>
                <w:b/>
              </w:rPr>
            </w:pPr>
            <w:r w:rsidRPr="00C52683">
              <w:rPr>
                <w:b/>
              </w:rPr>
              <w:t>52 responses x 40hrs for follow up on critical findings</w:t>
            </w:r>
          </w:p>
        </w:tc>
      </w:tr>
      <w:tr w:rsidR="00E47562" w:rsidRPr="00C52683" w:rsidTr="00E47562">
        <w:trPr>
          <w:trHeight w:val="255"/>
        </w:trPr>
        <w:tc>
          <w:tcPr>
            <w:tcW w:w="1812" w:type="dxa"/>
            <w:noWrap/>
            <w:tcMar>
              <w:top w:w="0" w:type="dxa"/>
              <w:left w:w="108" w:type="dxa"/>
              <w:bottom w:w="0" w:type="dxa"/>
              <w:right w:w="108" w:type="dxa"/>
            </w:tcMar>
            <w:vAlign w:val="bottom"/>
            <w:hideMark/>
          </w:tcPr>
          <w:p w:rsidR="00E47562" w:rsidRPr="00C52683" w:rsidRDefault="00E47562">
            <w:pPr>
              <w:autoSpaceDN w:val="0"/>
              <w:rPr>
                <w:rFonts w:eastAsiaTheme="minorHAnsi"/>
                <w:b/>
                <w:bCs/>
              </w:rPr>
            </w:pPr>
            <w:r w:rsidRPr="00C52683">
              <w:rPr>
                <w:b/>
                <w:bCs/>
              </w:rPr>
              <w:t xml:space="preserve">Burden Hours = </w:t>
            </w:r>
          </w:p>
        </w:tc>
        <w:tc>
          <w:tcPr>
            <w:tcW w:w="360" w:type="dxa"/>
            <w:noWrap/>
            <w:tcMar>
              <w:top w:w="0" w:type="dxa"/>
              <w:left w:w="108" w:type="dxa"/>
              <w:bottom w:w="0" w:type="dxa"/>
              <w:right w:w="108" w:type="dxa"/>
            </w:tcMar>
            <w:vAlign w:val="bottom"/>
          </w:tcPr>
          <w:p w:rsidR="00E47562" w:rsidRPr="00C52683" w:rsidRDefault="00E47562">
            <w:pPr>
              <w:autoSpaceDN w:val="0"/>
              <w:rPr>
                <w:rFonts w:eastAsiaTheme="minorHAnsi"/>
              </w:rPr>
            </w:pPr>
          </w:p>
        </w:tc>
        <w:tc>
          <w:tcPr>
            <w:tcW w:w="1176" w:type="dxa"/>
            <w:noWrap/>
            <w:tcMar>
              <w:top w:w="0" w:type="dxa"/>
              <w:left w:w="108" w:type="dxa"/>
              <w:bottom w:w="0" w:type="dxa"/>
              <w:right w:w="108" w:type="dxa"/>
            </w:tcMar>
            <w:vAlign w:val="bottom"/>
            <w:hideMark/>
          </w:tcPr>
          <w:p w:rsidR="00E47562" w:rsidRPr="00C52683" w:rsidRDefault="00E47562">
            <w:pPr>
              <w:autoSpaceDN w:val="0"/>
              <w:jc w:val="right"/>
              <w:rPr>
                <w:rFonts w:eastAsiaTheme="minorHAnsi"/>
                <w:b/>
                <w:bCs/>
              </w:rPr>
            </w:pPr>
            <w:r w:rsidRPr="00C52683">
              <w:rPr>
                <w:b/>
                <w:bCs/>
              </w:rPr>
              <w:t>9,080</w:t>
            </w:r>
          </w:p>
        </w:tc>
        <w:tc>
          <w:tcPr>
            <w:tcW w:w="6184" w:type="dxa"/>
            <w:noWrap/>
            <w:tcMar>
              <w:top w:w="0" w:type="dxa"/>
              <w:left w:w="108" w:type="dxa"/>
              <w:bottom w:w="0" w:type="dxa"/>
              <w:right w:w="108" w:type="dxa"/>
            </w:tcMar>
            <w:vAlign w:val="bottom"/>
          </w:tcPr>
          <w:p w:rsidR="00E47562" w:rsidRPr="00C52683" w:rsidRDefault="00E47562">
            <w:pPr>
              <w:autoSpaceDN w:val="0"/>
              <w:rPr>
                <w:rFonts w:eastAsiaTheme="minorHAnsi"/>
                <w:b/>
              </w:rPr>
            </w:pPr>
          </w:p>
        </w:tc>
      </w:tr>
    </w:tbl>
    <w:p w:rsidR="00E47562" w:rsidRDefault="00E47562" w:rsidP="00E47562">
      <w:pPr>
        <w:tabs>
          <w:tab w:val="left" w:pos="3068"/>
        </w:tabs>
      </w:pPr>
    </w:p>
    <w:p w:rsidR="00CB08EF" w:rsidRPr="00C52683" w:rsidRDefault="00CB08EF" w:rsidP="00CB08EF">
      <w:pPr>
        <w:widowControl w:val="0"/>
        <w:tabs>
          <w:tab w:val="left" w:pos="204"/>
        </w:tabs>
        <w:autoSpaceDE w:val="0"/>
        <w:autoSpaceDN w:val="0"/>
        <w:adjustRightInd w:val="0"/>
        <w:rPr>
          <w:u w:val="single"/>
        </w:rPr>
      </w:pPr>
    </w:p>
    <w:p w:rsidR="00C52683" w:rsidRPr="00A52E2A" w:rsidRDefault="00CB08EF" w:rsidP="00A52E2A">
      <w:pPr>
        <w:widowControl w:val="0"/>
        <w:tabs>
          <w:tab w:val="left" w:pos="204"/>
        </w:tabs>
        <w:autoSpaceDE w:val="0"/>
        <w:autoSpaceDN w:val="0"/>
        <w:adjustRightInd w:val="0"/>
        <w:rPr>
          <w:color w:val="0000FF"/>
        </w:rPr>
      </w:pPr>
      <w:r w:rsidRPr="00A52E2A">
        <w:rPr>
          <w:bCs/>
          <w:iCs/>
          <w:u w:val="single"/>
        </w:rPr>
        <w:t>Estimated Total Annual Burden Hours</w:t>
      </w:r>
      <w:r w:rsidRPr="00A52E2A">
        <w:rPr>
          <w:iCs/>
          <w:u w:val="single"/>
        </w:rPr>
        <w:t>:</w:t>
      </w:r>
      <w:r w:rsidRPr="00A52E2A">
        <w:rPr>
          <w:i/>
          <w:iCs/>
        </w:rPr>
        <w:t xml:space="preserve"> </w:t>
      </w:r>
      <w:r w:rsidR="00C52683" w:rsidRPr="00A52E2A">
        <w:rPr>
          <w:i/>
          <w:iCs/>
        </w:rPr>
        <w:t xml:space="preserve"> </w:t>
      </w:r>
      <w:r w:rsidR="00C52683" w:rsidRPr="00A52E2A">
        <w:rPr>
          <w:b/>
        </w:rPr>
        <w:t>Approximately 11,888 total annual burden hours</w:t>
      </w:r>
    </w:p>
    <w:p w:rsidR="00C52683" w:rsidRDefault="00C52683" w:rsidP="00C52683">
      <w:pPr>
        <w:widowControl w:val="0"/>
        <w:tabs>
          <w:tab w:val="left" w:pos="204"/>
        </w:tabs>
        <w:autoSpaceDE w:val="0"/>
        <w:autoSpaceDN w:val="0"/>
        <w:adjustRightInd w:val="0"/>
      </w:pPr>
    </w:p>
    <w:p w:rsidR="00CB08EF" w:rsidRPr="00C52683" w:rsidRDefault="00C52683" w:rsidP="00C52683">
      <w:pPr>
        <w:widowControl w:val="0"/>
        <w:tabs>
          <w:tab w:val="left" w:pos="204"/>
        </w:tabs>
        <w:autoSpaceDE w:val="0"/>
        <w:autoSpaceDN w:val="0"/>
        <w:adjustRightInd w:val="0"/>
        <w:rPr>
          <w:color w:val="0000FF"/>
        </w:rPr>
      </w:pPr>
      <w:r>
        <w:t xml:space="preserve">2,808 hours for preliminary inventory + 9,080 for routine inspections = </w:t>
      </w:r>
      <w:r w:rsidR="00411EF1">
        <w:t xml:space="preserve">approximately </w:t>
      </w:r>
      <w:r>
        <w:t>11,888 total annual burden hours</w:t>
      </w:r>
      <w:r w:rsidR="005B6B53">
        <w:t xml:space="preserve"> for the first year</w:t>
      </w:r>
      <w:r w:rsidR="00CB08EF" w:rsidRPr="00CB08EF">
        <w:t>.</w:t>
      </w:r>
    </w:p>
    <w:p w:rsidR="00C52683" w:rsidRDefault="00C52683" w:rsidP="00E47562">
      <w:pPr>
        <w:tabs>
          <w:tab w:val="left" w:pos="3068"/>
        </w:tabs>
      </w:pPr>
    </w:p>
    <w:p w:rsidR="00E47562" w:rsidRDefault="00E47562" w:rsidP="00E47562">
      <w:pPr>
        <w:tabs>
          <w:tab w:val="left" w:pos="3068"/>
        </w:tabs>
      </w:pPr>
      <w:r w:rsidRPr="00B738A9">
        <w:t xml:space="preserve">Since </w:t>
      </w:r>
      <w:r>
        <w:t>the majority of</w:t>
      </w:r>
      <w:r w:rsidRPr="00B738A9">
        <w:t xml:space="preserve"> States are already inspecting their tunnels, they are likely to have much of the data needed to satisfy the preliminary inventory data collection burden.  Likewise, since many States are already collecting and storing inspection data they are likely to already have much of the data needed to satisfy the </w:t>
      </w:r>
      <w:r w:rsidR="00411EF1">
        <w:t xml:space="preserve">routine </w:t>
      </w:r>
      <w:r w:rsidRPr="00B738A9">
        <w:t xml:space="preserve">inspection burden.  As a result, FHWA expects that the additional burden on the States to report this data </w:t>
      </w:r>
      <w:r w:rsidR="00411EF1">
        <w:t>will be very minimal.</w:t>
      </w:r>
    </w:p>
    <w:p w:rsidR="0050250C" w:rsidRDefault="0050250C" w:rsidP="00E47562">
      <w:pPr>
        <w:tabs>
          <w:tab w:val="left" w:pos="3068"/>
        </w:tabs>
      </w:pPr>
    </w:p>
    <w:p w:rsidR="0050250C" w:rsidRPr="004417FC" w:rsidRDefault="0050250C" w:rsidP="0050250C">
      <w:pPr>
        <w:tabs>
          <w:tab w:val="left" w:pos="3068"/>
        </w:tabs>
      </w:pPr>
      <w:r w:rsidRPr="004417FC">
        <w:t>** For ROCIS Entry Purposes **</w:t>
      </w:r>
    </w:p>
    <w:p w:rsidR="0050250C" w:rsidRDefault="0050250C" w:rsidP="00E47562">
      <w:pPr>
        <w:tabs>
          <w:tab w:val="left" w:pos="3068"/>
        </w:tabs>
      </w:pPr>
      <w:r w:rsidRPr="004417FC">
        <w:t>We will collect information 2 ti</w:t>
      </w:r>
      <w:r w:rsidR="004417FC" w:rsidRPr="004417FC">
        <w:t>mes during this 3 year approval</w:t>
      </w:r>
      <w:r w:rsidRPr="004417FC">
        <w:t xml:space="preserve">.  This gives FHWA an average of </w:t>
      </w:r>
      <w:r w:rsidR="004417FC" w:rsidRPr="004417FC">
        <w:t>3,962</w:t>
      </w:r>
      <w:r w:rsidRPr="004417FC">
        <w:t xml:space="preserve"> hours per year (</w:t>
      </w:r>
      <w:r w:rsidR="004417FC" w:rsidRPr="004417FC">
        <w:t>11,888</w:t>
      </w:r>
      <w:r w:rsidRPr="004417FC">
        <w:t xml:space="preserve"> X 3).</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13. </w:t>
      </w:r>
      <w:r w:rsidRPr="004404C1">
        <w:rPr>
          <w:rFonts w:ascii="Times New Roman" w:hAnsi="Times New Roman" w:cs="Times New Roman"/>
          <w:u w:val="single"/>
        </w:rPr>
        <w:t>Estimate of total annual costs to respondents</w:t>
      </w:r>
      <w:r w:rsidRPr="004404C1">
        <w:rPr>
          <w:rFonts w:ascii="Times New Roman" w:hAnsi="Times New Roman" w:cs="Times New Roman"/>
        </w:rPr>
        <w:t>:</w:t>
      </w:r>
    </w:p>
    <w:p w:rsidR="008A4A67" w:rsidRPr="00A52E2A" w:rsidRDefault="008A4A67" w:rsidP="00525253">
      <w:pPr>
        <w:pStyle w:val="BodyText"/>
        <w:rPr>
          <w:rFonts w:ascii="Times New Roman" w:hAnsi="Times New Roman" w:cs="Times New Roman"/>
          <w:color w:val="auto"/>
          <w:sz w:val="24"/>
          <w:szCs w:val="24"/>
        </w:rPr>
      </w:pPr>
      <w:r w:rsidRPr="00A52E2A">
        <w:rPr>
          <w:rFonts w:ascii="Times New Roman" w:hAnsi="Times New Roman" w:cs="Times New Roman"/>
          <w:color w:val="auto"/>
          <w:sz w:val="24"/>
          <w:szCs w:val="24"/>
        </w:rPr>
        <w:t xml:space="preserve">The estimated cost to collect, manage, and report preliminary inventory data is $56,160 (2,808 hours @ $20/hour = $56,160).   </w:t>
      </w:r>
    </w:p>
    <w:p w:rsidR="008A4A67" w:rsidRPr="00A52E2A" w:rsidRDefault="008A4A67" w:rsidP="00525253">
      <w:pPr>
        <w:pStyle w:val="BodyText"/>
        <w:rPr>
          <w:rFonts w:ascii="Times New Roman" w:hAnsi="Times New Roman" w:cs="Times New Roman"/>
          <w:color w:val="auto"/>
          <w:sz w:val="24"/>
          <w:szCs w:val="24"/>
        </w:rPr>
      </w:pPr>
    </w:p>
    <w:p w:rsidR="008A4A67" w:rsidRDefault="00A52E2A" w:rsidP="00A52E2A">
      <w:pPr>
        <w:pStyle w:val="BodyText"/>
        <w:rPr>
          <w:rFonts w:ascii="Times New Roman" w:hAnsi="Times New Roman" w:cs="Times New Roman"/>
          <w:color w:val="auto"/>
          <w:sz w:val="24"/>
          <w:szCs w:val="24"/>
        </w:rPr>
      </w:pPr>
      <w:r w:rsidRPr="00A52E2A">
        <w:rPr>
          <w:rFonts w:ascii="Times New Roman" w:eastAsiaTheme="minorEastAsia" w:hAnsi="Times New Roman" w:cstheme="minorBidi"/>
          <w:color w:val="000000" w:themeColor="text1"/>
          <w:sz w:val="24"/>
          <w:szCs w:val="24"/>
        </w:rPr>
        <w:t xml:space="preserve">The aggregate annual cost increase for tunnel owners not currently inspecting at the required interval is $1,494,000.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14. </w:t>
      </w:r>
      <w:r w:rsidRPr="004404C1">
        <w:rPr>
          <w:rFonts w:ascii="Times New Roman" w:hAnsi="Times New Roman" w:cs="Times New Roman"/>
          <w:u w:val="single"/>
        </w:rPr>
        <w:t>Estimate of cost to the Federal government</w:t>
      </w:r>
      <w:r w:rsidRPr="004404C1">
        <w:rPr>
          <w:rFonts w:ascii="Times New Roman" w:hAnsi="Times New Roman" w:cs="Times New Roman"/>
        </w:rPr>
        <w:t>:</w:t>
      </w:r>
    </w:p>
    <w:p w:rsidR="00F906AD" w:rsidRPr="00525253" w:rsidRDefault="008A4A6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There are no costs to FHWA.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15. </w:t>
      </w:r>
      <w:r w:rsidRPr="004404C1">
        <w:rPr>
          <w:rFonts w:ascii="Times New Roman" w:hAnsi="Times New Roman" w:cs="Times New Roman"/>
          <w:u w:val="single"/>
        </w:rPr>
        <w:t>Explanation of program changes or adjustments</w:t>
      </w:r>
      <w:r w:rsidRPr="004404C1">
        <w:rPr>
          <w:rFonts w:ascii="Times New Roman" w:hAnsi="Times New Roman" w:cs="Times New Roman"/>
        </w:rPr>
        <w:t>:</w:t>
      </w:r>
    </w:p>
    <w:p w:rsidR="00790EB3" w:rsidRDefault="00B82F03" w:rsidP="00B82F03">
      <w:r>
        <w:t>This is a new collection.</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lastRenderedPageBreak/>
        <w:t xml:space="preserve">16. </w:t>
      </w:r>
      <w:r w:rsidRPr="004404C1">
        <w:rPr>
          <w:rFonts w:ascii="Times New Roman" w:hAnsi="Times New Roman" w:cs="Times New Roman"/>
          <w:u w:val="single"/>
        </w:rPr>
        <w:t>Publication of results of data collection</w:t>
      </w:r>
      <w:r w:rsidRPr="004404C1">
        <w:rPr>
          <w:rFonts w:ascii="Times New Roman" w:hAnsi="Times New Roman" w:cs="Times New Roman"/>
        </w:rPr>
        <w:t>:</w:t>
      </w:r>
    </w:p>
    <w:p w:rsidR="00BD1BF2" w:rsidRPr="004404C1" w:rsidRDefault="00F906AD">
      <w:pPr>
        <w:pStyle w:val="BodyText"/>
        <w:rPr>
          <w:rFonts w:ascii="Times New Roman" w:hAnsi="Times New Roman" w:cs="Times New Roman"/>
          <w:color w:val="auto"/>
          <w:sz w:val="24"/>
          <w:szCs w:val="24"/>
        </w:rPr>
      </w:pPr>
      <w:r w:rsidRPr="004404C1">
        <w:rPr>
          <w:rFonts w:ascii="Times New Roman" w:hAnsi="Times New Roman" w:cs="Times New Roman"/>
          <w:color w:val="auto"/>
          <w:sz w:val="24"/>
          <w:szCs w:val="24"/>
        </w:rPr>
        <w:t xml:space="preserve">FHWA anticipates that data collected will be included in the annual report to Congress </w:t>
      </w:r>
      <w:r w:rsidR="00DE17B6">
        <w:rPr>
          <w:rFonts w:ascii="Times New Roman" w:hAnsi="Times New Roman" w:cs="Times New Roman"/>
          <w:color w:val="auto"/>
          <w:sz w:val="24"/>
          <w:szCs w:val="24"/>
        </w:rPr>
        <w:t xml:space="preserve">required by MAP-21 </w:t>
      </w:r>
      <w:r w:rsidRPr="004404C1">
        <w:rPr>
          <w:rFonts w:ascii="Times New Roman" w:hAnsi="Times New Roman" w:cs="Times New Roman"/>
          <w:color w:val="auto"/>
          <w:sz w:val="24"/>
          <w:szCs w:val="24"/>
        </w:rPr>
        <w:t xml:space="preserve">about condition of Tunnels in the US.  </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17. </w:t>
      </w:r>
      <w:r w:rsidRPr="004404C1">
        <w:rPr>
          <w:rFonts w:ascii="Times New Roman" w:hAnsi="Times New Roman" w:cs="Times New Roman"/>
          <w:u w:val="single"/>
        </w:rPr>
        <w:t>Approval for not displaying the expiration date of OMB approval</w:t>
      </w:r>
      <w:r w:rsidRPr="004404C1">
        <w:rPr>
          <w:rFonts w:ascii="Times New Roman" w:hAnsi="Times New Roman" w:cs="Times New Roman"/>
        </w:rPr>
        <w:t>:</w:t>
      </w:r>
    </w:p>
    <w:p w:rsidR="00B82F03" w:rsidRPr="00B82F03" w:rsidRDefault="00B82F03">
      <w:pPr>
        <w:pStyle w:val="NormalWeb"/>
        <w:rPr>
          <w:rFonts w:ascii="Times New Roman" w:eastAsia="Times New Roman" w:hAnsi="Times New Roman" w:cs="Times New Roman"/>
        </w:rPr>
      </w:pPr>
      <w:r w:rsidRPr="00B82F03">
        <w:rPr>
          <w:rFonts w:ascii="Times New Roman" w:eastAsia="Times New Roman" w:hAnsi="Times New Roman" w:cs="Times New Roman"/>
        </w:rPr>
        <w:t>FHWA is not seeking this approval.</w:t>
      </w:r>
    </w:p>
    <w:p w:rsidR="00BD1BF2" w:rsidRPr="004404C1" w:rsidRDefault="00BD1BF2">
      <w:pPr>
        <w:pStyle w:val="NormalWeb"/>
        <w:rPr>
          <w:rFonts w:ascii="Times New Roman" w:hAnsi="Times New Roman" w:cs="Times New Roman"/>
        </w:rPr>
      </w:pPr>
      <w:r w:rsidRPr="004404C1">
        <w:rPr>
          <w:rFonts w:ascii="Times New Roman" w:hAnsi="Times New Roman" w:cs="Times New Roman"/>
        </w:rPr>
        <w:t xml:space="preserve">18. </w:t>
      </w:r>
      <w:r w:rsidRPr="004404C1">
        <w:rPr>
          <w:rFonts w:ascii="Times New Roman" w:hAnsi="Times New Roman" w:cs="Times New Roman"/>
          <w:u w:val="single"/>
        </w:rPr>
        <w:t>Exceptions to certification statement</w:t>
      </w:r>
      <w:r w:rsidRPr="004404C1">
        <w:rPr>
          <w:rFonts w:ascii="Times New Roman" w:hAnsi="Times New Roman" w:cs="Times New Roman"/>
        </w:rPr>
        <w:t>:</w:t>
      </w:r>
    </w:p>
    <w:p w:rsidR="00B82F03" w:rsidRPr="00B82F03" w:rsidRDefault="00B82F03">
      <w:pPr>
        <w:pStyle w:val="NormalWeb"/>
        <w:rPr>
          <w:rFonts w:ascii="Times New Roman" w:eastAsia="Times New Roman" w:hAnsi="Times New Roman" w:cs="Times New Roman"/>
        </w:rPr>
      </w:pPr>
      <w:r w:rsidRPr="00B82F03">
        <w:rPr>
          <w:rFonts w:ascii="Times New Roman" w:eastAsia="Times New Roman" w:hAnsi="Times New Roman" w:cs="Times New Roman"/>
        </w:rPr>
        <w:t>No exemptions are required; these activities will comply with the requirements in 5 CFR 1320.9.</w:t>
      </w:r>
    </w:p>
    <w:p w:rsidR="00B82F03" w:rsidRDefault="00B82F03">
      <w:pPr>
        <w:pStyle w:val="NormalWeb"/>
        <w:rPr>
          <w:rFonts w:ascii="Times New Roman" w:eastAsia="Times New Roman" w:hAnsi="Times New Roman" w:cs="Times New Roman"/>
          <w:color w:val="FF0000"/>
        </w:rPr>
      </w:pPr>
    </w:p>
    <w:p w:rsidR="004404C1" w:rsidRPr="004404C1" w:rsidRDefault="004404C1">
      <w:pPr>
        <w:rPr>
          <w:color w:val="FF0000"/>
        </w:rPr>
      </w:pPr>
    </w:p>
    <w:sectPr w:rsidR="004404C1" w:rsidRPr="004404C1" w:rsidSect="0030604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ION G+ Garamond">
    <w:altName w:val="Garamon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71A95"/>
    <w:multiLevelType w:val="hybridMultilevel"/>
    <w:tmpl w:val="D23CE504"/>
    <w:lvl w:ilvl="0" w:tplc="5B064B28">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1662"/>
    <w:rsid w:val="00041E3F"/>
    <w:rsid w:val="00073A6A"/>
    <w:rsid w:val="000C3090"/>
    <w:rsid w:val="000D6073"/>
    <w:rsid w:val="000E490E"/>
    <w:rsid w:val="001106BF"/>
    <w:rsid w:val="0012710D"/>
    <w:rsid w:val="001E3224"/>
    <w:rsid w:val="002D2BCD"/>
    <w:rsid w:val="0030604F"/>
    <w:rsid w:val="00307250"/>
    <w:rsid w:val="00345682"/>
    <w:rsid w:val="00362E10"/>
    <w:rsid w:val="003B41C4"/>
    <w:rsid w:val="003C4D14"/>
    <w:rsid w:val="003C79F2"/>
    <w:rsid w:val="003F7844"/>
    <w:rsid w:val="00404FAE"/>
    <w:rsid w:val="00411EF1"/>
    <w:rsid w:val="004404C1"/>
    <w:rsid w:val="004417FC"/>
    <w:rsid w:val="004701C2"/>
    <w:rsid w:val="0048109E"/>
    <w:rsid w:val="004C0B75"/>
    <w:rsid w:val="004E2EC1"/>
    <w:rsid w:val="0050250C"/>
    <w:rsid w:val="00525253"/>
    <w:rsid w:val="005669DB"/>
    <w:rsid w:val="00586A4D"/>
    <w:rsid w:val="005B11B3"/>
    <w:rsid w:val="005B6B53"/>
    <w:rsid w:val="00644F55"/>
    <w:rsid w:val="00663648"/>
    <w:rsid w:val="006A6304"/>
    <w:rsid w:val="0077639E"/>
    <w:rsid w:val="00780DB6"/>
    <w:rsid w:val="00790EB3"/>
    <w:rsid w:val="0080295C"/>
    <w:rsid w:val="008202B9"/>
    <w:rsid w:val="00885657"/>
    <w:rsid w:val="008A4A67"/>
    <w:rsid w:val="008C7D0D"/>
    <w:rsid w:val="00921189"/>
    <w:rsid w:val="009A7345"/>
    <w:rsid w:val="009B7ABD"/>
    <w:rsid w:val="009F5375"/>
    <w:rsid w:val="00A05652"/>
    <w:rsid w:val="00A0700A"/>
    <w:rsid w:val="00A52E2A"/>
    <w:rsid w:val="00B82F03"/>
    <w:rsid w:val="00B906F1"/>
    <w:rsid w:val="00BA0FF8"/>
    <w:rsid w:val="00BA745B"/>
    <w:rsid w:val="00BD1BF2"/>
    <w:rsid w:val="00BF7C24"/>
    <w:rsid w:val="00C52683"/>
    <w:rsid w:val="00CB08EF"/>
    <w:rsid w:val="00CC5E38"/>
    <w:rsid w:val="00D95419"/>
    <w:rsid w:val="00DE17B6"/>
    <w:rsid w:val="00E14C51"/>
    <w:rsid w:val="00E47562"/>
    <w:rsid w:val="00F906AD"/>
    <w:rsid w:val="00FA4D1D"/>
    <w:rsid w:val="00FB6FDA"/>
    <w:rsid w:val="00FE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0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8109E"/>
    <w:rPr>
      <w:b/>
      <w:bCs/>
    </w:rPr>
  </w:style>
  <w:style w:type="paragraph" w:styleId="NormalWeb">
    <w:name w:val="Normal (Web)"/>
    <w:basedOn w:val="Normal"/>
    <w:rsid w:val="0048109E"/>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48109E"/>
    <w:rPr>
      <w:color w:val="0000FF"/>
      <w:u w:val="single"/>
    </w:rPr>
  </w:style>
  <w:style w:type="character" w:styleId="FollowedHyperlink">
    <w:name w:val="FollowedHyperlink"/>
    <w:basedOn w:val="DefaultParagraphFont"/>
    <w:rsid w:val="0048109E"/>
    <w:rPr>
      <w:color w:val="800080"/>
      <w:u w:val="single"/>
    </w:rPr>
  </w:style>
  <w:style w:type="paragraph" w:styleId="BodyText">
    <w:name w:val="Body Text"/>
    <w:basedOn w:val="Normal"/>
    <w:rsid w:val="0048109E"/>
    <w:rPr>
      <w:rFonts w:ascii="Arial" w:hAnsi="Arial" w:cs="Arial"/>
      <w:color w:val="FF0000"/>
      <w:sz w:val="20"/>
      <w:szCs w:val="20"/>
    </w:rPr>
  </w:style>
  <w:style w:type="paragraph" w:styleId="BalloonText">
    <w:name w:val="Balloon Text"/>
    <w:basedOn w:val="Normal"/>
    <w:link w:val="BalloonTextChar"/>
    <w:rsid w:val="009B7ABD"/>
    <w:rPr>
      <w:rFonts w:ascii="Tahoma" w:hAnsi="Tahoma" w:cs="Tahoma"/>
      <w:sz w:val="16"/>
      <w:szCs w:val="16"/>
    </w:rPr>
  </w:style>
  <w:style w:type="character" w:customStyle="1" w:styleId="BalloonTextChar">
    <w:name w:val="Balloon Text Char"/>
    <w:basedOn w:val="DefaultParagraphFont"/>
    <w:link w:val="BalloonText"/>
    <w:rsid w:val="009B7ABD"/>
    <w:rPr>
      <w:rFonts w:ascii="Tahoma" w:hAnsi="Tahoma" w:cs="Tahoma"/>
      <w:sz w:val="16"/>
      <w:szCs w:val="16"/>
    </w:rPr>
  </w:style>
  <w:style w:type="paragraph" w:customStyle="1" w:styleId="CM37">
    <w:name w:val="CM37"/>
    <w:basedOn w:val="Normal"/>
    <w:next w:val="Normal"/>
    <w:rsid w:val="00CC5E38"/>
    <w:pPr>
      <w:widowControl w:val="0"/>
      <w:autoSpaceDE w:val="0"/>
      <w:autoSpaceDN w:val="0"/>
      <w:adjustRightInd w:val="0"/>
      <w:spacing w:line="480" w:lineRule="auto"/>
      <w:ind w:firstLine="720"/>
    </w:pPr>
    <w:rPr>
      <w:rFonts w:ascii="DEION G+ Garamond" w:hAnsi="DEION G+ Garamond"/>
    </w:rPr>
  </w:style>
  <w:style w:type="character" w:styleId="CommentReference">
    <w:name w:val="annotation reference"/>
    <w:basedOn w:val="DefaultParagraphFont"/>
    <w:rsid w:val="00011662"/>
    <w:rPr>
      <w:sz w:val="16"/>
      <w:szCs w:val="16"/>
    </w:rPr>
  </w:style>
  <w:style w:type="paragraph" w:styleId="CommentText">
    <w:name w:val="annotation text"/>
    <w:basedOn w:val="Normal"/>
    <w:link w:val="CommentTextChar"/>
    <w:rsid w:val="00011662"/>
    <w:rPr>
      <w:sz w:val="20"/>
      <w:szCs w:val="20"/>
    </w:rPr>
  </w:style>
  <w:style w:type="character" w:customStyle="1" w:styleId="CommentTextChar">
    <w:name w:val="Comment Text Char"/>
    <w:basedOn w:val="DefaultParagraphFont"/>
    <w:link w:val="CommentText"/>
    <w:rsid w:val="00011662"/>
  </w:style>
  <w:style w:type="paragraph" w:styleId="CommentSubject">
    <w:name w:val="annotation subject"/>
    <w:basedOn w:val="CommentText"/>
    <w:next w:val="CommentText"/>
    <w:link w:val="CommentSubjectChar"/>
    <w:rsid w:val="00011662"/>
    <w:rPr>
      <w:b/>
      <w:bCs/>
    </w:rPr>
  </w:style>
  <w:style w:type="character" w:customStyle="1" w:styleId="CommentSubjectChar">
    <w:name w:val="Comment Subject Char"/>
    <w:basedOn w:val="CommentTextChar"/>
    <w:link w:val="CommentSubject"/>
    <w:rsid w:val="00011662"/>
    <w:rPr>
      <w:b/>
      <w:bCs/>
    </w:rPr>
  </w:style>
  <w:style w:type="paragraph" w:styleId="HTMLPreformatted">
    <w:name w:val="HTML Preformatted"/>
    <w:basedOn w:val="Normal"/>
    <w:link w:val="HTMLPreformattedChar"/>
    <w:uiPriority w:val="99"/>
    <w:unhideWhenUsed/>
    <w:rsid w:val="005B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B11B3"/>
    <w:rPr>
      <w:rFonts w:ascii="Courier New" w:hAnsi="Courier New" w:cs="Courier New"/>
    </w:rPr>
  </w:style>
  <w:style w:type="paragraph" w:styleId="ListParagraph">
    <w:name w:val="List Paragraph"/>
    <w:basedOn w:val="Normal"/>
    <w:uiPriority w:val="34"/>
    <w:qFormat/>
    <w:rsid w:val="00E47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0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8109E"/>
    <w:rPr>
      <w:b/>
      <w:bCs/>
    </w:rPr>
  </w:style>
  <w:style w:type="paragraph" w:styleId="NormalWeb">
    <w:name w:val="Normal (Web)"/>
    <w:basedOn w:val="Normal"/>
    <w:rsid w:val="0048109E"/>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48109E"/>
    <w:rPr>
      <w:color w:val="0000FF"/>
      <w:u w:val="single"/>
    </w:rPr>
  </w:style>
  <w:style w:type="character" w:styleId="FollowedHyperlink">
    <w:name w:val="FollowedHyperlink"/>
    <w:basedOn w:val="DefaultParagraphFont"/>
    <w:rsid w:val="0048109E"/>
    <w:rPr>
      <w:color w:val="800080"/>
      <w:u w:val="single"/>
    </w:rPr>
  </w:style>
  <w:style w:type="paragraph" w:styleId="BodyText">
    <w:name w:val="Body Text"/>
    <w:basedOn w:val="Normal"/>
    <w:rsid w:val="0048109E"/>
    <w:rPr>
      <w:rFonts w:ascii="Arial" w:hAnsi="Arial" w:cs="Arial"/>
      <w:color w:val="FF0000"/>
      <w:sz w:val="20"/>
      <w:szCs w:val="20"/>
    </w:rPr>
  </w:style>
  <w:style w:type="paragraph" w:styleId="BalloonText">
    <w:name w:val="Balloon Text"/>
    <w:basedOn w:val="Normal"/>
    <w:link w:val="BalloonTextChar"/>
    <w:rsid w:val="009B7ABD"/>
    <w:rPr>
      <w:rFonts w:ascii="Tahoma" w:hAnsi="Tahoma" w:cs="Tahoma"/>
      <w:sz w:val="16"/>
      <w:szCs w:val="16"/>
    </w:rPr>
  </w:style>
  <w:style w:type="character" w:customStyle="1" w:styleId="BalloonTextChar">
    <w:name w:val="Balloon Text Char"/>
    <w:basedOn w:val="DefaultParagraphFont"/>
    <w:link w:val="BalloonText"/>
    <w:rsid w:val="009B7ABD"/>
    <w:rPr>
      <w:rFonts w:ascii="Tahoma" w:hAnsi="Tahoma" w:cs="Tahoma"/>
      <w:sz w:val="16"/>
      <w:szCs w:val="16"/>
    </w:rPr>
  </w:style>
  <w:style w:type="paragraph" w:customStyle="1" w:styleId="CM37">
    <w:name w:val="CM37"/>
    <w:basedOn w:val="Normal"/>
    <w:next w:val="Normal"/>
    <w:rsid w:val="00CC5E38"/>
    <w:pPr>
      <w:widowControl w:val="0"/>
      <w:autoSpaceDE w:val="0"/>
      <w:autoSpaceDN w:val="0"/>
      <w:adjustRightInd w:val="0"/>
      <w:spacing w:line="480" w:lineRule="auto"/>
      <w:ind w:firstLine="720"/>
    </w:pPr>
    <w:rPr>
      <w:rFonts w:ascii="DEION G+ Garamond" w:hAnsi="DEION G+ Garamond"/>
    </w:rPr>
  </w:style>
  <w:style w:type="character" w:styleId="CommentReference">
    <w:name w:val="annotation reference"/>
    <w:basedOn w:val="DefaultParagraphFont"/>
    <w:rsid w:val="00011662"/>
    <w:rPr>
      <w:sz w:val="16"/>
      <w:szCs w:val="16"/>
    </w:rPr>
  </w:style>
  <w:style w:type="paragraph" w:styleId="CommentText">
    <w:name w:val="annotation text"/>
    <w:basedOn w:val="Normal"/>
    <w:link w:val="CommentTextChar"/>
    <w:rsid w:val="00011662"/>
    <w:rPr>
      <w:sz w:val="20"/>
      <w:szCs w:val="20"/>
    </w:rPr>
  </w:style>
  <w:style w:type="character" w:customStyle="1" w:styleId="CommentTextChar">
    <w:name w:val="Comment Text Char"/>
    <w:basedOn w:val="DefaultParagraphFont"/>
    <w:link w:val="CommentText"/>
    <w:rsid w:val="00011662"/>
  </w:style>
  <w:style w:type="paragraph" w:styleId="CommentSubject">
    <w:name w:val="annotation subject"/>
    <w:basedOn w:val="CommentText"/>
    <w:next w:val="CommentText"/>
    <w:link w:val="CommentSubjectChar"/>
    <w:rsid w:val="00011662"/>
    <w:rPr>
      <w:b/>
      <w:bCs/>
    </w:rPr>
  </w:style>
  <w:style w:type="character" w:customStyle="1" w:styleId="CommentSubjectChar">
    <w:name w:val="Comment Subject Char"/>
    <w:basedOn w:val="CommentTextChar"/>
    <w:link w:val="CommentSubject"/>
    <w:rsid w:val="00011662"/>
    <w:rPr>
      <w:b/>
      <w:bCs/>
    </w:rPr>
  </w:style>
  <w:style w:type="paragraph" w:styleId="HTMLPreformatted">
    <w:name w:val="HTML Preformatted"/>
    <w:basedOn w:val="Normal"/>
    <w:link w:val="HTMLPreformattedChar"/>
    <w:uiPriority w:val="99"/>
    <w:unhideWhenUsed/>
    <w:rsid w:val="005B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B11B3"/>
    <w:rPr>
      <w:rFonts w:ascii="Courier New" w:hAnsi="Courier New" w:cs="Courier New"/>
    </w:rPr>
  </w:style>
  <w:style w:type="paragraph" w:styleId="ListParagraph">
    <w:name w:val="List Paragraph"/>
    <w:basedOn w:val="Normal"/>
    <w:uiPriority w:val="34"/>
    <w:qFormat/>
    <w:rsid w:val="00E47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3983">
      <w:bodyDiv w:val="1"/>
      <w:marLeft w:val="0"/>
      <w:marRight w:val="0"/>
      <w:marTop w:val="0"/>
      <w:marBottom w:val="0"/>
      <w:divBdr>
        <w:top w:val="none" w:sz="0" w:space="0" w:color="auto"/>
        <w:left w:val="none" w:sz="0" w:space="0" w:color="auto"/>
        <w:bottom w:val="none" w:sz="0" w:space="0" w:color="auto"/>
        <w:right w:val="none" w:sz="0" w:space="0" w:color="auto"/>
      </w:divBdr>
    </w:div>
    <w:div w:id="377365911">
      <w:bodyDiv w:val="1"/>
      <w:marLeft w:val="0"/>
      <w:marRight w:val="0"/>
      <w:marTop w:val="0"/>
      <w:marBottom w:val="0"/>
      <w:divBdr>
        <w:top w:val="none" w:sz="0" w:space="0" w:color="auto"/>
        <w:left w:val="none" w:sz="0" w:space="0" w:color="auto"/>
        <w:bottom w:val="none" w:sz="0" w:space="0" w:color="auto"/>
        <w:right w:val="none" w:sz="0" w:space="0" w:color="auto"/>
      </w:divBdr>
    </w:div>
    <w:div w:id="399638913">
      <w:bodyDiv w:val="1"/>
      <w:marLeft w:val="0"/>
      <w:marRight w:val="0"/>
      <w:marTop w:val="0"/>
      <w:marBottom w:val="0"/>
      <w:divBdr>
        <w:top w:val="none" w:sz="0" w:space="0" w:color="auto"/>
        <w:left w:val="none" w:sz="0" w:space="0" w:color="auto"/>
        <w:bottom w:val="none" w:sz="0" w:space="0" w:color="auto"/>
        <w:right w:val="none" w:sz="0" w:space="0" w:color="auto"/>
      </w:divBdr>
    </w:div>
    <w:div w:id="687291504">
      <w:bodyDiv w:val="1"/>
      <w:marLeft w:val="0"/>
      <w:marRight w:val="0"/>
      <w:marTop w:val="0"/>
      <w:marBottom w:val="0"/>
      <w:divBdr>
        <w:top w:val="none" w:sz="0" w:space="0" w:color="auto"/>
        <w:left w:val="none" w:sz="0" w:space="0" w:color="auto"/>
        <w:bottom w:val="none" w:sz="0" w:space="0" w:color="auto"/>
        <w:right w:val="none" w:sz="0" w:space="0" w:color="auto"/>
      </w:divBdr>
    </w:div>
    <w:div w:id="829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E1FC-DED2-4082-8394-BEC82A83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10680</CharactersWithSpaces>
  <SharedDoc>false</SharedDoc>
  <HLinks>
    <vt:vector size="6" baseType="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USDOT_User</cp:lastModifiedBy>
  <cp:revision>2</cp:revision>
  <cp:lastPrinted>2013-08-23T13:57:00Z</cp:lastPrinted>
  <dcterms:created xsi:type="dcterms:W3CDTF">2013-08-26T13:54:00Z</dcterms:created>
  <dcterms:modified xsi:type="dcterms:W3CDTF">2013-08-26T13:54:00Z</dcterms:modified>
</cp:coreProperties>
</file>