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29" w:rsidRDefault="00C20E6D" w:rsidP="00C20E6D">
      <w:pPr>
        <w:jc w:val="center"/>
        <w:rPr>
          <w:rFonts w:ascii="Cambria" w:hAnsi="Cambria"/>
          <w:b/>
          <w:sz w:val="32"/>
          <w:szCs w:val="32"/>
        </w:rPr>
      </w:pPr>
      <w:bookmarkStart w:id="0" w:name="_GoBack"/>
      <w:bookmarkEnd w:id="0"/>
      <w:r w:rsidRPr="00C20E6D">
        <w:rPr>
          <w:rFonts w:ascii="Cambria" w:hAnsi="Cambria"/>
          <w:b/>
          <w:sz w:val="32"/>
          <w:szCs w:val="32"/>
        </w:rPr>
        <w:t>M</w:t>
      </w:r>
      <w:r w:rsidR="00DE367F">
        <w:rPr>
          <w:rFonts w:ascii="Cambria" w:hAnsi="Cambria"/>
          <w:b/>
          <w:sz w:val="32"/>
          <w:szCs w:val="32"/>
        </w:rPr>
        <w:t>emorandum</w:t>
      </w:r>
    </w:p>
    <w:p w:rsidR="00592B4E" w:rsidRPr="00C20E6D" w:rsidRDefault="00592B4E" w:rsidP="00C20E6D">
      <w:pPr>
        <w:jc w:val="center"/>
        <w:rPr>
          <w:rFonts w:ascii="Cambria" w:hAnsi="Cambria"/>
          <w:b/>
          <w:sz w:val="32"/>
          <w:szCs w:val="32"/>
        </w:rPr>
      </w:pPr>
    </w:p>
    <w:p w:rsidR="00310587" w:rsidRDefault="00310587">
      <w:pPr>
        <w:pStyle w:val="Salutation"/>
      </w:pPr>
    </w:p>
    <w:p w:rsidR="00C20E6D" w:rsidRPr="00E867ED" w:rsidRDefault="00310587" w:rsidP="00C20E6D">
      <w:pPr>
        <w:tabs>
          <w:tab w:val="left" w:pos="1080"/>
        </w:tabs>
        <w:rPr>
          <w:rFonts w:asciiTheme="majorHAnsi" w:hAnsiTheme="majorHAnsi"/>
        </w:rPr>
      </w:pPr>
      <w:r w:rsidRPr="00310587">
        <w:rPr>
          <w:rFonts w:asciiTheme="majorHAnsi" w:hAnsiTheme="majorHAnsi"/>
          <w:b/>
        </w:rPr>
        <w:t>Date:</w:t>
      </w:r>
      <w:r w:rsidR="00617E8E">
        <w:rPr>
          <w:rFonts w:asciiTheme="majorHAnsi" w:hAnsiTheme="majorHAnsi"/>
        </w:rPr>
        <w:t xml:space="preserve"> </w:t>
      </w:r>
      <w:r w:rsidR="00617E8E">
        <w:rPr>
          <w:rFonts w:asciiTheme="majorHAnsi" w:hAnsiTheme="majorHAnsi"/>
        </w:rPr>
        <w:tab/>
      </w:r>
      <w:r w:rsidR="001D63F0">
        <w:rPr>
          <w:rFonts w:asciiTheme="majorHAnsi" w:hAnsiTheme="majorHAnsi"/>
        </w:rPr>
        <w:t>May 1</w:t>
      </w:r>
      <w:r w:rsidR="00EB6293">
        <w:rPr>
          <w:rFonts w:asciiTheme="majorHAnsi" w:hAnsiTheme="majorHAnsi"/>
        </w:rPr>
        <w:t>7</w:t>
      </w:r>
      <w:r w:rsidR="002A2EAA">
        <w:rPr>
          <w:rFonts w:asciiTheme="majorHAnsi" w:hAnsiTheme="majorHAnsi"/>
        </w:rPr>
        <w:t>, 2013</w:t>
      </w:r>
    </w:p>
    <w:p w:rsidR="00C20E6D" w:rsidRPr="00E867ED" w:rsidRDefault="00C20E6D" w:rsidP="00C20E6D">
      <w:pPr>
        <w:tabs>
          <w:tab w:val="left" w:pos="1080"/>
        </w:tabs>
        <w:rPr>
          <w:rFonts w:asciiTheme="majorHAnsi" w:hAnsiTheme="majorHAnsi"/>
        </w:rPr>
      </w:pPr>
    </w:p>
    <w:p w:rsidR="00F47307" w:rsidRDefault="00310587" w:rsidP="00C20E6D">
      <w:pPr>
        <w:tabs>
          <w:tab w:val="left" w:pos="1080"/>
        </w:tabs>
        <w:rPr>
          <w:rFonts w:asciiTheme="majorHAnsi" w:hAnsiTheme="majorHAnsi"/>
        </w:rPr>
      </w:pPr>
      <w:r w:rsidRPr="00310587">
        <w:rPr>
          <w:rFonts w:asciiTheme="majorHAnsi" w:hAnsiTheme="majorHAnsi"/>
          <w:b/>
        </w:rPr>
        <w:t>To:</w:t>
      </w:r>
      <w:r w:rsidRPr="00310587">
        <w:rPr>
          <w:rFonts w:asciiTheme="majorHAnsi" w:hAnsiTheme="majorHAnsi"/>
        </w:rPr>
        <w:tab/>
        <w:t xml:space="preserve">Shelly Martinez, </w:t>
      </w:r>
      <w:r w:rsidR="00F47307">
        <w:rPr>
          <w:rFonts w:asciiTheme="majorHAnsi" w:hAnsiTheme="majorHAnsi"/>
        </w:rPr>
        <w:t xml:space="preserve">Desk Officer </w:t>
      </w:r>
    </w:p>
    <w:p w:rsidR="00C20E6D" w:rsidRPr="00E867ED" w:rsidRDefault="00F47307" w:rsidP="00C20E6D">
      <w:pPr>
        <w:tabs>
          <w:tab w:val="left" w:pos="1080"/>
        </w:tabs>
        <w:rPr>
          <w:rFonts w:asciiTheme="majorHAnsi" w:hAnsiTheme="majorHAnsi"/>
        </w:rPr>
      </w:pPr>
      <w:r>
        <w:rPr>
          <w:rFonts w:asciiTheme="majorHAnsi" w:hAnsiTheme="majorHAnsi"/>
        </w:rPr>
        <w:tab/>
      </w:r>
      <w:r w:rsidR="00310587" w:rsidRPr="00310587">
        <w:rPr>
          <w:rFonts w:asciiTheme="majorHAnsi" w:hAnsiTheme="majorHAnsi"/>
        </w:rPr>
        <w:t>Office of Management and Budget</w:t>
      </w:r>
    </w:p>
    <w:p w:rsidR="00C20E6D" w:rsidRPr="00E867ED" w:rsidRDefault="00C20E6D" w:rsidP="00C20E6D">
      <w:pPr>
        <w:tabs>
          <w:tab w:val="left" w:pos="1080"/>
        </w:tabs>
        <w:rPr>
          <w:rFonts w:asciiTheme="majorHAnsi" w:hAnsiTheme="majorHAnsi"/>
        </w:rPr>
      </w:pPr>
    </w:p>
    <w:p w:rsidR="00310587" w:rsidRPr="00310587" w:rsidRDefault="00310587">
      <w:pPr>
        <w:pStyle w:val="Salutation"/>
        <w:rPr>
          <w:rFonts w:asciiTheme="majorHAnsi" w:hAnsiTheme="majorHAnsi"/>
          <w:sz w:val="24"/>
        </w:rPr>
      </w:pPr>
      <w:r w:rsidRPr="00310587">
        <w:rPr>
          <w:rFonts w:asciiTheme="majorHAnsi" w:hAnsiTheme="majorHAnsi"/>
          <w:b/>
          <w:sz w:val="24"/>
        </w:rPr>
        <w:t>From:</w:t>
      </w:r>
      <w:r w:rsidR="001626CF">
        <w:rPr>
          <w:rFonts w:asciiTheme="majorHAnsi" w:hAnsiTheme="majorHAnsi"/>
          <w:sz w:val="24"/>
        </w:rPr>
        <w:t xml:space="preserve"> </w:t>
      </w:r>
      <w:r w:rsidR="001626CF">
        <w:rPr>
          <w:rFonts w:asciiTheme="majorHAnsi" w:hAnsiTheme="majorHAnsi"/>
          <w:sz w:val="24"/>
        </w:rPr>
        <w:tab/>
        <w:t xml:space="preserve">John </w:t>
      </w:r>
      <w:r w:rsidR="001D63F0">
        <w:rPr>
          <w:rFonts w:asciiTheme="majorHAnsi" w:hAnsiTheme="majorHAnsi"/>
          <w:sz w:val="24"/>
        </w:rPr>
        <w:t xml:space="preserve">R. </w:t>
      </w:r>
      <w:r w:rsidR="001626CF">
        <w:rPr>
          <w:rFonts w:asciiTheme="majorHAnsi" w:hAnsiTheme="majorHAnsi"/>
          <w:sz w:val="24"/>
        </w:rPr>
        <w:t>Gawalt</w:t>
      </w:r>
      <w:r w:rsidRPr="00310587">
        <w:rPr>
          <w:rFonts w:asciiTheme="majorHAnsi" w:hAnsiTheme="majorHAnsi"/>
          <w:sz w:val="24"/>
        </w:rPr>
        <w:t>, Director</w:t>
      </w:r>
    </w:p>
    <w:p w:rsidR="00310587" w:rsidRPr="00310587" w:rsidRDefault="00310587">
      <w:pPr>
        <w:pStyle w:val="Salutation"/>
        <w:rPr>
          <w:rFonts w:asciiTheme="majorHAnsi" w:hAnsiTheme="majorHAnsi"/>
          <w:sz w:val="24"/>
        </w:rPr>
      </w:pPr>
      <w:r w:rsidRPr="00310587">
        <w:rPr>
          <w:rFonts w:asciiTheme="majorHAnsi" w:hAnsiTheme="majorHAnsi"/>
          <w:sz w:val="24"/>
        </w:rPr>
        <w:tab/>
        <w:t>National Center for Science and Engineering Statistics</w:t>
      </w:r>
    </w:p>
    <w:p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rsidR="00310587" w:rsidRPr="00310587" w:rsidRDefault="00310587">
      <w:pPr>
        <w:pStyle w:val="Salutation"/>
        <w:rPr>
          <w:rFonts w:asciiTheme="majorHAnsi" w:hAnsiTheme="majorHAnsi"/>
          <w:sz w:val="24"/>
        </w:rPr>
      </w:pPr>
    </w:p>
    <w:p w:rsidR="00310587" w:rsidRPr="00310587" w:rsidRDefault="00310587">
      <w:pPr>
        <w:pStyle w:val="Salutation"/>
        <w:rPr>
          <w:rFonts w:asciiTheme="majorHAnsi" w:hAnsiTheme="majorHAnsi"/>
          <w:sz w:val="24"/>
        </w:rPr>
      </w:pPr>
      <w:r w:rsidRPr="007B0BAB">
        <w:rPr>
          <w:rFonts w:asciiTheme="majorHAnsi" w:hAnsiTheme="majorHAnsi"/>
          <w:b/>
          <w:sz w:val="24"/>
        </w:rPr>
        <w:t>Via:</w:t>
      </w:r>
      <w:r w:rsidRPr="00310587">
        <w:rPr>
          <w:rFonts w:asciiTheme="majorHAnsi" w:hAnsiTheme="majorHAnsi"/>
          <w:sz w:val="24"/>
        </w:rPr>
        <w:t xml:space="preserve">  </w:t>
      </w:r>
      <w:r w:rsidRPr="00310587">
        <w:rPr>
          <w:rFonts w:asciiTheme="majorHAnsi" w:hAnsiTheme="majorHAnsi"/>
          <w:sz w:val="24"/>
        </w:rPr>
        <w:tab/>
        <w:t>Suzanne Plimpton, Reports Clearance Officer</w:t>
      </w:r>
    </w:p>
    <w:p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rsidR="00C20E6D" w:rsidRPr="00C20E6D" w:rsidRDefault="00C20E6D" w:rsidP="00C20E6D">
      <w:pPr>
        <w:tabs>
          <w:tab w:val="left" w:pos="1080"/>
        </w:tabs>
        <w:ind w:left="720" w:hanging="720"/>
        <w:rPr>
          <w:rFonts w:ascii="Cambria" w:hAnsi="Cambria"/>
        </w:rPr>
      </w:pPr>
    </w:p>
    <w:p w:rsidR="00C20E6D" w:rsidRPr="00C20E6D" w:rsidRDefault="00C20E6D" w:rsidP="00C20E6D">
      <w:pPr>
        <w:tabs>
          <w:tab w:val="left" w:pos="1080"/>
        </w:tabs>
        <w:ind w:left="1080" w:hanging="1080"/>
        <w:rPr>
          <w:rFonts w:ascii="Cambria" w:hAnsi="Cambria"/>
        </w:rPr>
      </w:pPr>
      <w:r w:rsidRPr="00C20E6D">
        <w:rPr>
          <w:rFonts w:ascii="Cambria" w:hAnsi="Cambria"/>
          <w:b/>
        </w:rPr>
        <w:t>Subject:</w:t>
      </w:r>
      <w:r w:rsidRPr="00C20E6D">
        <w:rPr>
          <w:rFonts w:ascii="Cambria" w:hAnsi="Cambria"/>
        </w:rPr>
        <w:tab/>
        <w:t xml:space="preserve">Request for Approval of Methodological </w:t>
      </w:r>
      <w:r w:rsidR="0015425E">
        <w:rPr>
          <w:rFonts w:ascii="Cambria" w:hAnsi="Cambria"/>
        </w:rPr>
        <w:t>Research</w:t>
      </w:r>
      <w:r w:rsidR="0015425E" w:rsidRPr="00C20E6D">
        <w:rPr>
          <w:rFonts w:ascii="Cambria" w:hAnsi="Cambria"/>
        </w:rPr>
        <w:t xml:space="preserve"> </w:t>
      </w:r>
      <w:r w:rsidRPr="00C20E6D">
        <w:rPr>
          <w:rFonts w:ascii="Cambria" w:hAnsi="Cambria"/>
        </w:rPr>
        <w:t xml:space="preserve">on </w:t>
      </w:r>
      <w:r w:rsidR="0015425E">
        <w:rPr>
          <w:rFonts w:ascii="Cambria" w:hAnsi="Cambria"/>
        </w:rPr>
        <w:t xml:space="preserve">Reporting of  </w:t>
      </w:r>
      <w:r w:rsidR="00152390">
        <w:rPr>
          <w:rFonts w:ascii="Cambria" w:hAnsi="Cambria"/>
        </w:rPr>
        <w:t xml:space="preserve">Non-faculty Researchers in </w:t>
      </w:r>
      <w:r w:rsidR="001D63F0">
        <w:rPr>
          <w:rFonts w:ascii="Cambria" w:hAnsi="Cambria"/>
        </w:rPr>
        <w:t xml:space="preserve">the </w:t>
      </w:r>
      <w:r w:rsidRPr="00C20E6D">
        <w:rPr>
          <w:rFonts w:ascii="Cambria" w:hAnsi="Cambria"/>
        </w:rPr>
        <w:t>NSF-NIH Survey of Graduate Students and Postdoctorates in Science and Engineering (GSS)</w:t>
      </w:r>
      <w:r w:rsidR="00276205">
        <w:rPr>
          <w:rFonts w:ascii="Cambria" w:hAnsi="Cambria"/>
        </w:rPr>
        <w:t xml:space="preserve"> (3145-0062)</w:t>
      </w:r>
    </w:p>
    <w:p w:rsidR="00C20E6D" w:rsidRDefault="00C20E6D" w:rsidP="00C20E6D">
      <w:pPr>
        <w:rPr>
          <w:rFonts w:ascii="Cambria" w:hAnsi="Cambria"/>
        </w:rPr>
      </w:pPr>
    </w:p>
    <w:p w:rsidR="00152390" w:rsidRPr="00C20E6D" w:rsidRDefault="00730567" w:rsidP="00C20E6D">
      <w:pPr>
        <w:rPr>
          <w:rFonts w:ascii="Cambria" w:hAnsi="Cambria"/>
        </w:rPr>
      </w:pPr>
      <w:r>
        <w:rPr>
          <w:rFonts w:ascii="Cambria" w:hAnsi="Cambria"/>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112395</wp:posOffset>
                </wp:positionV>
                <wp:extent cx="6254750" cy="0"/>
                <wp:effectExtent l="5080" t="7620"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4pt;margin-top:8.85pt;width: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h/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s7TWfY4A+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"/>
            </w:pict>
          </mc:Fallback>
        </mc:AlternateContent>
      </w:r>
    </w:p>
    <w:p w:rsidR="001E55C2" w:rsidRPr="000C0B3D" w:rsidRDefault="00C20E6D" w:rsidP="00730567">
      <w:pPr>
        <w:spacing w:before="240"/>
        <w:rPr>
          <w:rFonts w:ascii="Cambria" w:hAnsi="Cambria"/>
        </w:rPr>
      </w:pPr>
      <w:r w:rsidRPr="00C20E6D">
        <w:rPr>
          <w:rFonts w:ascii="Cambria" w:hAnsi="Cambria"/>
        </w:rPr>
        <w:t xml:space="preserve">The National Science Foundation requests approval of methodological </w:t>
      </w:r>
      <w:r w:rsidR="0015425E">
        <w:rPr>
          <w:rFonts w:ascii="Cambria" w:hAnsi="Cambria"/>
        </w:rPr>
        <w:t xml:space="preserve">research </w:t>
      </w:r>
      <w:r w:rsidR="00AD5095">
        <w:rPr>
          <w:rFonts w:ascii="Cambria" w:hAnsi="Cambria"/>
        </w:rPr>
        <w:t>study</w:t>
      </w:r>
      <w:r w:rsidR="009E4547">
        <w:rPr>
          <w:rFonts w:ascii="Cambria" w:hAnsi="Cambria"/>
        </w:rPr>
        <w:t xml:space="preserve"> </w:t>
      </w:r>
      <w:r w:rsidR="009042D1">
        <w:rPr>
          <w:rFonts w:ascii="Cambria" w:hAnsi="Cambria"/>
        </w:rPr>
        <w:t xml:space="preserve">to examine </w:t>
      </w:r>
      <w:r w:rsidR="00DA723E">
        <w:rPr>
          <w:rFonts w:ascii="Cambria" w:hAnsi="Cambria"/>
        </w:rPr>
        <w:t xml:space="preserve">the </w:t>
      </w:r>
      <w:r w:rsidR="009042D1">
        <w:rPr>
          <w:rFonts w:ascii="Cambria" w:hAnsi="Cambria"/>
        </w:rPr>
        <w:t xml:space="preserve">quality of data on non-faculty doctorate researchers </w:t>
      </w:r>
      <w:r w:rsidR="00152390">
        <w:rPr>
          <w:rFonts w:ascii="Cambria" w:hAnsi="Cambria"/>
        </w:rPr>
        <w:t>reported by the</w:t>
      </w:r>
      <w:r w:rsidR="009042D1">
        <w:rPr>
          <w:rFonts w:ascii="Cambria" w:hAnsi="Cambria"/>
        </w:rPr>
        <w:t xml:space="preserve"> GSS institutions.</w:t>
      </w:r>
      <w:r w:rsidR="00B3510D">
        <w:rPr>
          <w:rFonts w:ascii="Cambria" w:hAnsi="Cambria"/>
        </w:rPr>
        <w:t xml:space="preserve"> This research will be carried out under the clearance for the Survey of Graduate Students and Postdoctorates in Science and Engineering (3145-0062).</w:t>
      </w:r>
    </w:p>
    <w:p w:rsidR="00C20E6D" w:rsidRDefault="00C20E6D" w:rsidP="00C20E6D">
      <w:pPr>
        <w:rPr>
          <w:rFonts w:ascii="Cambria" w:hAnsi="Cambria"/>
        </w:rPr>
      </w:pPr>
    </w:p>
    <w:p w:rsidR="00027E56" w:rsidRPr="004F3D63" w:rsidRDefault="00310587" w:rsidP="00C20E6D">
      <w:pPr>
        <w:rPr>
          <w:rFonts w:ascii="Cambria" w:hAnsi="Cambria"/>
          <w:b/>
        </w:rPr>
      </w:pPr>
      <w:r w:rsidRPr="00310587">
        <w:rPr>
          <w:rFonts w:ascii="Cambria" w:hAnsi="Cambria"/>
          <w:b/>
        </w:rPr>
        <w:t>Background</w:t>
      </w:r>
    </w:p>
    <w:p w:rsidR="00027E56" w:rsidRDefault="00027E56" w:rsidP="00C20E6D">
      <w:pPr>
        <w:rPr>
          <w:rFonts w:ascii="Cambria" w:hAnsi="Cambria"/>
        </w:rPr>
      </w:pPr>
    </w:p>
    <w:p w:rsidR="009042D1" w:rsidRDefault="009042D1" w:rsidP="00A0652C">
      <w:pPr>
        <w:rPr>
          <w:rFonts w:asciiTheme="majorHAnsi" w:hAnsiTheme="majorHAnsi"/>
        </w:rPr>
      </w:pPr>
      <w:r>
        <w:rPr>
          <w:rFonts w:asciiTheme="majorHAnsi" w:hAnsiTheme="majorHAnsi"/>
        </w:rPr>
        <w:t>The GSS is an annual survey that is designed to collect data about g</w:t>
      </w:r>
      <w:r w:rsidR="00EC70E9">
        <w:rPr>
          <w:rFonts w:asciiTheme="majorHAnsi" w:hAnsiTheme="majorHAnsi"/>
        </w:rPr>
        <w:t>raduate students, postdoctorate scholars (postdocs)</w:t>
      </w:r>
      <w:r>
        <w:rPr>
          <w:rFonts w:asciiTheme="majorHAnsi" w:hAnsiTheme="majorHAnsi"/>
        </w:rPr>
        <w:t>, and other non</w:t>
      </w:r>
      <w:r w:rsidR="00152390">
        <w:rPr>
          <w:rFonts w:asciiTheme="majorHAnsi" w:hAnsiTheme="majorHAnsi"/>
        </w:rPr>
        <w:t>-</w:t>
      </w:r>
      <w:r>
        <w:rPr>
          <w:rFonts w:asciiTheme="majorHAnsi" w:hAnsiTheme="majorHAnsi"/>
        </w:rPr>
        <w:t>faculty doctorate researchers</w:t>
      </w:r>
      <w:r w:rsidR="00152390">
        <w:rPr>
          <w:rFonts w:asciiTheme="majorHAnsi" w:hAnsiTheme="majorHAnsi"/>
        </w:rPr>
        <w:t xml:space="preserve"> </w:t>
      </w:r>
      <w:r w:rsidR="00EC70E9">
        <w:rPr>
          <w:rFonts w:asciiTheme="majorHAnsi" w:hAnsiTheme="majorHAnsi"/>
        </w:rPr>
        <w:t>(NFRs)</w:t>
      </w:r>
      <w:r>
        <w:rPr>
          <w:rFonts w:asciiTheme="majorHAnsi" w:hAnsiTheme="majorHAnsi"/>
        </w:rPr>
        <w:t xml:space="preserve">.  The target population for the </w:t>
      </w:r>
      <w:r w:rsidRPr="00310587">
        <w:rPr>
          <w:rFonts w:asciiTheme="majorHAnsi" w:hAnsiTheme="majorHAnsi"/>
        </w:rPr>
        <w:t xml:space="preserve">GSS is defined as U.S. </w:t>
      </w:r>
      <w:r>
        <w:rPr>
          <w:rFonts w:asciiTheme="majorHAnsi" w:hAnsiTheme="majorHAnsi"/>
        </w:rPr>
        <w:t xml:space="preserve">academic </w:t>
      </w:r>
      <w:r w:rsidRPr="00310587">
        <w:rPr>
          <w:rFonts w:asciiTheme="majorHAnsi" w:hAnsiTheme="majorHAnsi"/>
        </w:rPr>
        <w:t xml:space="preserve">institutions that offer graduate degree-credit programs in the sciences and engineering (as defined by NSF) </w:t>
      </w:r>
      <w:r>
        <w:rPr>
          <w:rFonts w:asciiTheme="majorHAnsi" w:hAnsiTheme="majorHAnsi"/>
        </w:rPr>
        <w:t xml:space="preserve">and </w:t>
      </w:r>
      <w:r w:rsidRPr="00310587">
        <w:rPr>
          <w:rFonts w:asciiTheme="majorHAnsi" w:hAnsiTheme="majorHAnsi"/>
        </w:rPr>
        <w:t>in health-related fields (as def</w:t>
      </w:r>
      <w:r w:rsidR="00EC70E9">
        <w:rPr>
          <w:rFonts w:asciiTheme="majorHAnsi" w:hAnsiTheme="majorHAnsi"/>
        </w:rPr>
        <w:t>ined by NIH) in the U.S.</w:t>
      </w:r>
    </w:p>
    <w:p w:rsidR="009042D1" w:rsidRDefault="009042D1" w:rsidP="00A0652C">
      <w:pPr>
        <w:rPr>
          <w:rFonts w:asciiTheme="majorHAnsi" w:hAnsiTheme="majorHAnsi"/>
        </w:rPr>
      </w:pPr>
    </w:p>
    <w:p w:rsidR="006F4C64" w:rsidRDefault="009042D1" w:rsidP="009042D1">
      <w:pPr>
        <w:rPr>
          <w:rFonts w:asciiTheme="majorHAnsi" w:hAnsiTheme="majorHAnsi"/>
        </w:rPr>
      </w:pPr>
      <w:r>
        <w:rPr>
          <w:rFonts w:asciiTheme="majorHAnsi" w:hAnsiTheme="majorHAnsi"/>
        </w:rPr>
        <w:t xml:space="preserve">In 2010, the GSS expanded </w:t>
      </w:r>
      <w:r w:rsidR="00176798">
        <w:rPr>
          <w:rFonts w:asciiTheme="majorHAnsi" w:hAnsiTheme="majorHAnsi"/>
        </w:rPr>
        <w:t xml:space="preserve">collection of </w:t>
      </w:r>
      <w:r>
        <w:rPr>
          <w:rFonts w:asciiTheme="majorHAnsi" w:hAnsiTheme="majorHAnsi"/>
        </w:rPr>
        <w:t>the</w:t>
      </w:r>
      <w:r w:rsidR="00976DED">
        <w:rPr>
          <w:rFonts w:asciiTheme="majorHAnsi" w:hAnsiTheme="majorHAnsi"/>
        </w:rPr>
        <w:t xml:space="preserve"> data</w:t>
      </w:r>
      <w:r w:rsidR="00152390">
        <w:rPr>
          <w:rFonts w:asciiTheme="majorHAnsi" w:hAnsiTheme="majorHAnsi"/>
        </w:rPr>
        <w:t xml:space="preserve"> </w:t>
      </w:r>
      <w:r w:rsidR="00176798">
        <w:rPr>
          <w:rFonts w:asciiTheme="majorHAnsi" w:hAnsiTheme="majorHAnsi"/>
        </w:rPr>
        <w:t xml:space="preserve">items </w:t>
      </w:r>
      <w:r>
        <w:rPr>
          <w:rFonts w:asciiTheme="majorHAnsi" w:hAnsiTheme="majorHAnsi"/>
        </w:rPr>
        <w:t xml:space="preserve">on postdocs and </w:t>
      </w:r>
      <w:r w:rsidR="00176798">
        <w:rPr>
          <w:rFonts w:asciiTheme="majorHAnsi" w:hAnsiTheme="majorHAnsi"/>
        </w:rPr>
        <w:t>NFRs</w:t>
      </w:r>
      <w:r>
        <w:rPr>
          <w:rFonts w:asciiTheme="majorHAnsi" w:hAnsiTheme="majorHAnsi"/>
        </w:rPr>
        <w:t xml:space="preserve">.  </w:t>
      </w:r>
      <w:r w:rsidR="009B4689">
        <w:rPr>
          <w:rFonts w:asciiTheme="majorHAnsi" w:hAnsiTheme="majorHAnsi"/>
        </w:rPr>
        <w:t xml:space="preserve">(See Attachment 1 for copies of the 2009 and 2010 </w:t>
      </w:r>
      <w:r w:rsidR="00976DED">
        <w:rPr>
          <w:rFonts w:asciiTheme="majorHAnsi" w:hAnsiTheme="majorHAnsi"/>
        </w:rPr>
        <w:t xml:space="preserve">question </w:t>
      </w:r>
      <w:r w:rsidR="009B4689">
        <w:rPr>
          <w:rFonts w:asciiTheme="majorHAnsi" w:hAnsiTheme="majorHAnsi"/>
        </w:rPr>
        <w:t xml:space="preserve">items </w:t>
      </w:r>
      <w:r w:rsidR="00176798">
        <w:rPr>
          <w:rFonts w:asciiTheme="majorHAnsi" w:hAnsiTheme="majorHAnsi"/>
        </w:rPr>
        <w:t>on</w:t>
      </w:r>
      <w:r w:rsidR="009B4689">
        <w:rPr>
          <w:rFonts w:asciiTheme="majorHAnsi" w:hAnsiTheme="majorHAnsi"/>
        </w:rPr>
        <w:t xml:space="preserve"> NFRs).  </w:t>
      </w:r>
      <w:r w:rsidR="006F4C64">
        <w:rPr>
          <w:rFonts w:asciiTheme="majorHAnsi" w:hAnsiTheme="majorHAnsi"/>
        </w:rPr>
        <w:t>Prior to 2010, question</w:t>
      </w:r>
      <w:r w:rsidR="00341B05">
        <w:rPr>
          <w:rFonts w:asciiTheme="majorHAnsi" w:hAnsiTheme="majorHAnsi"/>
        </w:rPr>
        <w:t>s about NFRs were limited to a total number</w:t>
      </w:r>
      <w:r w:rsidR="00921940">
        <w:rPr>
          <w:rFonts w:asciiTheme="majorHAnsi" w:hAnsiTheme="majorHAnsi"/>
        </w:rPr>
        <w:t>,</w:t>
      </w:r>
      <w:r w:rsidR="00341B05">
        <w:rPr>
          <w:rFonts w:asciiTheme="majorHAnsi" w:hAnsiTheme="majorHAnsi"/>
        </w:rPr>
        <w:t xml:space="preserve"> and details about the gender of NFRs</w:t>
      </w:r>
      <w:r w:rsidR="00921940">
        <w:rPr>
          <w:rFonts w:asciiTheme="majorHAnsi" w:hAnsiTheme="majorHAnsi"/>
        </w:rPr>
        <w:t xml:space="preserve"> and the number who also had a professional degree (e.g., MD, DO, DDS, or DVM).  </w:t>
      </w:r>
      <w:r w:rsidR="00921940">
        <w:rPr>
          <w:rFonts w:ascii="Cambria" w:hAnsi="Cambria"/>
        </w:rPr>
        <w:t xml:space="preserve">Starting in 2010, </w:t>
      </w:r>
      <w:r w:rsidR="00341B05">
        <w:rPr>
          <w:rFonts w:ascii="Cambria" w:hAnsi="Cambria"/>
        </w:rPr>
        <w:t>the level of detail collected about postdocs and NFRs increased to match the level of detail collected about graduate students. A</w:t>
      </w:r>
      <w:r w:rsidR="00921940">
        <w:rPr>
          <w:rFonts w:ascii="Cambria" w:hAnsi="Cambria"/>
        </w:rPr>
        <w:t>s part of this postdoc data expansion effort, the NFR question was collected separately from the postdocs.</w:t>
      </w:r>
    </w:p>
    <w:p w:rsidR="006F4C64" w:rsidRDefault="006F4C64" w:rsidP="009042D1">
      <w:pPr>
        <w:rPr>
          <w:rFonts w:asciiTheme="majorHAnsi" w:hAnsiTheme="majorHAnsi"/>
        </w:rPr>
      </w:pPr>
    </w:p>
    <w:p w:rsidR="00A0652C" w:rsidRDefault="009042D1" w:rsidP="009042D1">
      <w:pPr>
        <w:rPr>
          <w:rFonts w:asciiTheme="majorHAnsi" w:hAnsiTheme="majorHAnsi"/>
        </w:rPr>
      </w:pPr>
      <w:r>
        <w:rPr>
          <w:rFonts w:asciiTheme="majorHAnsi" w:hAnsiTheme="majorHAnsi"/>
        </w:rPr>
        <w:t xml:space="preserve">At the same time, </w:t>
      </w:r>
      <w:r w:rsidR="00DF298B">
        <w:rPr>
          <w:rFonts w:asciiTheme="majorHAnsi" w:hAnsiTheme="majorHAnsi"/>
        </w:rPr>
        <w:t xml:space="preserve">university presidents were asked to consider appointing a second GSS coordinator who could focus on postdocs and NFRs, since </w:t>
      </w:r>
      <w:r>
        <w:rPr>
          <w:rFonts w:asciiTheme="majorHAnsi" w:hAnsiTheme="majorHAnsi"/>
        </w:rPr>
        <w:t xml:space="preserve">NSF was concerned </w:t>
      </w:r>
      <w:r w:rsidR="00DF298B">
        <w:rPr>
          <w:rFonts w:asciiTheme="majorHAnsi" w:hAnsiTheme="majorHAnsi"/>
        </w:rPr>
        <w:t xml:space="preserve">that </w:t>
      </w:r>
      <w:r>
        <w:rPr>
          <w:rFonts w:asciiTheme="majorHAnsi" w:hAnsiTheme="majorHAnsi"/>
        </w:rPr>
        <w:t>school coordinators</w:t>
      </w:r>
      <w:r w:rsidR="00DF298B">
        <w:rPr>
          <w:rFonts w:asciiTheme="majorHAnsi" w:hAnsiTheme="majorHAnsi"/>
        </w:rPr>
        <w:t xml:space="preserve"> were more knowledgeable about graduate students</w:t>
      </w:r>
      <w:r>
        <w:rPr>
          <w:rFonts w:asciiTheme="majorHAnsi" w:hAnsiTheme="majorHAnsi"/>
        </w:rPr>
        <w:t xml:space="preserve">.  </w:t>
      </w:r>
      <w:r w:rsidR="00ED65FF">
        <w:rPr>
          <w:rFonts w:asciiTheme="majorHAnsi" w:hAnsiTheme="majorHAnsi"/>
        </w:rPr>
        <w:t xml:space="preserve">The letters to </w:t>
      </w:r>
      <w:r w:rsidR="0015425E">
        <w:rPr>
          <w:rFonts w:asciiTheme="majorHAnsi" w:hAnsiTheme="majorHAnsi"/>
        </w:rPr>
        <w:t xml:space="preserve">institution </w:t>
      </w:r>
      <w:r w:rsidR="00ED65FF">
        <w:rPr>
          <w:rFonts w:asciiTheme="majorHAnsi" w:hAnsiTheme="majorHAnsi"/>
        </w:rPr>
        <w:t>presidents</w:t>
      </w:r>
      <w:r w:rsidR="00EC70E9">
        <w:rPr>
          <w:rFonts w:asciiTheme="majorHAnsi" w:hAnsiTheme="majorHAnsi"/>
        </w:rPr>
        <w:t xml:space="preserve"> also mentioned how the </w:t>
      </w:r>
      <w:r w:rsidR="00176798">
        <w:rPr>
          <w:rFonts w:asciiTheme="majorHAnsi" w:hAnsiTheme="majorHAnsi"/>
        </w:rPr>
        <w:t xml:space="preserve">GSS NFR </w:t>
      </w:r>
      <w:r w:rsidR="00EC70E9">
        <w:rPr>
          <w:rFonts w:asciiTheme="majorHAnsi" w:hAnsiTheme="majorHAnsi"/>
        </w:rPr>
        <w:t>data have been</w:t>
      </w:r>
      <w:r w:rsidR="00ED65FF">
        <w:rPr>
          <w:rFonts w:asciiTheme="majorHAnsi" w:hAnsiTheme="majorHAnsi"/>
        </w:rPr>
        <w:t xml:space="preserve"> used</w:t>
      </w:r>
      <w:r w:rsidR="00976DED">
        <w:rPr>
          <w:rFonts w:asciiTheme="majorHAnsi" w:hAnsiTheme="majorHAnsi"/>
        </w:rPr>
        <w:t xml:space="preserve"> in the past</w:t>
      </w:r>
      <w:r w:rsidR="00ED65FF">
        <w:rPr>
          <w:rFonts w:asciiTheme="majorHAnsi" w:hAnsiTheme="majorHAnsi"/>
        </w:rPr>
        <w:t xml:space="preserve">, including </w:t>
      </w:r>
      <w:r w:rsidR="00176798">
        <w:rPr>
          <w:rFonts w:asciiTheme="majorHAnsi" w:hAnsiTheme="majorHAnsi"/>
        </w:rPr>
        <w:t>its</w:t>
      </w:r>
      <w:r w:rsidR="00ED65FF">
        <w:rPr>
          <w:rFonts w:asciiTheme="majorHAnsi" w:hAnsiTheme="majorHAnsi"/>
        </w:rPr>
        <w:t xml:space="preserve"> use as one component of the Carnegie Classification’s measure of research activity</w:t>
      </w:r>
      <w:r w:rsidR="00EC70E9">
        <w:rPr>
          <w:rFonts w:asciiTheme="majorHAnsi" w:hAnsiTheme="majorHAnsi"/>
        </w:rPr>
        <w:t xml:space="preserve"> for doctorate-granting institutions</w:t>
      </w:r>
      <w:r w:rsidR="00ED65FF">
        <w:rPr>
          <w:rFonts w:asciiTheme="majorHAnsi" w:hAnsiTheme="majorHAnsi"/>
        </w:rPr>
        <w:t xml:space="preserve">.  </w:t>
      </w:r>
    </w:p>
    <w:p w:rsidR="00ED65FF" w:rsidRDefault="00ED65FF" w:rsidP="009042D1">
      <w:pPr>
        <w:rPr>
          <w:rFonts w:asciiTheme="majorHAnsi" w:hAnsiTheme="majorHAnsi"/>
        </w:rPr>
      </w:pPr>
    </w:p>
    <w:p w:rsidR="00ED65FF" w:rsidRDefault="00ED65FF" w:rsidP="009042D1">
      <w:pPr>
        <w:rPr>
          <w:rFonts w:asciiTheme="majorHAnsi" w:hAnsiTheme="majorHAnsi"/>
        </w:rPr>
      </w:pPr>
      <w:r>
        <w:rPr>
          <w:rFonts w:asciiTheme="majorHAnsi" w:hAnsiTheme="majorHAnsi"/>
        </w:rPr>
        <w:lastRenderedPageBreak/>
        <w:t xml:space="preserve">As a result of these changes, </w:t>
      </w:r>
      <w:r w:rsidR="00DF298B">
        <w:rPr>
          <w:rFonts w:asciiTheme="majorHAnsi" w:hAnsiTheme="majorHAnsi"/>
        </w:rPr>
        <w:t xml:space="preserve">the number of </w:t>
      </w:r>
      <w:r w:rsidR="00DB6467">
        <w:rPr>
          <w:rFonts w:asciiTheme="majorHAnsi" w:hAnsiTheme="majorHAnsi"/>
        </w:rPr>
        <w:t xml:space="preserve">NFRs </w:t>
      </w:r>
      <w:r w:rsidR="00DF298B">
        <w:rPr>
          <w:rFonts w:asciiTheme="majorHAnsi" w:hAnsiTheme="majorHAnsi"/>
        </w:rPr>
        <w:t xml:space="preserve">reported </w:t>
      </w:r>
      <w:r w:rsidR="00176798">
        <w:rPr>
          <w:rFonts w:asciiTheme="majorHAnsi" w:hAnsiTheme="majorHAnsi"/>
        </w:rPr>
        <w:t xml:space="preserve">by GSS institutions </w:t>
      </w:r>
      <w:r w:rsidR="00DB6467">
        <w:rPr>
          <w:rFonts w:asciiTheme="majorHAnsi" w:hAnsiTheme="majorHAnsi"/>
        </w:rPr>
        <w:t xml:space="preserve">increased </w:t>
      </w:r>
      <w:r w:rsidR="0015425E">
        <w:rPr>
          <w:rFonts w:asciiTheme="majorHAnsi" w:hAnsiTheme="majorHAnsi"/>
        </w:rPr>
        <w:t>by about 50%</w:t>
      </w:r>
      <w:r w:rsidR="00DF298B">
        <w:rPr>
          <w:rFonts w:asciiTheme="majorHAnsi" w:hAnsiTheme="majorHAnsi"/>
        </w:rPr>
        <w:t>,</w:t>
      </w:r>
      <w:r w:rsidR="0015425E">
        <w:rPr>
          <w:rFonts w:asciiTheme="majorHAnsi" w:hAnsiTheme="majorHAnsi"/>
        </w:rPr>
        <w:t xml:space="preserve"> </w:t>
      </w:r>
      <w:r w:rsidR="00DB6467">
        <w:rPr>
          <w:rFonts w:asciiTheme="majorHAnsi" w:hAnsiTheme="majorHAnsi"/>
        </w:rPr>
        <w:t>from 14,059 in 2009 to 21,145 in 2010</w:t>
      </w:r>
      <w:r w:rsidR="0015425E">
        <w:rPr>
          <w:rFonts w:asciiTheme="majorHAnsi" w:hAnsiTheme="majorHAnsi"/>
        </w:rPr>
        <w:t>.  The number of NFRs reported in 2011 was</w:t>
      </w:r>
      <w:r w:rsidR="00DB6467">
        <w:rPr>
          <w:rFonts w:asciiTheme="majorHAnsi" w:hAnsiTheme="majorHAnsi"/>
        </w:rPr>
        <w:t xml:space="preserve"> 21,972</w:t>
      </w:r>
      <w:r w:rsidR="006F4C64">
        <w:rPr>
          <w:rFonts w:asciiTheme="majorHAnsi" w:hAnsiTheme="majorHAnsi"/>
        </w:rPr>
        <w:t>; the figure for 2012 is currently unavailable, as the survey is</w:t>
      </w:r>
      <w:r w:rsidR="008B35CD">
        <w:rPr>
          <w:rFonts w:asciiTheme="majorHAnsi" w:hAnsiTheme="majorHAnsi"/>
        </w:rPr>
        <w:t xml:space="preserve"> </w:t>
      </w:r>
      <w:r w:rsidR="0015425E">
        <w:rPr>
          <w:rFonts w:asciiTheme="majorHAnsi" w:hAnsiTheme="majorHAnsi"/>
        </w:rPr>
        <w:t>currently in the field</w:t>
      </w:r>
      <w:r w:rsidR="008B35CD">
        <w:rPr>
          <w:rFonts w:asciiTheme="majorHAnsi" w:hAnsiTheme="majorHAnsi"/>
        </w:rPr>
        <w:t>.</w:t>
      </w:r>
    </w:p>
    <w:p w:rsidR="0015425E" w:rsidRDefault="0015425E" w:rsidP="009042D1">
      <w:pPr>
        <w:rPr>
          <w:rFonts w:ascii="Cambria" w:hAnsi="Cambria"/>
          <w:b/>
        </w:rPr>
      </w:pPr>
    </w:p>
    <w:p w:rsidR="009042D1" w:rsidRPr="005B1B13" w:rsidRDefault="005B1B13" w:rsidP="009042D1">
      <w:pPr>
        <w:rPr>
          <w:rFonts w:ascii="Cambria" w:hAnsi="Cambria"/>
          <w:b/>
        </w:rPr>
      </w:pPr>
      <w:r w:rsidRPr="005B1B13">
        <w:rPr>
          <w:rFonts w:ascii="Cambria" w:hAnsi="Cambria"/>
          <w:b/>
        </w:rPr>
        <w:t>Purpose</w:t>
      </w:r>
    </w:p>
    <w:p w:rsidR="003B7163" w:rsidRDefault="003B7163" w:rsidP="00C20E6D">
      <w:pPr>
        <w:rPr>
          <w:rFonts w:ascii="Cambria" w:hAnsi="Cambria"/>
        </w:rPr>
      </w:pPr>
    </w:p>
    <w:p w:rsidR="0015425E" w:rsidRDefault="005B1B13" w:rsidP="00C20E6D">
      <w:pPr>
        <w:rPr>
          <w:rFonts w:ascii="Cambria" w:hAnsi="Cambria"/>
        </w:rPr>
      </w:pPr>
      <w:r>
        <w:rPr>
          <w:rFonts w:ascii="Cambria" w:hAnsi="Cambria"/>
        </w:rPr>
        <w:t xml:space="preserve">The purpose of the proposed </w:t>
      </w:r>
      <w:r w:rsidR="002C7D79">
        <w:rPr>
          <w:rFonts w:ascii="Cambria" w:hAnsi="Cambria"/>
        </w:rPr>
        <w:t>research</w:t>
      </w:r>
      <w:r w:rsidR="00AD5095">
        <w:rPr>
          <w:rFonts w:ascii="Cambria" w:hAnsi="Cambria"/>
        </w:rPr>
        <w:t xml:space="preserve"> study</w:t>
      </w:r>
      <w:r w:rsidR="0015425E">
        <w:rPr>
          <w:rFonts w:ascii="Cambria" w:hAnsi="Cambria"/>
        </w:rPr>
        <w:t xml:space="preserve"> </w:t>
      </w:r>
      <w:r>
        <w:rPr>
          <w:rFonts w:ascii="Cambria" w:hAnsi="Cambria"/>
        </w:rPr>
        <w:t>is to assess the quality of the data provid</w:t>
      </w:r>
      <w:r w:rsidR="006231C5">
        <w:rPr>
          <w:rFonts w:ascii="Cambria" w:hAnsi="Cambria"/>
        </w:rPr>
        <w:t xml:space="preserve">ed by institutions on the </w:t>
      </w:r>
      <w:r>
        <w:rPr>
          <w:rFonts w:ascii="Cambria" w:hAnsi="Cambria"/>
        </w:rPr>
        <w:t>NFR items in</w:t>
      </w:r>
      <w:r w:rsidR="00EC70E9">
        <w:rPr>
          <w:rFonts w:ascii="Cambria" w:hAnsi="Cambria"/>
        </w:rPr>
        <w:t xml:space="preserve"> the survey</w:t>
      </w:r>
      <w:r w:rsidR="0015425E">
        <w:rPr>
          <w:rFonts w:ascii="Cambria" w:hAnsi="Cambria"/>
        </w:rPr>
        <w:t xml:space="preserve"> and to better understand the </w:t>
      </w:r>
      <w:r w:rsidR="002C7D79">
        <w:rPr>
          <w:rFonts w:ascii="Cambria" w:hAnsi="Cambria"/>
        </w:rPr>
        <w:t xml:space="preserve">changes in </w:t>
      </w:r>
      <w:r w:rsidR="0015425E">
        <w:rPr>
          <w:rFonts w:ascii="Cambria" w:hAnsi="Cambria"/>
        </w:rPr>
        <w:t xml:space="preserve">the NFR </w:t>
      </w:r>
      <w:r w:rsidR="002C7D79">
        <w:rPr>
          <w:rFonts w:ascii="Cambria" w:hAnsi="Cambria"/>
        </w:rPr>
        <w:t xml:space="preserve">reporting by contacting and debriefing the GSS </w:t>
      </w:r>
      <w:r w:rsidR="0015425E">
        <w:rPr>
          <w:rFonts w:ascii="Cambria" w:hAnsi="Cambria"/>
        </w:rPr>
        <w:t>institution</w:t>
      </w:r>
      <w:r w:rsidR="002C7D79">
        <w:rPr>
          <w:rFonts w:ascii="Cambria" w:hAnsi="Cambria"/>
        </w:rPr>
        <w:t>al respondents.</w:t>
      </w:r>
      <w:r w:rsidR="00EC70E9">
        <w:rPr>
          <w:rFonts w:ascii="Cambria" w:hAnsi="Cambria"/>
        </w:rPr>
        <w:t xml:space="preserve">  </w:t>
      </w:r>
    </w:p>
    <w:p w:rsidR="0015425E" w:rsidRDefault="0015425E" w:rsidP="00C20E6D">
      <w:pPr>
        <w:rPr>
          <w:rFonts w:ascii="Cambria" w:hAnsi="Cambria"/>
        </w:rPr>
      </w:pPr>
    </w:p>
    <w:p w:rsidR="00FF06F4" w:rsidRDefault="00BF2563" w:rsidP="00FD0052">
      <w:pPr>
        <w:rPr>
          <w:rFonts w:ascii="Cambria" w:hAnsi="Cambria"/>
        </w:rPr>
      </w:pPr>
      <w:r>
        <w:rPr>
          <w:rFonts w:ascii="Cambria" w:hAnsi="Cambria"/>
        </w:rPr>
        <w:t>T</w:t>
      </w:r>
      <w:r w:rsidR="00414616" w:rsidRPr="00414616">
        <w:rPr>
          <w:rFonts w:ascii="Cambria" w:hAnsi="Cambria"/>
        </w:rPr>
        <w:t>he postdoc section of the survey was greatly expanded</w:t>
      </w:r>
      <w:r>
        <w:rPr>
          <w:rFonts w:ascii="Cambria" w:hAnsi="Cambria"/>
        </w:rPr>
        <w:t xml:space="preserve"> in 2010</w:t>
      </w:r>
      <w:r w:rsidR="00414616" w:rsidRPr="00414616">
        <w:rPr>
          <w:rFonts w:ascii="Cambria" w:hAnsi="Cambria"/>
        </w:rPr>
        <w:t xml:space="preserve">, and significant effort was made to ensure that appropriate personnel </w:t>
      </w:r>
      <w:r w:rsidR="00414616">
        <w:rPr>
          <w:rFonts w:ascii="Cambria" w:hAnsi="Cambria"/>
        </w:rPr>
        <w:t>at the GSS institutions were</w:t>
      </w:r>
      <w:r w:rsidR="00414616" w:rsidRPr="00414616">
        <w:rPr>
          <w:rFonts w:ascii="Cambria" w:hAnsi="Cambria"/>
        </w:rPr>
        <w:t xml:space="preserve"> providing postdoc and NFR data.</w:t>
      </w:r>
      <w:r>
        <w:rPr>
          <w:rFonts w:ascii="Cambria" w:hAnsi="Cambria"/>
        </w:rPr>
        <w:t xml:space="preserve">  New emphasis on the importance of postdoc data and a request to the institutions to consider appointing a postdoc coordinator may have contributed to an increase of about 10% in </w:t>
      </w:r>
      <w:r w:rsidR="006F4C64">
        <w:rPr>
          <w:rFonts w:ascii="Cambria" w:hAnsi="Cambria"/>
        </w:rPr>
        <w:t>the number of postdocs reported and an increase of about 50% in the number of NFRs reported, from 2009 to 2010</w:t>
      </w:r>
      <w:r>
        <w:rPr>
          <w:rFonts w:ascii="Cambria" w:hAnsi="Cambria"/>
        </w:rPr>
        <w:t>.</w:t>
      </w:r>
      <w:r w:rsidR="00C93665">
        <w:rPr>
          <w:rFonts w:ascii="Cambria" w:hAnsi="Cambria"/>
        </w:rPr>
        <w:t xml:space="preserve"> </w:t>
      </w:r>
    </w:p>
    <w:p w:rsidR="00414616" w:rsidRDefault="00414616" w:rsidP="00C20E6D">
      <w:pPr>
        <w:rPr>
          <w:rFonts w:ascii="Cambria" w:hAnsi="Cambria"/>
        </w:rPr>
      </w:pPr>
    </w:p>
    <w:p w:rsidR="00027E56" w:rsidRPr="004F3D63" w:rsidRDefault="00310587" w:rsidP="00C20E6D">
      <w:pPr>
        <w:rPr>
          <w:rFonts w:ascii="Cambria" w:hAnsi="Cambria"/>
          <w:b/>
        </w:rPr>
      </w:pPr>
      <w:r w:rsidRPr="00310587">
        <w:rPr>
          <w:rFonts w:ascii="Cambria" w:hAnsi="Cambria"/>
          <w:b/>
        </w:rPr>
        <w:t xml:space="preserve">Proposed </w:t>
      </w:r>
      <w:r w:rsidR="002C7D79">
        <w:rPr>
          <w:rFonts w:ascii="Cambria" w:hAnsi="Cambria"/>
          <w:b/>
        </w:rPr>
        <w:t>M</w:t>
      </w:r>
      <w:r w:rsidR="002C7D79" w:rsidRPr="00310587">
        <w:rPr>
          <w:rFonts w:ascii="Cambria" w:hAnsi="Cambria"/>
          <w:b/>
        </w:rPr>
        <w:t>ethodology</w:t>
      </w:r>
    </w:p>
    <w:p w:rsidR="00027E56" w:rsidRDefault="00027E56" w:rsidP="00C20E6D">
      <w:pPr>
        <w:rPr>
          <w:rFonts w:ascii="Cambria" w:hAnsi="Cambria"/>
        </w:rPr>
      </w:pPr>
    </w:p>
    <w:p w:rsidR="00C20E6D" w:rsidRDefault="00C93665" w:rsidP="00C20E6D">
      <w:pPr>
        <w:rPr>
          <w:rFonts w:ascii="Cambria" w:hAnsi="Cambria"/>
        </w:rPr>
      </w:pPr>
      <w:r>
        <w:rPr>
          <w:rFonts w:ascii="Cambria" w:hAnsi="Cambria"/>
        </w:rPr>
        <w:t xml:space="preserve">Via the web, </w:t>
      </w:r>
      <w:r w:rsidR="002C7D79">
        <w:rPr>
          <w:rFonts w:ascii="Cambria" w:hAnsi="Cambria"/>
        </w:rPr>
        <w:t xml:space="preserve">GSS </w:t>
      </w:r>
      <w:r w:rsidR="005B1B13">
        <w:rPr>
          <w:rFonts w:ascii="Cambria" w:hAnsi="Cambria"/>
        </w:rPr>
        <w:t>coordinators</w:t>
      </w:r>
      <w:r w:rsidR="00C20E6D" w:rsidRPr="00C20E6D">
        <w:rPr>
          <w:rFonts w:ascii="Cambria" w:hAnsi="Cambria"/>
        </w:rPr>
        <w:t xml:space="preserve"> will be contacted and ask</w:t>
      </w:r>
      <w:r w:rsidR="005B1B13">
        <w:rPr>
          <w:rFonts w:ascii="Cambria" w:hAnsi="Cambria"/>
        </w:rPr>
        <w:t xml:space="preserve">ed to complete a short </w:t>
      </w:r>
      <w:r w:rsidR="00CA52A2">
        <w:rPr>
          <w:rFonts w:ascii="Cambria" w:hAnsi="Cambria"/>
        </w:rPr>
        <w:t>questionnaire</w:t>
      </w:r>
      <w:r>
        <w:rPr>
          <w:rFonts w:ascii="Cambria" w:hAnsi="Cambria"/>
        </w:rPr>
        <w:t xml:space="preserve"> about their </w:t>
      </w:r>
      <w:r w:rsidRPr="000425C6">
        <w:rPr>
          <w:rFonts w:ascii="Cambria" w:hAnsi="Cambria"/>
        </w:rPr>
        <w:t xml:space="preserve">2009 </w:t>
      </w:r>
      <w:r w:rsidR="00D47FE3" w:rsidRPr="008447B8">
        <w:rPr>
          <w:rFonts w:ascii="Cambria" w:hAnsi="Cambria"/>
        </w:rPr>
        <w:t>-</w:t>
      </w:r>
      <w:r w:rsidRPr="000425C6">
        <w:rPr>
          <w:rFonts w:ascii="Cambria" w:hAnsi="Cambria"/>
        </w:rPr>
        <w:t>201</w:t>
      </w:r>
      <w:r w:rsidR="000425C6">
        <w:rPr>
          <w:rFonts w:ascii="Cambria" w:hAnsi="Cambria"/>
        </w:rPr>
        <w:t>1</w:t>
      </w:r>
      <w:r>
        <w:rPr>
          <w:rFonts w:ascii="Cambria" w:hAnsi="Cambria"/>
        </w:rPr>
        <w:t xml:space="preserve"> data</w:t>
      </w:r>
      <w:r w:rsidR="00672F4C">
        <w:rPr>
          <w:rFonts w:ascii="Cambria" w:hAnsi="Cambria"/>
        </w:rPr>
        <w:t>.</w:t>
      </w:r>
      <w:r w:rsidR="00C20E6D" w:rsidRPr="00C20E6D">
        <w:rPr>
          <w:rFonts w:ascii="Cambria" w:hAnsi="Cambria"/>
        </w:rPr>
        <w:t xml:space="preserve"> </w:t>
      </w:r>
      <w:r w:rsidR="005B1B13">
        <w:rPr>
          <w:rFonts w:ascii="Cambria" w:hAnsi="Cambria"/>
        </w:rPr>
        <w:t xml:space="preserve">For purposes of this </w:t>
      </w:r>
      <w:r w:rsidR="00AD5095">
        <w:rPr>
          <w:rFonts w:ascii="Cambria" w:hAnsi="Cambria"/>
        </w:rPr>
        <w:t>study</w:t>
      </w:r>
      <w:r w:rsidR="005B1B13">
        <w:rPr>
          <w:rFonts w:ascii="Cambria" w:hAnsi="Cambria"/>
        </w:rPr>
        <w:t xml:space="preserve">, we </w:t>
      </w:r>
      <w:r w:rsidR="002C7D79">
        <w:rPr>
          <w:rFonts w:ascii="Cambria" w:hAnsi="Cambria"/>
        </w:rPr>
        <w:t xml:space="preserve">will </w:t>
      </w:r>
      <w:r w:rsidR="005B1B13">
        <w:rPr>
          <w:rFonts w:ascii="Cambria" w:hAnsi="Cambria"/>
        </w:rPr>
        <w:t>classi</w:t>
      </w:r>
      <w:r w:rsidR="00EC70E9">
        <w:rPr>
          <w:rFonts w:ascii="Cambria" w:hAnsi="Cambria"/>
        </w:rPr>
        <w:t>f</w:t>
      </w:r>
      <w:r w:rsidR="002C7D79">
        <w:rPr>
          <w:rFonts w:ascii="Cambria" w:hAnsi="Cambria"/>
        </w:rPr>
        <w:t>y the</w:t>
      </w:r>
      <w:r w:rsidR="00EC70E9">
        <w:rPr>
          <w:rFonts w:ascii="Cambria" w:hAnsi="Cambria"/>
        </w:rPr>
        <w:t xml:space="preserve"> GSS institutions into four</w:t>
      </w:r>
      <w:r w:rsidR="005B1B13">
        <w:rPr>
          <w:rFonts w:ascii="Cambria" w:hAnsi="Cambria"/>
        </w:rPr>
        <w:t xml:space="preserve"> groups:</w:t>
      </w:r>
    </w:p>
    <w:p w:rsidR="005B1B13" w:rsidRDefault="005B1B13" w:rsidP="00C20E6D">
      <w:pPr>
        <w:rPr>
          <w:rFonts w:ascii="Cambria" w:hAnsi="Cambria"/>
        </w:rPr>
      </w:pPr>
    </w:p>
    <w:p w:rsidR="008E4C95" w:rsidRDefault="008E4C95" w:rsidP="00FD0052">
      <w:pPr>
        <w:numPr>
          <w:ilvl w:val="0"/>
          <w:numId w:val="27"/>
        </w:numPr>
        <w:rPr>
          <w:rFonts w:ascii="Cambria" w:hAnsi="Cambria"/>
        </w:rPr>
      </w:pPr>
      <w:r>
        <w:rPr>
          <w:rFonts w:ascii="Cambria" w:hAnsi="Cambria"/>
        </w:rPr>
        <w:t>Institutions that report</w:t>
      </w:r>
      <w:r w:rsidR="002C7D79">
        <w:rPr>
          <w:rFonts w:ascii="Cambria" w:hAnsi="Cambria"/>
        </w:rPr>
        <w:t>ed</w:t>
      </w:r>
      <w:r>
        <w:rPr>
          <w:rFonts w:ascii="Cambria" w:hAnsi="Cambria"/>
        </w:rPr>
        <w:t xml:space="preserve"> </w:t>
      </w:r>
      <w:r w:rsidR="00C93665">
        <w:rPr>
          <w:rFonts w:ascii="Cambria" w:hAnsi="Cambria"/>
        </w:rPr>
        <w:t xml:space="preserve">a higher number of </w:t>
      </w:r>
      <w:r>
        <w:rPr>
          <w:rFonts w:ascii="Cambria" w:hAnsi="Cambria"/>
        </w:rPr>
        <w:t xml:space="preserve">NFRs </w:t>
      </w:r>
      <w:r w:rsidR="00C93665">
        <w:rPr>
          <w:rFonts w:ascii="Cambria" w:hAnsi="Cambria"/>
        </w:rPr>
        <w:t xml:space="preserve">than postdocs </w:t>
      </w:r>
      <w:r w:rsidR="002C7D79">
        <w:rPr>
          <w:rFonts w:ascii="Cambria" w:hAnsi="Cambria"/>
        </w:rPr>
        <w:t>in 2010</w:t>
      </w:r>
    </w:p>
    <w:p w:rsidR="005B1B13" w:rsidRDefault="008E4C95" w:rsidP="00FD0052">
      <w:pPr>
        <w:numPr>
          <w:ilvl w:val="0"/>
          <w:numId w:val="27"/>
        </w:numPr>
        <w:rPr>
          <w:rFonts w:ascii="Cambria" w:hAnsi="Cambria"/>
        </w:rPr>
      </w:pPr>
      <w:r>
        <w:rPr>
          <w:rFonts w:ascii="Cambria" w:hAnsi="Cambria"/>
        </w:rPr>
        <w:t>Institution</w:t>
      </w:r>
      <w:r w:rsidR="005B1B13">
        <w:rPr>
          <w:rFonts w:ascii="Cambria" w:hAnsi="Cambria"/>
        </w:rPr>
        <w:t xml:space="preserve">s that </w:t>
      </w:r>
      <w:r>
        <w:rPr>
          <w:rFonts w:ascii="Cambria" w:hAnsi="Cambria"/>
        </w:rPr>
        <w:t>report</w:t>
      </w:r>
      <w:r w:rsidR="002C7D79">
        <w:rPr>
          <w:rFonts w:ascii="Cambria" w:hAnsi="Cambria"/>
        </w:rPr>
        <w:t>ed</w:t>
      </w:r>
      <w:r>
        <w:rPr>
          <w:rFonts w:ascii="Cambria" w:hAnsi="Cambria"/>
        </w:rPr>
        <w:t xml:space="preserve"> </w:t>
      </w:r>
      <w:r w:rsidR="00C93665">
        <w:rPr>
          <w:rFonts w:ascii="Cambria" w:hAnsi="Cambria"/>
        </w:rPr>
        <w:t xml:space="preserve">at least 15% more </w:t>
      </w:r>
      <w:r>
        <w:rPr>
          <w:rFonts w:ascii="Cambria" w:hAnsi="Cambria"/>
        </w:rPr>
        <w:t xml:space="preserve">NFRs </w:t>
      </w:r>
      <w:r w:rsidR="002C7D79">
        <w:rPr>
          <w:rFonts w:ascii="Cambria" w:hAnsi="Cambria"/>
        </w:rPr>
        <w:t>in 2010</w:t>
      </w:r>
      <w:r w:rsidR="00C93665">
        <w:rPr>
          <w:rFonts w:ascii="Cambria" w:hAnsi="Cambria"/>
        </w:rPr>
        <w:t xml:space="preserve"> compared to 2009</w:t>
      </w:r>
    </w:p>
    <w:p w:rsidR="005B1B13" w:rsidRDefault="008E4C95" w:rsidP="00FD0052">
      <w:pPr>
        <w:numPr>
          <w:ilvl w:val="0"/>
          <w:numId w:val="27"/>
        </w:numPr>
        <w:rPr>
          <w:rFonts w:ascii="Cambria" w:hAnsi="Cambria"/>
        </w:rPr>
      </w:pPr>
      <w:r>
        <w:rPr>
          <w:rFonts w:ascii="Cambria" w:hAnsi="Cambria"/>
        </w:rPr>
        <w:t>All other institutions that report</w:t>
      </w:r>
      <w:r w:rsidR="002C7D79">
        <w:rPr>
          <w:rFonts w:ascii="Cambria" w:hAnsi="Cambria"/>
        </w:rPr>
        <w:t>ed</w:t>
      </w:r>
      <w:r>
        <w:rPr>
          <w:rFonts w:ascii="Cambria" w:hAnsi="Cambria"/>
        </w:rPr>
        <w:t xml:space="preserve"> NFRs</w:t>
      </w:r>
      <w:r w:rsidR="002C7D79">
        <w:rPr>
          <w:rFonts w:ascii="Cambria" w:hAnsi="Cambria"/>
        </w:rPr>
        <w:t xml:space="preserve"> in 2010</w:t>
      </w:r>
    </w:p>
    <w:p w:rsidR="005B1B13" w:rsidRDefault="008E4C95" w:rsidP="005B1B13">
      <w:pPr>
        <w:numPr>
          <w:ilvl w:val="0"/>
          <w:numId w:val="27"/>
        </w:numPr>
        <w:rPr>
          <w:rFonts w:ascii="Cambria" w:hAnsi="Cambria"/>
        </w:rPr>
      </w:pPr>
      <w:r>
        <w:rPr>
          <w:rFonts w:ascii="Cambria" w:hAnsi="Cambria"/>
        </w:rPr>
        <w:t>Institutions</w:t>
      </w:r>
      <w:r w:rsidR="005B1B13">
        <w:rPr>
          <w:rFonts w:ascii="Cambria" w:hAnsi="Cambria"/>
        </w:rPr>
        <w:t xml:space="preserve"> that report</w:t>
      </w:r>
      <w:r w:rsidR="002C7D79">
        <w:rPr>
          <w:rFonts w:ascii="Cambria" w:hAnsi="Cambria"/>
        </w:rPr>
        <w:t>ed</w:t>
      </w:r>
      <w:r w:rsidR="005B1B13">
        <w:rPr>
          <w:rFonts w:ascii="Cambria" w:hAnsi="Cambria"/>
        </w:rPr>
        <w:t xml:space="preserve"> </w:t>
      </w:r>
      <w:r w:rsidR="002C7D79">
        <w:rPr>
          <w:rFonts w:ascii="Cambria" w:hAnsi="Cambria"/>
        </w:rPr>
        <w:t>0</w:t>
      </w:r>
      <w:r w:rsidR="005B1B13">
        <w:rPr>
          <w:rFonts w:ascii="Cambria" w:hAnsi="Cambria"/>
        </w:rPr>
        <w:t xml:space="preserve"> NFRs</w:t>
      </w:r>
      <w:r w:rsidR="002C7D79">
        <w:rPr>
          <w:rFonts w:ascii="Cambria" w:hAnsi="Cambria"/>
        </w:rPr>
        <w:t xml:space="preserve"> in 2010</w:t>
      </w:r>
    </w:p>
    <w:p w:rsidR="00C20E6D" w:rsidRPr="00C20E6D" w:rsidRDefault="00C20E6D" w:rsidP="00C20E6D">
      <w:pPr>
        <w:rPr>
          <w:rFonts w:ascii="Cambria" w:hAnsi="Cambria"/>
        </w:rPr>
      </w:pPr>
    </w:p>
    <w:p w:rsidR="00C20E6D" w:rsidRDefault="005B1B13" w:rsidP="00C20E6D">
      <w:pPr>
        <w:rPr>
          <w:rFonts w:ascii="Cambria" w:hAnsi="Cambria"/>
        </w:rPr>
      </w:pPr>
      <w:r>
        <w:rPr>
          <w:rFonts w:ascii="Cambria" w:hAnsi="Cambria"/>
        </w:rPr>
        <w:t xml:space="preserve">Results of the </w:t>
      </w:r>
      <w:r w:rsidR="000F1C6D">
        <w:rPr>
          <w:rFonts w:ascii="Cambria" w:hAnsi="Cambria"/>
        </w:rPr>
        <w:t>debriefing questions</w:t>
      </w:r>
      <w:r>
        <w:rPr>
          <w:rFonts w:ascii="Cambria" w:hAnsi="Cambria"/>
        </w:rPr>
        <w:t xml:space="preserve"> </w:t>
      </w:r>
      <w:r w:rsidR="00C20E6D" w:rsidRPr="00C20E6D">
        <w:rPr>
          <w:rFonts w:ascii="Cambria" w:hAnsi="Cambria"/>
        </w:rPr>
        <w:t>will be analyzed to determine</w:t>
      </w:r>
      <w:r>
        <w:rPr>
          <w:rFonts w:ascii="Cambria" w:hAnsi="Cambria"/>
        </w:rPr>
        <w:t xml:space="preserve"> </w:t>
      </w:r>
      <w:r w:rsidR="000F1C6D">
        <w:rPr>
          <w:rFonts w:ascii="Cambria" w:hAnsi="Cambria"/>
        </w:rPr>
        <w:t>the type of research staff</w:t>
      </w:r>
      <w:r>
        <w:rPr>
          <w:rFonts w:ascii="Cambria" w:hAnsi="Cambria"/>
        </w:rPr>
        <w:t xml:space="preserve"> school </w:t>
      </w:r>
      <w:r w:rsidR="008E4C95">
        <w:rPr>
          <w:rFonts w:ascii="Cambria" w:hAnsi="Cambria"/>
        </w:rPr>
        <w:t xml:space="preserve">and postdoc </w:t>
      </w:r>
      <w:r>
        <w:rPr>
          <w:rFonts w:ascii="Cambria" w:hAnsi="Cambria"/>
        </w:rPr>
        <w:t xml:space="preserve">coordinators </w:t>
      </w:r>
      <w:r w:rsidR="000F1C6D">
        <w:rPr>
          <w:rFonts w:ascii="Cambria" w:hAnsi="Cambria"/>
        </w:rPr>
        <w:t>are reporting as</w:t>
      </w:r>
      <w:r>
        <w:rPr>
          <w:rFonts w:ascii="Cambria" w:hAnsi="Cambria"/>
        </w:rPr>
        <w:t xml:space="preserve"> NFRs and whether there are any systematic errors in their </w:t>
      </w:r>
      <w:r w:rsidR="000F1C6D">
        <w:rPr>
          <w:rFonts w:ascii="Cambria" w:hAnsi="Cambria"/>
        </w:rPr>
        <w:t xml:space="preserve">NFR </w:t>
      </w:r>
      <w:r>
        <w:rPr>
          <w:rFonts w:ascii="Cambria" w:hAnsi="Cambria"/>
        </w:rPr>
        <w:t xml:space="preserve">reporting.  If errors are found, the </w:t>
      </w:r>
      <w:r w:rsidR="00AD5095">
        <w:rPr>
          <w:rFonts w:ascii="Cambria" w:hAnsi="Cambria"/>
        </w:rPr>
        <w:t xml:space="preserve">study </w:t>
      </w:r>
      <w:r>
        <w:rPr>
          <w:rFonts w:ascii="Cambria" w:hAnsi="Cambria"/>
        </w:rPr>
        <w:t xml:space="preserve">will expand to other schools in that </w:t>
      </w:r>
      <w:r w:rsidR="000F1C6D">
        <w:rPr>
          <w:rFonts w:ascii="Cambria" w:hAnsi="Cambria"/>
        </w:rPr>
        <w:t xml:space="preserve">group </w:t>
      </w:r>
      <w:r>
        <w:rPr>
          <w:rFonts w:ascii="Cambria" w:hAnsi="Cambria"/>
        </w:rPr>
        <w:t xml:space="preserve">and will be corrected as part of the 2012 </w:t>
      </w:r>
      <w:r w:rsidR="00AD5095">
        <w:rPr>
          <w:rFonts w:ascii="Cambria" w:hAnsi="Cambria"/>
        </w:rPr>
        <w:t xml:space="preserve">GSS </w:t>
      </w:r>
      <w:r>
        <w:rPr>
          <w:rFonts w:ascii="Cambria" w:hAnsi="Cambria"/>
        </w:rPr>
        <w:t>data collection</w:t>
      </w:r>
      <w:r w:rsidR="00C20E6D" w:rsidRPr="00C20E6D">
        <w:rPr>
          <w:rFonts w:ascii="Cambria" w:hAnsi="Cambria"/>
        </w:rPr>
        <w:t>.</w:t>
      </w:r>
    </w:p>
    <w:p w:rsidR="00EC70E9" w:rsidRDefault="00EC70E9" w:rsidP="00C20E6D">
      <w:pPr>
        <w:rPr>
          <w:rFonts w:ascii="Cambria" w:hAnsi="Cambria"/>
        </w:rPr>
      </w:pPr>
    </w:p>
    <w:p w:rsidR="00EC70E9" w:rsidRPr="00EC70E9" w:rsidRDefault="00EC70E9" w:rsidP="00EC70E9">
      <w:pPr>
        <w:rPr>
          <w:rFonts w:ascii="Cambria" w:hAnsi="Cambria"/>
          <w:u w:val="single"/>
        </w:rPr>
      </w:pPr>
      <w:r w:rsidRPr="00EC70E9">
        <w:rPr>
          <w:rFonts w:ascii="Cambria" w:hAnsi="Cambria"/>
          <w:u w:val="single"/>
        </w:rPr>
        <w:t xml:space="preserve">Purposive </w:t>
      </w:r>
      <w:r w:rsidR="00AD5095">
        <w:rPr>
          <w:rFonts w:ascii="Cambria" w:hAnsi="Cambria"/>
          <w:u w:val="single"/>
        </w:rPr>
        <w:t>S</w:t>
      </w:r>
      <w:r w:rsidRPr="00EC70E9">
        <w:rPr>
          <w:rFonts w:ascii="Cambria" w:hAnsi="Cambria"/>
          <w:u w:val="single"/>
        </w:rPr>
        <w:t xml:space="preserve">election of </w:t>
      </w:r>
      <w:r w:rsidR="00AD5095">
        <w:rPr>
          <w:rFonts w:ascii="Cambria" w:hAnsi="Cambria"/>
          <w:u w:val="single"/>
        </w:rPr>
        <w:t>S</w:t>
      </w:r>
      <w:r w:rsidRPr="00EC70E9">
        <w:rPr>
          <w:rFonts w:ascii="Cambria" w:hAnsi="Cambria"/>
          <w:u w:val="single"/>
        </w:rPr>
        <w:t>chools</w:t>
      </w:r>
    </w:p>
    <w:p w:rsidR="00EC70E9" w:rsidRDefault="00EC70E9" w:rsidP="00C20E6D">
      <w:pPr>
        <w:rPr>
          <w:rFonts w:ascii="Cambria" w:hAnsi="Cambria"/>
        </w:rPr>
      </w:pPr>
    </w:p>
    <w:p w:rsidR="0091698F" w:rsidRDefault="003E66B9" w:rsidP="00C20E6D">
      <w:pPr>
        <w:rPr>
          <w:rFonts w:ascii="Cambria" w:hAnsi="Cambria"/>
        </w:rPr>
      </w:pPr>
      <w:r>
        <w:rPr>
          <w:rFonts w:ascii="Cambria" w:hAnsi="Cambria"/>
        </w:rPr>
        <w:t xml:space="preserve">The 2010 GSS included 574 institutions.  </w:t>
      </w:r>
      <w:r w:rsidR="00516859">
        <w:rPr>
          <w:rFonts w:ascii="Cambria" w:hAnsi="Cambria"/>
        </w:rPr>
        <w:t xml:space="preserve">Of these, 234 are ineligible for the study, since they did not report any postdocs or NFRs.  The remaining 340 institutions </w:t>
      </w:r>
      <w:r w:rsidR="00F04941">
        <w:rPr>
          <w:rFonts w:ascii="Cambria" w:hAnsi="Cambria"/>
        </w:rPr>
        <w:t>reported</w:t>
      </w:r>
      <w:r w:rsidR="00516859">
        <w:rPr>
          <w:rFonts w:ascii="Cambria" w:hAnsi="Cambria"/>
        </w:rPr>
        <w:t xml:space="preserve"> NFRs only, postdocs only, or a mix of both.  </w:t>
      </w:r>
      <w:r w:rsidR="00A5419F">
        <w:rPr>
          <w:rFonts w:ascii="Cambria" w:hAnsi="Cambria"/>
        </w:rPr>
        <w:t>Table 1 presents information on the number of institutions in each category.</w:t>
      </w:r>
    </w:p>
    <w:p w:rsidR="00A5419F" w:rsidRDefault="00A5419F" w:rsidP="00A5419F">
      <w:pPr>
        <w:jc w:val="center"/>
        <w:rPr>
          <w:rFonts w:ascii="Cambria" w:hAnsi="Cambria"/>
        </w:rPr>
      </w:pPr>
    </w:p>
    <w:tbl>
      <w:tblPr>
        <w:tblW w:w="87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972"/>
        <w:gridCol w:w="3058"/>
      </w:tblGrid>
      <w:tr w:rsidR="00A5419F" w:rsidRPr="003E66B9" w:rsidTr="00730567">
        <w:trPr>
          <w:trHeight w:val="269"/>
        </w:trPr>
        <w:tc>
          <w:tcPr>
            <w:tcW w:w="8730" w:type="dxa"/>
            <w:gridSpan w:val="3"/>
            <w:shd w:val="clear" w:color="auto" w:fill="auto"/>
            <w:noWrap/>
            <w:vAlign w:val="bottom"/>
          </w:tcPr>
          <w:p w:rsidR="00A5419F" w:rsidRPr="00730567" w:rsidRDefault="00A5419F" w:rsidP="001E6375">
            <w:pPr>
              <w:rPr>
                <w:rFonts w:asciiTheme="minorHAnsi" w:hAnsiTheme="minorHAnsi" w:cs="Arial"/>
                <w:b/>
                <w:sz w:val="22"/>
                <w:szCs w:val="22"/>
              </w:rPr>
            </w:pPr>
            <w:r w:rsidRPr="00730567">
              <w:rPr>
                <w:rFonts w:asciiTheme="minorHAnsi" w:hAnsiTheme="minorHAnsi" w:cs="Arial"/>
                <w:b/>
                <w:sz w:val="22"/>
                <w:szCs w:val="22"/>
              </w:rPr>
              <w:t>Table 1.  Number of GSS institutions with postdocs and/or NFRs</w:t>
            </w:r>
          </w:p>
        </w:tc>
      </w:tr>
      <w:tr w:rsidR="003E66B9" w:rsidRPr="003E66B9" w:rsidTr="00730567">
        <w:trPr>
          <w:trHeight w:val="260"/>
        </w:trPr>
        <w:tc>
          <w:tcPr>
            <w:tcW w:w="2700" w:type="dxa"/>
            <w:shd w:val="clear" w:color="auto" w:fill="auto"/>
            <w:noWrap/>
            <w:vAlign w:val="bottom"/>
            <w:hideMark/>
          </w:tcPr>
          <w:p w:rsidR="003E66B9" w:rsidRPr="00730567" w:rsidRDefault="003E66B9" w:rsidP="003E66B9">
            <w:pPr>
              <w:rPr>
                <w:rFonts w:asciiTheme="minorHAnsi" w:hAnsiTheme="minorHAnsi" w:cs="Arial"/>
                <w:sz w:val="22"/>
                <w:szCs w:val="22"/>
              </w:rPr>
            </w:pPr>
          </w:p>
        </w:tc>
        <w:tc>
          <w:tcPr>
            <w:tcW w:w="2972" w:type="dxa"/>
            <w:shd w:val="clear" w:color="auto" w:fill="auto"/>
            <w:vAlign w:val="bottom"/>
            <w:hideMark/>
          </w:tcPr>
          <w:p w:rsidR="003E66B9" w:rsidRPr="00730567" w:rsidRDefault="003E66B9" w:rsidP="00730567">
            <w:pPr>
              <w:jc w:val="center"/>
              <w:rPr>
                <w:rFonts w:asciiTheme="minorHAnsi" w:hAnsiTheme="minorHAnsi" w:cs="Arial"/>
                <w:sz w:val="22"/>
                <w:szCs w:val="22"/>
              </w:rPr>
            </w:pPr>
            <w:r w:rsidRPr="00730567">
              <w:rPr>
                <w:rFonts w:asciiTheme="minorHAnsi" w:hAnsiTheme="minorHAnsi" w:cs="Arial"/>
                <w:sz w:val="22"/>
                <w:szCs w:val="22"/>
              </w:rPr>
              <w:t>Number of Institutions</w:t>
            </w:r>
          </w:p>
        </w:tc>
        <w:tc>
          <w:tcPr>
            <w:tcW w:w="3058" w:type="dxa"/>
            <w:shd w:val="clear" w:color="auto" w:fill="auto"/>
            <w:vAlign w:val="bottom"/>
            <w:hideMark/>
          </w:tcPr>
          <w:p w:rsidR="003E66B9" w:rsidRPr="00730567" w:rsidRDefault="003E66B9" w:rsidP="00FD0052">
            <w:pPr>
              <w:jc w:val="center"/>
              <w:rPr>
                <w:rFonts w:asciiTheme="minorHAnsi" w:hAnsiTheme="minorHAnsi" w:cs="Arial"/>
                <w:sz w:val="22"/>
                <w:szCs w:val="22"/>
              </w:rPr>
            </w:pPr>
            <w:r w:rsidRPr="00730567">
              <w:rPr>
                <w:rFonts w:asciiTheme="minorHAnsi" w:hAnsiTheme="minorHAnsi" w:cs="Arial"/>
                <w:sz w:val="22"/>
                <w:szCs w:val="22"/>
              </w:rPr>
              <w:t>Percent of Institutions</w:t>
            </w:r>
          </w:p>
        </w:tc>
      </w:tr>
      <w:tr w:rsidR="003E66B9" w:rsidRPr="003E66B9" w:rsidTr="00730567">
        <w:trPr>
          <w:trHeight w:val="255"/>
        </w:trPr>
        <w:tc>
          <w:tcPr>
            <w:tcW w:w="2700" w:type="dxa"/>
            <w:shd w:val="clear" w:color="auto" w:fill="auto"/>
            <w:noWrap/>
            <w:vAlign w:val="bottom"/>
            <w:hideMark/>
          </w:tcPr>
          <w:p w:rsidR="003E66B9" w:rsidRPr="00730567" w:rsidRDefault="003E66B9" w:rsidP="003E66B9">
            <w:pPr>
              <w:rPr>
                <w:rFonts w:asciiTheme="minorHAnsi" w:hAnsiTheme="minorHAnsi" w:cs="Arial"/>
                <w:sz w:val="22"/>
                <w:szCs w:val="22"/>
              </w:rPr>
            </w:pPr>
            <w:r w:rsidRPr="00730567">
              <w:rPr>
                <w:rFonts w:asciiTheme="minorHAnsi" w:hAnsiTheme="minorHAnsi" w:cs="Arial"/>
                <w:sz w:val="22"/>
                <w:szCs w:val="22"/>
              </w:rPr>
              <w:t>With PDs and NFRs</w:t>
            </w:r>
          </w:p>
        </w:tc>
        <w:tc>
          <w:tcPr>
            <w:tcW w:w="2972" w:type="dxa"/>
            <w:shd w:val="clear" w:color="auto" w:fill="auto"/>
            <w:noWrap/>
            <w:vAlign w:val="bottom"/>
            <w:hideMark/>
          </w:tcPr>
          <w:p w:rsidR="003E66B9" w:rsidRPr="00730567" w:rsidRDefault="003E66B9" w:rsidP="001E6375">
            <w:pPr>
              <w:ind w:right="432"/>
              <w:jc w:val="center"/>
              <w:rPr>
                <w:rFonts w:asciiTheme="minorHAnsi" w:hAnsiTheme="minorHAnsi" w:cs="Arial"/>
                <w:sz w:val="22"/>
                <w:szCs w:val="22"/>
              </w:rPr>
            </w:pPr>
            <w:r w:rsidRPr="00730567">
              <w:rPr>
                <w:rFonts w:asciiTheme="minorHAnsi" w:hAnsiTheme="minorHAnsi" w:cs="Arial"/>
                <w:sz w:val="22"/>
                <w:szCs w:val="22"/>
              </w:rPr>
              <w:t>256</w:t>
            </w:r>
          </w:p>
        </w:tc>
        <w:tc>
          <w:tcPr>
            <w:tcW w:w="3058" w:type="dxa"/>
            <w:shd w:val="clear" w:color="auto" w:fill="auto"/>
            <w:noWrap/>
            <w:vAlign w:val="bottom"/>
            <w:hideMark/>
          </w:tcPr>
          <w:p w:rsidR="003E66B9" w:rsidRPr="00730567" w:rsidRDefault="003E66B9" w:rsidP="001E6375">
            <w:pPr>
              <w:ind w:right="432"/>
              <w:jc w:val="center"/>
              <w:rPr>
                <w:rFonts w:asciiTheme="minorHAnsi" w:hAnsiTheme="minorHAnsi" w:cs="Arial"/>
                <w:sz w:val="22"/>
                <w:szCs w:val="22"/>
              </w:rPr>
            </w:pPr>
            <w:r w:rsidRPr="00730567">
              <w:rPr>
                <w:rFonts w:asciiTheme="minorHAnsi" w:hAnsiTheme="minorHAnsi" w:cs="Arial"/>
                <w:sz w:val="22"/>
                <w:szCs w:val="22"/>
              </w:rPr>
              <w:t>44.6</w:t>
            </w:r>
          </w:p>
        </w:tc>
      </w:tr>
      <w:tr w:rsidR="00834A6F" w:rsidRPr="003E66B9" w:rsidTr="00730567">
        <w:trPr>
          <w:trHeight w:val="255"/>
        </w:trPr>
        <w:tc>
          <w:tcPr>
            <w:tcW w:w="2700" w:type="dxa"/>
            <w:shd w:val="clear" w:color="auto" w:fill="auto"/>
            <w:noWrap/>
            <w:vAlign w:val="bottom"/>
          </w:tcPr>
          <w:p w:rsidR="00834A6F" w:rsidRPr="00730567" w:rsidRDefault="00834A6F" w:rsidP="00DC3429">
            <w:pPr>
              <w:rPr>
                <w:rFonts w:asciiTheme="minorHAnsi" w:hAnsiTheme="minorHAnsi" w:cs="Arial"/>
                <w:sz w:val="22"/>
                <w:szCs w:val="22"/>
              </w:rPr>
            </w:pPr>
            <w:r w:rsidRPr="00730567">
              <w:rPr>
                <w:rFonts w:asciiTheme="minorHAnsi" w:hAnsiTheme="minorHAnsi" w:cs="Arial"/>
                <w:sz w:val="22"/>
                <w:szCs w:val="22"/>
              </w:rPr>
              <w:t>With NFRs only</w:t>
            </w:r>
          </w:p>
        </w:tc>
        <w:tc>
          <w:tcPr>
            <w:tcW w:w="2972" w:type="dxa"/>
            <w:shd w:val="clear" w:color="auto" w:fill="auto"/>
            <w:noWrap/>
            <w:vAlign w:val="bottom"/>
          </w:tcPr>
          <w:p w:rsidR="00834A6F" w:rsidRPr="00730567" w:rsidRDefault="00834A6F" w:rsidP="001E6375">
            <w:pPr>
              <w:ind w:right="432"/>
              <w:jc w:val="center"/>
              <w:rPr>
                <w:rFonts w:asciiTheme="minorHAnsi" w:hAnsiTheme="minorHAnsi" w:cs="Arial"/>
                <w:sz w:val="22"/>
                <w:szCs w:val="22"/>
              </w:rPr>
            </w:pPr>
            <w:r w:rsidRPr="00730567">
              <w:rPr>
                <w:rFonts w:asciiTheme="minorHAnsi" w:hAnsiTheme="minorHAnsi" w:cs="Arial"/>
                <w:sz w:val="22"/>
                <w:szCs w:val="22"/>
              </w:rPr>
              <w:t>14</w:t>
            </w:r>
          </w:p>
        </w:tc>
        <w:tc>
          <w:tcPr>
            <w:tcW w:w="3058" w:type="dxa"/>
            <w:shd w:val="clear" w:color="auto" w:fill="auto"/>
            <w:noWrap/>
            <w:vAlign w:val="bottom"/>
          </w:tcPr>
          <w:p w:rsidR="00834A6F" w:rsidRPr="00730567" w:rsidRDefault="00834A6F" w:rsidP="001E6375">
            <w:pPr>
              <w:ind w:right="432"/>
              <w:jc w:val="center"/>
              <w:rPr>
                <w:rFonts w:asciiTheme="minorHAnsi" w:hAnsiTheme="minorHAnsi" w:cs="Arial"/>
                <w:sz w:val="22"/>
                <w:szCs w:val="22"/>
              </w:rPr>
            </w:pPr>
            <w:r w:rsidRPr="00730567">
              <w:rPr>
                <w:rFonts w:asciiTheme="minorHAnsi" w:hAnsiTheme="minorHAnsi" w:cs="Arial"/>
                <w:sz w:val="22"/>
                <w:szCs w:val="22"/>
              </w:rPr>
              <w:t>2.4</w:t>
            </w:r>
          </w:p>
        </w:tc>
      </w:tr>
      <w:tr w:rsidR="00834A6F" w:rsidRPr="003E66B9" w:rsidTr="00730567">
        <w:trPr>
          <w:trHeight w:val="255"/>
        </w:trPr>
        <w:tc>
          <w:tcPr>
            <w:tcW w:w="2700" w:type="dxa"/>
            <w:shd w:val="clear" w:color="auto" w:fill="auto"/>
            <w:noWrap/>
            <w:vAlign w:val="bottom"/>
          </w:tcPr>
          <w:p w:rsidR="00834A6F" w:rsidRPr="00730567" w:rsidRDefault="00834A6F" w:rsidP="00DC3429">
            <w:pPr>
              <w:rPr>
                <w:rFonts w:asciiTheme="minorHAnsi" w:hAnsiTheme="minorHAnsi" w:cs="Arial"/>
                <w:sz w:val="22"/>
                <w:szCs w:val="22"/>
              </w:rPr>
            </w:pPr>
            <w:r w:rsidRPr="00730567">
              <w:rPr>
                <w:rFonts w:asciiTheme="minorHAnsi" w:hAnsiTheme="minorHAnsi" w:cs="Arial"/>
                <w:sz w:val="22"/>
                <w:szCs w:val="22"/>
              </w:rPr>
              <w:t>With PDs only</w:t>
            </w:r>
          </w:p>
        </w:tc>
        <w:tc>
          <w:tcPr>
            <w:tcW w:w="2972" w:type="dxa"/>
            <w:shd w:val="clear" w:color="auto" w:fill="auto"/>
            <w:noWrap/>
            <w:vAlign w:val="bottom"/>
          </w:tcPr>
          <w:p w:rsidR="00834A6F" w:rsidRPr="00730567" w:rsidRDefault="00834A6F" w:rsidP="001E6375">
            <w:pPr>
              <w:ind w:right="432"/>
              <w:jc w:val="center"/>
              <w:rPr>
                <w:rFonts w:asciiTheme="minorHAnsi" w:hAnsiTheme="minorHAnsi" w:cs="Arial"/>
                <w:sz w:val="22"/>
                <w:szCs w:val="22"/>
              </w:rPr>
            </w:pPr>
            <w:r w:rsidRPr="00730567">
              <w:rPr>
                <w:rFonts w:asciiTheme="minorHAnsi" w:hAnsiTheme="minorHAnsi" w:cs="Arial"/>
                <w:sz w:val="22"/>
                <w:szCs w:val="22"/>
              </w:rPr>
              <w:t>70</w:t>
            </w:r>
          </w:p>
        </w:tc>
        <w:tc>
          <w:tcPr>
            <w:tcW w:w="3058" w:type="dxa"/>
            <w:shd w:val="clear" w:color="auto" w:fill="auto"/>
            <w:noWrap/>
            <w:vAlign w:val="bottom"/>
          </w:tcPr>
          <w:p w:rsidR="00834A6F" w:rsidRPr="00730567" w:rsidRDefault="00834A6F" w:rsidP="001E6375">
            <w:pPr>
              <w:ind w:right="432"/>
              <w:jc w:val="center"/>
              <w:rPr>
                <w:rFonts w:asciiTheme="minorHAnsi" w:hAnsiTheme="minorHAnsi" w:cs="Arial"/>
                <w:sz w:val="22"/>
                <w:szCs w:val="22"/>
              </w:rPr>
            </w:pPr>
            <w:r w:rsidRPr="00730567">
              <w:rPr>
                <w:rFonts w:asciiTheme="minorHAnsi" w:hAnsiTheme="minorHAnsi" w:cs="Arial"/>
                <w:sz w:val="22"/>
                <w:szCs w:val="22"/>
              </w:rPr>
              <w:t>12.2</w:t>
            </w:r>
          </w:p>
        </w:tc>
      </w:tr>
      <w:tr w:rsidR="003E66B9" w:rsidRPr="003E66B9" w:rsidTr="00730567">
        <w:trPr>
          <w:trHeight w:val="255"/>
        </w:trPr>
        <w:tc>
          <w:tcPr>
            <w:tcW w:w="2700" w:type="dxa"/>
            <w:tcBorders>
              <w:bottom w:val="single" w:sz="4" w:space="0" w:color="auto"/>
            </w:tcBorders>
            <w:shd w:val="clear" w:color="auto" w:fill="auto"/>
            <w:noWrap/>
            <w:vAlign w:val="bottom"/>
            <w:hideMark/>
          </w:tcPr>
          <w:p w:rsidR="003E66B9" w:rsidRPr="00730567" w:rsidRDefault="003E66B9" w:rsidP="003E66B9">
            <w:pPr>
              <w:rPr>
                <w:rFonts w:asciiTheme="minorHAnsi" w:hAnsiTheme="minorHAnsi" w:cs="Arial"/>
                <w:sz w:val="22"/>
                <w:szCs w:val="22"/>
              </w:rPr>
            </w:pPr>
            <w:r w:rsidRPr="00730567">
              <w:rPr>
                <w:rFonts w:asciiTheme="minorHAnsi" w:hAnsiTheme="minorHAnsi" w:cs="Arial"/>
                <w:sz w:val="22"/>
                <w:szCs w:val="22"/>
              </w:rPr>
              <w:t>No PDs and no NFRs</w:t>
            </w:r>
            <w:r w:rsidR="00F04941">
              <w:rPr>
                <w:rFonts w:asciiTheme="minorHAnsi" w:hAnsiTheme="minorHAnsi" w:cs="Arial"/>
                <w:sz w:val="22"/>
                <w:szCs w:val="22"/>
              </w:rPr>
              <w:t xml:space="preserve"> (ineligible for this study)</w:t>
            </w:r>
          </w:p>
        </w:tc>
        <w:tc>
          <w:tcPr>
            <w:tcW w:w="2972" w:type="dxa"/>
            <w:tcBorders>
              <w:bottom w:val="single" w:sz="4" w:space="0" w:color="auto"/>
            </w:tcBorders>
            <w:shd w:val="clear" w:color="auto" w:fill="auto"/>
            <w:noWrap/>
            <w:vAlign w:val="bottom"/>
            <w:hideMark/>
          </w:tcPr>
          <w:p w:rsidR="003E66B9" w:rsidRPr="00730567" w:rsidRDefault="003E66B9" w:rsidP="001E6375">
            <w:pPr>
              <w:ind w:right="432"/>
              <w:jc w:val="center"/>
              <w:rPr>
                <w:rFonts w:asciiTheme="minorHAnsi" w:hAnsiTheme="minorHAnsi" w:cs="Arial"/>
                <w:sz w:val="22"/>
                <w:szCs w:val="22"/>
              </w:rPr>
            </w:pPr>
            <w:r w:rsidRPr="00730567">
              <w:rPr>
                <w:rFonts w:asciiTheme="minorHAnsi" w:hAnsiTheme="minorHAnsi" w:cs="Arial"/>
                <w:sz w:val="22"/>
                <w:szCs w:val="22"/>
              </w:rPr>
              <w:t>234</w:t>
            </w:r>
          </w:p>
        </w:tc>
        <w:tc>
          <w:tcPr>
            <w:tcW w:w="3058" w:type="dxa"/>
            <w:tcBorders>
              <w:bottom w:val="single" w:sz="4" w:space="0" w:color="auto"/>
            </w:tcBorders>
            <w:shd w:val="clear" w:color="auto" w:fill="auto"/>
            <w:noWrap/>
            <w:vAlign w:val="bottom"/>
            <w:hideMark/>
          </w:tcPr>
          <w:p w:rsidR="003E66B9" w:rsidRPr="00730567" w:rsidRDefault="003E66B9" w:rsidP="001E6375">
            <w:pPr>
              <w:ind w:right="432"/>
              <w:jc w:val="center"/>
              <w:rPr>
                <w:rFonts w:asciiTheme="minorHAnsi" w:hAnsiTheme="minorHAnsi" w:cs="Arial"/>
                <w:sz w:val="22"/>
                <w:szCs w:val="22"/>
              </w:rPr>
            </w:pPr>
            <w:r w:rsidRPr="00730567">
              <w:rPr>
                <w:rFonts w:asciiTheme="minorHAnsi" w:hAnsiTheme="minorHAnsi" w:cs="Arial"/>
                <w:sz w:val="22"/>
                <w:szCs w:val="22"/>
              </w:rPr>
              <w:t>40.8</w:t>
            </w:r>
          </w:p>
        </w:tc>
      </w:tr>
      <w:tr w:rsidR="003E66B9" w:rsidRPr="003E66B9" w:rsidTr="00730567">
        <w:trPr>
          <w:trHeight w:val="255"/>
        </w:trPr>
        <w:tc>
          <w:tcPr>
            <w:tcW w:w="2700" w:type="dxa"/>
            <w:tcBorders>
              <w:bottom w:val="single" w:sz="4" w:space="0" w:color="000000"/>
            </w:tcBorders>
            <w:shd w:val="clear" w:color="auto" w:fill="auto"/>
            <w:noWrap/>
            <w:vAlign w:val="bottom"/>
            <w:hideMark/>
          </w:tcPr>
          <w:p w:rsidR="003E66B9" w:rsidRPr="00730567" w:rsidRDefault="003E66B9" w:rsidP="003E66B9">
            <w:pPr>
              <w:rPr>
                <w:rFonts w:asciiTheme="minorHAnsi" w:hAnsiTheme="minorHAnsi" w:cs="Arial"/>
                <w:sz w:val="22"/>
                <w:szCs w:val="22"/>
              </w:rPr>
            </w:pPr>
            <w:r w:rsidRPr="00730567">
              <w:rPr>
                <w:rFonts w:asciiTheme="minorHAnsi" w:hAnsiTheme="minorHAnsi" w:cs="Arial"/>
                <w:sz w:val="22"/>
                <w:szCs w:val="22"/>
              </w:rPr>
              <w:t>Total</w:t>
            </w:r>
          </w:p>
        </w:tc>
        <w:tc>
          <w:tcPr>
            <w:tcW w:w="2972" w:type="dxa"/>
            <w:tcBorders>
              <w:bottom w:val="single" w:sz="4" w:space="0" w:color="000000"/>
            </w:tcBorders>
            <w:shd w:val="clear" w:color="auto" w:fill="auto"/>
            <w:noWrap/>
            <w:vAlign w:val="bottom"/>
            <w:hideMark/>
          </w:tcPr>
          <w:p w:rsidR="003E66B9" w:rsidRPr="00730567" w:rsidRDefault="003E66B9" w:rsidP="001E6375">
            <w:pPr>
              <w:ind w:right="432"/>
              <w:jc w:val="center"/>
              <w:rPr>
                <w:rFonts w:asciiTheme="minorHAnsi" w:hAnsiTheme="minorHAnsi" w:cs="Arial"/>
                <w:sz w:val="22"/>
                <w:szCs w:val="22"/>
              </w:rPr>
            </w:pPr>
            <w:r w:rsidRPr="00730567">
              <w:rPr>
                <w:rFonts w:asciiTheme="minorHAnsi" w:hAnsiTheme="minorHAnsi" w:cs="Arial"/>
                <w:sz w:val="22"/>
                <w:szCs w:val="22"/>
              </w:rPr>
              <w:t>574</w:t>
            </w:r>
          </w:p>
        </w:tc>
        <w:tc>
          <w:tcPr>
            <w:tcW w:w="3058" w:type="dxa"/>
            <w:tcBorders>
              <w:bottom w:val="single" w:sz="4" w:space="0" w:color="000000"/>
            </w:tcBorders>
            <w:shd w:val="clear" w:color="auto" w:fill="auto"/>
            <w:noWrap/>
            <w:vAlign w:val="bottom"/>
            <w:hideMark/>
          </w:tcPr>
          <w:p w:rsidR="003E66B9" w:rsidRPr="00730567" w:rsidRDefault="003E66B9" w:rsidP="001E6375">
            <w:pPr>
              <w:ind w:right="432"/>
              <w:jc w:val="center"/>
              <w:rPr>
                <w:rFonts w:asciiTheme="minorHAnsi" w:hAnsiTheme="minorHAnsi" w:cs="Arial"/>
                <w:sz w:val="22"/>
                <w:szCs w:val="22"/>
              </w:rPr>
            </w:pPr>
            <w:r w:rsidRPr="00730567">
              <w:rPr>
                <w:rFonts w:asciiTheme="minorHAnsi" w:hAnsiTheme="minorHAnsi" w:cs="Arial"/>
                <w:sz w:val="22"/>
                <w:szCs w:val="22"/>
              </w:rPr>
              <w:t>100.0</w:t>
            </w:r>
          </w:p>
        </w:tc>
      </w:tr>
    </w:tbl>
    <w:p w:rsidR="003E66B9" w:rsidRDefault="003E66B9" w:rsidP="00C20E6D">
      <w:pPr>
        <w:rPr>
          <w:rFonts w:ascii="Cambria" w:hAnsi="Cambria"/>
        </w:rPr>
      </w:pPr>
    </w:p>
    <w:p w:rsidR="0091698F" w:rsidRDefault="00A5419F" w:rsidP="00C20E6D">
      <w:pPr>
        <w:rPr>
          <w:rFonts w:ascii="Cambria" w:hAnsi="Cambria"/>
        </w:rPr>
      </w:pPr>
      <w:r>
        <w:rPr>
          <w:rFonts w:ascii="Cambria" w:hAnsi="Cambria"/>
        </w:rPr>
        <w:lastRenderedPageBreak/>
        <w:t xml:space="preserve">The 340 institutions eligible for the study will be </w:t>
      </w:r>
      <w:r w:rsidR="002430CF">
        <w:rPr>
          <w:rFonts w:ascii="Cambria" w:hAnsi="Cambria"/>
        </w:rPr>
        <w:t>grouped</w:t>
      </w:r>
      <w:r>
        <w:rPr>
          <w:rFonts w:ascii="Cambria" w:hAnsi="Cambria"/>
        </w:rPr>
        <w:t xml:space="preserve"> according </w:t>
      </w:r>
      <w:r w:rsidR="00874493">
        <w:rPr>
          <w:rFonts w:ascii="Cambria" w:hAnsi="Cambria"/>
        </w:rPr>
        <w:t xml:space="preserve">to patterns of </w:t>
      </w:r>
      <w:r w:rsidR="002430CF">
        <w:rPr>
          <w:rFonts w:ascii="Cambria" w:hAnsi="Cambria"/>
        </w:rPr>
        <w:t xml:space="preserve">NFR </w:t>
      </w:r>
      <w:r w:rsidR="00874493">
        <w:rPr>
          <w:rFonts w:ascii="Cambria" w:hAnsi="Cambria"/>
        </w:rPr>
        <w:t>reporting</w:t>
      </w:r>
      <w:r w:rsidR="002430CF">
        <w:rPr>
          <w:rFonts w:ascii="Cambria" w:hAnsi="Cambria"/>
        </w:rPr>
        <w:t xml:space="preserve"> in 2010.  Th</w:t>
      </w:r>
      <w:r>
        <w:rPr>
          <w:rFonts w:ascii="Cambria" w:hAnsi="Cambria"/>
        </w:rPr>
        <w:t>e numb</w:t>
      </w:r>
      <w:r w:rsidR="00874493">
        <w:rPr>
          <w:rFonts w:ascii="Cambria" w:hAnsi="Cambria"/>
        </w:rPr>
        <w:t xml:space="preserve">er of institutions in each </w:t>
      </w:r>
      <w:r w:rsidR="002430CF">
        <w:rPr>
          <w:rFonts w:ascii="Cambria" w:hAnsi="Cambria"/>
        </w:rPr>
        <w:t>group</w:t>
      </w:r>
      <w:r>
        <w:rPr>
          <w:rFonts w:ascii="Cambria" w:hAnsi="Cambria"/>
        </w:rPr>
        <w:t xml:space="preserve"> is shown below in Table 2.</w:t>
      </w:r>
    </w:p>
    <w:p w:rsidR="00A5419F" w:rsidRDefault="00A5419F" w:rsidP="00C20E6D">
      <w:pPr>
        <w:rPr>
          <w:rFonts w:ascii="Cambria" w:hAnsi="Cambria"/>
        </w:rPr>
      </w:pPr>
    </w:p>
    <w:tbl>
      <w:tblPr>
        <w:tblStyle w:val="TableGrid"/>
        <w:tblW w:w="0" w:type="auto"/>
        <w:tblLook w:val="04A0" w:firstRow="1" w:lastRow="0" w:firstColumn="1" w:lastColumn="0" w:noHBand="0" w:noVBand="1"/>
      </w:tblPr>
      <w:tblGrid>
        <w:gridCol w:w="6318"/>
        <w:gridCol w:w="1710"/>
        <w:gridCol w:w="1890"/>
      </w:tblGrid>
      <w:tr w:rsidR="00926453" w:rsidTr="004B347C">
        <w:trPr>
          <w:trHeight w:val="215"/>
        </w:trPr>
        <w:tc>
          <w:tcPr>
            <w:tcW w:w="9918" w:type="dxa"/>
            <w:gridSpan w:val="3"/>
          </w:tcPr>
          <w:p w:rsidR="00926453" w:rsidRPr="00730567" w:rsidRDefault="00926453" w:rsidP="00C20E6D">
            <w:pPr>
              <w:rPr>
                <w:rFonts w:asciiTheme="minorHAnsi" w:hAnsiTheme="minorHAnsi" w:cs="Arial"/>
                <w:b/>
                <w:sz w:val="22"/>
                <w:szCs w:val="22"/>
              </w:rPr>
            </w:pPr>
            <w:r w:rsidRPr="00730567">
              <w:rPr>
                <w:rFonts w:asciiTheme="minorHAnsi" w:hAnsiTheme="minorHAnsi" w:cs="Arial"/>
                <w:b/>
                <w:sz w:val="22"/>
                <w:szCs w:val="22"/>
              </w:rPr>
              <w:t>Table 2.  Number of institutions to be selected for study by pattern of reporting</w:t>
            </w:r>
            <w:r w:rsidR="00874493" w:rsidRPr="00730567">
              <w:rPr>
                <w:rFonts w:asciiTheme="minorHAnsi" w:hAnsiTheme="minorHAnsi" w:cs="Arial"/>
                <w:b/>
                <w:sz w:val="22"/>
                <w:szCs w:val="22"/>
              </w:rPr>
              <w:t xml:space="preserve"> NFRs</w:t>
            </w:r>
          </w:p>
        </w:tc>
      </w:tr>
      <w:tr w:rsidR="002430CF" w:rsidTr="004B347C">
        <w:tc>
          <w:tcPr>
            <w:tcW w:w="6318" w:type="dxa"/>
            <w:vAlign w:val="bottom"/>
          </w:tcPr>
          <w:p w:rsidR="00834A6F" w:rsidRPr="00730567" w:rsidRDefault="00AD5095" w:rsidP="00FD0052">
            <w:pPr>
              <w:rPr>
                <w:rFonts w:asciiTheme="minorHAnsi" w:hAnsiTheme="minorHAnsi" w:cs="Arial"/>
                <w:sz w:val="22"/>
                <w:szCs w:val="22"/>
              </w:rPr>
            </w:pPr>
            <w:r w:rsidRPr="00730567">
              <w:rPr>
                <w:rFonts w:asciiTheme="minorHAnsi" w:hAnsiTheme="minorHAnsi" w:cs="Arial"/>
                <w:sz w:val="22"/>
                <w:szCs w:val="22"/>
              </w:rPr>
              <w:t>GSS Institutions</w:t>
            </w:r>
          </w:p>
        </w:tc>
        <w:tc>
          <w:tcPr>
            <w:tcW w:w="1710" w:type="dxa"/>
          </w:tcPr>
          <w:p w:rsidR="00834A6F" w:rsidRPr="00730567" w:rsidRDefault="00834A6F" w:rsidP="00730567">
            <w:pPr>
              <w:jc w:val="center"/>
              <w:rPr>
                <w:rFonts w:asciiTheme="minorHAnsi" w:hAnsiTheme="minorHAnsi" w:cs="Arial"/>
                <w:sz w:val="22"/>
                <w:szCs w:val="22"/>
              </w:rPr>
            </w:pPr>
            <w:r w:rsidRPr="00730567">
              <w:rPr>
                <w:rFonts w:asciiTheme="minorHAnsi" w:hAnsiTheme="minorHAnsi" w:cs="Arial"/>
                <w:sz w:val="22"/>
                <w:szCs w:val="22"/>
              </w:rPr>
              <w:t xml:space="preserve">Number </w:t>
            </w:r>
            <w:r w:rsidR="00AD5095" w:rsidRPr="00730567">
              <w:rPr>
                <w:rFonts w:asciiTheme="minorHAnsi" w:hAnsiTheme="minorHAnsi" w:cs="Arial"/>
                <w:sz w:val="22"/>
                <w:szCs w:val="22"/>
              </w:rPr>
              <w:t>E</w:t>
            </w:r>
            <w:r w:rsidRPr="00730567">
              <w:rPr>
                <w:rFonts w:asciiTheme="minorHAnsi" w:hAnsiTheme="minorHAnsi" w:cs="Arial"/>
                <w:sz w:val="22"/>
                <w:szCs w:val="22"/>
              </w:rPr>
              <w:t>ligible</w:t>
            </w:r>
            <w:r w:rsidR="00AD5095" w:rsidRPr="00730567">
              <w:rPr>
                <w:rFonts w:asciiTheme="minorHAnsi" w:hAnsiTheme="minorHAnsi" w:cs="Arial"/>
                <w:sz w:val="22"/>
                <w:szCs w:val="22"/>
              </w:rPr>
              <w:t xml:space="preserve"> Institutions</w:t>
            </w:r>
          </w:p>
        </w:tc>
        <w:tc>
          <w:tcPr>
            <w:tcW w:w="1890" w:type="dxa"/>
          </w:tcPr>
          <w:p w:rsidR="00834A6F" w:rsidRPr="00730567" w:rsidRDefault="00834A6F" w:rsidP="00730567">
            <w:pPr>
              <w:jc w:val="center"/>
              <w:rPr>
                <w:rFonts w:asciiTheme="minorHAnsi" w:hAnsiTheme="minorHAnsi" w:cs="Arial"/>
                <w:sz w:val="22"/>
                <w:szCs w:val="22"/>
              </w:rPr>
            </w:pPr>
            <w:r w:rsidRPr="00730567">
              <w:rPr>
                <w:rFonts w:asciiTheme="minorHAnsi" w:hAnsiTheme="minorHAnsi" w:cs="Arial"/>
                <w:sz w:val="22"/>
                <w:szCs w:val="22"/>
              </w:rPr>
              <w:t>Number</w:t>
            </w:r>
            <w:r w:rsidR="00AD5095" w:rsidRPr="00730567">
              <w:rPr>
                <w:rFonts w:asciiTheme="minorHAnsi" w:hAnsiTheme="minorHAnsi" w:cs="Arial"/>
                <w:sz w:val="22"/>
                <w:szCs w:val="22"/>
              </w:rPr>
              <w:t xml:space="preserve"> of Institutions </w:t>
            </w:r>
            <w:r w:rsidR="002430CF">
              <w:rPr>
                <w:rFonts w:asciiTheme="minorHAnsi" w:hAnsiTheme="minorHAnsi" w:cs="Arial"/>
                <w:sz w:val="22"/>
                <w:szCs w:val="22"/>
              </w:rPr>
              <w:t xml:space="preserve">to </w:t>
            </w:r>
            <w:r w:rsidR="00AD5095" w:rsidRPr="00730567">
              <w:rPr>
                <w:rFonts w:asciiTheme="minorHAnsi" w:hAnsiTheme="minorHAnsi" w:cs="Arial"/>
                <w:sz w:val="22"/>
                <w:szCs w:val="22"/>
              </w:rPr>
              <w:t>S</w:t>
            </w:r>
            <w:r w:rsidRPr="00730567">
              <w:rPr>
                <w:rFonts w:asciiTheme="minorHAnsi" w:hAnsiTheme="minorHAnsi" w:cs="Arial"/>
                <w:sz w:val="22"/>
                <w:szCs w:val="22"/>
              </w:rPr>
              <w:t>elect</w:t>
            </w:r>
          </w:p>
        </w:tc>
      </w:tr>
      <w:tr w:rsidR="002430CF" w:rsidTr="004B347C">
        <w:trPr>
          <w:trHeight w:val="287"/>
        </w:trPr>
        <w:tc>
          <w:tcPr>
            <w:tcW w:w="9918" w:type="dxa"/>
            <w:gridSpan w:val="3"/>
            <w:shd w:val="clear" w:color="auto" w:fill="F2F2F2" w:themeFill="background1" w:themeFillShade="F2"/>
            <w:vAlign w:val="bottom"/>
          </w:tcPr>
          <w:p w:rsidR="002430CF" w:rsidRPr="00730567" w:rsidRDefault="002430CF" w:rsidP="004B347C">
            <w:pPr>
              <w:spacing w:before="40" w:after="40"/>
              <w:rPr>
                <w:rFonts w:asciiTheme="minorHAnsi" w:hAnsiTheme="minorHAnsi" w:cs="Arial"/>
                <w:sz w:val="22"/>
                <w:szCs w:val="22"/>
              </w:rPr>
            </w:pPr>
            <w:r w:rsidRPr="00730567">
              <w:rPr>
                <w:rFonts w:asciiTheme="minorHAnsi" w:hAnsiTheme="minorHAnsi" w:cs="Arial"/>
                <w:sz w:val="22"/>
                <w:szCs w:val="22"/>
              </w:rPr>
              <w:t>Institutions reporting NFRs</w:t>
            </w:r>
          </w:p>
        </w:tc>
      </w:tr>
      <w:tr w:rsidR="002430CF" w:rsidTr="004B347C">
        <w:tc>
          <w:tcPr>
            <w:tcW w:w="6318" w:type="dxa"/>
          </w:tcPr>
          <w:p w:rsidR="00834A6F" w:rsidRPr="00730567" w:rsidRDefault="00834A6F" w:rsidP="004B347C">
            <w:pPr>
              <w:spacing w:before="40" w:after="40"/>
              <w:ind w:left="360"/>
              <w:rPr>
                <w:rFonts w:asciiTheme="minorHAnsi" w:hAnsiTheme="minorHAnsi" w:cs="Arial"/>
                <w:sz w:val="22"/>
                <w:szCs w:val="22"/>
              </w:rPr>
            </w:pPr>
            <w:r w:rsidRPr="00730567">
              <w:rPr>
                <w:rFonts w:asciiTheme="minorHAnsi" w:hAnsiTheme="minorHAnsi" w:cs="Arial"/>
                <w:sz w:val="22"/>
                <w:szCs w:val="22"/>
              </w:rPr>
              <w:t>Number of NFRs is greater than or equal to number of postdocs</w:t>
            </w:r>
          </w:p>
        </w:tc>
        <w:tc>
          <w:tcPr>
            <w:tcW w:w="1710" w:type="dxa"/>
            <w:vAlign w:val="center"/>
          </w:tcPr>
          <w:p w:rsidR="00834A6F" w:rsidRPr="00730567" w:rsidRDefault="00926453" w:rsidP="004B347C">
            <w:pPr>
              <w:spacing w:before="40" w:after="40"/>
              <w:ind w:right="612"/>
              <w:jc w:val="right"/>
              <w:rPr>
                <w:rFonts w:asciiTheme="minorHAnsi" w:hAnsiTheme="minorHAnsi" w:cs="Arial"/>
                <w:sz w:val="22"/>
                <w:szCs w:val="22"/>
              </w:rPr>
            </w:pPr>
            <w:r w:rsidRPr="00730567">
              <w:rPr>
                <w:rFonts w:asciiTheme="minorHAnsi" w:hAnsiTheme="minorHAnsi" w:cs="Arial"/>
                <w:sz w:val="22"/>
                <w:szCs w:val="22"/>
              </w:rPr>
              <w:t xml:space="preserve"> </w:t>
            </w:r>
            <w:r w:rsidR="00834A6F" w:rsidRPr="00730567">
              <w:rPr>
                <w:rFonts w:asciiTheme="minorHAnsi" w:hAnsiTheme="minorHAnsi" w:cs="Arial"/>
                <w:sz w:val="22"/>
                <w:szCs w:val="22"/>
              </w:rPr>
              <w:t>48</w:t>
            </w:r>
          </w:p>
        </w:tc>
        <w:tc>
          <w:tcPr>
            <w:tcW w:w="1890" w:type="dxa"/>
            <w:vAlign w:val="center"/>
          </w:tcPr>
          <w:p w:rsidR="00834A6F" w:rsidRPr="00730567" w:rsidRDefault="00874493" w:rsidP="004B347C">
            <w:pPr>
              <w:spacing w:before="40" w:after="40"/>
              <w:ind w:right="792"/>
              <w:jc w:val="right"/>
              <w:rPr>
                <w:rFonts w:asciiTheme="minorHAnsi" w:hAnsiTheme="minorHAnsi" w:cs="Arial"/>
                <w:sz w:val="22"/>
                <w:szCs w:val="22"/>
              </w:rPr>
            </w:pPr>
            <w:r w:rsidRPr="00730567">
              <w:rPr>
                <w:rFonts w:asciiTheme="minorHAnsi" w:hAnsiTheme="minorHAnsi" w:cs="Arial"/>
                <w:sz w:val="22"/>
                <w:szCs w:val="22"/>
              </w:rPr>
              <w:t>3</w:t>
            </w:r>
            <w:r w:rsidR="00926453" w:rsidRPr="00730567">
              <w:rPr>
                <w:rFonts w:asciiTheme="minorHAnsi" w:hAnsiTheme="minorHAnsi" w:cs="Arial"/>
                <w:sz w:val="22"/>
                <w:szCs w:val="22"/>
              </w:rPr>
              <w:t>0</w:t>
            </w:r>
          </w:p>
        </w:tc>
      </w:tr>
      <w:tr w:rsidR="002430CF" w:rsidTr="004B347C">
        <w:tc>
          <w:tcPr>
            <w:tcW w:w="6318" w:type="dxa"/>
          </w:tcPr>
          <w:p w:rsidR="00834A6F" w:rsidRPr="00730567" w:rsidRDefault="00834A6F" w:rsidP="004B347C">
            <w:pPr>
              <w:spacing w:before="40" w:after="40"/>
              <w:ind w:left="360"/>
              <w:rPr>
                <w:rFonts w:asciiTheme="minorHAnsi" w:hAnsiTheme="minorHAnsi" w:cs="Arial"/>
                <w:sz w:val="22"/>
                <w:szCs w:val="22"/>
              </w:rPr>
            </w:pPr>
            <w:r w:rsidRPr="00730567">
              <w:rPr>
                <w:rFonts w:asciiTheme="minorHAnsi" w:hAnsiTheme="minorHAnsi" w:cs="Arial"/>
                <w:sz w:val="22"/>
                <w:szCs w:val="22"/>
              </w:rPr>
              <w:t>Number o</w:t>
            </w:r>
            <w:r w:rsidR="00926453" w:rsidRPr="00730567">
              <w:rPr>
                <w:rFonts w:asciiTheme="minorHAnsi" w:hAnsiTheme="minorHAnsi" w:cs="Arial"/>
                <w:sz w:val="22"/>
                <w:szCs w:val="22"/>
              </w:rPr>
              <w:t>f NFRs increased by more than 15</w:t>
            </w:r>
            <w:r w:rsidRPr="00730567">
              <w:rPr>
                <w:rFonts w:asciiTheme="minorHAnsi" w:hAnsiTheme="minorHAnsi" w:cs="Arial"/>
                <w:sz w:val="22"/>
                <w:szCs w:val="22"/>
              </w:rPr>
              <w:t>% in 2010</w:t>
            </w:r>
          </w:p>
        </w:tc>
        <w:tc>
          <w:tcPr>
            <w:tcW w:w="1710" w:type="dxa"/>
            <w:vAlign w:val="center"/>
          </w:tcPr>
          <w:p w:rsidR="00834A6F" w:rsidRPr="00730567" w:rsidRDefault="00926453" w:rsidP="004B347C">
            <w:pPr>
              <w:spacing w:before="40" w:after="40"/>
              <w:ind w:right="612"/>
              <w:jc w:val="right"/>
              <w:rPr>
                <w:rFonts w:asciiTheme="minorHAnsi" w:hAnsiTheme="minorHAnsi" w:cs="Arial"/>
                <w:sz w:val="22"/>
                <w:szCs w:val="22"/>
              </w:rPr>
            </w:pPr>
            <w:r w:rsidRPr="00730567">
              <w:rPr>
                <w:rFonts w:asciiTheme="minorHAnsi" w:hAnsiTheme="minorHAnsi" w:cs="Arial"/>
                <w:sz w:val="22"/>
                <w:szCs w:val="22"/>
              </w:rPr>
              <w:t>118</w:t>
            </w:r>
          </w:p>
        </w:tc>
        <w:tc>
          <w:tcPr>
            <w:tcW w:w="1890" w:type="dxa"/>
            <w:vAlign w:val="center"/>
          </w:tcPr>
          <w:p w:rsidR="00834A6F" w:rsidRPr="00730567" w:rsidRDefault="00874493" w:rsidP="004B347C">
            <w:pPr>
              <w:spacing w:before="40" w:after="40"/>
              <w:ind w:right="792"/>
              <w:jc w:val="right"/>
              <w:rPr>
                <w:rFonts w:asciiTheme="minorHAnsi" w:hAnsiTheme="minorHAnsi" w:cs="Arial"/>
                <w:sz w:val="22"/>
                <w:szCs w:val="22"/>
              </w:rPr>
            </w:pPr>
            <w:r w:rsidRPr="00730567">
              <w:rPr>
                <w:rFonts w:asciiTheme="minorHAnsi" w:hAnsiTheme="minorHAnsi" w:cs="Arial"/>
                <w:sz w:val="22"/>
                <w:szCs w:val="22"/>
              </w:rPr>
              <w:t>3</w:t>
            </w:r>
            <w:r w:rsidR="00926453" w:rsidRPr="00730567">
              <w:rPr>
                <w:rFonts w:asciiTheme="minorHAnsi" w:hAnsiTheme="minorHAnsi" w:cs="Arial"/>
                <w:sz w:val="22"/>
                <w:szCs w:val="22"/>
              </w:rPr>
              <w:t>0</w:t>
            </w:r>
          </w:p>
        </w:tc>
      </w:tr>
      <w:tr w:rsidR="00834A6F" w:rsidTr="004B347C">
        <w:trPr>
          <w:trHeight w:val="242"/>
        </w:trPr>
        <w:tc>
          <w:tcPr>
            <w:tcW w:w="6318" w:type="dxa"/>
          </w:tcPr>
          <w:p w:rsidR="00834A6F" w:rsidRPr="00730567" w:rsidRDefault="00834A6F" w:rsidP="004B347C">
            <w:pPr>
              <w:spacing w:before="40" w:after="40"/>
              <w:ind w:left="360"/>
              <w:rPr>
                <w:rFonts w:asciiTheme="minorHAnsi" w:hAnsiTheme="minorHAnsi" w:cs="Arial"/>
                <w:sz w:val="22"/>
                <w:szCs w:val="22"/>
              </w:rPr>
            </w:pPr>
            <w:r w:rsidRPr="00730567">
              <w:rPr>
                <w:rFonts w:asciiTheme="minorHAnsi" w:hAnsiTheme="minorHAnsi" w:cs="Arial"/>
                <w:sz w:val="22"/>
                <w:szCs w:val="22"/>
              </w:rPr>
              <w:t>All others</w:t>
            </w:r>
          </w:p>
        </w:tc>
        <w:tc>
          <w:tcPr>
            <w:tcW w:w="1710" w:type="dxa"/>
          </w:tcPr>
          <w:p w:rsidR="00834A6F" w:rsidRPr="00730567" w:rsidRDefault="00926453" w:rsidP="004B347C">
            <w:pPr>
              <w:spacing w:before="40" w:after="40"/>
              <w:ind w:right="612"/>
              <w:jc w:val="right"/>
              <w:rPr>
                <w:rFonts w:asciiTheme="minorHAnsi" w:hAnsiTheme="minorHAnsi" w:cs="Arial"/>
                <w:sz w:val="22"/>
                <w:szCs w:val="22"/>
              </w:rPr>
            </w:pPr>
            <w:r w:rsidRPr="00730567">
              <w:rPr>
                <w:rFonts w:asciiTheme="minorHAnsi" w:hAnsiTheme="minorHAnsi" w:cs="Arial"/>
                <w:sz w:val="22"/>
                <w:szCs w:val="22"/>
              </w:rPr>
              <w:t>104</w:t>
            </w:r>
          </w:p>
        </w:tc>
        <w:tc>
          <w:tcPr>
            <w:tcW w:w="1890" w:type="dxa"/>
          </w:tcPr>
          <w:p w:rsidR="00834A6F" w:rsidRPr="00730567" w:rsidRDefault="00874493" w:rsidP="004B347C">
            <w:pPr>
              <w:spacing w:before="40" w:after="40"/>
              <w:ind w:right="792"/>
              <w:jc w:val="right"/>
              <w:rPr>
                <w:rFonts w:asciiTheme="minorHAnsi" w:hAnsiTheme="minorHAnsi" w:cs="Arial"/>
                <w:sz w:val="22"/>
                <w:szCs w:val="22"/>
              </w:rPr>
            </w:pPr>
            <w:r w:rsidRPr="00730567">
              <w:rPr>
                <w:rFonts w:asciiTheme="minorHAnsi" w:hAnsiTheme="minorHAnsi" w:cs="Arial"/>
                <w:sz w:val="22"/>
                <w:szCs w:val="22"/>
              </w:rPr>
              <w:t>3</w:t>
            </w:r>
            <w:r w:rsidR="00926453" w:rsidRPr="00730567">
              <w:rPr>
                <w:rFonts w:asciiTheme="minorHAnsi" w:hAnsiTheme="minorHAnsi" w:cs="Arial"/>
                <w:sz w:val="22"/>
                <w:szCs w:val="22"/>
              </w:rPr>
              <w:t>0</w:t>
            </w:r>
          </w:p>
        </w:tc>
      </w:tr>
      <w:tr w:rsidR="00834A6F" w:rsidTr="004B347C">
        <w:tc>
          <w:tcPr>
            <w:tcW w:w="6318" w:type="dxa"/>
          </w:tcPr>
          <w:p w:rsidR="00834A6F" w:rsidRPr="00730567" w:rsidRDefault="001F6A60" w:rsidP="004B347C">
            <w:pPr>
              <w:spacing w:before="40" w:after="40"/>
              <w:rPr>
                <w:rFonts w:asciiTheme="minorHAnsi" w:hAnsiTheme="minorHAnsi" w:cs="Arial"/>
                <w:sz w:val="22"/>
                <w:szCs w:val="22"/>
              </w:rPr>
            </w:pPr>
            <w:r w:rsidRPr="00730567">
              <w:rPr>
                <w:rFonts w:asciiTheme="minorHAnsi" w:hAnsiTheme="minorHAnsi" w:cs="Arial"/>
                <w:sz w:val="22"/>
                <w:szCs w:val="22"/>
              </w:rPr>
              <w:t xml:space="preserve"> Institutions reporting no NFR but reporting postdocs</w:t>
            </w:r>
          </w:p>
        </w:tc>
        <w:tc>
          <w:tcPr>
            <w:tcW w:w="1710" w:type="dxa"/>
          </w:tcPr>
          <w:p w:rsidR="00834A6F" w:rsidRPr="00730567" w:rsidRDefault="00926453" w:rsidP="004B347C">
            <w:pPr>
              <w:spacing w:before="40" w:after="40"/>
              <w:ind w:right="612"/>
              <w:jc w:val="right"/>
              <w:rPr>
                <w:rFonts w:asciiTheme="minorHAnsi" w:hAnsiTheme="minorHAnsi" w:cs="Arial"/>
                <w:sz w:val="22"/>
                <w:szCs w:val="22"/>
              </w:rPr>
            </w:pPr>
            <w:r w:rsidRPr="00730567">
              <w:rPr>
                <w:rFonts w:asciiTheme="minorHAnsi" w:hAnsiTheme="minorHAnsi" w:cs="Arial"/>
                <w:sz w:val="22"/>
                <w:szCs w:val="22"/>
              </w:rPr>
              <w:t xml:space="preserve">  70</w:t>
            </w:r>
          </w:p>
        </w:tc>
        <w:tc>
          <w:tcPr>
            <w:tcW w:w="1890" w:type="dxa"/>
          </w:tcPr>
          <w:p w:rsidR="00834A6F" w:rsidRPr="00730567" w:rsidRDefault="00874493" w:rsidP="004B347C">
            <w:pPr>
              <w:spacing w:before="40" w:after="40"/>
              <w:ind w:right="792"/>
              <w:jc w:val="right"/>
              <w:rPr>
                <w:rFonts w:asciiTheme="minorHAnsi" w:hAnsiTheme="minorHAnsi" w:cs="Arial"/>
                <w:sz w:val="22"/>
                <w:szCs w:val="22"/>
              </w:rPr>
            </w:pPr>
            <w:r w:rsidRPr="00730567">
              <w:rPr>
                <w:rFonts w:asciiTheme="minorHAnsi" w:hAnsiTheme="minorHAnsi" w:cs="Arial"/>
                <w:sz w:val="22"/>
                <w:szCs w:val="22"/>
              </w:rPr>
              <w:t>3</w:t>
            </w:r>
            <w:r w:rsidR="00926453" w:rsidRPr="00730567">
              <w:rPr>
                <w:rFonts w:asciiTheme="minorHAnsi" w:hAnsiTheme="minorHAnsi" w:cs="Arial"/>
                <w:sz w:val="22"/>
                <w:szCs w:val="22"/>
              </w:rPr>
              <w:t>0</w:t>
            </w:r>
          </w:p>
        </w:tc>
      </w:tr>
      <w:tr w:rsidR="00DA723E" w:rsidTr="004B347C">
        <w:tc>
          <w:tcPr>
            <w:tcW w:w="6318" w:type="dxa"/>
            <w:shd w:val="clear" w:color="auto" w:fill="F2F2F2" w:themeFill="background1" w:themeFillShade="F2"/>
          </w:tcPr>
          <w:p w:rsidR="00834A6F" w:rsidRPr="00730567" w:rsidRDefault="00834A6F" w:rsidP="00730567">
            <w:pPr>
              <w:spacing w:before="40" w:after="40"/>
              <w:rPr>
                <w:rFonts w:asciiTheme="minorHAnsi" w:hAnsiTheme="minorHAnsi" w:cs="Arial"/>
                <w:sz w:val="22"/>
                <w:szCs w:val="22"/>
              </w:rPr>
            </w:pPr>
            <w:r w:rsidRPr="00730567">
              <w:rPr>
                <w:rFonts w:asciiTheme="minorHAnsi" w:hAnsiTheme="minorHAnsi" w:cs="Arial"/>
                <w:sz w:val="22"/>
                <w:szCs w:val="22"/>
              </w:rPr>
              <w:t>Total</w:t>
            </w:r>
          </w:p>
        </w:tc>
        <w:tc>
          <w:tcPr>
            <w:tcW w:w="1710" w:type="dxa"/>
            <w:shd w:val="clear" w:color="auto" w:fill="F2F2F2" w:themeFill="background1" w:themeFillShade="F2"/>
          </w:tcPr>
          <w:p w:rsidR="00834A6F" w:rsidRPr="00730567" w:rsidRDefault="00926453" w:rsidP="00730567">
            <w:pPr>
              <w:spacing w:before="40" w:after="40"/>
              <w:ind w:right="612"/>
              <w:jc w:val="right"/>
              <w:rPr>
                <w:rFonts w:asciiTheme="minorHAnsi" w:hAnsiTheme="minorHAnsi" w:cs="Arial"/>
                <w:sz w:val="22"/>
                <w:szCs w:val="22"/>
              </w:rPr>
            </w:pPr>
            <w:r w:rsidRPr="00730567">
              <w:rPr>
                <w:rFonts w:asciiTheme="minorHAnsi" w:hAnsiTheme="minorHAnsi" w:cs="Arial"/>
                <w:sz w:val="22"/>
                <w:szCs w:val="22"/>
              </w:rPr>
              <w:t>340</w:t>
            </w:r>
          </w:p>
        </w:tc>
        <w:tc>
          <w:tcPr>
            <w:tcW w:w="1890" w:type="dxa"/>
            <w:shd w:val="clear" w:color="auto" w:fill="F2F2F2" w:themeFill="background1" w:themeFillShade="F2"/>
          </w:tcPr>
          <w:p w:rsidR="00834A6F" w:rsidRPr="00730567" w:rsidRDefault="00874493" w:rsidP="00730567">
            <w:pPr>
              <w:spacing w:before="40" w:after="40"/>
              <w:ind w:right="792"/>
              <w:jc w:val="right"/>
              <w:rPr>
                <w:rFonts w:asciiTheme="minorHAnsi" w:hAnsiTheme="minorHAnsi" w:cs="Arial"/>
                <w:sz w:val="22"/>
                <w:szCs w:val="22"/>
              </w:rPr>
            </w:pPr>
            <w:r w:rsidRPr="00730567">
              <w:rPr>
                <w:rFonts w:asciiTheme="minorHAnsi" w:hAnsiTheme="minorHAnsi" w:cs="Arial"/>
                <w:sz w:val="22"/>
                <w:szCs w:val="22"/>
              </w:rPr>
              <w:t>12</w:t>
            </w:r>
            <w:r w:rsidR="00926453" w:rsidRPr="00730567">
              <w:rPr>
                <w:rFonts w:asciiTheme="minorHAnsi" w:hAnsiTheme="minorHAnsi" w:cs="Arial"/>
                <w:sz w:val="22"/>
                <w:szCs w:val="22"/>
              </w:rPr>
              <w:t>0</w:t>
            </w:r>
          </w:p>
        </w:tc>
      </w:tr>
    </w:tbl>
    <w:p w:rsidR="00A5419F" w:rsidRDefault="00A5419F" w:rsidP="00C20E6D">
      <w:pPr>
        <w:rPr>
          <w:rFonts w:ascii="Cambria" w:hAnsi="Cambria"/>
        </w:rPr>
      </w:pPr>
    </w:p>
    <w:p w:rsidR="00A5419F" w:rsidRDefault="00310FEA" w:rsidP="00C20E6D">
      <w:pPr>
        <w:rPr>
          <w:rFonts w:ascii="Cambria" w:hAnsi="Cambria"/>
        </w:rPr>
      </w:pPr>
      <w:r>
        <w:rPr>
          <w:rFonts w:ascii="Cambria" w:hAnsi="Cambria"/>
        </w:rPr>
        <w:t>Institutions will be selected from within each group purposively</w:t>
      </w:r>
      <w:r w:rsidR="003E0843">
        <w:rPr>
          <w:rFonts w:ascii="Cambria" w:hAnsi="Cambria"/>
        </w:rPr>
        <w:t xml:space="preserve"> so that they include</w:t>
      </w:r>
      <w:r>
        <w:rPr>
          <w:rFonts w:ascii="Cambria" w:hAnsi="Cambria"/>
        </w:rPr>
        <w:t xml:space="preserve"> institutions that</w:t>
      </w:r>
      <w:r w:rsidR="00DA723E">
        <w:rPr>
          <w:rFonts w:ascii="Cambria" w:hAnsi="Cambria"/>
        </w:rPr>
        <w:t xml:space="preserve"> </w:t>
      </w:r>
      <w:r>
        <w:rPr>
          <w:rFonts w:ascii="Cambria" w:hAnsi="Cambria"/>
        </w:rPr>
        <w:t>upload data from central databases,</w:t>
      </w:r>
      <w:r w:rsidR="00874493">
        <w:rPr>
          <w:rFonts w:ascii="Cambria" w:hAnsi="Cambria"/>
        </w:rPr>
        <w:t xml:space="preserve"> </w:t>
      </w:r>
      <w:r>
        <w:rPr>
          <w:rFonts w:ascii="Cambria" w:hAnsi="Cambria"/>
        </w:rPr>
        <w:t xml:space="preserve">have </w:t>
      </w:r>
      <w:r w:rsidR="003E0843">
        <w:rPr>
          <w:rFonts w:ascii="Cambria" w:hAnsi="Cambria"/>
        </w:rPr>
        <w:t xml:space="preserve">postdoc </w:t>
      </w:r>
      <w:r>
        <w:rPr>
          <w:rFonts w:ascii="Cambria" w:hAnsi="Cambria"/>
        </w:rPr>
        <w:t xml:space="preserve">coordinators who report NFR data, or </w:t>
      </w:r>
      <w:r w:rsidR="00DA723E">
        <w:rPr>
          <w:rFonts w:ascii="Cambria" w:hAnsi="Cambria"/>
        </w:rPr>
        <w:t xml:space="preserve">have </w:t>
      </w:r>
      <w:r>
        <w:rPr>
          <w:rFonts w:ascii="Cambria" w:hAnsi="Cambria"/>
        </w:rPr>
        <w:t xml:space="preserve">unit respondents </w:t>
      </w:r>
      <w:r w:rsidR="00DA723E">
        <w:rPr>
          <w:rFonts w:ascii="Cambria" w:hAnsi="Cambria"/>
        </w:rPr>
        <w:t xml:space="preserve">who </w:t>
      </w:r>
      <w:r w:rsidR="0095669D">
        <w:rPr>
          <w:rFonts w:ascii="Cambria" w:hAnsi="Cambria"/>
        </w:rPr>
        <w:t>we</w:t>
      </w:r>
      <w:r w:rsidR="00DA723E">
        <w:rPr>
          <w:rFonts w:ascii="Cambria" w:hAnsi="Cambria"/>
        </w:rPr>
        <w:t>re delegated to report</w:t>
      </w:r>
      <w:r>
        <w:rPr>
          <w:rFonts w:ascii="Cambria" w:hAnsi="Cambria"/>
        </w:rPr>
        <w:t xml:space="preserve"> NFR data.</w:t>
      </w:r>
      <w:r w:rsidR="003E0843">
        <w:rPr>
          <w:rFonts w:ascii="Cambria" w:hAnsi="Cambria"/>
        </w:rPr>
        <w:t xml:space="preserve">  Institutions that can be included in more than one category will be eligible for selection only once, however, they will be asked all questions across categories that are relevant to their institution.  </w:t>
      </w:r>
    </w:p>
    <w:p w:rsidR="00AF1F08" w:rsidRDefault="00AF1F08" w:rsidP="00C20E6D">
      <w:pPr>
        <w:rPr>
          <w:rFonts w:ascii="Cambria" w:hAnsi="Cambria"/>
        </w:rPr>
      </w:pPr>
    </w:p>
    <w:p w:rsidR="00EC70E9" w:rsidRPr="00EC70E9" w:rsidRDefault="008D65C8" w:rsidP="00C20E6D">
      <w:pPr>
        <w:rPr>
          <w:rFonts w:ascii="Cambria" w:hAnsi="Cambria"/>
          <w:u w:val="single"/>
        </w:rPr>
      </w:pPr>
      <w:r>
        <w:rPr>
          <w:rFonts w:ascii="Cambria" w:hAnsi="Cambria"/>
          <w:u w:val="single"/>
        </w:rPr>
        <w:t xml:space="preserve">Debriefing Survey </w:t>
      </w:r>
      <w:r w:rsidR="00DA723E">
        <w:rPr>
          <w:rFonts w:ascii="Cambria" w:hAnsi="Cambria"/>
          <w:u w:val="single"/>
        </w:rPr>
        <w:t>I</w:t>
      </w:r>
      <w:r w:rsidR="00EC70E9" w:rsidRPr="00EC70E9">
        <w:rPr>
          <w:rFonts w:ascii="Cambria" w:hAnsi="Cambria"/>
          <w:u w:val="single"/>
        </w:rPr>
        <w:t>nstrument</w:t>
      </w:r>
    </w:p>
    <w:p w:rsidR="00C20E6D" w:rsidRDefault="00C20E6D" w:rsidP="00C20E6D">
      <w:pPr>
        <w:rPr>
          <w:rFonts w:ascii="Cambria" w:hAnsi="Cambria"/>
        </w:rPr>
      </w:pPr>
    </w:p>
    <w:p w:rsidR="0091698F" w:rsidRDefault="00926453" w:rsidP="00C20E6D">
      <w:pPr>
        <w:rPr>
          <w:rFonts w:ascii="Cambria" w:hAnsi="Cambria"/>
        </w:rPr>
      </w:pPr>
      <w:r>
        <w:rPr>
          <w:rFonts w:ascii="Cambria" w:hAnsi="Cambria"/>
        </w:rPr>
        <w:t>The proposed</w:t>
      </w:r>
      <w:r w:rsidR="00DA723E">
        <w:rPr>
          <w:rFonts w:ascii="Cambria" w:hAnsi="Cambria"/>
        </w:rPr>
        <w:t xml:space="preserve"> </w:t>
      </w:r>
      <w:r w:rsidR="008D65C8">
        <w:rPr>
          <w:rFonts w:ascii="Cambria" w:hAnsi="Cambria"/>
        </w:rPr>
        <w:t xml:space="preserve">debriefing </w:t>
      </w:r>
      <w:r w:rsidR="00DA723E">
        <w:rPr>
          <w:rFonts w:ascii="Cambria" w:hAnsi="Cambria"/>
        </w:rPr>
        <w:t>questions</w:t>
      </w:r>
      <w:r>
        <w:rPr>
          <w:rFonts w:ascii="Cambria" w:hAnsi="Cambria"/>
        </w:rPr>
        <w:t xml:space="preserve"> </w:t>
      </w:r>
      <w:r w:rsidR="00DA723E">
        <w:rPr>
          <w:rFonts w:ascii="Cambria" w:hAnsi="Cambria"/>
        </w:rPr>
        <w:t>are</w:t>
      </w:r>
      <w:r>
        <w:rPr>
          <w:rFonts w:ascii="Cambria" w:hAnsi="Cambria"/>
        </w:rPr>
        <w:t xml:space="preserve"> included as Attachment 2. </w:t>
      </w:r>
      <w:r w:rsidR="00310FEA">
        <w:rPr>
          <w:rFonts w:ascii="Cambria" w:hAnsi="Cambria"/>
        </w:rPr>
        <w:t>To limit respondent burden, i</w:t>
      </w:r>
      <w:r w:rsidR="0091698F">
        <w:rPr>
          <w:rFonts w:ascii="Cambria" w:hAnsi="Cambria"/>
        </w:rPr>
        <w:t xml:space="preserve">tems will be tailored for each </w:t>
      </w:r>
      <w:r w:rsidR="00DA723E">
        <w:rPr>
          <w:rFonts w:ascii="Cambria" w:hAnsi="Cambria"/>
        </w:rPr>
        <w:t xml:space="preserve">group </w:t>
      </w:r>
      <w:r w:rsidR="00310FEA">
        <w:rPr>
          <w:rFonts w:ascii="Cambria" w:hAnsi="Cambria"/>
        </w:rPr>
        <w:t>of respondent</w:t>
      </w:r>
      <w:r w:rsidR="00516859">
        <w:rPr>
          <w:rFonts w:ascii="Cambria" w:hAnsi="Cambria"/>
        </w:rPr>
        <w:t>s</w:t>
      </w:r>
      <w:r w:rsidR="0091698F">
        <w:rPr>
          <w:rFonts w:ascii="Cambria" w:hAnsi="Cambria"/>
        </w:rPr>
        <w:t>.</w:t>
      </w:r>
      <w:r w:rsidR="00526108">
        <w:rPr>
          <w:rFonts w:ascii="Cambria" w:hAnsi="Cambria"/>
        </w:rPr>
        <w:t xml:space="preserve"> For institutions that use unit respondents, a single unit respondent will be selected and will be asked about the NFRs in that unit; references to “institution” will be changed to “unit” for this group.</w:t>
      </w:r>
    </w:p>
    <w:p w:rsidR="0091698F" w:rsidRDefault="0091698F" w:rsidP="00C20E6D">
      <w:pPr>
        <w:rPr>
          <w:rFonts w:ascii="Cambria" w:hAnsi="Cambria"/>
        </w:rPr>
      </w:pPr>
    </w:p>
    <w:p w:rsidR="0091698F" w:rsidRPr="00310FEA" w:rsidRDefault="00AF1F08" w:rsidP="00C20E6D">
      <w:pPr>
        <w:rPr>
          <w:rFonts w:ascii="Cambria" w:hAnsi="Cambria"/>
          <w:u w:val="single"/>
        </w:rPr>
      </w:pPr>
      <w:r w:rsidRPr="00310FEA">
        <w:rPr>
          <w:rFonts w:ascii="Cambria" w:hAnsi="Cambria"/>
          <w:u w:val="single"/>
        </w:rPr>
        <w:t xml:space="preserve">Contacts with </w:t>
      </w:r>
      <w:r w:rsidR="008D65C8">
        <w:rPr>
          <w:rFonts w:ascii="Cambria" w:hAnsi="Cambria"/>
          <w:u w:val="single"/>
        </w:rPr>
        <w:t>Selected Coordinators</w:t>
      </w:r>
    </w:p>
    <w:p w:rsidR="0091698F" w:rsidRDefault="0091698F" w:rsidP="00C20E6D">
      <w:pPr>
        <w:rPr>
          <w:rFonts w:ascii="Cambria" w:hAnsi="Cambria"/>
        </w:rPr>
      </w:pPr>
    </w:p>
    <w:p w:rsidR="00310FEA" w:rsidRDefault="00310FEA" w:rsidP="00C20E6D">
      <w:pPr>
        <w:rPr>
          <w:rFonts w:ascii="Cambria" w:hAnsi="Cambria"/>
        </w:rPr>
      </w:pPr>
      <w:r>
        <w:rPr>
          <w:rFonts w:ascii="Cambria" w:hAnsi="Cambria"/>
        </w:rPr>
        <w:t xml:space="preserve">Selected </w:t>
      </w:r>
      <w:r w:rsidR="008D65C8">
        <w:rPr>
          <w:rFonts w:ascii="Cambria" w:hAnsi="Cambria"/>
        </w:rPr>
        <w:t>coordinators</w:t>
      </w:r>
      <w:r>
        <w:rPr>
          <w:rFonts w:ascii="Cambria" w:hAnsi="Cambria"/>
        </w:rPr>
        <w:t xml:space="preserve"> will be sent an email from the NSF</w:t>
      </w:r>
      <w:r w:rsidR="008D65C8">
        <w:rPr>
          <w:rFonts w:ascii="Cambria" w:hAnsi="Cambria"/>
        </w:rPr>
        <w:t xml:space="preserve"> GSS</w:t>
      </w:r>
      <w:r>
        <w:rPr>
          <w:rFonts w:ascii="Cambria" w:hAnsi="Cambria"/>
        </w:rPr>
        <w:t xml:space="preserve"> Survey Manager, asking them to respond to the </w:t>
      </w:r>
      <w:r w:rsidR="008D65C8">
        <w:rPr>
          <w:rFonts w:ascii="Cambria" w:hAnsi="Cambria"/>
        </w:rPr>
        <w:t xml:space="preserve">debriefing </w:t>
      </w:r>
      <w:r>
        <w:rPr>
          <w:rFonts w:ascii="Cambria" w:hAnsi="Cambria"/>
        </w:rPr>
        <w:t xml:space="preserve">survey </w:t>
      </w:r>
      <w:r w:rsidR="008D65C8">
        <w:rPr>
          <w:rFonts w:ascii="Cambria" w:hAnsi="Cambria"/>
        </w:rPr>
        <w:t>via</w:t>
      </w:r>
      <w:r>
        <w:rPr>
          <w:rFonts w:ascii="Cambria" w:hAnsi="Cambria"/>
        </w:rPr>
        <w:t xml:space="preserve"> the link provided in the email.  The draft email is provided in Attachment 3.</w:t>
      </w:r>
      <w:r w:rsidR="00526108">
        <w:rPr>
          <w:rFonts w:ascii="Cambria" w:hAnsi="Cambria"/>
        </w:rPr>
        <w:t xml:space="preserve">  </w:t>
      </w:r>
      <w:r w:rsidR="008D65C8">
        <w:rPr>
          <w:rFonts w:ascii="Cambria" w:hAnsi="Cambria"/>
        </w:rPr>
        <w:t>Coordinators</w:t>
      </w:r>
      <w:r w:rsidR="00EA0DC4">
        <w:rPr>
          <w:rFonts w:ascii="Cambria" w:hAnsi="Cambria"/>
        </w:rPr>
        <w:t xml:space="preserve"> will be given four</w:t>
      </w:r>
      <w:r w:rsidR="00526108">
        <w:rPr>
          <w:rFonts w:ascii="Cambria" w:hAnsi="Cambria"/>
        </w:rPr>
        <w:t xml:space="preserve"> weeks to complete the survey</w:t>
      </w:r>
      <w:r w:rsidR="00EA0DC4">
        <w:rPr>
          <w:rFonts w:ascii="Cambria" w:hAnsi="Cambria"/>
        </w:rPr>
        <w:t xml:space="preserve">; a reminder email will </w:t>
      </w:r>
      <w:r w:rsidR="008D65C8">
        <w:rPr>
          <w:rFonts w:ascii="Cambria" w:hAnsi="Cambria"/>
        </w:rPr>
        <w:t xml:space="preserve">be sent </w:t>
      </w:r>
      <w:r w:rsidR="00EA0DC4">
        <w:rPr>
          <w:rFonts w:ascii="Cambria" w:hAnsi="Cambria"/>
        </w:rPr>
        <w:t>one week before the deadline</w:t>
      </w:r>
      <w:r w:rsidR="005A0E9C">
        <w:rPr>
          <w:rFonts w:ascii="Cambria" w:hAnsi="Cambria"/>
        </w:rPr>
        <w:t>, then</w:t>
      </w:r>
      <w:r w:rsidR="008D65C8">
        <w:rPr>
          <w:rFonts w:ascii="Cambria" w:hAnsi="Cambria"/>
        </w:rPr>
        <w:t xml:space="preserve"> telephone reminders and follow-ups will be made</w:t>
      </w:r>
      <w:r w:rsidR="00526108">
        <w:rPr>
          <w:rFonts w:ascii="Cambria" w:hAnsi="Cambria"/>
        </w:rPr>
        <w:t>.</w:t>
      </w:r>
    </w:p>
    <w:p w:rsidR="00310FEA" w:rsidRPr="00C20E6D" w:rsidRDefault="00310FEA" w:rsidP="00C20E6D">
      <w:pPr>
        <w:rPr>
          <w:rFonts w:ascii="Cambria" w:hAnsi="Cambria"/>
        </w:rPr>
      </w:pPr>
    </w:p>
    <w:p w:rsidR="00EC70E9" w:rsidRDefault="00EC70E9" w:rsidP="00C20E6D">
      <w:pPr>
        <w:rPr>
          <w:rFonts w:ascii="Cambria" w:hAnsi="Cambria"/>
          <w:b/>
        </w:rPr>
      </w:pPr>
      <w:r w:rsidRPr="00EC70E9">
        <w:rPr>
          <w:rFonts w:ascii="Cambria" w:hAnsi="Cambria"/>
          <w:b/>
        </w:rPr>
        <w:t>Schedule</w:t>
      </w:r>
    </w:p>
    <w:p w:rsidR="00EC70E9" w:rsidRPr="00EC70E9" w:rsidRDefault="00EC70E9" w:rsidP="00C20E6D">
      <w:pPr>
        <w:rPr>
          <w:rFonts w:ascii="Cambria" w:hAnsi="Cambria"/>
          <w:b/>
        </w:rPr>
      </w:pPr>
    </w:p>
    <w:p w:rsidR="00C20E6D" w:rsidRPr="00C20E6D" w:rsidRDefault="00C20E6D" w:rsidP="00730567">
      <w:pPr>
        <w:spacing w:after="120"/>
        <w:rPr>
          <w:rFonts w:ascii="Cambria" w:hAnsi="Cambria"/>
        </w:rPr>
      </w:pPr>
      <w:r w:rsidRPr="00C20E6D">
        <w:rPr>
          <w:rFonts w:ascii="Cambria" w:hAnsi="Cambria"/>
        </w:rPr>
        <w:t xml:space="preserve">The </w:t>
      </w:r>
      <w:r w:rsidR="004F3D63">
        <w:rPr>
          <w:rFonts w:ascii="Cambria" w:hAnsi="Cambria"/>
        </w:rPr>
        <w:t xml:space="preserve">tentative </w:t>
      </w:r>
      <w:r w:rsidRPr="00C20E6D">
        <w:rPr>
          <w:rFonts w:ascii="Cambria" w:hAnsi="Cambria"/>
        </w:rPr>
        <w:t xml:space="preserve">schedule for this </w:t>
      </w:r>
      <w:r w:rsidR="004F3D63">
        <w:rPr>
          <w:rFonts w:ascii="Cambria" w:hAnsi="Cambria"/>
        </w:rPr>
        <w:t xml:space="preserve">methodological </w:t>
      </w:r>
      <w:r w:rsidRPr="00C20E6D">
        <w:rPr>
          <w:rFonts w:ascii="Cambria" w:hAnsi="Cambria"/>
        </w:rPr>
        <w:t>work is as follows: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6906"/>
      </w:tblGrid>
      <w:tr w:rsidR="00C20E6D" w:rsidRPr="00C20E6D" w:rsidTr="00B938D3">
        <w:tc>
          <w:tcPr>
            <w:tcW w:w="2994" w:type="dxa"/>
          </w:tcPr>
          <w:p w:rsidR="00C20E6D" w:rsidRPr="00C20E6D" w:rsidRDefault="003B7163" w:rsidP="005909C6">
            <w:pPr>
              <w:rPr>
                <w:rFonts w:ascii="Cambria" w:hAnsi="Cambria"/>
                <w:b/>
                <w:bCs/>
              </w:rPr>
            </w:pPr>
            <w:r>
              <w:rPr>
                <w:rFonts w:ascii="Cambria" w:hAnsi="Cambria"/>
                <w:b/>
                <w:bCs/>
              </w:rPr>
              <w:t xml:space="preserve">Proposed </w:t>
            </w:r>
            <w:r w:rsidR="00C20E6D" w:rsidRPr="00C20E6D">
              <w:rPr>
                <w:rFonts w:ascii="Cambria" w:hAnsi="Cambria"/>
                <w:b/>
                <w:bCs/>
              </w:rPr>
              <w:t>Date</w:t>
            </w:r>
          </w:p>
        </w:tc>
        <w:tc>
          <w:tcPr>
            <w:tcW w:w="6906" w:type="dxa"/>
          </w:tcPr>
          <w:p w:rsidR="00C20E6D" w:rsidRPr="00C20E6D" w:rsidRDefault="00F02B54" w:rsidP="005909C6">
            <w:pPr>
              <w:rPr>
                <w:rFonts w:ascii="Cambria" w:hAnsi="Cambria"/>
                <w:b/>
                <w:bCs/>
              </w:rPr>
            </w:pPr>
            <w:r>
              <w:rPr>
                <w:rFonts w:ascii="Cambria" w:hAnsi="Cambria"/>
                <w:b/>
                <w:bCs/>
              </w:rPr>
              <w:t>Activity or D</w:t>
            </w:r>
            <w:r w:rsidR="00C20E6D" w:rsidRPr="00C20E6D">
              <w:rPr>
                <w:rFonts w:ascii="Cambria" w:hAnsi="Cambria"/>
                <w:b/>
                <w:bCs/>
              </w:rPr>
              <w:t>eliverable</w:t>
            </w:r>
          </w:p>
        </w:tc>
      </w:tr>
      <w:tr w:rsidR="004E2BFD" w:rsidRPr="00C20E6D" w:rsidTr="00B938D3">
        <w:tc>
          <w:tcPr>
            <w:tcW w:w="2994" w:type="dxa"/>
          </w:tcPr>
          <w:p w:rsidR="004E2BFD" w:rsidRDefault="004B347C" w:rsidP="00FD0052">
            <w:pPr>
              <w:rPr>
                <w:rFonts w:ascii="Cambria" w:hAnsi="Cambria"/>
              </w:rPr>
            </w:pPr>
            <w:r>
              <w:rPr>
                <w:rFonts w:ascii="Cambria" w:hAnsi="Cambria"/>
              </w:rPr>
              <w:t>May 13</w:t>
            </w:r>
            <w:r w:rsidR="00B26B0B">
              <w:rPr>
                <w:rFonts w:ascii="Cambria" w:hAnsi="Cambria"/>
              </w:rPr>
              <w:t>, 2013</w:t>
            </w:r>
          </w:p>
        </w:tc>
        <w:tc>
          <w:tcPr>
            <w:tcW w:w="6906" w:type="dxa"/>
          </w:tcPr>
          <w:p w:rsidR="004E2BFD" w:rsidRPr="00C20E6D" w:rsidRDefault="004E2BFD" w:rsidP="005909C6">
            <w:pPr>
              <w:rPr>
                <w:rFonts w:ascii="Cambria" w:hAnsi="Cambria"/>
              </w:rPr>
            </w:pPr>
            <w:r>
              <w:rPr>
                <w:rFonts w:ascii="Cambria" w:hAnsi="Cambria"/>
              </w:rPr>
              <w:t>OMB submission for approval</w:t>
            </w:r>
          </w:p>
        </w:tc>
      </w:tr>
      <w:tr w:rsidR="00983FE1" w:rsidRPr="00C20E6D" w:rsidTr="00B938D3">
        <w:tc>
          <w:tcPr>
            <w:tcW w:w="2994" w:type="dxa"/>
          </w:tcPr>
          <w:p w:rsidR="00983FE1" w:rsidRDefault="00983FE1" w:rsidP="004B347C">
            <w:pPr>
              <w:rPr>
                <w:rFonts w:ascii="Cambria" w:hAnsi="Cambria"/>
              </w:rPr>
            </w:pPr>
            <w:r>
              <w:rPr>
                <w:rFonts w:ascii="Cambria" w:hAnsi="Cambria"/>
              </w:rPr>
              <w:t xml:space="preserve">June </w:t>
            </w:r>
            <w:r w:rsidR="004B347C">
              <w:rPr>
                <w:rFonts w:ascii="Cambria" w:hAnsi="Cambria"/>
              </w:rPr>
              <w:t>3</w:t>
            </w:r>
            <w:r>
              <w:rPr>
                <w:rFonts w:ascii="Cambria" w:hAnsi="Cambria"/>
              </w:rPr>
              <w:t>, 2013</w:t>
            </w:r>
          </w:p>
        </w:tc>
        <w:tc>
          <w:tcPr>
            <w:tcW w:w="6906" w:type="dxa"/>
          </w:tcPr>
          <w:p w:rsidR="00983FE1" w:rsidRPr="00C20E6D" w:rsidRDefault="00983FE1" w:rsidP="005909C6">
            <w:pPr>
              <w:rPr>
                <w:rFonts w:ascii="Cambria" w:hAnsi="Cambria"/>
              </w:rPr>
            </w:pPr>
            <w:r w:rsidRPr="00C20E6D">
              <w:rPr>
                <w:rFonts w:ascii="Cambria" w:hAnsi="Cambria"/>
              </w:rPr>
              <w:t xml:space="preserve">OMB clearance </w:t>
            </w:r>
          </w:p>
        </w:tc>
      </w:tr>
      <w:tr w:rsidR="00983FE1" w:rsidRPr="00C20E6D" w:rsidTr="00B938D3">
        <w:tc>
          <w:tcPr>
            <w:tcW w:w="2994" w:type="dxa"/>
          </w:tcPr>
          <w:p w:rsidR="00983FE1" w:rsidRDefault="00983FE1" w:rsidP="004B347C">
            <w:pPr>
              <w:rPr>
                <w:rFonts w:ascii="Cambria" w:hAnsi="Cambria"/>
              </w:rPr>
            </w:pPr>
            <w:r>
              <w:rPr>
                <w:rFonts w:ascii="Cambria" w:hAnsi="Cambria"/>
              </w:rPr>
              <w:t>June</w:t>
            </w:r>
            <w:r w:rsidR="004B347C">
              <w:rPr>
                <w:rFonts w:ascii="Cambria" w:hAnsi="Cambria"/>
              </w:rPr>
              <w:t xml:space="preserve"> 17</w:t>
            </w:r>
            <w:r>
              <w:rPr>
                <w:rFonts w:ascii="Cambria" w:hAnsi="Cambria"/>
              </w:rPr>
              <w:t>, 2013</w:t>
            </w:r>
          </w:p>
        </w:tc>
        <w:tc>
          <w:tcPr>
            <w:tcW w:w="6906" w:type="dxa"/>
          </w:tcPr>
          <w:p w:rsidR="00983FE1" w:rsidRPr="00C20E6D" w:rsidRDefault="00983FE1" w:rsidP="004E2BFD">
            <w:pPr>
              <w:rPr>
                <w:rFonts w:ascii="Cambria" w:hAnsi="Cambria"/>
              </w:rPr>
            </w:pPr>
            <w:r>
              <w:rPr>
                <w:rFonts w:ascii="Cambria" w:hAnsi="Cambria"/>
              </w:rPr>
              <w:t xml:space="preserve">Finalize debriefing survey web instrument </w:t>
            </w:r>
          </w:p>
        </w:tc>
      </w:tr>
      <w:tr w:rsidR="00983FE1" w:rsidRPr="00C20E6D" w:rsidTr="00B938D3">
        <w:tc>
          <w:tcPr>
            <w:tcW w:w="2994" w:type="dxa"/>
          </w:tcPr>
          <w:p w:rsidR="00983FE1" w:rsidRDefault="00983FE1" w:rsidP="004B347C">
            <w:pPr>
              <w:rPr>
                <w:rFonts w:ascii="Cambria" w:hAnsi="Cambria"/>
              </w:rPr>
            </w:pPr>
            <w:r>
              <w:rPr>
                <w:rFonts w:ascii="Cambria" w:hAnsi="Cambria"/>
              </w:rPr>
              <w:t xml:space="preserve">June </w:t>
            </w:r>
            <w:r w:rsidR="004B347C">
              <w:rPr>
                <w:rFonts w:ascii="Cambria" w:hAnsi="Cambria"/>
              </w:rPr>
              <w:t>24</w:t>
            </w:r>
            <w:r>
              <w:rPr>
                <w:rFonts w:ascii="Cambria" w:hAnsi="Cambria"/>
              </w:rPr>
              <w:t>, 2013</w:t>
            </w:r>
          </w:p>
        </w:tc>
        <w:tc>
          <w:tcPr>
            <w:tcW w:w="6906" w:type="dxa"/>
          </w:tcPr>
          <w:p w:rsidR="00983FE1" w:rsidRPr="00C20E6D" w:rsidRDefault="00983FE1" w:rsidP="00B26B0B">
            <w:pPr>
              <w:rPr>
                <w:rFonts w:ascii="Cambria" w:hAnsi="Cambria"/>
              </w:rPr>
            </w:pPr>
            <w:r>
              <w:rPr>
                <w:rFonts w:ascii="Cambria" w:hAnsi="Cambria"/>
              </w:rPr>
              <w:t>Send e</w:t>
            </w:r>
            <w:r w:rsidRPr="00C20E6D">
              <w:rPr>
                <w:rFonts w:ascii="Cambria" w:hAnsi="Cambria"/>
              </w:rPr>
              <w:t xml:space="preserve">mails to </w:t>
            </w:r>
            <w:r>
              <w:rPr>
                <w:rFonts w:ascii="Cambria" w:hAnsi="Cambria"/>
              </w:rPr>
              <w:t>selected coordinators</w:t>
            </w:r>
          </w:p>
        </w:tc>
      </w:tr>
      <w:tr w:rsidR="00983FE1" w:rsidRPr="00C20E6D" w:rsidTr="00B938D3">
        <w:tc>
          <w:tcPr>
            <w:tcW w:w="2994" w:type="dxa"/>
          </w:tcPr>
          <w:p w:rsidR="00983FE1" w:rsidRDefault="00983FE1" w:rsidP="004B347C">
            <w:pPr>
              <w:rPr>
                <w:rFonts w:ascii="Cambria" w:hAnsi="Cambria"/>
              </w:rPr>
            </w:pPr>
            <w:r>
              <w:rPr>
                <w:rFonts w:ascii="Cambria" w:hAnsi="Cambria"/>
              </w:rPr>
              <w:t xml:space="preserve">July </w:t>
            </w:r>
            <w:r w:rsidR="004B347C">
              <w:rPr>
                <w:rFonts w:ascii="Cambria" w:hAnsi="Cambria"/>
              </w:rPr>
              <w:t>8</w:t>
            </w:r>
            <w:r>
              <w:rPr>
                <w:rFonts w:ascii="Cambria" w:hAnsi="Cambria"/>
              </w:rPr>
              <w:t>, 2013</w:t>
            </w:r>
          </w:p>
        </w:tc>
        <w:tc>
          <w:tcPr>
            <w:tcW w:w="6906" w:type="dxa"/>
          </w:tcPr>
          <w:p w:rsidR="00983FE1" w:rsidRPr="00C20E6D" w:rsidRDefault="00983FE1" w:rsidP="00F02B54">
            <w:pPr>
              <w:rPr>
                <w:rFonts w:ascii="Cambria" w:hAnsi="Cambria"/>
              </w:rPr>
            </w:pPr>
            <w:r w:rsidRPr="00C20E6D">
              <w:rPr>
                <w:rFonts w:ascii="Cambria" w:hAnsi="Cambria"/>
              </w:rPr>
              <w:t>Begin phone prompts, answer questions</w:t>
            </w:r>
          </w:p>
        </w:tc>
      </w:tr>
      <w:tr w:rsidR="00983FE1" w:rsidRPr="00C20E6D" w:rsidTr="00B938D3">
        <w:tc>
          <w:tcPr>
            <w:tcW w:w="2994" w:type="dxa"/>
          </w:tcPr>
          <w:p w:rsidR="00983FE1" w:rsidRDefault="004B347C">
            <w:pPr>
              <w:rPr>
                <w:rFonts w:ascii="Cambria" w:hAnsi="Cambria"/>
              </w:rPr>
            </w:pPr>
            <w:r>
              <w:rPr>
                <w:rFonts w:ascii="Cambria" w:hAnsi="Cambria"/>
              </w:rPr>
              <w:t>July 2</w:t>
            </w:r>
            <w:r w:rsidR="00983FE1">
              <w:rPr>
                <w:rFonts w:ascii="Cambria" w:hAnsi="Cambria"/>
              </w:rPr>
              <w:t>2, 2013</w:t>
            </w:r>
          </w:p>
        </w:tc>
        <w:tc>
          <w:tcPr>
            <w:tcW w:w="6906" w:type="dxa"/>
          </w:tcPr>
          <w:p w:rsidR="00983FE1" w:rsidRPr="00C20E6D" w:rsidRDefault="00983FE1" w:rsidP="00FD0052">
            <w:pPr>
              <w:rPr>
                <w:rFonts w:ascii="Cambria" w:hAnsi="Cambria"/>
              </w:rPr>
            </w:pPr>
            <w:r>
              <w:rPr>
                <w:rFonts w:ascii="Cambria" w:hAnsi="Cambria"/>
              </w:rPr>
              <w:t>End data collection</w:t>
            </w:r>
          </w:p>
        </w:tc>
      </w:tr>
      <w:tr w:rsidR="00983FE1" w:rsidRPr="00C20E6D" w:rsidTr="00B938D3">
        <w:tc>
          <w:tcPr>
            <w:tcW w:w="2994" w:type="dxa"/>
          </w:tcPr>
          <w:p w:rsidR="00983FE1" w:rsidRDefault="00983FE1">
            <w:pPr>
              <w:rPr>
                <w:rFonts w:ascii="Cambria" w:hAnsi="Cambria"/>
              </w:rPr>
            </w:pPr>
            <w:r>
              <w:rPr>
                <w:rFonts w:ascii="Cambria" w:hAnsi="Cambria"/>
              </w:rPr>
              <w:t>August 1</w:t>
            </w:r>
            <w:r w:rsidR="004B347C">
              <w:rPr>
                <w:rFonts w:ascii="Cambria" w:hAnsi="Cambria"/>
              </w:rPr>
              <w:t>2</w:t>
            </w:r>
            <w:r>
              <w:rPr>
                <w:rFonts w:ascii="Cambria" w:hAnsi="Cambria"/>
              </w:rPr>
              <w:t>, 2013</w:t>
            </w:r>
          </w:p>
        </w:tc>
        <w:tc>
          <w:tcPr>
            <w:tcW w:w="6906" w:type="dxa"/>
          </w:tcPr>
          <w:p w:rsidR="00983FE1" w:rsidRPr="00C20E6D" w:rsidRDefault="00983FE1" w:rsidP="00B92BF7">
            <w:pPr>
              <w:rPr>
                <w:rFonts w:ascii="Cambria" w:hAnsi="Cambria"/>
              </w:rPr>
            </w:pPr>
            <w:r>
              <w:rPr>
                <w:rFonts w:ascii="Cambria" w:hAnsi="Cambria"/>
              </w:rPr>
              <w:t xml:space="preserve">Preliminary </w:t>
            </w:r>
            <w:r w:rsidRPr="00C20E6D">
              <w:rPr>
                <w:rFonts w:ascii="Cambria" w:hAnsi="Cambria"/>
              </w:rPr>
              <w:t xml:space="preserve">report </w:t>
            </w:r>
            <w:r>
              <w:rPr>
                <w:rFonts w:ascii="Cambria" w:hAnsi="Cambria"/>
              </w:rPr>
              <w:t xml:space="preserve">delivered </w:t>
            </w:r>
            <w:r w:rsidRPr="00C20E6D">
              <w:rPr>
                <w:rFonts w:ascii="Cambria" w:hAnsi="Cambria"/>
              </w:rPr>
              <w:t>to NSF</w:t>
            </w:r>
          </w:p>
        </w:tc>
      </w:tr>
      <w:tr w:rsidR="00983FE1" w:rsidRPr="00C20E6D" w:rsidTr="00B938D3">
        <w:tc>
          <w:tcPr>
            <w:tcW w:w="2994" w:type="dxa"/>
          </w:tcPr>
          <w:p w:rsidR="00983FE1" w:rsidRDefault="00983FE1">
            <w:pPr>
              <w:rPr>
                <w:rFonts w:ascii="Cambria" w:hAnsi="Cambria"/>
              </w:rPr>
            </w:pPr>
            <w:r>
              <w:rPr>
                <w:rFonts w:ascii="Cambria" w:hAnsi="Cambria"/>
              </w:rPr>
              <w:t>August 30, 2013</w:t>
            </w:r>
          </w:p>
        </w:tc>
        <w:tc>
          <w:tcPr>
            <w:tcW w:w="6906" w:type="dxa"/>
          </w:tcPr>
          <w:p w:rsidR="00983FE1" w:rsidRPr="00C20E6D" w:rsidRDefault="00983FE1" w:rsidP="00B92BF7">
            <w:pPr>
              <w:rPr>
                <w:rFonts w:ascii="Cambria" w:hAnsi="Cambria"/>
              </w:rPr>
            </w:pPr>
            <w:r>
              <w:rPr>
                <w:rFonts w:ascii="Cambria" w:hAnsi="Cambria"/>
              </w:rPr>
              <w:t xml:space="preserve">Final </w:t>
            </w:r>
            <w:r w:rsidRPr="00C20E6D">
              <w:rPr>
                <w:rFonts w:ascii="Cambria" w:hAnsi="Cambria"/>
              </w:rPr>
              <w:t>report</w:t>
            </w:r>
            <w:r>
              <w:rPr>
                <w:rFonts w:ascii="Cambria" w:hAnsi="Cambria"/>
              </w:rPr>
              <w:t xml:space="preserve"> available to NSF</w:t>
            </w:r>
          </w:p>
        </w:tc>
      </w:tr>
    </w:tbl>
    <w:p w:rsidR="004F3D63" w:rsidRDefault="004F3D63" w:rsidP="00C20E6D">
      <w:pPr>
        <w:rPr>
          <w:rFonts w:ascii="Cambria" w:hAnsi="Cambria"/>
        </w:rPr>
      </w:pPr>
    </w:p>
    <w:p w:rsidR="004F3D63" w:rsidRPr="004F3D63" w:rsidRDefault="00310587" w:rsidP="00C20E6D">
      <w:pPr>
        <w:rPr>
          <w:rFonts w:ascii="Cambria" w:hAnsi="Cambria"/>
          <w:b/>
        </w:rPr>
      </w:pPr>
      <w:r w:rsidRPr="00310587">
        <w:rPr>
          <w:rFonts w:ascii="Cambria" w:hAnsi="Cambria"/>
          <w:b/>
        </w:rPr>
        <w:t>Response Burden</w:t>
      </w:r>
    </w:p>
    <w:p w:rsidR="004F3D63" w:rsidRPr="00C20E6D" w:rsidRDefault="004F3D63" w:rsidP="00C20E6D">
      <w:pPr>
        <w:rPr>
          <w:rFonts w:ascii="Cambria" w:hAnsi="Cambria"/>
        </w:rPr>
      </w:pPr>
    </w:p>
    <w:p w:rsidR="004F5759" w:rsidRDefault="00B26B0B" w:rsidP="00983FE1">
      <w:pPr>
        <w:spacing w:after="120"/>
        <w:rPr>
          <w:rFonts w:ascii="Cambria" w:hAnsi="Cambria"/>
        </w:rPr>
      </w:pPr>
      <w:r>
        <w:rPr>
          <w:rFonts w:ascii="Cambria" w:hAnsi="Cambria"/>
        </w:rPr>
        <w:t>We estimate approximately 2</w:t>
      </w:r>
      <w:r w:rsidR="004F5759">
        <w:rPr>
          <w:rFonts w:ascii="Cambria" w:hAnsi="Cambria"/>
        </w:rPr>
        <w:t>4</w:t>
      </w:r>
      <w:r w:rsidR="00F90B7F">
        <w:rPr>
          <w:rFonts w:ascii="Cambria" w:hAnsi="Cambria"/>
        </w:rPr>
        <w:t xml:space="preserve"> burden hours </w:t>
      </w:r>
      <w:r w:rsidR="00516859">
        <w:rPr>
          <w:rFonts w:ascii="Cambria" w:hAnsi="Cambria"/>
        </w:rPr>
        <w:t xml:space="preserve">will be </w:t>
      </w:r>
      <w:r w:rsidR="00276205">
        <w:rPr>
          <w:rFonts w:ascii="Cambria" w:hAnsi="Cambria"/>
        </w:rPr>
        <w:t>required</w:t>
      </w:r>
      <w:r w:rsidR="00516859">
        <w:rPr>
          <w:rFonts w:ascii="Cambria" w:hAnsi="Cambria"/>
        </w:rPr>
        <w:t xml:space="preserve"> </w:t>
      </w:r>
      <w:r w:rsidR="00F90B7F">
        <w:rPr>
          <w:rFonts w:ascii="Cambria" w:hAnsi="Cambria"/>
        </w:rPr>
        <w:t>fo</w:t>
      </w:r>
      <w:r>
        <w:rPr>
          <w:rFonts w:ascii="Cambria" w:hAnsi="Cambria"/>
        </w:rPr>
        <w:t xml:space="preserve">r this </w:t>
      </w:r>
      <w:r w:rsidR="008D65C8">
        <w:rPr>
          <w:rFonts w:ascii="Cambria" w:hAnsi="Cambria"/>
        </w:rPr>
        <w:t>research study</w:t>
      </w:r>
      <w:r>
        <w:rPr>
          <w:rFonts w:ascii="Cambria" w:hAnsi="Cambria"/>
        </w:rPr>
        <w:t xml:space="preserve">: </w:t>
      </w:r>
    </w:p>
    <w:p w:rsidR="004F5759" w:rsidRDefault="004F5759" w:rsidP="008447B8">
      <w:pPr>
        <w:pStyle w:val="ListParagraph"/>
        <w:numPr>
          <w:ilvl w:val="0"/>
          <w:numId w:val="33"/>
        </w:numPr>
        <w:rPr>
          <w:rFonts w:ascii="Cambria" w:hAnsi="Cambria"/>
        </w:rPr>
      </w:pPr>
      <w:r>
        <w:rPr>
          <w:rFonts w:ascii="Cambria" w:hAnsi="Cambria"/>
        </w:rPr>
        <w:t>2 minutes per institution for recruiting (2min x 120 institutions = 4 hours</w:t>
      </w:r>
      <w:r w:rsidR="003A3346">
        <w:rPr>
          <w:rFonts w:ascii="Cambria" w:hAnsi="Cambria"/>
        </w:rPr>
        <w:t>)</w:t>
      </w:r>
      <w:r>
        <w:rPr>
          <w:rFonts w:ascii="Cambria" w:hAnsi="Cambria"/>
        </w:rPr>
        <w:t>.</w:t>
      </w:r>
    </w:p>
    <w:p w:rsidR="004F5759" w:rsidRDefault="00B26B0B" w:rsidP="008447B8">
      <w:pPr>
        <w:pStyle w:val="ListParagraph"/>
        <w:numPr>
          <w:ilvl w:val="0"/>
          <w:numId w:val="33"/>
        </w:numPr>
        <w:rPr>
          <w:rFonts w:ascii="Cambria" w:hAnsi="Cambria"/>
        </w:rPr>
      </w:pPr>
      <w:r w:rsidRPr="008447B8">
        <w:rPr>
          <w:rFonts w:ascii="Cambria" w:hAnsi="Cambria"/>
        </w:rPr>
        <w:t>10</w:t>
      </w:r>
      <w:r w:rsidR="00F90B7F" w:rsidRPr="008447B8">
        <w:rPr>
          <w:rFonts w:ascii="Cambria" w:hAnsi="Cambria"/>
        </w:rPr>
        <w:t xml:space="preserve"> minute </w:t>
      </w:r>
      <w:r w:rsidR="008D65C8" w:rsidRPr="008447B8">
        <w:rPr>
          <w:rFonts w:ascii="Cambria" w:hAnsi="Cambria"/>
        </w:rPr>
        <w:t xml:space="preserve">debriefing </w:t>
      </w:r>
      <w:r w:rsidR="00F90B7F" w:rsidRPr="008447B8">
        <w:rPr>
          <w:rFonts w:ascii="Cambria" w:hAnsi="Cambria"/>
        </w:rPr>
        <w:t>survey for approxi</w:t>
      </w:r>
      <w:r w:rsidRPr="008447B8">
        <w:rPr>
          <w:rFonts w:ascii="Cambria" w:hAnsi="Cambria"/>
        </w:rPr>
        <w:t xml:space="preserve">mately 30 coordinators </w:t>
      </w:r>
      <w:r w:rsidR="008D65C8" w:rsidRPr="008447B8">
        <w:rPr>
          <w:rFonts w:ascii="Cambria" w:hAnsi="Cambria"/>
        </w:rPr>
        <w:t>selected for</w:t>
      </w:r>
      <w:r w:rsidRPr="008447B8">
        <w:rPr>
          <w:rFonts w:ascii="Cambria" w:hAnsi="Cambria"/>
        </w:rPr>
        <w:t xml:space="preserve"> each of the </w:t>
      </w:r>
      <w:r w:rsidR="00526108" w:rsidRPr="008447B8">
        <w:rPr>
          <w:rFonts w:ascii="Cambria" w:hAnsi="Cambria"/>
        </w:rPr>
        <w:t>4 categories, or 120 respondent</w:t>
      </w:r>
      <w:r w:rsidRPr="008447B8">
        <w:rPr>
          <w:rFonts w:ascii="Cambria" w:hAnsi="Cambria"/>
        </w:rPr>
        <w:t>s in total</w:t>
      </w:r>
      <w:r w:rsidR="00F90B7F" w:rsidRPr="008447B8">
        <w:rPr>
          <w:rFonts w:ascii="Cambria" w:hAnsi="Cambria"/>
        </w:rPr>
        <w:t xml:space="preserve">. </w:t>
      </w:r>
    </w:p>
    <w:p w:rsidR="008447B8" w:rsidRPr="008447B8" w:rsidRDefault="008447B8" w:rsidP="008447B8">
      <w:pPr>
        <w:ind w:left="360"/>
        <w:rPr>
          <w:rFonts w:ascii="Cambria" w:hAnsi="Cambria"/>
        </w:rPr>
      </w:pPr>
    </w:p>
    <w:p w:rsidR="00F90B7F" w:rsidRPr="008447B8" w:rsidRDefault="00F90B7F" w:rsidP="004F5759">
      <w:pPr>
        <w:rPr>
          <w:rFonts w:ascii="Cambria" w:hAnsi="Cambria"/>
        </w:rPr>
      </w:pPr>
      <w:r w:rsidRPr="008447B8">
        <w:rPr>
          <w:rFonts w:ascii="Cambria" w:hAnsi="Cambria"/>
        </w:rPr>
        <w:t xml:space="preserve">This estimate is covered by the current GSS </w:t>
      </w:r>
      <w:r w:rsidR="008D65C8" w:rsidRPr="008447B8">
        <w:rPr>
          <w:rFonts w:ascii="Cambria" w:hAnsi="Cambria"/>
        </w:rPr>
        <w:t xml:space="preserve">OMB </w:t>
      </w:r>
      <w:r w:rsidRPr="008447B8">
        <w:rPr>
          <w:rFonts w:ascii="Cambria" w:hAnsi="Cambria"/>
        </w:rPr>
        <w:t>clearance</w:t>
      </w:r>
      <w:r w:rsidR="00276205" w:rsidRPr="008447B8">
        <w:rPr>
          <w:rFonts w:ascii="Cambria" w:hAnsi="Cambria"/>
        </w:rPr>
        <w:t xml:space="preserve"> (3145-0062)</w:t>
      </w:r>
      <w:r w:rsidR="008D65C8" w:rsidRPr="008447B8">
        <w:rPr>
          <w:rFonts w:ascii="Cambria" w:hAnsi="Cambria"/>
        </w:rPr>
        <w:t xml:space="preserve">, </w:t>
      </w:r>
      <w:r w:rsidRPr="008447B8">
        <w:rPr>
          <w:rFonts w:ascii="Cambria" w:hAnsi="Cambria"/>
        </w:rPr>
        <w:t>which includes 360 burden hours for future testing needs.   </w:t>
      </w:r>
    </w:p>
    <w:p w:rsidR="00DE367F" w:rsidRDefault="00DE367F" w:rsidP="009230F5">
      <w:pPr>
        <w:jc w:val="center"/>
        <w:rPr>
          <w:rStyle w:val="Heading1Char"/>
          <w:rFonts w:ascii="Calibri" w:eastAsia="Calibri" w:hAnsi="Calibri"/>
          <w:sz w:val="24"/>
          <w:szCs w:val="24"/>
        </w:rPr>
      </w:pPr>
    </w:p>
    <w:p w:rsidR="00310587" w:rsidRPr="00310587" w:rsidRDefault="00310587" w:rsidP="00310587">
      <w:pPr>
        <w:rPr>
          <w:rStyle w:val="Heading1Char"/>
          <w:rFonts w:asciiTheme="majorHAnsi" w:eastAsia="Calibri" w:hAnsiTheme="majorHAnsi"/>
          <w:sz w:val="24"/>
          <w:szCs w:val="24"/>
        </w:rPr>
      </w:pPr>
      <w:r w:rsidRPr="00310587">
        <w:rPr>
          <w:rStyle w:val="Heading1Char"/>
          <w:rFonts w:asciiTheme="majorHAnsi" w:eastAsia="Calibri" w:hAnsiTheme="majorHAnsi"/>
          <w:sz w:val="24"/>
          <w:szCs w:val="24"/>
        </w:rPr>
        <w:t>Contact Person</w:t>
      </w:r>
    </w:p>
    <w:p w:rsidR="00DE367F" w:rsidRDefault="00DE367F" w:rsidP="005A0E9C">
      <w:pPr>
        <w:rPr>
          <w:rStyle w:val="Heading1Char"/>
          <w:rFonts w:ascii="Calibri" w:eastAsia="Calibri" w:hAnsi="Calibri"/>
          <w:sz w:val="24"/>
          <w:szCs w:val="24"/>
        </w:rPr>
      </w:pPr>
    </w:p>
    <w:p w:rsidR="007C2ED5" w:rsidRDefault="00DE367F" w:rsidP="00DE367F">
      <w:pPr>
        <w:tabs>
          <w:tab w:val="left" w:pos="1080"/>
        </w:tabs>
        <w:ind w:left="1080" w:right="216" w:hanging="1080"/>
        <w:rPr>
          <w:rFonts w:ascii="Cambria" w:hAnsi="Cambria"/>
        </w:rPr>
      </w:pPr>
      <w:r w:rsidRPr="00C20E6D">
        <w:rPr>
          <w:rFonts w:ascii="Cambria" w:hAnsi="Cambria"/>
        </w:rPr>
        <w:t xml:space="preserve">Kelly Kang </w:t>
      </w:r>
      <w:r w:rsidR="007B0BAB">
        <w:rPr>
          <w:rFonts w:ascii="Cambria" w:hAnsi="Cambria"/>
        </w:rPr>
        <w:t>(</w:t>
      </w:r>
      <w:hyperlink r:id="rId10" w:history="1">
        <w:r w:rsidR="007B0BAB" w:rsidRPr="003C109D">
          <w:rPr>
            <w:rStyle w:val="Hyperlink"/>
            <w:rFonts w:ascii="Cambria" w:hAnsi="Cambria"/>
          </w:rPr>
          <w:t>kkang@nsf.gov</w:t>
        </w:r>
      </w:hyperlink>
      <w:r w:rsidR="007B0BAB">
        <w:rPr>
          <w:rFonts w:ascii="Cambria" w:hAnsi="Cambria"/>
        </w:rPr>
        <w:t>, 703-292-7796)</w:t>
      </w:r>
    </w:p>
    <w:p w:rsidR="007C2ED5" w:rsidRDefault="00DE367F" w:rsidP="00DE367F">
      <w:pPr>
        <w:tabs>
          <w:tab w:val="left" w:pos="1080"/>
        </w:tabs>
        <w:ind w:left="1080" w:right="216" w:hanging="1080"/>
        <w:rPr>
          <w:rFonts w:ascii="Cambria" w:hAnsi="Cambria"/>
        </w:rPr>
      </w:pPr>
      <w:r w:rsidRPr="00C20E6D">
        <w:rPr>
          <w:rFonts w:ascii="Cambria" w:hAnsi="Cambria"/>
        </w:rPr>
        <w:t>Human Resources Statistics</w:t>
      </w:r>
      <w:r>
        <w:rPr>
          <w:rFonts w:ascii="Cambria" w:hAnsi="Cambria"/>
        </w:rPr>
        <w:t xml:space="preserve"> Program</w:t>
      </w:r>
      <w:r w:rsidRPr="00C20E6D">
        <w:rPr>
          <w:rFonts w:ascii="Cambria" w:hAnsi="Cambria"/>
        </w:rPr>
        <w:t xml:space="preserve"> </w:t>
      </w:r>
    </w:p>
    <w:p w:rsidR="007C2ED5" w:rsidRDefault="00DE367F" w:rsidP="00DE367F">
      <w:pPr>
        <w:tabs>
          <w:tab w:val="left" w:pos="1080"/>
        </w:tabs>
        <w:ind w:left="1080" w:right="216" w:hanging="1080"/>
        <w:rPr>
          <w:rFonts w:ascii="Cambria" w:hAnsi="Cambria"/>
        </w:rPr>
      </w:pPr>
      <w:r>
        <w:rPr>
          <w:rFonts w:ascii="Cambria" w:hAnsi="Cambria"/>
        </w:rPr>
        <w:t xml:space="preserve">National Center for Science and Engineering Statistics </w:t>
      </w:r>
    </w:p>
    <w:p w:rsidR="00DE367F" w:rsidRDefault="00DE367F" w:rsidP="00DE367F">
      <w:pPr>
        <w:tabs>
          <w:tab w:val="left" w:pos="1080"/>
        </w:tabs>
        <w:ind w:left="1080" w:right="216" w:hanging="1080"/>
        <w:rPr>
          <w:rFonts w:ascii="Cambria" w:hAnsi="Cambria"/>
        </w:rPr>
      </w:pPr>
      <w:r w:rsidRPr="00C20E6D">
        <w:rPr>
          <w:rFonts w:ascii="Cambria" w:hAnsi="Cambria"/>
        </w:rPr>
        <w:t>National Science Foundation</w:t>
      </w:r>
    </w:p>
    <w:p w:rsidR="008B35CD" w:rsidRDefault="008B35CD" w:rsidP="00DE367F">
      <w:pPr>
        <w:tabs>
          <w:tab w:val="left" w:pos="1080"/>
        </w:tabs>
        <w:ind w:left="1080" w:right="216" w:hanging="1080"/>
        <w:rPr>
          <w:rFonts w:ascii="Cambria" w:hAnsi="Cambria"/>
        </w:rPr>
      </w:pPr>
    </w:p>
    <w:p w:rsidR="00310FEA" w:rsidRDefault="00146D30" w:rsidP="00146D30">
      <w:pPr>
        <w:pStyle w:val="Heading1"/>
      </w:pPr>
      <w:r>
        <w:t xml:space="preserve"> </w:t>
      </w:r>
    </w:p>
    <w:p w:rsidR="00310FEA" w:rsidRPr="00310FEA" w:rsidRDefault="00310FEA" w:rsidP="00310FEA"/>
    <w:sectPr w:rsidR="00310FEA" w:rsidRPr="00310FEA" w:rsidSect="009042D1">
      <w:footerReference w:type="default" r:id="rId11"/>
      <w:pgSz w:w="12240" w:h="15840" w:code="1"/>
      <w:pgMar w:top="1008" w:right="1152" w:bottom="720"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28" w:rsidRDefault="00C11C28" w:rsidP="004B7A1A">
      <w:r>
        <w:separator/>
      </w:r>
    </w:p>
  </w:endnote>
  <w:endnote w:type="continuationSeparator" w:id="0">
    <w:p w:rsidR="00C11C28" w:rsidRDefault="00C11C28" w:rsidP="004B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F0" w:rsidRPr="00C20E6D" w:rsidRDefault="00B05DF0">
    <w:pPr>
      <w:pStyle w:val="Footer"/>
      <w:jc w:val="right"/>
      <w:rPr>
        <w:rFonts w:ascii="Cambria" w:hAnsi="Cambria"/>
        <w:sz w:val="20"/>
        <w:szCs w:val="20"/>
      </w:rPr>
    </w:pPr>
    <w:r w:rsidRPr="00C20E6D">
      <w:rPr>
        <w:rFonts w:ascii="Cambria" w:hAnsi="Cambria"/>
        <w:sz w:val="20"/>
        <w:szCs w:val="20"/>
      </w:rPr>
      <w:fldChar w:fldCharType="begin"/>
    </w:r>
    <w:r w:rsidRPr="00C20E6D">
      <w:rPr>
        <w:rFonts w:ascii="Cambria" w:hAnsi="Cambria"/>
        <w:sz w:val="20"/>
        <w:szCs w:val="20"/>
      </w:rPr>
      <w:instrText xml:space="preserve"> PAGE   \* MERGEFORMAT </w:instrText>
    </w:r>
    <w:r w:rsidRPr="00C20E6D">
      <w:rPr>
        <w:rFonts w:ascii="Cambria" w:hAnsi="Cambria"/>
        <w:sz w:val="20"/>
        <w:szCs w:val="20"/>
      </w:rPr>
      <w:fldChar w:fldCharType="separate"/>
    </w:r>
    <w:r w:rsidR="00146D30">
      <w:rPr>
        <w:rFonts w:ascii="Cambria" w:hAnsi="Cambria"/>
        <w:noProof/>
        <w:sz w:val="20"/>
        <w:szCs w:val="20"/>
      </w:rPr>
      <w:t>1</w:t>
    </w:r>
    <w:r w:rsidRPr="00C20E6D">
      <w:rPr>
        <w:rFonts w:ascii="Cambria" w:hAnsi="Cambria"/>
        <w:sz w:val="20"/>
        <w:szCs w:val="20"/>
      </w:rPr>
      <w:fldChar w:fldCharType="end"/>
    </w:r>
  </w:p>
  <w:p w:rsidR="00B05DF0" w:rsidRDefault="00B05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28" w:rsidRDefault="00C11C28" w:rsidP="004B7A1A">
      <w:r>
        <w:separator/>
      </w:r>
    </w:p>
  </w:footnote>
  <w:footnote w:type="continuationSeparator" w:id="0">
    <w:p w:rsidR="00C11C28" w:rsidRDefault="00C11C28" w:rsidP="004B7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D15"/>
    <w:multiLevelType w:val="hybridMultilevel"/>
    <w:tmpl w:val="C28062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60A44"/>
    <w:multiLevelType w:val="hybridMultilevel"/>
    <w:tmpl w:val="84788820"/>
    <w:lvl w:ilvl="0" w:tplc="39F4C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47E3D"/>
    <w:multiLevelType w:val="hybridMultilevel"/>
    <w:tmpl w:val="92B00AEA"/>
    <w:lvl w:ilvl="0" w:tplc="B41879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211733"/>
    <w:multiLevelType w:val="hybridMultilevel"/>
    <w:tmpl w:val="729C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90A5D"/>
    <w:multiLevelType w:val="hybridMultilevel"/>
    <w:tmpl w:val="87C6250A"/>
    <w:lvl w:ilvl="0" w:tplc="5A303DE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33E7D"/>
    <w:multiLevelType w:val="hybridMultilevel"/>
    <w:tmpl w:val="222C7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973771"/>
    <w:multiLevelType w:val="hybridMultilevel"/>
    <w:tmpl w:val="4AF85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B51785"/>
    <w:multiLevelType w:val="hybridMultilevel"/>
    <w:tmpl w:val="3864A2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63F59"/>
    <w:multiLevelType w:val="hybridMultilevel"/>
    <w:tmpl w:val="7AEAFADA"/>
    <w:lvl w:ilvl="0" w:tplc="EA1843F4">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9E7F0A"/>
    <w:multiLevelType w:val="hybridMultilevel"/>
    <w:tmpl w:val="538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F31E6"/>
    <w:multiLevelType w:val="hybridMultilevel"/>
    <w:tmpl w:val="91CE3342"/>
    <w:lvl w:ilvl="0" w:tplc="D6CC03CE">
      <w:start w:val="1"/>
      <w:numFmt w:val="bullet"/>
      <w:pStyle w:val="bulleted"/>
      <w:lvlText w:val=""/>
      <w:lvlJc w:val="left"/>
      <w:pPr>
        <w:ind w:left="216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1">
    <w:nsid w:val="2E7A346E"/>
    <w:multiLevelType w:val="hybridMultilevel"/>
    <w:tmpl w:val="A64E681A"/>
    <w:lvl w:ilvl="0" w:tplc="DA78C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2F6697"/>
    <w:multiLevelType w:val="hybridMultilevel"/>
    <w:tmpl w:val="DB1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4E55A0"/>
    <w:multiLevelType w:val="hybridMultilevel"/>
    <w:tmpl w:val="419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64CBB"/>
    <w:multiLevelType w:val="hybridMultilevel"/>
    <w:tmpl w:val="F738DE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080F2B"/>
    <w:multiLevelType w:val="hybridMultilevel"/>
    <w:tmpl w:val="0882B02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51C76AA"/>
    <w:multiLevelType w:val="hybridMultilevel"/>
    <w:tmpl w:val="64FE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818CB"/>
    <w:multiLevelType w:val="hybridMultilevel"/>
    <w:tmpl w:val="1AB0102E"/>
    <w:lvl w:ilvl="0" w:tplc="B1580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86661A"/>
    <w:multiLevelType w:val="hybridMultilevel"/>
    <w:tmpl w:val="129EACC6"/>
    <w:lvl w:ilvl="0" w:tplc="65E2FCA6">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9964B5"/>
    <w:multiLevelType w:val="hybridMultilevel"/>
    <w:tmpl w:val="61AA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A7623C"/>
    <w:multiLevelType w:val="hybridMultilevel"/>
    <w:tmpl w:val="B3D69D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581B0E"/>
    <w:multiLevelType w:val="hybridMultilevel"/>
    <w:tmpl w:val="EC4A9964"/>
    <w:lvl w:ilvl="0" w:tplc="C8F2A3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D5B37"/>
    <w:multiLevelType w:val="multilevel"/>
    <w:tmpl w:val="0D42D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35627D6"/>
    <w:multiLevelType w:val="hybridMultilevel"/>
    <w:tmpl w:val="D0E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F6F32"/>
    <w:multiLevelType w:val="hybridMultilevel"/>
    <w:tmpl w:val="E8827C92"/>
    <w:lvl w:ilvl="0" w:tplc="6B46E87A">
      <w:start w:val="1"/>
      <w:numFmt w:val="lowerLetter"/>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4B0B82"/>
    <w:multiLevelType w:val="hybridMultilevel"/>
    <w:tmpl w:val="B41E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043C9E"/>
    <w:multiLevelType w:val="hybridMultilevel"/>
    <w:tmpl w:val="67C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A115A7"/>
    <w:multiLevelType w:val="hybridMultilevel"/>
    <w:tmpl w:val="633C82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45BE6"/>
    <w:multiLevelType w:val="hybridMultilevel"/>
    <w:tmpl w:val="796474AA"/>
    <w:lvl w:ilvl="0" w:tplc="1BB688F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C22B5"/>
    <w:multiLevelType w:val="hybridMultilevel"/>
    <w:tmpl w:val="F84AC586"/>
    <w:lvl w:ilvl="0" w:tplc="19EE3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616D4"/>
    <w:multiLevelType w:val="hybridMultilevel"/>
    <w:tmpl w:val="77020F7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024A21"/>
    <w:multiLevelType w:val="hybridMultilevel"/>
    <w:tmpl w:val="7B22306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nsid w:val="7FCC11D8"/>
    <w:multiLevelType w:val="hybridMultilevel"/>
    <w:tmpl w:val="D8023FE0"/>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6"/>
  </w:num>
  <w:num w:numId="4">
    <w:abstractNumId w:val="22"/>
  </w:num>
  <w:num w:numId="5">
    <w:abstractNumId w:val="0"/>
  </w:num>
  <w:num w:numId="6">
    <w:abstractNumId w:val="7"/>
  </w:num>
  <w:num w:numId="7">
    <w:abstractNumId w:val="24"/>
  </w:num>
  <w:num w:numId="8">
    <w:abstractNumId w:val="11"/>
  </w:num>
  <w:num w:numId="9">
    <w:abstractNumId w:val="21"/>
  </w:num>
  <w:num w:numId="10">
    <w:abstractNumId w:val="29"/>
  </w:num>
  <w:num w:numId="11">
    <w:abstractNumId w:val="4"/>
  </w:num>
  <w:num w:numId="12">
    <w:abstractNumId w:val="2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7"/>
  </w:num>
  <w:num w:numId="16">
    <w:abstractNumId w:val="2"/>
  </w:num>
  <w:num w:numId="17">
    <w:abstractNumId w:val="30"/>
  </w:num>
  <w:num w:numId="18">
    <w:abstractNumId w:val="8"/>
  </w:num>
  <w:num w:numId="19">
    <w:abstractNumId w:val="32"/>
  </w:num>
  <w:num w:numId="20">
    <w:abstractNumId w:val="25"/>
  </w:num>
  <w:num w:numId="21">
    <w:abstractNumId w:val="1"/>
  </w:num>
  <w:num w:numId="22">
    <w:abstractNumId w:val="12"/>
  </w:num>
  <w:num w:numId="23">
    <w:abstractNumId w:val="16"/>
  </w:num>
  <w:num w:numId="24">
    <w:abstractNumId w:val="6"/>
  </w:num>
  <w:num w:numId="25">
    <w:abstractNumId w:val="5"/>
  </w:num>
  <w:num w:numId="26">
    <w:abstractNumId w:val="15"/>
  </w:num>
  <w:num w:numId="27">
    <w:abstractNumId w:val="3"/>
  </w:num>
  <w:num w:numId="28">
    <w:abstractNumId w:val="9"/>
  </w:num>
  <w:num w:numId="29">
    <w:abstractNumId w:val="17"/>
  </w:num>
  <w:num w:numId="30">
    <w:abstractNumId w:val="10"/>
  </w:num>
  <w:num w:numId="31">
    <w:abstractNumId w:val="13"/>
  </w:num>
  <w:num w:numId="32">
    <w:abstractNumId w:val="1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6F"/>
    <w:rsid w:val="00016CC7"/>
    <w:rsid w:val="000228D9"/>
    <w:rsid w:val="00027E56"/>
    <w:rsid w:val="000348E8"/>
    <w:rsid w:val="00034EA1"/>
    <w:rsid w:val="00036081"/>
    <w:rsid w:val="00040C3D"/>
    <w:rsid w:val="000425C6"/>
    <w:rsid w:val="0007316D"/>
    <w:rsid w:val="000830F4"/>
    <w:rsid w:val="00085827"/>
    <w:rsid w:val="00091DE3"/>
    <w:rsid w:val="00092959"/>
    <w:rsid w:val="000A2CA3"/>
    <w:rsid w:val="000A4095"/>
    <w:rsid w:val="000C0B3D"/>
    <w:rsid w:val="000C4B66"/>
    <w:rsid w:val="000C5EDF"/>
    <w:rsid w:val="000E58DC"/>
    <w:rsid w:val="000F1C6D"/>
    <w:rsid w:val="000F7FAB"/>
    <w:rsid w:val="0010110E"/>
    <w:rsid w:val="0014191B"/>
    <w:rsid w:val="00146D30"/>
    <w:rsid w:val="0015011B"/>
    <w:rsid w:val="00152390"/>
    <w:rsid w:val="0015425E"/>
    <w:rsid w:val="001626CF"/>
    <w:rsid w:val="001647BF"/>
    <w:rsid w:val="001652E9"/>
    <w:rsid w:val="001673DF"/>
    <w:rsid w:val="00171127"/>
    <w:rsid w:val="00176798"/>
    <w:rsid w:val="001A2237"/>
    <w:rsid w:val="001B160F"/>
    <w:rsid w:val="001D4DEA"/>
    <w:rsid w:val="001D63F0"/>
    <w:rsid w:val="001E55C2"/>
    <w:rsid w:val="001E6375"/>
    <w:rsid w:val="001F6A60"/>
    <w:rsid w:val="00203DB5"/>
    <w:rsid w:val="00211702"/>
    <w:rsid w:val="00213E2E"/>
    <w:rsid w:val="002170C2"/>
    <w:rsid w:val="00221D4E"/>
    <w:rsid w:val="002317E7"/>
    <w:rsid w:val="002326DD"/>
    <w:rsid w:val="00241D4D"/>
    <w:rsid w:val="002430CF"/>
    <w:rsid w:val="00246F65"/>
    <w:rsid w:val="00255D33"/>
    <w:rsid w:val="00262E68"/>
    <w:rsid w:val="00264E20"/>
    <w:rsid w:val="00271103"/>
    <w:rsid w:val="00274D05"/>
    <w:rsid w:val="00276205"/>
    <w:rsid w:val="00293D22"/>
    <w:rsid w:val="002A1E1D"/>
    <w:rsid w:val="002A2EAA"/>
    <w:rsid w:val="002B04D2"/>
    <w:rsid w:val="002B5AD6"/>
    <w:rsid w:val="002C1A1B"/>
    <w:rsid w:val="002C4D9C"/>
    <w:rsid w:val="002C7D79"/>
    <w:rsid w:val="002D43F3"/>
    <w:rsid w:val="002D54C8"/>
    <w:rsid w:val="002F3294"/>
    <w:rsid w:val="002F418A"/>
    <w:rsid w:val="00310587"/>
    <w:rsid w:val="00310FEA"/>
    <w:rsid w:val="00325A3A"/>
    <w:rsid w:val="00341B05"/>
    <w:rsid w:val="00341BE9"/>
    <w:rsid w:val="0034357F"/>
    <w:rsid w:val="00350868"/>
    <w:rsid w:val="0036540C"/>
    <w:rsid w:val="00380BE2"/>
    <w:rsid w:val="003A3346"/>
    <w:rsid w:val="003A6BCC"/>
    <w:rsid w:val="003B7163"/>
    <w:rsid w:val="003C3F2C"/>
    <w:rsid w:val="003C41D4"/>
    <w:rsid w:val="003E0843"/>
    <w:rsid w:val="003E66B9"/>
    <w:rsid w:val="003F0F5B"/>
    <w:rsid w:val="00414616"/>
    <w:rsid w:val="004163C4"/>
    <w:rsid w:val="004312F9"/>
    <w:rsid w:val="004369A5"/>
    <w:rsid w:val="00437AD7"/>
    <w:rsid w:val="004516F1"/>
    <w:rsid w:val="0045538B"/>
    <w:rsid w:val="00475F5D"/>
    <w:rsid w:val="00483E6D"/>
    <w:rsid w:val="004A3ACA"/>
    <w:rsid w:val="004B347C"/>
    <w:rsid w:val="004B7A1A"/>
    <w:rsid w:val="004E2BFD"/>
    <w:rsid w:val="004E6C94"/>
    <w:rsid w:val="004F3D63"/>
    <w:rsid w:val="004F5759"/>
    <w:rsid w:val="0051443D"/>
    <w:rsid w:val="00516859"/>
    <w:rsid w:val="00526108"/>
    <w:rsid w:val="005309F1"/>
    <w:rsid w:val="005378C9"/>
    <w:rsid w:val="00546064"/>
    <w:rsid w:val="005465F9"/>
    <w:rsid w:val="00551416"/>
    <w:rsid w:val="00552998"/>
    <w:rsid w:val="005754DE"/>
    <w:rsid w:val="00583AB9"/>
    <w:rsid w:val="00585AC6"/>
    <w:rsid w:val="0059063A"/>
    <w:rsid w:val="005909C6"/>
    <w:rsid w:val="005922F4"/>
    <w:rsid w:val="00592B4E"/>
    <w:rsid w:val="0059338F"/>
    <w:rsid w:val="0059459D"/>
    <w:rsid w:val="005A0E9C"/>
    <w:rsid w:val="005B1B13"/>
    <w:rsid w:val="005C6247"/>
    <w:rsid w:val="005E054C"/>
    <w:rsid w:val="005E699C"/>
    <w:rsid w:val="005F048A"/>
    <w:rsid w:val="005F0572"/>
    <w:rsid w:val="006055AB"/>
    <w:rsid w:val="006067A6"/>
    <w:rsid w:val="00617E8E"/>
    <w:rsid w:val="006231C5"/>
    <w:rsid w:val="00623660"/>
    <w:rsid w:val="00630D26"/>
    <w:rsid w:val="00636B9B"/>
    <w:rsid w:val="006407D5"/>
    <w:rsid w:val="00645F86"/>
    <w:rsid w:val="00666DD9"/>
    <w:rsid w:val="0067072D"/>
    <w:rsid w:val="00672F4C"/>
    <w:rsid w:val="00682108"/>
    <w:rsid w:val="00683442"/>
    <w:rsid w:val="006958EE"/>
    <w:rsid w:val="006D00E1"/>
    <w:rsid w:val="006D27A9"/>
    <w:rsid w:val="006D6E66"/>
    <w:rsid w:val="006E6664"/>
    <w:rsid w:val="006F4C64"/>
    <w:rsid w:val="00704C52"/>
    <w:rsid w:val="00705DEF"/>
    <w:rsid w:val="007138AF"/>
    <w:rsid w:val="0072276F"/>
    <w:rsid w:val="00730567"/>
    <w:rsid w:val="00735D6B"/>
    <w:rsid w:val="0073720B"/>
    <w:rsid w:val="007372A5"/>
    <w:rsid w:val="00743585"/>
    <w:rsid w:val="00762424"/>
    <w:rsid w:val="007628F0"/>
    <w:rsid w:val="0077221E"/>
    <w:rsid w:val="00776E0D"/>
    <w:rsid w:val="00780B52"/>
    <w:rsid w:val="007966D3"/>
    <w:rsid w:val="007A181E"/>
    <w:rsid w:val="007A716B"/>
    <w:rsid w:val="007B0BAB"/>
    <w:rsid w:val="007B7E10"/>
    <w:rsid w:val="007C2ED5"/>
    <w:rsid w:val="007C3F6E"/>
    <w:rsid w:val="007D32C8"/>
    <w:rsid w:val="007D7738"/>
    <w:rsid w:val="007E7F7D"/>
    <w:rsid w:val="007F41BC"/>
    <w:rsid w:val="007F50D4"/>
    <w:rsid w:val="007F6AE9"/>
    <w:rsid w:val="007F7134"/>
    <w:rsid w:val="00801CC2"/>
    <w:rsid w:val="008204BB"/>
    <w:rsid w:val="00830ABD"/>
    <w:rsid w:val="00834A6F"/>
    <w:rsid w:val="00836E7B"/>
    <w:rsid w:val="008447B8"/>
    <w:rsid w:val="00852B4B"/>
    <w:rsid w:val="00874493"/>
    <w:rsid w:val="0087505B"/>
    <w:rsid w:val="008B35CD"/>
    <w:rsid w:val="008C7706"/>
    <w:rsid w:val="008D65C8"/>
    <w:rsid w:val="008D6E20"/>
    <w:rsid w:val="008E4C95"/>
    <w:rsid w:val="008F3522"/>
    <w:rsid w:val="009042D1"/>
    <w:rsid w:val="0091698F"/>
    <w:rsid w:val="0091756C"/>
    <w:rsid w:val="00921940"/>
    <w:rsid w:val="00921C97"/>
    <w:rsid w:val="009226AC"/>
    <w:rsid w:val="009230F5"/>
    <w:rsid w:val="00926453"/>
    <w:rsid w:val="00944F7C"/>
    <w:rsid w:val="0095669D"/>
    <w:rsid w:val="009740D1"/>
    <w:rsid w:val="00976DED"/>
    <w:rsid w:val="009801E5"/>
    <w:rsid w:val="00983FE1"/>
    <w:rsid w:val="009A37D6"/>
    <w:rsid w:val="009A3D21"/>
    <w:rsid w:val="009B4689"/>
    <w:rsid w:val="009B48A3"/>
    <w:rsid w:val="009B7BD2"/>
    <w:rsid w:val="009C4CCB"/>
    <w:rsid w:val="009C7516"/>
    <w:rsid w:val="009D0140"/>
    <w:rsid w:val="009E4547"/>
    <w:rsid w:val="009E6388"/>
    <w:rsid w:val="009F1A89"/>
    <w:rsid w:val="009F617E"/>
    <w:rsid w:val="00A01CD0"/>
    <w:rsid w:val="00A0652C"/>
    <w:rsid w:val="00A15FB4"/>
    <w:rsid w:val="00A1662A"/>
    <w:rsid w:val="00A17680"/>
    <w:rsid w:val="00A21E05"/>
    <w:rsid w:val="00A31B2B"/>
    <w:rsid w:val="00A31E7C"/>
    <w:rsid w:val="00A40DB2"/>
    <w:rsid w:val="00A42561"/>
    <w:rsid w:val="00A42657"/>
    <w:rsid w:val="00A501FB"/>
    <w:rsid w:val="00A503F9"/>
    <w:rsid w:val="00A5159D"/>
    <w:rsid w:val="00A5205E"/>
    <w:rsid w:val="00A5419F"/>
    <w:rsid w:val="00A60926"/>
    <w:rsid w:val="00A611A1"/>
    <w:rsid w:val="00A6763C"/>
    <w:rsid w:val="00A70BEB"/>
    <w:rsid w:val="00A75C12"/>
    <w:rsid w:val="00A77293"/>
    <w:rsid w:val="00A83E04"/>
    <w:rsid w:val="00A8749D"/>
    <w:rsid w:val="00A9280F"/>
    <w:rsid w:val="00AA69B6"/>
    <w:rsid w:val="00AA7D36"/>
    <w:rsid w:val="00AB0E3D"/>
    <w:rsid w:val="00AC64F7"/>
    <w:rsid w:val="00AC71FC"/>
    <w:rsid w:val="00AD5095"/>
    <w:rsid w:val="00AF1F08"/>
    <w:rsid w:val="00B03B0C"/>
    <w:rsid w:val="00B05DF0"/>
    <w:rsid w:val="00B0613D"/>
    <w:rsid w:val="00B22951"/>
    <w:rsid w:val="00B26B0B"/>
    <w:rsid w:val="00B31FAE"/>
    <w:rsid w:val="00B3510D"/>
    <w:rsid w:val="00B40743"/>
    <w:rsid w:val="00B4712B"/>
    <w:rsid w:val="00B70BE0"/>
    <w:rsid w:val="00B76757"/>
    <w:rsid w:val="00B8131D"/>
    <w:rsid w:val="00B86214"/>
    <w:rsid w:val="00B92BF7"/>
    <w:rsid w:val="00B938D3"/>
    <w:rsid w:val="00B93ACB"/>
    <w:rsid w:val="00BC0ECA"/>
    <w:rsid w:val="00BD25F8"/>
    <w:rsid w:val="00BF2563"/>
    <w:rsid w:val="00BF2AE4"/>
    <w:rsid w:val="00BF5461"/>
    <w:rsid w:val="00C05915"/>
    <w:rsid w:val="00C05D6C"/>
    <w:rsid w:val="00C11C28"/>
    <w:rsid w:val="00C20E6D"/>
    <w:rsid w:val="00C34F0D"/>
    <w:rsid w:val="00C42CC9"/>
    <w:rsid w:val="00C451C3"/>
    <w:rsid w:val="00C560AA"/>
    <w:rsid w:val="00C93665"/>
    <w:rsid w:val="00CA3F39"/>
    <w:rsid w:val="00CA52A2"/>
    <w:rsid w:val="00CA6FBE"/>
    <w:rsid w:val="00CB2057"/>
    <w:rsid w:val="00CC0072"/>
    <w:rsid w:val="00CC1904"/>
    <w:rsid w:val="00CC4EE1"/>
    <w:rsid w:val="00CD3B82"/>
    <w:rsid w:val="00CE1CEF"/>
    <w:rsid w:val="00CF79F0"/>
    <w:rsid w:val="00D33C0A"/>
    <w:rsid w:val="00D43277"/>
    <w:rsid w:val="00D43338"/>
    <w:rsid w:val="00D47FE3"/>
    <w:rsid w:val="00D5400E"/>
    <w:rsid w:val="00D54CED"/>
    <w:rsid w:val="00D85796"/>
    <w:rsid w:val="00DA2CC7"/>
    <w:rsid w:val="00DA723E"/>
    <w:rsid w:val="00DB0BDA"/>
    <w:rsid w:val="00DB6467"/>
    <w:rsid w:val="00DC3429"/>
    <w:rsid w:val="00DC343B"/>
    <w:rsid w:val="00DC512C"/>
    <w:rsid w:val="00DD3D14"/>
    <w:rsid w:val="00DE1121"/>
    <w:rsid w:val="00DE367F"/>
    <w:rsid w:val="00DF298B"/>
    <w:rsid w:val="00E04F3A"/>
    <w:rsid w:val="00E12BD5"/>
    <w:rsid w:val="00E2274B"/>
    <w:rsid w:val="00E44874"/>
    <w:rsid w:val="00E47E97"/>
    <w:rsid w:val="00E61DF5"/>
    <w:rsid w:val="00E64236"/>
    <w:rsid w:val="00E67612"/>
    <w:rsid w:val="00E67DF4"/>
    <w:rsid w:val="00E751EF"/>
    <w:rsid w:val="00E8104E"/>
    <w:rsid w:val="00E826DD"/>
    <w:rsid w:val="00E85F48"/>
    <w:rsid w:val="00E867ED"/>
    <w:rsid w:val="00E87DB2"/>
    <w:rsid w:val="00E975E3"/>
    <w:rsid w:val="00EA0DC4"/>
    <w:rsid w:val="00EB1EF7"/>
    <w:rsid w:val="00EB217A"/>
    <w:rsid w:val="00EB6293"/>
    <w:rsid w:val="00EB6E88"/>
    <w:rsid w:val="00EC70E9"/>
    <w:rsid w:val="00EC7739"/>
    <w:rsid w:val="00ED348B"/>
    <w:rsid w:val="00ED65FF"/>
    <w:rsid w:val="00EE191A"/>
    <w:rsid w:val="00EF12A0"/>
    <w:rsid w:val="00EF3254"/>
    <w:rsid w:val="00F01300"/>
    <w:rsid w:val="00F02B54"/>
    <w:rsid w:val="00F04941"/>
    <w:rsid w:val="00F049A2"/>
    <w:rsid w:val="00F228E6"/>
    <w:rsid w:val="00F446B1"/>
    <w:rsid w:val="00F47307"/>
    <w:rsid w:val="00F532AB"/>
    <w:rsid w:val="00F62FAC"/>
    <w:rsid w:val="00F64F3D"/>
    <w:rsid w:val="00F70403"/>
    <w:rsid w:val="00F75A06"/>
    <w:rsid w:val="00F82843"/>
    <w:rsid w:val="00F90B7F"/>
    <w:rsid w:val="00F94FC3"/>
    <w:rsid w:val="00F977C1"/>
    <w:rsid w:val="00FA4B63"/>
    <w:rsid w:val="00FC63EB"/>
    <w:rsid w:val="00FD0052"/>
    <w:rsid w:val="00FD2433"/>
    <w:rsid w:val="00FE33A1"/>
    <w:rsid w:val="00FF06F4"/>
    <w:rsid w:val="00FF0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6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59"/>
    <w:rsid w:val="0072276F"/>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semiHidden/>
    <w:unhideWhenUsed/>
    <w:rsid w:val="00483E6D"/>
    <w:rPr>
      <w:sz w:val="20"/>
      <w:szCs w:val="20"/>
    </w:rPr>
  </w:style>
  <w:style w:type="character" w:customStyle="1" w:styleId="CommentTextChar">
    <w:name w:val="Comment Text Char"/>
    <w:basedOn w:val="DefaultParagraphFont"/>
    <w:link w:val="CommentText"/>
    <w:uiPriority w:val="99"/>
    <w:semiHidden/>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semiHidden/>
    <w:unhideWhenUsed/>
    <w:rsid w:val="004B7A1A"/>
    <w:pPr>
      <w:tabs>
        <w:tab w:val="center" w:pos="4680"/>
        <w:tab w:val="right" w:pos="9360"/>
      </w:tabs>
    </w:pPr>
  </w:style>
  <w:style w:type="character" w:customStyle="1" w:styleId="HeaderChar">
    <w:name w:val="Header Char"/>
    <w:basedOn w:val="DefaultParagraphFont"/>
    <w:link w:val="Header"/>
    <w:uiPriority w:val="99"/>
    <w:semiHidden/>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0B52"/>
    <w:rPr>
      <w:sz w:val="20"/>
      <w:szCs w:val="20"/>
    </w:rPr>
  </w:style>
  <w:style w:type="character" w:customStyle="1" w:styleId="FootnoteTextChar">
    <w:name w:val="Footnote Text Char"/>
    <w:basedOn w:val="DefaultParagraphFont"/>
    <w:link w:val="FootnoteText"/>
    <w:uiPriority w:val="99"/>
    <w:semiHidden/>
    <w:rsid w:val="00780B5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 w:type="character" w:customStyle="1" w:styleId="BodyTextFirstIndentChar">
    <w:name w:val="Body Text First Indent Char"/>
    <w:aliases w:val="Body Text 4 Char"/>
    <w:basedOn w:val="BodyTextChar"/>
    <w:link w:val="BodyTextFirstIndent"/>
    <w:locked/>
    <w:rsid w:val="009B4689"/>
    <w:rPr>
      <w:rFonts w:ascii="Arial" w:eastAsia="Times New Roman" w:hAnsi="Arial" w:cs="Times New Roman"/>
      <w:sz w:val="19"/>
      <w:szCs w:val="24"/>
    </w:rPr>
  </w:style>
  <w:style w:type="paragraph" w:styleId="BodyText">
    <w:name w:val="Body Text"/>
    <w:basedOn w:val="Normal"/>
    <w:link w:val="BodyTextChar"/>
    <w:uiPriority w:val="99"/>
    <w:semiHidden/>
    <w:unhideWhenUsed/>
    <w:rsid w:val="009B4689"/>
    <w:pPr>
      <w:spacing w:after="120"/>
    </w:pPr>
  </w:style>
  <w:style w:type="character" w:customStyle="1" w:styleId="BodyTextChar">
    <w:name w:val="Body Text Char"/>
    <w:basedOn w:val="DefaultParagraphFont"/>
    <w:link w:val="BodyText"/>
    <w:uiPriority w:val="99"/>
    <w:semiHidden/>
    <w:rsid w:val="009B4689"/>
    <w:rPr>
      <w:rFonts w:ascii="Times New Roman" w:eastAsia="Times New Roman" w:hAnsi="Times New Roman" w:cs="Times New Roman"/>
      <w:sz w:val="24"/>
      <w:szCs w:val="24"/>
    </w:rPr>
  </w:style>
  <w:style w:type="paragraph" w:styleId="BodyTextFirstIndent">
    <w:name w:val="Body Text First Indent"/>
    <w:aliases w:val="Body Text 4"/>
    <w:basedOn w:val="BodyText"/>
    <w:link w:val="BodyTextFirstIndentChar"/>
    <w:unhideWhenUsed/>
    <w:rsid w:val="009B4689"/>
    <w:pPr>
      <w:spacing w:before="60" w:after="60"/>
      <w:ind w:left="504" w:right="432" w:hanging="432"/>
    </w:pPr>
    <w:rPr>
      <w:rFonts w:ascii="Arial" w:hAnsi="Arial"/>
      <w:sz w:val="19"/>
    </w:rPr>
  </w:style>
  <w:style w:type="character" w:customStyle="1" w:styleId="BodyTextFirstIndentChar1">
    <w:name w:val="Body Text First Indent Char1"/>
    <w:basedOn w:val="BodyTextChar"/>
    <w:uiPriority w:val="99"/>
    <w:semiHidden/>
    <w:rsid w:val="009B4689"/>
    <w:rPr>
      <w:rFonts w:ascii="Times New Roman" w:eastAsia="Times New Roman" w:hAnsi="Times New Roman" w:cs="Times New Roman"/>
      <w:sz w:val="24"/>
      <w:szCs w:val="24"/>
    </w:rPr>
  </w:style>
  <w:style w:type="paragraph" w:customStyle="1" w:styleId="SecNo">
    <w:name w:val="SecNo"/>
    <w:basedOn w:val="Normal"/>
    <w:next w:val="Normal"/>
    <w:rsid w:val="009B4689"/>
    <w:pPr>
      <w:keepNext/>
      <w:autoSpaceDE w:val="0"/>
      <w:autoSpaceDN w:val="0"/>
      <w:adjustRightInd w:val="0"/>
      <w:jc w:val="center"/>
      <w:outlineLvl w:val="3"/>
    </w:pPr>
    <w:rPr>
      <w:rFonts w:ascii="Arial" w:hAnsi="Arial"/>
      <w:b/>
      <w:bCs/>
      <w:sz w:val="40"/>
      <w:szCs w:val="28"/>
    </w:rPr>
  </w:style>
  <w:style w:type="paragraph" w:customStyle="1" w:styleId="bulleted">
    <w:name w:val="bulleted"/>
    <w:rsid w:val="009B4689"/>
    <w:pPr>
      <w:numPr>
        <w:numId w:val="30"/>
      </w:numPr>
      <w:spacing w:before="60"/>
      <w:ind w:left="288" w:hanging="288"/>
    </w:pPr>
    <w:rPr>
      <w:rFonts w:ascii="Arial" w:eastAsia="Times New Roman" w:hAnsi="Arial"/>
      <w:bCs/>
      <w:color w:val="000000"/>
      <w:sz w:val="19"/>
      <w:szCs w:val="19"/>
    </w:rPr>
  </w:style>
  <w:style w:type="paragraph" w:customStyle="1" w:styleId="BQuest">
    <w:name w:val="B_Quest"/>
    <w:basedOn w:val="Normal"/>
    <w:qFormat/>
    <w:rsid w:val="009B4689"/>
    <w:pPr>
      <w:spacing w:after="60"/>
    </w:pPr>
    <w:rPr>
      <w:rFonts w:ascii="Arial" w:hAnsi="Arial" w:cs="Arial"/>
      <w:b/>
      <w:bCs/>
      <w:color w:val="000000"/>
      <w:sz w:val="20"/>
      <w:szCs w:val="20"/>
    </w:rPr>
  </w:style>
  <w:style w:type="paragraph" w:customStyle="1" w:styleId="bulletedind">
    <w:name w:val="bulleted_ind"/>
    <w:basedOn w:val="bulleted"/>
    <w:qFormat/>
    <w:rsid w:val="009B4689"/>
    <w:pPr>
      <w:tabs>
        <w:tab w:val="left" w:pos="450"/>
        <w:tab w:val="right" w:leader="dot" w:pos="5459"/>
      </w:tabs>
      <w:ind w:left="432" w:right="144"/>
    </w:pPr>
  </w:style>
  <w:style w:type="paragraph" w:customStyle="1" w:styleId="BodyText10">
    <w:name w:val="Body Text_10"/>
    <w:basedOn w:val="BodyText"/>
    <w:qFormat/>
    <w:rsid w:val="009B4689"/>
    <w:pPr>
      <w:spacing w:before="240" w:line="240" w:lineRule="atLeast"/>
    </w:pPr>
    <w:rPr>
      <w:rFonts w:ascii="Arial" w:hAnsi="Arial"/>
      <w:sz w:val="20"/>
    </w:rPr>
  </w:style>
  <w:style w:type="character" w:customStyle="1" w:styleId="apple-style-span">
    <w:name w:val="apple-style-span"/>
    <w:basedOn w:val="DefaultParagraphFont"/>
    <w:rsid w:val="009B4689"/>
  </w:style>
  <w:style w:type="character" w:customStyle="1" w:styleId="BodyTextChar0">
    <w:name w:val="BodyText Char"/>
    <w:basedOn w:val="DefaultParagraphFont"/>
    <w:link w:val="BodyText0"/>
    <w:locked/>
    <w:rsid w:val="00682108"/>
    <w:rPr>
      <w:rFonts w:cs="Calibri"/>
    </w:rPr>
  </w:style>
  <w:style w:type="paragraph" w:customStyle="1" w:styleId="BodyText0">
    <w:name w:val="BodyText"/>
    <w:basedOn w:val="Normal"/>
    <w:link w:val="BodyTextChar0"/>
    <w:rsid w:val="00682108"/>
    <w:pPr>
      <w:spacing w:after="200" w:line="276" w:lineRule="auto"/>
    </w:pPr>
    <w:rPr>
      <w:rFonts w:ascii="Calibri" w:eastAsia="Calibri" w:hAnsi="Calibri" w:cs="Calibri"/>
      <w:sz w:val="20"/>
      <w:szCs w:val="20"/>
    </w:rPr>
  </w:style>
  <w:style w:type="character" w:customStyle="1" w:styleId="LoginCredentialsChar">
    <w:name w:val="Login Credentials Char"/>
    <w:basedOn w:val="DefaultParagraphFont"/>
    <w:link w:val="LoginCredentials"/>
    <w:locked/>
    <w:rsid w:val="00682108"/>
    <w:rPr>
      <w:rFonts w:cs="Calibri"/>
    </w:rPr>
  </w:style>
  <w:style w:type="paragraph" w:customStyle="1" w:styleId="LoginCredentials">
    <w:name w:val="Login Credentials"/>
    <w:basedOn w:val="Normal"/>
    <w:link w:val="LoginCredentialsChar"/>
    <w:rsid w:val="00682108"/>
    <w:pPr>
      <w:spacing w:line="276" w:lineRule="auto"/>
      <w:ind w:left="2160" w:hanging="1440"/>
    </w:pPr>
    <w:rPr>
      <w:rFonts w:ascii="Calibri" w:eastAsia="Calibri" w:hAnsi="Calibri" w:cs="Calibri"/>
      <w:sz w:val="20"/>
      <w:szCs w:val="20"/>
    </w:rPr>
  </w:style>
  <w:style w:type="character" w:customStyle="1" w:styleId="LoginCredentialsLastLineChar">
    <w:name w:val="Login Credentials Last Line Char"/>
    <w:basedOn w:val="DefaultParagraphFont"/>
    <w:link w:val="LoginCredentialsLastLine"/>
    <w:locked/>
    <w:rsid w:val="00682108"/>
    <w:rPr>
      <w:rFonts w:cs="Calibri"/>
    </w:rPr>
  </w:style>
  <w:style w:type="paragraph" w:customStyle="1" w:styleId="LoginCredentialsLastLine">
    <w:name w:val="Login Credentials Last Line"/>
    <w:basedOn w:val="Normal"/>
    <w:link w:val="LoginCredentialsLastLineChar"/>
    <w:rsid w:val="00682108"/>
    <w:pPr>
      <w:spacing w:after="200" w:line="276" w:lineRule="auto"/>
      <w:ind w:left="2160" w:hanging="1440"/>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6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59"/>
    <w:rsid w:val="0072276F"/>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semiHidden/>
    <w:unhideWhenUsed/>
    <w:rsid w:val="00483E6D"/>
    <w:rPr>
      <w:sz w:val="20"/>
      <w:szCs w:val="20"/>
    </w:rPr>
  </w:style>
  <w:style w:type="character" w:customStyle="1" w:styleId="CommentTextChar">
    <w:name w:val="Comment Text Char"/>
    <w:basedOn w:val="DefaultParagraphFont"/>
    <w:link w:val="CommentText"/>
    <w:uiPriority w:val="99"/>
    <w:semiHidden/>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semiHidden/>
    <w:unhideWhenUsed/>
    <w:rsid w:val="004B7A1A"/>
    <w:pPr>
      <w:tabs>
        <w:tab w:val="center" w:pos="4680"/>
        <w:tab w:val="right" w:pos="9360"/>
      </w:tabs>
    </w:pPr>
  </w:style>
  <w:style w:type="character" w:customStyle="1" w:styleId="HeaderChar">
    <w:name w:val="Header Char"/>
    <w:basedOn w:val="DefaultParagraphFont"/>
    <w:link w:val="Header"/>
    <w:uiPriority w:val="99"/>
    <w:semiHidden/>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0B52"/>
    <w:rPr>
      <w:sz w:val="20"/>
      <w:szCs w:val="20"/>
    </w:rPr>
  </w:style>
  <w:style w:type="character" w:customStyle="1" w:styleId="FootnoteTextChar">
    <w:name w:val="Footnote Text Char"/>
    <w:basedOn w:val="DefaultParagraphFont"/>
    <w:link w:val="FootnoteText"/>
    <w:uiPriority w:val="99"/>
    <w:semiHidden/>
    <w:rsid w:val="00780B5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 w:type="character" w:customStyle="1" w:styleId="BodyTextFirstIndentChar">
    <w:name w:val="Body Text First Indent Char"/>
    <w:aliases w:val="Body Text 4 Char"/>
    <w:basedOn w:val="BodyTextChar"/>
    <w:link w:val="BodyTextFirstIndent"/>
    <w:locked/>
    <w:rsid w:val="009B4689"/>
    <w:rPr>
      <w:rFonts w:ascii="Arial" w:eastAsia="Times New Roman" w:hAnsi="Arial" w:cs="Times New Roman"/>
      <w:sz w:val="19"/>
      <w:szCs w:val="24"/>
    </w:rPr>
  </w:style>
  <w:style w:type="paragraph" w:styleId="BodyText">
    <w:name w:val="Body Text"/>
    <w:basedOn w:val="Normal"/>
    <w:link w:val="BodyTextChar"/>
    <w:uiPriority w:val="99"/>
    <w:semiHidden/>
    <w:unhideWhenUsed/>
    <w:rsid w:val="009B4689"/>
    <w:pPr>
      <w:spacing w:after="120"/>
    </w:pPr>
  </w:style>
  <w:style w:type="character" w:customStyle="1" w:styleId="BodyTextChar">
    <w:name w:val="Body Text Char"/>
    <w:basedOn w:val="DefaultParagraphFont"/>
    <w:link w:val="BodyText"/>
    <w:uiPriority w:val="99"/>
    <w:semiHidden/>
    <w:rsid w:val="009B4689"/>
    <w:rPr>
      <w:rFonts w:ascii="Times New Roman" w:eastAsia="Times New Roman" w:hAnsi="Times New Roman" w:cs="Times New Roman"/>
      <w:sz w:val="24"/>
      <w:szCs w:val="24"/>
    </w:rPr>
  </w:style>
  <w:style w:type="paragraph" w:styleId="BodyTextFirstIndent">
    <w:name w:val="Body Text First Indent"/>
    <w:aliases w:val="Body Text 4"/>
    <w:basedOn w:val="BodyText"/>
    <w:link w:val="BodyTextFirstIndentChar"/>
    <w:unhideWhenUsed/>
    <w:rsid w:val="009B4689"/>
    <w:pPr>
      <w:spacing w:before="60" w:after="60"/>
      <w:ind w:left="504" w:right="432" w:hanging="432"/>
    </w:pPr>
    <w:rPr>
      <w:rFonts w:ascii="Arial" w:hAnsi="Arial"/>
      <w:sz w:val="19"/>
    </w:rPr>
  </w:style>
  <w:style w:type="character" w:customStyle="1" w:styleId="BodyTextFirstIndentChar1">
    <w:name w:val="Body Text First Indent Char1"/>
    <w:basedOn w:val="BodyTextChar"/>
    <w:uiPriority w:val="99"/>
    <w:semiHidden/>
    <w:rsid w:val="009B4689"/>
    <w:rPr>
      <w:rFonts w:ascii="Times New Roman" w:eastAsia="Times New Roman" w:hAnsi="Times New Roman" w:cs="Times New Roman"/>
      <w:sz w:val="24"/>
      <w:szCs w:val="24"/>
    </w:rPr>
  </w:style>
  <w:style w:type="paragraph" w:customStyle="1" w:styleId="SecNo">
    <w:name w:val="SecNo"/>
    <w:basedOn w:val="Normal"/>
    <w:next w:val="Normal"/>
    <w:rsid w:val="009B4689"/>
    <w:pPr>
      <w:keepNext/>
      <w:autoSpaceDE w:val="0"/>
      <w:autoSpaceDN w:val="0"/>
      <w:adjustRightInd w:val="0"/>
      <w:jc w:val="center"/>
      <w:outlineLvl w:val="3"/>
    </w:pPr>
    <w:rPr>
      <w:rFonts w:ascii="Arial" w:hAnsi="Arial"/>
      <w:b/>
      <w:bCs/>
      <w:sz w:val="40"/>
      <w:szCs w:val="28"/>
    </w:rPr>
  </w:style>
  <w:style w:type="paragraph" w:customStyle="1" w:styleId="bulleted">
    <w:name w:val="bulleted"/>
    <w:rsid w:val="009B4689"/>
    <w:pPr>
      <w:numPr>
        <w:numId w:val="30"/>
      </w:numPr>
      <w:spacing w:before="60"/>
      <w:ind w:left="288" w:hanging="288"/>
    </w:pPr>
    <w:rPr>
      <w:rFonts w:ascii="Arial" w:eastAsia="Times New Roman" w:hAnsi="Arial"/>
      <w:bCs/>
      <w:color w:val="000000"/>
      <w:sz w:val="19"/>
      <w:szCs w:val="19"/>
    </w:rPr>
  </w:style>
  <w:style w:type="paragraph" w:customStyle="1" w:styleId="BQuest">
    <w:name w:val="B_Quest"/>
    <w:basedOn w:val="Normal"/>
    <w:qFormat/>
    <w:rsid w:val="009B4689"/>
    <w:pPr>
      <w:spacing w:after="60"/>
    </w:pPr>
    <w:rPr>
      <w:rFonts w:ascii="Arial" w:hAnsi="Arial" w:cs="Arial"/>
      <w:b/>
      <w:bCs/>
      <w:color w:val="000000"/>
      <w:sz w:val="20"/>
      <w:szCs w:val="20"/>
    </w:rPr>
  </w:style>
  <w:style w:type="paragraph" w:customStyle="1" w:styleId="bulletedind">
    <w:name w:val="bulleted_ind"/>
    <w:basedOn w:val="bulleted"/>
    <w:qFormat/>
    <w:rsid w:val="009B4689"/>
    <w:pPr>
      <w:tabs>
        <w:tab w:val="left" w:pos="450"/>
        <w:tab w:val="right" w:leader="dot" w:pos="5459"/>
      </w:tabs>
      <w:ind w:left="432" w:right="144"/>
    </w:pPr>
  </w:style>
  <w:style w:type="paragraph" w:customStyle="1" w:styleId="BodyText10">
    <w:name w:val="Body Text_10"/>
    <w:basedOn w:val="BodyText"/>
    <w:qFormat/>
    <w:rsid w:val="009B4689"/>
    <w:pPr>
      <w:spacing w:before="240" w:line="240" w:lineRule="atLeast"/>
    </w:pPr>
    <w:rPr>
      <w:rFonts w:ascii="Arial" w:hAnsi="Arial"/>
      <w:sz w:val="20"/>
    </w:rPr>
  </w:style>
  <w:style w:type="character" w:customStyle="1" w:styleId="apple-style-span">
    <w:name w:val="apple-style-span"/>
    <w:basedOn w:val="DefaultParagraphFont"/>
    <w:rsid w:val="009B4689"/>
  </w:style>
  <w:style w:type="character" w:customStyle="1" w:styleId="BodyTextChar0">
    <w:name w:val="BodyText Char"/>
    <w:basedOn w:val="DefaultParagraphFont"/>
    <w:link w:val="BodyText0"/>
    <w:locked/>
    <w:rsid w:val="00682108"/>
    <w:rPr>
      <w:rFonts w:cs="Calibri"/>
    </w:rPr>
  </w:style>
  <w:style w:type="paragraph" w:customStyle="1" w:styleId="BodyText0">
    <w:name w:val="BodyText"/>
    <w:basedOn w:val="Normal"/>
    <w:link w:val="BodyTextChar0"/>
    <w:rsid w:val="00682108"/>
    <w:pPr>
      <w:spacing w:after="200" w:line="276" w:lineRule="auto"/>
    </w:pPr>
    <w:rPr>
      <w:rFonts w:ascii="Calibri" w:eastAsia="Calibri" w:hAnsi="Calibri" w:cs="Calibri"/>
      <w:sz w:val="20"/>
      <w:szCs w:val="20"/>
    </w:rPr>
  </w:style>
  <w:style w:type="character" w:customStyle="1" w:styleId="LoginCredentialsChar">
    <w:name w:val="Login Credentials Char"/>
    <w:basedOn w:val="DefaultParagraphFont"/>
    <w:link w:val="LoginCredentials"/>
    <w:locked/>
    <w:rsid w:val="00682108"/>
    <w:rPr>
      <w:rFonts w:cs="Calibri"/>
    </w:rPr>
  </w:style>
  <w:style w:type="paragraph" w:customStyle="1" w:styleId="LoginCredentials">
    <w:name w:val="Login Credentials"/>
    <w:basedOn w:val="Normal"/>
    <w:link w:val="LoginCredentialsChar"/>
    <w:rsid w:val="00682108"/>
    <w:pPr>
      <w:spacing w:line="276" w:lineRule="auto"/>
      <w:ind w:left="2160" w:hanging="1440"/>
    </w:pPr>
    <w:rPr>
      <w:rFonts w:ascii="Calibri" w:eastAsia="Calibri" w:hAnsi="Calibri" w:cs="Calibri"/>
      <w:sz w:val="20"/>
      <w:szCs w:val="20"/>
    </w:rPr>
  </w:style>
  <w:style w:type="character" w:customStyle="1" w:styleId="LoginCredentialsLastLineChar">
    <w:name w:val="Login Credentials Last Line Char"/>
    <w:basedOn w:val="DefaultParagraphFont"/>
    <w:link w:val="LoginCredentialsLastLine"/>
    <w:locked/>
    <w:rsid w:val="00682108"/>
    <w:rPr>
      <w:rFonts w:cs="Calibri"/>
    </w:rPr>
  </w:style>
  <w:style w:type="paragraph" w:customStyle="1" w:styleId="LoginCredentialsLastLine">
    <w:name w:val="Login Credentials Last Line"/>
    <w:basedOn w:val="Normal"/>
    <w:link w:val="LoginCredentialsLastLineChar"/>
    <w:rsid w:val="00682108"/>
    <w:pPr>
      <w:spacing w:after="200" w:line="276" w:lineRule="auto"/>
      <w:ind w:left="2160" w:hanging="144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81303094">
      <w:bodyDiv w:val="1"/>
      <w:marLeft w:val="0"/>
      <w:marRight w:val="0"/>
      <w:marTop w:val="0"/>
      <w:marBottom w:val="0"/>
      <w:divBdr>
        <w:top w:val="none" w:sz="0" w:space="0" w:color="auto"/>
        <w:left w:val="none" w:sz="0" w:space="0" w:color="auto"/>
        <w:bottom w:val="none" w:sz="0" w:space="0" w:color="auto"/>
        <w:right w:val="none" w:sz="0" w:space="0" w:color="auto"/>
      </w:divBdr>
    </w:div>
    <w:div w:id="354620040">
      <w:bodyDiv w:val="1"/>
      <w:marLeft w:val="0"/>
      <w:marRight w:val="0"/>
      <w:marTop w:val="0"/>
      <w:marBottom w:val="0"/>
      <w:divBdr>
        <w:top w:val="none" w:sz="0" w:space="0" w:color="auto"/>
        <w:left w:val="none" w:sz="0" w:space="0" w:color="auto"/>
        <w:bottom w:val="none" w:sz="0" w:space="0" w:color="auto"/>
        <w:right w:val="none" w:sz="0" w:space="0" w:color="auto"/>
      </w:divBdr>
    </w:div>
    <w:div w:id="692995501">
      <w:bodyDiv w:val="1"/>
      <w:marLeft w:val="0"/>
      <w:marRight w:val="0"/>
      <w:marTop w:val="0"/>
      <w:marBottom w:val="0"/>
      <w:divBdr>
        <w:top w:val="none" w:sz="0" w:space="0" w:color="auto"/>
        <w:left w:val="none" w:sz="0" w:space="0" w:color="auto"/>
        <w:bottom w:val="none" w:sz="0" w:space="0" w:color="auto"/>
        <w:right w:val="none" w:sz="0" w:space="0" w:color="auto"/>
      </w:divBdr>
    </w:div>
    <w:div w:id="1693340546">
      <w:bodyDiv w:val="1"/>
      <w:marLeft w:val="0"/>
      <w:marRight w:val="0"/>
      <w:marTop w:val="0"/>
      <w:marBottom w:val="0"/>
      <w:divBdr>
        <w:top w:val="none" w:sz="0" w:space="0" w:color="auto"/>
        <w:left w:val="none" w:sz="0" w:space="0" w:color="auto"/>
        <w:bottom w:val="none" w:sz="0" w:space="0" w:color="auto"/>
        <w:right w:val="none" w:sz="0" w:space="0" w:color="auto"/>
      </w:divBdr>
    </w:div>
    <w:div w:id="17150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kkang@nsf.gov"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0402-5FDE-4999-8963-112472409A56}">
  <ds:schemaRefs>
    <ds:schemaRef ds:uri="http://schemas.openxmlformats.org/officeDocument/2006/bibliography"/>
  </ds:schemaRefs>
</ds:datastoreItem>
</file>

<file path=customXml/itemProps2.xml><?xml version="1.0" encoding="utf-8"?>
<ds:datastoreItem xmlns:ds="http://schemas.openxmlformats.org/officeDocument/2006/customXml" ds:itemID="{EFDDD072-D926-46D5-AE03-A8F952AC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7774</CharactersWithSpaces>
  <SharedDoc>false</SharedDoc>
  <HLinks>
    <vt:vector size="108" baseType="variant">
      <vt:variant>
        <vt:i4>2031674</vt:i4>
      </vt:variant>
      <vt:variant>
        <vt:i4>104</vt:i4>
      </vt:variant>
      <vt:variant>
        <vt:i4>0</vt:i4>
      </vt:variant>
      <vt:variant>
        <vt:i4>5</vt:i4>
      </vt:variant>
      <vt:variant>
        <vt:lpwstr/>
      </vt:variant>
      <vt:variant>
        <vt:lpwstr>_Toc243299270</vt:lpwstr>
      </vt:variant>
      <vt:variant>
        <vt:i4>1966138</vt:i4>
      </vt:variant>
      <vt:variant>
        <vt:i4>98</vt:i4>
      </vt:variant>
      <vt:variant>
        <vt:i4>0</vt:i4>
      </vt:variant>
      <vt:variant>
        <vt:i4>5</vt:i4>
      </vt:variant>
      <vt:variant>
        <vt:lpwstr/>
      </vt:variant>
      <vt:variant>
        <vt:lpwstr>_Toc243299269</vt:lpwstr>
      </vt:variant>
      <vt:variant>
        <vt:i4>1966138</vt:i4>
      </vt:variant>
      <vt:variant>
        <vt:i4>92</vt:i4>
      </vt:variant>
      <vt:variant>
        <vt:i4>0</vt:i4>
      </vt:variant>
      <vt:variant>
        <vt:i4>5</vt:i4>
      </vt:variant>
      <vt:variant>
        <vt:lpwstr/>
      </vt:variant>
      <vt:variant>
        <vt:lpwstr>_Toc243299268</vt:lpwstr>
      </vt:variant>
      <vt:variant>
        <vt:i4>1966138</vt:i4>
      </vt:variant>
      <vt:variant>
        <vt:i4>86</vt:i4>
      </vt:variant>
      <vt:variant>
        <vt:i4>0</vt:i4>
      </vt:variant>
      <vt:variant>
        <vt:i4>5</vt:i4>
      </vt:variant>
      <vt:variant>
        <vt:lpwstr/>
      </vt:variant>
      <vt:variant>
        <vt:lpwstr>_Toc243299267</vt:lpwstr>
      </vt:variant>
      <vt:variant>
        <vt:i4>1966138</vt:i4>
      </vt:variant>
      <vt:variant>
        <vt:i4>80</vt:i4>
      </vt:variant>
      <vt:variant>
        <vt:i4>0</vt:i4>
      </vt:variant>
      <vt:variant>
        <vt:i4>5</vt:i4>
      </vt:variant>
      <vt:variant>
        <vt:lpwstr/>
      </vt:variant>
      <vt:variant>
        <vt:lpwstr>_Toc243299266</vt:lpwstr>
      </vt:variant>
      <vt:variant>
        <vt:i4>1966138</vt:i4>
      </vt:variant>
      <vt:variant>
        <vt:i4>74</vt:i4>
      </vt:variant>
      <vt:variant>
        <vt:i4>0</vt:i4>
      </vt:variant>
      <vt:variant>
        <vt:i4>5</vt:i4>
      </vt:variant>
      <vt:variant>
        <vt:lpwstr/>
      </vt:variant>
      <vt:variant>
        <vt:lpwstr>_Toc243299265</vt:lpwstr>
      </vt:variant>
      <vt:variant>
        <vt:i4>1966138</vt:i4>
      </vt:variant>
      <vt:variant>
        <vt:i4>68</vt:i4>
      </vt:variant>
      <vt:variant>
        <vt:i4>0</vt:i4>
      </vt:variant>
      <vt:variant>
        <vt:i4>5</vt:i4>
      </vt:variant>
      <vt:variant>
        <vt:lpwstr/>
      </vt:variant>
      <vt:variant>
        <vt:lpwstr>_Toc243299264</vt:lpwstr>
      </vt:variant>
      <vt:variant>
        <vt:i4>1966138</vt:i4>
      </vt:variant>
      <vt:variant>
        <vt:i4>62</vt:i4>
      </vt:variant>
      <vt:variant>
        <vt:i4>0</vt:i4>
      </vt:variant>
      <vt:variant>
        <vt:i4>5</vt:i4>
      </vt:variant>
      <vt:variant>
        <vt:lpwstr/>
      </vt:variant>
      <vt:variant>
        <vt:lpwstr>_Toc243299263</vt:lpwstr>
      </vt:variant>
      <vt:variant>
        <vt:i4>1966138</vt:i4>
      </vt:variant>
      <vt:variant>
        <vt:i4>56</vt:i4>
      </vt:variant>
      <vt:variant>
        <vt:i4>0</vt:i4>
      </vt:variant>
      <vt:variant>
        <vt:i4>5</vt:i4>
      </vt:variant>
      <vt:variant>
        <vt:lpwstr/>
      </vt:variant>
      <vt:variant>
        <vt:lpwstr>_Toc243299262</vt:lpwstr>
      </vt:variant>
      <vt:variant>
        <vt:i4>1966138</vt:i4>
      </vt:variant>
      <vt:variant>
        <vt:i4>50</vt:i4>
      </vt:variant>
      <vt:variant>
        <vt:i4>0</vt:i4>
      </vt:variant>
      <vt:variant>
        <vt:i4>5</vt:i4>
      </vt:variant>
      <vt:variant>
        <vt:lpwstr/>
      </vt:variant>
      <vt:variant>
        <vt:lpwstr>_Toc243299261</vt:lpwstr>
      </vt:variant>
      <vt:variant>
        <vt:i4>1966138</vt:i4>
      </vt:variant>
      <vt:variant>
        <vt:i4>44</vt:i4>
      </vt:variant>
      <vt:variant>
        <vt:i4>0</vt:i4>
      </vt:variant>
      <vt:variant>
        <vt:i4>5</vt:i4>
      </vt:variant>
      <vt:variant>
        <vt:lpwstr/>
      </vt:variant>
      <vt:variant>
        <vt:lpwstr>_Toc243299260</vt:lpwstr>
      </vt:variant>
      <vt:variant>
        <vt:i4>1900602</vt:i4>
      </vt:variant>
      <vt:variant>
        <vt:i4>38</vt:i4>
      </vt:variant>
      <vt:variant>
        <vt:i4>0</vt:i4>
      </vt:variant>
      <vt:variant>
        <vt:i4>5</vt:i4>
      </vt:variant>
      <vt:variant>
        <vt:lpwstr/>
      </vt:variant>
      <vt:variant>
        <vt:lpwstr>_Toc243299259</vt:lpwstr>
      </vt:variant>
      <vt:variant>
        <vt:i4>1900602</vt:i4>
      </vt:variant>
      <vt:variant>
        <vt:i4>32</vt:i4>
      </vt:variant>
      <vt:variant>
        <vt:i4>0</vt:i4>
      </vt:variant>
      <vt:variant>
        <vt:i4>5</vt:i4>
      </vt:variant>
      <vt:variant>
        <vt:lpwstr/>
      </vt:variant>
      <vt:variant>
        <vt:lpwstr>_Toc243299258</vt:lpwstr>
      </vt:variant>
      <vt:variant>
        <vt:i4>1900602</vt:i4>
      </vt:variant>
      <vt:variant>
        <vt:i4>26</vt:i4>
      </vt:variant>
      <vt:variant>
        <vt:i4>0</vt:i4>
      </vt:variant>
      <vt:variant>
        <vt:i4>5</vt:i4>
      </vt:variant>
      <vt:variant>
        <vt:lpwstr/>
      </vt:variant>
      <vt:variant>
        <vt:lpwstr>_Toc243299257</vt:lpwstr>
      </vt:variant>
      <vt:variant>
        <vt:i4>1900602</vt:i4>
      </vt:variant>
      <vt:variant>
        <vt:i4>20</vt:i4>
      </vt:variant>
      <vt:variant>
        <vt:i4>0</vt:i4>
      </vt:variant>
      <vt:variant>
        <vt:i4>5</vt:i4>
      </vt:variant>
      <vt:variant>
        <vt:lpwstr/>
      </vt:variant>
      <vt:variant>
        <vt:lpwstr>_Toc243299256</vt:lpwstr>
      </vt:variant>
      <vt:variant>
        <vt:i4>1900602</vt:i4>
      </vt:variant>
      <vt:variant>
        <vt:i4>14</vt:i4>
      </vt:variant>
      <vt:variant>
        <vt:i4>0</vt:i4>
      </vt:variant>
      <vt:variant>
        <vt:i4>5</vt:i4>
      </vt:variant>
      <vt:variant>
        <vt:lpwstr/>
      </vt:variant>
      <vt:variant>
        <vt:lpwstr>_Toc243299255</vt:lpwstr>
      </vt:variant>
      <vt:variant>
        <vt:i4>1900602</vt:i4>
      </vt:variant>
      <vt:variant>
        <vt:i4>8</vt:i4>
      </vt:variant>
      <vt:variant>
        <vt:i4>0</vt:i4>
      </vt:variant>
      <vt:variant>
        <vt:i4>5</vt:i4>
      </vt:variant>
      <vt:variant>
        <vt:lpwstr/>
      </vt:variant>
      <vt:variant>
        <vt:lpwstr>_Toc243299254</vt:lpwstr>
      </vt:variant>
      <vt:variant>
        <vt:i4>1900602</vt:i4>
      </vt:variant>
      <vt:variant>
        <vt:i4>2</vt:i4>
      </vt:variant>
      <vt:variant>
        <vt:i4>0</vt:i4>
      </vt:variant>
      <vt:variant>
        <vt:i4>5</vt:i4>
      </vt:variant>
      <vt:variant>
        <vt:lpwstr/>
      </vt:variant>
      <vt:variant>
        <vt:lpwstr>_Toc243299253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jlennon</dc:creator>
  <cp:lastModifiedBy>splimpto</cp:lastModifiedBy>
  <cp:revision>3</cp:revision>
  <cp:lastPrinted>2013-05-17T12:59:00Z</cp:lastPrinted>
  <dcterms:created xsi:type="dcterms:W3CDTF">2013-05-17T13:08:00Z</dcterms:created>
  <dcterms:modified xsi:type="dcterms:W3CDTF">2013-05-17T17:33:00Z</dcterms:modified>
</cp:coreProperties>
</file>