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C87" w:rsidRPr="002927ED" w:rsidRDefault="00E72C87" w:rsidP="00E72C87">
      <w:r w:rsidRPr="002927ED">
        <w:t>MEMORANDUM</w:t>
      </w:r>
    </w:p>
    <w:p w:rsidR="00E72C87" w:rsidRPr="002927ED" w:rsidRDefault="00E72C87" w:rsidP="00E72C87"/>
    <w:p w:rsidR="00E72C87" w:rsidRPr="002927ED" w:rsidRDefault="00E72C87" w:rsidP="00E72C87">
      <w:r w:rsidRPr="002927ED">
        <w:t>Date:</w:t>
      </w:r>
      <w:r w:rsidRPr="002927ED">
        <w:tab/>
      </w:r>
      <w:r w:rsidRPr="002927ED">
        <w:tab/>
      </w:r>
      <w:r>
        <w:t>March 12, 2015</w:t>
      </w:r>
    </w:p>
    <w:p w:rsidR="00E72C87" w:rsidRPr="002927ED" w:rsidRDefault="00E72C87" w:rsidP="00E72C87"/>
    <w:p w:rsidR="00E72C87" w:rsidRPr="002927ED" w:rsidRDefault="00E72C87" w:rsidP="00E72C87">
      <w:r w:rsidRPr="002927ED">
        <w:t>To:</w:t>
      </w:r>
      <w:r w:rsidRPr="002927ED">
        <w:tab/>
      </w:r>
      <w:r w:rsidRPr="002927ED">
        <w:tab/>
        <w:t>Shelly Wilkie Martinez, Desk Officer</w:t>
      </w:r>
    </w:p>
    <w:p w:rsidR="00E72C87" w:rsidRPr="002927ED" w:rsidRDefault="00E72C87" w:rsidP="00E72C87">
      <w:r w:rsidRPr="002927ED">
        <w:tab/>
      </w:r>
      <w:r w:rsidRPr="002927ED">
        <w:tab/>
        <w:t>Office of Management and Budget</w:t>
      </w:r>
    </w:p>
    <w:p w:rsidR="00E72C87" w:rsidRPr="002927ED" w:rsidRDefault="00E72C87" w:rsidP="00E72C87"/>
    <w:p w:rsidR="00E72C87" w:rsidRPr="002927ED" w:rsidRDefault="00E72C87" w:rsidP="00E72C87">
      <w:r w:rsidRPr="002927ED">
        <w:t>From:</w:t>
      </w:r>
      <w:r w:rsidRPr="002927ED">
        <w:tab/>
      </w:r>
      <w:r w:rsidRPr="002927ED">
        <w:tab/>
        <w:t>John R. Gawalt, Director</w:t>
      </w:r>
    </w:p>
    <w:p w:rsidR="00E72C87" w:rsidRPr="002927ED" w:rsidRDefault="00E72C87" w:rsidP="00E72C87">
      <w:r w:rsidRPr="002927ED">
        <w:tab/>
      </w:r>
      <w:r w:rsidRPr="002927ED">
        <w:tab/>
        <w:t>National Center for Science &amp; Engineering Statistics</w:t>
      </w:r>
    </w:p>
    <w:p w:rsidR="00E72C87" w:rsidRPr="002927ED" w:rsidRDefault="00E72C87" w:rsidP="00E72C87">
      <w:r w:rsidRPr="002927ED">
        <w:tab/>
      </w:r>
      <w:r w:rsidRPr="002927ED">
        <w:tab/>
        <w:t>National Science Foundation</w:t>
      </w:r>
    </w:p>
    <w:p w:rsidR="00E72C87" w:rsidRPr="002927ED" w:rsidRDefault="00E72C87" w:rsidP="00E72C87"/>
    <w:p w:rsidR="00E72C87" w:rsidRPr="002927ED" w:rsidRDefault="00E72C87" w:rsidP="00E72C87">
      <w:r w:rsidRPr="002927ED">
        <w:t>Via:</w:t>
      </w:r>
      <w:r w:rsidRPr="002927ED">
        <w:tab/>
      </w:r>
      <w:r w:rsidRPr="002927ED">
        <w:tab/>
        <w:t>Suzanne Plimpton, Clearance Officer</w:t>
      </w:r>
    </w:p>
    <w:p w:rsidR="00E72C87" w:rsidRPr="002927ED" w:rsidRDefault="00E72C87" w:rsidP="00E72C87">
      <w:r w:rsidRPr="002927ED">
        <w:tab/>
      </w:r>
      <w:r w:rsidRPr="002927ED">
        <w:tab/>
        <w:t>National Science Foundation</w:t>
      </w:r>
    </w:p>
    <w:p w:rsidR="00E72C87" w:rsidRPr="002927ED" w:rsidRDefault="00E72C87" w:rsidP="00E72C87"/>
    <w:p w:rsidR="00E72C87" w:rsidRPr="002927ED" w:rsidRDefault="00E72C87" w:rsidP="00E72C87">
      <w:pPr>
        <w:tabs>
          <w:tab w:val="left" w:pos="1440"/>
        </w:tabs>
        <w:ind w:left="1440" w:hanging="1440"/>
      </w:pPr>
      <w:r w:rsidRPr="002927ED">
        <w:t>Subject:</w:t>
      </w:r>
      <w:r w:rsidRPr="002927ED">
        <w:tab/>
      </w:r>
      <w:r>
        <w:t>Notification of data collection under generic clearance</w:t>
      </w:r>
      <w:r w:rsidRPr="002927ED">
        <w:t xml:space="preserve"> (3145-0174)</w:t>
      </w:r>
    </w:p>
    <w:p w:rsidR="00E72C87" w:rsidRPr="002927ED" w:rsidRDefault="00E72C87" w:rsidP="00E72C87"/>
    <w:p w:rsidR="00E72C87" w:rsidRDefault="00E72C87" w:rsidP="00E72C87">
      <w:r>
        <w:t xml:space="preserve">The purpose of this memorandum is to inform you that </w:t>
      </w:r>
      <w:r>
        <w:rPr>
          <w:snapToGrid w:val="0"/>
        </w:rPr>
        <w:t>the National Center for Science and Engineering Statistics (NCSES) of the National Science Foundation (NSF)</w:t>
      </w:r>
      <w:r>
        <w:t xml:space="preserve"> plans to conduct cognitive interviews for the Survey of Earned Doctorates (SED) under the generic clearance of survey improvement projects (OMB #3145-0174). </w:t>
      </w:r>
    </w:p>
    <w:p w:rsidR="00E72C87" w:rsidRDefault="00E72C87" w:rsidP="00E72C87"/>
    <w:p w:rsidR="00E72C87" w:rsidRDefault="00E72C87" w:rsidP="00E72C87">
      <w:r>
        <w:t xml:space="preserve">The objectives of the cognitive interviews are to evaluate the SED content, identify potential sources of response error and make improvements for the 2017 SED. </w:t>
      </w:r>
      <w:r>
        <w:rPr>
          <w:rFonts w:eastAsiaTheme="minorHAnsi"/>
        </w:rPr>
        <w:t xml:space="preserve">NSF plans to conduct four rounds </w:t>
      </w:r>
      <w:r w:rsidRPr="00ED3FC7">
        <w:rPr>
          <w:rFonts w:eastAsiaTheme="minorHAnsi"/>
        </w:rPr>
        <w:t>of c</w:t>
      </w:r>
      <w:r w:rsidRPr="00ED3FC7">
        <w:t xml:space="preserve">ognitive interviews </w:t>
      </w:r>
      <w:r>
        <w:t>between February and August</w:t>
      </w:r>
      <w:r w:rsidRPr="00ED3FC7">
        <w:t xml:space="preserve"> 2015 </w:t>
      </w:r>
      <w:r>
        <w:t>using the 2015 SED questionnaire.</w:t>
      </w:r>
    </w:p>
    <w:p w:rsidR="00E72C87" w:rsidRDefault="00E72C87" w:rsidP="00E72C87"/>
    <w:p w:rsidR="00E72C87" w:rsidRPr="002F714C" w:rsidRDefault="00E72C87" w:rsidP="00E72C87">
      <w:r w:rsidRPr="009551FE">
        <w:rPr>
          <w:b/>
        </w:rPr>
        <w:t>Background</w:t>
      </w:r>
    </w:p>
    <w:p w:rsidR="00E72C87" w:rsidRPr="002927ED" w:rsidRDefault="00E72C87" w:rsidP="00E72C87"/>
    <w:p w:rsidR="00E72C87" w:rsidRPr="00ED3FC7" w:rsidRDefault="00E72C87" w:rsidP="00E72C87">
      <w:r w:rsidRPr="00ED3FC7">
        <w:t xml:space="preserve">The </w:t>
      </w:r>
      <w:r>
        <w:t>SED</w:t>
      </w:r>
      <w:r w:rsidRPr="00ED3FC7">
        <w:t xml:space="preserve"> has been conducted annually since 1957. The survey collects data on the number and characteristics of all individuals receiving research doctoral d</w:t>
      </w:r>
      <w:r>
        <w:t xml:space="preserve">egrees from all accredited US </w:t>
      </w:r>
      <w:r w:rsidRPr="00ED3FC7">
        <w:t>institutions. The results of this annual survey are used to assess characteristics and trends in doctora</w:t>
      </w:r>
      <w:r>
        <w:t>l</w:t>
      </w:r>
      <w:r w:rsidRPr="00ED3FC7">
        <w:t xml:space="preserve"> education and degrees. The current SED </w:t>
      </w:r>
      <w:r>
        <w:t xml:space="preserve">paper </w:t>
      </w:r>
      <w:r w:rsidRPr="00ED3FC7">
        <w:t>survey questionnaire is provided for reference in Attachment</w:t>
      </w:r>
      <w:r>
        <w:t xml:space="preserve"> 1</w:t>
      </w:r>
      <w:r w:rsidRPr="00ED3FC7">
        <w:t xml:space="preserve">. </w:t>
      </w:r>
      <w:r>
        <w:rPr>
          <w:rFonts w:eastAsiaTheme="minorHAnsi"/>
        </w:rPr>
        <w:t>Results from p</w:t>
      </w:r>
      <w:r w:rsidRPr="00ED3FC7">
        <w:rPr>
          <w:rFonts w:eastAsiaTheme="minorHAnsi"/>
        </w:rPr>
        <w:t xml:space="preserve">revious research </w:t>
      </w:r>
      <w:r>
        <w:rPr>
          <w:rFonts w:eastAsiaTheme="minorHAnsi"/>
        </w:rPr>
        <w:t>indicated several areas where the SED questionnaire might be improved</w:t>
      </w:r>
    </w:p>
    <w:p w:rsidR="00E72C87" w:rsidRDefault="00E72C87" w:rsidP="00E72C87"/>
    <w:p w:rsidR="00E72C87" w:rsidRPr="002927ED" w:rsidRDefault="00E72C87" w:rsidP="00E72C87">
      <w:pPr>
        <w:rPr>
          <w:b/>
        </w:rPr>
      </w:pPr>
      <w:r w:rsidRPr="002927ED">
        <w:rPr>
          <w:b/>
        </w:rPr>
        <w:t>Purpose</w:t>
      </w:r>
    </w:p>
    <w:p w:rsidR="00E72C87" w:rsidRDefault="00E72C87" w:rsidP="00E72C87"/>
    <w:p w:rsidR="00E72C87" w:rsidRPr="004705CD" w:rsidRDefault="00E72C87" w:rsidP="00E72C87">
      <w:r>
        <w:rPr>
          <w:rFonts w:eastAsiaTheme="minorHAnsi"/>
        </w:rPr>
        <w:t>The</w:t>
      </w:r>
      <w:r w:rsidRPr="00ED3FC7">
        <w:t xml:space="preserve"> cognitive interviews will </w:t>
      </w:r>
      <w:r>
        <w:t xml:space="preserve">be conducted to </w:t>
      </w:r>
      <w:r w:rsidRPr="00ED3FC7">
        <w:t xml:space="preserve">identify </w:t>
      </w:r>
      <w:r>
        <w:t>issues with question content, organization, and ordering. Improvements are expected to r</w:t>
      </w:r>
      <w:r w:rsidRPr="00A00CF8">
        <w:rPr>
          <w:rFonts w:eastAsiaTheme="minorHAnsi"/>
        </w:rPr>
        <w:t xml:space="preserve">educe </w:t>
      </w:r>
      <w:r w:rsidRPr="00BA7B98">
        <w:rPr>
          <w:rFonts w:eastAsiaTheme="minorHAnsi"/>
        </w:rPr>
        <w:t>respondent burden and</w:t>
      </w:r>
      <w:r w:rsidRPr="00D31910">
        <w:rPr>
          <w:rFonts w:eastAsiaTheme="minorHAnsi"/>
        </w:rPr>
        <w:t xml:space="preserve"> time spent on post-data-collection editing to resolve discrepancies</w:t>
      </w:r>
      <w:r>
        <w:rPr>
          <w:rFonts w:eastAsiaTheme="minorHAnsi"/>
        </w:rPr>
        <w:t xml:space="preserve">. </w:t>
      </w:r>
      <w:r w:rsidRPr="007A2477">
        <w:t>While a few new items (on topics such as joint degree programs and employment expectations of students without a firm postgraduation plan) may be developed and tested as part of th</w:t>
      </w:r>
      <w:r>
        <w:t xml:space="preserve">is effort, </w:t>
      </w:r>
      <w:r w:rsidRPr="007A2477">
        <w:t xml:space="preserve">item development is not the </w:t>
      </w:r>
      <w:r>
        <w:t xml:space="preserve">main </w:t>
      </w:r>
      <w:r w:rsidRPr="007A2477">
        <w:t>focus</w:t>
      </w:r>
      <w:r>
        <w:t xml:space="preserve">. </w:t>
      </w:r>
      <w:r w:rsidRPr="004705CD">
        <w:t>The cognitive interviews will assess</w:t>
      </w:r>
      <w:r>
        <w:t xml:space="preserve">: </w:t>
      </w:r>
    </w:p>
    <w:p w:rsidR="00E72C87" w:rsidRPr="004705CD" w:rsidRDefault="00E72C87" w:rsidP="00E72C87">
      <w:pPr>
        <w:pStyle w:val="NORC-Bullet1"/>
        <w:numPr>
          <w:ilvl w:val="0"/>
          <w:numId w:val="3"/>
        </w:numPr>
        <w:spacing w:after="0"/>
      </w:pPr>
      <w:r>
        <w:t>Respondent</w:t>
      </w:r>
      <w:r w:rsidRPr="004705CD">
        <w:t>s</w:t>
      </w:r>
      <w:r>
        <w:t>’</w:t>
      </w:r>
      <w:r w:rsidRPr="004705CD">
        <w:t xml:space="preserve"> understanding of terms in the survey</w:t>
      </w:r>
    </w:p>
    <w:p w:rsidR="00E72C87" w:rsidRPr="004705CD" w:rsidRDefault="00E72C87" w:rsidP="00E72C87">
      <w:pPr>
        <w:pStyle w:val="NORC-Bullet1"/>
        <w:numPr>
          <w:ilvl w:val="0"/>
          <w:numId w:val="3"/>
        </w:numPr>
        <w:spacing w:after="0"/>
      </w:pPr>
      <w:r w:rsidRPr="004705CD">
        <w:t xml:space="preserve">How confident </w:t>
      </w:r>
      <w:r>
        <w:t>respondents are</w:t>
      </w:r>
      <w:r w:rsidRPr="004705CD">
        <w:t xml:space="preserve"> in their response</w:t>
      </w:r>
      <w:r>
        <w:t>s</w:t>
      </w:r>
    </w:p>
    <w:p w:rsidR="00E72C87" w:rsidRPr="004705CD" w:rsidRDefault="00E72C87" w:rsidP="00E72C87">
      <w:pPr>
        <w:pStyle w:val="NORC-Bullet1"/>
        <w:numPr>
          <w:ilvl w:val="0"/>
          <w:numId w:val="3"/>
        </w:numPr>
        <w:spacing w:after="0"/>
      </w:pPr>
      <w:r w:rsidRPr="004705CD">
        <w:t xml:space="preserve">How they remembered the information they provided in </w:t>
      </w:r>
      <w:r>
        <w:t xml:space="preserve">response to </w:t>
      </w:r>
      <w:r w:rsidRPr="004705CD">
        <w:t>factual questions</w:t>
      </w:r>
    </w:p>
    <w:p w:rsidR="00E72C87" w:rsidRPr="004705CD" w:rsidRDefault="00E72C87" w:rsidP="00E72C87">
      <w:pPr>
        <w:pStyle w:val="NORC-Bullet1"/>
        <w:numPr>
          <w:ilvl w:val="0"/>
          <w:numId w:val="3"/>
        </w:numPr>
        <w:spacing w:after="0"/>
      </w:pPr>
      <w:r w:rsidRPr="004705CD">
        <w:lastRenderedPageBreak/>
        <w:t xml:space="preserve">Whether they found a response </w:t>
      </w:r>
      <w:r>
        <w:t>option</w:t>
      </w:r>
      <w:r w:rsidRPr="004705CD">
        <w:t xml:space="preserve"> that fit their answer</w:t>
      </w:r>
    </w:p>
    <w:p w:rsidR="00E72C87" w:rsidRPr="004705CD" w:rsidRDefault="00E72C87" w:rsidP="00E72C87">
      <w:pPr>
        <w:pStyle w:val="NORC-Bullet1"/>
        <w:numPr>
          <w:ilvl w:val="0"/>
          <w:numId w:val="3"/>
        </w:numPr>
        <w:spacing w:after="0"/>
      </w:pPr>
      <w:r w:rsidRPr="004705CD">
        <w:t>How easy or difficult it is to answer a question</w:t>
      </w:r>
    </w:p>
    <w:p w:rsidR="00E72C87" w:rsidRPr="004705CD" w:rsidRDefault="00E72C87" w:rsidP="00E72C87">
      <w:pPr>
        <w:pStyle w:val="NORC-Bullet1"/>
        <w:numPr>
          <w:ilvl w:val="0"/>
          <w:numId w:val="3"/>
        </w:numPr>
        <w:spacing w:after="0"/>
      </w:pPr>
      <w:r w:rsidRPr="004705CD">
        <w:t>Issues with sensitive questions</w:t>
      </w:r>
    </w:p>
    <w:p w:rsidR="00E72C87" w:rsidRPr="00ED3FC7" w:rsidRDefault="00E72C87" w:rsidP="00E72C87">
      <w:pPr>
        <w:pStyle w:val="NORC-Bullet1"/>
        <w:numPr>
          <w:ilvl w:val="0"/>
          <w:numId w:val="3"/>
        </w:numPr>
        <w:spacing w:after="0"/>
      </w:pPr>
      <w:r w:rsidRPr="004705CD">
        <w:t>Consistency of answers within the questionnaire and in comparison to the expected range of answers</w:t>
      </w:r>
    </w:p>
    <w:p w:rsidR="00E72C87" w:rsidRPr="00B223E0" w:rsidRDefault="00E72C87" w:rsidP="00E72C87">
      <w:pPr>
        <w:rPr>
          <w:b/>
          <w:sz w:val="23"/>
          <w:szCs w:val="23"/>
        </w:rPr>
      </w:pPr>
    </w:p>
    <w:p w:rsidR="00E72C87" w:rsidRPr="00B223E0" w:rsidRDefault="00E72C87" w:rsidP="00E72C87">
      <w:pPr>
        <w:rPr>
          <w:b/>
        </w:rPr>
      </w:pPr>
      <w:r w:rsidRPr="00B223E0">
        <w:rPr>
          <w:b/>
        </w:rPr>
        <w:t xml:space="preserve">Methodology </w:t>
      </w:r>
    </w:p>
    <w:p w:rsidR="00E72C87" w:rsidRPr="00D15263" w:rsidRDefault="00E72C87" w:rsidP="00E72C87">
      <w:pPr>
        <w:rPr>
          <w:b/>
        </w:rPr>
      </w:pPr>
    </w:p>
    <w:p w:rsidR="00E72C87" w:rsidRPr="007874DC" w:rsidRDefault="00E72C87" w:rsidP="00E72C87">
      <w:pPr>
        <w:rPr>
          <w:sz w:val="23"/>
          <w:szCs w:val="23"/>
        </w:rPr>
      </w:pPr>
      <w:r>
        <w:rPr>
          <w:i/>
        </w:rPr>
        <w:t xml:space="preserve">General Approach.  </w:t>
      </w:r>
      <w:r>
        <w:t>F</w:t>
      </w:r>
      <w:r w:rsidRPr="00D15263">
        <w:t xml:space="preserve">our rounds of cognitive interviews </w:t>
      </w:r>
      <w:r>
        <w:t xml:space="preserve">will be conducted </w:t>
      </w:r>
      <w:r w:rsidRPr="00D15263">
        <w:t xml:space="preserve">with up to 25 </w:t>
      </w:r>
      <w:r>
        <w:t>participants</w:t>
      </w:r>
      <w:r w:rsidRPr="00D15263">
        <w:t xml:space="preserve"> per round for a maximum total of 100 cognitive interviews. </w:t>
      </w:r>
      <w:r w:rsidRPr="00D15263">
        <w:rPr>
          <w:rFonts w:eastAsiaTheme="minorHAnsi"/>
        </w:rPr>
        <w:t xml:space="preserve">Interviewing in rounds will </w:t>
      </w:r>
      <w:r>
        <w:rPr>
          <w:rFonts w:eastAsiaTheme="minorHAnsi"/>
        </w:rPr>
        <w:t xml:space="preserve">allow an assessment of </w:t>
      </w:r>
      <w:r w:rsidRPr="00D15263">
        <w:rPr>
          <w:rFonts w:eastAsiaTheme="minorHAnsi"/>
        </w:rPr>
        <w:t>the effectiveness of a set of proposed instrument changes</w:t>
      </w:r>
      <w:r>
        <w:rPr>
          <w:rFonts w:eastAsiaTheme="minorHAnsi"/>
        </w:rPr>
        <w:t xml:space="preserve"> in one round. The instrument will then be</w:t>
      </w:r>
      <w:r w:rsidRPr="00D15263">
        <w:rPr>
          <w:rFonts w:eastAsiaTheme="minorHAnsi"/>
        </w:rPr>
        <w:t xml:space="preserve"> revise</w:t>
      </w:r>
      <w:r>
        <w:rPr>
          <w:rFonts w:eastAsiaTheme="minorHAnsi"/>
        </w:rPr>
        <w:t>d as needed, and</w:t>
      </w:r>
      <w:r w:rsidRPr="00D15263">
        <w:rPr>
          <w:rFonts w:eastAsiaTheme="minorHAnsi"/>
        </w:rPr>
        <w:t xml:space="preserve"> the revisions</w:t>
      </w:r>
      <w:r>
        <w:rPr>
          <w:rFonts w:eastAsiaTheme="minorHAnsi"/>
        </w:rPr>
        <w:t xml:space="preserve"> will be tested in the next round</w:t>
      </w:r>
      <w:r w:rsidRPr="00D15263">
        <w:rPr>
          <w:rFonts w:eastAsiaTheme="minorHAnsi"/>
        </w:rPr>
        <w:t>.</w:t>
      </w:r>
      <w:r>
        <w:rPr>
          <w:rFonts w:eastAsiaTheme="minorHAnsi"/>
        </w:rPr>
        <w:t xml:space="preserve">  The cognitive interview protocol is in Attachment 5. </w:t>
      </w:r>
      <w:r w:rsidRPr="00485B3C">
        <w:rPr>
          <w:rFonts w:eastAsiaTheme="minorHAnsi"/>
        </w:rPr>
        <w:t>The interviews will be audio-recorded</w:t>
      </w:r>
      <w:r>
        <w:rPr>
          <w:rFonts w:eastAsiaTheme="minorHAnsi"/>
        </w:rPr>
        <w:t xml:space="preserve"> if participant consent is granted</w:t>
      </w:r>
      <w:r w:rsidRPr="00485B3C">
        <w:rPr>
          <w:rFonts w:eastAsiaTheme="minorHAnsi"/>
        </w:rPr>
        <w:t>.</w:t>
      </w:r>
      <w:r>
        <w:rPr>
          <w:rFonts w:eastAsiaTheme="minorHAnsi"/>
        </w:rPr>
        <w:t xml:space="preserve">  </w:t>
      </w:r>
    </w:p>
    <w:p w:rsidR="00E72C87" w:rsidRDefault="00E72C87" w:rsidP="00E72C87">
      <w:pPr>
        <w:rPr>
          <w:rFonts w:eastAsiaTheme="minorHAnsi"/>
        </w:rPr>
      </w:pPr>
    </w:p>
    <w:p w:rsidR="00E72C87" w:rsidRPr="00791457" w:rsidRDefault="00E72C87" w:rsidP="00E72C87">
      <w:r w:rsidRPr="00F05020">
        <w:rPr>
          <w:rFonts w:eastAsiaTheme="minorHAnsi"/>
          <w:i/>
        </w:rPr>
        <w:t>Think-Aloud Interviews.</w:t>
      </w:r>
      <w:r>
        <w:rPr>
          <w:rFonts w:eastAsiaTheme="minorHAnsi"/>
        </w:rPr>
        <w:t xml:space="preserve"> </w:t>
      </w:r>
      <w:r w:rsidRPr="00D15263">
        <w:rPr>
          <w:rFonts w:eastAsiaTheme="minorHAnsi"/>
        </w:rPr>
        <w:t>Up to three rounds of interview</w:t>
      </w:r>
      <w:r>
        <w:rPr>
          <w:rFonts w:eastAsiaTheme="minorHAnsi"/>
        </w:rPr>
        <w:t>s</w:t>
      </w:r>
      <w:r w:rsidRPr="00D15263">
        <w:rPr>
          <w:rFonts w:eastAsiaTheme="minorHAnsi"/>
        </w:rPr>
        <w:t xml:space="preserve"> will </w:t>
      </w:r>
      <w:r>
        <w:rPr>
          <w:rFonts w:eastAsiaTheme="minorHAnsi"/>
        </w:rPr>
        <w:t xml:space="preserve">focus on </w:t>
      </w:r>
      <w:r w:rsidRPr="00D15263">
        <w:rPr>
          <w:rFonts w:eastAsiaTheme="minorHAnsi"/>
        </w:rPr>
        <w:t xml:space="preserve">improvements to question order and wording, introducing </w:t>
      </w:r>
      <w:r>
        <w:rPr>
          <w:rFonts w:eastAsiaTheme="minorHAnsi"/>
        </w:rPr>
        <w:t>or deleting</w:t>
      </w:r>
      <w:r w:rsidRPr="00D15263">
        <w:rPr>
          <w:rFonts w:eastAsiaTheme="minorHAnsi"/>
        </w:rPr>
        <w:t xml:space="preserve"> items</w:t>
      </w:r>
      <w:r>
        <w:rPr>
          <w:rFonts w:eastAsiaTheme="minorHAnsi"/>
        </w:rPr>
        <w:t>,</w:t>
      </w:r>
      <w:r w:rsidRPr="00D15263">
        <w:rPr>
          <w:rFonts w:eastAsiaTheme="minorHAnsi"/>
        </w:rPr>
        <w:t xml:space="preserve"> response categories,</w:t>
      </w:r>
      <w:r>
        <w:rPr>
          <w:rFonts w:eastAsiaTheme="minorHAnsi"/>
        </w:rPr>
        <w:t xml:space="preserve"> </w:t>
      </w:r>
      <w:r w:rsidRPr="00D15263">
        <w:rPr>
          <w:rFonts w:eastAsiaTheme="minorHAnsi"/>
        </w:rPr>
        <w:t>and instructions</w:t>
      </w:r>
      <w:r>
        <w:rPr>
          <w:rFonts w:eastAsiaTheme="minorHAnsi"/>
        </w:rPr>
        <w:t>, as needed</w:t>
      </w:r>
      <w:r w:rsidRPr="00D15263">
        <w:rPr>
          <w:rFonts w:eastAsiaTheme="minorHAnsi"/>
        </w:rPr>
        <w:t>.</w:t>
      </w:r>
      <w:r>
        <w:rPr>
          <w:rFonts w:eastAsiaTheme="minorHAnsi"/>
        </w:rPr>
        <w:t xml:space="preserve"> For these rounds of testing, the Think-Aloud approach will be used to have participants verbalize their thoughts as they complete the survey. T</w:t>
      </w:r>
      <w:r w:rsidRPr="00791457">
        <w:t>he interviewer will observe the</w:t>
      </w:r>
      <w:r>
        <w:t xml:space="preserve"> participants as they think aloud </w:t>
      </w:r>
      <w:r w:rsidRPr="00791457">
        <w:t>during survey completion</w:t>
      </w:r>
      <w:r>
        <w:t xml:space="preserve"> and will note an</w:t>
      </w:r>
      <w:r w:rsidRPr="00791457">
        <w:t xml:space="preserve">y questions </w:t>
      </w:r>
      <w:r>
        <w:t xml:space="preserve">or problems with particular items. </w:t>
      </w:r>
      <w:r w:rsidRPr="00485B3C">
        <w:rPr>
          <w:rFonts w:eastAsiaTheme="minorHAnsi"/>
        </w:rPr>
        <w:t>The interviewer will focus on the items identified to be of specific interest</w:t>
      </w:r>
      <w:r>
        <w:rPr>
          <w:rFonts w:eastAsiaTheme="minorHAnsi"/>
        </w:rPr>
        <w:t xml:space="preserve"> (see Attachment 2) </w:t>
      </w:r>
      <w:r w:rsidRPr="00485B3C">
        <w:rPr>
          <w:rFonts w:eastAsiaTheme="minorHAnsi"/>
        </w:rPr>
        <w:t>such as the timeline questions</w:t>
      </w:r>
      <w:r>
        <w:rPr>
          <w:rFonts w:eastAsiaTheme="minorHAnsi"/>
        </w:rPr>
        <w:t xml:space="preserve">, </w:t>
      </w:r>
      <w:r w:rsidRPr="00485B3C">
        <w:rPr>
          <w:rFonts w:eastAsiaTheme="minorHAnsi"/>
        </w:rPr>
        <w:t>questions on field of study (interdisciplinary/joint degree programs),</w:t>
      </w:r>
      <w:r>
        <w:rPr>
          <w:rFonts w:eastAsiaTheme="minorHAnsi"/>
        </w:rPr>
        <w:t xml:space="preserve"> and questions on plans after graduation. The interviewer will also note </w:t>
      </w:r>
      <w:r w:rsidRPr="00485B3C">
        <w:rPr>
          <w:rFonts w:eastAsiaTheme="minorHAnsi"/>
        </w:rPr>
        <w:t>any</w:t>
      </w:r>
      <w:r>
        <w:rPr>
          <w:rFonts w:eastAsiaTheme="minorHAnsi"/>
        </w:rPr>
        <w:t xml:space="preserve"> additional issues that arise on other items and will </w:t>
      </w:r>
      <w:r w:rsidRPr="00485B3C">
        <w:rPr>
          <w:rFonts w:eastAsiaTheme="minorHAnsi"/>
        </w:rPr>
        <w:t>probe where necessary during the think-aloud</w:t>
      </w:r>
      <w:r>
        <w:rPr>
          <w:rFonts w:eastAsiaTheme="minorHAnsi"/>
        </w:rPr>
        <w:t xml:space="preserve">. </w:t>
      </w:r>
      <w:r w:rsidRPr="00485B3C">
        <w:rPr>
          <w:rFonts w:eastAsiaTheme="minorHAnsi"/>
        </w:rPr>
        <w:t xml:space="preserve">In addition, retrospective probing will be </w:t>
      </w:r>
      <w:r>
        <w:rPr>
          <w:rFonts w:eastAsiaTheme="minorHAnsi"/>
        </w:rPr>
        <w:t xml:space="preserve">used </w:t>
      </w:r>
      <w:r w:rsidRPr="00485B3C">
        <w:rPr>
          <w:rFonts w:eastAsiaTheme="minorHAnsi"/>
        </w:rPr>
        <w:t xml:space="preserve">to obtain further detail on survey questions, </w:t>
      </w:r>
      <w:r>
        <w:rPr>
          <w:rFonts w:eastAsiaTheme="minorHAnsi"/>
        </w:rPr>
        <w:t xml:space="preserve">and to </w:t>
      </w:r>
      <w:r w:rsidRPr="00485B3C">
        <w:rPr>
          <w:rFonts w:eastAsiaTheme="minorHAnsi"/>
        </w:rPr>
        <w:t>explore any issues such as evidence of response problems, confusing terms, dis</w:t>
      </w:r>
      <w:r>
        <w:rPr>
          <w:rFonts w:eastAsiaTheme="minorHAnsi"/>
        </w:rPr>
        <w:t>crepancies across questions or</w:t>
      </w:r>
      <w:r w:rsidRPr="00485B3C">
        <w:rPr>
          <w:rFonts w:eastAsiaTheme="minorHAnsi"/>
        </w:rPr>
        <w:t xml:space="preserve"> </w:t>
      </w:r>
      <w:r>
        <w:rPr>
          <w:rFonts w:eastAsiaTheme="minorHAnsi"/>
        </w:rPr>
        <w:t>any other issues observed during the interview</w:t>
      </w:r>
      <w:r w:rsidRPr="00485B3C">
        <w:rPr>
          <w:rFonts w:eastAsiaTheme="minorHAnsi"/>
        </w:rPr>
        <w:t>.</w:t>
      </w:r>
    </w:p>
    <w:p w:rsidR="00E72C87" w:rsidRDefault="00E72C87" w:rsidP="00E72C87"/>
    <w:p w:rsidR="00E72C87" w:rsidRPr="004705CD" w:rsidRDefault="00E72C87" w:rsidP="00E72C87">
      <w:r w:rsidRPr="00F05020">
        <w:rPr>
          <w:i/>
        </w:rPr>
        <w:t>Cognitive Debriefing Interviews.</w:t>
      </w:r>
      <w:r>
        <w:t xml:space="preserve"> </w:t>
      </w:r>
      <w:r w:rsidRPr="004705CD">
        <w:t xml:space="preserve"> </w:t>
      </w:r>
      <w:r>
        <w:t>T</w:t>
      </w:r>
      <w:r>
        <w:rPr>
          <w:rFonts w:eastAsiaTheme="minorHAnsi"/>
        </w:rPr>
        <w:t>h</w:t>
      </w:r>
      <w:r w:rsidRPr="004705CD">
        <w:rPr>
          <w:rFonts w:eastAsiaTheme="minorHAnsi"/>
        </w:rPr>
        <w:t>e fourth round of interviews</w:t>
      </w:r>
      <w:r>
        <w:rPr>
          <w:rFonts w:eastAsiaTheme="minorHAnsi"/>
        </w:rPr>
        <w:t xml:space="preserve"> will focus on how well the revisions from the prior rounds worked. In this round, participants will</w:t>
      </w:r>
      <w:r w:rsidRPr="004705CD">
        <w:rPr>
          <w:rFonts w:eastAsiaTheme="minorHAnsi"/>
        </w:rPr>
        <w:t xml:space="preserve"> complete the questionnaire independently with minimal</w:t>
      </w:r>
      <w:r>
        <w:rPr>
          <w:rFonts w:eastAsiaTheme="minorHAnsi"/>
        </w:rPr>
        <w:t xml:space="preserve"> interviewer</w:t>
      </w:r>
      <w:r w:rsidRPr="004705CD">
        <w:rPr>
          <w:rFonts w:eastAsiaTheme="minorHAnsi"/>
        </w:rPr>
        <w:t xml:space="preserve"> probing. After the </w:t>
      </w:r>
      <w:r>
        <w:rPr>
          <w:rFonts w:eastAsiaTheme="minorHAnsi"/>
        </w:rPr>
        <w:t xml:space="preserve">participant </w:t>
      </w:r>
      <w:r w:rsidRPr="004705CD">
        <w:rPr>
          <w:rFonts w:eastAsiaTheme="minorHAnsi"/>
        </w:rPr>
        <w:t xml:space="preserve">has finished, the </w:t>
      </w:r>
      <w:r w:rsidRPr="004705CD">
        <w:t xml:space="preserve">interviewer will </w:t>
      </w:r>
      <w:r>
        <w:t xml:space="preserve">use scripted </w:t>
      </w:r>
      <w:r w:rsidRPr="004705CD">
        <w:t>retrospective probing</w:t>
      </w:r>
      <w:r>
        <w:t xml:space="preserve"> to ensure that revised items are working well</w:t>
      </w:r>
      <w:r w:rsidRPr="004705CD">
        <w:t xml:space="preserve">.  Interviewers will also probe spontaneously as needed to explore other issues that arise during the interview. If needed, </w:t>
      </w:r>
      <w:r>
        <w:t xml:space="preserve">the </w:t>
      </w:r>
      <w:r w:rsidRPr="004705CD">
        <w:t>instrument will be revised after this final round based on the findings.</w:t>
      </w:r>
    </w:p>
    <w:p w:rsidR="00E72C87" w:rsidRDefault="00E72C87" w:rsidP="00E72C87">
      <w:pPr>
        <w:rPr>
          <w:i/>
        </w:rPr>
      </w:pPr>
    </w:p>
    <w:p w:rsidR="00E72C87" w:rsidRDefault="00E72C87" w:rsidP="00E72C87">
      <w:r w:rsidRPr="00A668AE">
        <w:rPr>
          <w:i/>
        </w:rPr>
        <w:t>Test Instrument</w:t>
      </w:r>
      <w:r>
        <w:t>.  To avoid confusion of the current research with the ongoing SED, we will use the name “SED Questionnaire Design Study” to refer to the study. We will explain to participants that the current study is research designed to improve the SED and the data collected in the cognitive interview will not be included in the actual SED.</w:t>
      </w:r>
    </w:p>
    <w:p w:rsidR="00E72C87" w:rsidRPr="0039475C" w:rsidRDefault="00E72C87" w:rsidP="00E72C87">
      <w:pPr>
        <w:rPr>
          <w:b/>
          <w:i/>
        </w:rPr>
      </w:pPr>
    </w:p>
    <w:p w:rsidR="00E72C87" w:rsidRDefault="00E72C87" w:rsidP="00E72C87">
      <w:r w:rsidRPr="00D15263">
        <w:rPr>
          <w:i/>
        </w:rPr>
        <w:t>Recruitment</w:t>
      </w:r>
      <w:r>
        <w:rPr>
          <w:i/>
        </w:rPr>
        <w:t xml:space="preserve">.  </w:t>
      </w:r>
      <w:r>
        <w:t xml:space="preserve">A non-probability sample of current and former doctoral students will be recruited for this effort, specifically those who will be completing their degrees within the next few months as well as recent PhD recipients who received their degrees within the last year.  </w:t>
      </w:r>
    </w:p>
    <w:p w:rsidR="00E72C87" w:rsidRDefault="00E72C87" w:rsidP="00E72C87"/>
    <w:p w:rsidR="00E72C87" w:rsidRDefault="00E72C87" w:rsidP="00E72C87">
      <w:r>
        <w:lastRenderedPageBreak/>
        <w:t xml:space="preserve">There are several characteristics of </w:t>
      </w:r>
      <w:r w:rsidRPr="00AF578D">
        <w:t xml:space="preserve">respondents and their doctoral institutions that are of specific interest in the sample recruitment for this study. </w:t>
      </w:r>
      <w:r>
        <w:t>Participants will be screened to ensure that each criterion listed in Exhibit 1 receives adequate coverage during the cognitive interview testing.</w:t>
      </w:r>
      <w:r w:rsidRPr="00AF578D">
        <w:t xml:space="preserve"> </w:t>
      </w:r>
    </w:p>
    <w:p w:rsidR="00E72C87" w:rsidRDefault="00E72C87" w:rsidP="00E72C87">
      <w:pPr>
        <w:spacing w:after="200" w:line="276" w:lineRule="auto"/>
      </w:pPr>
    </w:p>
    <w:tbl>
      <w:tblPr>
        <w:tblStyle w:val="TableGrid"/>
        <w:tblW w:w="0" w:type="auto"/>
        <w:tblLook w:val="04A0" w:firstRow="1" w:lastRow="0" w:firstColumn="1" w:lastColumn="0" w:noHBand="0" w:noVBand="1"/>
      </w:tblPr>
      <w:tblGrid>
        <w:gridCol w:w="9576"/>
      </w:tblGrid>
      <w:tr w:rsidR="00E72C87" w:rsidTr="00BF7ECC">
        <w:tc>
          <w:tcPr>
            <w:tcW w:w="9576" w:type="dxa"/>
          </w:tcPr>
          <w:p w:rsidR="00E72C87" w:rsidRPr="005037E2" w:rsidRDefault="00E72C87" w:rsidP="00BF7ECC">
            <w:pPr>
              <w:rPr>
                <w:b/>
              </w:rPr>
            </w:pPr>
            <w:r w:rsidRPr="005037E2">
              <w:rPr>
                <w:b/>
              </w:rPr>
              <w:t xml:space="preserve">Exhibit 1:  Sample Selection Characteristics of Respondents and Doctoral Institutions </w:t>
            </w:r>
          </w:p>
        </w:tc>
      </w:tr>
      <w:tr w:rsidR="00E72C87" w:rsidTr="00BF7ECC">
        <w:tc>
          <w:tcPr>
            <w:tcW w:w="9576" w:type="dxa"/>
          </w:tcPr>
          <w:p w:rsidR="00E72C87" w:rsidRDefault="00E72C87" w:rsidP="00BF7ECC"/>
          <w:p w:rsidR="00E72C87" w:rsidRDefault="00E72C87" w:rsidP="00E72C87">
            <w:pPr>
              <w:pStyle w:val="ListParagraph"/>
              <w:numPr>
                <w:ilvl w:val="0"/>
                <w:numId w:val="2"/>
              </w:numPr>
              <w:spacing w:after="200" w:line="276" w:lineRule="auto"/>
            </w:pPr>
            <w:r>
              <w:t xml:space="preserve">Institution type (e.g., private/public, Carnegie classification, Historically Black Colleges and Universities (HBCUs)) </w:t>
            </w:r>
          </w:p>
          <w:p w:rsidR="00E72C87" w:rsidRDefault="00E72C87" w:rsidP="00E72C87">
            <w:pPr>
              <w:pStyle w:val="ListParagraph"/>
              <w:numPr>
                <w:ilvl w:val="0"/>
                <w:numId w:val="2"/>
              </w:numPr>
              <w:spacing w:after="200" w:line="276" w:lineRule="auto"/>
            </w:pPr>
            <w:r>
              <w:t>Field of study</w:t>
            </w:r>
          </w:p>
          <w:p w:rsidR="00E72C87" w:rsidRDefault="00E72C87" w:rsidP="00E72C87">
            <w:pPr>
              <w:pStyle w:val="ListParagraph"/>
              <w:numPr>
                <w:ilvl w:val="0"/>
                <w:numId w:val="2"/>
              </w:numPr>
              <w:spacing w:after="200" w:line="276" w:lineRule="auto"/>
            </w:pPr>
            <w:r>
              <w:t>U.S./foreign citizenship status</w:t>
            </w:r>
          </w:p>
          <w:p w:rsidR="00E72C87" w:rsidRDefault="00E72C87" w:rsidP="00E72C87">
            <w:pPr>
              <w:pStyle w:val="ListParagraph"/>
              <w:numPr>
                <w:ilvl w:val="0"/>
                <w:numId w:val="2"/>
              </w:numPr>
              <w:spacing w:after="200" w:line="276" w:lineRule="auto"/>
            </w:pPr>
            <w:r>
              <w:t>Enrollment in joint degree program</w:t>
            </w:r>
          </w:p>
          <w:p w:rsidR="00E72C87" w:rsidRDefault="00E72C87" w:rsidP="00E72C87">
            <w:pPr>
              <w:pStyle w:val="ListParagraph"/>
              <w:numPr>
                <w:ilvl w:val="0"/>
                <w:numId w:val="2"/>
              </w:numPr>
              <w:spacing w:after="200" w:line="276" w:lineRule="auto"/>
            </w:pPr>
            <w:r>
              <w:t>Enrollment in interdisciplinary degree program</w:t>
            </w:r>
          </w:p>
          <w:p w:rsidR="00E72C87" w:rsidRDefault="00E72C87" w:rsidP="00E72C87">
            <w:pPr>
              <w:pStyle w:val="ListParagraph"/>
              <w:numPr>
                <w:ilvl w:val="0"/>
                <w:numId w:val="2"/>
              </w:numPr>
              <w:spacing w:after="200" w:line="276" w:lineRule="auto"/>
            </w:pPr>
            <w:r>
              <w:t>Earned Master’s degree</w:t>
            </w:r>
          </w:p>
          <w:p w:rsidR="00E72C87" w:rsidRDefault="00E72C87" w:rsidP="00E72C87">
            <w:pPr>
              <w:pStyle w:val="ListParagraph"/>
              <w:numPr>
                <w:ilvl w:val="0"/>
                <w:numId w:val="2"/>
              </w:numPr>
              <w:spacing w:after="200" w:line="276" w:lineRule="auto"/>
            </w:pPr>
            <w:r>
              <w:t>Older students or students with nontraditional paths to the PhD</w:t>
            </w:r>
          </w:p>
          <w:p w:rsidR="00E72C87" w:rsidRDefault="00E72C87" w:rsidP="00E72C87">
            <w:pPr>
              <w:pStyle w:val="ListParagraph"/>
              <w:numPr>
                <w:ilvl w:val="0"/>
                <w:numId w:val="2"/>
              </w:numPr>
              <w:spacing w:after="200" w:line="276" w:lineRule="auto"/>
            </w:pPr>
            <w:r>
              <w:t>Students representing a variety of career paths (e.g., postdoc, professorship, government, private sector)</w:t>
            </w:r>
          </w:p>
          <w:p w:rsidR="00E72C87" w:rsidRDefault="00E72C87" w:rsidP="00E72C87">
            <w:pPr>
              <w:pStyle w:val="ListParagraph"/>
              <w:numPr>
                <w:ilvl w:val="0"/>
                <w:numId w:val="2"/>
              </w:numPr>
              <w:spacing w:after="200" w:line="276" w:lineRule="auto"/>
            </w:pPr>
            <w:r>
              <w:t xml:space="preserve">Students with a nontraditional family structure </w:t>
            </w:r>
          </w:p>
          <w:p w:rsidR="00E72C87" w:rsidRDefault="00E72C87" w:rsidP="00E72C87">
            <w:pPr>
              <w:pStyle w:val="ListParagraph"/>
              <w:numPr>
                <w:ilvl w:val="0"/>
                <w:numId w:val="2"/>
              </w:numPr>
              <w:spacing w:after="200" w:line="276" w:lineRule="auto"/>
            </w:pPr>
            <w:r>
              <w:t>Students holding dual citizenship</w:t>
            </w:r>
          </w:p>
          <w:p w:rsidR="00E72C87" w:rsidRDefault="00E72C87" w:rsidP="00E72C87">
            <w:pPr>
              <w:pStyle w:val="ListParagraph"/>
              <w:numPr>
                <w:ilvl w:val="0"/>
                <w:numId w:val="2"/>
              </w:numPr>
              <w:spacing w:after="200" w:line="276" w:lineRule="auto"/>
            </w:pPr>
            <w:r>
              <w:t>Students from different racial backgrounds (and Hispanic students in particular to assess new prompts for the race/ethnicity items)</w:t>
            </w:r>
          </w:p>
        </w:tc>
      </w:tr>
    </w:tbl>
    <w:p w:rsidR="00E72C87" w:rsidRDefault="00E72C87" w:rsidP="00E72C87">
      <w:r>
        <w:t xml:space="preserve"> </w:t>
      </w:r>
    </w:p>
    <w:p w:rsidR="00E72C87" w:rsidRDefault="00E72C87" w:rsidP="00E72C87"/>
    <w:p w:rsidR="00E72C87" w:rsidRDefault="00E72C87" w:rsidP="00E72C87">
      <w:r>
        <w:t xml:space="preserve">Participants will be recruited via two main sources: (1) through the SED Institutional Contacts at institutions in the Chicago and Washington, DC areas (which are near contractor facilities) to identify current doctoral students and (2) through the list of recent completers of </w:t>
      </w:r>
      <w:r w:rsidRPr="003A3DBE">
        <w:t>the 2013-2014</w:t>
      </w:r>
      <w:r>
        <w:t xml:space="preserve"> SED web survey to identify recent doctoral recipients. If enough candidates have not been recruited through Institutional Contacts and the list of recent SED completers, cognitive interview participants will be asked if they know of other current doctoral students and recent graduates who might be interested in participating.</w:t>
      </w:r>
    </w:p>
    <w:p w:rsidR="00E72C87" w:rsidRDefault="00E72C87" w:rsidP="00E72C87"/>
    <w:p w:rsidR="00E72C87" w:rsidRDefault="00E72C87" w:rsidP="00E72C87">
      <w:r>
        <w:rPr>
          <w:i/>
        </w:rPr>
        <w:t>Students Identified through Institutional Contacts</w:t>
      </w:r>
      <w:r w:rsidRPr="006F46A1">
        <w:rPr>
          <w:i/>
        </w:rPr>
        <w:t>.</w:t>
      </w:r>
      <w:r>
        <w:t xml:space="preserve">  Current doctoral students will be recruited directly from PhD-granting institutions in the Chicago and Washington, DC areas and potentially other areas as the opportunity arises (e.g., contractor interviewers traveling off site for other project commitments will attempt to obtain interviews with doctoral students in other geographic areas). The SED Institutional Contacts will be asked to identify students enrolled in a doctoral program who are expected to complete their degree within 6 to 8 months and to provide information on their characteristics as outlined in Exhibit 1.</w:t>
      </w:r>
    </w:p>
    <w:p w:rsidR="00E72C87" w:rsidRDefault="00E72C87" w:rsidP="00E72C87"/>
    <w:p w:rsidR="00E72C87" w:rsidRDefault="00E72C87" w:rsidP="00E72C87">
      <w:r w:rsidRPr="006F46A1">
        <w:rPr>
          <w:i/>
        </w:rPr>
        <w:t xml:space="preserve">Recent SED </w:t>
      </w:r>
      <w:r>
        <w:rPr>
          <w:i/>
        </w:rPr>
        <w:t>R</w:t>
      </w:r>
      <w:r w:rsidRPr="006F46A1">
        <w:rPr>
          <w:i/>
        </w:rPr>
        <w:t>espondents.</w:t>
      </w:r>
      <w:r>
        <w:t xml:space="preserve">  Advantages of including prior SED respondents is that we are assured of having participants with the specific characteristics of interest and who have been out of school for up to a year since they completed their degrees, which is similar to typical SED respondents. For example, we will be able to select respondents whose educational history data </w:t>
      </w:r>
      <w:r>
        <w:lastRenderedPageBreak/>
        <w:t xml:space="preserve">reveal discrepancies. Interviewing such respondents would enhance our ability to understand the reasons for the discrepancies and to test potential solutions. When selecting potential respondents from the SED data set, we will extract the variables that correspond to the characteristics in Exhibit 1 and confirm the student’s information during the recruitment and screening process.  </w:t>
      </w:r>
    </w:p>
    <w:p w:rsidR="00E72C87" w:rsidRDefault="00E72C87" w:rsidP="00E72C87">
      <w:pPr>
        <w:ind w:left="720"/>
      </w:pPr>
    </w:p>
    <w:p w:rsidR="00E72C87" w:rsidRDefault="00E72C87" w:rsidP="00E72C87">
      <w:r w:rsidRPr="00784200">
        <w:rPr>
          <w:i/>
        </w:rPr>
        <w:t xml:space="preserve">Contacting Potential </w:t>
      </w:r>
      <w:r>
        <w:rPr>
          <w:i/>
        </w:rPr>
        <w:t>Participant</w:t>
      </w:r>
      <w:r w:rsidRPr="00784200">
        <w:rPr>
          <w:i/>
        </w:rPr>
        <w:t>s.</w:t>
      </w:r>
      <w:r>
        <w:t xml:space="preserve">  </w:t>
      </w:r>
      <w:r w:rsidRPr="0092230B">
        <w:t xml:space="preserve">Initial contact efforts will be made via email; if unsuccessful, attempts to reach them via mail and telephone contact information will follow. Contacted individuals expressing interest in participating in the cognitive interviews </w:t>
      </w:r>
      <w:r w:rsidRPr="00B50572">
        <w:t>will be presented</w:t>
      </w:r>
      <w:r>
        <w:t xml:space="preserve"> with information about the study (see Attachment 3—E-mail Recruitment Message, Recruitment Script, and Frequently Asked Questions) and will then be asked to participate in a brief screening interview to determine the potential participant’s eligibility for the study (see Attachment 4—Screener Questions). Some of the screening information may be obtained in advance from the Institutional Contacts or the SED survey records. In these cases, we will verify that the information we have received is correct and updated. As the research progresses, the screener may be streamlined to focus only on the characteristics that remain of interest for recruiting.</w:t>
      </w:r>
    </w:p>
    <w:p w:rsidR="00E72C87" w:rsidRDefault="00E72C87" w:rsidP="00E72C87">
      <w:pPr>
        <w:rPr>
          <w:b/>
        </w:rPr>
      </w:pPr>
    </w:p>
    <w:p w:rsidR="00E72C87" w:rsidRDefault="00E72C87" w:rsidP="00E72C87">
      <w:pPr>
        <w:rPr>
          <w:b/>
        </w:rPr>
      </w:pPr>
      <w:r w:rsidRPr="00F20787">
        <w:rPr>
          <w:b/>
        </w:rPr>
        <w:t>Schedule</w:t>
      </w:r>
    </w:p>
    <w:p w:rsidR="00E72C87" w:rsidRPr="00F20787" w:rsidRDefault="00E72C87" w:rsidP="00E72C87">
      <w:pPr>
        <w:rPr>
          <w:b/>
        </w:rPr>
      </w:pPr>
    </w:p>
    <w:p w:rsidR="00E72C87" w:rsidRDefault="00E72C87" w:rsidP="00E72C87">
      <w:r>
        <w:t>The four rounds of cognitive interviews will be conducted starting in late February and ending in August of 2015. Contacting, recruiting, and scheduling of participants will continue until all four rounds of interviews have been completed.</w:t>
      </w:r>
    </w:p>
    <w:p w:rsidR="00E72C87" w:rsidRDefault="00E72C87" w:rsidP="00E72C87">
      <w:pPr>
        <w:pStyle w:val="Heading1"/>
      </w:pPr>
    </w:p>
    <w:p w:rsidR="00E72C87" w:rsidRPr="00BD1509" w:rsidRDefault="00E72C87" w:rsidP="00E72C87">
      <w:pPr>
        <w:pStyle w:val="Heading1"/>
        <w:rPr>
          <w:b w:val="0"/>
          <w:bCs w:val="0"/>
        </w:rPr>
      </w:pPr>
      <w:r>
        <w:t xml:space="preserve">Instrument for Cognitive Interview </w:t>
      </w:r>
    </w:p>
    <w:p w:rsidR="00E72C87" w:rsidRPr="00796758" w:rsidRDefault="00E72C87" w:rsidP="00E72C87">
      <w:pPr>
        <w:rPr>
          <w:sz w:val="23"/>
          <w:szCs w:val="23"/>
        </w:rPr>
      </w:pPr>
    </w:p>
    <w:p w:rsidR="00E72C87" w:rsidRPr="0092230B" w:rsidRDefault="00E72C87" w:rsidP="00E72C87">
      <w:r>
        <w:t xml:space="preserve">The cognitive interviews will be conducted using the </w:t>
      </w:r>
      <w:r w:rsidRPr="00E11C32">
        <w:t>2015</w:t>
      </w:r>
      <w:r>
        <w:t xml:space="preserve"> SED web version. Based on the literature review and data analysis currently underway, we may add a few new questions to help clarify the information we are currently collecting and also may revise, reorder, or remove selected questions in the instrument. </w:t>
      </w:r>
      <w:r w:rsidRPr="0092230B">
        <w:t xml:space="preserve">A draft of the proposed protocol is included in Attachment </w:t>
      </w:r>
      <w:r>
        <w:t>5</w:t>
      </w:r>
      <w:r w:rsidRPr="0092230B">
        <w:t xml:space="preserve"> and </w:t>
      </w:r>
      <w:r>
        <w:t>the</w:t>
      </w:r>
      <w:r w:rsidRPr="0092230B">
        <w:t xml:space="preserve"> statement of informed consent is provided in Attachment </w:t>
      </w:r>
      <w:r>
        <w:t>6</w:t>
      </w:r>
      <w:r w:rsidRPr="0092230B">
        <w:t xml:space="preserve">.  </w:t>
      </w:r>
    </w:p>
    <w:p w:rsidR="00E72C87" w:rsidRPr="00796758" w:rsidRDefault="00E72C87" w:rsidP="00E72C87">
      <w:pPr>
        <w:rPr>
          <w:sz w:val="23"/>
          <w:szCs w:val="23"/>
        </w:rPr>
      </w:pPr>
    </w:p>
    <w:p w:rsidR="00E72C87" w:rsidRDefault="00E72C87" w:rsidP="00E72C87">
      <w:pPr>
        <w:pStyle w:val="Heading1"/>
      </w:pPr>
      <w:r w:rsidRPr="0092230B">
        <w:t>Burden Information</w:t>
      </w:r>
    </w:p>
    <w:p w:rsidR="00E72C87" w:rsidRDefault="00E72C87" w:rsidP="00E72C87"/>
    <w:p w:rsidR="00E72C87" w:rsidRDefault="00E72C87" w:rsidP="00E72C87">
      <w:r>
        <w:t>The total estimated burden associated with this study is 186.7 hours. Exhibit 2 provides details about the burden estimates by study activity.  The estimated burden for cognitive interview participants is 166.7 hours and for Institutional Contacts, 20 hours.</w:t>
      </w:r>
    </w:p>
    <w:p w:rsidR="00E72C87" w:rsidRDefault="00E72C87" w:rsidP="00E72C87"/>
    <w:p w:rsidR="00E72C87" w:rsidRDefault="00E72C87" w:rsidP="00E72C87">
      <w:pPr>
        <w:spacing w:after="120"/>
        <w:rPr>
          <w:b/>
        </w:rPr>
      </w:pPr>
      <w:r w:rsidRPr="005037E2">
        <w:rPr>
          <w:b/>
        </w:rPr>
        <w:t xml:space="preserve">Exhibit </w:t>
      </w:r>
      <w:r>
        <w:rPr>
          <w:b/>
        </w:rPr>
        <w:t>2</w:t>
      </w:r>
      <w:r w:rsidRPr="005037E2">
        <w:rPr>
          <w:b/>
        </w:rPr>
        <w:t xml:space="preserve">:  </w:t>
      </w:r>
      <w:r>
        <w:rPr>
          <w:b/>
        </w:rPr>
        <w:t>Estimated Burden</w:t>
      </w: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3625"/>
        <w:gridCol w:w="1800"/>
        <w:gridCol w:w="1757"/>
        <w:gridCol w:w="2394"/>
      </w:tblGrid>
      <w:tr w:rsidR="00E72C87" w:rsidTr="00BF7ECC">
        <w:tc>
          <w:tcPr>
            <w:tcW w:w="3625" w:type="dxa"/>
            <w:vAlign w:val="center"/>
          </w:tcPr>
          <w:p w:rsidR="00E72C87" w:rsidRPr="00F730D5" w:rsidRDefault="00E72C87" w:rsidP="00BF7ECC">
            <w:pPr>
              <w:rPr>
                <w:b/>
                <w:sz w:val="20"/>
                <w:szCs w:val="20"/>
              </w:rPr>
            </w:pPr>
            <w:r w:rsidRPr="00F730D5">
              <w:rPr>
                <w:b/>
                <w:sz w:val="20"/>
                <w:szCs w:val="20"/>
              </w:rPr>
              <w:t>Activity</w:t>
            </w:r>
          </w:p>
        </w:tc>
        <w:tc>
          <w:tcPr>
            <w:tcW w:w="1800" w:type="dxa"/>
            <w:vAlign w:val="center"/>
          </w:tcPr>
          <w:p w:rsidR="00E72C87" w:rsidRPr="00F730D5" w:rsidRDefault="00E72C87" w:rsidP="00BF7ECC">
            <w:pPr>
              <w:jc w:val="center"/>
              <w:rPr>
                <w:b/>
                <w:sz w:val="20"/>
                <w:szCs w:val="20"/>
              </w:rPr>
            </w:pPr>
            <w:r w:rsidRPr="00F730D5">
              <w:rPr>
                <w:b/>
                <w:sz w:val="20"/>
                <w:szCs w:val="20"/>
              </w:rPr>
              <w:t>Number of Individuals</w:t>
            </w:r>
          </w:p>
        </w:tc>
        <w:tc>
          <w:tcPr>
            <w:tcW w:w="1757" w:type="dxa"/>
            <w:vAlign w:val="center"/>
          </w:tcPr>
          <w:p w:rsidR="00E72C87" w:rsidRPr="00F730D5" w:rsidRDefault="00E72C87" w:rsidP="00BF7ECC">
            <w:pPr>
              <w:jc w:val="center"/>
              <w:rPr>
                <w:sz w:val="20"/>
                <w:szCs w:val="20"/>
              </w:rPr>
            </w:pPr>
            <w:r w:rsidRPr="00F730D5">
              <w:rPr>
                <w:b/>
                <w:bCs/>
                <w:color w:val="000000"/>
                <w:sz w:val="20"/>
                <w:szCs w:val="20"/>
              </w:rPr>
              <w:t>Average Time (</w:t>
            </w:r>
            <w:r>
              <w:rPr>
                <w:b/>
                <w:bCs/>
                <w:color w:val="000000"/>
                <w:sz w:val="20"/>
                <w:szCs w:val="20"/>
              </w:rPr>
              <w:t>M</w:t>
            </w:r>
            <w:r w:rsidRPr="00F730D5">
              <w:rPr>
                <w:b/>
                <w:bCs/>
                <w:color w:val="000000"/>
                <w:sz w:val="20"/>
                <w:szCs w:val="20"/>
              </w:rPr>
              <w:t>inutes)</w:t>
            </w:r>
          </w:p>
        </w:tc>
        <w:tc>
          <w:tcPr>
            <w:tcW w:w="2394" w:type="dxa"/>
            <w:vAlign w:val="center"/>
          </w:tcPr>
          <w:p w:rsidR="00E72C87" w:rsidRPr="00F730D5" w:rsidRDefault="00E72C87" w:rsidP="00BF7ECC">
            <w:pPr>
              <w:spacing w:line="276" w:lineRule="auto"/>
              <w:jc w:val="center"/>
              <w:rPr>
                <w:rFonts w:ascii="Calibri" w:eastAsiaTheme="minorHAnsi" w:hAnsi="Calibri"/>
                <w:b/>
                <w:bCs/>
                <w:color w:val="000000"/>
                <w:sz w:val="20"/>
                <w:szCs w:val="20"/>
              </w:rPr>
            </w:pPr>
            <w:r w:rsidRPr="00F730D5">
              <w:rPr>
                <w:b/>
                <w:bCs/>
                <w:color w:val="000000"/>
                <w:sz w:val="20"/>
                <w:szCs w:val="20"/>
              </w:rPr>
              <w:t>Total Burden</w:t>
            </w:r>
          </w:p>
          <w:p w:rsidR="00E72C87" w:rsidRPr="00F730D5" w:rsidRDefault="00E72C87" w:rsidP="00BF7ECC">
            <w:pPr>
              <w:jc w:val="center"/>
              <w:rPr>
                <w:sz w:val="20"/>
                <w:szCs w:val="20"/>
              </w:rPr>
            </w:pPr>
            <w:r w:rsidRPr="00F730D5">
              <w:rPr>
                <w:b/>
                <w:bCs/>
                <w:color w:val="000000"/>
                <w:sz w:val="20"/>
                <w:szCs w:val="20"/>
              </w:rPr>
              <w:t>(</w:t>
            </w:r>
            <w:r>
              <w:rPr>
                <w:b/>
                <w:bCs/>
                <w:color w:val="000000"/>
                <w:sz w:val="20"/>
                <w:szCs w:val="20"/>
              </w:rPr>
              <w:t>M</w:t>
            </w:r>
            <w:r w:rsidRPr="00F730D5">
              <w:rPr>
                <w:b/>
                <w:bCs/>
                <w:color w:val="000000"/>
                <w:sz w:val="20"/>
                <w:szCs w:val="20"/>
              </w:rPr>
              <w:t>inutes)</w:t>
            </w:r>
          </w:p>
        </w:tc>
      </w:tr>
      <w:tr w:rsidR="00E72C87" w:rsidTr="00BF7ECC">
        <w:tc>
          <w:tcPr>
            <w:tcW w:w="3625" w:type="dxa"/>
            <w:vAlign w:val="center"/>
          </w:tcPr>
          <w:p w:rsidR="00E72C87" w:rsidRPr="00F730D5" w:rsidRDefault="00E72C87" w:rsidP="00BF7ECC">
            <w:pPr>
              <w:rPr>
                <w:sz w:val="20"/>
                <w:szCs w:val="20"/>
              </w:rPr>
            </w:pPr>
            <w:r w:rsidRPr="00F730D5">
              <w:rPr>
                <w:sz w:val="20"/>
                <w:szCs w:val="20"/>
              </w:rPr>
              <w:t>Recruitment e-mail</w:t>
            </w:r>
          </w:p>
        </w:tc>
        <w:tc>
          <w:tcPr>
            <w:tcW w:w="1800" w:type="dxa"/>
            <w:vAlign w:val="center"/>
          </w:tcPr>
          <w:p w:rsidR="00E72C87" w:rsidRPr="00F730D5" w:rsidRDefault="00E72C87" w:rsidP="00BF7ECC">
            <w:pPr>
              <w:jc w:val="center"/>
              <w:rPr>
                <w:sz w:val="20"/>
                <w:szCs w:val="20"/>
              </w:rPr>
            </w:pPr>
            <w:r w:rsidRPr="00F730D5">
              <w:rPr>
                <w:sz w:val="20"/>
                <w:szCs w:val="20"/>
              </w:rPr>
              <w:t>400</w:t>
            </w:r>
          </w:p>
        </w:tc>
        <w:tc>
          <w:tcPr>
            <w:tcW w:w="1757" w:type="dxa"/>
            <w:vAlign w:val="center"/>
          </w:tcPr>
          <w:p w:rsidR="00E72C87" w:rsidRPr="00F730D5" w:rsidRDefault="00E72C87" w:rsidP="00BF7ECC">
            <w:pPr>
              <w:jc w:val="center"/>
              <w:rPr>
                <w:sz w:val="20"/>
                <w:szCs w:val="20"/>
              </w:rPr>
            </w:pPr>
            <w:r w:rsidRPr="00F730D5">
              <w:rPr>
                <w:sz w:val="20"/>
                <w:szCs w:val="20"/>
              </w:rPr>
              <w:t>5</w:t>
            </w:r>
          </w:p>
        </w:tc>
        <w:tc>
          <w:tcPr>
            <w:tcW w:w="2394" w:type="dxa"/>
            <w:vAlign w:val="center"/>
          </w:tcPr>
          <w:p w:rsidR="00E72C87" w:rsidRPr="00F730D5" w:rsidRDefault="00E72C87" w:rsidP="00BF7ECC">
            <w:pPr>
              <w:jc w:val="center"/>
              <w:rPr>
                <w:sz w:val="20"/>
                <w:szCs w:val="20"/>
              </w:rPr>
            </w:pPr>
            <w:r w:rsidRPr="00F730D5">
              <w:rPr>
                <w:sz w:val="20"/>
                <w:szCs w:val="20"/>
              </w:rPr>
              <w:t>2</w:t>
            </w:r>
            <w:r>
              <w:rPr>
                <w:sz w:val="20"/>
                <w:szCs w:val="20"/>
              </w:rPr>
              <w:t>,</w:t>
            </w:r>
            <w:r w:rsidRPr="00F730D5">
              <w:rPr>
                <w:sz w:val="20"/>
                <w:szCs w:val="20"/>
              </w:rPr>
              <w:t>000</w:t>
            </w:r>
          </w:p>
        </w:tc>
      </w:tr>
      <w:tr w:rsidR="00E72C87" w:rsidTr="00BF7ECC">
        <w:tc>
          <w:tcPr>
            <w:tcW w:w="3625" w:type="dxa"/>
            <w:vAlign w:val="center"/>
          </w:tcPr>
          <w:p w:rsidR="00E72C87" w:rsidRPr="00F730D5" w:rsidRDefault="00E72C87" w:rsidP="00BF7ECC">
            <w:pPr>
              <w:rPr>
                <w:sz w:val="20"/>
                <w:szCs w:val="20"/>
              </w:rPr>
            </w:pPr>
            <w:r>
              <w:rPr>
                <w:color w:val="000000"/>
                <w:sz w:val="20"/>
                <w:szCs w:val="20"/>
              </w:rPr>
              <w:t>Telephone recruitment and screening</w:t>
            </w:r>
          </w:p>
        </w:tc>
        <w:tc>
          <w:tcPr>
            <w:tcW w:w="1800" w:type="dxa"/>
            <w:vAlign w:val="center"/>
          </w:tcPr>
          <w:p w:rsidR="00E72C87" w:rsidRDefault="00E72C87" w:rsidP="00BF7ECC">
            <w:pPr>
              <w:spacing w:line="276" w:lineRule="auto"/>
              <w:jc w:val="center"/>
              <w:rPr>
                <w:rFonts w:ascii="Calibri" w:eastAsiaTheme="minorHAnsi" w:hAnsi="Calibri"/>
                <w:color w:val="000000"/>
                <w:sz w:val="20"/>
                <w:szCs w:val="20"/>
              </w:rPr>
            </w:pPr>
            <w:r>
              <w:rPr>
                <w:color w:val="000000"/>
                <w:sz w:val="20"/>
                <w:szCs w:val="20"/>
              </w:rPr>
              <w:t>200</w:t>
            </w:r>
          </w:p>
        </w:tc>
        <w:tc>
          <w:tcPr>
            <w:tcW w:w="1757" w:type="dxa"/>
            <w:vAlign w:val="center"/>
          </w:tcPr>
          <w:p w:rsidR="00E72C87" w:rsidRDefault="00E72C87" w:rsidP="00BF7ECC">
            <w:pPr>
              <w:spacing w:line="276" w:lineRule="auto"/>
              <w:jc w:val="center"/>
              <w:rPr>
                <w:rFonts w:ascii="Calibri" w:eastAsiaTheme="minorHAnsi" w:hAnsi="Calibri"/>
                <w:color w:val="000000"/>
                <w:sz w:val="20"/>
                <w:szCs w:val="20"/>
              </w:rPr>
            </w:pPr>
            <w:r>
              <w:rPr>
                <w:color w:val="000000"/>
                <w:sz w:val="20"/>
                <w:szCs w:val="20"/>
              </w:rPr>
              <w:t>10</w:t>
            </w:r>
          </w:p>
        </w:tc>
        <w:tc>
          <w:tcPr>
            <w:tcW w:w="2394" w:type="dxa"/>
            <w:vAlign w:val="center"/>
          </w:tcPr>
          <w:p w:rsidR="00E72C87" w:rsidRDefault="00E72C87" w:rsidP="00BF7ECC">
            <w:pPr>
              <w:spacing w:line="276" w:lineRule="auto"/>
              <w:jc w:val="center"/>
              <w:rPr>
                <w:rFonts w:ascii="Calibri" w:eastAsiaTheme="minorHAnsi" w:hAnsi="Calibri"/>
                <w:color w:val="000000"/>
                <w:sz w:val="20"/>
                <w:szCs w:val="20"/>
              </w:rPr>
            </w:pPr>
            <w:r>
              <w:rPr>
                <w:color w:val="000000"/>
                <w:sz w:val="20"/>
                <w:szCs w:val="20"/>
              </w:rPr>
              <w:t>2,000</w:t>
            </w:r>
          </w:p>
        </w:tc>
      </w:tr>
      <w:tr w:rsidR="00E72C87" w:rsidTr="00BF7ECC">
        <w:tc>
          <w:tcPr>
            <w:tcW w:w="3625" w:type="dxa"/>
            <w:vAlign w:val="center"/>
          </w:tcPr>
          <w:p w:rsidR="00E72C87" w:rsidRPr="00F730D5" w:rsidRDefault="00E72C87" w:rsidP="00BF7ECC">
            <w:pPr>
              <w:rPr>
                <w:sz w:val="20"/>
                <w:szCs w:val="20"/>
              </w:rPr>
            </w:pPr>
            <w:r>
              <w:rPr>
                <w:color w:val="000000"/>
                <w:sz w:val="20"/>
                <w:szCs w:val="20"/>
              </w:rPr>
              <w:t>Cognitive interview</w:t>
            </w:r>
          </w:p>
        </w:tc>
        <w:tc>
          <w:tcPr>
            <w:tcW w:w="1800" w:type="dxa"/>
            <w:vAlign w:val="center"/>
          </w:tcPr>
          <w:p w:rsidR="00E72C87" w:rsidRDefault="00E72C87" w:rsidP="00BF7ECC">
            <w:pPr>
              <w:spacing w:line="276" w:lineRule="auto"/>
              <w:jc w:val="center"/>
              <w:rPr>
                <w:rFonts w:ascii="Calibri" w:eastAsiaTheme="minorHAnsi" w:hAnsi="Calibri"/>
                <w:color w:val="000000"/>
                <w:sz w:val="20"/>
                <w:szCs w:val="20"/>
              </w:rPr>
            </w:pPr>
            <w:r>
              <w:rPr>
                <w:color w:val="000000"/>
                <w:sz w:val="20"/>
                <w:szCs w:val="20"/>
              </w:rPr>
              <w:t>100</w:t>
            </w:r>
          </w:p>
        </w:tc>
        <w:tc>
          <w:tcPr>
            <w:tcW w:w="1757" w:type="dxa"/>
            <w:vAlign w:val="center"/>
          </w:tcPr>
          <w:p w:rsidR="00E72C87" w:rsidRDefault="00E72C87" w:rsidP="00BF7ECC">
            <w:pPr>
              <w:spacing w:line="276" w:lineRule="auto"/>
              <w:jc w:val="center"/>
              <w:rPr>
                <w:rFonts w:ascii="Calibri" w:eastAsiaTheme="minorHAnsi" w:hAnsi="Calibri"/>
                <w:color w:val="000000"/>
                <w:sz w:val="20"/>
                <w:szCs w:val="20"/>
              </w:rPr>
            </w:pPr>
            <w:r>
              <w:rPr>
                <w:color w:val="000000"/>
                <w:sz w:val="20"/>
                <w:szCs w:val="20"/>
              </w:rPr>
              <w:t>60</w:t>
            </w:r>
          </w:p>
        </w:tc>
        <w:tc>
          <w:tcPr>
            <w:tcW w:w="2394" w:type="dxa"/>
            <w:vAlign w:val="center"/>
          </w:tcPr>
          <w:p w:rsidR="00E72C87" w:rsidRDefault="00E72C87" w:rsidP="00BF7ECC">
            <w:pPr>
              <w:spacing w:line="276" w:lineRule="auto"/>
              <w:jc w:val="center"/>
              <w:rPr>
                <w:rFonts w:ascii="Calibri" w:eastAsiaTheme="minorHAnsi" w:hAnsi="Calibri"/>
                <w:color w:val="000000"/>
                <w:sz w:val="20"/>
                <w:szCs w:val="20"/>
              </w:rPr>
            </w:pPr>
            <w:r>
              <w:rPr>
                <w:color w:val="000000"/>
                <w:sz w:val="20"/>
                <w:szCs w:val="20"/>
              </w:rPr>
              <w:t>6,000</w:t>
            </w:r>
          </w:p>
        </w:tc>
      </w:tr>
      <w:tr w:rsidR="00E72C87" w:rsidTr="00BF7ECC">
        <w:tc>
          <w:tcPr>
            <w:tcW w:w="3625" w:type="dxa"/>
            <w:vAlign w:val="center"/>
          </w:tcPr>
          <w:p w:rsidR="00E72C87" w:rsidRPr="00F730D5" w:rsidRDefault="00E72C87" w:rsidP="00BF7ECC">
            <w:pPr>
              <w:jc w:val="right"/>
              <w:rPr>
                <w:b/>
                <w:sz w:val="20"/>
                <w:szCs w:val="20"/>
              </w:rPr>
            </w:pPr>
            <w:r w:rsidRPr="00F730D5">
              <w:rPr>
                <w:b/>
                <w:sz w:val="20"/>
                <w:szCs w:val="20"/>
              </w:rPr>
              <w:t>Subtotal</w:t>
            </w:r>
            <w:r>
              <w:rPr>
                <w:b/>
                <w:sz w:val="20"/>
                <w:szCs w:val="20"/>
              </w:rPr>
              <w:t xml:space="preserve"> for Participants</w:t>
            </w:r>
          </w:p>
        </w:tc>
        <w:tc>
          <w:tcPr>
            <w:tcW w:w="1800" w:type="dxa"/>
            <w:vAlign w:val="center"/>
          </w:tcPr>
          <w:p w:rsidR="00E72C87" w:rsidRPr="00F730D5" w:rsidRDefault="00E72C87" w:rsidP="00BF7ECC">
            <w:pPr>
              <w:jc w:val="center"/>
              <w:rPr>
                <w:b/>
                <w:sz w:val="20"/>
                <w:szCs w:val="20"/>
              </w:rPr>
            </w:pPr>
          </w:p>
        </w:tc>
        <w:tc>
          <w:tcPr>
            <w:tcW w:w="1757" w:type="dxa"/>
            <w:vAlign w:val="center"/>
          </w:tcPr>
          <w:p w:rsidR="00E72C87" w:rsidRPr="00F730D5" w:rsidRDefault="00E72C87" w:rsidP="00BF7ECC">
            <w:pPr>
              <w:jc w:val="center"/>
              <w:rPr>
                <w:b/>
                <w:sz w:val="20"/>
                <w:szCs w:val="20"/>
              </w:rPr>
            </w:pPr>
          </w:p>
        </w:tc>
        <w:tc>
          <w:tcPr>
            <w:tcW w:w="2394" w:type="dxa"/>
            <w:vAlign w:val="center"/>
          </w:tcPr>
          <w:p w:rsidR="00E72C87" w:rsidRPr="00F730D5" w:rsidRDefault="00E72C87" w:rsidP="00BF7ECC">
            <w:pPr>
              <w:spacing w:line="276" w:lineRule="auto"/>
              <w:jc w:val="center"/>
              <w:rPr>
                <w:rFonts w:ascii="Calibri" w:eastAsiaTheme="minorHAnsi" w:hAnsi="Calibri"/>
                <w:b/>
                <w:bCs/>
                <w:color w:val="000000"/>
                <w:sz w:val="20"/>
                <w:szCs w:val="20"/>
              </w:rPr>
            </w:pPr>
            <w:r w:rsidRPr="00F730D5">
              <w:rPr>
                <w:b/>
                <w:bCs/>
                <w:color w:val="000000"/>
                <w:sz w:val="20"/>
                <w:szCs w:val="20"/>
              </w:rPr>
              <w:t>10,000 minutes</w:t>
            </w:r>
          </w:p>
          <w:p w:rsidR="00E72C87" w:rsidRPr="00F730D5" w:rsidRDefault="00E72C87" w:rsidP="00BF7ECC">
            <w:pPr>
              <w:jc w:val="center"/>
              <w:rPr>
                <w:b/>
                <w:sz w:val="20"/>
                <w:szCs w:val="20"/>
              </w:rPr>
            </w:pPr>
            <w:r w:rsidRPr="00F730D5">
              <w:rPr>
                <w:b/>
                <w:bCs/>
                <w:color w:val="000000"/>
                <w:sz w:val="20"/>
                <w:szCs w:val="20"/>
              </w:rPr>
              <w:t>(166.7 hours)</w:t>
            </w:r>
          </w:p>
        </w:tc>
      </w:tr>
      <w:tr w:rsidR="00E72C87" w:rsidTr="00BF7ECC">
        <w:tc>
          <w:tcPr>
            <w:tcW w:w="3625" w:type="dxa"/>
            <w:vAlign w:val="center"/>
          </w:tcPr>
          <w:p w:rsidR="00E72C87" w:rsidRPr="00F730D5" w:rsidRDefault="00E72C87" w:rsidP="00BF7ECC">
            <w:pPr>
              <w:rPr>
                <w:sz w:val="20"/>
                <w:szCs w:val="20"/>
              </w:rPr>
            </w:pPr>
            <w:r>
              <w:rPr>
                <w:color w:val="000000"/>
                <w:sz w:val="20"/>
                <w:szCs w:val="20"/>
              </w:rPr>
              <w:t>Initial phone call with ICs</w:t>
            </w:r>
          </w:p>
        </w:tc>
        <w:tc>
          <w:tcPr>
            <w:tcW w:w="1800" w:type="dxa"/>
            <w:vAlign w:val="center"/>
          </w:tcPr>
          <w:p w:rsidR="00E72C87" w:rsidRDefault="00E72C87" w:rsidP="00BF7ECC">
            <w:pPr>
              <w:spacing w:line="276" w:lineRule="auto"/>
              <w:jc w:val="center"/>
              <w:rPr>
                <w:rFonts w:ascii="Calibri" w:eastAsiaTheme="minorHAnsi" w:hAnsi="Calibri"/>
                <w:color w:val="000000"/>
                <w:sz w:val="20"/>
                <w:szCs w:val="20"/>
              </w:rPr>
            </w:pPr>
            <w:r>
              <w:rPr>
                <w:color w:val="000000"/>
                <w:sz w:val="20"/>
                <w:szCs w:val="20"/>
              </w:rPr>
              <w:t>20</w:t>
            </w:r>
          </w:p>
        </w:tc>
        <w:tc>
          <w:tcPr>
            <w:tcW w:w="1757" w:type="dxa"/>
            <w:vAlign w:val="center"/>
          </w:tcPr>
          <w:p w:rsidR="00E72C87" w:rsidRDefault="00E72C87" w:rsidP="00BF7ECC">
            <w:pPr>
              <w:spacing w:line="276" w:lineRule="auto"/>
              <w:jc w:val="center"/>
              <w:rPr>
                <w:rFonts w:ascii="Calibri" w:eastAsiaTheme="minorHAnsi" w:hAnsi="Calibri"/>
                <w:color w:val="000000"/>
                <w:sz w:val="20"/>
                <w:szCs w:val="20"/>
              </w:rPr>
            </w:pPr>
            <w:r>
              <w:rPr>
                <w:color w:val="000000"/>
                <w:sz w:val="20"/>
                <w:szCs w:val="20"/>
              </w:rPr>
              <w:t>15</w:t>
            </w:r>
          </w:p>
        </w:tc>
        <w:tc>
          <w:tcPr>
            <w:tcW w:w="2394" w:type="dxa"/>
            <w:vAlign w:val="center"/>
          </w:tcPr>
          <w:p w:rsidR="00E72C87" w:rsidRDefault="00E72C87" w:rsidP="00BF7ECC">
            <w:pPr>
              <w:spacing w:line="276" w:lineRule="auto"/>
              <w:jc w:val="center"/>
              <w:rPr>
                <w:rFonts w:ascii="Calibri" w:eastAsiaTheme="minorHAnsi" w:hAnsi="Calibri"/>
                <w:color w:val="000000"/>
                <w:sz w:val="20"/>
                <w:szCs w:val="20"/>
              </w:rPr>
            </w:pPr>
            <w:r>
              <w:rPr>
                <w:color w:val="000000"/>
                <w:sz w:val="20"/>
                <w:szCs w:val="20"/>
              </w:rPr>
              <w:t>300</w:t>
            </w:r>
          </w:p>
        </w:tc>
      </w:tr>
      <w:tr w:rsidR="00E72C87" w:rsidTr="00BF7ECC">
        <w:tc>
          <w:tcPr>
            <w:tcW w:w="3625" w:type="dxa"/>
            <w:vAlign w:val="center"/>
          </w:tcPr>
          <w:p w:rsidR="00E72C87" w:rsidRPr="00F730D5" w:rsidRDefault="00E72C87" w:rsidP="00BF7ECC">
            <w:pPr>
              <w:rPr>
                <w:sz w:val="20"/>
                <w:szCs w:val="20"/>
              </w:rPr>
            </w:pPr>
            <w:r>
              <w:rPr>
                <w:color w:val="000000"/>
                <w:sz w:val="20"/>
                <w:szCs w:val="20"/>
              </w:rPr>
              <w:lastRenderedPageBreak/>
              <w:t>ICs compile and send list of students</w:t>
            </w:r>
          </w:p>
        </w:tc>
        <w:tc>
          <w:tcPr>
            <w:tcW w:w="1800" w:type="dxa"/>
            <w:vAlign w:val="center"/>
          </w:tcPr>
          <w:p w:rsidR="00E72C87" w:rsidRDefault="00E72C87" w:rsidP="00BF7ECC">
            <w:pPr>
              <w:spacing w:line="276" w:lineRule="auto"/>
              <w:jc w:val="center"/>
              <w:rPr>
                <w:rFonts w:ascii="Calibri" w:eastAsiaTheme="minorHAnsi" w:hAnsi="Calibri"/>
                <w:color w:val="000000"/>
                <w:sz w:val="20"/>
                <w:szCs w:val="20"/>
              </w:rPr>
            </w:pPr>
            <w:r>
              <w:rPr>
                <w:color w:val="000000"/>
                <w:sz w:val="20"/>
                <w:szCs w:val="20"/>
              </w:rPr>
              <w:t>15</w:t>
            </w:r>
          </w:p>
        </w:tc>
        <w:tc>
          <w:tcPr>
            <w:tcW w:w="1757" w:type="dxa"/>
            <w:vAlign w:val="center"/>
          </w:tcPr>
          <w:p w:rsidR="00E72C87" w:rsidRDefault="00E72C87" w:rsidP="00BF7ECC">
            <w:pPr>
              <w:spacing w:line="276" w:lineRule="auto"/>
              <w:jc w:val="center"/>
              <w:rPr>
                <w:rFonts w:ascii="Calibri" w:eastAsiaTheme="minorHAnsi" w:hAnsi="Calibri"/>
                <w:color w:val="000000"/>
                <w:sz w:val="20"/>
                <w:szCs w:val="20"/>
              </w:rPr>
            </w:pPr>
            <w:r>
              <w:rPr>
                <w:color w:val="000000"/>
                <w:sz w:val="20"/>
                <w:szCs w:val="20"/>
              </w:rPr>
              <w:t>60</w:t>
            </w:r>
          </w:p>
        </w:tc>
        <w:tc>
          <w:tcPr>
            <w:tcW w:w="2394" w:type="dxa"/>
            <w:vAlign w:val="center"/>
          </w:tcPr>
          <w:p w:rsidR="00E72C87" w:rsidRDefault="00E72C87" w:rsidP="00BF7ECC">
            <w:pPr>
              <w:spacing w:line="276" w:lineRule="auto"/>
              <w:jc w:val="center"/>
              <w:rPr>
                <w:rFonts w:ascii="Calibri" w:eastAsiaTheme="minorHAnsi" w:hAnsi="Calibri"/>
                <w:color w:val="000000"/>
                <w:sz w:val="20"/>
                <w:szCs w:val="20"/>
              </w:rPr>
            </w:pPr>
            <w:r>
              <w:rPr>
                <w:color w:val="000000"/>
                <w:sz w:val="20"/>
                <w:szCs w:val="20"/>
              </w:rPr>
              <w:t>900</w:t>
            </w:r>
          </w:p>
        </w:tc>
      </w:tr>
      <w:tr w:rsidR="00E72C87" w:rsidTr="00BF7ECC">
        <w:tc>
          <w:tcPr>
            <w:tcW w:w="3625" w:type="dxa"/>
            <w:vAlign w:val="center"/>
          </w:tcPr>
          <w:p w:rsidR="00E72C87" w:rsidRPr="00F730D5" w:rsidRDefault="00E72C87" w:rsidP="00BF7ECC">
            <w:pPr>
              <w:jc w:val="right"/>
              <w:rPr>
                <w:sz w:val="20"/>
                <w:szCs w:val="20"/>
              </w:rPr>
            </w:pPr>
            <w:r w:rsidRPr="00F730D5">
              <w:rPr>
                <w:b/>
                <w:sz w:val="20"/>
                <w:szCs w:val="20"/>
              </w:rPr>
              <w:t>Subtotal</w:t>
            </w:r>
            <w:r>
              <w:rPr>
                <w:b/>
                <w:sz w:val="20"/>
                <w:szCs w:val="20"/>
              </w:rPr>
              <w:t xml:space="preserve"> for ICs</w:t>
            </w:r>
          </w:p>
        </w:tc>
        <w:tc>
          <w:tcPr>
            <w:tcW w:w="1800" w:type="dxa"/>
            <w:vAlign w:val="center"/>
          </w:tcPr>
          <w:p w:rsidR="00E72C87" w:rsidRPr="00F730D5" w:rsidRDefault="00E72C87" w:rsidP="00BF7ECC">
            <w:pPr>
              <w:jc w:val="center"/>
              <w:rPr>
                <w:sz w:val="20"/>
                <w:szCs w:val="20"/>
              </w:rPr>
            </w:pPr>
          </w:p>
        </w:tc>
        <w:tc>
          <w:tcPr>
            <w:tcW w:w="1757" w:type="dxa"/>
            <w:vAlign w:val="center"/>
          </w:tcPr>
          <w:p w:rsidR="00E72C87" w:rsidRPr="00F730D5" w:rsidRDefault="00E72C87" w:rsidP="00BF7ECC">
            <w:pPr>
              <w:jc w:val="center"/>
              <w:rPr>
                <w:sz w:val="20"/>
                <w:szCs w:val="20"/>
              </w:rPr>
            </w:pPr>
          </w:p>
        </w:tc>
        <w:tc>
          <w:tcPr>
            <w:tcW w:w="2394" w:type="dxa"/>
            <w:vAlign w:val="center"/>
          </w:tcPr>
          <w:p w:rsidR="00E72C87" w:rsidRPr="00B63EBD" w:rsidRDefault="00E72C87" w:rsidP="00BF7ECC">
            <w:pPr>
              <w:spacing w:line="276" w:lineRule="auto"/>
              <w:jc w:val="center"/>
              <w:rPr>
                <w:rFonts w:ascii="Calibri" w:eastAsiaTheme="minorHAnsi" w:hAnsi="Calibri"/>
                <w:b/>
                <w:bCs/>
                <w:color w:val="000000"/>
                <w:sz w:val="20"/>
                <w:szCs w:val="20"/>
              </w:rPr>
            </w:pPr>
            <w:r w:rsidRPr="00B63EBD">
              <w:rPr>
                <w:b/>
                <w:bCs/>
                <w:color w:val="000000"/>
                <w:sz w:val="20"/>
                <w:szCs w:val="20"/>
              </w:rPr>
              <w:t>1,200 minutes</w:t>
            </w:r>
          </w:p>
          <w:p w:rsidR="00E72C87" w:rsidRPr="00F730D5" w:rsidRDefault="00E72C87" w:rsidP="00BF7ECC">
            <w:pPr>
              <w:jc w:val="center"/>
              <w:rPr>
                <w:sz w:val="20"/>
                <w:szCs w:val="20"/>
              </w:rPr>
            </w:pPr>
            <w:r w:rsidRPr="00B63EBD">
              <w:rPr>
                <w:b/>
                <w:bCs/>
                <w:color w:val="000000"/>
                <w:sz w:val="20"/>
                <w:szCs w:val="20"/>
              </w:rPr>
              <w:t>(20 hours)</w:t>
            </w:r>
          </w:p>
        </w:tc>
      </w:tr>
      <w:tr w:rsidR="00E72C87" w:rsidTr="00BF7ECC">
        <w:tc>
          <w:tcPr>
            <w:tcW w:w="3625" w:type="dxa"/>
            <w:vAlign w:val="center"/>
          </w:tcPr>
          <w:p w:rsidR="00E72C87" w:rsidRPr="00F730D5" w:rsidRDefault="00E72C87" w:rsidP="00BF7ECC">
            <w:pPr>
              <w:jc w:val="right"/>
              <w:rPr>
                <w:sz w:val="20"/>
                <w:szCs w:val="20"/>
              </w:rPr>
            </w:pPr>
            <w:r>
              <w:rPr>
                <w:b/>
                <w:bCs/>
                <w:color w:val="000000"/>
                <w:sz w:val="20"/>
                <w:szCs w:val="20"/>
              </w:rPr>
              <w:t>Total Burden</w:t>
            </w:r>
          </w:p>
        </w:tc>
        <w:tc>
          <w:tcPr>
            <w:tcW w:w="1800" w:type="dxa"/>
            <w:vAlign w:val="center"/>
          </w:tcPr>
          <w:p w:rsidR="00E72C87" w:rsidRPr="00F730D5" w:rsidRDefault="00E72C87" w:rsidP="00BF7ECC">
            <w:pPr>
              <w:jc w:val="center"/>
              <w:rPr>
                <w:sz w:val="20"/>
                <w:szCs w:val="20"/>
              </w:rPr>
            </w:pPr>
          </w:p>
        </w:tc>
        <w:tc>
          <w:tcPr>
            <w:tcW w:w="1757" w:type="dxa"/>
            <w:vAlign w:val="center"/>
          </w:tcPr>
          <w:p w:rsidR="00E72C87" w:rsidRPr="00F730D5" w:rsidRDefault="00E72C87" w:rsidP="00BF7ECC">
            <w:pPr>
              <w:jc w:val="center"/>
              <w:rPr>
                <w:sz w:val="20"/>
                <w:szCs w:val="20"/>
              </w:rPr>
            </w:pPr>
          </w:p>
        </w:tc>
        <w:tc>
          <w:tcPr>
            <w:tcW w:w="2394" w:type="dxa"/>
            <w:vAlign w:val="center"/>
          </w:tcPr>
          <w:p w:rsidR="00E72C87" w:rsidRDefault="00E72C87" w:rsidP="00BF7ECC">
            <w:pPr>
              <w:spacing w:line="276" w:lineRule="auto"/>
              <w:jc w:val="center"/>
              <w:rPr>
                <w:rFonts w:ascii="Calibri" w:eastAsiaTheme="minorHAnsi" w:hAnsi="Calibri"/>
                <w:b/>
                <w:bCs/>
                <w:color w:val="000000"/>
                <w:sz w:val="20"/>
                <w:szCs w:val="20"/>
              </w:rPr>
            </w:pPr>
            <w:r>
              <w:rPr>
                <w:b/>
                <w:bCs/>
                <w:color w:val="000000"/>
                <w:sz w:val="20"/>
                <w:szCs w:val="20"/>
              </w:rPr>
              <w:t>11,200 minutes</w:t>
            </w:r>
          </w:p>
          <w:p w:rsidR="00E72C87" w:rsidRPr="00F730D5" w:rsidRDefault="00E72C87" w:rsidP="00BF7ECC">
            <w:pPr>
              <w:jc w:val="center"/>
              <w:rPr>
                <w:sz w:val="20"/>
                <w:szCs w:val="20"/>
              </w:rPr>
            </w:pPr>
            <w:r>
              <w:rPr>
                <w:b/>
                <w:bCs/>
                <w:color w:val="000000"/>
                <w:sz w:val="20"/>
                <w:szCs w:val="20"/>
              </w:rPr>
              <w:t>(186.7 hours)</w:t>
            </w:r>
          </w:p>
        </w:tc>
      </w:tr>
    </w:tbl>
    <w:p w:rsidR="00E72C87" w:rsidRDefault="00E72C87" w:rsidP="00E72C87"/>
    <w:p w:rsidR="00E72C87" w:rsidRPr="0092230B" w:rsidRDefault="00E72C87" w:rsidP="00E72C87">
      <w:pPr>
        <w:pStyle w:val="Heading1"/>
      </w:pPr>
      <w:r w:rsidRPr="0092230B">
        <w:t>Confidentiality</w:t>
      </w:r>
    </w:p>
    <w:p w:rsidR="00E72C87" w:rsidRDefault="00E72C87" w:rsidP="00E72C87">
      <w:pPr>
        <w:rPr>
          <w:rFonts w:eastAsiaTheme="minorHAnsi"/>
        </w:rPr>
      </w:pPr>
    </w:p>
    <w:p w:rsidR="00E72C87" w:rsidRDefault="00E72C87" w:rsidP="00E72C87">
      <w:pPr>
        <w:rPr>
          <w:rFonts w:eastAsiaTheme="minorHAnsi"/>
        </w:rPr>
      </w:pPr>
      <w:r w:rsidRPr="00485B3C">
        <w:rPr>
          <w:rFonts w:eastAsiaTheme="minorHAnsi"/>
        </w:rPr>
        <w:t xml:space="preserve">Cognitive interview </w:t>
      </w:r>
      <w:r>
        <w:rPr>
          <w:rFonts w:eastAsiaTheme="minorHAnsi"/>
        </w:rPr>
        <w:t>participants</w:t>
      </w:r>
      <w:r w:rsidRPr="00485B3C">
        <w:rPr>
          <w:rFonts w:eastAsiaTheme="minorHAnsi"/>
        </w:rPr>
        <w:t xml:space="preserve"> will be informed that their participation is voluntary and their responses </w:t>
      </w:r>
      <w:r>
        <w:rPr>
          <w:rFonts w:eastAsiaTheme="minorHAnsi"/>
        </w:rPr>
        <w:t>will</w:t>
      </w:r>
      <w:r w:rsidRPr="00485B3C">
        <w:rPr>
          <w:rFonts w:eastAsiaTheme="minorHAnsi"/>
        </w:rPr>
        <w:t xml:space="preserve"> be used only f</w:t>
      </w:r>
      <w:r>
        <w:rPr>
          <w:rFonts w:eastAsiaTheme="minorHAnsi"/>
        </w:rPr>
        <w:t xml:space="preserve">or statistical purposes. </w:t>
      </w:r>
      <w:r w:rsidRPr="00485B3C">
        <w:rPr>
          <w:rFonts w:eastAsiaTheme="minorHAnsi"/>
        </w:rPr>
        <w:t xml:space="preserve">They will be informed that the interview will be </w:t>
      </w:r>
      <w:r>
        <w:rPr>
          <w:rFonts w:eastAsiaTheme="minorHAnsi"/>
        </w:rPr>
        <w:t>audio-</w:t>
      </w:r>
      <w:r w:rsidRPr="00485B3C">
        <w:rPr>
          <w:rFonts w:eastAsiaTheme="minorHAnsi"/>
        </w:rPr>
        <w:t xml:space="preserve">recorded and that the recording will only be used for analysis and report writing. They will also be advised that direct quotes may be used in research papers and professional presentations, but names will never be attributed to anything a </w:t>
      </w:r>
      <w:r>
        <w:rPr>
          <w:rFonts w:eastAsiaTheme="minorHAnsi"/>
        </w:rPr>
        <w:t>participant</w:t>
      </w:r>
      <w:r w:rsidRPr="00485B3C">
        <w:rPr>
          <w:rFonts w:eastAsiaTheme="minorHAnsi"/>
        </w:rPr>
        <w:t xml:space="preserve"> says and no </w:t>
      </w:r>
      <w:r>
        <w:rPr>
          <w:rFonts w:eastAsiaTheme="minorHAnsi"/>
        </w:rPr>
        <w:t>participant</w:t>
      </w:r>
      <w:r w:rsidRPr="00485B3C">
        <w:rPr>
          <w:rFonts w:eastAsiaTheme="minorHAnsi"/>
        </w:rPr>
        <w:t xml:space="preserve"> will be identifiable from any quotes that may be used. To protect </w:t>
      </w:r>
      <w:r>
        <w:rPr>
          <w:rFonts w:eastAsiaTheme="minorHAnsi"/>
        </w:rPr>
        <w:t>participant</w:t>
      </w:r>
      <w:r w:rsidRPr="00485B3C">
        <w:rPr>
          <w:rFonts w:eastAsiaTheme="minorHAnsi"/>
        </w:rPr>
        <w:t xml:space="preserve"> confidentiality, </w:t>
      </w:r>
      <w:r>
        <w:rPr>
          <w:rFonts w:eastAsiaTheme="minorHAnsi"/>
        </w:rPr>
        <w:t>participant</w:t>
      </w:r>
      <w:r w:rsidRPr="00485B3C">
        <w:rPr>
          <w:rFonts w:eastAsiaTheme="minorHAnsi"/>
        </w:rPr>
        <w:t xml:space="preserve">s will be assigned a unique identifier. The signed consent forms will be kept separately from the interview files in a locked cabinet for the duration of the study and will be destroyed after the final report is </w:t>
      </w:r>
      <w:r>
        <w:rPr>
          <w:rFonts w:eastAsiaTheme="minorHAnsi"/>
        </w:rPr>
        <w:t>completed</w:t>
      </w:r>
      <w:r w:rsidRPr="00485B3C">
        <w:rPr>
          <w:rFonts w:eastAsiaTheme="minorHAnsi"/>
        </w:rPr>
        <w:t>.</w:t>
      </w:r>
    </w:p>
    <w:p w:rsidR="00E72C87" w:rsidRDefault="00E72C87" w:rsidP="00E72C87">
      <w:pPr>
        <w:rPr>
          <w:rFonts w:eastAsiaTheme="minorHAnsi"/>
        </w:rPr>
      </w:pPr>
    </w:p>
    <w:p w:rsidR="00E72C87" w:rsidRPr="00B53F81" w:rsidRDefault="00E72C87" w:rsidP="00E72C87">
      <w:pPr>
        <w:rPr>
          <w:rFonts w:eastAsiaTheme="minorHAnsi"/>
          <w:b/>
        </w:rPr>
      </w:pPr>
      <w:r w:rsidRPr="00B53F81">
        <w:rPr>
          <w:rFonts w:eastAsiaTheme="minorHAnsi"/>
          <w:b/>
        </w:rPr>
        <w:t>Incentive Payments</w:t>
      </w:r>
    </w:p>
    <w:p w:rsidR="00E72C87" w:rsidRDefault="00E72C87" w:rsidP="00E72C87">
      <w:pPr>
        <w:rPr>
          <w:rFonts w:eastAsiaTheme="minorHAnsi"/>
        </w:rPr>
      </w:pPr>
    </w:p>
    <w:p w:rsidR="00E72C87" w:rsidRDefault="00E72C87" w:rsidP="00E72C87">
      <w:r>
        <w:t xml:space="preserve">Participants will be recruited from institutions in the Chicago and Washington, DC areas. Based on prior challenges we have experienced in recruiting this population, to encourage the participation of a broad group of individuals, cognitive interview participants will receive an incentive of </w:t>
      </w:r>
      <w:bookmarkStart w:id="0" w:name="_GoBack"/>
      <w:r>
        <w:t>$</w:t>
      </w:r>
      <w:bookmarkEnd w:id="0"/>
      <w:r>
        <w:t xml:space="preserve">40. This amount of incentive will assist in compensating participants for these 60-minute interviews and the expected transit time and transportation costs associated with participation in the study.  </w:t>
      </w:r>
    </w:p>
    <w:p w:rsidR="00E72C87" w:rsidRDefault="00E72C87" w:rsidP="00E72C87">
      <w:pPr>
        <w:rPr>
          <w:rFonts w:eastAsiaTheme="minorHAnsi"/>
        </w:rPr>
      </w:pPr>
    </w:p>
    <w:p w:rsidR="00E72C87" w:rsidRPr="002927ED" w:rsidRDefault="00E72C87" w:rsidP="00E72C87">
      <w:pPr>
        <w:pStyle w:val="Heading1"/>
      </w:pPr>
      <w:r w:rsidRPr="002927ED">
        <w:t>Contact Information</w:t>
      </w:r>
    </w:p>
    <w:p w:rsidR="00E72C87" w:rsidRPr="002927ED" w:rsidRDefault="00E72C87" w:rsidP="00E72C87"/>
    <w:p w:rsidR="00E72C87" w:rsidRPr="002927ED" w:rsidRDefault="00E72C87" w:rsidP="00E72C87">
      <w:r w:rsidRPr="002927ED">
        <w:t xml:space="preserve">The contact persons for questions regarding this </w:t>
      </w:r>
      <w:r>
        <w:t>research</w:t>
      </w:r>
      <w:r w:rsidRPr="002927ED">
        <w:t xml:space="preserve"> are:</w:t>
      </w:r>
    </w:p>
    <w:p w:rsidR="00E72C87" w:rsidRPr="002927ED" w:rsidRDefault="00E72C87" w:rsidP="00E72C87"/>
    <w:p w:rsidR="00E72C87" w:rsidRPr="002927ED" w:rsidRDefault="00E72C87" w:rsidP="00E72C87">
      <w:r w:rsidRPr="002927ED">
        <w:t xml:space="preserve">Lynn Milan </w:t>
      </w:r>
      <w:r w:rsidRPr="002927ED">
        <w:tab/>
      </w:r>
      <w:r w:rsidRPr="002927ED">
        <w:tab/>
      </w:r>
      <w:r w:rsidRPr="002927ED">
        <w:tab/>
      </w:r>
      <w:r w:rsidRPr="002927ED">
        <w:tab/>
      </w:r>
    </w:p>
    <w:p w:rsidR="00E72C87" w:rsidRPr="002927ED" w:rsidRDefault="00E72C87" w:rsidP="00E72C87">
      <w:r w:rsidRPr="002927ED">
        <w:t>Project Officer</w:t>
      </w:r>
      <w:r w:rsidRPr="002927ED">
        <w:tab/>
      </w:r>
      <w:r w:rsidRPr="002927ED">
        <w:tab/>
      </w:r>
      <w:r w:rsidRPr="002927ED">
        <w:tab/>
      </w:r>
      <w:r w:rsidRPr="002927ED">
        <w:tab/>
      </w:r>
      <w:r w:rsidRPr="002927ED">
        <w:tab/>
      </w:r>
      <w:r w:rsidRPr="002927ED">
        <w:tab/>
      </w:r>
    </w:p>
    <w:p w:rsidR="00E72C87" w:rsidRPr="002927ED" w:rsidRDefault="00E72C87" w:rsidP="00E72C87">
      <w:r w:rsidRPr="002927ED">
        <w:t>Survey of Earned Doctorates</w:t>
      </w:r>
      <w:r w:rsidRPr="002927ED">
        <w:tab/>
      </w:r>
      <w:r w:rsidRPr="002927ED">
        <w:tab/>
      </w:r>
      <w:r w:rsidRPr="002927ED">
        <w:tab/>
      </w:r>
      <w:r w:rsidRPr="002927ED">
        <w:tab/>
      </w:r>
      <w:r w:rsidRPr="002927ED">
        <w:tab/>
      </w:r>
    </w:p>
    <w:p w:rsidR="00E72C87" w:rsidRPr="002927ED" w:rsidRDefault="00E72C87" w:rsidP="00E72C87">
      <w:r w:rsidRPr="002927ED">
        <w:t>National Center for Science &amp; Engineering Statistics</w:t>
      </w:r>
      <w:r w:rsidRPr="002927ED">
        <w:tab/>
        <w:t xml:space="preserve"> </w:t>
      </w:r>
    </w:p>
    <w:p w:rsidR="00E72C87" w:rsidRPr="002927ED" w:rsidRDefault="00E72C87" w:rsidP="00E72C87">
      <w:r w:rsidRPr="002927ED">
        <w:t>National Science Foundation</w:t>
      </w:r>
      <w:r w:rsidRPr="002927ED">
        <w:tab/>
      </w:r>
      <w:r w:rsidRPr="002927ED">
        <w:tab/>
      </w:r>
      <w:r w:rsidRPr="002927ED">
        <w:tab/>
      </w:r>
    </w:p>
    <w:p w:rsidR="00E72C87" w:rsidRPr="002927ED" w:rsidRDefault="00E72C87" w:rsidP="00E72C87">
      <w:r w:rsidRPr="002927ED">
        <w:t>703-292-2275</w:t>
      </w:r>
      <w:r w:rsidRPr="002927ED">
        <w:tab/>
      </w:r>
      <w:r w:rsidRPr="002927ED">
        <w:tab/>
      </w:r>
      <w:r w:rsidRPr="002927ED">
        <w:tab/>
      </w:r>
      <w:r w:rsidRPr="002927ED">
        <w:tab/>
      </w:r>
      <w:r w:rsidRPr="002927ED">
        <w:tab/>
      </w:r>
    </w:p>
    <w:p w:rsidR="00E72C87" w:rsidRPr="002927ED" w:rsidRDefault="00D97013" w:rsidP="00E72C87">
      <w:hyperlink r:id="rId7" w:history="1">
        <w:r w:rsidR="00E72C87" w:rsidRPr="002927ED">
          <w:rPr>
            <w:rStyle w:val="Hyperlink"/>
          </w:rPr>
          <w:t>lmilan@nsf.gov</w:t>
        </w:r>
      </w:hyperlink>
      <w:r w:rsidR="00E72C87" w:rsidRPr="002927ED">
        <w:tab/>
      </w:r>
      <w:r w:rsidR="00E72C87" w:rsidRPr="002927ED">
        <w:tab/>
      </w:r>
      <w:r w:rsidR="00E72C87" w:rsidRPr="002927ED">
        <w:tab/>
      </w:r>
      <w:r w:rsidR="00E72C87" w:rsidRPr="002927ED">
        <w:tab/>
      </w:r>
    </w:p>
    <w:p w:rsidR="00E72C87" w:rsidRPr="002927ED" w:rsidRDefault="00E72C87" w:rsidP="00E72C87"/>
    <w:p w:rsidR="00E72C87" w:rsidRPr="002927ED" w:rsidRDefault="00E72C87" w:rsidP="00E72C87">
      <w:r w:rsidRPr="002927ED">
        <w:t>Emilda Rivers</w:t>
      </w:r>
    </w:p>
    <w:p w:rsidR="00E72C87" w:rsidRPr="002927ED" w:rsidRDefault="00E72C87" w:rsidP="00E72C87">
      <w:r w:rsidRPr="002927ED">
        <w:t>Program Director</w:t>
      </w:r>
    </w:p>
    <w:p w:rsidR="00E72C87" w:rsidRPr="002927ED" w:rsidRDefault="00E72C87" w:rsidP="00E72C87">
      <w:r w:rsidRPr="002927ED">
        <w:t>Human Resources Statistics Program</w:t>
      </w:r>
    </w:p>
    <w:p w:rsidR="00E72C87" w:rsidRPr="002927ED" w:rsidRDefault="00E72C87" w:rsidP="00E72C87">
      <w:r w:rsidRPr="002927ED">
        <w:t>National Center for Science &amp; Engineering Statistics</w:t>
      </w:r>
    </w:p>
    <w:p w:rsidR="00E72C87" w:rsidRPr="002927ED" w:rsidRDefault="00E72C87" w:rsidP="00E72C87">
      <w:r w:rsidRPr="002927ED">
        <w:t>National Science Foundation</w:t>
      </w:r>
    </w:p>
    <w:p w:rsidR="00E72C87" w:rsidRPr="002927ED" w:rsidRDefault="00E72C87" w:rsidP="00E72C87">
      <w:r w:rsidRPr="002927ED">
        <w:t>703-292-7773</w:t>
      </w:r>
    </w:p>
    <w:p w:rsidR="00E72C87" w:rsidRPr="002927ED" w:rsidRDefault="00D97013" w:rsidP="00E72C87">
      <w:hyperlink r:id="rId8" w:history="1">
        <w:r w:rsidR="00E72C87" w:rsidRPr="002927ED">
          <w:rPr>
            <w:rStyle w:val="Hyperlink"/>
          </w:rPr>
          <w:t>erivers@nsf.gov</w:t>
        </w:r>
      </w:hyperlink>
    </w:p>
    <w:p w:rsidR="00E72C87" w:rsidRDefault="00E72C87" w:rsidP="00E72C87"/>
    <w:p w:rsidR="00E72C87" w:rsidRPr="002927ED" w:rsidRDefault="00E72C87" w:rsidP="00E72C87"/>
    <w:p w:rsidR="00E72C87" w:rsidRPr="002927ED" w:rsidRDefault="00E72C87" w:rsidP="00E72C87">
      <w:pPr>
        <w:rPr>
          <w:b/>
        </w:rPr>
      </w:pPr>
      <w:r w:rsidRPr="003443B4">
        <w:rPr>
          <w:b/>
        </w:rPr>
        <w:t>Attachments</w:t>
      </w:r>
    </w:p>
    <w:p w:rsidR="00E72C87" w:rsidRPr="002927ED" w:rsidRDefault="00E72C87" w:rsidP="00E72C87"/>
    <w:p w:rsidR="00E72C87" w:rsidRDefault="00E72C87" w:rsidP="00E72C87">
      <w:pPr>
        <w:tabs>
          <w:tab w:val="left" w:pos="360"/>
        </w:tabs>
      </w:pPr>
      <w:r>
        <w:t>1:</w:t>
      </w:r>
      <w:r>
        <w:tab/>
        <w:t xml:space="preserve">Survey of Earned Doctorates (SED) Questionnaire (paper form) </w:t>
      </w:r>
    </w:p>
    <w:p w:rsidR="00E72C87" w:rsidRPr="002927ED" w:rsidRDefault="00E72C87" w:rsidP="00E72C87">
      <w:pPr>
        <w:tabs>
          <w:tab w:val="left" w:pos="360"/>
        </w:tabs>
      </w:pPr>
      <w:r>
        <w:t>2:   SED Questionnaire Item Issues</w:t>
      </w:r>
    </w:p>
    <w:p w:rsidR="00E72C87" w:rsidRPr="002927ED" w:rsidRDefault="00E72C87" w:rsidP="00E72C87">
      <w:pPr>
        <w:tabs>
          <w:tab w:val="left" w:pos="360"/>
        </w:tabs>
      </w:pPr>
      <w:r>
        <w:t>3:</w:t>
      </w:r>
      <w:r>
        <w:tab/>
        <w:t>Recruitment Materials</w:t>
      </w:r>
    </w:p>
    <w:p w:rsidR="00E72C87" w:rsidRPr="002927ED" w:rsidRDefault="00E72C87" w:rsidP="00E72C87">
      <w:pPr>
        <w:tabs>
          <w:tab w:val="left" w:pos="360"/>
        </w:tabs>
      </w:pPr>
      <w:r>
        <w:t>4:</w:t>
      </w:r>
      <w:r>
        <w:tab/>
        <w:t>Screener Questions</w:t>
      </w:r>
    </w:p>
    <w:p w:rsidR="00E72C87" w:rsidRDefault="00E72C87" w:rsidP="00E72C87">
      <w:pPr>
        <w:tabs>
          <w:tab w:val="left" w:pos="360"/>
        </w:tabs>
      </w:pPr>
      <w:r>
        <w:t>5:</w:t>
      </w:r>
      <w:r>
        <w:tab/>
        <w:t>Cognitive Interview</w:t>
      </w:r>
      <w:r w:rsidRPr="002927ED">
        <w:t xml:space="preserve"> Protocol</w:t>
      </w:r>
    </w:p>
    <w:p w:rsidR="00E72C87" w:rsidRPr="002927ED" w:rsidRDefault="00E72C87" w:rsidP="00E72C87">
      <w:pPr>
        <w:tabs>
          <w:tab w:val="left" w:pos="360"/>
        </w:tabs>
      </w:pPr>
      <w:r>
        <w:t>6:</w:t>
      </w:r>
      <w:r>
        <w:tab/>
        <w:t>Participant Consent Form</w:t>
      </w:r>
    </w:p>
    <w:p w:rsidR="00E72C87" w:rsidRDefault="00E72C87" w:rsidP="00E72C87">
      <w:pPr>
        <w:rPr>
          <w:rFonts w:eastAsiaTheme="minorHAnsi"/>
        </w:rPr>
      </w:pPr>
    </w:p>
    <w:p w:rsidR="00E72C87" w:rsidRDefault="00E72C87" w:rsidP="00E72C87">
      <w:pPr>
        <w:jc w:val="center"/>
      </w:pPr>
    </w:p>
    <w:p w:rsidR="00E72C87" w:rsidRDefault="00E72C87" w:rsidP="00E72C87">
      <w:pPr>
        <w:jc w:val="center"/>
      </w:pPr>
    </w:p>
    <w:p w:rsidR="00E72C87" w:rsidRDefault="00E72C87" w:rsidP="00E72C87">
      <w:pPr>
        <w:jc w:val="center"/>
      </w:pPr>
    </w:p>
    <w:p w:rsidR="00E72C87" w:rsidRDefault="00E72C87" w:rsidP="00E72C87">
      <w:pPr>
        <w:spacing w:after="200" w:line="276" w:lineRule="auto"/>
      </w:pPr>
    </w:p>
    <w:sectPr w:rsidR="00E72C8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C87" w:rsidRDefault="00E72C87" w:rsidP="00E72C87">
      <w:r>
        <w:separator/>
      </w:r>
    </w:p>
  </w:endnote>
  <w:endnote w:type="continuationSeparator" w:id="0">
    <w:p w:rsidR="00E72C87" w:rsidRDefault="00E72C87" w:rsidP="00E7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474443"/>
      <w:docPartObj>
        <w:docPartGallery w:val="Page Numbers (Bottom of Page)"/>
        <w:docPartUnique/>
      </w:docPartObj>
    </w:sdtPr>
    <w:sdtEndPr>
      <w:rPr>
        <w:noProof/>
      </w:rPr>
    </w:sdtEndPr>
    <w:sdtContent>
      <w:p w:rsidR="00E72C87" w:rsidRDefault="00E72C87">
        <w:pPr>
          <w:pStyle w:val="Footer"/>
          <w:jc w:val="center"/>
        </w:pPr>
        <w:r>
          <w:fldChar w:fldCharType="begin"/>
        </w:r>
        <w:r>
          <w:instrText xml:space="preserve"> PAGE   \* MERGEFORMAT </w:instrText>
        </w:r>
        <w:r>
          <w:fldChar w:fldCharType="separate"/>
        </w:r>
        <w:r w:rsidR="00D97013">
          <w:rPr>
            <w:noProof/>
          </w:rPr>
          <w:t>6</w:t>
        </w:r>
        <w:r>
          <w:rPr>
            <w:noProof/>
          </w:rPr>
          <w:fldChar w:fldCharType="end"/>
        </w:r>
      </w:p>
    </w:sdtContent>
  </w:sdt>
  <w:p w:rsidR="00E72C87" w:rsidRDefault="00E72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C87" w:rsidRDefault="00E72C87" w:rsidP="00E72C87">
      <w:r>
        <w:separator/>
      </w:r>
    </w:p>
  </w:footnote>
  <w:footnote w:type="continuationSeparator" w:id="0">
    <w:p w:rsidR="00E72C87" w:rsidRDefault="00E72C87" w:rsidP="00E72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A042A"/>
    <w:multiLevelType w:val="hybridMultilevel"/>
    <w:tmpl w:val="DD14D92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F4964BB"/>
    <w:multiLevelType w:val="hybridMultilevel"/>
    <w:tmpl w:val="3AA66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C87"/>
    <w:rsid w:val="00757928"/>
    <w:rsid w:val="00D97013"/>
    <w:rsid w:val="00E72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1846B8-9F6D-4C5C-AEA0-D561B71C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C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72C8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2C87"/>
    <w:rPr>
      <w:rFonts w:ascii="Times New Roman" w:eastAsia="Times New Roman" w:hAnsi="Times New Roman" w:cs="Times New Roman"/>
      <w:b/>
      <w:bCs/>
      <w:sz w:val="24"/>
      <w:szCs w:val="24"/>
    </w:rPr>
  </w:style>
  <w:style w:type="table" w:styleId="TableGrid">
    <w:name w:val="Table Grid"/>
    <w:basedOn w:val="TableNormal"/>
    <w:uiPriority w:val="59"/>
    <w:rsid w:val="00E72C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Bullet1">
    <w:name w:val="NORC-Bullet 1"/>
    <w:rsid w:val="00E72C87"/>
    <w:pPr>
      <w:numPr>
        <w:numId w:val="1"/>
      </w:numPr>
      <w:spacing w:after="4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2C87"/>
    <w:pPr>
      <w:ind w:left="720"/>
      <w:contextualSpacing/>
    </w:pPr>
  </w:style>
  <w:style w:type="character" w:styleId="Hyperlink">
    <w:name w:val="Hyperlink"/>
    <w:basedOn w:val="DefaultParagraphFont"/>
    <w:uiPriority w:val="99"/>
    <w:rsid w:val="00E72C87"/>
    <w:rPr>
      <w:rFonts w:cs="Times New Roman"/>
      <w:color w:val="0000FF"/>
      <w:u w:val="single"/>
    </w:rPr>
  </w:style>
  <w:style w:type="paragraph" w:styleId="Header">
    <w:name w:val="header"/>
    <w:basedOn w:val="Normal"/>
    <w:link w:val="HeaderChar"/>
    <w:uiPriority w:val="99"/>
    <w:unhideWhenUsed/>
    <w:rsid w:val="00E72C87"/>
    <w:pPr>
      <w:tabs>
        <w:tab w:val="center" w:pos="4680"/>
        <w:tab w:val="right" w:pos="9360"/>
      </w:tabs>
    </w:pPr>
  </w:style>
  <w:style w:type="character" w:customStyle="1" w:styleId="HeaderChar">
    <w:name w:val="Header Char"/>
    <w:basedOn w:val="DefaultParagraphFont"/>
    <w:link w:val="Header"/>
    <w:uiPriority w:val="99"/>
    <w:rsid w:val="00E72C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2C87"/>
    <w:pPr>
      <w:tabs>
        <w:tab w:val="center" w:pos="4680"/>
        <w:tab w:val="right" w:pos="9360"/>
      </w:tabs>
    </w:pPr>
  </w:style>
  <w:style w:type="character" w:customStyle="1" w:styleId="FooterChar">
    <w:name w:val="Footer Char"/>
    <w:basedOn w:val="DefaultParagraphFont"/>
    <w:link w:val="Footer"/>
    <w:uiPriority w:val="99"/>
    <w:rsid w:val="00E72C8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vers@nsf.gov" TargetMode="External"/><Relationship Id="rId3" Type="http://schemas.openxmlformats.org/officeDocument/2006/relationships/settings" Target="settings.xml"/><Relationship Id="rId7" Type="http://schemas.openxmlformats.org/officeDocument/2006/relationships/hyperlink" Target="mailto:lmilan@nsf.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1924</Words>
  <Characters>10969</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Lynn M.</dc:creator>
  <cp:lastModifiedBy>martinez_r</cp:lastModifiedBy>
  <cp:revision>2</cp:revision>
  <dcterms:created xsi:type="dcterms:W3CDTF">2015-03-17T15:44:00Z</dcterms:created>
  <dcterms:modified xsi:type="dcterms:W3CDTF">2015-03-17T15:44:00Z</dcterms:modified>
</cp:coreProperties>
</file>