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B81" w:rsidRDefault="007A2B81" w:rsidP="00E96A44">
      <w:pPr>
        <w:spacing w:after="0" w:line="240" w:lineRule="auto"/>
        <w:jc w:val="center"/>
        <w:rPr>
          <w:rFonts w:eastAsia="Times New Roman" w:cs="Times New Roman"/>
          <w:b/>
          <w:bCs/>
          <w:szCs w:val="24"/>
        </w:rPr>
      </w:pPr>
      <w:r>
        <w:rPr>
          <w:rFonts w:eastAsia="Times New Roman" w:cs="Times New Roman"/>
          <w:b/>
          <w:bCs/>
          <w:szCs w:val="24"/>
        </w:rPr>
        <w:t>SUPPORTING STATEMENT</w:t>
      </w:r>
    </w:p>
    <w:p w:rsidR="007A2B81" w:rsidRDefault="007A2B81" w:rsidP="00E96A44">
      <w:pPr>
        <w:spacing w:line="240" w:lineRule="auto"/>
        <w:jc w:val="center"/>
        <w:rPr>
          <w:rFonts w:eastAsia="Times New Roman" w:cs="Times New Roman"/>
          <w:b/>
          <w:bCs/>
          <w:szCs w:val="24"/>
        </w:rPr>
      </w:pPr>
      <w:proofErr w:type="gramStart"/>
      <w:r w:rsidRPr="0040411D">
        <w:rPr>
          <w:rFonts w:eastAsia="Times New Roman" w:cs="Times New Roman"/>
          <w:b/>
          <w:bCs/>
          <w:szCs w:val="24"/>
        </w:rPr>
        <w:t>for</w:t>
      </w:r>
      <w:proofErr w:type="gramEnd"/>
      <w:r w:rsidRPr="0040411D">
        <w:rPr>
          <w:rFonts w:eastAsia="Times New Roman" w:cs="Times New Roman"/>
          <w:b/>
          <w:bCs/>
          <w:szCs w:val="24"/>
        </w:rPr>
        <w:t xml:space="preserve"> the Paperwork Reduction Act Infor</w:t>
      </w:r>
      <w:r>
        <w:rPr>
          <w:rFonts w:eastAsia="Times New Roman" w:cs="Times New Roman"/>
          <w:b/>
          <w:bCs/>
          <w:szCs w:val="24"/>
        </w:rPr>
        <w:t>mation Collection Submission</w:t>
      </w:r>
    </w:p>
    <w:p w:rsidR="007A2B81" w:rsidRPr="00E46A20" w:rsidRDefault="007A2B81" w:rsidP="00E96A44">
      <w:pPr>
        <w:spacing w:line="240" w:lineRule="auto"/>
        <w:jc w:val="center"/>
        <w:rPr>
          <w:rFonts w:eastAsia="Times New Roman" w:cs="Times New Roman"/>
          <w:b/>
          <w:bCs/>
          <w:szCs w:val="24"/>
        </w:rPr>
      </w:pPr>
      <w:r>
        <w:rPr>
          <w:rFonts w:eastAsia="Times New Roman" w:cs="Times New Roman"/>
          <w:b/>
          <w:bCs/>
          <w:szCs w:val="24"/>
        </w:rPr>
        <w:t>Rule 18a-</w:t>
      </w:r>
      <w:r w:rsidR="00907360">
        <w:rPr>
          <w:rFonts w:eastAsia="Times New Roman" w:cs="Times New Roman"/>
          <w:b/>
          <w:bCs/>
          <w:szCs w:val="24"/>
        </w:rPr>
        <w:t>2</w:t>
      </w:r>
      <w:r>
        <w:rPr>
          <w:rFonts w:eastAsia="Times New Roman" w:cs="Times New Roman"/>
          <w:b/>
          <w:bCs/>
          <w:szCs w:val="24"/>
        </w:rPr>
        <w:t xml:space="preserve"> – </w:t>
      </w:r>
      <w:r w:rsidR="00907360" w:rsidRPr="00907360">
        <w:rPr>
          <w:rFonts w:eastAsia="Times New Roman" w:cs="Times New Roman"/>
          <w:b/>
          <w:bCs/>
          <w:szCs w:val="24"/>
        </w:rPr>
        <w:t xml:space="preserve">Capital requirements for major security-based swap participants for which there </w:t>
      </w:r>
      <w:proofErr w:type="gramStart"/>
      <w:r w:rsidR="00907360" w:rsidRPr="00907360">
        <w:rPr>
          <w:rFonts w:eastAsia="Times New Roman" w:cs="Times New Roman"/>
          <w:b/>
          <w:bCs/>
          <w:szCs w:val="24"/>
        </w:rPr>
        <w:t>is</w:t>
      </w:r>
      <w:proofErr w:type="gramEnd"/>
      <w:r w:rsidR="00907360" w:rsidRPr="00907360">
        <w:rPr>
          <w:rFonts w:eastAsia="Times New Roman" w:cs="Times New Roman"/>
          <w:b/>
          <w:bCs/>
          <w:szCs w:val="24"/>
        </w:rPr>
        <w:t xml:space="preserve"> not a prudential regulator.</w:t>
      </w:r>
    </w:p>
    <w:p w:rsidR="007A2B81" w:rsidRPr="00F10FF8" w:rsidRDefault="007A2B81" w:rsidP="00E96A44">
      <w:pPr>
        <w:pStyle w:val="Heading1"/>
        <w:tabs>
          <w:tab w:val="left" w:pos="720"/>
        </w:tabs>
        <w:rPr>
          <w:rFonts w:ascii="Times New Roman Bold" w:hAnsi="Times New Roman Bold"/>
          <w:caps/>
        </w:rPr>
      </w:pPr>
      <w:r w:rsidRPr="00271482">
        <w:rPr>
          <w:bCs w:val="0"/>
        </w:rPr>
        <w:t>A.</w:t>
      </w:r>
      <w:r w:rsidRPr="00271482">
        <w:tab/>
      </w:r>
      <w:r w:rsidRPr="00F10FF8">
        <w:rPr>
          <w:rFonts w:ascii="Times New Roman Bold" w:hAnsi="Times New Roman Bold"/>
          <w:caps/>
        </w:rPr>
        <w:t>Justification</w:t>
      </w:r>
    </w:p>
    <w:p w:rsidR="007A2B81" w:rsidRDefault="007A2B81" w:rsidP="00E96A44">
      <w:pPr>
        <w:pStyle w:val="Heading2"/>
        <w:spacing w:line="240" w:lineRule="auto"/>
      </w:pPr>
      <w:r>
        <w:tab/>
        <w:t>1.</w:t>
      </w:r>
      <w:r>
        <w:tab/>
        <w:t>Necessity of Information Collection</w:t>
      </w:r>
    </w:p>
    <w:p w:rsidR="00101F46" w:rsidRDefault="007A2B81" w:rsidP="00E96A44">
      <w:pPr>
        <w:spacing w:line="240" w:lineRule="auto"/>
        <w:rPr>
          <w:rFonts w:cs="Times New Roman"/>
          <w:szCs w:val="24"/>
        </w:rPr>
      </w:pPr>
      <w:r>
        <w:rPr>
          <w:rFonts w:cs="Times New Roman"/>
          <w:szCs w:val="24"/>
        </w:rPr>
        <w:tab/>
        <w:t>In accordance with Section 764 of the Dodd-Frank Wall Street Reform and Consumer Protection Act of 2010 (</w:t>
      </w:r>
      <w:r w:rsidR="00E96A44">
        <w:rPr>
          <w:rFonts w:cs="Times New Roman"/>
          <w:szCs w:val="24"/>
        </w:rPr>
        <w:t xml:space="preserve">the </w:t>
      </w:r>
      <w:r>
        <w:rPr>
          <w:rFonts w:cs="Times New Roman"/>
          <w:szCs w:val="24"/>
        </w:rPr>
        <w:t xml:space="preserve">“Dodd-Frank Act”), the </w:t>
      </w:r>
      <w:r w:rsidR="00E96A44">
        <w:rPr>
          <w:rFonts w:cs="Times New Roman"/>
          <w:szCs w:val="24"/>
        </w:rPr>
        <w:t xml:space="preserve">Securities and Exchange </w:t>
      </w:r>
      <w:r>
        <w:rPr>
          <w:rFonts w:cs="Times New Roman"/>
          <w:szCs w:val="24"/>
        </w:rPr>
        <w:t>Commission</w:t>
      </w:r>
      <w:r w:rsidR="00E96A44">
        <w:rPr>
          <w:rFonts w:cs="Times New Roman"/>
          <w:szCs w:val="24"/>
        </w:rPr>
        <w:t xml:space="preserve"> (the “Commission”)</w:t>
      </w:r>
      <w:r>
        <w:rPr>
          <w:rFonts w:cs="Times New Roman"/>
          <w:szCs w:val="24"/>
        </w:rPr>
        <w:t xml:space="preserve"> </w:t>
      </w:r>
      <w:r w:rsidR="00E02C30">
        <w:rPr>
          <w:rFonts w:cs="Times New Roman"/>
          <w:szCs w:val="24"/>
        </w:rPr>
        <w:t>has proposed</w:t>
      </w:r>
      <w:r>
        <w:rPr>
          <w:rFonts w:cs="Times New Roman"/>
          <w:szCs w:val="24"/>
        </w:rPr>
        <w:t xml:space="preserve"> new Rule 18a-2 to set forth capital requirements for </w:t>
      </w:r>
      <w:r w:rsidR="00907360">
        <w:rPr>
          <w:rFonts w:cs="Times New Roman"/>
          <w:szCs w:val="24"/>
        </w:rPr>
        <w:t xml:space="preserve">nonbank </w:t>
      </w:r>
      <w:r>
        <w:rPr>
          <w:rFonts w:cs="Times New Roman"/>
          <w:szCs w:val="24"/>
        </w:rPr>
        <w:t>major security-based swap participants (“MSBSPs”)</w:t>
      </w:r>
      <w:r w:rsidR="00954311">
        <w:rPr>
          <w:rFonts w:cs="Times New Roman"/>
          <w:szCs w:val="24"/>
        </w:rPr>
        <w:t>.</w:t>
      </w:r>
      <w:r w:rsidR="00954311">
        <w:rPr>
          <w:rStyle w:val="FootnoteReference"/>
        </w:rPr>
        <w:footnoteReference w:id="1"/>
      </w:r>
      <w:r>
        <w:rPr>
          <w:rFonts w:cs="Times New Roman"/>
          <w:szCs w:val="24"/>
        </w:rPr>
        <w:t xml:space="preserve">  The rule </w:t>
      </w:r>
      <w:r w:rsidR="00E96A44">
        <w:rPr>
          <w:rFonts w:cs="Times New Roman"/>
          <w:szCs w:val="24"/>
        </w:rPr>
        <w:t>would establish</w:t>
      </w:r>
      <w:r>
        <w:rPr>
          <w:rFonts w:cs="Times New Roman"/>
          <w:szCs w:val="24"/>
        </w:rPr>
        <w:t xml:space="preserve"> new collection of information requirements.</w:t>
      </w:r>
      <w:r w:rsidR="00A43AC8">
        <w:rPr>
          <w:rFonts w:cs="Times New Roman"/>
          <w:szCs w:val="24"/>
        </w:rPr>
        <w:t xml:space="preserve">  Division staff estimates that there will be a total of 5 respondents subject to these new requirements.</w:t>
      </w:r>
    </w:p>
    <w:p w:rsidR="00907360" w:rsidRDefault="00101F46" w:rsidP="00E96A44">
      <w:pPr>
        <w:spacing w:line="240" w:lineRule="auto"/>
        <w:rPr>
          <w:rFonts w:cs="Times New Roman"/>
          <w:szCs w:val="24"/>
        </w:rPr>
      </w:pPr>
      <w:r>
        <w:rPr>
          <w:rFonts w:cs="Times New Roman"/>
          <w:szCs w:val="24"/>
        </w:rPr>
        <w:tab/>
      </w:r>
      <w:r w:rsidR="00E02C30">
        <w:rPr>
          <w:rFonts w:cs="Times New Roman"/>
          <w:szCs w:val="24"/>
        </w:rPr>
        <w:t xml:space="preserve">Under proposed </w:t>
      </w:r>
      <w:r w:rsidR="00907360">
        <w:rPr>
          <w:rFonts w:cs="Times New Roman"/>
          <w:szCs w:val="24"/>
        </w:rPr>
        <w:t>Rule 18a-2</w:t>
      </w:r>
      <w:r w:rsidR="00E02C30">
        <w:rPr>
          <w:rFonts w:cs="Times New Roman"/>
          <w:szCs w:val="24"/>
        </w:rPr>
        <w:t xml:space="preserve">, </w:t>
      </w:r>
      <w:r w:rsidR="00907360">
        <w:rPr>
          <w:rFonts w:cs="Times New Roman"/>
          <w:szCs w:val="24"/>
        </w:rPr>
        <w:t xml:space="preserve">MSBSPs </w:t>
      </w:r>
      <w:r w:rsidR="00E02C30">
        <w:rPr>
          <w:rFonts w:cs="Times New Roman"/>
          <w:szCs w:val="24"/>
        </w:rPr>
        <w:t xml:space="preserve">would need to </w:t>
      </w:r>
      <w:r w:rsidR="00907360">
        <w:rPr>
          <w:rFonts w:cs="Times New Roman"/>
          <w:szCs w:val="24"/>
        </w:rPr>
        <w:t xml:space="preserve">comply </w:t>
      </w:r>
      <w:r w:rsidR="00E02C30">
        <w:rPr>
          <w:rFonts w:cs="Times New Roman"/>
          <w:szCs w:val="24"/>
        </w:rPr>
        <w:t>with</w:t>
      </w:r>
      <w:r w:rsidR="00907360">
        <w:rPr>
          <w:rFonts w:cs="Times New Roman"/>
          <w:szCs w:val="24"/>
        </w:rPr>
        <w:t xml:space="preserve"> Rule 15c3-4</w:t>
      </w:r>
      <w:r w:rsidR="00E02C30">
        <w:rPr>
          <w:rFonts w:cs="Times New Roman"/>
          <w:szCs w:val="24"/>
        </w:rPr>
        <w:t xml:space="preserve">, which requires OTC derivatives dealers and other firms subject to its provisions to </w:t>
      </w:r>
      <w:r w:rsidR="00907360">
        <w:rPr>
          <w:rFonts w:cs="Times New Roman"/>
          <w:szCs w:val="24"/>
        </w:rPr>
        <w:t xml:space="preserve">establish, document, and </w:t>
      </w:r>
      <w:r w:rsidR="009E5F65">
        <w:rPr>
          <w:rFonts w:cs="Times New Roman"/>
          <w:szCs w:val="24"/>
        </w:rPr>
        <w:t>maintain</w:t>
      </w:r>
      <w:r w:rsidR="00907360">
        <w:rPr>
          <w:rFonts w:cs="Times New Roman"/>
          <w:szCs w:val="24"/>
        </w:rPr>
        <w:t xml:space="preserve"> a system of internal risk management controls to assist the firm in managing the risk associated with</w:t>
      </w:r>
      <w:r w:rsidR="00E96A44">
        <w:rPr>
          <w:rFonts w:cs="Times New Roman"/>
          <w:szCs w:val="24"/>
        </w:rPr>
        <w:t xml:space="preserve"> its</w:t>
      </w:r>
      <w:r w:rsidR="00907360">
        <w:rPr>
          <w:rFonts w:cs="Times New Roman"/>
          <w:szCs w:val="24"/>
        </w:rPr>
        <w:t xml:space="preserve"> business activities, including market, credit, leverage, </w:t>
      </w:r>
      <w:r w:rsidR="009E5F65">
        <w:rPr>
          <w:rFonts w:cs="Times New Roman"/>
          <w:szCs w:val="24"/>
        </w:rPr>
        <w:t xml:space="preserve">liquidity, </w:t>
      </w:r>
      <w:r w:rsidR="00907360">
        <w:rPr>
          <w:rFonts w:cs="Times New Roman"/>
          <w:szCs w:val="24"/>
        </w:rPr>
        <w:t>legal</w:t>
      </w:r>
      <w:r w:rsidR="00E96A44">
        <w:rPr>
          <w:rFonts w:cs="Times New Roman"/>
          <w:szCs w:val="24"/>
        </w:rPr>
        <w:t>,</w:t>
      </w:r>
      <w:r w:rsidR="00907360">
        <w:rPr>
          <w:rFonts w:cs="Times New Roman"/>
          <w:szCs w:val="24"/>
        </w:rPr>
        <w:t xml:space="preserve"> and operational risks.</w:t>
      </w:r>
    </w:p>
    <w:p w:rsidR="0071374F" w:rsidRDefault="0071374F" w:rsidP="00E96A44">
      <w:pPr>
        <w:pStyle w:val="Heading2"/>
        <w:spacing w:line="240" w:lineRule="auto"/>
      </w:pPr>
      <w:r>
        <w:tab/>
        <w:t>2.</w:t>
      </w:r>
      <w:r>
        <w:tab/>
        <w:t>Purpose and Use of the Information Collection</w:t>
      </w:r>
    </w:p>
    <w:p w:rsidR="00CB3859" w:rsidRDefault="0071374F" w:rsidP="00E96A44">
      <w:pPr>
        <w:spacing w:line="240" w:lineRule="auto"/>
      </w:pPr>
      <w:r>
        <w:tab/>
        <w:t>Information c</w:t>
      </w:r>
      <w:r w:rsidR="00E96A44">
        <w:t xml:space="preserve">ollections under Rule 18a-2 would be </w:t>
      </w:r>
      <w:r>
        <w:t xml:space="preserve">integral parts of the Commission’s financial responsibility program for nonbank MSBSPs.  </w:t>
      </w:r>
      <w:r w:rsidR="00E96A44">
        <w:t>This requirement would be</w:t>
      </w:r>
      <w:r w:rsidR="00E02C30">
        <w:t xml:space="preserve"> imposed on MSBSPs because, by definition, they maintain materially large positions in security-based swap markets and would pose substantial risk to the stability of those markets should they default on their obligations.</w:t>
      </w:r>
    </w:p>
    <w:p w:rsidR="00CB3859" w:rsidRDefault="00CB3859" w:rsidP="00E96A44">
      <w:pPr>
        <w:pStyle w:val="Heading2"/>
        <w:spacing w:line="240" w:lineRule="auto"/>
      </w:pPr>
      <w:r>
        <w:tab/>
        <w:t>3.</w:t>
      </w:r>
      <w:r>
        <w:tab/>
        <w:t>Consideration Given to Information Technology</w:t>
      </w:r>
    </w:p>
    <w:p w:rsidR="00CB3859" w:rsidRDefault="00CB3859" w:rsidP="00E96A44">
      <w:pPr>
        <w:spacing w:line="240" w:lineRule="auto"/>
      </w:pPr>
      <w:r>
        <w:tab/>
        <w:t xml:space="preserve">The information collections </w:t>
      </w:r>
      <w:r w:rsidR="00E96A44">
        <w:t>under Rule 18a-2 would not</w:t>
      </w:r>
      <w:r>
        <w:t xml:space="preserve"> require that respondents use any specific information technology system either to prepare or submit information collections under </w:t>
      </w:r>
      <w:r w:rsidR="00E96A44">
        <w:t>the rule</w:t>
      </w:r>
      <w:r>
        <w:t>.</w:t>
      </w:r>
    </w:p>
    <w:p w:rsidR="00CB3859" w:rsidRDefault="00CB3859" w:rsidP="00E96A44">
      <w:pPr>
        <w:pStyle w:val="Heading2"/>
        <w:spacing w:line="240" w:lineRule="auto"/>
      </w:pPr>
      <w:r>
        <w:tab/>
        <w:t>4.</w:t>
      </w:r>
      <w:r>
        <w:tab/>
        <w:t>Duplication</w:t>
      </w:r>
    </w:p>
    <w:p w:rsidR="00CB3859" w:rsidRDefault="00CB3859" w:rsidP="00E96A44">
      <w:pPr>
        <w:spacing w:line="240" w:lineRule="auto"/>
      </w:pPr>
      <w:r>
        <w:tab/>
        <w:t xml:space="preserve">We are </w:t>
      </w:r>
      <w:r w:rsidR="00E96A44">
        <w:t xml:space="preserve">not aware </w:t>
      </w:r>
      <w:r w:rsidR="00A43AC8">
        <w:t>that this information collection duplicates any existing information collection</w:t>
      </w:r>
      <w:r>
        <w:t xml:space="preserve">.  </w:t>
      </w:r>
    </w:p>
    <w:p w:rsidR="00CB3859" w:rsidRDefault="00CB3859" w:rsidP="00E96A44">
      <w:pPr>
        <w:pStyle w:val="Heading2"/>
        <w:spacing w:line="240" w:lineRule="auto"/>
      </w:pPr>
      <w:r>
        <w:lastRenderedPageBreak/>
        <w:tab/>
        <w:t>5.</w:t>
      </w:r>
      <w:r>
        <w:tab/>
        <w:t>Effect on Small Entities</w:t>
      </w:r>
    </w:p>
    <w:p w:rsidR="00CB3859" w:rsidRDefault="00CB3859" w:rsidP="00E96A44">
      <w:pPr>
        <w:spacing w:line="240" w:lineRule="auto"/>
      </w:pPr>
      <w:r>
        <w:tab/>
        <w:t>The information collections</w:t>
      </w:r>
      <w:r w:rsidR="00E96A44">
        <w:t xml:space="preserve"> that would be</w:t>
      </w:r>
      <w:r>
        <w:t xml:space="preserve"> required under Rule 18a-</w:t>
      </w:r>
      <w:r w:rsidR="00F86271">
        <w:t>2</w:t>
      </w:r>
      <w:r w:rsidR="00E96A44">
        <w:t xml:space="preserve"> would</w:t>
      </w:r>
      <w:r>
        <w:t xml:space="preserve"> not place burdens on small entities.  </w:t>
      </w:r>
      <w:r w:rsidR="00E96A44">
        <w:t xml:space="preserve">The information collections would be </w:t>
      </w:r>
      <w:r>
        <w:t xml:space="preserve">relevant only to market participants whose security-based swap </w:t>
      </w:r>
      <w:r w:rsidR="004F1EFF">
        <w:t xml:space="preserve">market </w:t>
      </w:r>
      <w:r>
        <w:t xml:space="preserve">activity exceeds a </w:t>
      </w:r>
      <w:r w:rsidR="00F86271">
        <w:t xml:space="preserve">large </w:t>
      </w:r>
      <w:r>
        <w:t>threshold of notional amounts, such that small market participants are exempted.</w:t>
      </w:r>
    </w:p>
    <w:p w:rsidR="00F86271" w:rsidRDefault="00F86271" w:rsidP="00E96A44">
      <w:pPr>
        <w:pStyle w:val="Heading2"/>
        <w:spacing w:line="240" w:lineRule="auto"/>
      </w:pPr>
      <w:r>
        <w:tab/>
        <w:t>6.</w:t>
      </w:r>
      <w:r>
        <w:tab/>
        <w:t>Consequences of Not Conducting Collection</w:t>
      </w:r>
    </w:p>
    <w:p w:rsidR="00F86271" w:rsidRDefault="00F86271" w:rsidP="00E96A44">
      <w:pPr>
        <w:spacing w:line="240" w:lineRule="auto"/>
      </w:pPr>
      <w:r>
        <w:tab/>
        <w:t>If the required information collections were not conducted or were conducted less frequently, the protection afforded to counterparties and the U.S. financial and banking system would be diminished.</w:t>
      </w:r>
    </w:p>
    <w:p w:rsidR="00F86271" w:rsidRDefault="00F86271" w:rsidP="00E96A44">
      <w:pPr>
        <w:pStyle w:val="Heading2"/>
        <w:spacing w:line="240" w:lineRule="auto"/>
      </w:pPr>
      <w:r>
        <w:tab/>
        <w:t>7.</w:t>
      </w:r>
      <w:r>
        <w:tab/>
        <w:t>Inconsistencies with Guidelines in 5 CFR 1320.5(d</w:t>
      </w:r>
      <w:proofErr w:type="gramStart"/>
      <w:r>
        <w:t>)(</w:t>
      </w:r>
      <w:proofErr w:type="gramEnd"/>
      <w:r>
        <w:t>2)</w:t>
      </w:r>
    </w:p>
    <w:p w:rsidR="00F86271" w:rsidRDefault="00F86271" w:rsidP="00E96A44">
      <w:pPr>
        <w:spacing w:line="240" w:lineRule="auto"/>
      </w:pPr>
      <w:r>
        <w:tab/>
        <w:t>There are no special circumstances.  This collection is consistent with the guidelines in 5 CFR 1320.5(d</w:t>
      </w:r>
      <w:proofErr w:type="gramStart"/>
      <w:r>
        <w:t>)(</w:t>
      </w:r>
      <w:proofErr w:type="gramEnd"/>
      <w:r>
        <w:t>2).</w:t>
      </w:r>
    </w:p>
    <w:p w:rsidR="00F86271" w:rsidRDefault="00F86271" w:rsidP="00E96A44">
      <w:pPr>
        <w:pStyle w:val="Heading2"/>
        <w:spacing w:line="240" w:lineRule="auto"/>
      </w:pPr>
      <w:r>
        <w:tab/>
        <w:t>8.</w:t>
      </w:r>
      <w:r>
        <w:tab/>
        <w:t xml:space="preserve">Consultations </w:t>
      </w:r>
      <w:proofErr w:type="gramStart"/>
      <w:r>
        <w:t>Outside</w:t>
      </w:r>
      <w:proofErr w:type="gramEnd"/>
      <w:r>
        <w:t xml:space="preserve"> the Agency</w:t>
      </w:r>
    </w:p>
    <w:p w:rsidR="00F86271" w:rsidRDefault="00F86271" w:rsidP="00E96A44">
      <w:pPr>
        <w:spacing w:line="240" w:lineRule="auto"/>
      </w:pPr>
      <w:r>
        <w:tab/>
        <w:t>The Commission has issued a release soliciting comment on the new “collection of information” requirements and associated paperwork burdens</w:t>
      </w:r>
      <w:r w:rsidR="00E96A44">
        <w:t xml:space="preserve"> under Rule 18a-2</w:t>
      </w:r>
      <w:r>
        <w:t>.</w:t>
      </w:r>
      <w:r w:rsidR="00E96A44">
        <w:rPr>
          <w:rStyle w:val="FootnoteReference"/>
        </w:rPr>
        <w:footnoteReference w:id="2"/>
      </w:r>
      <w:r>
        <w:t xml:space="preserve">  A copy of the release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w:t>
      </w:r>
      <w:r w:rsidR="00954311">
        <w:t>,</w:t>
      </w:r>
      <w:r>
        <w:t xml:space="preserve"> and informal exchanges.  Any comments received on this proposed rulemaking will be posted on the Commission’s public website, and made available through </w:t>
      </w:r>
      <w:hyperlink r:id="rId8" w:history="1">
        <w:r w:rsidR="004D5887">
          <w:rPr>
            <w:rStyle w:val="Hyperlink"/>
            <w:color w:val="1F497D"/>
          </w:rPr>
          <w:t>http://www.sec.gov/comments/s7-08-12/s70812.shtml</w:t>
        </w:r>
      </w:hyperlink>
      <w:r>
        <w:t>.  The Commission will consider all comments received prior to publishing the final rule, and will explain in any adopting release how the final rule responds to such comments, in accordance with 5 C.F.R. 1320.11(f).</w:t>
      </w:r>
    </w:p>
    <w:p w:rsidR="00F86271" w:rsidRDefault="00F86271" w:rsidP="00E96A44">
      <w:pPr>
        <w:pStyle w:val="Heading2"/>
        <w:spacing w:line="240" w:lineRule="auto"/>
      </w:pPr>
      <w:r>
        <w:tab/>
        <w:t>9.</w:t>
      </w:r>
      <w:r>
        <w:tab/>
        <w:t>Payment or Gift</w:t>
      </w:r>
    </w:p>
    <w:p w:rsidR="00F86271" w:rsidRDefault="00F86271" w:rsidP="00E96A44">
      <w:pPr>
        <w:spacing w:line="240" w:lineRule="auto"/>
      </w:pPr>
      <w:r>
        <w:tab/>
        <w:t>No payment or gift is provided to respondents.</w:t>
      </w:r>
    </w:p>
    <w:p w:rsidR="00F86271" w:rsidRDefault="00F86271" w:rsidP="00E96A44">
      <w:pPr>
        <w:pStyle w:val="Heading2"/>
        <w:spacing w:line="240" w:lineRule="auto"/>
      </w:pPr>
      <w:r>
        <w:tab/>
        <w:t>10.</w:t>
      </w:r>
      <w:r>
        <w:tab/>
        <w:t>Confidentiality</w:t>
      </w:r>
    </w:p>
    <w:p w:rsidR="00F86271" w:rsidRDefault="00F86271" w:rsidP="00E96A44">
      <w:pPr>
        <w:spacing w:line="240" w:lineRule="auto"/>
      </w:pPr>
      <w:r>
        <w:tab/>
        <w:t xml:space="preserve">The information </w:t>
      </w:r>
      <w:r w:rsidR="00954311">
        <w:t xml:space="preserve">that would be </w:t>
      </w:r>
      <w:r>
        <w:t>collected by the Commission under Rule 1</w:t>
      </w:r>
      <w:r w:rsidR="00BF2549">
        <w:t>8a</w:t>
      </w:r>
      <w:r>
        <w:t>-</w:t>
      </w:r>
      <w:r w:rsidR="00BF2549">
        <w:t>2</w:t>
      </w:r>
      <w:r w:rsidR="00954311">
        <w:t xml:space="preserve"> would be</w:t>
      </w:r>
      <w:r>
        <w:t xml:space="preserve"> kept confidential to the extent permitted by the Freedom of Information Act (5 U.S.C. § 552 </w:t>
      </w:r>
      <w:r>
        <w:rPr>
          <w:i/>
        </w:rPr>
        <w:t>et seq.</w:t>
      </w:r>
      <w:r>
        <w:t>).</w:t>
      </w:r>
    </w:p>
    <w:p w:rsidR="00F86271" w:rsidRDefault="00F86271" w:rsidP="00E96A44">
      <w:pPr>
        <w:pStyle w:val="Heading2"/>
        <w:spacing w:line="240" w:lineRule="auto"/>
      </w:pPr>
      <w:r>
        <w:tab/>
        <w:t>11.</w:t>
      </w:r>
      <w:r>
        <w:tab/>
        <w:t>Sensitive Questions</w:t>
      </w:r>
    </w:p>
    <w:p w:rsidR="00F86271" w:rsidRDefault="00F86271" w:rsidP="00E96A44">
      <w:pPr>
        <w:spacing w:line="240" w:lineRule="auto"/>
      </w:pPr>
      <w:r>
        <w:tab/>
        <w:t>No info</w:t>
      </w:r>
      <w:r w:rsidR="00954311">
        <w:t>rmation of a sensitive nature would be required under Rule 18a-2.</w:t>
      </w:r>
    </w:p>
    <w:p w:rsidR="00F86271" w:rsidRDefault="00F86271" w:rsidP="00E96A44">
      <w:pPr>
        <w:pStyle w:val="Heading2"/>
        <w:spacing w:line="240" w:lineRule="auto"/>
      </w:pPr>
      <w:r>
        <w:lastRenderedPageBreak/>
        <w:tab/>
        <w:t>12.</w:t>
      </w:r>
      <w:r>
        <w:tab/>
        <w:t>Burden of Information Collection</w:t>
      </w:r>
    </w:p>
    <w:p w:rsidR="000E0F80" w:rsidRDefault="000E0F80" w:rsidP="00E96A44">
      <w:pPr>
        <w:spacing w:line="240" w:lineRule="auto"/>
      </w:pPr>
      <w:r>
        <w:tab/>
        <w:t>The staff estimates that Rule 18a-2 will require in total, on an industry-wide basis, (1) a one-time burden of 10,000 recordkeeping hours, and (2) an annual burden of 1,250 recordkeeping hours.</w:t>
      </w:r>
    </w:p>
    <w:p w:rsidR="003C5D53" w:rsidRDefault="00F86271" w:rsidP="00E96A44">
      <w:pPr>
        <w:spacing w:line="240" w:lineRule="auto"/>
        <w:rPr>
          <w:rFonts w:cs="Times New Roman"/>
          <w:szCs w:val="24"/>
        </w:rPr>
      </w:pPr>
      <w:r>
        <w:tab/>
      </w:r>
      <w:r w:rsidR="003F0C15">
        <w:t xml:space="preserve">The staff estimates that 5 </w:t>
      </w:r>
      <w:r w:rsidR="00DD65F0">
        <w:t>or fewer non-bank entities would register</w:t>
      </w:r>
      <w:r w:rsidR="00954311">
        <w:t xml:space="preserve"> with the Commission</w:t>
      </w:r>
      <w:r w:rsidR="00DD65F0">
        <w:t xml:space="preserve"> as </w:t>
      </w:r>
      <w:r>
        <w:t>MSBSPs</w:t>
      </w:r>
      <w:r w:rsidR="00DD65F0">
        <w:t>.</w:t>
      </w:r>
      <w:r>
        <w:t xml:space="preserve"> </w:t>
      </w:r>
      <w:r w:rsidR="00954311">
        <w:t xml:space="preserve"> These MSBSPs would be required to</w:t>
      </w:r>
      <w:r>
        <w:t xml:space="preserve"> establish, document, and regularly review and update risk</w:t>
      </w:r>
      <w:r w:rsidR="003C5D53">
        <w:t xml:space="preserve"> management </w:t>
      </w:r>
      <w:r>
        <w:t xml:space="preserve">control systems with respect to </w:t>
      </w:r>
      <w:r>
        <w:rPr>
          <w:rFonts w:cs="Times New Roman"/>
          <w:szCs w:val="24"/>
        </w:rPr>
        <w:t xml:space="preserve">market, credit, leverage, liquidity, legal and operational risks.  </w:t>
      </w:r>
      <w:r w:rsidR="00C836CE">
        <w:rPr>
          <w:rFonts w:cs="Times New Roman"/>
          <w:szCs w:val="24"/>
        </w:rPr>
        <w:t xml:space="preserve">Based on similar estimates for OTC derivatives dealers, the Commission staff believes that </w:t>
      </w:r>
      <w:r w:rsidR="00954311">
        <w:rPr>
          <w:rFonts w:cs="Times New Roman"/>
          <w:szCs w:val="24"/>
        </w:rPr>
        <w:t xml:space="preserve">an </w:t>
      </w:r>
      <w:r w:rsidR="003F0C15">
        <w:rPr>
          <w:rFonts w:cs="Times New Roman"/>
          <w:szCs w:val="24"/>
        </w:rPr>
        <w:t>MSBSP would</w:t>
      </w:r>
      <w:r w:rsidR="00DD65F0">
        <w:rPr>
          <w:rFonts w:cs="Times New Roman"/>
          <w:szCs w:val="24"/>
        </w:rPr>
        <w:t xml:space="preserve"> </w:t>
      </w:r>
      <w:r w:rsidR="003C5D53">
        <w:rPr>
          <w:rFonts w:cs="Times New Roman"/>
          <w:szCs w:val="24"/>
        </w:rPr>
        <w:t xml:space="preserve">spend approximately 2,000 hours to implement its risk </w:t>
      </w:r>
      <w:r w:rsidR="005C525D">
        <w:rPr>
          <w:rFonts w:cs="Times New Roman"/>
          <w:szCs w:val="24"/>
        </w:rPr>
        <w:t xml:space="preserve">management </w:t>
      </w:r>
      <w:r w:rsidR="003C5D53">
        <w:rPr>
          <w:rFonts w:cs="Times New Roman"/>
          <w:szCs w:val="24"/>
        </w:rPr>
        <w:t xml:space="preserve">control system, resulting in a one-time industry-wide </w:t>
      </w:r>
      <w:proofErr w:type="gramStart"/>
      <w:r w:rsidR="003C5D53">
        <w:rPr>
          <w:rFonts w:cs="Times New Roman"/>
          <w:szCs w:val="24"/>
        </w:rPr>
        <w:t>hours</w:t>
      </w:r>
      <w:proofErr w:type="gramEnd"/>
      <w:r w:rsidR="003C5D53">
        <w:rPr>
          <w:rFonts w:cs="Times New Roman"/>
          <w:szCs w:val="24"/>
        </w:rPr>
        <w:t xml:space="preserve"> burden of 10,000 </w:t>
      </w:r>
      <w:r w:rsidR="002A4264">
        <w:rPr>
          <w:rFonts w:cs="Times New Roman"/>
          <w:szCs w:val="24"/>
        </w:rPr>
        <w:t xml:space="preserve">recordkeeping </w:t>
      </w:r>
      <w:r w:rsidR="003C5D53">
        <w:rPr>
          <w:rFonts w:cs="Times New Roman"/>
          <w:szCs w:val="24"/>
        </w:rPr>
        <w:t>hours.</w:t>
      </w:r>
      <w:r w:rsidR="003C5D53">
        <w:rPr>
          <w:rStyle w:val="FootnoteReference"/>
          <w:rFonts w:cs="Times New Roman"/>
          <w:szCs w:val="24"/>
        </w:rPr>
        <w:footnoteReference w:id="3"/>
      </w:r>
    </w:p>
    <w:p w:rsidR="003C5D53" w:rsidRDefault="003C5D53" w:rsidP="00E96A44">
      <w:pPr>
        <w:spacing w:line="240" w:lineRule="auto"/>
        <w:rPr>
          <w:rFonts w:cs="Times New Roman"/>
          <w:szCs w:val="24"/>
        </w:rPr>
      </w:pPr>
      <w:r>
        <w:rPr>
          <w:rFonts w:cs="Times New Roman"/>
          <w:szCs w:val="24"/>
        </w:rPr>
        <w:tab/>
      </w:r>
      <w:r w:rsidR="003867FB">
        <w:rPr>
          <w:rFonts w:cs="Times New Roman"/>
          <w:szCs w:val="24"/>
        </w:rPr>
        <w:t>B</w:t>
      </w:r>
      <w:r>
        <w:rPr>
          <w:rFonts w:cs="Times New Roman"/>
          <w:szCs w:val="24"/>
        </w:rPr>
        <w:t xml:space="preserve">ased on similar estimates for OTC derivatives dealers, </w:t>
      </w:r>
      <w:r w:rsidR="003867FB">
        <w:rPr>
          <w:rFonts w:cs="Times New Roman"/>
          <w:szCs w:val="24"/>
        </w:rPr>
        <w:t xml:space="preserve">the staff further estimates that </w:t>
      </w:r>
      <w:r>
        <w:rPr>
          <w:rFonts w:cs="Times New Roman"/>
          <w:szCs w:val="24"/>
        </w:rPr>
        <w:t>these firms would spend approximately 250 hours per year reviewing and updating their risk management control systems</w:t>
      </w:r>
      <w:r w:rsidR="005C525D">
        <w:rPr>
          <w:rFonts w:cs="Times New Roman"/>
          <w:szCs w:val="24"/>
        </w:rPr>
        <w:t xml:space="preserve">, resulting in an annual industry-wide </w:t>
      </w:r>
      <w:proofErr w:type="gramStart"/>
      <w:r w:rsidR="005C525D">
        <w:rPr>
          <w:rFonts w:cs="Times New Roman"/>
          <w:szCs w:val="24"/>
        </w:rPr>
        <w:t>hours</w:t>
      </w:r>
      <w:proofErr w:type="gramEnd"/>
      <w:r w:rsidR="005C525D">
        <w:rPr>
          <w:rFonts w:cs="Times New Roman"/>
          <w:szCs w:val="24"/>
        </w:rPr>
        <w:t xml:space="preserve"> burden of 1,250 </w:t>
      </w:r>
      <w:r w:rsidR="002A4264">
        <w:rPr>
          <w:rFonts w:cs="Times New Roman"/>
          <w:szCs w:val="24"/>
        </w:rPr>
        <w:t xml:space="preserve">recordkeeping </w:t>
      </w:r>
      <w:r w:rsidR="005C525D">
        <w:rPr>
          <w:rFonts w:cs="Times New Roman"/>
          <w:szCs w:val="24"/>
        </w:rPr>
        <w:t>hours.</w:t>
      </w:r>
      <w:r w:rsidR="005C525D">
        <w:rPr>
          <w:rStyle w:val="FootnoteReference"/>
          <w:rFonts w:cs="Times New Roman"/>
          <w:szCs w:val="24"/>
        </w:rPr>
        <w:footnoteReference w:id="4"/>
      </w:r>
    </w:p>
    <w:p w:rsidR="002A4264" w:rsidRDefault="002A4264" w:rsidP="00E96A44">
      <w:pPr>
        <w:spacing w:line="240" w:lineRule="auto"/>
        <w:rPr>
          <w:rFonts w:cs="Times New Roman"/>
          <w:szCs w:val="24"/>
        </w:rPr>
      </w:pPr>
    </w:p>
    <w:p w:rsidR="005C525D" w:rsidRDefault="005C525D" w:rsidP="00E96A44">
      <w:pPr>
        <w:pStyle w:val="Heading2"/>
        <w:spacing w:line="240" w:lineRule="auto"/>
      </w:pPr>
      <w:r>
        <w:tab/>
        <w:t>13.</w:t>
      </w:r>
      <w:r>
        <w:tab/>
        <w:t>Costs to Respondents</w:t>
      </w:r>
    </w:p>
    <w:p w:rsidR="002A4264" w:rsidRPr="003C5D53" w:rsidRDefault="002A4264" w:rsidP="00E96A44">
      <w:pPr>
        <w:spacing w:line="240" w:lineRule="auto"/>
        <w:rPr>
          <w:rFonts w:cs="Times New Roman"/>
          <w:szCs w:val="24"/>
        </w:rPr>
      </w:pPr>
      <w:r>
        <w:rPr>
          <w:rFonts w:cs="Times New Roman"/>
          <w:szCs w:val="24"/>
        </w:rPr>
        <w:tab/>
      </w:r>
      <w:r w:rsidR="00B008B6">
        <w:rPr>
          <w:rFonts w:cs="Times New Roman"/>
          <w:szCs w:val="24"/>
        </w:rPr>
        <w:t xml:space="preserve">Nonbank </w:t>
      </w:r>
      <w:r>
        <w:rPr>
          <w:rFonts w:cs="Times New Roman"/>
          <w:szCs w:val="24"/>
        </w:rPr>
        <w:t>MSBSPs are unlikely to have internal expertise at the outset with respect to risk management control systems</w:t>
      </w:r>
      <w:r w:rsidR="00954311">
        <w:rPr>
          <w:rFonts w:cs="Times New Roman"/>
          <w:szCs w:val="24"/>
        </w:rPr>
        <w:t xml:space="preserve"> that would be required under Rule 18a-2</w:t>
      </w:r>
      <w:r w:rsidR="00B008B6">
        <w:rPr>
          <w:rFonts w:cs="Times New Roman"/>
          <w:szCs w:val="24"/>
        </w:rPr>
        <w:t>.</w:t>
      </w:r>
      <w:r>
        <w:rPr>
          <w:rFonts w:cs="Times New Roman"/>
          <w:szCs w:val="24"/>
        </w:rPr>
        <w:t xml:space="preserve"> </w:t>
      </w:r>
      <w:r w:rsidR="00B008B6">
        <w:rPr>
          <w:rFonts w:cs="Times New Roman"/>
          <w:szCs w:val="24"/>
        </w:rPr>
        <w:t xml:space="preserve"> T</w:t>
      </w:r>
      <w:r>
        <w:rPr>
          <w:rFonts w:cs="Times New Roman"/>
          <w:szCs w:val="24"/>
        </w:rPr>
        <w:t xml:space="preserve">he staff </w:t>
      </w:r>
      <w:r w:rsidR="00B008B6">
        <w:rPr>
          <w:rFonts w:cs="Times New Roman"/>
          <w:szCs w:val="24"/>
        </w:rPr>
        <w:t xml:space="preserve">therefore </w:t>
      </w:r>
      <w:r>
        <w:rPr>
          <w:rFonts w:cs="Times New Roman"/>
          <w:szCs w:val="24"/>
        </w:rPr>
        <w:t xml:space="preserve">estimates that </w:t>
      </w:r>
      <w:r w:rsidR="00B008B6">
        <w:rPr>
          <w:rFonts w:cs="Times New Roman"/>
          <w:szCs w:val="24"/>
        </w:rPr>
        <w:t xml:space="preserve">these </w:t>
      </w:r>
      <w:r>
        <w:rPr>
          <w:rFonts w:cs="Times New Roman"/>
          <w:szCs w:val="24"/>
        </w:rPr>
        <w:t xml:space="preserve">firms </w:t>
      </w:r>
      <w:r w:rsidR="00B008B6">
        <w:rPr>
          <w:rFonts w:cs="Times New Roman"/>
          <w:szCs w:val="24"/>
        </w:rPr>
        <w:t>will</w:t>
      </w:r>
      <w:r>
        <w:rPr>
          <w:rFonts w:cs="Times New Roman"/>
          <w:szCs w:val="24"/>
        </w:rPr>
        <w:t xml:space="preserve"> hire an outside management consultant for approximately 200 hours, for a one-time </w:t>
      </w:r>
      <w:r w:rsidR="00A22835">
        <w:rPr>
          <w:rFonts w:cs="Times New Roman"/>
          <w:szCs w:val="24"/>
        </w:rPr>
        <w:t>external</w:t>
      </w:r>
      <w:r w:rsidR="000068C6">
        <w:rPr>
          <w:rFonts w:cs="Times New Roman"/>
          <w:szCs w:val="24"/>
        </w:rPr>
        <w:t xml:space="preserve"> </w:t>
      </w:r>
      <w:r w:rsidR="00413698">
        <w:rPr>
          <w:rFonts w:cs="Times New Roman"/>
          <w:szCs w:val="24"/>
        </w:rPr>
        <w:t xml:space="preserve">recordkeeping </w:t>
      </w:r>
      <w:r w:rsidR="000068C6">
        <w:rPr>
          <w:rFonts w:cs="Times New Roman"/>
          <w:szCs w:val="24"/>
        </w:rPr>
        <w:t xml:space="preserve">cost of </w:t>
      </w:r>
      <w:r w:rsidR="00413698">
        <w:rPr>
          <w:rFonts w:cs="Times New Roman"/>
          <w:szCs w:val="24"/>
        </w:rPr>
        <w:t xml:space="preserve">$26,666.66 per respondent and a total industry cost of </w:t>
      </w:r>
      <w:r w:rsidR="000068C6">
        <w:rPr>
          <w:rFonts w:cs="Times New Roman"/>
          <w:szCs w:val="24"/>
        </w:rPr>
        <w:t>$133,333,</w:t>
      </w:r>
      <w:r>
        <w:rPr>
          <w:rStyle w:val="FootnoteReference"/>
          <w:rFonts w:cs="Times New Roman"/>
          <w:szCs w:val="24"/>
        </w:rPr>
        <w:footnoteReference w:id="5"/>
      </w:r>
      <w:r w:rsidR="000068C6">
        <w:rPr>
          <w:rFonts w:cs="Times New Roman"/>
          <w:szCs w:val="24"/>
        </w:rPr>
        <w:t xml:space="preserve"> annualized over 3 years.</w:t>
      </w:r>
    </w:p>
    <w:p w:rsidR="002A4264" w:rsidRPr="002A4264" w:rsidRDefault="00B008B6" w:rsidP="00E96A44">
      <w:pPr>
        <w:spacing w:line="240" w:lineRule="auto"/>
      </w:pPr>
      <w:r>
        <w:tab/>
      </w:r>
      <w:r w:rsidRPr="00B008B6">
        <w:t xml:space="preserve">The information technology systems of a nonbank MSBSP may be in varying stages of readiness to meet the requirements of </w:t>
      </w:r>
      <w:r>
        <w:t>Rule 18a-2, so the staff estimates that these firms will incur start-up and ongoing costs related to information technology</w:t>
      </w:r>
      <w:r w:rsidRPr="00B008B6">
        <w:t xml:space="preserve">.  Based on the estimates for similar collections of information, the Commission staff expects that a nonbank MSBSP would incur an average of approximately $16,000 for initial hardware and software </w:t>
      </w:r>
      <w:r w:rsidR="00A22835">
        <w:t xml:space="preserve">external </w:t>
      </w:r>
      <w:r w:rsidRPr="00B008B6">
        <w:t>expenses,</w:t>
      </w:r>
      <w:r w:rsidR="00B42429">
        <w:t xml:space="preserve"> which</w:t>
      </w:r>
      <w:r w:rsidR="00DA61A7">
        <w:t>, over three years, equals</w:t>
      </w:r>
      <w:r w:rsidR="00B42429">
        <w:t xml:space="preserve"> an annualized cost of $5,333.33 per nonbank MSBSP.</w:t>
      </w:r>
      <w:r w:rsidR="00413698">
        <w:rPr>
          <w:rStyle w:val="FootnoteReference"/>
        </w:rPr>
        <w:footnoteReference w:id="6"/>
      </w:r>
      <w:r w:rsidRPr="00B008B6">
        <w:t xml:space="preserve"> </w:t>
      </w:r>
      <w:r>
        <w:t>This</w:t>
      </w:r>
      <w:r w:rsidR="00954311">
        <w:t xml:space="preserve"> would result</w:t>
      </w:r>
      <w:r>
        <w:t xml:space="preserve"> in a one-time </w:t>
      </w:r>
      <w:r w:rsidRPr="00B008B6">
        <w:t xml:space="preserve">industry-wide </w:t>
      </w:r>
      <w:r w:rsidR="00A22835">
        <w:t xml:space="preserve">external </w:t>
      </w:r>
      <w:r w:rsidRPr="00B008B6">
        <w:t>cost of $</w:t>
      </w:r>
      <w:r>
        <w:t>26,667,</w:t>
      </w:r>
      <w:r>
        <w:rPr>
          <w:rStyle w:val="FootnoteReference"/>
        </w:rPr>
        <w:footnoteReference w:id="7"/>
      </w:r>
      <w:r>
        <w:t xml:space="preserve"> annualized over 3 years.  </w:t>
      </w:r>
      <w:r w:rsidR="00DA61A7">
        <w:t>T</w:t>
      </w:r>
      <w:r w:rsidR="00DA61A7" w:rsidRPr="00B008B6">
        <w:t xml:space="preserve">he average ongoing </w:t>
      </w:r>
      <w:r w:rsidR="00DA61A7">
        <w:t xml:space="preserve">external </w:t>
      </w:r>
      <w:r w:rsidR="00DA61A7" w:rsidRPr="00B008B6">
        <w:t>cost would be approxim</w:t>
      </w:r>
      <w:r w:rsidR="00DA61A7">
        <w:t xml:space="preserve">ately $20,500 per nonbank MSBSP.  </w:t>
      </w:r>
      <w:r>
        <w:t>This</w:t>
      </w:r>
      <w:r w:rsidR="00954311">
        <w:t xml:space="preserve"> would </w:t>
      </w:r>
      <w:r>
        <w:t xml:space="preserve">also result in </w:t>
      </w:r>
      <w:r w:rsidRPr="00B008B6">
        <w:t xml:space="preserve">an </w:t>
      </w:r>
      <w:r>
        <w:t xml:space="preserve">ongoing annual industry-wide </w:t>
      </w:r>
      <w:r w:rsidR="00A22835">
        <w:t xml:space="preserve">external </w:t>
      </w:r>
      <w:r w:rsidR="00350E45">
        <w:t>r</w:t>
      </w:r>
      <w:bookmarkStart w:id="0" w:name="_GoBack"/>
      <w:bookmarkEnd w:id="0"/>
      <w:r w:rsidR="00350E45">
        <w:t xml:space="preserve">ecordkeeping </w:t>
      </w:r>
      <w:r w:rsidRPr="00B008B6">
        <w:t>cost of $102,500.</w:t>
      </w:r>
      <w:r>
        <w:rPr>
          <w:rStyle w:val="FootnoteReference"/>
        </w:rPr>
        <w:footnoteReference w:id="8"/>
      </w:r>
    </w:p>
    <w:p w:rsidR="00466A83" w:rsidRDefault="003867FB" w:rsidP="00E96A44">
      <w:pPr>
        <w:pStyle w:val="Heading2"/>
        <w:spacing w:line="240" w:lineRule="auto"/>
      </w:pPr>
      <w:r>
        <w:rPr>
          <w:rFonts w:cs="Times New Roman"/>
          <w:szCs w:val="24"/>
        </w:rPr>
        <w:lastRenderedPageBreak/>
        <w:tab/>
      </w:r>
      <w:r w:rsidR="00466A83">
        <w:t>14.</w:t>
      </w:r>
      <w:r w:rsidR="00466A83">
        <w:tab/>
        <w:t>Cost to Federal Government</w:t>
      </w:r>
    </w:p>
    <w:p w:rsidR="00466A83" w:rsidRDefault="00466A83" w:rsidP="00E96A44">
      <w:pPr>
        <w:spacing w:line="240" w:lineRule="auto"/>
      </w:pPr>
      <w:r>
        <w:tab/>
      </w:r>
      <w:r w:rsidR="00350E45">
        <w:t>The staff does not anticipate this information collection to impose additional costs to the Federal Government.</w:t>
      </w:r>
    </w:p>
    <w:p w:rsidR="00466A83" w:rsidRDefault="00466A83" w:rsidP="00E96A44">
      <w:pPr>
        <w:pStyle w:val="Heading2"/>
        <w:spacing w:line="240" w:lineRule="auto"/>
      </w:pPr>
      <w:r>
        <w:tab/>
        <w:t>15.</w:t>
      </w:r>
      <w:r>
        <w:tab/>
        <w:t>Changes in Burden</w:t>
      </w:r>
    </w:p>
    <w:p w:rsidR="00466A83" w:rsidRPr="00893E43" w:rsidRDefault="00466A83" w:rsidP="00E96A44">
      <w:pPr>
        <w:spacing w:line="240" w:lineRule="auto"/>
      </w:pPr>
      <w:r>
        <w:tab/>
        <w:t>Not applicable.  The information collection is related to a new rule.</w:t>
      </w:r>
    </w:p>
    <w:p w:rsidR="00466A83" w:rsidRDefault="00466A83" w:rsidP="00E96A44">
      <w:pPr>
        <w:pStyle w:val="Heading2"/>
        <w:spacing w:line="240" w:lineRule="auto"/>
      </w:pPr>
      <w:r>
        <w:tab/>
        <w:t>16.</w:t>
      </w:r>
      <w:r>
        <w:tab/>
        <w:t>Information Collected Planned for Statistical Purposes</w:t>
      </w:r>
    </w:p>
    <w:p w:rsidR="00466A83" w:rsidRPr="006B3BF2" w:rsidRDefault="00466A83" w:rsidP="00E96A44">
      <w:pPr>
        <w:spacing w:line="240" w:lineRule="auto"/>
      </w:pPr>
      <w:r>
        <w:rPr>
          <w:szCs w:val="24"/>
        </w:rPr>
        <w:tab/>
        <w:t>Not applicable.  The information collection is not used for statistical purposes.</w:t>
      </w:r>
    </w:p>
    <w:p w:rsidR="00466A83" w:rsidRDefault="00466A83" w:rsidP="00E96A44">
      <w:pPr>
        <w:pStyle w:val="Heading2"/>
        <w:spacing w:line="240" w:lineRule="auto"/>
      </w:pPr>
      <w:r>
        <w:tab/>
        <w:t>17.</w:t>
      </w:r>
      <w:r>
        <w:tab/>
      </w:r>
      <w:r w:rsidR="004D5887">
        <w:t>Approval to Omit OMB Expiration Date</w:t>
      </w:r>
    </w:p>
    <w:p w:rsidR="00466A83" w:rsidRPr="006B3BF2" w:rsidRDefault="00466A83" w:rsidP="00E96A44">
      <w:pPr>
        <w:spacing w:line="240" w:lineRule="auto"/>
      </w:pPr>
      <w:r>
        <w:rPr>
          <w:szCs w:val="24"/>
        </w:rPr>
        <w:tab/>
        <w:t xml:space="preserve">Not applicable.  The Commission is not seeking approval to </w:t>
      </w:r>
      <w:r w:rsidR="004D5887">
        <w:rPr>
          <w:szCs w:val="24"/>
        </w:rPr>
        <w:t>omit</w:t>
      </w:r>
      <w:r>
        <w:rPr>
          <w:szCs w:val="24"/>
        </w:rPr>
        <w:t xml:space="preserve"> the </w:t>
      </w:r>
      <w:r w:rsidR="004D5887">
        <w:rPr>
          <w:szCs w:val="24"/>
        </w:rPr>
        <w:t xml:space="preserve">OMB </w:t>
      </w:r>
      <w:r>
        <w:rPr>
          <w:szCs w:val="24"/>
        </w:rPr>
        <w:t>expiration date.</w:t>
      </w:r>
    </w:p>
    <w:p w:rsidR="00466A83" w:rsidRDefault="00466A83" w:rsidP="00E96A44">
      <w:pPr>
        <w:pStyle w:val="Heading2"/>
        <w:spacing w:line="240" w:lineRule="auto"/>
      </w:pPr>
      <w:r>
        <w:tab/>
        <w:t>18.</w:t>
      </w:r>
      <w:r>
        <w:tab/>
        <w:t>Exceptions to Certification</w:t>
      </w:r>
    </w:p>
    <w:p w:rsidR="00466A83" w:rsidRPr="006B3BF2" w:rsidRDefault="00466A83" w:rsidP="00E96A44">
      <w:pPr>
        <w:spacing w:line="240" w:lineRule="auto"/>
      </w:pPr>
      <w:r>
        <w:rPr>
          <w:szCs w:val="24"/>
        </w:rPr>
        <w:tab/>
        <w:t>Not applicable.  This collection complies with the requirements in 5 CFR 1320.9.</w:t>
      </w:r>
    </w:p>
    <w:p w:rsidR="00466A83" w:rsidRPr="00EE5F8E" w:rsidRDefault="00466A83" w:rsidP="00E96A44">
      <w:pPr>
        <w:pStyle w:val="Heading1"/>
      </w:pPr>
      <w:r>
        <w:t>B.</w:t>
      </w:r>
      <w:r>
        <w:tab/>
      </w:r>
      <w:r w:rsidRPr="00F10FF8">
        <w:rPr>
          <w:rFonts w:ascii="Times New Roman Bold" w:hAnsi="Times New Roman Bold"/>
          <w:caps/>
        </w:rPr>
        <w:t>COLLECTIONS of Information Employing Statistical Methods</w:t>
      </w:r>
    </w:p>
    <w:p w:rsidR="00466A83" w:rsidRDefault="00466A83" w:rsidP="00E96A44">
      <w:pPr>
        <w:keepNext/>
        <w:keepLines/>
        <w:tabs>
          <w:tab w:val="left" w:pos="-720"/>
        </w:tabs>
        <w:suppressAutoHyphens/>
        <w:spacing w:line="240" w:lineRule="auto"/>
        <w:ind w:firstLine="720"/>
        <w:rPr>
          <w:szCs w:val="24"/>
        </w:rPr>
      </w:pPr>
      <w:r>
        <w:rPr>
          <w:szCs w:val="24"/>
        </w:rPr>
        <w:t>Not applicable.  This collection does not employ statistical methods.</w:t>
      </w:r>
    </w:p>
    <w:p w:rsidR="003867FB" w:rsidRPr="003C5D53" w:rsidRDefault="003867FB" w:rsidP="00CB3859">
      <w:pPr>
        <w:rPr>
          <w:rFonts w:cs="Times New Roman"/>
          <w:szCs w:val="24"/>
        </w:rPr>
      </w:pPr>
    </w:p>
    <w:sectPr w:rsidR="003867FB" w:rsidRPr="003C5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FC0" w:rsidRDefault="00152FC0" w:rsidP="003C5D53">
      <w:pPr>
        <w:spacing w:after="0" w:line="240" w:lineRule="auto"/>
      </w:pPr>
      <w:r>
        <w:separator/>
      </w:r>
    </w:p>
  </w:endnote>
  <w:endnote w:type="continuationSeparator" w:id="0">
    <w:p w:rsidR="00152FC0" w:rsidRDefault="00152FC0" w:rsidP="003C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FC0" w:rsidRDefault="00152FC0" w:rsidP="003C5D53">
      <w:pPr>
        <w:spacing w:after="0" w:line="240" w:lineRule="auto"/>
      </w:pPr>
      <w:r>
        <w:separator/>
      </w:r>
    </w:p>
  </w:footnote>
  <w:footnote w:type="continuationSeparator" w:id="0">
    <w:p w:rsidR="00152FC0" w:rsidRDefault="00152FC0" w:rsidP="003C5D53">
      <w:pPr>
        <w:spacing w:after="0" w:line="240" w:lineRule="auto"/>
      </w:pPr>
      <w:r>
        <w:continuationSeparator/>
      </w:r>
    </w:p>
  </w:footnote>
  <w:footnote w:id="1">
    <w:p w:rsidR="00954311" w:rsidRDefault="00954311" w:rsidP="00954311">
      <w:pPr>
        <w:pStyle w:val="FootnoteText"/>
        <w:spacing w:after="120"/>
        <w:ind w:left="720" w:hanging="720"/>
      </w:pPr>
      <w:r>
        <w:rPr>
          <w:rStyle w:val="FootnoteReference"/>
        </w:rPr>
        <w:footnoteRef/>
      </w:r>
      <w:r>
        <w:t xml:space="preserve"> </w:t>
      </w:r>
      <w:r>
        <w:tab/>
      </w:r>
      <w:r>
        <w:rPr>
          <w:u w:val="single"/>
        </w:rPr>
        <w:t>See</w:t>
      </w:r>
      <w:r>
        <w:t xml:space="preserve"> </w:t>
      </w:r>
      <w:r>
        <w:rPr>
          <w:u w:val="single"/>
        </w:rPr>
        <w:t>Capital, Margin, and Segregation Requirements for Security-Based Swap Dealers and Major Security-Based Swap Participants and Capital Requirements for Broker-</w:t>
      </w:r>
      <w:r w:rsidRPr="004F3682">
        <w:rPr>
          <w:u w:val="single"/>
        </w:rPr>
        <w:t>Dealers</w:t>
      </w:r>
      <w:r>
        <w:t xml:space="preserve">, </w:t>
      </w:r>
      <w:r w:rsidRPr="004F3682">
        <w:t>Exchange</w:t>
      </w:r>
      <w:r>
        <w:t xml:space="preserve"> Act Release No. 68071 (Oct. 18, 2012), 77 FR 70213 (Nov. 23, 2012).</w:t>
      </w:r>
    </w:p>
  </w:footnote>
  <w:footnote w:id="2">
    <w:p w:rsidR="00E96A44" w:rsidRDefault="00E96A44" w:rsidP="00E96A44">
      <w:pPr>
        <w:pStyle w:val="FootnoteText"/>
        <w:spacing w:after="120"/>
        <w:ind w:left="720" w:hanging="720"/>
      </w:pPr>
      <w:r>
        <w:rPr>
          <w:rStyle w:val="FootnoteReference"/>
        </w:rPr>
        <w:footnoteRef/>
      </w:r>
      <w:r>
        <w:t xml:space="preserve"> </w:t>
      </w:r>
      <w:r>
        <w:tab/>
      </w:r>
      <w:r w:rsidR="00954311">
        <w:rPr>
          <w:u w:val="single"/>
        </w:rPr>
        <w:t>Id.</w:t>
      </w:r>
    </w:p>
  </w:footnote>
  <w:footnote w:id="3">
    <w:p w:rsidR="002A4264" w:rsidRDefault="002A4264" w:rsidP="00E96A44">
      <w:pPr>
        <w:pStyle w:val="FootnoteText"/>
        <w:spacing w:after="120"/>
      </w:pPr>
      <w:r>
        <w:rPr>
          <w:rStyle w:val="FootnoteReference"/>
        </w:rPr>
        <w:footnoteRef/>
      </w:r>
      <w:r>
        <w:t xml:space="preserve"> </w:t>
      </w:r>
      <w:r>
        <w:tab/>
        <w:t xml:space="preserve">5 MSBSPs x 2,000 </w:t>
      </w:r>
      <w:proofErr w:type="spellStart"/>
      <w:r>
        <w:t>hrs</w:t>
      </w:r>
      <w:proofErr w:type="spellEnd"/>
      <w:r>
        <w:t xml:space="preserve"> = 10,000 hrs.</w:t>
      </w:r>
    </w:p>
  </w:footnote>
  <w:footnote w:id="4">
    <w:p w:rsidR="002A4264" w:rsidRDefault="002A4264" w:rsidP="00E96A44">
      <w:pPr>
        <w:pStyle w:val="FootnoteText"/>
        <w:spacing w:after="120"/>
      </w:pPr>
      <w:r>
        <w:rPr>
          <w:rStyle w:val="FootnoteReference"/>
        </w:rPr>
        <w:footnoteRef/>
      </w:r>
      <w:r>
        <w:t xml:space="preserve"> </w:t>
      </w:r>
      <w:r>
        <w:tab/>
        <w:t xml:space="preserve">5 MSBSPs x 250 </w:t>
      </w:r>
      <w:proofErr w:type="spellStart"/>
      <w:r>
        <w:t>hrs</w:t>
      </w:r>
      <w:proofErr w:type="spellEnd"/>
      <w:r>
        <w:t xml:space="preserve">/year = 1,250 </w:t>
      </w:r>
      <w:proofErr w:type="spellStart"/>
      <w:r>
        <w:t>hrs</w:t>
      </w:r>
      <w:proofErr w:type="spellEnd"/>
      <w:r>
        <w:t>/year.</w:t>
      </w:r>
    </w:p>
  </w:footnote>
  <w:footnote w:id="5">
    <w:p w:rsidR="002A4264" w:rsidRDefault="002A4264" w:rsidP="00E96A44">
      <w:pPr>
        <w:pStyle w:val="FootnoteText"/>
        <w:spacing w:after="120"/>
      </w:pPr>
      <w:r>
        <w:rPr>
          <w:rStyle w:val="FootnoteReference"/>
        </w:rPr>
        <w:footnoteRef/>
      </w:r>
      <w:r>
        <w:t xml:space="preserve"> </w:t>
      </w:r>
      <w:r>
        <w:tab/>
        <w:t xml:space="preserve">5 MSBSPs x 200 </w:t>
      </w:r>
      <w:proofErr w:type="spellStart"/>
      <w:r>
        <w:t>hrs</w:t>
      </w:r>
      <w:proofErr w:type="spellEnd"/>
      <w:r>
        <w:t xml:space="preserve"> </w:t>
      </w:r>
      <w:r w:rsidR="00954311">
        <w:t>x $400/</w:t>
      </w:r>
      <w:proofErr w:type="spellStart"/>
      <w:r w:rsidR="00954311">
        <w:t>h</w:t>
      </w:r>
      <w:r w:rsidR="000068C6">
        <w:t>r</w:t>
      </w:r>
      <w:proofErr w:type="spellEnd"/>
      <w:r w:rsidR="000068C6">
        <w:t xml:space="preserve"> / 3 years </w:t>
      </w:r>
      <w:r>
        <w:t xml:space="preserve">= </w:t>
      </w:r>
      <w:r w:rsidR="000068C6">
        <w:t>$</w:t>
      </w:r>
      <w:r>
        <w:t>1</w:t>
      </w:r>
      <w:r w:rsidR="000068C6">
        <w:t>33</w:t>
      </w:r>
      <w:r>
        <w:t>,</w:t>
      </w:r>
      <w:r w:rsidR="000068C6">
        <w:t>333</w:t>
      </w:r>
      <w:r>
        <w:t>.</w:t>
      </w:r>
    </w:p>
  </w:footnote>
  <w:footnote w:id="6">
    <w:p w:rsidR="00413698" w:rsidRDefault="00413698" w:rsidP="004C2F96">
      <w:pPr>
        <w:pStyle w:val="FootnoteText"/>
        <w:spacing w:after="120"/>
        <w:ind w:left="720" w:hanging="720"/>
      </w:pPr>
      <w:r>
        <w:rPr>
          <w:rStyle w:val="FootnoteReference"/>
        </w:rPr>
        <w:footnoteRef/>
      </w:r>
      <w:r>
        <w:t xml:space="preserve"> </w:t>
      </w:r>
      <w:r>
        <w:tab/>
      </w:r>
      <w:r w:rsidR="00B42429">
        <w:t xml:space="preserve">  $16,000 / 3years = $5,333.33</w:t>
      </w:r>
    </w:p>
  </w:footnote>
  <w:footnote w:id="7">
    <w:p w:rsidR="00B008B6" w:rsidRDefault="00B008B6" w:rsidP="00E96A44">
      <w:pPr>
        <w:pStyle w:val="FootnoteText"/>
        <w:spacing w:after="120"/>
      </w:pPr>
      <w:r>
        <w:rPr>
          <w:rStyle w:val="FootnoteReference"/>
        </w:rPr>
        <w:footnoteRef/>
      </w:r>
      <w:r>
        <w:t xml:space="preserve"> </w:t>
      </w:r>
      <w:r>
        <w:tab/>
        <w:t>5 MSBSPs x $16,000 / 3 years = $26,667.</w:t>
      </w:r>
    </w:p>
  </w:footnote>
  <w:footnote w:id="8">
    <w:p w:rsidR="00B008B6" w:rsidRDefault="00B008B6" w:rsidP="00E96A44">
      <w:pPr>
        <w:pStyle w:val="FootnoteText"/>
        <w:spacing w:after="120"/>
      </w:pPr>
      <w:r>
        <w:rPr>
          <w:rStyle w:val="FootnoteReference"/>
        </w:rPr>
        <w:footnoteRef/>
      </w:r>
      <w:r>
        <w:t xml:space="preserve"> </w:t>
      </w:r>
      <w:r>
        <w:tab/>
        <w:t>5 MSBSP x $20,500 = $102,500.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81"/>
    <w:rsid w:val="000068C6"/>
    <w:rsid w:val="00024058"/>
    <w:rsid w:val="000243C4"/>
    <w:rsid w:val="00044C2D"/>
    <w:rsid w:val="00075313"/>
    <w:rsid w:val="0008661F"/>
    <w:rsid w:val="000A69B7"/>
    <w:rsid w:val="000B5D5E"/>
    <w:rsid w:val="000C184F"/>
    <w:rsid w:val="000C349B"/>
    <w:rsid w:val="000E0F80"/>
    <w:rsid w:val="00101F46"/>
    <w:rsid w:val="0010689C"/>
    <w:rsid w:val="00124888"/>
    <w:rsid w:val="001332E7"/>
    <w:rsid w:val="00143565"/>
    <w:rsid w:val="00152FC0"/>
    <w:rsid w:val="00174B74"/>
    <w:rsid w:val="0018567F"/>
    <w:rsid w:val="001C2FAD"/>
    <w:rsid w:val="001D3360"/>
    <w:rsid w:val="001D4654"/>
    <w:rsid w:val="001D517E"/>
    <w:rsid w:val="001E5513"/>
    <w:rsid w:val="001E641E"/>
    <w:rsid w:val="001F2AEF"/>
    <w:rsid w:val="00223BA4"/>
    <w:rsid w:val="00280AF8"/>
    <w:rsid w:val="002A4264"/>
    <w:rsid w:val="002B4F54"/>
    <w:rsid w:val="002C36EC"/>
    <w:rsid w:val="002D6418"/>
    <w:rsid w:val="0030148B"/>
    <w:rsid w:val="00302306"/>
    <w:rsid w:val="00305E15"/>
    <w:rsid w:val="00350E45"/>
    <w:rsid w:val="00351536"/>
    <w:rsid w:val="003520A0"/>
    <w:rsid w:val="003867FB"/>
    <w:rsid w:val="003C5D53"/>
    <w:rsid w:val="003C740F"/>
    <w:rsid w:val="003F0C15"/>
    <w:rsid w:val="004037D0"/>
    <w:rsid w:val="00404224"/>
    <w:rsid w:val="004122F7"/>
    <w:rsid w:val="00413698"/>
    <w:rsid w:val="00415FB5"/>
    <w:rsid w:val="00421245"/>
    <w:rsid w:val="0043062A"/>
    <w:rsid w:val="00465B8C"/>
    <w:rsid w:val="00466A83"/>
    <w:rsid w:val="00471A20"/>
    <w:rsid w:val="00494D64"/>
    <w:rsid w:val="004B7752"/>
    <w:rsid w:val="004C2F96"/>
    <w:rsid w:val="004D5887"/>
    <w:rsid w:val="004E39CF"/>
    <w:rsid w:val="004F1EFF"/>
    <w:rsid w:val="005C525D"/>
    <w:rsid w:val="00624CCC"/>
    <w:rsid w:val="00652C3B"/>
    <w:rsid w:val="00683451"/>
    <w:rsid w:val="00686CB9"/>
    <w:rsid w:val="00690345"/>
    <w:rsid w:val="006D5A19"/>
    <w:rsid w:val="006F373A"/>
    <w:rsid w:val="0071374F"/>
    <w:rsid w:val="007158D4"/>
    <w:rsid w:val="0072277B"/>
    <w:rsid w:val="00734189"/>
    <w:rsid w:val="00751730"/>
    <w:rsid w:val="00760AA3"/>
    <w:rsid w:val="00761F75"/>
    <w:rsid w:val="00767A4C"/>
    <w:rsid w:val="00783C9F"/>
    <w:rsid w:val="007A2B81"/>
    <w:rsid w:val="007E0AB3"/>
    <w:rsid w:val="0080124A"/>
    <w:rsid w:val="00820B53"/>
    <w:rsid w:val="00831293"/>
    <w:rsid w:val="008400B0"/>
    <w:rsid w:val="00880427"/>
    <w:rsid w:val="0088356F"/>
    <w:rsid w:val="008C174F"/>
    <w:rsid w:val="008D2909"/>
    <w:rsid w:val="008E430E"/>
    <w:rsid w:val="00900200"/>
    <w:rsid w:val="00900AD3"/>
    <w:rsid w:val="00907360"/>
    <w:rsid w:val="009356E5"/>
    <w:rsid w:val="00954311"/>
    <w:rsid w:val="009645B0"/>
    <w:rsid w:val="00966633"/>
    <w:rsid w:val="009752FD"/>
    <w:rsid w:val="009C43D1"/>
    <w:rsid w:val="009D19C2"/>
    <w:rsid w:val="009D278A"/>
    <w:rsid w:val="009E5F65"/>
    <w:rsid w:val="00A05049"/>
    <w:rsid w:val="00A1600C"/>
    <w:rsid w:val="00A22835"/>
    <w:rsid w:val="00A371E0"/>
    <w:rsid w:val="00A43AC8"/>
    <w:rsid w:val="00A94A0D"/>
    <w:rsid w:val="00B008B6"/>
    <w:rsid w:val="00B034D3"/>
    <w:rsid w:val="00B22E9A"/>
    <w:rsid w:val="00B42429"/>
    <w:rsid w:val="00B647AE"/>
    <w:rsid w:val="00B933E9"/>
    <w:rsid w:val="00BA4437"/>
    <w:rsid w:val="00BF2549"/>
    <w:rsid w:val="00C02379"/>
    <w:rsid w:val="00C138FD"/>
    <w:rsid w:val="00C46ECC"/>
    <w:rsid w:val="00C4787C"/>
    <w:rsid w:val="00C57F3C"/>
    <w:rsid w:val="00C62B08"/>
    <w:rsid w:val="00C65814"/>
    <w:rsid w:val="00C77646"/>
    <w:rsid w:val="00C8054E"/>
    <w:rsid w:val="00C81FC7"/>
    <w:rsid w:val="00C836CE"/>
    <w:rsid w:val="00C94AEC"/>
    <w:rsid w:val="00CB3859"/>
    <w:rsid w:val="00CD4F7D"/>
    <w:rsid w:val="00D76F3F"/>
    <w:rsid w:val="00D872FB"/>
    <w:rsid w:val="00DA61A7"/>
    <w:rsid w:val="00DC5813"/>
    <w:rsid w:val="00DD65F0"/>
    <w:rsid w:val="00DE6E50"/>
    <w:rsid w:val="00E02C30"/>
    <w:rsid w:val="00E20537"/>
    <w:rsid w:val="00E967E7"/>
    <w:rsid w:val="00E96A44"/>
    <w:rsid w:val="00EF0BAD"/>
    <w:rsid w:val="00F22663"/>
    <w:rsid w:val="00F615BF"/>
    <w:rsid w:val="00F70143"/>
    <w:rsid w:val="00F70497"/>
    <w:rsid w:val="00F86271"/>
    <w:rsid w:val="00FD3553"/>
    <w:rsid w:val="00FE2EDA"/>
    <w:rsid w:val="00FF6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B81"/>
    <w:pPr>
      <w:spacing w:after="240"/>
    </w:pPr>
    <w:rPr>
      <w:rFonts w:ascii="Times New Roman" w:hAnsi="Times New Roman"/>
      <w:sz w:val="24"/>
    </w:rPr>
  </w:style>
  <w:style w:type="paragraph" w:styleId="Heading1">
    <w:name w:val="heading 1"/>
    <w:basedOn w:val="Normal"/>
    <w:next w:val="Normal"/>
    <w:link w:val="Heading1Char"/>
    <w:uiPriority w:val="9"/>
    <w:qFormat/>
    <w:rsid w:val="007A2B81"/>
    <w:pPr>
      <w:keepNext/>
      <w:keepLines/>
      <w:spacing w:line="240" w:lineRule="auto"/>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A2B81"/>
    <w:pPr>
      <w:keepNext/>
      <w:keepLines/>
      <w:ind w:right="72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B81"/>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7A2B81"/>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F86271"/>
    <w:rPr>
      <w:color w:val="0000FF" w:themeColor="hyperlink"/>
      <w:u w:val="single"/>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unhideWhenUsed/>
    <w:rsid w:val="003C5D53"/>
    <w:pPr>
      <w:spacing w:after="0" w:line="240" w:lineRule="auto"/>
    </w:pPr>
    <w:rPr>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3C5D53"/>
    <w:rPr>
      <w:rFonts w:ascii="Times New Roman" w:hAnsi="Times New Roman"/>
      <w:sz w:val="20"/>
      <w:szCs w:val="20"/>
    </w:rPr>
  </w:style>
  <w:style w:type="character" w:styleId="FootnoteReference">
    <w:name w:val="footnote reference"/>
    <w:aliases w:val="Style 19,Style 16,fr,Style 35"/>
    <w:basedOn w:val="DefaultParagraphFont"/>
    <w:uiPriority w:val="99"/>
    <w:unhideWhenUsed/>
    <w:rsid w:val="003C5D53"/>
    <w:rPr>
      <w:vertAlign w:val="superscript"/>
    </w:rPr>
  </w:style>
  <w:style w:type="paragraph" w:styleId="BalloonText">
    <w:name w:val="Balloon Text"/>
    <w:basedOn w:val="Normal"/>
    <w:link w:val="BalloonTextChar"/>
    <w:uiPriority w:val="99"/>
    <w:semiHidden/>
    <w:unhideWhenUsed/>
    <w:rsid w:val="00E02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0"/>
    <w:rPr>
      <w:rFonts w:ascii="Tahoma" w:hAnsi="Tahoma" w:cs="Tahoma"/>
      <w:sz w:val="16"/>
      <w:szCs w:val="16"/>
    </w:rPr>
  </w:style>
  <w:style w:type="character" w:styleId="CommentReference">
    <w:name w:val="annotation reference"/>
    <w:basedOn w:val="DefaultParagraphFont"/>
    <w:uiPriority w:val="99"/>
    <w:semiHidden/>
    <w:unhideWhenUsed/>
    <w:rsid w:val="00413698"/>
    <w:rPr>
      <w:sz w:val="16"/>
      <w:szCs w:val="16"/>
    </w:rPr>
  </w:style>
  <w:style w:type="paragraph" w:styleId="CommentText">
    <w:name w:val="annotation text"/>
    <w:basedOn w:val="Normal"/>
    <w:link w:val="CommentTextChar"/>
    <w:uiPriority w:val="99"/>
    <w:semiHidden/>
    <w:unhideWhenUsed/>
    <w:rsid w:val="00413698"/>
    <w:pPr>
      <w:spacing w:line="240" w:lineRule="auto"/>
    </w:pPr>
    <w:rPr>
      <w:sz w:val="20"/>
      <w:szCs w:val="20"/>
    </w:rPr>
  </w:style>
  <w:style w:type="character" w:customStyle="1" w:styleId="CommentTextChar">
    <w:name w:val="Comment Text Char"/>
    <w:basedOn w:val="DefaultParagraphFont"/>
    <w:link w:val="CommentText"/>
    <w:uiPriority w:val="99"/>
    <w:semiHidden/>
    <w:rsid w:val="0041369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13698"/>
    <w:rPr>
      <w:b/>
      <w:bCs/>
    </w:rPr>
  </w:style>
  <w:style w:type="character" w:customStyle="1" w:styleId="CommentSubjectChar">
    <w:name w:val="Comment Subject Char"/>
    <w:basedOn w:val="CommentTextChar"/>
    <w:link w:val="CommentSubject"/>
    <w:uiPriority w:val="99"/>
    <w:semiHidden/>
    <w:rsid w:val="00413698"/>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B81"/>
    <w:pPr>
      <w:spacing w:after="240"/>
    </w:pPr>
    <w:rPr>
      <w:rFonts w:ascii="Times New Roman" w:hAnsi="Times New Roman"/>
      <w:sz w:val="24"/>
    </w:rPr>
  </w:style>
  <w:style w:type="paragraph" w:styleId="Heading1">
    <w:name w:val="heading 1"/>
    <w:basedOn w:val="Normal"/>
    <w:next w:val="Normal"/>
    <w:link w:val="Heading1Char"/>
    <w:uiPriority w:val="9"/>
    <w:qFormat/>
    <w:rsid w:val="007A2B81"/>
    <w:pPr>
      <w:keepNext/>
      <w:keepLines/>
      <w:spacing w:line="240" w:lineRule="auto"/>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A2B81"/>
    <w:pPr>
      <w:keepNext/>
      <w:keepLines/>
      <w:ind w:right="72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B81"/>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7A2B81"/>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F86271"/>
    <w:rPr>
      <w:color w:val="0000FF" w:themeColor="hyperlink"/>
      <w:u w:val="single"/>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unhideWhenUsed/>
    <w:rsid w:val="003C5D53"/>
    <w:pPr>
      <w:spacing w:after="0" w:line="240" w:lineRule="auto"/>
    </w:pPr>
    <w:rPr>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3C5D53"/>
    <w:rPr>
      <w:rFonts w:ascii="Times New Roman" w:hAnsi="Times New Roman"/>
      <w:sz w:val="20"/>
      <w:szCs w:val="20"/>
    </w:rPr>
  </w:style>
  <w:style w:type="character" w:styleId="FootnoteReference">
    <w:name w:val="footnote reference"/>
    <w:aliases w:val="Style 19,Style 16,fr,Style 35"/>
    <w:basedOn w:val="DefaultParagraphFont"/>
    <w:uiPriority w:val="99"/>
    <w:unhideWhenUsed/>
    <w:rsid w:val="003C5D53"/>
    <w:rPr>
      <w:vertAlign w:val="superscript"/>
    </w:rPr>
  </w:style>
  <w:style w:type="paragraph" w:styleId="BalloonText">
    <w:name w:val="Balloon Text"/>
    <w:basedOn w:val="Normal"/>
    <w:link w:val="BalloonTextChar"/>
    <w:uiPriority w:val="99"/>
    <w:semiHidden/>
    <w:unhideWhenUsed/>
    <w:rsid w:val="00E02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0"/>
    <w:rPr>
      <w:rFonts w:ascii="Tahoma" w:hAnsi="Tahoma" w:cs="Tahoma"/>
      <w:sz w:val="16"/>
      <w:szCs w:val="16"/>
    </w:rPr>
  </w:style>
  <w:style w:type="character" w:styleId="CommentReference">
    <w:name w:val="annotation reference"/>
    <w:basedOn w:val="DefaultParagraphFont"/>
    <w:uiPriority w:val="99"/>
    <w:semiHidden/>
    <w:unhideWhenUsed/>
    <w:rsid w:val="00413698"/>
    <w:rPr>
      <w:sz w:val="16"/>
      <w:szCs w:val="16"/>
    </w:rPr>
  </w:style>
  <w:style w:type="paragraph" w:styleId="CommentText">
    <w:name w:val="annotation text"/>
    <w:basedOn w:val="Normal"/>
    <w:link w:val="CommentTextChar"/>
    <w:uiPriority w:val="99"/>
    <w:semiHidden/>
    <w:unhideWhenUsed/>
    <w:rsid w:val="00413698"/>
    <w:pPr>
      <w:spacing w:line="240" w:lineRule="auto"/>
    </w:pPr>
    <w:rPr>
      <w:sz w:val="20"/>
      <w:szCs w:val="20"/>
    </w:rPr>
  </w:style>
  <w:style w:type="character" w:customStyle="1" w:styleId="CommentTextChar">
    <w:name w:val="Comment Text Char"/>
    <w:basedOn w:val="DefaultParagraphFont"/>
    <w:link w:val="CommentText"/>
    <w:uiPriority w:val="99"/>
    <w:semiHidden/>
    <w:rsid w:val="0041369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13698"/>
    <w:rPr>
      <w:b/>
      <w:bCs/>
    </w:rPr>
  </w:style>
  <w:style w:type="character" w:customStyle="1" w:styleId="CommentSubjectChar">
    <w:name w:val="Comment Subject Char"/>
    <w:basedOn w:val="CommentTextChar"/>
    <w:link w:val="CommentSubject"/>
    <w:uiPriority w:val="99"/>
    <w:semiHidden/>
    <w:rsid w:val="0041369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gov/comments/s7-08-12/s70812.s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C9669-04CD-47DA-AE06-A842E01D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Sheng, Teen</dc:creator>
  <cp:lastModifiedBy>Sheng, Teen</cp:lastModifiedBy>
  <cp:revision>2</cp:revision>
  <cp:lastPrinted>2013-04-11T21:45:00Z</cp:lastPrinted>
  <dcterms:created xsi:type="dcterms:W3CDTF">2013-05-13T18:48:00Z</dcterms:created>
  <dcterms:modified xsi:type="dcterms:W3CDTF">2013-05-13T18:48:00Z</dcterms:modified>
</cp:coreProperties>
</file>