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E4" w:rsidRPr="00687856" w:rsidRDefault="008B1EE4" w:rsidP="00687C47">
      <w:r w:rsidRPr="002062B4">
        <w:tab/>
        <w:t xml:space="preserve"> </w:t>
      </w:r>
    </w:p>
    <w:p w:rsidR="008B1EE4" w:rsidRPr="00687856" w:rsidRDefault="008B1EE4" w:rsidP="00AB3887">
      <w:pPr>
        <w:spacing w:line="240" w:lineRule="auto"/>
      </w:pPr>
    </w:p>
    <w:p w:rsidR="00687C47" w:rsidRPr="00687856" w:rsidRDefault="00687C47" w:rsidP="00AB3887">
      <w:pPr>
        <w:spacing w:line="240" w:lineRule="auto"/>
      </w:pPr>
    </w:p>
    <w:p w:rsidR="00687C47" w:rsidRPr="00687856" w:rsidRDefault="00687C47" w:rsidP="00AB3887">
      <w:pPr>
        <w:spacing w:line="240" w:lineRule="auto"/>
      </w:pPr>
    </w:p>
    <w:p w:rsidR="00687C47" w:rsidRPr="00687856" w:rsidRDefault="00687C47" w:rsidP="00AB3887">
      <w:pPr>
        <w:spacing w:line="240" w:lineRule="auto"/>
      </w:pPr>
    </w:p>
    <w:p w:rsidR="00687C47" w:rsidRPr="00687856" w:rsidRDefault="00687C47" w:rsidP="00AB3887">
      <w:pPr>
        <w:spacing w:line="240" w:lineRule="auto"/>
      </w:pPr>
    </w:p>
    <w:p w:rsidR="008B1EE4" w:rsidRPr="00647FE3" w:rsidRDefault="008B1EE4" w:rsidP="00AB3887">
      <w:pPr>
        <w:tabs>
          <w:tab w:val="center" w:pos="4680"/>
        </w:tabs>
        <w:spacing w:line="240" w:lineRule="auto"/>
        <w:jc w:val="center"/>
        <w:outlineLvl w:val="0"/>
        <w:rPr>
          <w:rFonts w:ascii="Calibri" w:hAnsi="Calibri" w:cs="Calibri"/>
          <w:b/>
          <w:bCs/>
          <w:caps/>
          <w:sz w:val="40"/>
          <w:szCs w:val="40"/>
        </w:rPr>
      </w:pPr>
      <w:bookmarkStart w:id="0" w:name="_Toc133208861"/>
      <w:r w:rsidRPr="00647FE3">
        <w:rPr>
          <w:rFonts w:ascii="Calibri" w:hAnsi="Calibri" w:cs="Calibri"/>
          <w:b/>
          <w:bCs/>
          <w:caps/>
          <w:sz w:val="40"/>
          <w:szCs w:val="40"/>
        </w:rPr>
        <w:t xml:space="preserve">U.S. </w:t>
      </w:r>
      <w:bookmarkEnd w:id="0"/>
      <w:r w:rsidR="008304BF" w:rsidRPr="00647FE3">
        <w:rPr>
          <w:rFonts w:ascii="Calibri" w:hAnsi="Calibri" w:cs="Calibri"/>
          <w:b/>
          <w:bCs/>
          <w:caps/>
          <w:sz w:val="40"/>
          <w:szCs w:val="40"/>
        </w:rPr>
        <w:t>Department of Agriculture</w:t>
      </w:r>
    </w:p>
    <w:p w:rsidR="008B1EE4" w:rsidRPr="00647FE3" w:rsidRDefault="008304BF" w:rsidP="00AB3887">
      <w:pPr>
        <w:tabs>
          <w:tab w:val="center" w:pos="4680"/>
        </w:tabs>
        <w:spacing w:line="240" w:lineRule="auto"/>
        <w:jc w:val="center"/>
        <w:outlineLvl w:val="0"/>
        <w:rPr>
          <w:rFonts w:ascii="Calibri" w:hAnsi="Calibri" w:cs="Calibri"/>
          <w:b/>
          <w:bCs/>
          <w:caps/>
          <w:sz w:val="32"/>
          <w:szCs w:val="32"/>
        </w:rPr>
      </w:pPr>
      <w:r w:rsidRPr="00647FE3">
        <w:rPr>
          <w:rFonts w:ascii="Calibri" w:hAnsi="Calibri" w:cs="Calibri"/>
          <w:b/>
          <w:bCs/>
          <w:caps/>
          <w:sz w:val="32"/>
          <w:szCs w:val="32"/>
        </w:rPr>
        <w:t>Food and Nutrition Service</w:t>
      </w:r>
    </w:p>
    <w:p w:rsidR="00687C47" w:rsidRPr="00687856" w:rsidRDefault="00687C47" w:rsidP="00AB3887">
      <w:pPr>
        <w:spacing w:line="240" w:lineRule="auto"/>
        <w:rPr>
          <w:rFonts w:ascii="Calibri" w:hAnsi="Calibri" w:cs="Calibri"/>
        </w:rPr>
      </w:pPr>
    </w:p>
    <w:p w:rsidR="00687C47" w:rsidRPr="00687856" w:rsidRDefault="00687C47" w:rsidP="00AB3887">
      <w:pPr>
        <w:spacing w:line="240" w:lineRule="auto"/>
        <w:rPr>
          <w:rFonts w:ascii="Calibri" w:hAnsi="Calibri" w:cs="Calibri"/>
        </w:rPr>
      </w:pPr>
    </w:p>
    <w:p w:rsidR="008B1EE4" w:rsidRPr="00687856" w:rsidRDefault="008B1EE4" w:rsidP="00AB3887">
      <w:pPr>
        <w:spacing w:line="240" w:lineRule="auto"/>
        <w:rPr>
          <w:rFonts w:ascii="Calibri" w:hAnsi="Calibri" w:cs="Calibri"/>
        </w:rPr>
      </w:pPr>
    </w:p>
    <w:p w:rsidR="008B1EE4" w:rsidRPr="00687856" w:rsidRDefault="008B1EE4" w:rsidP="00AB3887">
      <w:pPr>
        <w:spacing w:line="240" w:lineRule="auto"/>
        <w:rPr>
          <w:rFonts w:ascii="Calibri" w:hAnsi="Calibri" w:cs="Calibri"/>
        </w:rPr>
      </w:pPr>
    </w:p>
    <w:p w:rsidR="00AB3887" w:rsidRPr="00687856" w:rsidRDefault="00AB3887" w:rsidP="00AB3887">
      <w:pPr>
        <w:spacing w:line="240" w:lineRule="auto"/>
        <w:rPr>
          <w:rFonts w:ascii="Calibri" w:hAnsi="Calibri" w:cs="Calibri"/>
        </w:rPr>
      </w:pPr>
    </w:p>
    <w:p w:rsidR="00AB3887" w:rsidRPr="00687856" w:rsidRDefault="00AB3887" w:rsidP="00AB3887">
      <w:pPr>
        <w:spacing w:line="240" w:lineRule="auto"/>
        <w:rPr>
          <w:rFonts w:ascii="Calibri" w:hAnsi="Calibri" w:cs="Calibri"/>
        </w:rPr>
      </w:pPr>
    </w:p>
    <w:p w:rsidR="008304BF" w:rsidRPr="00647FE3" w:rsidRDefault="00987851" w:rsidP="00AB3887">
      <w:pPr>
        <w:tabs>
          <w:tab w:val="center" w:pos="4680"/>
        </w:tabs>
        <w:spacing w:line="240" w:lineRule="auto"/>
        <w:jc w:val="center"/>
        <w:outlineLvl w:val="0"/>
        <w:rPr>
          <w:rFonts w:ascii="Calibri" w:hAnsi="Calibri" w:cs="Calibri"/>
          <w:b/>
          <w:bCs/>
          <w:i/>
          <w:iCs/>
          <w:sz w:val="32"/>
          <w:szCs w:val="32"/>
        </w:rPr>
      </w:pPr>
      <w:r w:rsidRPr="00647FE3">
        <w:rPr>
          <w:rFonts w:ascii="Calibri" w:hAnsi="Calibri" w:cs="Calibri"/>
          <w:b/>
          <w:bCs/>
          <w:i/>
          <w:iCs/>
          <w:sz w:val="32"/>
          <w:szCs w:val="32"/>
        </w:rPr>
        <w:t>Enhancing Completion Rates for SNAP</w:t>
      </w:r>
    </w:p>
    <w:p w:rsidR="008304BF" w:rsidRPr="00647FE3" w:rsidRDefault="00987851" w:rsidP="00AB3887">
      <w:pPr>
        <w:tabs>
          <w:tab w:val="center" w:pos="4680"/>
        </w:tabs>
        <w:spacing w:line="240" w:lineRule="auto"/>
        <w:jc w:val="center"/>
        <w:outlineLvl w:val="0"/>
        <w:rPr>
          <w:rFonts w:ascii="Calibri" w:hAnsi="Calibri" w:cs="Calibri"/>
          <w:b/>
          <w:bCs/>
          <w:i/>
          <w:iCs/>
          <w:sz w:val="32"/>
          <w:szCs w:val="32"/>
        </w:rPr>
      </w:pPr>
      <w:r w:rsidRPr="00647FE3">
        <w:rPr>
          <w:rFonts w:ascii="Calibri" w:hAnsi="Calibri" w:cs="Calibri"/>
          <w:b/>
          <w:bCs/>
          <w:i/>
          <w:iCs/>
          <w:sz w:val="32"/>
          <w:szCs w:val="32"/>
        </w:rPr>
        <w:t>(</w:t>
      </w:r>
      <w:r w:rsidR="008304BF" w:rsidRPr="00647FE3">
        <w:rPr>
          <w:rFonts w:ascii="Calibri" w:hAnsi="Calibri" w:cs="Calibri"/>
          <w:b/>
          <w:bCs/>
          <w:i/>
          <w:iCs/>
          <w:sz w:val="32"/>
          <w:szCs w:val="32"/>
        </w:rPr>
        <w:t>Supplemental Nutrition Assistance Program</w:t>
      </w:r>
      <w:r w:rsidRPr="00647FE3">
        <w:rPr>
          <w:rFonts w:ascii="Calibri" w:hAnsi="Calibri" w:cs="Calibri"/>
          <w:b/>
          <w:bCs/>
          <w:i/>
          <w:iCs/>
          <w:sz w:val="32"/>
          <w:szCs w:val="32"/>
        </w:rPr>
        <w:t>) Quality Control Reviews</w:t>
      </w:r>
    </w:p>
    <w:p w:rsidR="003A5CCF" w:rsidRPr="00687856" w:rsidRDefault="003A5CCF" w:rsidP="00AB3887">
      <w:pPr>
        <w:spacing w:line="240" w:lineRule="auto"/>
        <w:rPr>
          <w:rFonts w:ascii="Calibri" w:hAnsi="Calibri" w:cs="Calibri"/>
        </w:rPr>
      </w:pPr>
    </w:p>
    <w:p w:rsidR="002361D9" w:rsidRPr="00687856" w:rsidRDefault="002361D9" w:rsidP="00AB3887">
      <w:pPr>
        <w:spacing w:line="240" w:lineRule="auto"/>
        <w:rPr>
          <w:rFonts w:ascii="Calibri" w:hAnsi="Calibri" w:cs="Calibri"/>
        </w:rPr>
      </w:pPr>
    </w:p>
    <w:p w:rsidR="00987851" w:rsidRPr="00647FE3" w:rsidRDefault="00987851" w:rsidP="00AB3887">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Request for Clearance</w:t>
      </w:r>
    </w:p>
    <w:p w:rsidR="00987851" w:rsidRPr="00647FE3" w:rsidRDefault="00987851" w:rsidP="00AB3887">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Supporting Statement and</w:t>
      </w:r>
    </w:p>
    <w:p w:rsidR="00987851" w:rsidRPr="00647FE3" w:rsidRDefault="00987851" w:rsidP="00AB3887">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Data Collection Instruments</w:t>
      </w:r>
    </w:p>
    <w:p w:rsidR="0062267B" w:rsidRPr="00687856" w:rsidRDefault="0062267B" w:rsidP="00AB3887">
      <w:pPr>
        <w:spacing w:line="240" w:lineRule="auto"/>
        <w:rPr>
          <w:rFonts w:ascii="Calibri" w:hAnsi="Calibri" w:cs="Calibri"/>
        </w:rPr>
      </w:pPr>
    </w:p>
    <w:p w:rsidR="00CB56CD" w:rsidRPr="00647FE3" w:rsidRDefault="007020AE" w:rsidP="00AB3887">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Part A</w:t>
      </w:r>
      <w:r w:rsidR="00CB56CD" w:rsidRPr="00647FE3">
        <w:rPr>
          <w:rFonts w:ascii="Calibri" w:hAnsi="Calibri" w:cs="Calibri"/>
          <w:bCs/>
          <w:i/>
          <w:sz w:val="32"/>
          <w:szCs w:val="32"/>
        </w:rPr>
        <w:t xml:space="preserve">: </w:t>
      </w:r>
      <w:r w:rsidR="00CC3743" w:rsidRPr="00647FE3">
        <w:rPr>
          <w:rFonts w:ascii="Calibri" w:hAnsi="Calibri" w:cs="Calibri"/>
          <w:bCs/>
          <w:i/>
          <w:sz w:val="32"/>
          <w:szCs w:val="32"/>
        </w:rPr>
        <w:t xml:space="preserve"> </w:t>
      </w:r>
      <w:r w:rsidR="00CB56CD" w:rsidRPr="00647FE3">
        <w:rPr>
          <w:rFonts w:ascii="Calibri" w:hAnsi="Calibri" w:cs="Calibri"/>
          <w:bCs/>
          <w:i/>
          <w:sz w:val="32"/>
          <w:szCs w:val="32"/>
        </w:rPr>
        <w:t>Justification</w:t>
      </w:r>
    </w:p>
    <w:p w:rsidR="008B1EE4" w:rsidRPr="00687856" w:rsidRDefault="008B1EE4" w:rsidP="00AB3887">
      <w:pPr>
        <w:spacing w:line="240" w:lineRule="auto"/>
        <w:rPr>
          <w:rFonts w:ascii="Calibri" w:hAnsi="Calibri" w:cs="Calibri"/>
        </w:rPr>
      </w:pPr>
    </w:p>
    <w:p w:rsidR="00987851" w:rsidRPr="00647FE3" w:rsidRDefault="00987851" w:rsidP="00AB3887">
      <w:pPr>
        <w:tabs>
          <w:tab w:val="center" w:pos="4680"/>
        </w:tabs>
        <w:spacing w:line="240" w:lineRule="auto"/>
        <w:jc w:val="center"/>
        <w:outlineLvl w:val="0"/>
        <w:rPr>
          <w:rFonts w:ascii="Calibri" w:hAnsi="Calibri" w:cs="Calibri"/>
          <w:bCs/>
          <w:sz w:val="32"/>
          <w:szCs w:val="32"/>
        </w:rPr>
      </w:pPr>
      <w:r w:rsidRPr="00647FE3">
        <w:rPr>
          <w:rFonts w:ascii="Calibri" w:hAnsi="Calibri" w:cs="Calibri"/>
          <w:bCs/>
          <w:sz w:val="32"/>
          <w:szCs w:val="32"/>
        </w:rPr>
        <w:t>Project Officer: Robert Dalrymple</w:t>
      </w:r>
    </w:p>
    <w:p w:rsidR="008B1EE4" w:rsidRPr="00687856" w:rsidRDefault="008B1EE4" w:rsidP="00AB3887">
      <w:pPr>
        <w:spacing w:line="240" w:lineRule="auto"/>
        <w:rPr>
          <w:rFonts w:ascii="Calibri" w:hAnsi="Calibri" w:cs="Calibri"/>
          <w:b/>
        </w:rPr>
      </w:pPr>
    </w:p>
    <w:p w:rsidR="008B1EE4" w:rsidRPr="00687856" w:rsidRDefault="008B1EE4" w:rsidP="00AB3887">
      <w:pPr>
        <w:spacing w:line="240" w:lineRule="auto"/>
        <w:rPr>
          <w:rFonts w:ascii="Calibri" w:hAnsi="Calibri" w:cs="Calibri"/>
          <w:b/>
        </w:rPr>
      </w:pPr>
    </w:p>
    <w:p w:rsidR="008B1EE4" w:rsidRPr="00687856" w:rsidRDefault="008B1EE4" w:rsidP="00AB3887">
      <w:pPr>
        <w:spacing w:line="240" w:lineRule="auto"/>
        <w:rPr>
          <w:rFonts w:ascii="Calibri" w:hAnsi="Calibri" w:cs="Calibri"/>
          <w:b/>
        </w:rPr>
      </w:pPr>
    </w:p>
    <w:p w:rsidR="008B1EE4" w:rsidRPr="00687856" w:rsidRDefault="008B1EE4" w:rsidP="00AB3887">
      <w:pPr>
        <w:spacing w:line="240" w:lineRule="auto"/>
        <w:rPr>
          <w:rFonts w:ascii="Calibri" w:hAnsi="Calibri" w:cs="Calibri"/>
          <w:b/>
        </w:rPr>
      </w:pPr>
    </w:p>
    <w:p w:rsidR="008B1EE4" w:rsidRPr="00687856" w:rsidRDefault="008B1EE4" w:rsidP="00AB3887">
      <w:pPr>
        <w:spacing w:line="240" w:lineRule="auto"/>
        <w:rPr>
          <w:rFonts w:ascii="Calibri" w:hAnsi="Calibri" w:cs="Calibri"/>
        </w:rPr>
      </w:pPr>
    </w:p>
    <w:p w:rsidR="00687C47" w:rsidRPr="00687856" w:rsidRDefault="00687C47" w:rsidP="00AB3887">
      <w:pPr>
        <w:spacing w:line="240" w:lineRule="auto"/>
        <w:rPr>
          <w:rFonts w:ascii="Calibri" w:hAnsi="Calibri" w:cs="Calibri"/>
        </w:rPr>
      </w:pPr>
    </w:p>
    <w:p w:rsidR="00687C47" w:rsidRPr="00687856" w:rsidRDefault="00687C47" w:rsidP="00AB3887">
      <w:pPr>
        <w:spacing w:line="240" w:lineRule="auto"/>
        <w:rPr>
          <w:rFonts w:ascii="Calibri" w:hAnsi="Calibri" w:cs="Calibri"/>
        </w:rPr>
      </w:pPr>
    </w:p>
    <w:p w:rsidR="00687C47" w:rsidRPr="00687856" w:rsidRDefault="00687C47" w:rsidP="00AB3887">
      <w:pPr>
        <w:spacing w:line="240" w:lineRule="auto"/>
        <w:rPr>
          <w:rFonts w:ascii="Calibri" w:hAnsi="Calibri" w:cs="Calibri"/>
        </w:rPr>
      </w:pPr>
    </w:p>
    <w:p w:rsidR="008B1EE4" w:rsidRPr="00687856" w:rsidRDefault="008B1EE4" w:rsidP="00AB3887">
      <w:pPr>
        <w:spacing w:line="240" w:lineRule="auto"/>
        <w:rPr>
          <w:rFonts w:ascii="Calibri" w:hAnsi="Calibri" w:cs="Calibri"/>
        </w:rPr>
      </w:pPr>
    </w:p>
    <w:p w:rsidR="008B1EE4" w:rsidRPr="00647FE3" w:rsidRDefault="00225221" w:rsidP="00AB3887">
      <w:pPr>
        <w:spacing w:line="240" w:lineRule="auto"/>
        <w:jc w:val="center"/>
        <w:rPr>
          <w:rFonts w:ascii="Calibri" w:hAnsi="Calibri" w:cs="Calibri"/>
          <w:b/>
          <w:sz w:val="28"/>
          <w:szCs w:val="28"/>
        </w:rPr>
      </w:pPr>
      <w:r>
        <w:rPr>
          <w:rFonts w:ascii="Calibri" w:hAnsi="Calibri" w:cs="Calibri"/>
          <w:b/>
          <w:sz w:val="28"/>
          <w:szCs w:val="28"/>
        </w:rPr>
        <w:t>September 26</w:t>
      </w:r>
      <w:r w:rsidR="00987851" w:rsidRPr="00B3326B">
        <w:rPr>
          <w:rFonts w:ascii="Calibri" w:hAnsi="Calibri" w:cs="Calibri"/>
          <w:b/>
          <w:sz w:val="28"/>
          <w:szCs w:val="28"/>
        </w:rPr>
        <w:t>, 2013</w:t>
      </w:r>
    </w:p>
    <w:p w:rsidR="008B1EE4" w:rsidRPr="00647FE3" w:rsidRDefault="008B1EE4" w:rsidP="00AB3887">
      <w:pPr>
        <w:spacing w:line="240" w:lineRule="auto"/>
        <w:jc w:val="center"/>
        <w:rPr>
          <w:rFonts w:cs="Calibri"/>
        </w:rPr>
      </w:pPr>
      <w:r w:rsidRPr="00647FE3">
        <w:rPr>
          <w:rFonts w:cs="Calibri"/>
        </w:rPr>
        <w:tab/>
      </w:r>
    </w:p>
    <w:p w:rsidR="008B1EE4" w:rsidRPr="00647FE3" w:rsidRDefault="008B1EE4" w:rsidP="00AB3887">
      <w:pPr>
        <w:spacing w:line="240" w:lineRule="auto"/>
        <w:jc w:val="right"/>
        <w:rPr>
          <w:rFonts w:cs="Calibri"/>
        </w:rPr>
      </w:pPr>
    </w:p>
    <w:p w:rsidR="008B1EE4" w:rsidRPr="00647FE3" w:rsidRDefault="008B1EE4" w:rsidP="008B1EE4">
      <w:pPr>
        <w:jc w:val="right"/>
        <w:rPr>
          <w:rFonts w:cs="Calibri"/>
        </w:rPr>
      </w:pPr>
    </w:p>
    <w:p w:rsidR="008B1EE4" w:rsidRPr="00647FE3" w:rsidRDefault="008B1EE4" w:rsidP="008B1EE4">
      <w:pPr>
        <w:jc w:val="right"/>
        <w:rPr>
          <w:rFonts w:cs="Calibri"/>
        </w:rPr>
      </w:pPr>
    </w:p>
    <w:p w:rsidR="008B1EE4" w:rsidRPr="00647FE3" w:rsidRDefault="008B1EE4" w:rsidP="008B1EE4">
      <w:pPr>
        <w:jc w:val="right"/>
        <w:rPr>
          <w:rFonts w:cs="Calibri"/>
        </w:rPr>
      </w:pPr>
    </w:p>
    <w:p w:rsidR="008B1EE4" w:rsidRPr="00647FE3" w:rsidRDefault="008B1EE4" w:rsidP="008B1EE4">
      <w:pPr>
        <w:jc w:val="right"/>
        <w:rPr>
          <w:rFonts w:cs="Calibri"/>
        </w:rPr>
      </w:pPr>
      <w:r w:rsidRPr="00647FE3">
        <w:rPr>
          <w:rFonts w:cs="Calibri"/>
        </w:rPr>
        <w:t xml:space="preserve"> </w:t>
      </w:r>
    </w:p>
    <w:p w:rsidR="002062B4" w:rsidRDefault="002062B4" w:rsidP="009F4C33">
      <w:pPr>
        <w:pStyle w:val="HeadingNoTOC"/>
      </w:pPr>
    </w:p>
    <w:p w:rsidR="002062B4" w:rsidRDefault="002062B4" w:rsidP="009F4C33">
      <w:pPr>
        <w:pStyle w:val="HeadingNoTOC"/>
        <w:sectPr w:rsidR="002062B4" w:rsidSect="00F775A3">
          <w:headerReference w:type="default" r:id="rId8"/>
          <w:footerReference w:type="even" r:id="rId9"/>
          <w:footerReference w:type="default" r:id="rId10"/>
          <w:pgSz w:w="12240" w:h="15840" w:code="1"/>
          <w:pgMar w:top="1440" w:right="1440" w:bottom="1440" w:left="1440" w:header="576" w:footer="576" w:gutter="0"/>
          <w:cols w:space="720"/>
          <w:noEndnote/>
          <w:docGrid w:linePitch="299"/>
        </w:sectPr>
      </w:pPr>
    </w:p>
    <w:p w:rsidR="008B1EE4" w:rsidRPr="00647FE3" w:rsidRDefault="008B1EE4" w:rsidP="009F4C33">
      <w:pPr>
        <w:pStyle w:val="HeadingNoTOC"/>
      </w:pPr>
      <w:r w:rsidRPr="00647FE3">
        <w:lastRenderedPageBreak/>
        <w:t>TABLE OF CONTENTS</w:t>
      </w:r>
    </w:p>
    <w:p w:rsidR="00101AAB" w:rsidRPr="00647FE3" w:rsidRDefault="00101AAB" w:rsidP="003E0B63">
      <w:pPr>
        <w:jc w:val="center"/>
        <w:rPr>
          <w:rFonts w:cs="Calibri"/>
          <w:b/>
        </w:rPr>
      </w:pPr>
    </w:p>
    <w:p w:rsidR="00F775A3" w:rsidRPr="00B13B30" w:rsidRDefault="009E2EE6" w:rsidP="00112F92">
      <w:pPr>
        <w:pStyle w:val="TOC1"/>
        <w:tabs>
          <w:tab w:val="left" w:pos="994"/>
        </w:tabs>
        <w:rPr>
          <w:rFonts w:ascii="Calibri" w:eastAsiaTheme="minorEastAsia" w:hAnsi="Calibri" w:cstheme="minorBidi"/>
          <w:b w:val="0"/>
          <w:bCs w:val="0"/>
          <w:noProof/>
          <w:sz w:val="21"/>
          <w:szCs w:val="21"/>
        </w:rPr>
      </w:pPr>
      <w:r w:rsidRPr="00B13B30">
        <w:rPr>
          <w:rFonts w:ascii="Calibri" w:hAnsi="Calibri" w:cs="Calibri"/>
          <w:sz w:val="21"/>
          <w:szCs w:val="21"/>
        </w:rPr>
        <w:fldChar w:fldCharType="begin"/>
      </w:r>
      <w:r w:rsidR="00F06672" w:rsidRPr="00B13B30">
        <w:rPr>
          <w:rFonts w:ascii="Calibri" w:hAnsi="Calibri" w:cs="Calibri"/>
          <w:sz w:val="21"/>
          <w:szCs w:val="21"/>
        </w:rPr>
        <w:instrText xml:space="preserve"> TOC \t "Heading 2,1,Heading 3,2,Level 1,1,Attachment Subheader,2" </w:instrText>
      </w:r>
      <w:r w:rsidRPr="00B13B30">
        <w:rPr>
          <w:rFonts w:ascii="Calibri" w:hAnsi="Calibri" w:cs="Calibri"/>
          <w:sz w:val="21"/>
          <w:szCs w:val="21"/>
        </w:rPr>
        <w:fldChar w:fldCharType="separate"/>
      </w:r>
      <w:r w:rsidR="00F775A3" w:rsidRPr="00B13B30">
        <w:rPr>
          <w:rFonts w:ascii="Calibri" w:hAnsi="Calibri"/>
          <w:noProof/>
          <w:sz w:val="21"/>
          <w:szCs w:val="21"/>
        </w:rPr>
        <w:t>part A:  Justification</w:t>
      </w:r>
      <w:r w:rsidR="00F775A3" w:rsidRPr="00B13B30">
        <w:rPr>
          <w:rFonts w:ascii="Calibri" w:hAnsi="Calibri"/>
          <w:noProof/>
          <w:sz w:val="21"/>
          <w:szCs w:val="21"/>
        </w:rPr>
        <w:tab/>
      </w:r>
      <w:r w:rsidRPr="00B13B30">
        <w:rPr>
          <w:rFonts w:ascii="Calibri" w:hAnsi="Calibri"/>
          <w:noProof/>
          <w:sz w:val="21"/>
          <w:szCs w:val="21"/>
        </w:rPr>
        <w:fldChar w:fldCharType="begin"/>
      </w:r>
      <w:r w:rsidR="00F775A3" w:rsidRPr="00B13B30">
        <w:rPr>
          <w:rFonts w:ascii="Calibri" w:hAnsi="Calibri"/>
          <w:noProof/>
          <w:sz w:val="21"/>
          <w:szCs w:val="21"/>
        </w:rPr>
        <w:instrText xml:space="preserve"> PAGEREF _Toc351667633 \h </w:instrText>
      </w:r>
      <w:r w:rsidRPr="00B13B30">
        <w:rPr>
          <w:rFonts w:ascii="Calibri" w:hAnsi="Calibri"/>
          <w:noProof/>
          <w:sz w:val="21"/>
          <w:szCs w:val="21"/>
        </w:rPr>
      </w:r>
      <w:r w:rsidRPr="00B13B30">
        <w:rPr>
          <w:rFonts w:ascii="Calibri" w:hAnsi="Calibri"/>
          <w:noProof/>
          <w:sz w:val="21"/>
          <w:szCs w:val="21"/>
        </w:rPr>
        <w:fldChar w:fldCharType="separate"/>
      </w:r>
      <w:r w:rsidR="00384B04">
        <w:rPr>
          <w:rFonts w:ascii="Calibri" w:hAnsi="Calibri"/>
          <w:noProof/>
          <w:sz w:val="21"/>
          <w:szCs w:val="21"/>
        </w:rPr>
        <w:t>1</w:t>
      </w:r>
      <w:r w:rsidRPr="00B13B30">
        <w:rPr>
          <w:rFonts w:ascii="Calibri" w:hAnsi="Calibri"/>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Circumstances that Make Data Collection Necessary</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_Toc351667634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1</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A.2.</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Purpose and Use of the Information</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_Toc351667635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2</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A.3.</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Use of Information Technology and Burden Reduction</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_Toc351667636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4</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A.4.</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Efforts to Identify Duplication and Use of Similar Information</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_Toc351667637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4</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A.5.</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Impacts on Small Businesses or Other Small Entities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_Toc351667638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5</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A.6.</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Consequences of Collecting the Information Less Frequently</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_Toc351667639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5</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A.7.</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Special Circumstances Relating to the Guideline of 5 CFR 1320.5</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_Toc351667640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5</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A.8.</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 xml:space="preserve">Comments in Response to the Federal Register Notice and Efforts to Consult </w:t>
      </w:r>
      <w:r w:rsidRPr="00B13B30">
        <w:rPr>
          <w:rFonts w:ascii="Calibri" w:hAnsi="Calibri"/>
          <w:caps/>
          <w:smallCaps w:val="0"/>
          <w:noProof/>
          <w:sz w:val="21"/>
          <w:szCs w:val="21"/>
        </w:rPr>
        <w:tab/>
        <w:t>Outside Agency</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_Toc351667641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6</w:t>
      </w:r>
      <w:r w:rsidR="009E2EE6" w:rsidRPr="00B13B30">
        <w:rPr>
          <w:rFonts w:ascii="Calibri" w:hAnsi="Calibri"/>
          <w:caps/>
          <w:smallCaps w:val="0"/>
          <w:noProof/>
          <w:sz w:val="21"/>
          <w:szCs w:val="21"/>
        </w:rPr>
        <w:fldChar w:fldCharType="end"/>
      </w:r>
    </w:p>
    <w:p w:rsidR="00F775A3" w:rsidRPr="00B13B30" w:rsidRDefault="00F775A3" w:rsidP="00112F92">
      <w:pPr>
        <w:pStyle w:val="TOC2"/>
        <w:tabs>
          <w:tab w:val="left" w:pos="994"/>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A.9.</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Explanation of Any Payment or Gift to Respondents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_Toc351667642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7</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A.10.</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Assurance of Confidentiality Provided to Respondents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_Toc351667643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7</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A.11.</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Justification for Sensitive Questions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_Toc351667644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8</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A.12.</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Estimates of Hour Burden Including Annualized Hourly Costs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_Toc351667645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8</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A.13.</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 xml:space="preserve">Estimates of Other Total Annual Cost Burden to Respondents or </w:t>
      </w:r>
      <w:r w:rsidRPr="00B13B30">
        <w:rPr>
          <w:rFonts w:ascii="Calibri" w:hAnsi="Calibri"/>
          <w:caps/>
          <w:smallCaps w:val="0"/>
          <w:noProof/>
          <w:sz w:val="21"/>
          <w:szCs w:val="21"/>
        </w:rPr>
        <w:br/>
      </w:r>
      <w:r w:rsidRPr="00B13B30">
        <w:rPr>
          <w:rFonts w:ascii="Calibri" w:hAnsi="Calibri"/>
          <w:caps/>
          <w:smallCaps w:val="0"/>
          <w:noProof/>
          <w:sz w:val="21"/>
          <w:szCs w:val="21"/>
        </w:rPr>
        <w:tab/>
        <w:t>Record Keepers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_Toc351667646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12</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A.14.</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Annualized Cost to Federal Government</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_Toc351667647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13</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A.15.</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Explanation for Program Changes or Adjustments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_Toc351667648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13</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A.16.</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Plans for Tabulation and Publication and Project Time Schedule</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_Toc351667649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13</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A.17.</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Reason(s) Display of OMB Expiration Date is Inappropriate</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_Toc351667650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14</w:t>
      </w:r>
      <w:r w:rsidR="009E2EE6" w:rsidRPr="00B13B30">
        <w:rPr>
          <w:rFonts w:ascii="Calibri" w:hAnsi="Calibri"/>
          <w:caps/>
          <w:smallCaps w:val="0"/>
          <w:noProof/>
          <w:sz w:val="21"/>
          <w:szCs w:val="21"/>
        </w:rPr>
        <w:fldChar w:fldCharType="end"/>
      </w:r>
    </w:p>
    <w:p w:rsidR="00F775A3" w:rsidRPr="00B13B30" w:rsidRDefault="00F775A3">
      <w:pPr>
        <w:pStyle w:val="TOC2"/>
        <w:tabs>
          <w:tab w:val="left" w:pos="1000"/>
          <w:tab w:val="right" w:leader="dot" w:pos="9350"/>
        </w:tabs>
        <w:rPr>
          <w:rFonts w:ascii="Calibri" w:eastAsiaTheme="minorEastAsia" w:hAnsi="Calibri" w:cstheme="minorBidi"/>
          <w:caps/>
          <w:smallCaps w:val="0"/>
          <w:noProof/>
          <w:sz w:val="21"/>
          <w:szCs w:val="21"/>
        </w:rPr>
      </w:pPr>
      <w:r w:rsidRPr="00B13B30">
        <w:rPr>
          <w:rFonts w:ascii="Calibri" w:hAnsi="Calibri"/>
          <w:caps/>
          <w:smallCaps w:val="0"/>
          <w:noProof/>
          <w:sz w:val="21"/>
          <w:szCs w:val="21"/>
        </w:rPr>
        <w:t>A.18.</w:t>
      </w:r>
      <w:r w:rsidRPr="00B13B30">
        <w:rPr>
          <w:rFonts w:ascii="Calibri" w:eastAsiaTheme="minorEastAsia" w:hAnsi="Calibri" w:cstheme="minorBidi"/>
          <w:caps/>
          <w:smallCaps w:val="0"/>
          <w:noProof/>
          <w:sz w:val="21"/>
          <w:szCs w:val="21"/>
        </w:rPr>
        <w:tab/>
      </w:r>
      <w:r w:rsidRPr="00B13B30">
        <w:rPr>
          <w:rFonts w:ascii="Calibri" w:hAnsi="Calibri"/>
          <w:caps/>
          <w:smallCaps w:val="0"/>
          <w:noProof/>
          <w:sz w:val="21"/>
          <w:szCs w:val="21"/>
        </w:rPr>
        <w:t>Exceptions to Certification for Paperwork Reduction Act Submissions</w:t>
      </w:r>
      <w:r w:rsidRPr="00B13B30">
        <w:rPr>
          <w:rFonts w:ascii="Calibri" w:hAnsi="Calibri"/>
          <w:caps/>
          <w:smallCaps w:val="0"/>
          <w:noProof/>
          <w:sz w:val="21"/>
          <w:szCs w:val="21"/>
        </w:rPr>
        <w:tab/>
      </w:r>
      <w:r w:rsidR="009E2EE6" w:rsidRPr="00B13B30">
        <w:rPr>
          <w:rFonts w:ascii="Calibri" w:hAnsi="Calibri"/>
          <w:caps/>
          <w:smallCaps w:val="0"/>
          <w:noProof/>
          <w:sz w:val="21"/>
          <w:szCs w:val="21"/>
        </w:rPr>
        <w:fldChar w:fldCharType="begin"/>
      </w:r>
      <w:r w:rsidRPr="00B13B30">
        <w:rPr>
          <w:rFonts w:ascii="Calibri" w:hAnsi="Calibri"/>
          <w:caps/>
          <w:smallCaps w:val="0"/>
          <w:noProof/>
          <w:sz w:val="21"/>
          <w:szCs w:val="21"/>
        </w:rPr>
        <w:instrText xml:space="preserve"> PAGEREF _Toc351667651 \h </w:instrText>
      </w:r>
      <w:r w:rsidR="009E2EE6" w:rsidRPr="00B13B30">
        <w:rPr>
          <w:rFonts w:ascii="Calibri" w:hAnsi="Calibri"/>
          <w:caps/>
          <w:smallCaps w:val="0"/>
          <w:noProof/>
          <w:sz w:val="21"/>
          <w:szCs w:val="21"/>
        </w:rPr>
      </w:r>
      <w:r w:rsidR="009E2EE6" w:rsidRPr="00B13B30">
        <w:rPr>
          <w:rFonts w:ascii="Calibri" w:hAnsi="Calibri"/>
          <w:caps/>
          <w:smallCaps w:val="0"/>
          <w:noProof/>
          <w:sz w:val="21"/>
          <w:szCs w:val="21"/>
        </w:rPr>
        <w:fldChar w:fldCharType="separate"/>
      </w:r>
      <w:r w:rsidR="00384B04">
        <w:rPr>
          <w:rFonts w:ascii="Calibri" w:hAnsi="Calibri"/>
          <w:caps/>
          <w:smallCaps w:val="0"/>
          <w:noProof/>
          <w:sz w:val="21"/>
          <w:szCs w:val="21"/>
        </w:rPr>
        <w:t>14</w:t>
      </w:r>
      <w:r w:rsidR="009E2EE6" w:rsidRPr="00B13B30">
        <w:rPr>
          <w:rFonts w:ascii="Calibri" w:hAnsi="Calibri"/>
          <w:caps/>
          <w:smallCaps w:val="0"/>
          <w:noProof/>
          <w:sz w:val="21"/>
          <w:szCs w:val="21"/>
        </w:rPr>
        <w:fldChar w:fldCharType="end"/>
      </w:r>
    </w:p>
    <w:p w:rsidR="00D65686" w:rsidRPr="00B13B30" w:rsidRDefault="009E2EE6" w:rsidP="00112F92">
      <w:pPr>
        <w:tabs>
          <w:tab w:val="left" w:pos="994"/>
          <w:tab w:val="right" w:leader="dot" w:pos="9346"/>
        </w:tabs>
        <w:spacing w:line="240" w:lineRule="auto"/>
        <w:jc w:val="center"/>
        <w:rPr>
          <w:rFonts w:ascii="Calibri" w:hAnsi="Calibri" w:cs="Calibri"/>
          <w:b/>
          <w:caps/>
          <w:spacing w:val="-3"/>
          <w:sz w:val="18"/>
          <w:szCs w:val="18"/>
        </w:rPr>
      </w:pPr>
      <w:r w:rsidRPr="00B13B30">
        <w:rPr>
          <w:rFonts w:ascii="Calibri" w:hAnsi="Calibri" w:cs="Calibri"/>
          <w:b/>
          <w:bCs/>
          <w:caps/>
          <w:sz w:val="21"/>
          <w:szCs w:val="21"/>
        </w:rPr>
        <w:fldChar w:fldCharType="end"/>
      </w:r>
    </w:p>
    <w:p w:rsidR="00851242" w:rsidRPr="00B13B30" w:rsidRDefault="00851242" w:rsidP="00851242">
      <w:pPr>
        <w:pStyle w:val="TOC1"/>
        <w:rPr>
          <w:rFonts w:ascii="Calibri" w:eastAsiaTheme="minorEastAsia" w:hAnsi="Calibri"/>
          <w:sz w:val="21"/>
          <w:szCs w:val="21"/>
        </w:rPr>
      </w:pPr>
      <w:r w:rsidRPr="00B13B30">
        <w:rPr>
          <w:rFonts w:ascii="Calibri" w:hAnsi="Calibri"/>
          <w:sz w:val="21"/>
          <w:szCs w:val="21"/>
        </w:rPr>
        <w:t xml:space="preserve">Attachment A: </w:t>
      </w:r>
      <w:r w:rsidR="006257C3" w:rsidRPr="00B13B30">
        <w:rPr>
          <w:rFonts w:ascii="Calibri" w:hAnsi="Calibri"/>
          <w:sz w:val="21"/>
          <w:szCs w:val="21"/>
        </w:rPr>
        <w:t xml:space="preserve"> </w:t>
      </w:r>
      <w:r w:rsidR="00996928" w:rsidRPr="00B13B30">
        <w:rPr>
          <w:rFonts w:ascii="Calibri" w:hAnsi="Calibri"/>
          <w:sz w:val="21"/>
          <w:szCs w:val="21"/>
        </w:rPr>
        <w:t>STATE</w:t>
      </w:r>
      <w:r w:rsidR="006257C3" w:rsidRPr="00B13B30">
        <w:rPr>
          <w:rFonts w:ascii="Calibri" w:hAnsi="Calibri"/>
          <w:sz w:val="21"/>
          <w:szCs w:val="21"/>
        </w:rPr>
        <w:t xml:space="preserve"> </w:t>
      </w:r>
      <w:r w:rsidR="00514F49" w:rsidRPr="00B13B30">
        <w:rPr>
          <w:rFonts w:ascii="Calibri" w:hAnsi="Calibri"/>
          <w:sz w:val="21"/>
          <w:szCs w:val="21"/>
        </w:rPr>
        <w:t xml:space="preserve">data collection </w:t>
      </w:r>
      <w:r w:rsidR="00996928" w:rsidRPr="00B13B30">
        <w:rPr>
          <w:rFonts w:ascii="Calibri" w:hAnsi="Calibri"/>
          <w:sz w:val="21"/>
          <w:szCs w:val="21"/>
        </w:rPr>
        <w:t>INSTRUMENTS</w:t>
      </w:r>
    </w:p>
    <w:p w:rsidR="008A459B" w:rsidRPr="00B13B30" w:rsidRDefault="00851242" w:rsidP="00833889">
      <w:pPr>
        <w:pStyle w:val="TOC2"/>
        <w:tabs>
          <w:tab w:val="right" w:leader="dot" w:pos="9350"/>
        </w:tabs>
        <w:ind w:left="202"/>
        <w:rPr>
          <w:rFonts w:ascii="Calibri" w:hAnsi="Calibri" w:cs="Calibri"/>
          <w:caps/>
          <w:smallCaps w:val="0"/>
          <w:sz w:val="21"/>
          <w:szCs w:val="21"/>
        </w:rPr>
      </w:pPr>
      <w:r w:rsidRPr="00B13B30">
        <w:rPr>
          <w:rFonts w:ascii="Calibri" w:hAnsi="Calibri" w:cs="Calibri"/>
          <w:caps/>
          <w:smallCaps w:val="0"/>
          <w:sz w:val="21"/>
          <w:szCs w:val="21"/>
        </w:rPr>
        <w:t>Attachment A.1</w:t>
      </w:r>
      <w:r w:rsidR="000B767E" w:rsidRPr="00B13B30">
        <w:rPr>
          <w:rFonts w:ascii="Calibri" w:hAnsi="Calibri" w:cs="Calibri"/>
          <w:caps/>
          <w:smallCaps w:val="0"/>
          <w:sz w:val="21"/>
          <w:szCs w:val="21"/>
        </w:rPr>
        <w:t>A</w:t>
      </w:r>
      <w:r w:rsidR="008A459B" w:rsidRPr="00B13B30">
        <w:rPr>
          <w:rFonts w:ascii="Calibri" w:hAnsi="Calibri" w:cs="Calibri"/>
          <w:caps/>
          <w:smallCaps w:val="0"/>
          <w:sz w:val="21"/>
          <w:szCs w:val="21"/>
        </w:rPr>
        <w:t xml:space="preserve">: </w:t>
      </w:r>
      <w:r w:rsidR="00CC62BE" w:rsidRPr="00B13B30">
        <w:rPr>
          <w:rFonts w:ascii="Calibri" w:hAnsi="Calibri" w:cs="Calibri"/>
          <w:caps/>
          <w:smallCaps w:val="0"/>
          <w:sz w:val="21"/>
          <w:szCs w:val="21"/>
        </w:rPr>
        <w:t xml:space="preserve"> </w:t>
      </w:r>
      <w:r w:rsidR="00CE4700" w:rsidRPr="00B13B30">
        <w:rPr>
          <w:rFonts w:ascii="Calibri" w:hAnsi="Calibri" w:cs="Calibri"/>
          <w:caps/>
          <w:smallCaps w:val="0"/>
          <w:sz w:val="21"/>
          <w:szCs w:val="21"/>
        </w:rPr>
        <w:t>ADVANCE LETTER TO STATES</w:t>
      </w:r>
    </w:p>
    <w:p w:rsidR="000B767E" w:rsidRPr="00B13B30" w:rsidRDefault="000B767E" w:rsidP="00833889">
      <w:pPr>
        <w:pStyle w:val="TOC2"/>
        <w:tabs>
          <w:tab w:val="right" w:leader="dot" w:pos="9350"/>
        </w:tabs>
        <w:ind w:left="202"/>
        <w:rPr>
          <w:rFonts w:ascii="Calibri" w:hAnsi="Calibri" w:cs="Calibri"/>
          <w:caps/>
          <w:smallCaps w:val="0"/>
          <w:sz w:val="21"/>
          <w:szCs w:val="21"/>
        </w:rPr>
      </w:pPr>
      <w:r w:rsidRPr="00B13B30">
        <w:rPr>
          <w:rFonts w:ascii="Calibri" w:hAnsi="Calibri" w:cs="Calibri"/>
          <w:caps/>
          <w:smallCaps w:val="0"/>
          <w:sz w:val="21"/>
          <w:szCs w:val="21"/>
        </w:rPr>
        <w:t xml:space="preserve">Attachment A.1B: </w:t>
      </w:r>
      <w:r w:rsidR="00CC62BE" w:rsidRPr="00B13B30">
        <w:rPr>
          <w:rFonts w:ascii="Calibri" w:hAnsi="Calibri" w:cs="Calibri"/>
          <w:caps/>
          <w:smallCaps w:val="0"/>
          <w:sz w:val="21"/>
          <w:szCs w:val="21"/>
        </w:rPr>
        <w:t xml:space="preserve"> </w:t>
      </w:r>
      <w:r w:rsidR="00FF740B" w:rsidRPr="00B13B30">
        <w:rPr>
          <w:rFonts w:ascii="Calibri" w:hAnsi="Calibri" w:cs="Calibri"/>
          <w:caps/>
          <w:smallCaps w:val="0"/>
          <w:sz w:val="21"/>
          <w:szCs w:val="21"/>
        </w:rPr>
        <w:t xml:space="preserve">State </w:t>
      </w:r>
      <w:r w:rsidRPr="00B13B30">
        <w:rPr>
          <w:rFonts w:ascii="Calibri" w:hAnsi="Calibri" w:cs="Calibri"/>
          <w:caps/>
          <w:smallCaps w:val="0"/>
          <w:sz w:val="21"/>
          <w:szCs w:val="21"/>
        </w:rPr>
        <w:t>STUDY IN</w:t>
      </w:r>
      <w:r w:rsidR="00FF740B" w:rsidRPr="00B13B30">
        <w:rPr>
          <w:rFonts w:ascii="Calibri" w:hAnsi="Calibri" w:cs="Calibri"/>
          <w:caps/>
          <w:smallCaps w:val="0"/>
          <w:sz w:val="21"/>
          <w:szCs w:val="21"/>
        </w:rPr>
        <w:t>FORMATION SHEET</w:t>
      </w:r>
    </w:p>
    <w:p w:rsidR="003D1771" w:rsidRPr="00B13B30" w:rsidRDefault="003D1771" w:rsidP="00833889">
      <w:pPr>
        <w:ind w:left="202"/>
        <w:rPr>
          <w:rFonts w:ascii="Calibri" w:hAnsi="Calibri" w:cstheme="minorHAnsi"/>
          <w:caps/>
          <w:sz w:val="21"/>
          <w:szCs w:val="21"/>
        </w:rPr>
      </w:pPr>
      <w:r w:rsidRPr="00B13B30">
        <w:rPr>
          <w:rFonts w:ascii="Calibri" w:hAnsi="Calibri" w:cs="Calibri"/>
          <w:caps/>
          <w:sz w:val="21"/>
          <w:szCs w:val="21"/>
        </w:rPr>
        <w:t>ATTACHMENT</w:t>
      </w:r>
      <w:r w:rsidRPr="00B13B30">
        <w:rPr>
          <w:rFonts w:ascii="Calibri" w:hAnsi="Calibri" w:cstheme="minorHAnsi"/>
          <w:caps/>
          <w:sz w:val="21"/>
          <w:szCs w:val="21"/>
        </w:rPr>
        <w:t xml:space="preserve"> A.2: </w:t>
      </w:r>
      <w:r w:rsidR="00CC62BE" w:rsidRPr="00B13B30">
        <w:rPr>
          <w:rFonts w:ascii="Calibri" w:hAnsi="Calibri" w:cstheme="minorHAnsi"/>
          <w:caps/>
          <w:sz w:val="21"/>
          <w:szCs w:val="21"/>
        </w:rPr>
        <w:t xml:space="preserve"> </w:t>
      </w:r>
      <w:r w:rsidRPr="00B13B30">
        <w:rPr>
          <w:rFonts w:ascii="Calibri" w:hAnsi="Calibri" w:cstheme="minorHAnsi"/>
          <w:caps/>
          <w:sz w:val="21"/>
          <w:szCs w:val="21"/>
        </w:rPr>
        <w:t>STATE SNAP QC DIRECTOR EMAIL</w:t>
      </w:r>
    </w:p>
    <w:p w:rsidR="00851242" w:rsidRPr="00B13B30" w:rsidRDefault="008A459B" w:rsidP="00833889">
      <w:pPr>
        <w:pStyle w:val="TOC2"/>
        <w:tabs>
          <w:tab w:val="right" w:leader="dot" w:pos="9350"/>
        </w:tabs>
        <w:ind w:left="202"/>
        <w:rPr>
          <w:rFonts w:ascii="Calibri" w:eastAsiaTheme="minorEastAsia" w:hAnsi="Calibri" w:cs="Calibri"/>
          <w:caps/>
          <w:smallCaps w:val="0"/>
          <w:sz w:val="21"/>
          <w:szCs w:val="21"/>
        </w:rPr>
      </w:pPr>
      <w:r w:rsidRPr="00B13B30">
        <w:rPr>
          <w:rFonts w:ascii="Calibri" w:hAnsi="Calibri"/>
          <w:caps/>
          <w:smallCaps w:val="0"/>
          <w:sz w:val="21"/>
          <w:szCs w:val="21"/>
        </w:rPr>
        <w:t>Attachmen</w:t>
      </w:r>
      <w:r w:rsidRPr="00B13B30">
        <w:rPr>
          <w:rFonts w:ascii="Calibri" w:hAnsi="Calibri" w:cs="Calibri"/>
          <w:caps/>
          <w:smallCaps w:val="0"/>
          <w:sz w:val="21"/>
          <w:szCs w:val="21"/>
        </w:rPr>
        <w:t>t A.</w:t>
      </w:r>
      <w:r w:rsidR="003D1771" w:rsidRPr="00B13B30">
        <w:rPr>
          <w:rFonts w:ascii="Calibri" w:hAnsi="Calibri" w:cs="Calibri"/>
          <w:caps/>
          <w:smallCaps w:val="0"/>
          <w:sz w:val="21"/>
          <w:szCs w:val="21"/>
        </w:rPr>
        <w:t>3</w:t>
      </w:r>
      <w:r w:rsidR="0062267B" w:rsidRPr="00B13B30">
        <w:rPr>
          <w:rFonts w:ascii="Calibri" w:hAnsi="Calibri" w:cs="Calibri"/>
          <w:caps/>
          <w:smallCaps w:val="0"/>
          <w:sz w:val="21"/>
          <w:szCs w:val="21"/>
        </w:rPr>
        <w:t>A</w:t>
      </w:r>
      <w:r w:rsidRPr="00B13B30">
        <w:rPr>
          <w:rFonts w:ascii="Calibri" w:hAnsi="Calibri" w:cs="Calibri"/>
          <w:caps/>
          <w:smallCaps w:val="0"/>
          <w:sz w:val="21"/>
          <w:szCs w:val="21"/>
        </w:rPr>
        <w:t>:</w:t>
      </w:r>
      <w:r w:rsidR="00CC62BE" w:rsidRPr="00B13B30">
        <w:rPr>
          <w:rFonts w:ascii="Calibri" w:hAnsi="Calibri" w:cs="Calibri"/>
          <w:caps/>
          <w:smallCaps w:val="0"/>
          <w:sz w:val="21"/>
          <w:szCs w:val="21"/>
        </w:rPr>
        <w:t xml:space="preserve"> </w:t>
      </w:r>
      <w:r w:rsidRPr="00B13B30">
        <w:rPr>
          <w:rFonts w:ascii="Calibri" w:hAnsi="Calibri" w:cs="Calibri"/>
          <w:caps/>
          <w:smallCaps w:val="0"/>
          <w:sz w:val="21"/>
          <w:szCs w:val="21"/>
        </w:rPr>
        <w:t xml:space="preserve"> </w:t>
      </w:r>
      <w:r w:rsidR="00851242" w:rsidRPr="00B13B30">
        <w:rPr>
          <w:rFonts w:ascii="Calibri" w:hAnsi="Calibri" w:cs="Calibri"/>
          <w:caps/>
          <w:smallCaps w:val="0"/>
          <w:sz w:val="21"/>
          <w:szCs w:val="21"/>
        </w:rPr>
        <w:t xml:space="preserve">State </w:t>
      </w:r>
      <w:r w:rsidR="0062267B" w:rsidRPr="00B13B30">
        <w:rPr>
          <w:rFonts w:ascii="Calibri" w:hAnsi="Calibri" w:cs="Calibri"/>
          <w:caps/>
          <w:smallCaps w:val="0"/>
          <w:sz w:val="21"/>
          <w:szCs w:val="21"/>
        </w:rPr>
        <w:t xml:space="preserve">QC </w:t>
      </w:r>
      <w:r w:rsidR="00851242" w:rsidRPr="00B13B30">
        <w:rPr>
          <w:rFonts w:ascii="Calibri" w:hAnsi="Calibri" w:cs="Calibri"/>
          <w:caps/>
          <w:smallCaps w:val="0"/>
          <w:sz w:val="21"/>
          <w:szCs w:val="21"/>
        </w:rPr>
        <w:t>Director</w:t>
      </w:r>
      <w:r w:rsidR="00E55BBA" w:rsidRPr="00B13B30">
        <w:rPr>
          <w:rFonts w:ascii="Calibri" w:hAnsi="Calibri" w:cs="Calibri"/>
          <w:caps/>
          <w:smallCaps w:val="0"/>
          <w:sz w:val="21"/>
          <w:szCs w:val="21"/>
        </w:rPr>
        <w:t>/SUPERVISOR</w:t>
      </w:r>
      <w:r w:rsidR="00851242" w:rsidRPr="00B13B30">
        <w:rPr>
          <w:rFonts w:ascii="Calibri" w:hAnsi="Calibri" w:cs="Calibri"/>
          <w:caps/>
          <w:smallCaps w:val="0"/>
          <w:sz w:val="21"/>
          <w:szCs w:val="21"/>
        </w:rPr>
        <w:t xml:space="preserve"> </w:t>
      </w:r>
      <w:r w:rsidR="007531C0" w:rsidRPr="00B13B30">
        <w:rPr>
          <w:rFonts w:ascii="Calibri" w:hAnsi="Calibri" w:cs="Calibri"/>
          <w:caps/>
          <w:smallCaps w:val="0"/>
          <w:sz w:val="21"/>
          <w:szCs w:val="21"/>
        </w:rPr>
        <w:t>semi-structured</w:t>
      </w:r>
      <w:r w:rsidR="0062267B" w:rsidRPr="00B13B30">
        <w:rPr>
          <w:rFonts w:ascii="Calibri" w:hAnsi="Calibri" w:cs="Calibri"/>
          <w:caps/>
          <w:smallCaps w:val="0"/>
          <w:sz w:val="21"/>
          <w:szCs w:val="21"/>
        </w:rPr>
        <w:t xml:space="preserve"> </w:t>
      </w:r>
      <w:r w:rsidR="00851242" w:rsidRPr="00B13B30">
        <w:rPr>
          <w:rFonts w:ascii="Calibri" w:hAnsi="Calibri" w:cs="Calibri"/>
          <w:caps/>
          <w:smallCaps w:val="0"/>
          <w:sz w:val="21"/>
          <w:szCs w:val="21"/>
        </w:rPr>
        <w:t>Interview Protocol</w:t>
      </w:r>
    </w:p>
    <w:p w:rsidR="008A459B" w:rsidRPr="00B13B30" w:rsidRDefault="00851242" w:rsidP="00833889">
      <w:pPr>
        <w:pStyle w:val="TOC2"/>
        <w:tabs>
          <w:tab w:val="right" w:leader="dot" w:pos="9350"/>
        </w:tabs>
        <w:ind w:left="202"/>
        <w:rPr>
          <w:rFonts w:ascii="Calibri" w:hAnsi="Calibri" w:cs="Calibri"/>
          <w:caps/>
          <w:smallCaps w:val="0"/>
          <w:sz w:val="21"/>
          <w:szCs w:val="21"/>
        </w:rPr>
      </w:pPr>
      <w:r w:rsidRPr="00B13B30">
        <w:rPr>
          <w:rFonts w:ascii="Calibri" w:hAnsi="Calibri" w:cs="Calibri"/>
          <w:bCs/>
          <w:caps/>
          <w:smallCaps w:val="0"/>
          <w:sz w:val="21"/>
          <w:szCs w:val="21"/>
        </w:rPr>
        <w:t xml:space="preserve">Attachment </w:t>
      </w:r>
      <w:r w:rsidRPr="00B13B30">
        <w:rPr>
          <w:rFonts w:ascii="Calibri" w:hAnsi="Calibri" w:cs="Calibri"/>
          <w:caps/>
          <w:smallCaps w:val="0"/>
          <w:sz w:val="21"/>
          <w:szCs w:val="21"/>
        </w:rPr>
        <w:t>A.</w:t>
      </w:r>
      <w:r w:rsidR="003D1771" w:rsidRPr="00B13B30">
        <w:rPr>
          <w:rFonts w:ascii="Calibri" w:hAnsi="Calibri" w:cs="Calibri"/>
          <w:caps/>
          <w:smallCaps w:val="0"/>
          <w:sz w:val="21"/>
          <w:szCs w:val="21"/>
        </w:rPr>
        <w:t>3</w:t>
      </w:r>
      <w:r w:rsidR="0062267B" w:rsidRPr="00B13B30">
        <w:rPr>
          <w:rFonts w:ascii="Calibri" w:hAnsi="Calibri" w:cs="Calibri"/>
          <w:caps/>
          <w:smallCaps w:val="0"/>
          <w:sz w:val="21"/>
          <w:szCs w:val="21"/>
        </w:rPr>
        <w:t>B</w:t>
      </w:r>
      <w:r w:rsidR="008A459B" w:rsidRPr="00B13B30">
        <w:rPr>
          <w:rFonts w:ascii="Calibri" w:hAnsi="Calibri" w:cs="Calibri"/>
          <w:caps/>
          <w:smallCaps w:val="0"/>
          <w:sz w:val="21"/>
          <w:szCs w:val="21"/>
        </w:rPr>
        <w:t xml:space="preserve">: </w:t>
      </w:r>
      <w:r w:rsidR="00CC62BE" w:rsidRPr="00B13B30">
        <w:rPr>
          <w:rFonts w:ascii="Calibri" w:hAnsi="Calibri" w:cs="Calibri"/>
          <w:caps/>
          <w:smallCaps w:val="0"/>
          <w:sz w:val="21"/>
          <w:szCs w:val="21"/>
        </w:rPr>
        <w:t xml:space="preserve"> </w:t>
      </w:r>
      <w:r w:rsidR="0062267B" w:rsidRPr="00B13B30">
        <w:rPr>
          <w:rFonts w:ascii="Calibri" w:hAnsi="Calibri" w:cs="Calibri"/>
          <w:caps/>
          <w:smallCaps w:val="0"/>
          <w:sz w:val="21"/>
          <w:szCs w:val="21"/>
        </w:rPr>
        <w:t xml:space="preserve">STATE QC </w:t>
      </w:r>
      <w:r w:rsidR="00E55BBA" w:rsidRPr="00B13B30">
        <w:rPr>
          <w:rFonts w:ascii="Calibri" w:hAnsi="Calibri" w:cs="Calibri"/>
          <w:caps/>
          <w:smallCaps w:val="0"/>
          <w:sz w:val="21"/>
          <w:szCs w:val="21"/>
        </w:rPr>
        <w:t>Director/SUPERVISOR</w:t>
      </w:r>
      <w:r w:rsidR="000C5845">
        <w:rPr>
          <w:rFonts w:ascii="Calibri" w:hAnsi="Calibri" w:cs="Calibri"/>
          <w:caps/>
          <w:smallCaps w:val="0"/>
          <w:sz w:val="21"/>
          <w:szCs w:val="21"/>
        </w:rPr>
        <w:t xml:space="preserve"> web and telephone</w:t>
      </w:r>
      <w:r w:rsidR="00E55BBA" w:rsidRPr="00B13B30">
        <w:rPr>
          <w:rFonts w:ascii="Calibri" w:hAnsi="Calibri" w:cs="Calibri"/>
          <w:caps/>
          <w:smallCaps w:val="0"/>
          <w:sz w:val="21"/>
          <w:szCs w:val="21"/>
        </w:rPr>
        <w:t xml:space="preserve"> </w:t>
      </w:r>
      <w:r w:rsidR="0058543A" w:rsidRPr="00B13B30">
        <w:rPr>
          <w:rFonts w:ascii="Calibri" w:hAnsi="Calibri" w:cs="Calibri"/>
          <w:caps/>
          <w:smallCaps w:val="0"/>
          <w:sz w:val="21"/>
          <w:szCs w:val="21"/>
        </w:rPr>
        <w:t>SURVEY</w:t>
      </w:r>
    </w:p>
    <w:p w:rsidR="00851242" w:rsidRPr="00B13B30" w:rsidRDefault="0062267B" w:rsidP="00833889">
      <w:pPr>
        <w:pStyle w:val="TOC2"/>
        <w:tabs>
          <w:tab w:val="right" w:leader="dot" w:pos="9350"/>
        </w:tabs>
        <w:ind w:left="202"/>
        <w:rPr>
          <w:rFonts w:ascii="Calibri" w:eastAsiaTheme="minorEastAsia" w:hAnsi="Calibri" w:cs="Calibri"/>
          <w:caps/>
          <w:smallCaps w:val="0"/>
          <w:sz w:val="21"/>
          <w:szCs w:val="21"/>
        </w:rPr>
      </w:pPr>
      <w:r w:rsidRPr="00B13B30">
        <w:rPr>
          <w:rFonts w:ascii="Calibri" w:hAnsi="Calibri" w:cs="Calibri"/>
          <w:caps/>
          <w:smallCaps w:val="0"/>
          <w:sz w:val="21"/>
          <w:szCs w:val="21"/>
        </w:rPr>
        <w:t>Attachment A.</w:t>
      </w:r>
      <w:r w:rsidR="003D1771" w:rsidRPr="00B13B30">
        <w:rPr>
          <w:rFonts w:ascii="Calibri" w:hAnsi="Calibri" w:cs="Calibri"/>
          <w:caps/>
          <w:smallCaps w:val="0"/>
          <w:sz w:val="21"/>
          <w:szCs w:val="21"/>
        </w:rPr>
        <w:t>4</w:t>
      </w:r>
      <w:r w:rsidRPr="00B13B30">
        <w:rPr>
          <w:rFonts w:ascii="Calibri" w:hAnsi="Calibri" w:cs="Calibri"/>
          <w:caps/>
          <w:smallCaps w:val="0"/>
          <w:sz w:val="21"/>
          <w:szCs w:val="21"/>
        </w:rPr>
        <w:t>A</w:t>
      </w:r>
      <w:r w:rsidR="008A459B" w:rsidRPr="00B13B30">
        <w:rPr>
          <w:rFonts w:ascii="Calibri" w:hAnsi="Calibri" w:cs="Calibri"/>
          <w:caps/>
          <w:smallCaps w:val="0"/>
          <w:sz w:val="21"/>
          <w:szCs w:val="21"/>
        </w:rPr>
        <w:t xml:space="preserve">: </w:t>
      </w:r>
      <w:r w:rsidR="00CC62BE" w:rsidRPr="00B13B30">
        <w:rPr>
          <w:rFonts w:ascii="Calibri" w:hAnsi="Calibri" w:cs="Calibri"/>
          <w:caps/>
          <w:smallCaps w:val="0"/>
          <w:sz w:val="21"/>
          <w:szCs w:val="21"/>
        </w:rPr>
        <w:t xml:space="preserve"> </w:t>
      </w:r>
      <w:r w:rsidRPr="00B13B30">
        <w:rPr>
          <w:rFonts w:ascii="Calibri" w:hAnsi="Calibri" w:cs="Calibri"/>
          <w:caps/>
          <w:smallCaps w:val="0"/>
          <w:sz w:val="21"/>
          <w:szCs w:val="21"/>
        </w:rPr>
        <w:t xml:space="preserve">STATE QC </w:t>
      </w:r>
      <w:r w:rsidR="00996928" w:rsidRPr="00B13B30">
        <w:rPr>
          <w:rFonts w:ascii="Calibri" w:hAnsi="Calibri" w:cs="Calibri"/>
          <w:caps/>
          <w:smallCaps w:val="0"/>
          <w:sz w:val="21"/>
          <w:szCs w:val="21"/>
        </w:rPr>
        <w:t>REVIEWER</w:t>
      </w:r>
      <w:r w:rsidRPr="00B13B30">
        <w:rPr>
          <w:rFonts w:ascii="Calibri" w:hAnsi="Calibri"/>
          <w:caps/>
          <w:smallCaps w:val="0"/>
          <w:sz w:val="21"/>
          <w:szCs w:val="21"/>
        </w:rPr>
        <w:t xml:space="preserve"> </w:t>
      </w:r>
      <w:r w:rsidR="007531C0" w:rsidRPr="00B13B30">
        <w:rPr>
          <w:rFonts w:ascii="Calibri" w:hAnsi="Calibri" w:cs="Calibri"/>
          <w:caps/>
          <w:smallCaps w:val="0"/>
          <w:sz w:val="21"/>
          <w:szCs w:val="21"/>
        </w:rPr>
        <w:t>semi-structured Interview Protocol</w:t>
      </w:r>
    </w:p>
    <w:p w:rsidR="00851242" w:rsidRPr="00B13B30" w:rsidRDefault="00851242" w:rsidP="00833889">
      <w:pPr>
        <w:pStyle w:val="TOC2"/>
        <w:tabs>
          <w:tab w:val="right" w:leader="dot" w:pos="9350"/>
        </w:tabs>
        <w:ind w:left="202"/>
        <w:rPr>
          <w:rFonts w:ascii="Calibri" w:eastAsiaTheme="minorEastAsia" w:hAnsi="Calibri" w:cs="Calibri"/>
          <w:caps/>
          <w:smallCaps w:val="0"/>
          <w:sz w:val="21"/>
          <w:szCs w:val="21"/>
        </w:rPr>
      </w:pPr>
      <w:r w:rsidRPr="00B13B30">
        <w:rPr>
          <w:rFonts w:ascii="Calibri" w:hAnsi="Calibri" w:cs="Calibri"/>
          <w:caps/>
          <w:smallCaps w:val="0"/>
          <w:sz w:val="21"/>
          <w:szCs w:val="21"/>
        </w:rPr>
        <w:t>Attachment A.</w:t>
      </w:r>
      <w:r w:rsidR="003D1771" w:rsidRPr="00B13B30">
        <w:rPr>
          <w:rFonts w:ascii="Calibri" w:hAnsi="Calibri" w:cs="Calibri"/>
          <w:caps/>
          <w:smallCaps w:val="0"/>
          <w:sz w:val="21"/>
          <w:szCs w:val="21"/>
        </w:rPr>
        <w:t>4</w:t>
      </w:r>
      <w:r w:rsidR="0062267B" w:rsidRPr="00B13B30">
        <w:rPr>
          <w:rFonts w:ascii="Calibri" w:hAnsi="Calibri" w:cs="Calibri"/>
          <w:caps/>
          <w:smallCaps w:val="0"/>
          <w:sz w:val="21"/>
          <w:szCs w:val="21"/>
        </w:rPr>
        <w:t>B</w:t>
      </w:r>
      <w:r w:rsidRPr="00B13B30">
        <w:rPr>
          <w:rFonts w:ascii="Calibri" w:hAnsi="Calibri" w:cs="Calibri"/>
          <w:caps/>
          <w:smallCaps w:val="0"/>
          <w:sz w:val="21"/>
          <w:szCs w:val="21"/>
        </w:rPr>
        <w:t xml:space="preserve">: </w:t>
      </w:r>
      <w:r w:rsidR="00CC62BE" w:rsidRPr="00B13B30">
        <w:rPr>
          <w:rFonts w:ascii="Calibri" w:hAnsi="Calibri" w:cs="Calibri"/>
          <w:caps/>
          <w:smallCaps w:val="0"/>
          <w:sz w:val="21"/>
          <w:szCs w:val="21"/>
        </w:rPr>
        <w:t xml:space="preserve"> </w:t>
      </w:r>
      <w:r w:rsidR="0062267B" w:rsidRPr="00B13B30">
        <w:rPr>
          <w:rFonts w:ascii="Calibri" w:hAnsi="Calibri" w:cs="Calibri"/>
          <w:caps/>
          <w:smallCaps w:val="0"/>
          <w:sz w:val="21"/>
          <w:szCs w:val="21"/>
        </w:rPr>
        <w:t xml:space="preserve">STATE QC </w:t>
      </w:r>
      <w:r w:rsidR="00996928" w:rsidRPr="00B13B30">
        <w:rPr>
          <w:rFonts w:ascii="Calibri" w:hAnsi="Calibri" w:cs="Calibri"/>
          <w:caps/>
          <w:smallCaps w:val="0"/>
          <w:sz w:val="21"/>
          <w:szCs w:val="21"/>
        </w:rPr>
        <w:t>REVIEWER</w:t>
      </w:r>
      <w:r w:rsidR="000C5845">
        <w:rPr>
          <w:rFonts w:ascii="Calibri" w:hAnsi="Calibri" w:cs="Calibri"/>
          <w:caps/>
          <w:smallCaps w:val="0"/>
          <w:sz w:val="21"/>
          <w:szCs w:val="21"/>
        </w:rPr>
        <w:t xml:space="preserve"> web and telephone</w:t>
      </w:r>
      <w:r w:rsidR="0062267B" w:rsidRPr="00B13B30">
        <w:rPr>
          <w:rFonts w:ascii="Calibri" w:hAnsi="Calibri"/>
          <w:caps/>
          <w:smallCaps w:val="0"/>
          <w:sz w:val="21"/>
          <w:szCs w:val="21"/>
        </w:rPr>
        <w:t xml:space="preserve"> </w:t>
      </w:r>
      <w:r w:rsidR="0058543A" w:rsidRPr="00B13B30">
        <w:rPr>
          <w:rFonts w:ascii="Calibri" w:hAnsi="Calibri" w:cs="Calibri"/>
          <w:caps/>
          <w:smallCaps w:val="0"/>
          <w:sz w:val="21"/>
          <w:szCs w:val="21"/>
        </w:rPr>
        <w:t xml:space="preserve">SURVEY </w:t>
      </w:r>
    </w:p>
    <w:p w:rsidR="004E7E3D" w:rsidRPr="00B13B30" w:rsidRDefault="00514F49" w:rsidP="0062267B">
      <w:pPr>
        <w:spacing w:before="120" w:after="120"/>
        <w:rPr>
          <w:rFonts w:ascii="Calibri" w:hAnsi="Calibri"/>
          <w:b/>
          <w:caps/>
          <w:sz w:val="21"/>
          <w:szCs w:val="21"/>
        </w:rPr>
      </w:pPr>
      <w:r w:rsidRPr="00B13B30">
        <w:rPr>
          <w:rFonts w:ascii="Calibri" w:hAnsi="Calibri"/>
          <w:b/>
          <w:caps/>
          <w:sz w:val="21"/>
          <w:szCs w:val="21"/>
        </w:rPr>
        <w:t xml:space="preserve">ATTACHMENT B:  </w:t>
      </w:r>
      <w:r w:rsidR="00C865E7">
        <w:rPr>
          <w:rFonts w:ascii="Calibri" w:hAnsi="Calibri"/>
          <w:b/>
          <w:caps/>
          <w:sz w:val="21"/>
          <w:szCs w:val="21"/>
        </w:rPr>
        <w:t>Privacy</w:t>
      </w:r>
      <w:r w:rsidRPr="00B13B30">
        <w:rPr>
          <w:rFonts w:ascii="Calibri" w:hAnsi="Calibri"/>
          <w:b/>
          <w:caps/>
          <w:sz w:val="21"/>
          <w:szCs w:val="21"/>
        </w:rPr>
        <w:t xml:space="preserve"> PLEDGE</w:t>
      </w:r>
    </w:p>
    <w:p w:rsidR="00CB6859" w:rsidRDefault="00CB6859" w:rsidP="0062267B">
      <w:pPr>
        <w:spacing w:before="120" w:after="120"/>
        <w:rPr>
          <w:rFonts w:ascii="Calibri" w:hAnsi="Calibri"/>
          <w:b/>
          <w:caps/>
          <w:sz w:val="21"/>
          <w:szCs w:val="21"/>
        </w:rPr>
      </w:pPr>
      <w:r w:rsidRPr="00B13B30">
        <w:rPr>
          <w:rFonts w:ascii="Calibri" w:hAnsi="Calibri"/>
          <w:b/>
          <w:caps/>
          <w:sz w:val="21"/>
          <w:szCs w:val="21"/>
        </w:rPr>
        <w:t xml:space="preserve">ATTACHMENT C: </w:t>
      </w:r>
      <w:r w:rsidR="00CC62BE" w:rsidRPr="00B13B30">
        <w:rPr>
          <w:rFonts w:ascii="Calibri" w:hAnsi="Calibri"/>
          <w:b/>
          <w:caps/>
          <w:sz w:val="21"/>
          <w:szCs w:val="21"/>
        </w:rPr>
        <w:t xml:space="preserve"> </w:t>
      </w:r>
      <w:r w:rsidRPr="00B13B30">
        <w:rPr>
          <w:rFonts w:ascii="Calibri" w:hAnsi="Calibri"/>
          <w:b/>
          <w:caps/>
          <w:sz w:val="21"/>
          <w:szCs w:val="21"/>
        </w:rPr>
        <w:t>REVIEW BY THE USDA NATIONAL AGRICULTURAL STATISTICS SERVICE (NASS)</w:t>
      </w:r>
    </w:p>
    <w:p w:rsidR="00043528" w:rsidRPr="00B13B30" w:rsidRDefault="00043528" w:rsidP="00043528">
      <w:pPr>
        <w:pStyle w:val="TOC2"/>
        <w:tabs>
          <w:tab w:val="right" w:leader="dot" w:pos="9350"/>
        </w:tabs>
        <w:ind w:left="202"/>
        <w:rPr>
          <w:rFonts w:ascii="Calibri" w:hAnsi="Calibri" w:cs="Calibri"/>
          <w:caps/>
          <w:smallCaps w:val="0"/>
          <w:sz w:val="21"/>
          <w:szCs w:val="21"/>
        </w:rPr>
      </w:pPr>
      <w:r>
        <w:rPr>
          <w:rFonts w:ascii="Calibri" w:hAnsi="Calibri" w:cs="Calibri"/>
          <w:caps/>
          <w:smallCaps w:val="0"/>
          <w:sz w:val="21"/>
          <w:szCs w:val="21"/>
        </w:rPr>
        <w:t>Attachment C</w:t>
      </w:r>
      <w:r w:rsidRPr="00B13B30">
        <w:rPr>
          <w:rFonts w:ascii="Calibri" w:hAnsi="Calibri" w:cs="Calibri"/>
          <w:caps/>
          <w:smallCaps w:val="0"/>
          <w:sz w:val="21"/>
          <w:szCs w:val="21"/>
        </w:rPr>
        <w:t xml:space="preserve">.1:  </w:t>
      </w:r>
      <w:r>
        <w:rPr>
          <w:rFonts w:ascii="Calibri" w:hAnsi="Calibri" w:cs="Calibri"/>
          <w:caps/>
          <w:smallCaps w:val="0"/>
          <w:sz w:val="21"/>
          <w:szCs w:val="21"/>
        </w:rPr>
        <w:t>review by the usda nass</w:t>
      </w:r>
    </w:p>
    <w:p w:rsidR="00043528" w:rsidRPr="00B13B30" w:rsidRDefault="00043528" w:rsidP="00043528">
      <w:pPr>
        <w:pStyle w:val="TOC2"/>
        <w:tabs>
          <w:tab w:val="right" w:leader="dot" w:pos="9350"/>
        </w:tabs>
        <w:ind w:left="202"/>
        <w:rPr>
          <w:rFonts w:ascii="Calibri" w:hAnsi="Calibri" w:cs="Calibri"/>
          <w:caps/>
          <w:smallCaps w:val="0"/>
          <w:sz w:val="21"/>
          <w:szCs w:val="21"/>
        </w:rPr>
      </w:pPr>
      <w:r>
        <w:rPr>
          <w:rFonts w:ascii="Calibri" w:hAnsi="Calibri" w:cs="Calibri"/>
          <w:caps/>
          <w:smallCaps w:val="0"/>
          <w:sz w:val="21"/>
          <w:szCs w:val="21"/>
        </w:rPr>
        <w:t>Attachment C</w:t>
      </w:r>
      <w:r w:rsidRPr="00B13B30">
        <w:rPr>
          <w:rFonts w:ascii="Calibri" w:hAnsi="Calibri" w:cs="Calibri"/>
          <w:caps/>
          <w:smallCaps w:val="0"/>
          <w:sz w:val="21"/>
          <w:szCs w:val="21"/>
        </w:rPr>
        <w:t>.</w:t>
      </w:r>
      <w:r>
        <w:rPr>
          <w:rFonts w:ascii="Calibri" w:hAnsi="Calibri" w:cs="Calibri"/>
          <w:caps/>
          <w:smallCaps w:val="0"/>
          <w:sz w:val="21"/>
          <w:szCs w:val="21"/>
        </w:rPr>
        <w:t>2</w:t>
      </w:r>
      <w:r w:rsidRPr="00B13B30">
        <w:rPr>
          <w:rFonts w:ascii="Calibri" w:hAnsi="Calibri" w:cs="Calibri"/>
          <w:caps/>
          <w:smallCaps w:val="0"/>
          <w:sz w:val="21"/>
          <w:szCs w:val="21"/>
        </w:rPr>
        <w:t xml:space="preserve">:  </w:t>
      </w:r>
      <w:r>
        <w:rPr>
          <w:rFonts w:ascii="Calibri" w:hAnsi="Calibri" w:cs="Calibri"/>
          <w:caps/>
          <w:smallCaps w:val="0"/>
          <w:sz w:val="21"/>
          <w:szCs w:val="21"/>
        </w:rPr>
        <w:t>response to the review by usda nass</w:t>
      </w:r>
    </w:p>
    <w:p w:rsidR="00043528" w:rsidRPr="00B13B30" w:rsidRDefault="00043528" w:rsidP="00043528">
      <w:pPr>
        <w:ind w:left="202"/>
        <w:rPr>
          <w:rFonts w:ascii="Calibri" w:hAnsi="Calibri" w:cstheme="minorHAnsi"/>
          <w:caps/>
          <w:sz w:val="21"/>
          <w:szCs w:val="21"/>
        </w:rPr>
      </w:pPr>
      <w:r w:rsidRPr="00B13B30">
        <w:rPr>
          <w:rFonts w:ascii="Calibri" w:hAnsi="Calibri" w:cs="Calibri"/>
          <w:caps/>
          <w:sz w:val="21"/>
          <w:szCs w:val="21"/>
        </w:rPr>
        <w:t>ATTACHMENT</w:t>
      </w:r>
      <w:r>
        <w:rPr>
          <w:rFonts w:ascii="Calibri" w:hAnsi="Calibri" w:cstheme="minorHAnsi"/>
          <w:caps/>
          <w:sz w:val="21"/>
          <w:szCs w:val="21"/>
        </w:rPr>
        <w:t xml:space="preserve"> C.3</w:t>
      </w:r>
      <w:r w:rsidRPr="00B13B30">
        <w:rPr>
          <w:rFonts w:ascii="Calibri" w:hAnsi="Calibri" w:cstheme="minorHAnsi"/>
          <w:caps/>
          <w:sz w:val="21"/>
          <w:szCs w:val="21"/>
        </w:rPr>
        <w:t xml:space="preserve">:  </w:t>
      </w:r>
      <w:r>
        <w:rPr>
          <w:rFonts w:ascii="Calibri" w:hAnsi="Calibri" w:cstheme="minorHAnsi"/>
          <w:caps/>
          <w:sz w:val="21"/>
          <w:szCs w:val="21"/>
        </w:rPr>
        <w:t>resolutions to the review by usda nass</w:t>
      </w:r>
    </w:p>
    <w:p w:rsidR="004E6183" w:rsidRDefault="004E6183" w:rsidP="004D05A0">
      <w:pPr>
        <w:spacing w:before="120" w:after="120" w:line="240" w:lineRule="auto"/>
        <w:rPr>
          <w:rFonts w:ascii="Calibri" w:hAnsi="Calibri" w:cstheme="minorHAnsi"/>
          <w:b/>
          <w:caps/>
          <w:sz w:val="21"/>
          <w:szCs w:val="21"/>
        </w:rPr>
      </w:pPr>
      <w:r w:rsidRPr="00B13B30">
        <w:rPr>
          <w:rFonts w:ascii="Calibri" w:hAnsi="Calibri" w:cstheme="minorHAnsi"/>
          <w:b/>
          <w:caps/>
          <w:sz w:val="21"/>
          <w:szCs w:val="21"/>
        </w:rPr>
        <w:t xml:space="preserve">attachment </w:t>
      </w:r>
      <w:r w:rsidR="007C2286">
        <w:rPr>
          <w:rFonts w:ascii="Calibri" w:hAnsi="Calibri" w:cstheme="minorHAnsi"/>
          <w:b/>
          <w:caps/>
          <w:sz w:val="21"/>
          <w:szCs w:val="21"/>
        </w:rPr>
        <w:t>D</w:t>
      </w:r>
      <w:r w:rsidRPr="00B13B30">
        <w:rPr>
          <w:rFonts w:ascii="Calibri" w:hAnsi="Calibri" w:cstheme="minorHAnsi"/>
          <w:b/>
          <w:caps/>
          <w:sz w:val="21"/>
          <w:szCs w:val="21"/>
        </w:rPr>
        <w:t>:  pre</w:t>
      </w:r>
      <w:r w:rsidR="00834D9F" w:rsidRPr="00B13B30">
        <w:rPr>
          <w:rFonts w:ascii="Calibri" w:hAnsi="Calibri" w:cstheme="minorHAnsi"/>
          <w:b/>
          <w:caps/>
          <w:sz w:val="21"/>
          <w:szCs w:val="21"/>
        </w:rPr>
        <w:t>-</w:t>
      </w:r>
      <w:r w:rsidRPr="00B13B30">
        <w:rPr>
          <w:rFonts w:ascii="Calibri" w:hAnsi="Calibri" w:cstheme="minorHAnsi"/>
          <w:b/>
          <w:caps/>
          <w:sz w:val="21"/>
          <w:szCs w:val="21"/>
        </w:rPr>
        <w:t>test summary</w:t>
      </w:r>
    </w:p>
    <w:p w:rsidR="00043528" w:rsidRPr="00B13B30" w:rsidRDefault="00043528" w:rsidP="004D05A0">
      <w:pPr>
        <w:spacing w:before="120" w:after="120" w:line="240" w:lineRule="auto"/>
        <w:rPr>
          <w:rFonts w:ascii="Calibri" w:hAnsi="Calibri" w:cstheme="minorHAnsi"/>
          <w:b/>
          <w:caps/>
          <w:sz w:val="21"/>
          <w:szCs w:val="21"/>
        </w:rPr>
      </w:pPr>
      <w:r>
        <w:rPr>
          <w:rFonts w:ascii="Calibri" w:hAnsi="Calibri" w:cstheme="minorHAnsi"/>
          <w:b/>
          <w:caps/>
          <w:sz w:val="21"/>
          <w:szCs w:val="21"/>
        </w:rPr>
        <w:t xml:space="preserve">Attachment </w:t>
      </w:r>
      <w:r w:rsidR="007C2286">
        <w:rPr>
          <w:rFonts w:ascii="Calibri" w:hAnsi="Calibri" w:cstheme="minorHAnsi"/>
          <w:b/>
          <w:caps/>
          <w:sz w:val="21"/>
          <w:szCs w:val="21"/>
        </w:rPr>
        <w:t>E</w:t>
      </w:r>
      <w:r>
        <w:rPr>
          <w:rFonts w:ascii="Calibri" w:hAnsi="Calibri" w:cstheme="minorHAnsi"/>
          <w:b/>
          <w:caps/>
          <w:sz w:val="21"/>
          <w:szCs w:val="21"/>
        </w:rPr>
        <w:t>:  additional omb information for snap qc re-reviews</w:t>
      </w:r>
    </w:p>
    <w:p w:rsidR="00236219" w:rsidRPr="00647FE3" w:rsidRDefault="00236219" w:rsidP="0062267B">
      <w:pPr>
        <w:spacing w:before="120" w:after="120"/>
        <w:rPr>
          <w:rFonts w:cs="Calibri"/>
          <w:b/>
          <w:caps/>
          <w:sz w:val="24"/>
        </w:rPr>
        <w:sectPr w:rsidR="00236219" w:rsidRPr="00647FE3" w:rsidSect="00F775A3">
          <w:pgSz w:w="12240" w:h="15840" w:code="1"/>
          <w:pgMar w:top="1440" w:right="1440" w:bottom="1440" w:left="1440" w:header="576" w:footer="576" w:gutter="0"/>
          <w:cols w:space="720"/>
          <w:noEndnote/>
          <w:docGrid w:linePitch="299"/>
        </w:sectPr>
      </w:pPr>
    </w:p>
    <w:p w:rsidR="008B1EE4" w:rsidRPr="00647FE3" w:rsidRDefault="00C1458F" w:rsidP="00844D05">
      <w:pPr>
        <w:pStyle w:val="Heading2"/>
        <w:keepNext w:val="0"/>
        <w:keepLines w:val="0"/>
      </w:pPr>
      <w:bookmarkStart w:id="1" w:name="_Toc133208869"/>
      <w:bookmarkStart w:id="2" w:name="_Toc329426272"/>
      <w:bookmarkStart w:id="3" w:name="_Toc351666574"/>
      <w:bookmarkStart w:id="4" w:name="_Toc351667633"/>
      <w:r w:rsidRPr="00647FE3">
        <w:lastRenderedPageBreak/>
        <w:t xml:space="preserve">part </w:t>
      </w:r>
      <w:r w:rsidR="00D10F4F" w:rsidRPr="00647FE3">
        <w:t xml:space="preserve">A:  </w:t>
      </w:r>
      <w:r w:rsidR="008B1EE4" w:rsidRPr="00647FE3">
        <w:t>Justification</w:t>
      </w:r>
      <w:bookmarkEnd w:id="1"/>
      <w:bookmarkEnd w:id="2"/>
      <w:bookmarkEnd w:id="3"/>
      <w:bookmarkEnd w:id="4"/>
    </w:p>
    <w:p w:rsidR="008B1EE4" w:rsidRPr="00647FE3" w:rsidRDefault="008B1EE4" w:rsidP="00844D05">
      <w:pPr>
        <w:pStyle w:val="Heading3"/>
      </w:pPr>
      <w:bookmarkStart w:id="5" w:name="_Toc133208870"/>
      <w:bookmarkStart w:id="6" w:name="_Toc329426273"/>
      <w:bookmarkStart w:id="7" w:name="_Toc351666575"/>
      <w:bookmarkStart w:id="8" w:name="_Toc351667634"/>
      <w:r w:rsidRPr="00647FE3">
        <w:t>A.1.</w:t>
      </w:r>
      <w:bookmarkEnd w:id="5"/>
      <w:bookmarkEnd w:id="6"/>
      <w:r w:rsidR="009F4C33" w:rsidRPr="00647FE3">
        <w:tab/>
      </w:r>
      <w:r w:rsidR="001E4027" w:rsidRPr="00647FE3">
        <w:t>Circumstances that Make Data Collection Necessary</w:t>
      </w:r>
      <w:bookmarkEnd w:id="7"/>
      <w:bookmarkEnd w:id="8"/>
    </w:p>
    <w:p w:rsidR="00DE3EA5" w:rsidRPr="004D05A0" w:rsidRDefault="00DE3EA5" w:rsidP="00844D05">
      <w:pPr>
        <w:pStyle w:val="CalibriText-noindent"/>
        <w:keepNext w:val="0"/>
        <w:keepLines w:val="0"/>
        <w:rPr>
          <w:b/>
        </w:rPr>
      </w:pPr>
      <w:r w:rsidRPr="004D05A0">
        <w:rPr>
          <w:b/>
        </w:rPr>
        <w:t>Explain the circumstances that make the collection of information necessary</w:t>
      </w:r>
      <w:r w:rsidR="00977715" w:rsidRPr="004D05A0">
        <w:rPr>
          <w:b/>
        </w:rPr>
        <w:t xml:space="preserve">.  </w:t>
      </w:r>
      <w:r w:rsidRPr="004D05A0">
        <w:rPr>
          <w:b/>
        </w:rPr>
        <w:t xml:space="preserve">Identify any legal or administrative requirements that necessitate the collection. </w:t>
      </w:r>
      <w:r w:rsidR="00647FE3" w:rsidRPr="004D05A0">
        <w:rPr>
          <w:b/>
        </w:rPr>
        <w:t xml:space="preserve"> </w:t>
      </w:r>
      <w:r w:rsidRPr="004D05A0">
        <w:rPr>
          <w:b/>
        </w:rPr>
        <w:t>Attach a copy of the appropriate section of each statute and regulation mandating or authorizing the collection of information.</w:t>
      </w:r>
    </w:p>
    <w:p w:rsidR="00BF7847" w:rsidRPr="00647FE3" w:rsidRDefault="00BF7847" w:rsidP="00844D05">
      <w:pPr>
        <w:pStyle w:val="BodyTextMemo"/>
      </w:pPr>
      <w:r w:rsidRPr="00647FE3">
        <w:t>This is a new information collection request</w:t>
      </w:r>
      <w:r w:rsidR="00977715" w:rsidRPr="00647FE3">
        <w:t xml:space="preserve">.  </w:t>
      </w:r>
      <w:r w:rsidR="001E4027" w:rsidRPr="00647FE3">
        <w:t>L</w:t>
      </w:r>
      <w:r w:rsidRPr="00647FE3">
        <w:t>egal authority Section</w:t>
      </w:r>
      <w:r w:rsidR="00D351AC" w:rsidRPr="00647FE3">
        <w:t xml:space="preserve"> </w:t>
      </w:r>
      <w:r w:rsidRPr="00647FE3">
        <w:t xml:space="preserve">17 [7 U.S.C. 2026] (a)(1) of the Food and Nutrition Act of 2008 provides general legislative authority for the planned data collection.  It authorizes the Secretary of </w:t>
      </w:r>
      <w:r w:rsidR="00217632" w:rsidRPr="00647FE3">
        <w:t xml:space="preserve">the U.S. Department of </w:t>
      </w:r>
      <w:r w:rsidRPr="00647FE3">
        <w:t>Agriculture</w:t>
      </w:r>
      <w:r w:rsidR="00217632" w:rsidRPr="00647FE3">
        <w:t xml:space="preserve"> (USDA)</w:t>
      </w:r>
      <w:r w:rsidRPr="00647FE3">
        <w:t xml:space="preserve"> to enter into contracts with private institutions to undertake research that will help to improve the administration and effectiveness of</w:t>
      </w:r>
      <w:r w:rsidR="00267C63" w:rsidRPr="00647FE3">
        <w:t xml:space="preserve"> the Supplemental Nutrition Assistance Program (SNAP)</w:t>
      </w:r>
      <w:r w:rsidRPr="00647FE3">
        <w:t xml:space="preserve"> in delivering nutrition-related benefits.</w:t>
      </w:r>
    </w:p>
    <w:p w:rsidR="004015BC" w:rsidRDefault="004015BC" w:rsidP="00844D05">
      <w:pPr>
        <w:pStyle w:val="BodyTextMemo"/>
      </w:pPr>
      <w:r>
        <w:t xml:space="preserve">The SNAP Quality Control (QC) system requires </w:t>
      </w:r>
      <w:r w:rsidR="002E000A" w:rsidRPr="00647FE3">
        <w:t xml:space="preserve">States </w:t>
      </w:r>
      <w:r>
        <w:t xml:space="preserve">to </w:t>
      </w:r>
      <w:r w:rsidR="002E000A" w:rsidRPr="00647FE3">
        <w:t xml:space="preserve">conduct monthly </w:t>
      </w:r>
      <w:r w:rsidR="009960E0" w:rsidRPr="00647FE3">
        <w:t xml:space="preserve">quality control </w:t>
      </w:r>
      <w:r w:rsidR="002E000A" w:rsidRPr="00647FE3">
        <w:t xml:space="preserve">reviews of households </w:t>
      </w:r>
      <w:r w:rsidR="005B2C04" w:rsidRPr="00647FE3">
        <w:t xml:space="preserve">participating </w:t>
      </w:r>
      <w:r w:rsidR="00112F92">
        <w:t xml:space="preserve">in </w:t>
      </w:r>
      <w:r w:rsidR="00267C63" w:rsidRPr="00647FE3">
        <w:t xml:space="preserve">SNAP </w:t>
      </w:r>
      <w:r w:rsidR="002E000A" w:rsidRPr="00647FE3">
        <w:t>to asse</w:t>
      </w:r>
      <w:r w:rsidR="00ED6E65" w:rsidRPr="00647FE3">
        <w:t>ss the validity of SNAP cases and, ultimately, the</w:t>
      </w:r>
      <w:r w:rsidR="00267C63" w:rsidRPr="00647FE3">
        <w:t xml:space="preserve"> payment</w:t>
      </w:r>
      <w:r w:rsidR="00ED6E65" w:rsidRPr="00647FE3">
        <w:t xml:space="preserve"> error rate for SNAP</w:t>
      </w:r>
      <w:r w:rsidR="00977715" w:rsidRPr="00647FE3">
        <w:t xml:space="preserve">.  </w:t>
      </w:r>
      <w:r w:rsidR="008A6E2F">
        <w:t>T</w:t>
      </w:r>
      <w:r w:rsidR="002E000A" w:rsidRPr="00647FE3">
        <w:t xml:space="preserve">he completion rate of sampled QC reviews </w:t>
      </w:r>
      <w:r w:rsidR="008A6E2F">
        <w:t xml:space="preserve">has </w:t>
      </w:r>
      <w:r w:rsidR="002E000A" w:rsidRPr="00647FE3">
        <w:t>decreased nationally</w:t>
      </w:r>
      <w:r w:rsidR="008A6E2F">
        <w:t xml:space="preserve"> over the last few decade</w:t>
      </w:r>
      <w:r w:rsidR="00B23CF4">
        <w:t>s.  Although</w:t>
      </w:r>
      <w:r w:rsidR="008A6E2F">
        <w:t xml:space="preserve"> the compl</w:t>
      </w:r>
      <w:r w:rsidR="00D351AC" w:rsidRPr="00647FE3">
        <w:t>etion rate has increased</w:t>
      </w:r>
      <w:r w:rsidR="002E000A" w:rsidRPr="00647FE3">
        <w:t xml:space="preserve"> somewhat</w:t>
      </w:r>
      <w:r w:rsidR="005B2C04" w:rsidRPr="00647FE3">
        <w:t xml:space="preserve"> </w:t>
      </w:r>
      <w:r w:rsidR="008A6E2F">
        <w:t>in recent years</w:t>
      </w:r>
      <w:r w:rsidR="002E000A" w:rsidRPr="00647FE3">
        <w:t xml:space="preserve">, </w:t>
      </w:r>
      <w:r w:rsidR="008A6E2F">
        <w:t xml:space="preserve">it has not returned to </w:t>
      </w:r>
      <w:r w:rsidR="002E000A" w:rsidRPr="00647FE3">
        <w:t>previous levels</w:t>
      </w:r>
      <w:r w:rsidR="008A6E2F">
        <w:t xml:space="preserve"> and remains below the targeted levels by FNS</w:t>
      </w:r>
      <w:r w:rsidR="00977715" w:rsidRPr="00647FE3">
        <w:t xml:space="preserve">.  </w:t>
      </w:r>
      <w:r w:rsidR="00D351AC" w:rsidRPr="00647FE3">
        <w:t>C</w:t>
      </w:r>
      <w:r w:rsidR="00FD60ED" w:rsidRPr="00647FE3">
        <w:t>ompletion rate</w:t>
      </w:r>
      <w:r w:rsidR="00D351AC" w:rsidRPr="00647FE3">
        <w:t>s</w:t>
      </w:r>
      <w:r w:rsidR="002E000A" w:rsidRPr="00647FE3">
        <w:t xml:space="preserve"> var</w:t>
      </w:r>
      <w:r w:rsidR="00D351AC" w:rsidRPr="00647FE3">
        <w:t>y</w:t>
      </w:r>
      <w:r w:rsidR="002E000A" w:rsidRPr="00647FE3">
        <w:t xml:space="preserve"> </w:t>
      </w:r>
      <w:r w:rsidR="00ED6E65" w:rsidRPr="00647FE3">
        <w:t xml:space="preserve">considerably </w:t>
      </w:r>
      <w:r w:rsidR="002E000A" w:rsidRPr="00647FE3">
        <w:t>among States</w:t>
      </w:r>
      <w:r w:rsidR="005B2C04" w:rsidRPr="00647FE3">
        <w:t xml:space="preserve"> as well</w:t>
      </w:r>
      <w:r w:rsidR="00977715" w:rsidRPr="00647FE3">
        <w:t xml:space="preserve">.  </w:t>
      </w:r>
    </w:p>
    <w:p w:rsidR="002E000A" w:rsidRPr="00647FE3" w:rsidRDefault="004015BC" w:rsidP="00844D05">
      <w:pPr>
        <w:pStyle w:val="BodyTextMemo"/>
      </w:pPr>
      <w:r>
        <w:t xml:space="preserve">In response to this </w:t>
      </w:r>
      <w:r w:rsidR="00C91A38">
        <w:t>overall decline and i</w:t>
      </w:r>
      <w:r>
        <w:t>nter-State variation in SNAP QC completion rates, the current study seeks to</w:t>
      </w:r>
      <w:r w:rsidR="00FD60ED" w:rsidRPr="00647FE3">
        <w:t xml:space="preserve"> identify the factors associated with incomplete</w:t>
      </w:r>
      <w:r w:rsidR="00267C63" w:rsidRPr="00647FE3">
        <w:t xml:space="preserve"> QC</w:t>
      </w:r>
      <w:r w:rsidR="00FD60ED" w:rsidRPr="00647FE3">
        <w:t xml:space="preserve"> reviews in active SNAP cases and </w:t>
      </w:r>
      <w:r>
        <w:t>to identify best practices related to</w:t>
      </w:r>
      <w:r w:rsidR="00FD60ED" w:rsidRPr="00647FE3">
        <w:t xml:space="preserve"> </w:t>
      </w:r>
      <w:r w:rsidR="00043528">
        <w:t>completing</w:t>
      </w:r>
      <w:r w:rsidR="00FD60ED" w:rsidRPr="00647FE3">
        <w:t xml:space="preserve"> SNAP QC reviews.  </w:t>
      </w:r>
      <w:r w:rsidR="008B1094">
        <w:t xml:space="preserve">This </w:t>
      </w:r>
      <w:r w:rsidR="00043528">
        <w:t>exploratory, descriptive study assesses the processes by which QC reviews of active SNAP cases are conducted at the State and regional levels</w:t>
      </w:r>
      <w:r w:rsidR="008A6E2F">
        <w:t xml:space="preserve">.  The research will </w:t>
      </w:r>
      <w:r w:rsidR="00043528">
        <w:t>utiliz</w:t>
      </w:r>
      <w:r w:rsidR="008A6E2F">
        <w:t>e</w:t>
      </w:r>
      <w:r w:rsidR="00043528">
        <w:t xml:space="preserve"> a mixed methods design that relies heavily on qualitative data collection.  </w:t>
      </w:r>
    </w:p>
    <w:p w:rsidR="007E0CE7" w:rsidRPr="00647FE3" w:rsidRDefault="00217632" w:rsidP="00844D05">
      <w:pPr>
        <w:pStyle w:val="BodyTextMemo"/>
      </w:pPr>
      <w:r w:rsidRPr="00647FE3">
        <w:t>USDA’s</w:t>
      </w:r>
      <w:r w:rsidR="007C66DC" w:rsidRPr="00647FE3">
        <w:t xml:space="preserve"> </w:t>
      </w:r>
      <w:r w:rsidR="005B2C04" w:rsidRPr="00647FE3">
        <w:t>Food and Nutrition Service (</w:t>
      </w:r>
      <w:r w:rsidR="004F6FEC" w:rsidRPr="00647FE3">
        <w:t>FNS</w:t>
      </w:r>
      <w:r w:rsidR="005B2C04" w:rsidRPr="00647FE3">
        <w:t>)</w:t>
      </w:r>
      <w:r w:rsidR="002D0660" w:rsidRPr="00647FE3">
        <w:t xml:space="preserve"> </w:t>
      </w:r>
      <w:r w:rsidR="008B1EE4" w:rsidRPr="00647FE3">
        <w:t>is requesting Office of Management and Budget (OMB) approval t</w:t>
      </w:r>
      <w:r w:rsidR="007C66DC" w:rsidRPr="00647FE3">
        <w:t xml:space="preserve">o collect information </w:t>
      </w:r>
      <w:r w:rsidR="002D0660" w:rsidRPr="00647FE3">
        <w:t xml:space="preserve">from </w:t>
      </w:r>
      <w:r w:rsidR="00FD60ED" w:rsidRPr="00647FE3">
        <w:t>State</w:t>
      </w:r>
      <w:r w:rsidR="002D0660" w:rsidRPr="00647FE3">
        <w:t xml:space="preserve"> SNAP offices </w:t>
      </w:r>
      <w:r w:rsidR="00FD60ED" w:rsidRPr="00647FE3">
        <w:t xml:space="preserve">and </w:t>
      </w:r>
      <w:r w:rsidR="00ED6E65" w:rsidRPr="00647FE3">
        <w:t xml:space="preserve">staff, including </w:t>
      </w:r>
      <w:r w:rsidR="00942AA1" w:rsidRPr="00647FE3">
        <w:t xml:space="preserve">QC </w:t>
      </w:r>
      <w:r w:rsidR="00ED6E65" w:rsidRPr="00647FE3">
        <w:t>directors, QC supervisors, and QC reviewers</w:t>
      </w:r>
      <w:r w:rsidR="00977715" w:rsidRPr="00647FE3">
        <w:t xml:space="preserve">.  </w:t>
      </w:r>
      <w:r w:rsidR="00112F92">
        <w:t>This information will be gathered through four instruments: a semi-structured interview protocol for QC directors and supervisors</w:t>
      </w:r>
      <w:r w:rsidR="00010C51">
        <w:t xml:space="preserve"> (up to 18 interviews)</w:t>
      </w:r>
      <w:r w:rsidR="00112F92">
        <w:t xml:space="preserve">, a semi-structured </w:t>
      </w:r>
      <w:r w:rsidR="00112F92">
        <w:lastRenderedPageBreak/>
        <w:t>interview protocol for QC reviewers</w:t>
      </w:r>
      <w:r w:rsidR="00010C51">
        <w:t xml:space="preserve"> (up to 30 interviews)</w:t>
      </w:r>
      <w:r w:rsidR="00112F92">
        <w:t xml:space="preserve">, a </w:t>
      </w:r>
      <w:r w:rsidR="00043528">
        <w:t>survey</w:t>
      </w:r>
      <w:r w:rsidR="00112F92">
        <w:t xml:space="preserve"> instrument for QC directors and supervisors</w:t>
      </w:r>
      <w:r w:rsidR="00010C51">
        <w:t xml:space="preserve"> (up to 141 surveys)</w:t>
      </w:r>
      <w:r w:rsidR="00112F92">
        <w:t xml:space="preserve">, and a </w:t>
      </w:r>
      <w:r w:rsidR="00043528">
        <w:t>survey</w:t>
      </w:r>
      <w:r w:rsidR="00112F92">
        <w:t xml:space="preserve"> instrument for QC reviewers</w:t>
      </w:r>
      <w:r w:rsidR="00010C51">
        <w:t xml:space="preserve"> (up to 235 surveys)</w:t>
      </w:r>
      <w:r w:rsidR="00112F92">
        <w:t xml:space="preserve">.  The semi-structured interviews are expected to last approximately one hour. The surveys, which will be administered via Web or telephone, are anticipated to take approximately </w:t>
      </w:r>
      <w:r w:rsidR="004E6183">
        <w:t>30</w:t>
      </w:r>
      <w:r w:rsidR="00112F92">
        <w:t xml:space="preserve"> minutes. </w:t>
      </w:r>
      <w:r w:rsidR="00ED6E65" w:rsidRPr="00647FE3">
        <w:t>Additional information</w:t>
      </w:r>
      <w:r w:rsidR="00574151" w:rsidRPr="00647FE3">
        <w:t xml:space="preserve"> </w:t>
      </w:r>
      <w:r w:rsidR="00A8191A" w:rsidRPr="00647FE3">
        <w:t>contributing to</w:t>
      </w:r>
      <w:r w:rsidR="00574151" w:rsidRPr="00647FE3">
        <w:t xml:space="preserve"> th</w:t>
      </w:r>
      <w:r w:rsidR="005B2C04" w:rsidRPr="00647FE3">
        <w:t>is</w:t>
      </w:r>
      <w:r w:rsidR="00574151" w:rsidRPr="00647FE3">
        <w:t xml:space="preserve"> research</w:t>
      </w:r>
      <w:r w:rsidR="00ED6E65" w:rsidRPr="00647FE3">
        <w:t xml:space="preserve"> will be collected from FNS regional </w:t>
      </w:r>
      <w:r w:rsidR="00574151" w:rsidRPr="00647FE3">
        <w:t>offices</w:t>
      </w:r>
      <w:r w:rsidR="005B2C04" w:rsidRPr="00647FE3">
        <w:t xml:space="preserve"> and </w:t>
      </w:r>
      <w:r w:rsidR="00ED6E65" w:rsidRPr="00647FE3">
        <w:t>staff</w:t>
      </w:r>
      <w:r w:rsidR="00574151" w:rsidRPr="00647FE3">
        <w:t xml:space="preserve"> (not subject to OMB approval</w:t>
      </w:r>
      <w:r w:rsidR="00093654">
        <w:t>, as they are Federal employees</w:t>
      </w:r>
      <w:r w:rsidR="0062712E" w:rsidRPr="0062712E">
        <w:rPr>
          <w:rStyle w:val="FootnoteReference"/>
          <w:vertAlign w:val="superscript"/>
        </w:rPr>
        <w:footnoteReference w:id="2"/>
      </w:r>
      <w:r w:rsidR="00574151" w:rsidRPr="00647FE3">
        <w:t xml:space="preserve">) and SNAP participants sampled for QC </w:t>
      </w:r>
      <w:r w:rsidR="00807B0F" w:rsidRPr="00647FE3">
        <w:t>with</w:t>
      </w:r>
      <w:r w:rsidR="00574151" w:rsidRPr="00647FE3">
        <w:t xml:space="preserve"> incomplete reviews (OMB approval previously granted</w:t>
      </w:r>
      <w:r w:rsidR="002F6702">
        <w:t>,</w:t>
      </w:r>
      <w:r w:rsidR="00AC5CF9" w:rsidRPr="00647FE3">
        <w:rPr>
          <w:rStyle w:val="FootnoteReference"/>
          <w:vertAlign w:val="superscript"/>
        </w:rPr>
        <w:footnoteReference w:id="3"/>
      </w:r>
      <w:r w:rsidR="002F6702">
        <w:t xml:space="preserve"> as described in further detail in Attachment </w:t>
      </w:r>
      <w:r w:rsidR="00014ED0">
        <w:t>E</w:t>
      </w:r>
      <w:r w:rsidR="00574151" w:rsidRPr="00647FE3">
        <w:t xml:space="preserve">). </w:t>
      </w:r>
    </w:p>
    <w:p w:rsidR="008B1EE4" w:rsidRPr="00647FE3" w:rsidRDefault="008B1EE4" w:rsidP="00844D05">
      <w:pPr>
        <w:pStyle w:val="Heading3"/>
      </w:pPr>
      <w:bookmarkStart w:id="9" w:name="_Toc133208871"/>
      <w:bookmarkStart w:id="10" w:name="_Toc329426274"/>
      <w:bookmarkStart w:id="11" w:name="_Toc351666576"/>
      <w:bookmarkStart w:id="12" w:name="_Toc351667635"/>
      <w:r w:rsidRPr="00647FE3">
        <w:t>A.2.</w:t>
      </w:r>
      <w:r w:rsidRPr="00647FE3">
        <w:tab/>
        <w:t>Purpose and Use of the Information</w:t>
      </w:r>
      <w:bookmarkEnd w:id="9"/>
      <w:bookmarkEnd w:id="10"/>
      <w:bookmarkEnd w:id="11"/>
      <w:bookmarkEnd w:id="12"/>
    </w:p>
    <w:p w:rsidR="00C2576A" w:rsidRPr="004D05A0" w:rsidRDefault="00C2576A" w:rsidP="00844D05">
      <w:pPr>
        <w:pStyle w:val="CalibriText-noindent"/>
        <w:keepNext w:val="0"/>
        <w:keepLines w:val="0"/>
        <w:rPr>
          <w:b/>
        </w:rPr>
      </w:pPr>
      <w:r w:rsidRPr="004D05A0">
        <w:rPr>
          <w:b/>
        </w:rPr>
        <w:t>Indicate how, by whom, how frequently, and for what purpose the information is to be used. Except for a new collection, indicate the actual use the agency has made of the information received from the current collection.</w:t>
      </w:r>
    </w:p>
    <w:p w:rsidR="0034325B" w:rsidRPr="00647FE3" w:rsidRDefault="00290BCE" w:rsidP="00844D05">
      <w:pPr>
        <w:pStyle w:val="BodyTextMemo"/>
      </w:pPr>
      <w:r w:rsidRPr="00647FE3">
        <w:t xml:space="preserve">The purpose of this information collection is to </w:t>
      </w:r>
      <w:r w:rsidR="0034325B" w:rsidRPr="00647FE3">
        <w:t xml:space="preserve">identify the factors that consistently </w:t>
      </w:r>
      <w:r w:rsidR="00813B03" w:rsidRPr="00647FE3">
        <w:t xml:space="preserve">lead to </w:t>
      </w:r>
      <w:r w:rsidR="0034325B" w:rsidRPr="00647FE3">
        <w:t xml:space="preserve">incomplete cases among active </w:t>
      </w:r>
      <w:r w:rsidR="006E1E62">
        <w:t xml:space="preserve">SNAP </w:t>
      </w:r>
      <w:r w:rsidR="00267C63" w:rsidRPr="00647FE3">
        <w:t xml:space="preserve">QC </w:t>
      </w:r>
      <w:r w:rsidR="0034325B" w:rsidRPr="00647FE3">
        <w:t>case</w:t>
      </w:r>
      <w:r w:rsidR="00681B63" w:rsidRPr="00647FE3">
        <w:t xml:space="preserve"> review</w:t>
      </w:r>
      <w:r w:rsidR="0034325B" w:rsidRPr="00647FE3">
        <w:t xml:space="preserve">s and </w:t>
      </w:r>
      <w:r w:rsidR="008A6E2F">
        <w:t xml:space="preserve">identify </w:t>
      </w:r>
      <w:r w:rsidR="00B23CF4">
        <w:t>possible means to enhance completion rates</w:t>
      </w:r>
      <w:r w:rsidR="0034325B" w:rsidRPr="00647FE3">
        <w:t>.  Using analysis of primary data collection with persons involved in conducting and monitoring the QC reviews</w:t>
      </w:r>
      <w:r w:rsidR="007954D6" w:rsidRPr="00647FE3">
        <w:t xml:space="preserve"> and extant administrative data from </w:t>
      </w:r>
      <w:r w:rsidR="007954D6" w:rsidRPr="00B23CF4">
        <w:t>States</w:t>
      </w:r>
      <w:r w:rsidR="0034325B" w:rsidRPr="00B23CF4">
        <w:t xml:space="preserve">, the study will </w:t>
      </w:r>
      <w:r w:rsidR="00B23CF4" w:rsidRPr="00B23CF4">
        <w:t xml:space="preserve">assess the processes by which SNAP QC reviews are conducted; </w:t>
      </w:r>
      <w:r w:rsidR="00B23CF4">
        <w:t>compare the characteristics of complete and incomplete SNAP QC cases; and identify the challenges and best practices in completing SNAP QC reviews</w:t>
      </w:r>
      <w:r w:rsidR="0034325B" w:rsidRPr="00B23CF4">
        <w:t>.</w:t>
      </w:r>
      <w:r w:rsidR="0034325B" w:rsidRPr="00647FE3">
        <w:t xml:space="preserve"> </w:t>
      </w:r>
    </w:p>
    <w:p w:rsidR="009F4BA1" w:rsidRPr="00647FE3" w:rsidRDefault="008B1EE4" w:rsidP="00844D05">
      <w:pPr>
        <w:pStyle w:val="BodyTextMemo"/>
      </w:pPr>
      <w:r w:rsidRPr="00647FE3">
        <w:t xml:space="preserve">The </w:t>
      </w:r>
      <w:r w:rsidR="0034325B" w:rsidRPr="00647FE3">
        <w:t xml:space="preserve">new </w:t>
      </w:r>
      <w:r w:rsidRPr="00647FE3">
        <w:t xml:space="preserve">information collection for which this OMB approval is requested </w:t>
      </w:r>
      <w:r w:rsidR="003F0993" w:rsidRPr="00647FE3">
        <w:t xml:space="preserve">includes </w:t>
      </w:r>
      <w:r w:rsidR="005070D7" w:rsidRPr="00647FE3">
        <w:t>in-depth</w:t>
      </w:r>
      <w:r w:rsidR="003A0C86" w:rsidRPr="00647FE3">
        <w:t xml:space="preserve"> (semi-structured)</w:t>
      </w:r>
      <w:r w:rsidR="005070D7" w:rsidRPr="00647FE3">
        <w:t xml:space="preserve"> interview</w:t>
      </w:r>
      <w:r w:rsidR="00093654">
        <w:t xml:space="preserve"> protocol</w:t>
      </w:r>
      <w:r w:rsidR="003F0993" w:rsidRPr="00647FE3">
        <w:t>s</w:t>
      </w:r>
      <w:r w:rsidR="005070D7" w:rsidRPr="00647FE3">
        <w:t xml:space="preserve"> </w:t>
      </w:r>
      <w:r w:rsidR="00093654">
        <w:t xml:space="preserve">that will be used to conduct interviews </w:t>
      </w:r>
      <w:r w:rsidR="005070D7" w:rsidRPr="00647FE3">
        <w:t xml:space="preserve">with </w:t>
      </w:r>
      <w:r w:rsidR="005B2C04" w:rsidRPr="00647FE3">
        <w:t xml:space="preserve">SNAP QC </w:t>
      </w:r>
      <w:r w:rsidR="005070D7" w:rsidRPr="00647FE3">
        <w:t xml:space="preserve">staff </w:t>
      </w:r>
      <w:r w:rsidR="009F4BA1" w:rsidRPr="00647FE3">
        <w:t>during site visits</w:t>
      </w:r>
      <w:r w:rsidR="00093654">
        <w:t xml:space="preserve"> to 6 State agencies</w:t>
      </w:r>
      <w:r w:rsidR="0062712E">
        <w:t xml:space="preserve"> (Attachments A.3A and A.4A)</w:t>
      </w:r>
      <w:r w:rsidR="00B515BD" w:rsidRPr="00647FE3">
        <w:t>,</w:t>
      </w:r>
      <w:r w:rsidR="00681B63" w:rsidRPr="00647FE3">
        <w:t xml:space="preserve"> and</w:t>
      </w:r>
      <w:r w:rsidR="0034325B" w:rsidRPr="00647FE3">
        <w:t xml:space="preserve"> telephone</w:t>
      </w:r>
      <w:r w:rsidR="0058543A" w:rsidRPr="00647FE3">
        <w:t xml:space="preserve"> and </w:t>
      </w:r>
      <w:r w:rsidR="009960E0" w:rsidRPr="00647FE3">
        <w:t>Web</w:t>
      </w:r>
      <w:r w:rsidR="0058543A" w:rsidRPr="00647FE3">
        <w:t xml:space="preserve"> surveys of</w:t>
      </w:r>
      <w:r w:rsidR="0034325B" w:rsidRPr="00647FE3">
        <w:t xml:space="preserve"> </w:t>
      </w:r>
      <w:r w:rsidR="005B2C04" w:rsidRPr="00647FE3">
        <w:t xml:space="preserve">SNAP </w:t>
      </w:r>
      <w:r w:rsidR="005B2C04" w:rsidRPr="00647FE3">
        <w:lastRenderedPageBreak/>
        <w:t xml:space="preserve">QC </w:t>
      </w:r>
      <w:r w:rsidR="0034325B" w:rsidRPr="00647FE3">
        <w:t>staff</w:t>
      </w:r>
      <w:r w:rsidR="005B2C04" w:rsidRPr="00647FE3">
        <w:t xml:space="preserve"> in the</w:t>
      </w:r>
      <w:r w:rsidR="00CF14C7" w:rsidRPr="00647FE3">
        <w:t xml:space="preserve"> remaining</w:t>
      </w:r>
      <w:r w:rsidR="005B2C04" w:rsidRPr="00647FE3">
        <w:t xml:space="preserve"> </w:t>
      </w:r>
      <w:r w:rsidR="003E022F" w:rsidRPr="00647FE3">
        <w:t>4</w:t>
      </w:r>
      <w:r w:rsidR="003E022F">
        <w:t>5</w:t>
      </w:r>
      <w:r w:rsidR="005B2C04" w:rsidRPr="00647FE3">
        <w:t xml:space="preserve"> States not being visited</w:t>
      </w:r>
      <w:r w:rsidR="0062712E">
        <w:t xml:space="preserve"> (Attachments A.3B and A.4B)</w:t>
      </w:r>
      <w:r w:rsidR="003E022F">
        <w:t>, excluding the two States that participated in survey</w:t>
      </w:r>
      <w:r w:rsidR="004430ED">
        <w:t xml:space="preserve"> and interview</w:t>
      </w:r>
      <w:r w:rsidR="004E2BEB">
        <w:t xml:space="preserve"> pre-tests</w:t>
      </w:r>
      <w:r w:rsidR="0034325B" w:rsidRPr="00647FE3">
        <w:t>.</w:t>
      </w:r>
      <w:r w:rsidR="003E022F" w:rsidRPr="003E022F">
        <w:rPr>
          <w:rStyle w:val="FootnoteReference"/>
          <w:vertAlign w:val="superscript"/>
        </w:rPr>
        <w:t xml:space="preserve"> </w:t>
      </w:r>
      <w:r w:rsidR="003E022F" w:rsidRPr="00E91405">
        <w:rPr>
          <w:rStyle w:val="FootnoteReference"/>
          <w:vertAlign w:val="superscript"/>
        </w:rPr>
        <w:footnoteReference w:id="4"/>
      </w:r>
      <w:r w:rsidR="0034325B" w:rsidRPr="00647FE3">
        <w:t xml:space="preserve">  </w:t>
      </w:r>
    </w:p>
    <w:p w:rsidR="009F4BA1" w:rsidRPr="00647FE3" w:rsidRDefault="009F4BA1" w:rsidP="00844D05">
      <w:pPr>
        <w:pStyle w:val="BodyTextMemo"/>
      </w:pPr>
      <w:r w:rsidRPr="00647FE3">
        <w:t>Related study data collection</w:t>
      </w:r>
      <w:r w:rsidR="0034325B" w:rsidRPr="00647FE3">
        <w:t xml:space="preserve"> also include</w:t>
      </w:r>
      <w:r w:rsidR="00301D98" w:rsidRPr="00647FE3">
        <w:t>s</w:t>
      </w:r>
      <w:r w:rsidR="0034325B" w:rsidRPr="00647FE3">
        <w:t xml:space="preserve"> </w:t>
      </w:r>
      <w:r w:rsidRPr="00647FE3">
        <w:t>interviews with Federal regional office staff who, as Federal employees, are not subject to OMB approval and burden estimates for data collection</w:t>
      </w:r>
      <w:r w:rsidR="009960E0" w:rsidRPr="00647FE3">
        <w:t>.</w:t>
      </w:r>
      <w:r w:rsidR="006E1E62" w:rsidRPr="006E1E62">
        <w:rPr>
          <w:rStyle w:val="FootnoteReference"/>
          <w:vertAlign w:val="superscript"/>
        </w:rPr>
        <w:footnoteReference w:id="5"/>
      </w:r>
      <w:r w:rsidR="009960E0" w:rsidRPr="00647FE3">
        <w:t xml:space="preserve">  </w:t>
      </w:r>
      <w:r w:rsidRPr="00647FE3">
        <w:t xml:space="preserve">Specifically, these Federal interviews include </w:t>
      </w:r>
      <w:r w:rsidR="0034325B" w:rsidRPr="00647FE3">
        <w:t xml:space="preserve">in-depth </w:t>
      </w:r>
      <w:r w:rsidR="00295920" w:rsidRPr="00647FE3">
        <w:t>interviews</w:t>
      </w:r>
      <w:r w:rsidR="0034325B" w:rsidRPr="00647FE3">
        <w:t xml:space="preserve"> with staff at two FNS regional offices</w:t>
      </w:r>
      <w:r w:rsidRPr="00647FE3">
        <w:t xml:space="preserve"> during the course of site </w:t>
      </w:r>
      <w:r w:rsidR="00681B63" w:rsidRPr="00647FE3">
        <w:t>visits</w:t>
      </w:r>
      <w:r w:rsidR="006E1E62">
        <w:t>,</w:t>
      </w:r>
      <w:r w:rsidR="00681B63" w:rsidRPr="00647FE3">
        <w:t xml:space="preserve"> and</w:t>
      </w:r>
      <w:r w:rsidR="0034325B" w:rsidRPr="00647FE3">
        <w:t xml:space="preserve"> </w:t>
      </w:r>
      <w:r w:rsidR="002239B6" w:rsidRPr="00647FE3">
        <w:t>surveys with</w:t>
      </w:r>
      <w:r w:rsidR="0034325B" w:rsidRPr="00647FE3">
        <w:t xml:space="preserve"> staff at the </w:t>
      </w:r>
      <w:r w:rsidRPr="00647FE3">
        <w:t>remaining five regional offices.</w:t>
      </w:r>
    </w:p>
    <w:p w:rsidR="009E5BE3" w:rsidRPr="00647FE3" w:rsidRDefault="009F4BA1" w:rsidP="00844D05">
      <w:pPr>
        <w:pStyle w:val="BTextDouble"/>
        <w:rPr>
          <w:sz w:val="22"/>
          <w:szCs w:val="22"/>
        </w:rPr>
      </w:pPr>
      <w:r w:rsidRPr="00647FE3">
        <w:rPr>
          <w:sz w:val="22"/>
          <w:szCs w:val="22"/>
        </w:rPr>
        <w:t>A</w:t>
      </w:r>
      <w:r w:rsidR="00B55FF4" w:rsidRPr="00647FE3">
        <w:rPr>
          <w:sz w:val="22"/>
          <w:szCs w:val="22"/>
        </w:rPr>
        <w:t xml:space="preserve"> final</w:t>
      </w:r>
      <w:r w:rsidR="00CF14C7" w:rsidRPr="00647FE3">
        <w:rPr>
          <w:sz w:val="22"/>
          <w:szCs w:val="22"/>
        </w:rPr>
        <w:t xml:space="preserve"> </w:t>
      </w:r>
      <w:r w:rsidRPr="00647FE3">
        <w:rPr>
          <w:sz w:val="22"/>
          <w:szCs w:val="22"/>
        </w:rPr>
        <w:t xml:space="preserve">related </w:t>
      </w:r>
      <w:r w:rsidR="009E5BE3" w:rsidRPr="00647FE3">
        <w:rPr>
          <w:sz w:val="22"/>
          <w:szCs w:val="22"/>
        </w:rPr>
        <w:t>study data collection includes</w:t>
      </w:r>
      <w:r w:rsidR="0034325B" w:rsidRPr="00647FE3">
        <w:rPr>
          <w:sz w:val="22"/>
          <w:szCs w:val="22"/>
        </w:rPr>
        <w:t xml:space="preserve"> attempting to complete QC reviews</w:t>
      </w:r>
      <w:r w:rsidR="00295920" w:rsidRPr="00647FE3">
        <w:rPr>
          <w:sz w:val="22"/>
          <w:szCs w:val="22"/>
        </w:rPr>
        <w:t xml:space="preserve"> (called re-reviews for this study</w:t>
      </w:r>
      <w:r w:rsidR="00825D26" w:rsidRPr="00647FE3">
        <w:rPr>
          <w:sz w:val="22"/>
          <w:szCs w:val="22"/>
        </w:rPr>
        <w:t>,</w:t>
      </w:r>
      <w:r w:rsidR="00295920" w:rsidRPr="00647FE3">
        <w:rPr>
          <w:sz w:val="22"/>
          <w:szCs w:val="22"/>
        </w:rPr>
        <w:t xml:space="preserve"> </w:t>
      </w:r>
      <w:r w:rsidR="00681B63" w:rsidRPr="00647FE3">
        <w:rPr>
          <w:sz w:val="22"/>
          <w:szCs w:val="22"/>
        </w:rPr>
        <w:t xml:space="preserve">as </w:t>
      </w:r>
      <w:r w:rsidR="00295920" w:rsidRPr="00647FE3">
        <w:rPr>
          <w:sz w:val="22"/>
          <w:szCs w:val="22"/>
        </w:rPr>
        <w:t>they are subsequent attempts)</w:t>
      </w:r>
      <w:r w:rsidR="0034325B" w:rsidRPr="00647FE3">
        <w:rPr>
          <w:sz w:val="22"/>
          <w:szCs w:val="22"/>
        </w:rPr>
        <w:t xml:space="preserve"> </w:t>
      </w:r>
      <w:r w:rsidR="00CF14C7" w:rsidRPr="00647FE3">
        <w:rPr>
          <w:sz w:val="22"/>
          <w:szCs w:val="22"/>
        </w:rPr>
        <w:t xml:space="preserve">of </w:t>
      </w:r>
      <w:r w:rsidR="00A31DC7" w:rsidRPr="00647FE3">
        <w:rPr>
          <w:sz w:val="22"/>
          <w:szCs w:val="22"/>
        </w:rPr>
        <w:t xml:space="preserve">previously sampled </w:t>
      </w:r>
      <w:r w:rsidR="0034325B" w:rsidRPr="00647FE3">
        <w:rPr>
          <w:sz w:val="22"/>
          <w:szCs w:val="22"/>
        </w:rPr>
        <w:t xml:space="preserve">SNAP </w:t>
      </w:r>
      <w:r w:rsidR="00CF14C7" w:rsidRPr="00647FE3">
        <w:rPr>
          <w:sz w:val="22"/>
          <w:szCs w:val="22"/>
        </w:rPr>
        <w:t xml:space="preserve">cases </w:t>
      </w:r>
      <w:r w:rsidR="0034325B" w:rsidRPr="00647FE3">
        <w:rPr>
          <w:sz w:val="22"/>
          <w:szCs w:val="22"/>
        </w:rPr>
        <w:t xml:space="preserve">that States </w:t>
      </w:r>
      <w:r w:rsidR="00A31DC7" w:rsidRPr="00647FE3">
        <w:rPr>
          <w:sz w:val="22"/>
          <w:szCs w:val="22"/>
        </w:rPr>
        <w:t>failed to complete</w:t>
      </w:r>
      <w:r w:rsidR="00071C88" w:rsidRPr="00647FE3">
        <w:rPr>
          <w:sz w:val="22"/>
          <w:szCs w:val="22"/>
        </w:rPr>
        <w:t xml:space="preserve">.  </w:t>
      </w:r>
      <w:r w:rsidR="009E5BE3" w:rsidRPr="00647FE3">
        <w:rPr>
          <w:sz w:val="22"/>
          <w:szCs w:val="22"/>
        </w:rPr>
        <w:t>Since the instrument</w:t>
      </w:r>
      <w:r w:rsidR="00681B63" w:rsidRPr="00647FE3">
        <w:rPr>
          <w:sz w:val="22"/>
          <w:szCs w:val="22"/>
        </w:rPr>
        <w:t>s</w:t>
      </w:r>
      <w:r w:rsidR="009E5BE3" w:rsidRPr="00647FE3">
        <w:rPr>
          <w:sz w:val="22"/>
          <w:szCs w:val="22"/>
        </w:rPr>
        <w:t xml:space="preserve"> used for these </w:t>
      </w:r>
      <w:r w:rsidR="00267C63" w:rsidRPr="00647FE3">
        <w:rPr>
          <w:sz w:val="22"/>
          <w:szCs w:val="22"/>
        </w:rPr>
        <w:t>are the same as</w:t>
      </w:r>
      <w:r w:rsidR="009E5BE3" w:rsidRPr="00647FE3">
        <w:rPr>
          <w:sz w:val="22"/>
          <w:szCs w:val="22"/>
        </w:rPr>
        <w:t xml:space="preserve"> those prepared by USDA for use by the States and previously approved by OMB—and for which burden has been previously determined—the re-reviews are not considered a new data collection.</w:t>
      </w:r>
      <w:r w:rsidR="00B95382" w:rsidRPr="00B95382">
        <w:rPr>
          <w:rStyle w:val="FootnoteReference"/>
          <w:sz w:val="22"/>
          <w:szCs w:val="22"/>
          <w:vertAlign w:val="superscript"/>
        </w:rPr>
        <w:footnoteReference w:id="6"/>
      </w:r>
      <w:r w:rsidR="009E5BE3" w:rsidRPr="00647FE3">
        <w:rPr>
          <w:sz w:val="22"/>
          <w:szCs w:val="22"/>
        </w:rPr>
        <w:t xml:space="preserve"> </w:t>
      </w:r>
    </w:p>
    <w:p w:rsidR="008B1EE4" w:rsidRPr="00647FE3" w:rsidRDefault="003539F8" w:rsidP="00844D05">
      <w:pPr>
        <w:pStyle w:val="BTextDouble"/>
        <w:rPr>
          <w:sz w:val="22"/>
          <w:szCs w:val="22"/>
        </w:rPr>
      </w:pPr>
      <w:r w:rsidRPr="00647FE3">
        <w:rPr>
          <w:sz w:val="22"/>
          <w:szCs w:val="22"/>
        </w:rPr>
        <w:t>The specific research objectives are to:</w:t>
      </w:r>
    </w:p>
    <w:p w:rsidR="00420E2D" w:rsidRPr="00647FE3" w:rsidRDefault="00420E2D" w:rsidP="00844D05">
      <w:pPr>
        <w:pStyle w:val="BodyTextMemo"/>
        <w:numPr>
          <w:ilvl w:val="0"/>
          <w:numId w:val="23"/>
        </w:numPr>
        <w:ind w:left="720"/>
      </w:pPr>
      <w:r w:rsidRPr="00647FE3">
        <w:t xml:space="preserve">Describe the </w:t>
      </w:r>
      <w:r w:rsidR="00A31DC7" w:rsidRPr="00647FE3">
        <w:t>process of conducting a QC review at the State level</w:t>
      </w:r>
      <w:r w:rsidRPr="00647FE3">
        <w:t>.</w:t>
      </w:r>
    </w:p>
    <w:p w:rsidR="00420E2D" w:rsidRPr="00647FE3" w:rsidRDefault="00420E2D" w:rsidP="00844D05">
      <w:pPr>
        <w:pStyle w:val="BodyTextMemo"/>
        <w:numPr>
          <w:ilvl w:val="0"/>
          <w:numId w:val="23"/>
        </w:numPr>
        <w:ind w:left="720"/>
      </w:pPr>
      <w:r w:rsidRPr="00647FE3">
        <w:t xml:space="preserve">Describe the </w:t>
      </w:r>
      <w:r w:rsidR="00A31DC7" w:rsidRPr="00647FE3">
        <w:t>process of conducting a QC review at the Federal regional level</w:t>
      </w:r>
      <w:r w:rsidRPr="00647FE3">
        <w:t>.</w:t>
      </w:r>
    </w:p>
    <w:p w:rsidR="00420E2D" w:rsidRPr="00647FE3" w:rsidRDefault="00420E2D" w:rsidP="00844D05">
      <w:pPr>
        <w:pStyle w:val="BodyTextMemo"/>
        <w:numPr>
          <w:ilvl w:val="0"/>
          <w:numId w:val="23"/>
        </w:numPr>
        <w:ind w:left="720"/>
      </w:pPr>
      <w:r w:rsidRPr="00647FE3">
        <w:t xml:space="preserve">Describe the </w:t>
      </w:r>
      <w:r w:rsidR="00A31DC7" w:rsidRPr="00647FE3">
        <w:t>characteristics of incomplete cases and compare to complete cases using available case file data</w:t>
      </w:r>
      <w:r w:rsidRPr="00647FE3">
        <w:t xml:space="preserve">. </w:t>
      </w:r>
    </w:p>
    <w:p w:rsidR="003E0B63" w:rsidRPr="00647FE3" w:rsidRDefault="00420E2D" w:rsidP="00844D05">
      <w:pPr>
        <w:pStyle w:val="BodyTextMemo"/>
        <w:numPr>
          <w:ilvl w:val="0"/>
          <w:numId w:val="23"/>
        </w:numPr>
        <w:ind w:left="720"/>
      </w:pPr>
      <w:r w:rsidRPr="00647FE3">
        <w:t xml:space="preserve">Describe the </w:t>
      </w:r>
      <w:r w:rsidR="00A31DC7" w:rsidRPr="00647FE3">
        <w:t>challenges and best practices in the QC review process at the State and Federal level</w:t>
      </w:r>
      <w:r w:rsidRPr="00647FE3">
        <w:t>.</w:t>
      </w:r>
    </w:p>
    <w:p w:rsidR="00301D98" w:rsidRPr="00647FE3" w:rsidRDefault="00301D98" w:rsidP="00844D05">
      <w:pPr>
        <w:pStyle w:val="BodyTextMemo"/>
        <w:numPr>
          <w:ilvl w:val="0"/>
          <w:numId w:val="23"/>
        </w:numPr>
        <w:ind w:left="720"/>
      </w:pPr>
      <w:r w:rsidRPr="00647FE3">
        <w:t xml:space="preserve">Determine whether </w:t>
      </w:r>
      <w:r w:rsidR="00267C63" w:rsidRPr="00647FE3">
        <w:t xml:space="preserve">QC </w:t>
      </w:r>
      <w:r w:rsidRPr="00647FE3">
        <w:t>cases are being reviewed and processed correctly.</w:t>
      </w:r>
    </w:p>
    <w:p w:rsidR="00420E2D" w:rsidRPr="00647FE3" w:rsidRDefault="00A31DC7" w:rsidP="00844D05">
      <w:pPr>
        <w:pStyle w:val="BodyTextMemo"/>
        <w:numPr>
          <w:ilvl w:val="0"/>
          <w:numId w:val="23"/>
        </w:numPr>
        <w:ind w:left="720"/>
      </w:pPr>
      <w:r w:rsidRPr="00647FE3">
        <w:t xml:space="preserve">Determine the impact of incomplete </w:t>
      </w:r>
      <w:r w:rsidR="00267C63" w:rsidRPr="00647FE3">
        <w:t xml:space="preserve">QC </w:t>
      </w:r>
      <w:r w:rsidRPr="00647FE3">
        <w:t>cases on overall payment error</w:t>
      </w:r>
      <w:r w:rsidR="0062712E">
        <w:t xml:space="preserve"> if the study succeeds in completing some incomplete cases</w:t>
      </w:r>
      <w:r w:rsidR="00420E2D" w:rsidRPr="00647FE3">
        <w:t>.</w:t>
      </w:r>
    </w:p>
    <w:p w:rsidR="008B1EE4" w:rsidRPr="00647FE3" w:rsidRDefault="00071C88" w:rsidP="001B464B">
      <w:pPr>
        <w:pStyle w:val="BodyTextMemo"/>
      </w:pPr>
      <w:r w:rsidRPr="00647FE3">
        <w:lastRenderedPageBreak/>
        <w:t>The information collected through in-depth interviews</w:t>
      </w:r>
      <w:r w:rsidR="00A31DC7" w:rsidRPr="00647FE3">
        <w:t xml:space="preserve">, telephone </w:t>
      </w:r>
      <w:r w:rsidR="00B23CF4">
        <w:t>and Web surveys</w:t>
      </w:r>
      <w:r w:rsidR="00A31DC7" w:rsidRPr="00647FE3">
        <w:t xml:space="preserve">, </w:t>
      </w:r>
      <w:r w:rsidR="007365C6" w:rsidRPr="00647FE3">
        <w:t xml:space="preserve">and </w:t>
      </w:r>
      <w:r w:rsidR="00A31DC7" w:rsidRPr="00647FE3">
        <w:t>site vis</w:t>
      </w:r>
      <w:r w:rsidR="007365C6" w:rsidRPr="00647FE3">
        <w:t>i</w:t>
      </w:r>
      <w:r w:rsidR="00A31DC7" w:rsidRPr="00647FE3">
        <w:t xml:space="preserve">ts </w:t>
      </w:r>
      <w:r w:rsidRPr="00647FE3">
        <w:t xml:space="preserve">will address </w:t>
      </w:r>
      <w:r w:rsidR="00927388" w:rsidRPr="00647FE3">
        <w:t>O</w:t>
      </w:r>
      <w:r w:rsidRPr="00647FE3">
        <w:t>bjectives 1</w:t>
      </w:r>
      <w:r w:rsidR="007365C6" w:rsidRPr="00647FE3">
        <w:t xml:space="preserve"> </w:t>
      </w:r>
      <w:r w:rsidRPr="00647FE3">
        <w:t xml:space="preserve">and </w:t>
      </w:r>
      <w:r w:rsidR="007365C6" w:rsidRPr="00647FE3">
        <w:t>2</w:t>
      </w:r>
      <w:r w:rsidRPr="00647FE3">
        <w:t xml:space="preserve">.  </w:t>
      </w:r>
      <w:r w:rsidR="007365C6" w:rsidRPr="00647FE3">
        <w:t>O</w:t>
      </w:r>
      <w:r w:rsidRPr="00647FE3">
        <w:t xml:space="preserve">bjective </w:t>
      </w:r>
      <w:r w:rsidR="00F46182" w:rsidRPr="00647FE3">
        <w:t xml:space="preserve">3 </w:t>
      </w:r>
      <w:r w:rsidR="007365C6" w:rsidRPr="00647FE3">
        <w:t xml:space="preserve">will be addressed </w:t>
      </w:r>
      <w:r w:rsidRPr="00647FE3">
        <w:t xml:space="preserve">using </w:t>
      </w:r>
      <w:r w:rsidR="007365C6" w:rsidRPr="00647FE3">
        <w:t xml:space="preserve">extant </w:t>
      </w:r>
      <w:r w:rsidRPr="00647FE3">
        <w:t>administrative data provi</w:t>
      </w:r>
      <w:r w:rsidR="006C30F6" w:rsidRPr="00647FE3">
        <w:t>ded by States</w:t>
      </w:r>
      <w:r w:rsidR="0062712E" w:rsidRPr="00260D96">
        <w:rPr>
          <w:rStyle w:val="FootnoteReference"/>
          <w:vertAlign w:val="superscript"/>
        </w:rPr>
        <w:footnoteReference w:id="7"/>
      </w:r>
      <w:r w:rsidR="006C30F6" w:rsidRPr="00647FE3">
        <w:t xml:space="preserve">.  </w:t>
      </w:r>
      <w:r w:rsidR="007365C6" w:rsidRPr="00647FE3">
        <w:t xml:space="preserve">Objective </w:t>
      </w:r>
      <w:r w:rsidR="00F46182" w:rsidRPr="00647FE3">
        <w:t xml:space="preserve">4 </w:t>
      </w:r>
      <w:r w:rsidR="007365C6" w:rsidRPr="00647FE3">
        <w:t xml:space="preserve">will be addressed using information collected through in-depth </w:t>
      </w:r>
      <w:r w:rsidR="006E1E62">
        <w:t xml:space="preserve">interviews </w:t>
      </w:r>
      <w:r w:rsidR="007365C6" w:rsidRPr="00647FE3">
        <w:t xml:space="preserve">and </w:t>
      </w:r>
      <w:r w:rsidR="006E1E62">
        <w:t xml:space="preserve">Web or </w:t>
      </w:r>
      <w:r w:rsidR="007365C6" w:rsidRPr="00647FE3">
        <w:t xml:space="preserve">telephone </w:t>
      </w:r>
      <w:r w:rsidR="006E1E62">
        <w:t>surveys</w:t>
      </w:r>
      <w:r w:rsidR="007365C6" w:rsidRPr="00647FE3">
        <w:t xml:space="preserve">.  </w:t>
      </w:r>
      <w:r w:rsidR="00F46182" w:rsidRPr="00647FE3">
        <w:t xml:space="preserve">The information collected through the QC re-reviews will address </w:t>
      </w:r>
      <w:r w:rsidR="00927388" w:rsidRPr="00647FE3">
        <w:t>O</w:t>
      </w:r>
      <w:r w:rsidR="00F46182" w:rsidRPr="00647FE3">
        <w:t xml:space="preserve">bjectives 5 and 6.  </w:t>
      </w:r>
      <w:r w:rsidRPr="00647FE3">
        <w:t xml:space="preserve">Data from the </w:t>
      </w:r>
      <w:r w:rsidR="0091406B" w:rsidRPr="00647FE3">
        <w:t xml:space="preserve">site visits, in-depth </w:t>
      </w:r>
      <w:r w:rsidR="008B1EE4" w:rsidRPr="00647FE3">
        <w:t>interviews</w:t>
      </w:r>
      <w:r w:rsidR="0091406B" w:rsidRPr="00647FE3">
        <w:t>,</w:t>
      </w:r>
      <w:r w:rsidR="008B1EE4" w:rsidRPr="00647FE3">
        <w:t xml:space="preserve"> </w:t>
      </w:r>
      <w:r w:rsidRPr="00647FE3">
        <w:t>survey</w:t>
      </w:r>
      <w:r w:rsidR="0091406B" w:rsidRPr="00647FE3">
        <w:t>s</w:t>
      </w:r>
      <w:r w:rsidR="00F46182" w:rsidRPr="00647FE3">
        <w:t>, and QC re-reviews</w:t>
      </w:r>
      <w:r w:rsidRPr="00647FE3">
        <w:t xml:space="preserve"> </w:t>
      </w:r>
      <w:r w:rsidR="008B1EE4" w:rsidRPr="00647FE3">
        <w:t>will be used for the purposes of this study</w:t>
      </w:r>
      <w:r w:rsidRPr="00647FE3">
        <w:t xml:space="preserve"> only</w:t>
      </w:r>
      <w:r w:rsidR="008B1EE4" w:rsidRPr="00647FE3">
        <w:t xml:space="preserve">, and will not be shared with any other agencies or entities outside of </w:t>
      </w:r>
      <w:r w:rsidR="005070D7" w:rsidRPr="00647FE3">
        <w:t>USDA</w:t>
      </w:r>
      <w:r w:rsidR="008B1EE4" w:rsidRPr="00647FE3">
        <w:t>.</w:t>
      </w:r>
      <w:r w:rsidR="00420E2D" w:rsidRPr="00647FE3">
        <w:t xml:space="preserve"> </w:t>
      </w:r>
    </w:p>
    <w:p w:rsidR="00CC721A" w:rsidRPr="00647FE3" w:rsidRDefault="00CC721A" w:rsidP="00844D05">
      <w:pPr>
        <w:pStyle w:val="BodyTextMemo"/>
      </w:pPr>
      <w:r w:rsidRPr="00647FE3">
        <w:t xml:space="preserve">The </w:t>
      </w:r>
      <w:r w:rsidR="00B2781F" w:rsidRPr="00647FE3">
        <w:t xml:space="preserve">QC </w:t>
      </w:r>
      <w:r w:rsidRPr="00647FE3">
        <w:t xml:space="preserve">re-reviews, which will be limited to a maximum of 25 of the most recent incomplete cases in each of </w:t>
      </w:r>
      <w:r w:rsidR="004947C4" w:rsidRPr="00647FE3">
        <w:t>3</w:t>
      </w:r>
      <w:r w:rsidRPr="00647FE3">
        <w:t xml:space="preserve"> States, are intended to provide supporting information about the possible contribution of incomplete reviews to error rates</w:t>
      </w:r>
      <w:r w:rsidR="00977715" w:rsidRPr="00647FE3">
        <w:t xml:space="preserve">.  </w:t>
      </w:r>
      <w:r w:rsidRPr="00647FE3">
        <w:t>They are not based on a statistical sample and a</w:t>
      </w:r>
      <w:r w:rsidR="00874257" w:rsidRPr="00647FE3">
        <w:t>re not intended to provide results</w:t>
      </w:r>
      <w:r w:rsidRPr="00647FE3">
        <w:t xml:space="preserve"> generalizable </w:t>
      </w:r>
      <w:r w:rsidR="00874257" w:rsidRPr="00647FE3">
        <w:t>to the national QC error rate</w:t>
      </w:r>
      <w:r w:rsidRPr="00647FE3">
        <w:t xml:space="preserve">. </w:t>
      </w:r>
    </w:p>
    <w:p w:rsidR="008B1EE4" w:rsidRPr="00647FE3" w:rsidRDefault="008B1EE4" w:rsidP="00887C45">
      <w:pPr>
        <w:pStyle w:val="Heading3"/>
        <w:keepNext/>
        <w:keepLines/>
      </w:pPr>
      <w:bookmarkStart w:id="13" w:name="_Toc133208872"/>
      <w:bookmarkStart w:id="14" w:name="_Toc329426275"/>
      <w:bookmarkStart w:id="15" w:name="_Toc351666577"/>
      <w:bookmarkStart w:id="16" w:name="_Toc351667636"/>
      <w:r w:rsidRPr="00647FE3">
        <w:t>A.3.</w:t>
      </w:r>
      <w:r w:rsidRPr="00647FE3">
        <w:tab/>
      </w:r>
      <w:bookmarkEnd w:id="13"/>
      <w:r w:rsidRPr="00647FE3">
        <w:t>Use of Information Technology and Burden Reduction</w:t>
      </w:r>
      <w:bookmarkEnd w:id="14"/>
      <w:bookmarkEnd w:id="15"/>
      <w:bookmarkEnd w:id="16"/>
      <w:r w:rsidR="00821FA5" w:rsidRPr="00647FE3">
        <w:t xml:space="preserve"> </w:t>
      </w:r>
    </w:p>
    <w:p w:rsidR="00C2576A" w:rsidRPr="003E022F" w:rsidRDefault="00C2576A" w:rsidP="00887C45">
      <w:pPr>
        <w:pStyle w:val="CalibriText-noindent"/>
        <w:rPr>
          <w:b/>
        </w:rPr>
      </w:pPr>
      <w:r w:rsidRPr="003E022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77715" w:rsidRPr="003E022F">
        <w:rPr>
          <w:b/>
        </w:rPr>
        <w:t xml:space="preserve">.  </w:t>
      </w:r>
      <w:r w:rsidRPr="003E022F">
        <w:rPr>
          <w:b/>
        </w:rPr>
        <w:t>Also, describe any consideration of using information technology to reduce burden.</w:t>
      </w:r>
    </w:p>
    <w:p w:rsidR="00E17595" w:rsidRPr="00647FE3" w:rsidRDefault="00742DE3" w:rsidP="00093654">
      <w:pPr>
        <w:spacing w:line="480" w:lineRule="auto"/>
        <w:ind w:firstLine="720"/>
      </w:pPr>
      <w:r w:rsidRPr="00647FE3">
        <w:t xml:space="preserve">The surveys of </w:t>
      </w:r>
      <w:r w:rsidR="00FD31A6">
        <w:t xml:space="preserve">most </w:t>
      </w:r>
      <w:r w:rsidRPr="00647FE3">
        <w:t xml:space="preserve">State SNAP QC directors, State QC supervisors, and State QC reviewers will be conducted via Web or telephone. </w:t>
      </w:r>
      <w:r w:rsidR="00647FE3">
        <w:t xml:space="preserve"> </w:t>
      </w:r>
      <w:r w:rsidRPr="00647FE3">
        <w:t>Potential respondents will be emailed links to the survey Web site.</w:t>
      </w:r>
      <w:r w:rsidR="00647FE3">
        <w:t xml:space="preserve"> </w:t>
      </w:r>
      <w:r w:rsidRPr="00647FE3">
        <w:t xml:space="preserve"> Those who do not respond will receive follow up phone calls and offered the opportunity to complete the survey either on the Web or through computer-assisted telephone interviewing (CATI).  </w:t>
      </w:r>
      <w:r w:rsidR="0062712E">
        <w:t xml:space="preserve">The Web and CATI instrument have not been designed and are pending OMB approval.  Both will be consistent with the attached paper versions including the OMB approval number when granted.  </w:t>
      </w:r>
      <w:r w:rsidR="0058543A" w:rsidRPr="00647FE3">
        <w:t xml:space="preserve">These </w:t>
      </w:r>
      <w:r w:rsidR="009E6221" w:rsidRPr="00647FE3">
        <w:t>method</w:t>
      </w:r>
      <w:r w:rsidR="0058543A" w:rsidRPr="00647FE3">
        <w:t>s</w:t>
      </w:r>
      <w:r w:rsidR="005C0E77" w:rsidRPr="00647FE3">
        <w:t xml:space="preserve"> offer efficient </w:t>
      </w:r>
      <w:r w:rsidR="0058543A" w:rsidRPr="00647FE3">
        <w:t>means of</w:t>
      </w:r>
      <w:r w:rsidR="005C0E77" w:rsidRPr="00647FE3">
        <w:t xml:space="preserve"> reach</w:t>
      </w:r>
      <w:r w:rsidR="0058543A" w:rsidRPr="00647FE3">
        <w:t>ing</w:t>
      </w:r>
      <w:r w:rsidR="005C0E77" w:rsidRPr="00647FE3">
        <w:t xml:space="preserve"> a large number of respondents when the sampling frame is </w:t>
      </w:r>
      <w:r w:rsidR="004A4EC4" w:rsidRPr="00647FE3">
        <w:t xml:space="preserve">sufficiently </w:t>
      </w:r>
      <w:r w:rsidR="005C0E77" w:rsidRPr="00647FE3">
        <w:t xml:space="preserve">large and includes </w:t>
      </w:r>
      <w:r w:rsidR="004A4EC4" w:rsidRPr="00647FE3">
        <w:t>accurate</w:t>
      </w:r>
      <w:r w:rsidR="005C0E77" w:rsidRPr="00647FE3">
        <w:t xml:space="preserve"> contact information</w:t>
      </w:r>
      <w:r w:rsidR="00A36AE6" w:rsidRPr="00647FE3">
        <w:t xml:space="preserve">.  </w:t>
      </w:r>
      <w:r w:rsidR="005C0E77" w:rsidRPr="00647FE3">
        <w:t xml:space="preserve"> </w:t>
      </w:r>
      <w:r w:rsidR="0074445A">
        <w:t>FNS estimates that 64 percent of these participants will respond via Web.</w:t>
      </w:r>
    </w:p>
    <w:p w:rsidR="008B1EE4" w:rsidRPr="00647FE3" w:rsidRDefault="008B1EE4" w:rsidP="00844D05">
      <w:pPr>
        <w:pStyle w:val="Heading3"/>
      </w:pPr>
      <w:bookmarkStart w:id="17" w:name="_Toc133208873"/>
      <w:bookmarkStart w:id="18" w:name="_Toc329426276"/>
      <w:bookmarkStart w:id="19" w:name="_Toc351666578"/>
      <w:bookmarkStart w:id="20" w:name="_Toc351667637"/>
      <w:r w:rsidRPr="00647FE3">
        <w:lastRenderedPageBreak/>
        <w:t>A.4</w:t>
      </w:r>
      <w:r w:rsidR="00DC40C2" w:rsidRPr="00647FE3">
        <w:t>.</w:t>
      </w:r>
      <w:r w:rsidRPr="00647FE3">
        <w:tab/>
        <w:t xml:space="preserve">Efforts to Identify </w:t>
      </w:r>
      <w:bookmarkEnd w:id="17"/>
      <w:r w:rsidRPr="00647FE3">
        <w:t>Duplication and Use of Similar Information</w:t>
      </w:r>
      <w:bookmarkEnd w:id="18"/>
      <w:bookmarkEnd w:id="19"/>
      <w:bookmarkEnd w:id="20"/>
    </w:p>
    <w:p w:rsidR="00C2576A" w:rsidRPr="003E022F" w:rsidRDefault="00C2576A" w:rsidP="00844D05">
      <w:pPr>
        <w:pStyle w:val="CalibriText-noindent"/>
        <w:keepNext w:val="0"/>
        <w:keepLines w:val="0"/>
        <w:rPr>
          <w:b/>
        </w:rPr>
      </w:pPr>
      <w:r w:rsidRPr="003E022F">
        <w:rPr>
          <w:b/>
        </w:rPr>
        <w:t>Describe efforts to identify duplication</w:t>
      </w:r>
      <w:r w:rsidR="00977715" w:rsidRPr="003E022F">
        <w:rPr>
          <w:b/>
        </w:rPr>
        <w:t xml:space="preserve">.  </w:t>
      </w:r>
      <w:r w:rsidRPr="003E022F">
        <w:rPr>
          <w:b/>
        </w:rPr>
        <w:t>Show specifically why any similar information already available cannot be used or modified for use for the purpose described in item 2 above.</w:t>
      </w:r>
    </w:p>
    <w:p w:rsidR="00736E54" w:rsidRPr="00647FE3" w:rsidRDefault="00A62A02" w:rsidP="00844D05">
      <w:pPr>
        <w:pStyle w:val="BodyTextMemo"/>
      </w:pPr>
      <w:r w:rsidRPr="00647FE3">
        <w:t>There is no similar data collection available.  Every effort has been made to avoid duplication.</w:t>
      </w:r>
      <w:r w:rsidR="00647FE3">
        <w:t xml:space="preserve"> </w:t>
      </w:r>
      <w:r w:rsidRPr="00647FE3">
        <w:t xml:space="preserve"> FNS has </w:t>
      </w:r>
      <w:r w:rsidR="00527540" w:rsidRPr="00647FE3">
        <w:t>determined that</w:t>
      </w:r>
      <w:r w:rsidR="004B391C" w:rsidRPr="00647FE3">
        <w:t xml:space="preserve"> </w:t>
      </w:r>
      <w:r w:rsidR="00527540" w:rsidRPr="00647FE3">
        <w:t xml:space="preserve">no comprehensive efforts to conduct site visits of State SNAP QC </w:t>
      </w:r>
      <w:r w:rsidR="006A0657" w:rsidRPr="00647FE3">
        <w:t xml:space="preserve">offices </w:t>
      </w:r>
      <w:r w:rsidR="00527540" w:rsidRPr="00647FE3">
        <w:t xml:space="preserve">or </w:t>
      </w:r>
      <w:r w:rsidR="006A0657" w:rsidRPr="00647FE3">
        <w:t xml:space="preserve">to </w:t>
      </w:r>
      <w:r w:rsidR="00527540" w:rsidRPr="00647FE3">
        <w:t>interview State QC staff, either by telephone or in person</w:t>
      </w:r>
      <w:r w:rsidR="006A0657" w:rsidRPr="00647FE3">
        <w:t>,</w:t>
      </w:r>
      <w:r w:rsidRPr="00647FE3">
        <w:t xml:space="preserve"> </w:t>
      </w:r>
      <w:r w:rsidR="002239B6" w:rsidRPr="00647FE3">
        <w:t>have</w:t>
      </w:r>
      <w:r w:rsidR="00527540" w:rsidRPr="00647FE3">
        <w:t xml:space="preserve"> been conducted before</w:t>
      </w:r>
      <w:r w:rsidRPr="00647FE3">
        <w:t xml:space="preserve">. </w:t>
      </w:r>
      <w:r w:rsidR="00647FE3">
        <w:t xml:space="preserve"> </w:t>
      </w:r>
      <w:r w:rsidR="00C218C5" w:rsidRPr="00647FE3">
        <w:t>FNS has not previously</w:t>
      </w:r>
      <w:r w:rsidR="00527540" w:rsidRPr="00647FE3">
        <w:t xml:space="preserve"> </w:t>
      </w:r>
      <w:r w:rsidR="00AF2F1E" w:rsidRPr="00647FE3">
        <w:t>researched</w:t>
      </w:r>
      <w:r w:rsidR="00527540" w:rsidRPr="00647FE3">
        <w:t xml:space="preserve"> the </w:t>
      </w:r>
      <w:r w:rsidR="00AF2F1E" w:rsidRPr="00647FE3">
        <w:t xml:space="preserve">processes that might be responsible for declining rates of complete QC reviews or conducted interviews with State staff. </w:t>
      </w:r>
    </w:p>
    <w:p w:rsidR="008B1EE4" w:rsidRPr="00647FE3" w:rsidRDefault="008B1EE4" w:rsidP="00844D05">
      <w:pPr>
        <w:pStyle w:val="Heading3"/>
      </w:pPr>
      <w:bookmarkStart w:id="21" w:name="_Toc133208874"/>
      <w:bookmarkStart w:id="22" w:name="_Toc329426277"/>
      <w:bookmarkStart w:id="23" w:name="_Toc351666579"/>
      <w:bookmarkStart w:id="24" w:name="_Toc351667638"/>
      <w:r w:rsidRPr="00647FE3">
        <w:t>A.5.</w:t>
      </w:r>
      <w:r w:rsidRPr="00647FE3">
        <w:tab/>
      </w:r>
      <w:bookmarkEnd w:id="21"/>
      <w:r w:rsidRPr="00647FE3">
        <w:t>Impacts on Small Businesses or Other Small Entities</w:t>
      </w:r>
      <w:bookmarkEnd w:id="22"/>
      <w:bookmarkEnd w:id="23"/>
      <w:bookmarkEnd w:id="24"/>
    </w:p>
    <w:p w:rsidR="00C2576A" w:rsidRPr="003E022F" w:rsidRDefault="00C2576A" w:rsidP="00844D05">
      <w:pPr>
        <w:pStyle w:val="CalibriText-noindent"/>
        <w:keepNext w:val="0"/>
        <w:keepLines w:val="0"/>
        <w:rPr>
          <w:b/>
        </w:rPr>
      </w:pPr>
      <w:r w:rsidRPr="003E022F">
        <w:rPr>
          <w:b/>
        </w:rPr>
        <w:t>If the collection of information impacts small businesses or other small entities, describe any methods used to minimize burden.</w:t>
      </w:r>
    </w:p>
    <w:p w:rsidR="00C218C5" w:rsidRPr="00647FE3" w:rsidRDefault="00C218C5" w:rsidP="00844D05">
      <w:pPr>
        <w:pStyle w:val="BodyTextMemo"/>
      </w:pPr>
      <w:r w:rsidRPr="00647FE3">
        <w:t>FNS has determined that the requirements for this information collection do not adversely impact small businesses or other small entities</w:t>
      </w:r>
      <w:r w:rsidR="00977715" w:rsidRPr="00647FE3">
        <w:t xml:space="preserve">.  </w:t>
      </w:r>
      <w:r w:rsidR="0074445A">
        <w:t xml:space="preserve">There are no small businesses used in this data collection.  </w:t>
      </w:r>
      <w:r w:rsidR="00AF2F1E" w:rsidRPr="00647FE3">
        <w:t>All</w:t>
      </w:r>
      <w:r w:rsidRPr="00647FE3">
        <w:t xml:space="preserve"> </w:t>
      </w:r>
      <w:r w:rsidR="00AF2F1E" w:rsidRPr="00647FE3">
        <w:t xml:space="preserve">new </w:t>
      </w:r>
      <w:r w:rsidRPr="00647FE3">
        <w:t xml:space="preserve">data collection </w:t>
      </w:r>
      <w:r w:rsidR="00AF2F1E" w:rsidRPr="00647FE3">
        <w:t>is with State employees.</w:t>
      </w:r>
      <w:r w:rsidRPr="00647FE3">
        <w:t xml:space="preserve">  </w:t>
      </w:r>
    </w:p>
    <w:p w:rsidR="008B1EE4" w:rsidRPr="00647FE3" w:rsidRDefault="008B1EE4" w:rsidP="00887C45">
      <w:pPr>
        <w:pStyle w:val="Heading3"/>
        <w:keepNext/>
        <w:keepLines/>
      </w:pPr>
      <w:bookmarkStart w:id="25" w:name="_Toc133208876"/>
      <w:bookmarkStart w:id="26" w:name="_Toc329426278"/>
      <w:bookmarkStart w:id="27" w:name="_Toc351666580"/>
      <w:bookmarkStart w:id="28" w:name="_Toc351667639"/>
      <w:r w:rsidRPr="00647FE3">
        <w:t>A.6.</w:t>
      </w:r>
      <w:r w:rsidRPr="00647FE3">
        <w:tab/>
      </w:r>
      <w:bookmarkEnd w:id="25"/>
      <w:r w:rsidRPr="00647FE3">
        <w:t>Consequences of Collecting</w:t>
      </w:r>
      <w:r w:rsidR="001E4027" w:rsidRPr="00647FE3">
        <w:t xml:space="preserve"> the</w:t>
      </w:r>
      <w:r w:rsidRPr="00647FE3">
        <w:t xml:space="preserve"> Information Less Frequently</w:t>
      </w:r>
      <w:bookmarkEnd w:id="26"/>
      <w:bookmarkEnd w:id="27"/>
      <w:bookmarkEnd w:id="28"/>
    </w:p>
    <w:p w:rsidR="00C2576A" w:rsidRPr="003E022F" w:rsidRDefault="00C2576A" w:rsidP="00887C45">
      <w:pPr>
        <w:pStyle w:val="CalibriText-noindent"/>
        <w:rPr>
          <w:b/>
        </w:rPr>
      </w:pPr>
      <w:r w:rsidRPr="003E022F">
        <w:rPr>
          <w:b/>
        </w:rPr>
        <w:t>Describe the consequence to Federal program or policy activities if the collection is not conducted or is conducted less frequently, as well as any technical or legal obstacles to reducing burden.</w:t>
      </w:r>
    </w:p>
    <w:p w:rsidR="008B1EE4" w:rsidRPr="00647FE3" w:rsidRDefault="008B1EE4" w:rsidP="006D0525">
      <w:pPr>
        <w:pStyle w:val="BodyTextMemo"/>
        <w:keepNext/>
        <w:keepLines/>
      </w:pPr>
      <w:r w:rsidRPr="00647FE3">
        <w:t xml:space="preserve">The information collection proposed for this study consists of </w:t>
      </w:r>
      <w:r w:rsidR="00275656" w:rsidRPr="00647FE3">
        <w:t>in-depth interviews up to</w:t>
      </w:r>
      <w:r w:rsidR="00647475" w:rsidRPr="00647FE3">
        <w:t xml:space="preserve"> </w:t>
      </w:r>
      <w:r w:rsidR="00E77027" w:rsidRPr="00647FE3">
        <w:t>1</w:t>
      </w:r>
      <w:r w:rsidR="00C32329" w:rsidRPr="00647FE3">
        <w:t xml:space="preserve"> </w:t>
      </w:r>
      <w:r w:rsidR="00E77027" w:rsidRPr="00647FE3">
        <w:t>hour</w:t>
      </w:r>
      <w:r w:rsidR="00C32329" w:rsidRPr="00647FE3">
        <w:t xml:space="preserve"> in length</w:t>
      </w:r>
      <w:r w:rsidR="00D325BA" w:rsidRPr="00647FE3">
        <w:t xml:space="preserve"> with various State QC staff in 6 States during site visits and</w:t>
      </w:r>
      <w:r w:rsidR="00275656" w:rsidRPr="00647FE3">
        <w:t xml:space="preserve"> </w:t>
      </w:r>
      <w:r w:rsidR="003252BB">
        <w:t>30</w:t>
      </w:r>
      <w:r w:rsidR="00275656" w:rsidRPr="00647FE3">
        <w:t>-minute</w:t>
      </w:r>
      <w:r w:rsidR="00D325BA" w:rsidRPr="00647FE3">
        <w:t xml:space="preserve"> Web or telephone</w:t>
      </w:r>
      <w:r w:rsidR="00275656" w:rsidRPr="00647FE3">
        <w:t xml:space="preserve"> surveys</w:t>
      </w:r>
      <w:r w:rsidR="00C32329" w:rsidRPr="00647FE3">
        <w:t xml:space="preserve"> with State staff</w:t>
      </w:r>
      <w:r w:rsidR="00D325BA" w:rsidRPr="00647FE3">
        <w:t xml:space="preserve"> in the remaining 4</w:t>
      </w:r>
      <w:r w:rsidR="004E2BEB">
        <w:t>5</w:t>
      </w:r>
      <w:r w:rsidR="00D325BA" w:rsidRPr="00647FE3">
        <w:t xml:space="preserve"> States</w:t>
      </w:r>
      <w:r w:rsidR="004E2BEB">
        <w:t>, excluding 2 States that participated in pre-tests of the surveys and interviews</w:t>
      </w:r>
      <w:r w:rsidR="00275656" w:rsidRPr="00647FE3">
        <w:t xml:space="preserve">. </w:t>
      </w:r>
      <w:r w:rsidR="006D0525" w:rsidRPr="00647FE3">
        <w:t xml:space="preserve"> </w:t>
      </w:r>
      <w:r w:rsidRPr="00647FE3">
        <w:t xml:space="preserve">If </w:t>
      </w:r>
      <w:r w:rsidR="00275656" w:rsidRPr="00647FE3">
        <w:t xml:space="preserve">these data </w:t>
      </w:r>
      <w:r w:rsidRPr="00647FE3">
        <w:t xml:space="preserve">are not </w:t>
      </w:r>
      <w:r w:rsidR="00C32329" w:rsidRPr="00647FE3">
        <w:t>collected</w:t>
      </w:r>
      <w:r w:rsidRPr="00647FE3">
        <w:t xml:space="preserve">, </w:t>
      </w:r>
      <w:r w:rsidR="008732D9" w:rsidRPr="00647FE3">
        <w:t>USDA</w:t>
      </w:r>
      <w:r w:rsidRPr="00647FE3">
        <w:t xml:space="preserve"> will not have critical information for </w:t>
      </w:r>
      <w:r w:rsidR="008732D9" w:rsidRPr="00647FE3">
        <w:t xml:space="preserve">assessing the </w:t>
      </w:r>
      <w:r w:rsidR="00275656" w:rsidRPr="00647FE3">
        <w:t>causes of incomplete QC reviews and improving the integrity of the QC process</w:t>
      </w:r>
      <w:r w:rsidR="008732D9" w:rsidRPr="00647FE3">
        <w:t>.</w:t>
      </w:r>
      <w:r w:rsidRPr="00647FE3">
        <w:t xml:space="preserve"> </w:t>
      </w:r>
    </w:p>
    <w:p w:rsidR="008B1EE4" w:rsidRPr="00647FE3" w:rsidRDefault="008B1EE4" w:rsidP="00844D05">
      <w:pPr>
        <w:pStyle w:val="Heading3"/>
      </w:pPr>
      <w:bookmarkStart w:id="29" w:name="_Toc133208877"/>
      <w:bookmarkStart w:id="30" w:name="_Toc329426279"/>
      <w:bookmarkStart w:id="31" w:name="_Toc351666581"/>
      <w:bookmarkStart w:id="32" w:name="_Toc351667640"/>
      <w:r w:rsidRPr="00647FE3">
        <w:t>A.7.</w:t>
      </w:r>
      <w:r w:rsidRPr="00647FE3">
        <w:tab/>
      </w:r>
      <w:bookmarkEnd w:id="29"/>
      <w:r w:rsidRPr="00647FE3">
        <w:t xml:space="preserve">Special Circumstances Relating to the Guideline of </w:t>
      </w:r>
      <w:r w:rsidR="001E4027" w:rsidRPr="00647FE3">
        <w:t xml:space="preserve">5 </w:t>
      </w:r>
      <w:r w:rsidRPr="00647FE3">
        <w:t>CFR 1320.5</w:t>
      </w:r>
      <w:bookmarkEnd w:id="30"/>
      <w:bookmarkEnd w:id="31"/>
      <w:bookmarkEnd w:id="32"/>
    </w:p>
    <w:p w:rsidR="00C2576A" w:rsidRPr="003E022F" w:rsidRDefault="00C2576A" w:rsidP="00977715">
      <w:pPr>
        <w:pStyle w:val="CalibriText-noindent"/>
        <w:keepNext w:val="0"/>
        <w:keepLines w:val="0"/>
        <w:widowControl w:val="0"/>
        <w:rPr>
          <w:b/>
        </w:rPr>
      </w:pPr>
      <w:r w:rsidRPr="003E022F">
        <w:rPr>
          <w:b/>
        </w:rPr>
        <w:t xml:space="preserve">Explain any special circumstances that would cause an information collection to be conducted </w:t>
      </w:r>
      <w:r w:rsidRPr="003E022F">
        <w:rPr>
          <w:b/>
        </w:rPr>
        <w:lastRenderedPageBreak/>
        <w:t>in a manner:</w:t>
      </w:r>
    </w:p>
    <w:p w:rsidR="00C2576A" w:rsidRPr="003E022F" w:rsidRDefault="004B6E44" w:rsidP="00977715">
      <w:pPr>
        <w:pStyle w:val="CalibriText-noindent"/>
        <w:keepNext w:val="0"/>
        <w:keepLines w:val="0"/>
        <w:widowControl w:val="0"/>
        <w:numPr>
          <w:ilvl w:val="0"/>
          <w:numId w:val="28"/>
        </w:numPr>
        <w:rPr>
          <w:b/>
        </w:rPr>
      </w:pPr>
      <w:r w:rsidRPr="003E022F">
        <w:rPr>
          <w:b/>
        </w:rPr>
        <w:t>Requiring respond</w:t>
      </w:r>
      <w:r w:rsidR="00C2576A" w:rsidRPr="003E022F">
        <w:rPr>
          <w:b/>
        </w:rPr>
        <w:t xml:space="preserve">ents to report information to the </w:t>
      </w:r>
      <w:r w:rsidR="00B763A3" w:rsidRPr="003E022F">
        <w:rPr>
          <w:b/>
        </w:rPr>
        <w:t>a</w:t>
      </w:r>
      <w:r w:rsidR="00C2576A" w:rsidRPr="003E022F">
        <w:rPr>
          <w:b/>
        </w:rPr>
        <w:t>gency more often than quarterly</w:t>
      </w:r>
    </w:p>
    <w:p w:rsidR="00C2576A" w:rsidRPr="003E022F" w:rsidRDefault="004B6E44" w:rsidP="00977715">
      <w:pPr>
        <w:pStyle w:val="CalibriText-noindent"/>
        <w:keepNext w:val="0"/>
        <w:keepLines w:val="0"/>
        <w:widowControl w:val="0"/>
        <w:numPr>
          <w:ilvl w:val="0"/>
          <w:numId w:val="28"/>
        </w:numPr>
        <w:rPr>
          <w:b/>
        </w:rPr>
      </w:pPr>
      <w:r w:rsidRPr="003E022F">
        <w:rPr>
          <w:b/>
        </w:rPr>
        <w:t>Requiring respondents to prepare a written response to a collection of information in fewer than 30 days after receipt of it</w:t>
      </w:r>
    </w:p>
    <w:p w:rsidR="00C2576A" w:rsidRPr="003E022F" w:rsidRDefault="004B6E44" w:rsidP="00977715">
      <w:pPr>
        <w:pStyle w:val="CalibriText-noindent"/>
        <w:keepNext w:val="0"/>
        <w:keepLines w:val="0"/>
        <w:widowControl w:val="0"/>
        <w:numPr>
          <w:ilvl w:val="0"/>
          <w:numId w:val="28"/>
        </w:numPr>
        <w:rPr>
          <w:b/>
        </w:rPr>
      </w:pPr>
      <w:r w:rsidRPr="003E022F">
        <w:rPr>
          <w:b/>
        </w:rPr>
        <w:t xml:space="preserve">Requiring respondents to submit more than an original and two </w:t>
      </w:r>
      <w:r w:rsidR="00C2576A" w:rsidRPr="003E022F">
        <w:rPr>
          <w:b/>
        </w:rPr>
        <w:t>copies of any document</w:t>
      </w:r>
    </w:p>
    <w:p w:rsidR="00C2576A" w:rsidRPr="003E022F" w:rsidRDefault="004B6E44" w:rsidP="00977715">
      <w:pPr>
        <w:pStyle w:val="CalibriText-noindent"/>
        <w:keepNext w:val="0"/>
        <w:keepLines w:val="0"/>
        <w:widowControl w:val="0"/>
        <w:numPr>
          <w:ilvl w:val="0"/>
          <w:numId w:val="28"/>
        </w:numPr>
        <w:rPr>
          <w:b/>
        </w:rPr>
      </w:pPr>
      <w:r w:rsidRPr="003E022F">
        <w:rPr>
          <w:b/>
        </w:rPr>
        <w:t>Requiring respondents to retain records other than health, medical, government contract, grant-in-aid, or tax records for more than 3 years</w:t>
      </w:r>
    </w:p>
    <w:p w:rsidR="00C2576A" w:rsidRPr="003E022F" w:rsidRDefault="004B6E44" w:rsidP="00977715">
      <w:pPr>
        <w:pStyle w:val="CalibriText-noindent"/>
        <w:keepNext w:val="0"/>
        <w:keepLines w:val="0"/>
        <w:widowControl w:val="0"/>
        <w:numPr>
          <w:ilvl w:val="0"/>
          <w:numId w:val="28"/>
        </w:numPr>
        <w:rPr>
          <w:b/>
        </w:rPr>
      </w:pPr>
      <w:r w:rsidRPr="003E022F">
        <w:rPr>
          <w:b/>
        </w:rPr>
        <w:t>In connection with a statistical survey that is not designed to produce valid and rel</w:t>
      </w:r>
      <w:r w:rsidR="00C2576A" w:rsidRPr="003E022F">
        <w:rPr>
          <w:b/>
        </w:rPr>
        <w:t>iable results that can be generalized to the universe of study</w:t>
      </w:r>
    </w:p>
    <w:p w:rsidR="00C2576A" w:rsidRPr="003E022F" w:rsidRDefault="004B6E44" w:rsidP="00977715">
      <w:pPr>
        <w:pStyle w:val="CalibriText-noindent"/>
        <w:keepNext w:val="0"/>
        <w:keepLines w:val="0"/>
        <w:widowControl w:val="0"/>
        <w:numPr>
          <w:ilvl w:val="0"/>
          <w:numId w:val="28"/>
        </w:numPr>
        <w:rPr>
          <w:b/>
        </w:rPr>
      </w:pPr>
      <w:r w:rsidRPr="003E022F">
        <w:rPr>
          <w:b/>
        </w:rPr>
        <w:t>Requiring the use of a statistical data classification that has not been reviewed and approved by OMB</w:t>
      </w:r>
    </w:p>
    <w:p w:rsidR="00C2576A" w:rsidRPr="003E022F" w:rsidRDefault="004B6E44" w:rsidP="00977715">
      <w:pPr>
        <w:pStyle w:val="CalibriText-noindent"/>
        <w:keepNext w:val="0"/>
        <w:keepLines w:val="0"/>
        <w:widowControl w:val="0"/>
        <w:numPr>
          <w:ilvl w:val="0"/>
          <w:numId w:val="28"/>
        </w:numPr>
        <w:rPr>
          <w:b/>
        </w:rPr>
      </w:pPr>
      <w:r w:rsidRPr="003E022F">
        <w:rPr>
          <w:b/>
        </w:rPr>
        <w:t xml:space="preserve">That includes a pledge of confidentiality that is not supported by authority established </w:t>
      </w:r>
      <w:r w:rsidR="00C2576A" w:rsidRPr="003E022F">
        <w:rPr>
          <w:b/>
        </w:rPr>
        <w:t>in statute or regulation, that is not supported by disclosure and data security policies that are consistent with the pledge, or which unnecessarily impedes sharing of data with other agencies for compatible confidential use</w:t>
      </w:r>
    </w:p>
    <w:p w:rsidR="00C2576A" w:rsidRPr="003E022F" w:rsidRDefault="004B6E44" w:rsidP="00977715">
      <w:pPr>
        <w:pStyle w:val="CalibriText-noindent"/>
        <w:keepNext w:val="0"/>
        <w:keepLines w:val="0"/>
        <w:widowControl w:val="0"/>
        <w:numPr>
          <w:ilvl w:val="0"/>
          <w:numId w:val="28"/>
        </w:numPr>
        <w:rPr>
          <w:b/>
        </w:rPr>
      </w:pPr>
      <w:r w:rsidRPr="003E022F">
        <w:rPr>
          <w:b/>
        </w:rPr>
        <w:t>Requiring respondents to su</w:t>
      </w:r>
      <w:r w:rsidR="00C2576A" w:rsidRPr="003E022F">
        <w:rPr>
          <w:b/>
        </w:rPr>
        <w:t xml:space="preserve">bmit proprietary trade secret or other confidential information unless the </w:t>
      </w:r>
      <w:r w:rsidR="00B763A3" w:rsidRPr="003E022F">
        <w:rPr>
          <w:b/>
        </w:rPr>
        <w:t>a</w:t>
      </w:r>
      <w:r w:rsidR="00C2576A" w:rsidRPr="003E022F">
        <w:rPr>
          <w:b/>
        </w:rPr>
        <w:t>gency can demonstrate that it has instituted procedures to protect the information's confidentiality to the extent permitted by law</w:t>
      </w:r>
      <w:r w:rsidR="003252BB">
        <w:rPr>
          <w:b/>
        </w:rPr>
        <w:t>.</w:t>
      </w:r>
    </w:p>
    <w:p w:rsidR="008B1EE4" w:rsidRPr="004E2BEB" w:rsidRDefault="008B1EE4" w:rsidP="00844D05">
      <w:pPr>
        <w:pStyle w:val="BTextDouble"/>
        <w:rPr>
          <w:rFonts w:cs="Times New Roman"/>
          <w:sz w:val="22"/>
          <w:szCs w:val="22"/>
        </w:rPr>
      </w:pPr>
      <w:r w:rsidRPr="004E2BEB">
        <w:rPr>
          <w:rFonts w:cs="Times New Roman"/>
          <w:sz w:val="22"/>
          <w:szCs w:val="22"/>
        </w:rPr>
        <w:t>There are no special circumstances</w:t>
      </w:r>
      <w:r w:rsidR="00A36AE6" w:rsidRPr="004E2BEB">
        <w:rPr>
          <w:rFonts w:cs="Times New Roman"/>
          <w:sz w:val="22"/>
          <w:szCs w:val="22"/>
        </w:rPr>
        <w:t xml:space="preserve">.  </w:t>
      </w:r>
      <w:r w:rsidRPr="004E2BEB">
        <w:rPr>
          <w:rFonts w:cs="Times New Roman"/>
          <w:sz w:val="22"/>
          <w:szCs w:val="22"/>
        </w:rPr>
        <w:t>The collection of information is conducted in a manner consistent with the guidelines in 5</w:t>
      </w:r>
      <w:r w:rsidR="004573A4" w:rsidRPr="004E2BEB">
        <w:rPr>
          <w:rFonts w:cs="Times New Roman"/>
          <w:sz w:val="22"/>
          <w:szCs w:val="22"/>
        </w:rPr>
        <w:t>.</w:t>
      </w:r>
      <w:r w:rsidRPr="004E2BEB">
        <w:rPr>
          <w:rFonts w:cs="Times New Roman"/>
          <w:sz w:val="22"/>
          <w:szCs w:val="22"/>
        </w:rPr>
        <w:t xml:space="preserve">CFR 1320.5. </w:t>
      </w:r>
    </w:p>
    <w:p w:rsidR="008B1EE4" w:rsidRPr="00647FE3" w:rsidRDefault="008B1EE4" w:rsidP="00844D05">
      <w:pPr>
        <w:pStyle w:val="Heading3"/>
      </w:pPr>
      <w:bookmarkStart w:id="33" w:name="_Toc133208878"/>
      <w:bookmarkStart w:id="34" w:name="_Toc329426280"/>
      <w:bookmarkStart w:id="35" w:name="_Toc351666582"/>
      <w:bookmarkStart w:id="36" w:name="_Toc351667641"/>
      <w:r w:rsidRPr="00647FE3">
        <w:t>A.8.</w:t>
      </w:r>
      <w:r w:rsidRPr="00647FE3">
        <w:tab/>
      </w:r>
      <w:bookmarkEnd w:id="33"/>
      <w:r w:rsidRPr="00647FE3">
        <w:t>Comments in Response to the Federal Register Notice and Efforts to Consult Outside Agency</w:t>
      </w:r>
      <w:bookmarkEnd w:id="34"/>
      <w:bookmarkEnd w:id="35"/>
      <w:bookmarkEnd w:id="36"/>
    </w:p>
    <w:p w:rsidR="00C2576A" w:rsidRPr="003E022F" w:rsidRDefault="00C2576A" w:rsidP="00977715">
      <w:pPr>
        <w:pStyle w:val="CalibriText-noindent"/>
        <w:rPr>
          <w:b/>
        </w:rPr>
      </w:pPr>
      <w:r w:rsidRPr="003E022F">
        <w:rPr>
          <w:b/>
        </w:rPr>
        <w:t>If applicable, provide a copy and identify the date and page number of publication in the Federal Register of the agency’s notice, soliciting comments on the information collection prior to submission to OMB</w:t>
      </w:r>
      <w:r w:rsidR="00977715" w:rsidRPr="003E022F">
        <w:rPr>
          <w:b/>
        </w:rPr>
        <w:t xml:space="preserve">.  </w:t>
      </w:r>
      <w:r w:rsidRPr="003E022F">
        <w:rPr>
          <w:b/>
        </w:rPr>
        <w:t>Summarize public comments received in response to that notice and describe actions taken by the agency in response to these comments.</w:t>
      </w:r>
    </w:p>
    <w:p w:rsidR="00C2576A" w:rsidRPr="003E022F" w:rsidRDefault="00C2576A" w:rsidP="00977715">
      <w:pPr>
        <w:pStyle w:val="CalibriText-noindent"/>
        <w:rPr>
          <w:b/>
        </w:rPr>
      </w:pPr>
      <w:r w:rsidRPr="003E022F">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C2576A" w:rsidRPr="00647FE3" w:rsidRDefault="00C2576A" w:rsidP="00844D05">
      <w:pPr>
        <w:pStyle w:val="CalibriText-noindent"/>
        <w:keepNext w:val="0"/>
        <w:keepLines w:val="0"/>
        <w:numPr>
          <w:ilvl w:val="0"/>
          <w:numId w:val="27"/>
        </w:numPr>
      </w:pPr>
      <w:r w:rsidRPr="003E022F">
        <w:rPr>
          <w:b/>
        </w:rPr>
        <w:t>Federal Register Notice and Comments</w:t>
      </w:r>
    </w:p>
    <w:p w:rsidR="008B1EE4" w:rsidRPr="0048536B" w:rsidRDefault="00CA6A51" w:rsidP="00844D05">
      <w:pPr>
        <w:pStyle w:val="BodyTextMemo"/>
      </w:pPr>
      <w:r>
        <w:lastRenderedPageBreak/>
        <w:t>A 60-day public comment</w:t>
      </w:r>
      <w:r w:rsidRPr="00647FE3">
        <w:t xml:space="preserve"> </w:t>
      </w:r>
      <w:r w:rsidR="008B1EE4" w:rsidRPr="00647FE3">
        <w:t>notice required by 5</w:t>
      </w:r>
      <w:r w:rsidR="00856FDB" w:rsidRPr="00647FE3">
        <w:t>.</w:t>
      </w:r>
      <w:r w:rsidR="008B1EE4" w:rsidRPr="00647FE3">
        <w:t>CFR 1320.8(d) was published in the Federal Register on</w:t>
      </w:r>
      <w:r w:rsidR="00C4513D" w:rsidRPr="00647FE3">
        <w:t xml:space="preserve"> </w:t>
      </w:r>
      <w:r w:rsidR="002C59CF">
        <w:t>July 26, 2013</w:t>
      </w:r>
      <w:r w:rsidR="00057DA1">
        <w:t xml:space="preserve"> in Volume 78</w:t>
      </w:r>
      <w:r w:rsidR="008B1EE4" w:rsidRPr="00647FE3">
        <w:t xml:space="preserve">, Number </w:t>
      </w:r>
      <w:r w:rsidR="0074445A">
        <w:t>144</w:t>
      </w:r>
      <w:r w:rsidR="00057DA1">
        <w:t>,</w:t>
      </w:r>
      <w:r w:rsidR="008B1EE4" w:rsidRPr="00647FE3">
        <w:t xml:space="preserve"> pages</w:t>
      </w:r>
      <w:r w:rsidR="00C4513D" w:rsidRPr="00647FE3">
        <w:t xml:space="preserve"> </w:t>
      </w:r>
      <w:r w:rsidR="00057DA1">
        <w:t>45173</w:t>
      </w:r>
      <w:r w:rsidR="008B1EE4" w:rsidRPr="00647FE3">
        <w:t xml:space="preserve"> </w:t>
      </w:r>
      <w:r w:rsidR="00856FDB" w:rsidRPr="00647FE3">
        <w:t>–</w:t>
      </w:r>
      <w:r w:rsidR="00057DA1">
        <w:t xml:space="preserve"> 45176</w:t>
      </w:r>
      <w:r w:rsidR="00A36AE6" w:rsidRPr="00647FE3">
        <w:t xml:space="preserve">.  </w:t>
      </w:r>
      <w:r w:rsidR="0074445A">
        <w:t xml:space="preserve">A correction notice was published in the Federal Register on August 7, 2013 in Volume 78, Number 152, pages 48135-48136.  </w:t>
      </w:r>
      <w:bookmarkStart w:id="37" w:name="_GoBack"/>
      <w:bookmarkEnd w:id="37"/>
      <w:r w:rsidR="00225221">
        <w:t>One public comment was received during the 60-day period. However no response was provided because the comment is not relevant to the information collection.</w:t>
      </w:r>
    </w:p>
    <w:p w:rsidR="00CA6A51" w:rsidRPr="004E2BEB" w:rsidRDefault="00CA6A51" w:rsidP="00CA6A51">
      <w:pPr>
        <w:pStyle w:val="CalibriText-noindent"/>
        <w:keepNext w:val="0"/>
        <w:keepLines w:val="0"/>
        <w:numPr>
          <w:ilvl w:val="0"/>
          <w:numId w:val="27"/>
        </w:numPr>
        <w:rPr>
          <w:b/>
        </w:rPr>
      </w:pPr>
      <w:r w:rsidRPr="004E2BEB">
        <w:rPr>
          <w:b/>
        </w:rPr>
        <w:t>Consultations Outside of the Agency</w:t>
      </w:r>
    </w:p>
    <w:p w:rsidR="008B1EE4" w:rsidRDefault="00CA6A51" w:rsidP="00661907">
      <w:pPr>
        <w:pStyle w:val="BodyTextMemo"/>
      </w:pPr>
      <w:r>
        <w:t>T</w:t>
      </w:r>
      <w:r w:rsidR="007E007A">
        <w:t>he d</w:t>
      </w:r>
      <w:r w:rsidR="00475AE6">
        <w:t>ata collection instruments were</w:t>
      </w:r>
      <w:r w:rsidR="003E022F">
        <w:t xml:space="preserve"> </w:t>
      </w:r>
      <w:r w:rsidR="00475AE6">
        <w:t xml:space="preserve">pre-tested externally with State QC staff to determine whether questions were written appropriately and captured data most relevant to the research questions and objectives. </w:t>
      </w:r>
      <w:r w:rsidR="00C25AB2">
        <w:t xml:space="preserve"> As survey participants, these individuals provided input to the research team about the survey questions, such as which questions were unclear or difficult to answer.  </w:t>
      </w:r>
      <w:r w:rsidR="00661907">
        <w:t xml:space="preserve">In addition, as QC professionals, these pre-testers were experts in the subject matter and provided input on the content of the questions, including which questions were inappropriate and what questions should be included.  </w:t>
      </w:r>
      <w:r w:rsidR="00475AE6">
        <w:t>This feedback was then used to refine and finalize the data collection instruments included in this package for OMB clearance.</w:t>
      </w:r>
      <w:r w:rsidR="009B7503">
        <w:t xml:space="preserve">  The QC staff who advised us on the survey content included the North Carolina QC Director, Pat Moore (phone: (919) 527-6282), and the District of Columbia QC Director, Mattie Pounds (phone:  (202) 673-4572).</w:t>
      </w:r>
    </w:p>
    <w:p w:rsidR="00CA6A51" w:rsidRPr="00647FE3" w:rsidRDefault="00CA6A51" w:rsidP="00475AE6">
      <w:pPr>
        <w:pStyle w:val="BodyTextMemo"/>
      </w:pPr>
      <w:r>
        <w:t xml:space="preserve">We </w:t>
      </w:r>
      <w:r w:rsidR="00661907">
        <w:t xml:space="preserve">also </w:t>
      </w:r>
      <w:r>
        <w:t>consulted with outside experts at the Statistics Division, NASS/USDA (phone:  202-609-0901) who reviewed sampling and statistical methodologies for the National Agriculture Statistics Service.</w:t>
      </w:r>
      <w:r w:rsidR="009A4E95">
        <w:t xml:space="preserve">  The review from NASS and our response to their comments are provided in Attachment C. </w:t>
      </w:r>
    </w:p>
    <w:p w:rsidR="008B1EE4" w:rsidRPr="00647FE3" w:rsidRDefault="008B1EE4" w:rsidP="00087CFA">
      <w:pPr>
        <w:pStyle w:val="Heading3"/>
        <w:keepNext/>
        <w:keepLines/>
      </w:pPr>
      <w:bookmarkStart w:id="38" w:name="_Toc133208880"/>
      <w:bookmarkStart w:id="39" w:name="_Toc329426281"/>
      <w:bookmarkStart w:id="40" w:name="_Toc351666583"/>
      <w:bookmarkStart w:id="41" w:name="_Toc351667642"/>
      <w:r w:rsidRPr="00647FE3">
        <w:t>A.9.</w:t>
      </w:r>
      <w:r w:rsidRPr="00647FE3">
        <w:tab/>
      </w:r>
      <w:bookmarkEnd w:id="38"/>
      <w:r w:rsidRPr="00647FE3">
        <w:t>Explanation of Any Payment or Gift to Respondents</w:t>
      </w:r>
      <w:bookmarkEnd w:id="39"/>
      <w:bookmarkEnd w:id="40"/>
      <w:bookmarkEnd w:id="41"/>
    </w:p>
    <w:p w:rsidR="00C2576A" w:rsidRPr="003E022F" w:rsidRDefault="00C2576A" w:rsidP="00087CFA">
      <w:pPr>
        <w:pStyle w:val="CalibriText-noindent"/>
        <w:rPr>
          <w:b/>
        </w:rPr>
      </w:pPr>
      <w:r w:rsidRPr="003E022F">
        <w:rPr>
          <w:b/>
        </w:rPr>
        <w:t>Explain any decision to provide any payment or gift to respondents, other than remuneration of contractors or grantees.</w:t>
      </w:r>
    </w:p>
    <w:p w:rsidR="008B1EE4" w:rsidRPr="00647FE3" w:rsidRDefault="008B1EE4" w:rsidP="00844D05">
      <w:pPr>
        <w:pStyle w:val="BodyTextMemo"/>
      </w:pPr>
      <w:r w:rsidRPr="00647FE3">
        <w:t xml:space="preserve">No payment or gift will be offered to </w:t>
      </w:r>
      <w:r w:rsidR="0027285C" w:rsidRPr="00647FE3">
        <w:t>interview or survey respondents</w:t>
      </w:r>
      <w:r w:rsidR="008732D9" w:rsidRPr="00647FE3">
        <w:t xml:space="preserve">. </w:t>
      </w:r>
    </w:p>
    <w:p w:rsidR="008B1EE4" w:rsidRPr="00647FE3" w:rsidRDefault="008B1EE4" w:rsidP="00887C45">
      <w:pPr>
        <w:pStyle w:val="Heading3"/>
        <w:keepNext/>
        <w:keepLines/>
      </w:pPr>
      <w:bookmarkStart w:id="42" w:name="_Toc133208881"/>
      <w:bookmarkStart w:id="43" w:name="_Toc329426282"/>
      <w:bookmarkStart w:id="44" w:name="_Toc351666584"/>
      <w:bookmarkStart w:id="45" w:name="_Toc351667643"/>
      <w:r w:rsidRPr="00647FE3">
        <w:lastRenderedPageBreak/>
        <w:t>A.10.</w:t>
      </w:r>
      <w:r w:rsidRPr="00647FE3">
        <w:tab/>
        <w:t>Assurance of Confidentiality</w:t>
      </w:r>
      <w:bookmarkEnd w:id="42"/>
      <w:r w:rsidRPr="00647FE3">
        <w:t xml:space="preserve"> Provided to Respondents</w:t>
      </w:r>
      <w:bookmarkEnd w:id="43"/>
      <w:bookmarkEnd w:id="44"/>
      <w:bookmarkEnd w:id="45"/>
    </w:p>
    <w:p w:rsidR="00C2576A" w:rsidRPr="003E022F" w:rsidRDefault="00C2576A" w:rsidP="00977715">
      <w:pPr>
        <w:pStyle w:val="CalibriText-noindent"/>
        <w:rPr>
          <w:b/>
        </w:rPr>
      </w:pPr>
      <w:r w:rsidRPr="003E022F">
        <w:rPr>
          <w:b/>
        </w:rPr>
        <w:t>Describe any assurance of confidentiality provided to respondents and the basis for the assurance in statute, regulation, or agency policy.</w:t>
      </w:r>
    </w:p>
    <w:p w:rsidR="006468DE" w:rsidRPr="00647FE3" w:rsidRDefault="007126B6" w:rsidP="00887C45">
      <w:pPr>
        <w:pStyle w:val="BodyTextMemo"/>
        <w:keepNext/>
        <w:keepLines/>
      </w:pPr>
      <w:r w:rsidRPr="00647FE3">
        <w:t xml:space="preserve">Participants in this study will be subject to safeguards as provided by the Privacy Act of 1974 (5 USC 552a), which requires the safeguarding of individuals against invasion of privacy. </w:t>
      </w:r>
      <w:r w:rsidR="00647FE3">
        <w:t xml:space="preserve"> </w:t>
      </w:r>
      <w:r w:rsidRPr="00647FE3">
        <w:t>The Privacy Act also provides for the confidential treatment of records maintained by a Federal agency according to either the individual’s name or some other identifier.</w:t>
      </w:r>
    </w:p>
    <w:p w:rsidR="0067178F" w:rsidRPr="00647FE3" w:rsidRDefault="007126B6" w:rsidP="00844D05">
      <w:pPr>
        <w:pStyle w:val="BodyTextMemo"/>
      </w:pPr>
      <w:r w:rsidRPr="00647FE3">
        <w:t xml:space="preserve">A system of record notice (SORN) titled </w:t>
      </w:r>
      <w:r w:rsidRPr="00647FE3">
        <w:rPr>
          <w:u w:val="single"/>
        </w:rPr>
        <w:t>FNS-8 USDA/FNS Studies and Reports</w:t>
      </w:r>
      <w:r w:rsidRPr="00647FE3">
        <w:t xml:space="preserve"> in the Federal Register on </w:t>
      </w:r>
      <w:r w:rsidR="00F409A7" w:rsidRPr="00647FE3">
        <w:t>April 25, 1991, Volume 56, Pages 19078-19080</w:t>
      </w:r>
      <w:r w:rsidR="00C32329" w:rsidRPr="00647FE3">
        <w:t>,</w:t>
      </w:r>
      <w:r w:rsidR="00F409A7" w:rsidRPr="00647FE3">
        <w:t xml:space="preserve"> </w:t>
      </w:r>
      <w:r w:rsidRPr="00647FE3">
        <w:t xml:space="preserve">discusses the terms of protections that will be provided to respondents.  </w:t>
      </w:r>
      <w:r w:rsidR="0067178F" w:rsidRPr="00647FE3">
        <w:t>Interviewees will also be assured that no individually identifiable information will be included with any response</w:t>
      </w:r>
      <w:r w:rsidR="006666FE" w:rsidRPr="00647FE3">
        <w:t xml:space="preserve">; every effort will be made </w:t>
      </w:r>
      <w:r w:rsidR="004B26A2" w:rsidRPr="00647FE3">
        <w:t>during</w:t>
      </w:r>
      <w:r w:rsidR="006666FE" w:rsidRPr="00647FE3">
        <w:t xml:space="preserve"> reporting to minimize the extent to which the identities of respondents can be inferred from the data by not </w:t>
      </w:r>
      <w:r w:rsidR="002239B6" w:rsidRPr="00647FE3">
        <w:t>specifying States or locations.</w:t>
      </w:r>
      <w:r w:rsidR="0067178F" w:rsidRPr="00647FE3">
        <w:t xml:space="preserve">  Furthermore, the link between any response and any individual will be secured by </w:t>
      </w:r>
      <w:r w:rsidR="0015595F">
        <w:t xml:space="preserve">Insight </w:t>
      </w:r>
      <w:r w:rsidR="0067178F" w:rsidRPr="00647FE3">
        <w:t xml:space="preserve">in a locked (hard copy) or encrypted (computer) file and destroyed at the conclusion of the study pursuant to applicable USDA regulations.  </w:t>
      </w:r>
    </w:p>
    <w:p w:rsidR="008B1EE4" w:rsidRPr="00647FE3" w:rsidRDefault="008B1EE4" w:rsidP="00844D05">
      <w:pPr>
        <w:pStyle w:val="BodyTextMemo"/>
      </w:pPr>
      <w:r w:rsidRPr="00647FE3">
        <w:t>All</w:t>
      </w:r>
      <w:r w:rsidR="00AC76EC" w:rsidRPr="00647FE3">
        <w:t xml:space="preserve"> </w:t>
      </w:r>
      <w:r w:rsidR="00C4513D" w:rsidRPr="00647FE3">
        <w:t>interviewers</w:t>
      </w:r>
      <w:r w:rsidR="00AC76EC" w:rsidRPr="00647FE3">
        <w:t xml:space="preserve"> </w:t>
      </w:r>
      <w:r w:rsidR="00856FDB" w:rsidRPr="00647FE3">
        <w:t>at Insight</w:t>
      </w:r>
      <w:r w:rsidRPr="00647FE3">
        <w:t xml:space="preserve"> Policy Research </w:t>
      </w:r>
      <w:r w:rsidR="00AC76EC" w:rsidRPr="00647FE3">
        <w:t xml:space="preserve">(who will conduct </w:t>
      </w:r>
      <w:r w:rsidR="0067178F" w:rsidRPr="00647FE3">
        <w:t>site visits</w:t>
      </w:r>
      <w:r w:rsidR="004B26A2" w:rsidRPr="00647FE3">
        <w:t xml:space="preserve"> and</w:t>
      </w:r>
      <w:r w:rsidR="0067178F" w:rsidRPr="00647FE3">
        <w:t xml:space="preserve"> in-depth interviews</w:t>
      </w:r>
      <w:r w:rsidR="00742DE3" w:rsidRPr="00647FE3">
        <w:t xml:space="preserve"> and who will </w:t>
      </w:r>
      <w:r w:rsidR="00475AE6">
        <w:t>analyze</w:t>
      </w:r>
      <w:r w:rsidR="00742DE3" w:rsidRPr="00647FE3">
        <w:t xml:space="preserve"> the survey responses</w:t>
      </w:r>
      <w:r w:rsidR="00AC76EC" w:rsidRPr="00647FE3">
        <w:t xml:space="preserve">) </w:t>
      </w:r>
      <w:r w:rsidRPr="00647FE3">
        <w:t xml:space="preserve">and ICF </w:t>
      </w:r>
      <w:r w:rsidR="00927BE3" w:rsidRPr="00647FE3">
        <w:t xml:space="preserve">International </w:t>
      </w:r>
      <w:r w:rsidRPr="00647FE3">
        <w:t xml:space="preserve">data collection staff </w:t>
      </w:r>
      <w:r w:rsidR="00AC76EC" w:rsidRPr="00647FE3">
        <w:t xml:space="preserve">(who will conduct </w:t>
      </w:r>
      <w:r w:rsidR="002239B6" w:rsidRPr="00647FE3">
        <w:t>the</w:t>
      </w:r>
      <w:r w:rsidR="00AC76EC" w:rsidRPr="00647FE3">
        <w:t xml:space="preserve"> </w:t>
      </w:r>
      <w:r w:rsidR="00742DE3" w:rsidRPr="00647FE3">
        <w:t xml:space="preserve">Web and </w:t>
      </w:r>
      <w:r w:rsidR="00D325BA" w:rsidRPr="00647FE3">
        <w:t xml:space="preserve">telephone </w:t>
      </w:r>
      <w:r w:rsidR="00AC76EC" w:rsidRPr="00647FE3">
        <w:t xml:space="preserve">surveys) </w:t>
      </w:r>
      <w:r w:rsidRPr="00647FE3">
        <w:t xml:space="preserve">are required to sign a data confidentiality pledge </w:t>
      </w:r>
      <w:r w:rsidR="007954D6" w:rsidRPr="00647FE3">
        <w:t xml:space="preserve">(see Attachment B) </w:t>
      </w:r>
      <w:r w:rsidRPr="00647FE3">
        <w:t xml:space="preserve">associated specifically with this study.  </w:t>
      </w:r>
      <w:r w:rsidR="007126B6" w:rsidRPr="00647FE3">
        <w:t>In this agreement, the staff pledges to maintain the privacy of all information collected from the respondents and to not disclose it to anyone other than authorized representatives of the study, except as otherwise required by law.</w:t>
      </w:r>
      <w:r w:rsidR="008A459B" w:rsidRPr="00647FE3">
        <w:t xml:space="preserve">  </w:t>
      </w:r>
    </w:p>
    <w:p w:rsidR="008B1EE4" w:rsidRPr="00647FE3" w:rsidRDefault="008B1EE4" w:rsidP="00887C45">
      <w:pPr>
        <w:pStyle w:val="Heading3"/>
        <w:keepNext/>
        <w:keepLines/>
      </w:pPr>
      <w:bookmarkStart w:id="46" w:name="_Toc133208882"/>
      <w:bookmarkStart w:id="47" w:name="_Toc329426283"/>
      <w:bookmarkStart w:id="48" w:name="_Toc351666585"/>
      <w:bookmarkStart w:id="49" w:name="_Toc351667644"/>
      <w:r w:rsidRPr="00647FE3">
        <w:lastRenderedPageBreak/>
        <w:t>A.11.</w:t>
      </w:r>
      <w:r w:rsidRPr="00647FE3">
        <w:tab/>
      </w:r>
      <w:bookmarkEnd w:id="46"/>
      <w:r w:rsidRPr="00647FE3">
        <w:t>Justification for Sensitive Questions</w:t>
      </w:r>
      <w:bookmarkEnd w:id="47"/>
      <w:bookmarkEnd w:id="48"/>
      <w:bookmarkEnd w:id="49"/>
      <w:r w:rsidRPr="00647FE3">
        <w:t xml:space="preserve"> </w:t>
      </w:r>
    </w:p>
    <w:p w:rsidR="00C2576A" w:rsidRPr="003E022F" w:rsidRDefault="00C2576A" w:rsidP="00887C45">
      <w:pPr>
        <w:pStyle w:val="CalibriText-noindent"/>
        <w:rPr>
          <w:b/>
        </w:rPr>
      </w:pPr>
      <w:r w:rsidRPr="003E022F">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1EE4" w:rsidRPr="00647FE3" w:rsidRDefault="008B1EE4" w:rsidP="00887C45">
      <w:pPr>
        <w:pStyle w:val="BodyTextMemo"/>
        <w:keepNext/>
        <w:keepLines/>
      </w:pPr>
      <w:r w:rsidRPr="00647FE3">
        <w:t xml:space="preserve">The </w:t>
      </w:r>
      <w:r w:rsidR="006C0931" w:rsidRPr="00647FE3">
        <w:t xml:space="preserve">questions in </w:t>
      </w:r>
      <w:r w:rsidR="00A51183" w:rsidRPr="00647FE3">
        <w:t xml:space="preserve">the </w:t>
      </w:r>
      <w:r w:rsidR="006C0931" w:rsidRPr="00647FE3">
        <w:t xml:space="preserve">interview protocols and </w:t>
      </w:r>
      <w:r w:rsidRPr="00647FE3">
        <w:t>survey instrument</w:t>
      </w:r>
      <w:r w:rsidR="008E4D46" w:rsidRPr="00647FE3">
        <w:t>s</w:t>
      </w:r>
      <w:r w:rsidRPr="00647FE3">
        <w:t xml:space="preserve"> </w:t>
      </w:r>
      <w:r w:rsidR="006C0931" w:rsidRPr="00647FE3">
        <w:t xml:space="preserve">are unlikely to be </w:t>
      </w:r>
      <w:r w:rsidRPr="00647FE3">
        <w:t>considered sensitive by respondents</w:t>
      </w:r>
      <w:r w:rsidR="00A36AE6" w:rsidRPr="00647FE3">
        <w:t xml:space="preserve">.  </w:t>
      </w:r>
      <w:r w:rsidR="00F409A7" w:rsidRPr="00647FE3">
        <w:t xml:space="preserve">There are no questions on any of the data collection instruments regarding race/ethnicity, disability, religious beliefs, sexual attitudes or behavior, or other matters commonly considered as private.  </w:t>
      </w:r>
      <w:r w:rsidR="008C07CD" w:rsidRPr="00647FE3">
        <w:t xml:space="preserve">Some respondents may be uncomfortable about answering some of the questions regarding their </w:t>
      </w:r>
      <w:r w:rsidR="003D643A" w:rsidRPr="00647FE3">
        <w:t xml:space="preserve">perceptions of </w:t>
      </w:r>
      <w:r w:rsidR="008C07CD" w:rsidRPr="00647FE3">
        <w:t xml:space="preserve">their </w:t>
      </w:r>
      <w:r w:rsidR="003D643A" w:rsidRPr="00647FE3">
        <w:t xml:space="preserve">own </w:t>
      </w:r>
      <w:r w:rsidR="008C07CD" w:rsidRPr="00647FE3">
        <w:t>job requirements</w:t>
      </w:r>
      <w:r w:rsidR="003D643A" w:rsidRPr="00647FE3">
        <w:t xml:space="preserve"> and performance and that of their management or staff. </w:t>
      </w:r>
      <w:r w:rsidR="00647FE3">
        <w:t xml:space="preserve"> </w:t>
      </w:r>
      <w:r w:rsidRPr="00647FE3">
        <w:t xml:space="preserve">As part of the consent process, respondents will be </w:t>
      </w:r>
      <w:r w:rsidR="00F409A7" w:rsidRPr="00647FE3">
        <w:t xml:space="preserve">informed </w:t>
      </w:r>
      <w:r w:rsidRPr="00647FE3">
        <w:t xml:space="preserve">that they may choose not to answer any </w:t>
      </w:r>
      <w:r w:rsidR="00DD7FCB" w:rsidRPr="00647FE3">
        <w:t xml:space="preserve">specific </w:t>
      </w:r>
      <w:r w:rsidRPr="00647FE3">
        <w:t>questions</w:t>
      </w:r>
      <w:r w:rsidR="003D643A" w:rsidRPr="00647FE3">
        <w:t xml:space="preserve"> a</w:t>
      </w:r>
      <w:r w:rsidR="007954D6" w:rsidRPr="00647FE3">
        <w:t>nd, as noted in A.10 above, that responses will be treated as private</w:t>
      </w:r>
      <w:r w:rsidR="003D643A" w:rsidRPr="00647FE3">
        <w:t>.</w:t>
      </w:r>
      <w:r w:rsidRPr="00647FE3">
        <w:t xml:space="preserve"> </w:t>
      </w:r>
    </w:p>
    <w:p w:rsidR="008B1EE4" w:rsidRPr="00647FE3" w:rsidRDefault="008B1EE4" w:rsidP="00844D05">
      <w:pPr>
        <w:pStyle w:val="Heading3"/>
      </w:pPr>
      <w:bookmarkStart w:id="50" w:name="_Toc133208884"/>
      <w:bookmarkStart w:id="51" w:name="_Toc329426284"/>
      <w:bookmarkStart w:id="52" w:name="_Toc351666586"/>
      <w:bookmarkStart w:id="53" w:name="_Toc351667645"/>
      <w:r w:rsidRPr="00647FE3">
        <w:t>A.12.</w:t>
      </w:r>
      <w:r w:rsidRPr="00647FE3">
        <w:tab/>
        <w:t>Estimates of Hour Burden</w:t>
      </w:r>
      <w:bookmarkEnd w:id="50"/>
      <w:r w:rsidRPr="00647FE3">
        <w:t xml:space="preserve"> Including Annualized </w:t>
      </w:r>
      <w:r w:rsidR="001E4027" w:rsidRPr="00647FE3">
        <w:t xml:space="preserve">Hourly </w:t>
      </w:r>
      <w:r w:rsidRPr="00647FE3">
        <w:t>Costs</w:t>
      </w:r>
      <w:bookmarkEnd w:id="51"/>
      <w:bookmarkEnd w:id="52"/>
      <w:bookmarkEnd w:id="53"/>
      <w:r w:rsidR="006D5139" w:rsidRPr="00647FE3">
        <w:t xml:space="preserve"> </w:t>
      </w:r>
    </w:p>
    <w:p w:rsidR="00FD457A" w:rsidRPr="003E022F" w:rsidRDefault="00FD457A" w:rsidP="00844D05">
      <w:pPr>
        <w:pStyle w:val="CalibriText-noindent"/>
        <w:keepNext w:val="0"/>
        <w:keepLines w:val="0"/>
        <w:rPr>
          <w:b/>
        </w:rPr>
      </w:pPr>
      <w:r w:rsidRPr="003E022F">
        <w:rPr>
          <w:b/>
        </w:rPr>
        <w:t>Provide estimates of the hour burden of the collection of information</w:t>
      </w:r>
      <w:r w:rsidR="00977715" w:rsidRPr="003E022F">
        <w:rPr>
          <w:b/>
        </w:rPr>
        <w:t xml:space="preserve">.  </w:t>
      </w:r>
      <w:r w:rsidRPr="003E022F">
        <w:rPr>
          <w:b/>
        </w:rPr>
        <w:t>The statement should:</w:t>
      </w:r>
    </w:p>
    <w:p w:rsidR="00FD457A" w:rsidRPr="003E022F" w:rsidRDefault="00FD457A" w:rsidP="00844D05">
      <w:pPr>
        <w:pStyle w:val="CalibriText-noindent"/>
        <w:keepNext w:val="0"/>
        <w:keepLines w:val="0"/>
        <w:numPr>
          <w:ilvl w:val="0"/>
          <w:numId w:val="24"/>
        </w:numPr>
        <w:rPr>
          <w:b/>
        </w:rPr>
      </w:pPr>
      <w:r w:rsidRPr="003E022F">
        <w:rPr>
          <w:b/>
        </w:rPr>
        <w:t>Indicate the number of respondents, frequency of response, annual hour burden, and an explanation of how the burden was estimated</w:t>
      </w:r>
      <w:r w:rsidR="00977715" w:rsidRPr="003E022F">
        <w:rPr>
          <w:b/>
        </w:rPr>
        <w:t xml:space="preserve">.  </w:t>
      </w:r>
      <w:r w:rsidRPr="003E022F">
        <w:rPr>
          <w:b/>
        </w:rPr>
        <w:t>If this request for approval covers more than one form, provide separate hour</w:t>
      </w:r>
      <w:r w:rsidR="00EB41B2" w:rsidRPr="003E022F">
        <w:rPr>
          <w:b/>
        </w:rPr>
        <w:t>-</w:t>
      </w:r>
      <w:r w:rsidRPr="003E022F">
        <w:rPr>
          <w:b/>
        </w:rPr>
        <w:t>burden estimates for each form and aggregate the hour burdens in Item 13 of OMB Form 83-I.</w:t>
      </w:r>
    </w:p>
    <w:p w:rsidR="00FD457A" w:rsidRPr="003E022F" w:rsidRDefault="00FD457A" w:rsidP="00844D05">
      <w:pPr>
        <w:pStyle w:val="CalibriText-noindent"/>
        <w:keepNext w:val="0"/>
        <w:keepLines w:val="0"/>
        <w:numPr>
          <w:ilvl w:val="0"/>
          <w:numId w:val="24"/>
        </w:numPr>
        <w:rPr>
          <w:b/>
        </w:rPr>
      </w:pPr>
      <w:r w:rsidRPr="003E022F">
        <w:rPr>
          <w:b/>
        </w:rPr>
        <w:t>Provide estimates of annualized cost to respondents for the hour burdens for collections of information, identifying and using appropriate wage rate categories.</w:t>
      </w:r>
    </w:p>
    <w:p w:rsidR="00834192" w:rsidRDefault="008B1EE4" w:rsidP="00384B04">
      <w:pPr>
        <w:pStyle w:val="BodyTextMemo"/>
      </w:pPr>
      <w:r w:rsidRPr="00647FE3">
        <w:t xml:space="preserve">The burden estimates for respondents are shown in Table A.12.1.  </w:t>
      </w:r>
      <w:r w:rsidR="00AF0339" w:rsidRPr="00647FE3">
        <w:t xml:space="preserve">The information collection plan includes </w:t>
      </w:r>
      <w:r w:rsidR="00226C40" w:rsidRPr="00647FE3">
        <w:t xml:space="preserve">in-depth </w:t>
      </w:r>
      <w:r w:rsidR="00AF0339" w:rsidRPr="00647FE3">
        <w:t xml:space="preserve">interviews </w:t>
      </w:r>
      <w:r w:rsidR="00226C40" w:rsidRPr="00647FE3">
        <w:t xml:space="preserve">in </w:t>
      </w:r>
      <w:r w:rsidR="0063268C" w:rsidRPr="00647FE3">
        <w:t>six</w:t>
      </w:r>
      <w:r w:rsidR="00226C40" w:rsidRPr="00647FE3">
        <w:t xml:space="preserve"> States with</w:t>
      </w:r>
      <w:r w:rsidR="00AF0339" w:rsidRPr="00647FE3">
        <w:t xml:space="preserve"> State </w:t>
      </w:r>
      <w:r w:rsidR="00226C40" w:rsidRPr="00647FE3">
        <w:t>QC</w:t>
      </w:r>
      <w:r w:rsidR="00AF0339" w:rsidRPr="00647FE3">
        <w:t xml:space="preserve"> directors</w:t>
      </w:r>
      <w:r w:rsidR="0089425B" w:rsidRPr="00647FE3">
        <w:t xml:space="preserve"> (</w:t>
      </w:r>
      <w:r w:rsidR="0063268C" w:rsidRPr="00647FE3">
        <w:t>one</w:t>
      </w:r>
      <w:r w:rsidR="0089425B" w:rsidRPr="00647FE3">
        <w:t xml:space="preserve"> per State)</w:t>
      </w:r>
      <w:r w:rsidR="00226C40" w:rsidRPr="00647FE3">
        <w:t>,</w:t>
      </w:r>
      <w:r w:rsidR="009066EF" w:rsidRPr="00647FE3">
        <w:t xml:space="preserve"> </w:t>
      </w:r>
      <w:r w:rsidR="00226C40" w:rsidRPr="00647FE3">
        <w:t>State QC supervisors (</w:t>
      </w:r>
      <w:r w:rsidR="0063268C" w:rsidRPr="00647FE3">
        <w:t>two</w:t>
      </w:r>
      <w:r w:rsidR="00226C40" w:rsidRPr="00647FE3">
        <w:t xml:space="preserve"> per State), and State QC reviewers (up to </w:t>
      </w:r>
      <w:r w:rsidR="0063268C" w:rsidRPr="00647FE3">
        <w:t>five</w:t>
      </w:r>
      <w:r w:rsidR="00226C40" w:rsidRPr="00647FE3">
        <w:t xml:space="preserve"> per State)</w:t>
      </w:r>
      <w:r w:rsidR="00977715" w:rsidRPr="00647FE3">
        <w:t xml:space="preserve">.  </w:t>
      </w:r>
      <w:r w:rsidR="00433D94" w:rsidRPr="00647FE3">
        <w:t xml:space="preserve">While in-depth interviews are expected to take 1 hour to complete, </w:t>
      </w:r>
      <w:r w:rsidR="00836AB0">
        <w:t>as determined through pre</w:t>
      </w:r>
      <w:r w:rsidR="00834D9F">
        <w:t>-</w:t>
      </w:r>
      <w:r w:rsidR="00836AB0">
        <w:t xml:space="preserve">tests of the instruments, </w:t>
      </w:r>
      <w:r w:rsidR="00433D94" w:rsidRPr="00647FE3">
        <w:t xml:space="preserve">additional time is included for the QC directors and QC supervisors to cover preparation for the visit and coordinating the participation of their staff. </w:t>
      </w:r>
      <w:r w:rsidR="00647FE3">
        <w:t xml:space="preserve"> </w:t>
      </w:r>
      <w:r w:rsidR="00433D94" w:rsidRPr="00647FE3">
        <w:t>The estimates also include</w:t>
      </w:r>
      <w:r w:rsidR="00226C40" w:rsidRPr="00647FE3">
        <w:t xml:space="preserve"> shorter </w:t>
      </w:r>
      <w:r w:rsidR="002239B6" w:rsidRPr="00647FE3">
        <w:t>surveys</w:t>
      </w:r>
      <w:r w:rsidR="00404E0B" w:rsidRPr="00647FE3">
        <w:t xml:space="preserve"> in the remaining 4</w:t>
      </w:r>
      <w:r w:rsidR="00B94D62" w:rsidRPr="00647FE3">
        <w:t>5</w:t>
      </w:r>
      <w:r w:rsidR="00404E0B" w:rsidRPr="00647FE3">
        <w:t xml:space="preserve"> SNAP</w:t>
      </w:r>
      <w:r w:rsidR="00226C40" w:rsidRPr="00647FE3">
        <w:t xml:space="preserve"> States</w:t>
      </w:r>
      <w:r w:rsidR="00B94D62" w:rsidRPr="00647FE3">
        <w:t xml:space="preserve"> </w:t>
      </w:r>
      <w:r w:rsidR="00B94D62" w:rsidRPr="00647FE3">
        <w:lastRenderedPageBreak/>
        <w:t xml:space="preserve">not covered by the site visits (6 States) and </w:t>
      </w:r>
      <w:r w:rsidR="008F32BE" w:rsidRPr="00647FE3">
        <w:t>pre-test</w:t>
      </w:r>
      <w:r w:rsidR="00B94D62" w:rsidRPr="00647FE3">
        <w:t>s (2 States).</w:t>
      </w:r>
      <w:r w:rsidR="00226C40" w:rsidRPr="00647FE3">
        <w:rPr>
          <w:rStyle w:val="FootnoteReference"/>
          <w:vertAlign w:val="superscript"/>
        </w:rPr>
        <w:footnoteReference w:id="8"/>
      </w:r>
      <w:r w:rsidR="00226C40" w:rsidRPr="00647FE3">
        <w:t xml:space="preserve"> </w:t>
      </w:r>
      <w:r w:rsidR="00384B04">
        <w:t xml:space="preserve">In addition, burden estimates are provided for the State QC directors (one per State, 6 States) to discuss the administrative data request and for State IT staff (one per State, 6 States) to extract the data. </w:t>
      </w:r>
    </w:p>
    <w:p w:rsidR="00384B04" w:rsidRPr="00647FE3" w:rsidRDefault="00384B04" w:rsidP="00384B04">
      <w:pPr>
        <w:pStyle w:val="BodyTextMemo"/>
        <w:rPr>
          <w:spacing w:val="-5"/>
          <w:kern w:val="24"/>
        </w:rPr>
        <w:sectPr w:rsidR="00384B04" w:rsidRPr="00647FE3" w:rsidSect="008342FD">
          <w:headerReference w:type="default" r:id="rId11"/>
          <w:footerReference w:type="default" r:id="rId12"/>
          <w:pgSz w:w="12240" w:h="15840"/>
          <w:pgMar w:top="1440" w:right="1440" w:bottom="1440" w:left="1440" w:header="576" w:footer="576" w:gutter="0"/>
          <w:pgNumType w:start="1"/>
          <w:cols w:space="720"/>
          <w:docGrid w:linePitch="360"/>
        </w:sectPr>
      </w:pPr>
    </w:p>
    <w:p w:rsidR="004219FC" w:rsidRPr="00647FE3" w:rsidRDefault="00E461F0" w:rsidP="00844D05">
      <w:pPr>
        <w:pStyle w:val="TableTitle"/>
        <w:keepNext w:val="0"/>
        <w:keepLines w:val="0"/>
      </w:pPr>
      <w:r w:rsidRPr="00647FE3">
        <w:rPr>
          <w:spacing w:val="-5"/>
          <w:kern w:val="24"/>
        </w:rPr>
        <w:lastRenderedPageBreak/>
        <w:t>T</w:t>
      </w:r>
      <w:r w:rsidRPr="00647FE3">
        <w:t>able A.12</w:t>
      </w:r>
      <w:r w:rsidR="004041D1" w:rsidRPr="00647FE3">
        <w:t>.</w:t>
      </w:r>
      <w:r w:rsidRPr="00647FE3">
        <w:t>1</w:t>
      </w:r>
    </w:p>
    <w:p w:rsidR="00E461F0" w:rsidRDefault="006563A3" w:rsidP="00844D05">
      <w:pPr>
        <w:pStyle w:val="TableTitle"/>
        <w:keepNext w:val="0"/>
        <w:keepLines w:val="0"/>
      </w:pPr>
      <w:r w:rsidRPr="00647FE3">
        <w:t>Total Burden Hours on the Public</w:t>
      </w:r>
    </w:p>
    <w:tbl>
      <w:tblPr>
        <w:tblW w:w="5000" w:type="pct"/>
        <w:tblCellMar>
          <w:left w:w="101" w:type="dxa"/>
          <w:right w:w="101" w:type="dxa"/>
        </w:tblCellMar>
        <w:tblLook w:val="04A0"/>
      </w:tblPr>
      <w:tblGrid>
        <w:gridCol w:w="1347"/>
        <w:gridCol w:w="1630"/>
        <w:gridCol w:w="847"/>
        <w:gridCol w:w="847"/>
        <w:gridCol w:w="848"/>
        <w:gridCol w:w="848"/>
        <w:gridCol w:w="848"/>
        <w:gridCol w:w="850"/>
        <w:gridCol w:w="848"/>
        <w:gridCol w:w="848"/>
        <w:gridCol w:w="848"/>
        <w:gridCol w:w="850"/>
        <w:gridCol w:w="850"/>
        <w:gridCol w:w="853"/>
      </w:tblGrid>
      <w:tr w:rsidR="00661907" w:rsidRPr="00151101" w:rsidTr="00661907">
        <w:trPr>
          <w:trHeight w:val="395"/>
          <w:tblHeader/>
        </w:trPr>
        <w:tc>
          <w:tcPr>
            <w:tcW w:w="512" w:type="pct"/>
            <w:tcBorders>
              <w:top w:val="single" w:sz="4" w:space="0" w:color="auto"/>
              <w:left w:val="nil"/>
              <w:bottom w:val="single" w:sz="8" w:space="0" w:color="auto"/>
            </w:tcBorders>
            <w:shd w:val="clear" w:color="auto" w:fill="F2F2F2" w:themeFill="background1" w:themeFillShade="F2"/>
            <w:vAlign w:val="bottom"/>
          </w:tcPr>
          <w:p w:rsidR="00661907" w:rsidRPr="00151101" w:rsidRDefault="00661907" w:rsidP="00151101">
            <w:pPr>
              <w:pStyle w:val="TableChartandFigureListText"/>
              <w:rPr>
                <w:sz w:val="16"/>
                <w:szCs w:val="16"/>
              </w:rPr>
            </w:pPr>
          </w:p>
        </w:tc>
        <w:tc>
          <w:tcPr>
            <w:tcW w:w="619" w:type="pct"/>
            <w:tcBorders>
              <w:top w:val="single" w:sz="4" w:space="0" w:color="auto"/>
              <w:bottom w:val="single" w:sz="8" w:space="0" w:color="auto"/>
              <w:right w:val="single" w:sz="8" w:space="0" w:color="auto"/>
            </w:tcBorders>
            <w:shd w:val="clear" w:color="auto" w:fill="F2F2F2" w:themeFill="background1" w:themeFillShade="F2"/>
            <w:vAlign w:val="bottom"/>
          </w:tcPr>
          <w:p w:rsidR="00661907" w:rsidRPr="00151101" w:rsidRDefault="00661907" w:rsidP="00151101">
            <w:pPr>
              <w:pStyle w:val="TableChartandFigureListText"/>
              <w:rPr>
                <w:sz w:val="16"/>
                <w:szCs w:val="16"/>
              </w:rPr>
            </w:pPr>
          </w:p>
        </w:tc>
        <w:tc>
          <w:tcPr>
            <w:tcW w:w="1933" w:type="pct"/>
            <w:gridSpan w:val="6"/>
            <w:tcBorders>
              <w:top w:val="single" w:sz="4" w:space="0" w:color="auto"/>
              <w:left w:val="nil"/>
              <w:bottom w:val="single" w:sz="8" w:space="0" w:color="auto"/>
              <w:right w:val="single" w:sz="8" w:space="0" w:color="auto"/>
            </w:tcBorders>
            <w:shd w:val="clear" w:color="auto" w:fill="F2F2F2" w:themeFill="background1" w:themeFillShade="F2"/>
            <w:vAlign w:val="center"/>
          </w:tcPr>
          <w:p w:rsidR="00661907" w:rsidRPr="00151101" w:rsidRDefault="00661907" w:rsidP="00661907">
            <w:pPr>
              <w:pStyle w:val="TableChartandFigureListText"/>
              <w:jc w:val="center"/>
              <w:rPr>
                <w:sz w:val="16"/>
                <w:szCs w:val="16"/>
              </w:rPr>
            </w:pPr>
            <w:r>
              <w:rPr>
                <w:sz w:val="16"/>
                <w:szCs w:val="16"/>
              </w:rPr>
              <w:t>Respondents</w:t>
            </w:r>
          </w:p>
        </w:tc>
        <w:tc>
          <w:tcPr>
            <w:tcW w:w="1612" w:type="pct"/>
            <w:gridSpan w:val="5"/>
            <w:tcBorders>
              <w:top w:val="single" w:sz="4" w:space="0" w:color="auto"/>
              <w:left w:val="nil"/>
              <w:bottom w:val="single" w:sz="8" w:space="0" w:color="auto"/>
              <w:right w:val="single" w:sz="8" w:space="0" w:color="auto"/>
            </w:tcBorders>
            <w:shd w:val="clear" w:color="auto" w:fill="F2F2F2" w:themeFill="background1" w:themeFillShade="F2"/>
            <w:vAlign w:val="center"/>
          </w:tcPr>
          <w:p w:rsidR="00661907" w:rsidRPr="00151101" w:rsidRDefault="00661907" w:rsidP="00661907">
            <w:pPr>
              <w:pStyle w:val="TableChartandFigureListText"/>
              <w:jc w:val="center"/>
              <w:rPr>
                <w:sz w:val="16"/>
                <w:szCs w:val="16"/>
              </w:rPr>
            </w:pPr>
            <w:r>
              <w:rPr>
                <w:sz w:val="16"/>
                <w:szCs w:val="16"/>
              </w:rPr>
              <w:t>Nonrespondents</w:t>
            </w:r>
          </w:p>
        </w:tc>
        <w:tc>
          <w:tcPr>
            <w:tcW w:w="324" w:type="pct"/>
            <w:tcBorders>
              <w:top w:val="single" w:sz="4" w:space="0" w:color="auto"/>
              <w:left w:val="nil"/>
              <w:bottom w:val="single" w:sz="8" w:space="0" w:color="auto"/>
              <w:right w:val="nil"/>
            </w:tcBorders>
            <w:shd w:val="clear" w:color="auto" w:fill="F2F2F2" w:themeFill="background1" w:themeFillShade="F2"/>
            <w:vAlign w:val="bottom"/>
          </w:tcPr>
          <w:p w:rsidR="00661907" w:rsidRPr="00151101" w:rsidRDefault="00661907" w:rsidP="00151101">
            <w:pPr>
              <w:pStyle w:val="TableChartandFigureListText"/>
              <w:rPr>
                <w:sz w:val="16"/>
                <w:szCs w:val="16"/>
              </w:rPr>
            </w:pPr>
          </w:p>
        </w:tc>
      </w:tr>
      <w:tr w:rsidR="00151101" w:rsidRPr="00151101" w:rsidTr="00661907">
        <w:trPr>
          <w:trHeight w:val="1080"/>
          <w:tblHeader/>
        </w:trPr>
        <w:tc>
          <w:tcPr>
            <w:tcW w:w="512" w:type="pct"/>
            <w:tcBorders>
              <w:top w:val="single" w:sz="4" w:space="0" w:color="auto"/>
              <w:left w:val="nil"/>
              <w:bottom w:val="single" w:sz="8" w:space="0" w:color="auto"/>
              <w:right w:val="single" w:sz="4" w:space="0" w:color="auto"/>
            </w:tcBorders>
            <w:shd w:val="clear" w:color="auto" w:fill="F2F2F2" w:themeFill="background1" w:themeFillShade="F2"/>
            <w:vAlign w:val="bottom"/>
            <w:hideMark/>
          </w:tcPr>
          <w:p w:rsidR="00151101" w:rsidRPr="00151101" w:rsidRDefault="00151101" w:rsidP="00151101">
            <w:pPr>
              <w:pStyle w:val="TableChartandFigureListText"/>
              <w:rPr>
                <w:sz w:val="16"/>
                <w:szCs w:val="16"/>
              </w:rPr>
            </w:pPr>
            <w:r w:rsidRPr="00151101">
              <w:rPr>
                <w:sz w:val="16"/>
                <w:szCs w:val="16"/>
              </w:rPr>
              <w:t>Respondent Type</w:t>
            </w:r>
          </w:p>
        </w:tc>
        <w:tc>
          <w:tcPr>
            <w:tcW w:w="619" w:type="pct"/>
            <w:tcBorders>
              <w:top w:val="single" w:sz="4" w:space="0" w:color="auto"/>
              <w:left w:val="nil"/>
              <w:bottom w:val="single" w:sz="8" w:space="0" w:color="auto"/>
              <w:right w:val="single" w:sz="8" w:space="0" w:color="auto"/>
            </w:tcBorders>
            <w:shd w:val="clear" w:color="auto" w:fill="F2F2F2" w:themeFill="background1" w:themeFillShade="F2"/>
            <w:vAlign w:val="bottom"/>
            <w:hideMark/>
          </w:tcPr>
          <w:p w:rsidR="00151101" w:rsidRPr="00151101" w:rsidRDefault="00151101" w:rsidP="00151101">
            <w:pPr>
              <w:pStyle w:val="TableChartandFigureListText"/>
              <w:rPr>
                <w:sz w:val="16"/>
                <w:szCs w:val="16"/>
              </w:rPr>
            </w:pPr>
            <w:r w:rsidRPr="00151101">
              <w:rPr>
                <w:sz w:val="16"/>
                <w:szCs w:val="16"/>
              </w:rPr>
              <w:t>Instrument</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Sample Size</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Number of Respondents</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Freq. of Response (annual)</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Total Annual Response</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Avg. Hours per Response</w:t>
            </w:r>
          </w:p>
        </w:tc>
        <w:tc>
          <w:tcPr>
            <w:tcW w:w="323" w:type="pct"/>
            <w:tcBorders>
              <w:top w:val="single" w:sz="4" w:space="0" w:color="auto"/>
              <w:left w:val="nil"/>
              <w:bottom w:val="single" w:sz="8" w:space="0" w:color="auto"/>
              <w:right w:val="single" w:sz="8"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Total Annual Burden</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Number of Non-Respondents</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Freq. of Response (annual)</w:t>
            </w:r>
          </w:p>
        </w:tc>
        <w:tc>
          <w:tcPr>
            <w:tcW w:w="322"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Total Annual Response</w:t>
            </w:r>
          </w:p>
        </w:tc>
        <w:tc>
          <w:tcPr>
            <w:tcW w:w="323" w:type="pct"/>
            <w:tcBorders>
              <w:top w:val="single" w:sz="4" w:space="0" w:color="auto"/>
              <w:left w:val="nil"/>
              <w:bottom w:val="single" w:sz="8" w:space="0" w:color="auto"/>
              <w:right w:val="single" w:sz="4"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Avg. Hours per Response</w:t>
            </w:r>
          </w:p>
        </w:tc>
        <w:tc>
          <w:tcPr>
            <w:tcW w:w="323" w:type="pct"/>
            <w:tcBorders>
              <w:top w:val="single" w:sz="4" w:space="0" w:color="auto"/>
              <w:left w:val="nil"/>
              <w:bottom w:val="single" w:sz="8" w:space="0" w:color="auto"/>
              <w:right w:val="single" w:sz="8" w:space="0" w:color="auto"/>
            </w:tcBorders>
            <w:shd w:val="clear" w:color="auto" w:fill="F2F2F2" w:themeFill="background1" w:themeFillShade="F2"/>
            <w:textDirection w:val="btLr"/>
            <w:vAlign w:val="center"/>
            <w:hideMark/>
          </w:tcPr>
          <w:p w:rsidR="00151101" w:rsidRPr="00151101" w:rsidRDefault="00151101" w:rsidP="00151101">
            <w:pPr>
              <w:pStyle w:val="TableChartandFigureListText"/>
              <w:rPr>
                <w:sz w:val="16"/>
                <w:szCs w:val="16"/>
              </w:rPr>
            </w:pPr>
            <w:r w:rsidRPr="00151101">
              <w:rPr>
                <w:sz w:val="16"/>
                <w:szCs w:val="16"/>
              </w:rPr>
              <w:t>Total Annual Burden</w:t>
            </w:r>
          </w:p>
        </w:tc>
        <w:tc>
          <w:tcPr>
            <w:tcW w:w="324" w:type="pct"/>
            <w:tcBorders>
              <w:top w:val="single" w:sz="4" w:space="0" w:color="auto"/>
              <w:left w:val="nil"/>
              <w:bottom w:val="single" w:sz="8" w:space="0" w:color="auto"/>
              <w:right w:val="nil"/>
            </w:tcBorders>
            <w:shd w:val="clear" w:color="auto" w:fill="F2F2F2" w:themeFill="background1" w:themeFillShade="F2"/>
            <w:vAlign w:val="bottom"/>
            <w:hideMark/>
          </w:tcPr>
          <w:p w:rsidR="00151101" w:rsidRPr="00151101" w:rsidRDefault="00151101" w:rsidP="00151101">
            <w:pPr>
              <w:pStyle w:val="TableChartandFigureListText"/>
              <w:rPr>
                <w:sz w:val="16"/>
                <w:szCs w:val="16"/>
              </w:rPr>
            </w:pPr>
            <w:r w:rsidRPr="00151101">
              <w:rPr>
                <w:sz w:val="16"/>
                <w:szCs w:val="16"/>
              </w:rPr>
              <w:t>Total Burden Hours</w:t>
            </w:r>
          </w:p>
        </w:tc>
      </w:tr>
      <w:tr w:rsidR="00151101" w:rsidRPr="00151101" w:rsidTr="008D6039">
        <w:trPr>
          <w:trHeight w:val="144"/>
        </w:trPr>
        <w:tc>
          <w:tcPr>
            <w:tcW w:w="5000" w:type="pct"/>
            <w:gridSpan w:val="14"/>
            <w:tcBorders>
              <w:top w:val="nil"/>
              <w:left w:val="nil"/>
              <w:bottom w:val="nil"/>
              <w:right w:val="nil"/>
            </w:tcBorders>
            <w:shd w:val="clear" w:color="000000" w:fill="BFBFBF"/>
            <w:vAlign w:val="center"/>
            <w:hideMark/>
          </w:tcPr>
          <w:p w:rsidR="00151101" w:rsidRPr="00151101" w:rsidRDefault="00151101" w:rsidP="00151101">
            <w:pPr>
              <w:pStyle w:val="TableChartandFigureListText"/>
              <w:rPr>
                <w:sz w:val="16"/>
                <w:szCs w:val="16"/>
              </w:rPr>
            </w:pPr>
            <w:r w:rsidRPr="00151101">
              <w:rPr>
                <w:sz w:val="16"/>
                <w:szCs w:val="16"/>
              </w:rPr>
              <w:t>State QC Directors</w:t>
            </w:r>
          </w:p>
        </w:tc>
      </w:tr>
      <w:tr w:rsidR="00151101" w:rsidRPr="00151101" w:rsidTr="00661907">
        <w:trPr>
          <w:trHeight w:val="144"/>
        </w:trPr>
        <w:tc>
          <w:tcPr>
            <w:tcW w:w="51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State QC Director</w:t>
            </w:r>
          </w:p>
        </w:tc>
        <w:tc>
          <w:tcPr>
            <w:tcW w:w="619" w:type="pct"/>
            <w:tcBorders>
              <w:top w:val="single" w:sz="4" w:space="0" w:color="auto"/>
              <w:left w:val="single" w:sz="4" w:space="0" w:color="auto"/>
              <w:bottom w:val="single" w:sz="4" w:space="0" w:color="auto"/>
              <w:right w:val="single" w:sz="8"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Advance letter/Study information sheet</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53</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53</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1</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53</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0.05</w:t>
            </w:r>
          </w:p>
        </w:tc>
        <w:tc>
          <w:tcPr>
            <w:tcW w:w="323" w:type="pct"/>
            <w:tcBorders>
              <w:top w:val="single" w:sz="4" w:space="0" w:color="auto"/>
              <w:left w:val="nil"/>
              <w:bottom w:val="single" w:sz="4" w:space="0" w:color="auto"/>
              <w:right w:val="single" w:sz="8"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2.65</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1</w:t>
            </w:r>
          </w:p>
        </w:tc>
        <w:tc>
          <w:tcPr>
            <w:tcW w:w="322"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w:t>
            </w:r>
          </w:p>
        </w:tc>
        <w:tc>
          <w:tcPr>
            <w:tcW w:w="323" w:type="pct"/>
            <w:tcBorders>
              <w:top w:val="single" w:sz="4" w:space="0" w:color="auto"/>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w:t>
            </w:r>
          </w:p>
        </w:tc>
        <w:tc>
          <w:tcPr>
            <w:tcW w:w="323" w:type="pct"/>
            <w:tcBorders>
              <w:top w:val="single" w:sz="4" w:space="0" w:color="auto"/>
              <w:left w:val="nil"/>
              <w:bottom w:val="single" w:sz="4" w:space="0" w:color="auto"/>
              <w:right w:val="single" w:sz="8"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0.00</w:t>
            </w:r>
          </w:p>
        </w:tc>
        <w:tc>
          <w:tcPr>
            <w:tcW w:w="324" w:type="pct"/>
            <w:tcBorders>
              <w:top w:val="single" w:sz="4" w:space="0" w:color="auto"/>
              <w:left w:val="nil"/>
              <w:bottom w:val="single" w:sz="4" w:space="0" w:color="auto"/>
              <w:right w:val="nil"/>
            </w:tcBorders>
            <w:shd w:val="clear" w:color="000000" w:fill="FFFFFF"/>
            <w:hideMark/>
          </w:tcPr>
          <w:p w:rsidR="00151101" w:rsidRPr="00151101" w:rsidRDefault="00151101" w:rsidP="00151101">
            <w:pPr>
              <w:pStyle w:val="TableChartandFigureListText"/>
              <w:rPr>
                <w:sz w:val="16"/>
                <w:szCs w:val="16"/>
              </w:rPr>
            </w:pPr>
            <w:r w:rsidRPr="00151101">
              <w:rPr>
                <w:sz w:val="16"/>
                <w:szCs w:val="16"/>
              </w:rPr>
              <w:t>2.65</w:t>
            </w:r>
          </w:p>
        </w:tc>
      </w:tr>
      <w:tr w:rsidR="00151101"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Site visit recruitment email/Follow-up communications</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6.00</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hideMark/>
          </w:tcPr>
          <w:p w:rsidR="00151101" w:rsidRPr="00151101" w:rsidRDefault="00151101"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151101" w:rsidRPr="00151101" w:rsidRDefault="00151101" w:rsidP="00151101">
            <w:pPr>
              <w:pStyle w:val="TableChartandFigureListText"/>
              <w:rPr>
                <w:sz w:val="16"/>
                <w:szCs w:val="16"/>
              </w:rPr>
            </w:pPr>
            <w:r w:rsidRPr="00151101">
              <w:rPr>
                <w:sz w:val="16"/>
                <w:szCs w:val="16"/>
              </w:rPr>
              <w:t>6.00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tcPr>
          <w:p w:rsidR="00CB12BB" w:rsidRPr="00151101" w:rsidRDefault="00CB12BB" w:rsidP="00151101">
            <w:pPr>
              <w:pStyle w:val="TableChartandFigureListText"/>
              <w:rPr>
                <w:sz w:val="16"/>
                <w:szCs w:val="16"/>
              </w:rPr>
            </w:pPr>
            <w:r>
              <w:rPr>
                <w:sz w:val="16"/>
                <w:szCs w:val="16"/>
              </w:rPr>
              <w:t>Phone call to discuss administrative data request</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6.00</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tcPr>
          <w:p w:rsidR="00CB12BB" w:rsidRPr="00151101" w:rsidRDefault="00CB12BB" w:rsidP="00181773">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tcPr>
          <w:p w:rsidR="00CB12BB" w:rsidRPr="00151101" w:rsidRDefault="00CB12BB" w:rsidP="00181773">
            <w:pPr>
              <w:pStyle w:val="TableChartandFigureListText"/>
              <w:rPr>
                <w:sz w:val="16"/>
                <w:szCs w:val="16"/>
              </w:rPr>
            </w:pPr>
            <w:r w:rsidRPr="00151101">
              <w:rPr>
                <w:sz w:val="16"/>
                <w:szCs w:val="16"/>
              </w:rPr>
              <w:t>6.00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Interview pretest</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1.00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In-person interview</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6</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6.00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6.00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Survey pretest</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1.00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 xml:space="preserve">Web </w:t>
            </w:r>
            <w:r w:rsidR="00CC5200">
              <w:rPr>
                <w:sz w:val="16"/>
                <w:szCs w:val="16"/>
              </w:rPr>
              <w:t xml:space="preserve">and telephone </w:t>
            </w:r>
            <w:r w:rsidRPr="00151101">
              <w:rPr>
                <w:sz w:val="16"/>
                <w:szCs w:val="16"/>
              </w:rPr>
              <w:t>survey</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45</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18</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18</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9.00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27</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27</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1.35</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10.35</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Survey: First phone call</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27</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17</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17</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1.36</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6.36</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17</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1.50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14</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14</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1.12</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2.62</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14</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12</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12</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0.96</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1.96</w:t>
            </w:r>
          </w:p>
        </w:tc>
      </w:tr>
      <w:tr w:rsidR="00CB12BB" w:rsidRPr="00151101" w:rsidTr="00661907">
        <w:trPr>
          <w:trHeight w:val="144"/>
        </w:trPr>
        <w:tc>
          <w:tcPr>
            <w:tcW w:w="51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Director</w:t>
            </w:r>
          </w:p>
        </w:tc>
        <w:tc>
          <w:tcPr>
            <w:tcW w:w="619" w:type="pct"/>
            <w:tcBorders>
              <w:top w:val="nil"/>
              <w:left w:val="single" w:sz="4" w:space="0" w:color="auto"/>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#3</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12</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1.00</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10</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10</w:t>
            </w:r>
          </w:p>
        </w:tc>
        <w:tc>
          <w:tcPr>
            <w:tcW w:w="323"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0.80</w:t>
            </w:r>
          </w:p>
        </w:tc>
        <w:tc>
          <w:tcPr>
            <w:tcW w:w="324" w:type="pct"/>
            <w:tcBorders>
              <w:top w:val="nil"/>
              <w:left w:val="nil"/>
              <w:bottom w:val="single" w:sz="8"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1.80</w:t>
            </w:r>
          </w:p>
        </w:tc>
      </w:tr>
      <w:tr w:rsidR="00CB12BB" w:rsidRPr="00151101" w:rsidTr="00661907">
        <w:trPr>
          <w:trHeight w:val="144"/>
        </w:trPr>
        <w:tc>
          <w:tcPr>
            <w:tcW w:w="1131" w:type="pct"/>
            <w:gridSpan w:val="2"/>
            <w:tcBorders>
              <w:top w:val="single" w:sz="8" w:space="0" w:color="auto"/>
              <w:left w:val="nil"/>
              <w:bottom w:val="single" w:sz="8" w:space="0" w:color="auto"/>
              <w:right w:val="nil"/>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State QC Directors Subtotal</w:t>
            </w:r>
          </w:p>
        </w:tc>
        <w:tc>
          <w:tcPr>
            <w:tcW w:w="322" w:type="pct"/>
            <w:tcBorders>
              <w:top w:val="nil"/>
              <w:left w:val="single" w:sz="8" w:space="0" w:color="auto"/>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53</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Pr>
                <w:sz w:val="16"/>
                <w:szCs w:val="16"/>
              </w:rPr>
              <w:t>108</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1</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B37691" w:rsidP="00151101">
            <w:pPr>
              <w:pStyle w:val="TableChartandFigureListText"/>
              <w:rPr>
                <w:sz w:val="16"/>
                <w:szCs w:val="16"/>
              </w:rPr>
            </w:pPr>
            <w:r>
              <w:rPr>
                <w:sz w:val="16"/>
                <w:szCs w:val="16"/>
              </w:rPr>
              <w:t>108</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0.37</w:t>
            </w:r>
          </w:p>
        </w:tc>
        <w:tc>
          <w:tcPr>
            <w:tcW w:w="323" w:type="pct"/>
            <w:tcBorders>
              <w:top w:val="nil"/>
              <w:left w:val="nil"/>
              <w:bottom w:val="single" w:sz="8" w:space="0" w:color="auto"/>
              <w:right w:val="single" w:sz="8" w:space="0" w:color="auto"/>
            </w:tcBorders>
            <w:shd w:val="clear" w:color="000000" w:fill="F2F2F2"/>
            <w:vAlign w:val="center"/>
            <w:hideMark/>
          </w:tcPr>
          <w:p w:rsidR="00CB12BB" w:rsidRPr="00151101" w:rsidRDefault="00B37691" w:rsidP="00151101">
            <w:pPr>
              <w:pStyle w:val="TableChartandFigureListText"/>
              <w:rPr>
                <w:sz w:val="16"/>
                <w:szCs w:val="16"/>
              </w:rPr>
            </w:pPr>
            <w:r>
              <w:rPr>
                <w:sz w:val="16"/>
                <w:szCs w:val="16"/>
              </w:rPr>
              <w:t>40.15</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B37691">
              <w:rPr>
                <w:sz w:val="16"/>
                <w:szCs w:val="16"/>
              </w:rPr>
              <w:t>80</w:t>
            </w:r>
          </w:p>
        </w:tc>
        <w:tc>
          <w:tcPr>
            <w:tcW w:w="322"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1</w:t>
            </w:r>
          </w:p>
        </w:tc>
        <w:tc>
          <w:tcPr>
            <w:tcW w:w="322"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80</w:t>
            </w:r>
          </w:p>
        </w:tc>
        <w:tc>
          <w:tcPr>
            <w:tcW w:w="323"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0.07</w:t>
            </w:r>
          </w:p>
        </w:tc>
        <w:tc>
          <w:tcPr>
            <w:tcW w:w="323" w:type="pct"/>
            <w:tcBorders>
              <w:top w:val="nil"/>
              <w:left w:val="nil"/>
              <w:bottom w:val="single" w:sz="8" w:space="0" w:color="auto"/>
              <w:right w:val="single" w:sz="8"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5.59</w:t>
            </w:r>
          </w:p>
        </w:tc>
        <w:tc>
          <w:tcPr>
            <w:tcW w:w="324" w:type="pct"/>
            <w:tcBorders>
              <w:top w:val="nil"/>
              <w:left w:val="nil"/>
              <w:bottom w:val="single" w:sz="8" w:space="0" w:color="auto"/>
              <w:right w:val="nil"/>
            </w:tcBorders>
            <w:shd w:val="clear" w:color="000000" w:fill="F2F2F2"/>
            <w:vAlign w:val="center"/>
            <w:hideMark/>
          </w:tcPr>
          <w:p w:rsidR="00B37691" w:rsidRPr="00151101" w:rsidRDefault="00B37691" w:rsidP="00151101">
            <w:pPr>
              <w:pStyle w:val="TableChartandFigureListText"/>
              <w:rPr>
                <w:sz w:val="16"/>
                <w:szCs w:val="16"/>
              </w:rPr>
            </w:pPr>
            <w:r>
              <w:rPr>
                <w:sz w:val="16"/>
                <w:szCs w:val="16"/>
              </w:rPr>
              <w:t>45.74</w:t>
            </w:r>
          </w:p>
        </w:tc>
      </w:tr>
      <w:tr w:rsidR="00CB12BB" w:rsidRPr="00151101" w:rsidTr="008D6039">
        <w:trPr>
          <w:trHeight w:val="144"/>
        </w:trPr>
        <w:tc>
          <w:tcPr>
            <w:tcW w:w="5000" w:type="pct"/>
            <w:gridSpan w:val="14"/>
            <w:tcBorders>
              <w:top w:val="single" w:sz="8" w:space="0" w:color="auto"/>
              <w:left w:val="nil"/>
              <w:bottom w:val="single" w:sz="8" w:space="0" w:color="auto"/>
              <w:right w:val="nil"/>
            </w:tcBorders>
            <w:shd w:val="clear" w:color="000000" w:fill="BFBFBF"/>
            <w:vAlign w:val="center"/>
            <w:hideMark/>
          </w:tcPr>
          <w:p w:rsidR="00CB12BB" w:rsidRPr="00151101" w:rsidRDefault="00CB12BB" w:rsidP="00151101">
            <w:pPr>
              <w:pStyle w:val="TableChartandFigureListText"/>
              <w:rPr>
                <w:sz w:val="16"/>
                <w:szCs w:val="16"/>
              </w:rPr>
            </w:pPr>
            <w:r w:rsidRPr="00151101">
              <w:rPr>
                <w:sz w:val="16"/>
                <w:szCs w:val="16"/>
              </w:rPr>
              <w:t>State QC Supervisors</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Supervisor</w:t>
            </w:r>
          </w:p>
        </w:tc>
        <w:tc>
          <w:tcPr>
            <w:tcW w:w="619"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In-person interview</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12.00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12.00</w:t>
            </w:r>
          </w:p>
        </w:tc>
      </w:tr>
      <w:tr w:rsidR="00CB12BB" w:rsidRPr="00151101" w:rsidTr="00661907">
        <w:trPr>
          <w:trHeight w:val="144"/>
        </w:trPr>
        <w:tc>
          <w:tcPr>
            <w:tcW w:w="512" w:type="pct"/>
            <w:tcBorders>
              <w:top w:val="single" w:sz="4" w:space="0" w:color="auto"/>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Supervisor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 xml:space="preserve">Web </w:t>
            </w:r>
            <w:r w:rsidR="00CC5200">
              <w:rPr>
                <w:sz w:val="16"/>
                <w:szCs w:val="16"/>
              </w:rPr>
              <w:t xml:space="preserve">and telephone </w:t>
            </w:r>
            <w:r w:rsidRPr="00151101">
              <w:rPr>
                <w:sz w:val="16"/>
                <w:szCs w:val="16"/>
              </w:rPr>
              <w:t>survey</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94</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37</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37</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18.50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57</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57</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2.85</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21.35</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Supervisor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Survey: First phone call</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57</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11.00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35</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35</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2.80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13.80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Supervisor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7</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7</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3.50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28</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28</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2.24</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5.74</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Supervisor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#2</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28</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2.50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23</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23</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1.84</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4.34</w:t>
            </w:r>
          </w:p>
        </w:tc>
      </w:tr>
      <w:tr w:rsidR="00CB12BB" w:rsidRPr="00151101" w:rsidTr="00661907">
        <w:trPr>
          <w:trHeight w:val="144"/>
        </w:trPr>
        <w:tc>
          <w:tcPr>
            <w:tcW w:w="51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 xml:space="preserve">State QC </w:t>
            </w:r>
            <w:r w:rsidRPr="00151101">
              <w:rPr>
                <w:sz w:val="16"/>
                <w:szCs w:val="16"/>
              </w:rPr>
              <w:lastRenderedPageBreak/>
              <w:t>Supervisor</w:t>
            </w:r>
          </w:p>
        </w:tc>
        <w:tc>
          <w:tcPr>
            <w:tcW w:w="619" w:type="pct"/>
            <w:tcBorders>
              <w:top w:val="nil"/>
              <w:left w:val="single" w:sz="4" w:space="0" w:color="auto"/>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lastRenderedPageBreak/>
              <w:t xml:space="preserve">Follow-up phone call </w:t>
            </w:r>
            <w:r w:rsidRPr="00151101">
              <w:rPr>
                <w:sz w:val="16"/>
                <w:szCs w:val="16"/>
              </w:rPr>
              <w:lastRenderedPageBreak/>
              <w:t>#3</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lastRenderedPageBreak/>
              <w:t>23</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4</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4</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2.00</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19</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19</w:t>
            </w:r>
          </w:p>
        </w:tc>
        <w:tc>
          <w:tcPr>
            <w:tcW w:w="323"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1.52</w:t>
            </w:r>
          </w:p>
        </w:tc>
        <w:tc>
          <w:tcPr>
            <w:tcW w:w="324" w:type="pct"/>
            <w:tcBorders>
              <w:top w:val="nil"/>
              <w:left w:val="nil"/>
              <w:bottom w:val="single" w:sz="8"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3.52</w:t>
            </w:r>
          </w:p>
        </w:tc>
      </w:tr>
      <w:tr w:rsidR="00CB12BB" w:rsidRPr="00151101" w:rsidTr="00661907">
        <w:trPr>
          <w:trHeight w:val="144"/>
        </w:trPr>
        <w:tc>
          <w:tcPr>
            <w:tcW w:w="1131" w:type="pct"/>
            <w:gridSpan w:val="2"/>
            <w:tcBorders>
              <w:top w:val="single" w:sz="8" w:space="0" w:color="auto"/>
              <w:left w:val="nil"/>
              <w:bottom w:val="single" w:sz="8" w:space="0" w:color="auto"/>
              <w:right w:val="nil"/>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lastRenderedPageBreak/>
              <w:t>State QC Supervisors Subtotal</w:t>
            </w:r>
          </w:p>
        </w:tc>
        <w:tc>
          <w:tcPr>
            <w:tcW w:w="322" w:type="pct"/>
            <w:tcBorders>
              <w:top w:val="nil"/>
              <w:left w:val="single" w:sz="8" w:space="0" w:color="auto"/>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106</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B37691">
              <w:rPr>
                <w:sz w:val="16"/>
                <w:szCs w:val="16"/>
              </w:rPr>
              <w:t>87</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1</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87</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0.57</w:t>
            </w:r>
          </w:p>
        </w:tc>
        <w:tc>
          <w:tcPr>
            <w:tcW w:w="323" w:type="pct"/>
            <w:tcBorders>
              <w:top w:val="nil"/>
              <w:left w:val="nil"/>
              <w:bottom w:val="single" w:sz="8" w:space="0" w:color="auto"/>
              <w:right w:val="single" w:sz="8"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49.50</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B37691" w:rsidP="00151101">
            <w:pPr>
              <w:pStyle w:val="TableChartandFigureListText"/>
              <w:rPr>
                <w:sz w:val="16"/>
                <w:szCs w:val="16"/>
              </w:rPr>
            </w:pPr>
            <w:r>
              <w:rPr>
                <w:sz w:val="16"/>
                <w:szCs w:val="16"/>
              </w:rPr>
              <w:t>162</w:t>
            </w:r>
          </w:p>
        </w:tc>
        <w:tc>
          <w:tcPr>
            <w:tcW w:w="322"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1</w:t>
            </w:r>
          </w:p>
        </w:tc>
        <w:tc>
          <w:tcPr>
            <w:tcW w:w="322"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162</w:t>
            </w:r>
          </w:p>
        </w:tc>
        <w:tc>
          <w:tcPr>
            <w:tcW w:w="323"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0.07</w:t>
            </w:r>
          </w:p>
        </w:tc>
        <w:tc>
          <w:tcPr>
            <w:tcW w:w="323" w:type="pct"/>
            <w:tcBorders>
              <w:top w:val="nil"/>
              <w:left w:val="nil"/>
              <w:bottom w:val="single" w:sz="8" w:space="0" w:color="auto"/>
              <w:right w:val="single" w:sz="8"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11.25</w:t>
            </w:r>
          </w:p>
        </w:tc>
        <w:tc>
          <w:tcPr>
            <w:tcW w:w="324" w:type="pct"/>
            <w:tcBorders>
              <w:top w:val="nil"/>
              <w:left w:val="nil"/>
              <w:bottom w:val="single" w:sz="8" w:space="0" w:color="auto"/>
              <w:right w:val="nil"/>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60.75</w:t>
            </w:r>
          </w:p>
        </w:tc>
      </w:tr>
      <w:tr w:rsidR="00CB12BB" w:rsidRPr="00151101" w:rsidTr="008D6039">
        <w:trPr>
          <w:trHeight w:val="144"/>
        </w:trPr>
        <w:tc>
          <w:tcPr>
            <w:tcW w:w="5000" w:type="pct"/>
            <w:gridSpan w:val="14"/>
            <w:tcBorders>
              <w:top w:val="single" w:sz="8" w:space="0" w:color="auto"/>
              <w:left w:val="nil"/>
              <w:bottom w:val="single" w:sz="8" w:space="0" w:color="auto"/>
              <w:right w:val="nil"/>
            </w:tcBorders>
            <w:shd w:val="clear" w:color="000000" w:fill="BFBFBF"/>
            <w:vAlign w:val="center"/>
            <w:hideMark/>
          </w:tcPr>
          <w:p w:rsidR="00CB12BB" w:rsidRPr="00151101" w:rsidRDefault="00CB12BB" w:rsidP="00151101">
            <w:pPr>
              <w:pStyle w:val="TableChartandFigureListText"/>
              <w:rPr>
                <w:sz w:val="16"/>
                <w:szCs w:val="16"/>
              </w:rPr>
            </w:pPr>
            <w:r w:rsidRPr="00151101">
              <w:rPr>
                <w:sz w:val="16"/>
                <w:szCs w:val="16"/>
              </w:rPr>
              <w:t>State QC Reviewers</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Interview pretest</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1.00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1.00</w:t>
            </w:r>
          </w:p>
        </w:tc>
      </w:tr>
      <w:tr w:rsidR="00CB12BB" w:rsidRPr="00151101" w:rsidTr="00661907">
        <w:trPr>
          <w:trHeight w:val="144"/>
        </w:trPr>
        <w:tc>
          <w:tcPr>
            <w:tcW w:w="512" w:type="pct"/>
            <w:tcBorders>
              <w:top w:val="single" w:sz="4" w:space="0" w:color="auto"/>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In-person interview</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30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30.00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30.00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Survey pretest</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2.50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w:t>
            </w:r>
          </w:p>
        </w:tc>
        <w:tc>
          <w:tcPr>
            <w:tcW w:w="323" w:type="pct"/>
            <w:tcBorders>
              <w:top w:val="nil"/>
              <w:left w:val="nil"/>
              <w:bottom w:val="single" w:sz="4"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2.50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 xml:space="preserve">Web </w:t>
            </w:r>
            <w:r w:rsidR="00CC5200">
              <w:rPr>
                <w:sz w:val="16"/>
                <w:szCs w:val="16"/>
              </w:rPr>
              <w:t xml:space="preserve">and telephone </w:t>
            </w:r>
            <w:r w:rsidRPr="00151101">
              <w:rPr>
                <w:sz w:val="16"/>
                <w:szCs w:val="16"/>
              </w:rPr>
              <w:t>survey</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229</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91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91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45.50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138</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138</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0.05</w:t>
            </w:r>
          </w:p>
        </w:tc>
        <w:tc>
          <w:tcPr>
            <w:tcW w:w="323" w:type="pct"/>
            <w:tcBorders>
              <w:top w:val="nil"/>
              <w:left w:val="nil"/>
              <w:bottom w:val="single" w:sz="4"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6.90</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52.40</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First phone call</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138</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55</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27.50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83</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83</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6.64</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34.14</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83</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16</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16</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8.00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67</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67</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5.36</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13.36</w:t>
            </w:r>
          </w:p>
        </w:tc>
      </w:tr>
      <w:tr w:rsidR="00CB12BB" w:rsidRPr="00151101" w:rsidTr="00661907">
        <w:trPr>
          <w:trHeight w:val="144"/>
        </w:trPr>
        <w:tc>
          <w:tcPr>
            <w:tcW w:w="51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single" w:sz="4" w:space="0" w:color="auto"/>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#2</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67</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13</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13</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4"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6.50</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54</w:t>
            </w:r>
          </w:p>
        </w:tc>
        <w:tc>
          <w:tcPr>
            <w:tcW w:w="322"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4"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54</w:t>
            </w:r>
          </w:p>
        </w:tc>
        <w:tc>
          <w:tcPr>
            <w:tcW w:w="323" w:type="pct"/>
            <w:tcBorders>
              <w:top w:val="nil"/>
              <w:left w:val="nil"/>
              <w:bottom w:val="single" w:sz="4"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4"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4.32</w:t>
            </w:r>
          </w:p>
        </w:tc>
        <w:tc>
          <w:tcPr>
            <w:tcW w:w="324" w:type="pct"/>
            <w:tcBorders>
              <w:top w:val="nil"/>
              <w:left w:val="nil"/>
              <w:bottom w:val="single" w:sz="4"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10.82</w:t>
            </w:r>
          </w:p>
        </w:tc>
      </w:tr>
      <w:tr w:rsidR="00CB12BB" w:rsidRPr="00151101" w:rsidTr="00661907">
        <w:trPr>
          <w:trHeight w:val="144"/>
        </w:trPr>
        <w:tc>
          <w:tcPr>
            <w:tcW w:w="51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State QC Reviewer</w:t>
            </w:r>
          </w:p>
        </w:tc>
        <w:tc>
          <w:tcPr>
            <w:tcW w:w="619" w:type="pct"/>
            <w:tcBorders>
              <w:top w:val="nil"/>
              <w:left w:val="single" w:sz="4" w:space="0" w:color="auto"/>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Follow-up phone call #3</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54</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10</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10</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0.5</w:t>
            </w:r>
          </w:p>
        </w:tc>
        <w:tc>
          <w:tcPr>
            <w:tcW w:w="323" w:type="pct"/>
            <w:tcBorders>
              <w:top w:val="nil"/>
              <w:left w:val="nil"/>
              <w:bottom w:val="single" w:sz="8" w:space="0" w:color="auto"/>
              <w:right w:val="single" w:sz="8"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5.00</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44</w:t>
            </w:r>
          </w:p>
        </w:tc>
        <w:tc>
          <w:tcPr>
            <w:tcW w:w="322"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1</w:t>
            </w:r>
          </w:p>
        </w:tc>
        <w:tc>
          <w:tcPr>
            <w:tcW w:w="322" w:type="pct"/>
            <w:tcBorders>
              <w:top w:val="nil"/>
              <w:left w:val="nil"/>
              <w:bottom w:val="single" w:sz="8" w:space="0" w:color="auto"/>
              <w:right w:val="single" w:sz="4" w:space="0" w:color="auto"/>
            </w:tcBorders>
            <w:shd w:val="clear" w:color="auto" w:fill="auto"/>
            <w:hideMark/>
          </w:tcPr>
          <w:p w:rsidR="00CB12BB" w:rsidRPr="00151101" w:rsidRDefault="00CB12BB" w:rsidP="00151101">
            <w:pPr>
              <w:pStyle w:val="TableChartandFigureListText"/>
              <w:rPr>
                <w:sz w:val="16"/>
                <w:szCs w:val="16"/>
              </w:rPr>
            </w:pPr>
            <w:r w:rsidRPr="00151101">
              <w:rPr>
                <w:sz w:val="16"/>
                <w:szCs w:val="16"/>
              </w:rPr>
              <w:t>44</w:t>
            </w:r>
          </w:p>
        </w:tc>
        <w:tc>
          <w:tcPr>
            <w:tcW w:w="323" w:type="pct"/>
            <w:tcBorders>
              <w:top w:val="nil"/>
              <w:left w:val="nil"/>
              <w:bottom w:val="single" w:sz="8" w:space="0" w:color="auto"/>
              <w:right w:val="single" w:sz="4"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0.08</w:t>
            </w:r>
          </w:p>
        </w:tc>
        <w:tc>
          <w:tcPr>
            <w:tcW w:w="323" w:type="pct"/>
            <w:tcBorders>
              <w:top w:val="nil"/>
              <w:left w:val="nil"/>
              <w:bottom w:val="single" w:sz="8" w:space="0" w:color="auto"/>
              <w:right w:val="single" w:sz="8" w:space="0" w:color="auto"/>
            </w:tcBorders>
            <w:shd w:val="clear" w:color="auto" w:fill="auto"/>
            <w:noWrap/>
            <w:hideMark/>
          </w:tcPr>
          <w:p w:rsidR="00CB12BB" w:rsidRPr="00151101" w:rsidRDefault="00CB12BB" w:rsidP="00151101">
            <w:pPr>
              <w:pStyle w:val="TableChartandFigureListText"/>
              <w:rPr>
                <w:sz w:val="16"/>
                <w:szCs w:val="16"/>
              </w:rPr>
            </w:pPr>
            <w:r w:rsidRPr="00151101">
              <w:rPr>
                <w:sz w:val="16"/>
                <w:szCs w:val="16"/>
              </w:rPr>
              <w:t>3.52</w:t>
            </w:r>
          </w:p>
        </w:tc>
        <w:tc>
          <w:tcPr>
            <w:tcW w:w="324" w:type="pct"/>
            <w:tcBorders>
              <w:top w:val="nil"/>
              <w:left w:val="nil"/>
              <w:bottom w:val="single" w:sz="8" w:space="0" w:color="auto"/>
              <w:right w:val="nil"/>
            </w:tcBorders>
            <w:shd w:val="clear" w:color="000000" w:fill="FFFFFF"/>
            <w:hideMark/>
          </w:tcPr>
          <w:p w:rsidR="00CB12BB" w:rsidRPr="00151101" w:rsidRDefault="00CB12BB" w:rsidP="00151101">
            <w:pPr>
              <w:pStyle w:val="TableChartandFigureListText"/>
              <w:rPr>
                <w:sz w:val="16"/>
                <w:szCs w:val="16"/>
              </w:rPr>
            </w:pPr>
            <w:r w:rsidRPr="00151101">
              <w:rPr>
                <w:sz w:val="16"/>
                <w:szCs w:val="16"/>
              </w:rPr>
              <w:t>8.52</w:t>
            </w:r>
          </w:p>
        </w:tc>
      </w:tr>
      <w:tr w:rsidR="00CB12BB" w:rsidRPr="00151101" w:rsidTr="00661907">
        <w:trPr>
          <w:trHeight w:val="144"/>
        </w:trPr>
        <w:tc>
          <w:tcPr>
            <w:tcW w:w="1131" w:type="pct"/>
            <w:gridSpan w:val="2"/>
            <w:tcBorders>
              <w:top w:val="single" w:sz="8" w:space="0" w:color="auto"/>
              <w:left w:val="nil"/>
              <w:bottom w:val="single" w:sz="8" w:space="0" w:color="auto"/>
              <w:right w:val="nil"/>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State QC Reviewers Subtotal</w:t>
            </w:r>
          </w:p>
        </w:tc>
        <w:tc>
          <w:tcPr>
            <w:tcW w:w="322" w:type="pct"/>
            <w:tcBorders>
              <w:top w:val="nil"/>
              <w:left w:val="single" w:sz="8" w:space="0" w:color="auto"/>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265</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B37691">
              <w:rPr>
                <w:sz w:val="16"/>
                <w:szCs w:val="16"/>
              </w:rPr>
              <w:t>221</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1</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221</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0.57</w:t>
            </w:r>
          </w:p>
        </w:tc>
        <w:tc>
          <w:tcPr>
            <w:tcW w:w="323" w:type="pct"/>
            <w:tcBorders>
              <w:top w:val="nil"/>
              <w:left w:val="nil"/>
              <w:bottom w:val="single" w:sz="8" w:space="0" w:color="auto"/>
              <w:right w:val="single" w:sz="8"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126.00</w:t>
            </w:r>
          </w:p>
        </w:tc>
        <w:tc>
          <w:tcPr>
            <w:tcW w:w="322" w:type="pct"/>
            <w:tcBorders>
              <w:top w:val="nil"/>
              <w:left w:val="nil"/>
              <w:bottom w:val="single" w:sz="8" w:space="0" w:color="auto"/>
              <w:right w:val="single" w:sz="4" w:space="0" w:color="auto"/>
            </w:tcBorders>
            <w:shd w:val="clear" w:color="000000" w:fill="F2F2F2"/>
            <w:vAlign w:val="center"/>
            <w:hideMark/>
          </w:tcPr>
          <w:p w:rsidR="00CB12BB" w:rsidRPr="00151101" w:rsidRDefault="00B37691" w:rsidP="00151101">
            <w:pPr>
              <w:pStyle w:val="TableChartandFigureListText"/>
              <w:rPr>
                <w:sz w:val="16"/>
                <w:szCs w:val="16"/>
              </w:rPr>
            </w:pPr>
            <w:r>
              <w:rPr>
                <w:sz w:val="16"/>
                <w:szCs w:val="16"/>
              </w:rPr>
              <w:t>386</w:t>
            </w:r>
          </w:p>
        </w:tc>
        <w:tc>
          <w:tcPr>
            <w:tcW w:w="322"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1</w:t>
            </w:r>
          </w:p>
        </w:tc>
        <w:tc>
          <w:tcPr>
            <w:tcW w:w="322"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386</w:t>
            </w:r>
          </w:p>
        </w:tc>
        <w:tc>
          <w:tcPr>
            <w:tcW w:w="323" w:type="pct"/>
            <w:tcBorders>
              <w:top w:val="nil"/>
              <w:left w:val="nil"/>
              <w:bottom w:val="single" w:sz="8" w:space="0" w:color="auto"/>
              <w:right w:val="single" w:sz="4" w:space="0" w:color="auto"/>
            </w:tcBorders>
            <w:shd w:val="clear" w:color="000000" w:fill="F2F2F2"/>
            <w:noWrap/>
            <w:vAlign w:val="center"/>
            <w:hideMark/>
          </w:tcPr>
          <w:p w:rsidR="00CB12BB" w:rsidRPr="00151101" w:rsidRDefault="00CB12BB" w:rsidP="00151101">
            <w:pPr>
              <w:pStyle w:val="TableChartandFigureListText"/>
              <w:rPr>
                <w:sz w:val="16"/>
                <w:szCs w:val="16"/>
              </w:rPr>
            </w:pPr>
            <w:r w:rsidRPr="00151101">
              <w:rPr>
                <w:sz w:val="16"/>
                <w:szCs w:val="16"/>
              </w:rPr>
              <w:t> </w:t>
            </w:r>
            <w:r w:rsidR="00A55772">
              <w:rPr>
                <w:sz w:val="16"/>
                <w:szCs w:val="16"/>
              </w:rPr>
              <w:t>0.07</w:t>
            </w:r>
          </w:p>
        </w:tc>
        <w:tc>
          <w:tcPr>
            <w:tcW w:w="323" w:type="pct"/>
            <w:tcBorders>
              <w:top w:val="nil"/>
              <w:left w:val="nil"/>
              <w:bottom w:val="single" w:sz="8" w:space="0" w:color="auto"/>
              <w:right w:val="single" w:sz="8" w:space="0" w:color="auto"/>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26.74</w:t>
            </w:r>
          </w:p>
        </w:tc>
        <w:tc>
          <w:tcPr>
            <w:tcW w:w="324" w:type="pct"/>
            <w:tcBorders>
              <w:top w:val="nil"/>
              <w:left w:val="nil"/>
              <w:bottom w:val="single" w:sz="8" w:space="0" w:color="auto"/>
              <w:right w:val="nil"/>
            </w:tcBorders>
            <w:shd w:val="clear" w:color="000000" w:fill="F2F2F2"/>
            <w:vAlign w:val="center"/>
            <w:hideMark/>
          </w:tcPr>
          <w:p w:rsidR="00CB12BB" w:rsidRPr="00151101" w:rsidRDefault="00CB12BB" w:rsidP="00151101">
            <w:pPr>
              <w:pStyle w:val="TableChartandFigureListText"/>
              <w:rPr>
                <w:sz w:val="16"/>
                <w:szCs w:val="16"/>
              </w:rPr>
            </w:pPr>
            <w:r w:rsidRPr="00151101">
              <w:rPr>
                <w:sz w:val="16"/>
                <w:szCs w:val="16"/>
              </w:rPr>
              <w:t>152.74</w:t>
            </w:r>
          </w:p>
        </w:tc>
      </w:tr>
      <w:tr w:rsidR="00B37691" w:rsidRPr="00151101" w:rsidTr="00B37691">
        <w:trPr>
          <w:trHeight w:val="144"/>
        </w:trPr>
        <w:tc>
          <w:tcPr>
            <w:tcW w:w="5000" w:type="pct"/>
            <w:gridSpan w:val="14"/>
            <w:tcBorders>
              <w:top w:val="nil"/>
              <w:left w:val="nil"/>
              <w:bottom w:val="single" w:sz="8" w:space="0" w:color="auto"/>
              <w:right w:val="single" w:sz="4" w:space="0" w:color="auto"/>
            </w:tcBorders>
            <w:shd w:val="clear" w:color="000000" w:fill="BFBFBF"/>
            <w:vAlign w:val="center"/>
          </w:tcPr>
          <w:p w:rsidR="00B37691" w:rsidRPr="00151101" w:rsidRDefault="00B37691" w:rsidP="00151101">
            <w:pPr>
              <w:pStyle w:val="TableChartandFigureListText"/>
              <w:rPr>
                <w:sz w:val="16"/>
                <w:szCs w:val="16"/>
              </w:rPr>
            </w:pPr>
            <w:r>
              <w:rPr>
                <w:sz w:val="16"/>
                <w:szCs w:val="16"/>
              </w:rPr>
              <w:t>State IT Staff</w:t>
            </w:r>
          </w:p>
        </w:tc>
      </w:tr>
      <w:tr w:rsidR="00B37691" w:rsidRPr="00151101" w:rsidTr="00661907">
        <w:trPr>
          <w:trHeight w:val="144"/>
        </w:trPr>
        <w:tc>
          <w:tcPr>
            <w:tcW w:w="512" w:type="pct"/>
            <w:tcBorders>
              <w:top w:val="nil"/>
              <w:left w:val="nil"/>
              <w:bottom w:val="single" w:sz="8" w:space="0" w:color="auto"/>
              <w:right w:val="single" w:sz="4"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State IT Staff</w:t>
            </w:r>
          </w:p>
        </w:tc>
        <w:tc>
          <w:tcPr>
            <w:tcW w:w="619" w:type="pct"/>
            <w:tcBorders>
              <w:top w:val="nil"/>
              <w:left w:val="nil"/>
              <w:bottom w:val="single" w:sz="8" w:space="0" w:color="auto"/>
              <w:right w:val="single" w:sz="8" w:space="0" w:color="auto"/>
            </w:tcBorders>
            <w:shd w:val="clear" w:color="auto" w:fill="auto"/>
            <w:noWrap/>
            <w:vAlign w:val="center"/>
          </w:tcPr>
          <w:p w:rsidR="00B37691" w:rsidRDefault="00B37691" w:rsidP="00151101">
            <w:pPr>
              <w:pStyle w:val="TableChartandFigureListText"/>
              <w:rPr>
                <w:sz w:val="16"/>
                <w:szCs w:val="16"/>
              </w:rPr>
            </w:pPr>
            <w:r>
              <w:rPr>
                <w:sz w:val="16"/>
                <w:szCs w:val="16"/>
              </w:rPr>
              <w:t xml:space="preserve">Extract administrative </w:t>
            </w:r>
          </w:p>
          <w:p w:rsidR="00B37691" w:rsidRPr="00151101" w:rsidRDefault="00B37691" w:rsidP="00151101">
            <w:pPr>
              <w:pStyle w:val="TableChartandFigureListText"/>
              <w:rPr>
                <w:sz w:val="16"/>
                <w:szCs w:val="16"/>
              </w:rPr>
            </w:pPr>
            <w:r>
              <w:rPr>
                <w:sz w:val="16"/>
                <w:szCs w:val="16"/>
              </w:rPr>
              <w:t>Data</w:t>
            </w:r>
          </w:p>
        </w:tc>
        <w:tc>
          <w:tcPr>
            <w:tcW w:w="322" w:type="pct"/>
            <w:tcBorders>
              <w:top w:val="nil"/>
              <w:left w:val="nil"/>
              <w:bottom w:val="single" w:sz="8" w:space="0" w:color="auto"/>
              <w:right w:val="single" w:sz="4"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6</w:t>
            </w:r>
          </w:p>
        </w:tc>
        <w:tc>
          <w:tcPr>
            <w:tcW w:w="322" w:type="pct"/>
            <w:tcBorders>
              <w:top w:val="nil"/>
              <w:left w:val="nil"/>
              <w:bottom w:val="single" w:sz="8" w:space="0" w:color="auto"/>
              <w:right w:val="single" w:sz="4"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6</w:t>
            </w:r>
          </w:p>
        </w:tc>
        <w:tc>
          <w:tcPr>
            <w:tcW w:w="322" w:type="pct"/>
            <w:tcBorders>
              <w:top w:val="nil"/>
              <w:left w:val="nil"/>
              <w:bottom w:val="single" w:sz="8" w:space="0" w:color="auto"/>
              <w:right w:val="single" w:sz="4" w:space="0" w:color="auto"/>
            </w:tcBorders>
            <w:shd w:val="clear" w:color="auto" w:fill="auto"/>
            <w:noWrap/>
            <w:vAlign w:val="center"/>
          </w:tcPr>
          <w:p w:rsidR="00B37691" w:rsidRPr="00151101" w:rsidRDefault="00B37691" w:rsidP="00151101">
            <w:pPr>
              <w:pStyle w:val="TableChartandFigureListText"/>
              <w:rPr>
                <w:sz w:val="16"/>
                <w:szCs w:val="16"/>
              </w:rPr>
            </w:pPr>
            <w:r>
              <w:rPr>
                <w:sz w:val="16"/>
                <w:szCs w:val="16"/>
              </w:rPr>
              <w:t>1</w:t>
            </w:r>
          </w:p>
        </w:tc>
        <w:tc>
          <w:tcPr>
            <w:tcW w:w="322" w:type="pct"/>
            <w:tcBorders>
              <w:top w:val="nil"/>
              <w:left w:val="nil"/>
              <w:bottom w:val="single" w:sz="8" w:space="0" w:color="auto"/>
              <w:right w:val="single" w:sz="4"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6</w:t>
            </w:r>
          </w:p>
        </w:tc>
        <w:tc>
          <w:tcPr>
            <w:tcW w:w="322" w:type="pct"/>
            <w:tcBorders>
              <w:top w:val="nil"/>
              <w:left w:val="nil"/>
              <w:bottom w:val="single" w:sz="8" w:space="0" w:color="auto"/>
              <w:right w:val="single" w:sz="4" w:space="0" w:color="auto"/>
            </w:tcBorders>
            <w:shd w:val="clear" w:color="auto" w:fill="auto"/>
            <w:noWrap/>
            <w:vAlign w:val="center"/>
          </w:tcPr>
          <w:p w:rsidR="00B37691" w:rsidRPr="00151101" w:rsidRDefault="00B37691" w:rsidP="00151101">
            <w:pPr>
              <w:pStyle w:val="TableChartandFigureListText"/>
              <w:rPr>
                <w:sz w:val="16"/>
                <w:szCs w:val="16"/>
              </w:rPr>
            </w:pPr>
            <w:r>
              <w:rPr>
                <w:sz w:val="16"/>
                <w:szCs w:val="16"/>
              </w:rPr>
              <w:t>8</w:t>
            </w:r>
          </w:p>
        </w:tc>
        <w:tc>
          <w:tcPr>
            <w:tcW w:w="323" w:type="pct"/>
            <w:tcBorders>
              <w:top w:val="nil"/>
              <w:left w:val="nil"/>
              <w:bottom w:val="single" w:sz="8" w:space="0" w:color="auto"/>
              <w:right w:val="single" w:sz="8"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48.00</w:t>
            </w:r>
          </w:p>
        </w:tc>
        <w:tc>
          <w:tcPr>
            <w:tcW w:w="322" w:type="pct"/>
            <w:tcBorders>
              <w:top w:val="nil"/>
              <w:left w:val="nil"/>
              <w:bottom w:val="single" w:sz="8" w:space="0" w:color="auto"/>
              <w:right w:val="single" w:sz="4"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0</w:t>
            </w:r>
          </w:p>
        </w:tc>
        <w:tc>
          <w:tcPr>
            <w:tcW w:w="322" w:type="pct"/>
            <w:tcBorders>
              <w:top w:val="nil"/>
              <w:left w:val="nil"/>
              <w:bottom w:val="single" w:sz="8" w:space="0" w:color="auto"/>
              <w:right w:val="single" w:sz="4" w:space="0" w:color="auto"/>
            </w:tcBorders>
            <w:shd w:val="clear" w:color="auto" w:fill="auto"/>
            <w:noWrap/>
            <w:vAlign w:val="center"/>
          </w:tcPr>
          <w:p w:rsidR="00B37691" w:rsidRPr="00151101" w:rsidRDefault="00B37691" w:rsidP="00151101">
            <w:pPr>
              <w:pStyle w:val="TableChartandFigureListText"/>
              <w:rPr>
                <w:sz w:val="16"/>
                <w:szCs w:val="16"/>
              </w:rPr>
            </w:pPr>
            <w:r>
              <w:rPr>
                <w:sz w:val="16"/>
                <w:szCs w:val="16"/>
              </w:rPr>
              <w:t>1</w:t>
            </w:r>
          </w:p>
        </w:tc>
        <w:tc>
          <w:tcPr>
            <w:tcW w:w="322" w:type="pct"/>
            <w:tcBorders>
              <w:top w:val="nil"/>
              <w:left w:val="nil"/>
              <w:bottom w:val="single" w:sz="8" w:space="0" w:color="auto"/>
              <w:right w:val="single" w:sz="4"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0</w:t>
            </w:r>
          </w:p>
        </w:tc>
        <w:tc>
          <w:tcPr>
            <w:tcW w:w="323" w:type="pct"/>
            <w:tcBorders>
              <w:top w:val="nil"/>
              <w:left w:val="nil"/>
              <w:bottom w:val="single" w:sz="8" w:space="0" w:color="auto"/>
              <w:right w:val="single" w:sz="4" w:space="0" w:color="auto"/>
            </w:tcBorders>
            <w:shd w:val="clear" w:color="auto" w:fill="auto"/>
            <w:noWrap/>
            <w:vAlign w:val="center"/>
          </w:tcPr>
          <w:p w:rsidR="00B37691" w:rsidRPr="00151101" w:rsidRDefault="00B37691" w:rsidP="00151101">
            <w:pPr>
              <w:pStyle w:val="TableChartandFigureListText"/>
              <w:rPr>
                <w:sz w:val="16"/>
                <w:szCs w:val="16"/>
              </w:rPr>
            </w:pPr>
            <w:r>
              <w:rPr>
                <w:sz w:val="16"/>
                <w:szCs w:val="16"/>
              </w:rPr>
              <w:t>0</w:t>
            </w:r>
          </w:p>
        </w:tc>
        <w:tc>
          <w:tcPr>
            <w:tcW w:w="323" w:type="pct"/>
            <w:tcBorders>
              <w:top w:val="nil"/>
              <w:left w:val="nil"/>
              <w:bottom w:val="single" w:sz="8" w:space="0" w:color="auto"/>
              <w:right w:val="single" w:sz="8" w:space="0" w:color="auto"/>
            </w:tcBorders>
            <w:shd w:val="clear" w:color="auto" w:fill="auto"/>
            <w:vAlign w:val="center"/>
          </w:tcPr>
          <w:p w:rsidR="00B37691" w:rsidRPr="00151101" w:rsidRDefault="00B37691" w:rsidP="00151101">
            <w:pPr>
              <w:pStyle w:val="TableChartandFigureListText"/>
              <w:rPr>
                <w:sz w:val="16"/>
                <w:szCs w:val="16"/>
              </w:rPr>
            </w:pPr>
            <w:r>
              <w:rPr>
                <w:sz w:val="16"/>
                <w:szCs w:val="16"/>
              </w:rPr>
              <w:t>0.00</w:t>
            </w:r>
          </w:p>
        </w:tc>
        <w:tc>
          <w:tcPr>
            <w:tcW w:w="324" w:type="pct"/>
            <w:tcBorders>
              <w:top w:val="nil"/>
              <w:left w:val="nil"/>
              <w:bottom w:val="single" w:sz="8" w:space="0" w:color="auto"/>
              <w:right w:val="nil"/>
            </w:tcBorders>
            <w:shd w:val="clear" w:color="auto" w:fill="auto"/>
            <w:vAlign w:val="center"/>
          </w:tcPr>
          <w:p w:rsidR="00B37691" w:rsidRPr="00151101" w:rsidRDefault="00B37691" w:rsidP="00151101">
            <w:pPr>
              <w:pStyle w:val="TableChartandFigureListText"/>
              <w:rPr>
                <w:sz w:val="16"/>
                <w:szCs w:val="16"/>
              </w:rPr>
            </w:pPr>
            <w:r>
              <w:rPr>
                <w:sz w:val="16"/>
                <w:szCs w:val="16"/>
              </w:rPr>
              <w:t>48.00</w:t>
            </w:r>
          </w:p>
        </w:tc>
      </w:tr>
      <w:tr w:rsidR="00CB12BB" w:rsidRPr="00151101" w:rsidTr="00661907">
        <w:trPr>
          <w:trHeight w:val="144"/>
        </w:trPr>
        <w:tc>
          <w:tcPr>
            <w:tcW w:w="512" w:type="pct"/>
            <w:tcBorders>
              <w:top w:val="nil"/>
              <w:left w:val="nil"/>
              <w:bottom w:val="single" w:sz="8" w:space="0" w:color="auto"/>
              <w:right w:val="single" w:sz="4" w:space="0" w:color="auto"/>
            </w:tcBorders>
            <w:shd w:val="clear" w:color="000000" w:fill="BFBFBF"/>
            <w:vAlign w:val="center"/>
            <w:hideMark/>
          </w:tcPr>
          <w:p w:rsidR="00CB12BB" w:rsidRPr="00151101" w:rsidRDefault="00CB12BB" w:rsidP="00151101">
            <w:pPr>
              <w:pStyle w:val="TableChartandFigureListText"/>
              <w:rPr>
                <w:sz w:val="16"/>
                <w:szCs w:val="16"/>
              </w:rPr>
            </w:pPr>
            <w:r w:rsidRPr="00151101">
              <w:rPr>
                <w:sz w:val="16"/>
                <w:szCs w:val="16"/>
              </w:rPr>
              <w:t>TOTAL</w:t>
            </w:r>
          </w:p>
        </w:tc>
        <w:tc>
          <w:tcPr>
            <w:tcW w:w="619" w:type="pct"/>
            <w:tcBorders>
              <w:top w:val="nil"/>
              <w:left w:val="nil"/>
              <w:bottom w:val="single" w:sz="8" w:space="0" w:color="auto"/>
              <w:right w:val="single" w:sz="8" w:space="0" w:color="auto"/>
            </w:tcBorders>
            <w:shd w:val="clear" w:color="000000" w:fill="BFBFBF"/>
            <w:noWrap/>
            <w:vAlign w:val="center"/>
            <w:hideMark/>
          </w:tcPr>
          <w:p w:rsidR="00CB12BB" w:rsidRPr="00151101" w:rsidRDefault="00CB12BB" w:rsidP="00151101">
            <w:pPr>
              <w:pStyle w:val="TableChartandFigureListText"/>
              <w:rPr>
                <w:sz w:val="16"/>
                <w:szCs w:val="16"/>
              </w:rPr>
            </w:pPr>
            <w:r w:rsidRPr="00151101">
              <w:rPr>
                <w:sz w:val="16"/>
                <w:szCs w:val="16"/>
              </w:rPr>
              <w:t> </w:t>
            </w:r>
          </w:p>
        </w:tc>
        <w:tc>
          <w:tcPr>
            <w:tcW w:w="322" w:type="pct"/>
            <w:tcBorders>
              <w:top w:val="nil"/>
              <w:left w:val="nil"/>
              <w:bottom w:val="single" w:sz="8" w:space="0" w:color="auto"/>
              <w:right w:val="single" w:sz="4" w:space="0" w:color="auto"/>
            </w:tcBorders>
            <w:shd w:val="clear" w:color="000000" w:fill="BFBFBF"/>
            <w:vAlign w:val="center"/>
            <w:hideMark/>
          </w:tcPr>
          <w:p w:rsidR="00CB12BB" w:rsidRPr="00151101" w:rsidRDefault="00B37691" w:rsidP="00151101">
            <w:pPr>
              <w:pStyle w:val="TableChartandFigureListText"/>
              <w:rPr>
                <w:sz w:val="16"/>
                <w:szCs w:val="16"/>
              </w:rPr>
            </w:pPr>
            <w:r>
              <w:rPr>
                <w:sz w:val="16"/>
                <w:szCs w:val="16"/>
              </w:rPr>
              <w:t>430</w:t>
            </w:r>
          </w:p>
        </w:tc>
        <w:tc>
          <w:tcPr>
            <w:tcW w:w="322" w:type="pct"/>
            <w:tcBorders>
              <w:top w:val="nil"/>
              <w:left w:val="nil"/>
              <w:bottom w:val="single" w:sz="8" w:space="0" w:color="auto"/>
              <w:right w:val="single" w:sz="4" w:space="0" w:color="auto"/>
            </w:tcBorders>
            <w:shd w:val="clear" w:color="000000" w:fill="BFBFBF"/>
            <w:vAlign w:val="center"/>
            <w:hideMark/>
          </w:tcPr>
          <w:p w:rsidR="00CB12BB" w:rsidRPr="00151101" w:rsidRDefault="00B37691" w:rsidP="00151101">
            <w:pPr>
              <w:pStyle w:val="TableChartandFigureListText"/>
              <w:rPr>
                <w:sz w:val="16"/>
                <w:szCs w:val="16"/>
              </w:rPr>
            </w:pPr>
            <w:r>
              <w:rPr>
                <w:sz w:val="16"/>
                <w:szCs w:val="16"/>
              </w:rPr>
              <w:t>422</w:t>
            </w:r>
          </w:p>
        </w:tc>
        <w:tc>
          <w:tcPr>
            <w:tcW w:w="322" w:type="pct"/>
            <w:tcBorders>
              <w:top w:val="nil"/>
              <w:left w:val="nil"/>
              <w:bottom w:val="single" w:sz="8" w:space="0" w:color="auto"/>
              <w:right w:val="single" w:sz="4" w:space="0" w:color="auto"/>
            </w:tcBorders>
            <w:shd w:val="clear" w:color="000000" w:fill="BFBFBF"/>
            <w:noWrap/>
            <w:vAlign w:val="center"/>
            <w:hideMark/>
          </w:tcPr>
          <w:p w:rsidR="00CB12BB" w:rsidRPr="00151101" w:rsidRDefault="00CB12BB" w:rsidP="00151101">
            <w:pPr>
              <w:pStyle w:val="TableChartandFigureListText"/>
              <w:rPr>
                <w:sz w:val="16"/>
                <w:szCs w:val="16"/>
              </w:rPr>
            </w:pPr>
            <w:r w:rsidRPr="00151101">
              <w:rPr>
                <w:sz w:val="16"/>
                <w:szCs w:val="16"/>
              </w:rPr>
              <w:t> </w:t>
            </w:r>
            <w:r w:rsidR="008725E9">
              <w:rPr>
                <w:sz w:val="16"/>
                <w:szCs w:val="16"/>
              </w:rPr>
              <w:t>1</w:t>
            </w:r>
          </w:p>
        </w:tc>
        <w:tc>
          <w:tcPr>
            <w:tcW w:w="322" w:type="pct"/>
            <w:tcBorders>
              <w:top w:val="nil"/>
              <w:left w:val="nil"/>
              <w:bottom w:val="single" w:sz="8" w:space="0" w:color="auto"/>
              <w:right w:val="single" w:sz="4" w:space="0" w:color="auto"/>
            </w:tcBorders>
            <w:shd w:val="clear" w:color="000000" w:fill="BFBFBF"/>
            <w:vAlign w:val="center"/>
            <w:hideMark/>
          </w:tcPr>
          <w:p w:rsidR="00CB12BB" w:rsidRPr="00151101" w:rsidRDefault="00B37691" w:rsidP="00151101">
            <w:pPr>
              <w:pStyle w:val="TableChartandFigureListText"/>
              <w:rPr>
                <w:sz w:val="16"/>
                <w:szCs w:val="16"/>
              </w:rPr>
            </w:pPr>
            <w:r>
              <w:rPr>
                <w:sz w:val="16"/>
                <w:szCs w:val="16"/>
              </w:rPr>
              <w:t>422</w:t>
            </w:r>
          </w:p>
        </w:tc>
        <w:tc>
          <w:tcPr>
            <w:tcW w:w="322" w:type="pct"/>
            <w:tcBorders>
              <w:top w:val="nil"/>
              <w:left w:val="nil"/>
              <w:bottom w:val="single" w:sz="8" w:space="0" w:color="auto"/>
              <w:right w:val="single" w:sz="4" w:space="0" w:color="auto"/>
            </w:tcBorders>
            <w:shd w:val="clear" w:color="000000" w:fill="BFBFBF"/>
            <w:noWrap/>
            <w:vAlign w:val="center"/>
            <w:hideMark/>
          </w:tcPr>
          <w:p w:rsidR="00CB12BB" w:rsidRPr="00151101" w:rsidRDefault="00CB12BB" w:rsidP="00151101">
            <w:pPr>
              <w:pStyle w:val="TableChartandFigureListText"/>
              <w:rPr>
                <w:sz w:val="16"/>
                <w:szCs w:val="16"/>
              </w:rPr>
            </w:pPr>
            <w:r w:rsidRPr="00151101">
              <w:rPr>
                <w:sz w:val="16"/>
                <w:szCs w:val="16"/>
              </w:rPr>
              <w:t> </w:t>
            </w:r>
            <w:r w:rsidR="008725E9">
              <w:rPr>
                <w:sz w:val="16"/>
                <w:szCs w:val="16"/>
              </w:rPr>
              <w:t>0.62</w:t>
            </w:r>
          </w:p>
        </w:tc>
        <w:tc>
          <w:tcPr>
            <w:tcW w:w="323" w:type="pct"/>
            <w:tcBorders>
              <w:top w:val="nil"/>
              <w:left w:val="nil"/>
              <w:bottom w:val="single" w:sz="8" w:space="0" w:color="auto"/>
              <w:right w:val="single" w:sz="8" w:space="0" w:color="auto"/>
            </w:tcBorders>
            <w:shd w:val="clear" w:color="000000" w:fill="BFBFBF"/>
            <w:vAlign w:val="center"/>
            <w:hideMark/>
          </w:tcPr>
          <w:p w:rsidR="00CB12BB" w:rsidRPr="00151101" w:rsidRDefault="00B37691" w:rsidP="00151101">
            <w:pPr>
              <w:pStyle w:val="TableChartandFigureListText"/>
              <w:rPr>
                <w:sz w:val="16"/>
                <w:szCs w:val="16"/>
              </w:rPr>
            </w:pPr>
            <w:r>
              <w:rPr>
                <w:sz w:val="16"/>
                <w:szCs w:val="16"/>
              </w:rPr>
              <w:t>263.65</w:t>
            </w:r>
          </w:p>
        </w:tc>
        <w:tc>
          <w:tcPr>
            <w:tcW w:w="322" w:type="pct"/>
            <w:tcBorders>
              <w:top w:val="nil"/>
              <w:left w:val="nil"/>
              <w:bottom w:val="single" w:sz="8" w:space="0" w:color="auto"/>
              <w:right w:val="single" w:sz="4" w:space="0" w:color="auto"/>
            </w:tcBorders>
            <w:shd w:val="clear" w:color="000000" w:fill="BFBFBF"/>
            <w:vAlign w:val="center"/>
            <w:hideMark/>
          </w:tcPr>
          <w:p w:rsidR="00CB12BB" w:rsidRPr="00151101" w:rsidRDefault="00B37691" w:rsidP="00151101">
            <w:pPr>
              <w:pStyle w:val="TableChartandFigureListText"/>
              <w:rPr>
                <w:sz w:val="16"/>
                <w:szCs w:val="16"/>
              </w:rPr>
            </w:pPr>
            <w:r>
              <w:rPr>
                <w:sz w:val="16"/>
                <w:szCs w:val="16"/>
              </w:rPr>
              <w:t>628</w:t>
            </w:r>
          </w:p>
        </w:tc>
        <w:tc>
          <w:tcPr>
            <w:tcW w:w="322" w:type="pct"/>
            <w:tcBorders>
              <w:top w:val="nil"/>
              <w:left w:val="nil"/>
              <w:bottom w:val="single" w:sz="8" w:space="0" w:color="auto"/>
              <w:right w:val="single" w:sz="4" w:space="0" w:color="auto"/>
            </w:tcBorders>
            <w:shd w:val="clear" w:color="000000" w:fill="BFBFBF"/>
            <w:noWrap/>
            <w:vAlign w:val="center"/>
            <w:hideMark/>
          </w:tcPr>
          <w:p w:rsidR="008725E9" w:rsidRPr="00151101" w:rsidRDefault="00CB12BB" w:rsidP="00151101">
            <w:pPr>
              <w:pStyle w:val="TableChartandFigureListText"/>
              <w:rPr>
                <w:sz w:val="16"/>
                <w:szCs w:val="16"/>
              </w:rPr>
            </w:pPr>
            <w:r w:rsidRPr="00151101">
              <w:rPr>
                <w:sz w:val="16"/>
                <w:szCs w:val="16"/>
              </w:rPr>
              <w:t> </w:t>
            </w:r>
            <w:r w:rsidR="008725E9">
              <w:rPr>
                <w:sz w:val="16"/>
                <w:szCs w:val="16"/>
              </w:rPr>
              <w:t>1</w:t>
            </w:r>
          </w:p>
        </w:tc>
        <w:tc>
          <w:tcPr>
            <w:tcW w:w="322" w:type="pct"/>
            <w:tcBorders>
              <w:top w:val="nil"/>
              <w:left w:val="nil"/>
              <w:bottom w:val="single" w:sz="8" w:space="0" w:color="auto"/>
              <w:right w:val="single" w:sz="4" w:space="0" w:color="auto"/>
            </w:tcBorders>
            <w:shd w:val="clear" w:color="000000" w:fill="BFBFBF"/>
            <w:vAlign w:val="center"/>
            <w:hideMark/>
          </w:tcPr>
          <w:p w:rsidR="00CB12BB" w:rsidRPr="00151101" w:rsidRDefault="00CB12BB" w:rsidP="00151101">
            <w:pPr>
              <w:pStyle w:val="TableChartandFigureListText"/>
              <w:rPr>
                <w:sz w:val="16"/>
                <w:szCs w:val="16"/>
              </w:rPr>
            </w:pPr>
            <w:r w:rsidRPr="00151101">
              <w:rPr>
                <w:sz w:val="16"/>
                <w:szCs w:val="16"/>
              </w:rPr>
              <w:t> </w:t>
            </w:r>
            <w:r w:rsidR="008725E9">
              <w:rPr>
                <w:sz w:val="16"/>
                <w:szCs w:val="16"/>
              </w:rPr>
              <w:t>628</w:t>
            </w:r>
          </w:p>
        </w:tc>
        <w:tc>
          <w:tcPr>
            <w:tcW w:w="323" w:type="pct"/>
            <w:tcBorders>
              <w:top w:val="nil"/>
              <w:left w:val="nil"/>
              <w:bottom w:val="single" w:sz="8" w:space="0" w:color="auto"/>
              <w:right w:val="single" w:sz="4" w:space="0" w:color="auto"/>
            </w:tcBorders>
            <w:shd w:val="clear" w:color="000000" w:fill="BFBFBF"/>
            <w:noWrap/>
            <w:vAlign w:val="center"/>
            <w:hideMark/>
          </w:tcPr>
          <w:p w:rsidR="00CB12BB" w:rsidRPr="00151101" w:rsidRDefault="00CB12BB" w:rsidP="00151101">
            <w:pPr>
              <w:pStyle w:val="TableChartandFigureListText"/>
              <w:rPr>
                <w:sz w:val="16"/>
                <w:szCs w:val="16"/>
              </w:rPr>
            </w:pPr>
            <w:r w:rsidRPr="00151101">
              <w:rPr>
                <w:sz w:val="16"/>
                <w:szCs w:val="16"/>
              </w:rPr>
              <w:t> </w:t>
            </w:r>
            <w:r w:rsidR="008725E9">
              <w:rPr>
                <w:sz w:val="16"/>
                <w:szCs w:val="16"/>
              </w:rPr>
              <w:t>0.07</w:t>
            </w:r>
          </w:p>
        </w:tc>
        <w:tc>
          <w:tcPr>
            <w:tcW w:w="323" w:type="pct"/>
            <w:tcBorders>
              <w:top w:val="nil"/>
              <w:left w:val="nil"/>
              <w:bottom w:val="single" w:sz="8" w:space="0" w:color="auto"/>
              <w:right w:val="single" w:sz="8" w:space="0" w:color="auto"/>
            </w:tcBorders>
            <w:shd w:val="clear" w:color="000000" w:fill="BFBFBF"/>
            <w:vAlign w:val="center"/>
            <w:hideMark/>
          </w:tcPr>
          <w:p w:rsidR="00CB12BB" w:rsidRPr="00151101" w:rsidRDefault="00CB12BB" w:rsidP="00151101">
            <w:pPr>
              <w:pStyle w:val="TableChartandFigureListText"/>
              <w:rPr>
                <w:sz w:val="16"/>
                <w:szCs w:val="16"/>
              </w:rPr>
            </w:pPr>
            <w:r w:rsidRPr="00151101">
              <w:rPr>
                <w:sz w:val="16"/>
                <w:szCs w:val="16"/>
              </w:rPr>
              <w:t>43.58</w:t>
            </w:r>
          </w:p>
        </w:tc>
        <w:tc>
          <w:tcPr>
            <w:tcW w:w="324" w:type="pct"/>
            <w:tcBorders>
              <w:top w:val="nil"/>
              <w:left w:val="nil"/>
              <w:bottom w:val="single" w:sz="8" w:space="0" w:color="auto"/>
              <w:right w:val="nil"/>
            </w:tcBorders>
            <w:shd w:val="clear" w:color="000000" w:fill="BFBFBF"/>
            <w:vAlign w:val="center"/>
            <w:hideMark/>
          </w:tcPr>
          <w:p w:rsidR="00CB12BB" w:rsidRPr="00151101" w:rsidRDefault="00B37691" w:rsidP="00151101">
            <w:pPr>
              <w:pStyle w:val="TableChartandFigureListText"/>
              <w:rPr>
                <w:sz w:val="16"/>
                <w:szCs w:val="16"/>
              </w:rPr>
            </w:pPr>
            <w:r>
              <w:rPr>
                <w:sz w:val="16"/>
                <w:szCs w:val="16"/>
              </w:rPr>
              <w:t>307.23</w:t>
            </w:r>
          </w:p>
        </w:tc>
      </w:tr>
    </w:tbl>
    <w:p w:rsidR="00B940B0" w:rsidRDefault="00B940B0" w:rsidP="00B940B0">
      <w:pPr>
        <w:pStyle w:val="BodyTextMemo"/>
      </w:pPr>
    </w:p>
    <w:p w:rsidR="002E686A" w:rsidRDefault="002E686A" w:rsidP="00B940B0">
      <w:pPr>
        <w:pStyle w:val="BodyTextMemo"/>
      </w:pPr>
    </w:p>
    <w:p w:rsidR="00B940B0" w:rsidRPr="00B940B0" w:rsidRDefault="00B940B0" w:rsidP="00B940B0">
      <w:pPr>
        <w:pStyle w:val="BodyTextMemo"/>
      </w:pPr>
    </w:p>
    <w:p w:rsidR="00974717" w:rsidRPr="00647FE3" w:rsidRDefault="00974717" w:rsidP="00844D05">
      <w:pPr>
        <w:pStyle w:val="TableChartNotes"/>
        <w:rPr>
          <w:i w:val="0"/>
        </w:rPr>
        <w:sectPr w:rsidR="00974717" w:rsidRPr="00647FE3" w:rsidSect="00974717">
          <w:pgSz w:w="15840" w:h="12240" w:orient="landscape"/>
          <w:pgMar w:top="1440" w:right="1440" w:bottom="1440" w:left="1440" w:header="576" w:footer="576" w:gutter="0"/>
          <w:cols w:space="720"/>
          <w:docGrid w:linePitch="360"/>
        </w:sectPr>
      </w:pPr>
    </w:p>
    <w:p w:rsidR="00DE43EC" w:rsidRPr="00647FE3" w:rsidRDefault="008B1EE4" w:rsidP="00844D05">
      <w:pPr>
        <w:pStyle w:val="BodyTextMemo"/>
      </w:pPr>
      <w:r w:rsidRPr="00647FE3">
        <w:lastRenderedPageBreak/>
        <w:t xml:space="preserve">Table A.12.2 below illustrates the estimated annualized cost to </w:t>
      </w:r>
      <w:r w:rsidR="00936B5F" w:rsidRPr="00647FE3">
        <w:t>the public (including those considered responsive and nonresponsive)</w:t>
      </w:r>
      <w:r w:rsidRPr="00647FE3">
        <w:t xml:space="preserve"> for the hours of burden for this data collection.  For </w:t>
      </w:r>
      <w:r w:rsidR="00AD65D9" w:rsidRPr="00647FE3">
        <w:t xml:space="preserve">State </w:t>
      </w:r>
      <w:r w:rsidR="00E76515" w:rsidRPr="00647FE3">
        <w:t>QC</w:t>
      </w:r>
      <w:r w:rsidR="00AD65D9" w:rsidRPr="00647FE3">
        <w:t xml:space="preserve"> directors</w:t>
      </w:r>
      <w:r w:rsidRPr="00647FE3">
        <w:t>, w</w:t>
      </w:r>
      <w:r w:rsidR="00DE43EC" w:rsidRPr="00647FE3">
        <w:t xml:space="preserve">ith </w:t>
      </w:r>
      <w:r w:rsidRPr="00647FE3">
        <w:t>a</w:t>
      </w:r>
      <w:r w:rsidR="008312A5" w:rsidRPr="00647FE3">
        <w:t xml:space="preserve"> median </w:t>
      </w:r>
      <w:r w:rsidRPr="00647FE3">
        <w:t>hourly wage rate of $</w:t>
      </w:r>
      <w:r w:rsidR="00E76515" w:rsidRPr="00647FE3">
        <w:t>36.83</w:t>
      </w:r>
      <w:r w:rsidR="008312A5" w:rsidRPr="00647FE3">
        <w:t xml:space="preserve">, </w:t>
      </w:r>
      <w:r w:rsidRPr="00647FE3">
        <w:t>the total cost burden would be $</w:t>
      </w:r>
      <w:r w:rsidR="003331DF" w:rsidRPr="00647FE3">
        <w:t>1,</w:t>
      </w:r>
      <w:r w:rsidR="008725E9">
        <w:t>684.60</w:t>
      </w:r>
      <w:r w:rsidR="00AD65D9" w:rsidRPr="00647FE3">
        <w:t xml:space="preserve"> for completed</w:t>
      </w:r>
      <w:r w:rsidR="00FC52F4" w:rsidRPr="00647FE3">
        <w:t xml:space="preserve"> </w:t>
      </w:r>
      <w:r w:rsidR="00C65267" w:rsidRPr="00647FE3">
        <w:t>preparation,</w:t>
      </w:r>
      <w:r w:rsidR="00AD65D9" w:rsidRPr="00647FE3">
        <w:t xml:space="preserve"> </w:t>
      </w:r>
      <w:r w:rsidR="00C65267" w:rsidRPr="00647FE3">
        <w:t>in-depth interviews</w:t>
      </w:r>
      <w:r w:rsidR="009A4B5B" w:rsidRPr="00647FE3">
        <w:t>,</w:t>
      </w:r>
      <w:r w:rsidR="00C65267" w:rsidRPr="00647FE3">
        <w:t xml:space="preserve"> and </w:t>
      </w:r>
      <w:r w:rsidR="006A767E" w:rsidRPr="00647FE3">
        <w:t>surveys</w:t>
      </w:r>
      <w:r w:rsidR="00A36AE6" w:rsidRPr="00647FE3">
        <w:t xml:space="preserve">.  </w:t>
      </w:r>
      <w:r w:rsidR="009D558F" w:rsidRPr="00647FE3">
        <w:t>For S</w:t>
      </w:r>
      <w:r w:rsidR="00207A04" w:rsidRPr="00647FE3">
        <w:t xml:space="preserve">tate </w:t>
      </w:r>
      <w:r w:rsidR="009D558F" w:rsidRPr="00647FE3">
        <w:t xml:space="preserve">QC </w:t>
      </w:r>
      <w:r w:rsidR="00FC52F4" w:rsidRPr="00647FE3">
        <w:t>supervisors</w:t>
      </w:r>
      <w:r w:rsidR="00207A04" w:rsidRPr="00647FE3">
        <w:t>, with a median hourly wage of $</w:t>
      </w:r>
      <w:r w:rsidR="00E76515" w:rsidRPr="00647FE3">
        <w:t>30.86</w:t>
      </w:r>
      <w:r w:rsidR="00207A04" w:rsidRPr="00647FE3">
        <w:t>, the total cost burden would be $</w:t>
      </w:r>
      <w:r w:rsidR="00D15843" w:rsidRPr="00647FE3">
        <w:t>1,</w:t>
      </w:r>
      <w:r w:rsidR="004430ED">
        <w:t>874.75</w:t>
      </w:r>
      <w:r w:rsidR="00207A04" w:rsidRPr="00647FE3">
        <w:t xml:space="preserve">.  </w:t>
      </w:r>
      <w:r w:rsidR="00AD65D9" w:rsidRPr="00647FE3">
        <w:t xml:space="preserve">For SNAP </w:t>
      </w:r>
      <w:r w:rsidR="00FC52F4" w:rsidRPr="00647FE3">
        <w:t>QC reviewers</w:t>
      </w:r>
      <w:r w:rsidR="00AD65D9" w:rsidRPr="00647FE3">
        <w:t>,</w:t>
      </w:r>
      <w:r w:rsidR="00A34412" w:rsidRPr="00647FE3">
        <w:t xml:space="preserve"> with a median hourly wage of </w:t>
      </w:r>
      <w:r w:rsidR="00DE43EC" w:rsidRPr="00647FE3">
        <w:t>$</w:t>
      </w:r>
      <w:r w:rsidR="00E76515" w:rsidRPr="00647FE3">
        <w:t>27.63</w:t>
      </w:r>
      <w:r w:rsidR="00A34412" w:rsidRPr="00647FE3">
        <w:t xml:space="preserve">, the total cost </w:t>
      </w:r>
      <w:r w:rsidR="00DE43EC" w:rsidRPr="00647FE3">
        <w:t>burden would be $</w:t>
      </w:r>
      <w:r w:rsidR="00D15843" w:rsidRPr="00647FE3">
        <w:t>4,</w:t>
      </w:r>
      <w:r w:rsidR="004430ED">
        <w:t>220.21</w:t>
      </w:r>
      <w:r w:rsidR="00DE43EC" w:rsidRPr="00647FE3">
        <w:t xml:space="preserve">.  </w:t>
      </w:r>
      <w:r w:rsidR="008725E9">
        <w:t xml:space="preserve">For State IT staff, with a median hourly wage of $34.92, the total cost burden would be $1,676.16.  </w:t>
      </w:r>
      <w:r w:rsidR="00DE43EC" w:rsidRPr="00647FE3">
        <w:t xml:space="preserve">The table below </w:t>
      </w:r>
      <w:r w:rsidR="009D558F" w:rsidRPr="00647FE3">
        <w:t>depicts</w:t>
      </w:r>
      <w:r w:rsidR="00DE43EC" w:rsidRPr="00647FE3">
        <w:t xml:space="preserve"> the maximum possible cost burden </w:t>
      </w:r>
      <w:r w:rsidR="009D558F" w:rsidRPr="00647FE3">
        <w:t>to the public</w:t>
      </w:r>
      <w:r w:rsidR="00DE43EC" w:rsidRPr="00647FE3">
        <w:t>.</w:t>
      </w:r>
    </w:p>
    <w:p w:rsidR="004219FC" w:rsidRPr="00647FE3" w:rsidRDefault="008B1EE4" w:rsidP="00844D05">
      <w:pPr>
        <w:pStyle w:val="TableTitle"/>
        <w:keepNext w:val="0"/>
        <w:keepLines w:val="0"/>
      </w:pPr>
      <w:r w:rsidRPr="00647FE3">
        <w:rPr>
          <w:spacing w:val="-5"/>
          <w:kern w:val="24"/>
        </w:rPr>
        <w:t>T</w:t>
      </w:r>
      <w:r w:rsidRPr="00647FE3">
        <w:t>able A.12</w:t>
      </w:r>
      <w:r w:rsidR="009E0B9F">
        <w:t>.</w:t>
      </w:r>
      <w:r w:rsidRPr="00647FE3">
        <w:t>2</w:t>
      </w:r>
    </w:p>
    <w:p w:rsidR="008B1EE4" w:rsidRPr="00647FE3" w:rsidRDefault="008B1EE4" w:rsidP="00844D05">
      <w:pPr>
        <w:pStyle w:val="TableTitle"/>
        <w:keepNext w:val="0"/>
        <w:keepLines w:val="0"/>
      </w:pPr>
      <w:r w:rsidRPr="00647FE3">
        <w:t xml:space="preserve">Annualized Cost to </w:t>
      </w:r>
      <w:r w:rsidR="00936B5F" w:rsidRPr="00647FE3">
        <w:t xml:space="preserve">Public </w:t>
      </w:r>
    </w:p>
    <w:tbl>
      <w:tblPr>
        <w:tblW w:w="0" w:type="auto"/>
        <w:jc w:val="center"/>
        <w:tblLayout w:type="fixed"/>
        <w:tblLook w:val="04A0"/>
      </w:tblPr>
      <w:tblGrid>
        <w:gridCol w:w="1915"/>
        <w:gridCol w:w="1915"/>
        <w:gridCol w:w="1915"/>
        <w:gridCol w:w="1915"/>
        <w:gridCol w:w="1916"/>
      </w:tblGrid>
      <w:tr w:rsidR="00D15843" w:rsidRPr="004F1B42" w:rsidTr="00B13B30">
        <w:trPr>
          <w:cantSplit/>
          <w:trHeight w:val="144"/>
          <w:jc w:val="center"/>
        </w:trPr>
        <w:tc>
          <w:tcPr>
            <w:tcW w:w="1915" w:type="dxa"/>
            <w:tcBorders>
              <w:top w:val="single" w:sz="8" w:space="0" w:color="auto"/>
              <w:left w:val="nil"/>
              <w:bottom w:val="single" w:sz="8" w:space="0" w:color="auto"/>
              <w:right w:val="single" w:sz="8" w:space="0" w:color="auto"/>
            </w:tcBorders>
            <w:shd w:val="clear" w:color="auto" w:fill="F2F2F2" w:themeFill="background1" w:themeFillShade="F2"/>
            <w:vAlign w:val="bottom"/>
            <w:hideMark/>
          </w:tcPr>
          <w:p w:rsidR="00D15843" w:rsidRPr="00B13B30" w:rsidRDefault="00D15843" w:rsidP="00B13B30">
            <w:pPr>
              <w:pStyle w:val="TableChartandFigureListText"/>
            </w:pPr>
            <w:bookmarkStart w:id="54" w:name="_Toc133208885"/>
            <w:bookmarkStart w:id="55" w:name="_Toc329426285"/>
            <w:bookmarkStart w:id="56" w:name="_Toc335320955"/>
            <w:r w:rsidRPr="00B13B30">
              <w:t>Type of Respondents</w:t>
            </w:r>
          </w:p>
        </w:tc>
        <w:tc>
          <w:tcPr>
            <w:tcW w:w="1915" w:type="dxa"/>
            <w:tcBorders>
              <w:top w:val="single" w:sz="8" w:space="0" w:color="auto"/>
              <w:left w:val="nil"/>
              <w:bottom w:val="single" w:sz="8" w:space="0" w:color="auto"/>
              <w:right w:val="single" w:sz="8" w:space="0" w:color="auto"/>
            </w:tcBorders>
            <w:shd w:val="clear" w:color="auto" w:fill="F2F2F2" w:themeFill="background1" w:themeFillShade="F2"/>
            <w:vAlign w:val="bottom"/>
            <w:hideMark/>
          </w:tcPr>
          <w:p w:rsidR="00D15843" w:rsidRPr="00B13B30" w:rsidRDefault="00D15843" w:rsidP="00FE3F43">
            <w:pPr>
              <w:pStyle w:val="TableChartandFigureListText"/>
              <w:jc w:val="center"/>
            </w:pPr>
            <w:r w:rsidRPr="00B13B30">
              <w:t>Number of Respondents</w:t>
            </w:r>
          </w:p>
        </w:tc>
        <w:tc>
          <w:tcPr>
            <w:tcW w:w="1915" w:type="dxa"/>
            <w:tcBorders>
              <w:top w:val="single" w:sz="8" w:space="0" w:color="auto"/>
              <w:left w:val="nil"/>
              <w:bottom w:val="single" w:sz="8" w:space="0" w:color="auto"/>
              <w:right w:val="single" w:sz="8" w:space="0" w:color="auto"/>
            </w:tcBorders>
            <w:shd w:val="clear" w:color="auto" w:fill="F2F2F2" w:themeFill="background1" w:themeFillShade="F2"/>
            <w:vAlign w:val="bottom"/>
            <w:hideMark/>
          </w:tcPr>
          <w:p w:rsidR="00D15843" w:rsidRPr="00B13B30" w:rsidRDefault="00D15843" w:rsidP="00FE3F43">
            <w:pPr>
              <w:pStyle w:val="TableChartandFigureListText"/>
              <w:jc w:val="center"/>
            </w:pPr>
            <w:r w:rsidRPr="00B13B30">
              <w:t>Total Burden Hours</w:t>
            </w:r>
          </w:p>
        </w:tc>
        <w:tc>
          <w:tcPr>
            <w:tcW w:w="1915" w:type="dxa"/>
            <w:tcBorders>
              <w:top w:val="single" w:sz="8" w:space="0" w:color="auto"/>
              <w:left w:val="nil"/>
              <w:bottom w:val="single" w:sz="8" w:space="0" w:color="auto"/>
              <w:right w:val="single" w:sz="8" w:space="0" w:color="auto"/>
            </w:tcBorders>
            <w:shd w:val="clear" w:color="auto" w:fill="F2F2F2" w:themeFill="background1" w:themeFillShade="F2"/>
            <w:vAlign w:val="bottom"/>
            <w:hideMark/>
          </w:tcPr>
          <w:p w:rsidR="00D15843" w:rsidRPr="00B13B30" w:rsidRDefault="00D15843" w:rsidP="00FE3F43">
            <w:pPr>
              <w:pStyle w:val="TableChartandFigureListText"/>
              <w:jc w:val="center"/>
            </w:pPr>
            <w:r w:rsidRPr="00B13B30">
              <w:t>Hourly Wage Rate</w:t>
            </w:r>
          </w:p>
        </w:tc>
        <w:tc>
          <w:tcPr>
            <w:tcW w:w="1916" w:type="dxa"/>
            <w:tcBorders>
              <w:top w:val="single" w:sz="8" w:space="0" w:color="auto"/>
              <w:left w:val="nil"/>
              <w:bottom w:val="single" w:sz="8" w:space="0" w:color="auto"/>
              <w:right w:val="nil"/>
            </w:tcBorders>
            <w:shd w:val="clear" w:color="auto" w:fill="F2F2F2" w:themeFill="background1" w:themeFillShade="F2"/>
            <w:vAlign w:val="bottom"/>
            <w:hideMark/>
          </w:tcPr>
          <w:p w:rsidR="00D15843" w:rsidRPr="00B13B30" w:rsidRDefault="00D15843" w:rsidP="00FE3F43">
            <w:pPr>
              <w:pStyle w:val="TableChartandFigureListText"/>
              <w:jc w:val="center"/>
            </w:pPr>
            <w:r w:rsidRPr="00B13B30">
              <w:t>Respondent Cost</w:t>
            </w:r>
          </w:p>
        </w:tc>
      </w:tr>
      <w:tr w:rsidR="004430ED" w:rsidRPr="004F1B42" w:rsidTr="00FE3F43">
        <w:trPr>
          <w:cantSplit/>
          <w:trHeight w:val="144"/>
          <w:jc w:val="center"/>
        </w:trPr>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pPr>
            <w:r w:rsidRPr="004F1B42">
              <w:t>State QC directors</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53</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8725E9" w:rsidP="00FE3F43">
            <w:pPr>
              <w:pStyle w:val="TableChartandFigureListText"/>
              <w:jc w:val="center"/>
            </w:pPr>
            <w:r>
              <w:t>45</w:t>
            </w:r>
            <w:r w:rsidR="004430ED" w:rsidRPr="004F1B42">
              <w:t>.74</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$36.83</w:t>
            </w:r>
            <w:r w:rsidRPr="00DE471C">
              <w:rPr>
                <w:rStyle w:val="FootnoteReference"/>
                <w:vertAlign w:val="superscript"/>
              </w:rPr>
              <w:footnoteReference w:id="9"/>
            </w:r>
          </w:p>
        </w:tc>
        <w:tc>
          <w:tcPr>
            <w:tcW w:w="1916" w:type="dxa"/>
            <w:tcBorders>
              <w:top w:val="nil"/>
              <w:left w:val="nil"/>
              <w:bottom w:val="single" w:sz="8" w:space="0" w:color="auto"/>
              <w:right w:val="nil"/>
            </w:tcBorders>
            <w:shd w:val="clear" w:color="auto" w:fill="auto"/>
            <w:vAlign w:val="center"/>
            <w:hideMark/>
          </w:tcPr>
          <w:p w:rsidR="004430ED" w:rsidRPr="004F1B42" w:rsidRDefault="004430ED" w:rsidP="008725E9">
            <w:pPr>
              <w:pStyle w:val="TableChartandFigureListText"/>
              <w:jc w:val="center"/>
            </w:pPr>
            <w:r w:rsidRPr="004F1B42">
              <w:t>$1,</w:t>
            </w:r>
            <w:r w:rsidR="008725E9">
              <w:t>684.60</w:t>
            </w:r>
          </w:p>
        </w:tc>
      </w:tr>
      <w:tr w:rsidR="004430ED" w:rsidRPr="004F1B42" w:rsidTr="00FE3F43">
        <w:trPr>
          <w:cantSplit/>
          <w:trHeight w:val="144"/>
          <w:jc w:val="center"/>
        </w:trPr>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pPr>
            <w:r w:rsidRPr="004F1B42">
              <w:t>State QC supervisors</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106</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60.75</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$30.86</w:t>
            </w:r>
            <w:r w:rsidRPr="00DE471C">
              <w:rPr>
                <w:rStyle w:val="FootnoteReference"/>
                <w:vertAlign w:val="superscript"/>
              </w:rPr>
              <w:footnoteReference w:id="10"/>
            </w:r>
          </w:p>
        </w:tc>
        <w:tc>
          <w:tcPr>
            <w:tcW w:w="1916" w:type="dxa"/>
            <w:tcBorders>
              <w:top w:val="nil"/>
              <w:left w:val="nil"/>
              <w:bottom w:val="single" w:sz="8" w:space="0" w:color="auto"/>
              <w:right w:val="nil"/>
            </w:tcBorders>
            <w:shd w:val="clear" w:color="auto" w:fill="auto"/>
            <w:vAlign w:val="center"/>
            <w:hideMark/>
          </w:tcPr>
          <w:p w:rsidR="004430ED" w:rsidRPr="004F1B42" w:rsidRDefault="004430ED" w:rsidP="00FE3F43">
            <w:pPr>
              <w:pStyle w:val="TableChartandFigureListText"/>
              <w:jc w:val="center"/>
            </w:pPr>
            <w:r w:rsidRPr="004F1B42">
              <w:t>$1,874.75</w:t>
            </w:r>
          </w:p>
        </w:tc>
      </w:tr>
      <w:tr w:rsidR="004430ED" w:rsidRPr="004F1B42" w:rsidTr="00FE3F43">
        <w:trPr>
          <w:cantSplit/>
          <w:trHeight w:val="144"/>
          <w:jc w:val="center"/>
        </w:trPr>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pPr>
            <w:r w:rsidRPr="004F1B42">
              <w:t>State QC reviewers</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265</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152.74</w:t>
            </w:r>
          </w:p>
        </w:tc>
        <w:tc>
          <w:tcPr>
            <w:tcW w:w="1915" w:type="dxa"/>
            <w:tcBorders>
              <w:top w:val="nil"/>
              <w:left w:val="nil"/>
              <w:bottom w:val="single" w:sz="8" w:space="0" w:color="auto"/>
              <w:right w:val="single" w:sz="8" w:space="0" w:color="auto"/>
            </w:tcBorders>
            <w:shd w:val="clear" w:color="auto" w:fill="auto"/>
            <w:vAlign w:val="center"/>
            <w:hideMark/>
          </w:tcPr>
          <w:p w:rsidR="004430ED" w:rsidRPr="004F1B42" w:rsidRDefault="004430ED" w:rsidP="00FE3F43">
            <w:pPr>
              <w:pStyle w:val="TableChartandFigureListText"/>
              <w:jc w:val="center"/>
            </w:pPr>
            <w:r w:rsidRPr="004F1B42">
              <w:t>$27.63</w:t>
            </w:r>
            <w:r w:rsidRPr="00DE471C">
              <w:rPr>
                <w:rStyle w:val="FootnoteReference"/>
                <w:vertAlign w:val="superscript"/>
              </w:rPr>
              <w:footnoteReference w:id="11"/>
            </w:r>
          </w:p>
        </w:tc>
        <w:tc>
          <w:tcPr>
            <w:tcW w:w="1916" w:type="dxa"/>
            <w:tcBorders>
              <w:top w:val="nil"/>
              <w:left w:val="nil"/>
              <w:bottom w:val="single" w:sz="8" w:space="0" w:color="auto"/>
              <w:right w:val="nil"/>
            </w:tcBorders>
            <w:shd w:val="clear" w:color="auto" w:fill="auto"/>
            <w:vAlign w:val="center"/>
            <w:hideMark/>
          </w:tcPr>
          <w:p w:rsidR="004430ED" w:rsidRPr="004F1B42" w:rsidRDefault="004430ED" w:rsidP="00FE3F43">
            <w:pPr>
              <w:pStyle w:val="TableChartandFigureListText"/>
              <w:jc w:val="center"/>
            </w:pPr>
            <w:r w:rsidRPr="004F1B42">
              <w:t>$4,220.21</w:t>
            </w:r>
          </w:p>
        </w:tc>
      </w:tr>
      <w:tr w:rsidR="00384B04" w:rsidRPr="004F1B42" w:rsidTr="00FE3F43">
        <w:trPr>
          <w:cantSplit/>
          <w:trHeight w:val="144"/>
          <w:jc w:val="center"/>
        </w:trPr>
        <w:tc>
          <w:tcPr>
            <w:tcW w:w="1915" w:type="dxa"/>
            <w:tcBorders>
              <w:top w:val="nil"/>
              <w:left w:val="nil"/>
              <w:bottom w:val="single" w:sz="8" w:space="0" w:color="auto"/>
              <w:right w:val="single" w:sz="8" w:space="0" w:color="auto"/>
            </w:tcBorders>
            <w:shd w:val="clear" w:color="auto" w:fill="auto"/>
            <w:vAlign w:val="center"/>
          </w:tcPr>
          <w:p w:rsidR="00384B04" w:rsidRPr="004F1B42" w:rsidRDefault="00384B04" w:rsidP="00FE3F43">
            <w:pPr>
              <w:pStyle w:val="TableChartandFigureListText"/>
            </w:pPr>
            <w:r>
              <w:t>State IT staff</w:t>
            </w:r>
          </w:p>
        </w:tc>
        <w:tc>
          <w:tcPr>
            <w:tcW w:w="1915" w:type="dxa"/>
            <w:tcBorders>
              <w:top w:val="nil"/>
              <w:left w:val="nil"/>
              <w:bottom w:val="single" w:sz="8" w:space="0" w:color="auto"/>
              <w:right w:val="single" w:sz="8" w:space="0" w:color="auto"/>
            </w:tcBorders>
            <w:shd w:val="clear" w:color="auto" w:fill="auto"/>
            <w:vAlign w:val="center"/>
          </w:tcPr>
          <w:p w:rsidR="00384B04" w:rsidRPr="004F1B42" w:rsidRDefault="00384B04" w:rsidP="00FE3F43">
            <w:pPr>
              <w:pStyle w:val="TableChartandFigureListText"/>
              <w:jc w:val="center"/>
            </w:pPr>
            <w:r>
              <w:t>6</w:t>
            </w:r>
          </w:p>
        </w:tc>
        <w:tc>
          <w:tcPr>
            <w:tcW w:w="1915" w:type="dxa"/>
            <w:tcBorders>
              <w:top w:val="nil"/>
              <w:left w:val="nil"/>
              <w:bottom w:val="single" w:sz="8" w:space="0" w:color="auto"/>
              <w:right w:val="single" w:sz="8" w:space="0" w:color="auto"/>
            </w:tcBorders>
            <w:shd w:val="clear" w:color="auto" w:fill="auto"/>
            <w:vAlign w:val="center"/>
          </w:tcPr>
          <w:p w:rsidR="00384B04" w:rsidRPr="004F1B42" w:rsidRDefault="008725E9" w:rsidP="00FE3F43">
            <w:pPr>
              <w:pStyle w:val="TableChartandFigureListText"/>
              <w:jc w:val="center"/>
            </w:pPr>
            <w:r>
              <w:t>48.00</w:t>
            </w:r>
          </w:p>
        </w:tc>
        <w:tc>
          <w:tcPr>
            <w:tcW w:w="1915" w:type="dxa"/>
            <w:tcBorders>
              <w:top w:val="nil"/>
              <w:left w:val="nil"/>
              <w:bottom w:val="single" w:sz="8" w:space="0" w:color="auto"/>
              <w:right w:val="single" w:sz="8" w:space="0" w:color="auto"/>
            </w:tcBorders>
            <w:shd w:val="clear" w:color="auto" w:fill="auto"/>
            <w:vAlign w:val="center"/>
          </w:tcPr>
          <w:p w:rsidR="00384B04" w:rsidRPr="004F1B42" w:rsidRDefault="008725E9" w:rsidP="00FE3F43">
            <w:pPr>
              <w:pStyle w:val="TableChartandFigureListText"/>
              <w:jc w:val="center"/>
            </w:pPr>
            <w:r>
              <w:t>$34.92</w:t>
            </w:r>
            <w:r w:rsidRPr="008725E9">
              <w:rPr>
                <w:rStyle w:val="FootnoteReference"/>
                <w:vertAlign w:val="superscript"/>
              </w:rPr>
              <w:footnoteReference w:id="12"/>
            </w:r>
          </w:p>
        </w:tc>
        <w:tc>
          <w:tcPr>
            <w:tcW w:w="1916" w:type="dxa"/>
            <w:tcBorders>
              <w:top w:val="nil"/>
              <w:left w:val="nil"/>
              <w:bottom w:val="single" w:sz="8" w:space="0" w:color="auto"/>
              <w:right w:val="nil"/>
            </w:tcBorders>
            <w:shd w:val="clear" w:color="auto" w:fill="auto"/>
            <w:vAlign w:val="center"/>
          </w:tcPr>
          <w:p w:rsidR="00384B04" w:rsidRPr="004F1B42" w:rsidRDefault="008725E9" w:rsidP="00FE3F43">
            <w:pPr>
              <w:pStyle w:val="TableChartandFigureListText"/>
              <w:jc w:val="center"/>
            </w:pPr>
            <w:r>
              <w:t>$1,676.16</w:t>
            </w:r>
          </w:p>
        </w:tc>
      </w:tr>
      <w:tr w:rsidR="004430ED" w:rsidRPr="004F1B42" w:rsidTr="00FE3F43">
        <w:trPr>
          <w:cantSplit/>
          <w:trHeight w:val="144"/>
          <w:jc w:val="center"/>
        </w:trPr>
        <w:tc>
          <w:tcPr>
            <w:tcW w:w="1915" w:type="dxa"/>
            <w:tcBorders>
              <w:top w:val="nil"/>
              <w:left w:val="nil"/>
              <w:bottom w:val="single" w:sz="8" w:space="0" w:color="000000"/>
              <w:right w:val="single" w:sz="8" w:space="0" w:color="auto"/>
            </w:tcBorders>
            <w:shd w:val="clear" w:color="auto" w:fill="BFBFBF" w:themeFill="background1" w:themeFillShade="BF"/>
            <w:vAlign w:val="center"/>
            <w:hideMark/>
          </w:tcPr>
          <w:p w:rsidR="004430ED" w:rsidRPr="004F1B42" w:rsidRDefault="004430ED" w:rsidP="00FE3F43">
            <w:pPr>
              <w:pStyle w:val="TableChartandFigureListText"/>
            </w:pPr>
            <w:r w:rsidRPr="004F1B42">
              <w:t>Total</w:t>
            </w:r>
          </w:p>
        </w:tc>
        <w:tc>
          <w:tcPr>
            <w:tcW w:w="1915" w:type="dxa"/>
            <w:tcBorders>
              <w:top w:val="nil"/>
              <w:left w:val="nil"/>
              <w:bottom w:val="single" w:sz="8" w:space="0" w:color="000000"/>
              <w:right w:val="single" w:sz="8" w:space="0" w:color="auto"/>
            </w:tcBorders>
            <w:shd w:val="clear" w:color="auto" w:fill="BFBFBF" w:themeFill="background1" w:themeFillShade="BF"/>
            <w:vAlign w:val="center"/>
            <w:hideMark/>
          </w:tcPr>
          <w:p w:rsidR="004430ED" w:rsidRPr="004F1B42" w:rsidRDefault="004430ED" w:rsidP="00FE3F43">
            <w:pPr>
              <w:pStyle w:val="TableChartandFigureListText"/>
              <w:jc w:val="center"/>
            </w:pPr>
            <w:r w:rsidRPr="004F1B42">
              <w:t>424</w:t>
            </w:r>
          </w:p>
        </w:tc>
        <w:tc>
          <w:tcPr>
            <w:tcW w:w="1915" w:type="dxa"/>
            <w:tcBorders>
              <w:top w:val="nil"/>
              <w:left w:val="nil"/>
              <w:bottom w:val="single" w:sz="8" w:space="0" w:color="000000"/>
              <w:right w:val="single" w:sz="8" w:space="0" w:color="auto"/>
            </w:tcBorders>
            <w:shd w:val="clear" w:color="auto" w:fill="BFBFBF" w:themeFill="background1" w:themeFillShade="BF"/>
            <w:vAlign w:val="center"/>
            <w:hideMark/>
          </w:tcPr>
          <w:p w:rsidR="004430ED" w:rsidRPr="004F1B42" w:rsidRDefault="008725E9" w:rsidP="00FE3F43">
            <w:pPr>
              <w:pStyle w:val="TableChartandFigureListText"/>
              <w:jc w:val="center"/>
            </w:pPr>
            <w:r>
              <w:t>307</w:t>
            </w:r>
            <w:r w:rsidR="004430ED" w:rsidRPr="004F1B42">
              <w:t>.23</w:t>
            </w:r>
          </w:p>
        </w:tc>
        <w:tc>
          <w:tcPr>
            <w:tcW w:w="1915" w:type="dxa"/>
            <w:tcBorders>
              <w:top w:val="nil"/>
              <w:left w:val="nil"/>
              <w:bottom w:val="single" w:sz="8" w:space="0" w:color="000000"/>
              <w:right w:val="single" w:sz="8" w:space="0" w:color="auto"/>
            </w:tcBorders>
            <w:shd w:val="clear" w:color="auto" w:fill="BFBFBF" w:themeFill="background1" w:themeFillShade="BF"/>
            <w:vAlign w:val="center"/>
            <w:hideMark/>
          </w:tcPr>
          <w:p w:rsidR="004430ED" w:rsidRPr="004F1B42" w:rsidRDefault="004430ED" w:rsidP="00FE3F43">
            <w:pPr>
              <w:pStyle w:val="TableChartandFigureListText"/>
              <w:jc w:val="center"/>
            </w:pPr>
          </w:p>
        </w:tc>
        <w:tc>
          <w:tcPr>
            <w:tcW w:w="1916" w:type="dxa"/>
            <w:tcBorders>
              <w:top w:val="nil"/>
              <w:left w:val="nil"/>
              <w:bottom w:val="single" w:sz="8" w:space="0" w:color="000000"/>
              <w:right w:val="nil"/>
            </w:tcBorders>
            <w:shd w:val="clear" w:color="auto" w:fill="BFBFBF" w:themeFill="background1" w:themeFillShade="BF"/>
            <w:vAlign w:val="center"/>
            <w:hideMark/>
          </w:tcPr>
          <w:p w:rsidR="004430ED" w:rsidRPr="004F1B42" w:rsidRDefault="008725E9" w:rsidP="00FE3F43">
            <w:pPr>
              <w:pStyle w:val="TableChartandFigureListText"/>
              <w:jc w:val="center"/>
            </w:pPr>
            <w:r>
              <w:t>$7,779.56</w:t>
            </w:r>
          </w:p>
        </w:tc>
      </w:tr>
    </w:tbl>
    <w:p w:rsidR="00845DBE" w:rsidRPr="00647FE3" w:rsidRDefault="00845DBE" w:rsidP="00844D05">
      <w:pPr>
        <w:rPr>
          <w:rFonts w:ascii="Arial" w:eastAsia="Times New Roman" w:hAnsi="Arial" w:cs="Arial"/>
          <w:sz w:val="24"/>
        </w:rPr>
      </w:pPr>
    </w:p>
    <w:p w:rsidR="008B1EE4" w:rsidRPr="00647FE3" w:rsidRDefault="008B1EE4" w:rsidP="00844D05">
      <w:pPr>
        <w:pStyle w:val="Heading3"/>
      </w:pPr>
      <w:bookmarkStart w:id="57" w:name="_Toc351666587"/>
      <w:bookmarkStart w:id="58" w:name="_Toc351667646"/>
      <w:r w:rsidRPr="00647FE3">
        <w:t>A.13.</w:t>
      </w:r>
      <w:r w:rsidRPr="00647FE3">
        <w:tab/>
        <w:t xml:space="preserve">Estimates of Other Total Annual </w:t>
      </w:r>
      <w:r w:rsidR="00A36AE6" w:rsidRPr="00647FE3">
        <w:t>Cost Burden</w:t>
      </w:r>
      <w:r w:rsidRPr="00647FE3">
        <w:t xml:space="preserve"> to Respondents</w:t>
      </w:r>
      <w:bookmarkEnd w:id="54"/>
      <w:r w:rsidR="004219FC" w:rsidRPr="00647FE3">
        <w:t xml:space="preserve"> </w:t>
      </w:r>
      <w:r w:rsidRPr="00647FE3">
        <w:t>or Record Keepers</w:t>
      </w:r>
      <w:bookmarkEnd w:id="55"/>
      <w:bookmarkEnd w:id="56"/>
      <w:bookmarkEnd w:id="57"/>
      <w:bookmarkEnd w:id="58"/>
    </w:p>
    <w:p w:rsidR="00986B01" w:rsidRPr="003E022F" w:rsidRDefault="00257547" w:rsidP="00844D05">
      <w:pPr>
        <w:pStyle w:val="CalibriText-noindent"/>
        <w:keepNext w:val="0"/>
        <w:keepLines w:val="0"/>
        <w:rPr>
          <w:b/>
        </w:rPr>
      </w:pPr>
      <w:r w:rsidRPr="003E022F">
        <w:rPr>
          <w:b/>
        </w:rPr>
        <w:t>Provide estimates of the total annual cost b</w:t>
      </w:r>
      <w:r w:rsidR="00046952" w:rsidRPr="003E022F">
        <w:rPr>
          <w:b/>
        </w:rPr>
        <w:t xml:space="preserve">urden to </w:t>
      </w:r>
      <w:r w:rsidRPr="003E022F">
        <w:rPr>
          <w:b/>
        </w:rPr>
        <w:t>respondents or record keepers resulting from the collection of information, (do not include the cost of any hour burden shown in items 12 and 14).  The cost estimates should be split into two components: a) a t</w:t>
      </w:r>
      <w:r w:rsidR="00046952" w:rsidRPr="003E022F">
        <w:rPr>
          <w:b/>
        </w:rPr>
        <w:t>otal capital and start-up cost component annualized</w:t>
      </w:r>
      <w:r w:rsidR="00226F9D" w:rsidRPr="003E022F">
        <w:rPr>
          <w:b/>
        </w:rPr>
        <w:t xml:space="preserve"> </w:t>
      </w:r>
      <w:r w:rsidRPr="003E022F">
        <w:rPr>
          <w:b/>
        </w:rPr>
        <w:t>over its expected useful life</w:t>
      </w:r>
      <w:r w:rsidR="008F32BE" w:rsidRPr="003E022F">
        <w:rPr>
          <w:b/>
        </w:rPr>
        <w:t>,</w:t>
      </w:r>
      <w:r w:rsidRPr="003E022F">
        <w:rPr>
          <w:b/>
        </w:rPr>
        <w:t xml:space="preserve"> and b) a total operation and mainte</w:t>
      </w:r>
      <w:r w:rsidR="003E050C" w:rsidRPr="003E022F">
        <w:rPr>
          <w:b/>
        </w:rPr>
        <w:t xml:space="preserve">nance and purchase of services </w:t>
      </w:r>
      <w:r w:rsidRPr="003E022F">
        <w:rPr>
          <w:b/>
        </w:rPr>
        <w:t>component.</w:t>
      </w:r>
    </w:p>
    <w:p w:rsidR="008B1EE4" w:rsidRPr="00647FE3" w:rsidRDefault="008B1EE4" w:rsidP="00844D05">
      <w:pPr>
        <w:pStyle w:val="BodyTextMemo"/>
      </w:pPr>
      <w:r w:rsidRPr="00647FE3">
        <w:rPr>
          <w:color w:val="000000"/>
          <w:lang w:bidi="he-IL"/>
        </w:rPr>
        <w:t xml:space="preserve"> </w:t>
      </w:r>
      <w:r w:rsidRPr="00647FE3">
        <w:t>No capital/startup or ongoing operation</w:t>
      </w:r>
      <w:r w:rsidR="00E77027" w:rsidRPr="00647FE3">
        <w:t>al</w:t>
      </w:r>
      <w:r w:rsidRPr="00647FE3">
        <w:t xml:space="preserve">/maintenance costs are associated with this information collection. </w:t>
      </w:r>
    </w:p>
    <w:p w:rsidR="008B1EE4" w:rsidRPr="00647FE3" w:rsidRDefault="008B1EE4" w:rsidP="006A0301">
      <w:pPr>
        <w:pStyle w:val="Heading3"/>
        <w:keepNext/>
        <w:keepLines/>
      </w:pPr>
      <w:bookmarkStart w:id="59" w:name="_Toc133208887"/>
      <w:bookmarkStart w:id="60" w:name="_Toc329426286"/>
      <w:bookmarkStart w:id="61" w:name="_Toc335320956"/>
      <w:bookmarkStart w:id="62" w:name="_Toc351666588"/>
      <w:bookmarkStart w:id="63" w:name="_Toc351667647"/>
      <w:r w:rsidRPr="00647FE3">
        <w:lastRenderedPageBreak/>
        <w:t>A.14.</w:t>
      </w:r>
      <w:r w:rsidRPr="00647FE3">
        <w:tab/>
        <w:t>Annualized Cost to Federal Government</w:t>
      </w:r>
      <w:bookmarkEnd w:id="59"/>
      <w:bookmarkEnd w:id="60"/>
      <w:bookmarkEnd w:id="61"/>
      <w:bookmarkEnd w:id="62"/>
      <w:bookmarkEnd w:id="63"/>
    </w:p>
    <w:p w:rsidR="00B418FC" w:rsidRPr="003E022F" w:rsidRDefault="00B418FC" w:rsidP="006A0301">
      <w:pPr>
        <w:pStyle w:val="CalibriText-noindent"/>
        <w:rPr>
          <w:b/>
        </w:rPr>
      </w:pPr>
      <w:r w:rsidRPr="003E022F">
        <w:rPr>
          <w:b/>
        </w:rPr>
        <w:t>Provide estimates of annualized cost to the Federal government. Also, provide a description of the method used to estimate cost and any other expense that would not have been incurred without this collection of information.</w:t>
      </w:r>
    </w:p>
    <w:p w:rsidR="00923A7A" w:rsidRPr="00647FE3" w:rsidRDefault="003E050C" w:rsidP="006A0301">
      <w:pPr>
        <w:pStyle w:val="BodyTextMemo"/>
        <w:keepNext/>
        <w:keepLines/>
      </w:pPr>
      <w:r w:rsidRPr="00647FE3">
        <w:t xml:space="preserve">The </w:t>
      </w:r>
      <w:r w:rsidR="00926D53" w:rsidRPr="00647FE3">
        <w:t>36-month contract</w:t>
      </w:r>
      <w:r w:rsidRPr="00647FE3">
        <w:t xml:space="preserve"> cost to the Federal Government is </w:t>
      </w:r>
      <w:r w:rsidR="00C52279" w:rsidRPr="00647FE3">
        <w:t xml:space="preserve">fixed price at </w:t>
      </w:r>
      <w:r w:rsidR="00247CDD" w:rsidRPr="00647FE3">
        <w:t>$1,</w:t>
      </w:r>
      <w:r w:rsidR="00926D53" w:rsidRPr="00647FE3">
        <w:t>808,609</w:t>
      </w:r>
      <w:r w:rsidRPr="00647FE3">
        <w:t>.  This total includes costs associated with the study design, instrument development, technical development of survey forms, information collection, analysis, reporting, and presentation/publication of the results</w:t>
      </w:r>
      <w:r w:rsidR="00A01029" w:rsidRPr="00647FE3">
        <w:t>.</w:t>
      </w:r>
      <w:r w:rsidR="00097874" w:rsidRPr="00647FE3">
        <w:t xml:space="preserve">  Of that total, approximately $701,800 will be used for data collection, including </w:t>
      </w:r>
      <w:r w:rsidR="008F32BE" w:rsidRPr="00647FE3">
        <w:t>pre-test</w:t>
      </w:r>
      <w:r w:rsidR="00097874" w:rsidRPr="00647FE3">
        <w:t xml:space="preserve">s, </w:t>
      </w:r>
      <w:r w:rsidR="00FF41D8" w:rsidRPr="00647FE3">
        <w:t>administrative data collection, in-person interviews, Web and telephone surveys, and QC re-reviews, for an annual estimate of $233,933</w:t>
      </w:r>
      <w:r w:rsidR="00097874" w:rsidRPr="00647FE3">
        <w:t>.</w:t>
      </w:r>
      <w:r w:rsidR="00A01029" w:rsidRPr="00647FE3">
        <w:t xml:space="preserve">  The period of performance for the project is September 19, 2012 through October 15, 2015.  This information collection also assumes a total of 800 hours of Federal employee time for a GS-14, Step 10 Senior Analyst at $65.53 per hour, for a total of $52,424 on an annual basis.  Federal employee rates are based on the General Schedule of the Offices of Personnel Management (OMB) for 2012.  </w:t>
      </w:r>
      <w:r w:rsidRPr="00647FE3">
        <w:t>The average annualized cost</w:t>
      </w:r>
      <w:r w:rsidR="00FF41D8" w:rsidRPr="00647FE3">
        <w:t xml:space="preserve"> (contract + FNS costs)</w:t>
      </w:r>
      <w:r w:rsidRPr="00647FE3">
        <w:t xml:space="preserve"> is </w:t>
      </w:r>
      <w:r w:rsidR="00247CDD" w:rsidRPr="00647FE3">
        <w:t>$</w:t>
      </w:r>
      <w:r w:rsidR="001B2DF9" w:rsidRPr="00647FE3">
        <w:t>286,357,</w:t>
      </w:r>
      <w:r w:rsidR="00FF41D8" w:rsidRPr="00647FE3">
        <w:t xml:space="preserve"> and the total project cost of the data collection is $859,072.</w:t>
      </w:r>
    </w:p>
    <w:p w:rsidR="008B1EE4" w:rsidRPr="00647FE3" w:rsidRDefault="008B1EE4" w:rsidP="00844D05">
      <w:pPr>
        <w:pStyle w:val="Heading3"/>
      </w:pPr>
      <w:bookmarkStart w:id="64" w:name="_Toc133208888"/>
      <w:bookmarkStart w:id="65" w:name="_Toc329426287"/>
      <w:bookmarkStart w:id="66" w:name="_Toc335320957"/>
      <w:bookmarkStart w:id="67" w:name="_Toc351666589"/>
      <w:bookmarkStart w:id="68" w:name="_Toc351667648"/>
      <w:r w:rsidRPr="00647FE3">
        <w:t>A.15.</w:t>
      </w:r>
      <w:r w:rsidRPr="00647FE3">
        <w:tab/>
      </w:r>
      <w:bookmarkEnd w:id="64"/>
      <w:r w:rsidRPr="00647FE3">
        <w:t>Explanation for Program Changes or Adjustments</w:t>
      </w:r>
      <w:bookmarkEnd w:id="65"/>
      <w:bookmarkEnd w:id="66"/>
      <w:bookmarkEnd w:id="67"/>
      <w:bookmarkEnd w:id="68"/>
    </w:p>
    <w:p w:rsidR="00B418FC" w:rsidRPr="003E022F" w:rsidRDefault="00B418FC" w:rsidP="00844D05">
      <w:pPr>
        <w:pStyle w:val="CalibriText-noindent"/>
        <w:keepNext w:val="0"/>
        <w:keepLines w:val="0"/>
        <w:rPr>
          <w:b/>
        </w:rPr>
      </w:pPr>
      <w:r w:rsidRPr="003E022F">
        <w:rPr>
          <w:b/>
        </w:rPr>
        <w:t>Explain the reasons for any program changes or adjustments reported in Items 13 or 14 of the OMB Form 83-1.</w:t>
      </w:r>
    </w:p>
    <w:p w:rsidR="00F409A7" w:rsidRPr="00647FE3" w:rsidRDefault="008B1EE4" w:rsidP="00844D05">
      <w:pPr>
        <w:pStyle w:val="BodyTextMemo"/>
      </w:pPr>
      <w:r w:rsidRPr="00647FE3">
        <w:t>This is a new collection of information</w:t>
      </w:r>
      <w:r w:rsidR="00F409A7" w:rsidRPr="00647FE3">
        <w:t xml:space="preserve"> effort that will add </w:t>
      </w:r>
      <w:r w:rsidR="00661907">
        <w:t>307</w:t>
      </w:r>
      <w:r w:rsidR="004E2BEB">
        <w:t>.23</w:t>
      </w:r>
      <w:r w:rsidR="00F409A7" w:rsidRPr="00647FE3">
        <w:t xml:space="preserve"> burden hours to the OMB inventory.</w:t>
      </w:r>
    </w:p>
    <w:p w:rsidR="008B1EE4" w:rsidRPr="00647FE3" w:rsidRDefault="008B1EE4" w:rsidP="00844D05">
      <w:pPr>
        <w:pStyle w:val="Heading3"/>
      </w:pPr>
      <w:bookmarkStart w:id="69" w:name="_Toc133208890"/>
      <w:bookmarkStart w:id="70" w:name="_Toc329426288"/>
      <w:bookmarkStart w:id="71" w:name="_Toc335320958"/>
      <w:bookmarkStart w:id="72" w:name="_Toc351666590"/>
      <w:bookmarkStart w:id="73" w:name="_Toc351667649"/>
      <w:r w:rsidRPr="00647FE3">
        <w:t>A.16.</w:t>
      </w:r>
      <w:r w:rsidRPr="00647FE3">
        <w:tab/>
      </w:r>
      <w:bookmarkEnd w:id="69"/>
      <w:r w:rsidRPr="00647FE3">
        <w:t>Plans for Tabulation and Publication and Project Time Schedule</w:t>
      </w:r>
      <w:bookmarkEnd w:id="70"/>
      <w:bookmarkEnd w:id="71"/>
      <w:bookmarkEnd w:id="72"/>
      <w:bookmarkEnd w:id="73"/>
    </w:p>
    <w:p w:rsidR="001E3E67" w:rsidRPr="003E022F" w:rsidRDefault="001E3E67" w:rsidP="00844D05">
      <w:pPr>
        <w:pStyle w:val="CalibriText-noindent"/>
        <w:keepNext w:val="0"/>
        <w:keepLines w:val="0"/>
        <w:rPr>
          <w:b/>
        </w:rPr>
      </w:pPr>
      <w:r w:rsidRPr="003E022F">
        <w:rPr>
          <w:b/>
        </w:rPr>
        <w:t>For collections of information whose results are planned to be published, outline plans for tabulation and publication.</w:t>
      </w:r>
    </w:p>
    <w:p w:rsidR="00B32F4E" w:rsidRPr="00647FE3" w:rsidRDefault="00B55FF4" w:rsidP="00844D05">
      <w:pPr>
        <w:pStyle w:val="BodyTextMemo"/>
      </w:pPr>
      <w:r w:rsidRPr="00647FE3">
        <w:t>Survey data</w:t>
      </w:r>
      <w:r w:rsidR="00777E54" w:rsidRPr="00647FE3">
        <w:t xml:space="preserve"> </w:t>
      </w:r>
      <w:r w:rsidR="00B32F4E" w:rsidRPr="00647FE3">
        <w:t>will be tabulated in SAS</w:t>
      </w:r>
      <w:r w:rsidR="00B32F4E" w:rsidRPr="00647FE3">
        <w:rPr>
          <w:rStyle w:val="CommentReference"/>
        </w:rPr>
        <w:t> </w:t>
      </w:r>
      <w:r w:rsidR="00B32F4E" w:rsidRPr="00647FE3">
        <w:t>with results presented in tabular form appropriate to the data type with selected State or case characte</w:t>
      </w:r>
      <w:r w:rsidRPr="00647FE3">
        <w:t>ristics</w:t>
      </w:r>
      <w:r w:rsidR="00977715" w:rsidRPr="00647FE3">
        <w:t xml:space="preserve">.  </w:t>
      </w:r>
      <w:r w:rsidRPr="00647FE3">
        <w:t xml:space="preserve">Data from </w:t>
      </w:r>
      <w:r w:rsidR="00B32F4E" w:rsidRPr="00647FE3">
        <w:t xml:space="preserve">in-depth interviews </w:t>
      </w:r>
      <w:r w:rsidR="0015595F">
        <w:t xml:space="preserve">and site visits </w:t>
      </w:r>
      <w:r w:rsidR="00B32F4E" w:rsidRPr="00647FE3">
        <w:t xml:space="preserve">will be recorded, transcribed, and analyzed using NVivo 10 software.  </w:t>
      </w:r>
    </w:p>
    <w:p w:rsidR="000E1938" w:rsidRPr="00647FE3" w:rsidRDefault="00B32F4E" w:rsidP="00844D05">
      <w:pPr>
        <w:pStyle w:val="BodyTextMemo"/>
      </w:pPr>
      <w:r w:rsidRPr="00647FE3">
        <w:lastRenderedPageBreak/>
        <w:t xml:space="preserve">For in-depth interview analysis, the researchers will import a verbatim transcript of each interview into NVivo and will code the data using a standard coding scheme for each interview type.  </w:t>
      </w:r>
      <w:r w:rsidR="000E1938" w:rsidRPr="00647FE3">
        <w:t xml:space="preserve">Although the coding schemes for different interview types (e.g., State SNAP </w:t>
      </w:r>
      <w:r w:rsidR="00777E54" w:rsidRPr="00647FE3">
        <w:t xml:space="preserve">QC </w:t>
      </w:r>
      <w:r w:rsidR="000E1938" w:rsidRPr="00647FE3">
        <w:t>director</w:t>
      </w:r>
      <w:r w:rsidR="00BB48DC" w:rsidRPr="00647FE3">
        <w:t xml:space="preserve">, </w:t>
      </w:r>
      <w:r w:rsidR="0015595F">
        <w:t>s</w:t>
      </w:r>
      <w:r w:rsidR="00BB48DC" w:rsidRPr="00647FE3">
        <w:t>upervisor</w:t>
      </w:r>
      <w:r w:rsidR="00ED1944" w:rsidRPr="00647FE3">
        <w:t>,</w:t>
      </w:r>
      <w:r w:rsidR="00BB48DC" w:rsidRPr="00647FE3">
        <w:t xml:space="preserve"> or revie</w:t>
      </w:r>
      <w:r w:rsidR="006A767E" w:rsidRPr="00647FE3">
        <w:t>wer interview</w:t>
      </w:r>
      <w:r w:rsidR="000E1938" w:rsidRPr="00647FE3">
        <w:t xml:space="preserve">) may share many of the same themes, </w:t>
      </w:r>
      <w:r w:rsidR="00967A90" w:rsidRPr="00647FE3">
        <w:t>each will be coded separately</w:t>
      </w:r>
      <w:r w:rsidR="000E1938" w:rsidRPr="00647FE3">
        <w:t xml:space="preserve"> to match the specific purposes of each interview.  </w:t>
      </w:r>
      <w:r w:rsidR="00967A90" w:rsidRPr="00647FE3">
        <w:t>Coded interviews</w:t>
      </w:r>
      <w:r w:rsidR="000E1938" w:rsidRPr="00647FE3">
        <w:t xml:space="preserve"> will identify </w:t>
      </w:r>
      <w:r w:rsidR="00967A90" w:rsidRPr="00647FE3">
        <w:t xml:space="preserve">characteristics of </w:t>
      </w:r>
      <w:r w:rsidR="000E1938" w:rsidRPr="00647FE3">
        <w:t xml:space="preserve">the State and the data source for purposes of analysis. </w:t>
      </w:r>
    </w:p>
    <w:p w:rsidR="008B1EE4" w:rsidRPr="00647FE3" w:rsidRDefault="008B1EE4" w:rsidP="00887C45">
      <w:pPr>
        <w:pStyle w:val="BodyTextMemo"/>
        <w:keepNext/>
        <w:keepLines/>
        <w:rPr>
          <w:lang w:bidi="he-IL"/>
        </w:rPr>
      </w:pPr>
      <w:r w:rsidRPr="00647FE3">
        <w:rPr>
          <w:lang w:bidi="he-IL"/>
        </w:rPr>
        <w:t>The schedule for data collection, analysis, and reporting is shown in Table A.16</w:t>
      </w:r>
      <w:r w:rsidR="009E0B9F">
        <w:rPr>
          <w:lang w:bidi="he-IL"/>
        </w:rPr>
        <w:t>.</w:t>
      </w:r>
      <w:r w:rsidRPr="00647FE3">
        <w:rPr>
          <w:lang w:bidi="he-IL"/>
        </w:rPr>
        <w:t>1 below.</w:t>
      </w:r>
    </w:p>
    <w:p w:rsidR="00ED1944" w:rsidRPr="00647FE3" w:rsidRDefault="008B1EE4" w:rsidP="00887C45">
      <w:pPr>
        <w:pStyle w:val="TableTitle"/>
      </w:pPr>
      <w:r w:rsidRPr="00647FE3">
        <w:rPr>
          <w:spacing w:val="-5"/>
          <w:kern w:val="24"/>
        </w:rPr>
        <w:t>T</w:t>
      </w:r>
      <w:r w:rsidR="00ED1944" w:rsidRPr="00647FE3">
        <w:t>able A.16</w:t>
      </w:r>
      <w:r w:rsidR="009E0B9F">
        <w:t>.</w:t>
      </w:r>
      <w:r w:rsidR="00ED1944" w:rsidRPr="00647FE3">
        <w:t>1</w:t>
      </w:r>
    </w:p>
    <w:p w:rsidR="008B1EE4" w:rsidRPr="00647FE3" w:rsidRDefault="008B1EE4" w:rsidP="00887C45">
      <w:pPr>
        <w:pStyle w:val="TableTitle"/>
        <w:rPr>
          <w:spacing w:val="-5"/>
          <w:kern w:val="24"/>
        </w:rPr>
      </w:pPr>
      <w:r w:rsidRPr="00647FE3">
        <w:t>Project Time Schedule</w:t>
      </w:r>
    </w:p>
    <w:tbl>
      <w:tblPr>
        <w:tblW w:w="0" w:type="auto"/>
        <w:jc w:val="center"/>
        <w:tblBorders>
          <w:top w:val="single" w:sz="4" w:space="0" w:color="000000"/>
          <w:bottom w:val="single" w:sz="4" w:space="0" w:color="000000"/>
          <w:insideH w:val="single" w:sz="4" w:space="0" w:color="000000"/>
          <w:insideV w:val="single" w:sz="4" w:space="0" w:color="000000"/>
        </w:tblBorders>
        <w:tblCellMar>
          <w:left w:w="120" w:type="dxa"/>
          <w:right w:w="120" w:type="dxa"/>
        </w:tblCellMar>
        <w:tblLook w:val="0000"/>
      </w:tblPr>
      <w:tblGrid>
        <w:gridCol w:w="3887"/>
        <w:gridCol w:w="2529"/>
      </w:tblGrid>
      <w:tr w:rsidR="00D355F6" w:rsidRPr="00647FE3" w:rsidTr="00B13B30">
        <w:trPr>
          <w:trHeight w:val="144"/>
          <w:jc w:val="center"/>
        </w:trPr>
        <w:tc>
          <w:tcPr>
            <w:tcW w:w="0" w:type="auto"/>
            <w:shd w:val="clear" w:color="auto" w:fill="F2F2F2" w:themeFill="background1" w:themeFillShade="F2"/>
            <w:vAlign w:val="center"/>
          </w:tcPr>
          <w:p w:rsidR="008B1EE4" w:rsidRPr="00B13B30" w:rsidRDefault="008B1EE4" w:rsidP="00B13B30">
            <w:pPr>
              <w:pStyle w:val="TableChartandFigureListText"/>
              <w:rPr>
                <w:b/>
              </w:rPr>
            </w:pPr>
            <w:r w:rsidRPr="00B13B30">
              <w:rPr>
                <w:b/>
              </w:rPr>
              <w:t>Activity</w:t>
            </w:r>
          </w:p>
        </w:tc>
        <w:tc>
          <w:tcPr>
            <w:tcW w:w="0" w:type="auto"/>
            <w:shd w:val="clear" w:color="auto" w:fill="F2F2F2" w:themeFill="background1" w:themeFillShade="F2"/>
            <w:vAlign w:val="center"/>
          </w:tcPr>
          <w:p w:rsidR="008B1EE4" w:rsidRPr="00B13B30" w:rsidRDefault="008B1EE4">
            <w:pPr>
              <w:pStyle w:val="TableChartandFigureListText"/>
              <w:rPr>
                <w:b/>
              </w:rPr>
            </w:pPr>
            <w:r w:rsidRPr="00B13B30">
              <w:rPr>
                <w:b/>
              </w:rPr>
              <w:t>Expected Activity Period</w:t>
            </w:r>
          </w:p>
        </w:tc>
      </w:tr>
      <w:tr w:rsidR="008B1EE4" w:rsidRPr="00647FE3" w:rsidTr="00B13B30">
        <w:trPr>
          <w:trHeight w:val="144"/>
          <w:jc w:val="center"/>
        </w:trPr>
        <w:tc>
          <w:tcPr>
            <w:tcW w:w="0" w:type="auto"/>
            <w:vAlign w:val="center"/>
          </w:tcPr>
          <w:p w:rsidR="008B1EE4" w:rsidRPr="00647FE3" w:rsidRDefault="00ED1944">
            <w:pPr>
              <w:pStyle w:val="TableChartandFigureListText"/>
            </w:pPr>
            <w:r w:rsidRPr="00647FE3">
              <w:t>Develop and test data collection instruments</w:t>
            </w:r>
          </w:p>
        </w:tc>
        <w:tc>
          <w:tcPr>
            <w:tcW w:w="0" w:type="auto"/>
            <w:vAlign w:val="center"/>
          </w:tcPr>
          <w:p w:rsidR="008B1EE4" w:rsidRPr="00647FE3" w:rsidRDefault="00967A90" w:rsidP="006A0301">
            <w:pPr>
              <w:pStyle w:val="TableChartandFigureListText"/>
            </w:pPr>
            <w:r w:rsidRPr="00647FE3">
              <w:t>January</w:t>
            </w:r>
            <w:r w:rsidR="006A47E6" w:rsidRPr="00647FE3">
              <w:t>–</w:t>
            </w:r>
            <w:r w:rsidRPr="00647FE3">
              <w:t>May</w:t>
            </w:r>
            <w:r w:rsidR="00247CDD" w:rsidRPr="00647FE3">
              <w:t xml:space="preserve"> </w:t>
            </w:r>
            <w:r w:rsidR="000A31ED" w:rsidRPr="00647FE3">
              <w:t>201</w:t>
            </w:r>
            <w:r w:rsidRPr="00647FE3">
              <w:t>3</w:t>
            </w:r>
          </w:p>
        </w:tc>
      </w:tr>
      <w:tr w:rsidR="00967A90" w:rsidRPr="00647FE3" w:rsidTr="00B13B30">
        <w:trPr>
          <w:trHeight w:val="144"/>
          <w:jc w:val="center"/>
        </w:trPr>
        <w:tc>
          <w:tcPr>
            <w:tcW w:w="0" w:type="auto"/>
            <w:vAlign w:val="center"/>
          </w:tcPr>
          <w:p w:rsidR="00967A90" w:rsidRPr="00647FE3" w:rsidRDefault="006A767E">
            <w:pPr>
              <w:pStyle w:val="TableChartandFigureListText"/>
            </w:pPr>
            <w:r w:rsidRPr="00647FE3">
              <w:t>Conduct S</w:t>
            </w:r>
            <w:r w:rsidR="00ED1944" w:rsidRPr="00647FE3">
              <w:t>tate site visits</w:t>
            </w:r>
          </w:p>
        </w:tc>
        <w:tc>
          <w:tcPr>
            <w:tcW w:w="0" w:type="auto"/>
            <w:vAlign w:val="center"/>
          </w:tcPr>
          <w:p w:rsidR="00967A90" w:rsidRPr="00647FE3" w:rsidRDefault="00967A90" w:rsidP="006A0301">
            <w:pPr>
              <w:pStyle w:val="TableChartandFigureListText"/>
            </w:pPr>
            <w:r w:rsidRPr="00647FE3">
              <w:t>May</w:t>
            </w:r>
            <w:r w:rsidR="006A47E6" w:rsidRPr="00647FE3">
              <w:t>–</w:t>
            </w:r>
            <w:r w:rsidRPr="00647FE3">
              <w:t>July 2014</w:t>
            </w:r>
          </w:p>
        </w:tc>
      </w:tr>
      <w:tr w:rsidR="00967A90" w:rsidRPr="00647FE3" w:rsidTr="00B13B30">
        <w:trPr>
          <w:trHeight w:val="144"/>
          <w:jc w:val="center"/>
        </w:trPr>
        <w:tc>
          <w:tcPr>
            <w:tcW w:w="0" w:type="auto"/>
            <w:vAlign w:val="center"/>
          </w:tcPr>
          <w:p w:rsidR="00967A90" w:rsidRPr="00647FE3" w:rsidRDefault="00ED1944">
            <w:pPr>
              <w:pStyle w:val="TableChartandFigureListText"/>
            </w:pPr>
            <w:r w:rsidRPr="00647FE3">
              <w:t xml:space="preserve">Conduct surveys </w:t>
            </w:r>
          </w:p>
        </w:tc>
        <w:tc>
          <w:tcPr>
            <w:tcW w:w="0" w:type="auto"/>
            <w:vAlign w:val="center"/>
          </w:tcPr>
          <w:p w:rsidR="00967A90" w:rsidRPr="00647FE3" w:rsidRDefault="00967A90" w:rsidP="006A0301">
            <w:pPr>
              <w:pStyle w:val="TableChartandFigureListText"/>
            </w:pPr>
            <w:r w:rsidRPr="00647FE3">
              <w:t>June</w:t>
            </w:r>
            <w:r w:rsidR="006A47E6" w:rsidRPr="00647FE3">
              <w:t>–</w:t>
            </w:r>
            <w:r w:rsidRPr="00647FE3">
              <w:t>August 2014</w:t>
            </w:r>
          </w:p>
        </w:tc>
      </w:tr>
      <w:tr w:rsidR="00967A90" w:rsidRPr="00647FE3" w:rsidTr="00B13B30">
        <w:trPr>
          <w:trHeight w:val="144"/>
          <w:jc w:val="center"/>
        </w:trPr>
        <w:tc>
          <w:tcPr>
            <w:tcW w:w="0" w:type="auto"/>
            <w:vAlign w:val="center"/>
          </w:tcPr>
          <w:p w:rsidR="00967A90" w:rsidRPr="00647FE3" w:rsidRDefault="00ED1944">
            <w:pPr>
              <w:pStyle w:val="TableChartandFigureListText"/>
            </w:pPr>
            <w:r w:rsidRPr="00647FE3">
              <w:t>Data analysis (site visit</w:t>
            </w:r>
            <w:r w:rsidR="00696C2A" w:rsidRPr="00647FE3">
              <w:t xml:space="preserve"> data</w:t>
            </w:r>
            <w:r w:rsidRPr="00647FE3">
              <w:t>)</w:t>
            </w:r>
          </w:p>
        </w:tc>
        <w:tc>
          <w:tcPr>
            <w:tcW w:w="0" w:type="auto"/>
            <w:vAlign w:val="center"/>
          </w:tcPr>
          <w:p w:rsidR="00967A90" w:rsidRPr="00647FE3" w:rsidRDefault="00967A90" w:rsidP="006A0301">
            <w:pPr>
              <w:pStyle w:val="TableChartandFigureListText"/>
              <w:rPr>
                <w:highlight w:val="yellow"/>
              </w:rPr>
            </w:pPr>
            <w:r w:rsidRPr="00647FE3">
              <w:t>September</w:t>
            </w:r>
            <w:r w:rsidR="006A47E6" w:rsidRPr="00647FE3">
              <w:t>–</w:t>
            </w:r>
            <w:r w:rsidRPr="00647FE3">
              <w:t>December 2014</w:t>
            </w:r>
          </w:p>
        </w:tc>
      </w:tr>
      <w:tr w:rsidR="00967A90" w:rsidRPr="00647FE3" w:rsidTr="00B13B30">
        <w:trPr>
          <w:trHeight w:val="144"/>
          <w:jc w:val="center"/>
        </w:trPr>
        <w:tc>
          <w:tcPr>
            <w:tcW w:w="0" w:type="auto"/>
            <w:vAlign w:val="center"/>
          </w:tcPr>
          <w:p w:rsidR="00967A90" w:rsidRPr="00647FE3" w:rsidRDefault="00ED1944">
            <w:pPr>
              <w:pStyle w:val="TableChartandFigureListText"/>
            </w:pPr>
            <w:r w:rsidRPr="00647FE3">
              <w:t>Data analysis (survey</w:t>
            </w:r>
            <w:r w:rsidR="00696C2A" w:rsidRPr="00647FE3">
              <w:t xml:space="preserve"> data</w:t>
            </w:r>
            <w:r w:rsidRPr="00647FE3">
              <w:t>)</w:t>
            </w:r>
          </w:p>
        </w:tc>
        <w:tc>
          <w:tcPr>
            <w:tcW w:w="0" w:type="auto"/>
            <w:vAlign w:val="center"/>
          </w:tcPr>
          <w:p w:rsidR="00967A90" w:rsidRPr="00647FE3" w:rsidRDefault="00967A90" w:rsidP="006A0301">
            <w:pPr>
              <w:pStyle w:val="TableChartandFigureListText"/>
            </w:pPr>
            <w:r w:rsidRPr="00647FE3">
              <w:t>September</w:t>
            </w:r>
            <w:r w:rsidR="006A47E6" w:rsidRPr="00647FE3">
              <w:t>–</w:t>
            </w:r>
            <w:r w:rsidRPr="00647FE3">
              <w:t>December 2014</w:t>
            </w:r>
          </w:p>
        </w:tc>
      </w:tr>
      <w:tr w:rsidR="00967A90" w:rsidRPr="00647FE3" w:rsidTr="00B13B30">
        <w:trPr>
          <w:trHeight w:val="144"/>
          <w:jc w:val="center"/>
        </w:trPr>
        <w:tc>
          <w:tcPr>
            <w:tcW w:w="0" w:type="auto"/>
            <w:tcBorders>
              <w:bottom w:val="single" w:sz="4" w:space="0" w:color="000000"/>
            </w:tcBorders>
            <w:vAlign w:val="center"/>
          </w:tcPr>
          <w:p w:rsidR="00967A90" w:rsidRPr="00647FE3" w:rsidRDefault="00ED1944">
            <w:pPr>
              <w:pStyle w:val="TableChartandFigureListText"/>
            </w:pPr>
            <w:r w:rsidRPr="00647FE3">
              <w:t>Submit final report to USDA</w:t>
            </w:r>
          </w:p>
        </w:tc>
        <w:tc>
          <w:tcPr>
            <w:tcW w:w="0" w:type="auto"/>
            <w:tcBorders>
              <w:bottom w:val="single" w:sz="4" w:space="0" w:color="000000"/>
            </w:tcBorders>
            <w:vAlign w:val="center"/>
          </w:tcPr>
          <w:p w:rsidR="00967A90" w:rsidRPr="00647FE3" w:rsidRDefault="00967A90" w:rsidP="006A0301">
            <w:pPr>
              <w:pStyle w:val="TableChartandFigureListText"/>
            </w:pPr>
            <w:r w:rsidRPr="00647FE3">
              <w:t>July 2015</w:t>
            </w:r>
          </w:p>
        </w:tc>
      </w:tr>
      <w:tr w:rsidR="00661907" w:rsidRPr="00647FE3" w:rsidTr="00B13B30">
        <w:trPr>
          <w:trHeight w:val="144"/>
          <w:jc w:val="center"/>
        </w:trPr>
        <w:tc>
          <w:tcPr>
            <w:tcW w:w="0" w:type="auto"/>
            <w:tcBorders>
              <w:bottom w:val="single" w:sz="4" w:space="0" w:color="000000"/>
            </w:tcBorders>
            <w:vAlign w:val="center"/>
          </w:tcPr>
          <w:p w:rsidR="00661907" w:rsidRPr="00647FE3" w:rsidRDefault="00661907">
            <w:pPr>
              <w:pStyle w:val="TableChartandFigureListText"/>
            </w:pPr>
            <w:r>
              <w:t>Expected Web posting on FNS site</w:t>
            </w:r>
          </w:p>
        </w:tc>
        <w:tc>
          <w:tcPr>
            <w:tcW w:w="0" w:type="auto"/>
            <w:tcBorders>
              <w:bottom w:val="single" w:sz="4" w:space="0" w:color="000000"/>
            </w:tcBorders>
            <w:vAlign w:val="center"/>
          </w:tcPr>
          <w:p w:rsidR="00661907" w:rsidRPr="00647FE3" w:rsidRDefault="00661907" w:rsidP="006A0301">
            <w:pPr>
              <w:pStyle w:val="TableChartandFigureListText"/>
            </w:pPr>
            <w:r>
              <w:t>August 2015</w:t>
            </w:r>
          </w:p>
        </w:tc>
      </w:tr>
      <w:tr w:rsidR="00967A90" w:rsidRPr="00647FE3" w:rsidTr="00ED1944">
        <w:trPr>
          <w:trHeight w:val="144"/>
          <w:jc w:val="center"/>
        </w:trPr>
        <w:tc>
          <w:tcPr>
            <w:tcW w:w="0" w:type="auto"/>
            <w:tcBorders>
              <w:bottom w:val="nil"/>
              <w:right w:val="nil"/>
            </w:tcBorders>
          </w:tcPr>
          <w:p w:rsidR="00967A90" w:rsidRPr="00647FE3" w:rsidRDefault="00967A90" w:rsidP="006A0301">
            <w:pPr>
              <w:pStyle w:val="TableChartandFigureListText"/>
            </w:pPr>
          </w:p>
        </w:tc>
        <w:tc>
          <w:tcPr>
            <w:tcW w:w="0" w:type="auto"/>
            <w:tcBorders>
              <w:left w:val="nil"/>
              <w:bottom w:val="nil"/>
            </w:tcBorders>
            <w:vAlign w:val="center"/>
          </w:tcPr>
          <w:p w:rsidR="00967A90" w:rsidRPr="00647FE3" w:rsidRDefault="00967A90" w:rsidP="006A0301">
            <w:pPr>
              <w:pStyle w:val="TableChartandFigureListText"/>
            </w:pPr>
          </w:p>
        </w:tc>
      </w:tr>
    </w:tbl>
    <w:p w:rsidR="00845DBE" w:rsidRPr="00647FE3" w:rsidRDefault="00845DBE" w:rsidP="00887C45">
      <w:pPr>
        <w:keepNext/>
        <w:keepLines/>
        <w:rPr>
          <w:rFonts w:ascii="Arial" w:eastAsia="Times New Roman" w:hAnsi="Arial" w:cs="Arial"/>
          <w:sz w:val="24"/>
        </w:rPr>
      </w:pPr>
      <w:bookmarkStart w:id="74" w:name="_Toc133208891"/>
      <w:bookmarkStart w:id="75" w:name="_Toc329426289"/>
      <w:bookmarkStart w:id="76" w:name="_Toc335320959"/>
    </w:p>
    <w:p w:rsidR="008B1EE4" w:rsidRPr="00647FE3" w:rsidRDefault="008B1EE4" w:rsidP="009F4C33">
      <w:pPr>
        <w:pStyle w:val="Heading3"/>
      </w:pPr>
      <w:bookmarkStart w:id="77" w:name="_Toc351666591"/>
      <w:bookmarkStart w:id="78" w:name="_Toc351667650"/>
      <w:r w:rsidRPr="00647FE3">
        <w:t>A.17.</w:t>
      </w:r>
      <w:r w:rsidRPr="00647FE3">
        <w:tab/>
      </w:r>
      <w:bookmarkEnd w:id="74"/>
      <w:r w:rsidRPr="00647FE3">
        <w:t>R</w:t>
      </w:r>
      <w:r w:rsidRPr="00647FE3">
        <w:rPr>
          <w:rFonts w:eastAsiaTheme="minorHAnsi"/>
        </w:rPr>
        <w:t>e</w:t>
      </w:r>
      <w:r w:rsidRPr="00647FE3">
        <w:t>ason(s) Display of OMB Expiration Date is Inappropriate</w:t>
      </w:r>
      <w:bookmarkEnd w:id="75"/>
      <w:bookmarkEnd w:id="76"/>
      <w:bookmarkEnd w:id="77"/>
      <w:bookmarkEnd w:id="78"/>
    </w:p>
    <w:p w:rsidR="001E3E67" w:rsidRPr="003E022F" w:rsidRDefault="001E3E67" w:rsidP="00CE1F2B">
      <w:pPr>
        <w:pStyle w:val="CalibriText-noindent"/>
        <w:rPr>
          <w:b/>
        </w:rPr>
      </w:pPr>
      <w:r w:rsidRPr="003E022F">
        <w:rPr>
          <w:b/>
        </w:rPr>
        <w:t>If seeking approval to not display the expiration date for OMB approval of the information collection, explain the reasons that display would be inappropriate.</w:t>
      </w:r>
    </w:p>
    <w:p w:rsidR="00845DBE" w:rsidRPr="00647FE3" w:rsidRDefault="008B1EE4" w:rsidP="00822612">
      <w:pPr>
        <w:pStyle w:val="BodyTextMemo"/>
      </w:pPr>
      <w:r w:rsidRPr="00647FE3">
        <w:t>The agency plans to display the expiration date of OMB approval on all forms/questionnaires associated with this information collection.</w:t>
      </w:r>
    </w:p>
    <w:p w:rsidR="008B1EE4" w:rsidRPr="00647FE3" w:rsidRDefault="008B1EE4" w:rsidP="009F4C33">
      <w:pPr>
        <w:pStyle w:val="Heading3"/>
      </w:pPr>
      <w:bookmarkStart w:id="79" w:name="_Toc133208893"/>
      <w:bookmarkStart w:id="80" w:name="_Toc329426290"/>
      <w:bookmarkStart w:id="81" w:name="_Toc335320960"/>
      <w:bookmarkStart w:id="82" w:name="_Toc351666592"/>
      <w:bookmarkStart w:id="83" w:name="_Toc351667651"/>
      <w:r w:rsidRPr="00647FE3">
        <w:t>A.18.</w:t>
      </w:r>
      <w:r w:rsidRPr="00647FE3">
        <w:tab/>
        <w:t>Exceptions to Certification for Paperwork Reduction Act Submissions</w:t>
      </w:r>
      <w:bookmarkEnd w:id="79"/>
      <w:bookmarkEnd w:id="80"/>
      <w:bookmarkEnd w:id="81"/>
      <w:bookmarkEnd w:id="82"/>
      <w:bookmarkEnd w:id="83"/>
    </w:p>
    <w:p w:rsidR="001E3E67" w:rsidRPr="003E022F" w:rsidRDefault="001E3E67" w:rsidP="00CE1F2B">
      <w:pPr>
        <w:pStyle w:val="CalibriText-noindent"/>
        <w:rPr>
          <w:b/>
        </w:rPr>
      </w:pPr>
      <w:r w:rsidRPr="003E022F">
        <w:rPr>
          <w:b/>
        </w:rPr>
        <w:t>Explain each exception to the certification statement identified in Item 19 “Certification for Paperwork Reduction Act.”</w:t>
      </w:r>
    </w:p>
    <w:p w:rsidR="00CB56CD" w:rsidRPr="00647FE3" w:rsidRDefault="008B1EE4" w:rsidP="00822612">
      <w:pPr>
        <w:pStyle w:val="BodyTextMemo"/>
        <w:rPr>
          <w:sz w:val="32"/>
          <w:szCs w:val="32"/>
        </w:rPr>
      </w:pPr>
      <w:r w:rsidRPr="00647FE3">
        <w:t>There are no exceptions to the certification statement</w:t>
      </w:r>
      <w:r w:rsidR="00977715" w:rsidRPr="00647FE3">
        <w:t>.</w:t>
      </w:r>
      <w:r w:rsidR="00977715" w:rsidRPr="00647FE3">
        <w:rPr>
          <w:sz w:val="32"/>
          <w:szCs w:val="32"/>
        </w:rPr>
        <w:t xml:space="preserve">  </w:t>
      </w:r>
    </w:p>
    <w:p w:rsidR="008B1EE4" w:rsidRPr="00647FE3" w:rsidRDefault="008B1EE4" w:rsidP="00E50357">
      <w:bookmarkStart w:id="84" w:name="here"/>
      <w:bookmarkEnd w:id="84"/>
    </w:p>
    <w:sectPr w:rsidR="008B1EE4" w:rsidRPr="00647FE3" w:rsidSect="008342FD">
      <w:pgSz w:w="12240" w:h="15840"/>
      <w:pgMar w:top="1440"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4A8" w:rsidRDefault="001B44A8">
      <w:r>
        <w:separator/>
      </w:r>
    </w:p>
  </w:endnote>
  <w:endnote w:type="continuationSeparator" w:id="0">
    <w:p w:rsidR="001B44A8" w:rsidRDefault="001B44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70304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03" w:rsidRDefault="009E2EE6">
    <w:pPr>
      <w:pStyle w:val="Footer"/>
      <w:framePr w:wrap="around" w:vAnchor="text" w:hAnchor="margin" w:xAlign="center" w:y="1"/>
      <w:rPr>
        <w:rStyle w:val="PageNumber"/>
      </w:rPr>
    </w:pPr>
    <w:r>
      <w:rPr>
        <w:rStyle w:val="PageNumber"/>
      </w:rPr>
      <w:fldChar w:fldCharType="begin"/>
    </w:r>
    <w:r w:rsidR="009B7503">
      <w:rPr>
        <w:rStyle w:val="PageNumber"/>
      </w:rPr>
      <w:instrText xml:space="preserve">PAGE  </w:instrText>
    </w:r>
    <w:r>
      <w:rPr>
        <w:rStyle w:val="PageNumber"/>
      </w:rPr>
      <w:fldChar w:fldCharType="end"/>
    </w:r>
  </w:p>
  <w:p w:rsidR="009B7503" w:rsidRDefault="009B75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03" w:rsidRDefault="009B750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03" w:rsidRDefault="009B7503" w:rsidP="0067522D">
    <w:pPr>
      <w:pStyle w:val="Footermemo"/>
      <w:spacing w:after="0"/>
    </w:pPr>
    <w:r w:rsidRPr="00823620">
      <w:t xml:space="preserve">Page </w:t>
    </w:r>
    <w:r w:rsidR="009E2EE6">
      <w:fldChar w:fldCharType="begin"/>
    </w:r>
    <w:r>
      <w:instrText xml:space="preserve"> PAGE   \* MERGEFORMAT </w:instrText>
    </w:r>
    <w:r w:rsidR="009E2EE6">
      <w:fldChar w:fldCharType="separate"/>
    </w:r>
    <w:r w:rsidR="00014ED0">
      <w:t>4</w:t>
    </w:r>
    <w:r w:rsidR="009E2EE6">
      <w:fldChar w:fldCharType="end"/>
    </w:r>
  </w:p>
  <w:p w:rsidR="009B7503" w:rsidRDefault="009B7503" w:rsidP="0067522D">
    <w:pPr>
      <w:pStyle w:val="Footermemo"/>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4A8" w:rsidRDefault="001B44A8">
      <w:r>
        <w:separator/>
      </w:r>
    </w:p>
  </w:footnote>
  <w:footnote w:type="continuationSeparator" w:id="0">
    <w:p w:rsidR="001B44A8" w:rsidRDefault="001B44A8">
      <w:r>
        <w:continuationSeparator/>
      </w:r>
    </w:p>
  </w:footnote>
  <w:footnote w:type="continuationNotice" w:id="1">
    <w:p w:rsidR="001B44A8" w:rsidRDefault="001B44A8">
      <w:pPr>
        <w:spacing w:line="240" w:lineRule="auto"/>
      </w:pPr>
    </w:p>
  </w:footnote>
  <w:footnote w:id="2">
    <w:p w:rsidR="009B7503" w:rsidRDefault="009B7503">
      <w:pPr>
        <w:pStyle w:val="FootnoteText"/>
      </w:pPr>
      <w:r w:rsidRPr="0062712E">
        <w:rPr>
          <w:rStyle w:val="FootnoteReference"/>
          <w:vertAlign w:val="superscript"/>
        </w:rPr>
        <w:footnoteRef/>
      </w:r>
      <w:r>
        <w:t xml:space="preserve"> As referenced in the Memorandum for the H</w:t>
      </w:r>
      <w:r w:rsidRPr="00AC5CF9">
        <w:t>eads o</w:t>
      </w:r>
      <w:r>
        <w:t>f Executive Departments and Agencies, and Independent Regulatory A</w:t>
      </w:r>
      <w:r w:rsidRPr="00AC5CF9">
        <w:t>gencies</w:t>
      </w:r>
      <w:r>
        <w:t xml:space="preserve"> of April 7, 2010: “Collections from ‘agencies, instrumentalities, or employees of</w:t>
      </w:r>
      <w:r w:rsidRPr="00807B0F">
        <w:t xml:space="preserve"> </w:t>
      </w:r>
      <w:r>
        <w:t>the United States’ in their official capacities are generally not subject to the PRA (</w:t>
      </w:r>
      <w:r w:rsidRPr="00807B0F">
        <w:t>44 U.S.C. § 3502(3)(A)</w:t>
      </w:r>
      <w:r>
        <w:t>)</w:t>
      </w:r>
      <w:r w:rsidRPr="00807B0F">
        <w:t>.</w:t>
      </w:r>
      <w:r>
        <w:t xml:space="preserve">”  Accessed 12/20/2012 at </w:t>
      </w:r>
      <w:r w:rsidRPr="0062712E">
        <w:t>http://www.whitehouse.gov/sites/default/files/omb/assets/inforeg/PRAPrimer_04072010.pdf</w:t>
      </w:r>
      <w:r>
        <w:t>.</w:t>
      </w:r>
    </w:p>
    <w:p w:rsidR="009B7503" w:rsidRDefault="009B7503">
      <w:pPr>
        <w:pStyle w:val="FootnoteText"/>
      </w:pPr>
    </w:p>
  </w:footnote>
  <w:footnote w:id="3">
    <w:p w:rsidR="009B7503" w:rsidRDefault="009B7503" w:rsidP="00275B7B">
      <w:pPr>
        <w:pStyle w:val="FootnoteText"/>
        <w:spacing w:line="240" w:lineRule="auto"/>
      </w:pPr>
      <w:r w:rsidRPr="00AC5CF9">
        <w:rPr>
          <w:rStyle w:val="FootnoteReference"/>
          <w:vertAlign w:val="superscript"/>
        </w:rPr>
        <w:footnoteRef/>
      </w:r>
      <w:r>
        <w:t xml:space="preserve"> These include the QC Review Schedule FNS-380-1 (0584-0299, expiration 2/2016) and Worksheet for QC Reviews FNS 380 (0584-0074, expiration 5/2016).</w:t>
      </w:r>
    </w:p>
    <w:p w:rsidR="009B7503" w:rsidRDefault="009B7503" w:rsidP="00275B7B">
      <w:pPr>
        <w:pStyle w:val="FootnoteText"/>
        <w:spacing w:line="240" w:lineRule="auto"/>
      </w:pPr>
    </w:p>
  </w:footnote>
  <w:footnote w:id="4">
    <w:p w:rsidR="009B7503" w:rsidRDefault="009B7503" w:rsidP="003E022F">
      <w:pPr>
        <w:pStyle w:val="FootnoteText"/>
      </w:pPr>
      <w:r w:rsidRPr="00E91405">
        <w:rPr>
          <w:rStyle w:val="FootnoteReference"/>
          <w:vertAlign w:val="superscript"/>
        </w:rPr>
        <w:footnoteRef/>
      </w:r>
      <w:r>
        <w:t>There are 53 SNAP “States” including the District of Columbia, Guam, and the U.S. Virgin Islands.</w:t>
      </w:r>
    </w:p>
    <w:p w:rsidR="009B7503" w:rsidRDefault="009B7503" w:rsidP="003E022F">
      <w:pPr>
        <w:pStyle w:val="FootnoteText"/>
      </w:pPr>
    </w:p>
  </w:footnote>
  <w:footnote w:id="5">
    <w:p w:rsidR="009B7503" w:rsidRDefault="009B7503">
      <w:pPr>
        <w:pStyle w:val="FootnoteText"/>
      </w:pPr>
      <w:r w:rsidRPr="006E1E62">
        <w:rPr>
          <w:rStyle w:val="FootnoteReference"/>
          <w:vertAlign w:val="superscript"/>
        </w:rPr>
        <w:footnoteRef/>
      </w:r>
      <w:r w:rsidRPr="006E1E62">
        <w:rPr>
          <w:rStyle w:val="FootnoteReference"/>
          <w:vertAlign w:val="superscript"/>
        </w:rPr>
        <w:t xml:space="preserve"> </w:t>
      </w:r>
      <w:r>
        <w:t>As referenced in the Memorandum for the H</w:t>
      </w:r>
      <w:r w:rsidRPr="00AC5CF9">
        <w:t>eads o</w:t>
      </w:r>
      <w:r>
        <w:t>f Executive Departments and Agencies, and Independent Regulatory A</w:t>
      </w:r>
      <w:r w:rsidRPr="00AC5CF9">
        <w:t>gencies</w:t>
      </w:r>
      <w:r>
        <w:t xml:space="preserve"> of April 7, 2010:  “Collections from ‘agencies, instrumentalities, or employees of</w:t>
      </w:r>
      <w:r w:rsidRPr="00807B0F">
        <w:t xml:space="preserve"> </w:t>
      </w:r>
      <w:r>
        <w:t>the United States’ in their official capacities are generally not subject to the PRA (</w:t>
      </w:r>
      <w:r w:rsidRPr="00807B0F">
        <w:t>44 U.S.C. § 3502(3)(A)</w:t>
      </w:r>
      <w:r>
        <w:t>)</w:t>
      </w:r>
      <w:r w:rsidRPr="00807B0F">
        <w:t>.</w:t>
      </w:r>
      <w:r>
        <w:t xml:space="preserve">”  Accessed 12/20/2012 at </w:t>
      </w:r>
      <w:r w:rsidRPr="00B95382">
        <w:t>http://www.whitehouse.gov/sites/default/files/omb/assets/inforeg/PRAPrimer_04072010.pdf</w:t>
      </w:r>
    </w:p>
    <w:p w:rsidR="009B7503" w:rsidRDefault="009B7503">
      <w:pPr>
        <w:pStyle w:val="FootnoteText"/>
      </w:pPr>
    </w:p>
  </w:footnote>
  <w:footnote w:id="6">
    <w:p w:rsidR="009B7503" w:rsidRDefault="009B7503">
      <w:pPr>
        <w:pStyle w:val="FootnoteText"/>
      </w:pPr>
      <w:r w:rsidRPr="00B95382">
        <w:rPr>
          <w:rStyle w:val="FootnoteReference"/>
          <w:vertAlign w:val="superscript"/>
        </w:rPr>
        <w:footnoteRef/>
      </w:r>
      <w:r w:rsidRPr="00B95382">
        <w:rPr>
          <w:rStyle w:val="FootnoteReference"/>
          <w:vertAlign w:val="superscript"/>
        </w:rPr>
        <w:t xml:space="preserve"> </w:t>
      </w:r>
      <w:r>
        <w:t xml:space="preserve">Previous OMB clearances include #0584-0299 and #0584-0074.  </w:t>
      </w:r>
      <w:r>
        <w:t xml:space="preserve">See Attachment </w:t>
      </w:r>
      <w:r w:rsidR="00014ED0">
        <w:t>E</w:t>
      </w:r>
      <w:r>
        <w:t xml:space="preserve"> for further detail.</w:t>
      </w:r>
    </w:p>
  </w:footnote>
  <w:footnote w:id="7">
    <w:p w:rsidR="009B7503" w:rsidRDefault="009B7503">
      <w:pPr>
        <w:pStyle w:val="FootnoteText"/>
      </w:pPr>
      <w:r w:rsidRPr="00260D96">
        <w:rPr>
          <w:rStyle w:val="FootnoteReference"/>
          <w:vertAlign w:val="superscript"/>
        </w:rPr>
        <w:footnoteRef/>
      </w:r>
      <w:r w:rsidRPr="00260D96">
        <w:rPr>
          <w:vertAlign w:val="superscript"/>
        </w:rPr>
        <w:t xml:space="preserve"> </w:t>
      </w:r>
      <w:r>
        <w:t>Table A.12.1 includes State burden estimates for gathering and submitting the extant administrative data.</w:t>
      </w:r>
    </w:p>
  </w:footnote>
  <w:footnote w:id="8">
    <w:p w:rsidR="009B7503" w:rsidRDefault="009B7503" w:rsidP="00275B7B">
      <w:pPr>
        <w:pStyle w:val="FootnoteText"/>
        <w:spacing w:line="240" w:lineRule="auto"/>
      </w:pPr>
      <w:r w:rsidRPr="00226C40">
        <w:rPr>
          <w:rStyle w:val="FootnoteReference"/>
          <w:vertAlign w:val="superscript"/>
        </w:rPr>
        <w:footnoteRef/>
      </w:r>
      <w:r>
        <w:t xml:space="preserve"> There are 53 SNAP “States” including the District of Columbia, Guam, and the U.S. Virgin Islands.</w:t>
      </w:r>
    </w:p>
  </w:footnote>
  <w:footnote w:id="9">
    <w:p w:rsidR="009B7503" w:rsidRDefault="009B7503">
      <w:pPr>
        <w:pStyle w:val="FootnoteText"/>
      </w:pPr>
      <w:r w:rsidRPr="00B94D62">
        <w:rPr>
          <w:rStyle w:val="FootnoteReference"/>
          <w:vertAlign w:val="superscript"/>
        </w:rPr>
        <w:footnoteRef/>
      </w:r>
      <w:r w:rsidRPr="00B94D62">
        <w:rPr>
          <w:vertAlign w:val="superscript"/>
        </w:rPr>
        <w:t xml:space="preserve"> </w:t>
      </w:r>
      <w:r w:rsidRPr="00E76515">
        <w:t xml:space="preserve">Based on the median hourly wage for Administrative Services Managers (11-3011), State Government, retrieved from </w:t>
      </w:r>
      <w:r w:rsidRPr="00093654">
        <w:t>http://www.bls.gov/oes/current/naics4_999200.htm#11-0000</w:t>
      </w:r>
      <w:r w:rsidRPr="00E76515">
        <w:t>.</w:t>
      </w:r>
    </w:p>
    <w:p w:rsidR="009B7503" w:rsidRDefault="009B7503">
      <w:pPr>
        <w:pStyle w:val="FootnoteText"/>
      </w:pPr>
    </w:p>
  </w:footnote>
  <w:footnote w:id="10">
    <w:p w:rsidR="009B7503" w:rsidRDefault="009B7503" w:rsidP="00B94D62">
      <w:pPr>
        <w:pStyle w:val="FootnoteText"/>
        <w:spacing w:line="240" w:lineRule="auto"/>
      </w:pPr>
      <w:r w:rsidRPr="00B94D62">
        <w:rPr>
          <w:rStyle w:val="FootnoteReference"/>
          <w:vertAlign w:val="superscript"/>
        </w:rPr>
        <w:footnoteRef/>
      </w:r>
      <w:r w:rsidRPr="00B94D62">
        <w:rPr>
          <w:vertAlign w:val="superscript"/>
        </w:rPr>
        <w:t xml:space="preserve"> </w:t>
      </w:r>
      <w:r w:rsidRPr="00E76515">
        <w:t>Based on the median hourly wage for Social and Community Service Managers (11-9151)</w:t>
      </w:r>
      <w:r>
        <w:t>, State Government,</w:t>
      </w:r>
      <w:r w:rsidRPr="00E76515">
        <w:t xml:space="preserve"> retrieved from </w:t>
      </w:r>
      <w:r w:rsidRPr="00093654">
        <w:t>http://www.bls.gov/oes/current/naics4_999200.htm#11-0000</w:t>
      </w:r>
      <w:r w:rsidRPr="00E76515">
        <w:t>.</w:t>
      </w:r>
    </w:p>
    <w:p w:rsidR="009B7503" w:rsidRDefault="009B7503" w:rsidP="00B94D62">
      <w:pPr>
        <w:pStyle w:val="FootnoteText"/>
        <w:spacing w:line="240" w:lineRule="auto"/>
      </w:pPr>
    </w:p>
  </w:footnote>
  <w:footnote w:id="11">
    <w:p w:rsidR="009B7503" w:rsidRDefault="009B7503">
      <w:pPr>
        <w:pStyle w:val="FootnoteText"/>
      </w:pPr>
      <w:r w:rsidRPr="00B94D62">
        <w:rPr>
          <w:rStyle w:val="FootnoteReference"/>
          <w:vertAlign w:val="superscript"/>
        </w:rPr>
        <w:footnoteRef/>
      </w:r>
      <w:r w:rsidRPr="00B94D62">
        <w:rPr>
          <w:vertAlign w:val="superscript"/>
        </w:rPr>
        <w:t xml:space="preserve"> </w:t>
      </w:r>
      <w:r w:rsidRPr="00E76515">
        <w:t xml:space="preserve">Based on the median hourly wage for </w:t>
      </w:r>
      <w:r>
        <w:t>Financial Specialists, All Others</w:t>
      </w:r>
      <w:r w:rsidRPr="00E76515">
        <w:t xml:space="preserve"> (</w:t>
      </w:r>
      <w:r>
        <w:t>13-2099</w:t>
      </w:r>
      <w:r w:rsidRPr="00E76515">
        <w:t xml:space="preserve">), State Government, retrieved from </w:t>
      </w:r>
      <w:r w:rsidRPr="008725E9">
        <w:t>http://www.bls.gov/oes/current/naics4_999200.htm#11-0000</w:t>
      </w:r>
      <w:r w:rsidRPr="00E76515">
        <w:t>.</w:t>
      </w:r>
    </w:p>
    <w:p w:rsidR="009B7503" w:rsidRDefault="009B7503">
      <w:pPr>
        <w:pStyle w:val="FootnoteText"/>
      </w:pPr>
    </w:p>
  </w:footnote>
  <w:footnote w:id="12">
    <w:p w:rsidR="009B7503" w:rsidRDefault="009B7503">
      <w:pPr>
        <w:pStyle w:val="FootnoteText"/>
      </w:pPr>
      <w:r w:rsidRPr="008725E9">
        <w:rPr>
          <w:rStyle w:val="FootnoteReference"/>
          <w:vertAlign w:val="superscript"/>
        </w:rPr>
        <w:footnoteRef/>
      </w:r>
      <w:r>
        <w:t xml:space="preserve"> Based on the median hourly wage for Computer Programmers (15-1131), retrieved from </w:t>
      </w:r>
      <w:r w:rsidRPr="00205B7A">
        <w:t>http://www.bls.gov/oes/current/oes151131.htm</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03" w:rsidRDefault="009B7503">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03" w:rsidRPr="008342FD" w:rsidRDefault="009B7503" w:rsidP="00EE53F4">
    <w:pPr>
      <w:pStyle w:val="LineLogoHeadermemo"/>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DE5D16"/>
    <w:lvl w:ilvl="0">
      <w:start w:val="1"/>
      <w:numFmt w:val="decimal"/>
      <w:lvlText w:val="%1."/>
      <w:lvlJc w:val="left"/>
      <w:pPr>
        <w:tabs>
          <w:tab w:val="num" w:pos="1800"/>
        </w:tabs>
        <w:ind w:left="1800" w:hanging="360"/>
      </w:pPr>
    </w:lvl>
  </w:abstractNum>
  <w:abstractNum w:abstractNumId="1">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5">
    <w:nsid w:val="036142B4"/>
    <w:multiLevelType w:val="hybridMultilevel"/>
    <w:tmpl w:val="7D082B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10A002AA"/>
    <w:multiLevelType w:val="hybridMultilevel"/>
    <w:tmpl w:val="E06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12C03"/>
    <w:multiLevelType w:val="hybridMultilevel"/>
    <w:tmpl w:val="6C987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1">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C31F46"/>
    <w:multiLevelType w:val="hybridMultilevel"/>
    <w:tmpl w:val="FF1A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02A41B1"/>
    <w:multiLevelType w:val="hybridMultilevel"/>
    <w:tmpl w:val="E2F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1">
    <w:nsid w:val="4F7B5CC5"/>
    <w:multiLevelType w:val="hybridMultilevel"/>
    <w:tmpl w:val="532C3238"/>
    <w:lvl w:ilvl="0" w:tplc="182C97E6">
      <w:start w:val="1"/>
      <w:numFmt w:val="lowerLetter"/>
      <w:pStyle w:val="Numbers1"/>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2391D"/>
    <w:multiLevelType w:val="hybridMultilevel"/>
    <w:tmpl w:val="86BE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F63618"/>
    <w:multiLevelType w:val="hybridMultilevel"/>
    <w:tmpl w:val="EB828DF2"/>
    <w:lvl w:ilvl="0" w:tplc="61A0D038">
      <w:start w:val="1"/>
      <w:numFmt w:val="bullet"/>
      <w:lvlText w:val=""/>
      <w:lvlJc w:val="left"/>
      <w:pPr>
        <w:ind w:left="720" w:hanging="360"/>
      </w:pPr>
      <w:rPr>
        <w:rFonts w:ascii="Symbol" w:hAnsi="Symbol" w:hint="default"/>
      </w:rPr>
    </w:lvl>
    <w:lvl w:ilvl="1" w:tplc="07A813E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BA3575"/>
    <w:multiLevelType w:val="hybridMultilevel"/>
    <w:tmpl w:val="28968F2C"/>
    <w:lvl w:ilvl="0" w:tplc="0F162D14">
      <w:start w:val="1"/>
      <w:numFmt w:val="lowerLetter"/>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FB16F59"/>
    <w:multiLevelType w:val="hybridMultilevel"/>
    <w:tmpl w:val="2550FAEE"/>
    <w:lvl w:ilvl="0" w:tplc="1F704C1E">
      <w:start w:val="1"/>
      <w:numFmt w:val="lowerLetter"/>
      <w:lvlText w:val="%1."/>
      <w:lvlJc w:val="left"/>
      <w:pPr>
        <w:ind w:left="720" w:hanging="360"/>
      </w:pPr>
      <w:rPr>
        <w:rFonts w:asciiTheme="minorHAnsi" w:hAnsiTheme="minorHAnsi" w:cstheme="minorHAns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6"/>
  </w:num>
  <w:num w:numId="4">
    <w:abstractNumId w:val="20"/>
  </w:num>
  <w:num w:numId="5">
    <w:abstractNumId w:val="18"/>
  </w:num>
  <w:num w:numId="6">
    <w:abstractNumId w:val="22"/>
  </w:num>
  <w:num w:numId="7">
    <w:abstractNumId w:val="27"/>
  </w:num>
  <w:num w:numId="8">
    <w:abstractNumId w:val="17"/>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1"/>
  </w:num>
  <w:num w:numId="13">
    <w:abstractNumId w:val="26"/>
  </w:num>
  <w:num w:numId="14">
    <w:abstractNumId w:val="15"/>
  </w:num>
  <w:num w:numId="15">
    <w:abstractNumId w:val="14"/>
  </w:num>
  <w:num w:numId="16">
    <w:abstractNumId w:val="16"/>
  </w:num>
  <w:num w:numId="17">
    <w:abstractNumId w:val="5"/>
  </w:num>
  <w:num w:numId="18">
    <w:abstractNumId w:val="19"/>
  </w:num>
  <w:num w:numId="19">
    <w:abstractNumId w:val="24"/>
  </w:num>
  <w:num w:numId="20">
    <w:abstractNumId w:val="0"/>
  </w:num>
  <w:num w:numId="21">
    <w:abstractNumId w:val="24"/>
  </w:num>
  <w:num w:numId="22">
    <w:abstractNumId w:val="0"/>
  </w:num>
  <w:num w:numId="23">
    <w:abstractNumId w:val="8"/>
  </w:num>
  <w:num w:numId="24">
    <w:abstractNumId w:val="7"/>
  </w:num>
  <w:num w:numId="25">
    <w:abstractNumId w:val="13"/>
  </w:num>
  <w:num w:numId="26">
    <w:abstractNumId w:val="25"/>
  </w:num>
  <w:num w:numId="27">
    <w:abstractNumId w:val="28"/>
  </w:num>
  <w:num w:numId="28">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 w:id="1"/>
  </w:footnotePr>
  <w:endnotePr>
    <w:endnote w:id="-1"/>
    <w:endnote w:id="0"/>
  </w:endnotePr>
  <w:compat/>
  <w:rsids>
    <w:rsidRoot w:val="00406DCF"/>
    <w:rsid w:val="00002F0B"/>
    <w:rsid w:val="000035BA"/>
    <w:rsid w:val="000048A1"/>
    <w:rsid w:val="0000559D"/>
    <w:rsid w:val="00010C51"/>
    <w:rsid w:val="000121DC"/>
    <w:rsid w:val="00014ED0"/>
    <w:rsid w:val="00015B4B"/>
    <w:rsid w:val="00016F9A"/>
    <w:rsid w:val="00020039"/>
    <w:rsid w:val="00021307"/>
    <w:rsid w:val="00022004"/>
    <w:rsid w:val="000228E9"/>
    <w:rsid w:val="00024735"/>
    <w:rsid w:val="00024AD7"/>
    <w:rsid w:val="000300D8"/>
    <w:rsid w:val="00030FFE"/>
    <w:rsid w:val="00036903"/>
    <w:rsid w:val="00043528"/>
    <w:rsid w:val="00043AED"/>
    <w:rsid w:val="0004480F"/>
    <w:rsid w:val="00046952"/>
    <w:rsid w:val="00047027"/>
    <w:rsid w:val="000518BD"/>
    <w:rsid w:val="000518DB"/>
    <w:rsid w:val="00055C68"/>
    <w:rsid w:val="00057DA1"/>
    <w:rsid w:val="0006142F"/>
    <w:rsid w:val="00062C30"/>
    <w:rsid w:val="00063D0B"/>
    <w:rsid w:val="00064992"/>
    <w:rsid w:val="00067136"/>
    <w:rsid w:val="00070AB9"/>
    <w:rsid w:val="00071C88"/>
    <w:rsid w:val="000722FB"/>
    <w:rsid w:val="000725CE"/>
    <w:rsid w:val="0007467A"/>
    <w:rsid w:val="0007485F"/>
    <w:rsid w:val="00075D2B"/>
    <w:rsid w:val="0008301A"/>
    <w:rsid w:val="00083175"/>
    <w:rsid w:val="00084513"/>
    <w:rsid w:val="00087B72"/>
    <w:rsid w:val="00087CFA"/>
    <w:rsid w:val="00087E63"/>
    <w:rsid w:val="000902DE"/>
    <w:rsid w:val="00093654"/>
    <w:rsid w:val="00095F4E"/>
    <w:rsid w:val="00096BC1"/>
    <w:rsid w:val="000975CD"/>
    <w:rsid w:val="00097874"/>
    <w:rsid w:val="000A31ED"/>
    <w:rsid w:val="000A4908"/>
    <w:rsid w:val="000B1D5F"/>
    <w:rsid w:val="000B2062"/>
    <w:rsid w:val="000B23A2"/>
    <w:rsid w:val="000B251C"/>
    <w:rsid w:val="000B2CE4"/>
    <w:rsid w:val="000B43BB"/>
    <w:rsid w:val="000B767E"/>
    <w:rsid w:val="000C40B6"/>
    <w:rsid w:val="000C4743"/>
    <w:rsid w:val="000C509D"/>
    <w:rsid w:val="000C5845"/>
    <w:rsid w:val="000C5F28"/>
    <w:rsid w:val="000D39C9"/>
    <w:rsid w:val="000E1536"/>
    <w:rsid w:val="000E1938"/>
    <w:rsid w:val="000E2DC1"/>
    <w:rsid w:val="000E3B41"/>
    <w:rsid w:val="000F644B"/>
    <w:rsid w:val="0010095F"/>
    <w:rsid w:val="00101AAB"/>
    <w:rsid w:val="00101F11"/>
    <w:rsid w:val="001045DE"/>
    <w:rsid w:val="001065D6"/>
    <w:rsid w:val="00106E44"/>
    <w:rsid w:val="00110A80"/>
    <w:rsid w:val="00112F92"/>
    <w:rsid w:val="001132A5"/>
    <w:rsid w:val="001133BA"/>
    <w:rsid w:val="00114F87"/>
    <w:rsid w:val="00115887"/>
    <w:rsid w:val="001202A3"/>
    <w:rsid w:val="0012627F"/>
    <w:rsid w:val="0012789D"/>
    <w:rsid w:val="0013019B"/>
    <w:rsid w:val="00130F60"/>
    <w:rsid w:val="00132BE0"/>
    <w:rsid w:val="00135426"/>
    <w:rsid w:val="0014048A"/>
    <w:rsid w:val="00142C8F"/>
    <w:rsid w:val="001434FD"/>
    <w:rsid w:val="00145A1E"/>
    <w:rsid w:val="00145A73"/>
    <w:rsid w:val="001464A6"/>
    <w:rsid w:val="00146989"/>
    <w:rsid w:val="00150B05"/>
    <w:rsid w:val="00151101"/>
    <w:rsid w:val="00152012"/>
    <w:rsid w:val="0015595F"/>
    <w:rsid w:val="001574F3"/>
    <w:rsid w:val="00167AB9"/>
    <w:rsid w:val="001716B7"/>
    <w:rsid w:val="00171A79"/>
    <w:rsid w:val="001724C1"/>
    <w:rsid w:val="0017407D"/>
    <w:rsid w:val="00175A2E"/>
    <w:rsid w:val="00176926"/>
    <w:rsid w:val="001775FB"/>
    <w:rsid w:val="00177E14"/>
    <w:rsid w:val="00181718"/>
    <w:rsid w:val="00181773"/>
    <w:rsid w:val="0018780E"/>
    <w:rsid w:val="00190158"/>
    <w:rsid w:val="001934EB"/>
    <w:rsid w:val="001937D4"/>
    <w:rsid w:val="001940E3"/>
    <w:rsid w:val="00194E8A"/>
    <w:rsid w:val="00195D25"/>
    <w:rsid w:val="001A001F"/>
    <w:rsid w:val="001A04C2"/>
    <w:rsid w:val="001A060C"/>
    <w:rsid w:val="001A6FCA"/>
    <w:rsid w:val="001A7076"/>
    <w:rsid w:val="001B23DA"/>
    <w:rsid w:val="001B29AE"/>
    <w:rsid w:val="001B2DF9"/>
    <w:rsid w:val="001B412D"/>
    <w:rsid w:val="001B44A8"/>
    <w:rsid w:val="001B464B"/>
    <w:rsid w:val="001C0B29"/>
    <w:rsid w:val="001C2159"/>
    <w:rsid w:val="001D05B0"/>
    <w:rsid w:val="001D2265"/>
    <w:rsid w:val="001D276F"/>
    <w:rsid w:val="001D340D"/>
    <w:rsid w:val="001D4C05"/>
    <w:rsid w:val="001D4FEB"/>
    <w:rsid w:val="001D5B4A"/>
    <w:rsid w:val="001D7D39"/>
    <w:rsid w:val="001E3E67"/>
    <w:rsid w:val="001E4027"/>
    <w:rsid w:val="001E7FF7"/>
    <w:rsid w:val="001F13D0"/>
    <w:rsid w:val="001F23AD"/>
    <w:rsid w:val="001F24EF"/>
    <w:rsid w:val="001F32C5"/>
    <w:rsid w:val="001F4B05"/>
    <w:rsid w:val="001F5E3D"/>
    <w:rsid w:val="001F5EC2"/>
    <w:rsid w:val="001F652C"/>
    <w:rsid w:val="001F74D3"/>
    <w:rsid w:val="00203327"/>
    <w:rsid w:val="00203454"/>
    <w:rsid w:val="00205B7A"/>
    <w:rsid w:val="002062B4"/>
    <w:rsid w:val="002071C2"/>
    <w:rsid w:val="00207A04"/>
    <w:rsid w:val="0021086E"/>
    <w:rsid w:val="00216340"/>
    <w:rsid w:val="00217632"/>
    <w:rsid w:val="00217E56"/>
    <w:rsid w:val="00221BC3"/>
    <w:rsid w:val="002239B6"/>
    <w:rsid w:val="00225221"/>
    <w:rsid w:val="00226C40"/>
    <w:rsid w:val="00226F9D"/>
    <w:rsid w:val="0023020A"/>
    <w:rsid w:val="002361D9"/>
    <w:rsid w:val="00236219"/>
    <w:rsid w:val="0023681D"/>
    <w:rsid w:val="00243B11"/>
    <w:rsid w:val="002446F1"/>
    <w:rsid w:val="00245025"/>
    <w:rsid w:val="00245068"/>
    <w:rsid w:val="00245852"/>
    <w:rsid w:val="002459C2"/>
    <w:rsid w:val="0024630C"/>
    <w:rsid w:val="00246865"/>
    <w:rsid w:val="0024781B"/>
    <w:rsid w:val="00247CDD"/>
    <w:rsid w:val="002505C5"/>
    <w:rsid w:val="0025136E"/>
    <w:rsid w:val="00252E59"/>
    <w:rsid w:val="00253DA4"/>
    <w:rsid w:val="00254F1D"/>
    <w:rsid w:val="0025714E"/>
    <w:rsid w:val="00257547"/>
    <w:rsid w:val="00260D96"/>
    <w:rsid w:val="0026163D"/>
    <w:rsid w:val="00263911"/>
    <w:rsid w:val="002652AB"/>
    <w:rsid w:val="00267C63"/>
    <w:rsid w:val="0027148A"/>
    <w:rsid w:val="0027285C"/>
    <w:rsid w:val="00275656"/>
    <w:rsid w:val="00275B7B"/>
    <w:rsid w:val="00280080"/>
    <w:rsid w:val="002811B4"/>
    <w:rsid w:val="002815C2"/>
    <w:rsid w:val="0028225A"/>
    <w:rsid w:val="002851A3"/>
    <w:rsid w:val="002853C5"/>
    <w:rsid w:val="002861DC"/>
    <w:rsid w:val="00290BCE"/>
    <w:rsid w:val="00295920"/>
    <w:rsid w:val="00296977"/>
    <w:rsid w:val="00296DD8"/>
    <w:rsid w:val="002A67E6"/>
    <w:rsid w:val="002B2EB2"/>
    <w:rsid w:val="002B709E"/>
    <w:rsid w:val="002B78F1"/>
    <w:rsid w:val="002C0631"/>
    <w:rsid w:val="002C36E4"/>
    <w:rsid w:val="002C59CF"/>
    <w:rsid w:val="002C6CE3"/>
    <w:rsid w:val="002D0660"/>
    <w:rsid w:val="002E000A"/>
    <w:rsid w:val="002E01A0"/>
    <w:rsid w:val="002E451A"/>
    <w:rsid w:val="002E4B33"/>
    <w:rsid w:val="002E5F31"/>
    <w:rsid w:val="002E686A"/>
    <w:rsid w:val="002F0250"/>
    <w:rsid w:val="002F0370"/>
    <w:rsid w:val="002F14E6"/>
    <w:rsid w:val="002F48C2"/>
    <w:rsid w:val="002F6702"/>
    <w:rsid w:val="002F7F8A"/>
    <w:rsid w:val="00300A2F"/>
    <w:rsid w:val="00301D98"/>
    <w:rsid w:val="0031359C"/>
    <w:rsid w:val="00314CD4"/>
    <w:rsid w:val="00315922"/>
    <w:rsid w:val="00316097"/>
    <w:rsid w:val="0031703B"/>
    <w:rsid w:val="00317C35"/>
    <w:rsid w:val="00320EBC"/>
    <w:rsid w:val="0032181F"/>
    <w:rsid w:val="003252BB"/>
    <w:rsid w:val="003321CA"/>
    <w:rsid w:val="00332A33"/>
    <w:rsid w:val="00332E29"/>
    <w:rsid w:val="00333083"/>
    <w:rsid w:val="003331DF"/>
    <w:rsid w:val="00343076"/>
    <w:rsid w:val="0034325B"/>
    <w:rsid w:val="00343996"/>
    <w:rsid w:val="00350A75"/>
    <w:rsid w:val="003522C3"/>
    <w:rsid w:val="003539F8"/>
    <w:rsid w:val="00353BA8"/>
    <w:rsid w:val="00356FBD"/>
    <w:rsid w:val="00360EF2"/>
    <w:rsid w:val="00362B6B"/>
    <w:rsid w:val="00364946"/>
    <w:rsid w:val="00364CB3"/>
    <w:rsid w:val="00365FEC"/>
    <w:rsid w:val="00370F23"/>
    <w:rsid w:val="00371FD6"/>
    <w:rsid w:val="00376407"/>
    <w:rsid w:val="00384587"/>
    <w:rsid w:val="00384B04"/>
    <w:rsid w:val="00386B92"/>
    <w:rsid w:val="0039085D"/>
    <w:rsid w:val="00392344"/>
    <w:rsid w:val="00395614"/>
    <w:rsid w:val="003963DB"/>
    <w:rsid w:val="003968D0"/>
    <w:rsid w:val="003A0C86"/>
    <w:rsid w:val="003A1829"/>
    <w:rsid w:val="003A3CD3"/>
    <w:rsid w:val="003A4370"/>
    <w:rsid w:val="003A5CCF"/>
    <w:rsid w:val="003B6190"/>
    <w:rsid w:val="003C031B"/>
    <w:rsid w:val="003C12A4"/>
    <w:rsid w:val="003D1771"/>
    <w:rsid w:val="003D49C6"/>
    <w:rsid w:val="003D4A98"/>
    <w:rsid w:val="003D643A"/>
    <w:rsid w:val="003E022F"/>
    <w:rsid w:val="003E050C"/>
    <w:rsid w:val="003E0B63"/>
    <w:rsid w:val="003E321F"/>
    <w:rsid w:val="003E420B"/>
    <w:rsid w:val="003E636A"/>
    <w:rsid w:val="003F0228"/>
    <w:rsid w:val="003F0993"/>
    <w:rsid w:val="003F0C50"/>
    <w:rsid w:val="003F1611"/>
    <w:rsid w:val="003F4751"/>
    <w:rsid w:val="003F7A06"/>
    <w:rsid w:val="004015BC"/>
    <w:rsid w:val="00404065"/>
    <w:rsid w:val="004041D1"/>
    <w:rsid w:val="00404E0B"/>
    <w:rsid w:val="00404FA3"/>
    <w:rsid w:val="00406DCF"/>
    <w:rsid w:val="004078B0"/>
    <w:rsid w:val="004136A5"/>
    <w:rsid w:val="004159E7"/>
    <w:rsid w:val="00420C10"/>
    <w:rsid w:val="00420CE0"/>
    <w:rsid w:val="00420E2D"/>
    <w:rsid w:val="00420F8A"/>
    <w:rsid w:val="004219FC"/>
    <w:rsid w:val="00422628"/>
    <w:rsid w:val="004253AF"/>
    <w:rsid w:val="00425D15"/>
    <w:rsid w:val="00425D8A"/>
    <w:rsid w:val="004279CF"/>
    <w:rsid w:val="004313D3"/>
    <w:rsid w:val="00433D94"/>
    <w:rsid w:val="00437650"/>
    <w:rsid w:val="00440376"/>
    <w:rsid w:val="00442132"/>
    <w:rsid w:val="004430ED"/>
    <w:rsid w:val="00443873"/>
    <w:rsid w:val="00447A6B"/>
    <w:rsid w:val="00447F76"/>
    <w:rsid w:val="004504EC"/>
    <w:rsid w:val="00451E89"/>
    <w:rsid w:val="00451FBF"/>
    <w:rsid w:val="0045231A"/>
    <w:rsid w:val="00453719"/>
    <w:rsid w:val="00455CBC"/>
    <w:rsid w:val="004573A4"/>
    <w:rsid w:val="00457C49"/>
    <w:rsid w:val="00463318"/>
    <w:rsid w:val="004652F2"/>
    <w:rsid w:val="004705B3"/>
    <w:rsid w:val="00475254"/>
    <w:rsid w:val="00475AE6"/>
    <w:rsid w:val="00484032"/>
    <w:rsid w:val="0048536B"/>
    <w:rsid w:val="0048612A"/>
    <w:rsid w:val="00486360"/>
    <w:rsid w:val="00486526"/>
    <w:rsid w:val="00486B58"/>
    <w:rsid w:val="00487CD8"/>
    <w:rsid w:val="00492F67"/>
    <w:rsid w:val="00492FA2"/>
    <w:rsid w:val="004947C4"/>
    <w:rsid w:val="00495BA8"/>
    <w:rsid w:val="004A0EDD"/>
    <w:rsid w:val="004A3CB7"/>
    <w:rsid w:val="004A4EC4"/>
    <w:rsid w:val="004A7B3B"/>
    <w:rsid w:val="004A7E06"/>
    <w:rsid w:val="004B13F2"/>
    <w:rsid w:val="004B26A2"/>
    <w:rsid w:val="004B391C"/>
    <w:rsid w:val="004B43E1"/>
    <w:rsid w:val="004B58BB"/>
    <w:rsid w:val="004B6E44"/>
    <w:rsid w:val="004C4529"/>
    <w:rsid w:val="004C566F"/>
    <w:rsid w:val="004C630B"/>
    <w:rsid w:val="004D05A0"/>
    <w:rsid w:val="004D4A44"/>
    <w:rsid w:val="004D6F1D"/>
    <w:rsid w:val="004D746C"/>
    <w:rsid w:val="004E1AD8"/>
    <w:rsid w:val="004E2BEB"/>
    <w:rsid w:val="004E5E20"/>
    <w:rsid w:val="004E6183"/>
    <w:rsid w:val="004E6F45"/>
    <w:rsid w:val="004E709D"/>
    <w:rsid w:val="004E7E3D"/>
    <w:rsid w:val="004F0CC8"/>
    <w:rsid w:val="004F12E1"/>
    <w:rsid w:val="004F1B42"/>
    <w:rsid w:val="004F65BD"/>
    <w:rsid w:val="004F6FEC"/>
    <w:rsid w:val="004F79EF"/>
    <w:rsid w:val="00506132"/>
    <w:rsid w:val="005070D7"/>
    <w:rsid w:val="0051084E"/>
    <w:rsid w:val="00513363"/>
    <w:rsid w:val="00514AD2"/>
    <w:rsid w:val="00514F49"/>
    <w:rsid w:val="005156C3"/>
    <w:rsid w:val="00516836"/>
    <w:rsid w:val="00516AF0"/>
    <w:rsid w:val="00520FC6"/>
    <w:rsid w:val="00527540"/>
    <w:rsid w:val="00531F60"/>
    <w:rsid w:val="00533F32"/>
    <w:rsid w:val="00547E6E"/>
    <w:rsid w:val="005502DF"/>
    <w:rsid w:val="005504CD"/>
    <w:rsid w:val="00551555"/>
    <w:rsid w:val="0055169E"/>
    <w:rsid w:val="005528A9"/>
    <w:rsid w:val="00554F92"/>
    <w:rsid w:val="005562D1"/>
    <w:rsid w:val="0055683D"/>
    <w:rsid w:val="0056398A"/>
    <w:rsid w:val="0056476A"/>
    <w:rsid w:val="0056779B"/>
    <w:rsid w:val="0057172F"/>
    <w:rsid w:val="00571A9D"/>
    <w:rsid w:val="00572510"/>
    <w:rsid w:val="00572D49"/>
    <w:rsid w:val="00574151"/>
    <w:rsid w:val="0057561E"/>
    <w:rsid w:val="00575BE2"/>
    <w:rsid w:val="005763C1"/>
    <w:rsid w:val="00580B4B"/>
    <w:rsid w:val="00581C3F"/>
    <w:rsid w:val="0058543A"/>
    <w:rsid w:val="00587083"/>
    <w:rsid w:val="005A0A5C"/>
    <w:rsid w:val="005A41CF"/>
    <w:rsid w:val="005B093B"/>
    <w:rsid w:val="005B09ED"/>
    <w:rsid w:val="005B1A40"/>
    <w:rsid w:val="005B2C04"/>
    <w:rsid w:val="005C0E77"/>
    <w:rsid w:val="005C23CB"/>
    <w:rsid w:val="005C34B1"/>
    <w:rsid w:val="005C4F1C"/>
    <w:rsid w:val="005C5E79"/>
    <w:rsid w:val="005C718B"/>
    <w:rsid w:val="005D494D"/>
    <w:rsid w:val="005E3878"/>
    <w:rsid w:val="005E6EDC"/>
    <w:rsid w:val="005F36B9"/>
    <w:rsid w:val="005F39C9"/>
    <w:rsid w:val="005F5ABE"/>
    <w:rsid w:val="005F6058"/>
    <w:rsid w:val="006000FD"/>
    <w:rsid w:val="006021B1"/>
    <w:rsid w:val="00603B09"/>
    <w:rsid w:val="0060418A"/>
    <w:rsid w:val="00604D94"/>
    <w:rsid w:val="006118CE"/>
    <w:rsid w:val="00616036"/>
    <w:rsid w:val="00621010"/>
    <w:rsid w:val="00621B03"/>
    <w:rsid w:val="0062206C"/>
    <w:rsid w:val="0062267B"/>
    <w:rsid w:val="00622EC2"/>
    <w:rsid w:val="006257C3"/>
    <w:rsid w:val="00626885"/>
    <w:rsid w:val="00626F52"/>
    <w:rsid w:val="0062712E"/>
    <w:rsid w:val="00631BD5"/>
    <w:rsid w:val="0063268C"/>
    <w:rsid w:val="00633F49"/>
    <w:rsid w:val="006403A4"/>
    <w:rsid w:val="00641280"/>
    <w:rsid w:val="00643BA5"/>
    <w:rsid w:val="006468DE"/>
    <w:rsid w:val="00647087"/>
    <w:rsid w:val="00647475"/>
    <w:rsid w:val="00647FE3"/>
    <w:rsid w:val="006511E4"/>
    <w:rsid w:val="0065238B"/>
    <w:rsid w:val="006539E1"/>
    <w:rsid w:val="006563A3"/>
    <w:rsid w:val="00660067"/>
    <w:rsid w:val="00661907"/>
    <w:rsid w:val="00662988"/>
    <w:rsid w:val="00663524"/>
    <w:rsid w:val="006643C1"/>
    <w:rsid w:val="00664A85"/>
    <w:rsid w:val="006666FE"/>
    <w:rsid w:val="006701F5"/>
    <w:rsid w:val="0067178F"/>
    <w:rsid w:val="0067281B"/>
    <w:rsid w:val="00672EB2"/>
    <w:rsid w:val="006744BC"/>
    <w:rsid w:val="0067522D"/>
    <w:rsid w:val="00677885"/>
    <w:rsid w:val="00677CC4"/>
    <w:rsid w:val="00681B63"/>
    <w:rsid w:val="006827A3"/>
    <w:rsid w:val="00683E0C"/>
    <w:rsid w:val="00687856"/>
    <w:rsid w:val="00687C47"/>
    <w:rsid w:val="00694F7D"/>
    <w:rsid w:val="00696C2A"/>
    <w:rsid w:val="006A0301"/>
    <w:rsid w:val="006A0657"/>
    <w:rsid w:val="006A1784"/>
    <w:rsid w:val="006A1DEE"/>
    <w:rsid w:val="006A3C0F"/>
    <w:rsid w:val="006A47E6"/>
    <w:rsid w:val="006A49F0"/>
    <w:rsid w:val="006A65F7"/>
    <w:rsid w:val="006A767E"/>
    <w:rsid w:val="006B3C1C"/>
    <w:rsid w:val="006B5E19"/>
    <w:rsid w:val="006C0931"/>
    <w:rsid w:val="006C0E77"/>
    <w:rsid w:val="006C30F6"/>
    <w:rsid w:val="006C4B80"/>
    <w:rsid w:val="006C4F39"/>
    <w:rsid w:val="006C7E14"/>
    <w:rsid w:val="006D0525"/>
    <w:rsid w:val="006D4152"/>
    <w:rsid w:val="006D50BA"/>
    <w:rsid w:val="006D5139"/>
    <w:rsid w:val="006D5A59"/>
    <w:rsid w:val="006D679E"/>
    <w:rsid w:val="006D7504"/>
    <w:rsid w:val="006D7A4E"/>
    <w:rsid w:val="006E1DDB"/>
    <w:rsid w:val="006E1E62"/>
    <w:rsid w:val="006E2C41"/>
    <w:rsid w:val="006E3C26"/>
    <w:rsid w:val="006E6E3B"/>
    <w:rsid w:val="006F3220"/>
    <w:rsid w:val="006F6018"/>
    <w:rsid w:val="006F6357"/>
    <w:rsid w:val="006F6442"/>
    <w:rsid w:val="0070020E"/>
    <w:rsid w:val="007014C1"/>
    <w:rsid w:val="007020AE"/>
    <w:rsid w:val="007065C0"/>
    <w:rsid w:val="00707CB5"/>
    <w:rsid w:val="00712252"/>
    <w:rsid w:val="007126B6"/>
    <w:rsid w:val="007214FE"/>
    <w:rsid w:val="007224CD"/>
    <w:rsid w:val="00723539"/>
    <w:rsid w:val="00727719"/>
    <w:rsid w:val="00727F0A"/>
    <w:rsid w:val="007325A4"/>
    <w:rsid w:val="007346C7"/>
    <w:rsid w:val="00736354"/>
    <w:rsid w:val="007365C6"/>
    <w:rsid w:val="00736E54"/>
    <w:rsid w:val="007372C6"/>
    <w:rsid w:val="00737E16"/>
    <w:rsid w:val="00740DE6"/>
    <w:rsid w:val="00741DBD"/>
    <w:rsid w:val="00742DE3"/>
    <w:rsid w:val="00743403"/>
    <w:rsid w:val="0074445A"/>
    <w:rsid w:val="00746AE7"/>
    <w:rsid w:val="007531C0"/>
    <w:rsid w:val="0075494A"/>
    <w:rsid w:val="00754CE0"/>
    <w:rsid w:val="00761235"/>
    <w:rsid w:val="007612F4"/>
    <w:rsid w:val="00761DBE"/>
    <w:rsid w:val="00763650"/>
    <w:rsid w:val="00765643"/>
    <w:rsid w:val="00773640"/>
    <w:rsid w:val="0077538F"/>
    <w:rsid w:val="00775961"/>
    <w:rsid w:val="007769C3"/>
    <w:rsid w:val="00777E22"/>
    <w:rsid w:val="00777E54"/>
    <w:rsid w:val="00781D42"/>
    <w:rsid w:val="00784607"/>
    <w:rsid w:val="0078527F"/>
    <w:rsid w:val="00791210"/>
    <w:rsid w:val="007917D5"/>
    <w:rsid w:val="007932B9"/>
    <w:rsid w:val="00794514"/>
    <w:rsid w:val="007954D6"/>
    <w:rsid w:val="00795E75"/>
    <w:rsid w:val="00796237"/>
    <w:rsid w:val="00796A24"/>
    <w:rsid w:val="007A109E"/>
    <w:rsid w:val="007A2AB7"/>
    <w:rsid w:val="007A37D5"/>
    <w:rsid w:val="007B4A9B"/>
    <w:rsid w:val="007B51B7"/>
    <w:rsid w:val="007B67B6"/>
    <w:rsid w:val="007C2286"/>
    <w:rsid w:val="007C2DA5"/>
    <w:rsid w:val="007C4A76"/>
    <w:rsid w:val="007C66DC"/>
    <w:rsid w:val="007D29D2"/>
    <w:rsid w:val="007D3803"/>
    <w:rsid w:val="007D4B6B"/>
    <w:rsid w:val="007E007A"/>
    <w:rsid w:val="007E09B5"/>
    <w:rsid w:val="007E0CE7"/>
    <w:rsid w:val="007E7615"/>
    <w:rsid w:val="007E7A0C"/>
    <w:rsid w:val="007F0904"/>
    <w:rsid w:val="007F54AB"/>
    <w:rsid w:val="007F54DC"/>
    <w:rsid w:val="007F654F"/>
    <w:rsid w:val="00801349"/>
    <w:rsid w:val="00803DF3"/>
    <w:rsid w:val="0080542F"/>
    <w:rsid w:val="0080588D"/>
    <w:rsid w:val="008073CB"/>
    <w:rsid w:val="00807B0F"/>
    <w:rsid w:val="0081164F"/>
    <w:rsid w:val="00811CCE"/>
    <w:rsid w:val="00813B03"/>
    <w:rsid w:val="008140A3"/>
    <w:rsid w:val="00815658"/>
    <w:rsid w:val="00815EC0"/>
    <w:rsid w:val="00821302"/>
    <w:rsid w:val="00821FA5"/>
    <w:rsid w:val="008223D2"/>
    <w:rsid w:val="00822612"/>
    <w:rsid w:val="008229C1"/>
    <w:rsid w:val="00823823"/>
    <w:rsid w:val="00825D26"/>
    <w:rsid w:val="008304BF"/>
    <w:rsid w:val="00830E2B"/>
    <w:rsid w:val="008312A5"/>
    <w:rsid w:val="00831999"/>
    <w:rsid w:val="00833889"/>
    <w:rsid w:val="00834192"/>
    <w:rsid w:val="008342FD"/>
    <w:rsid w:val="00834845"/>
    <w:rsid w:val="00834D9F"/>
    <w:rsid w:val="0083569E"/>
    <w:rsid w:val="00836AB0"/>
    <w:rsid w:val="00841460"/>
    <w:rsid w:val="0084195A"/>
    <w:rsid w:val="0084350B"/>
    <w:rsid w:val="00843E30"/>
    <w:rsid w:val="00844D05"/>
    <w:rsid w:val="00844D4D"/>
    <w:rsid w:val="00845DBE"/>
    <w:rsid w:val="00847B78"/>
    <w:rsid w:val="00851242"/>
    <w:rsid w:val="00851469"/>
    <w:rsid w:val="00856FDB"/>
    <w:rsid w:val="0085719B"/>
    <w:rsid w:val="008620BE"/>
    <w:rsid w:val="00863CCB"/>
    <w:rsid w:val="00864836"/>
    <w:rsid w:val="00867B9A"/>
    <w:rsid w:val="008703C1"/>
    <w:rsid w:val="008725E9"/>
    <w:rsid w:val="008732D9"/>
    <w:rsid w:val="00874257"/>
    <w:rsid w:val="00874EF5"/>
    <w:rsid w:val="00881B1B"/>
    <w:rsid w:val="00884318"/>
    <w:rsid w:val="008856DA"/>
    <w:rsid w:val="008873F8"/>
    <w:rsid w:val="00887C45"/>
    <w:rsid w:val="0089260C"/>
    <w:rsid w:val="0089425B"/>
    <w:rsid w:val="008967EB"/>
    <w:rsid w:val="008A2E2E"/>
    <w:rsid w:val="008A459B"/>
    <w:rsid w:val="008A6E2F"/>
    <w:rsid w:val="008B1094"/>
    <w:rsid w:val="008B1EE4"/>
    <w:rsid w:val="008B20DD"/>
    <w:rsid w:val="008B56DB"/>
    <w:rsid w:val="008C07CD"/>
    <w:rsid w:val="008C284A"/>
    <w:rsid w:val="008C2AD3"/>
    <w:rsid w:val="008C337D"/>
    <w:rsid w:val="008C7F47"/>
    <w:rsid w:val="008D22EF"/>
    <w:rsid w:val="008D255D"/>
    <w:rsid w:val="008D2CC8"/>
    <w:rsid w:val="008D2FB4"/>
    <w:rsid w:val="008D6039"/>
    <w:rsid w:val="008E223B"/>
    <w:rsid w:val="008E2862"/>
    <w:rsid w:val="008E2A35"/>
    <w:rsid w:val="008E2FAA"/>
    <w:rsid w:val="008E3AFE"/>
    <w:rsid w:val="008E4AB2"/>
    <w:rsid w:val="008E4D46"/>
    <w:rsid w:val="008E5549"/>
    <w:rsid w:val="008F32BE"/>
    <w:rsid w:val="008F3492"/>
    <w:rsid w:val="008F58BB"/>
    <w:rsid w:val="008F75A8"/>
    <w:rsid w:val="0090334F"/>
    <w:rsid w:val="00904DCB"/>
    <w:rsid w:val="009066EF"/>
    <w:rsid w:val="00910319"/>
    <w:rsid w:val="00911D82"/>
    <w:rsid w:val="0091406B"/>
    <w:rsid w:val="00917500"/>
    <w:rsid w:val="00923A7A"/>
    <w:rsid w:val="00923FCA"/>
    <w:rsid w:val="0092669B"/>
    <w:rsid w:val="00926D53"/>
    <w:rsid w:val="00927388"/>
    <w:rsid w:val="00927BE3"/>
    <w:rsid w:val="00934A12"/>
    <w:rsid w:val="00936B5F"/>
    <w:rsid w:val="00936CA3"/>
    <w:rsid w:val="00936FCA"/>
    <w:rsid w:val="00940732"/>
    <w:rsid w:val="009410A4"/>
    <w:rsid w:val="00942AA1"/>
    <w:rsid w:val="009476C3"/>
    <w:rsid w:val="00952735"/>
    <w:rsid w:val="00953C04"/>
    <w:rsid w:val="00957DB6"/>
    <w:rsid w:val="00963BC1"/>
    <w:rsid w:val="0096585E"/>
    <w:rsid w:val="00967A90"/>
    <w:rsid w:val="00970AF7"/>
    <w:rsid w:val="00970DA6"/>
    <w:rsid w:val="009715F6"/>
    <w:rsid w:val="00972245"/>
    <w:rsid w:val="00973948"/>
    <w:rsid w:val="00974717"/>
    <w:rsid w:val="00974B4B"/>
    <w:rsid w:val="009768C4"/>
    <w:rsid w:val="00976F4B"/>
    <w:rsid w:val="00977715"/>
    <w:rsid w:val="00980BCF"/>
    <w:rsid w:val="00984C2C"/>
    <w:rsid w:val="00986B01"/>
    <w:rsid w:val="00987851"/>
    <w:rsid w:val="00987E15"/>
    <w:rsid w:val="00990AF2"/>
    <w:rsid w:val="00992FC0"/>
    <w:rsid w:val="0099351C"/>
    <w:rsid w:val="009948F2"/>
    <w:rsid w:val="009960E0"/>
    <w:rsid w:val="0099615B"/>
    <w:rsid w:val="009961DA"/>
    <w:rsid w:val="00996928"/>
    <w:rsid w:val="009A0B64"/>
    <w:rsid w:val="009A10B6"/>
    <w:rsid w:val="009A2580"/>
    <w:rsid w:val="009A4B5B"/>
    <w:rsid w:val="009A4E95"/>
    <w:rsid w:val="009A564E"/>
    <w:rsid w:val="009A6A9E"/>
    <w:rsid w:val="009A6B24"/>
    <w:rsid w:val="009B36A1"/>
    <w:rsid w:val="009B512A"/>
    <w:rsid w:val="009B5686"/>
    <w:rsid w:val="009B600B"/>
    <w:rsid w:val="009B7503"/>
    <w:rsid w:val="009B7B65"/>
    <w:rsid w:val="009C1940"/>
    <w:rsid w:val="009C1A9B"/>
    <w:rsid w:val="009C1E3E"/>
    <w:rsid w:val="009C42E8"/>
    <w:rsid w:val="009C597C"/>
    <w:rsid w:val="009C5E77"/>
    <w:rsid w:val="009C6A76"/>
    <w:rsid w:val="009D0238"/>
    <w:rsid w:val="009D1E60"/>
    <w:rsid w:val="009D2704"/>
    <w:rsid w:val="009D3B73"/>
    <w:rsid w:val="009D558F"/>
    <w:rsid w:val="009E0B9F"/>
    <w:rsid w:val="009E2EE6"/>
    <w:rsid w:val="009E5BE3"/>
    <w:rsid w:val="009E61D7"/>
    <w:rsid w:val="009E6221"/>
    <w:rsid w:val="009E66AD"/>
    <w:rsid w:val="009F4BA1"/>
    <w:rsid w:val="009F4C33"/>
    <w:rsid w:val="009F654C"/>
    <w:rsid w:val="009F6562"/>
    <w:rsid w:val="009F7205"/>
    <w:rsid w:val="00A01029"/>
    <w:rsid w:val="00A0224D"/>
    <w:rsid w:val="00A03995"/>
    <w:rsid w:val="00A03C37"/>
    <w:rsid w:val="00A05570"/>
    <w:rsid w:val="00A067A2"/>
    <w:rsid w:val="00A1063E"/>
    <w:rsid w:val="00A118AC"/>
    <w:rsid w:val="00A11A61"/>
    <w:rsid w:val="00A155FE"/>
    <w:rsid w:val="00A156A7"/>
    <w:rsid w:val="00A167CF"/>
    <w:rsid w:val="00A17336"/>
    <w:rsid w:val="00A26E74"/>
    <w:rsid w:val="00A31DC7"/>
    <w:rsid w:val="00A323D3"/>
    <w:rsid w:val="00A34412"/>
    <w:rsid w:val="00A36AE6"/>
    <w:rsid w:val="00A4175B"/>
    <w:rsid w:val="00A43AF3"/>
    <w:rsid w:val="00A4502A"/>
    <w:rsid w:val="00A46BF3"/>
    <w:rsid w:val="00A51183"/>
    <w:rsid w:val="00A54326"/>
    <w:rsid w:val="00A55772"/>
    <w:rsid w:val="00A56DAE"/>
    <w:rsid w:val="00A62A02"/>
    <w:rsid w:val="00A66D7D"/>
    <w:rsid w:val="00A6771C"/>
    <w:rsid w:val="00A7111B"/>
    <w:rsid w:val="00A72554"/>
    <w:rsid w:val="00A748FD"/>
    <w:rsid w:val="00A775F4"/>
    <w:rsid w:val="00A8191A"/>
    <w:rsid w:val="00A83FE6"/>
    <w:rsid w:val="00A86A8F"/>
    <w:rsid w:val="00A870A6"/>
    <w:rsid w:val="00A90D55"/>
    <w:rsid w:val="00A916D8"/>
    <w:rsid w:val="00AA0ACE"/>
    <w:rsid w:val="00AA0D43"/>
    <w:rsid w:val="00AA0DBE"/>
    <w:rsid w:val="00AA4297"/>
    <w:rsid w:val="00AA64CB"/>
    <w:rsid w:val="00AA7851"/>
    <w:rsid w:val="00AB06EB"/>
    <w:rsid w:val="00AB1B66"/>
    <w:rsid w:val="00AB2455"/>
    <w:rsid w:val="00AB3887"/>
    <w:rsid w:val="00AB48D3"/>
    <w:rsid w:val="00AB5473"/>
    <w:rsid w:val="00AC0700"/>
    <w:rsid w:val="00AC3496"/>
    <w:rsid w:val="00AC34A4"/>
    <w:rsid w:val="00AC396E"/>
    <w:rsid w:val="00AC512B"/>
    <w:rsid w:val="00AC5CF9"/>
    <w:rsid w:val="00AC6944"/>
    <w:rsid w:val="00AC7217"/>
    <w:rsid w:val="00AC76EC"/>
    <w:rsid w:val="00AD1D2A"/>
    <w:rsid w:val="00AD2E1B"/>
    <w:rsid w:val="00AD65D9"/>
    <w:rsid w:val="00AD6F66"/>
    <w:rsid w:val="00AD7EB2"/>
    <w:rsid w:val="00AE23B1"/>
    <w:rsid w:val="00AE2449"/>
    <w:rsid w:val="00AE2B0E"/>
    <w:rsid w:val="00AE505C"/>
    <w:rsid w:val="00AF0339"/>
    <w:rsid w:val="00AF0F71"/>
    <w:rsid w:val="00AF142D"/>
    <w:rsid w:val="00AF2F1E"/>
    <w:rsid w:val="00AF34B4"/>
    <w:rsid w:val="00AF3C20"/>
    <w:rsid w:val="00AF7BF5"/>
    <w:rsid w:val="00B015DB"/>
    <w:rsid w:val="00B02A72"/>
    <w:rsid w:val="00B045F2"/>
    <w:rsid w:val="00B05756"/>
    <w:rsid w:val="00B07787"/>
    <w:rsid w:val="00B07933"/>
    <w:rsid w:val="00B1235B"/>
    <w:rsid w:val="00B13B30"/>
    <w:rsid w:val="00B15B0C"/>
    <w:rsid w:val="00B205E8"/>
    <w:rsid w:val="00B20F71"/>
    <w:rsid w:val="00B220F8"/>
    <w:rsid w:val="00B232C6"/>
    <w:rsid w:val="00B23523"/>
    <w:rsid w:val="00B23CF4"/>
    <w:rsid w:val="00B274DA"/>
    <w:rsid w:val="00B2781F"/>
    <w:rsid w:val="00B32F4E"/>
    <w:rsid w:val="00B3326B"/>
    <w:rsid w:val="00B352EC"/>
    <w:rsid w:val="00B37691"/>
    <w:rsid w:val="00B37A90"/>
    <w:rsid w:val="00B41612"/>
    <w:rsid w:val="00B418FC"/>
    <w:rsid w:val="00B4328E"/>
    <w:rsid w:val="00B44210"/>
    <w:rsid w:val="00B4622F"/>
    <w:rsid w:val="00B47D88"/>
    <w:rsid w:val="00B515BD"/>
    <w:rsid w:val="00B52B1F"/>
    <w:rsid w:val="00B55FF4"/>
    <w:rsid w:val="00B5611D"/>
    <w:rsid w:val="00B61CFB"/>
    <w:rsid w:val="00B64C00"/>
    <w:rsid w:val="00B67790"/>
    <w:rsid w:val="00B70899"/>
    <w:rsid w:val="00B73803"/>
    <w:rsid w:val="00B751CC"/>
    <w:rsid w:val="00B753E1"/>
    <w:rsid w:val="00B763A3"/>
    <w:rsid w:val="00B775FF"/>
    <w:rsid w:val="00B80736"/>
    <w:rsid w:val="00B81BA9"/>
    <w:rsid w:val="00B84992"/>
    <w:rsid w:val="00B85DD2"/>
    <w:rsid w:val="00B917EE"/>
    <w:rsid w:val="00B93E3E"/>
    <w:rsid w:val="00B940B0"/>
    <w:rsid w:val="00B94D62"/>
    <w:rsid w:val="00B95382"/>
    <w:rsid w:val="00B96B3A"/>
    <w:rsid w:val="00BA2942"/>
    <w:rsid w:val="00BA3A54"/>
    <w:rsid w:val="00BA5DFC"/>
    <w:rsid w:val="00BA69C4"/>
    <w:rsid w:val="00BA7064"/>
    <w:rsid w:val="00BB0208"/>
    <w:rsid w:val="00BB1739"/>
    <w:rsid w:val="00BB48DC"/>
    <w:rsid w:val="00BB61B4"/>
    <w:rsid w:val="00BC08F3"/>
    <w:rsid w:val="00BC5C42"/>
    <w:rsid w:val="00BC6189"/>
    <w:rsid w:val="00BC69B5"/>
    <w:rsid w:val="00BD11F8"/>
    <w:rsid w:val="00BD2CF5"/>
    <w:rsid w:val="00BD57E6"/>
    <w:rsid w:val="00BE0F39"/>
    <w:rsid w:val="00BE1BFE"/>
    <w:rsid w:val="00BE3B21"/>
    <w:rsid w:val="00BF16F8"/>
    <w:rsid w:val="00BF2825"/>
    <w:rsid w:val="00BF5FE3"/>
    <w:rsid w:val="00BF7847"/>
    <w:rsid w:val="00C005C1"/>
    <w:rsid w:val="00C008D7"/>
    <w:rsid w:val="00C048EA"/>
    <w:rsid w:val="00C0539F"/>
    <w:rsid w:val="00C061ED"/>
    <w:rsid w:val="00C139BC"/>
    <w:rsid w:val="00C1458F"/>
    <w:rsid w:val="00C150BC"/>
    <w:rsid w:val="00C20111"/>
    <w:rsid w:val="00C20CD8"/>
    <w:rsid w:val="00C218C5"/>
    <w:rsid w:val="00C24770"/>
    <w:rsid w:val="00C2576A"/>
    <w:rsid w:val="00C25AB2"/>
    <w:rsid w:val="00C32329"/>
    <w:rsid w:val="00C36767"/>
    <w:rsid w:val="00C36B9D"/>
    <w:rsid w:val="00C40467"/>
    <w:rsid w:val="00C41331"/>
    <w:rsid w:val="00C423BE"/>
    <w:rsid w:val="00C4270B"/>
    <w:rsid w:val="00C43857"/>
    <w:rsid w:val="00C4513D"/>
    <w:rsid w:val="00C452AE"/>
    <w:rsid w:val="00C46ED1"/>
    <w:rsid w:val="00C51092"/>
    <w:rsid w:val="00C52279"/>
    <w:rsid w:val="00C52EFF"/>
    <w:rsid w:val="00C532A4"/>
    <w:rsid w:val="00C533FD"/>
    <w:rsid w:val="00C53B1E"/>
    <w:rsid w:val="00C54EF3"/>
    <w:rsid w:val="00C57754"/>
    <w:rsid w:val="00C61BCD"/>
    <w:rsid w:val="00C62050"/>
    <w:rsid w:val="00C63524"/>
    <w:rsid w:val="00C642DD"/>
    <w:rsid w:val="00C64BE7"/>
    <w:rsid w:val="00C65267"/>
    <w:rsid w:val="00C659C6"/>
    <w:rsid w:val="00C66ACC"/>
    <w:rsid w:val="00C70803"/>
    <w:rsid w:val="00C81C78"/>
    <w:rsid w:val="00C82E03"/>
    <w:rsid w:val="00C85A41"/>
    <w:rsid w:val="00C865E7"/>
    <w:rsid w:val="00C877C5"/>
    <w:rsid w:val="00C9027C"/>
    <w:rsid w:val="00C91410"/>
    <w:rsid w:val="00C91A38"/>
    <w:rsid w:val="00C9287A"/>
    <w:rsid w:val="00C92CDA"/>
    <w:rsid w:val="00C9523F"/>
    <w:rsid w:val="00C969CE"/>
    <w:rsid w:val="00CA0921"/>
    <w:rsid w:val="00CA56B0"/>
    <w:rsid w:val="00CA6A51"/>
    <w:rsid w:val="00CA7355"/>
    <w:rsid w:val="00CB12BB"/>
    <w:rsid w:val="00CB1FB5"/>
    <w:rsid w:val="00CB3A57"/>
    <w:rsid w:val="00CB3F9A"/>
    <w:rsid w:val="00CB4F0A"/>
    <w:rsid w:val="00CB56CD"/>
    <w:rsid w:val="00CB5F5D"/>
    <w:rsid w:val="00CB6859"/>
    <w:rsid w:val="00CC1840"/>
    <w:rsid w:val="00CC202F"/>
    <w:rsid w:val="00CC3743"/>
    <w:rsid w:val="00CC4916"/>
    <w:rsid w:val="00CC5200"/>
    <w:rsid w:val="00CC62BE"/>
    <w:rsid w:val="00CC721A"/>
    <w:rsid w:val="00CD2C6D"/>
    <w:rsid w:val="00CD31C9"/>
    <w:rsid w:val="00CE010D"/>
    <w:rsid w:val="00CE0904"/>
    <w:rsid w:val="00CE0F2A"/>
    <w:rsid w:val="00CE1F2B"/>
    <w:rsid w:val="00CE34BC"/>
    <w:rsid w:val="00CE4700"/>
    <w:rsid w:val="00CE6242"/>
    <w:rsid w:val="00CF08A2"/>
    <w:rsid w:val="00CF14C7"/>
    <w:rsid w:val="00CF1787"/>
    <w:rsid w:val="00CF1D12"/>
    <w:rsid w:val="00CF3307"/>
    <w:rsid w:val="00D00093"/>
    <w:rsid w:val="00D07CCB"/>
    <w:rsid w:val="00D07D66"/>
    <w:rsid w:val="00D10F4F"/>
    <w:rsid w:val="00D1193A"/>
    <w:rsid w:val="00D13139"/>
    <w:rsid w:val="00D13324"/>
    <w:rsid w:val="00D13F05"/>
    <w:rsid w:val="00D1404C"/>
    <w:rsid w:val="00D15843"/>
    <w:rsid w:val="00D15BAD"/>
    <w:rsid w:val="00D1640E"/>
    <w:rsid w:val="00D16684"/>
    <w:rsid w:val="00D172C7"/>
    <w:rsid w:val="00D17E19"/>
    <w:rsid w:val="00D20BE9"/>
    <w:rsid w:val="00D21A65"/>
    <w:rsid w:val="00D24A40"/>
    <w:rsid w:val="00D279FE"/>
    <w:rsid w:val="00D325BA"/>
    <w:rsid w:val="00D333C8"/>
    <w:rsid w:val="00D351AC"/>
    <w:rsid w:val="00D35576"/>
    <w:rsid w:val="00D355F6"/>
    <w:rsid w:val="00D378C8"/>
    <w:rsid w:val="00D46E58"/>
    <w:rsid w:val="00D51101"/>
    <w:rsid w:val="00D516E3"/>
    <w:rsid w:val="00D52384"/>
    <w:rsid w:val="00D529A3"/>
    <w:rsid w:val="00D52F21"/>
    <w:rsid w:val="00D537F5"/>
    <w:rsid w:val="00D54993"/>
    <w:rsid w:val="00D63EDB"/>
    <w:rsid w:val="00D63F61"/>
    <w:rsid w:val="00D65686"/>
    <w:rsid w:val="00D66711"/>
    <w:rsid w:val="00D70BF3"/>
    <w:rsid w:val="00D72612"/>
    <w:rsid w:val="00D72B4B"/>
    <w:rsid w:val="00D72E92"/>
    <w:rsid w:val="00D7377E"/>
    <w:rsid w:val="00D75237"/>
    <w:rsid w:val="00D76A10"/>
    <w:rsid w:val="00D76A93"/>
    <w:rsid w:val="00D77279"/>
    <w:rsid w:val="00D818B7"/>
    <w:rsid w:val="00D82930"/>
    <w:rsid w:val="00D831FF"/>
    <w:rsid w:val="00D86479"/>
    <w:rsid w:val="00D867E7"/>
    <w:rsid w:val="00D879FC"/>
    <w:rsid w:val="00D90ACE"/>
    <w:rsid w:val="00D93416"/>
    <w:rsid w:val="00D9625F"/>
    <w:rsid w:val="00DA7586"/>
    <w:rsid w:val="00DB1372"/>
    <w:rsid w:val="00DB36E1"/>
    <w:rsid w:val="00DB6895"/>
    <w:rsid w:val="00DC0B90"/>
    <w:rsid w:val="00DC40C2"/>
    <w:rsid w:val="00DD123E"/>
    <w:rsid w:val="00DD3062"/>
    <w:rsid w:val="00DD594F"/>
    <w:rsid w:val="00DD694A"/>
    <w:rsid w:val="00DD6B19"/>
    <w:rsid w:val="00DD7FCB"/>
    <w:rsid w:val="00DE07BC"/>
    <w:rsid w:val="00DE1969"/>
    <w:rsid w:val="00DE1B9B"/>
    <w:rsid w:val="00DE3EA5"/>
    <w:rsid w:val="00DE43EC"/>
    <w:rsid w:val="00DE471C"/>
    <w:rsid w:val="00DE63D6"/>
    <w:rsid w:val="00DF167B"/>
    <w:rsid w:val="00DF53DF"/>
    <w:rsid w:val="00DF7CF4"/>
    <w:rsid w:val="00DF7D26"/>
    <w:rsid w:val="00E020FE"/>
    <w:rsid w:val="00E0491C"/>
    <w:rsid w:val="00E07BA5"/>
    <w:rsid w:val="00E10BC7"/>
    <w:rsid w:val="00E13DC1"/>
    <w:rsid w:val="00E1414E"/>
    <w:rsid w:val="00E1732D"/>
    <w:rsid w:val="00E17595"/>
    <w:rsid w:val="00E300E5"/>
    <w:rsid w:val="00E343F8"/>
    <w:rsid w:val="00E432B9"/>
    <w:rsid w:val="00E4447E"/>
    <w:rsid w:val="00E44529"/>
    <w:rsid w:val="00E446AD"/>
    <w:rsid w:val="00E44E13"/>
    <w:rsid w:val="00E45D73"/>
    <w:rsid w:val="00E461F0"/>
    <w:rsid w:val="00E50357"/>
    <w:rsid w:val="00E54EA4"/>
    <w:rsid w:val="00E554A5"/>
    <w:rsid w:val="00E555A5"/>
    <w:rsid w:val="00E55BBA"/>
    <w:rsid w:val="00E56025"/>
    <w:rsid w:val="00E633EA"/>
    <w:rsid w:val="00E634DA"/>
    <w:rsid w:val="00E66078"/>
    <w:rsid w:val="00E66904"/>
    <w:rsid w:val="00E671D8"/>
    <w:rsid w:val="00E70AB6"/>
    <w:rsid w:val="00E710DD"/>
    <w:rsid w:val="00E7159B"/>
    <w:rsid w:val="00E76515"/>
    <w:rsid w:val="00E77027"/>
    <w:rsid w:val="00E803DD"/>
    <w:rsid w:val="00E85CD9"/>
    <w:rsid w:val="00E85EBF"/>
    <w:rsid w:val="00E91291"/>
    <w:rsid w:val="00E94C48"/>
    <w:rsid w:val="00EA046D"/>
    <w:rsid w:val="00EA7BC3"/>
    <w:rsid w:val="00EB0344"/>
    <w:rsid w:val="00EB0A66"/>
    <w:rsid w:val="00EB2F9F"/>
    <w:rsid w:val="00EB41B2"/>
    <w:rsid w:val="00EC1887"/>
    <w:rsid w:val="00EC39FA"/>
    <w:rsid w:val="00EC594B"/>
    <w:rsid w:val="00EC61D0"/>
    <w:rsid w:val="00ED01FC"/>
    <w:rsid w:val="00ED0417"/>
    <w:rsid w:val="00ED07ED"/>
    <w:rsid w:val="00ED080A"/>
    <w:rsid w:val="00ED1562"/>
    <w:rsid w:val="00ED1944"/>
    <w:rsid w:val="00ED5835"/>
    <w:rsid w:val="00ED6E65"/>
    <w:rsid w:val="00EE28E4"/>
    <w:rsid w:val="00EE53F4"/>
    <w:rsid w:val="00EE6BCD"/>
    <w:rsid w:val="00EE7295"/>
    <w:rsid w:val="00EE7878"/>
    <w:rsid w:val="00EF13A9"/>
    <w:rsid w:val="00EF1F53"/>
    <w:rsid w:val="00EF2418"/>
    <w:rsid w:val="00EF3BF3"/>
    <w:rsid w:val="00EF3C53"/>
    <w:rsid w:val="00F02516"/>
    <w:rsid w:val="00F02D53"/>
    <w:rsid w:val="00F03BEE"/>
    <w:rsid w:val="00F06672"/>
    <w:rsid w:val="00F06861"/>
    <w:rsid w:val="00F15213"/>
    <w:rsid w:val="00F1565C"/>
    <w:rsid w:val="00F17DB9"/>
    <w:rsid w:val="00F2292A"/>
    <w:rsid w:val="00F229B8"/>
    <w:rsid w:val="00F2703C"/>
    <w:rsid w:val="00F274A6"/>
    <w:rsid w:val="00F32B1C"/>
    <w:rsid w:val="00F37019"/>
    <w:rsid w:val="00F409A7"/>
    <w:rsid w:val="00F448AC"/>
    <w:rsid w:val="00F45E7D"/>
    <w:rsid w:val="00F46182"/>
    <w:rsid w:val="00F500FE"/>
    <w:rsid w:val="00F505BA"/>
    <w:rsid w:val="00F566D6"/>
    <w:rsid w:val="00F624E7"/>
    <w:rsid w:val="00F62D1C"/>
    <w:rsid w:val="00F63C69"/>
    <w:rsid w:val="00F70B03"/>
    <w:rsid w:val="00F72D48"/>
    <w:rsid w:val="00F7416E"/>
    <w:rsid w:val="00F76B2C"/>
    <w:rsid w:val="00F775A3"/>
    <w:rsid w:val="00F81E70"/>
    <w:rsid w:val="00F83447"/>
    <w:rsid w:val="00F8494B"/>
    <w:rsid w:val="00F90B5F"/>
    <w:rsid w:val="00F92439"/>
    <w:rsid w:val="00F93D24"/>
    <w:rsid w:val="00F97B0A"/>
    <w:rsid w:val="00FA1F4A"/>
    <w:rsid w:val="00FA713C"/>
    <w:rsid w:val="00FB441C"/>
    <w:rsid w:val="00FB4AF6"/>
    <w:rsid w:val="00FB4FF7"/>
    <w:rsid w:val="00FB6927"/>
    <w:rsid w:val="00FB7A92"/>
    <w:rsid w:val="00FC10D4"/>
    <w:rsid w:val="00FC114D"/>
    <w:rsid w:val="00FC52F4"/>
    <w:rsid w:val="00FC789E"/>
    <w:rsid w:val="00FD03D6"/>
    <w:rsid w:val="00FD25C8"/>
    <w:rsid w:val="00FD31A6"/>
    <w:rsid w:val="00FD457A"/>
    <w:rsid w:val="00FD60ED"/>
    <w:rsid w:val="00FE14A5"/>
    <w:rsid w:val="00FE3F43"/>
    <w:rsid w:val="00FE63AD"/>
    <w:rsid w:val="00FF1931"/>
    <w:rsid w:val="00FF41D8"/>
    <w:rsid w:val="00FF457A"/>
    <w:rsid w:val="00FF7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next w:val="BodyTextMemo"/>
    <w:link w:val="Heading1Char"/>
    <w:uiPriority w:val="99"/>
    <w:qFormat/>
    <w:rsid w:val="008342FD"/>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8342FD"/>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9F4C33"/>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DB6895"/>
    <w:pPr>
      <w:ind w:left="200"/>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8342FD"/>
    <w:pPr>
      <w:autoSpaceDE w:val="0"/>
      <w:autoSpaceDN w:val="0"/>
      <w:ind w:left="720" w:hanging="720"/>
    </w:pPr>
    <w:rPr>
      <w:rFonts w:eastAsia="Times New Roman"/>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
    <w:name w:val="Table Title"/>
    <w:next w:val="BodyTextMemo"/>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qFormat/>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8342FD"/>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8342FD"/>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333083"/>
    <w:pPr>
      <w:jc w:val="center"/>
    </w:pPr>
    <w:rPr>
      <w:rFonts w:ascii="Calibri" w:hAnsi="Calibri" w:cs="Calibri"/>
      <w:b/>
      <w:sz w:val="28"/>
      <w:szCs w:val="28"/>
    </w:rPr>
  </w:style>
  <w:style w:type="paragraph" w:customStyle="1" w:styleId="Footnt1-BodyText">
    <w:name w:val="Footnt1 - Body Text"/>
    <w:link w:val="Footnt1-BodyTextChar"/>
    <w:qFormat/>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qFormat/>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qFormat/>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00559D"/>
    <w:pPr>
      <w:spacing w:line="480" w:lineRule="auto"/>
      <w:ind w:firstLine="720"/>
      <w:jc w:val="both"/>
    </w:pPr>
  </w:style>
  <w:style w:type="character" w:customStyle="1" w:styleId="BodyTextMemoChar">
    <w:name w:val="Body Text Memo Char"/>
    <w:basedOn w:val="DefaultParagraphFont"/>
    <w:link w:val="BodyTextMemo"/>
    <w:rsid w:val="0000559D"/>
  </w:style>
  <w:style w:type="paragraph" w:customStyle="1" w:styleId="LineLogoHeadermemo">
    <w:name w:val="Line&amp;Logo Header memo"/>
    <w:link w:val="LineLogoHeadermemoChar"/>
    <w:qFormat/>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qFormat/>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qFormat/>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qFormat/>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qFormat/>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Memo"/>
    <w:link w:val="Bullet2Char"/>
    <w:rsid w:val="008342FD"/>
    <w:pPr>
      <w:numPr>
        <w:ilvl w:val="1"/>
        <w:numId w:val="16"/>
      </w:numPr>
      <w:spacing w:line="240" w:lineRule="auto"/>
      <w:ind w:left="720"/>
    </w:pPr>
  </w:style>
  <w:style w:type="character" w:customStyle="1" w:styleId="Bullet2Char">
    <w:name w:val="Bullet 2 Char"/>
    <w:basedOn w:val="BodyTextMemoChar"/>
    <w:link w:val="Bullet2"/>
    <w:rsid w:val="008342FD"/>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MemoChar"/>
    <w:link w:val="Bullet25indent"/>
    <w:rsid w:val="008342FD"/>
  </w:style>
  <w:style w:type="paragraph" w:customStyle="1" w:styleId="Numbers1">
    <w:name w:val="Numbers1"/>
    <w:link w:val="Numbers1Char"/>
    <w:rsid w:val="008342FD"/>
    <w:pPr>
      <w:numPr>
        <w:numId w:val="12"/>
      </w:numPr>
      <w:ind w:left="360"/>
    </w:pPr>
  </w:style>
  <w:style w:type="character" w:customStyle="1" w:styleId="Numbers1Char">
    <w:name w:val="Numbers1 Char"/>
    <w:basedOn w:val="DefaultParagraphFont"/>
    <w:link w:val="Numbers1"/>
    <w:rsid w:val="008342FD"/>
  </w:style>
  <w:style w:type="character" w:customStyle="1" w:styleId="Heading3Char1">
    <w:name w:val="Heading 3 Char1"/>
    <w:basedOn w:val="DefaultParagraphFont"/>
    <w:link w:val="Heading3"/>
    <w:rsid w:val="009F4C33"/>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qFormat/>
    <w:rsid w:val="00B763A3"/>
    <w:pPr>
      <w:keepNext/>
      <w:keepLines/>
      <w:spacing w:after="240"/>
    </w:pPr>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next w:val="BodyTextMemo"/>
    <w:link w:val="Heading1Char"/>
    <w:uiPriority w:val="99"/>
    <w:qFormat/>
    <w:rsid w:val="008342FD"/>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8342FD"/>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9F4C33"/>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DB6895"/>
    <w:pPr>
      <w:ind w:left="200"/>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8342FD"/>
    <w:pPr>
      <w:autoSpaceDE w:val="0"/>
      <w:autoSpaceDN w:val="0"/>
      <w:ind w:left="720" w:hanging="720"/>
    </w:pPr>
    <w:rPr>
      <w:rFonts w:eastAsia="Times New Roman"/>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
    <w:name w:val="Table Title"/>
    <w:next w:val="BodyTextMemo"/>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qFormat/>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8342FD"/>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8342FD"/>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333083"/>
    <w:pPr>
      <w:jc w:val="center"/>
    </w:pPr>
    <w:rPr>
      <w:rFonts w:ascii="Calibri" w:hAnsi="Calibri" w:cs="Calibri"/>
      <w:b/>
      <w:sz w:val="28"/>
      <w:szCs w:val="28"/>
    </w:rPr>
  </w:style>
  <w:style w:type="paragraph" w:customStyle="1" w:styleId="Footnt1-BodyText">
    <w:name w:val="Footnt1 - Body Text"/>
    <w:link w:val="Footnt1-BodyTextChar"/>
    <w:qFormat/>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qFormat/>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qFormat/>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00559D"/>
    <w:pPr>
      <w:spacing w:line="480" w:lineRule="auto"/>
      <w:ind w:firstLine="720"/>
      <w:jc w:val="both"/>
    </w:pPr>
  </w:style>
  <w:style w:type="character" w:customStyle="1" w:styleId="BodyTextMemoChar">
    <w:name w:val="Body Text Memo Char"/>
    <w:basedOn w:val="DefaultParagraphFont"/>
    <w:link w:val="BodyTextMemo"/>
    <w:rsid w:val="0000559D"/>
  </w:style>
  <w:style w:type="paragraph" w:customStyle="1" w:styleId="LineLogoHeadermemo">
    <w:name w:val="Line&amp;Logo Header memo"/>
    <w:link w:val="LineLogoHeadermemoChar"/>
    <w:qFormat/>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qFormat/>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qFormat/>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qFormat/>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qFormat/>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Memo"/>
    <w:link w:val="Bullet2Char"/>
    <w:rsid w:val="008342FD"/>
    <w:pPr>
      <w:numPr>
        <w:ilvl w:val="1"/>
        <w:numId w:val="16"/>
      </w:numPr>
      <w:spacing w:line="240" w:lineRule="auto"/>
      <w:ind w:left="720"/>
    </w:pPr>
  </w:style>
  <w:style w:type="character" w:customStyle="1" w:styleId="Bullet2Char">
    <w:name w:val="Bullet 2 Char"/>
    <w:basedOn w:val="BodyTextMemoChar"/>
    <w:link w:val="Bullet2"/>
    <w:rsid w:val="008342FD"/>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MemoChar"/>
    <w:link w:val="Bullet25indent"/>
    <w:rsid w:val="008342FD"/>
  </w:style>
  <w:style w:type="paragraph" w:customStyle="1" w:styleId="Numbers1">
    <w:name w:val="Numbers1"/>
    <w:link w:val="Numbers1Char"/>
    <w:rsid w:val="008342FD"/>
    <w:pPr>
      <w:numPr>
        <w:numId w:val="12"/>
      </w:numPr>
      <w:ind w:left="360"/>
    </w:pPr>
  </w:style>
  <w:style w:type="character" w:customStyle="1" w:styleId="Numbers1Char">
    <w:name w:val="Numbers1 Char"/>
    <w:basedOn w:val="DefaultParagraphFont"/>
    <w:link w:val="Numbers1"/>
    <w:rsid w:val="008342FD"/>
  </w:style>
  <w:style w:type="character" w:customStyle="1" w:styleId="Heading3Char1">
    <w:name w:val="Heading 3 Char1"/>
    <w:basedOn w:val="DefaultParagraphFont"/>
    <w:link w:val="Heading3"/>
    <w:rsid w:val="009F4C33"/>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qFormat/>
    <w:rsid w:val="00B763A3"/>
    <w:pPr>
      <w:keepNext/>
      <w:keepLines/>
      <w:spacing w:after="240"/>
    </w:pPr>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526409518">
      <w:bodyDiv w:val="1"/>
      <w:marLeft w:val="0"/>
      <w:marRight w:val="0"/>
      <w:marTop w:val="0"/>
      <w:marBottom w:val="0"/>
      <w:divBdr>
        <w:top w:val="none" w:sz="0" w:space="0" w:color="auto"/>
        <w:left w:val="none" w:sz="0" w:space="0" w:color="auto"/>
        <w:bottom w:val="none" w:sz="0" w:space="0" w:color="auto"/>
        <w:right w:val="none" w:sz="0" w:space="0" w:color="auto"/>
      </w:divBdr>
    </w:div>
    <w:div w:id="609824509">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416">
      <w:bodyDiv w:val="1"/>
      <w:marLeft w:val="0"/>
      <w:marRight w:val="0"/>
      <w:marTop w:val="0"/>
      <w:marBottom w:val="0"/>
      <w:divBdr>
        <w:top w:val="none" w:sz="0" w:space="0" w:color="auto"/>
        <w:left w:val="none" w:sz="0" w:space="0" w:color="auto"/>
        <w:bottom w:val="none" w:sz="0" w:space="0" w:color="auto"/>
        <w:right w:val="none" w:sz="0" w:space="0" w:color="auto"/>
      </w:divBdr>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365666215">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549301311">
      <w:bodyDiv w:val="1"/>
      <w:marLeft w:val="0"/>
      <w:marRight w:val="0"/>
      <w:marTop w:val="0"/>
      <w:marBottom w:val="0"/>
      <w:divBdr>
        <w:top w:val="none" w:sz="0" w:space="0" w:color="auto"/>
        <w:left w:val="none" w:sz="0" w:space="0" w:color="auto"/>
        <w:bottom w:val="none" w:sz="0" w:space="0" w:color="auto"/>
        <w:right w:val="none" w:sz="0" w:space="0" w:color="auto"/>
      </w:divBdr>
    </w:div>
    <w:div w:id="1665469756">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1413499">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C23E-ED77-4E8B-B0B0-709130FC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4648</Words>
  <Characters>25561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3</cp:revision>
  <cp:lastPrinted>2013-03-21T12:57:00Z</cp:lastPrinted>
  <dcterms:created xsi:type="dcterms:W3CDTF">2013-10-28T16:28:00Z</dcterms:created>
  <dcterms:modified xsi:type="dcterms:W3CDTF">2013-10-28T16:30:00Z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