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1E" w:rsidRPr="00572B1E" w:rsidRDefault="00572B1E" w:rsidP="00572B1E">
      <w:pPr>
        <w:rPr>
          <w:rFonts w:eastAsia="Calibri"/>
        </w:rPr>
      </w:pPr>
      <w:r w:rsidRPr="00572B1E">
        <w:rPr>
          <w:rFonts w:eastAsia="Calibri"/>
        </w:rPr>
        <w:tab/>
        <w:t xml:space="preserve"> </w:t>
      </w:r>
    </w:p>
    <w:p w:rsidR="00572B1E" w:rsidRPr="00572B1E" w:rsidRDefault="00572B1E" w:rsidP="00572B1E">
      <w:pPr>
        <w:spacing w:line="240" w:lineRule="auto"/>
        <w:rPr>
          <w:rFonts w:eastAsia="Calibri"/>
        </w:rPr>
      </w:pPr>
    </w:p>
    <w:p w:rsidR="00572B1E" w:rsidRPr="00572B1E" w:rsidRDefault="00572B1E" w:rsidP="00572B1E">
      <w:pPr>
        <w:spacing w:line="240" w:lineRule="auto"/>
        <w:rPr>
          <w:rFonts w:eastAsia="Calibri"/>
        </w:rPr>
      </w:pPr>
    </w:p>
    <w:p w:rsidR="00572B1E" w:rsidRPr="00572B1E" w:rsidRDefault="00572B1E" w:rsidP="00572B1E">
      <w:pPr>
        <w:spacing w:line="240" w:lineRule="auto"/>
        <w:rPr>
          <w:rFonts w:eastAsia="Calibri"/>
        </w:rPr>
      </w:pPr>
    </w:p>
    <w:p w:rsidR="00572B1E" w:rsidRPr="00572B1E" w:rsidRDefault="00572B1E" w:rsidP="00572B1E">
      <w:pPr>
        <w:spacing w:line="240" w:lineRule="auto"/>
        <w:rPr>
          <w:rFonts w:eastAsia="Calibri"/>
        </w:rPr>
      </w:pPr>
    </w:p>
    <w:p w:rsidR="00572B1E" w:rsidRPr="00572B1E" w:rsidRDefault="00572B1E" w:rsidP="00572B1E">
      <w:pPr>
        <w:spacing w:line="240" w:lineRule="auto"/>
        <w:rPr>
          <w:rFonts w:eastAsia="Calibri"/>
        </w:rPr>
      </w:pPr>
    </w:p>
    <w:p w:rsidR="00572B1E" w:rsidRPr="00572B1E" w:rsidRDefault="00572B1E" w:rsidP="00572B1E">
      <w:pPr>
        <w:tabs>
          <w:tab w:val="center" w:pos="4680"/>
        </w:tabs>
        <w:spacing w:line="240" w:lineRule="auto"/>
        <w:jc w:val="center"/>
        <w:outlineLvl w:val="0"/>
        <w:rPr>
          <w:rFonts w:ascii="Calibri" w:eastAsia="Calibri" w:hAnsi="Calibri" w:cs="Calibri"/>
          <w:b/>
          <w:bCs/>
          <w:caps/>
          <w:sz w:val="40"/>
          <w:szCs w:val="40"/>
        </w:rPr>
      </w:pPr>
      <w:bookmarkStart w:id="0" w:name="_Toc133208861"/>
      <w:r w:rsidRPr="00572B1E">
        <w:rPr>
          <w:rFonts w:ascii="Calibri" w:eastAsia="Calibri" w:hAnsi="Calibri" w:cs="Calibri"/>
          <w:b/>
          <w:bCs/>
          <w:caps/>
          <w:sz w:val="40"/>
          <w:szCs w:val="40"/>
        </w:rPr>
        <w:t xml:space="preserve">U.S. </w:t>
      </w:r>
      <w:bookmarkEnd w:id="0"/>
      <w:r w:rsidRPr="00572B1E">
        <w:rPr>
          <w:rFonts w:ascii="Calibri" w:eastAsia="Calibri" w:hAnsi="Calibri" w:cs="Calibri"/>
          <w:b/>
          <w:bCs/>
          <w:caps/>
          <w:sz w:val="40"/>
          <w:szCs w:val="40"/>
        </w:rPr>
        <w:t>Department of Agriculture</w:t>
      </w:r>
    </w:p>
    <w:p w:rsidR="00572B1E" w:rsidRPr="00572B1E" w:rsidRDefault="00572B1E" w:rsidP="00572B1E">
      <w:pPr>
        <w:tabs>
          <w:tab w:val="center" w:pos="4680"/>
        </w:tabs>
        <w:spacing w:line="240" w:lineRule="auto"/>
        <w:jc w:val="center"/>
        <w:outlineLvl w:val="0"/>
        <w:rPr>
          <w:rFonts w:ascii="Calibri" w:eastAsia="Calibri" w:hAnsi="Calibri" w:cs="Calibri"/>
          <w:b/>
          <w:bCs/>
          <w:caps/>
          <w:sz w:val="32"/>
          <w:szCs w:val="32"/>
        </w:rPr>
      </w:pPr>
      <w:r w:rsidRPr="00572B1E">
        <w:rPr>
          <w:rFonts w:ascii="Calibri" w:eastAsia="Calibri" w:hAnsi="Calibri" w:cs="Calibri"/>
          <w:b/>
          <w:bCs/>
          <w:caps/>
          <w:sz w:val="32"/>
          <w:szCs w:val="32"/>
        </w:rPr>
        <w:t>Food and Nutrition Service</w:t>
      </w:r>
    </w:p>
    <w:p w:rsidR="00572B1E" w:rsidRPr="00572B1E" w:rsidRDefault="00572B1E" w:rsidP="00572B1E">
      <w:pPr>
        <w:spacing w:line="240" w:lineRule="auto"/>
        <w:rPr>
          <w:rFonts w:ascii="Calibri" w:eastAsia="Calibri" w:hAnsi="Calibri" w:cs="Calibri"/>
        </w:rPr>
      </w:pPr>
    </w:p>
    <w:p w:rsidR="00572B1E" w:rsidRPr="00572B1E" w:rsidRDefault="00572B1E" w:rsidP="00572B1E">
      <w:pPr>
        <w:spacing w:line="240" w:lineRule="auto"/>
        <w:rPr>
          <w:rFonts w:ascii="Calibri" w:eastAsia="Calibri" w:hAnsi="Calibri" w:cs="Calibri"/>
        </w:rPr>
      </w:pPr>
    </w:p>
    <w:p w:rsidR="00572B1E" w:rsidRPr="00572B1E" w:rsidRDefault="00572B1E" w:rsidP="00572B1E">
      <w:pPr>
        <w:spacing w:line="240" w:lineRule="auto"/>
        <w:rPr>
          <w:rFonts w:ascii="Calibri" w:eastAsia="Calibri" w:hAnsi="Calibri" w:cs="Calibri"/>
        </w:rPr>
      </w:pPr>
    </w:p>
    <w:p w:rsidR="00572B1E" w:rsidRPr="00572B1E" w:rsidRDefault="00572B1E" w:rsidP="00572B1E">
      <w:pPr>
        <w:spacing w:line="240" w:lineRule="auto"/>
        <w:rPr>
          <w:rFonts w:ascii="Calibri" w:eastAsia="Calibri" w:hAnsi="Calibri" w:cs="Calibri"/>
        </w:rPr>
      </w:pPr>
    </w:p>
    <w:p w:rsidR="00572B1E" w:rsidRPr="00572B1E" w:rsidRDefault="00572B1E" w:rsidP="00572B1E">
      <w:pPr>
        <w:spacing w:line="240" w:lineRule="auto"/>
        <w:rPr>
          <w:rFonts w:ascii="Calibri" w:eastAsia="Calibri" w:hAnsi="Calibri" w:cs="Calibri"/>
        </w:rPr>
      </w:pPr>
    </w:p>
    <w:p w:rsidR="00572B1E" w:rsidRPr="00572B1E" w:rsidRDefault="00572B1E" w:rsidP="00572B1E">
      <w:pPr>
        <w:spacing w:line="240" w:lineRule="auto"/>
        <w:rPr>
          <w:rFonts w:ascii="Calibri" w:eastAsia="Calibri" w:hAnsi="Calibri" w:cs="Calibri"/>
        </w:rPr>
      </w:pPr>
    </w:p>
    <w:p w:rsidR="00572B1E" w:rsidRPr="00572B1E" w:rsidRDefault="00572B1E" w:rsidP="003A4F5E">
      <w:pPr>
        <w:tabs>
          <w:tab w:val="center" w:pos="4680"/>
        </w:tabs>
        <w:spacing w:line="240" w:lineRule="auto"/>
        <w:jc w:val="center"/>
        <w:outlineLvl w:val="0"/>
        <w:rPr>
          <w:rFonts w:ascii="Calibri" w:eastAsia="Calibri" w:hAnsi="Calibri" w:cs="Calibri"/>
          <w:b/>
          <w:bCs/>
          <w:i/>
          <w:iCs/>
          <w:sz w:val="32"/>
          <w:szCs w:val="32"/>
        </w:rPr>
      </w:pPr>
      <w:r w:rsidRPr="00572B1E">
        <w:rPr>
          <w:rFonts w:ascii="Calibri" w:eastAsia="Calibri" w:hAnsi="Calibri" w:cs="Calibri"/>
          <w:b/>
          <w:bCs/>
          <w:i/>
          <w:iCs/>
          <w:sz w:val="32"/>
          <w:szCs w:val="32"/>
        </w:rPr>
        <w:t>Enhancing Completion Rates for SNAP</w:t>
      </w:r>
    </w:p>
    <w:p w:rsidR="00572B1E" w:rsidRPr="00572B1E" w:rsidRDefault="00572B1E" w:rsidP="003A4F5E">
      <w:pPr>
        <w:tabs>
          <w:tab w:val="center" w:pos="4680"/>
        </w:tabs>
        <w:spacing w:line="240" w:lineRule="auto"/>
        <w:jc w:val="center"/>
        <w:outlineLvl w:val="0"/>
        <w:rPr>
          <w:rFonts w:ascii="Calibri" w:eastAsia="Calibri" w:hAnsi="Calibri" w:cs="Calibri"/>
          <w:b/>
          <w:bCs/>
          <w:i/>
          <w:iCs/>
          <w:sz w:val="32"/>
          <w:szCs w:val="32"/>
        </w:rPr>
      </w:pPr>
      <w:r w:rsidRPr="00572B1E">
        <w:rPr>
          <w:rFonts w:ascii="Calibri" w:eastAsia="Calibri" w:hAnsi="Calibri" w:cs="Calibri"/>
          <w:b/>
          <w:bCs/>
          <w:i/>
          <w:iCs/>
          <w:sz w:val="32"/>
          <w:szCs w:val="32"/>
        </w:rPr>
        <w:t>(Supplemental Nutrition Assistance Program) Quality Control Reviews</w:t>
      </w:r>
    </w:p>
    <w:p w:rsidR="00572B1E" w:rsidRPr="00572B1E" w:rsidRDefault="00572B1E" w:rsidP="003A4F5E">
      <w:pPr>
        <w:spacing w:line="240" w:lineRule="auto"/>
        <w:jc w:val="center"/>
        <w:rPr>
          <w:rFonts w:ascii="Calibri" w:eastAsia="Calibri" w:hAnsi="Calibri" w:cs="Calibri"/>
        </w:rPr>
      </w:pPr>
    </w:p>
    <w:p w:rsidR="00572B1E" w:rsidRPr="00572B1E" w:rsidRDefault="00572B1E" w:rsidP="003A4F5E">
      <w:pPr>
        <w:spacing w:line="240" w:lineRule="auto"/>
        <w:jc w:val="center"/>
        <w:rPr>
          <w:rFonts w:ascii="Calibri" w:eastAsia="Calibri" w:hAnsi="Calibri" w:cs="Calibri"/>
        </w:rPr>
      </w:pPr>
    </w:p>
    <w:p w:rsidR="00572B1E" w:rsidRPr="00572B1E" w:rsidRDefault="00572B1E" w:rsidP="003A4F5E">
      <w:pPr>
        <w:tabs>
          <w:tab w:val="center" w:pos="4680"/>
        </w:tabs>
        <w:spacing w:line="240" w:lineRule="auto"/>
        <w:jc w:val="center"/>
        <w:outlineLvl w:val="0"/>
        <w:rPr>
          <w:rFonts w:ascii="Calibri" w:eastAsia="Calibri" w:hAnsi="Calibri" w:cs="Calibri"/>
          <w:bCs/>
          <w:i/>
          <w:sz w:val="32"/>
          <w:szCs w:val="32"/>
        </w:rPr>
      </w:pPr>
      <w:r w:rsidRPr="00572B1E">
        <w:rPr>
          <w:rFonts w:ascii="Calibri" w:eastAsia="Calibri" w:hAnsi="Calibri" w:cs="Calibri"/>
          <w:bCs/>
          <w:i/>
          <w:sz w:val="32"/>
          <w:szCs w:val="32"/>
        </w:rPr>
        <w:t>Request for Clearance</w:t>
      </w:r>
    </w:p>
    <w:p w:rsidR="00572B1E" w:rsidRPr="00572B1E" w:rsidRDefault="00572B1E" w:rsidP="003A4F5E">
      <w:pPr>
        <w:tabs>
          <w:tab w:val="center" w:pos="4680"/>
        </w:tabs>
        <w:spacing w:line="240" w:lineRule="auto"/>
        <w:jc w:val="center"/>
        <w:outlineLvl w:val="0"/>
        <w:rPr>
          <w:rFonts w:ascii="Calibri" w:eastAsia="Calibri" w:hAnsi="Calibri" w:cs="Calibri"/>
          <w:bCs/>
          <w:i/>
          <w:sz w:val="32"/>
          <w:szCs w:val="32"/>
        </w:rPr>
      </w:pPr>
      <w:r w:rsidRPr="00572B1E">
        <w:rPr>
          <w:rFonts w:ascii="Calibri" w:eastAsia="Calibri" w:hAnsi="Calibri" w:cs="Calibri"/>
          <w:bCs/>
          <w:i/>
          <w:sz w:val="32"/>
          <w:szCs w:val="32"/>
        </w:rPr>
        <w:t>Supporting Statement and</w:t>
      </w:r>
    </w:p>
    <w:p w:rsidR="00572B1E" w:rsidRPr="00572B1E" w:rsidRDefault="00572B1E" w:rsidP="003A4F5E">
      <w:pPr>
        <w:tabs>
          <w:tab w:val="center" w:pos="4680"/>
        </w:tabs>
        <w:spacing w:line="240" w:lineRule="auto"/>
        <w:jc w:val="center"/>
        <w:outlineLvl w:val="0"/>
        <w:rPr>
          <w:rFonts w:ascii="Calibri" w:eastAsia="Calibri" w:hAnsi="Calibri" w:cs="Calibri"/>
          <w:bCs/>
          <w:i/>
          <w:sz w:val="32"/>
          <w:szCs w:val="32"/>
        </w:rPr>
      </w:pPr>
      <w:r w:rsidRPr="00572B1E">
        <w:rPr>
          <w:rFonts w:ascii="Calibri" w:eastAsia="Calibri" w:hAnsi="Calibri" w:cs="Calibri"/>
          <w:bCs/>
          <w:i/>
          <w:sz w:val="32"/>
          <w:szCs w:val="32"/>
        </w:rPr>
        <w:t>Data Collection Instruments</w:t>
      </w:r>
    </w:p>
    <w:p w:rsidR="00572B1E" w:rsidRPr="00572B1E" w:rsidRDefault="00572B1E" w:rsidP="003A4F5E">
      <w:pPr>
        <w:spacing w:line="240" w:lineRule="auto"/>
        <w:jc w:val="center"/>
        <w:rPr>
          <w:rFonts w:ascii="Calibri" w:eastAsia="Calibri" w:hAnsi="Calibri" w:cs="Calibri"/>
        </w:rPr>
      </w:pPr>
    </w:p>
    <w:p w:rsidR="00572B1E" w:rsidRDefault="003A4F5E" w:rsidP="003A4F5E">
      <w:pPr>
        <w:spacing w:line="240" w:lineRule="auto"/>
        <w:jc w:val="center"/>
        <w:rPr>
          <w:rFonts w:ascii="Calibri" w:eastAsia="Calibri" w:hAnsi="Calibri" w:cs="Calibri"/>
          <w:bCs/>
          <w:i/>
          <w:sz w:val="32"/>
          <w:szCs w:val="32"/>
        </w:rPr>
      </w:pPr>
      <w:r w:rsidRPr="003A4F5E">
        <w:rPr>
          <w:rFonts w:ascii="Calibri" w:eastAsia="Calibri" w:hAnsi="Calibri" w:cs="Calibri"/>
          <w:bCs/>
          <w:i/>
          <w:sz w:val="32"/>
          <w:szCs w:val="32"/>
        </w:rPr>
        <w:t>Part B:  Collection of Information Employing Statistical Methods</w:t>
      </w:r>
    </w:p>
    <w:p w:rsidR="003A4F5E" w:rsidRPr="00572B1E" w:rsidRDefault="003A4F5E" w:rsidP="003A4F5E">
      <w:pPr>
        <w:spacing w:line="240" w:lineRule="auto"/>
        <w:jc w:val="center"/>
        <w:rPr>
          <w:rFonts w:ascii="Calibri" w:eastAsia="Calibri" w:hAnsi="Calibri" w:cs="Calibri"/>
        </w:rPr>
      </w:pPr>
    </w:p>
    <w:p w:rsidR="00572B1E" w:rsidRPr="00572B1E" w:rsidRDefault="00572B1E" w:rsidP="003A4F5E">
      <w:pPr>
        <w:tabs>
          <w:tab w:val="center" w:pos="4680"/>
        </w:tabs>
        <w:spacing w:line="240" w:lineRule="auto"/>
        <w:jc w:val="center"/>
        <w:outlineLvl w:val="0"/>
        <w:rPr>
          <w:rFonts w:ascii="Calibri" w:eastAsia="Calibri" w:hAnsi="Calibri" w:cs="Calibri"/>
          <w:bCs/>
          <w:sz w:val="32"/>
          <w:szCs w:val="32"/>
        </w:rPr>
      </w:pPr>
      <w:r w:rsidRPr="00572B1E">
        <w:rPr>
          <w:rFonts w:ascii="Calibri" w:eastAsia="Calibri" w:hAnsi="Calibri" w:cs="Calibri"/>
          <w:bCs/>
          <w:sz w:val="32"/>
          <w:szCs w:val="32"/>
        </w:rPr>
        <w:t>Project Officer: Robert Dalrymple</w:t>
      </w:r>
    </w:p>
    <w:p w:rsidR="00572B1E" w:rsidRPr="00572B1E" w:rsidRDefault="00572B1E" w:rsidP="003A4F5E">
      <w:pPr>
        <w:spacing w:line="240" w:lineRule="auto"/>
        <w:jc w:val="center"/>
        <w:rPr>
          <w:rFonts w:ascii="Calibri" w:eastAsia="Calibri" w:hAnsi="Calibri" w:cs="Calibri"/>
          <w:b/>
        </w:rPr>
      </w:pPr>
    </w:p>
    <w:p w:rsidR="00572B1E" w:rsidRPr="00572B1E" w:rsidRDefault="00572B1E" w:rsidP="003A4F5E">
      <w:pPr>
        <w:spacing w:line="240" w:lineRule="auto"/>
        <w:jc w:val="center"/>
        <w:rPr>
          <w:rFonts w:ascii="Calibri" w:eastAsia="Calibri" w:hAnsi="Calibri" w:cs="Calibri"/>
          <w:b/>
        </w:rPr>
      </w:pPr>
    </w:p>
    <w:p w:rsidR="00572B1E" w:rsidRPr="00572B1E" w:rsidRDefault="00572B1E" w:rsidP="003A4F5E">
      <w:pPr>
        <w:spacing w:line="240" w:lineRule="auto"/>
        <w:jc w:val="center"/>
        <w:rPr>
          <w:rFonts w:ascii="Calibri" w:eastAsia="Calibri" w:hAnsi="Calibri" w:cs="Calibri"/>
          <w:b/>
        </w:rPr>
      </w:pPr>
    </w:p>
    <w:p w:rsidR="00572B1E" w:rsidRPr="00572B1E" w:rsidRDefault="00572B1E" w:rsidP="003A4F5E">
      <w:pPr>
        <w:spacing w:line="240" w:lineRule="auto"/>
        <w:jc w:val="center"/>
        <w:rPr>
          <w:rFonts w:ascii="Calibri" w:eastAsia="Calibri" w:hAnsi="Calibri" w:cs="Calibri"/>
          <w:b/>
        </w:rPr>
      </w:pPr>
    </w:p>
    <w:p w:rsidR="00572B1E" w:rsidRPr="00572B1E" w:rsidRDefault="00572B1E" w:rsidP="003A4F5E">
      <w:pPr>
        <w:spacing w:line="240" w:lineRule="auto"/>
        <w:jc w:val="center"/>
        <w:rPr>
          <w:rFonts w:ascii="Calibri" w:eastAsia="Calibri" w:hAnsi="Calibri" w:cs="Calibri"/>
        </w:rPr>
      </w:pPr>
    </w:p>
    <w:p w:rsidR="00572B1E" w:rsidRPr="00572B1E" w:rsidRDefault="00572B1E" w:rsidP="003A4F5E">
      <w:pPr>
        <w:spacing w:line="240" w:lineRule="auto"/>
        <w:jc w:val="center"/>
        <w:rPr>
          <w:rFonts w:ascii="Calibri" w:eastAsia="Calibri" w:hAnsi="Calibri" w:cs="Calibri"/>
        </w:rPr>
      </w:pPr>
    </w:p>
    <w:p w:rsidR="00572B1E" w:rsidRPr="00572B1E" w:rsidRDefault="00572B1E" w:rsidP="003A4F5E">
      <w:pPr>
        <w:spacing w:line="240" w:lineRule="auto"/>
        <w:jc w:val="center"/>
        <w:rPr>
          <w:rFonts w:ascii="Calibri" w:eastAsia="Calibri" w:hAnsi="Calibri" w:cs="Calibri"/>
        </w:rPr>
      </w:pPr>
    </w:p>
    <w:p w:rsidR="00572B1E" w:rsidRPr="00572B1E" w:rsidRDefault="00572B1E" w:rsidP="003A4F5E">
      <w:pPr>
        <w:spacing w:line="240" w:lineRule="auto"/>
        <w:jc w:val="center"/>
        <w:rPr>
          <w:rFonts w:ascii="Calibri" w:eastAsia="Calibri" w:hAnsi="Calibri" w:cs="Calibri"/>
        </w:rPr>
      </w:pPr>
    </w:p>
    <w:p w:rsidR="00572B1E" w:rsidRPr="00572B1E" w:rsidRDefault="00572B1E" w:rsidP="003A4F5E">
      <w:pPr>
        <w:spacing w:line="240" w:lineRule="auto"/>
        <w:jc w:val="center"/>
        <w:rPr>
          <w:rFonts w:ascii="Calibri" w:eastAsia="Calibri" w:hAnsi="Calibri" w:cs="Calibri"/>
        </w:rPr>
      </w:pPr>
    </w:p>
    <w:p w:rsidR="00572B1E" w:rsidRPr="00572B1E" w:rsidRDefault="00AE158B" w:rsidP="003A4F5E">
      <w:pPr>
        <w:spacing w:line="240" w:lineRule="auto"/>
        <w:jc w:val="center"/>
        <w:rPr>
          <w:rFonts w:ascii="Calibri" w:eastAsia="Calibri" w:hAnsi="Calibri" w:cs="Calibri"/>
          <w:b/>
          <w:sz w:val="28"/>
          <w:szCs w:val="28"/>
        </w:rPr>
      </w:pPr>
      <w:r>
        <w:rPr>
          <w:rFonts w:ascii="Calibri" w:eastAsia="Calibri" w:hAnsi="Calibri" w:cs="Calibri"/>
          <w:b/>
          <w:sz w:val="28"/>
          <w:szCs w:val="28"/>
        </w:rPr>
        <w:t>September</w:t>
      </w:r>
      <w:bookmarkStart w:id="1" w:name="_GoBack"/>
      <w:bookmarkEnd w:id="1"/>
      <w:r w:rsidR="00AE31EB">
        <w:rPr>
          <w:rFonts w:ascii="Calibri" w:eastAsia="Calibri" w:hAnsi="Calibri" w:cs="Calibri"/>
          <w:b/>
          <w:sz w:val="28"/>
          <w:szCs w:val="28"/>
        </w:rPr>
        <w:t xml:space="preserve"> 2</w:t>
      </w:r>
      <w:r>
        <w:rPr>
          <w:rFonts w:ascii="Calibri" w:eastAsia="Calibri" w:hAnsi="Calibri" w:cs="Calibri"/>
          <w:b/>
          <w:sz w:val="28"/>
          <w:szCs w:val="28"/>
        </w:rPr>
        <w:t>6</w:t>
      </w:r>
      <w:r w:rsidR="00572B1E" w:rsidRPr="00572B1E">
        <w:rPr>
          <w:rFonts w:ascii="Calibri" w:eastAsia="Calibri" w:hAnsi="Calibri" w:cs="Calibri"/>
          <w:b/>
          <w:sz w:val="28"/>
          <w:szCs w:val="28"/>
        </w:rPr>
        <w:t>, 2013</w:t>
      </w:r>
    </w:p>
    <w:p w:rsidR="00572B1E" w:rsidRPr="00572B1E" w:rsidRDefault="00572B1E" w:rsidP="00572B1E">
      <w:pPr>
        <w:spacing w:line="240" w:lineRule="auto"/>
        <w:jc w:val="center"/>
        <w:rPr>
          <w:rFonts w:eastAsia="Calibri" w:cs="Calibri"/>
        </w:rPr>
      </w:pPr>
      <w:r w:rsidRPr="00572B1E">
        <w:rPr>
          <w:rFonts w:eastAsia="Calibri" w:cs="Calibri"/>
        </w:rPr>
        <w:tab/>
      </w:r>
    </w:p>
    <w:p w:rsidR="00572B1E" w:rsidRPr="00572B1E" w:rsidRDefault="00572B1E" w:rsidP="00572B1E">
      <w:pPr>
        <w:spacing w:line="240" w:lineRule="auto"/>
        <w:jc w:val="right"/>
        <w:rPr>
          <w:rFonts w:eastAsia="Calibri" w:cs="Calibri"/>
        </w:rPr>
      </w:pPr>
    </w:p>
    <w:p w:rsidR="00572B1E" w:rsidRPr="00572B1E" w:rsidRDefault="00572B1E" w:rsidP="00572B1E">
      <w:pPr>
        <w:jc w:val="right"/>
        <w:rPr>
          <w:rFonts w:eastAsia="Calibri" w:cs="Calibri"/>
        </w:rPr>
      </w:pPr>
    </w:p>
    <w:p w:rsidR="00572B1E" w:rsidRPr="00572B1E" w:rsidRDefault="00572B1E" w:rsidP="00572B1E">
      <w:pPr>
        <w:jc w:val="right"/>
        <w:rPr>
          <w:rFonts w:eastAsia="Calibri" w:cs="Calibri"/>
        </w:rPr>
      </w:pPr>
    </w:p>
    <w:p w:rsidR="00572B1E" w:rsidRDefault="00572B1E">
      <w:pPr>
        <w:pStyle w:val="HeadingNoTOC"/>
        <w:sectPr w:rsidR="00572B1E" w:rsidSect="005563EB">
          <w:footerReference w:type="even" r:id="rId8"/>
          <w:footerReference w:type="default" r:id="rId9"/>
          <w:pgSz w:w="12240" w:h="15840" w:code="1"/>
          <w:pgMar w:top="1440" w:right="1440" w:bottom="1440" w:left="1440" w:header="576" w:footer="576" w:gutter="0"/>
          <w:cols w:space="720"/>
          <w:noEndnote/>
          <w:docGrid w:linePitch="272"/>
        </w:sectPr>
      </w:pPr>
    </w:p>
    <w:p w:rsidR="008B1EE4" w:rsidRPr="005547D1" w:rsidRDefault="008B1EE4">
      <w:pPr>
        <w:pStyle w:val="HeadingNoTOC"/>
      </w:pPr>
      <w:r w:rsidRPr="005547D1">
        <w:lastRenderedPageBreak/>
        <w:t>TABLE OF CONTENTS</w:t>
      </w:r>
    </w:p>
    <w:p w:rsidR="00101AAB" w:rsidRPr="005547D1" w:rsidRDefault="00101AAB" w:rsidP="003E0B63">
      <w:pPr>
        <w:jc w:val="center"/>
        <w:rPr>
          <w:rFonts w:cs="Calibri"/>
          <w:b/>
        </w:rPr>
      </w:pPr>
    </w:p>
    <w:p w:rsidR="00040F75" w:rsidRPr="0098568C" w:rsidRDefault="009E1305">
      <w:pPr>
        <w:pStyle w:val="TOC1"/>
        <w:rPr>
          <w:rFonts w:eastAsiaTheme="minorEastAsia" w:cstheme="minorBidi"/>
          <w:b w:val="0"/>
          <w:bCs w:val="0"/>
          <w:noProof/>
          <w:szCs w:val="22"/>
        </w:rPr>
      </w:pPr>
      <w:r w:rsidRPr="0098568C">
        <w:rPr>
          <w:szCs w:val="22"/>
        </w:rPr>
        <w:fldChar w:fldCharType="begin"/>
      </w:r>
      <w:r w:rsidR="00F06672" w:rsidRPr="00A41557">
        <w:rPr>
          <w:szCs w:val="22"/>
        </w:rPr>
        <w:instrText xml:space="preserve"> TOC \t "Heading 2,1,Heading 3,2,Level 1,1,Attachment Subheader,2" </w:instrText>
      </w:r>
      <w:r w:rsidRPr="0098568C">
        <w:rPr>
          <w:szCs w:val="22"/>
        </w:rPr>
        <w:fldChar w:fldCharType="separate"/>
      </w:r>
      <w:r w:rsidR="00040F75" w:rsidRPr="00A41557">
        <w:rPr>
          <w:noProof/>
        </w:rPr>
        <w:t>PART b:  Collection of Information Employing Statistical Methods</w:t>
      </w:r>
      <w:r w:rsidR="00040F75" w:rsidRPr="00A41557">
        <w:rPr>
          <w:noProof/>
        </w:rPr>
        <w:tab/>
      </w:r>
      <w:r w:rsidRPr="00572B1E">
        <w:rPr>
          <w:noProof/>
        </w:rPr>
        <w:fldChar w:fldCharType="begin"/>
      </w:r>
      <w:r w:rsidR="00040F75" w:rsidRPr="00A41557">
        <w:rPr>
          <w:noProof/>
        </w:rPr>
        <w:instrText xml:space="preserve"> PAGEREF _Toc353896505 \h </w:instrText>
      </w:r>
      <w:r w:rsidRPr="00572B1E">
        <w:rPr>
          <w:noProof/>
        </w:rPr>
      </w:r>
      <w:r w:rsidRPr="00572B1E">
        <w:rPr>
          <w:noProof/>
        </w:rPr>
        <w:fldChar w:fldCharType="separate"/>
      </w:r>
      <w:r w:rsidR="00040F75" w:rsidRPr="00A41557">
        <w:rPr>
          <w:noProof/>
        </w:rPr>
        <w:t>1</w:t>
      </w:r>
      <w:r w:rsidRPr="00572B1E">
        <w:rPr>
          <w:noProof/>
        </w:rPr>
        <w:fldChar w:fldCharType="end"/>
      </w:r>
    </w:p>
    <w:p w:rsidR="00040F75" w:rsidRPr="0098568C" w:rsidRDefault="00040F75">
      <w:pPr>
        <w:pStyle w:val="TOC2"/>
        <w:rPr>
          <w:rFonts w:eastAsiaTheme="minorEastAsia" w:cstheme="minorBidi"/>
          <w:caps/>
          <w:smallCaps w:val="0"/>
          <w:noProof/>
          <w:szCs w:val="22"/>
        </w:rPr>
      </w:pPr>
      <w:r w:rsidRPr="0098568C">
        <w:rPr>
          <w:caps/>
          <w:smallCaps w:val="0"/>
          <w:noProof/>
        </w:rPr>
        <w:t>B.1.</w:t>
      </w:r>
      <w:r w:rsidRPr="0098568C">
        <w:rPr>
          <w:rFonts w:eastAsiaTheme="minorEastAsia" w:cstheme="minorBidi"/>
          <w:caps/>
          <w:smallCaps w:val="0"/>
          <w:noProof/>
          <w:szCs w:val="22"/>
        </w:rPr>
        <w:tab/>
      </w:r>
      <w:r w:rsidRPr="0098568C">
        <w:rPr>
          <w:caps/>
          <w:smallCaps w:val="0"/>
          <w:noProof/>
        </w:rPr>
        <w:t>Respondent Universe and Selection Methods</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_Toc353896506 \h </w:instrText>
      </w:r>
      <w:r w:rsidR="009E1305" w:rsidRPr="0098568C">
        <w:rPr>
          <w:caps/>
          <w:smallCaps w:val="0"/>
          <w:noProof/>
        </w:rPr>
      </w:r>
      <w:r w:rsidR="009E1305" w:rsidRPr="0098568C">
        <w:rPr>
          <w:caps/>
          <w:smallCaps w:val="0"/>
          <w:noProof/>
        </w:rPr>
        <w:fldChar w:fldCharType="separate"/>
      </w:r>
      <w:r w:rsidRPr="0098568C">
        <w:rPr>
          <w:caps/>
          <w:smallCaps w:val="0"/>
          <w:noProof/>
        </w:rPr>
        <w:t>1</w:t>
      </w:r>
      <w:r w:rsidR="009E1305" w:rsidRPr="0098568C">
        <w:rPr>
          <w:caps/>
          <w:smallCaps w:val="0"/>
          <w:noProof/>
        </w:rPr>
        <w:fldChar w:fldCharType="end"/>
      </w:r>
    </w:p>
    <w:p w:rsidR="00040F75" w:rsidRPr="0098568C" w:rsidRDefault="00040F75">
      <w:pPr>
        <w:pStyle w:val="TOC2"/>
        <w:rPr>
          <w:rFonts w:eastAsiaTheme="minorEastAsia" w:cstheme="minorBidi"/>
          <w:caps/>
          <w:smallCaps w:val="0"/>
          <w:noProof/>
          <w:szCs w:val="22"/>
        </w:rPr>
      </w:pPr>
      <w:r w:rsidRPr="0098568C">
        <w:rPr>
          <w:caps/>
          <w:smallCaps w:val="0"/>
          <w:noProof/>
        </w:rPr>
        <w:t>B.2.</w:t>
      </w:r>
      <w:r w:rsidRPr="0098568C">
        <w:rPr>
          <w:rFonts w:eastAsiaTheme="minorEastAsia" w:cstheme="minorBidi"/>
          <w:caps/>
          <w:smallCaps w:val="0"/>
          <w:noProof/>
          <w:szCs w:val="22"/>
        </w:rPr>
        <w:tab/>
      </w:r>
      <w:r w:rsidRPr="0098568C">
        <w:rPr>
          <w:caps/>
          <w:smallCaps w:val="0"/>
          <w:noProof/>
        </w:rPr>
        <w:t>Procedures for the Collection of Information</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_Toc353896507 \h </w:instrText>
      </w:r>
      <w:r w:rsidR="009E1305" w:rsidRPr="0098568C">
        <w:rPr>
          <w:caps/>
          <w:smallCaps w:val="0"/>
          <w:noProof/>
        </w:rPr>
      </w:r>
      <w:r w:rsidR="009E1305" w:rsidRPr="0098568C">
        <w:rPr>
          <w:caps/>
          <w:smallCaps w:val="0"/>
          <w:noProof/>
        </w:rPr>
        <w:fldChar w:fldCharType="separate"/>
      </w:r>
      <w:r w:rsidRPr="0098568C">
        <w:rPr>
          <w:caps/>
          <w:smallCaps w:val="0"/>
          <w:noProof/>
        </w:rPr>
        <w:t>3</w:t>
      </w:r>
      <w:r w:rsidR="009E1305" w:rsidRPr="0098568C">
        <w:rPr>
          <w:caps/>
          <w:smallCaps w:val="0"/>
          <w:noProof/>
        </w:rPr>
        <w:fldChar w:fldCharType="end"/>
      </w:r>
    </w:p>
    <w:p w:rsidR="00040F75" w:rsidRPr="0098568C" w:rsidRDefault="00040F75">
      <w:pPr>
        <w:pStyle w:val="TOC2"/>
        <w:rPr>
          <w:rFonts w:eastAsiaTheme="minorEastAsia" w:cstheme="minorBidi"/>
          <w:caps/>
          <w:smallCaps w:val="0"/>
          <w:noProof/>
          <w:szCs w:val="22"/>
        </w:rPr>
      </w:pPr>
      <w:r w:rsidRPr="0098568C">
        <w:rPr>
          <w:caps/>
          <w:smallCaps w:val="0"/>
          <w:noProof/>
        </w:rPr>
        <w:t>B.3.</w:t>
      </w:r>
      <w:r w:rsidRPr="0098568C">
        <w:rPr>
          <w:rFonts w:eastAsiaTheme="minorEastAsia" w:cstheme="minorBidi"/>
          <w:caps/>
          <w:smallCaps w:val="0"/>
          <w:noProof/>
          <w:szCs w:val="22"/>
        </w:rPr>
        <w:tab/>
      </w:r>
      <w:r w:rsidRPr="0098568C">
        <w:rPr>
          <w:caps/>
          <w:smallCaps w:val="0"/>
          <w:noProof/>
        </w:rPr>
        <w:t>Methods to Maximize Response Rates and the Issue of NonResponse</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_Toc353896508 \h </w:instrText>
      </w:r>
      <w:r w:rsidR="009E1305" w:rsidRPr="0098568C">
        <w:rPr>
          <w:caps/>
          <w:smallCaps w:val="0"/>
          <w:noProof/>
        </w:rPr>
      </w:r>
      <w:r w:rsidR="009E1305" w:rsidRPr="0098568C">
        <w:rPr>
          <w:caps/>
          <w:smallCaps w:val="0"/>
          <w:noProof/>
        </w:rPr>
        <w:fldChar w:fldCharType="separate"/>
      </w:r>
      <w:r w:rsidRPr="0098568C">
        <w:rPr>
          <w:caps/>
          <w:smallCaps w:val="0"/>
          <w:noProof/>
        </w:rPr>
        <w:t>6</w:t>
      </w:r>
      <w:r w:rsidR="009E1305" w:rsidRPr="0098568C">
        <w:rPr>
          <w:caps/>
          <w:smallCaps w:val="0"/>
          <w:noProof/>
        </w:rPr>
        <w:fldChar w:fldCharType="end"/>
      </w:r>
    </w:p>
    <w:p w:rsidR="00040F75" w:rsidRPr="0098568C" w:rsidRDefault="00040F75">
      <w:pPr>
        <w:pStyle w:val="TOC2"/>
        <w:rPr>
          <w:rFonts w:eastAsiaTheme="minorEastAsia" w:cstheme="minorBidi"/>
          <w:caps/>
          <w:smallCaps w:val="0"/>
          <w:noProof/>
          <w:szCs w:val="22"/>
        </w:rPr>
      </w:pPr>
      <w:r w:rsidRPr="0098568C">
        <w:rPr>
          <w:caps/>
          <w:smallCaps w:val="0"/>
          <w:noProof/>
        </w:rPr>
        <w:t xml:space="preserve">B.4. </w:t>
      </w:r>
      <w:r w:rsidRPr="0098568C">
        <w:rPr>
          <w:rFonts w:eastAsiaTheme="minorEastAsia" w:cstheme="minorBidi"/>
          <w:caps/>
          <w:smallCaps w:val="0"/>
          <w:noProof/>
          <w:szCs w:val="22"/>
        </w:rPr>
        <w:tab/>
      </w:r>
      <w:r w:rsidRPr="0098568C">
        <w:rPr>
          <w:caps/>
          <w:smallCaps w:val="0"/>
          <w:noProof/>
        </w:rPr>
        <w:t>Tests of Procedures</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_Toc353896509 \h </w:instrText>
      </w:r>
      <w:r w:rsidR="009E1305" w:rsidRPr="0098568C">
        <w:rPr>
          <w:caps/>
          <w:smallCaps w:val="0"/>
          <w:noProof/>
        </w:rPr>
      </w:r>
      <w:r w:rsidR="009E1305" w:rsidRPr="0098568C">
        <w:rPr>
          <w:caps/>
          <w:smallCaps w:val="0"/>
          <w:noProof/>
        </w:rPr>
        <w:fldChar w:fldCharType="separate"/>
      </w:r>
      <w:r w:rsidRPr="0098568C">
        <w:rPr>
          <w:caps/>
          <w:smallCaps w:val="0"/>
          <w:noProof/>
        </w:rPr>
        <w:t>7</w:t>
      </w:r>
      <w:r w:rsidR="009E1305" w:rsidRPr="0098568C">
        <w:rPr>
          <w:caps/>
          <w:smallCaps w:val="0"/>
          <w:noProof/>
        </w:rPr>
        <w:fldChar w:fldCharType="end"/>
      </w:r>
    </w:p>
    <w:p w:rsidR="00040F75" w:rsidRPr="0098568C" w:rsidRDefault="00040F75">
      <w:pPr>
        <w:pStyle w:val="TOC2"/>
        <w:rPr>
          <w:rFonts w:eastAsiaTheme="minorEastAsia" w:cstheme="minorBidi"/>
          <w:caps/>
          <w:smallCaps w:val="0"/>
          <w:noProof/>
          <w:szCs w:val="22"/>
        </w:rPr>
      </w:pPr>
      <w:r w:rsidRPr="0098568C">
        <w:rPr>
          <w:caps/>
          <w:smallCaps w:val="0"/>
          <w:noProof/>
        </w:rPr>
        <w:t xml:space="preserve">B.5. </w:t>
      </w:r>
      <w:r w:rsidRPr="0098568C">
        <w:rPr>
          <w:rFonts w:eastAsiaTheme="minorEastAsia" w:cstheme="minorBidi"/>
          <w:caps/>
          <w:smallCaps w:val="0"/>
          <w:noProof/>
          <w:szCs w:val="22"/>
        </w:rPr>
        <w:tab/>
      </w:r>
      <w:r w:rsidRPr="0098568C">
        <w:rPr>
          <w:caps/>
          <w:smallCaps w:val="0"/>
          <w:noProof/>
        </w:rPr>
        <w:t>Consultants</w:t>
      </w:r>
      <w:r w:rsidRPr="0098568C">
        <w:rPr>
          <w:caps/>
          <w:smallCaps w:val="0"/>
          <w:noProof/>
        </w:rPr>
        <w:tab/>
      </w:r>
      <w:r w:rsidR="009E1305" w:rsidRPr="0098568C">
        <w:rPr>
          <w:caps/>
          <w:smallCaps w:val="0"/>
          <w:noProof/>
        </w:rPr>
        <w:fldChar w:fldCharType="begin"/>
      </w:r>
      <w:r w:rsidRPr="0098568C">
        <w:rPr>
          <w:caps/>
          <w:smallCaps w:val="0"/>
          <w:noProof/>
        </w:rPr>
        <w:instrText xml:space="preserve"> PAGEREF _Toc353896510 \h </w:instrText>
      </w:r>
      <w:r w:rsidR="009E1305" w:rsidRPr="0098568C">
        <w:rPr>
          <w:caps/>
          <w:smallCaps w:val="0"/>
          <w:noProof/>
        </w:rPr>
      </w:r>
      <w:r w:rsidR="009E1305" w:rsidRPr="0098568C">
        <w:rPr>
          <w:caps/>
          <w:smallCaps w:val="0"/>
          <w:noProof/>
        </w:rPr>
        <w:fldChar w:fldCharType="separate"/>
      </w:r>
      <w:r w:rsidRPr="0098568C">
        <w:rPr>
          <w:caps/>
          <w:smallCaps w:val="0"/>
          <w:noProof/>
        </w:rPr>
        <w:t>7</w:t>
      </w:r>
      <w:r w:rsidR="009E1305" w:rsidRPr="0098568C">
        <w:rPr>
          <w:caps/>
          <w:smallCaps w:val="0"/>
          <w:noProof/>
        </w:rPr>
        <w:fldChar w:fldCharType="end"/>
      </w:r>
    </w:p>
    <w:p w:rsidR="00D65686" w:rsidRPr="005547D1" w:rsidRDefault="009E1305" w:rsidP="00020039">
      <w:pPr>
        <w:tabs>
          <w:tab w:val="right" w:leader="dot" w:pos="9346"/>
        </w:tabs>
        <w:jc w:val="center"/>
        <w:rPr>
          <w:rFonts w:cs="Calibri"/>
          <w:b/>
          <w:caps/>
          <w:spacing w:val="-3"/>
          <w:sz w:val="24"/>
        </w:rPr>
      </w:pPr>
      <w:r w:rsidRPr="0098568C">
        <w:rPr>
          <w:rFonts w:asciiTheme="minorHAnsi" w:hAnsiTheme="minorHAnsi" w:cstheme="minorHAnsi"/>
          <w:b/>
          <w:bCs/>
          <w:caps/>
        </w:rPr>
        <w:fldChar w:fldCharType="end"/>
      </w:r>
    </w:p>
    <w:p w:rsidR="004E7E3D" w:rsidRPr="005547D1" w:rsidRDefault="004E7E3D" w:rsidP="0062267B">
      <w:pPr>
        <w:spacing w:before="120" w:after="120"/>
        <w:rPr>
          <w:rFonts w:cs="Calibri"/>
          <w:b/>
          <w:caps/>
          <w:sz w:val="24"/>
        </w:rPr>
        <w:sectPr w:rsidR="004E7E3D" w:rsidRPr="005547D1" w:rsidSect="005563EB">
          <w:pgSz w:w="12240" w:h="15840" w:code="1"/>
          <w:pgMar w:top="1440" w:right="1440" w:bottom="1440" w:left="1440" w:header="576" w:footer="576" w:gutter="0"/>
          <w:cols w:space="720"/>
          <w:noEndnote/>
          <w:docGrid w:linePitch="272"/>
        </w:sectPr>
      </w:pPr>
    </w:p>
    <w:p w:rsidR="00CB56CD" w:rsidRPr="005547D1" w:rsidRDefault="00183664" w:rsidP="00CB56CD">
      <w:pPr>
        <w:pStyle w:val="Heading2"/>
      </w:pPr>
      <w:bookmarkStart w:id="2" w:name="_Toc353896505"/>
      <w:r w:rsidRPr="005547D1">
        <w:lastRenderedPageBreak/>
        <w:t xml:space="preserve">PART b:  </w:t>
      </w:r>
      <w:r w:rsidR="00CB56CD" w:rsidRPr="005547D1">
        <w:t>Collection of Information Employing Statistical Methods</w:t>
      </w:r>
      <w:bookmarkEnd w:id="2"/>
    </w:p>
    <w:p w:rsidR="00CB56CD" w:rsidRPr="005547D1" w:rsidRDefault="00CB56CD" w:rsidP="003B0C8C">
      <w:pPr>
        <w:pStyle w:val="Heading3"/>
      </w:pPr>
      <w:bookmarkStart w:id="3" w:name="_Toc353896506"/>
      <w:r w:rsidRPr="005547D1">
        <w:t>B.1.</w:t>
      </w:r>
      <w:r w:rsidRPr="005547D1">
        <w:tab/>
        <w:t xml:space="preserve">Respondent Universe and </w:t>
      </w:r>
      <w:r w:rsidR="008229C1" w:rsidRPr="005547D1">
        <w:t>Selection</w:t>
      </w:r>
      <w:r w:rsidRPr="005547D1">
        <w:t xml:space="preserve"> Methods</w:t>
      </w:r>
      <w:bookmarkEnd w:id="3"/>
    </w:p>
    <w:p w:rsidR="00AB06EB" w:rsidRPr="00CC7809" w:rsidRDefault="00BF1117" w:rsidP="008F1DE8">
      <w:pPr>
        <w:pStyle w:val="CalibriText-noindent"/>
        <w:rPr>
          <w:b/>
        </w:rPr>
      </w:pPr>
      <w:r w:rsidRPr="00CC7809">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B56CD" w:rsidRPr="005547D1" w:rsidRDefault="00AB06EB" w:rsidP="008F1DE8">
      <w:pPr>
        <w:pStyle w:val="BodyTextMemo"/>
      </w:pPr>
      <w:r w:rsidRPr="005547D1">
        <w:t xml:space="preserve">The purpose of this section is to document any statistical procedures used for the </w:t>
      </w:r>
      <w:r w:rsidR="00BF4C20">
        <w:t>“</w:t>
      </w:r>
      <w:r w:rsidR="00BF4C20" w:rsidRPr="00B22B85">
        <w:t>Enhancing Completion Rates for SNAP QC Reviews</w:t>
      </w:r>
      <w:r w:rsidR="00BF4C20">
        <w:t>”</w:t>
      </w:r>
      <w:r w:rsidR="00BF4C20" w:rsidRPr="005547D1">
        <w:t xml:space="preserve"> </w:t>
      </w:r>
      <w:r w:rsidRPr="005547D1">
        <w:t>study</w:t>
      </w:r>
      <w:r w:rsidR="00F85680" w:rsidRPr="005547D1">
        <w:t xml:space="preserve">.  </w:t>
      </w:r>
      <w:r w:rsidR="00D172C7" w:rsidRPr="005547D1">
        <w:t xml:space="preserve">The data collection will involve interviews </w:t>
      </w:r>
      <w:r w:rsidR="00366494" w:rsidRPr="005547D1">
        <w:t xml:space="preserve">and surveys </w:t>
      </w:r>
      <w:r w:rsidR="00D172C7" w:rsidRPr="005547D1">
        <w:t xml:space="preserve">about the </w:t>
      </w:r>
      <w:r w:rsidR="00F0337A" w:rsidRPr="005547D1">
        <w:t>quality control (</w:t>
      </w:r>
      <w:r w:rsidR="00D172C7" w:rsidRPr="005547D1">
        <w:t>QC</w:t>
      </w:r>
      <w:r w:rsidR="00F0337A" w:rsidRPr="005547D1">
        <w:t>)</w:t>
      </w:r>
      <w:r w:rsidR="00D172C7" w:rsidRPr="005547D1">
        <w:t xml:space="preserve"> review process with QC staff in all </w:t>
      </w:r>
      <w:r w:rsidR="00F0337A" w:rsidRPr="005547D1">
        <w:t>Supplemental Nutrition Assistance Program (</w:t>
      </w:r>
      <w:r w:rsidR="00D172C7" w:rsidRPr="005547D1">
        <w:t>SNAP</w:t>
      </w:r>
      <w:r w:rsidR="00F0337A" w:rsidRPr="005547D1">
        <w:t>)</w:t>
      </w:r>
      <w:r w:rsidR="00D172C7" w:rsidRPr="005547D1">
        <w:t xml:space="preserve"> States (including the District of Columbia, Guam, and </w:t>
      </w:r>
      <w:r w:rsidR="00547416" w:rsidRPr="005547D1">
        <w:t xml:space="preserve">U.S. </w:t>
      </w:r>
      <w:r w:rsidR="00D172C7" w:rsidRPr="005547D1">
        <w:t>Virgin Islands)</w:t>
      </w:r>
      <w:r w:rsidR="00F85680" w:rsidRPr="005547D1">
        <w:t xml:space="preserve">.  </w:t>
      </w:r>
      <w:r w:rsidR="00513363" w:rsidRPr="005547D1">
        <w:t xml:space="preserve">The </w:t>
      </w:r>
      <w:r w:rsidR="008229C1" w:rsidRPr="005547D1">
        <w:t xml:space="preserve">universe is a census </w:t>
      </w:r>
      <w:r w:rsidR="00D172C7" w:rsidRPr="005547D1">
        <w:t xml:space="preserve">of 53 </w:t>
      </w:r>
      <w:r w:rsidR="00F479EE">
        <w:t xml:space="preserve">SNAP </w:t>
      </w:r>
      <w:r w:rsidR="00D172C7" w:rsidRPr="005547D1">
        <w:t xml:space="preserve">QC directors, 106 </w:t>
      </w:r>
      <w:r w:rsidR="00F479EE">
        <w:t xml:space="preserve">SNAP </w:t>
      </w:r>
      <w:r w:rsidR="008229C1" w:rsidRPr="005547D1">
        <w:t xml:space="preserve">QC supervisors </w:t>
      </w:r>
      <w:r w:rsidR="00D172C7" w:rsidRPr="005547D1">
        <w:t>(</w:t>
      </w:r>
      <w:r w:rsidR="00ED1A49">
        <w:t>on average</w:t>
      </w:r>
      <w:r w:rsidR="00D172C7" w:rsidRPr="005547D1">
        <w:t xml:space="preserve"> </w:t>
      </w:r>
      <w:r w:rsidR="00547416" w:rsidRPr="005547D1">
        <w:t>2</w:t>
      </w:r>
      <w:r w:rsidR="00D172C7" w:rsidRPr="005547D1">
        <w:t xml:space="preserve"> per State)</w:t>
      </w:r>
      <w:r w:rsidR="008856DA" w:rsidRPr="005547D1">
        <w:t>,</w:t>
      </w:r>
      <w:r w:rsidR="00D172C7" w:rsidRPr="005547D1">
        <w:t xml:space="preserve"> </w:t>
      </w:r>
      <w:r w:rsidR="008229C1" w:rsidRPr="005547D1">
        <w:t xml:space="preserve">and </w:t>
      </w:r>
      <w:r w:rsidR="00D172C7" w:rsidRPr="005547D1">
        <w:t xml:space="preserve">265 </w:t>
      </w:r>
      <w:r w:rsidR="00F479EE">
        <w:t xml:space="preserve">SNAP </w:t>
      </w:r>
      <w:r w:rsidR="008229C1" w:rsidRPr="005547D1">
        <w:t>QC reviewers (</w:t>
      </w:r>
      <w:r w:rsidR="00ED1A49">
        <w:t>on average</w:t>
      </w:r>
      <w:r w:rsidR="008229C1" w:rsidRPr="005547D1">
        <w:t xml:space="preserve"> 5 per State)</w:t>
      </w:r>
      <w:r w:rsidR="00ED1A49">
        <w:t xml:space="preserve"> across all 53 SNAP States</w:t>
      </w:r>
      <w:r w:rsidR="00F85680" w:rsidRPr="005547D1">
        <w:t xml:space="preserve">.  </w:t>
      </w:r>
      <w:r w:rsidR="00D172C7" w:rsidRPr="005547D1">
        <w:t>Some v</w:t>
      </w:r>
      <w:r w:rsidR="00513363" w:rsidRPr="005547D1">
        <w:t xml:space="preserve">ariation among States </w:t>
      </w:r>
      <w:r w:rsidR="00D172C7" w:rsidRPr="005547D1">
        <w:t>in the actual number of supervisors and reviewers at the time of the data collection is expected</w:t>
      </w:r>
      <w:r w:rsidR="00ED1A49">
        <w:t>; these numbers represent an upper bound</w:t>
      </w:r>
      <w:r w:rsidR="00F85680" w:rsidRPr="005547D1">
        <w:t xml:space="preserve">.  </w:t>
      </w:r>
      <w:r w:rsidR="00FD5BF4" w:rsidRPr="005547D1">
        <w:t xml:space="preserve">Interviews in </w:t>
      </w:r>
      <w:r w:rsidR="00FD5BF4">
        <w:t>six</w:t>
      </w:r>
      <w:r w:rsidR="00FD5BF4" w:rsidRPr="005547D1">
        <w:t xml:space="preserve"> States will be conducted in person during the course of site visits.  </w:t>
      </w:r>
      <w:r w:rsidR="00366494" w:rsidRPr="005547D1">
        <w:t>Surveys</w:t>
      </w:r>
      <w:r w:rsidR="008856DA" w:rsidRPr="005547D1">
        <w:t xml:space="preserve"> in </w:t>
      </w:r>
      <w:r w:rsidR="00865B9C" w:rsidRPr="005547D1">
        <w:t>45</w:t>
      </w:r>
      <w:r w:rsidR="008856DA" w:rsidRPr="005547D1">
        <w:t xml:space="preserve"> States will be conducted </w:t>
      </w:r>
      <w:r w:rsidR="00865B9C" w:rsidRPr="005547D1">
        <w:t xml:space="preserve">via Web or telephone. </w:t>
      </w:r>
      <w:r w:rsidR="00831720">
        <w:t xml:space="preserve"> </w:t>
      </w:r>
      <w:r w:rsidR="00865B9C" w:rsidRPr="005547D1">
        <w:t>Potential respondents will be emailed links to the survey Web site.</w:t>
      </w:r>
      <w:r w:rsidR="00831720">
        <w:t xml:space="preserve"> </w:t>
      </w:r>
      <w:r w:rsidR="00865B9C" w:rsidRPr="005547D1">
        <w:t xml:space="preserve"> Those who do not respond will receive follow</w:t>
      </w:r>
      <w:r w:rsidR="00831720">
        <w:t>-</w:t>
      </w:r>
      <w:r w:rsidR="00865B9C" w:rsidRPr="005547D1">
        <w:t xml:space="preserve">up phone calls and offered the opportunity to complete the survey either on the Web or through computer-assisted telephone interviewing (CATI).  </w:t>
      </w:r>
      <w:r w:rsidR="00FD5BF4" w:rsidRPr="005547D1">
        <w:t xml:space="preserve">Lists of </w:t>
      </w:r>
      <w:r w:rsidR="001C5C55">
        <w:t xml:space="preserve">potential </w:t>
      </w:r>
      <w:r w:rsidR="00FD5BF4" w:rsidRPr="005547D1">
        <w:t xml:space="preserve">respondents will be received from FNS in May 2014, approximately 1 month prior to data collection.  </w:t>
      </w:r>
      <w:r w:rsidR="00865B9C" w:rsidRPr="005547D1">
        <w:t xml:space="preserve">Nine surveys and </w:t>
      </w:r>
      <w:r w:rsidR="00F0337A" w:rsidRPr="005547D1">
        <w:t xml:space="preserve">interviews were conducted in </w:t>
      </w:r>
      <w:r w:rsidR="00831720">
        <w:t>two</w:t>
      </w:r>
      <w:r w:rsidR="00F0337A" w:rsidRPr="005547D1">
        <w:t xml:space="preserve"> States to </w:t>
      </w:r>
      <w:r w:rsidR="00047E6D">
        <w:t>pre-test</w:t>
      </w:r>
      <w:r w:rsidR="00F0337A" w:rsidRPr="005547D1">
        <w:t xml:space="preserve"> the questionnaires</w:t>
      </w:r>
      <w:r w:rsidR="00865B9C" w:rsidRPr="005547D1">
        <w:t>; these respondents will not be resampled during the full implementation of the surveys and interviews</w:t>
      </w:r>
      <w:r w:rsidR="008856DA" w:rsidRPr="005547D1">
        <w:t>.</w:t>
      </w:r>
    </w:p>
    <w:p w:rsidR="00513363" w:rsidRPr="005547D1" w:rsidRDefault="00D333C8" w:rsidP="008F1DE8">
      <w:pPr>
        <w:pStyle w:val="BodyTextMemo"/>
      </w:pPr>
      <w:r w:rsidRPr="005547D1">
        <w:t>In addition, similar interviews</w:t>
      </w:r>
      <w:r w:rsidR="00366494" w:rsidRPr="005547D1">
        <w:t xml:space="preserve"> and surveys</w:t>
      </w:r>
      <w:r w:rsidRPr="005547D1">
        <w:t xml:space="preserve"> will be conducted with</w:t>
      </w:r>
      <w:r w:rsidR="00E407F1" w:rsidRPr="005547D1">
        <w:t xml:space="preserve"> Federal</w:t>
      </w:r>
      <w:r w:rsidRPr="005547D1">
        <w:t xml:space="preserve"> regional office staff; as Federal </w:t>
      </w:r>
      <w:r w:rsidR="00EB5737" w:rsidRPr="005547D1">
        <w:t>employees,</w:t>
      </w:r>
      <w:r w:rsidRPr="005547D1">
        <w:t xml:space="preserve"> they are not subject to OMB approval and burden estimates for data collection</w:t>
      </w:r>
      <w:r w:rsidR="00F85680" w:rsidRPr="005547D1">
        <w:t xml:space="preserve">.  </w:t>
      </w:r>
      <w:r w:rsidR="00513363" w:rsidRPr="005547D1">
        <w:t xml:space="preserve">The universe for </w:t>
      </w:r>
      <w:r w:rsidR="00E407F1" w:rsidRPr="005547D1">
        <w:t xml:space="preserve">Federal </w:t>
      </w:r>
      <w:r w:rsidR="00513363" w:rsidRPr="005547D1">
        <w:t>regional offices consists of up to seven reviewers</w:t>
      </w:r>
      <w:r w:rsidR="00254F1D" w:rsidRPr="005547D1">
        <w:t xml:space="preserve"> per regional office</w:t>
      </w:r>
      <w:r w:rsidR="00FD5BF4">
        <w:t xml:space="preserve">; interviews with regional QC </w:t>
      </w:r>
      <w:r w:rsidR="00BD22DF">
        <w:t>supervisors</w:t>
      </w:r>
      <w:r w:rsidR="00FD5BF4">
        <w:t xml:space="preserve"> will also be conducted in two regions</w:t>
      </w:r>
      <w:r w:rsidR="00F85680" w:rsidRPr="005547D1">
        <w:t xml:space="preserve">.  </w:t>
      </w:r>
      <w:r w:rsidRPr="005547D1">
        <w:t>Some v</w:t>
      </w:r>
      <w:r w:rsidR="00513363" w:rsidRPr="005547D1">
        <w:t xml:space="preserve">ariation </w:t>
      </w:r>
      <w:r w:rsidRPr="005547D1">
        <w:t xml:space="preserve">in staff numbers </w:t>
      </w:r>
      <w:r w:rsidR="00513363" w:rsidRPr="005547D1">
        <w:t xml:space="preserve">among </w:t>
      </w:r>
      <w:r w:rsidR="00513363" w:rsidRPr="005547D1">
        <w:lastRenderedPageBreak/>
        <w:t>regions is expected</w:t>
      </w:r>
      <w:r w:rsidR="00F85680" w:rsidRPr="005547D1">
        <w:t xml:space="preserve">.  </w:t>
      </w:r>
      <w:r w:rsidR="00ED1A49">
        <w:t xml:space="preserve">FNS will provide a list of </w:t>
      </w:r>
      <w:r w:rsidR="001C5C55">
        <w:t xml:space="preserve">potential </w:t>
      </w:r>
      <w:r w:rsidR="00ED1A49">
        <w:t xml:space="preserve">respondents for </w:t>
      </w:r>
      <w:r w:rsidR="00DA12C7" w:rsidRPr="005547D1">
        <w:t xml:space="preserve">interviews </w:t>
      </w:r>
      <w:r w:rsidR="00ED1A49">
        <w:t xml:space="preserve">in two regions, which </w:t>
      </w:r>
      <w:r w:rsidR="008856DA" w:rsidRPr="005547D1">
        <w:t>will be conducted in person during site visits</w:t>
      </w:r>
      <w:r w:rsidR="00DA12C7" w:rsidRPr="005547D1">
        <w:t xml:space="preserve"> in August </w:t>
      </w:r>
      <w:r w:rsidR="001C5C55">
        <w:t xml:space="preserve">and September </w:t>
      </w:r>
      <w:r w:rsidR="00DA12C7" w:rsidRPr="005547D1">
        <w:t>2013</w:t>
      </w:r>
      <w:r w:rsidR="00F85680" w:rsidRPr="005547D1">
        <w:t xml:space="preserve">.  </w:t>
      </w:r>
      <w:r w:rsidR="00880D2A">
        <w:t>In addition,</w:t>
      </w:r>
      <w:r w:rsidR="00880D2A" w:rsidRPr="00880D2A">
        <w:t xml:space="preserve"> </w:t>
      </w:r>
      <w:r w:rsidR="00880D2A" w:rsidRPr="005547D1">
        <w:t xml:space="preserve">FNS will provide the complete list of </w:t>
      </w:r>
      <w:r w:rsidR="001C5C55">
        <w:t xml:space="preserve">potential </w:t>
      </w:r>
      <w:r w:rsidR="00880D2A" w:rsidRPr="005547D1">
        <w:t>respondents in May 2014</w:t>
      </w:r>
      <w:r w:rsidR="00880D2A">
        <w:t>, and s</w:t>
      </w:r>
      <w:r w:rsidR="00880D2A" w:rsidRPr="005547D1">
        <w:t>urveys in five regions will be conducted by telephone in June and July 2014</w:t>
      </w:r>
      <w:r w:rsidR="00880D2A">
        <w:t xml:space="preserve">.  </w:t>
      </w:r>
    </w:p>
    <w:p w:rsidR="000B1D5F" w:rsidRPr="005547D1" w:rsidRDefault="00D333C8" w:rsidP="008F1DE8">
      <w:pPr>
        <w:pStyle w:val="BodyTextMemo"/>
      </w:pPr>
      <w:r w:rsidRPr="005547D1">
        <w:t xml:space="preserve">Finally, </w:t>
      </w:r>
      <w:r w:rsidR="000B1D5F" w:rsidRPr="005547D1">
        <w:t>in a related study component</w:t>
      </w:r>
      <w:r w:rsidR="00927C07" w:rsidRPr="005547D1">
        <w:t>,</w:t>
      </w:r>
      <w:r w:rsidR="000B1D5F" w:rsidRPr="005547D1">
        <w:t xml:space="preserve"> </w:t>
      </w:r>
      <w:r w:rsidRPr="005547D1">
        <w:t xml:space="preserve">an attempt will be made to complete up to 25 QC reviews </w:t>
      </w:r>
      <w:r w:rsidR="00092A31" w:rsidRPr="005547D1">
        <w:t xml:space="preserve">previously designated as incomplete </w:t>
      </w:r>
      <w:r w:rsidR="00E407F1" w:rsidRPr="005547D1">
        <w:t xml:space="preserve">from </w:t>
      </w:r>
      <w:r w:rsidRPr="005547D1">
        <w:t xml:space="preserve">each of </w:t>
      </w:r>
      <w:r w:rsidR="00927C07" w:rsidRPr="005547D1">
        <w:t>3</w:t>
      </w:r>
      <w:r w:rsidRPr="005547D1">
        <w:t xml:space="preserve"> States</w:t>
      </w:r>
      <w:r w:rsidR="00103D70" w:rsidRPr="005547D1">
        <w:t xml:space="preserve">.  </w:t>
      </w:r>
      <w:r w:rsidRPr="005547D1">
        <w:t xml:space="preserve">The purpose of these re-reviews is to provide information regarding </w:t>
      </w:r>
      <w:r w:rsidR="000C6504" w:rsidRPr="005547D1">
        <w:t xml:space="preserve">how incomplete </w:t>
      </w:r>
      <w:r w:rsidR="00254F1D" w:rsidRPr="005547D1">
        <w:t>cases are reviewed and processed</w:t>
      </w:r>
      <w:r w:rsidR="000C6504" w:rsidRPr="005547D1">
        <w:t xml:space="preserve">, assessing </w:t>
      </w:r>
      <w:r w:rsidR="00DA12C7" w:rsidRPr="005547D1">
        <w:t>whether</w:t>
      </w:r>
      <w:r w:rsidR="000C6504" w:rsidRPr="005547D1">
        <w:t xml:space="preserve"> additional or different steps may result in completing any cases, and, if possible, assessing</w:t>
      </w:r>
      <w:r w:rsidR="00254F1D" w:rsidRPr="005547D1">
        <w:t xml:space="preserve"> the impact of incomplete cases on overall payment error rates.  </w:t>
      </w:r>
      <w:r w:rsidR="000B1D5F" w:rsidRPr="005547D1">
        <w:t>The re-review attempts will be from the most recent incomplete cases in each of the</w:t>
      </w:r>
      <w:r w:rsidR="00254F1D" w:rsidRPr="005547D1">
        <w:t xml:space="preserve"> three</w:t>
      </w:r>
      <w:r w:rsidR="000B1D5F" w:rsidRPr="005547D1">
        <w:t xml:space="preserve"> States and are not intended to provide results generalizable to the national QC error rate</w:t>
      </w:r>
      <w:r w:rsidR="00103D70" w:rsidRPr="005547D1">
        <w:t xml:space="preserve">.  </w:t>
      </w:r>
      <w:r w:rsidR="000B1D5F" w:rsidRPr="005547D1">
        <w:t>Since the</w:t>
      </w:r>
      <w:r w:rsidR="000C6504" w:rsidRPr="005547D1">
        <w:t xml:space="preserve"> QC</w:t>
      </w:r>
      <w:r w:rsidR="000B1D5F" w:rsidRPr="005547D1">
        <w:t xml:space="preserve"> instrument used for these will be </w:t>
      </w:r>
      <w:r w:rsidR="000C6504" w:rsidRPr="005547D1">
        <w:t>the one</w:t>
      </w:r>
      <w:r w:rsidR="000B1D5F" w:rsidRPr="005547D1">
        <w:t xml:space="preserve"> prepared by USDA for use by the States and previously approved by OMB—and for which burden has been previously determined—the</w:t>
      </w:r>
      <w:r w:rsidR="003C6844">
        <w:t xml:space="preserve">se </w:t>
      </w:r>
      <w:r w:rsidR="000B1D5F" w:rsidRPr="005547D1">
        <w:t xml:space="preserve">reviews are not </w:t>
      </w:r>
      <w:r w:rsidR="00BD22DF">
        <w:t xml:space="preserve">considered </w:t>
      </w:r>
      <w:r w:rsidR="000B1D5F" w:rsidRPr="005547D1">
        <w:t>a new data collection.</w:t>
      </w:r>
      <w:r w:rsidR="007538BB" w:rsidRPr="007538BB">
        <w:rPr>
          <w:rStyle w:val="FootnoteReference"/>
          <w:vertAlign w:val="superscript"/>
        </w:rPr>
        <w:footnoteReference w:id="2"/>
      </w:r>
      <w:r w:rsidR="000B1D5F" w:rsidRPr="005547D1">
        <w:t xml:space="preserve"> </w:t>
      </w:r>
    </w:p>
    <w:p w:rsidR="00D86479" w:rsidRPr="005547D1" w:rsidRDefault="00CB56CD" w:rsidP="008F1DE8">
      <w:pPr>
        <w:pStyle w:val="BodyTextMemo"/>
      </w:pPr>
      <w:r w:rsidRPr="005547D1">
        <w:rPr>
          <w:b/>
          <w:i/>
        </w:rPr>
        <w:t>B.1.1</w:t>
      </w:r>
      <w:r w:rsidRPr="005547D1">
        <w:rPr>
          <w:b/>
          <w:i/>
        </w:rPr>
        <w:tab/>
        <w:t>Target Population</w:t>
      </w:r>
      <w:r w:rsidRPr="005547D1">
        <w:t xml:space="preserve">.  </w:t>
      </w:r>
      <w:r w:rsidR="000C6504" w:rsidRPr="005547D1">
        <w:t xml:space="preserve">Pending recruitment, </w:t>
      </w:r>
      <w:r w:rsidR="00513363" w:rsidRPr="005547D1">
        <w:t>FNS has identified six States in which semi-structured interviews will be conducted during site visits</w:t>
      </w:r>
      <w:r w:rsidR="00F85680" w:rsidRPr="005547D1">
        <w:t xml:space="preserve">.  </w:t>
      </w:r>
      <w:r w:rsidR="00513363" w:rsidRPr="005547D1">
        <w:t xml:space="preserve">These include two </w:t>
      </w:r>
      <w:r w:rsidR="00CD2C6D" w:rsidRPr="005547D1">
        <w:t>high-</w:t>
      </w:r>
      <w:r w:rsidR="00513363" w:rsidRPr="005547D1">
        <w:t>performing States based on h</w:t>
      </w:r>
      <w:r w:rsidR="00D86479" w:rsidRPr="005547D1">
        <w:t>i</w:t>
      </w:r>
      <w:r w:rsidR="00513363" w:rsidRPr="005547D1">
        <w:t>gh completion rates</w:t>
      </w:r>
      <w:r w:rsidR="000C6504" w:rsidRPr="005547D1">
        <w:t>,</w:t>
      </w:r>
      <w:r w:rsidR="00513363" w:rsidRPr="005547D1">
        <w:t xml:space="preserve"> three </w:t>
      </w:r>
      <w:r w:rsidR="00CD2C6D" w:rsidRPr="005547D1">
        <w:t>low-</w:t>
      </w:r>
      <w:r w:rsidR="000B1D5F" w:rsidRPr="005547D1">
        <w:t>performing</w:t>
      </w:r>
      <w:r w:rsidR="00513363" w:rsidRPr="005547D1">
        <w:t xml:space="preserve"> States based on low completion rates, and one improving State</w:t>
      </w:r>
      <w:r w:rsidR="00F85680" w:rsidRPr="005547D1">
        <w:t xml:space="preserve">.  </w:t>
      </w:r>
      <w:r w:rsidR="00640FC7" w:rsidRPr="005547D1">
        <w:t xml:space="preserve">Two States were interviewed in the </w:t>
      </w:r>
      <w:r w:rsidR="00047E6D">
        <w:t>pre-test</w:t>
      </w:r>
      <w:r w:rsidR="00640FC7" w:rsidRPr="005547D1">
        <w:t xml:space="preserve"> of the questionnaires.  </w:t>
      </w:r>
      <w:r w:rsidR="00366494" w:rsidRPr="005547D1">
        <w:t>I</w:t>
      </w:r>
      <w:r w:rsidR="00D86479" w:rsidRPr="005547D1">
        <w:t xml:space="preserve">n the remaining </w:t>
      </w:r>
      <w:r w:rsidR="00640FC7" w:rsidRPr="005547D1">
        <w:t xml:space="preserve">45 </w:t>
      </w:r>
      <w:r w:rsidR="00D86479" w:rsidRPr="005547D1">
        <w:t>States</w:t>
      </w:r>
      <w:r w:rsidR="003C6844">
        <w:t>,</w:t>
      </w:r>
      <w:r w:rsidR="00254F1D" w:rsidRPr="005547D1">
        <w:rPr>
          <w:rStyle w:val="FootnoteReference"/>
          <w:vertAlign w:val="superscript"/>
        </w:rPr>
        <w:footnoteReference w:id="3"/>
      </w:r>
      <w:r w:rsidR="00366494" w:rsidRPr="005547D1">
        <w:t xml:space="preserve"> surveys</w:t>
      </w:r>
      <w:r w:rsidR="00D86479" w:rsidRPr="005547D1">
        <w:t xml:space="preserve"> will be conducted via </w:t>
      </w:r>
      <w:r w:rsidR="00927C07" w:rsidRPr="005547D1">
        <w:t>Web</w:t>
      </w:r>
      <w:r w:rsidR="000D1558" w:rsidRPr="005547D1">
        <w:t xml:space="preserve"> </w:t>
      </w:r>
      <w:r w:rsidR="00DA12C7" w:rsidRPr="005547D1">
        <w:t xml:space="preserve">or </w:t>
      </w:r>
      <w:r w:rsidR="00D86479" w:rsidRPr="005547D1">
        <w:t>telephone</w:t>
      </w:r>
      <w:r w:rsidR="000D1558" w:rsidRPr="005547D1">
        <w:t xml:space="preserve"> </w:t>
      </w:r>
      <w:r w:rsidR="00366494" w:rsidRPr="005547D1">
        <w:t>(CATI)</w:t>
      </w:r>
      <w:r w:rsidR="00D86479" w:rsidRPr="005547D1">
        <w:t>.</w:t>
      </w:r>
    </w:p>
    <w:p w:rsidR="00BC5C42" w:rsidRPr="005547D1" w:rsidRDefault="009A2580" w:rsidP="008F1DE8">
      <w:pPr>
        <w:pStyle w:val="BodyTextMemo"/>
      </w:pPr>
      <w:r w:rsidRPr="005547D1">
        <w:t>FNS has identified two</w:t>
      </w:r>
      <w:r w:rsidR="00640FC7" w:rsidRPr="005547D1">
        <w:t xml:space="preserve"> Federal</w:t>
      </w:r>
      <w:r w:rsidRPr="005547D1">
        <w:t xml:space="preserve"> </w:t>
      </w:r>
      <w:r w:rsidR="00550BD7" w:rsidRPr="005547D1">
        <w:t>r</w:t>
      </w:r>
      <w:r w:rsidR="00CD2C6D" w:rsidRPr="005547D1">
        <w:t xml:space="preserve">egional </w:t>
      </w:r>
      <w:r w:rsidR="00550BD7" w:rsidRPr="005547D1">
        <w:t>o</w:t>
      </w:r>
      <w:r w:rsidR="00CD2C6D" w:rsidRPr="005547D1">
        <w:t xml:space="preserve">ffices </w:t>
      </w:r>
      <w:r w:rsidRPr="005547D1">
        <w:t xml:space="preserve">where the staff will be interviewed in person, using semi-structured </w:t>
      </w:r>
      <w:r w:rsidR="00366494" w:rsidRPr="005547D1">
        <w:t>interview protocols</w:t>
      </w:r>
      <w:r w:rsidR="00F85680" w:rsidRPr="005547D1">
        <w:t xml:space="preserve">.  </w:t>
      </w:r>
      <w:r w:rsidR="00640FC7" w:rsidRPr="005547D1">
        <w:t>One regional office</w:t>
      </w:r>
      <w:r w:rsidRPr="005547D1">
        <w:t xml:space="preserve"> has a mix of low-performing States, and the </w:t>
      </w:r>
      <w:r w:rsidR="00640FC7" w:rsidRPr="005547D1">
        <w:t>other r</w:t>
      </w:r>
      <w:r w:rsidR="00CD2C6D" w:rsidRPr="005547D1">
        <w:t xml:space="preserve">egional </w:t>
      </w:r>
      <w:r w:rsidR="00640FC7" w:rsidRPr="005547D1">
        <w:t>o</w:t>
      </w:r>
      <w:r w:rsidR="00CD2C6D" w:rsidRPr="005547D1">
        <w:t>ffice</w:t>
      </w:r>
      <w:r w:rsidRPr="005547D1">
        <w:t xml:space="preserve"> has a mix of </w:t>
      </w:r>
      <w:r w:rsidR="00CD2C6D" w:rsidRPr="005547D1">
        <w:t>high-</w:t>
      </w:r>
      <w:r w:rsidRPr="005547D1">
        <w:t>performing</w:t>
      </w:r>
      <w:r w:rsidR="008967EB" w:rsidRPr="005547D1">
        <w:t xml:space="preserve"> States.</w:t>
      </w:r>
      <w:r w:rsidRPr="005547D1">
        <w:t xml:space="preserve"> </w:t>
      </w:r>
      <w:r w:rsidR="00CB0765">
        <w:t xml:space="preserve"> </w:t>
      </w:r>
      <w:r w:rsidR="00640FC7" w:rsidRPr="005547D1">
        <w:t xml:space="preserve">Surveys will be conducted via telephone (CATI) in the </w:t>
      </w:r>
      <w:r w:rsidR="003C6844">
        <w:t>five</w:t>
      </w:r>
      <w:r w:rsidR="00640FC7" w:rsidRPr="005547D1">
        <w:t xml:space="preserve"> remaining Federal regional offices.</w:t>
      </w:r>
    </w:p>
    <w:p w:rsidR="00CB56CD" w:rsidRPr="005547D1" w:rsidRDefault="00CB56CD" w:rsidP="008F1DE8">
      <w:pPr>
        <w:pStyle w:val="BodyTextMemo"/>
      </w:pPr>
      <w:r w:rsidRPr="005547D1">
        <w:rPr>
          <w:b/>
          <w:i/>
        </w:rPr>
        <w:lastRenderedPageBreak/>
        <w:t>B.1.2</w:t>
      </w:r>
      <w:r w:rsidRPr="005547D1">
        <w:rPr>
          <w:b/>
          <w:i/>
        </w:rPr>
        <w:tab/>
        <w:t>Survey Eligibility</w:t>
      </w:r>
      <w:r w:rsidR="00190158" w:rsidRPr="005547D1">
        <w:rPr>
          <w:b/>
          <w:i/>
        </w:rPr>
        <w:t xml:space="preserve"> and Frame</w:t>
      </w:r>
      <w:r w:rsidRPr="005547D1">
        <w:t xml:space="preserve">.  </w:t>
      </w:r>
      <w:r w:rsidR="00D86479" w:rsidRPr="005547D1">
        <w:t xml:space="preserve">All </w:t>
      </w:r>
      <w:r w:rsidR="000B1D5F" w:rsidRPr="005547D1">
        <w:t xml:space="preserve">individual </w:t>
      </w:r>
      <w:r w:rsidR="00D86479" w:rsidRPr="005547D1">
        <w:t>QC directors, supervisors, and reviewers on lists</w:t>
      </w:r>
      <w:r w:rsidR="00AA0D43" w:rsidRPr="005547D1">
        <w:t xml:space="preserve"> received from FNS are eligible for the study, so no</w:t>
      </w:r>
      <w:r w:rsidR="008C337D" w:rsidRPr="005547D1">
        <w:t xml:space="preserve"> screening will be needed beyond verification of the position</w:t>
      </w:r>
      <w:r w:rsidR="00190158" w:rsidRPr="005547D1">
        <w:t xml:space="preserve"> and no selection will be applied</w:t>
      </w:r>
      <w:r w:rsidR="00550BD7" w:rsidRPr="005547D1">
        <w:t xml:space="preserve">.  </w:t>
      </w:r>
      <w:r w:rsidR="008C337D" w:rsidRPr="005547D1">
        <w:t xml:space="preserve">Those </w:t>
      </w:r>
      <w:r w:rsidR="00190158" w:rsidRPr="005547D1">
        <w:t xml:space="preserve">on the list </w:t>
      </w:r>
      <w:r w:rsidR="008C337D" w:rsidRPr="005547D1">
        <w:t xml:space="preserve">who </w:t>
      </w:r>
      <w:r w:rsidR="00190158" w:rsidRPr="005547D1">
        <w:t xml:space="preserve">may have recently </w:t>
      </w:r>
      <w:r w:rsidR="008C337D" w:rsidRPr="005547D1">
        <w:t xml:space="preserve">left the position </w:t>
      </w:r>
      <w:r w:rsidR="00190158" w:rsidRPr="005547D1">
        <w:t>will</w:t>
      </w:r>
      <w:r w:rsidR="001C5C55">
        <w:t xml:space="preserve"> not</w:t>
      </w:r>
      <w:r w:rsidR="00190158" w:rsidRPr="005547D1">
        <w:t xml:space="preserve"> be included.</w:t>
      </w:r>
    </w:p>
    <w:p w:rsidR="00CB56CD" w:rsidRPr="005547D1" w:rsidRDefault="00190158" w:rsidP="008F1DE8">
      <w:pPr>
        <w:pStyle w:val="BodyTextMemo"/>
      </w:pPr>
      <w:r w:rsidRPr="005547D1">
        <w:rPr>
          <w:b/>
          <w:i/>
        </w:rPr>
        <w:t>B.1.</w:t>
      </w:r>
      <w:r w:rsidR="00AE2449" w:rsidRPr="005547D1">
        <w:rPr>
          <w:b/>
          <w:i/>
        </w:rPr>
        <w:t>3</w:t>
      </w:r>
      <w:r w:rsidR="00CB56CD" w:rsidRPr="005547D1">
        <w:rPr>
          <w:b/>
          <w:i/>
        </w:rPr>
        <w:tab/>
        <w:t>Response Rates</w:t>
      </w:r>
      <w:r w:rsidR="00CB56CD" w:rsidRPr="005547D1">
        <w:t xml:space="preserve">.  </w:t>
      </w:r>
      <w:r w:rsidR="008967EB" w:rsidRPr="005547D1">
        <w:t xml:space="preserve">Estimated </w:t>
      </w:r>
      <w:r w:rsidR="00366494" w:rsidRPr="005547D1">
        <w:t>survey</w:t>
      </w:r>
      <w:r w:rsidR="008967EB" w:rsidRPr="005547D1">
        <w:t xml:space="preserve"> response rates are </w:t>
      </w:r>
      <w:r w:rsidR="00035924">
        <w:t>8</w:t>
      </w:r>
      <w:r w:rsidR="00976F4B" w:rsidRPr="005547D1">
        <w:t>1</w:t>
      </w:r>
      <w:r w:rsidR="00AA0D43" w:rsidRPr="005547D1">
        <w:t xml:space="preserve"> percent of State QC directors, </w:t>
      </w:r>
      <w:r w:rsidR="00F479EE">
        <w:t>82</w:t>
      </w:r>
      <w:r w:rsidR="008967EB" w:rsidRPr="005547D1">
        <w:t xml:space="preserve"> percent of State </w:t>
      </w:r>
      <w:r w:rsidR="00092A31">
        <w:t xml:space="preserve">QC </w:t>
      </w:r>
      <w:r w:rsidR="008967EB" w:rsidRPr="005547D1">
        <w:t>supervisors, and 8</w:t>
      </w:r>
      <w:r w:rsidR="00035924">
        <w:t>3</w:t>
      </w:r>
      <w:r w:rsidR="008967EB" w:rsidRPr="005547D1">
        <w:t xml:space="preserve"> percent of State QC reviewers</w:t>
      </w:r>
      <w:r w:rsidR="00F85680" w:rsidRPr="005547D1">
        <w:t xml:space="preserve">.  </w:t>
      </w:r>
      <w:r w:rsidR="008967EB" w:rsidRPr="005547D1">
        <w:t>These high rates reflect the requirements of the position</w:t>
      </w:r>
      <w:r w:rsidR="00550BD7" w:rsidRPr="005547D1">
        <w:t>;</w:t>
      </w:r>
      <w:r w:rsidR="008967EB" w:rsidRPr="005547D1">
        <w:t xml:space="preserve"> the certainty of eligibility (</w:t>
      </w:r>
      <w:r w:rsidR="00BC5C42" w:rsidRPr="005547D1">
        <w:t>although</w:t>
      </w:r>
      <w:r w:rsidR="008967EB" w:rsidRPr="005547D1">
        <w:t xml:space="preserve"> some named persons on the telephone </w:t>
      </w:r>
      <w:r w:rsidR="00366494" w:rsidRPr="005547D1">
        <w:t xml:space="preserve">and email </w:t>
      </w:r>
      <w:r w:rsidR="008967EB" w:rsidRPr="005547D1">
        <w:t>list</w:t>
      </w:r>
      <w:r w:rsidR="00366494" w:rsidRPr="005547D1">
        <w:t>s</w:t>
      </w:r>
      <w:r w:rsidR="008967EB" w:rsidRPr="005547D1">
        <w:t xml:space="preserve"> could have recently left their position</w:t>
      </w:r>
      <w:r w:rsidR="005D5EB6">
        <w:t>s</w:t>
      </w:r>
      <w:r w:rsidR="008967EB" w:rsidRPr="005547D1">
        <w:t>)</w:t>
      </w:r>
      <w:r w:rsidR="00550BD7" w:rsidRPr="005547D1">
        <w:t>;</w:t>
      </w:r>
      <w:r w:rsidR="008967EB" w:rsidRPr="005547D1">
        <w:t xml:space="preserve"> and the fact that members of each group are expected to be notified by their superiors of the need to </w:t>
      </w:r>
      <w:r w:rsidR="002F0250" w:rsidRPr="005547D1">
        <w:t>comply with the survey request</w:t>
      </w:r>
      <w:r w:rsidR="00F85680" w:rsidRPr="005547D1">
        <w:t xml:space="preserve">.  </w:t>
      </w:r>
      <w:r w:rsidR="002F0250" w:rsidRPr="005547D1">
        <w:t xml:space="preserve">For the </w:t>
      </w:r>
      <w:r w:rsidR="00230F1B">
        <w:t xml:space="preserve">semi-structured interviews during </w:t>
      </w:r>
      <w:r w:rsidR="002F0250" w:rsidRPr="005547D1">
        <w:t xml:space="preserve">site visits, response rates are estimated to be 100 percent for </w:t>
      </w:r>
      <w:r w:rsidR="00640FC7" w:rsidRPr="005547D1">
        <w:t xml:space="preserve">QC </w:t>
      </w:r>
      <w:r w:rsidR="00230F1B">
        <w:t xml:space="preserve">directors, </w:t>
      </w:r>
      <w:r w:rsidR="002F0250" w:rsidRPr="005547D1">
        <w:t>supervisors</w:t>
      </w:r>
      <w:r w:rsidR="005D5EB6">
        <w:t>,</w:t>
      </w:r>
      <w:r w:rsidR="002F0250" w:rsidRPr="005547D1">
        <w:t xml:space="preserve"> and reviewers</w:t>
      </w:r>
      <w:r w:rsidR="00F85680" w:rsidRPr="005547D1">
        <w:t xml:space="preserve">.  </w:t>
      </w:r>
      <w:r w:rsidR="002F0250" w:rsidRPr="005547D1">
        <w:t xml:space="preserve">(State </w:t>
      </w:r>
      <w:r w:rsidR="00640FC7" w:rsidRPr="005547D1">
        <w:t xml:space="preserve">QC </w:t>
      </w:r>
      <w:r w:rsidR="002F0250" w:rsidRPr="005547D1">
        <w:t>directors are expected to pick days for site visits when their staff will be in the office.)</w:t>
      </w:r>
    </w:p>
    <w:p w:rsidR="00CB56CD" w:rsidRPr="005547D1" w:rsidRDefault="00CB56CD" w:rsidP="003B0C8C">
      <w:pPr>
        <w:pStyle w:val="Heading3"/>
      </w:pPr>
      <w:bookmarkStart w:id="4" w:name="_Toc353896507"/>
      <w:r w:rsidRPr="005547D1">
        <w:t>B.2.</w:t>
      </w:r>
      <w:r w:rsidRPr="005547D1">
        <w:tab/>
        <w:t>Procedures for the Collection of Information</w:t>
      </w:r>
      <w:bookmarkEnd w:id="4"/>
    </w:p>
    <w:p w:rsidR="00AE2449" w:rsidRPr="00CC7809" w:rsidRDefault="00BF1117" w:rsidP="003B0C8C">
      <w:pPr>
        <w:pStyle w:val="CalibriText-noindent"/>
        <w:rPr>
          <w:b/>
        </w:rPr>
      </w:pPr>
      <w:r w:rsidRPr="00CC7809">
        <w:rPr>
          <w:b/>
        </w:rPr>
        <w:t>Describe the procedures for the collection of information including:</w:t>
      </w:r>
    </w:p>
    <w:p w:rsidR="00AE2449" w:rsidRPr="00CC7809" w:rsidRDefault="00BF1117" w:rsidP="003B0C8C">
      <w:pPr>
        <w:pStyle w:val="CalibriText-noindent"/>
        <w:numPr>
          <w:ilvl w:val="0"/>
          <w:numId w:val="20"/>
        </w:numPr>
        <w:contextualSpacing/>
        <w:rPr>
          <w:b/>
        </w:rPr>
      </w:pPr>
      <w:r w:rsidRPr="00CC7809">
        <w:rPr>
          <w:b/>
        </w:rPr>
        <w:t>Statistical methodology for stratification and sample selection</w:t>
      </w:r>
    </w:p>
    <w:p w:rsidR="00AE2449" w:rsidRPr="00CC7809" w:rsidRDefault="00BF1117" w:rsidP="003B0C8C">
      <w:pPr>
        <w:pStyle w:val="CalibriText-noindent"/>
        <w:numPr>
          <w:ilvl w:val="0"/>
          <w:numId w:val="20"/>
        </w:numPr>
        <w:contextualSpacing/>
        <w:rPr>
          <w:b/>
        </w:rPr>
      </w:pPr>
      <w:r w:rsidRPr="00CC7809">
        <w:rPr>
          <w:b/>
        </w:rPr>
        <w:t>Estimation procedure</w:t>
      </w:r>
    </w:p>
    <w:p w:rsidR="00AE2449" w:rsidRPr="00CC7809" w:rsidRDefault="00BF1117" w:rsidP="003B0C8C">
      <w:pPr>
        <w:pStyle w:val="CalibriText-noindent"/>
        <w:numPr>
          <w:ilvl w:val="0"/>
          <w:numId w:val="20"/>
        </w:numPr>
        <w:contextualSpacing/>
        <w:rPr>
          <w:b/>
        </w:rPr>
      </w:pPr>
      <w:r w:rsidRPr="00CC7809">
        <w:rPr>
          <w:b/>
        </w:rPr>
        <w:t>Degree of accuracy needed for the purpose described in the justification</w:t>
      </w:r>
    </w:p>
    <w:p w:rsidR="00AE2449" w:rsidRPr="00CC7809" w:rsidRDefault="00BF1117" w:rsidP="003B0C8C">
      <w:pPr>
        <w:pStyle w:val="CalibriText-noindent"/>
        <w:numPr>
          <w:ilvl w:val="0"/>
          <w:numId w:val="20"/>
        </w:numPr>
        <w:contextualSpacing/>
        <w:rPr>
          <w:b/>
        </w:rPr>
      </w:pPr>
      <w:r w:rsidRPr="00CC7809">
        <w:rPr>
          <w:b/>
        </w:rPr>
        <w:t>Unusual problems requiring specialized sampling procedures</w:t>
      </w:r>
    </w:p>
    <w:p w:rsidR="00AE2449" w:rsidRPr="00CC7809" w:rsidRDefault="00BF1117" w:rsidP="003B0C8C">
      <w:pPr>
        <w:pStyle w:val="CalibriText-noindent"/>
        <w:numPr>
          <w:ilvl w:val="0"/>
          <w:numId w:val="20"/>
        </w:numPr>
        <w:contextualSpacing/>
        <w:rPr>
          <w:b/>
        </w:rPr>
      </w:pPr>
      <w:r w:rsidRPr="00CC7809">
        <w:rPr>
          <w:b/>
        </w:rPr>
        <w:t>Any use of periodic (less frequent than annual) data collection cycles to reduce burden</w:t>
      </w:r>
    </w:p>
    <w:p w:rsidR="00D52384" w:rsidRPr="005547D1" w:rsidRDefault="00AE2449" w:rsidP="003B0C8C">
      <w:pPr>
        <w:pStyle w:val="BodyTextMemo"/>
      </w:pPr>
      <w:r w:rsidRPr="005547D1">
        <w:rPr>
          <w:b/>
          <w:i/>
        </w:rPr>
        <w:t>B.2.1</w:t>
      </w:r>
      <w:r w:rsidRPr="005547D1">
        <w:rPr>
          <w:b/>
          <w:i/>
        </w:rPr>
        <w:tab/>
        <w:t>Data Collection.</w:t>
      </w:r>
      <w:r w:rsidRPr="005547D1">
        <w:t xml:space="preserve">  The proposed </w:t>
      </w:r>
      <w:r w:rsidR="00366494" w:rsidRPr="005547D1">
        <w:t>surveys</w:t>
      </w:r>
      <w:r w:rsidRPr="005547D1">
        <w:t xml:space="preserve"> (with the exception of those in </w:t>
      </w:r>
      <w:r w:rsidR="006F6018" w:rsidRPr="005547D1">
        <w:t xml:space="preserve">six </w:t>
      </w:r>
      <w:r w:rsidRPr="005547D1">
        <w:t xml:space="preserve">States, which will be conducted in person during site visits) </w:t>
      </w:r>
      <w:r w:rsidR="008D0A92">
        <w:t xml:space="preserve">will </w:t>
      </w:r>
      <w:r w:rsidR="00D52384" w:rsidRPr="005547D1">
        <w:t xml:space="preserve">obtain information </w:t>
      </w:r>
      <w:r w:rsidR="00B32F4E" w:rsidRPr="005547D1">
        <w:t xml:space="preserve">on </w:t>
      </w:r>
      <w:r w:rsidR="006F6018" w:rsidRPr="005547D1">
        <w:t xml:space="preserve">QC procedures, challenges, and </w:t>
      </w:r>
      <w:bookmarkStart w:id="5" w:name="here"/>
      <w:bookmarkEnd w:id="5"/>
      <w:r w:rsidR="006F6018" w:rsidRPr="005547D1">
        <w:t>best practices</w:t>
      </w:r>
      <w:r w:rsidR="007A3134">
        <w:t>,</w:t>
      </w:r>
      <w:r w:rsidR="00DA12C7" w:rsidRPr="005547D1">
        <w:t xml:space="preserve"> and will be implemented on the Web and by telephone.  Potential respondents will be emailed links to the survey Web site, and nonrespondents will receive follow</w:t>
      </w:r>
      <w:r w:rsidR="005D5EB6">
        <w:t>-</w:t>
      </w:r>
      <w:r w:rsidR="00DA12C7" w:rsidRPr="005547D1">
        <w:t>up phone calls giving the opportunity to complete the survey either on the Web or through CATI</w:t>
      </w:r>
      <w:r w:rsidR="00D52384" w:rsidRPr="005547D1">
        <w:t xml:space="preserve">.  </w:t>
      </w:r>
      <w:r w:rsidR="00366494" w:rsidRPr="005547D1">
        <w:t xml:space="preserve">The </w:t>
      </w:r>
      <w:r w:rsidR="006A075A" w:rsidRPr="005547D1">
        <w:t>Web</w:t>
      </w:r>
      <w:r w:rsidR="00366494" w:rsidRPr="005547D1">
        <w:t xml:space="preserve"> and </w:t>
      </w:r>
      <w:r w:rsidR="00D52384" w:rsidRPr="005547D1">
        <w:t xml:space="preserve">CATI </w:t>
      </w:r>
      <w:r w:rsidR="00366494" w:rsidRPr="005547D1">
        <w:t>survey modes were</w:t>
      </w:r>
      <w:r w:rsidR="00D52384" w:rsidRPr="005547D1">
        <w:t xml:space="preserve"> selected for this target population </w:t>
      </w:r>
      <w:r w:rsidR="00366494" w:rsidRPr="005547D1">
        <w:t>a</w:t>
      </w:r>
      <w:r w:rsidR="00D52384" w:rsidRPr="005547D1">
        <w:t xml:space="preserve">s an efficient way to reach known respondents where contact information is </w:t>
      </w:r>
      <w:r w:rsidR="0099351C" w:rsidRPr="005547D1">
        <w:t>accurate</w:t>
      </w:r>
      <w:r w:rsidR="00F85680" w:rsidRPr="005547D1">
        <w:t xml:space="preserve">.  </w:t>
      </w:r>
      <w:r w:rsidR="00640FC7" w:rsidRPr="005547D1">
        <w:t>O</w:t>
      </w:r>
      <w:r w:rsidR="00D52384" w:rsidRPr="005547D1">
        <w:t xml:space="preserve">verall, </w:t>
      </w:r>
      <w:r w:rsidR="000D1558" w:rsidRPr="005547D1">
        <w:t xml:space="preserve">a combined </w:t>
      </w:r>
      <w:r w:rsidR="00927C07" w:rsidRPr="005547D1">
        <w:t>Web</w:t>
      </w:r>
      <w:r w:rsidR="000D1558" w:rsidRPr="005547D1">
        <w:t xml:space="preserve"> and </w:t>
      </w:r>
      <w:r w:rsidR="00D52384" w:rsidRPr="005547D1">
        <w:t xml:space="preserve">CATI </w:t>
      </w:r>
      <w:r w:rsidR="000D1558" w:rsidRPr="005547D1">
        <w:t xml:space="preserve">survey </w:t>
      </w:r>
      <w:r w:rsidR="00D10E41" w:rsidRPr="005547D1">
        <w:t xml:space="preserve">should </w:t>
      </w:r>
      <w:r w:rsidR="00D52384" w:rsidRPr="005547D1">
        <w:t xml:space="preserve">yield a higher </w:t>
      </w:r>
      <w:r w:rsidR="00D52384" w:rsidRPr="005547D1">
        <w:lastRenderedPageBreak/>
        <w:t>response rate for this study than other modes of data collection.  The data collection methodology is as follows:</w:t>
      </w:r>
    </w:p>
    <w:p w:rsidR="00D52384" w:rsidRPr="005547D1" w:rsidRDefault="00D52384" w:rsidP="005D02D2">
      <w:pPr>
        <w:pStyle w:val="BodyTextMemo"/>
        <w:numPr>
          <w:ilvl w:val="0"/>
          <w:numId w:val="23"/>
        </w:numPr>
        <w:ind w:left="720"/>
      </w:pPr>
      <w:r w:rsidRPr="005547D1">
        <w:t xml:space="preserve">The </w:t>
      </w:r>
      <w:r w:rsidR="00B32C05" w:rsidRPr="005547D1">
        <w:t>survey</w:t>
      </w:r>
      <w:r w:rsidRPr="005547D1">
        <w:t xml:space="preserve"> instrument</w:t>
      </w:r>
      <w:r w:rsidR="00B32C05" w:rsidRPr="005547D1">
        <w:t>s</w:t>
      </w:r>
      <w:r w:rsidRPr="005547D1">
        <w:t xml:space="preserve"> will be developed, tested, and programmed </w:t>
      </w:r>
      <w:r w:rsidR="0099351C" w:rsidRPr="005547D1">
        <w:t>with status codes</w:t>
      </w:r>
      <w:r w:rsidRPr="005547D1">
        <w:t>.</w:t>
      </w:r>
    </w:p>
    <w:p w:rsidR="00D52384" w:rsidRPr="005547D1" w:rsidRDefault="00D52384" w:rsidP="005D02D2">
      <w:pPr>
        <w:pStyle w:val="BodyTextMemo"/>
        <w:numPr>
          <w:ilvl w:val="0"/>
          <w:numId w:val="23"/>
        </w:numPr>
        <w:ind w:left="720"/>
      </w:pPr>
      <w:r w:rsidRPr="005547D1">
        <w:t>A survey management system will be programmed to track completed cases, partially completed cases, call history, and locating history.</w:t>
      </w:r>
    </w:p>
    <w:p w:rsidR="00D52384" w:rsidRPr="005547D1" w:rsidRDefault="00D52384" w:rsidP="005D02D2">
      <w:pPr>
        <w:pStyle w:val="BodyTextMemo"/>
        <w:numPr>
          <w:ilvl w:val="0"/>
          <w:numId w:val="23"/>
        </w:numPr>
        <w:ind w:left="720"/>
      </w:pPr>
      <w:r w:rsidRPr="005547D1">
        <w:t>A training program will be developed and interviewers will be thoroughly trained on all aspects of the study.</w:t>
      </w:r>
    </w:p>
    <w:p w:rsidR="00D52384" w:rsidRPr="005547D1" w:rsidRDefault="00D52384" w:rsidP="005D02D2">
      <w:pPr>
        <w:pStyle w:val="BodyTextMemo"/>
        <w:numPr>
          <w:ilvl w:val="0"/>
          <w:numId w:val="23"/>
        </w:numPr>
        <w:ind w:left="720"/>
      </w:pPr>
      <w:r w:rsidRPr="005547D1">
        <w:t xml:space="preserve">Response rates will be monitored and analyzed by completed </w:t>
      </w:r>
      <w:r w:rsidR="00D10E41" w:rsidRPr="005547D1">
        <w:t xml:space="preserve">interviews </w:t>
      </w:r>
      <w:r w:rsidRPr="005547D1">
        <w:t>by time of day and days of the week to optimize calling times.</w:t>
      </w:r>
    </w:p>
    <w:p w:rsidR="00D52384" w:rsidRPr="005547D1" w:rsidRDefault="00D52384" w:rsidP="005D02D2">
      <w:pPr>
        <w:pStyle w:val="BodyTextMemo"/>
        <w:numPr>
          <w:ilvl w:val="0"/>
          <w:numId w:val="23"/>
        </w:numPr>
        <w:ind w:left="720"/>
      </w:pPr>
      <w:r w:rsidRPr="005547D1">
        <w:t>Refusal conversion calls will be made by specialists trained in refusal conversion.</w:t>
      </w:r>
    </w:p>
    <w:p w:rsidR="00D52384" w:rsidRPr="005547D1" w:rsidRDefault="0099351C" w:rsidP="00214E69">
      <w:pPr>
        <w:pStyle w:val="BodyTextMemo"/>
        <w:keepNext/>
        <w:keepLines/>
        <w:ind w:firstLine="0"/>
      </w:pPr>
      <w:r w:rsidRPr="005547D1">
        <w:rPr>
          <w:b/>
          <w:i/>
        </w:rPr>
        <w:t>Maximizing response</w:t>
      </w:r>
      <w:r w:rsidR="00D52384" w:rsidRPr="005547D1">
        <w:rPr>
          <w:b/>
          <w:i/>
        </w:rPr>
        <w:t>.</w:t>
      </w:r>
      <w:r w:rsidR="00D52384" w:rsidRPr="005547D1">
        <w:t xml:space="preserve">  We propose a multipronged strategy for ensuring strong response rates</w:t>
      </w:r>
      <w:r w:rsidRPr="005547D1">
        <w:t>.</w:t>
      </w:r>
    </w:p>
    <w:p w:rsidR="00980163" w:rsidRPr="005547D1" w:rsidRDefault="00980163" w:rsidP="005D02D2">
      <w:pPr>
        <w:pStyle w:val="BodyTextMemo"/>
        <w:keepNext/>
        <w:keepLines/>
        <w:numPr>
          <w:ilvl w:val="0"/>
          <w:numId w:val="19"/>
        </w:numPr>
        <w:ind w:left="720"/>
        <w:rPr>
          <w:b/>
        </w:rPr>
      </w:pPr>
      <w:r w:rsidRPr="005547D1">
        <w:rPr>
          <w:b/>
        </w:rPr>
        <w:t xml:space="preserve">Email contact with telephone follow-up.  </w:t>
      </w:r>
      <w:r w:rsidRPr="005547D1">
        <w:t xml:space="preserve">Initial contacts to the target population will be made via email with links to the </w:t>
      </w:r>
      <w:r w:rsidR="00927C07" w:rsidRPr="005547D1">
        <w:t>Web</w:t>
      </w:r>
      <w:r w:rsidRPr="005547D1">
        <w:t xml:space="preserve"> survey that can be completed at their convenience.  Telephone follow-ups will then be conducted for those who do not initially respond to the </w:t>
      </w:r>
      <w:r w:rsidR="00927C07" w:rsidRPr="005547D1">
        <w:t>Web</w:t>
      </w:r>
      <w:r w:rsidRPr="005547D1">
        <w:t xml:space="preserve"> survey, to provide the option to complete the survey over the phone.</w:t>
      </w:r>
    </w:p>
    <w:p w:rsidR="00D52384" w:rsidRPr="005547D1" w:rsidRDefault="00D52384" w:rsidP="008F1DE8">
      <w:pPr>
        <w:pStyle w:val="BodyTextMemo"/>
        <w:numPr>
          <w:ilvl w:val="0"/>
          <w:numId w:val="19"/>
        </w:numPr>
        <w:ind w:left="720"/>
      </w:pPr>
      <w:r w:rsidRPr="005547D1">
        <w:rPr>
          <w:b/>
        </w:rPr>
        <w:t xml:space="preserve">Follow-up attempts </w:t>
      </w:r>
      <w:r w:rsidRPr="00BD22DF">
        <w:rPr>
          <w:b/>
        </w:rPr>
        <w:t>on different days/at different times of day</w:t>
      </w:r>
      <w:r w:rsidR="0099351C" w:rsidRPr="00BD22DF">
        <w:rPr>
          <w:b/>
        </w:rPr>
        <w:t xml:space="preserve"> for a total of up to seven calls</w:t>
      </w:r>
      <w:r w:rsidRPr="00BD22DF">
        <w:rPr>
          <w:b/>
        </w:rPr>
        <w:t>.</w:t>
      </w:r>
      <w:r w:rsidRPr="005547D1">
        <w:t xml:space="preserve">  </w:t>
      </w:r>
      <w:r w:rsidR="00092A31" w:rsidRPr="005547D1">
        <w:t>Messages will be left for recipients to call a toll-free number to complete the survey.</w:t>
      </w:r>
      <w:r w:rsidR="00092A31">
        <w:t xml:space="preserve"> </w:t>
      </w:r>
      <w:r w:rsidRPr="005547D1">
        <w:t xml:space="preserve">Research shows that the incremental increase in response rates diminishes beyond seven calls.    </w:t>
      </w:r>
    </w:p>
    <w:p w:rsidR="0099351C" w:rsidRPr="005547D1" w:rsidRDefault="0099351C" w:rsidP="008F1DE8">
      <w:pPr>
        <w:pStyle w:val="BodyTextMemo"/>
        <w:numPr>
          <w:ilvl w:val="0"/>
          <w:numId w:val="19"/>
        </w:numPr>
        <w:ind w:left="720"/>
      </w:pPr>
      <w:r w:rsidRPr="005547D1">
        <w:rPr>
          <w:b/>
        </w:rPr>
        <w:t>Landline and mobile telephone numbers</w:t>
      </w:r>
      <w:r w:rsidR="00F85680" w:rsidRPr="005547D1">
        <w:rPr>
          <w:b/>
        </w:rPr>
        <w:t xml:space="preserve">.  </w:t>
      </w:r>
      <w:r w:rsidRPr="005547D1">
        <w:t>For QC reviewers, who are frequently on travel away from their office</w:t>
      </w:r>
      <w:r w:rsidR="007A3134">
        <w:t>s</w:t>
      </w:r>
      <w:r w:rsidRPr="005547D1">
        <w:t>, both types of phone numbers will be obtained wherever possible</w:t>
      </w:r>
      <w:r w:rsidR="00F85680" w:rsidRPr="005547D1">
        <w:t xml:space="preserve">.  </w:t>
      </w:r>
      <w:r w:rsidRPr="005547D1">
        <w:t>Initial attempts will be made to both telephone numbers</w:t>
      </w:r>
      <w:r w:rsidR="00F85680" w:rsidRPr="005547D1">
        <w:t xml:space="preserve">.  </w:t>
      </w:r>
      <w:r w:rsidRPr="005547D1">
        <w:t>Subsequent attempts will be made to mobile numbers.</w:t>
      </w:r>
    </w:p>
    <w:p w:rsidR="00D52384" w:rsidRPr="005547D1" w:rsidRDefault="00D52384" w:rsidP="008F1DE8">
      <w:pPr>
        <w:pStyle w:val="BodyTextMemo"/>
        <w:numPr>
          <w:ilvl w:val="0"/>
          <w:numId w:val="19"/>
        </w:numPr>
        <w:ind w:left="720"/>
      </w:pPr>
      <w:r w:rsidRPr="005547D1">
        <w:rPr>
          <w:b/>
        </w:rPr>
        <w:t xml:space="preserve">Call rotation and flexibility. </w:t>
      </w:r>
      <w:r w:rsidRPr="005547D1">
        <w:t xml:space="preserve"> The CATI system can schedule calls to rotate among various times throughout the day </w:t>
      </w:r>
      <w:r w:rsidR="0099351C" w:rsidRPr="005547D1">
        <w:t>(</w:t>
      </w:r>
      <w:r w:rsidRPr="005547D1">
        <w:t>and evening</w:t>
      </w:r>
      <w:r w:rsidR="0099351C" w:rsidRPr="005547D1">
        <w:t>, as may be appropriate)</w:t>
      </w:r>
      <w:r w:rsidRPr="005547D1">
        <w:t xml:space="preserve"> during callbacks.  The system allows respondents to call in to complete a survey or continue a survey over multiple sittings.  </w:t>
      </w:r>
      <w:r w:rsidRPr="005547D1">
        <w:lastRenderedPageBreak/>
        <w:t>Interviewers can also schedule appointments so that respondents can participate at a time convenient to them.</w:t>
      </w:r>
    </w:p>
    <w:p w:rsidR="00D52384" w:rsidRPr="005547D1" w:rsidRDefault="00D52384" w:rsidP="008F1DE8">
      <w:pPr>
        <w:pStyle w:val="BodyTextMemo"/>
        <w:numPr>
          <w:ilvl w:val="0"/>
          <w:numId w:val="19"/>
        </w:numPr>
        <w:ind w:left="720"/>
      </w:pPr>
      <w:r w:rsidRPr="005547D1">
        <w:rPr>
          <w:b/>
        </w:rPr>
        <w:t xml:space="preserve">Refusal conversion. </w:t>
      </w:r>
      <w:r w:rsidRPr="005547D1">
        <w:t xml:space="preserve"> We plan to implement refusal conversion appropriate to the needs of the project.  The </w:t>
      </w:r>
      <w:r w:rsidR="00902765" w:rsidRPr="005547D1">
        <w:t>types and methods</w:t>
      </w:r>
      <w:r w:rsidRPr="005547D1">
        <w:t xml:space="preserve"> of conversion will be communicated to interviewers as part of the training.  </w:t>
      </w:r>
    </w:p>
    <w:p w:rsidR="00D52384" w:rsidRPr="005547D1" w:rsidRDefault="00D52384" w:rsidP="008F1DE8">
      <w:pPr>
        <w:pStyle w:val="BodyTextMemo"/>
        <w:numPr>
          <w:ilvl w:val="0"/>
          <w:numId w:val="19"/>
        </w:numPr>
        <w:ind w:left="720"/>
      </w:pPr>
      <w:r w:rsidRPr="005547D1">
        <w:rPr>
          <w:b/>
        </w:rPr>
        <w:t xml:space="preserve">Cross-sectional design.  </w:t>
      </w:r>
      <w:r w:rsidRPr="005547D1">
        <w:t xml:space="preserve">The survey is cross-sectional, so no future contacts are planned after the interview is completed by </w:t>
      </w:r>
      <w:r w:rsidR="00927C07" w:rsidRPr="005547D1">
        <w:t>Web</w:t>
      </w:r>
      <w:r w:rsidR="000D1558" w:rsidRPr="005547D1">
        <w:t xml:space="preserve">, </w:t>
      </w:r>
      <w:r w:rsidR="00E50C4B">
        <w:t>tele</w:t>
      </w:r>
      <w:r w:rsidRPr="005547D1">
        <w:t>phone</w:t>
      </w:r>
      <w:r w:rsidR="000D1558" w:rsidRPr="005547D1">
        <w:t>,</w:t>
      </w:r>
      <w:r w:rsidR="00641280" w:rsidRPr="005547D1">
        <w:t xml:space="preserve"> or in person</w:t>
      </w:r>
      <w:r w:rsidRPr="005547D1">
        <w:t xml:space="preserve">. </w:t>
      </w:r>
    </w:p>
    <w:p w:rsidR="00AE2449" w:rsidRPr="005547D1" w:rsidRDefault="00AE2449" w:rsidP="008F1DE8">
      <w:pPr>
        <w:pStyle w:val="BodyTextMemo"/>
      </w:pPr>
      <w:r w:rsidRPr="005547D1">
        <w:rPr>
          <w:b/>
          <w:i/>
        </w:rPr>
        <w:t xml:space="preserve">B.2.2  </w:t>
      </w:r>
      <w:r w:rsidR="007A3134">
        <w:rPr>
          <w:b/>
          <w:i/>
        </w:rPr>
        <w:t xml:space="preserve"> </w:t>
      </w:r>
      <w:r w:rsidRPr="005547D1">
        <w:rPr>
          <w:b/>
          <w:i/>
        </w:rPr>
        <w:t>Statistical Methodology for Stratification and Sample Selection</w:t>
      </w:r>
      <w:r w:rsidR="00F85680" w:rsidRPr="005547D1">
        <w:rPr>
          <w:i/>
        </w:rPr>
        <w:t>.</w:t>
      </w:r>
      <w:r w:rsidR="00F85680" w:rsidRPr="005547D1">
        <w:t xml:space="preserve">  </w:t>
      </w:r>
      <w:r w:rsidRPr="005547D1">
        <w:t>As a census</w:t>
      </w:r>
      <w:r w:rsidR="004D246D" w:rsidRPr="005547D1">
        <w:t xml:space="preserve"> (based on current information on the number of State QC employees)</w:t>
      </w:r>
      <w:r w:rsidRPr="005547D1">
        <w:t>, there will be no stratification or sample selection</w:t>
      </w:r>
      <w:r w:rsidR="00F85680" w:rsidRPr="005547D1">
        <w:t xml:space="preserve">.  </w:t>
      </w:r>
      <w:r w:rsidRPr="005547D1">
        <w:t xml:space="preserve">FNS will provide a full list of the target population for </w:t>
      </w:r>
      <w:r w:rsidR="00730CA2" w:rsidRPr="005547D1">
        <w:t>the</w:t>
      </w:r>
      <w:r w:rsidRPr="005547D1">
        <w:t xml:space="preserve"> interviews</w:t>
      </w:r>
      <w:r w:rsidR="00730CA2" w:rsidRPr="005547D1">
        <w:t xml:space="preserve"> and surveys</w:t>
      </w:r>
      <w:r w:rsidR="005504CD" w:rsidRPr="005547D1">
        <w:t>.</w:t>
      </w:r>
    </w:p>
    <w:p w:rsidR="00AE2449" w:rsidRPr="005547D1" w:rsidRDefault="00AE2449" w:rsidP="008F1DE8">
      <w:pPr>
        <w:pStyle w:val="BodyTextMemo"/>
      </w:pPr>
      <w:r w:rsidRPr="005547D1">
        <w:rPr>
          <w:b/>
          <w:i/>
        </w:rPr>
        <w:t>B.2.3</w:t>
      </w:r>
      <w:r w:rsidRPr="005547D1">
        <w:rPr>
          <w:b/>
          <w:i/>
        </w:rPr>
        <w:tab/>
        <w:t>Measurement/Estimation Procedures</w:t>
      </w:r>
      <w:r w:rsidRPr="005547D1">
        <w:t>.  As a census</w:t>
      </w:r>
      <w:r w:rsidR="004D246D" w:rsidRPr="005547D1">
        <w:t xml:space="preserve"> (based on current information on the number of State QC employees)</w:t>
      </w:r>
      <w:r w:rsidRPr="005547D1">
        <w:t>, no weighti</w:t>
      </w:r>
      <w:r w:rsidR="00214E69">
        <w:t>ng or adjustment will be needed</w:t>
      </w:r>
      <w:r w:rsidRPr="005547D1">
        <w:t>.</w:t>
      </w:r>
      <w:r w:rsidR="00214E69">
        <w:t xml:space="preserve">  Given the high anticipated response rate, the </w:t>
      </w:r>
      <w:r w:rsidR="00553136">
        <w:t>small number of</w:t>
      </w:r>
      <w:r w:rsidR="00214E69">
        <w:t xml:space="preserve"> non</w:t>
      </w:r>
      <w:r w:rsidR="00553136">
        <w:t>respondents should have little or no impact on the results.  Due diligence will be exercised, however, in examining any known differences between respondents and nonrespondents to understand any potential bias i</w:t>
      </w:r>
      <w:r w:rsidR="004A1020">
        <w:t>ntroduced by nonrespon</w:t>
      </w:r>
      <w:r w:rsidR="00553136">
        <w:t>s</w:t>
      </w:r>
      <w:r w:rsidR="004A1020">
        <w:t>e</w:t>
      </w:r>
      <w:r w:rsidR="00553136">
        <w:t>.  Results of this analysis will be included in the final report.</w:t>
      </w:r>
    </w:p>
    <w:p w:rsidR="00AE2449" w:rsidRPr="005547D1" w:rsidRDefault="00AE2449" w:rsidP="003B0C8C">
      <w:pPr>
        <w:pStyle w:val="BodyTextMemo"/>
      </w:pPr>
      <w:r w:rsidRPr="005547D1">
        <w:t xml:space="preserve">All data management and cross-tabulations/frequency distributions will be conducted using SAS v9.2.  Variations in output, per type of analysis, will depend on what measures are appropriate for the variable and the measurement level (i.e., nominal, ordinal, or scale) for each defined variable.  For example, a nominal measure (e.g., nondirectional categories, related to the respondents’ background and SNAP QC history) will be analyzed using frequencies and percentages.  </w:t>
      </w:r>
      <w:r w:rsidR="002E451A" w:rsidRPr="005547D1">
        <w:t>For a</w:t>
      </w:r>
      <w:r w:rsidRPr="005547D1">
        <w:t>n ordinal measure (e.g., directional categories, such as strongly agree to strongly disagree)</w:t>
      </w:r>
      <w:r w:rsidR="002E451A" w:rsidRPr="005547D1">
        <w:t>, we</w:t>
      </w:r>
      <w:r w:rsidRPr="005547D1">
        <w:t xml:space="preserve"> will produce frequencies and percentages for the variables.  </w:t>
      </w:r>
      <w:r w:rsidR="002E451A" w:rsidRPr="005547D1">
        <w:t>Finally, for a</w:t>
      </w:r>
      <w:r w:rsidRPr="005547D1">
        <w:t xml:space="preserve"> scale measure (e.g., a numerical value, such as years</w:t>
      </w:r>
      <w:r w:rsidR="00641280" w:rsidRPr="005547D1">
        <w:t xml:space="preserve"> of experience</w:t>
      </w:r>
      <w:r w:rsidRPr="005547D1">
        <w:t xml:space="preserve"> as QC reviewer, number of review cases received per month</w:t>
      </w:r>
      <w:r w:rsidR="00FB5BAD">
        <w:t>,</w:t>
      </w:r>
      <w:r w:rsidRPr="005547D1">
        <w:t xml:space="preserve"> percentage of time dedicated to QC reviews)</w:t>
      </w:r>
      <w:r w:rsidR="002E451A" w:rsidRPr="005547D1">
        <w:t>, we</w:t>
      </w:r>
      <w:r w:rsidRPr="005547D1">
        <w:t xml:space="preserve"> will produce a mean, median, or other descriptive measure.      </w:t>
      </w:r>
    </w:p>
    <w:p w:rsidR="00CB56CD" w:rsidRPr="005547D1" w:rsidRDefault="00CB56CD" w:rsidP="005129B9">
      <w:pPr>
        <w:pStyle w:val="Heading3"/>
        <w:keepNext/>
        <w:keepLines/>
      </w:pPr>
      <w:bookmarkStart w:id="6" w:name="_Toc353896508"/>
      <w:r w:rsidRPr="005547D1">
        <w:lastRenderedPageBreak/>
        <w:t>B.3.</w:t>
      </w:r>
      <w:r w:rsidRPr="005547D1">
        <w:tab/>
        <w:t>Methods to Maximize Response Rates and the Issue of NonResponse</w:t>
      </w:r>
      <w:bookmarkEnd w:id="6"/>
    </w:p>
    <w:p w:rsidR="00C46ED1" w:rsidRPr="00CC7809" w:rsidRDefault="00BF1117" w:rsidP="005129B9">
      <w:pPr>
        <w:pStyle w:val="CalibriText-noindent"/>
        <w:rPr>
          <w:b/>
        </w:rPr>
      </w:pPr>
      <w:r w:rsidRPr="00CC7809">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E451A" w:rsidRPr="005547D1" w:rsidRDefault="00CB56CD" w:rsidP="003B0C8C">
      <w:pPr>
        <w:pStyle w:val="BodyTextMemo"/>
      </w:pPr>
      <w:r w:rsidRPr="005547D1">
        <w:t xml:space="preserve">The methods described above have been </w:t>
      </w:r>
      <w:r w:rsidR="002E451A" w:rsidRPr="005547D1">
        <w:t>shown</w:t>
      </w:r>
      <w:r w:rsidRPr="005547D1">
        <w:t xml:space="preserve"> to yield </w:t>
      </w:r>
      <w:r w:rsidR="007C2DA5" w:rsidRPr="005547D1">
        <w:t xml:space="preserve">high </w:t>
      </w:r>
      <w:r w:rsidRPr="005547D1">
        <w:t>response rate</w:t>
      </w:r>
      <w:r w:rsidR="002E451A" w:rsidRPr="005547D1">
        <w:t>s</w:t>
      </w:r>
      <w:r w:rsidR="007C2DA5" w:rsidRPr="005547D1">
        <w:t xml:space="preserve"> </w:t>
      </w:r>
      <w:r w:rsidRPr="005547D1">
        <w:t xml:space="preserve">when the survey is of reasonable length and </w:t>
      </w:r>
      <w:r w:rsidR="007A3134">
        <w:t xml:space="preserve">when </w:t>
      </w:r>
      <w:r w:rsidR="007C2DA5" w:rsidRPr="005547D1">
        <w:t xml:space="preserve">potential </w:t>
      </w:r>
      <w:r w:rsidR="00420CE0" w:rsidRPr="005547D1">
        <w:t>respondent</w:t>
      </w:r>
      <w:r w:rsidRPr="005547D1">
        <w:t xml:space="preserve"> members consider the topic salient</w:t>
      </w:r>
      <w:r w:rsidR="007C2DA5" w:rsidRPr="005547D1">
        <w:t xml:space="preserve"> and are urged to comply by superiors</w:t>
      </w:r>
      <w:r w:rsidRPr="005547D1">
        <w:t>.  The following strategies will be used to help achieve th</w:t>
      </w:r>
      <w:r w:rsidR="002E451A" w:rsidRPr="005547D1">
        <w:t xml:space="preserve">e estimated </w:t>
      </w:r>
      <w:r w:rsidRPr="005547D1">
        <w:t>response rate, unless otherwise noted:</w:t>
      </w:r>
    </w:p>
    <w:p w:rsidR="002E451A" w:rsidRPr="005547D1" w:rsidRDefault="00CB56CD" w:rsidP="003B0C8C">
      <w:pPr>
        <w:pStyle w:val="BodyTextMemo"/>
        <w:numPr>
          <w:ilvl w:val="0"/>
          <w:numId w:val="21"/>
        </w:numPr>
        <w:ind w:left="720"/>
      </w:pPr>
      <w:r w:rsidRPr="005547D1">
        <w:t xml:space="preserve">Personalized pre-notification </w:t>
      </w:r>
      <w:r w:rsidR="00E50C4B">
        <w:t>letters and study information sheets</w:t>
      </w:r>
      <w:r w:rsidRPr="005547D1">
        <w:t xml:space="preserve"> (</w:t>
      </w:r>
      <w:r w:rsidR="007C2DA5" w:rsidRPr="005547D1">
        <w:t xml:space="preserve">State </w:t>
      </w:r>
      <w:r w:rsidR="00730CA2" w:rsidRPr="005547D1">
        <w:t xml:space="preserve">SNAP </w:t>
      </w:r>
      <w:r w:rsidR="007C2DA5" w:rsidRPr="005547D1">
        <w:t>QC directors</w:t>
      </w:r>
      <w:r w:rsidRPr="005547D1">
        <w:t xml:space="preserve"> only)</w:t>
      </w:r>
    </w:p>
    <w:p w:rsidR="00980163" w:rsidRPr="005547D1" w:rsidRDefault="00980163" w:rsidP="003B0C8C">
      <w:pPr>
        <w:pStyle w:val="BodyTextMemo"/>
        <w:numPr>
          <w:ilvl w:val="0"/>
          <w:numId w:val="21"/>
        </w:numPr>
        <w:ind w:left="720"/>
      </w:pPr>
      <w:r w:rsidRPr="005547D1">
        <w:t>Bimodal data collection, allowing respondents to complete the survey either online</w:t>
      </w:r>
      <w:r w:rsidR="004D246D" w:rsidRPr="005547D1">
        <w:t xml:space="preserve"> or by phone (Web survey with telephone follow up giving the opportunity to complete the survey by CATI or online)</w:t>
      </w:r>
    </w:p>
    <w:p w:rsidR="002E451A" w:rsidRPr="005547D1" w:rsidRDefault="00CB56CD" w:rsidP="003B0C8C">
      <w:pPr>
        <w:pStyle w:val="BodyTextMemo"/>
        <w:numPr>
          <w:ilvl w:val="0"/>
          <w:numId w:val="21"/>
        </w:numPr>
        <w:ind w:left="720"/>
      </w:pPr>
      <w:r w:rsidRPr="005547D1">
        <w:t>Strategically scheduled follow-up attempts</w:t>
      </w:r>
    </w:p>
    <w:p w:rsidR="002E451A" w:rsidRPr="005547D1" w:rsidRDefault="00CB56CD" w:rsidP="003B0C8C">
      <w:pPr>
        <w:pStyle w:val="BodyTextMemo"/>
        <w:numPr>
          <w:ilvl w:val="0"/>
          <w:numId w:val="21"/>
        </w:numPr>
        <w:ind w:left="720"/>
      </w:pPr>
      <w:r w:rsidRPr="005547D1">
        <w:t>Survey sponsorship by a recognized Federal agency</w:t>
      </w:r>
    </w:p>
    <w:p w:rsidR="002E451A" w:rsidRPr="005547D1" w:rsidRDefault="00CB56CD" w:rsidP="003B0C8C">
      <w:pPr>
        <w:pStyle w:val="BodyTextMemo"/>
        <w:numPr>
          <w:ilvl w:val="0"/>
          <w:numId w:val="21"/>
        </w:numPr>
        <w:ind w:left="720"/>
      </w:pPr>
      <w:r w:rsidRPr="005547D1">
        <w:t>A brief introduction that underscores the salienc</w:t>
      </w:r>
      <w:r w:rsidR="00730CA2" w:rsidRPr="005547D1">
        <w:t>e</w:t>
      </w:r>
      <w:r w:rsidRPr="005547D1">
        <w:t xml:space="preserve"> of the survey topic for sample members</w:t>
      </w:r>
    </w:p>
    <w:p w:rsidR="002E451A" w:rsidRPr="005547D1" w:rsidRDefault="00CB56CD" w:rsidP="003B0C8C">
      <w:pPr>
        <w:pStyle w:val="BodyTextMemo"/>
        <w:numPr>
          <w:ilvl w:val="0"/>
          <w:numId w:val="21"/>
        </w:numPr>
        <w:ind w:left="720"/>
      </w:pPr>
      <w:r w:rsidRPr="005547D1">
        <w:t xml:space="preserve">Interviewer training that addresses potential obstacles in reaching or communicating with </w:t>
      </w:r>
      <w:r w:rsidR="006D2042" w:rsidRPr="005547D1">
        <w:t xml:space="preserve">QC staff </w:t>
      </w:r>
      <w:r w:rsidRPr="005547D1">
        <w:t>and offers strategies for overcoming these obstacles</w:t>
      </w:r>
    </w:p>
    <w:p w:rsidR="00CB56CD" w:rsidRPr="005547D1" w:rsidRDefault="00CB56CD" w:rsidP="003B0C8C">
      <w:pPr>
        <w:pStyle w:val="BodyTextMemo"/>
        <w:numPr>
          <w:ilvl w:val="0"/>
          <w:numId w:val="21"/>
        </w:numPr>
        <w:ind w:left="720"/>
      </w:pPr>
      <w:r w:rsidRPr="005547D1">
        <w:t>A toll-free number for respondents with questions</w:t>
      </w:r>
    </w:p>
    <w:p w:rsidR="007C2DA5" w:rsidRPr="005547D1" w:rsidRDefault="007C2DA5" w:rsidP="005D02D2">
      <w:pPr>
        <w:pStyle w:val="BodyTextMemo"/>
      </w:pPr>
      <w:r w:rsidRPr="005547D1">
        <w:t xml:space="preserve">The pre-notification letter will be printed on USDA letterhead and emailed to State </w:t>
      </w:r>
      <w:r w:rsidR="00730CA2" w:rsidRPr="005547D1">
        <w:t xml:space="preserve">SNAP </w:t>
      </w:r>
      <w:r w:rsidRPr="005547D1">
        <w:t xml:space="preserve">QC </w:t>
      </w:r>
      <w:r w:rsidR="00A9326D" w:rsidRPr="005547D1">
        <w:t>d</w:t>
      </w:r>
      <w:r w:rsidRPr="005547D1">
        <w:t>irectors</w:t>
      </w:r>
      <w:r w:rsidR="00730CA2" w:rsidRPr="005547D1">
        <w:t xml:space="preserve"> along with an information sheet about the study including Frequently Asked Questions (see Attachments A.1A and A.1B)</w:t>
      </w:r>
      <w:r w:rsidR="00F85680" w:rsidRPr="005547D1">
        <w:t xml:space="preserve">.  </w:t>
      </w:r>
      <w:r w:rsidR="00FB5BAD">
        <w:t>These materials</w:t>
      </w:r>
      <w:r w:rsidR="00FB5BAD" w:rsidRPr="005547D1">
        <w:t xml:space="preserve"> </w:t>
      </w:r>
      <w:r w:rsidRPr="005547D1">
        <w:t xml:space="preserve">will briefly explain the purpose of the study, </w:t>
      </w:r>
      <w:r w:rsidR="00FB5BAD">
        <w:t xml:space="preserve">describe </w:t>
      </w:r>
      <w:r w:rsidRPr="005547D1">
        <w:t>the reasons why those in the frame are expected to comply</w:t>
      </w:r>
      <w:r w:rsidR="002E451A" w:rsidRPr="005547D1">
        <w:t>,</w:t>
      </w:r>
      <w:r w:rsidRPr="005547D1">
        <w:t xml:space="preserve"> and urge QC directors to ask supervisors and reviewers to respond.  The letter will also include the estimated completion t</w:t>
      </w:r>
      <w:r w:rsidR="001C5C55">
        <w:t>ime of the survey and identity safeguards</w:t>
      </w:r>
      <w:r w:rsidRPr="005547D1">
        <w:t xml:space="preserve">.  Stating the sponsorship of the survey helps to engage sample members by providing immediate assurance that the survey is legitimate and not an attempt to sell them something.  The </w:t>
      </w:r>
      <w:r w:rsidRPr="005547D1">
        <w:lastRenderedPageBreak/>
        <w:t xml:space="preserve">likelihood of acceptance is greatly increased when sample members are told early why the survey is being conducted and why their responses are important. </w:t>
      </w:r>
    </w:p>
    <w:p w:rsidR="00CB56CD" w:rsidRPr="005547D1" w:rsidRDefault="00CB56CD" w:rsidP="003B0C8C">
      <w:pPr>
        <w:pStyle w:val="Heading3"/>
      </w:pPr>
      <w:bookmarkStart w:id="7" w:name="_Toc353896509"/>
      <w:r w:rsidRPr="005547D1">
        <w:t xml:space="preserve">B.4. </w:t>
      </w:r>
      <w:r w:rsidRPr="005547D1">
        <w:tab/>
        <w:t>Tests of Procedures</w:t>
      </w:r>
      <w:bookmarkEnd w:id="7"/>
    </w:p>
    <w:p w:rsidR="00AE2449" w:rsidRPr="00CC7809" w:rsidRDefault="00BF1117" w:rsidP="003B0C8C">
      <w:pPr>
        <w:pStyle w:val="CalibriText-noindent"/>
        <w:rPr>
          <w:b/>
        </w:rPr>
      </w:pPr>
      <w:r w:rsidRPr="00CC7809">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C5E79" w:rsidRPr="005547D1" w:rsidRDefault="00CB56CD" w:rsidP="003B0C8C">
      <w:pPr>
        <w:pStyle w:val="BodyTextMemo"/>
      </w:pPr>
      <w:r w:rsidRPr="005547D1">
        <w:t xml:space="preserve">A </w:t>
      </w:r>
      <w:r w:rsidR="00047E6D">
        <w:t>pre-test</w:t>
      </w:r>
      <w:r w:rsidRPr="005547D1">
        <w:t xml:space="preserve"> </w:t>
      </w:r>
      <w:r w:rsidR="00551555" w:rsidRPr="005547D1">
        <w:t xml:space="preserve">of instruments </w:t>
      </w:r>
      <w:r w:rsidR="005C5E79" w:rsidRPr="005547D1">
        <w:t xml:space="preserve">used for State QC staff </w:t>
      </w:r>
      <w:r w:rsidRPr="005547D1">
        <w:t xml:space="preserve">was conducted with </w:t>
      </w:r>
      <w:r w:rsidR="005C5E79" w:rsidRPr="005547D1">
        <w:t xml:space="preserve">a total of </w:t>
      </w:r>
      <w:r w:rsidR="007F57D2">
        <w:t>eight</w:t>
      </w:r>
      <w:r w:rsidR="005C5E79" w:rsidRPr="005547D1">
        <w:t xml:space="preserve"> respondents</w:t>
      </w:r>
      <w:r w:rsidR="00F85680" w:rsidRPr="005547D1">
        <w:t xml:space="preserve">.  </w:t>
      </w:r>
      <w:r w:rsidR="005C5E79" w:rsidRPr="005547D1">
        <w:t xml:space="preserve">The shared </w:t>
      </w:r>
      <w:r w:rsidR="00263CCA" w:rsidRPr="005547D1">
        <w:t xml:space="preserve">telephone </w:t>
      </w:r>
      <w:r w:rsidR="005C5E79" w:rsidRPr="005547D1">
        <w:t xml:space="preserve">instrument developed for State directors and supervisors (with most sections of the instrument shared but with </w:t>
      </w:r>
      <w:r w:rsidR="007F57D2">
        <w:t>a few questions</w:t>
      </w:r>
      <w:r w:rsidR="00510513">
        <w:t xml:space="preserve"> specific</w:t>
      </w:r>
      <w:r w:rsidR="007A3134">
        <w:t xml:space="preserve"> to </w:t>
      </w:r>
      <w:r w:rsidR="005C5E79" w:rsidRPr="005547D1">
        <w:t>each of the positions) was pre</w:t>
      </w:r>
      <w:r w:rsidR="00047E6D">
        <w:t>-</w:t>
      </w:r>
      <w:r w:rsidR="005C5E79" w:rsidRPr="005547D1">
        <w:t xml:space="preserve">tested </w:t>
      </w:r>
      <w:r w:rsidR="00263CCA" w:rsidRPr="005547D1">
        <w:t>with</w:t>
      </w:r>
      <w:r w:rsidR="005C5E79" w:rsidRPr="005547D1">
        <w:t xml:space="preserve"> </w:t>
      </w:r>
      <w:r w:rsidR="007F57D2">
        <w:t>one</w:t>
      </w:r>
      <w:r w:rsidR="005C5E79" w:rsidRPr="005547D1">
        <w:t xml:space="preserve"> </w:t>
      </w:r>
      <w:r w:rsidR="007F57D2">
        <w:t>director</w:t>
      </w:r>
      <w:r w:rsidR="00F85680" w:rsidRPr="005547D1">
        <w:t xml:space="preserve">.  </w:t>
      </w:r>
      <w:r w:rsidR="005C5E79" w:rsidRPr="005547D1">
        <w:t xml:space="preserve">The </w:t>
      </w:r>
      <w:r w:rsidR="00263CCA" w:rsidRPr="005547D1">
        <w:t xml:space="preserve">telephone </w:t>
      </w:r>
      <w:r w:rsidR="00DD123E" w:rsidRPr="005547D1">
        <w:t>instrument</w:t>
      </w:r>
      <w:r w:rsidR="005C5E79" w:rsidRPr="005547D1">
        <w:t xml:space="preserve"> for </w:t>
      </w:r>
      <w:r w:rsidR="00DD123E" w:rsidRPr="005547D1">
        <w:t xml:space="preserve">State QC reviewers was </w:t>
      </w:r>
      <w:r w:rsidR="00047E6D">
        <w:t>pre-test</w:t>
      </w:r>
      <w:r w:rsidR="00DD123E" w:rsidRPr="005547D1">
        <w:t xml:space="preserve">ed with </w:t>
      </w:r>
      <w:r w:rsidR="007F57D2">
        <w:t>five</w:t>
      </w:r>
      <w:r w:rsidR="00263CCA" w:rsidRPr="005547D1">
        <w:t xml:space="preserve"> </w:t>
      </w:r>
      <w:r w:rsidR="00DD123E" w:rsidRPr="005547D1">
        <w:t xml:space="preserve">QC </w:t>
      </w:r>
      <w:r w:rsidR="005C5E79" w:rsidRPr="005547D1">
        <w:t xml:space="preserve">reviewers.  </w:t>
      </w:r>
      <w:r w:rsidR="00263CCA" w:rsidRPr="005547D1">
        <w:t xml:space="preserve">The semi-structured interview instruments were </w:t>
      </w:r>
      <w:r w:rsidR="00047E6D">
        <w:t>pre-test</w:t>
      </w:r>
      <w:r w:rsidR="00263CCA" w:rsidRPr="005547D1">
        <w:t>ed with one director</w:t>
      </w:r>
      <w:r w:rsidR="007F57D2">
        <w:t xml:space="preserve"> and one QC reviewer</w:t>
      </w:r>
      <w:r w:rsidR="00263CCA" w:rsidRPr="005547D1">
        <w:t xml:space="preserve">.  </w:t>
      </w:r>
      <w:r w:rsidR="000722FB" w:rsidRPr="005547D1">
        <w:t xml:space="preserve">The </w:t>
      </w:r>
      <w:r w:rsidR="00047E6D">
        <w:t>pre-test</w:t>
      </w:r>
      <w:r w:rsidR="000722FB" w:rsidRPr="005547D1">
        <w:t>s resulted in clarifications in instructions, changes in question wording</w:t>
      </w:r>
      <w:r w:rsidR="00263CCA" w:rsidRPr="005547D1">
        <w:t xml:space="preserve"> and question order</w:t>
      </w:r>
      <w:r w:rsidR="000722FB" w:rsidRPr="005547D1">
        <w:t xml:space="preserve">, and changes in response options.  </w:t>
      </w:r>
      <w:r w:rsidR="00263CCA" w:rsidRPr="005547D1">
        <w:t xml:space="preserve">In addition, the </w:t>
      </w:r>
      <w:r w:rsidR="00047E6D">
        <w:t>pre-test</w:t>
      </w:r>
      <w:r w:rsidR="00263CCA" w:rsidRPr="005547D1">
        <w:t xml:space="preserve">s clarified the overall flow </w:t>
      </w:r>
      <w:r w:rsidR="00553136">
        <w:t>of</w:t>
      </w:r>
      <w:r w:rsidR="00263CCA" w:rsidRPr="005547D1">
        <w:t xml:space="preserve"> the questionnaires and confirmed estimates of questionnaire length and burden calculations.  </w:t>
      </w:r>
      <w:r w:rsidR="005C5E79" w:rsidRPr="005547D1">
        <w:t>Upon completion of the pre-tests, Insight prepare</w:t>
      </w:r>
      <w:r w:rsidR="00DF7CF4" w:rsidRPr="005547D1">
        <w:t>d</w:t>
      </w:r>
      <w:r w:rsidR="005C5E79" w:rsidRPr="005547D1">
        <w:t xml:space="preserve"> a memo describing reactions to each instrument and any chan</w:t>
      </w:r>
      <w:r w:rsidR="00263CCA" w:rsidRPr="005547D1">
        <w:t xml:space="preserve">ges made in response to the </w:t>
      </w:r>
      <w:r w:rsidR="00047E6D">
        <w:t>pre-test</w:t>
      </w:r>
      <w:r w:rsidR="00825ADF">
        <w:t xml:space="preserve"> (see Attachment </w:t>
      </w:r>
      <w:r w:rsidR="002E5253">
        <w:t>D</w:t>
      </w:r>
      <w:r w:rsidR="00825ADF">
        <w:t>)</w:t>
      </w:r>
      <w:r w:rsidR="005C5E79" w:rsidRPr="005547D1">
        <w:t xml:space="preserve">.  Final edits to the instruments </w:t>
      </w:r>
      <w:r w:rsidR="004E5E20" w:rsidRPr="005547D1">
        <w:t>were</w:t>
      </w:r>
      <w:r w:rsidR="005C5E79" w:rsidRPr="005547D1">
        <w:t xml:space="preserve"> implemented and submitted following FNS review of suggested changes.  </w:t>
      </w:r>
    </w:p>
    <w:p w:rsidR="00CB56CD" w:rsidRPr="005547D1" w:rsidRDefault="00CB56CD" w:rsidP="003B0C8C">
      <w:pPr>
        <w:pStyle w:val="Heading3"/>
        <w:keepNext/>
        <w:keepLines/>
      </w:pPr>
      <w:bookmarkStart w:id="8" w:name="_Toc353896510"/>
      <w:r w:rsidRPr="005547D1">
        <w:t xml:space="preserve">B.5. </w:t>
      </w:r>
      <w:r w:rsidRPr="005547D1">
        <w:tab/>
        <w:t>Consultants</w:t>
      </w:r>
      <w:bookmarkEnd w:id="8"/>
      <w:r w:rsidRPr="005547D1">
        <w:t xml:space="preserve"> </w:t>
      </w:r>
    </w:p>
    <w:p w:rsidR="00AE2449" w:rsidRPr="00CC7809" w:rsidRDefault="00BF1117" w:rsidP="003B0C8C">
      <w:pPr>
        <w:pStyle w:val="CalibriText-noindent"/>
        <w:rPr>
          <w:b/>
        </w:rPr>
      </w:pPr>
      <w:r w:rsidRPr="00CC7809">
        <w:rPr>
          <w:b/>
        </w:rPr>
        <w:t>Provide the name and telephone number of individuals consulted on statistical aspects of the design and the name of the agency unit, contractor(s), grantee(s), or other person(s) who will actually collect and/or analyze the information for the agency.</w:t>
      </w:r>
    </w:p>
    <w:p w:rsidR="00F0337A" w:rsidRPr="005547D1" w:rsidRDefault="00263CCA" w:rsidP="00214E69">
      <w:pPr>
        <w:pStyle w:val="BodyTextMemo"/>
        <w:rPr>
          <w:rFonts w:ascii="Lucida Sans" w:hAnsi="Lucida Sans"/>
          <w:b/>
          <w:sz w:val="18"/>
        </w:rPr>
      </w:pPr>
      <w:r w:rsidRPr="005547D1">
        <w:t>A review by the USDA National Agricultural Statistics Service (NASS) was conducted (</w:t>
      </w:r>
      <w:r w:rsidR="00856455" w:rsidRPr="005547D1">
        <w:t>Attachment C</w:t>
      </w:r>
      <w:r w:rsidRPr="005547D1">
        <w:t xml:space="preserve">). </w:t>
      </w:r>
      <w:r w:rsidR="00856455" w:rsidRPr="005547D1">
        <w:t xml:space="preserve"> </w:t>
      </w:r>
      <w:r w:rsidRPr="005547D1">
        <w:t>No other individuals outside the evaluation project were consulted on statistical aspects of the design.</w:t>
      </w:r>
      <w:r w:rsidR="002D6AC8">
        <w:t xml:space="preserve">  </w:t>
      </w:r>
      <w:r w:rsidRPr="005547D1">
        <w:t xml:space="preserve">FNS has contracted with Insight Policy Research to conduct this study. </w:t>
      </w:r>
      <w:r w:rsidR="00AE2449" w:rsidRPr="005547D1">
        <w:t xml:space="preserve">Insight is </w:t>
      </w:r>
      <w:r w:rsidR="00C46ED1" w:rsidRPr="005547D1">
        <w:t xml:space="preserve">subcontracting </w:t>
      </w:r>
      <w:r w:rsidRPr="005547D1">
        <w:t xml:space="preserve">Web and </w:t>
      </w:r>
      <w:r w:rsidR="00C46ED1" w:rsidRPr="005547D1">
        <w:t>CATI activity to ICF</w:t>
      </w:r>
      <w:r w:rsidR="00E50C4B">
        <w:t xml:space="preserve"> International</w:t>
      </w:r>
      <w:r w:rsidR="00C46ED1" w:rsidRPr="005547D1">
        <w:t xml:space="preserve">.  </w:t>
      </w:r>
      <w:r w:rsidR="00F0337A" w:rsidRPr="005547D1">
        <w:t>Table B5.1 i</w:t>
      </w:r>
      <w:r w:rsidR="00E50C4B">
        <w:t>dentifies the individuals at the</w:t>
      </w:r>
      <w:r w:rsidR="00F0337A" w:rsidRPr="005547D1">
        <w:t>s</w:t>
      </w:r>
      <w:r w:rsidR="00E50C4B">
        <w:t>e</w:t>
      </w:r>
      <w:r w:rsidR="00F0337A" w:rsidRPr="005547D1">
        <w:t xml:space="preserve"> organization</w:t>
      </w:r>
      <w:r w:rsidR="00E50C4B">
        <w:t>s</w:t>
      </w:r>
      <w:r w:rsidR="00F0337A" w:rsidRPr="005547D1">
        <w:t xml:space="preserve"> who will be responsible for collecting and analyzing the data. </w:t>
      </w:r>
      <w:r w:rsidR="002D6AC8">
        <w:t xml:space="preserve"> </w:t>
      </w:r>
      <w:r w:rsidR="00F0337A" w:rsidRPr="005547D1">
        <w:t xml:space="preserve">The Project Officer for the </w:t>
      </w:r>
      <w:r w:rsidR="00F0337A" w:rsidRPr="005547D1">
        <w:lastRenderedPageBreak/>
        <w:t xml:space="preserve">contract providing funding for the evaluation, Bob Dalrymple, will be responsible for receiving and approving all contract deliverables. </w:t>
      </w:r>
      <w:r w:rsidR="002D6AC8">
        <w:t xml:space="preserve"> </w:t>
      </w:r>
      <w:r w:rsidR="00F0337A" w:rsidRPr="005547D1">
        <w:t xml:space="preserve">His contact information is </w:t>
      </w:r>
      <w:r w:rsidR="00E50C4B">
        <w:t xml:space="preserve">also </w:t>
      </w:r>
      <w:r w:rsidR="00F0337A" w:rsidRPr="005547D1">
        <w:t>included in Table B5.1.</w:t>
      </w:r>
      <w:bookmarkStart w:id="9" w:name="_Toc297294266"/>
      <w:bookmarkStart w:id="10" w:name="_Toc309717690"/>
    </w:p>
    <w:p w:rsidR="002D6AC8" w:rsidRDefault="00F0337A" w:rsidP="00214E69">
      <w:pPr>
        <w:pStyle w:val="TableTitle"/>
      </w:pPr>
      <w:r w:rsidRPr="00214E69">
        <w:t>Table B5.1</w:t>
      </w:r>
    </w:p>
    <w:p w:rsidR="00F0337A" w:rsidRPr="00214E69" w:rsidRDefault="00F0337A" w:rsidP="00214E69">
      <w:pPr>
        <w:pStyle w:val="TableTitle"/>
      </w:pPr>
      <w:r w:rsidRPr="00214E69">
        <w:t>Individuals Responsible for Statistical Aspects and Data Collection and Analysis</w:t>
      </w:r>
      <w:bookmarkEnd w:id="9"/>
      <w:bookmarkEnd w:id="10"/>
    </w:p>
    <w:tbl>
      <w:tblPr>
        <w:tblStyle w:val="LightShading"/>
        <w:tblW w:w="5000" w:type="pct"/>
        <w:tblLook w:val="04A0"/>
      </w:tblPr>
      <w:tblGrid>
        <w:gridCol w:w="1818"/>
        <w:gridCol w:w="2609"/>
        <w:gridCol w:w="3241"/>
        <w:gridCol w:w="1908"/>
      </w:tblGrid>
      <w:tr w:rsidR="00856455" w:rsidRPr="00B2489E" w:rsidTr="000C0316">
        <w:trPr>
          <w:cnfStyle w:val="100000000000"/>
        </w:trPr>
        <w:tc>
          <w:tcPr>
            <w:cnfStyle w:val="001000000000"/>
            <w:tcW w:w="949" w:type="pct"/>
          </w:tcPr>
          <w:p w:rsidR="00F0337A" w:rsidRPr="000C0316" w:rsidRDefault="00F0337A" w:rsidP="00214E69">
            <w:pPr>
              <w:pStyle w:val="TableChartandFigureListText"/>
              <w:rPr>
                <w:b w:val="0"/>
              </w:rPr>
            </w:pPr>
            <w:r w:rsidRPr="000C0316">
              <w:rPr>
                <w:b w:val="0"/>
              </w:rPr>
              <w:t>Name</w:t>
            </w:r>
          </w:p>
        </w:tc>
        <w:tc>
          <w:tcPr>
            <w:tcW w:w="1362" w:type="pct"/>
          </w:tcPr>
          <w:p w:rsidR="00F0337A" w:rsidRPr="000C0316" w:rsidRDefault="00F0337A" w:rsidP="00214E69">
            <w:pPr>
              <w:pStyle w:val="TableChartandFigureListText"/>
              <w:cnfStyle w:val="100000000000"/>
              <w:rPr>
                <w:b w:val="0"/>
              </w:rPr>
            </w:pPr>
            <w:r w:rsidRPr="000C0316">
              <w:rPr>
                <w:b w:val="0"/>
              </w:rPr>
              <w:t>Title (Project Role)</w:t>
            </w:r>
          </w:p>
        </w:tc>
        <w:tc>
          <w:tcPr>
            <w:tcW w:w="1692" w:type="pct"/>
          </w:tcPr>
          <w:p w:rsidR="00F0337A" w:rsidRPr="000C0316" w:rsidRDefault="00F0337A" w:rsidP="00214E69">
            <w:pPr>
              <w:pStyle w:val="TableChartandFigureListText"/>
              <w:cnfStyle w:val="100000000000"/>
              <w:rPr>
                <w:b w:val="0"/>
              </w:rPr>
            </w:pPr>
            <w:r w:rsidRPr="000C0316">
              <w:rPr>
                <w:b w:val="0"/>
              </w:rPr>
              <w:t>Organizational Affiliation and Address</w:t>
            </w:r>
          </w:p>
        </w:tc>
        <w:tc>
          <w:tcPr>
            <w:tcW w:w="996" w:type="pct"/>
          </w:tcPr>
          <w:p w:rsidR="00F0337A" w:rsidRPr="000C0316" w:rsidRDefault="00F0337A" w:rsidP="00214E69">
            <w:pPr>
              <w:pStyle w:val="TableChartandFigureListText"/>
              <w:cnfStyle w:val="100000000000"/>
              <w:rPr>
                <w:b w:val="0"/>
              </w:rPr>
            </w:pPr>
            <w:r w:rsidRPr="000C0316">
              <w:rPr>
                <w:b w:val="0"/>
              </w:rPr>
              <w:t>Phone Number</w:t>
            </w:r>
          </w:p>
        </w:tc>
      </w:tr>
      <w:tr w:rsidR="00856455" w:rsidRPr="00B2489E" w:rsidTr="000C0316">
        <w:trPr>
          <w:cnfStyle w:val="000000100000"/>
          <w:trHeight w:val="737"/>
        </w:trPr>
        <w:tc>
          <w:tcPr>
            <w:cnfStyle w:val="001000000000"/>
            <w:tcW w:w="949" w:type="pct"/>
          </w:tcPr>
          <w:p w:rsidR="00F0337A" w:rsidRPr="000C0316" w:rsidRDefault="00263CCA" w:rsidP="00214E69">
            <w:pPr>
              <w:pStyle w:val="TableChartandFigureListText"/>
              <w:rPr>
                <w:b w:val="0"/>
              </w:rPr>
            </w:pPr>
            <w:r w:rsidRPr="000C0316">
              <w:rPr>
                <w:b w:val="0"/>
              </w:rPr>
              <w:t>St</w:t>
            </w:r>
            <w:r w:rsidR="00553136" w:rsidRPr="000C0316">
              <w:rPr>
                <w:b w:val="0"/>
              </w:rPr>
              <w:t>é</w:t>
            </w:r>
            <w:r w:rsidRPr="000C0316">
              <w:rPr>
                <w:b w:val="0"/>
              </w:rPr>
              <w:t>phane Baldi</w:t>
            </w:r>
          </w:p>
        </w:tc>
        <w:tc>
          <w:tcPr>
            <w:tcW w:w="1362" w:type="pct"/>
          </w:tcPr>
          <w:p w:rsidR="00E50C4B" w:rsidRDefault="00856455" w:rsidP="00214E69">
            <w:pPr>
              <w:pStyle w:val="TableChartandFigureListText"/>
              <w:cnfStyle w:val="000000100000"/>
            </w:pPr>
            <w:r w:rsidRPr="00214E69">
              <w:t xml:space="preserve">Vice President </w:t>
            </w:r>
          </w:p>
          <w:p w:rsidR="00F0337A" w:rsidRPr="00214E69" w:rsidRDefault="00856455" w:rsidP="00214E69">
            <w:pPr>
              <w:pStyle w:val="TableChartandFigureListText"/>
              <w:cnfStyle w:val="000000100000"/>
            </w:pPr>
            <w:r w:rsidRPr="00214E69">
              <w:t>(</w:t>
            </w:r>
            <w:r w:rsidR="00263CCA" w:rsidRPr="00214E69">
              <w:t>Executive Project Director</w:t>
            </w:r>
            <w:r w:rsidRPr="00214E69">
              <w:t>)</w:t>
            </w:r>
          </w:p>
        </w:tc>
        <w:tc>
          <w:tcPr>
            <w:tcW w:w="1692" w:type="pct"/>
          </w:tcPr>
          <w:p w:rsidR="00F0337A" w:rsidRPr="00214E69" w:rsidRDefault="00263CCA" w:rsidP="00214E69">
            <w:pPr>
              <w:pStyle w:val="TableChartandFigureListText"/>
              <w:cnfStyle w:val="000000100000"/>
            </w:pPr>
            <w:r w:rsidRPr="00214E69">
              <w:t>Insight</w:t>
            </w:r>
            <w:r w:rsidR="00F0337A" w:rsidRPr="00214E69">
              <w:t xml:space="preserve"> Policy Research</w:t>
            </w:r>
          </w:p>
          <w:p w:rsidR="00F0337A" w:rsidRPr="00214E69" w:rsidRDefault="00263CCA" w:rsidP="00214E69">
            <w:pPr>
              <w:pStyle w:val="TableChartandFigureListText"/>
              <w:cnfStyle w:val="000000100000"/>
            </w:pPr>
            <w:r w:rsidRPr="00214E69">
              <w:t xml:space="preserve">1901 N. Moore </w:t>
            </w:r>
            <w:r w:rsidR="00FC53EC">
              <w:t>Street,</w:t>
            </w:r>
            <w:r w:rsidRPr="00214E69">
              <w:t xml:space="preserve"> Suite 204</w:t>
            </w:r>
          </w:p>
          <w:p w:rsidR="00263CCA" w:rsidRPr="00214E69" w:rsidRDefault="00263CCA" w:rsidP="00214E69">
            <w:pPr>
              <w:pStyle w:val="TableChartandFigureListText"/>
              <w:cnfStyle w:val="000000100000"/>
            </w:pPr>
            <w:r w:rsidRPr="00214E69">
              <w:t>Arlington, VA 22209</w:t>
            </w:r>
          </w:p>
        </w:tc>
        <w:tc>
          <w:tcPr>
            <w:tcW w:w="996" w:type="pct"/>
          </w:tcPr>
          <w:p w:rsidR="00F0337A" w:rsidRPr="00214E69" w:rsidRDefault="00263CCA" w:rsidP="00214E69">
            <w:pPr>
              <w:pStyle w:val="TableChartandFigureListText"/>
              <w:cnfStyle w:val="000000100000"/>
            </w:pPr>
            <w:r w:rsidRPr="00214E69">
              <w:t>(703) 504-9486</w:t>
            </w:r>
          </w:p>
        </w:tc>
      </w:tr>
      <w:tr w:rsidR="00856455" w:rsidRPr="00B2489E" w:rsidTr="000C0316">
        <w:trPr>
          <w:trHeight w:val="737"/>
        </w:trPr>
        <w:tc>
          <w:tcPr>
            <w:cnfStyle w:val="001000000000"/>
            <w:tcW w:w="949" w:type="pct"/>
          </w:tcPr>
          <w:p w:rsidR="00F0337A" w:rsidRPr="000C0316" w:rsidRDefault="00263CCA" w:rsidP="00214E69">
            <w:pPr>
              <w:pStyle w:val="TableChartandFigureListText"/>
              <w:rPr>
                <w:b w:val="0"/>
              </w:rPr>
            </w:pPr>
            <w:r w:rsidRPr="000C0316">
              <w:rPr>
                <w:b w:val="0"/>
              </w:rPr>
              <w:t>Brittany McGill</w:t>
            </w:r>
          </w:p>
        </w:tc>
        <w:tc>
          <w:tcPr>
            <w:tcW w:w="1362" w:type="pct"/>
          </w:tcPr>
          <w:p w:rsidR="00E50C4B" w:rsidRDefault="00856455" w:rsidP="00214E69">
            <w:pPr>
              <w:pStyle w:val="TableChartandFigureListText"/>
              <w:cnfStyle w:val="000000000000"/>
            </w:pPr>
            <w:r w:rsidRPr="00214E69">
              <w:t xml:space="preserve">Senior Researcher </w:t>
            </w:r>
          </w:p>
          <w:p w:rsidR="00F0337A" w:rsidRPr="00214E69" w:rsidRDefault="00856455" w:rsidP="00214E69">
            <w:pPr>
              <w:pStyle w:val="TableChartandFigureListText"/>
              <w:cnfStyle w:val="000000000000"/>
            </w:pPr>
            <w:r w:rsidRPr="00214E69">
              <w:t>(</w:t>
            </w:r>
            <w:r w:rsidR="00263CCA" w:rsidRPr="00214E69">
              <w:t>Deputy Project Director</w:t>
            </w:r>
            <w:r w:rsidRPr="00214E69">
              <w:t>)</w:t>
            </w:r>
            <w:r w:rsidR="00263CCA" w:rsidRPr="00214E69">
              <w:t xml:space="preserve"> </w:t>
            </w:r>
          </w:p>
        </w:tc>
        <w:tc>
          <w:tcPr>
            <w:tcW w:w="1692" w:type="pct"/>
          </w:tcPr>
          <w:p w:rsidR="00263CCA" w:rsidRPr="00214E69" w:rsidRDefault="00263CCA" w:rsidP="00214E69">
            <w:pPr>
              <w:pStyle w:val="TableChartandFigureListText"/>
              <w:cnfStyle w:val="000000000000"/>
            </w:pPr>
            <w:r w:rsidRPr="00214E69">
              <w:t>Insight Policy Research</w:t>
            </w:r>
          </w:p>
          <w:p w:rsidR="00263CCA" w:rsidRPr="00214E69" w:rsidRDefault="00263CCA" w:rsidP="00214E69">
            <w:pPr>
              <w:pStyle w:val="TableChartandFigureListText"/>
              <w:cnfStyle w:val="000000000000"/>
            </w:pPr>
            <w:r w:rsidRPr="00214E69">
              <w:t xml:space="preserve">1901 N. Moore </w:t>
            </w:r>
            <w:r w:rsidR="00FC53EC">
              <w:t>Street,</w:t>
            </w:r>
            <w:r w:rsidRPr="00214E69">
              <w:t xml:space="preserve"> Suite 204</w:t>
            </w:r>
          </w:p>
          <w:p w:rsidR="00F0337A" w:rsidRPr="00214E69" w:rsidRDefault="00263CCA" w:rsidP="00214E69">
            <w:pPr>
              <w:pStyle w:val="TableChartandFigureListText"/>
              <w:cnfStyle w:val="000000000000"/>
            </w:pPr>
            <w:r w:rsidRPr="00214E69">
              <w:t>Arlington, VA 22209</w:t>
            </w:r>
          </w:p>
        </w:tc>
        <w:tc>
          <w:tcPr>
            <w:tcW w:w="996" w:type="pct"/>
          </w:tcPr>
          <w:p w:rsidR="00F0337A" w:rsidRPr="00214E69" w:rsidRDefault="00263CCA" w:rsidP="00214E69">
            <w:pPr>
              <w:pStyle w:val="TableChartandFigureListText"/>
              <w:cnfStyle w:val="000000000000"/>
            </w:pPr>
            <w:r w:rsidRPr="00214E69">
              <w:t>(703) 504-9485</w:t>
            </w:r>
          </w:p>
        </w:tc>
      </w:tr>
      <w:tr w:rsidR="00856455" w:rsidRPr="00B2489E" w:rsidTr="000C0316">
        <w:trPr>
          <w:cnfStyle w:val="000000100000"/>
        </w:trPr>
        <w:tc>
          <w:tcPr>
            <w:cnfStyle w:val="001000000000"/>
            <w:tcW w:w="949" w:type="pct"/>
          </w:tcPr>
          <w:p w:rsidR="00F0337A" w:rsidRPr="000C0316" w:rsidRDefault="00263CCA" w:rsidP="00214E69">
            <w:pPr>
              <w:pStyle w:val="TableChartandFigureListText"/>
              <w:rPr>
                <w:b w:val="0"/>
              </w:rPr>
            </w:pPr>
            <w:r w:rsidRPr="000C0316">
              <w:rPr>
                <w:b w:val="0"/>
              </w:rPr>
              <w:t>Betsy Thorn</w:t>
            </w:r>
          </w:p>
        </w:tc>
        <w:tc>
          <w:tcPr>
            <w:tcW w:w="1362" w:type="pct"/>
          </w:tcPr>
          <w:p w:rsidR="00E50C4B" w:rsidRDefault="00856455" w:rsidP="00214E69">
            <w:pPr>
              <w:pStyle w:val="TableChartandFigureListText"/>
              <w:cnfStyle w:val="000000100000"/>
            </w:pPr>
            <w:r w:rsidRPr="00214E69">
              <w:t xml:space="preserve">Senior Researcher </w:t>
            </w:r>
          </w:p>
          <w:p w:rsidR="00F0337A" w:rsidRPr="00214E69" w:rsidRDefault="00856455" w:rsidP="00214E69">
            <w:pPr>
              <w:pStyle w:val="TableChartandFigureListText"/>
              <w:cnfStyle w:val="000000100000"/>
            </w:pPr>
            <w:r w:rsidRPr="00214E69">
              <w:t>(</w:t>
            </w:r>
            <w:r w:rsidR="00263CCA" w:rsidRPr="00214E69">
              <w:t>Project Manager</w:t>
            </w:r>
            <w:r w:rsidRPr="00214E69">
              <w:t>)</w:t>
            </w:r>
          </w:p>
        </w:tc>
        <w:tc>
          <w:tcPr>
            <w:tcW w:w="1692" w:type="pct"/>
          </w:tcPr>
          <w:p w:rsidR="00856455" w:rsidRPr="00214E69" w:rsidRDefault="00856455" w:rsidP="00214E69">
            <w:pPr>
              <w:pStyle w:val="TableChartandFigureListText"/>
              <w:cnfStyle w:val="000000100000"/>
            </w:pPr>
            <w:r w:rsidRPr="00214E69">
              <w:t>Insight Policy Research</w:t>
            </w:r>
          </w:p>
          <w:p w:rsidR="00856455" w:rsidRPr="00214E69" w:rsidRDefault="00856455" w:rsidP="00214E69">
            <w:pPr>
              <w:pStyle w:val="TableChartandFigureListText"/>
              <w:cnfStyle w:val="000000100000"/>
            </w:pPr>
            <w:r w:rsidRPr="00214E69">
              <w:t xml:space="preserve">1901 N. Moore </w:t>
            </w:r>
            <w:r w:rsidR="00FC53EC">
              <w:t>Street,</w:t>
            </w:r>
            <w:r w:rsidRPr="00214E69">
              <w:t xml:space="preserve"> Suite 204</w:t>
            </w:r>
          </w:p>
          <w:p w:rsidR="00F0337A" w:rsidRPr="00214E69" w:rsidRDefault="00856455" w:rsidP="00214E69">
            <w:pPr>
              <w:pStyle w:val="TableChartandFigureListText"/>
              <w:cnfStyle w:val="000000100000"/>
            </w:pPr>
            <w:r w:rsidRPr="00214E69">
              <w:t>Arlington, VA 22209</w:t>
            </w:r>
          </w:p>
        </w:tc>
        <w:tc>
          <w:tcPr>
            <w:tcW w:w="996" w:type="pct"/>
          </w:tcPr>
          <w:p w:rsidR="00F0337A" w:rsidRPr="00214E69" w:rsidRDefault="00856455" w:rsidP="00214E69">
            <w:pPr>
              <w:pStyle w:val="TableChartandFigureListText"/>
              <w:cnfStyle w:val="000000100000"/>
            </w:pPr>
            <w:r w:rsidRPr="00214E69">
              <w:t>(703) 504-9488</w:t>
            </w:r>
          </w:p>
        </w:tc>
      </w:tr>
      <w:tr w:rsidR="00856455" w:rsidRPr="00B2489E" w:rsidTr="000C0316">
        <w:tc>
          <w:tcPr>
            <w:cnfStyle w:val="001000000000"/>
            <w:tcW w:w="949" w:type="pct"/>
          </w:tcPr>
          <w:p w:rsidR="00F0337A" w:rsidRPr="000C0316" w:rsidRDefault="00856455" w:rsidP="00214E69">
            <w:pPr>
              <w:pStyle w:val="TableChartandFigureListText"/>
              <w:rPr>
                <w:b w:val="0"/>
              </w:rPr>
            </w:pPr>
            <w:r w:rsidRPr="000C0316">
              <w:rPr>
                <w:b w:val="0"/>
              </w:rPr>
              <w:t>Meg Tucker</w:t>
            </w:r>
            <w:r w:rsidR="00F0337A" w:rsidRPr="000C0316">
              <w:rPr>
                <w:b w:val="0"/>
              </w:rPr>
              <w:t xml:space="preserve"> </w:t>
            </w:r>
          </w:p>
        </w:tc>
        <w:tc>
          <w:tcPr>
            <w:tcW w:w="1362" w:type="pct"/>
          </w:tcPr>
          <w:p w:rsidR="00E50C4B" w:rsidRDefault="00856455" w:rsidP="00214E69">
            <w:pPr>
              <w:pStyle w:val="TableChartandFigureListText"/>
              <w:cnfStyle w:val="000000000000"/>
            </w:pPr>
            <w:r w:rsidRPr="00214E69">
              <w:t xml:space="preserve">Senior Researcher </w:t>
            </w:r>
          </w:p>
          <w:p w:rsidR="00F0337A" w:rsidRPr="00214E69" w:rsidRDefault="00856455" w:rsidP="00214E69">
            <w:pPr>
              <w:pStyle w:val="TableChartandFigureListText"/>
              <w:cnfStyle w:val="000000000000"/>
            </w:pPr>
            <w:r w:rsidRPr="00214E69">
              <w:t>(Data collection and analysis)</w:t>
            </w:r>
          </w:p>
        </w:tc>
        <w:tc>
          <w:tcPr>
            <w:tcW w:w="1692" w:type="pct"/>
          </w:tcPr>
          <w:p w:rsidR="00856455" w:rsidRPr="00214E69" w:rsidRDefault="00856455" w:rsidP="00214E69">
            <w:pPr>
              <w:pStyle w:val="TableChartandFigureListText"/>
              <w:cnfStyle w:val="000000000000"/>
            </w:pPr>
            <w:r w:rsidRPr="00214E69">
              <w:t>Insight Policy Research</w:t>
            </w:r>
          </w:p>
          <w:p w:rsidR="00856455" w:rsidRPr="00214E69" w:rsidRDefault="00856455" w:rsidP="00214E69">
            <w:pPr>
              <w:pStyle w:val="TableChartandFigureListText"/>
              <w:cnfStyle w:val="000000000000"/>
            </w:pPr>
            <w:r w:rsidRPr="00214E69">
              <w:t xml:space="preserve">1901 N. Moore </w:t>
            </w:r>
            <w:r w:rsidR="00FC53EC">
              <w:t>Street,</w:t>
            </w:r>
            <w:r w:rsidRPr="00214E69">
              <w:t xml:space="preserve"> Suite </w:t>
            </w:r>
            <w:r w:rsidR="005C0E7B">
              <w:t>204</w:t>
            </w:r>
          </w:p>
          <w:p w:rsidR="00F0337A" w:rsidRPr="00214E69" w:rsidRDefault="00856455" w:rsidP="00214E69">
            <w:pPr>
              <w:pStyle w:val="TableChartandFigureListText"/>
              <w:cnfStyle w:val="000000000000"/>
            </w:pPr>
            <w:r w:rsidRPr="00214E69">
              <w:t>Arlington, VA 22209</w:t>
            </w:r>
          </w:p>
        </w:tc>
        <w:tc>
          <w:tcPr>
            <w:tcW w:w="996" w:type="pct"/>
          </w:tcPr>
          <w:p w:rsidR="00F0337A" w:rsidRPr="00214E69" w:rsidRDefault="00856455" w:rsidP="00214E69">
            <w:pPr>
              <w:pStyle w:val="TableChartandFigureListText"/>
              <w:cnfStyle w:val="000000000000"/>
            </w:pPr>
            <w:r w:rsidRPr="00214E69">
              <w:t>(703) 504-9496</w:t>
            </w:r>
          </w:p>
        </w:tc>
      </w:tr>
      <w:tr w:rsidR="005C0E7B" w:rsidRPr="00B2489E" w:rsidTr="000C0316">
        <w:trPr>
          <w:cnfStyle w:val="000000100000"/>
        </w:trPr>
        <w:tc>
          <w:tcPr>
            <w:cnfStyle w:val="001000000000"/>
            <w:tcW w:w="949" w:type="pct"/>
          </w:tcPr>
          <w:p w:rsidR="005C0E7B" w:rsidRPr="000C0316" w:rsidRDefault="005C0E7B" w:rsidP="00214E69">
            <w:pPr>
              <w:pStyle w:val="TableChartandFigureListText"/>
              <w:rPr>
                <w:b w:val="0"/>
              </w:rPr>
            </w:pPr>
            <w:r w:rsidRPr="000C0316">
              <w:rPr>
                <w:b w:val="0"/>
              </w:rPr>
              <w:t>Anne Peterson</w:t>
            </w:r>
          </w:p>
        </w:tc>
        <w:tc>
          <w:tcPr>
            <w:tcW w:w="1362" w:type="pct"/>
          </w:tcPr>
          <w:p w:rsidR="005C0E7B" w:rsidRDefault="005C0E7B" w:rsidP="00214E69">
            <w:pPr>
              <w:pStyle w:val="TableChartandFigureListText"/>
              <w:cnfStyle w:val="000000100000"/>
            </w:pPr>
            <w:r>
              <w:t>Principal</w:t>
            </w:r>
          </w:p>
          <w:p w:rsidR="005C0E7B" w:rsidRDefault="005C0E7B" w:rsidP="00214E69">
            <w:pPr>
              <w:pStyle w:val="TableChartandFigureListText"/>
              <w:cnfStyle w:val="000000100000"/>
            </w:pPr>
            <w:r>
              <w:t xml:space="preserve">(Quality Assurance) </w:t>
            </w:r>
          </w:p>
        </w:tc>
        <w:tc>
          <w:tcPr>
            <w:tcW w:w="1692" w:type="pct"/>
          </w:tcPr>
          <w:p w:rsidR="005C0E7B" w:rsidRPr="00214E69" w:rsidRDefault="005C0E7B" w:rsidP="005C0E7B">
            <w:pPr>
              <w:pStyle w:val="TableChartandFigureListText"/>
              <w:cnfStyle w:val="000000100000"/>
            </w:pPr>
            <w:r w:rsidRPr="00214E69">
              <w:t>Insight Policy Research</w:t>
            </w:r>
          </w:p>
          <w:p w:rsidR="005C0E7B" w:rsidRPr="00214E69" w:rsidRDefault="005C0E7B" w:rsidP="005C0E7B">
            <w:pPr>
              <w:pStyle w:val="TableChartandFigureListText"/>
              <w:cnfStyle w:val="000000100000"/>
            </w:pPr>
            <w:r w:rsidRPr="00214E69">
              <w:t xml:space="preserve">1901 N. Moore </w:t>
            </w:r>
            <w:r>
              <w:t>Street,</w:t>
            </w:r>
            <w:r w:rsidRPr="00214E69">
              <w:t xml:space="preserve"> Suite 204</w:t>
            </w:r>
          </w:p>
          <w:p w:rsidR="005C0E7B" w:rsidRDefault="005C0E7B" w:rsidP="005C0E7B">
            <w:pPr>
              <w:pStyle w:val="TableChartandFigureListText"/>
              <w:cnfStyle w:val="000000100000"/>
            </w:pPr>
            <w:r w:rsidRPr="00214E69">
              <w:t>Arlington, VA 22209</w:t>
            </w:r>
          </w:p>
        </w:tc>
        <w:tc>
          <w:tcPr>
            <w:tcW w:w="996" w:type="pct"/>
          </w:tcPr>
          <w:p w:rsidR="005C0E7B" w:rsidRDefault="005C0E7B" w:rsidP="00214E69">
            <w:pPr>
              <w:pStyle w:val="TableChartandFigureListText"/>
              <w:cnfStyle w:val="000000100000"/>
              <w:rPr>
                <w:bCs/>
              </w:rPr>
            </w:pPr>
            <w:r>
              <w:rPr>
                <w:bCs/>
              </w:rPr>
              <w:t>(703) 504-9483</w:t>
            </w:r>
          </w:p>
        </w:tc>
      </w:tr>
      <w:tr w:rsidR="00214E69" w:rsidRPr="00B2489E" w:rsidTr="000C0316">
        <w:tc>
          <w:tcPr>
            <w:cnfStyle w:val="001000000000"/>
            <w:tcW w:w="949" w:type="pct"/>
          </w:tcPr>
          <w:p w:rsidR="00214E69" w:rsidRPr="000C0316" w:rsidRDefault="00214E69" w:rsidP="00214E69">
            <w:pPr>
              <w:pStyle w:val="TableChartandFigureListText"/>
              <w:rPr>
                <w:b w:val="0"/>
              </w:rPr>
            </w:pPr>
            <w:r w:rsidRPr="000C0316">
              <w:rPr>
                <w:b w:val="0"/>
              </w:rPr>
              <w:t>TBD</w:t>
            </w:r>
          </w:p>
        </w:tc>
        <w:tc>
          <w:tcPr>
            <w:tcW w:w="1362" w:type="pct"/>
          </w:tcPr>
          <w:p w:rsidR="00214E69" w:rsidRPr="00214E69" w:rsidRDefault="00214E69" w:rsidP="00214E69">
            <w:pPr>
              <w:pStyle w:val="TableChartandFigureListText"/>
              <w:cnfStyle w:val="000000000000"/>
            </w:pPr>
            <w:r>
              <w:t>CATI Supervisor</w:t>
            </w:r>
          </w:p>
        </w:tc>
        <w:tc>
          <w:tcPr>
            <w:tcW w:w="1692" w:type="pct"/>
          </w:tcPr>
          <w:p w:rsidR="00214E69" w:rsidRDefault="00214E69" w:rsidP="00214E69">
            <w:pPr>
              <w:pStyle w:val="TableChartandFigureListText"/>
              <w:cnfStyle w:val="000000000000"/>
            </w:pPr>
            <w:r>
              <w:t>ICF International</w:t>
            </w:r>
          </w:p>
          <w:p w:rsidR="00214E69" w:rsidRDefault="00214E69" w:rsidP="00214E69">
            <w:pPr>
              <w:pStyle w:val="TableChartandFigureListText"/>
              <w:cnfStyle w:val="000000000000"/>
            </w:pPr>
            <w:r>
              <w:t>9300 Lee Highway</w:t>
            </w:r>
          </w:p>
          <w:p w:rsidR="00214E69" w:rsidRPr="00214E69" w:rsidRDefault="00214E69" w:rsidP="00214E69">
            <w:pPr>
              <w:pStyle w:val="TableChartandFigureListText"/>
              <w:cnfStyle w:val="000000000000"/>
            </w:pPr>
            <w:r>
              <w:t>Fairfax, VA 22031</w:t>
            </w:r>
          </w:p>
        </w:tc>
        <w:tc>
          <w:tcPr>
            <w:tcW w:w="996" w:type="pct"/>
          </w:tcPr>
          <w:p w:rsidR="00214E69" w:rsidRPr="00214E69" w:rsidRDefault="00214E69" w:rsidP="00214E69">
            <w:pPr>
              <w:pStyle w:val="TableChartandFigureListText"/>
              <w:cnfStyle w:val="000000000000"/>
              <w:rPr>
                <w:bCs/>
              </w:rPr>
            </w:pPr>
            <w:r>
              <w:rPr>
                <w:bCs/>
              </w:rPr>
              <w:t>(703) 934-3603</w:t>
            </w:r>
          </w:p>
        </w:tc>
      </w:tr>
      <w:tr w:rsidR="00856455" w:rsidRPr="00B2489E" w:rsidTr="000C0316">
        <w:trPr>
          <w:cnfStyle w:val="000000100000"/>
        </w:trPr>
        <w:tc>
          <w:tcPr>
            <w:cnfStyle w:val="001000000000"/>
            <w:tcW w:w="949" w:type="pct"/>
          </w:tcPr>
          <w:p w:rsidR="00F0337A" w:rsidRPr="000C0316" w:rsidRDefault="00F0337A" w:rsidP="00214E69">
            <w:pPr>
              <w:pStyle w:val="TableChartandFigureListText"/>
              <w:rPr>
                <w:b w:val="0"/>
              </w:rPr>
            </w:pPr>
            <w:r w:rsidRPr="000C0316">
              <w:rPr>
                <w:b w:val="0"/>
              </w:rPr>
              <w:t>Bob Dalrymple</w:t>
            </w:r>
          </w:p>
        </w:tc>
        <w:tc>
          <w:tcPr>
            <w:tcW w:w="1362" w:type="pct"/>
          </w:tcPr>
          <w:p w:rsidR="00E50C4B" w:rsidRDefault="00F0337A" w:rsidP="00214E69">
            <w:pPr>
              <w:pStyle w:val="TableChartandFigureListText"/>
              <w:cnfStyle w:val="000000100000"/>
            </w:pPr>
            <w:r w:rsidRPr="00214E69">
              <w:t xml:space="preserve">Senior Analyst for </w:t>
            </w:r>
            <w:r w:rsidR="001C5C55">
              <w:t>the SNAP Research and Analysis Division</w:t>
            </w:r>
          </w:p>
          <w:p w:rsidR="00F0337A" w:rsidRPr="00214E69" w:rsidRDefault="00856455" w:rsidP="00214E69">
            <w:pPr>
              <w:pStyle w:val="TableChartandFigureListText"/>
              <w:cnfStyle w:val="000000100000"/>
              <w:rPr>
                <w:highlight w:val="yellow"/>
              </w:rPr>
            </w:pPr>
            <w:r w:rsidRPr="00214E69">
              <w:t>(Project Officer)</w:t>
            </w:r>
          </w:p>
        </w:tc>
        <w:tc>
          <w:tcPr>
            <w:tcW w:w="1692" w:type="pct"/>
          </w:tcPr>
          <w:p w:rsidR="00F0337A" w:rsidRPr="00214E69" w:rsidRDefault="00F0337A" w:rsidP="00214E69">
            <w:pPr>
              <w:pStyle w:val="TableChartandFigureListText"/>
              <w:cnfStyle w:val="000000100000"/>
            </w:pPr>
            <w:r w:rsidRPr="00214E69">
              <w:t xml:space="preserve">USDA </w:t>
            </w:r>
            <w:r w:rsidRPr="00214E69">
              <w:rPr>
                <w:bCs/>
              </w:rPr>
              <w:t xml:space="preserve">Food and Nutrition Service, Office of </w:t>
            </w:r>
            <w:r w:rsidR="001C5C55">
              <w:rPr>
                <w:bCs/>
              </w:rPr>
              <w:t>Policy Support</w:t>
            </w:r>
            <w:r w:rsidRPr="00214E69">
              <w:t xml:space="preserve"> </w:t>
            </w:r>
          </w:p>
          <w:p w:rsidR="00F0337A" w:rsidRPr="002E5253" w:rsidRDefault="00F0337A" w:rsidP="00214E69">
            <w:pPr>
              <w:pStyle w:val="TableChartandFigureListText"/>
              <w:cnfStyle w:val="000000100000"/>
              <w:rPr>
                <w:lang w:val="fr-FR"/>
              </w:rPr>
            </w:pPr>
            <w:r w:rsidRPr="002E5253">
              <w:rPr>
                <w:lang w:val="fr-FR"/>
              </w:rPr>
              <w:t>3101 Park Center Dr.</w:t>
            </w:r>
          </w:p>
          <w:p w:rsidR="00F0337A" w:rsidRPr="002E5253" w:rsidRDefault="00F0337A" w:rsidP="00214E69">
            <w:pPr>
              <w:pStyle w:val="TableChartandFigureListText"/>
              <w:cnfStyle w:val="000000100000"/>
              <w:rPr>
                <w:lang w:val="fr-FR"/>
              </w:rPr>
            </w:pPr>
            <w:r w:rsidRPr="002E5253">
              <w:rPr>
                <w:lang w:val="fr-FR"/>
              </w:rPr>
              <w:t>Alexandria, VA  22302</w:t>
            </w:r>
          </w:p>
        </w:tc>
        <w:tc>
          <w:tcPr>
            <w:tcW w:w="996" w:type="pct"/>
          </w:tcPr>
          <w:p w:rsidR="00F0337A" w:rsidRPr="00214E69" w:rsidRDefault="00856455" w:rsidP="00214E69">
            <w:pPr>
              <w:pStyle w:val="TableChartandFigureListText"/>
              <w:cnfStyle w:val="000000100000"/>
            </w:pPr>
            <w:r w:rsidRPr="00214E69">
              <w:rPr>
                <w:bCs/>
              </w:rPr>
              <w:t>(</w:t>
            </w:r>
            <w:r w:rsidR="00F0337A" w:rsidRPr="00214E69">
              <w:rPr>
                <w:bCs/>
              </w:rPr>
              <w:t>703</w:t>
            </w:r>
            <w:r w:rsidRPr="00214E69">
              <w:rPr>
                <w:bCs/>
              </w:rPr>
              <w:t xml:space="preserve">) </w:t>
            </w:r>
            <w:r w:rsidR="00F0337A" w:rsidRPr="00214E69">
              <w:rPr>
                <w:bCs/>
              </w:rPr>
              <w:t>305-2122</w:t>
            </w:r>
          </w:p>
        </w:tc>
      </w:tr>
      <w:tr w:rsidR="00856455" w:rsidRPr="00B2489E" w:rsidTr="000C0316">
        <w:tc>
          <w:tcPr>
            <w:cnfStyle w:val="001000000000"/>
            <w:tcW w:w="949" w:type="pct"/>
          </w:tcPr>
          <w:p w:rsidR="00F0337A" w:rsidRPr="000C0316" w:rsidRDefault="007538BB" w:rsidP="00214E69">
            <w:pPr>
              <w:pStyle w:val="TableChartandFigureListText"/>
              <w:rPr>
                <w:b w:val="0"/>
              </w:rPr>
            </w:pPr>
            <w:r>
              <w:rPr>
                <w:b w:val="0"/>
              </w:rPr>
              <w:t>Michael Jacobsen</w:t>
            </w:r>
          </w:p>
        </w:tc>
        <w:tc>
          <w:tcPr>
            <w:tcW w:w="1362" w:type="pct"/>
          </w:tcPr>
          <w:p w:rsidR="00F0337A" w:rsidRPr="00214E69" w:rsidRDefault="007538BB" w:rsidP="00214E69">
            <w:pPr>
              <w:pStyle w:val="TableChartandFigureListText"/>
              <w:cnfStyle w:val="000000000000"/>
            </w:pPr>
            <w:r>
              <w:t>NASS Reviewer</w:t>
            </w:r>
          </w:p>
        </w:tc>
        <w:tc>
          <w:tcPr>
            <w:tcW w:w="1692" w:type="pct"/>
          </w:tcPr>
          <w:p w:rsidR="00F0337A" w:rsidRPr="00214E69" w:rsidRDefault="00F0337A" w:rsidP="00214E69">
            <w:pPr>
              <w:pStyle w:val="TableChartandFigureListText"/>
              <w:cnfStyle w:val="000000000000"/>
            </w:pPr>
            <w:r w:rsidRPr="00214E69">
              <w:t>USDA, National Agricultural Statistics Service, Statistical Methods Branch</w:t>
            </w:r>
          </w:p>
          <w:p w:rsidR="00F0337A" w:rsidRPr="00214E69" w:rsidRDefault="00F0337A" w:rsidP="00214E69">
            <w:pPr>
              <w:pStyle w:val="TableChartandFigureListText"/>
              <w:cnfStyle w:val="000000000000"/>
            </w:pPr>
            <w:r w:rsidRPr="00214E69">
              <w:t>1400 Independence Ave., S</w:t>
            </w:r>
            <w:r w:rsidR="00FC53EC" w:rsidRPr="00214E69">
              <w:t>.</w:t>
            </w:r>
            <w:r w:rsidRPr="00214E69">
              <w:t>W</w:t>
            </w:r>
            <w:r w:rsidR="00FC53EC" w:rsidRPr="00214E69">
              <w:t>.</w:t>
            </w:r>
          </w:p>
          <w:p w:rsidR="00F0337A" w:rsidRPr="00214E69" w:rsidRDefault="00F0337A" w:rsidP="00214E69">
            <w:pPr>
              <w:pStyle w:val="TableChartandFigureListText"/>
              <w:cnfStyle w:val="000000000000"/>
            </w:pPr>
            <w:r w:rsidRPr="00214E69">
              <w:t>Washington, DC 20250</w:t>
            </w:r>
          </w:p>
        </w:tc>
        <w:tc>
          <w:tcPr>
            <w:tcW w:w="996" w:type="pct"/>
          </w:tcPr>
          <w:p w:rsidR="00F0337A" w:rsidRPr="00214E69" w:rsidRDefault="000C0316" w:rsidP="00214E69">
            <w:pPr>
              <w:pStyle w:val="TableChartandFigureListText"/>
              <w:cnfStyle w:val="000000000000"/>
            </w:pPr>
            <w:r>
              <w:t>(202) 609-0901</w:t>
            </w:r>
          </w:p>
        </w:tc>
      </w:tr>
    </w:tbl>
    <w:p w:rsidR="00F0337A" w:rsidRPr="005547D1" w:rsidRDefault="00F0337A" w:rsidP="00F0337A"/>
    <w:p w:rsidR="00F0337A" w:rsidRPr="005547D1" w:rsidRDefault="00F0337A" w:rsidP="00581C3F">
      <w:pPr>
        <w:pStyle w:val="BTextDouble"/>
      </w:pPr>
    </w:p>
    <w:sectPr w:rsidR="00F0337A" w:rsidRPr="005547D1" w:rsidSect="00ED1A49">
      <w:headerReference w:type="default" r:id="rId10"/>
      <w:footerReference w:type="default" r:id="rId11"/>
      <w:pgSz w:w="12240" w:h="15840"/>
      <w:pgMar w:top="1440" w:right="1440" w:bottom="1440" w:left="1440"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D2A" w:rsidRDefault="00880D2A">
      <w:r>
        <w:separator/>
      </w:r>
    </w:p>
  </w:endnote>
  <w:endnote w:type="continuationSeparator" w:id="0">
    <w:p w:rsidR="00880D2A" w:rsidRDefault="00880D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70304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2A" w:rsidRDefault="009E1305">
    <w:pPr>
      <w:pStyle w:val="Footer"/>
      <w:framePr w:wrap="around" w:vAnchor="text" w:hAnchor="margin" w:xAlign="center" w:y="1"/>
      <w:rPr>
        <w:rStyle w:val="PageNumber"/>
      </w:rPr>
    </w:pPr>
    <w:r>
      <w:rPr>
        <w:rStyle w:val="PageNumber"/>
      </w:rPr>
      <w:fldChar w:fldCharType="begin"/>
    </w:r>
    <w:r w:rsidR="00880D2A">
      <w:rPr>
        <w:rStyle w:val="PageNumber"/>
      </w:rPr>
      <w:instrText xml:space="preserve">PAGE  </w:instrText>
    </w:r>
    <w:r>
      <w:rPr>
        <w:rStyle w:val="PageNumber"/>
      </w:rPr>
      <w:fldChar w:fldCharType="end"/>
    </w:r>
  </w:p>
  <w:p w:rsidR="00880D2A" w:rsidRDefault="00880D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2A" w:rsidRDefault="00880D2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2A" w:rsidRDefault="00880D2A" w:rsidP="008236B7">
    <w:pPr>
      <w:pStyle w:val="Footermemo"/>
      <w:spacing w:after="0"/>
    </w:pPr>
    <w:r w:rsidRPr="00823620">
      <w:t xml:space="preserve">Page </w:t>
    </w:r>
    <w:r w:rsidR="009E1305">
      <w:fldChar w:fldCharType="begin"/>
    </w:r>
    <w:r w:rsidR="00040F75">
      <w:instrText xml:space="preserve"> PAGE   \* MERGEFORMAT </w:instrText>
    </w:r>
    <w:r w:rsidR="009E1305">
      <w:fldChar w:fldCharType="separate"/>
    </w:r>
    <w:r w:rsidR="00F3530C">
      <w:t>7</w:t>
    </w:r>
    <w:r w:rsidR="009E1305">
      <w:fldChar w:fldCharType="end"/>
    </w:r>
  </w:p>
  <w:p w:rsidR="00880D2A" w:rsidRPr="00E27078" w:rsidRDefault="00880D2A" w:rsidP="008236B7">
    <w:pPr>
      <w:pStyle w:val="Foo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D2A" w:rsidRDefault="00880D2A">
      <w:r>
        <w:separator/>
      </w:r>
    </w:p>
  </w:footnote>
  <w:footnote w:type="continuationSeparator" w:id="0">
    <w:p w:rsidR="00880D2A" w:rsidRDefault="00880D2A">
      <w:r>
        <w:continuationSeparator/>
      </w:r>
    </w:p>
  </w:footnote>
  <w:footnote w:type="continuationNotice" w:id="1">
    <w:p w:rsidR="00880D2A" w:rsidRDefault="00880D2A"/>
  </w:footnote>
  <w:footnote w:id="2">
    <w:p w:rsidR="007538BB" w:rsidRDefault="007538BB">
      <w:pPr>
        <w:pStyle w:val="FootnoteText"/>
        <w:rPr>
          <w:rFonts w:ascii="Times New Roman" w:hAnsi="Times New Roman"/>
        </w:rPr>
      </w:pPr>
      <w:r w:rsidRPr="007538BB">
        <w:rPr>
          <w:rFonts w:ascii="Times New Roman" w:hAnsi="Times New Roman"/>
          <w:vertAlign w:val="superscript"/>
        </w:rPr>
        <w:footnoteRef/>
      </w:r>
      <w:r w:rsidRPr="007538BB">
        <w:rPr>
          <w:rFonts w:ascii="Times New Roman" w:hAnsi="Times New Roman"/>
        </w:rPr>
        <w:t xml:space="preserve"> Previous OMB clearances include #0584-0299 and #0584-0074.  See Attachment </w:t>
      </w:r>
      <w:r w:rsidR="002E5253">
        <w:rPr>
          <w:rFonts w:ascii="Times New Roman" w:hAnsi="Times New Roman"/>
        </w:rPr>
        <w:t>E</w:t>
      </w:r>
      <w:r w:rsidRPr="007538BB">
        <w:rPr>
          <w:rFonts w:ascii="Times New Roman" w:hAnsi="Times New Roman"/>
        </w:rPr>
        <w:t xml:space="preserve"> for further detail.</w:t>
      </w:r>
    </w:p>
    <w:p w:rsidR="007538BB" w:rsidRDefault="007538BB">
      <w:pPr>
        <w:pStyle w:val="FootnoteText"/>
      </w:pPr>
    </w:p>
  </w:footnote>
  <w:footnote w:id="3">
    <w:p w:rsidR="00880D2A" w:rsidRPr="008A6A4C" w:rsidRDefault="00880D2A">
      <w:pPr>
        <w:pStyle w:val="FootnoteText"/>
        <w:rPr>
          <w:rFonts w:ascii="Times New Roman" w:hAnsi="Times New Roman"/>
        </w:rPr>
      </w:pPr>
      <w:r w:rsidRPr="00214E69">
        <w:rPr>
          <w:rStyle w:val="FootnoteReference"/>
          <w:rFonts w:ascii="Times New Roman" w:hAnsi="Times New Roman"/>
          <w:vertAlign w:val="superscript"/>
        </w:rPr>
        <w:footnoteRef/>
      </w:r>
      <w:r w:rsidRPr="008A6A4C">
        <w:rPr>
          <w:rFonts w:ascii="Times New Roman" w:hAnsi="Times New Roman"/>
        </w:rPr>
        <w:t xml:space="preserve"> </w:t>
      </w:r>
      <w:proofErr w:type="gramStart"/>
      <w:r w:rsidRPr="008A6A4C">
        <w:rPr>
          <w:rFonts w:ascii="Times New Roman" w:hAnsi="Times New Roman"/>
        </w:rPr>
        <w:t xml:space="preserve">Including the District of Columbia, Guam, and the </w:t>
      </w:r>
      <w:r>
        <w:rPr>
          <w:rFonts w:ascii="Times New Roman" w:hAnsi="Times New Roman"/>
        </w:rPr>
        <w:t xml:space="preserve">U.S. </w:t>
      </w:r>
      <w:r w:rsidRPr="008A6A4C">
        <w:rPr>
          <w:rFonts w:ascii="Times New Roman" w:hAnsi="Times New Roman"/>
        </w:rPr>
        <w:t>Virgin Islands.</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2A" w:rsidRPr="00CC7809" w:rsidRDefault="00880D2A" w:rsidP="00040F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6142B4"/>
    <w:multiLevelType w:val="hybridMultilevel"/>
    <w:tmpl w:val="7D082B5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4BF4536"/>
    <w:multiLevelType w:val="hybridMultilevel"/>
    <w:tmpl w:val="B2BA2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101816FF"/>
    <w:multiLevelType w:val="hybridMultilevel"/>
    <w:tmpl w:val="F764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10">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5B95494"/>
    <w:multiLevelType w:val="hybridMultilevel"/>
    <w:tmpl w:val="E4BE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C1795"/>
    <w:multiLevelType w:val="hybridMultilevel"/>
    <w:tmpl w:val="DCFA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4F7FDE"/>
    <w:multiLevelType w:val="hybridMultilevel"/>
    <w:tmpl w:val="643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8B26CE"/>
    <w:multiLevelType w:val="hybridMultilevel"/>
    <w:tmpl w:val="D32A77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02A41B1"/>
    <w:multiLevelType w:val="hybridMultilevel"/>
    <w:tmpl w:val="E2F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6726F"/>
    <w:multiLevelType w:val="hybridMultilevel"/>
    <w:tmpl w:val="9A1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1">
    <w:nsid w:val="4F7B5CC5"/>
    <w:multiLevelType w:val="hybridMultilevel"/>
    <w:tmpl w:val="532C3238"/>
    <w:lvl w:ilvl="0" w:tplc="182C97E6">
      <w:start w:val="1"/>
      <w:numFmt w:val="lowerLetter"/>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B433C1C"/>
    <w:multiLevelType w:val="hybridMultilevel"/>
    <w:tmpl w:val="89E4800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CA1AAF"/>
    <w:multiLevelType w:val="hybridMultilevel"/>
    <w:tmpl w:val="B2D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6"/>
  </w:num>
  <w:num w:numId="4">
    <w:abstractNumId w:val="20"/>
  </w:num>
  <w:num w:numId="5">
    <w:abstractNumId w:val="17"/>
  </w:num>
  <w:num w:numId="6">
    <w:abstractNumId w:val="22"/>
  </w:num>
  <w:num w:numId="7">
    <w:abstractNumId w:val="26"/>
  </w:num>
  <w:num w:numId="8">
    <w:abstractNumId w:val="16"/>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1"/>
  </w:num>
  <w:num w:numId="13">
    <w:abstractNumId w:val="25"/>
  </w:num>
  <w:num w:numId="14">
    <w:abstractNumId w:val="13"/>
  </w:num>
  <w:num w:numId="15">
    <w:abstractNumId w:val="12"/>
  </w:num>
  <w:num w:numId="16">
    <w:abstractNumId w:val="15"/>
  </w:num>
  <w:num w:numId="17">
    <w:abstractNumId w:val="4"/>
  </w:num>
  <w:num w:numId="18">
    <w:abstractNumId w:val="18"/>
  </w:num>
  <w:num w:numId="19">
    <w:abstractNumId w:val="7"/>
  </w:num>
  <w:num w:numId="20">
    <w:abstractNumId w:val="19"/>
  </w:num>
  <w:num w:numId="21">
    <w:abstractNumId w:val="5"/>
  </w:num>
  <w:num w:numId="22">
    <w:abstractNumId w:val="14"/>
  </w:num>
  <w:num w:numId="23">
    <w:abstractNumId w:val="24"/>
  </w:num>
  <w:num w:numId="24">
    <w:abstractNumId w:val="2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w:hdrShapeDefaults>
  <w:footnotePr>
    <w:footnote w:id="-1"/>
    <w:footnote w:id="0"/>
    <w:footnote w:id="1"/>
  </w:footnotePr>
  <w:endnotePr>
    <w:endnote w:id="-1"/>
    <w:endnote w:id="0"/>
  </w:endnotePr>
  <w:compat/>
  <w:rsids>
    <w:rsidRoot w:val="00406DCF"/>
    <w:rsid w:val="00002F0B"/>
    <w:rsid w:val="000035BA"/>
    <w:rsid w:val="000048A1"/>
    <w:rsid w:val="000121DC"/>
    <w:rsid w:val="00015B4B"/>
    <w:rsid w:val="00016F9A"/>
    <w:rsid w:val="00020039"/>
    <w:rsid w:val="00021307"/>
    <w:rsid w:val="00022004"/>
    <w:rsid w:val="000228E9"/>
    <w:rsid w:val="00024735"/>
    <w:rsid w:val="00024AD7"/>
    <w:rsid w:val="000300D8"/>
    <w:rsid w:val="00035924"/>
    <w:rsid w:val="00036903"/>
    <w:rsid w:val="00040F75"/>
    <w:rsid w:val="00043AED"/>
    <w:rsid w:val="0004480F"/>
    <w:rsid w:val="00046952"/>
    <w:rsid w:val="00047027"/>
    <w:rsid w:val="00047E6D"/>
    <w:rsid w:val="000518BD"/>
    <w:rsid w:val="000518DB"/>
    <w:rsid w:val="00055C68"/>
    <w:rsid w:val="0006142F"/>
    <w:rsid w:val="00062C30"/>
    <w:rsid w:val="00063D0B"/>
    <w:rsid w:val="00064992"/>
    <w:rsid w:val="00067136"/>
    <w:rsid w:val="00070AB9"/>
    <w:rsid w:val="00071C88"/>
    <w:rsid w:val="000722FB"/>
    <w:rsid w:val="000725CE"/>
    <w:rsid w:val="0007467A"/>
    <w:rsid w:val="0007485F"/>
    <w:rsid w:val="00075D2B"/>
    <w:rsid w:val="0008301A"/>
    <w:rsid w:val="00084513"/>
    <w:rsid w:val="00087B72"/>
    <w:rsid w:val="00087E63"/>
    <w:rsid w:val="000902DE"/>
    <w:rsid w:val="00092A31"/>
    <w:rsid w:val="00095F4E"/>
    <w:rsid w:val="00096BC1"/>
    <w:rsid w:val="000975CD"/>
    <w:rsid w:val="000A31ED"/>
    <w:rsid w:val="000A4908"/>
    <w:rsid w:val="000B1D5F"/>
    <w:rsid w:val="000B2062"/>
    <w:rsid w:val="000B23A2"/>
    <w:rsid w:val="000B251C"/>
    <w:rsid w:val="000B43BB"/>
    <w:rsid w:val="000C0316"/>
    <w:rsid w:val="000C40B6"/>
    <w:rsid w:val="000C4743"/>
    <w:rsid w:val="000C509D"/>
    <w:rsid w:val="000C5F28"/>
    <w:rsid w:val="000C6504"/>
    <w:rsid w:val="000D1558"/>
    <w:rsid w:val="000D39C9"/>
    <w:rsid w:val="000E1536"/>
    <w:rsid w:val="000E1938"/>
    <w:rsid w:val="000E2DC1"/>
    <w:rsid w:val="000F644B"/>
    <w:rsid w:val="0010095F"/>
    <w:rsid w:val="00101AAB"/>
    <w:rsid w:val="00101F11"/>
    <w:rsid w:val="00103D70"/>
    <w:rsid w:val="001045DE"/>
    <w:rsid w:val="001065D6"/>
    <w:rsid w:val="00106E44"/>
    <w:rsid w:val="00110A80"/>
    <w:rsid w:val="001132A5"/>
    <w:rsid w:val="001133BA"/>
    <w:rsid w:val="00114F87"/>
    <w:rsid w:val="00115887"/>
    <w:rsid w:val="001202A3"/>
    <w:rsid w:val="0012627F"/>
    <w:rsid w:val="0012789D"/>
    <w:rsid w:val="0013019B"/>
    <w:rsid w:val="00130F60"/>
    <w:rsid w:val="00132BE0"/>
    <w:rsid w:val="00135426"/>
    <w:rsid w:val="0014048A"/>
    <w:rsid w:val="00142C8F"/>
    <w:rsid w:val="001434FD"/>
    <w:rsid w:val="00145A1E"/>
    <w:rsid w:val="00145A73"/>
    <w:rsid w:val="001464A6"/>
    <w:rsid w:val="00146989"/>
    <w:rsid w:val="00150B05"/>
    <w:rsid w:val="00152012"/>
    <w:rsid w:val="001574F3"/>
    <w:rsid w:val="00167AB9"/>
    <w:rsid w:val="00171A79"/>
    <w:rsid w:val="001724C1"/>
    <w:rsid w:val="00175A2E"/>
    <w:rsid w:val="00176926"/>
    <w:rsid w:val="001775FB"/>
    <w:rsid w:val="00177E14"/>
    <w:rsid w:val="00181718"/>
    <w:rsid w:val="00183664"/>
    <w:rsid w:val="0018780E"/>
    <w:rsid w:val="00190158"/>
    <w:rsid w:val="001934EB"/>
    <w:rsid w:val="001937D4"/>
    <w:rsid w:val="001940E3"/>
    <w:rsid w:val="00194E8A"/>
    <w:rsid w:val="00195D25"/>
    <w:rsid w:val="001A001F"/>
    <w:rsid w:val="001A04C2"/>
    <w:rsid w:val="001A060C"/>
    <w:rsid w:val="001A66A8"/>
    <w:rsid w:val="001A6FCA"/>
    <w:rsid w:val="001A7076"/>
    <w:rsid w:val="001B23DA"/>
    <w:rsid w:val="001B29AE"/>
    <w:rsid w:val="001B412D"/>
    <w:rsid w:val="001C0B29"/>
    <w:rsid w:val="001C2159"/>
    <w:rsid w:val="001C5C55"/>
    <w:rsid w:val="001D05B0"/>
    <w:rsid w:val="001D2265"/>
    <w:rsid w:val="001D276F"/>
    <w:rsid w:val="001D340D"/>
    <w:rsid w:val="001D4C05"/>
    <w:rsid w:val="001D4FEB"/>
    <w:rsid w:val="001D5B4A"/>
    <w:rsid w:val="001D7D39"/>
    <w:rsid w:val="001E3E67"/>
    <w:rsid w:val="001E4027"/>
    <w:rsid w:val="001F13D0"/>
    <w:rsid w:val="001F23AD"/>
    <w:rsid w:val="001F24EF"/>
    <w:rsid w:val="001F32C5"/>
    <w:rsid w:val="001F4B05"/>
    <w:rsid w:val="001F652C"/>
    <w:rsid w:val="001F6FB2"/>
    <w:rsid w:val="001F74D3"/>
    <w:rsid w:val="00203454"/>
    <w:rsid w:val="00205B7A"/>
    <w:rsid w:val="0020798A"/>
    <w:rsid w:val="00207A04"/>
    <w:rsid w:val="0021086E"/>
    <w:rsid w:val="00214E69"/>
    <w:rsid w:val="00216340"/>
    <w:rsid w:val="00217E56"/>
    <w:rsid w:val="00221BC3"/>
    <w:rsid w:val="00226C40"/>
    <w:rsid w:val="00226F9D"/>
    <w:rsid w:val="0023020A"/>
    <w:rsid w:val="00230F1B"/>
    <w:rsid w:val="002361D9"/>
    <w:rsid w:val="0023681D"/>
    <w:rsid w:val="00243B11"/>
    <w:rsid w:val="002446F1"/>
    <w:rsid w:val="00245025"/>
    <w:rsid w:val="00245068"/>
    <w:rsid w:val="00245852"/>
    <w:rsid w:val="002459C2"/>
    <w:rsid w:val="0024630C"/>
    <w:rsid w:val="00246865"/>
    <w:rsid w:val="0024781B"/>
    <w:rsid w:val="002505C5"/>
    <w:rsid w:val="0025136E"/>
    <w:rsid w:val="00254F1D"/>
    <w:rsid w:val="0025714E"/>
    <w:rsid w:val="00257547"/>
    <w:rsid w:val="0026163D"/>
    <w:rsid w:val="00263911"/>
    <w:rsid w:val="00263CCA"/>
    <w:rsid w:val="002652AB"/>
    <w:rsid w:val="0027148A"/>
    <w:rsid w:val="00275656"/>
    <w:rsid w:val="00280080"/>
    <w:rsid w:val="002811B4"/>
    <w:rsid w:val="002815C2"/>
    <w:rsid w:val="0028225A"/>
    <w:rsid w:val="00282E68"/>
    <w:rsid w:val="002851A3"/>
    <w:rsid w:val="002853C5"/>
    <w:rsid w:val="002861DC"/>
    <w:rsid w:val="00290BCE"/>
    <w:rsid w:val="00295920"/>
    <w:rsid w:val="00296977"/>
    <w:rsid w:val="00296DD8"/>
    <w:rsid w:val="002A67E6"/>
    <w:rsid w:val="002B2EB2"/>
    <w:rsid w:val="002B709E"/>
    <w:rsid w:val="002B78F1"/>
    <w:rsid w:val="002C0631"/>
    <w:rsid w:val="002C36E4"/>
    <w:rsid w:val="002C6CE3"/>
    <w:rsid w:val="002D0660"/>
    <w:rsid w:val="002D6AC8"/>
    <w:rsid w:val="002E000A"/>
    <w:rsid w:val="002E01A0"/>
    <w:rsid w:val="002E451A"/>
    <w:rsid w:val="002E4B33"/>
    <w:rsid w:val="002E5253"/>
    <w:rsid w:val="002E5F31"/>
    <w:rsid w:val="002F0250"/>
    <w:rsid w:val="002F14E6"/>
    <w:rsid w:val="002F48C2"/>
    <w:rsid w:val="002F7F8A"/>
    <w:rsid w:val="00300A2F"/>
    <w:rsid w:val="00301D98"/>
    <w:rsid w:val="0031359C"/>
    <w:rsid w:val="00314CD4"/>
    <w:rsid w:val="00315922"/>
    <w:rsid w:val="00316097"/>
    <w:rsid w:val="0031703B"/>
    <w:rsid w:val="00317C35"/>
    <w:rsid w:val="00317E0E"/>
    <w:rsid w:val="00320EBC"/>
    <w:rsid w:val="003321CA"/>
    <w:rsid w:val="00333083"/>
    <w:rsid w:val="00334D77"/>
    <w:rsid w:val="00343076"/>
    <w:rsid w:val="0034325B"/>
    <w:rsid w:val="00350A75"/>
    <w:rsid w:val="003522C3"/>
    <w:rsid w:val="003539F8"/>
    <w:rsid w:val="00353BA8"/>
    <w:rsid w:val="00356FBD"/>
    <w:rsid w:val="00360EF2"/>
    <w:rsid w:val="00364946"/>
    <w:rsid w:val="00364CB3"/>
    <w:rsid w:val="00365FEC"/>
    <w:rsid w:val="00366494"/>
    <w:rsid w:val="00371FD6"/>
    <w:rsid w:val="00376407"/>
    <w:rsid w:val="003765C1"/>
    <w:rsid w:val="00386B92"/>
    <w:rsid w:val="00392344"/>
    <w:rsid w:val="00395614"/>
    <w:rsid w:val="003968D0"/>
    <w:rsid w:val="003A0C86"/>
    <w:rsid w:val="003A3CD3"/>
    <w:rsid w:val="003A4370"/>
    <w:rsid w:val="003A4F5E"/>
    <w:rsid w:val="003A5CCF"/>
    <w:rsid w:val="003B0C8C"/>
    <w:rsid w:val="003B6190"/>
    <w:rsid w:val="003C031B"/>
    <w:rsid w:val="003C12A4"/>
    <w:rsid w:val="003C4A81"/>
    <w:rsid w:val="003C6844"/>
    <w:rsid w:val="003D49C6"/>
    <w:rsid w:val="003D4A98"/>
    <w:rsid w:val="003D643A"/>
    <w:rsid w:val="003E050C"/>
    <w:rsid w:val="003E0B63"/>
    <w:rsid w:val="003E321F"/>
    <w:rsid w:val="003E420B"/>
    <w:rsid w:val="003E636A"/>
    <w:rsid w:val="003F0228"/>
    <w:rsid w:val="003F0993"/>
    <w:rsid w:val="003F0C50"/>
    <w:rsid w:val="003F1611"/>
    <w:rsid w:val="003F4751"/>
    <w:rsid w:val="003F7A06"/>
    <w:rsid w:val="00404065"/>
    <w:rsid w:val="00404E0B"/>
    <w:rsid w:val="00404FA3"/>
    <w:rsid w:val="00406DCF"/>
    <w:rsid w:val="004078B0"/>
    <w:rsid w:val="00420C10"/>
    <w:rsid w:val="00420CE0"/>
    <w:rsid w:val="00420E2D"/>
    <w:rsid w:val="00420F8A"/>
    <w:rsid w:val="004253AF"/>
    <w:rsid w:val="00425D8A"/>
    <w:rsid w:val="004313D3"/>
    <w:rsid w:val="00433D94"/>
    <w:rsid w:val="00440376"/>
    <w:rsid w:val="00442132"/>
    <w:rsid w:val="00443873"/>
    <w:rsid w:val="00447A6B"/>
    <w:rsid w:val="00447F76"/>
    <w:rsid w:val="004504EC"/>
    <w:rsid w:val="00451E89"/>
    <w:rsid w:val="00451FBF"/>
    <w:rsid w:val="00453719"/>
    <w:rsid w:val="00455CBC"/>
    <w:rsid w:val="004573A4"/>
    <w:rsid w:val="00457C49"/>
    <w:rsid w:val="00463318"/>
    <w:rsid w:val="004652F2"/>
    <w:rsid w:val="00484032"/>
    <w:rsid w:val="0048612A"/>
    <w:rsid w:val="00486360"/>
    <w:rsid w:val="00486526"/>
    <w:rsid w:val="00487CD8"/>
    <w:rsid w:val="00492FA2"/>
    <w:rsid w:val="00495BA8"/>
    <w:rsid w:val="004A0EDD"/>
    <w:rsid w:val="004A1020"/>
    <w:rsid w:val="004A3CB7"/>
    <w:rsid w:val="004A4EC4"/>
    <w:rsid w:val="004A7B3B"/>
    <w:rsid w:val="004A7E06"/>
    <w:rsid w:val="004B13F2"/>
    <w:rsid w:val="004B391C"/>
    <w:rsid w:val="004B43E1"/>
    <w:rsid w:val="004B58BB"/>
    <w:rsid w:val="004C4529"/>
    <w:rsid w:val="004C630B"/>
    <w:rsid w:val="004D05C2"/>
    <w:rsid w:val="004D246D"/>
    <w:rsid w:val="004D4A44"/>
    <w:rsid w:val="004D746C"/>
    <w:rsid w:val="004E5E20"/>
    <w:rsid w:val="004E6F32"/>
    <w:rsid w:val="004E6F45"/>
    <w:rsid w:val="004E709D"/>
    <w:rsid w:val="004E7E3D"/>
    <w:rsid w:val="004F12E1"/>
    <w:rsid w:val="004F65BD"/>
    <w:rsid w:val="004F6FEC"/>
    <w:rsid w:val="004F79EF"/>
    <w:rsid w:val="00506132"/>
    <w:rsid w:val="005070D7"/>
    <w:rsid w:val="00510513"/>
    <w:rsid w:val="0051084E"/>
    <w:rsid w:val="005129B9"/>
    <w:rsid w:val="00513363"/>
    <w:rsid w:val="00514AD2"/>
    <w:rsid w:val="005156C3"/>
    <w:rsid w:val="00516836"/>
    <w:rsid w:val="00516AF0"/>
    <w:rsid w:val="00520FC6"/>
    <w:rsid w:val="00527540"/>
    <w:rsid w:val="00531F60"/>
    <w:rsid w:val="00533F32"/>
    <w:rsid w:val="00547416"/>
    <w:rsid w:val="00547E6E"/>
    <w:rsid w:val="005502DF"/>
    <w:rsid w:val="005504CD"/>
    <w:rsid w:val="00550BD7"/>
    <w:rsid w:val="00551555"/>
    <w:rsid w:val="0055169E"/>
    <w:rsid w:val="005528A9"/>
    <w:rsid w:val="00553136"/>
    <w:rsid w:val="005547D1"/>
    <w:rsid w:val="00554F92"/>
    <w:rsid w:val="005562D1"/>
    <w:rsid w:val="005563EB"/>
    <w:rsid w:val="0055683D"/>
    <w:rsid w:val="0056398A"/>
    <w:rsid w:val="0056476A"/>
    <w:rsid w:val="0056779B"/>
    <w:rsid w:val="00571A9D"/>
    <w:rsid w:val="00572510"/>
    <w:rsid w:val="00572B1E"/>
    <w:rsid w:val="00574151"/>
    <w:rsid w:val="0057561E"/>
    <w:rsid w:val="00575BE2"/>
    <w:rsid w:val="00580B4B"/>
    <w:rsid w:val="00581C3F"/>
    <w:rsid w:val="00587083"/>
    <w:rsid w:val="005A0A5C"/>
    <w:rsid w:val="005A41CF"/>
    <w:rsid w:val="005B093B"/>
    <w:rsid w:val="005B09ED"/>
    <w:rsid w:val="005B2C04"/>
    <w:rsid w:val="005C0E77"/>
    <w:rsid w:val="005C0E7B"/>
    <w:rsid w:val="005C23CB"/>
    <w:rsid w:val="005C34B1"/>
    <w:rsid w:val="005C5E79"/>
    <w:rsid w:val="005C718B"/>
    <w:rsid w:val="005D02D2"/>
    <w:rsid w:val="005D5EB6"/>
    <w:rsid w:val="005E3878"/>
    <w:rsid w:val="005E6EDC"/>
    <w:rsid w:val="005F266B"/>
    <w:rsid w:val="005F36B9"/>
    <w:rsid w:val="005F39C9"/>
    <w:rsid w:val="005F5ABE"/>
    <w:rsid w:val="005F6058"/>
    <w:rsid w:val="006021B1"/>
    <w:rsid w:val="00603B09"/>
    <w:rsid w:val="0060418A"/>
    <w:rsid w:val="00604D94"/>
    <w:rsid w:val="006118CE"/>
    <w:rsid w:val="00621B03"/>
    <w:rsid w:val="0062206C"/>
    <w:rsid w:val="0062267B"/>
    <w:rsid w:val="00622EC2"/>
    <w:rsid w:val="006257C3"/>
    <w:rsid w:val="00626885"/>
    <w:rsid w:val="00626F52"/>
    <w:rsid w:val="00631BD5"/>
    <w:rsid w:val="00633F49"/>
    <w:rsid w:val="006403A4"/>
    <w:rsid w:val="00640FC7"/>
    <w:rsid w:val="00641280"/>
    <w:rsid w:val="00643BA5"/>
    <w:rsid w:val="006468DE"/>
    <w:rsid w:val="00647087"/>
    <w:rsid w:val="00647475"/>
    <w:rsid w:val="006511E4"/>
    <w:rsid w:val="0065238B"/>
    <w:rsid w:val="006539E1"/>
    <w:rsid w:val="006563A3"/>
    <w:rsid w:val="00660067"/>
    <w:rsid w:val="00662988"/>
    <w:rsid w:val="00663524"/>
    <w:rsid w:val="006643C1"/>
    <w:rsid w:val="00664A85"/>
    <w:rsid w:val="006666FE"/>
    <w:rsid w:val="006701F5"/>
    <w:rsid w:val="0067178F"/>
    <w:rsid w:val="0067281B"/>
    <w:rsid w:val="00672EB2"/>
    <w:rsid w:val="006744BC"/>
    <w:rsid w:val="00677885"/>
    <w:rsid w:val="00677CC4"/>
    <w:rsid w:val="00681B63"/>
    <w:rsid w:val="00683E0C"/>
    <w:rsid w:val="00687C47"/>
    <w:rsid w:val="00694F7D"/>
    <w:rsid w:val="006A0657"/>
    <w:rsid w:val="006A075A"/>
    <w:rsid w:val="006A1784"/>
    <w:rsid w:val="006A1DEE"/>
    <w:rsid w:val="006A3C0F"/>
    <w:rsid w:val="006A49F0"/>
    <w:rsid w:val="006A65F7"/>
    <w:rsid w:val="006B3C1C"/>
    <w:rsid w:val="006B5E19"/>
    <w:rsid w:val="006C0931"/>
    <w:rsid w:val="006C0E77"/>
    <w:rsid w:val="006C30F6"/>
    <w:rsid w:val="006C4B80"/>
    <w:rsid w:val="006C4F39"/>
    <w:rsid w:val="006C7E14"/>
    <w:rsid w:val="006D2042"/>
    <w:rsid w:val="006D4152"/>
    <w:rsid w:val="006D5139"/>
    <w:rsid w:val="006D5A59"/>
    <w:rsid w:val="006D679E"/>
    <w:rsid w:val="006D7A4E"/>
    <w:rsid w:val="006E2C41"/>
    <w:rsid w:val="006E3C26"/>
    <w:rsid w:val="006E6E3B"/>
    <w:rsid w:val="006F3220"/>
    <w:rsid w:val="006F6018"/>
    <w:rsid w:val="006F6357"/>
    <w:rsid w:val="006F6442"/>
    <w:rsid w:val="0070020E"/>
    <w:rsid w:val="007014C1"/>
    <w:rsid w:val="007020AE"/>
    <w:rsid w:val="007065C0"/>
    <w:rsid w:val="00707CB5"/>
    <w:rsid w:val="00712252"/>
    <w:rsid w:val="007126B6"/>
    <w:rsid w:val="007214FE"/>
    <w:rsid w:val="007224CD"/>
    <w:rsid w:val="00723539"/>
    <w:rsid w:val="00727719"/>
    <w:rsid w:val="00727F0A"/>
    <w:rsid w:val="00730CA2"/>
    <w:rsid w:val="007325A4"/>
    <w:rsid w:val="00736354"/>
    <w:rsid w:val="007365C6"/>
    <w:rsid w:val="00736E54"/>
    <w:rsid w:val="007372C6"/>
    <w:rsid w:val="00737E16"/>
    <w:rsid w:val="00740DE6"/>
    <w:rsid w:val="00741DBD"/>
    <w:rsid w:val="00743403"/>
    <w:rsid w:val="00746AE7"/>
    <w:rsid w:val="007538BB"/>
    <w:rsid w:val="0075494A"/>
    <w:rsid w:val="00754CE0"/>
    <w:rsid w:val="00761235"/>
    <w:rsid w:val="00761DBE"/>
    <w:rsid w:val="00763650"/>
    <w:rsid w:val="00765643"/>
    <w:rsid w:val="00767D3E"/>
    <w:rsid w:val="00773640"/>
    <w:rsid w:val="0077538F"/>
    <w:rsid w:val="00775961"/>
    <w:rsid w:val="007765B0"/>
    <w:rsid w:val="007769C3"/>
    <w:rsid w:val="00777E22"/>
    <w:rsid w:val="00777E54"/>
    <w:rsid w:val="00781D42"/>
    <w:rsid w:val="00791210"/>
    <w:rsid w:val="007917D5"/>
    <w:rsid w:val="007932B9"/>
    <w:rsid w:val="00794514"/>
    <w:rsid w:val="00795E75"/>
    <w:rsid w:val="00796237"/>
    <w:rsid w:val="00796A24"/>
    <w:rsid w:val="007A109E"/>
    <w:rsid w:val="007A2AB7"/>
    <w:rsid w:val="007A3134"/>
    <w:rsid w:val="007A37D5"/>
    <w:rsid w:val="007B4A9B"/>
    <w:rsid w:val="007B67B6"/>
    <w:rsid w:val="007C2DA5"/>
    <w:rsid w:val="007C4A76"/>
    <w:rsid w:val="007C66DC"/>
    <w:rsid w:val="007D29D2"/>
    <w:rsid w:val="007D3803"/>
    <w:rsid w:val="007D4B6B"/>
    <w:rsid w:val="007E09B5"/>
    <w:rsid w:val="007E0CE7"/>
    <w:rsid w:val="007E62E4"/>
    <w:rsid w:val="007E7615"/>
    <w:rsid w:val="007E7A0C"/>
    <w:rsid w:val="007F0904"/>
    <w:rsid w:val="007F54DC"/>
    <w:rsid w:val="007F57D2"/>
    <w:rsid w:val="007F654F"/>
    <w:rsid w:val="00801349"/>
    <w:rsid w:val="00803DF3"/>
    <w:rsid w:val="0080542F"/>
    <w:rsid w:val="0080588D"/>
    <w:rsid w:val="008073CB"/>
    <w:rsid w:val="00807B0F"/>
    <w:rsid w:val="0081164F"/>
    <w:rsid w:val="00811CCE"/>
    <w:rsid w:val="008140A3"/>
    <w:rsid w:val="00815658"/>
    <w:rsid w:val="00815EC0"/>
    <w:rsid w:val="00821302"/>
    <w:rsid w:val="00821FA5"/>
    <w:rsid w:val="008229C1"/>
    <w:rsid w:val="008236B7"/>
    <w:rsid w:val="00823823"/>
    <w:rsid w:val="008255ED"/>
    <w:rsid w:val="00825ADF"/>
    <w:rsid w:val="008304BF"/>
    <w:rsid w:val="00830E2B"/>
    <w:rsid w:val="008312A5"/>
    <w:rsid w:val="00831720"/>
    <w:rsid w:val="00831999"/>
    <w:rsid w:val="00834192"/>
    <w:rsid w:val="00834845"/>
    <w:rsid w:val="0083569E"/>
    <w:rsid w:val="00841460"/>
    <w:rsid w:val="0084195A"/>
    <w:rsid w:val="0084350B"/>
    <w:rsid w:val="00843E30"/>
    <w:rsid w:val="00844D4D"/>
    <w:rsid w:val="00845DBE"/>
    <w:rsid w:val="00847B78"/>
    <w:rsid w:val="00851242"/>
    <w:rsid w:val="00856455"/>
    <w:rsid w:val="00856FDB"/>
    <w:rsid w:val="0085719B"/>
    <w:rsid w:val="008604B9"/>
    <w:rsid w:val="008620BE"/>
    <w:rsid w:val="00863CCB"/>
    <w:rsid w:val="00864836"/>
    <w:rsid w:val="00865B9C"/>
    <w:rsid w:val="00867B9A"/>
    <w:rsid w:val="008703C1"/>
    <w:rsid w:val="008732D9"/>
    <w:rsid w:val="00874257"/>
    <w:rsid w:val="00874EF5"/>
    <w:rsid w:val="00880D2A"/>
    <w:rsid w:val="00881B1B"/>
    <w:rsid w:val="00884318"/>
    <w:rsid w:val="008856DA"/>
    <w:rsid w:val="0089260C"/>
    <w:rsid w:val="0089425B"/>
    <w:rsid w:val="008967EB"/>
    <w:rsid w:val="008A2E2E"/>
    <w:rsid w:val="008A459B"/>
    <w:rsid w:val="008A6A4C"/>
    <w:rsid w:val="008A6DA3"/>
    <w:rsid w:val="008B1EE4"/>
    <w:rsid w:val="008B20DD"/>
    <w:rsid w:val="008B56DB"/>
    <w:rsid w:val="008C07CD"/>
    <w:rsid w:val="008C284A"/>
    <w:rsid w:val="008C2AD3"/>
    <w:rsid w:val="008C337D"/>
    <w:rsid w:val="008C7F47"/>
    <w:rsid w:val="008D0A92"/>
    <w:rsid w:val="008D255D"/>
    <w:rsid w:val="008D2FB4"/>
    <w:rsid w:val="008E223B"/>
    <w:rsid w:val="008E2862"/>
    <w:rsid w:val="008E2A35"/>
    <w:rsid w:val="008E3AFE"/>
    <w:rsid w:val="008E4D46"/>
    <w:rsid w:val="008E5549"/>
    <w:rsid w:val="008F1DE8"/>
    <w:rsid w:val="008F3492"/>
    <w:rsid w:val="008F58BB"/>
    <w:rsid w:val="00902765"/>
    <w:rsid w:val="0090334F"/>
    <w:rsid w:val="00904DCB"/>
    <w:rsid w:val="009066EF"/>
    <w:rsid w:val="00910319"/>
    <w:rsid w:val="00911D82"/>
    <w:rsid w:val="0091406B"/>
    <w:rsid w:val="00917500"/>
    <w:rsid w:val="00923FCA"/>
    <w:rsid w:val="009243BC"/>
    <w:rsid w:val="0092669B"/>
    <w:rsid w:val="00927BE3"/>
    <w:rsid w:val="00927C07"/>
    <w:rsid w:val="00934A12"/>
    <w:rsid w:val="00936B5F"/>
    <w:rsid w:val="00936CA3"/>
    <w:rsid w:val="00936FCA"/>
    <w:rsid w:val="00940732"/>
    <w:rsid w:val="009410A4"/>
    <w:rsid w:val="00942AA1"/>
    <w:rsid w:val="00944E17"/>
    <w:rsid w:val="009476C3"/>
    <w:rsid w:val="00952735"/>
    <w:rsid w:val="00953C04"/>
    <w:rsid w:val="00957DB6"/>
    <w:rsid w:val="00962877"/>
    <w:rsid w:val="0096585E"/>
    <w:rsid w:val="00967A90"/>
    <w:rsid w:val="00970AF7"/>
    <w:rsid w:val="00970DA6"/>
    <w:rsid w:val="00972245"/>
    <w:rsid w:val="00973948"/>
    <w:rsid w:val="00974B4B"/>
    <w:rsid w:val="009768C4"/>
    <w:rsid w:val="00976F4B"/>
    <w:rsid w:val="00980163"/>
    <w:rsid w:val="00980BCF"/>
    <w:rsid w:val="00984C2C"/>
    <w:rsid w:val="0098568C"/>
    <w:rsid w:val="00986B01"/>
    <w:rsid w:val="00987851"/>
    <w:rsid w:val="00990AF2"/>
    <w:rsid w:val="00992FC0"/>
    <w:rsid w:val="0099351C"/>
    <w:rsid w:val="009948F2"/>
    <w:rsid w:val="0099615B"/>
    <w:rsid w:val="009961DA"/>
    <w:rsid w:val="00996928"/>
    <w:rsid w:val="009A0B64"/>
    <w:rsid w:val="009A2580"/>
    <w:rsid w:val="009A4B5B"/>
    <w:rsid w:val="009A564E"/>
    <w:rsid w:val="009A6A9E"/>
    <w:rsid w:val="009A6B24"/>
    <w:rsid w:val="009B5686"/>
    <w:rsid w:val="009B600B"/>
    <w:rsid w:val="009B7B65"/>
    <w:rsid w:val="009C1940"/>
    <w:rsid w:val="009C1A9B"/>
    <w:rsid w:val="009C42E8"/>
    <w:rsid w:val="009C5E77"/>
    <w:rsid w:val="009C7CD1"/>
    <w:rsid w:val="009D0238"/>
    <w:rsid w:val="009D1E60"/>
    <w:rsid w:val="009D2704"/>
    <w:rsid w:val="009D3B73"/>
    <w:rsid w:val="009D558F"/>
    <w:rsid w:val="009E1305"/>
    <w:rsid w:val="009E5BE3"/>
    <w:rsid w:val="009E61D7"/>
    <w:rsid w:val="009E6221"/>
    <w:rsid w:val="009E66AD"/>
    <w:rsid w:val="009F4BA1"/>
    <w:rsid w:val="009F654C"/>
    <w:rsid w:val="009F7205"/>
    <w:rsid w:val="00A03995"/>
    <w:rsid w:val="00A03C37"/>
    <w:rsid w:val="00A05570"/>
    <w:rsid w:val="00A067A2"/>
    <w:rsid w:val="00A1063E"/>
    <w:rsid w:val="00A118AC"/>
    <w:rsid w:val="00A11A61"/>
    <w:rsid w:val="00A155FE"/>
    <w:rsid w:val="00A156A7"/>
    <w:rsid w:val="00A167CF"/>
    <w:rsid w:val="00A234C5"/>
    <w:rsid w:val="00A26E74"/>
    <w:rsid w:val="00A31DC7"/>
    <w:rsid w:val="00A323D3"/>
    <w:rsid w:val="00A34412"/>
    <w:rsid w:val="00A36AE6"/>
    <w:rsid w:val="00A41557"/>
    <w:rsid w:val="00A4175B"/>
    <w:rsid w:val="00A43AF3"/>
    <w:rsid w:val="00A4502A"/>
    <w:rsid w:val="00A46BF3"/>
    <w:rsid w:val="00A51183"/>
    <w:rsid w:val="00A54326"/>
    <w:rsid w:val="00A56DAE"/>
    <w:rsid w:val="00A62A02"/>
    <w:rsid w:val="00A66D7D"/>
    <w:rsid w:val="00A6771C"/>
    <w:rsid w:val="00A7111B"/>
    <w:rsid w:val="00A72554"/>
    <w:rsid w:val="00A775F4"/>
    <w:rsid w:val="00A8027E"/>
    <w:rsid w:val="00A813ED"/>
    <w:rsid w:val="00A8191A"/>
    <w:rsid w:val="00A83FE6"/>
    <w:rsid w:val="00A86A8F"/>
    <w:rsid w:val="00A870A6"/>
    <w:rsid w:val="00A90D55"/>
    <w:rsid w:val="00A916D8"/>
    <w:rsid w:val="00A9326D"/>
    <w:rsid w:val="00AA0D43"/>
    <w:rsid w:val="00AA0DBE"/>
    <w:rsid w:val="00AA4297"/>
    <w:rsid w:val="00AA64CB"/>
    <w:rsid w:val="00AA7851"/>
    <w:rsid w:val="00AB06EB"/>
    <w:rsid w:val="00AB1B66"/>
    <w:rsid w:val="00AB2455"/>
    <w:rsid w:val="00AB48D3"/>
    <w:rsid w:val="00AB5473"/>
    <w:rsid w:val="00AC0700"/>
    <w:rsid w:val="00AC3496"/>
    <w:rsid w:val="00AC34A4"/>
    <w:rsid w:val="00AC512B"/>
    <w:rsid w:val="00AC5CF9"/>
    <w:rsid w:val="00AC6944"/>
    <w:rsid w:val="00AC7217"/>
    <w:rsid w:val="00AC76EC"/>
    <w:rsid w:val="00AD1D2A"/>
    <w:rsid w:val="00AD2E1B"/>
    <w:rsid w:val="00AD65D9"/>
    <w:rsid w:val="00AD6F66"/>
    <w:rsid w:val="00AD7EB2"/>
    <w:rsid w:val="00AD7F8F"/>
    <w:rsid w:val="00AE158B"/>
    <w:rsid w:val="00AE23B1"/>
    <w:rsid w:val="00AE2449"/>
    <w:rsid w:val="00AE2B0E"/>
    <w:rsid w:val="00AE31EB"/>
    <w:rsid w:val="00AE505C"/>
    <w:rsid w:val="00AF0339"/>
    <w:rsid w:val="00AF0F71"/>
    <w:rsid w:val="00AF142D"/>
    <w:rsid w:val="00AF2F1E"/>
    <w:rsid w:val="00AF34B4"/>
    <w:rsid w:val="00AF3C20"/>
    <w:rsid w:val="00AF7BF5"/>
    <w:rsid w:val="00B015DB"/>
    <w:rsid w:val="00B02A72"/>
    <w:rsid w:val="00B05756"/>
    <w:rsid w:val="00B07787"/>
    <w:rsid w:val="00B07933"/>
    <w:rsid w:val="00B11BA1"/>
    <w:rsid w:val="00B1235B"/>
    <w:rsid w:val="00B14CC6"/>
    <w:rsid w:val="00B15B0C"/>
    <w:rsid w:val="00B205E8"/>
    <w:rsid w:val="00B20F71"/>
    <w:rsid w:val="00B220F8"/>
    <w:rsid w:val="00B232C6"/>
    <w:rsid w:val="00B23523"/>
    <w:rsid w:val="00B24577"/>
    <w:rsid w:val="00B2489E"/>
    <w:rsid w:val="00B256CB"/>
    <w:rsid w:val="00B274DA"/>
    <w:rsid w:val="00B32C05"/>
    <w:rsid w:val="00B32F4E"/>
    <w:rsid w:val="00B352EC"/>
    <w:rsid w:val="00B37A90"/>
    <w:rsid w:val="00B41612"/>
    <w:rsid w:val="00B418FC"/>
    <w:rsid w:val="00B4328E"/>
    <w:rsid w:val="00B44210"/>
    <w:rsid w:val="00B47D88"/>
    <w:rsid w:val="00B51643"/>
    <w:rsid w:val="00B52B1F"/>
    <w:rsid w:val="00B55941"/>
    <w:rsid w:val="00B5611D"/>
    <w:rsid w:val="00B64C00"/>
    <w:rsid w:val="00B67790"/>
    <w:rsid w:val="00B70899"/>
    <w:rsid w:val="00B73803"/>
    <w:rsid w:val="00B73F0C"/>
    <w:rsid w:val="00B751CC"/>
    <w:rsid w:val="00B753E1"/>
    <w:rsid w:val="00B775FF"/>
    <w:rsid w:val="00B80736"/>
    <w:rsid w:val="00B81BA9"/>
    <w:rsid w:val="00B84992"/>
    <w:rsid w:val="00B85DD2"/>
    <w:rsid w:val="00B917EE"/>
    <w:rsid w:val="00B93E3E"/>
    <w:rsid w:val="00B96B3A"/>
    <w:rsid w:val="00BA2942"/>
    <w:rsid w:val="00BA3A54"/>
    <w:rsid w:val="00BA5DFC"/>
    <w:rsid w:val="00BA69C4"/>
    <w:rsid w:val="00BA7064"/>
    <w:rsid w:val="00BB48DC"/>
    <w:rsid w:val="00BB61B4"/>
    <w:rsid w:val="00BC08F3"/>
    <w:rsid w:val="00BC5C42"/>
    <w:rsid w:val="00BD11F8"/>
    <w:rsid w:val="00BD22DF"/>
    <w:rsid w:val="00BE0F39"/>
    <w:rsid w:val="00BE1BFE"/>
    <w:rsid w:val="00BE3B21"/>
    <w:rsid w:val="00BF1117"/>
    <w:rsid w:val="00BF16F8"/>
    <w:rsid w:val="00BF2825"/>
    <w:rsid w:val="00BF4C20"/>
    <w:rsid w:val="00BF5FE3"/>
    <w:rsid w:val="00BF7847"/>
    <w:rsid w:val="00C005C1"/>
    <w:rsid w:val="00C008D7"/>
    <w:rsid w:val="00C048EA"/>
    <w:rsid w:val="00C0539F"/>
    <w:rsid w:val="00C061ED"/>
    <w:rsid w:val="00C139BC"/>
    <w:rsid w:val="00C1458F"/>
    <w:rsid w:val="00C150BC"/>
    <w:rsid w:val="00C20111"/>
    <w:rsid w:val="00C20CD8"/>
    <w:rsid w:val="00C218C5"/>
    <w:rsid w:val="00C24770"/>
    <w:rsid w:val="00C2576A"/>
    <w:rsid w:val="00C32329"/>
    <w:rsid w:val="00C36B9D"/>
    <w:rsid w:val="00C40467"/>
    <w:rsid w:val="00C41331"/>
    <w:rsid w:val="00C423BE"/>
    <w:rsid w:val="00C4270B"/>
    <w:rsid w:val="00C43857"/>
    <w:rsid w:val="00C4513D"/>
    <w:rsid w:val="00C46ED1"/>
    <w:rsid w:val="00C51092"/>
    <w:rsid w:val="00C532A4"/>
    <w:rsid w:val="00C533FD"/>
    <w:rsid w:val="00C53B1E"/>
    <w:rsid w:val="00C54EF3"/>
    <w:rsid w:val="00C61BCD"/>
    <w:rsid w:val="00C62050"/>
    <w:rsid w:val="00C63524"/>
    <w:rsid w:val="00C642DD"/>
    <w:rsid w:val="00C64BE7"/>
    <w:rsid w:val="00C65267"/>
    <w:rsid w:val="00C66ACC"/>
    <w:rsid w:val="00C70803"/>
    <w:rsid w:val="00C728A9"/>
    <w:rsid w:val="00C82E03"/>
    <w:rsid w:val="00C85A41"/>
    <w:rsid w:val="00C9027C"/>
    <w:rsid w:val="00C91410"/>
    <w:rsid w:val="00C9287A"/>
    <w:rsid w:val="00C92CDA"/>
    <w:rsid w:val="00C969CE"/>
    <w:rsid w:val="00CA0921"/>
    <w:rsid w:val="00CA56B0"/>
    <w:rsid w:val="00CA7355"/>
    <w:rsid w:val="00CB0765"/>
    <w:rsid w:val="00CB14F2"/>
    <w:rsid w:val="00CB1FB5"/>
    <w:rsid w:val="00CB3A57"/>
    <w:rsid w:val="00CB3F9A"/>
    <w:rsid w:val="00CB4F0A"/>
    <w:rsid w:val="00CB56CD"/>
    <w:rsid w:val="00CB5F5D"/>
    <w:rsid w:val="00CC1840"/>
    <w:rsid w:val="00CC202F"/>
    <w:rsid w:val="00CC4916"/>
    <w:rsid w:val="00CC721A"/>
    <w:rsid w:val="00CC7809"/>
    <w:rsid w:val="00CD2C6D"/>
    <w:rsid w:val="00CD31C9"/>
    <w:rsid w:val="00CE0904"/>
    <w:rsid w:val="00CE0F2A"/>
    <w:rsid w:val="00CE34BC"/>
    <w:rsid w:val="00CE6242"/>
    <w:rsid w:val="00CF08A2"/>
    <w:rsid w:val="00CF14C7"/>
    <w:rsid w:val="00CF1787"/>
    <w:rsid w:val="00CF1D12"/>
    <w:rsid w:val="00D00093"/>
    <w:rsid w:val="00D07CCB"/>
    <w:rsid w:val="00D07D66"/>
    <w:rsid w:val="00D10E41"/>
    <w:rsid w:val="00D1193A"/>
    <w:rsid w:val="00D13139"/>
    <w:rsid w:val="00D13324"/>
    <w:rsid w:val="00D13F05"/>
    <w:rsid w:val="00D1404C"/>
    <w:rsid w:val="00D15BAD"/>
    <w:rsid w:val="00D1640E"/>
    <w:rsid w:val="00D16684"/>
    <w:rsid w:val="00D172C7"/>
    <w:rsid w:val="00D17E19"/>
    <w:rsid w:val="00D20BE9"/>
    <w:rsid w:val="00D24A40"/>
    <w:rsid w:val="00D279FE"/>
    <w:rsid w:val="00D333C8"/>
    <w:rsid w:val="00D351AC"/>
    <w:rsid w:val="00D35576"/>
    <w:rsid w:val="00D355F6"/>
    <w:rsid w:val="00D378C8"/>
    <w:rsid w:val="00D46E58"/>
    <w:rsid w:val="00D51101"/>
    <w:rsid w:val="00D516E3"/>
    <w:rsid w:val="00D52384"/>
    <w:rsid w:val="00D529A3"/>
    <w:rsid w:val="00D52F21"/>
    <w:rsid w:val="00D537F5"/>
    <w:rsid w:val="00D54993"/>
    <w:rsid w:val="00D63EDB"/>
    <w:rsid w:val="00D63F61"/>
    <w:rsid w:val="00D65686"/>
    <w:rsid w:val="00D66711"/>
    <w:rsid w:val="00D70BF3"/>
    <w:rsid w:val="00D72612"/>
    <w:rsid w:val="00D72E92"/>
    <w:rsid w:val="00D7377E"/>
    <w:rsid w:val="00D73E9B"/>
    <w:rsid w:val="00D75237"/>
    <w:rsid w:val="00D76A10"/>
    <w:rsid w:val="00D77279"/>
    <w:rsid w:val="00D82930"/>
    <w:rsid w:val="00D831FF"/>
    <w:rsid w:val="00D86479"/>
    <w:rsid w:val="00D867E7"/>
    <w:rsid w:val="00D879FC"/>
    <w:rsid w:val="00D90ACE"/>
    <w:rsid w:val="00D93416"/>
    <w:rsid w:val="00D9625F"/>
    <w:rsid w:val="00DA12C7"/>
    <w:rsid w:val="00DA59F2"/>
    <w:rsid w:val="00DA7586"/>
    <w:rsid w:val="00DB1372"/>
    <w:rsid w:val="00DB36E1"/>
    <w:rsid w:val="00DB6895"/>
    <w:rsid w:val="00DB7B63"/>
    <w:rsid w:val="00DC0B90"/>
    <w:rsid w:val="00DC40C2"/>
    <w:rsid w:val="00DD123E"/>
    <w:rsid w:val="00DD3062"/>
    <w:rsid w:val="00DD594F"/>
    <w:rsid w:val="00DD694A"/>
    <w:rsid w:val="00DD6B19"/>
    <w:rsid w:val="00DD7FCB"/>
    <w:rsid w:val="00DE07BC"/>
    <w:rsid w:val="00DE1969"/>
    <w:rsid w:val="00DE1B9B"/>
    <w:rsid w:val="00DE3EA5"/>
    <w:rsid w:val="00DE43EC"/>
    <w:rsid w:val="00DE63D6"/>
    <w:rsid w:val="00DF167B"/>
    <w:rsid w:val="00DF47D0"/>
    <w:rsid w:val="00DF53DF"/>
    <w:rsid w:val="00DF7CF4"/>
    <w:rsid w:val="00DF7D26"/>
    <w:rsid w:val="00E020FE"/>
    <w:rsid w:val="00E0491C"/>
    <w:rsid w:val="00E07BA5"/>
    <w:rsid w:val="00E10BC7"/>
    <w:rsid w:val="00E11276"/>
    <w:rsid w:val="00E13DC1"/>
    <w:rsid w:val="00E1732D"/>
    <w:rsid w:val="00E17595"/>
    <w:rsid w:val="00E27078"/>
    <w:rsid w:val="00E300E5"/>
    <w:rsid w:val="00E343F8"/>
    <w:rsid w:val="00E407F1"/>
    <w:rsid w:val="00E432B9"/>
    <w:rsid w:val="00E44529"/>
    <w:rsid w:val="00E446AD"/>
    <w:rsid w:val="00E44E13"/>
    <w:rsid w:val="00E461F0"/>
    <w:rsid w:val="00E50C4B"/>
    <w:rsid w:val="00E54EA4"/>
    <w:rsid w:val="00E554A5"/>
    <w:rsid w:val="00E555A5"/>
    <w:rsid w:val="00E55BBA"/>
    <w:rsid w:val="00E56025"/>
    <w:rsid w:val="00E633EA"/>
    <w:rsid w:val="00E634DA"/>
    <w:rsid w:val="00E66904"/>
    <w:rsid w:val="00E671D8"/>
    <w:rsid w:val="00E70AB6"/>
    <w:rsid w:val="00E7159B"/>
    <w:rsid w:val="00E76515"/>
    <w:rsid w:val="00E77027"/>
    <w:rsid w:val="00E803DD"/>
    <w:rsid w:val="00E85CD9"/>
    <w:rsid w:val="00E85EBF"/>
    <w:rsid w:val="00E91291"/>
    <w:rsid w:val="00E94C48"/>
    <w:rsid w:val="00EA046D"/>
    <w:rsid w:val="00EA1436"/>
    <w:rsid w:val="00EA7BC3"/>
    <w:rsid w:val="00EB0344"/>
    <w:rsid w:val="00EB5737"/>
    <w:rsid w:val="00EC39FA"/>
    <w:rsid w:val="00EC594B"/>
    <w:rsid w:val="00EC61D0"/>
    <w:rsid w:val="00ED01FC"/>
    <w:rsid w:val="00ED07ED"/>
    <w:rsid w:val="00ED080A"/>
    <w:rsid w:val="00ED1562"/>
    <w:rsid w:val="00ED1A49"/>
    <w:rsid w:val="00ED5835"/>
    <w:rsid w:val="00ED6E65"/>
    <w:rsid w:val="00EE28E4"/>
    <w:rsid w:val="00EE6BCD"/>
    <w:rsid w:val="00EE7295"/>
    <w:rsid w:val="00EF1F53"/>
    <w:rsid w:val="00EF2418"/>
    <w:rsid w:val="00EF3BF3"/>
    <w:rsid w:val="00EF3C53"/>
    <w:rsid w:val="00F02516"/>
    <w:rsid w:val="00F02D53"/>
    <w:rsid w:val="00F0337A"/>
    <w:rsid w:val="00F03BEE"/>
    <w:rsid w:val="00F04FB0"/>
    <w:rsid w:val="00F06672"/>
    <w:rsid w:val="00F06861"/>
    <w:rsid w:val="00F15213"/>
    <w:rsid w:val="00F1565C"/>
    <w:rsid w:val="00F17DB9"/>
    <w:rsid w:val="00F2292A"/>
    <w:rsid w:val="00F229B8"/>
    <w:rsid w:val="00F2703C"/>
    <w:rsid w:val="00F274A6"/>
    <w:rsid w:val="00F3530C"/>
    <w:rsid w:val="00F409A7"/>
    <w:rsid w:val="00F448AC"/>
    <w:rsid w:val="00F45E7D"/>
    <w:rsid w:val="00F46182"/>
    <w:rsid w:val="00F479EE"/>
    <w:rsid w:val="00F500FE"/>
    <w:rsid w:val="00F505BA"/>
    <w:rsid w:val="00F62D1C"/>
    <w:rsid w:val="00F63C69"/>
    <w:rsid w:val="00F70B03"/>
    <w:rsid w:val="00F72D48"/>
    <w:rsid w:val="00F7416E"/>
    <w:rsid w:val="00F76B2C"/>
    <w:rsid w:val="00F83447"/>
    <w:rsid w:val="00F8494B"/>
    <w:rsid w:val="00F85680"/>
    <w:rsid w:val="00F90B5F"/>
    <w:rsid w:val="00F9158A"/>
    <w:rsid w:val="00F92439"/>
    <w:rsid w:val="00F93D24"/>
    <w:rsid w:val="00F97B0A"/>
    <w:rsid w:val="00FA1F4A"/>
    <w:rsid w:val="00FA713C"/>
    <w:rsid w:val="00FB441C"/>
    <w:rsid w:val="00FB4AF6"/>
    <w:rsid w:val="00FB4FF7"/>
    <w:rsid w:val="00FB5BAD"/>
    <w:rsid w:val="00FB6927"/>
    <w:rsid w:val="00FB7A92"/>
    <w:rsid w:val="00FC10D4"/>
    <w:rsid w:val="00FC114D"/>
    <w:rsid w:val="00FC52F4"/>
    <w:rsid w:val="00FC53EC"/>
    <w:rsid w:val="00FC789E"/>
    <w:rsid w:val="00FD03D6"/>
    <w:rsid w:val="00FD25C8"/>
    <w:rsid w:val="00FD457A"/>
    <w:rsid w:val="00FD5BF4"/>
    <w:rsid w:val="00FD60ED"/>
    <w:rsid w:val="00FE14A5"/>
    <w:rsid w:val="00FE5C44"/>
    <w:rsid w:val="00FE63AD"/>
    <w:rsid w:val="00FF1931"/>
    <w:rsid w:val="00FF4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66A8"/>
    <w:pPr>
      <w:spacing w:line="276" w:lineRule="auto"/>
    </w:pPr>
  </w:style>
  <w:style w:type="paragraph" w:styleId="Heading1">
    <w:name w:val="heading 1"/>
    <w:next w:val="BodyTextMemo"/>
    <w:link w:val="Heading1Char"/>
    <w:uiPriority w:val="99"/>
    <w:qFormat/>
    <w:rsid w:val="001A66A8"/>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1A66A8"/>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1A66A8"/>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1A66A8"/>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1A66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1A66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1A66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1A66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qFormat/>
    <w:rsid w:val="001A66A8"/>
    <w:rPr>
      <w:rFonts w:ascii="Calibri" w:eastAsia="Times New Roman" w:hAnsi="Calibri"/>
      <w:sz w:val="16"/>
      <w:szCs w:val="24"/>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3C4A81"/>
    <w:pPr>
      <w:tabs>
        <w:tab w:val="left" w:pos="1000"/>
        <w:tab w:val="right" w:leader="dot" w:pos="9350"/>
      </w:tabs>
      <w:ind w:left="202"/>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1A66A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1A66A8"/>
    <w:pPr>
      <w:autoSpaceDE w:val="0"/>
      <w:autoSpaceDN w:val="0"/>
      <w:ind w:left="720" w:hanging="720"/>
    </w:pPr>
    <w:rPr>
      <w:rFonts w:eastAsia="Times New Roman"/>
    </w:rPr>
  </w:style>
  <w:style w:type="paragraph" w:customStyle="1" w:styleId="TableSpace">
    <w:name w:val="TableSpace"/>
    <w:basedOn w:val="Normal"/>
    <w:next w:val="Normal"/>
    <w:semiHidden/>
    <w:qFormat/>
    <w:rsid w:val="001A66A8"/>
    <w:pPr>
      <w:ind w:left="1080" w:hanging="1080"/>
      <w:jc w:val="both"/>
    </w:pPr>
    <w:rPr>
      <w:rFonts w:ascii="Lucida Sans" w:eastAsia="Times New Roman" w:hAnsi="Lucida Sans"/>
      <w:sz w:val="18"/>
    </w:rPr>
  </w:style>
  <w:style w:type="paragraph" w:customStyle="1" w:styleId="TableTitle">
    <w:name w:val="Table Title"/>
    <w:next w:val="BodyTextMemo"/>
    <w:qFormat/>
    <w:rsid w:val="001A66A8"/>
    <w:pPr>
      <w:keepNext/>
      <w:keepLines/>
      <w:jc w:val="center"/>
    </w:pPr>
    <w:rPr>
      <w:rFonts w:ascii="Calibri" w:eastAsia="Times New Roman" w:hAnsi="Calibri" w:cs="Calibri"/>
      <w:b/>
      <w:bCs/>
      <w:sz w:val="24"/>
      <w:szCs w:val="24"/>
    </w:rPr>
  </w:style>
  <w:style w:type="paragraph" w:customStyle="1" w:styleId="TableChartNotes">
    <w:name w:val="Table&amp;Chart Notes"/>
    <w:qFormat/>
    <w:rsid w:val="001A66A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1A66A8"/>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1A66A8"/>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1A66A8"/>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1A66A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1A66A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1A66A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1A66A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1A66A8"/>
    <w:pPr>
      <w:jc w:val="center"/>
    </w:pPr>
    <w:rPr>
      <w:rFonts w:ascii="Calibri" w:hAnsi="Calibri" w:cs="Calibri"/>
      <w:b/>
      <w:sz w:val="28"/>
      <w:szCs w:val="28"/>
    </w:rPr>
  </w:style>
  <w:style w:type="paragraph" w:customStyle="1" w:styleId="LineLogoHeadermemo">
    <w:name w:val="Line&amp;Logo Header memo"/>
    <w:link w:val="LineLogoHeadermemoChar"/>
    <w:qFormat/>
    <w:rsid w:val="001A66A8"/>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1A66A8"/>
    <w:rPr>
      <w:rFonts w:ascii="Calibri" w:hAnsi="Calibri" w:cs="Calibri"/>
      <w:noProof/>
      <w:sz w:val="24"/>
      <w:szCs w:val="16"/>
    </w:rPr>
  </w:style>
  <w:style w:type="paragraph" w:customStyle="1" w:styleId="Footermemo">
    <w:name w:val="Footer memo"/>
    <w:link w:val="FootermemoChar"/>
    <w:qFormat/>
    <w:rsid w:val="001A66A8"/>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1A66A8"/>
    <w:rPr>
      <w:rFonts w:ascii="Arial" w:hAnsi="Arial" w:cs="Arial"/>
      <w:noProof/>
      <w:sz w:val="18"/>
      <w:szCs w:val="18"/>
    </w:rPr>
  </w:style>
  <w:style w:type="paragraph" w:customStyle="1" w:styleId="Footnt1-BodyText">
    <w:name w:val="Footnt1 - Body Text"/>
    <w:link w:val="Footnt1-BodyTextChar"/>
    <w:qFormat/>
    <w:rsid w:val="001A66A8"/>
    <w:rPr>
      <w:rFonts w:eastAsia="Calibri"/>
      <w:sz w:val="16"/>
      <w:szCs w:val="16"/>
    </w:rPr>
  </w:style>
  <w:style w:type="character" w:customStyle="1" w:styleId="Footnt1-BodyTextChar">
    <w:name w:val="Footnt1 - Body Text Char"/>
    <w:basedOn w:val="DefaultParagraphFont"/>
    <w:link w:val="Footnt1-BodyText"/>
    <w:rsid w:val="001A66A8"/>
    <w:rPr>
      <w:rFonts w:eastAsia="Calibri"/>
      <w:sz w:val="16"/>
      <w:szCs w:val="16"/>
    </w:rPr>
  </w:style>
  <w:style w:type="paragraph" w:customStyle="1" w:styleId="TableChartandFigureListText">
    <w:name w:val="Table Chart and Figure List Text"/>
    <w:basedOn w:val="BTextDouble"/>
    <w:link w:val="TableChartandFigureListTextChar"/>
    <w:qFormat/>
    <w:rsid w:val="001A66A8"/>
    <w:pPr>
      <w:spacing w:line="240" w:lineRule="auto"/>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1A66A8"/>
    <w:rPr>
      <w:rFonts w:ascii="Calibri" w:hAnsi="Calibri" w:cs="Calibri"/>
      <w:sz w:val="20"/>
      <w:szCs w:val="20"/>
    </w:rPr>
  </w:style>
  <w:style w:type="paragraph" w:customStyle="1" w:styleId="Footnt2-TableChartFigure">
    <w:name w:val="Footnt2 -TableChartFigure"/>
    <w:link w:val="Footnt2-TableChartFigureChar"/>
    <w:qFormat/>
    <w:rsid w:val="001A66A8"/>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1A66A8"/>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1A66A8"/>
    <w:pPr>
      <w:spacing w:line="480" w:lineRule="auto"/>
      <w:ind w:firstLine="720"/>
      <w:jc w:val="both"/>
    </w:pPr>
  </w:style>
  <w:style w:type="character" w:customStyle="1" w:styleId="BodyTextMemoChar">
    <w:name w:val="Body Text Memo Char"/>
    <w:basedOn w:val="DefaultParagraphFont"/>
    <w:link w:val="BodyTextMemo"/>
    <w:rsid w:val="001A66A8"/>
  </w:style>
  <w:style w:type="paragraph" w:customStyle="1" w:styleId="FirstPageHeadermemo">
    <w:name w:val="First Page Header memo"/>
    <w:link w:val="FirstPageHeadermemoChar"/>
    <w:qFormat/>
    <w:rsid w:val="001A66A8"/>
    <w:rPr>
      <w:rFonts w:ascii="Arial" w:hAnsi="Arial" w:cs="Arial"/>
      <w:b/>
    </w:rPr>
  </w:style>
  <w:style w:type="character" w:customStyle="1" w:styleId="FirstPageHeadermemoChar">
    <w:name w:val="First Page Header memo Char"/>
    <w:basedOn w:val="DefaultParagraphFont"/>
    <w:link w:val="FirstPageHeadermemo"/>
    <w:rsid w:val="001A66A8"/>
    <w:rPr>
      <w:rFonts w:ascii="Arial" w:hAnsi="Arial" w:cs="Arial"/>
      <w:b/>
    </w:rPr>
  </w:style>
  <w:style w:type="paragraph" w:customStyle="1" w:styleId="FirstPageFootermemo">
    <w:name w:val="First Page Footer memo"/>
    <w:link w:val="FirstPageFootermemoChar"/>
    <w:qFormat/>
    <w:rsid w:val="001A66A8"/>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1A66A8"/>
    <w:rPr>
      <w:rFonts w:ascii="Tahoma" w:hAnsi="Tahoma" w:cs="Tahoma"/>
      <w:b/>
      <w:sz w:val="12"/>
      <w:szCs w:val="12"/>
    </w:rPr>
  </w:style>
  <w:style w:type="paragraph" w:customStyle="1" w:styleId="SmallHeaderArial11ptmemo">
    <w:name w:val="Small Header Arial 11pt memo"/>
    <w:link w:val="SmallHeaderArial11ptmemoChar"/>
    <w:qFormat/>
    <w:rsid w:val="001A66A8"/>
    <w:rPr>
      <w:rFonts w:ascii="Arial" w:hAnsi="Arial" w:cs="Arial"/>
      <w:b/>
    </w:rPr>
  </w:style>
  <w:style w:type="character" w:customStyle="1" w:styleId="SmallHeaderArial11ptmemoChar">
    <w:name w:val="Small Header Arial 11pt memo Char"/>
    <w:basedOn w:val="DefaultParagraphFont"/>
    <w:link w:val="SmallHeaderArial11ptmemo"/>
    <w:rsid w:val="001A66A8"/>
    <w:rPr>
      <w:rFonts w:ascii="Arial" w:hAnsi="Arial" w:cs="Arial"/>
      <w:b/>
    </w:rPr>
  </w:style>
  <w:style w:type="paragraph" w:customStyle="1" w:styleId="CalibriText-noindent">
    <w:name w:val="CalibriText-no indent"/>
    <w:qFormat/>
    <w:rsid w:val="001A66A8"/>
    <w:pPr>
      <w:keepNext/>
      <w:keepLines/>
      <w:spacing w:after="240"/>
    </w:pPr>
    <w:rPr>
      <w:rFonts w:ascii="Calibri" w:eastAsia="Times New Roman" w:hAnsi="Calibri" w:cs="Calibri"/>
      <w:sz w:val="24"/>
      <w:szCs w:val="24"/>
    </w:rPr>
  </w:style>
  <w:style w:type="character" w:customStyle="1" w:styleId="Heading3Char1">
    <w:name w:val="Heading 3 Char1"/>
    <w:basedOn w:val="DefaultParagraphFont"/>
    <w:link w:val="Heading3"/>
    <w:rsid w:val="001A66A8"/>
    <w:rPr>
      <w:rFonts w:ascii="Arial Bold" w:eastAsia="Times New Roman" w:hAnsi="Arial Bold" w:cs="Arial"/>
      <w:b/>
      <w:caps/>
      <w:sz w:val="24"/>
      <w:szCs w:val="24"/>
    </w:rPr>
  </w:style>
  <w:style w:type="paragraph" w:customStyle="1" w:styleId="MarkforTableHeading">
    <w:name w:val="Mark for Table Heading"/>
    <w:basedOn w:val="Normal"/>
    <w:next w:val="Normal"/>
    <w:qFormat/>
    <w:rsid w:val="00F0337A"/>
    <w:pPr>
      <w:keepNext/>
      <w:tabs>
        <w:tab w:val="left" w:pos="432"/>
      </w:tabs>
      <w:spacing w:after="60" w:line="240" w:lineRule="auto"/>
      <w:jc w:val="both"/>
    </w:pPr>
    <w:rPr>
      <w:rFonts w:ascii="Lucida Sans" w:eastAsia="Times New Roman" w:hAnsi="Lucida Sans"/>
      <w:b/>
      <w:sz w:val="18"/>
      <w:szCs w:val="24"/>
    </w:rPr>
  </w:style>
  <w:style w:type="paragraph" w:customStyle="1" w:styleId="TableHeaderCenter">
    <w:name w:val="Table Header Center"/>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pPr>
    <w:rPr>
      <w:rFonts w:ascii="Lucida Sans" w:hAnsi="Lucida Sans"/>
      <w:sz w:val="18"/>
      <w:szCs w:val="24"/>
    </w:rPr>
  </w:style>
  <w:style w:type="paragraph" w:customStyle="1" w:styleId="TableHeaderLeft">
    <w:name w:val="Table Header Left"/>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pPr>
    <w:rPr>
      <w:rFonts w:ascii="Lucida Sans" w:hAnsi="Lucida Sans"/>
      <w:sz w:val="18"/>
      <w:szCs w:val="24"/>
    </w:rPr>
  </w:style>
  <w:style w:type="table" w:styleId="TableGrid">
    <w:name w:val="Table Grid"/>
    <w:basedOn w:val="TableNormal"/>
    <w:uiPriority w:val="59"/>
    <w:rsid w:val="00F0337A"/>
    <w:rPr>
      <w:rFonts w:ascii="Garamond" w:eastAsia="Times New Roman"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0C031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66A8"/>
    <w:pPr>
      <w:spacing w:line="276" w:lineRule="auto"/>
    </w:pPr>
  </w:style>
  <w:style w:type="paragraph" w:styleId="Heading1">
    <w:name w:val="heading 1"/>
    <w:next w:val="BodyTextMemo"/>
    <w:link w:val="Heading1Char"/>
    <w:uiPriority w:val="99"/>
    <w:qFormat/>
    <w:rsid w:val="001A66A8"/>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1A66A8"/>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1A66A8"/>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1A66A8"/>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1A66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1A66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1A66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1A66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qFormat/>
    <w:rsid w:val="001A66A8"/>
    <w:rPr>
      <w:rFonts w:ascii="Calibri" w:eastAsia="Times New Roman" w:hAnsi="Calibri"/>
      <w:sz w:val="16"/>
      <w:szCs w:val="24"/>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3C4A81"/>
    <w:pPr>
      <w:tabs>
        <w:tab w:val="left" w:pos="1000"/>
        <w:tab w:val="right" w:leader="dot" w:pos="9350"/>
      </w:tabs>
      <w:ind w:left="202"/>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1A66A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1A66A8"/>
    <w:pPr>
      <w:autoSpaceDE w:val="0"/>
      <w:autoSpaceDN w:val="0"/>
      <w:ind w:left="720" w:hanging="720"/>
    </w:pPr>
    <w:rPr>
      <w:rFonts w:eastAsia="Times New Roman"/>
    </w:rPr>
  </w:style>
  <w:style w:type="paragraph" w:customStyle="1" w:styleId="TableSpace">
    <w:name w:val="TableSpace"/>
    <w:basedOn w:val="Normal"/>
    <w:next w:val="Normal"/>
    <w:semiHidden/>
    <w:qFormat/>
    <w:rsid w:val="001A66A8"/>
    <w:pPr>
      <w:ind w:left="1080" w:hanging="1080"/>
      <w:jc w:val="both"/>
    </w:pPr>
    <w:rPr>
      <w:rFonts w:ascii="Lucida Sans" w:eastAsia="Times New Roman" w:hAnsi="Lucida Sans"/>
      <w:sz w:val="18"/>
    </w:rPr>
  </w:style>
  <w:style w:type="paragraph" w:customStyle="1" w:styleId="TableTitle">
    <w:name w:val="Table Title"/>
    <w:next w:val="BodyTextMemo"/>
    <w:qFormat/>
    <w:rsid w:val="001A66A8"/>
    <w:pPr>
      <w:keepNext/>
      <w:keepLines/>
      <w:jc w:val="center"/>
    </w:pPr>
    <w:rPr>
      <w:rFonts w:ascii="Calibri" w:eastAsia="Times New Roman" w:hAnsi="Calibri" w:cs="Calibri"/>
      <w:b/>
      <w:bCs/>
      <w:sz w:val="24"/>
      <w:szCs w:val="24"/>
    </w:rPr>
  </w:style>
  <w:style w:type="paragraph" w:customStyle="1" w:styleId="TableChartNotes">
    <w:name w:val="Table&amp;Chart Notes"/>
    <w:qFormat/>
    <w:rsid w:val="001A66A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1A66A8"/>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1A66A8"/>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1A66A8"/>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1A66A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1A66A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1A66A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1A66A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1A66A8"/>
    <w:pPr>
      <w:jc w:val="center"/>
    </w:pPr>
    <w:rPr>
      <w:rFonts w:ascii="Calibri" w:hAnsi="Calibri" w:cs="Calibri"/>
      <w:b/>
      <w:sz w:val="28"/>
      <w:szCs w:val="28"/>
    </w:rPr>
  </w:style>
  <w:style w:type="paragraph" w:customStyle="1" w:styleId="LineLogoHeadermemo">
    <w:name w:val="Line&amp;Logo Header memo"/>
    <w:link w:val="LineLogoHeadermemoChar"/>
    <w:qFormat/>
    <w:rsid w:val="001A66A8"/>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1A66A8"/>
    <w:rPr>
      <w:rFonts w:ascii="Calibri" w:hAnsi="Calibri" w:cs="Calibri"/>
      <w:noProof/>
      <w:sz w:val="24"/>
      <w:szCs w:val="16"/>
    </w:rPr>
  </w:style>
  <w:style w:type="paragraph" w:customStyle="1" w:styleId="Footermemo">
    <w:name w:val="Footer memo"/>
    <w:link w:val="FootermemoChar"/>
    <w:qFormat/>
    <w:rsid w:val="001A66A8"/>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1A66A8"/>
    <w:rPr>
      <w:rFonts w:ascii="Arial" w:hAnsi="Arial" w:cs="Arial"/>
      <w:noProof/>
      <w:sz w:val="18"/>
      <w:szCs w:val="18"/>
    </w:rPr>
  </w:style>
  <w:style w:type="paragraph" w:customStyle="1" w:styleId="Footnt1-BodyText">
    <w:name w:val="Footnt1 - Body Text"/>
    <w:link w:val="Footnt1-BodyTextChar"/>
    <w:qFormat/>
    <w:rsid w:val="001A66A8"/>
    <w:rPr>
      <w:rFonts w:eastAsia="Calibri"/>
      <w:sz w:val="16"/>
      <w:szCs w:val="16"/>
    </w:rPr>
  </w:style>
  <w:style w:type="character" w:customStyle="1" w:styleId="Footnt1-BodyTextChar">
    <w:name w:val="Footnt1 - Body Text Char"/>
    <w:basedOn w:val="DefaultParagraphFont"/>
    <w:link w:val="Footnt1-BodyText"/>
    <w:rsid w:val="001A66A8"/>
    <w:rPr>
      <w:rFonts w:eastAsia="Calibri"/>
      <w:sz w:val="16"/>
      <w:szCs w:val="16"/>
    </w:rPr>
  </w:style>
  <w:style w:type="paragraph" w:customStyle="1" w:styleId="TableChartandFigureListText">
    <w:name w:val="Table Chart and Figure List Text"/>
    <w:basedOn w:val="BTextDouble"/>
    <w:link w:val="TableChartandFigureListTextChar"/>
    <w:qFormat/>
    <w:rsid w:val="001A66A8"/>
    <w:pPr>
      <w:spacing w:line="240" w:lineRule="auto"/>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1A66A8"/>
    <w:rPr>
      <w:rFonts w:ascii="Calibri" w:hAnsi="Calibri" w:cs="Calibri"/>
      <w:sz w:val="20"/>
      <w:szCs w:val="20"/>
    </w:rPr>
  </w:style>
  <w:style w:type="paragraph" w:customStyle="1" w:styleId="Footnt2-TableChartFigure">
    <w:name w:val="Footnt2 -TableChartFigure"/>
    <w:link w:val="Footnt2-TableChartFigureChar"/>
    <w:qFormat/>
    <w:rsid w:val="001A66A8"/>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1A66A8"/>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1A66A8"/>
    <w:pPr>
      <w:spacing w:line="480" w:lineRule="auto"/>
      <w:ind w:firstLine="720"/>
      <w:jc w:val="both"/>
    </w:pPr>
  </w:style>
  <w:style w:type="character" w:customStyle="1" w:styleId="BodyTextMemoChar">
    <w:name w:val="Body Text Memo Char"/>
    <w:basedOn w:val="DefaultParagraphFont"/>
    <w:link w:val="BodyTextMemo"/>
    <w:rsid w:val="001A66A8"/>
  </w:style>
  <w:style w:type="paragraph" w:customStyle="1" w:styleId="FirstPageHeadermemo">
    <w:name w:val="First Page Header memo"/>
    <w:link w:val="FirstPageHeadermemoChar"/>
    <w:qFormat/>
    <w:rsid w:val="001A66A8"/>
    <w:rPr>
      <w:rFonts w:ascii="Arial" w:hAnsi="Arial" w:cs="Arial"/>
      <w:b/>
    </w:rPr>
  </w:style>
  <w:style w:type="character" w:customStyle="1" w:styleId="FirstPageHeadermemoChar">
    <w:name w:val="First Page Header memo Char"/>
    <w:basedOn w:val="DefaultParagraphFont"/>
    <w:link w:val="FirstPageHeadermemo"/>
    <w:rsid w:val="001A66A8"/>
    <w:rPr>
      <w:rFonts w:ascii="Arial" w:hAnsi="Arial" w:cs="Arial"/>
      <w:b/>
    </w:rPr>
  </w:style>
  <w:style w:type="paragraph" w:customStyle="1" w:styleId="FirstPageFootermemo">
    <w:name w:val="First Page Footer memo"/>
    <w:link w:val="FirstPageFootermemoChar"/>
    <w:qFormat/>
    <w:rsid w:val="001A66A8"/>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1A66A8"/>
    <w:rPr>
      <w:rFonts w:ascii="Tahoma" w:hAnsi="Tahoma" w:cs="Tahoma"/>
      <w:b/>
      <w:sz w:val="12"/>
      <w:szCs w:val="12"/>
    </w:rPr>
  </w:style>
  <w:style w:type="paragraph" w:customStyle="1" w:styleId="SmallHeaderArial11ptmemo">
    <w:name w:val="Small Header Arial 11pt memo"/>
    <w:link w:val="SmallHeaderArial11ptmemoChar"/>
    <w:qFormat/>
    <w:rsid w:val="001A66A8"/>
    <w:rPr>
      <w:rFonts w:ascii="Arial" w:hAnsi="Arial" w:cs="Arial"/>
      <w:b/>
    </w:rPr>
  </w:style>
  <w:style w:type="character" w:customStyle="1" w:styleId="SmallHeaderArial11ptmemoChar">
    <w:name w:val="Small Header Arial 11pt memo Char"/>
    <w:basedOn w:val="DefaultParagraphFont"/>
    <w:link w:val="SmallHeaderArial11ptmemo"/>
    <w:rsid w:val="001A66A8"/>
    <w:rPr>
      <w:rFonts w:ascii="Arial" w:hAnsi="Arial" w:cs="Arial"/>
      <w:b/>
    </w:rPr>
  </w:style>
  <w:style w:type="paragraph" w:customStyle="1" w:styleId="CalibriText-noindent">
    <w:name w:val="CalibriText-no indent"/>
    <w:qFormat/>
    <w:rsid w:val="001A66A8"/>
    <w:pPr>
      <w:keepNext/>
      <w:keepLines/>
      <w:spacing w:after="240"/>
    </w:pPr>
    <w:rPr>
      <w:rFonts w:ascii="Calibri" w:eastAsia="Times New Roman" w:hAnsi="Calibri" w:cs="Calibri"/>
      <w:sz w:val="24"/>
      <w:szCs w:val="24"/>
    </w:rPr>
  </w:style>
  <w:style w:type="character" w:customStyle="1" w:styleId="Heading3Char1">
    <w:name w:val="Heading 3 Char1"/>
    <w:basedOn w:val="DefaultParagraphFont"/>
    <w:link w:val="Heading3"/>
    <w:rsid w:val="001A66A8"/>
    <w:rPr>
      <w:rFonts w:ascii="Arial Bold" w:eastAsia="Times New Roman" w:hAnsi="Arial Bold" w:cs="Arial"/>
      <w:b/>
      <w:caps/>
      <w:sz w:val="24"/>
      <w:szCs w:val="24"/>
    </w:rPr>
  </w:style>
  <w:style w:type="paragraph" w:customStyle="1" w:styleId="MarkforTableHeading">
    <w:name w:val="Mark for Table Heading"/>
    <w:basedOn w:val="Normal"/>
    <w:next w:val="Normal"/>
    <w:qFormat/>
    <w:rsid w:val="00F0337A"/>
    <w:pPr>
      <w:keepNext/>
      <w:tabs>
        <w:tab w:val="left" w:pos="432"/>
      </w:tabs>
      <w:spacing w:after="60" w:line="240" w:lineRule="auto"/>
      <w:jc w:val="both"/>
    </w:pPr>
    <w:rPr>
      <w:rFonts w:ascii="Lucida Sans" w:eastAsia="Times New Roman" w:hAnsi="Lucida Sans"/>
      <w:b/>
      <w:sz w:val="18"/>
      <w:szCs w:val="24"/>
    </w:rPr>
  </w:style>
  <w:style w:type="paragraph" w:customStyle="1" w:styleId="TableHeaderCenter">
    <w:name w:val="Table Header Center"/>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pPr>
    <w:rPr>
      <w:rFonts w:ascii="Lucida Sans" w:hAnsi="Lucida Sans"/>
      <w:sz w:val="18"/>
      <w:szCs w:val="24"/>
    </w:rPr>
  </w:style>
  <w:style w:type="paragraph" w:customStyle="1" w:styleId="TableHeaderLeft">
    <w:name w:val="Table Header Left"/>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pPr>
    <w:rPr>
      <w:rFonts w:ascii="Lucida Sans" w:hAnsi="Lucida Sans"/>
      <w:sz w:val="18"/>
      <w:szCs w:val="24"/>
    </w:rPr>
  </w:style>
  <w:style w:type="table" w:styleId="TableGrid">
    <w:name w:val="Table Grid"/>
    <w:basedOn w:val="TableNormal"/>
    <w:uiPriority w:val="59"/>
    <w:rsid w:val="00F0337A"/>
    <w:rPr>
      <w:rFonts w:ascii="Garamond" w:eastAsia="Times New Roman"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0C031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694581129">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820387039">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99006465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825FE-8B27-43BC-BBB7-25B7BEF5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2714</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18051</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2</cp:revision>
  <cp:lastPrinted>2013-04-16T21:17:00Z</cp:lastPrinted>
  <dcterms:created xsi:type="dcterms:W3CDTF">2013-10-28T16:35:00Z</dcterms:created>
  <dcterms:modified xsi:type="dcterms:W3CDTF">2013-10-28T16:35:00Z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