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BA1A0C" w:rsidP="00CE5AA9">
      <w:pPr>
        <w:tabs>
          <w:tab w:val="center" w:pos="4680"/>
        </w:tabs>
        <w:spacing w:before="120"/>
        <w:jc w:val="center"/>
        <w:rPr>
          <w:b/>
          <w:bCs/>
          <w:sz w:val="32"/>
          <w:szCs w:val="32"/>
        </w:rPr>
      </w:pPr>
    </w:p>
    <w:p w:rsidR="009B3794" w:rsidRDefault="00267629" w:rsidP="00CE5AA9">
      <w:pPr>
        <w:tabs>
          <w:tab w:val="center" w:pos="4680"/>
        </w:tabs>
        <w:spacing w:before="120"/>
        <w:jc w:val="center"/>
        <w:rPr>
          <w:b/>
          <w:bCs/>
          <w:sz w:val="32"/>
          <w:szCs w:val="32"/>
        </w:rPr>
      </w:pPr>
      <w:r w:rsidRPr="00267629">
        <w:rPr>
          <w:b/>
          <w:bCs/>
          <w:sz w:val="32"/>
          <w:szCs w:val="32"/>
        </w:rPr>
        <w:t xml:space="preserve">Maternal, Infant, and Early Childhood Home Visiting Program FY 2012 Competitive </w:t>
      </w:r>
      <w:r w:rsidR="003E031A">
        <w:rPr>
          <w:b/>
          <w:bCs/>
          <w:sz w:val="32"/>
          <w:szCs w:val="32"/>
        </w:rPr>
        <w:t>Noncompeting Continuation Progress Reports</w:t>
      </w:r>
    </w:p>
    <w:p w:rsidR="00BA1A0C" w:rsidRDefault="00BA1A0C" w:rsidP="00CE5AA9">
      <w:pPr>
        <w:tabs>
          <w:tab w:val="center" w:pos="4680"/>
        </w:tabs>
        <w:spacing w:before="120"/>
        <w:jc w:val="center"/>
        <w:rPr>
          <w:b/>
          <w:bCs/>
          <w:sz w:val="32"/>
          <w:szCs w:val="32"/>
        </w:rPr>
      </w:pP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-XXXX</w:t>
      </w:r>
    </w:p>
    <w:p w:rsidR="00BA1A0C" w:rsidRDefault="00BA1A0C" w:rsidP="00CE5AA9">
      <w:pPr>
        <w:tabs>
          <w:tab w:val="center" w:pos="4680"/>
        </w:tabs>
        <w:spacing w:before="120"/>
        <w:jc w:val="center"/>
        <w:rPr>
          <w:b/>
          <w:bCs/>
          <w:sz w:val="32"/>
          <w:szCs w:val="32"/>
        </w:rPr>
      </w:pPr>
    </w:p>
    <w:p w:rsidR="009B3794" w:rsidRPr="00BA1A0C" w:rsidRDefault="009B3794" w:rsidP="00CE5AA9">
      <w:pPr>
        <w:tabs>
          <w:tab w:val="center" w:pos="4680"/>
        </w:tabs>
        <w:spacing w:before="120"/>
        <w:jc w:val="center"/>
        <w:rPr>
          <w:b/>
          <w:bCs/>
          <w:sz w:val="32"/>
          <w:szCs w:val="32"/>
        </w:rPr>
      </w:pPr>
    </w:p>
    <w:p w:rsidR="009B3794" w:rsidRPr="00CE5AA9"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Pr="006263D6">
        <w:rPr>
          <w:sz w:val="24"/>
        </w:rPr>
        <w:t>None</w:t>
      </w:r>
      <w:r w:rsidRPr="00CE5AA9">
        <w:rPr>
          <w:b/>
          <w:sz w:val="24"/>
        </w:rPr>
        <w:t>.</w:t>
      </w:r>
      <w:r w:rsidR="00BA1A0C" w:rsidRPr="00CE5AA9">
        <w:rPr>
          <w:b/>
          <w:sz w:val="24"/>
        </w:rPr>
        <w:t xml:space="preserve"> </w:t>
      </w:r>
    </w:p>
    <w:p w:rsidR="009B3794" w:rsidRDefault="009B3794" w:rsidP="00CA3DA6">
      <w:pPr>
        <w:spacing w:before="120"/>
        <w:rPr>
          <w:b/>
          <w:bCs/>
          <w:sz w:val="24"/>
        </w:rPr>
      </w:pPr>
      <w:r>
        <w:rPr>
          <w:b/>
          <w:bCs/>
          <w:sz w:val="24"/>
        </w:rPr>
        <w:t>A.</w:t>
      </w:r>
      <w:r>
        <w:rPr>
          <w:b/>
          <w:bCs/>
          <w:sz w:val="24"/>
        </w:rPr>
        <w:tab/>
        <w:t>Justification</w:t>
      </w:r>
    </w:p>
    <w:p w:rsidR="009B3794" w:rsidRDefault="009B3794" w:rsidP="00CA3DA6">
      <w:pPr>
        <w:numPr>
          <w:ilvl w:val="0"/>
          <w:numId w:val="2"/>
        </w:numPr>
        <w:spacing w:before="240"/>
        <w:rPr>
          <w:b/>
          <w:sz w:val="24"/>
        </w:rPr>
      </w:pPr>
      <w:r>
        <w:rPr>
          <w:b/>
          <w:sz w:val="24"/>
          <w:u w:val="single"/>
        </w:rPr>
        <w:t>Circumstances Making the Collection of Information Necessary</w:t>
      </w:r>
    </w:p>
    <w:p w:rsidR="006263D6" w:rsidRPr="006263D6" w:rsidRDefault="006263D6" w:rsidP="006263D6">
      <w:pPr>
        <w:rPr>
          <w:i/>
          <w:sz w:val="24"/>
          <w:szCs w:val="22"/>
        </w:rPr>
      </w:pPr>
    </w:p>
    <w:p w:rsidR="007C4A78" w:rsidRPr="00DF3F91" w:rsidRDefault="007C4A78" w:rsidP="007C4A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rPr>
      </w:pPr>
      <w:r w:rsidRPr="00A25F72">
        <w:rPr>
          <w:color w:val="000000"/>
          <w:sz w:val="24"/>
        </w:rPr>
        <w:t xml:space="preserve">On March 23, 2010, the President signed into law the </w:t>
      </w:r>
      <w:r>
        <w:rPr>
          <w:color w:val="000000"/>
          <w:sz w:val="24"/>
        </w:rPr>
        <w:t>Patient</w:t>
      </w:r>
      <w:r w:rsidRPr="00DF3F91">
        <w:rPr>
          <w:color w:val="000000"/>
          <w:sz w:val="24"/>
        </w:rPr>
        <w:t xml:space="preserve"> Protection and Affordable Care Act of 2010 (Affordable Care Act) (P.L. 111-148), historic and transformative legislation designed to make quality, affordable health care available to all Americans, reduce costs, improve health care quality, enhance disease prevention, and strengthen the health care workforce. </w:t>
      </w:r>
      <w:r>
        <w:rPr>
          <w:color w:val="000000"/>
          <w:sz w:val="24"/>
        </w:rPr>
        <w:t xml:space="preserve"> </w:t>
      </w:r>
      <w:r w:rsidRPr="00DF3F91">
        <w:rPr>
          <w:color w:val="000000"/>
          <w:sz w:val="24"/>
        </w:rPr>
        <w:t>Through a provision authorizing the creation of the</w:t>
      </w:r>
      <w:r w:rsidRPr="00223B4D">
        <w:rPr>
          <w:color w:val="000000"/>
          <w:sz w:val="24"/>
        </w:rPr>
        <w:t xml:space="preserve"> </w:t>
      </w:r>
      <w:r>
        <w:rPr>
          <w:color w:val="000000"/>
          <w:sz w:val="24"/>
        </w:rPr>
        <w:t>MIECHV program</w:t>
      </w:r>
      <w:r w:rsidRPr="007C4A78">
        <w:rPr>
          <w:rStyle w:val="FootnoteReference"/>
          <w:color w:val="000000"/>
        </w:rPr>
        <w:footnoteReference w:id="1"/>
      </w:r>
      <w:r w:rsidRPr="00DF3F91">
        <w:rPr>
          <w:color w:val="000000"/>
          <w:sz w:val="24"/>
        </w:rPr>
        <w:t>,</w:t>
      </w:r>
      <w:r w:rsidRPr="00DF3F91">
        <w:rPr>
          <w:color w:val="000000"/>
          <w:sz w:val="24"/>
          <w:szCs w:val="15"/>
        </w:rPr>
        <w:t xml:space="preserve"> the</w:t>
      </w:r>
      <w:r w:rsidRPr="00DF3F91">
        <w:rPr>
          <w:color w:val="000000"/>
          <w:sz w:val="24"/>
        </w:rPr>
        <w:t xml:space="preserve"> Affordable Care Act responds to the diverse needs of children and families in communities at risk and provides an unprecedented opportunity for collaboration and partnership at the Federal, </w:t>
      </w:r>
      <w:r>
        <w:rPr>
          <w:color w:val="000000"/>
          <w:sz w:val="24"/>
        </w:rPr>
        <w:t>state</w:t>
      </w:r>
      <w:r w:rsidRPr="00DF3F91">
        <w:rPr>
          <w:color w:val="000000"/>
          <w:sz w:val="24"/>
        </w:rPr>
        <w:t>, and community levels to improve health and development outcomes for at-risk children through evidence-based home visiting programs.</w:t>
      </w:r>
    </w:p>
    <w:p w:rsidR="007C4A78" w:rsidRPr="00DF3F91" w:rsidRDefault="007C4A78" w:rsidP="007C4A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rPr>
      </w:pPr>
    </w:p>
    <w:p w:rsidR="007C4A78" w:rsidRPr="00DF3F91" w:rsidRDefault="007C4A78" w:rsidP="007C4A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rPr>
      </w:pPr>
      <w:r w:rsidRPr="00DF3F91">
        <w:rPr>
          <w:color w:val="000000"/>
          <w:sz w:val="24"/>
        </w:rPr>
        <w:t xml:space="preserve">This program is designed: (1) to strengthen and improve the programs and activities carried out under Title V; (2) to improve coordination of services for at-risk communities; and (3) to identify and provide comprehensive services to improve outcomes for families who reside in at-risk communities. </w:t>
      </w:r>
      <w:r>
        <w:rPr>
          <w:color w:val="000000"/>
          <w:sz w:val="24"/>
        </w:rPr>
        <w:t xml:space="preserve"> </w:t>
      </w:r>
      <w:r w:rsidRPr="00DF3F91">
        <w:rPr>
          <w:color w:val="000000"/>
          <w:sz w:val="24"/>
        </w:rPr>
        <w:t xml:space="preserve">The legislation reserves the majority of funding for one or more evidence-based home visiting models. </w:t>
      </w:r>
      <w:r>
        <w:rPr>
          <w:color w:val="000000"/>
          <w:sz w:val="24"/>
        </w:rPr>
        <w:t xml:space="preserve"> </w:t>
      </w:r>
      <w:r w:rsidRPr="00DF3F91">
        <w:rPr>
          <w:color w:val="000000"/>
          <w:sz w:val="24"/>
        </w:rPr>
        <w:t>In addition, the legislation supports continued innovation by allowing for up to 25 percent of funding supporting promising approaches that do not yet qualify as evidence-based models.</w:t>
      </w:r>
    </w:p>
    <w:p w:rsidR="007C4A78" w:rsidRPr="007C4A78" w:rsidRDefault="007C4A78" w:rsidP="007C4A78">
      <w:pPr>
        <w:rPr>
          <w:i/>
          <w:sz w:val="24"/>
          <w:szCs w:val="22"/>
        </w:rPr>
      </w:pPr>
    </w:p>
    <w:p w:rsidR="007C4A78" w:rsidRDefault="007C4A78" w:rsidP="007C4A78">
      <w:pPr>
        <w:rPr>
          <w:sz w:val="24"/>
        </w:rPr>
      </w:pPr>
      <w:r>
        <w:rPr>
          <w:sz w:val="24"/>
        </w:rPr>
        <w:t xml:space="preserve">The goal of the Maternal, Infant, and Early Childhood Home Visiting (MIECHV) competitive grant program is to award additional funding to states that have sufficiently demonstrated the interest and capacity to expand and/or enhance their evidence-based home visiting programs to improve outcomes for children and families who reside in high-risk communities.  </w:t>
      </w:r>
    </w:p>
    <w:p w:rsidR="007C4A78" w:rsidRDefault="007C4A78" w:rsidP="007C4A78">
      <w:pPr>
        <w:rPr>
          <w:sz w:val="24"/>
        </w:rPr>
      </w:pPr>
    </w:p>
    <w:p w:rsidR="007C4A78" w:rsidRPr="007C4A78" w:rsidRDefault="00F56E63" w:rsidP="007C4A78">
      <w:pPr>
        <w:rPr>
          <w:sz w:val="24"/>
        </w:rPr>
      </w:pPr>
      <w:r>
        <w:rPr>
          <w:sz w:val="24"/>
        </w:rPr>
        <w:t>Grant recipients shall submit a Noncompeting Continuation progress report to receive continuous funding throughout the project period. Grantees</w:t>
      </w:r>
      <w:r w:rsidR="007C4A78">
        <w:rPr>
          <w:sz w:val="24"/>
        </w:rPr>
        <w:t xml:space="preserve"> will be evaluated </w:t>
      </w:r>
      <w:r w:rsidR="00C80E2B">
        <w:rPr>
          <w:sz w:val="24"/>
        </w:rPr>
        <w:t xml:space="preserve">according to their progress in </w:t>
      </w:r>
      <w:r w:rsidR="00C80E2B">
        <w:rPr>
          <w:sz w:val="24"/>
        </w:rPr>
        <w:lastRenderedPageBreak/>
        <w:t xml:space="preserve">carrying out the project as approved by the objective review panel, and that is consistent with the Updated State Plans as outlined in their applications, as well as the adequacy of their plans for the upcoming year to carrying out a high quality, effective state home visiting program.   </w:t>
      </w:r>
    </w:p>
    <w:p w:rsidR="009B3794" w:rsidRPr="007C4A78" w:rsidRDefault="009B3794" w:rsidP="00CA3DA6">
      <w:pPr>
        <w:numPr>
          <w:ilvl w:val="0"/>
          <w:numId w:val="2"/>
        </w:numPr>
        <w:spacing w:before="240"/>
        <w:rPr>
          <w:b/>
          <w:sz w:val="24"/>
        </w:rPr>
      </w:pPr>
      <w:r>
        <w:rPr>
          <w:b/>
          <w:sz w:val="24"/>
          <w:u w:val="single"/>
        </w:rPr>
        <w:t>Purpose and Use of Information Collection</w:t>
      </w:r>
    </w:p>
    <w:p w:rsidR="007C4A78" w:rsidRDefault="007C4A78" w:rsidP="007C4A78">
      <w:pPr>
        <w:rPr>
          <w:sz w:val="24"/>
          <w:szCs w:val="22"/>
        </w:rPr>
      </w:pPr>
    </w:p>
    <w:p w:rsidR="007230B1" w:rsidRDefault="007C4A78" w:rsidP="007C4A78">
      <w:pPr>
        <w:rPr>
          <w:sz w:val="24"/>
        </w:rPr>
      </w:pPr>
      <w:r>
        <w:rPr>
          <w:sz w:val="24"/>
          <w:szCs w:val="22"/>
        </w:rPr>
        <w:t xml:space="preserve">This information collection is needed for eligible entities to </w:t>
      </w:r>
      <w:r w:rsidR="00F56E63">
        <w:rPr>
          <w:sz w:val="24"/>
          <w:szCs w:val="22"/>
        </w:rPr>
        <w:t xml:space="preserve">receive subsequent funds under </w:t>
      </w:r>
      <w:r>
        <w:rPr>
          <w:sz w:val="24"/>
          <w:szCs w:val="22"/>
        </w:rPr>
        <w:t>the MIECHV</w:t>
      </w:r>
      <w:r w:rsidR="00406E63">
        <w:rPr>
          <w:sz w:val="24"/>
          <w:szCs w:val="22"/>
        </w:rPr>
        <w:t xml:space="preserve"> program</w:t>
      </w:r>
      <w:r>
        <w:rPr>
          <w:sz w:val="24"/>
          <w:szCs w:val="22"/>
        </w:rPr>
        <w:t>. As noted above, this program is authorized under the</w:t>
      </w:r>
      <w:r>
        <w:rPr>
          <w:i/>
          <w:sz w:val="24"/>
          <w:szCs w:val="22"/>
        </w:rPr>
        <w:t xml:space="preserve"> </w:t>
      </w:r>
      <w:r w:rsidRPr="006263D6">
        <w:rPr>
          <w:sz w:val="24"/>
        </w:rPr>
        <w:t>Social Security Act, Title V, Section 511</w:t>
      </w:r>
      <w:r w:rsidRPr="006263D6">
        <w:rPr>
          <w:sz w:val="22"/>
          <w:szCs w:val="22"/>
        </w:rPr>
        <w:t xml:space="preserve"> (42 U.S.C. §701)</w:t>
      </w:r>
      <w:r w:rsidRPr="006263D6">
        <w:rPr>
          <w:sz w:val="24"/>
        </w:rPr>
        <w:t xml:space="preserve">, as amended by Section 2951 of the Patient Protection and Affordable Care Act of 2010 (Public Law 111-148). </w:t>
      </w:r>
      <w:r>
        <w:rPr>
          <w:sz w:val="24"/>
        </w:rPr>
        <w:t xml:space="preserve">A portion of funding under this program is awarded to </w:t>
      </w:r>
      <w:r w:rsidR="009A056B">
        <w:rPr>
          <w:sz w:val="24"/>
        </w:rPr>
        <w:t xml:space="preserve">participating </w:t>
      </w:r>
      <w:r>
        <w:rPr>
          <w:sz w:val="24"/>
        </w:rPr>
        <w:t>states and eligible jurisdictions</w:t>
      </w:r>
      <w:r w:rsidRPr="00EC6334">
        <w:rPr>
          <w:rStyle w:val="FootnoteReference"/>
        </w:rPr>
        <w:footnoteReference w:id="2"/>
      </w:r>
      <w:r w:rsidRPr="006263D6">
        <w:rPr>
          <w:sz w:val="24"/>
          <w:vertAlign w:val="superscript"/>
        </w:rPr>
        <w:t xml:space="preserve"> </w:t>
      </w:r>
      <w:r>
        <w:rPr>
          <w:sz w:val="24"/>
        </w:rPr>
        <w:t>by formula. However, a</w:t>
      </w:r>
      <w:r w:rsidR="004150C3">
        <w:rPr>
          <w:sz w:val="24"/>
        </w:rPr>
        <w:t>n additional</w:t>
      </w:r>
      <w:r>
        <w:rPr>
          <w:sz w:val="24"/>
        </w:rPr>
        <w:t xml:space="preserve"> portion of funds </w:t>
      </w:r>
      <w:r w:rsidR="00C80E2B">
        <w:rPr>
          <w:sz w:val="24"/>
        </w:rPr>
        <w:t>was</w:t>
      </w:r>
      <w:r w:rsidR="004150C3">
        <w:rPr>
          <w:sz w:val="24"/>
        </w:rPr>
        <w:t xml:space="preserve"> </w:t>
      </w:r>
      <w:r>
        <w:rPr>
          <w:sz w:val="24"/>
        </w:rPr>
        <w:t xml:space="preserve">awarded competitively. </w:t>
      </w:r>
    </w:p>
    <w:p w:rsidR="007230B1" w:rsidRDefault="007230B1" w:rsidP="007C4A78">
      <w:pPr>
        <w:rPr>
          <w:sz w:val="24"/>
        </w:rPr>
      </w:pPr>
    </w:p>
    <w:p w:rsidR="007C4A78" w:rsidRDefault="007230B1" w:rsidP="007C4A78">
      <w:pPr>
        <w:rPr>
          <w:sz w:val="24"/>
        </w:rPr>
      </w:pPr>
      <w:r>
        <w:rPr>
          <w:sz w:val="24"/>
        </w:rPr>
        <w:t>The</w:t>
      </w:r>
      <w:r w:rsidR="007C4A78">
        <w:rPr>
          <w:sz w:val="24"/>
        </w:rPr>
        <w:t xml:space="preserve"> i</w:t>
      </w:r>
      <w:r>
        <w:rPr>
          <w:sz w:val="24"/>
        </w:rPr>
        <w:t>nformation collected</w:t>
      </w:r>
      <w:r w:rsidR="007C4A78">
        <w:rPr>
          <w:sz w:val="24"/>
        </w:rPr>
        <w:t xml:space="preserve"> will</w:t>
      </w:r>
      <w:r>
        <w:rPr>
          <w:sz w:val="24"/>
        </w:rPr>
        <w:t xml:space="preserve"> be used to</w:t>
      </w:r>
      <w:r w:rsidR="007C4A78">
        <w:rPr>
          <w:sz w:val="24"/>
        </w:rPr>
        <w:t xml:space="preserve"> </w:t>
      </w:r>
      <w:r w:rsidR="00C80E2B">
        <w:rPr>
          <w:sz w:val="24"/>
        </w:rPr>
        <w:t>review</w:t>
      </w:r>
      <w:r w:rsidR="009A056B">
        <w:rPr>
          <w:sz w:val="24"/>
        </w:rPr>
        <w:t xml:space="preserve"> </w:t>
      </w:r>
      <w:r w:rsidR="00C80E2B">
        <w:rPr>
          <w:sz w:val="24"/>
        </w:rPr>
        <w:t>grantee</w:t>
      </w:r>
      <w:r w:rsidR="009A056B">
        <w:rPr>
          <w:sz w:val="24"/>
        </w:rPr>
        <w:t xml:space="preserve"> </w:t>
      </w:r>
      <w:r w:rsidR="00F56E63">
        <w:rPr>
          <w:sz w:val="24"/>
        </w:rPr>
        <w:t>progress on proposed</w:t>
      </w:r>
      <w:r w:rsidR="009A056B">
        <w:rPr>
          <w:sz w:val="24"/>
        </w:rPr>
        <w:t xml:space="preserve"> project plans</w:t>
      </w:r>
      <w:r w:rsidR="007C4A78">
        <w:rPr>
          <w:sz w:val="24"/>
        </w:rPr>
        <w:t xml:space="preserve"> sufficient to </w:t>
      </w:r>
      <w:r w:rsidR="00C80E2B">
        <w:rPr>
          <w:sz w:val="24"/>
        </w:rPr>
        <w:t>permit project officers to assess whether the project is performing adequately to achieve the goals and objectives that were previously approved.</w:t>
      </w:r>
      <w:r w:rsidR="009A056B">
        <w:rPr>
          <w:sz w:val="24"/>
        </w:rPr>
        <w:t xml:space="preserve"> </w:t>
      </w:r>
      <w:r w:rsidR="00C80E2B">
        <w:rPr>
          <w:sz w:val="24"/>
        </w:rPr>
        <w:t xml:space="preserve">This report will also provide implementation plans for the upcoming year, which project officers can assess to determine whether the plan is consistent with the grant as approved, and will result in implementation of a high quality project that will complement the state home visiting program as a whole. </w:t>
      </w:r>
      <w:r w:rsidR="00F56E63">
        <w:rPr>
          <w:sz w:val="24"/>
        </w:rPr>
        <w:t xml:space="preserve">NCC Progress Reports are </w:t>
      </w:r>
      <w:r>
        <w:rPr>
          <w:sz w:val="24"/>
        </w:rPr>
        <w:t xml:space="preserve">entered into HRSA’s Electronic Handbook (EHB). </w:t>
      </w:r>
    </w:p>
    <w:p w:rsidR="00C80E2B" w:rsidRDefault="00C80E2B" w:rsidP="007C4A78">
      <w:pPr>
        <w:rPr>
          <w:sz w:val="24"/>
          <w:highlight w:val="yellow"/>
        </w:rPr>
      </w:pPr>
    </w:p>
    <w:p w:rsidR="007230B1" w:rsidRDefault="007230B1" w:rsidP="007C4A78">
      <w:pPr>
        <w:rPr>
          <w:sz w:val="24"/>
        </w:rPr>
      </w:pPr>
      <w:r w:rsidRPr="00C80E2B">
        <w:rPr>
          <w:sz w:val="24"/>
        </w:rPr>
        <w:t xml:space="preserve">Failure to collect this information would result in </w:t>
      </w:r>
      <w:r w:rsidR="00C80E2B" w:rsidRPr="00C80E2B">
        <w:rPr>
          <w:sz w:val="24"/>
        </w:rPr>
        <w:t xml:space="preserve">the inability of the project officers to exercise due diligence in monitoring and overseeing the use of grant funds in keeping with legislative, policy, and programmatic requirements.  </w:t>
      </w:r>
    </w:p>
    <w:p w:rsidR="00144059" w:rsidRDefault="00144059" w:rsidP="007C4A78">
      <w:pPr>
        <w:rPr>
          <w:sz w:val="24"/>
        </w:rPr>
      </w:pPr>
    </w:p>
    <w:p w:rsidR="00144059" w:rsidRDefault="00144059" w:rsidP="007C4A78">
      <w:pPr>
        <w:rPr>
          <w:sz w:val="24"/>
        </w:rPr>
      </w:pPr>
      <w:r>
        <w:rPr>
          <w:sz w:val="24"/>
        </w:rPr>
        <w:t>Grantees are required to provide basic information through the SF-PPR and SF-PPR-2 forms in EHB. Additionally, grantees are required to provide a performance narrative with the following sections: introduction</w:t>
      </w:r>
      <w:r w:rsidR="004A676B">
        <w:rPr>
          <w:sz w:val="24"/>
        </w:rPr>
        <w:t>; needs assessment, methodology,</w:t>
      </w:r>
      <w:r>
        <w:rPr>
          <w:sz w:val="24"/>
        </w:rPr>
        <w:t xml:space="preserve"> and workplan; resolution of challe</w:t>
      </w:r>
      <w:r w:rsidR="004A676B">
        <w:rPr>
          <w:sz w:val="24"/>
        </w:rPr>
        <w:t>nges; evaluation and te</w:t>
      </w:r>
      <w:r>
        <w:rPr>
          <w:sz w:val="24"/>
        </w:rPr>
        <w:t>chnical support capacity</w:t>
      </w:r>
      <w:r w:rsidR="004A676B">
        <w:rPr>
          <w:sz w:val="24"/>
        </w:rPr>
        <w:t>;</w:t>
      </w:r>
      <w:r>
        <w:rPr>
          <w:sz w:val="24"/>
        </w:rPr>
        <w:t xml:space="preserve"> and organizational information. Attachments are required only if the grantee needs to update previously submitted information. The purpose of requiring each section of the narrative is listed below. </w:t>
      </w:r>
    </w:p>
    <w:p w:rsidR="00144059" w:rsidRDefault="00144059" w:rsidP="007C4A78">
      <w:pPr>
        <w:rPr>
          <w:sz w:val="24"/>
        </w:rPr>
      </w:pPr>
    </w:p>
    <w:p w:rsidR="00144059" w:rsidRPr="004A676B" w:rsidRDefault="00144059" w:rsidP="004A676B">
      <w:pPr>
        <w:pStyle w:val="ListParagraph"/>
        <w:numPr>
          <w:ilvl w:val="0"/>
          <w:numId w:val="46"/>
        </w:numPr>
        <w:rPr>
          <w:sz w:val="24"/>
        </w:rPr>
      </w:pPr>
      <w:r w:rsidRPr="004A676B">
        <w:rPr>
          <w:sz w:val="24"/>
        </w:rPr>
        <w:t xml:space="preserve">Introduction: the information collected will be used to document the purpose and description of the competitive program, including its </w:t>
      </w:r>
      <w:r w:rsidR="004A676B" w:rsidRPr="004A676B">
        <w:rPr>
          <w:sz w:val="24"/>
        </w:rPr>
        <w:t xml:space="preserve">ongoing </w:t>
      </w:r>
      <w:r w:rsidRPr="004A676B">
        <w:rPr>
          <w:sz w:val="24"/>
        </w:rPr>
        <w:t xml:space="preserve">fit with the formula-based program. </w:t>
      </w:r>
    </w:p>
    <w:p w:rsidR="00144059" w:rsidRPr="004A676B" w:rsidRDefault="00144059" w:rsidP="004A676B">
      <w:pPr>
        <w:pStyle w:val="ListParagraph"/>
        <w:numPr>
          <w:ilvl w:val="0"/>
          <w:numId w:val="46"/>
        </w:numPr>
        <w:rPr>
          <w:sz w:val="24"/>
        </w:rPr>
      </w:pPr>
      <w:r w:rsidRPr="004A676B">
        <w:rPr>
          <w:sz w:val="24"/>
        </w:rPr>
        <w:t xml:space="preserve">Needs assessment, methodology, and workplan: information collected will be used to monitor grantee progress on meeting the </w:t>
      </w:r>
      <w:r w:rsidR="004A676B" w:rsidRPr="004A676B">
        <w:rPr>
          <w:sz w:val="24"/>
        </w:rPr>
        <w:t>goals and objectives of the program, as well as meeting the needs of at-risk communi</w:t>
      </w:r>
      <w:r w:rsidRPr="004A676B">
        <w:rPr>
          <w:sz w:val="24"/>
        </w:rPr>
        <w:t xml:space="preserve">ties, to monitor the number of families receiving </w:t>
      </w:r>
      <w:r w:rsidR="004A676B" w:rsidRPr="004A676B">
        <w:rPr>
          <w:sz w:val="24"/>
        </w:rPr>
        <w:t xml:space="preserve">services, </w:t>
      </w:r>
      <w:r w:rsidRPr="004A676B">
        <w:rPr>
          <w:sz w:val="24"/>
        </w:rPr>
        <w:t xml:space="preserve">the involvement of key stakeholders, and </w:t>
      </w:r>
      <w:r w:rsidR="004A676B" w:rsidRPr="004A676B">
        <w:rPr>
          <w:sz w:val="24"/>
        </w:rPr>
        <w:t>to monitor</w:t>
      </w:r>
      <w:r w:rsidRPr="004A676B">
        <w:rPr>
          <w:sz w:val="24"/>
        </w:rPr>
        <w:t xml:space="preserve"> p</w:t>
      </w:r>
      <w:r w:rsidR="004A676B" w:rsidRPr="004A676B">
        <w:rPr>
          <w:sz w:val="24"/>
        </w:rPr>
        <w:t>rogress according to the project</w:t>
      </w:r>
      <w:r w:rsidRPr="004A676B">
        <w:rPr>
          <w:sz w:val="24"/>
        </w:rPr>
        <w:t xml:space="preserve"> timeline.</w:t>
      </w:r>
    </w:p>
    <w:p w:rsidR="00144059" w:rsidRPr="004A676B" w:rsidRDefault="00144059" w:rsidP="004A676B">
      <w:pPr>
        <w:pStyle w:val="ListParagraph"/>
        <w:numPr>
          <w:ilvl w:val="0"/>
          <w:numId w:val="46"/>
        </w:numPr>
        <w:rPr>
          <w:sz w:val="24"/>
        </w:rPr>
      </w:pPr>
      <w:r w:rsidRPr="004A676B">
        <w:rPr>
          <w:sz w:val="24"/>
        </w:rPr>
        <w:t xml:space="preserve">Resolution of challenges: information collected will be used to </w:t>
      </w:r>
      <w:r w:rsidR="004A676B" w:rsidRPr="004A676B">
        <w:rPr>
          <w:sz w:val="24"/>
        </w:rPr>
        <w:t>ensure that grantees have a sufficient plan to resolve challenges identified in the Workplan.</w:t>
      </w:r>
    </w:p>
    <w:p w:rsidR="004A676B" w:rsidRPr="004A676B" w:rsidRDefault="004A676B" w:rsidP="004A676B">
      <w:pPr>
        <w:pStyle w:val="ListParagraph"/>
        <w:numPr>
          <w:ilvl w:val="0"/>
          <w:numId w:val="46"/>
        </w:numPr>
        <w:rPr>
          <w:sz w:val="24"/>
        </w:rPr>
      </w:pPr>
      <w:r w:rsidRPr="004A676B">
        <w:rPr>
          <w:sz w:val="24"/>
        </w:rPr>
        <w:t xml:space="preserve">Evaluation and technical support capacity: information collected will be used to monitor activities and processes taken to implement the required evaluation plan. For example: to </w:t>
      </w:r>
      <w:r w:rsidRPr="004A676B">
        <w:rPr>
          <w:sz w:val="24"/>
        </w:rPr>
        <w:lastRenderedPageBreak/>
        <w:t>measure whether the intended outcomes of the project are being attained; to monitor the efficiency of the project activities; and to meet the definitions of rigor and other evaluation criteria stipulated in the FOA.</w:t>
      </w:r>
    </w:p>
    <w:p w:rsidR="004A676B" w:rsidRPr="004A676B" w:rsidRDefault="004A676B" w:rsidP="004A676B">
      <w:pPr>
        <w:pStyle w:val="ListParagraph"/>
        <w:numPr>
          <w:ilvl w:val="0"/>
          <w:numId w:val="46"/>
        </w:numPr>
        <w:rPr>
          <w:sz w:val="24"/>
        </w:rPr>
      </w:pPr>
      <w:r w:rsidRPr="004A676B">
        <w:rPr>
          <w:sz w:val="24"/>
        </w:rPr>
        <w:t xml:space="preserve">Organizational information: information collected will be used to monitor changes experienced by the grantee that might affect its ability to conduct the program as required and meet program expectations. </w:t>
      </w:r>
    </w:p>
    <w:p w:rsidR="00144059" w:rsidRPr="006263D6" w:rsidRDefault="00144059" w:rsidP="007C4A78">
      <w:pPr>
        <w:rPr>
          <w:i/>
          <w:sz w:val="24"/>
          <w:szCs w:val="22"/>
        </w:rPr>
        <w:sectPr w:rsidR="00144059" w:rsidRPr="006263D6" w:rsidSect="006263D6">
          <w:footerReference w:type="default" r:id="rId8"/>
          <w:footerReference w:type="first" r:id="rId9"/>
          <w:type w:val="continuous"/>
          <w:pgSz w:w="12240" w:h="15840"/>
          <w:pgMar w:top="1440" w:right="1440" w:bottom="1440" w:left="1440" w:header="720" w:footer="720" w:gutter="0"/>
          <w:pgNumType w:start="1"/>
          <w:cols w:space="720"/>
          <w:titlePg/>
        </w:sectPr>
      </w:pPr>
    </w:p>
    <w:p w:rsidR="007C4A78" w:rsidRPr="007C4A78" w:rsidRDefault="007C4A78" w:rsidP="007C4A78">
      <w:pPr>
        <w:spacing w:before="120"/>
        <w:rPr>
          <w:color w:val="000000"/>
          <w:sz w:val="24"/>
        </w:rPr>
      </w:pPr>
    </w:p>
    <w:p w:rsidR="009B3794" w:rsidRDefault="009B3794" w:rsidP="00CA3DA6">
      <w:pPr>
        <w:numPr>
          <w:ilvl w:val="0"/>
          <w:numId w:val="2"/>
        </w:numPr>
        <w:spacing w:before="240"/>
        <w:rPr>
          <w:sz w:val="24"/>
        </w:rPr>
      </w:pPr>
      <w:r>
        <w:rPr>
          <w:b/>
          <w:sz w:val="24"/>
          <w:u w:val="single"/>
        </w:rPr>
        <w:t>Use of Improved Information Technology and Burden Reduction</w:t>
      </w:r>
    </w:p>
    <w:p w:rsidR="00AD78C9" w:rsidRDefault="00F56E63" w:rsidP="00AD78C9">
      <w:pPr>
        <w:spacing w:before="120"/>
        <w:rPr>
          <w:sz w:val="24"/>
        </w:rPr>
      </w:pPr>
      <w:r>
        <w:rPr>
          <w:sz w:val="24"/>
        </w:rPr>
        <w:t>Progress Reports</w:t>
      </w:r>
      <w:r w:rsidR="00887F18">
        <w:rPr>
          <w:sz w:val="24"/>
        </w:rPr>
        <w:t xml:space="preserve"> will be</w:t>
      </w:r>
      <w:r w:rsidR="003D2A7E">
        <w:rPr>
          <w:sz w:val="24"/>
        </w:rPr>
        <w:t xml:space="preserve"> submitted</w:t>
      </w:r>
      <w:r w:rsidR="00887F18">
        <w:rPr>
          <w:sz w:val="24"/>
        </w:rPr>
        <w:t xml:space="preserve"> electronically through www.grants.gov. Applications approved for funding will automatically be migrated to HRSA’s EHB. N</w:t>
      </w:r>
      <w:r w:rsidR="00AD78C9">
        <w:rPr>
          <w:sz w:val="24"/>
        </w:rPr>
        <w:t xml:space="preserve">o paperwork will be required, and 100% of responses will be collected electronically. </w:t>
      </w:r>
    </w:p>
    <w:p w:rsidR="00AD78C9" w:rsidRDefault="00AD78C9" w:rsidP="00AD78C9">
      <w:pPr>
        <w:spacing w:before="120"/>
        <w:rPr>
          <w:sz w:val="24"/>
        </w:rPr>
      </w:pPr>
    </w:p>
    <w:p w:rsidR="009B3794" w:rsidRPr="00AD78C9" w:rsidRDefault="009B3794" w:rsidP="00AD78C9">
      <w:pPr>
        <w:numPr>
          <w:ilvl w:val="0"/>
          <w:numId w:val="2"/>
        </w:numPr>
        <w:spacing w:before="120"/>
        <w:rPr>
          <w:sz w:val="24"/>
        </w:rPr>
      </w:pPr>
      <w:r w:rsidRPr="00AD78C9">
        <w:rPr>
          <w:b/>
          <w:sz w:val="24"/>
          <w:u w:val="single"/>
        </w:rPr>
        <w:t>Efforts to  Identify Duplication and Use of Similar Information</w:t>
      </w:r>
    </w:p>
    <w:p w:rsidR="00AD78C9" w:rsidRPr="00AD78C9" w:rsidRDefault="00AD78C9" w:rsidP="00AD78C9">
      <w:pPr>
        <w:spacing w:before="120"/>
        <w:rPr>
          <w:sz w:val="24"/>
        </w:rPr>
      </w:pPr>
      <w:r>
        <w:rPr>
          <w:sz w:val="24"/>
        </w:rPr>
        <w:t xml:space="preserve">This program is unique and prescribed by law as noted above. Similar information will not be collected through other means.  </w:t>
      </w:r>
    </w:p>
    <w:p w:rsidR="009928BD" w:rsidRDefault="009B3794" w:rsidP="009A056B">
      <w:pPr>
        <w:numPr>
          <w:ilvl w:val="0"/>
          <w:numId w:val="2"/>
        </w:numPr>
        <w:spacing w:before="240"/>
        <w:rPr>
          <w:color w:val="000000"/>
          <w:sz w:val="24"/>
        </w:rPr>
      </w:pPr>
      <w:r>
        <w:rPr>
          <w:b/>
          <w:sz w:val="24"/>
          <w:u w:val="single"/>
        </w:rPr>
        <w:t>Impact on Small Businesses or Other Small Entities</w:t>
      </w:r>
    </w:p>
    <w:p w:rsidR="009B3794" w:rsidRPr="009A056B" w:rsidRDefault="00AD78C9" w:rsidP="009928BD">
      <w:pPr>
        <w:spacing w:before="240"/>
        <w:rPr>
          <w:color w:val="000000"/>
          <w:sz w:val="24"/>
        </w:rPr>
      </w:pPr>
      <w:r w:rsidRPr="009A056B">
        <w:rPr>
          <w:color w:val="000000"/>
          <w:sz w:val="24"/>
        </w:rPr>
        <w:t>There</w:t>
      </w:r>
      <w:r w:rsidR="00EC6334">
        <w:rPr>
          <w:color w:val="000000"/>
          <w:sz w:val="24"/>
        </w:rPr>
        <w:t xml:space="preserve"> will</w:t>
      </w:r>
      <w:r w:rsidRPr="009A056B">
        <w:rPr>
          <w:color w:val="000000"/>
          <w:sz w:val="24"/>
        </w:rPr>
        <w:t xml:space="preserve"> be no impact on small businesses or other small entities, because only states and jurisdictions are eligible to apply. </w:t>
      </w:r>
      <w:r w:rsidR="009B3794" w:rsidRPr="009A056B">
        <w:rPr>
          <w:color w:val="000000"/>
          <w:sz w:val="24"/>
        </w:rPr>
        <w:t>No small busi</w:t>
      </w:r>
      <w:r w:rsidRPr="009A056B">
        <w:rPr>
          <w:color w:val="000000"/>
          <w:sz w:val="24"/>
        </w:rPr>
        <w:t>nesses will be involved</w:t>
      </w:r>
      <w:r w:rsidR="009B3794" w:rsidRPr="009A056B">
        <w:rPr>
          <w:color w:val="000000"/>
          <w:sz w:val="24"/>
        </w:rPr>
        <w:t>.</w:t>
      </w:r>
    </w:p>
    <w:p w:rsidR="009B3794" w:rsidRDefault="009B3794" w:rsidP="00CA3DA6">
      <w:pPr>
        <w:numPr>
          <w:ilvl w:val="0"/>
          <w:numId w:val="2"/>
        </w:numPr>
        <w:spacing w:before="240"/>
        <w:rPr>
          <w:b/>
          <w:sz w:val="24"/>
        </w:rPr>
      </w:pPr>
      <w:r>
        <w:rPr>
          <w:b/>
          <w:sz w:val="24"/>
          <w:u w:val="single"/>
        </w:rPr>
        <w:t>Consequences of Collecting the Information Less Frequent Collection</w:t>
      </w:r>
    </w:p>
    <w:p w:rsidR="00C00F64" w:rsidRDefault="00AD78C9" w:rsidP="00C00F64">
      <w:pPr>
        <w:widowControl/>
        <w:autoSpaceDE/>
        <w:autoSpaceDN/>
        <w:adjustRightInd/>
        <w:spacing w:before="120"/>
        <w:rPr>
          <w:sz w:val="24"/>
        </w:rPr>
      </w:pPr>
      <w:r w:rsidRPr="00C00F64">
        <w:rPr>
          <w:sz w:val="24"/>
        </w:rPr>
        <w:t xml:space="preserve">Appropriations under the MIECHV are annual. Less frequent information collection would result in the inability of HRSA to </w:t>
      </w:r>
      <w:r w:rsidR="00C00F64" w:rsidRPr="00C00F64">
        <w:rPr>
          <w:sz w:val="24"/>
        </w:rPr>
        <w:t xml:space="preserve">monitor the use of appropriated funds sufficient to determine whether subsequent year funding should be awarded to the grantee.  </w:t>
      </w:r>
    </w:p>
    <w:p w:rsidR="00DD7324" w:rsidRDefault="009B3794" w:rsidP="00C00F64">
      <w:pPr>
        <w:widowControl/>
        <w:autoSpaceDE/>
        <w:autoSpaceDN/>
        <w:adjustRightInd/>
        <w:spacing w:before="120"/>
        <w:rPr>
          <w:b/>
          <w:sz w:val="24"/>
        </w:rPr>
      </w:pPr>
      <w:r>
        <w:rPr>
          <w:b/>
          <w:sz w:val="24"/>
          <w:u w:val="single"/>
        </w:rPr>
        <w:t>Special Circumstances Relating to the Guidelines of 5 CFR 1320.5</w:t>
      </w:r>
    </w:p>
    <w:p w:rsidR="00DD7324" w:rsidRPr="00DD7324" w:rsidRDefault="00DD7324" w:rsidP="009928BD">
      <w:pPr>
        <w:spacing w:before="240"/>
        <w:rPr>
          <w:sz w:val="24"/>
        </w:rPr>
      </w:pPr>
      <w:r>
        <w:rPr>
          <w:sz w:val="24"/>
        </w:rPr>
        <w:t>This</w:t>
      </w:r>
      <w:r w:rsidRPr="00DD7324">
        <w:rPr>
          <w:sz w:val="24"/>
        </w:rPr>
        <w:t xml:space="preserve"> request fully complies with the regulation.</w:t>
      </w:r>
    </w:p>
    <w:p w:rsidR="009B3794" w:rsidRDefault="009B3794" w:rsidP="00CA3DA6">
      <w:pPr>
        <w:numPr>
          <w:ilvl w:val="0"/>
          <w:numId w:val="2"/>
        </w:numPr>
        <w:spacing w:before="240"/>
        <w:rPr>
          <w:b/>
          <w:sz w:val="24"/>
        </w:rPr>
      </w:pPr>
      <w:r>
        <w:rPr>
          <w:b/>
          <w:iCs/>
          <w:sz w:val="24"/>
          <w:u w:val="single"/>
        </w:rPr>
        <w:t>Comments in Response to the Federal Register</w:t>
      </w:r>
      <w:r>
        <w:rPr>
          <w:b/>
          <w:sz w:val="24"/>
          <w:u w:val="single"/>
        </w:rPr>
        <w:t xml:space="preserve"> Notice/Outside Consultation</w:t>
      </w:r>
    </w:p>
    <w:p w:rsidR="00DE3A45" w:rsidRDefault="00DE3A45" w:rsidP="00CA3DA6">
      <w:pPr>
        <w:spacing w:before="120"/>
        <w:rPr>
          <w:b/>
          <w:sz w:val="24"/>
        </w:rPr>
      </w:pPr>
      <w:r w:rsidRPr="00DE3A45">
        <w:rPr>
          <w:b/>
          <w:sz w:val="24"/>
        </w:rPr>
        <w:t>Section 8A:</w:t>
      </w:r>
    </w:p>
    <w:p w:rsidR="003D2A7E" w:rsidRPr="003D2A7E" w:rsidRDefault="003D2A7E" w:rsidP="00CA3DA6">
      <w:pPr>
        <w:spacing w:before="120"/>
        <w:rPr>
          <w:sz w:val="24"/>
        </w:rPr>
      </w:pPr>
      <w:r>
        <w:rPr>
          <w:sz w:val="24"/>
        </w:rPr>
        <w:t xml:space="preserve">A 60-day Federal Register Notice was published in the </w:t>
      </w:r>
      <w:r>
        <w:rPr>
          <w:i/>
          <w:sz w:val="24"/>
        </w:rPr>
        <w:t xml:space="preserve">Federal Register </w:t>
      </w:r>
      <w:r>
        <w:rPr>
          <w:sz w:val="24"/>
        </w:rPr>
        <w:t xml:space="preserve">on </w:t>
      </w:r>
      <w:r w:rsidR="00F56E63">
        <w:rPr>
          <w:sz w:val="24"/>
        </w:rPr>
        <w:t>June 5</w:t>
      </w:r>
      <w:r>
        <w:rPr>
          <w:sz w:val="24"/>
        </w:rPr>
        <w:t xml:space="preserve">, 2012, vol. 77, No. </w:t>
      </w:r>
      <w:r w:rsidR="00F56E63">
        <w:rPr>
          <w:sz w:val="24"/>
        </w:rPr>
        <w:t>108; p 33225</w:t>
      </w:r>
      <w:r>
        <w:rPr>
          <w:sz w:val="24"/>
        </w:rPr>
        <w:t xml:space="preserve">. </w:t>
      </w:r>
      <w:r w:rsidR="00F56E63">
        <w:rPr>
          <w:sz w:val="24"/>
        </w:rPr>
        <w:t>Six individuals responded to request a copy of the draft instructions for the progress reports, copies were promptly disseminated and no further</w:t>
      </w:r>
      <w:r>
        <w:rPr>
          <w:sz w:val="24"/>
        </w:rPr>
        <w:t xml:space="preserve"> public comments</w:t>
      </w:r>
      <w:r w:rsidR="00F56E63">
        <w:rPr>
          <w:sz w:val="24"/>
        </w:rPr>
        <w:t xml:space="preserve"> were received</w:t>
      </w:r>
      <w:r>
        <w:rPr>
          <w:sz w:val="24"/>
        </w:rPr>
        <w:t xml:space="preserve">. </w:t>
      </w:r>
    </w:p>
    <w:p w:rsidR="00DE3A45" w:rsidRPr="00DE3A45" w:rsidRDefault="00DE3A45" w:rsidP="00CA3DA6">
      <w:pPr>
        <w:spacing w:before="120"/>
        <w:rPr>
          <w:b/>
          <w:sz w:val="24"/>
        </w:rPr>
      </w:pPr>
      <w:r w:rsidRPr="00DE3A45">
        <w:rPr>
          <w:b/>
          <w:sz w:val="24"/>
        </w:rPr>
        <w:t>Section 8B:</w:t>
      </w:r>
    </w:p>
    <w:p w:rsidR="00DD7324" w:rsidRPr="00FC1C9F" w:rsidRDefault="00DD7324" w:rsidP="00CA3DA6">
      <w:pPr>
        <w:numPr>
          <w:ilvl w:val="0"/>
          <w:numId w:val="25"/>
        </w:numPr>
        <w:tabs>
          <w:tab w:val="clear" w:pos="2160"/>
          <w:tab w:val="num" w:pos="360"/>
        </w:tabs>
        <w:spacing w:before="120"/>
        <w:ind w:left="360"/>
        <w:rPr>
          <w:sz w:val="24"/>
        </w:rPr>
      </w:pPr>
      <w:r w:rsidRPr="00DD7324">
        <w:rPr>
          <w:sz w:val="24"/>
        </w:rPr>
        <w:t>Potential state applicants were consulted</w:t>
      </w:r>
      <w:r w:rsidR="00FC1C9F">
        <w:rPr>
          <w:sz w:val="24"/>
        </w:rPr>
        <w:t xml:space="preserve"> in FY 2012</w:t>
      </w:r>
      <w:r w:rsidRPr="00DD7324">
        <w:rPr>
          <w:sz w:val="24"/>
        </w:rPr>
        <w:t xml:space="preserve"> t</w:t>
      </w:r>
      <w:r w:rsidR="009B3794" w:rsidRPr="00DD7324">
        <w:rPr>
          <w:sz w:val="24"/>
        </w:rPr>
        <w:t xml:space="preserve">o obtain </w:t>
      </w:r>
      <w:r w:rsidRPr="00DD7324">
        <w:rPr>
          <w:sz w:val="24"/>
        </w:rPr>
        <w:t xml:space="preserve">their views on the availability </w:t>
      </w:r>
      <w:r w:rsidR="009B3794" w:rsidRPr="00DD7324">
        <w:rPr>
          <w:sz w:val="24"/>
        </w:rPr>
        <w:t xml:space="preserve">of data, frequency of collection, the clarity of instructions and record keeping, disclosure, or reporting format (if any), and on the data elements to be recorded, disclosed, or reported. </w:t>
      </w:r>
      <w:r w:rsidR="00FC1C9F" w:rsidRPr="00FC1C9F">
        <w:rPr>
          <w:sz w:val="24"/>
        </w:rPr>
        <w:t>The names, title, telephone numbers, and e-mail addresses of those consulted</w:t>
      </w:r>
      <w:r w:rsidR="009B3794" w:rsidRPr="00FC1C9F">
        <w:rPr>
          <w:sz w:val="24"/>
        </w:rPr>
        <w:t xml:space="preserve"> </w:t>
      </w:r>
      <w:r w:rsidR="00FC1C9F">
        <w:rPr>
          <w:sz w:val="24"/>
        </w:rPr>
        <w:t>is attached. There were no problems that could not be resolved during the consultation.</w:t>
      </w:r>
    </w:p>
    <w:p w:rsidR="009B3794" w:rsidRPr="00FC1C9F" w:rsidRDefault="00FC1C9F" w:rsidP="00FC1C9F">
      <w:pPr>
        <w:spacing w:before="120"/>
        <w:ind w:left="360"/>
        <w:rPr>
          <w:sz w:val="24"/>
        </w:rPr>
      </w:pPr>
      <w:r w:rsidRPr="00FC1C9F">
        <w:rPr>
          <w:sz w:val="24"/>
        </w:rPr>
        <w:lastRenderedPageBreak/>
        <w:t>HRSA</w:t>
      </w:r>
      <w:r>
        <w:rPr>
          <w:sz w:val="24"/>
        </w:rPr>
        <w:t xml:space="preserve"> collaborates under the MIECHV with the Administration for Children and Families (ACF) as is required under the legislation and also with a number of other federal agencies with HHS (including the CDC, SAMHSA, and CMS), as well as the Departments of Education and Justice. </w:t>
      </w:r>
    </w:p>
    <w:p w:rsidR="009B3794" w:rsidRPr="00FC1C9F" w:rsidRDefault="009B3794" w:rsidP="00CA3DA6">
      <w:pPr>
        <w:numPr>
          <w:ilvl w:val="0"/>
          <w:numId w:val="2"/>
        </w:numPr>
        <w:spacing w:before="240"/>
        <w:rPr>
          <w:b/>
          <w:sz w:val="24"/>
        </w:rPr>
      </w:pPr>
      <w:r>
        <w:rPr>
          <w:b/>
          <w:sz w:val="24"/>
          <w:u w:val="single"/>
        </w:rPr>
        <w:t>Explanation of any Payment/Gift to Respondents</w:t>
      </w:r>
    </w:p>
    <w:p w:rsidR="00FC1C9F" w:rsidRPr="00FC1C9F" w:rsidRDefault="00FC1C9F" w:rsidP="009928BD">
      <w:pPr>
        <w:spacing w:before="240"/>
        <w:rPr>
          <w:sz w:val="24"/>
        </w:rPr>
      </w:pPr>
      <w:r w:rsidRPr="00FC1C9F">
        <w:rPr>
          <w:sz w:val="24"/>
        </w:rPr>
        <w:t>No direct remuneration will be provided to respondents for applying in response to this FOA.</w:t>
      </w:r>
      <w:r>
        <w:rPr>
          <w:sz w:val="24"/>
        </w:rPr>
        <w:t xml:space="preserve"> Successful applicants will be awarded grant funding as is the purpose of the FOA.</w:t>
      </w:r>
    </w:p>
    <w:p w:rsidR="009B3794" w:rsidRPr="003D5EA5" w:rsidRDefault="009B3794" w:rsidP="00CA3DA6">
      <w:pPr>
        <w:numPr>
          <w:ilvl w:val="0"/>
          <w:numId w:val="2"/>
        </w:numPr>
        <w:spacing w:before="240"/>
        <w:rPr>
          <w:b/>
          <w:sz w:val="24"/>
        </w:rPr>
      </w:pPr>
      <w:r w:rsidRPr="003D5EA5">
        <w:rPr>
          <w:b/>
          <w:sz w:val="24"/>
          <w:u w:val="single"/>
        </w:rPr>
        <w:t>Assurance of Confidentiality Provided to Respondents</w:t>
      </w:r>
    </w:p>
    <w:p w:rsidR="003D5EA5" w:rsidRDefault="003D5EA5" w:rsidP="003D5EA5">
      <w:pPr>
        <w:pStyle w:val="BodyTextIndent"/>
        <w:ind w:left="0"/>
      </w:pPr>
    </w:p>
    <w:p w:rsidR="003D5EA5" w:rsidRPr="003D5EA5" w:rsidRDefault="003D5EA5" w:rsidP="003D5EA5">
      <w:pPr>
        <w:pStyle w:val="BodyTextIndent"/>
        <w:ind w:left="0"/>
        <w:rPr>
          <w:rFonts w:ascii="Times New Roman" w:hAnsi="Times New Roman"/>
        </w:rPr>
      </w:pPr>
      <w:r w:rsidRPr="003D5EA5">
        <w:rPr>
          <w:rFonts w:ascii="Times New Roman" w:hAnsi="Times New Roman"/>
        </w:rPr>
        <w:t xml:space="preserve">The Privacy Act does not apply because these information collection requirements do not include collection of information on individuals; all information is </w:t>
      </w:r>
      <w:r>
        <w:rPr>
          <w:rFonts w:ascii="Times New Roman" w:hAnsi="Times New Roman"/>
        </w:rPr>
        <w:t xml:space="preserve">reported in </w:t>
      </w:r>
      <w:r w:rsidRPr="003D5EA5">
        <w:rPr>
          <w:rFonts w:ascii="Times New Roman" w:hAnsi="Times New Roman"/>
        </w:rPr>
        <w:t>aggregate</w:t>
      </w:r>
      <w:r>
        <w:rPr>
          <w:rFonts w:ascii="Times New Roman" w:hAnsi="Times New Roman"/>
        </w:rPr>
        <w:t xml:space="preserve"> form.</w:t>
      </w:r>
      <w:r w:rsidRPr="003D5EA5">
        <w:rPr>
          <w:rFonts w:ascii="Times New Roman" w:hAnsi="Times New Roman"/>
        </w:rPr>
        <w:t xml:space="preserve"> </w:t>
      </w:r>
    </w:p>
    <w:p w:rsidR="003D5EA5" w:rsidRDefault="003D5EA5" w:rsidP="003D5EA5">
      <w:pPr>
        <w:rPr>
          <w:rFonts w:ascii="Verdana" w:hAnsi="Verdana"/>
        </w:rPr>
      </w:pPr>
    </w:p>
    <w:p w:rsidR="009B3794" w:rsidRDefault="009B3794" w:rsidP="00CA3DA6">
      <w:pPr>
        <w:numPr>
          <w:ilvl w:val="0"/>
          <w:numId w:val="2"/>
        </w:numPr>
        <w:spacing w:before="240"/>
        <w:rPr>
          <w:b/>
          <w:sz w:val="24"/>
        </w:rPr>
      </w:pPr>
      <w:r>
        <w:rPr>
          <w:b/>
          <w:sz w:val="24"/>
          <w:u w:val="single"/>
        </w:rPr>
        <w:t>Justification for Sensitive Questions</w:t>
      </w:r>
    </w:p>
    <w:p w:rsidR="009B3794" w:rsidRDefault="00FC1C9F" w:rsidP="009928BD">
      <w:pPr>
        <w:widowControl/>
        <w:spacing w:before="120"/>
        <w:rPr>
          <w:sz w:val="24"/>
        </w:rPr>
      </w:pPr>
      <w:r>
        <w:rPr>
          <w:sz w:val="24"/>
        </w:rPr>
        <w:t>There will be no questions of a sensitive nature relating to applicants</w:t>
      </w:r>
      <w:r w:rsidR="00261712">
        <w:rPr>
          <w:sz w:val="24"/>
        </w:rPr>
        <w:t>’</w:t>
      </w:r>
      <w:r w:rsidR="009B3794">
        <w:rPr>
          <w:sz w:val="24"/>
        </w:rPr>
        <w:t xml:space="preserve"> </w:t>
      </w:r>
      <w:r>
        <w:rPr>
          <w:sz w:val="24"/>
        </w:rPr>
        <w:t xml:space="preserve">race/ethnicity, </w:t>
      </w:r>
      <w:r w:rsidR="009B3794">
        <w:rPr>
          <w:sz w:val="24"/>
        </w:rPr>
        <w:t xml:space="preserve">sexual behavior and attitudes, religious beliefs, and other matters that are commonly considered private. </w:t>
      </w:r>
    </w:p>
    <w:p w:rsidR="003D5EA5" w:rsidRDefault="003D5EA5" w:rsidP="00FC1C9F">
      <w:pPr>
        <w:widowControl/>
        <w:spacing w:before="120"/>
        <w:ind w:left="360"/>
        <w:rPr>
          <w:sz w:val="24"/>
        </w:rPr>
      </w:pPr>
    </w:p>
    <w:p w:rsidR="00261712" w:rsidRPr="00261712" w:rsidRDefault="009B3794" w:rsidP="00CA3DA6">
      <w:pPr>
        <w:numPr>
          <w:ilvl w:val="0"/>
          <w:numId w:val="2"/>
        </w:numPr>
        <w:spacing w:before="240"/>
        <w:rPr>
          <w:sz w:val="24"/>
        </w:rPr>
      </w:pPr>
      <w:r>
        <w:rPr>
          <w:b/>
          <w:sz w:val="24"/>
          <w:u w:val="single"/>
        </w:rPr>
        <w:t xml:space="preserve">Estimates of Annualized Hour and Cost Burden </w:t>
      </w:r>
    </w:p>
    <w:p w:rsidR="009B3794" w:rsidRPr="00261712" w:rsidRDefault="00261712" w:rsidP="009928BD">
      <w:pPr>
        <w:spacing w:before="240"/>
        <w:rPr>
          <w:sz w:val="24"/>
        </w:rPr>
      </w:pPr>
      <w:r w:rsidRPr="00261712">
        <w:rPr>
          <w:sz w:val="24"/>
        </w:rPr>
        <w:t>The annual estimate of burden is as follows:</w:t>
      </w:r>
      <w:r w:rsidR="009B3794" w:rsidRPr="00261712">
        <w:rPr>
          <w:sz w:val="24"/>
        </w:rPr>
        <w:t xml:space="preserve"> </w:t>
      </w:r>
    </w:p>
    <w:tbl>
      <w:tblPr>
        <w:tblW w:w="10776" w:type="dxa"/>
        <w:jc w:val="center"/>
        <w:tblInd w:w="502" w:type="dxa"/>
        <w:tblLayout w:type="fixed"/>
        <w:tblCellMar>
          <w:left w:w="120" w:type="dxa"/>
          <w:right w:w="120" w:type="dxa"/>
        </w:tblCellMar>
        <w:tblLook w:val="0000"/>
      </w:tblPr>
      <w:tblGrid>
        <w:gridCol w:w="4065"/>
        <w:gridCol w:w="1395"/>
        <w:gridCol w:w="1453"/>
        <w:gridCol w:w="1311"/>
        <w:gridCol w:w="1311"/>
        <w:gridCol w:w="1241"/>
      </w:tblGrid>
      <w:tr w:rsidR="00E444C1" w:rsidRPr="00233A0C" w:rsidTr="00AC147D">
        <w:trPr>
          <w:jc w:val="center"/>
        </w:trPr>
        <w:tc>
          <w:tcPr>
            <w:tcW w:w="406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spacing w:line="120" w:lineRule="exact"/>
              <w:rPr>
                <w:sz w:val="22"/>
                <w:szCs w:val="22"/>
              </w:rPr>
            </w:pPr>
          </w:p>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33A0C">
              <w:rPr>
                <w:sz w:val="22"/>
                <w:szCs w:val="22"/>
              </w:rPr>
              <w:t>Instrument</w:t>
            </w:r>
            <w:r>
              <w:rPr>
                <w:sz w:val="22"/>
                <w:szCs w:val="22"/>
              </w:rPr>
              <w:t xml:space="preserve">: A summary of the progress on the  following activities. </w:t>
            </w:r>
          </w:p>
        </w:tc>
        <w:tc>
          <w:tcPr>
            <w:tcW w:w="139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33A0C">
              <w:rPr>
                <w:sz w:val="22"/>
                <w:szCs w:val="22"/>
              </w:rPr>
              <w:t>Number of Respondents</w:t>
            </w:r>
          </w:p>
        </w:tc>
        <w:tc>
          <w:tcPr>
            <w:tcW w:w="1453"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33A0C">
              <w:rPr>
                <w:sz w:val="22"/>
                <w:szCs w:val="22"/>
              </w:rPr>
              <w:t>Responses per respondent</w:t>
            </w:r>
          </w:p>
        </w:tc>
        <w:tc>
          <w:tcPr>
            <w:tcW w:w="131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Total Responses</w:t>
            </w:r>
          </w:p>
        </w:tc>
        <w:tc>
          <w:tcPr>
            <w:tcW w:w="131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33A0C">
              <w:rPr>
                <w:sz w:val="22"/>
                <w:szCs w:val="22"/>
              </w:rPr>
              <w:t>Hours per Response</w:t>
            </w:r>
          </w:p>
        </w:tc>
        <w:tc>
          <w:tcPr>
            <w:tcW w:w="124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rPr>
                <w:sz w:val="22"/>
                <w:szCs w:val="22"/>
              </w:rPr>
            </w:pPr>
            <w:r w:rsidRPr="00233A0C">
              <w:rPr>
                <w:sz w:val="22"/>
                <w:szCs w:val="22"/>
              </w:rPr>
              <w:t xml:space="preserve">Total Burden Hours </w:t>
            </w:r>
          </w:p>
        </w:tc>
      </w:tr>
      <w:tr w:rsidR="00E444C1" w:rsidRPr="00233A0C" w:rsidTr="00AC147D">
        <w:trPr>
          <w:jc w:val="center"/>
        </w:trPr>
        <w:tc>
          <w:tcPr>
            <w:tcW w:w="406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Introduction</w:t>
            </w:r>
          </w:p>
        </w:tc>
        <w:tc>
          <w:tcPr>
            <w:tcW w:w="139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33</w:t>
            </w:r>
          </w:p>
        </w:tc>
        <w:tc>
          <w:tcPr>
            <w:tcW w:w="1453"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1</w:t>
            </w:r>
          </w:p>
        </w:tc>
        <w:tc>
          <w:tcPr>
            <w:tcW w:w="1311" w:type="dxa"/>
            <w:tcBorders>
              <w:top w:val="single" w:sz="7" w:space="0" w:color="000000"/>
              <w:left w:val="single" w:sz="7" w:space="0" w:color="000000"/>
              <w:bottom w:val="single" w:sz="7" w:space="0" w:color="000000"/>
              <w:right w:val="single" w:sz="7" w:space="0" w:color="000000"/>
            </w:tcBorders>
          </w:tcPr>
          <w:p w:rsidR="00E444C1"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33</w:t>
            </w:r>
          </w:p>
        </w:tc>
        <w:tc>
          <w:tcPr>
            <w:tcW w:w="131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3</w:t>
            </w:r>
          </w:p>
        </w:tc>
        <w:tc>
          <w:tcPr>
            <w:tcW w:w="124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99</w:t>
            </w:r>
          </w:p>
        </w:tc>
      </w:tr>
      <w:tr w:rsidR="00E444C1" w:rsidRPr="00233A0C" w:rsidTr="00AC147D">
        <w:trPr>
          <w:jc w:val="center"/>
        </w:trPr>
        <w:tc>
          <w:tcPr>
            <w:tcW w:w="406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Needs Assessment</w:t>
            </w:r>
          </w:p>
        </w:tc>
        <w:tc>
          <w:tcPr>
            <w:tcW w:w="139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33</w:t>
            </w:r>
          </w:p>
        </w:tc>
        <w:tc>
          <w:tcPr>
            <w:tcW w:w="1453"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1</w:t>
            </w:r>
          </w:p>
        </w:tc>
        <w:tc>
          <w:tcPr>
            <w:tcW w:w="1311" w:type="dxa"/>
            <w:tcBorders>
              <w:top w:val="single" w:sz="7" w:space="0" w:color="000000"/>
              <w:left w:val="single" w:sz="7" w:space="0" w:color="000000"/>
              <w:bottom w:val="single" w:sz="7" w:space="0" w:color="000000"/>
              <w:right w:val="single" w:sz="7" w:space="0" w:color="000000"/>
            </w:tcBorders>
          </w:tcPr>
          <w:p w:rsidR="00E444C1"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33</w:t>
            </w:r>
          </w:p>
        </w:tc>
        <w:tc>
          <w:tcPr>
            <w:tcW w:w="131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7</w:t>
            </w:r>
          </w:p>
        </w:tc>
        <w:tc>
          <w:tcPr>
            <w:tcW w:w="124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231</w:t>
            </w:r>
          </w:p>
        </w:tc>
      </w:tr>
      <w:tr w:rsidR="00E444C1" w:rsidRPr="00233A0C" w:rsidTr="00AC147D">
        <w:trPr>
          <w:jc w:val="center"/>
        </w:trPr>
        <w:tc>
          <w:tcPr>
            <w:tcW w:w="406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Methodology and Workplan</w:t>
            </w:r>
          </w:p>
        </w:tc>
        <w:tc>
          <w:tcPr>
            <w:tcW w:w="139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33</w:t>
            </w:r>
          </w:p>
        </w:tc>
        <w:tc>
          <w:tcPr>
            <w:tcW w:w="1453"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1</w:t>
            </w:r>
          </w:p>
        </w:tc>
        <w:tc>
          <w:tcPr>
            <w:tcW w:w="1311" w:type="dxa"/>
            <w:tcBorders>
              <w:top w:val="single" w:sz="7" w:space="0" w:color="000000"/>
              <w:left w:val="single" w:sz="7" w:space="0" w:color="000000"/>
              <w:bottom w:val="single" w:sz="7" w:space="0" w:color="000000"/>
              <w:right w:val="single" w:sz="7" w:space="0" w:color="000000"/>
            </w:tcBorders>
          </w:tcPr>
          <w:p w:rsidR="00E444C1"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33</w:t>
            </w:r>
          </w:p>
        </w:tc>
        <w:tc>
          <w:tcPr>
            <w:tcW w:w="131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24</w:t>
            </w:r>
          </w:p>
        </w:tc>
        <w:tc>
          <w:tcPr>
            <w:tcW w:w="124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792</w:t>
            </w:r>
          </w:p>
        </w:tc>
      </w:tr>
      <w:tr w:rsidR="00E444C1" w:rsidRPr="00233A0C" w:rsidTr="00AC147D">
        <w:trPr>
          <w:jc w:val="center"/>
        </w:trPr>
        <w:tc>
          <w:tcPr>
            <w:tcW w:w="406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Resolution of Challenges</w:t>
            </w:r>
          </w:p>
        </w:tc>
        <w:tc>
          <w:tcPr>
            <w:tcW w:w="139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33</w:t>
            </w:r>
          </w:p>
        </w:tc>
        <w:tc>
          <w:tcPr>
            <w:tcW w:w="1453"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1</w:t>
            </w:r>
          </w:p>
        </w:tc>
        <w:tc>
          <w:tcPr>
            <w:tcW w:w="1311" w:type="dxa"/>
            <w:tcBorders>
              <w:top w:val="single" w:sz="7" w:space="0" w:color="000000"/>
              <w:left w:val="single" w:sz="7" w:space="0" w:color="000000"/>
              <w:bottom w:val="single" w:sz="7" w:space="0" w:color="000000"/>
              <w:right w:val="single" w:sz="7" w:space="0" w:color="000000"/>
            </w:tcBorders>
          </w:tcPr>
          <w:p w:rsidR="00E444C1"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33</w:t>
            </w:r>
          </w:p>
        </w:tc>
        <w:tc>
          <w:tcPr>
            <w:tcW w:w="131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4</w:t>
            </w:r>
          </w:p>
        </w:tc>
        <w:tc>
          <w:tcPr>
            <w:tcW w:w="124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132</w:t>
            </w:r>
          </w:p>
        </w:tc>
      </w:tr>
      <w:tr w:rsidR="00E444C1" w:rsidRPr="00233A0C" w:rsidTr="00AC147D">
        <w:trPr>
          <w:jc w:val="center"/>
        </w:trPr>
        <w:tc>
          <w:tcPr>
            <w:tcW w:w="406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Evaluation and Technical Support Capacity</w:t>
            </w:r>
          </w:p>
        </w:tc>
        <w:tc>
          <w:tcPr>
            <w:tcW w:w="139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33</w:t>
            </w:r>
          </w:p>
        </w:tc>
        <w:tc>
          <w:tcPr>
            <w:tcW w:w="1453"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1</w:t>
            </w:r>
          </w:p>
        </w:tc>
        <w:tc>
          <w:tcPr>
            <w:tcW w:w="1311" w:type="dxa"/>
            <w:tcBorders>
              <w:top w:val="single" w:sz="7" w:space="0" w:color="000000"/>
              <w:left w:val="single" w:sz="7" w:space="0" w:color="000000"/>
              <w:bottom w:val="single" w:sz="7" w:space="0" w:color="000000"/>
              <w:right w:val="single" w:sz="7" w:space="0" w:color="000000"/>
            </w:tcBorders>
          </w:tcPr>
          <w:p w:rsidR="00E444C1"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33</w:t>
            </w:r>
          </w:p>
        </w:tc>
        <w:tc>
          <w:tcPr>
            <w:tcW w:w="131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4</w:t>
            </w:r>
          </w:p>
        </w:tc>
        <w:tc>
          <w:tcPr>
            <w:tcW w:w="124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132</w:t>
            </w:r>
          </w:p>
        </w:tc>
      </w:tr>
      <w:tr w:rsidR="00E444C1" w:rsidRPr="00233A0C" w:rsidTr="00AC147D">
        <w:trPr>
          <w:jc w:val="center"/>
        </w:trPr>
        <w:tc>
          <w:tcPr>
            <w:tcW w:w="406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Organizational Information </w:t>
            </w:r>
            <w:r w:rsidRPr="00233A0C">
              <w:rPr>
                <w:sz w:val="22"/>
                <w:szCs w:val="22"/>
              </w:rPr>
              <w:t xml:space="preserve"> </w:t>
            </w:r>
          </w:p>
        </w:tc>
        <w:tc>
          <w:tcPr>
            <w:tcW w:w="139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33</w:t>
            </w:r>
          </w:p>
        </w:tc>
        <w:tc>
          <w:tcPr>
            <w:tcW w:w="1453"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1</w:t>
            </w:r>
          </w:p>
        </w:tc>
        <w:tc>
          <w:tcPr>
            <w:tcW w:w="1311" w:type="dxa"/>
            <w:tcBorders>
              <w:top w:val="single" w:sz="7" w:space="0" w:color="000000"/>
              <w:left w:val="single" w:sz="7" w:space="0" w:color="000000"/>
              <w:bottom w:val="single" w:sz="7" w:space="0" w:color="000000"/>
              <w:right w:val="single" w:sz="7" w:space="0" w:color="000000"/>
            </w:tcBorders>
          </w:tcPr>
          <w:p w:rsidR="00E444C1"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33</w:t>
            </w:r>
          </w:p>
        </w:tc>
        <w:tc>
          <w:tcPr>
            <w:tcW w:w="131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2</w:t>
            </w:r>
          </w:p>
        </w:tc>
        <w:tc>
          <w:tcPr>
            <w:tcW w:w="124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66</w:t>
            </w:r>
          </w:p>
        </w:tc>
      </w:tr>
      <w:tr w:rsidR="00E444C1" w:rsidRPr="00233A0C" w:rsidTr="00AC147D">
        <w:trPr>
          <w:jc w:val="center"/>
        </w:trPr>
        <w:tc>
          <w:tcPr>
            <w:tcW w:w="406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lang w:val="fr-FR"/>
              </w:rPr>
            </w:pPr>
            <w:r w:rsidRPr="00233A0C">
              <w:rPr>
                <w:b/>
                <w:sz w:val="22"/>
                <w:szCs w:val="22"/>
                <w:lang w:val="fr-FR"/>
              </w:rPr>
              <w:t>Total</w:t>
            </w:r>
          </w:p>
        </w:tc>
        <w:tc>
          <w:tcPr>
            <w:tcW w:w="1395"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lang w:val="fr-FR"/>
              </w:rPr>
            </w:pPr>
            <w:r w:rsidRPr="00233A0C">
              <w:rPr>
                <w:b/>
                <w:sz w:val="22"/>
                <w:szCs w:val="22"/>
                <w:lang w:val="fr-FR"/>
              </w:rPr>
              <w:t>-</w:t>
            </w:r>
          </w:p>
        </w:tc>
        <w:tc>
          <w:tcPr>
            <w:tcW w:w="1453"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Pr>
                <w:sz w:val="22"/>
                <w:szCs w:val="22"/>
                <w:lang w:val="fr-FR"/>
              </w:rPr>
              <w:t>1</w:t>
            </w:r>
          </w:p>
        </w:tc>
        <w:tc>
          <w:tcPr>
            <w:tcW w:w="131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p>
        </w:tc>
        <w:tc>
          <w:tcPr>
            <w:tcW w:w="131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fr-FR"/>
              </w:rPr>
            </w:pPr>
            <w:r w:rsidRPr="00233A0C">
              <w:rPr>
                <w:sz w:val="22"/>
                <w:szCs w:val="22"/>
                <w:lang w:val="fr-FR"/>
              </w:rPr>
              <w:t>-</w:t>
            </w:r>
          </w:p>
        </w:tc>
        <w:tc>
          <w:tcPr>
            <w:tcW w:w="1241" w:type="dxa"/>
            <w:tcBorders>
              <w:top w:val="single" w:sz="7" w:space="0" w:color="000000"/>
              <w:left w:val="single" w:sz="7" w:space="0" w:color="000000"/>
              <w:bottom w:val="single" w:sz="7" w:space="0" w:color="000000"/>
              <w:right w:val="single" w:sz="7" w:space="0" w:color="000000"/>
            </w:tcBorders>
          </w:tcPr>
          <w:p w:rsidR="00E444C1" w:rsidRPr="00233A0C" w:rsidRDefault="00E444C1" w:rsidP="00AC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lang w:val="fr-FR"/>
              </w:rPr>
            </w:pPr>
            <w:r>
              <w:rPr>
                <w:b/>
                <w:sz w:val="22"/>
                <w:szCs w:val="22"/>
                <w:lang w:val="fr-FR"/>
              </w:rPr>
              <w:t>1452</w:t>
            </w:r>
          </w:p>
        </w:tc>
      </w:tr>
    </w:tbl>
    <w:p w:rsidR="00D92E1D" w:rsidRDefault="00D92E1D" w:rsidP="00F56E63">
      <w:pPr>
        <w:widowControl/>
        <w:tabs>
          <w:tab w:val="num" w:pos="1080"/>
        </w:tabs>
        <w:spacing w:before="120"/>
        <w:rPr>
          <w:sz w:val="24"/>
        </w:rPr>
      </w:pPr>
    </w:p>
    <w:p w:rsidR="00D92E1D" w:rsidRPr="004024C2" w:rsidRDefault="009B3794" w:rsidP="009928BD">
      <w:pPr>
        <w:widowControl/>
        <w:spacing w:before="120"/>
        <w:ind w:left="360"/>
        <w:rPr>
          <w:sz w:val="24"/>
        </w:rPr>
      </w:pPr>
      <w:r w:rsidRPr="004024C2">
        <w:rPr>
          <w:b/>
          <w:sz w:val="24"/>
        </w:rPr>
        <w:t>12B</w:t>
      </w:r>
      <w:r w:rsidRPr="004024C2">
        <w:rPr>
          <w:sz w:val="24"/>
        </w:rPr>
        <w:t xml:space="preserve">.  </w:t>
      </w:r>
    </w:p>
    <w:p w:rsidR="009B3794" w:rsidRDefault="009B3794" w:rsidP="009928BD">
      <w:pPr>
        <w:widowControl/>
        <w:spacing w:before="120"/>
        <w:ind w:left="360"/>
        <w:rPr>
          <w:b/>
          <w:sz w:val="24"/>
        </w:rPr>
      </w:pPr>
      <w:r>
        <w:rPr>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330"/>
        <w:gridCol w:w="1429"/>
        <w:gridCol w:w="1776"/>
      </w:tblGrid>
      <w:tr w:rsidR="009B3794" w:rsidRPr="00015505" w:rsidTr="00CA3DA6">
        <w:tc>
          <w:tcPr>
            <w:tcW w:w="1430" w:type="dxa"/>
          </w:tcPr>
          <w:p w:rsidR="009B3794" w:rsidRPr="00015505" w:rsidRDefault="009B3794" w:rsidP="00CE5AA9">
            <w:pPr>
              <w:widowControl/>
              <w:spacing w:before="120"/>
              <w:rPr>
                <w:b/>
                <w:bCs/>
                <w:sz w:val="24"/>
              </w:rPr>
            </w:pPr>
            <w:r w:rsidRPr="00015505">
              <w:rPr>
                <w:b/>
                <w:bCs/>
                <w:sz w:val="24"/>
              </w:rPr>
              <w:t>Type of</w:t>
            </w:r>
          </w:p>
          <w:p w:rsidR="009B3794" w:rsidRPr="00015505" w:rsidRDefault="009B3794" w:rsidP="00CE5AA9">
            <w:pPr>
              <w:widowControl/>
              <w:spacing w:before="120"/>
              <w:rPr>
                <w:sz w:val="24"/>
              </w:rPr>
            </w:pPr>
            <w:r w:rsidRPr="00015505">
              <w:rPr>
                <w:b/>
                <w:bCs/>
                <w:sz w:val="24"/>
              </w:rPr>
              <w:t>Respondent</w:t>
            </w:r>
          </w:p>
          <w:p w:rsidR="009B3794" w:rsidRPr="00015505" w:rsidRDefault="009B3794" w:rsidP="00CE5AA9">
            <w:pPr>
              <w:widowControl/>
              <w:spacing w:before="120"/>
              <w:rPr>
                <w:b/>
                <w:bCs/>
                <w:sz w:val="24"/>
              </w:rPr>
            </w:pPr>
          </w:p>
        </w:tc>
        <w:tc>
          <w:tcPr>
            <w:tcW w:w="1330" w:type="dxa"/>
          </w:tcPr>
          <w:p w:rsidR="009B3794" w:rsidRPr="00015505" w:rsidRDefault="009B3794" w:rsidP="00CE5AA9">
            <w:pPr>
              <w:widowControl/>
              <w:spacing w:before="120"/>
              <w:rPr>
                <w:b/>
                <w:bCs/>
                <w:sz w:val="24"/>
              </w:rPr>
            </w:pPr>
            <w:r w:rsidRPr="00015505">
              <w:rPr>
                <w:b/>
                <w:bCs/>
                <w:sz w:val="24"/>
              </w:rPr>
              <w:t>Total Burden</w:t>
            </w:r>
          </w:p>
          <w:p w:rsidR="009B3794" w:rsidRPr="00015505" w:rsidRDefault="009B3794" w:rsidP="00CE5AA9">
            <w:pPr>
              <w:widowControl/>
              <w:spacing w:before="120"/>
              <w:rPr>
                <w:sz w:val="24"/>
              </w:rPr>
            </w:pPr>
            <w:r w:rsidRPr="00015505">
              <w:rPr>
                <w:b/>
                <w:bCs/>
                <w:sz w:val="24"/>
              </w:rPr>
              <w:t>Hours</w:t>
            </w:r>
          </w:p>
          <w:p w:rsidR="009B3794" w:rsidRPr="00015505" w:rsidRDefault="009B3794" w:rsidP="00CE5AA9">
            <w:pPr>
              <w:widowControl/>
              <w:spacing w:before="120"/>
              <w:rPr>
                <w:b/>
                <w:bCs/>
                <w:sz w:val="24"/>
              </w:rPr>
            </w:pPr>
          </w:p>
        </w:tc>
        <w:tc>
          <w:tcPr>
            <w:tcW w:w="1429" w:type="dxa"/>
          </w:tcPr>
          <w:p w:rsidR="009B3794" w:rsidRPr="00015505" w:rsidRDefault="009B3794" w:rsidP="00CE5AA9">
            <w:pPr>
              <w:widowControl/>
              <w:spacing w:before="120"/>
              <w:rPr>
                <w:b/>
                <w:bCs/>
                <w:sz w:val="24"/>
              </w:rPr>
            </w:pPr>
            <w:r w:rsidRPr="00015505">
              <w:rPr>
                <w:b/>
                <w:bCs/>
                <w:sz w:val="24"/>
              </w:rPr>
              <w:t>Hourly</w:t>
            </w:r>
          </w:p>
          <w:p w:rsidR="009B3794" w:rsidRPr="00015505" w:rsidRDefault="009B3794" w:rsidP="00CE5AA9">
            <w:pPr>
              <w:widowControl/>
              <w:spacing w:before="120"/>
              <w:rPr>
                <w:sz w:val="24"/>
              </w:rPr>
            </w:pPr>
            <w:r w:rsidRPr="00015505">
              <w:rPr>
                <w:b/>
                <w:bCs/>
                <w:sz w:val="24"/>
              </w:rPr>
              <w:t>Wage Rate</w:t>
            </w:r>
          </w:p>
          <w:p w:rsidR="009B3794" w:rsidRPr="00015505" w:rsidRDefault="009B3794" w:rsidP="00CE5AA9">
            <w:pPr>
              <w:widowControl/>
              <w:spacing w:before="120"/>
              <w:rPr>
                <w:b/>
                <w:bCs/>
                <w:sz w:val="24"/>
              </w:rPr>
            </w:pPr>
          </w:p>
        </w:tc>
        <w:tc>
          <w:tcPr>
            <w:tcW w:w="1776" w:type="dxa"/>
          </w:tcPr>
          <w:p w:rsidR="009B3794" w:rsidRPr="00015505" w:rsidRDefault="009B3794" w:rsidP="00CE5AA9">
            <w:pPr>
              <w:widowControl/>
              <w:spacing w:before="120"/>
              <w:rPr>
                <w:sz w:val="24"/>
              </w:rPr>
            </w:pPr>
            <w:r w:rsidRPr="00015505">
              <w:rPr>
                <w:b/>
                <w:bCs/>
                <w:sz w:val="24"/>
              </w:rPr>
              <w:t>Total Respondent Costs</w:t>
            </w:r>
          </w:p>
          <w:p w:rsidR="009B3794" w:rsidRPr="00015505" w:rsidRDefault="009B3794" w:rsidP="00CE5AA9">
            <w:pPr>
              <w:widowControl/>
              <w:spacing w:before="120"/>
              <w:rPr>
                <w:b/>
                <w:bCs/>
                <w:sz w:val="24"/>
              </w:rPr>
            </w:pPr>
          </w:p>
        </w:tc>
      </w:tr>
      <w:tr w:rsidR="009B3794" w:rsidRPr="00015505" w:rsidTr="00CA3DA6">
        <w:tc>
          <w:tcPr>
            <w:tcW w:w="1430" w:type="dxa"/>
          </w:tcPr>
          <w:p w:rsidR="009B3794" w:rsidRPr="00015505" w:rsidRDefault="004024C2" w:rsidP="00CE5AA9">
            <w:pPr>
              <w:spacing w:before="120"/>
              <w:rPr>
                <w:sz w:val="24"/>
              </w:rPr>
            </w:pPr>
            <w:r>
              <w:rPr>
                <w:sz w:val="24"/>
              </w:rPr>
              <w:lastRenderedPageBreak/>
              <w:t>State Home Visiting Coordinator</w:t>
            </w:r>
          </w:p>
        </w:tc>
        <w:tc>
          <w:tcPr>
            <w:tcW w:w="1330" w:type="dxa"/>
          </w:tcPr>
          <w:p w:rsidR="009B3794" w:rsidRPr="00015505" w:rsidRDefault="009B3794" w:rsidP="00ED3E7C">
            <w:pPr>
              <w:spacing w:before="120"/>
              <w:rPr>
                <w:sz w:val="24"/>
              </w:rPr>
            </w:pPr>
            <w:r w:rsidRPr="00015505">
              <w:rPr>
                <w:sz w:val="24"/>
              </w:rPr>
              <w:t xml:space="preserve"> </w:t>
            </w:r>
            <w:r w:rsidR="00ED3E7C">
              <w:rPr>
                <w:sz w:val="24"/>
              </w:rPr>
              <w:t>28.16</w:t>
            </w:r>
          </w:p>
        </w:tc>
        <w:tc>
          <w:tcPr>
            <w:tcW w:w="1429" w:type="dxa"/>
          </w:tcPr>
          <w:p w:rsidR="009B3794" w:rsidRPr="00015505" w:rsidRDefault="009B3794" w:rsidP="004024C2">
            <w:pPr>
              <w:spacing w:before="120"/>
              <w:jc w:val="right"/>
              <w:rPr>
                <w:sz w:val="24"/>
              </w:rPr>
            </w:pPr>
            <w:r w:rsidRPr="00015505">
              <w:rPr>
                <w:sz w:val="24"/>
              </w:rPr>
              <w:t xml:space="preserve"> $</w:t>
            </w:r>
            <w:r w:rsidR="004024C2">
              <w:rPr>
                <w:sz w:val="24"/>
              </w:rPr>
              <w:t>40.00</w:t>
            </w:r>
            <w:r w:rsidRPr="00015505">
              <w:rPr>
                <w:sz w:val="24"/>
              </w:rPr>
              <w:t xml:space="preserve"> </w:t>
            </w:r>
          </w:p>
        </w:tc>
        <w:tc>
          <w:tcPr>
            <w:tcW w:w="1776" w:type="dxa"/>
          </w:tcPr>
          <w:p w:rsidR="009B3794" w:rsidRPr="00015505" w:rsidRDefault="009B3794" w:rsidP="00ED3E7C">
            <w:pPr>
              <w:spacing w:before="120"/>
              <w:jc w:val="right"/>
              <w:rPr>
                <w:sz w:val="24"/>
              </w:rPr>
            </w:pPr>
            <w:r w:rsidRPr="00015505">
              <w:rPr>
                <w:sz w:val="24"/>
              </w:rPr>
              <w:t xml:space="preserve"> $</w:t>
            </w:r>
            <w:r w:rsidR="00ED3E7C">
              <w:rPr>
                <w:sz w:val="24"/>
              </w:rPr>
              <w:t>1126.51</w:t>
            </w:r>
          </w:p>
        </w:tc>
      </w:tr>
      <w:tr w:rsidR="009B3794" w:rsidRPr="00015505" w:rsidTr="00CA3DA6">
        <w:tc>
          <w:tcPr>
            <w:tcW w:w="1430" w:type="dxa"/>
          </w:tcPr>
          <w:p w:rsidR="009B3794" w:rsidRPr="00015505" w:rsidRDefault="004024C2" w:rsidP="00CE5AA9">
            <w:pPr>
              <w:spacing w:before="120"/>
              <w:rPr>
                <w:sz w:val="24"/>
              </w:rPr>
            </w:pPr>
            <w:r>
              <w:rPr>
                <w:sz w:val="24"/>
              </w:rPr>
              <w:t>State Home Visiting Staff</w:t>
            </w:r>
          </w:p>
        </w:tc>
        <w:tc>
          <w:tcPr>
            <w:tcW w:w="1330" w:type="dxa"/>
          </w:tcPr>
          <w:p w:rsidR="009B3794" w:rsidRPr="00015505" w:rsidRDefault="00ED3E7C" w:rsidP="00CE5AA9">
            <w:pPr>
              <w:spacing w:before="120"/>
              <w:rPr>
                <w:sz w:val="24"/>
              </w:rPr>
            </w:pPr>
            <w:r>
              <w:rPr>
                <w:sz w:val="24"/>
              </w:rPr>
              <w:t>28.16</w:t>
            </w:r>
          </w:p>
        </w:tc>
        <w:tc>
          <w:tcPr>
            <w:tcW w:w="1429" w:type="dxa"/>
          </w:tcPr>
          <w:p w:rsidR="009B3794" w:rsidRPr="00015505" w:rsidRDefault="009B3794" w:rsidP="004024C2">
            <w:pPr>
              <w:spacing w:before="120"/>
              <w:jc w:val="right"/>
              <w:rPr>
                <w:sz w:val="24"/>
              </w:rPr>
            </w:pPr>
            <w:r w:rsidRPr="00015505">
              <w:rPr>
                <w:sz w:val="24"/>
              </w:rPr>
              <w:t xml:space="preserve"> $</w:t>
            </w:r>
            <w:r w:rsidR="004024C2">
              <w:rPr>
                <w:sz w:val="24"/>
              </w:rPr>
              <w:t>21.35</w:t>
            </w:r>
            <w:r w:rsidRPr="00015505">
              <w:rPr>
                <w:sz w:val="24"/>
              </w:rPr>
              <w:t xml:space="preserve"> </w:t>
            </w:r>
          </w:p>
        </w:tc>
        <w:tc>
          <w:tcPr>
            <w:tcW w:w="1776" w:type="dxa"/>
          </w:tcPr>
          <w:p w:rsidR="009B3794" w:rsidRPr="00015505" w:rsidRDefault="004024C2" w:rsidP="00C47711">
            <w:pPr>
              <w:spacing w:before="120"/>
              <w:jc w:val="right"/>
              <w:rPr>
                <w:sz w:val="24"/>
              </w:rPr>
            </w:pPr>
            <w:r>
              <w:rPr>
                <w:sz w:val="24"/>
              </w:rPr>
              <w:t xml:space="preserve"> $</w:t>
            </w:r>
            <w:r w:rsidR="00C47711">
              <w:rPr>
                <w:sz w:val="24"/>
              </w:rPr>
              <w:t>601.22</w:t>
            </w:r>
          </w:p>
        </w:tc>
      </w:tr>
      <w:tr w:rsidR="009B3794" w:rsidRPr="00015505" w:rsidTr="00CA3DA6">
        <w:trPr>
          <w:trHeight w:val="440"/>
        </w:trPr>
        <w:tc>
          <w:tcPr>
            <w:tcW w:w="1430" w:type="dxa"/>
          </w:tcPr>
          <w:p w:rsidR="009B3794" w:rsidRPr="00015505" w:rsidRDefault="009B3794" w:rsidP="00CE5AA9">
            <w:pPr>
              <w:widowControl/>
              <w:spacing w:before="120"/>
              <w:rPr>
                <w:sz w:val="24"/>
              </w:rPr>
            </w:pPr>
            <w:r w:rsidRPr="00015505">
              <w:rPr>
                <w:sz w:val="24"/>
              </w:rPr>
              <w:t>Total</w:t>
            </w:r>
          </w:p>
        </w:tc>
        <w:tc>
          <w:tcPr>
            <w:tcW w:w="1330" w:type="dxa"/>
          </w:tcPr>
          <w:p w:rsidR="009B3794" w:rsidRPr="00015505" w:rsidRDefault="009B3794" w:rsidP="00CE5AA9">
            <w:pPr>
              <w:widowControl/>
              <w:spacing w:before="120"/>
              <w:rPr>
                <w:sz w:val="24"/>
              </w:rPr>
            </w:pPr>
          </w:p>
        </w:tc>
        <w:tc>
          <w:tcPr>
            <w:tcW w:w="1429" w:type="dxa"/>
          </w:tcPr>
          <w:p w:rsidR="009B3794" w:rsidRPr="00015505" w:rsidRDefault="009B3794" w:rsidP="00CE5AA9">
            <w:pPr>
              <w:widowControl/>
              <w:spacing w:before="120"/>
              <w:jc w:val="right"/>
              <w:rPr>
                <w:sz w:val="24"/>
              </w:rPr>
            </w:pPr>
          </w:p>
        </w:tc>
        <w:tc>
          <w:tcPr>
            <w:tcW w:w="1776" w:type="dxa"/>
          </w:tcPr>
          <w:p w:rsidR="009B3794" w:rsidRPr="00015505" w:rsidRDefault="009B3794" w:rsidP="00C47711">
            <w:pPr>
              <w:widowControl/>
              <w:spacing w:before="120"/>
              <w:jc w:val="right"/>
              <w:rPr>
                <w:sz w:val="24"/>
              </w:rPr>
            </w:pPr>
            <w:r w:rsidRPr="00015505">
              <w:rPr>
                <w:sz w:val="24"/>
              </w:rPr>
              <w:t>$</w:t>
            </w:r>
            <w:r w:rsidR="00C47711">
              <w:rPr>
                <w:sz w:val="24"/>
              </w:rPr>
              <w:t>1727.73</w:t>
            </w:r>
          </w:p>
        </w:tc>
      </w:tr>
    </w:tbl>
    <w:p w:rsidR="009B3794" w:rsidRPr="004024C2" w:rsidRDefault="009B3794" w:rsidP="00CA3DA6">
      <w:pPr>
        <w:numPr>
          <w:ilvl w:val="0"/>
          <w:numId w:val="2"/>
        </w:numPr>
        <w:spacing w:before="240"/>
        <w:rPr>
          <w:b/>
          <w:sz w:val="24"/>
        </w:rPr>
      </w:pPr>
      <w:r w:rsidRPr="004024C2">
        <w:rPr>
          <w:b/>
          <w:sz w:val="24"/>
          <w:u w:val="single"/>
        </w:rPr>
        <w:t>Estimates of other Total Annual Cost Burden to Respondents or Recordkeepers/Capital Costs</w:t>
      </w:r>
    </w:p>
    <w:p w:rsidR="009B6943" w:rsidRPr="00C47711" w:rsidRDefault="004024C2" w:rsidP="00C47711">
      <w:pPr>
        <w:pStyle w:val="BodyTextIndent"/>
        <w:spacing w:before="120"/>
        <w:ind w:left="360"/>
        <w:rPr>
          <w:rFonts w:ascii="Times New Roman" w:hAnsi="Times New Roman"/>
        </w:rPr>
      </w:pPr>
      <w:r>
        <w:rPr>
          <w:rFonts w:ascii="Times New Roman" w:hAnsi="Times New Roman"/>
        </w:rPr>
        <w:t>Recordkeepers/Capital costs are expected to be minimal as states will utilize existing mechanisms.</w:t>
      </w:r>
    </w:p>
    <w:p w:rsidR="009B3794" w:rsidRPr="009B6943" w:rsidRDefault="009B6943" w:rsidP="009B6943">
      <w:pPr>
        <w:spacing w:before="240"/>
        <w:rPr>
          <w:b/>
          <w:sz w:val="24"/>
          <w:highlight w:val="yellow"/>
        </w:rPr>
      </w:pPr>
      <w:r w:rsidRPr="009B6943">
        <w:rPr>
          <w:b/>
          <w:sz w:val="24"/>
        </w:rPr>
        <w:t>14.</w:t>
      </w:r>
      <w:r w:rsidRPr="009928BD">
        <w:rPr>
          <w:b/>
          <w:sz w:val="24"/>
        </w:rPr>
        <w:t xml:space="preserve">  </w:t>
      </w:r>
      <w:r w:rsidR="009B3794" w:rsidRPr="009B6943">
        <w:rPr>
          <w:b/>
          <w:sz w:val="24"/>
          <w:u w:val="single"/>
        </w:rPr>
        <w:t>Annualized Cost to Federal Government</w:t>
      </w:r>
      <w:r w:rsidR="00261712" w:rsidRPr="009B6943">
        <w:rPr>
          <w:b/>
          <w:sz w:val="24"/>
          <w:u w:val="single"/>
        </w:rPr>
        <w:t xml:space="preserve"> </w:t>
      </w:r>
    </w:p>
    <w:p w:rsidR="009B6943" w:rsidRDefault="009B6943" w:rsidP="009B6943">
      <w:pPr>
        <w:spacing w:before="240"/>
        <w:ind w:left="360"/>
        <w:rPr>
          <w:sz w:val="24"/>
        </w:rPr>
      </w:pPr>
      <w:r w:rsidRPr="003C5109">
        <w:rPr>
          <w:sz w:val="24"/>
        </w:rPr>
        <w:t xml:space="preserve">We estimate the cost to the Federal Government to total </w:t>
      </w:r>
      <w:r w:rsidR="00C00F64" w:rsidRPr="003C5109">
        <w:rPr>
          <w:sz w:val="24"/>
        </w:rPr>
        <w:t>10</w:t>
      </w:r>
      <w:r w:rsidRPr="003C5109">
        <w:rPr>
          <w:sz w:val="24"/>
        </w:rPr>
        <w:t xml:space="preserve"> Federal staff at grade 1</w:t>
      </w:r>
      <w:r w:rsidR="00C00F64" w:rsidRPr="003C5109">
        <w:rPr>
          <w:sz w:val="24"/>
        </w:rPr>
        <w:t>3</w:t>
      </w:r>
      <w:r w:rsidRPr="003C5109">
        <w:rPr>
          <w:sz w:val="24"/>
        </w:rPr>
        <w:t xml:space="preserve"> for approximately </w:t>
      </w:r>
      <w:r w:rsidR="00C00F64" w:rsidRPr="003C5109">
        <w:rPr>
          <w:sz w:val="24"/>
        </w:rPr>
        <w:t xml:space="preserve">264 </w:t>
      </w:r>
      <w:r w:rsidRPr="003C5109">
        <w:rPr>
          <w:sz w:val="24"/>
        </w:rPr>
        <w:t>hours</w:t>
      </w:r>
      <w:r w:rsidR="00E41495" w:rsidRPr="003C5109">
        <w:rPr>
          <w:sz w:val="24"/>
        </w:rPr>
        <w:t xml:space="preserve"> totaling $</w:t>
      </w:r>
      <w:r w:rsidR="003C5109" w:rsidRPr="003C5109">
        <w:rPr>
          <w:sz w:val="24"/>
        </w:rPr>
        <w:t xml:space="preserve"> 9, 065.76. Therefore, t</w:t>
      </w:r>
      <w:r w:rsidR="00E41495" w:rsidRPr="003C5109">
        <w:rPr>
          <w:sz w:val="24"/>
        </w:rPr>
        <w:t>he total estimated annualized cost to the Federal government is $</w:t>
      </w:r>
      <w:r w:rsidR="003C5109" w:rsidRPr="003C5109">
        <w:rPr>
          <w:sz w:val="24"/>
        </w:rPr>
        <w:t>9, 065.76.</w:t>
      </w:r>
    </w:p>
    <w:p w:rsidR="009B3794" w:rsidRDefault="009B3794" w:rsidP="009928BD">
      <w:pPr>
        <w:numPr>
          <w:ilvl w:val="0"/>
          <w:numId w:val="44"/>
        </w:numPr>
        <w:spacing w:before="240"/>
        <w:ind w:left="450" w:hanging="450"/>
        <w:rPr>
          <w:b/>
          <w:sz w:val="24"/>
        </w:rPr>
      </w:pPr>
      <w:r>
        <w:rPr>
          <w:b/>
          <w:sz w:val="24"/>
          <w:u w:val="single"/>
        </w:rPr>
        <w:t>Explanation for Program Changes or Adjustments</w:t>
      </w:r>
    </w:p>
    <w:p w:rsidR="009B3794" w:rsidRDefault="00261712" w:rsidP="00CA3DA6">
      <w:pPr>
        <w:pStyle w:val="BodyTextIndent"/>
        <w:spacing w:before="120"/>
        <w:ind w:left="360"/>
        <w:rPr>
          <w:rFonts w:ascii="Times New Roman" w:hAnsi="Times New Roman"/>
          <w:b/>
        </w:rPr>
      </w:pPr>
      <w:r>
        <w:rPr>
          <w:rFonts w:ascii="Times New Roman" w:hAnsi="Times New Roman"/>
          <w:b/>
        </w:rPr>
        <w:t xml:space="preserve"> </w:t>
      </w:r>
      <w:r w:rsidRPr="00261712">
        <w:rPr>
          <w:rFonts w:ascii="Times New Roman" w:hAnsi="Times New Roman"/>
        </w:rPr>
        <w:t>This is a new data collection</w:t>
      </w:r>
      <w:r>
        <w:rPr>
          <w:rFonts w:ascii="Times New Roman" w:hAnsi="Times New Roman"/>
          <w:b/>
        </w:rPr>
        <w:t>.</w:t>
      </w:r>
    </w:p>
    <w:p w:rsidR="009B3794" w:rsidRDefault="009B3794" w:rsidP="009B6943">
      <w:pPr>
        <w:numPr>
          <w:ilvl w:val="0"/>
          <w:numId w:val="44"/>
        </w:numPr>
        <w:spacing w:before="240"/>
        <w:rPr>
          <w:b/>
          <w:sz w:val="24"/>
        </w:rPr>
      </w:pPr>
      <w:r>
        <w:rPr>
          <w:b/>
          <w:sz w:val="24"/>
          <w:u w:val="single"/>
        </w:rPr>
        <w:t>Plans for Tabulation and Publication and Project Time Schedule</w:t>
      </w:r>
    </w:p>
    <w:p w:rsidR="009B3794" w:rsidRDefault="00D86F68" w:rsidP="00CA3DA6">
      <w:pPr>
        <w:spacing w:before="120"/>
        <w:ind w:left="360"/>
        <w:rPr>
          <w:sz w:val="24"/>
        </w:rPr>
      </w:pPr>
      <w:r w:rsidRPr="003C5109">
        <w:rPr>
          <w:sz w:val="24"/>
        </w:rPr>
        <w:t xml:space="preserve">The proposed critical date of publication of the </w:t>
      </w:r>
      <w:r w:rsidR="003C5109" w:rsidRPr="003C5109">
        <w:rPr>
          <w:sz w:val="24"/>
        </w:rPr>
        <w:t>Competitive NCC Progress Report Instructions</w:t>
      </w:r>
      <w:r w:rsidRPr="003C5109">
        <w:rPr>
          <w:sz w:val="24"/>
        </w:rPr>
        <w:t xml:space="preserve"> is </w:t>
      </w:r>
      <w:r w:rsidR="003C5109" w:rsidRPr="003C5109">
        <w:rPr>
          <w:sz w:val="24"/>
        </w:rPr>
        <w:t>August 15</w:t>
      </w:r>
      <w:r w:rsidRPr="003C5109">
        <w:rPr>
          <w:sz w:val="24"/>
        </w:rPr>
        <w:t>, 2012.  Subsequently, the expected final da</w:t>
      </w:r>
      <w:r w:rsidR="003C5109" w:rsidRPr="003C5109">
        <w:rPr>
          <w:sz w:val="24"/>
        </w:rPr>
        <w:t>te for data collection is September 15</w:t>
      </w:r>
      <w:r w:rsidRPr="003C5109">
        <w:rPr>
          <w:sz w:val="24"/>
        </w:rPr>
        <w:t xml:space="preserve">, 2012. </w:t>
      </w:r>
      <w:r w:rsidR="003C5109" w:rsidRPr="003C5109">
        <w:rPr>
          <w:sz w:val="24"/>
        </w:rPr>
        <w:t>The progress reports will be uploaded to each grantees’ EHB account, therefore, none of the progress report</w:t>
      </w:r>
      <w:r w:rsidRPr="003C5109">
        <w:rPr>
          <w:sz w:val="24"/>
        </w:rPr>
        <w:t xml:space="preserve"> materials will be published.</w:t>
      </w:r>
    </w:p>
    <w:p w:rsidR="009B3794" w:rsidRDefault="009B3794" w:rsidP="009B6943">
      <w:pPr>
        <w:numPr>
          <w:ilvl w:val="0"/>
          <w:numId w:val="44"/>
        </w:numPr>
        <w:spacing w:before="240"/>
        <w:rPr>
          <w:b/>
          <w:sz w:val="24"/>
        </w:rPr>
      </w:pPr>
      <w:r>
        <w:rPr>
          <w:b/>
          <w:sz w:val="24"/>
          <w:u w:val="single"/>
        </w:rPr>
        <w:t>Reason(s) Display of OMB Expiration Date is Inappropriate</w:t>
      </w:r>
    </w:p>
    <w:p w:rsidR="009B3794" w:rsidRDefault="00E93C29" w:rsidP="00CA3DA6">
      <w:pPr>
        <w:pStyle w:val="BodyTextIndent"/>
        <w:spacing w:before="120"/>
        <w:ind w:left="360"/>
        <w:rPr>
          <w:rFonts w:ascii="Times New Roman" w:hAnsi="Times New Roman"/>
        </w:rPr>
      </w:pPr>
      <w:r>
        <w:rPr>
          <w:rFonts w:ascii="Times New Roman" w:hAnsi="Times New Roman"/>
        </w:rPr>
        <w:t>The expiration date will be displayed.</w:t>
      </w:r>
    </w:p>
    <w:p w:rsidR="009B3794" w:rsidRDefault="009B3794" w:rsidP="009B6943">
      <w:pPr>
        <w:numPr>
          <w:ilvl w:val="0"/>
          <w:numId w:val="44"/>
        </w:numPr>
        <w:spacing w:before="240"/>
        <w:rPr>
          <w:b/>
          <w:sz w:val="24"/>
        </w:rPr>
      </w:pPr>
      <w:r>
        <w:rPr>
          <w:b/>
          <w:sz w:val="24"/>
          <w:u w:val="single"/>
        </w:rPr>
        <w:t>Exceptions to Certification for Paperwork Reduction Act Submissions</w:t>
      </w:r>
    </w:p>
    <w:p w:rsidR="009B3794" w:rsidRDefault="009B3794" w:rsidP="00CA3DA6">
      <w:pPr>
        <w:pStyle w:val="BodyTextIndent"/>
        <w:spacing w:before="120"/>
        <w:ind w:left="360"/>
        <w:rPr>
          <w:rFonts w:ascii="Times New Roman" w:hAnsi="Times New Roman"/>
        </w:rPr>
      </w:pPr>
      <w:r w:rsidRPr="00261712">
        <w:rPr>
          <w:rFonts w:ascii="Times New Roman" w:hAnsi="Times New Roman"/>
        </w:rPr>
        <w:t>There are no exceptions to the certification.</w:t>
      </w:r>
    </w:p>
    <w:p w:rsidR="00235F3B" w:rsidRDefault="00235F3B" w:rsidP="00CA3DA6">
      <w:pPr>
        <w:pStyle w:val="BodyTextIndent"/>
        <w:spacing w:before="120"/>
        <w:ind w:left="360"/>
        <w:rPr>
          <w:rFonts w:ascii="Times New Roman" w:hAnsi="Times New Roman"/>
        </w:rPr>
      </w:pPr>
    </w:p>
    <w:p w:rsidR="00F56E63" w:rsidRPr="00AA34D3" w:rsidRDefault="00F56E63" w:rsidP="00F56E63">
      <w:pPr>
        <w:jc w:val="center"/>
        <w:rPr>
          <w:rFonts w:ascii="Arial Narrow" w:hAnsi="Arial Narrow"/>
          <w:b/>
          <w:sz w:val="40"/>
          <w:szCs w:val="40"/>
          <w:u w:val="single"/>
        </w:rPr>
      </w:pPr>
      <w:r>
        <w:br w:type="page"/>
      </w:r>
      <w:r w:rsidRPr="00AA34D3">
        <w:rPr>
          <w:rFonts w:ascii="Arial Narrow" w:hAnsi="Arial Narrow"/>
          <w:b/>
          <w:sz w:val="40"/>
          <w:szCs w:val="40"/>
          <w:u w:val="single"/>
        </w:rPr>
        <w:lastRenderedPageBreak/>
        <w:t>Competitive NCC Burden Estimation Contacts</w:t>
      </w:r>
    </w:p>
    <w:p w:rsidR="00F56E63" w:rsidRPr="00AA34D3" w:rsidRDefault="00F56E63" w:rsidP="00F56E63">
      <w:pPr>
        <w:rPr>
          <w:rFonts w:ascii="Arial Narrow" w:hAnsi="Arial Narrow"/>
          <w:b/>
          <w:sz w:val="28"/>
          <w:szCs w:val="28"/>
        </w:rPr>
      </w:pPr>
    </w:p>
    <w:p w:rsidR="00F56E63" w:rsidRPr="003C5109" w:rsidRDefault="00F56E63" w:rsidP="00F56E63">
      <w:pPr>
        <w:rPr>
          <w:rFonts w:ascii="Arial Narrow" w:hAnsi="Arial Narrow"/>
          <w:b/>
          <w:sz w:val="28"/>
          <w:szCs w:val="28"/>
        </w:rPr>
      </w:pPr>
    </w:p>
    <w:p w:rsidR="00F56E63" w:rsidRPr="003C5109" w:rsidRDefault="00F56E63" w:rsidP="00F56E63">
      <w:pPr>
        <w:rPr>
          <w:rFonts w:ascii="Arial Narrow" w:hAnsi="Arial Narrow"/>
          <w:b/>
          <w:sz w:val="28"/>
          <w:szCs w:val="28"/>
        </w:rPr>
      </w:pPr>
      <w:r w:rsidRPr="003C5109">
        <w:rPr>
          <w:rFonts w:ascii="Arial Narrow" w:hAnsi="Arial Narrow"/>
          <w:b/>
          <w:sz w:val="28"/>
          <w:szCs w:val="28"/>
        </w:rPr>
        <w:t>Jesse Leinfelder</w:t>
      </w:r>
    </w:p>
    <w:p w:rsidR="00F56E63" w:rsidRPr="003C5109" w:rsidRDefault="00F56E63" w:rsidP="00F56E63">
      <w:pPr>
        <w:rPr>
          <w:rFonts w:ascii="Arial Narrow" w:hAnsi="Arial Narrow"/>
          <w:sz w:val="28"/>
          <w:szCs w:val="28"/>
        </w:rPr>
      </w:pPr>
      <w:r w:rsidRPr="003C5109">
        <w:rPr>
          <w:rFonts w:ascii="Arial Narrow" w:hAnsi="Arial Narrow"/>
          <w:sz w:val="28"/>
          <w:szCs w:val="28"/>
        </w:rPr>
        <w:t>Manager, Federal Home Visiting Program</w:t>
      </w:r>
    </w:p>
    <w:p w:rsidR="00F56E63" w:rsidRPr="003C5109" w:rsidRDefault="00F56E63" w:rsidP="00F56E63">
      <w:pPr>
        <w:rPr>
          <w:rFonts w:ascii="Arial Narrow" w:hAnsi="Arial Narrow"/>
          <w:sz w:val="28"/>
          <w:szCs w:val="28"/>
        </w:rPr>
      </w:pPr>
      <w:r w:rsidRPr="003C5109">
        <w:rPr>
          <w:rFonts w:ascii="Arial Narrow" w:hAnsi="Arial Narrow"/>
          <w:sz w:val="28"/>
          <w:szCs w:val="28"/>
        </w:rPr>
        <w:t>Children, Youth and Families Department</w:t>
      </w:r>
    </w:p>
    <w:p w:rsidR="00F56E63" w:rsidRPr="003C5109" w:rsidRDefault="00F56E63" w:rsidP="00F56E63">
      <w:pPr>
        <w:rPr>
          <w:rFonts w:ascii="Arial Narrow" w:hAnsi="Arial Narrow"/>
          <w:sz w:val="28"/>
          <w:szCs w:val="28"/>
        </w:rPr>
      </w:pPr>
      <w:r w:rsidRPr="003C5109">
        <w:rPr>
          <w:rFonts w:ascii="Arial Narrow" w:hAnsi="Arial Narrow"/>
          <w:sz w:val="28"/>
          <w:szCs w:val="28"/>
        </w:rPr>
        <w:t>Santa Fe, NM</w:t>
      </w:r>
    </w:p>
    <w:p w:rsidR="00F56E63" w:rsidRPr="003C5109" w:rsidRDefault="008409C7" w:rsidP="00F56E63">
      <w:pPr>
        <w:rPr>
          <w:rFonts w:ascii="Arial Narrow" w:hAnsi="Arial Narrow"/>
          <w:sz w:val="28"/>
          <w:szCs w:val="28"/>
        </w:rPr>
      </w:pPr>
      <w:hyperlink r:id="rId10" w:history="1">
        <w:r w:rsidR="00F56E63" w:rsidRPr="003C5109">
          <w:rPr>
            <w:rStyle w:val="Hyperlink"/>
            <w:rFonts w:ascii="Arial Narrow" w:hAnsi="Arial Narrow"/>
            <w:color w:val="auto"/>
            <w:sz w:val="28"/>
            <w:szCs w:val="28"/>
          </w:rPr>
          <w:t>Jesse.Leinfelder@state.nm.us</w:t>
        </w:r>
      </w:hyperlink>
    </w:p>
    <w:p w:rsidR="00F56E63" w:rsidRPr="003C5109" w:rsidRDefault="00F56E63" w:rsidP="00F56E63">
      <w:pPr>
        <w:rPr>
          <w:rFonts w:ascii="Arial Narrow" w:hAnsi="Arial Narrow"/>
          <w:sz w:val="28"/>
          <w:szCs w:val="28"/>
        </w:rPr>
      </w:pPr>
      <w:r w:rsidRPr="003C5109">
        <w:rPr>
          <w:rFonts w:ascii="Arial Narrow" w:hAnsi="Arial Narrow"/>
          <w:sz w:val="28"/>
          <w:szCs w:val="28"/>
        </w:rPr>
        <w:t>505.827.9940</w:t>
      </w:r>
    </w:p>
    <w:p w:rsidR="00F56E63" w:rsidRPr="003C5109" w:rsidRDefault="00F56E63" w:rsidP="00F56E63">
      <w:pPr>
        <w:rPr>
          <w:rFonts w:ascii="Arial Narrow" w:hAnsi="Arial Narrow"/>
          <w:sz w:val="28"/>
          <w:szCs w:val="28"/>
        </w:rPr>
      </w:pPr>
    </w:p>
    <w:p w:rsidR="00F56E63" w:rsidRPr="003C5109" w:rsidRDefault="00F56E63" w:rsidP="00F56E63">
      <w:pPr>
        <w:rPr>
          <w:rFonts w:ascii="Arial Narrow" w:hAnsi="Arial Narrow"/>
          <w:b/>
          <w:sz w:val="28"/>
          <w:szCs w:val="28"/>
        </w:rPr>
      </w:pPr>
      <w:r w:rsidRPr="003C5109">
        <w:rPr>
          <w:rFonts w:ascii="Arial Narrow" w:hAnsi="Arial Narrow"/>
          <w:b/>
          <w:sz w:val="28"/>
          <w:szCs w:val="28"/>
        </w:rPr>
        <w:t>Mary Riggs</w:t>
      </w:r>
    </w:p>
    <w:p w:rsidR="00F56E63" w:rsidRPr="003C5109" w:rsidRDefault="00F56E63" w:rsidP="00F56E63">
      <w:pPr>
        <w:rPr>
          <w:rFonts w:ascii="Arial Narrow" w:hAnsi="Arial Narrow"/>
          <w:sz w:val="28"/>
          <w:szCs w:val="28"/>
        </w:rPr>
      </w:pPr>
      <w:r w:rsidRPr="003C5109">
        <w:rPr>
          <w:rFonts w:ascii="Arial Narrow" w:hAnsi="Arial Narrow"/>
          <w:sz w:val="28"/>
          <w:szCs w:val="28"/>
        </w:rPr>
        <w:t>Texas Department of State Health Services</w:t>
      </w:r>
    </w:p>
    <w:p w:rsidR="00F56E63" w:rsidRPr="003C5109" w:rsidRDefault="008409C7" w:rsidP="00F56E63">
      <w:pPr>
        <w:rPr>
          <w:rFonts w:ascii="Arial Narrow" w:hAnsi="Arial Narrow"/>
          <w:b/>
          <w:bCs/>
          <w:sz w:val="28"/>
          <w:szCs w:val="28"/>
        </w:rPr>
      </w:pPr>
      <w:hyperlink r:id="rId11" w:history="1">
        <w:r w:rsidR="00F56E63" w:rsidRPr="003C5109">
          <w:rPr>
            <w:rStyle w:val="Hyperlink"/>
            <w:rFonts w:ascii="Arial Narrow" w:hAnsi="Arial Narrow"/>
            <w:bCs/>
            <w:color w:val="auto"/>
            <w:sz w:val="28"/>
            <w:szCs w:val="28"/>
          </w:rPr>
          <w:t>mary.riggs@hhsc.state.tx.us</w:t>
        </w:r>
      </w:hyperlink>
    </w:p>
    <w:p w:rsidR="00F56E63" w:rsidRPr="003C5109" w:rsidRDefault="00F56E63" w:rsidP="00F56E63">
      <w:pPr>
        <w:rPr>
          <w:rFonts w:ascii="Arial Narrow" w:hAnsi="Arial Narrow"/>
          <w:sz w:val="28"/>
          <w:szCs w:val="28"/>
        </w:rPr>
      </w:pPr>
    </w:p>
    <w:p w:rsidR="00F56E63" w:rsidRPr="003C5109" w:rsidRDefault="00F56E63" w:rsidP="00F56E63">
      <w:pPr>
        <w:rPr>
          <w:rFonts w:ascii="Arial Narrow" w:hAnsi="Arial Narrow" w:cs="Arial"/>
          <w:b/>
          <w:bCs/>
          <w:iCs/>
          <w:sz w:val="28"/>
          <w:szCs w:val="28"/>
        </w:rPr>
      </w:pPr>
      <w:r w:rsidRPr="003C5109">
        <w:rPr>
          <w:rFonts w:ascii="Arial Narrow" w:hAnsi="Arial Narrow" w:cs="Arial"/>
          <w:b/>
          <w:bCs/>
          <w:iCs/>
          <w:sz w:val="28"/>
          <w:szCs w:val="28"/>
        </w:rPr>
        <w:t>Christopher S. Krawczyk, Ph.D.</w:t>
      </w:r>
    </w:p>
    <w:p w:rsidR="00F56E63" w:rsidRPr="003C5109" w:rsidRDefault="00F56E63" w:rsidP="00F56E63">
      <w:pPr>
        <w:rPr>
          <w:rFonts w:ascii="Arial Narrow" w:hAnsi="Arial Narrow" w:cs="Arial"/>
          <w:sz w:val="28"/>
          <w:szCs w:val="28"/>
        </w:rPr>
      </w:pPr>
      <w:r w:rsidRPr="003C5109">
        <w:rPr>
          <w:rFonts w:ascii="Arial Narrow" w:hAnsi="Arial Narrow" w:cs="Arial"/>
          <w:sz w:val="28"/>
          <w:szCs w:val="28"/>
        </w:rPr>
        <w:t xml:space="preserve">Chief </w:t>
      </w:r>
      <w:r w:rsidRPr="003C5109">
        <w:rPr>
          <w:rFonts w:ascii="Arial Narrow" w:hAnsi="Arial Narrow" w:cs="Arial"/>
          <w:b/>
          <w:bCs/>
          <w:sz w:val="28"/>
          <w:szCs w:val="28"/>
        </w:rPr>
        <w:t xml:space="preserve">│ </w:t>
      </w:r>
      <w:r w:rsidRPr="003C5109">
        <w:rPr>
          <w:rFonts w:ascii="Arial Narrow" w:hAnsi="Arial Narrow" w:cs="Arial"/>
          <w:sz w:val="28"/>
          <w:szCs w:val="28"/>
        </w:rPr>
        <w:t>California Home Visiting Program Branch</w:t>
      </w:r>
    </w:p>
    <w:p w:rsidR="00F56E63" w:rsidRPr="003C5109" w:rsidRDefault="00F56E63" w:rsidP="00F56E63">
      <w:pPr>
        <w:rPr>
          <w:rFonts w:ascii="Arial Narrow" w:hAnsi="Arial Narrow" w:cs="PMingLiU"/>
          <w:b/>
          <w:bCs/>
          <w:sz w:val="28"/>
          <w:szCs w:val="28"/>
        </w:rPr>
      </w:pPr>
      <w:r w:rsidRPr="003C5109">
        <w:rPr>
          <w:rFonts w:ascii="Arial Narrow" w:hAnsi="Arial Narrow" w:cs="Arial"/>
          <w:sz w:val="28"/>
          <w:szCs w:val="28"/>
        </w:rPr>
        <w:t xml:space="preserve">California Department of Public Health </w:t>
      </w:r>
    </w:p>
    <w:p w:rsidR="00F56E63" w:rsidRPr="003C5109" w:rsidRDefault="00F56E63" w:rsidP="00F56E63">
      <w:pPr>
        <w:rPr>
          <w:rFonts w:ascii="Arial Narrow" w:hAnsi="Arial Narrow"/>
          <w:sz w:val="28"/>
          <w:szCs w:val="28"/>
        </w:rPr>
      </w:pPr>
      <w:r w:rsidRPr="003C5109">
        <w:rPr>
          <w:rFonts w:ascii="Arial Narrow" w:hAnsi="Arial Narrow" w:cs="Arial"/>
          <w:sz w:val="28"/>
          <w:szCs w:val="28"/>
        </w:rPr>
        <w:t xml:space="preserve">Maternal, Child and Adolescent Health Program </w:t>
      </w:r>
    </w:p>
    <w:p w:rsidR="00F56E63" w:rsidRPr="003C5109" w:rsidRDefault="00F56E63" w:rsidP="00F56E63">
      <w:pPr>
        <w:rPr>
          <w:rFonts w:ascii="Arial Narrow" w:hAnsi="Arial Narrow" w:cs="Arial"/>
          <w:b/>
          <w:bCs/>
          <w:sz w:val="28"/>
          <w:szCs w:val="28"/>
        </w:rPr>
      </w:pPr>
      <w:r w:rsidRPr="003C5109">
        <w:rPr>
          <w:rFonts w:ascii="Arial Narrow" w:hAnsi="Arial Narrow" w:cs="Arial"/>
          <w:sz w:val="28"/>
          <w:szCs w:val="28"/>
        </w:rPr>
        <w:t xml:space="preserve">916.650.0483 </w:t>
      </w:r>
    </w:p>
    <w:p w:rsidR="00F56E63" w:rsidRPr="003C5109" w:rsidRDefault="008409C7" w:rsidP="00F56E63">
      <w:pPr>
        <w:rPr>
          <w:rFonts w:ascii="Arial Narrow" w:hAnsi="Arial Narrow"/>
          <w:sz w:val="28"/>
          <w:szCs w:val="28"/>
        </w:rPr>
      </w:pPr>
      <w:hyperlink r:id="rId12" w:history="1">
        <w:r w:rsidR="00F56E63" w:rsidRPr="003C5109">
          <w:rPr>
            <w:rStyle w:val="Hyperlink"/>
            <w:rFonts w:ascii="Arial Narrow" w:hAnsi="Arial Narrow" w:cs="Arial"/>
            <w:color w:val="auto"/>
            <w:sz w:val="28"/>
            <w:szCs w:val="28"/>
          </w:rPr>
          <w:t>Christopher.Krawczyk@cdph.ca.gov</w:t>
        </w:r>
      </w:hyperlink>
    </w:p>
    <w:p w:rsidR="00F56E63" w:rsidRPr="003C5109" w:rsidRDefault="00F56E63" w:rsidP="00F56E63">
      <w:pPr>
        <w:rPr>
          <w:rFonts w:ascii="Arial Narrow" w:hAnsi="Arial Narrow"/>
          <w:sz w:val="28"/>
          <w:szCs w:val="28"/>
        </w:rPr>
      </w:pPr>
    </w:p>
    <w:p w:rsidR="00F56E63" w:rsidRPr="003C5109" w:rsidRDefault="00F56E63" w:rsidP="00F56E63">
      <w:pPr>
        <w:rPr>
          <w:rFonts w:ascii="Arial Narrow" w:hAnsi="Arial Narrow"/>
          <w:b/>
          <w:sz w:val="28"/>
          <w:szCs w:val="28"/>
        </w:rPr>
      </w:pPr>
      <w:r w:rsidRPr="003C5109">
        <w:rPr>
          <w:rFonts w:ascii="Arial Narrow" w:hAnsi="Arial Narrow"/>
          <w:b/>
          <w:sz w:val="28"/>
          <w:szCs w:val="28"/>
        </w:rPr>
        <w:t>Bradley Planey</w:t>
      </w:r>
    </w:p>
    <w:p w:rsidR="00F56E63" w:rsidRPr="003C5109" w:rsidRDefault="00F56E63" w:rsidP="00F56E63">
      <w:pPr>
        <w:rPr>
          <w:rFonts w:ascii="Arial Narrow" w:hAnsi="Arial Narrow"/>
          <w:sz w:val="28"/>
          <w:szCs w:val="28"/>
        </w:rPr>
      </w:pPr>
      <w:r w:rsidRPr="003C5109">
        <w:rPr>
          <w:rFonts w:ascii="Arial Narrow" w:hAnsi="Arial Narrow"/>
          <w:sz w:val="28"/>
          <w:szCs w:val="28"/>
        </w:rPr>
        <w:t>Arkansas Department of Health, Family Health Branch</w:t>
      </w:r>
    </w:p>
    <w:p w:rsidR="00F56E63" w:rsidRPr="003C5109" w:rsidRDefault="00F56E63" w:rsidP="00F56E63">
      <w:pPr>
        <w:rPr>
          <w:rFonts w:ascii="Arial Narrow" w:hAnsi="Arial Narrow"/>
          <w:sz w:val="28"/>
          <w:szCs w:val="28"/>
        </w:rPr>
      </w:pPr>
      <w:r w:rsidRPr="003C5109">
        <w:rPr>
          <w:rFonts w:ascii="Arial Narrow" w:hAnsi="Arial Narrow"/>
          <w:sz w:val="28"/>
          <w:szCs w:val="28"/>
        </w:rPr>
        <w:t>501.661.2531</w:t>
      </w:r>
    </w:p>
    <w:p w:rsidR="00F56E63" w:rsidRPr="003C5109" w:rsidRDefault="008409C7" w:rsidP="00F56E63">
      <w:pPr>
        <w:rPr>
          <w:rFonts w:ascii="Arial Narrow" w:hAnsi="Arial Narrow"/>
          <w:sz w:val="28"/>
          <w:szCs w:val="28"/>
        </w:rPr>
      </w:pPr>
      <w:hyperlink r:id="rId13" w:history="1">
        <w:r w:rsidR="00F56E63" w:rsidRPr="003C5109">
          <w:rPr>
            <w:rStyle w:val="Hyperlink"/>
            <w:rFonts w:ascii="Arial Narrow" w:hAnsi="Arial Narrow"/>
            <w:sz w:val="28"/>
            <w:szCs w:val="28"/>
          </w:rPr>
          <w:t>Bradley.planey@arkansas.gov</w:t>
        </w:r>
      </w:hyperlink>
    </w:p>
    <w:p w:rsidR="00F56E63" w:rsidRDefault="00F56E63" w:rsidP="00F56E63">
      <w:pPr>
        <w:rPr>
          <w:rFonts w:ascii="Arial Narrow" w:hAnsi="Arial Narrow"/>
          <w:sz w:val="28"/>
          <w:szCs w:val="28"/>
        </w:rPr>
      </w:pPr>
    </w:p>
    <w:p w:rsidR="00F56E63" w:rsidRPr="00AA34D3" w:rsidRDefault="00F56E63" w:rsidP="00F56E63">
      <w:pPr>
        <w:rPr>
          <w:rFonts w:ascii="Arial Narrow" w:hAnsi="Arial Narrow"/>
          <w:sz w:val="28"/>
          <w:szCs w:val="28"/>
        </w:rPr>
      </w:pPr>
    </w:p>
    <w:p w:rsidR="00F56E63" w:rsidRPr="00AA34D3" w:rsidRDefault="00F56E63" w:rsidP="00F56E63">
      <w:pPr>
        <w:rPr>
          <w:rFonts w:ascii="Arial Narrow" w:hAnsi="Arial Narrow"/>
          <w:sz w:val="28"/>
          <w:szCs w:val="28"/>
        </w:rPr>
      </w:pPr>
    </w:p>
    <w:p w:rsidR="00235F3B" w:rsidRPr="00261712" w:rsidRDefault="00235F3B" w:rsidP="00CA3DA6">
      <w:pPr>
        <w:pStyle w:val="BodyTextIndent"/>
        <w:spacing w:before="120"/>
        <w:ind w:left="360"/>
      </w:pPr>
    </w:p>
    <w:sectPr w:rsidR="00235F3B" w:rsidRPr="00261712" w:rsidSect="009928BD">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F09" w:rsidRDefault="004E5F09">
      <w:r>
        <w:separator/>
      </w:r>
    </w:p>
  </w:endnote>
  <w:endnote w:type="continuationSeparator" w:id="0">
    <w:p w:rsidR="004E5F09" w:rsidRDefault="004E5F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29" w:rsidRDefault="00267629" w:rsidP="007F5A5D">
    <w:pPr>
      <w:pStyle w:val="Footer"/>
      <w:tabs>
        <w:tab w:val="clear" w:pos="4320"/>
        <w:tab w:val="center" w:pos="4680"/>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29" w:rsidRDefault="00267629">
    <w:pPr>
      <w:pStyle w:val="Footer"/>
    </w:pPr>
    <w:r w:rsidRPr="00DA562D">
      <w:t>OMB Control No. 0915-0339 Expiration Date 11/30/2011</w:t>
    </w:r>
  </w:p>
  <w:p w:rsidR="00267629" w:rsidRDefault="002676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29" w:rsidRDefault="00267629">
    <w:pPr>
      <w:spacing w:line="240" w:lineRule="exact"/>
    </w:pPr>
  </w:p>
  <w:p w:rsidR="00267629" w:rsidRDefault="008409C7">
    <w:pPr>
      <w:framePr w:w="9361" w:wrap="notBeside" w:vAnchor="text" w:hAnchor="text" w:x="1" w:y="1"/>
      <w:jc w:val="center"/>
      <w:rPr>
        <w:sz w:val="24"/>
      </w:rPr>
    </w:pPr>
    <w:r>
      <w:rPr>
        <w:sz w:val="24"/>
      </w:rPr>
      <w:fldChar w:fldCharType="begin"/>
    </w:r>
    <w:r w:rsidR="00267629">
      <w:rPr>
        <w:sz w:val="24"/>
      </w:rPr>
      <w:instrText xml:space="preserve">PAGE </w:instrText>
    </w:r>
    <w:r>
      <w:rPr>
        <w:sz w:val="24"/>
      </w:rPr>
      <w:fldChar w:fldCharType="separate"/>
    </w:r>
    <w:r w:rsidR="00D86584">
      <w:rPr>
        <w:noProof/>
        <w:sz w:val="24"/>
      </w:rPr>
      <w:t>6</w:t>
    </w:r>
    <w:r>
      <w:rPr>
        <w:sz w:val="24"/>
      </w:rPr>
      <w:fldChar w:fldCharType="end"/>
    </w:r>
  </w:p>
  <w:p w:rsidR="00267629" w:rsidRDefault="00267629">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F09" w:rsidRDefault="004E5F09">
      <w:r>
        <w:separator/>
      </w:r>
    </w:p>
  </w:footnote>
  <w:footnote w:type="continuationSeparator" w:id="0">
    <w:p w:rsidR="004E5F09" w:rsidRDefault="004E5F09">
      <w:r>
        <w:continuationSeparator/>
      </w:r>
    </w:p>
  </w:footnote>
  <w:footnote w:id="1">
    <w:p w:rsidR="00267629" w:rsidRPr="00E32698" w:rsidRDefault="00267629" w:rsidP="007C4A78">
      <w:pPr>
        <w:pStyle w:val="FootnoteText"/>
      </w:pPr>
      <w:r w:rsidRPr="00E32698">
        <w:rPr>
          <w:rStyle w:val="FootnoteReference"/>
        </w:rPr>
        <w:footnoteRef/>
      </w:r>
      <w:r w:rsidRPr="00E32698">
        <w:t xml:space="preserve"> </w:t>
      </w:r>
      <w:r w:rsidRPr="00E32698">
        <w:rPr>
          <w:color w:val="000000"/>
        </w:rPr>
        <w:t xml:space="preserve">See </w:t>
      </w:r>
      <w:hyperlink r:id="rId1" w:history="1">
        <w:r w:rsidRPr="007A5CCF">
          <w:rPr>
            <w:rStyle w:val="Hyperlink"/>
          </w:rPr>
          <w:t>http://www.gpo.gov/fdsys/pkg/PLAW-111publ148/pdf/PLAW-111publ148.pdf</w:t>
        </w:r>
      </w:hyperlink>
      <w:r>
        <w:rPr>
          <w:color w:val="0000FF"/>
        </w:rPr>
        <w:t xml:space="preserve"> </w:t>
      </w:r>
      <w:r w:rsidRPr="00E32698">
        <w:rPr>
          <w:color w:val="000000"/>
        </w:rPr>
        <w:t xml:space="preserve">, pages </w:t>
      </w:r>
      <w:r>
        <w:rPr>
          <w:color w:val="000000"/>
        </w:rPr>
        <w:t>334-343</w:t>
      </w:r>
      <w:r w:rsidRPr="00E32698">
        <w:rPr>
          <w:color w:val="000000"/>
        </w:rPr>
        <w:t>.</w:t>
      </w:r>
    </w:p>
  </w:footnote>
  <w:footnote w:id="2">
    <w:p w:rsidR="00267629" w:rsidRDefault="00267629" w:rsidP="007C4A78">
      <w:pPr>
        <w:pStyle w:val="FootnoteText"/>
      </w:pPr>
      <w:r>
        <w:rPr>
          <w:rStyle w:val="FootnoteReference"/>
        </w:rPr>
        <w:footnoteRef/>
      </w:r>
      <w:r>
        <w:t xml:space="preserve"> The 48 states, the U.S. Virgin Islands, Puerto Rico, American Samoa, the Northern Marianas, District of Columbia, and Guam.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3">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34D91865"/>
    <w:multiLevelType w:val="hybridMultilevel"/>
    <w:tmpl w:val="A9A2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nsid w:val="35AD7AE3"/>
    <w:multiLevelType w:val="hybridMultilevel"/>
    <w:tmpl w:val="6838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A00080"/>
    <w:multiLevelType w:val="hybridMultilevel"/>
    <w:tmpl w:val="304E7ADC"/>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1D7109"/>
    <w:multiLevelType w:val="hybridMultilevel"/>
    <w:tmpl w:val="0CC073AE"/>
    <w:lvl w:ilvl="0" w:tplc="50065730">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695717"/>
    <w:multiLevelType w:val="hybridMultilevel"/>
    <w:tmpl w:val="96247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3"/>
  </w:num>
  <w:num w:numId="3">
    <w:abstractNumId w:val="13"/>
  </w:num>
  <w:num w:numId="4">
    <w:abstractNumId w:val="41"/>
  </w:num>
  <w:num w:numId="5">
    <w:abstractNumId w:val="44"/>
  </w:num>
  <w:num w:numId="6">
    <w:abstractNumId w:val="8"/>
  </w:num>
  <w:num w:numId="7">
    <w:abstractNumId w:val="36"/>
  </w:num>
  <w:num w:numId="8">
    <w:abstractNumId w:val="18"/>
  </w:num>
  <w:num w:numId="9">
    <w:abstractNumId w:val="27"/>
  </w:num>
  <w:num w:numId="10">
    <w:abstractNumId w:val="20"/>
  </w:num>
  <w:num w:numId="11">
    <w:abstractNumId w:val="7"/>
  </w:num>
  <w:num w:numId="12">
    <w:abstractNumId w:val="26"/>
  </w:num>
  <w:num w:numId="13">
    <w:abstractNumId w:val="21"/>
  </w:num>
  <w:num w:numId="14">
    <w:abstractNumId w:val="24"/>
  </w:num>
  <w:num w:numId="15">
    <w:abstractNumId w:val="6"/>
  </w:num>
  <w:num w:numId="16">
    <w:abstractNumId w:val="0"/>
  </w:num>
  <w:num w:numId="17">
    <w:abstractNumId w:val="1"/>
  </w:num>
  <w:num w:numId="18">
    <w:abstractNumId w:val="15"/>
  </w:num>
  <w:num w:numId="19">
    <w:abstractNumId w:val="35"/>
  </w:num>
  <w:num w:numId="20">
    <w:abstractNumId w:val="33"/>
  </w:num>
  <w:num w:numId="21">
    <w:abstractNumId w:val="19"/>
  </w:num>
  <w:num w:numId="22">
    <w:abstractNumId w:val="40"/>
  </w:num>
  <w:num w:numId="23">
    <w:abstractNumId w:val="31"/>
  </w:num>
  <w:num w:numId="24">
    <w:abstractNumId w:val="32"/>
  </w:num>
  <w:num w:numId="25">
    <w:abstractNumId w:val="43"/>
  </w:num>
  <w:num w:numId="26">
    <w:abstractNumId w:val="39"/>
  </w:num>
  <w:num w:numId="27">
    <w:abstractNumId w:val="3"/>
  </w:num>
  <w:num w:numId="28">
    <w:abstractNumId w:val="17"/>
  </w:num>
  <w:num w:numId="29">
    <w:abstractNumId w:val="42"/>
  </w:num>
  <w:num w:numId="30">
    <w:abstractNumId w:val="37"/>
  </w:num>
  <w:num w:numId="31">
    <w:abstractNumId w:val="34"/>
  </w:num>
  <w:num w:numId="32">
    <w:abstractNumId w:val="9"/>
  </w:num>
  <w:num w:numId="33">
    <w:abstractNumId w:val="2"/>
  </w:num>
  <w:num w:numId="34">
    <w:abstractNumId w:val="28"/>
  </w:num>
  <w:num w:numId="35">
    <w:abstractNumId w:val="11"/>
  </w:num>
  <w:num w:numId="36">
    <w:abstractNumId w:val="10"/>
  </w:num>
  <w:num w:numId="37">
    <w:abstractNumId w:val="12"/>
  </w:num>
  <w:num w:numId="38">
    <w:abstractNumId w:val="4"/>
  </w:num>
  <w:num w:numId="39">
    <w:abstractNumId w:val="30"/>
  </w:num>
  <w:num w:numId="40">
    <w:abstractNumId w:val="5"/>
  </w:num>
  <w:num w:numId="41">
    <w:abstractNumId w:val="29"/>
  </w:num>
  <w:num w:numId="42">
    <w:abstractNumId w:val="25"/>
  </w:num>
  <w:num w:numId="43">
    <w:abstractNumId w:val="38"/>
  </w:num>
  <w:num w:numId="44">
    <w:abstractNumId w:val="22"/>
  </w:num>
  <w:num w:numId="45">
    <w:abstractNumId w:val="16"/>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A92CAB"/>
    <w:rsid w:val="00015505"/>
    <w:rsid w:val="00035178"/>
    <w:rsid w:val="00086F22"/>
    <w:rsid w:val="000B784E"/>
    <w:rsid w:val="000F37AE"/>
    <w:rsid w:val="001279E0"/>
    <w:rsid w:val="00144059"/>
    <w:rsid w:val="001C4D4D"/>
    <w:rsid w:val="001D2F59"/>
    <w:rsid w:val="00235F3B"/>
    <w:rsid w:val="00261712"/>
    <w:rsid w:val="002640E7"/>
    <w:rsid w:val="00267629"/>
    <w:rsid w:val="00303CDF"/>
    <w:rsid w:val="00322313"/>
    <w:rsid w:val="003224D1"/>
    <w:rsid w:val="00391E16"/>
    <w:rsid w:val="003C5109"/>
    <w:rsid w:val="003D2A7E"/>
    <w:rsid w:val="003D5EA5"/>
    <w:rsid w:val="003E031A"/>
    <w:rsid w:val="004024C2"/>
    <w:rsid w:val="00406E63"/>
    <w:rsid w:val="004150C3"/>
    <w:rsid w:val="00430D4E"/>
    <w:rsid w:val="004746CA"/>
    <w:rsid w:val="004A676B"/>
    <w:rsid w:val="004E5F09"/>
    <w:rsid w:val="004E687D"/>
    <w:rsid w:val="004F78C7"/>
    <w:rsid w:val="00503BAB"/>
    <w:rsid w:val="005713BD"/>
    <w:rsid w:val="005B3657"/>
    <w:rsid w:val="005B4B1D"/>
    <w:rsid w:val="005E1765"/>
    <w:rsid w:val="005F122C"/>
    <w:rsid w:val="006263D6"/>
    <w:rsid w:val="006750E4"/>
    <w:rsid w:val="006A0434"/>
    <w:rsid w:val="006A1305"/>
    <w:rsid w:val="006E3F6F"/>
    <w:rsid w:val="00707448"/>
    <w:rsid w:val="007230B1"/>
    <w:rsid w:val="007833CB"/>
    <w:rsid w:val="007C4A78"/>
    <w:rsid w:val="007F5A5D"/>
    <w:rsid w:val="0080316B"/>
    <w:rsid w:val="008153C5"/>
    <w:rsid w:val="008409C7"/>
    <w:rsid w:val="0088044E"/>
    <w:rsid w:val="00887F18"/>
    <w:rsid w:val="009018E5"/>
    <w:rsid w:val="00953A5F"/>
    <w:rsid w:val="00961CB5"/>
    <w:rsid w:val="009928BD"/>
    <w:rsid w:val="009A056B"/>
    <w:rsid w:val="009B3794"/>
    <w:rsid w:val="009B6943"/>
    <w:rsid w:val="009B7E4D"/>
    <w:rsid w:val="00A63DF7"/>
    <w:rsid w:val="00A82A74"/>
    <w:rsid w:val="00A91DCD"/>
    <w:rsid w:val="00A92CAB"/>
    <w:rsid w:val="00AD78C9"/>
    <w:rsid w:val="00B309C6"/>
    <w:rsid w:val="00BA1A0C"/>
    <w:rsid w:val="00C00F64"/>
    <w:rsid w:val="00C47711"/>
    <w:rsid w:val="00C74B86"/>
    <w:rsid w:val="00C80E2B"/>
    <w:rsid w:val="00CA3DA6"/>
    <w:rsid w:val="00CD36E7"/>
    <w:rsid w:val="00CE5AA9"/>
    <w:rsid w:val="00D46313"/>
    <w:rsid w:val="00D86584"/>
    <w:rsid w:val="00D86F68"/>
    <w:rsid w:val="00D92E1D"/>
    <w:rsid w:val="00DD7324"/>
    <w:rsid w:val="00DE3A45"/>
    <w:rsid w:val="00E34A1F"/>
    <w:rsid w:val="00E41495"/>
    <w:rsid w:val="00E444C1"/>
    <w:rsid w:val="00E93C29"/>
    <w:rsid w:val="00E962DB"/>
    <w:rsid w:val="00EC6334"/>
    <w:rsid w:val="00ED18EA"/>
    <w:rsid w:val="00ED3E7C"/>
    <w:rsid w:val="00F308C6"/>
    <w:rsid w:val="00F374B1"/>
    <w:rsid w:val="00F56E63"/>
    <w:rsid w:val="00F57058"/>
    <w:rsid w:val="00F61A4C"/>
    <w:rsid w:val="00F8363C"/>
    <w:rsid w:val="00FC1C9F"/>
    <w:rsid w:val="00FF2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9C7"/>
    <w:pPr>
      <w:widowControl w:val="0"/>
      <w:autoSpaceDE w:val="0"/>
      <w:autoSpaceDN w:val="0"/>
      <w:adjustRightInd w:val="0"/>
    </w:pPr>
    <w:rPr>
      <w:szCs w:val="24"/>
    </w:rPr>
  </w:style>
  <w:style w:type="paragraph" w:styleId="Heading1">
    <w:name w:val="heading 1"/>
    <w:basedOn w:val="Normal"/>
    <w:next w:val="Normal"/>
    <w:qFormat/>
    <w:rsid w:val="008409C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C6334"/>
    <w:rPr>
      <w:sz w:val="24"/>
      <w:vertAlign w:val="superscript"/>
    </w:rPr>
  </w:style>
  <w:style w:type="paragraph" w:styleId="BodyTextIndent">
    <w:name w:val="Body Text Indent"/>
    <w:basedOn w:val="Normal"/>
    <w:rsid w:val="008409C7"/>
    <w:pPr>
      <w:ind w:left="720"/>
    </w:pPr>
    <w:rPr>
      <w:rFonts w:ascii="Baskerville Old Face" w:hAnsi="Baskerville Old Face"/>
      <w:sz w:val="24"/>
    </w:rPr>
  </w:style>
  <w:style w:type="table" w:styleId="TableGrid">
    <w:name w:val="Table Grid"/>
    <w:basedOn w:val="TableNormal"/>
    <w:rsid w:val="008409C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paragraph" w:styleId="Footer">
    <w:name w:val="footer"/>
    <w:basedOn w:val="Normal"/>
    <w:link w:val="FooterChar"/>
    <w:uiPriority w:val="99"/>
    <w:rsid w:val="006263D6"/>
    <w:pPr>
      <w:widowControl/>
      <w:tabs>
        <w:tab w:val="center" w:pos="4320"/>
        <w:tab w:val="right" w:pos="8640"/>
      </w:tabs>
      <w:autoSpaceDE/>
      <w:autoSpaceDN/>
      <w:adjustRightInd/>
    </w:pPr>
    <w:rPr>
      <w:szCs w:val="20"/>
    </w:rPr>
  </w:style>
  <w:style w:type="character" w:customStyle="1" w:styleId="FooterChar">
    <w:name w:val="Footer Char"/>
    <w:basedOn w:val="DefaultParagraphFont"/>
    <w:link w:val="Footer"/>
    <w:uiPriority w:val="99"/>
    <w:rsid w:val="006263D6"/>
  </w:style>
  <w:style w:type="paragraph" w:styleId="EndnoteText">
    <w:name w:val="endnote text"/>
    <w:basedOn w:val="Normal"/>
    <w:link w:val="EndnoteTextChar"/>
    <w:rsid w:val="006263D6"/>
    <w:rPr>
      <w:szCs w:val="20"/>
    </w:rPr>
  </w:style>
  <w:style w:type="character" w:customStyle="1" w:styleId="EndnoteTextChar">
    <w:name w:val="Endnote Text Char"/>
    <w:basedOn w:val="DefaultParagraphFont"/>
    <w:link w:val="EndnoteText"/>
    <w:rsid w:val="006263D6"/>
  </w:style>
  <w:style w:type="character" w:styleId="EndnoteReference">
    <w:name w:val="endnote reference"/>
    <w:basedOn w:val="DefaultParagraphFont"/>
    <w:rsid w:val="006263D6"/>
    <w:rPr>
      <w:vertAlign w:val="superscript"/>
    </w:rPr>
  </w:style>
  <w:style w:type="paragraph" w:styleId="FootnoteText">
    <w:name w:val="footnote text"/>
    <w:basedOn w:val="Normal"/>
    <w:link w:val="FootnoteTextChar"/>
    <w:uiPriority w:val="99"/>
    <w:rsid w:val="006263D6"/>
    <w:rPr>
      <w:szCs w:val="20"/>
    </w:rPr>
  </w:style>
  <w:style w:type="character" w:customStyle="1" w:styleId="FootnoteTextChar">
    <w:name w:val="Footnote Text Char"/>
    <w:basedOn w:val="DefaultParagraphFont"/>
    <w:link w:val="FootnoteText"/>
    <w:uiPriority w:val="99"/>
    <w:rsid w:val="006263D6"/>
  </w:style>
  <w:style w:type="character" w:styleId="Hyperlink">
    <w:name w:val="Hyperlink"/>
    <w:basedOn w:val="DefaultParagraphFont"/>
    <w:uiPriority w:val="99"/>
    <w:rsid w:val="007C4A78"/>
    <w:rPr>
      <w:color w:val="0000FF"/>
      <w:u w:val="single"/>
    </w:rPr>
  </w:style>
  <w:style w:type="character" w:styleId="CommentReference">
    <w:name w:val="annotation reference"/>
    <w:basedOn w:val="DefaultParagraphFont"/>
    <w:rsid w:val="009A056B"/>
    <w:rPr>
      <w:sz w:val="16"/>
      <w:szCs w:val="16"/>
    </w:rPr>
  </w:style>
  <w:style w:type="paragraph" w:styleId="CommentText">
    <w:name w:val="annotation text"/>
    <w:basedOn w:val="Normal"/>
    <w:link w:val="CommentTextChar"/>
    <w:rsid w:val="009A056B"/>
    <w:rPr>
      <w:szCs w:val="20"/>
    </w:rPr>
  </w:style>
  <w:style w:type="character" w:customStyle="1" w:styleId="CommentTextChar">
    <w:name w:val="Comment Text Char"/>
    <w:basedOn w:val="DefaultParagraphFont"/>
    <w:link w:val="CommentText"/>
    <w:rsid w:val="009A056B"/>
  </w:style>
  <w:style w:type="paragraph" w:styleId="CommentSubject">
    <w:name w:val="annotation subject"/>
    <w:basedOn w:val="CommentText"/>
    <w:next w:val="CommentText"/>
    <w:link w:val="CommentSubjectChar"/>
    <w:rsid w:val="009A056B"/>
    <w:rPr>
      <w:b/>
      <w:bCs/>
    </w:rPr>
  </w:style>
  <w:style w:type="character" w:customStyle="1" w:styleId="CommentSubjectChar">
    <w:name w:val="Comment Subject Char"/>
    <w:basedOn w:val="CommentTextChar"/>
    <w:link w:val="CommentSubject"/>
    <w:rsid w:val="009A056B"/>
    <w:rPr>
      <w:b/>
      <w:bCs/>
    </w:rPr>
  </w:style>
  <w:style w:type="paragraph" w:styleId="Header">
    <w:name w:val="header"/>
    <w:basedOn w:val="Normal"/>
    <w:link w:val="HeaderChar"/>
    <w:rsid w:val="00EC6334"/>
    <w:pPr>
      <w:tabs>
        <w:tab w:val="center" w:pos="4680"/>
        <w:tab w:val="right" w:pos="9360"/>
      </w:tabs>
    </w:pPr>
  </w:style>
  <w:style w:type="character" w:customStyle="1" w:styleId="HeaderChar">
    <w:name w:val="Header Char"/>
    <w:basedOn w:val="DefaultParagraphFont"/>
    <w:link w:val="Header"/>
    <w:rsid w:val="00EC6334"/>
    <w:rPr>
      <w:szCs w:val="24"/>
    </w:rPr>
  </w:style>
  <w:style w:type="paragraph" w:styleId="Revision">
    <w:name w:val="Revision"/>
    <w:hidden/>
    <w:uiPriority w:val="99"/>
    <w:semiHidden/>
    <w:rsid w:val="005F122C"/>
    <w:rPr>
      <w:szCs w:val="24"/>
    </w:rPr>
  </w:style>
</w:styles>
</file>

<file path=word/webSettings.xml><?xml version="1.0" encoding="utf-8"?>
<w:webSettings xmlns:r="http://schemas.openxmlformats.org/officeDocument/2006/relationships" xmlns:w="http://schemas.openxmlformats.org/wordprocessingml/2006/main">
  <w:divs>
    <w:div w:id="121269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radley.planey@arkansa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opher.Krawczyk@cdph.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riggs@hhsc.state.tx.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sse.Leinfelder@state.nm.u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PLAW-111publ148/pdf/PLAW-111publ1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ACFCD-0733-4DCB-89A0-EB4FE1DD9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11419</CharactersWithSpaces>
  <SharedDoc>false</SharedDoc>
  <HLinks>
    <vt:vector size="30" baseType="variant">
      <vt:variant>
        <vt:i4>4325416</vt:i4>
      </vt:variant>
      <vt:variant>
        <vt:i4>9</vt:i4>
      </vt:variant>
      <vt:variant>
        <vt:i4>0</vt:i4>
      </vt:variant>
      <vt:variant>
        <vt:i4>5</vt:i4>
      </vt:variant>
      <vt:variant>
        <vt:lpwstr>mailto:Bradley.planey@arkansas.gov</vt:lpwstr>
      </vt:variant>
      <vt:variant>
        <vt:lpwstr/>
      </vt:variant>
      <vt:variant>
        <vt:i4>720939</vt:i4>
      </vt:variant>
      <vt:variant>
        <vt:i4>6</vt:i4>
      </vt:variant>
      <vt:variant>
        <vt:i4>0</vt:i4>
      </vt:variant>
      <vt:variant>
        <vt:i4>5</vt:i4>
      </vt:variant>
      <vt:variant>
        <vt:lpwstr>mailto:Christopher.Krawczyk@cdph.ca.gov</vt:lpwstr>
      </vt:variant>
      <vt:variant>
        <vt:lpwstr/>
      </vt:variant>
      <vt:variant>
        <vt:i4>4718626</vt:i4>
      </vt:variant>
      <vt:variant>
        <vt:i4>3</vt:i4>
      </vt:variant>
      <vt:variant>
        <vt:i4>0</vt:i4>
      </vt:variant>
      <vt:variant>
        <vt:i4>5</vt:i4>
      </vt:variant>
      <vt:variant>
        <vt:lpwstr>mailto:mary.riggs@hhsc.state.tx.us</vt:lpwstr>
      </vt:variant>
      <vt:variant>
        <vt:lpwstr/>
      </vt:variant>
      <vt:variant>
        <vt:i4>131133</vt:i4>
      </vt:variant>
      <vt:variant>
        <vt:i4>0</vt:i4>
      </vt:variant>
      <vt:variant>
        <vt:i4>0</vt:i4>
      </vt:variant>
      <vt:variant>
        <vt:i4>5</vt:i4>
      </vt:variant>
      <vt:variant>
        <vt:lpwstr>mailto:Jesse.Leinfelder@state.nm.us</vt:lpwstr>
      </vt:variant>
      <vt:variant>
        <vt:lpwstr/>
      </vt:variant>
      <vt:variant>
        <vt:i4>4390934</vt:i4>
      </vt:variant>
      <vt:variant>
        <vt:i4>0</vt:i4>
      </vt:variant>
      <vt:variant>
        <vt:i4>0</vt:i4>
      </vt:variant>
      <vt:variant>
        <vt:i4>5</vt:i4>
      </vt:variant>
      <vt:variant>
        <vt:lpwstr>http://www.gpo.gov/fdsys/pkg/PLAW-111publ148/pdf/PLAW-111publ148.pdf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cp:lastModifiedBy>jbuerlein</cp:lastModifiedBy>
  <cp:revision>4</cp:revision>
  <cp:lastPrinted>2010-10-14T13:41:00Z</cp:lastPrinted>
  <dcterms:created xsi:type="dcterms:W3CDTF">2012-09-17T17:35:00Z</dcterms:created>
  <dcterms:modified xsi:type="dcterms:W3CDTF">2012-09-17T17:56:00Z</dcterms:modified>
</cp:coreProperties>
</file>